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B95E3A">
      <w:pPr>
        <w:pageBreakBefore w:val="0"/>
        <w:wordWrap w:val="0"/>
        <w:spacing w:before="1980" w:after="0" w:line="1700" w:lineRule="atLeast"/>
        <w:ind w:left="20" w:right="0"/>
        <w:jc w:val="center"/>
        <w:textAlignment w:val="baseline"/>
        <w:rPr>
          <w:sz w:val="127"/>
        </w:rPr>
      </w:pPr>
      <w:r>
        <w:rPr>
          <w:rFonts w:ascii="宋体" w:hAnsi="宋体" w:eastAsia="宋体" w:cs="宋体"/>
          <w:b/>
          <w:i w:val="0"/>
          <w:color w:val="FF4242"/>
          <w:spacing w:val="0"/>
          <w:sz w:val="127"/>
        </w:rPr>
        <w:t>攀枝花市住房和城乡建设局攀枝花市自然资源和规划局文件</w:t>
      </w:r>
    </w:p>
    <w:p w14:paraId="489DA0E0">
      <w:pPr>
        <w:pageBreakBefore w:val="0"/>
        <w:wordWrap w:val="0"/>
        <w:spacing w:before="0" w:after="0" w:line="980" w:lineRule="exact"/>
        <w:ind w:left="0" w:right="0"/>
        <w:jc w:val="center"/>
        <w:textAlignment w:val="baseline"/>
        <w:rPr>
          <w:sz w:val="74"/>
        </w:rPr>
      </w:pPr>
    </w:p>
    <w:p w14:paraId="5565C1DA">
      <w:pPr>
        <w:pageBreakBefore w:val="0"/>
        <w:wordWrap w:val="0"/>
        <w:spacing w:before="0" w:after="0" w:line="980" w:lineRule="exact"/>
        <w:ind w:left="0" w:right="0"/>
        <w:jc w:val="center"/>
        <w:textAlignment w:val="baseline"/>
        <w:rPr>
          <w:sz w:val="74"/>
        </w:rPr>
      </w:pPr>
    </w:p>
    <w:p w14:paraId="4A53EE74">
      <w:pPr>
        <w:pageBreakBefore w:val="0"/>
        <w:wordWrap w:val="0"/>
        <w:spacing w:before="0" w:after="0" w:line="980" w:lineRule="exact"/>
        <w:ind w:left="0" w:right="0"/>
        <w:jc w:val="center"/>
        <w:textAlignment w:val="baseline"/>
        <w:rPr>
          <w:sz w:val="74"/>
        </w:rPr>
      </w:pPr>
    </w:p>
    <w:p w14:paraId="1233A751">
      <w:pPr>
        <w:pageBreakBefore w:val="0"/>
        <w:wordWrap w:val="0"/>
        <w:spacing w:before="0" w:after="0" w:line="1000" w:lineRule="atLeast"/>
        <w:ind w:left="0" w:right="0"/>
        <w:jc w:val="center"/>
        <w:textAlignment w:val="baseline"/>
        <w:rPr>
          <w:sz w:val="74"/>
        </w:rPr>
      </w:pPr>
      <w:r>
        <w:rPr>
          <w:rFonts w:ascii="仿宋" w:hAnsi="仿宋" w:eastAsia="仿宋" w:cs="仿宋"/>
          <w:b w:val="0"/>
          <w:i w:val="0"/>
          <w:color w:val="000000"/>
          <w:spacing w:val="0"/>
          <w:sz w:val="74"/>
          <w:u w:val="single"/>
        </w:rPr>
        <w:t xml:space="preserve">             攀住建发〔2023〕183号             </w:t>
      </w:r>
    </w:p>
    <w:p w14:paraId="4783ED11">
      <w:pPr>
        <w:pageBreakBefore w:val="0"/>
        <w:wordWrap w:val="0"/>
        <w:spacing w:before="0" w:after="0" w:line="980" w:lineRule="exact"/>
        <w:ind w:left="0" w:right="0"/>
        <w:jc w:val="center"/>
        <w:textAlignment w:val="baseline"/>
        <w:rPr>
          <w:sz w:val="74"/>
        </w:rPr>
      </w:pPr>
    </w:p>
    <w:p w14:paraId="26951031">
      <w:pPr>
        <w:pageBreakBefore w:val="0"/>
        <w:wordWrap w:val="0"/>
        <w:spacing w:before="0" w:after="0" w:line="980" w:lineRule="exact"/>
        <w:ind w:left="0" w:right="0"/>
        <w:jc w:val="center"/>
        <w:textAlignment w:val="baseline"/>
        <w:rPr>
          <w:sz w:val="74"/>
        </w:rPr>
      </w:pPr>
    </w:p>
    <w:p w14:paraId="2FB4F1FA">
      <w:pPr>
        <w:pageBreakBefore w:val="0"/>
        <w:wordWrap w:val="0"/>
        <w:spacing w:before="0" w:after="0" w:line="1120" w:lineRule="atLeast"/>
        <w:ind w:left="0" w:right="0"/>
        <w:jc w:val="center"/>
        <w:textAlignment w:val="baseline"/>
        <w:rPr>
          <w:sz w:val="82"/>
        </w:rPr>
      </w:pPr>
      <w:r>
        <w:rPr>
          <w:rFonts w:ascii="宋体" w:hAnsi="宋体" w:eastAsia="宋体" w:cs="宋体"/>
          <w:b/>
          <w:i w:val="0"/>
          <w:color w:val="000000"/>
          <w:spacing w:val="0"/>
          <w:sz w:val="82"/>
        </w:rPr>
        <w:t>攀枝花市住房和城乡建设局</w:t>
      </w:r>
    </w:p>
    <w:p w14:paraId="49B37430">
      <w:pPr>
        <w:pageBreakBefore w:val="0"/>
        <w:wordWrap w:val="0"/>
        <w:spacing w:before="0" w:after="0" w:line="1120" w:lineRule="atLeast"/>
        <w:ind w:left="0" w:right="0"/>
        <w:jc w:val="center"/>
        <w:textAlignment w:val="baseline"/>
        <w:rPr>
          <w:sz w:val="82"/>
        </w:rPr>
      </w:pPr>
      <w:r>
        <w:rPr>
          <w:rFonts w:ascii="宋体" w:hAnsi="宋体" w:eastAsia="宋体" w:cs="宋体"/>
          <w:b/>
          <w:i w:val="0"/>
          <w:color w:val="000000"/>
          <w:spacing w:val="0"/>
          <w:sz w:val="82"/>
        </w:rPr>
        <w:t>攀枝花市自然资源和规划局</w:t>
      </w:r>
    </w:p>
    <w:p w14:paraId="3AD5CC57">
      <w:pPr>
        <w:pageBreakBefore w:val="0"/>
        <w:wordWrap w:val="0"/>
        <w:spacing w:before="0" w:after="0" w:line="1120" w:lineRule="atLeast"/>
        <w:ind w:left="0" w:right="0"/>
        <w:jc w:val="center"/>
        <w:textAlignment w:val="baseline"/>
        <w:rPr>
          <w:sz w:val="82"/>
        </w:rPr>
      </w:pPr>
      <w:r>
        <w:rPr>
          <w:rFonts w:ascii="宋体" w:hAnsi="宋体" w:eastAsia="宋体" w:cs="宋体"/>
          <w:b/>
          <w:i w:val="0"/>
          <w:color w:val="000000"/>
          <w:spacing w:val="0"/>
          <w:sz w:val="82"/>
        </w:rPr>
        <w:t>关于加强装配式建筑建设管理的通知</w:t>
      </w:r>
    </w:p>
    <w:p w14:paraId="239B08B0">
      <w:pPr>
        <w:pageBreakBefore w:val="0"/>
        <w:wordWrap w:val="0"/>
        <w:spacing w:before="640" w:after="0" w:line="1160" w:lineRule="atLeast"/>
        <w:ind w:left="20" w:right="1060"/>
        <w:jc w:val="both"/>
        <w:textAlignment w:val="baseline"/>
        <w:rPr>
          <w:sz w:val="59"/>
        </w:rPr>
      </w:pPr>
      <w:r>
        <w:rPr>
          <w:rFonts w:ascii="仿宋" w:hAnsi="仿宋" w:eastAsia="仿宋" w:cs="仿宋"/>
          <w:b w:val="0"/>
          <w:i w:val="0"/>
          <w:color w:val="000000"/>
          <w:spacing w:val="0"/>
          <w:sz w:val="59"/>
        </w:rPr>
        <w:t>各县（区）住房城乡建设部门、自然资源和规划部门，各勘察设计、开发建设、施工、监理等有关单位，构件生产企业：</w:t>
      </w:r>
    </w:p>
    <w:p w14:paraId="2F4FE769">
      <w:pPr>
        <w:pageBreakBefore w:val="0"/>
        <w:wordWrap w:val="0"/>
        <w:spacing w:before="0" w:after="0" w:line="1160" w:lineRule="atLeast"/>
        <w:ind w:left="20" w:right="1060" w:firstLine="1200"/>
        <w:jc w:val="both"/>
        <w:textAlignment w:val="baseline"/>
        <w:rPr>
          <w:sz w:val="59"/>
        </w:rPr>
      </w:pPr>
      <w:r>
        <w:rPr>
          <w:rFonts w:ascii="仿宋" w:hAnsi="仿宋" w:eastAsia="仿宋" w:cs="仿宋"/>
          <w:b w:val="0"/>
          <w:i w:val="0"/>
          <w:color w:val="000000"/>
          <w:spacing w:val="0"/>
          <w:sz w:val="59"/>
        </w:rPr>
        <w:t>为贯彻落实《四川省住房和城乡建设厅关于加强装配式建筑全过程工程质量管控的通知》《攀枝花市人民政府办公室关于推动装配式建筑发展的实施意见》，推进装配式建筑发展质量五年行动，加强装配式建筑建设管理，提升装配式建筑发展效能，推动智能建造与建筑工业化协同发展，现将有关事项通知如下。</w:t>
      </w:r>
    </w:p>
    <w:p w14:paraId="447B4D74">
      <w:pPr>
        <w:pageBreakBefore w:val="0"/>
        <w:wordWrap w:val="0"/>
        <w:spacing w:before="0" w:after="0" w:line="840" w:lineRule="atLeast"/>
        <w:ind w:left="1280" w:right="0"/>
        <w:jc w:val="both"/>
        <w:textAlignment w:val="baseline"/>
        <w:rPr>
          <w:sz w:val="62"/>
        </w:rPr>
      </w:pPr>
      <w:r>
        <w:rPr>
          <w:rFonts w:ascii="黑体" w:hAnsi="黑体" w:eastAsia="黑体" w:cs="黑体"/>
          <w:b/>
          <w:i w:val="0"/>
          <w:color w:val="000000"/>
          <w:spacing w:val="0"/>
          <w:sz w:val="62"/>
        </w:rPr>
        <w:t>一、执行范围及时间</w:t>
      </w:r>
    </w:p>
    <w:p w14:paraId="3A698D1B">
      <w:pPr>
        <w:pageBreakBefore w:val="0"/>
        <w:wordWrap w:val="0"/>
        <w:spacing w:before="0" w:after="0" w:line="860" w:lineRule="exact"/>
        <w:ind w:left="0" w:right="0"/>
        <w:jc w:val="both"/>
        <w:textAlignment w:val="baseline"/>
        <w:rPr>
          <w:sz w:val="70"/>
        </w:rPr>
      </w:pPr>
    </w:p>
    <w:p w14:paraId="48A4326E">
      <w:pPr>
        <w:pageBreakBefore w:val="0"/>
        <w:wordWrap w:val="0"/>
        <w:spacing w:before="0" w:after="0" w:line="860" w:lineRule="exact"/>
        <w:ind w:left="0" w:right="0"/>
        <w:jc w:val="both"/>
        <w:textAlignment w:val="baseline"/>
        <w:rPr>
          <w:sz w:val="70"/>
        </w:rPr>
      </w:pPr>
    </w:p>
    <w:p w14:paraId="76A601EB">
      <w:pPr>
        <w:pageBreakBefore w:val="0"/>
        <w:wordWrap w:val="0"/>
        <w:spacing w:before="0" w:after="0" w:line="940" w:lineRule="atLeast"/>
        <w:ind w:left="0" w:right="1060"/>
        <w:jc w:val="right"/>
        <w:textAlignment w:val="baseline"/>
        <w:rPr>
          <w:sz w:val="70"/>
        </w:rPr>
      </w:pPr>
      <w:r>
        <w:rPr>
          <w:rFonts w:ascii="黑体" w:hAnsi="黑体" w:eastAsia="黑体" w:cs="黑体"/>
          <w:b w:val="0"/>
          <w:i w:val="0"/>
          <w:color w:val="000000"/>
          <w:spacing w:val="0"/>
          <w:sz w:val="70"/>
        </w:rPr>
        <w:t>—1—</w:t>
      </w:r>
    </w:p>
    <w:p w14:paraId="06D31199"/>
    <w:p w14:paraId="00489ED2">
      <w:pPr>
        <w:sectPr>
          <w:headerReference r:id="rId3" w:type="default"/>
          <w:footerReference r:id="rId4" w:type="default"/>
          <w:pgSz w:w="22400" w:h="31680"/>
          <w:pgMar w:top="2180" w:right="2160" w:bottom="2180" w:left="2160" w:header="1880" w:footer="1880" w:gutter="0"/>
          <w:cols w:space="720" w:num="1"/>
        </w:sectPr>
      </w:pPr>
    </w:p>
    <w:p w14:paraId="05F5CF33">
      <w:pPr>
        <w:pageBreakBefore w:val="0"/>
        <w:wordWrap w:val="0"/>
        <w:spacing w:before="1000" w:after="0" w:line="1140" w:lineRule="atLeast"/>
        <w:ind w:left="0" w:right="0" w:firstLine="1260"/>
        <w:jc w:val="both"/>
        <w:textAlignment w:val="baseline"/>
        <w:rPr>
          <w:sz w:val="57"/>
        </w:rPr>
      </w:pPr>
      <w:r>
        <w:rPr>
          <w:rFonts w:ascii="仿宋" w:hAnsi="仿宋" w:eastAsia="仿宋" w:cs="仿宋"/>
          <w:b w:val="0"/>
          <w:i w:val="0"/>
          <w:color w:val="000000"/>
          <w:spacing w:val="0"/>
          <w:sz w:val="57"/>
        </w:rPr>
        <w:t>以土地划拨或出让文件时间为准，自2024年1月1日起，全市范围内新划拨或出让土地的项目装配率，按公共建筑项目不低于40%、其余新建项目不低于35%执行；自2026年1月1日起，全市范围内新划拨或出让土地的项目装配率不低于50%。出让土地核定规划条件或划拨土地办理建设项目用地预审与选址意见书前，住房城乡建设部门会同属地政府就拟供地块的装配式建筑规模、装配率等提出书面意见，自然资源和规划部门将其内容纳入宗地规划条件并按照有关要求开展供地工作。本通知实施前已取得国有土地使用权证或土地使用证明文件，新开展建筑设计的新建项目，参照本通知执行。</w:t>
      </w:r>
    </w:p>
    <w:p w14:paraId="62173529">
      <w:pPr>
        <w:pageBreakBefore w:val="0"/>
        <w:wordWrap w:val="0"/>
        <w:spacing w:before="300" w:after="0" w:line="800" w:lineRule="atLeast"/>
        <w:ind w:left="1220" w:right="0"/>
        <w:jc w:val="both"/>
        <w:textAlignment w:val="baseline"/>
        <w:rPr>
          <w:sz w:val="58"/>
        </w:rPr>
      </w:pPr>
      <w:r>
        <w:rPr>
          <w:rFonts w:ascii="黑体" w:hAnsi="黑体" w:eastAsia="黑体" w:cs="黑体"/>
          <w:b/>
          <w:i w:val="0"/>
          <w:color w:val="000000"/>
          <w:spacing w:val="0"/>
          <w:sz w:val="58"/>
        </w:rPr>
        <w:t>二、加强装配式建筑设计质量管控</w:t>
      </w:r>
    </w:p>
    <w:p w14:paraId="108B63E7">
      <w:pPr>
        <w:pageBreakBefore w:val="0"/>
        <w:wordWrap w:val="0"/>
        <w:spacing w:before="400" w:after="0" w:line="740" w:lineRule="atLeast"/>
        <w:ind w:left="1460" w:right="0"/>
        <w:jc w:val="both"/>
        <w:textAlignment w:val="baseline"/>
        <w:rPr>
          <w:sz w:val="55"/>
        </w:rPr>
      </w:pPr>
      <w:r>
        <w:rPr>
          <w:rFonts w:ascii="楷体" w:hAnsi="楷体" w:eastAsia="楷体" w:cs="楷体"/>
          <w:b w:val="0"/>
          <w:i w:val="0"/>
          <w:color w:val="000000"/>
          <w:spacing w:val="0"/>
          <w:sz w:val="55"/>
        </w:rPr>
        <w:t>（一）加强设计管理</w:t>
      </w:r>
    </w:p>
    <w:p w14:paraId="184C3126">
      <w:pPr>
        <w:pageBreakBefore w:val="0"/>
        <w:wordWrap w:val="0"/>
        <w:spacing w:before="0" w:after="0" w:line="1140" w:lineRule="atLeast"/>
        <w:ind w:left="0" w:right="0" w:firstLine="1220"/>
        <w:jc w:val="both"/>
        <w:textAlignment w:val="baseline"/>
        <w:rPr>
          <w:sz w:val="57"/>
        </w:rPr>
      </w:pPr>
      <w:r>
        <w:rPr>
          <w:rFonts w:ascii="仿宋" w:hAnsi="仿宋" w:eastAsia="仿宋" w:cs="仿宋"/>
          <w:b w:val="0"/>
          <w:i w:val="0"/>
          <w:color w:val="000000"/>
          <w:spacing w:val="0"/>
          <w:sz w:val="57"/>
        </w:rPr>
        <w:t>方案设计阶段，设计单位应按照规划设计条件及装配式建筑装配率等有关要求进行设计，住房城乡建设部门对装配式建筑设计方案提出审核意见，自然资源和规划部门将装配式建筑有关要求纳入建设工程设计方案审定意见。施工图设计阶段，设计单位按照现行相关规范性文件、工程建设标准规范等进行装配式建筑专项设计，编制《装配式建筑设计说明专篇》和装配式建筑装配率计算书，明确装配式建筑的结构体系、装配率、部品部件品种和规格、主要结构部品部件的连接方式、质量和安全保障措施等。施工图设计要统筹考虑建筑、结构、机电、装饰等相关专业要求，</w:t>
      </w:r>
    </w:p>
    <w:p w14:paraId="1F2B03D8">
      <w:pPr>
        <w:pageBreakBefore w:val="0"/>
        <w:wordWrap w:val="0"/>
        <w:spacing w:before="0" w:after="0" w:line="640" w:lineRule="exact"/>
        <w:ind w:left="0" w:right="0"/>
        <w:jc w:val="both"/>
        <w:textAlignment w:val="baseline"/>
        <w:rPr>
          <w:sz w:val="55"/>
        </w:rPr>
      </w:pPr>
    </w:p>
    <w:p w14:paraId="044E8D1C">
      <w:pPr>
        <w:pageBreakBefore w:val="0"/>
        <w:wordWrap w:val="0"/>
        <w:spacing w:before="0" w:after="0" w:line="640" w:lineRule="exact"/>
        <w:ind w:left="0" w:right="0"/>
        <w:jc w:val="both"/>
        <w:textAlignment w:val="baseline"/>
        <w:rPr>
          <w:sz w:val="55"/>
        </w:rPr>
      </w:pPr>
    </w:p>
    <w:p w14:paraId="74AC21D6">
      <w:pPr>
        <w:pageBreakBefore w:val="0"/>
        <w:wordWrap w:val="0"/>
        <w:spacing w:before="0" w:after="0" w:line="760" w:lineRule="atLeast"/>
        <w:ind w:left="0" w:right="0"/>
        <w:jc w:val="both"/>
        <w:textAlignment w:val="baseline"/>
        <w:rPr>
          <w:sz w:val="55"/>
        </w:rPr>
      </w:pPr>
      <w:r>
        <w:rPr>
          <w:rFonts w:ascii="仿宋" w:hAnsi="仿宋" w:eastAsia="仿宋" w:cs="仿宋"/>
          <w:b w:val="0"/>
          <w:i w:val="0"/>
          <w:color w:val="000000"/>
          <w:spacing w:val="0"/>
          <w:sz w:val="55"/>
        </w:rPr>
        <w:t>—2—</w:t>
      </w:r>
    </w:p>
    <w:p w14:paraId="4186A420"/>
    <w:p w14:paraId="677DA9A7">
      <w:pPr>
        <w:sectPr>
          <w:headerReference r:id="rId5" w:type="default"/>
          <w:footerReference r:id="rId6" w:type="default"/>
          <w:pgSz w:w="22400" w:h="31680"/>
          <w:pgMar w:top="2200" w:right="2880" w:bottom="2200" w:left="2880" w:header="1900" w:footer="1900" w:gutter="0"/>
          <w:cols w:space="720" w:num="1"/>
        </w:sectPr>
      </w:pPr>
    </w:p>
    <w:p w14:paraId="2C07AC80">
      <w:pPr>
        <w:pageBreakBefore w:val="0"/>
        <w:wordWrap w:val="0"/>
        <w:spacing w:before="940" w:after="0" w:line="1040" w:lineRule="atLeast"/>
        <w:ind w:left="0" w:right="0"/>
        <w:jc w:val="both"/>
        <w:textAlignment w:val="baseline"/>
        <w:rPr>
          <w:sz w:val="59"/>
        </w:rPr>
      </w:pPr>
      <w:r>
        <w:rPr>
          <w:rFonts w:ascii="仿宋" w:hAnsi="仿宋" w:eastAsia="仿宋" w:cs="仿宋"/>
          <w:b w:val="0"/>
          <w:i w:val="0"/>
          <w:color w:val="000000"/>
          <w:spacing w:val="0"/>
          <w:sz w:val="59"/>
        </w:rPr>
        <w:t>并满足构件制作、运输和施工需求。鼓励支持设计单位利用建筑信息模型(BIM)开展专业设计和分析、优化。设计单位不得将涉及结构安全的装配式建筑构件设计分包给其它单位。对装配率大于60%的混凝土建筑或装配率大于75%的钢结构建筑，建设单位应组织专家对设计方案的合理性、可行性、经济性进行论证。</w:t>
      </w:r>
    </w:p>
    <w:p w14:paraId="44108E57">
      <w:pPr>
        <w:pageBreakBefore w:val="0"/>
        <w:wordWrap w:val="0"/>
        <w:spacing w:before="280" w:after="0" w:line="840" w:lineRule="atLeast"/>
        <w:ind w:left="1360" w:right="0"/>
        <w:jc w:val="both"/>
        <w:textAlignment w:val="baseline"/>
        <w:rPr>
          <w:sz w:val="62"/>
        </w:rPr>
      </w:pPr>
      <w:r>
        <w:rPr>
          <w:rFonts w:ascii="楷体" w:hAnsi="楷体" w:eastAsia="楷体" w:cs="楷体"/>
          <w:b w:val="0"/>
          <w:i w:val="0"/>
          <w:color w:val="000000"/>
          <w:spacing w:val="0"/>
          <w:sz w:val="62"/>
        </w:rPr>
        <w:t>(二)严格施工图审查</w:t>
      </w:r>
    </w:p>
    <w:p w14:paraId="3EAEF5B9">
      <w:pPr>
        <w:pageBreakBefore w:val="0"/>
        <w:wordWrap w:val="0"/>
        <w:spacing w:before="0" w:after="0" w:line="1040" w:lineRule="atLeast"/>
        <w:ind w:left="0" w:right="0" w:firstLine="1200"/>
        <w:jc w:val="both"/>
        <w:textAlignment w:val="baseline"/>
        <w:rPr>
          <w:sz w:val="59"/>
        </w:rPr>
      </w:pPr>
      <w:r>
        <w:rPr>
          <w:rFonts w:ascii="仿宋" w:hAnsi="仿宋" w:eastAsia="仿宋" w:cs="仿宋"/>
          <w:b w:val="0"/>
          <w:i w:val="0"/>
          <w:color w:val="000000"/>
          <w:spacing w:val="0"/>
          <w:sz w:val="59"/>
        </w:rPr>
        <w:t>建设单位应提供符合装配式建筑设计深度要求的设计文件，施工图审查机构应按照《装配式建筑评价标准》(GB/T51129)《四川省装配式混凝土结构建筑工程施工图设计文件审查要点</w:t>
      </w:r>
      <w:r>
        <w:rPr>
          <w:rFonts w:hint="eastAsia" w:ascii="仿宋" w:hAnsi="仿宋" w:eastAsia="仿宋" w:cs="仿宋"/>
          <w:b w:val="0"/>
          <w:i w:val="0"/>
          <w:color w:val="000000"/>
          <w:spacing w:val="0"/>
          <w:sz w:val="59"/>
          <w:lang w:eastAsia="zh-CN"/>
        </w:rPr>
        <w:t>（</w:t>
      </w:r>
      <w:r>
        <w:rPr>
          <w:rFonts w:ascii="仿宋" w:hAnsi="仿宋" w:eastAsia="仿宋" w:cs="仿宋"/>
          <w:b w:val="0"/>
          <w:i w:val="0"/>
          <w:color w:val="000000"/>
          <w:spacing w:val="0"/>
          <w:sz w:val="59"/>
        </w:rPr>
        <w:t>试行</w:t>
      </w:r>
      <w:r>
        <w:rPr>
          <w:rFonts w:hint="eastAsia" w:ascii="仿宋" w:hAnsi="仿宋" w:eastAsia="仿宋" w:cs="仿宋"/>
          <w:b w:val="0"/>
          <w:i w:val="0"/>
          <w:color w:val="000000"/>
          <w:spacing w:val="0"/>
          <w:sz w:val="59"/>
          <w:lang w:eastAsia="zh-CN"/>
        </w:rPr>
        <w:t>）</w:t>
      </w:r>
      <w:r>
        <w:rPr>
          <w:rFonts w:ascii="仿宋" w:hAnsi="仿宋" w:eastAsia="仿宋" w:cs="仿宋"/>
          <w:b w:val="0"/>
          <w:i w:val="0"/>
          <w:color w:val="000000"/>
          <w:spacing w:val="0"/>
          <w:sz w:val="59"/>
        </w:rPr>
        <w:t>》《四川省装配式钢结构建筑工程施工图设计文件审查要点</w:t>
      </w:r>
      <w:r>
        <w:rPr>
          <w:rFonts w:hint="eastAsia" w:ascii="仿宋" w:hAnsi="仿宋" w:eastAsia="仿宋" w:cs="仿宋"/>
          <w:b w:val="0"/>
          <w:i w:val="0"/>
          <w:color w:val="000000"/>
          <w:spacing w:val="0"/>
          <w:sz w:val="59"/>
          <w:lang w:eastAsia="zh-CN"/>
        </w:rPr>
        <w:t>（</w:t>
      </w:r>
      <w:r>
        <w:rPr>
          <w:rFonts w:ascii="仿宋" w:hAnsi="仿宋" w:eastAsia="仿宋" w:cs="仿宋"/>
          <w:b w:val="0"/>
          <w:i w:val="0"/>
          <w:color w:val="000000"/>
          <w:spacing w:val="0"/>
          <w:sz w:val="59"/>
        </w:rPr>
        <w:t>试行</w:t>
      </w:r>
      <w:r>
        <w:rPr>
          <w:rFonts w:hint="eastAsia" w:ascii="仿宋" w:hAnsi="仿宋" w:eastAsia="仿宋" w:cs="仿宋"/>
          <w:b w:val="0"/>
          <w:i w:val="0"/>
          <w:color w:val="000000"/>
          <w:spacing w:val="0"/>
          <w:sz w:val="59"/>
          <w:lang w:eastAsia="zh-CN"/>
        </w:rPr>
        <w:t>）</w:t>
      </w:r>
      <w:bookmarkStart w:id="0" w:name="_GoBack"/>
      <w:bookmarkEnd w:id="0"/>
      <w:r>
        <w:rPr>
          <w:rFonts w:ascii="仿宋" w:hAnsi="仿宋" w:eastAsia="仿宋" w:cs="仿宋"/>
          <w:b w:val="0"/>
          <w:i w:val="0"/>
          <w:color w:val="000000"/>
          <w:spacing w:val="0"/>
          <w:sz w:val="59"/>
        </w:rPr>
        <w:t>》《四川省装配式建筑装配率计算细则》等国家及省相关规定和土地划拨或出让文件相关要求进行审查，对未按本通知要求进行装配式建筑专篇设计的不得受理，对达不到装配率要求或装配式建筑设计专篇深度不够的不得出具施工图审查合格书。对涉及装配率的后期专项设计(如装饰装修等)，建设单位应向审查机构提供装配率设计承诺书，涉及装配率变化的设计变更，原则上由原审查机构负责审查。</w:t>
      </w:r>
    </w:p>
    <w:p w14:paraId="5F4CB06B">
      <w:pPr>
        <w:pageBreakBefore w:val="0"/>
        <w:wordWrap w:val="0"/>
        <w:spacing w:before="260" w:after="0" w:line="800" w:lineRule="atLeast"/>
        <w:ind w:left="1200" w:right="0"/>
        <w:jc w:val="both"/>
        <w:textAlignment w:val="baseline"/>
        <w:rPr>
          <w:sz w:val="58"/>
        </w:rPr>
      </w:pPr>
      <w:r>
        <w:rPr>
          <w:rFonts w:ascii="黑体" w:hAnsi="黑体" w:eastAsia="黑体" w:cs="黑体"/>
          <w:b/>
          <w:i w:val="0"/>
          <w:color w:val="000000"/>
          <w:spacing w:val="0"/>
          <w:sz w:val="58"/>
        </w:rPr>
        <w:t>三、加强构件生产质量管控</w:t>
      </w:r>
    </w:p>
    <w:p w14:paraId="603D970A">
      <w:pPr>
        <w:pageBreakBefore w:val="0"/>
        <w:wordWrap w:val="0"/>
        <w:spacing w:before="0" w:after="0" w:line="1040" w:lineRule="atLeast"/>
        <w:ind w:left="0" w:right="0" w:firstLine="1200"/>
        <w:jc w:val="both"/>
        <w:textAlignment w:val="baseline"/>
        <w:rPr>
          <w:sz w:val="59"/>
        </w:rPr>
      </w:pPr>
      <w:r>
        <w:rPr>
          <w:rFonts w:ascii="仿宋" w:hAnsi="仿宋" w:eastAsia="仿宋" w:cs="仿宋"/>
          <w:b w:val="0"/>
          <w:i w:val="0"/>
          <w:color w:val="000000"/>
          <w:spacing w:val="0"/>
          <w:sz w:val="59"/>
        </w:rPr>
        <w:t>构件生产企业要按照《四川省装配式建筑部品部件生产质量保障能力评估办法》《关于推进四川省装配式建筑工业化部品部件产业高质量发展的指导意见》有关要求，切实提高构件生产质</w:t>
      </w:r>
    </w:p>
    <w:p w14:paraId="3765FD74">
      <w:pPr>
        <w:pageBreakBefore w:val="0"/>
        <w:wordWrap w:val="0"/>
        <w:spacing w:before="0" w:after="0" w:line="600" w:lineRule="exact"/>
        <w:ind w:left="0" w:right="0"/>
        <w:jc w:val="both"/>
        <w:textAlignment w:val="baseline"/>
        <w:rPr>
          <w:sz w:val="53"/>
        </w:rPr>
      </w:pPr>
    </w:p>
    <w:p w14:paraId="2CB4488B">
      <w:pPr>
        <w:pageBreakBefore w:val="0"/>
        <w:wordWrap w:val="0"/>
        <w:spacing w:before="0" w:after="0" w:line="600" w:lineRule="exact"/>
        <w:ind w:left="0" w:right="0"/>
        <w:jc w:val="both"/>
        <w:textAlignment w:val="baseline"/>
        <w:rPr>
          <w:sz w:val="53"/>
        </w:rPr>
      </w:pPr>
    </w:p>
    <w:p w14:paraId="05076E07">
      <w:pPr>
        <w:pageBreakBefore w:val="0"/>
        <w:wordWrap w:val="0"/>
        <w:spacing w:before="0" w:after="0" w:line="720" w:lineRule="atLeast"/>
        <w:ind w:left="0" w:right="0"/>
        <w:jc w:val="right"/>
        <w:textAlignment w:val="baseline"/>
        <w:rPr>
          <w:sz w:val="53"/>
        </w:rPr>
      </w:pPr>
      <w:r>
        <w:rPr>
          <w:rFonts w:ascii="仿宋" w:hAnsi="仿宋" w:eastAsia="仿宋" w:cs="仿宋"/>
          <w:b w:val="0"/>
          <w:i w:val="0"/>
          <w:color w:val="000000"/>
          <w:spacing w:val="0"/>
          <w:sz w:val="53"/>
        </w:rPr>
        <w:t>—3—</w:t>
      </w:r>
    </w:p>
    <w:p w14:paraId="365B81B9"/>
    <w:p w14:paraId="430BCAAA">
      <w:pPr>
        <w:sectPr>
          <w:headerReference r:id="rId7" w:type="default"/>
          <w:footerReference r:id="rId8" w:type="default"/>
          <w:pgSz w:w="22400" w:h="31680"/>
          <w:pgMar w:top="2200" w:right="2860" w:bottom="2200" w:left="2860" w:header="1900" w:footer="1900" w:gutter="0"/>
          <w:cols w:space="720" w:num="1"/>
        </w:sectPr>
      </w:pPr>
    </w:p>
    <w:p w14:paraId="3CE92D23">
      <w:pPr>
        <w:pageBreakBefore w:val="0"/>
        <w:wordWrap w:val="0"/>
        <w:spacing w:before="1020" w:after="0" w:line="1120" w:lineRule="atLeast"/>
        <w:ind w:left="0" w:right="0"/>
        <w:jc w:val="both"/>
        <w:textAlignment w:val="baseline"/>
        <w:rPr>
          <w:sz w:val="58"/>
        </w:rPr>
      </w:pPr>
      <w:r>
        <w:rPr>
          <w:rFonts w:ascii="仿宋" w:hAnsi="仿宋" w:eastAsia="仿宋" w:cs="仿宋"/>
          <w:b w:val="0"/>
          <w:i w:val="0"/>
          <w:color w:val="000000"/>
          <w:spacing w:val="0"/>
          <w:sz w:val="58"/>
        </w:rPr>
        <w:t>量保障能力。要建立原材料质量检验、技术交底、部品部件生产、出厂检验等环节全过程质量可追溯体系，标准构件应按照标准图集进行生产，制定企业产品标准；定制结构构件要按照相关技术标准及设计要求进行生产。混凝土结构构件出厂时，应提供质量合格证及钢筋、套筒、灌浆材料、吊件等主要材料复检报告或材质证书、标准养护条件下28天强度检测报告及构件型式检验报告。钢结构构件出厂时，应提供质量合格证以及钢材、焊材、栓钉等主要材料合格证和按标准要求的检测报告。</w:t>
      </w:r>
    </w:p>
    <w:p w14:paraId="03889AE0">
      <w:pPr>
        <w:pageBreakBefore w:val="0"/>
        <w:wordWrap w:val="0"/>
        <w:spacing w:before="0" w:after="0" w:line="1120" w:lineRule="atLeast"/>
        <w:ind w:left="1240" w:right="0"/>
        <w:jc w:val="both"/>
        <w:textAlignment w:val="baseline"/>
        <w:rPr>
          <w:sz w:val="58"/>
        </w:rPr>
      </w:pPr>
      <w:r>
        <w:rPr>
          <w:rFonts w:ascii="黑体" w:hAnsi="黑体" w:eastAsia="黑体" w:cs="黑体"/>
          <w:b/>
          <w:i w:val="0"/>
          <w:color w:val="000000"/>
          <w:spacing w:val="0"/>
          <w:sz w:val="58"/>
        </w:rPr>
        <w:t>四、强化施工过程质量管控</w:t>
      </w:r>
    </w:p>
    <w:p w14:paraId="0D73B598">
      <w:pPr>
        <w:pageBreakBefore w:val="0"/>
        <w:wordWrap w:val="0"/>
        <w:spacing w:before="400" w:after="0" w:line="800" w:lineRule="atLeast"/>
        <w:ind w:left="1460" w:right="0"/>
        <w:jc w:val="both"/>
        <w:textAlignment w:val="baseline"/>
        <w:rPr>
          <w:sz w:val="56"/>
        </w:rPr>
      </w:pPr>
      <w:r>
        <w:rPr>
          <w:rFonts w:ascii="楷体" w:hAnsi="楷体" w:eastAsia="楷体" w:cs="楷体"/>
          <w:b w:val="0"/>
          <w:i w:val="0"/>
          <w:color w:val="000000"/>
          <w:spacing w:val="0"/>
          <w:sz w:val="56"/>
        </w:rPr>
        <w:t>（一）规范构件进场验收</w:t>
      </w:r>
    </w:p>
    <w:p w14:paraId="569F8FDE">
      <w:pPr>
        <w:pageBreakBefore w:val="0"/>
        <w:wordWrap w:val="0"/>
        <w:spacing w:before="0" w:after="0" w:line="1120" w:lineRule="atLeast"/>
        <w:ind w:left="0" w:right="0" w:firstLine="1200"/>
        <w:jc w:val="both"/>
        <w:textAlignment w:val="baseline"/>
        <w:rPr>
          <w:sz w:val="58"/>
        </w:rPr>
      </w:pPr>
      <w:r>
        <w:rPr>
          <w:rFonts w:ascii="仿宋" w:hAnsi="仿宋" w:eastAsia="仿宋" w:cs="仿宋"/>
          <w:b w:val="0"/>
          <w:i w:val="0"/>
          <w:color w:val="000000"/>
          <w:spacing w:val="0"/>
          <w:sz w:val="58"/>
        </w:rPr>
        <w:t>建设、施工及监理单位要依据《钢结构工程施工质量验收标准》（GB50205）《建筑工业化混凝土预制构件制作、安装及质量验收规程》（DBJ51/T008）等标准规定，按钢结构和混凝土预制构件进场批次组织质量检查，查验其合格证、出厂检验报告，对生产企业提供的套筒灌浆连接产品型式检验报告及灌浆材料性能复检报告进行核验，对预制构件的标识、外观质量、尺寸偏差以及钢筋灌浆套筒的预留位置、套筒内杂质、灌浆孔和出浆孔通透性等进行检查，并建立进场验收台账。设计文件若未对构件检验作明确要求，混凝土构件进场后可不作结构性能检验，但须进行构件实体检验。</w:t>
      </w:r>
    </w:p>
    <w:p w14:paraId="6D6A7891">
      <w:pPr>
        <w:pageBreakBefore w:val="0"/>
        <w:wordWrap w:val="0"/>
        <w:spacing w:before="260" w:after="0" w:line="800" w:lineRule="atLeast"/>
        <w:ind w:left="1460" w:right="0"/>
        <w:jc w:val="both"/>
        <w:textAlignment w:val="baseline"/>
        <w:rPr>
          <w:sz w:val="56"/>
        </w:rPr>
      </w:pPr>
      <w:r>
        <w:rPr>
          <w:rFonts w:ascii="楷体" w:hAnsi="楷体" w:eastAsia="楷体" w:cs="楷体"/>
          <w:b w:val="0"/>
          <w:i w:val="0"/>
          <w:color w:val="000000"/>
          <w:spacing w:val="0"/>
          <w:sz w:val="56"/>
        </w:rPr>
        <w:t>（二）建立样板先行制度</w:t>
      </w:r>
    </w:p>
    <w:p w14:paraId="5919416C">
      <w:pPr>
        <w:pageBreakBefore w:val="0"/>
        <w:wordWrap w:val="0"/>
        <w:spacing w:before="0" w:after="0" w:line="700" w:lineRule="exact"/>
        <w:ind w:left="0" w:right="0"/>
        <w:jc w:val="both"/>
        <w:textAlignment w:val="baseline"/>
        <w:rPr>
          <w:sz w:val="56"/>
        </w:rPr>
      </w:pPr>
    </w:p>
    <w:p w14:paraId="7C0123BF">
      <w:pPr>
        <w:pageBreakBefore w:val="0"/>
        <w:wordWrap w:val="0"/>
        <w:spacing w:before="0" w:after="0" w:line="700" w:lineRule="exact"/>
        <w:ind w:left="0" w:right="0"/>
        <w:jc w:val="both"/>
        <w:textAlignment w:val="baseline"/>
        <w:rPr>
          <w:sz w:val="56"/>
        </w:rPr>
      </w:pPr>
    </w:p>
    <w:p w14:paraId="39999C8E">
      <w:pPr>
        <w:pageBreakBefore w:val="0"/>
        <w:wordWrap w:val="0"/>
        <w:spacing w:before="0" w:after="0" w:line="720" w:lineRule="atLeast"/>
        <w:ind w:left="0" w:right="0"/>
        <w:jc w:val="both"/>
        <w:textAlignment w:val="baseline"/>
        <w:rPr>
          <w:sz w:val="53"/>
        </w:rPr>
      </w:pPr>
      <w:r>
        <w:rPr>
          <w:rFonts w:ascii="黑体" w:hAnsi="黑体" w:eastAsia="黑体" w:cs="黑体"/>
          <w:b w:val="0"/>
          <w:i w:val="0"/>
          <w:color w:val="000000"/>
          <w:spacing w:val="0"/>
          <w:sz w:val="53"/>
        </w:rPr>
        <w:t>——4—</w:t>
      </w:r>
    </w:p>
    <w:p w14:paraId="3DC76DE6"/>
    <w:p w14:paraId="071E9D4D">
      <w:pPr>
        <w:sectPr>
          <w:headerReference r:id="rId9" w:type="default"/>
          <w:footerReference r:id="rId10" w:type="default"/>
          <w:pgSz w:w="22400" w:h="31680"/>
          <w:pgMar w:top="2200" w:right="2880" w:bottom="2200" w:left="2880" w:header="1900" w:footer="1900" w:gutter="0"/>
          <w:cols w:space="720" w:num="1"/>
        </w:sectPr>
      </w:pPr>
    </w:p>
    <w:p w14:paraId="677B49BE">
      <w:pPr>
        <w:pageBreakBefore w:val="0"/>
        <w:wordWrap w:val="0"/>
        <w:spacing w:before="1020" w:after="0" w:line="1140" w:lineRule="atLeast"/>
        <w:ind w:left="0" w:right="0" w:firstLine="1180"/>
        <w:jc w:val="both"/>
        <w:textAlignment w:val="baseline"/>
        <w:rPr>
          <w:sz w:val="57"/>
        </w:rPr>
      </w:pPr>
      <w:r>
        <w:rPr>
          <w:rFonts w:ascii="仿宋" w:hAnsi="仿宋" w:eastAsia="仿宋" w:cs="仿宋"/>
          <w:b w:val="0"/>
          <w:i w:val="0"/>
          <w:color w:val="000000"/>
          <w:spacing w:val="0"/>
          <w:sz w:val="57"/>
        </w:rPr>
        <w:t>装配式混凝土建筑工程施工应实行“样板先行”制度，装配式施工前，应选择有代表性的构件单元进行验证性安装，并根据验证性安装结果及时调整施工工艺，完善施工方案。验证性安装样板应对灌浆套筒连接节点、叠合构件浇筑节点、外墙挂板连接节点、保温和防水构造节点等进行样板展示。应组织项目全体施工管理人员通过验证性安装样板进行技术交底，掌握施工流程和工艺，知晓设计文件和检查验收要求。建设单位应组织设计单位、施工单位、监理单位对首个样板段质量进行验收，重点对观感质量、位置尺寸偏差、连接质量、防水构造、预埋预留等进行检查，合格后方可进行后续大面积施工。</w:t>
      </w:r>
    </w:p>
    <w:p w14:paraId="400C844C">
      <w:pPr>
        <w:pageBreakBefore w:val="0"/>
        <w:wordWrap w:val="0"/>
        <w:spacing w:before="0" w:after="0" w:line="1140" w:lineRule="atLeast"/>
        <w:ind w:left="1460" w:right="0"/>
        <w:jc w:val="both"/>
        <w:textAlignment w:val="baseline"/>
        <w:rPr>
          <w:sz w:val="57"/>
        </w:rPr>
      </w:pPr>
      <w:r>
        <w:rPr>
          <w:rFonts w:ascii="楷体" w:hAnsi="楷体" w:eastAsia="楷体" w:cs="楷体"/>
          <w:b w:val="0"/>
          <w:i w:val="0"/>
          <w:color w:val="000000"/>
          <w:spacing w:val="0"/>
          <w:sz w:val="57"/>
        </w:rPr>
        <w:t>（三）强化施工过程相关责任主体行为</w:t>
      </w:r>
    </w:p>
    <w:p w14:paraId="7D6B31EE">
      <w:pPr>
        <w:pageBreakBefore w:val="0"/>
        <w:wordWrap w:val="0"/>
        <w:spacing w:before="0" w:after="0" w:line="1140" w:lineRule="atLeast"/>
        <w:ind w:left="0" w:right="0" w:firstLine="1180"/>
        <w:jc w:val="both"/>
        <w:textAlignment w:val="baseline"/>
        <w:rPr>
          <w:sz w:val="57"/>
        </w:rPr>
      </w:pPr>
      <w:r>
        <w:rPr>
          <w:rFonts w:ascii="仿宋" w:hAnsi="仿宋" w:eastAsia="仿宋" w:cs="仿宋"/>
          <w:b w:val="0"/>
          <w:i w:val="0"/>
          <w:color w:val="000000"/>
          <w:spacing w:val="0"/>
          <w:sz w:val="57"/>
        </w:rPr>
        <w:t>建设单位应负责施工过程中各方之间的协调工作和质量安全的全面管理工作，不得肢解发包工程，不得擅自变更审查合格的施工图设计文件，审查施工单位编制的专项施工方案和监理单位编制的专项监理实施细则。</w:t>
      </w:r>
    </w:p>
    <w:p w14:paraId="1A7B1CAE">
      <w:pPr>
        <w:pageBreakBefore w:val="0"/>
        <w:wordWrap w:val="0"/>
        <w:spacing w:before="0" w:after="0" w:line="1140" w:lineRule="atLeast"/>
        <w:ind w:left="0" w:right="0" w:firstLine="1180"/>
        <w:jc w:val="both"/>
        <w:textAlignment w:val="baseline"/>
        <w:rPr>
          <w:sz w:val="57"/>
        </w:rPr>
      </w:pPr>
      <w:r>
        <w:rPr>
          <w:rFonts w:ascii="仿宋" w:hAnsi="仿宋" w:eastAsia="仿宋" w:cs="仿宋"/>
          <w:b w:val="0"/>
          <w:i w:val="0"/>
          <w:color w:val="000000"/>
          <w:spacing w:val="0"/>
          <w:sz w:val="57"/>
        </w:rPr>
        <w:t>设计单位要加强全过程跟踪服务，应将审查合格的施工图设计文件向部品部件生产单位、施工单位和监理单位进行设计交底，配合建设单位做好装配式建筑专项施工方案的审查。</w:t>
      </w:r>
    </w:p>
    <w:p w14:paraId="38BC0769">
      <w:pPr>
        <w:pageBreakBefore w:val="0"/>
        <w:wordWrap w:val="0"/>
        <w:spacing w:before="0" w:after="0" w:line="1140" w:lineRule="atLeast"/>
        <w:ind w:left="0" w:right="0" w:firstLine="1180"/>
        <w:jc w:val="both"/>
        <w:textAlignment w:val="baseline"/>
        <w:rPr>
          <w:sz w:val="57"/>
        </w:rPr>
      </w:pPr>
      <w:r>
        <w:rPr>
          <w:rFonts w:ascii="仿宋" w:hAnsi="仿宋" w:eastAsia="仿宋" w:cs="仿宋"/>
          <w:b w:val="0"/>
          <w:i w:val="0"/>
          <w:color w:val="000000"/>
          <w:spacing w:val="0"/>
          <w:sz w:val="57"/>
        </w:rPr>
        <w:t>施工单位要建立健全质量安全保障体系，制定预制构件进场验收、节点连接质量控制、首层或首个代表性施工段试安装验收等内部质量管理制度。根据施工图设计（含预制构件深化设计）</w:t>
      </w:r>
    </w:p>
    <w:p w14:paraId="602AF2F5">
      <w:pPr>
        <w:pageBreakBefore w:val="0"/>
        <w:wordWrap w:val="0"/>
        <w:spacing w:before="0" w:after="0" w:line="1160" w:lineRule="exact"/>
        <w:ind w:left="0" w:right="0"/>
        <w:jc w:val="both"/>
        <w:textAlignment w:val="baseline"/>
        <w:rPr>
          <w:sz w:val="57"/>
        </w:rPr>
      </w:pPr>
    </w:p>
    <w:p w14:paraId="6B9FB385">
      <w:pPr>
        <w:pageBreakBefore w:val="0"/>
        <w:wordWrap w:val="0"/>
        <w:spacing w:before="0" w:after="0" w:line="720" w:lineRule="atLeast"/>
        <w:ind w:left="0" w:right="0"/>
        <w:jc w:val="right"/>
        <w:textAlignment w:val="baseline"/>
        <w:rPr>
          <w:sz w:val="53"/>
        </w:rPr>
      </w:pPr>
      <w:r>
        <w:rPr>
          <w:rFonts w:ascii="仿宋" w:hAnsi="仿宋" w:eastAsia="仿宋" w:cs="仿宋"/>
          <w:b w:val="0"/>
          <w:i w:val="0"/>
          <w:color w:val="000000"/>
          <w:spacing w:val="0"/>
          <w:sz w:val="53"/>
        </w:rPr>
        <w:t>—5—</w:t>
      </w:r>
    </w:p>
    <w:p w14:paraId="47DCE823"/>
    <w:p w14:paraId="5D1A59A2">
      <w:pPr>
        <w:sectPr>
          <w:headerReference r:id="rId11" w:type="default"/>
          <w:footerReference r:id="rId12" w:type="default"/>
          <w:pgSz w:w="22400" w:h="31680"/>
          <w:pgMar w:top="2200" w:right="2880" w:bottom="2200" w:left="2880" w:header="1900" w:footer="1900" w:gutter="0"/>
          <w:cols w:space="720" w:num="1"/>
        </w:sectPr>
      </w:pPr>
    </w:p>
    <w:p w14:paraId="35C4850D">
      <w:pPr>
        <w:pageBreakBefore w:val="0"/>
        <w:wordWrap w:val="0"/>
        <w:spacing w:before="1020" w:after="0" w:line="1140" w:lineRule="atLeast"/>
        <w:ind w:left="0" w:right="0"/>
        <w:jc w:val="both"/>
        <w:textAlignment w:val="baseline"/>
        <w:rPr>
          <w:sz w:val="58"/>
        </w:rPr>
      </w:pPr>
      <w:r>
        <w:rPr>
          <w:rFonts w:ascii="仿宋" w:hAnsi="仿宋" w:eastAsia="仿宋" w:cs="仿宋"/>
          <w:b w:val="0"/>
          <w:i w:val="0"/>
          <w:color w:val="000000"/>
          <w:spacing w:val="0"/>
          <w:sz w:val="58"/>
        </w:rPr>
        <w:t>文件和装配式建筑相关标准要求，编制涵盖施工计划、预制构件堆放、安装、节点连接、构件支撑等内容的施工组织设计文件。要重点突出预制构件支撑方式、首层或首个代表性施工段安装等专项施工方案的编制，针对竖向构件套筒灌浆施工环节制定具体方案，明晰灌浆技术标准、流程、工艺和关键岗位责任人。施工单位应组织套筒灌浆作业人员开展技能培训和考核。施工过程中，必须使用与套筒相匹配的灌浆材料，在具备相应作业环境条件下方可施工，并按工艺流程进行现场试件性能检验。</w:t>
      </w:r>
    </w:p>
    <w:p w14:paraId="6EA6BDBA">
      <w:pPr>
        <w:pageBreakBefore w:val="0"/>
        <w:wordWrap w:val="0"/>
        <w:spacing w:before="0" w:after="0" w:line="1140" w:lineRule="atLeast"/>
        <w:ind w:left="0" w:right="0" w:firstLine="1200"/>
        <w:jc w:val="both"/>
        <w:textAlignment w:val="baseline"/>
        <w:rPr>
          <w:sz w:val="58"/>
        </w:rPr>
      </w:pPr>
      <w:r>
        <w:rPr>
          <w:rFonts w:ascii="仿宋" w:hAnsi="仿宋" w:eastAsia="仿宋" w:cs="仿宋"/>
          <w:b w:val="0"/>
          <w:i w:val="0"/>
          <w:color w:val="000000"/>
          <w:spacing w:val="0"/>
          <w:sz w:val="58"/>
        </w:rPr>
        <w:t>监理单位应依据设计文件及相关标准，编制专项监理实施细则，明确关键环节、关键部位、见证取样及旁站具体要求，经建设单位审查同意后实施。要重点核查施工管理人员对预制构件吊装及节点连接等关键工序的技术交底。要加强对首层或首个代表性施工段安装、预制构件节点连接、装配式结构构件与现浇结构连接等关键工序、关键部位及灌浆施工过程实施旁站监理。要对外围护预制构件密封防水施工进行重点巡检，验收检验批、预制构件隐蔽安装情况，形成记录资料。所有关键节点和关键部位的隐蔽施工，须实行举牌验收。</w:t>
      </w:r>
    </w:p>
    <w:p w14:paraId="65FA9D7D">
      <w:pPr>
        <w:pageBreakBefore w:val="0"/>
        <w:wordWrap w:val="0"/>
        <w:spacing w:before="0" w:after="0" w:line="1140" w:lineRule="atLeast"/>
        <w:ind w:left="1460" w:right="0"/>
        <w:jc w:val="both"/>
        <w:textAlignment w:val="baseline"/>
        <w:rPr>
          <w:sz w:val="58"/>
        </w:rPr>
      </w:pPr>
      <w:r>
        <w:rPr>
          <w:rFonts w:ascii="仿宋" w:hAnsi="仿宋" w:eastAsia="仿宋" w:cs="仿宋"/>
          <w:b w:val="0"/>
          <w:i w:val="0"/>
          <w:color w:val="000000"/>
          <w:spacing w:val="0"/>
          <w:sz w:val="58"/>
        </w:rPr>
        <w:t>（四）规范竣工验收行为</w:t>
      </w:r>
    </w:p>
    <w:p w14:paraId="5B01ED81">
      <w:pPr>
        <w:pageBreakBefore w:val="0"/>
        <w:wordWrap w:val="0"/>
        <w:spacing w:before="0" w:after="0" w:line="1140" w:lineRule="atLeast"/>
        <w:ind w:left="0" w:right="0" w:firstLine="1200"/>
        <w:jc w:val="both"/>
        <w:textAlignment w:val="baseline"/>
        <w:rPr>
          <w:sz w:val="58"/>
        </w:rPr>
      </w:pPr>
      <w:r>
        <w:rPr>
          <w:rFonts w:ascii="仿宋" w:hAnsi="仿宋" w:eastAsia="仿宋" w:cs="仿宋"/>
          <w:b w:val="0"/>
          <w:i w:val="0"/>
          <w:color w:val="000000"/>
          <w:spacing w:val="0"/>
          <w:sz w:val="58"/>
        </w:rPr>
        <w:t>建设单位应及时组织设计、施工、监理等责任主体单位开展项目竣工验收，对工程实体进行全面检查，主要检查工程项目是否满足装配式建筑设计标准和装配率设计要求，是否完成合同约</w:t>
      </w:r>
    </w:p>
    <w:p w14:paraId="5EFE4723">
      <w:pPr>
        <w:pageBreakBefore w:val="0"/>
        <w:wordWrap w:val="0"/>
        <w:spacing w:before="0" w:after="0" w:line="620" w:lineRule="exact"/>
        <w:ind w:left="0" w:right="0"/>
        <w:jc w:val="both"/>
        <w:textAlignment w:val="baseline"/>
        <w:rPr>
          <w:sz w:val="55"/>
        </w:rPr>
      </w:pPr>
    </w:p>
    <w:p w14:paraId="451F0A80">
      <w:pPr>
        <w:pageBreakBefore w:val="0"/>
        <w:wordWrap w:val="0"/>
        <w:spacing w:before="0" w:after="0" w:line="620" w:lineRule="exact"/>
        <w:ind w:left="0" w:right="0"/>
        <w:jc w:val="both"/>
        <w:textAlignment w:val="baseline"/>
        <w:rPr>
          <w:sz w:val="55"/>
        </w:rPr>
      </w:pPr>
    </w:p>
    <w:p w14:paraId="1FA56CD6">
      <w:pPr>
        <w:pageBreakBefore w:val="0"/>
        <w:wordWrap w:val="0"/>
        <w:spacing w:before="0" w:after="0" w:line="760" w:lineRule="atLeast"/>
        <w:ind w:left="0" w:right="0"/>
        <w:jc w:val="both"/>
        <w:textAlignment w:val="baseline"/>
        <w:rPr>
          <w:sz w:val="55"/>
        </w:rPr>
      </w:pPr>
      <w:r>
        <w:rPr>
          <w:rFonts w:ascii="仿宋" w:hAnsi="仿宋" w:eastAsia="仿宋" w:cs="仿宋"/>
          <w:b w:val="0"/>
          <w:i w:val="0"/>
          <w:color w:val="000000"/>
          <w:spacing w:val="0"/>
          <w:sz w:val="55"/>
        </w:rPr>
        <w:t>—6—</w:t>
      </w:r>
    </w:p>
    <w:p w14:paraId="4E2D2CED"/>
    <w:p w14:paraId="509AD91F">
      <w:pPr>
        <w:sectPr>
          <w:headerReference r:id="rId13" w:type="default"/>
          <w:footerReference r:id="rId14" w:type="default"/>
          <w:pgSz w:w="22400" w:h="31680"/>
          <w:pgMar w:top="2200" w:right="2880" w:bottom="2200" w:left="2880" w:header="1900" w:footer="1900" w:gutter="0"/>
          <w:cols w:space="720" w:num="1"/>
        </w:sectPr>
      </w:pPr>
    </w:p>
    <w:p w14:paraId="45A6637E">
      <w:pPr>
        <w:pageBreakBefore w:val="0"/>
        <w:wordWrap w:val="0"/>
        <w:spacing w:before="1000" w:after="0" w:line="1140" w:lineRule="atLeast"/>
        <w:ind w:left="0" w:right="0"/>
        <w:jc w:val="both"/>
        <w:textAlignment w:val="baseline"/>
        <w:rPr>
          <w:sz w:val="57"/>
        </w:rPr>
      </w:pPr>
      <w:r>
        <w:rPr>
          <w:rFonts w:ascii="仿宋" w:hAnsi="仿宋" w:eastAsia="仿宋" w:cs="仿宋"/>
          <w:b w:val="0"/>
          <w:i w:val="0"/>
          <w:color w:val="000000"/>
          <w:spacing w:val="0"/>
          <w:sz w:val="57"/>
        </w:rPr>
        <w:t>定各项目内容，技术档案资料是否完整，施工管理资料是否规范，主要建筑材料、建筑构配件和设备的进场实验报告是否符合竣工验收条件。项目竣工验收时，应在竣工验收报告中注明装配式建筑面积、结构类型、预制构件种类、装配率以及是否符合装配式建筑建设要求，并经各方责任主体针对装配式建筑建设要求落实情况签署明确具体的意见。</w:t>
      </w:r>
    </w:p>
    <w:p w14:paraId="71933912">
      <w:pPr>
        <w:pageBreakBefore w:val="0"/>
        <w:wordWrap w:val="0"/>
        <w:spacing w:before="300" w:after="0" w:line="800" w:lineRule="atLeast"/>
        <w:ind w:left="1240" w:right="0"/>
        <w:jc w:val="both"/>
        <w:textAlignment w:val="baseline"/>
        <w:rPr>
          <w:sz w:val="58"/>
        </w:rPr>
      </w:pPr>
      <w:r>
        <w:rPr>
          <w:rFonts w:ascii="黑体" w:hAnsi="黑体" w:eastAsia="黑体" w:cs="黑体"/>
          <w:b/>
          <w:i w:val="0"/>
          <w:color w:val="000000"/>
          <w:spacing w:val="0"/>
          <w:sz w:val="58"/>
        </w:rPr>
        <w:t>五、加强工程建设监管</w:t>
      </w:r>
    </w:p>
    <w:p w14:paraId="15755BBB">
      <w:pPr>
        <w:pageBreakBefore w:val="0"/>
        <w:wordWrap w:val="0"/>
        <w:spacing w:before="0" w:after="0" w:line="1140" w:lineRule="atLeast"/>
        <w:ind w:left="0" w:right="0" w:firstLine="1440"/>
        <w:jc w:val="both"/>
        <w:textAlignment w:val="baseline"/>
        <w:rPr>
          <w:sz w:val="57"/>
        </w:rPr>
      </w:pPr>
      <w:r>
        <w:rPr>
          <w:rFonts w:ascii="仿宋" w:hAnsi="仿宋" w:eastAsia="仿宋" w:cs="仿宋"/>
          <w:b w:val="0"/>
          <w:i w:val="0"/>
          <w:color w:val="000000"/>
          <w:spacing w:val="0"/>
          <w:sz w:val="57"/>
        </w:rPr>
        <w:t>（一）严格施工质量监管。各级工程质量监督管理部门要认真履行装配式建筑工程质量监督管理责任。过程监督前要进行监督工作交底，过程监督中要加强对建设、设计、施工、监理等单位质量主体责任履行情况及质量管理过程行为监督，抽查预制构件进场质量，以及工程实体结构质量与质量控制资料。具体实施中要重点对主要分部（子分部）工程各环节的质量验收、责任主体单位竣工验收的组织形式、程序及执行验收标准是否符合有关规定和验收结论是否明确进行监督，并形成监督意见。对不满足要求的，竣工备案部门不予竣工备案。发现质量问题责令限期整改，并依法依规查处。</w:t>
      </w:r>
    </w:p>
    <w:p w14:paraId="42402B49">
      <w:pPr>
        <w:pageBreakBefore w:val="0"/>
        <w:wordWrap w:val="0"/>
        <w:spacing w:before="0" w:after="0" w:line="1140" w:lineRule="atLeast"/>
        <w:ind w:left="0" w:right="0" w:firstLine="1440"/>
        <w:jc w:val="both"/>
        <w:textAlignment w:val="baseline"/>
        <w:rPr>
          <w:sz w:val="57"/>
        </w:rPr>
      </w:pPr>
      <w:r>
        <w:rPr>
          <w:rFonts w:ascii="仿宋" w:hAnsi="仿宋" w:eastAsia="仿宋" w:cs="仿宋"/>
          <w:b w:val="0"/>
          <w:i w:val="0"/>
          <w:color w:val="000000"/>
          <w:spacing w:val="0"/>
          <w:sz w:val="57"/>
        </w:rPr>
        <w:t>（二）改进质量监管方式。各级工程质量监督管理部门要充分利用“互联网+智慧监管”等手段，建好用好“智慧工地”平台，归集装配式建筑项目基础信息、定期开展质量安全数据分析，提高工程项目建设监管水平，督促各责任主体单位加强工程质量建</w:t>
      </w:r>
    </w:p>
    <w:p w14:paraId="55381FA7">
      <w:pPr>
        <w:pageBreakBefore w:val="0"/>
        <w:wordWrap w:val="0"/>
        <w:spacing w:before="0" w:after="0" w:line="640" w:lineRule="exact"/>
        <w:ind w:left="0" w:right="0"/>
        <w:jc w:val="both"/>
        <w:textAlignment w:val="baseline"/>
        <w:rPr>
          <w:sz w:val="55"/>
        </w:rPr>
      </w:pPr>
    </w:p>
    <w:p w14:paraId="4A51911C">
      <w:pPr>
        <w:pageBreakBefore w:val="0"/>
        <w:wordWrap w:val="0"/>
        <w:spacing w:before="0" w:after="0" w:line="640" w:lineRule="exact"/>
        <w:ind w:left="0" w:right="0"/>
        <w:jc w:val="both"/>
        <w:textAlignment w:val="baseline"/>
        <w:rPr>
          <w:sz w:val="55"/>
        </w:rPr>
      </w:pPr>
    </w:p>
    <w:p w14:paraId="7F56088A">
      <w:pPr>
        <w:pageBreakBefore w:val="0"/>
        <w:wordWrap w:val="0"/>
        <w:spacing w:before="0" w:after="0" w:line="760" w:lineRule="atLeast"/>
        <w:ind w:left="0" w:right="0"/>
        <w:jc w:val="right"/>
        <w:textAlignment w:val="baseline"/>
        <w:rPr>
          <w:sz w:val="55"/>
        </w:rPr>
      </w:pPr>
      <w:r>
        <w:rPr>
          <w:rFonts w:ascii="仿宋" w:hAnsi="仿宋" w:eastAsia="仿宋" w:cs="仿宋"/>
          <w:b w:val="0"/>
          <w:i w:val="0"/>
          <w:color w:val="000000"/>
          <w:spacing w:val="0"/>
          <w:sz w:val="55"/>
        </w:rPr>
        <w:t>—7—</w:t>
      </w:r>
    </w:p>
    <w:p w14:paraId="113B5DE3"/>
    <w:p w14:paraId="36610F27">
      <w:pPr>
        <w:sectPr>
          <w:headerReference r:id="rId15" w:type="default"/>
          <w:footerReference r:id="rId16" w:type="default"/>
          <w:pgSz w:w="22400" w:h="31680"/>
          <w:pgMar w:top="2200" w:right="2860" w:bottom="2200" w:left="2860" w:header="1900" w:footer="1900" w:gutter="0"/>
          <w:cols w:space="720" w:num="1"/>
        </w:sectPr>
      </w:pPr>
    </w:p>
    <w:p w14:paraId="368BE96C">
      <w:pPr>
        <w:pageBreakBefore w:val="0"/>
        <w:wordWrap w:val="0"/>
        <w:spacing w:before="1080" w:after="0" w:line="1220" w:lineRule="atLeast"/>
        <w:ind w:left="0" w:right="0" w:firstLine="20"/>
        <w:jc w:val="both"/>
        <w:textAlignment w:val="baseline"/>
        <w:rPr>
          <w:sz w:val="58"/>
        </w:rPr>
      </w:pPr>
      <w:r>
        <w:rPr>
          <w:rFonts w:ascii="仿宋" w:hAnsi="仿宋" w:eastAsia="仿宋" w:cs="仿宋"/>
          <w:b w:val="0"/>
          <w:i w:val="0"/>
          <w:color w:val="000000"/>
          <w:spacing w:val="0"/>
          <w:sz w:val="58"/>
        </w:rPr>
        <w:t>设全过程管理。要不断创新监管方式方法，将机械运行状态、人员安全行为与培训、工程资料传输与归档、制度标准执行等纳入信息化监管范畴，提升装配式建筑全过程质量监管智能化、数字化水平。</w:t>
      </w:r>
    </w:p>
    <w:p w14:paraId="5D4E8754">
      <w:pPr>
        <w:pageBreakBefore w:val="0"/>
        <w:wordWrap w:val="0"/>
        <w:spacing w:before="0" w:after="0" w:line="1220" w:lineRule="exact"/>
        <w:ind w:left="0" w:right="0"/>
        <w:jc w:val="both"/>
        <w:textAlignment w:val="baseline"/>
        <w:rPr>
          <w:sz w:val="58"/>
        </w:rPr>
      </w:pPr>
    </w:p>
    <w:p w14:paraId="0A9E865C">
      <w:pPr>
        <w:pageBreakBefore w:val="0"/>
        <w:wordWrap w:val="0"/>
        <w:spacing w:before="0" w:after="0" w:line="1220" w:lineRule="exact"/>
        <w:ind w:left="0" w:right="0"/>
        <w:jc w:val="both"/>
        <w:textAlignment w:val="baseline"/>
        <w:rPr>
          <w:sz w:val="58"/>
        </w:rPr>
      </w:pPr>
    </w:p>
    <w:p w14:paraId="47E8F4E1">
      <w:pPr>
        <w:pageBreakBefore w:val="0"/>
        <w:tabs>
          <w:tab w:val="left" w:pos="8160"/>
        </w:tabs>
        <w:wordWrap w:val="0"/>
        <w:spacing w:before="0" w:after="0" w:line="1220" w:lineRule="atLeast"/>
        <w:ind w:left="0" w:right="0"/>
        <w:jc w:val="both"/>
        <w:textAlignment w:val="baseline"/>
        <w:rPr>
          <w:sz w:val="58"/>
        </w:rPr>
      </w:pPr>
      <w:r>
        <w:rPr>
          <w:rFonts w:ascii="仿宋" w:hAnsi="仿宋" w:eastAsia="仿宋" w:cs="仿宋"/>
          <w:b w:val="0"/>
          <w:i w:val="0"/>
          <w:color w:val="000000"/>
          <w:spacing w:val="0"/>
          <w:sz w:val="58"/>
        </w:rPr>
        <w:t>攀枝花市住房和城乡建设局</w:t>
      </w:r>
      <w:r>
        <w:tab/>
      </w:r>
      <w:r>
        <w:rPr>
          <w:rFonts w:ascii="仿宋" w:hAnsi="仿宋" w:eastAsia="仿宋" w:cs="仿宋"/>
          <w:b w:val="0"/>
          <w:i w:val="0"/>
          <w:color w:val="000000"/>
          <w:spacing w:val="0"/>
          <w:sz w:val="58"/>
        </w:rPr>
        <w:t>攀枝花市自然资源和规划局</w:t>
      </w:r>
      <w:r>
        <w:drawing>
          <wp:anchor distT="0" distB="0" distL="0" distR="0" simplePos="0" relativeHeight="251659264" behindDoc="1" locked="0" layoutInCell="1" allowOverlap="1">
            <wp:simplePos x="0" y="0"/>
            <wp:positionH relativeFrom="page">
              <wp:posOffset>2705100</wp:posOffset>
            </wp:positionH>
            <wp:positionV relativeFrom="paragraph">
              <wp:posOffset>-1219200</wp:posOffset>
            </wp:positionV>
            <wp:extent cx="2514600" cy="2552700"/>
            <wp:effectExtent l="0" t="0" r="0" b="0"/>
            <wp:wrapNone/>
            <wp:docPr id="2" name="Draw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pic:cNvPicPr>
                      <a:picLocks noChangeAspect="1"/>
                    </pic:cNvPicPr>
                  </pic:nvPicPr>
                  <pic:blipFill>
                    <a:blip r:embed="rId20"/>
                    <a:stretch>
                      <a:fillRect/>
                    </a:stretch>
                  </pic:blipFill>
                  <pic:spPr>
                    <a:xfrm>
                      <a:off x="0" y="0"/>
                      <a:ext cx="2514600" cy="2552700"/>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7772400</wp:posOffset>
            </wp:positionH>
            <wp:positionV relativeFrom="paragraph">
              <wp:posOffset>-1130300</wp:posOffset>
            </wp:positionV>
            <wp:extent cx="2654300" cy="2641600"/>
            <wp:effectExtent l="0" t="0" r="12700" b="6350"/>
            <wp:wrapNone/>
            <wp:docPr id="4" name="Draw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4"/>
                    <pic:cNvPicPr>
                      <a:picLocks noChangeAspect="1"/>
                    </pic:cNvPicPr>
                  </pic:nvPicPr>
                  <pic:blipFill>
                    <a:blip r:embed="rId21"/>
                    <a:stretch>
                      <a:fillRect/>
                    </a:stretch>
                  </pic:blipFill>
                  <pic:spPr>
                    <a:xfrm>
                      <a:off x="0" y="0"/>
                      <a:ext cx="2654300" cy="2641600"/>
                    </a:xfrm>
                    <a:prstGeom prst="rect">
                      <a:avLst/>
                    </a:prstGeom>
                  </pic:spPr>
                </pic:pic>
              </a:graphicData>
            </a:graphic>
          </wp:anchor>
        </w:drawing>
      </w:r>
    </w:p>
    <w:p w14:paraId="607864FA">
      <w:pPr>
        <w:pageBreakBefore w:val="0"/>
        <w:wordWrap w:val="0"/>
        <w:spacing w:before="0" w:after="0" w:line="1220" w:lineRule="atLeast"/>
        <w:ind w:left="0" w:right="2940"/>
        <w:jc w:val="right"/>
        <w:textAlignment w:val="baseline"/>
        <w:rPr>
          <w:sz w:val="58"/>
        </w:rPr>
      </w:pPr>
      <w:r>
        <w:rPr>
          <w:rFonts w:ascii="仿宋" w:hAnsi="仿宋" w:eastAsia="仿宋" w:cs="仿宋"/>
          <w:b w:val="0"/>
          <w:i w:val="0"/>
          <w:color w:val="000000"/>
          <w:spacing w:val="0"/>
          <w:sz w:val="58"/>
        </w:rPr>
        <w:t>2023年12月21日</w:t>
      </w:r>
    </w:p>
    <w:p w14:paraId="3C4942BD">
      <w:pPr>
        <w:pageBreakBefore w:val="0"/>
        <w:wordWrap w:val="0"/>
        <w:spacing w:before="0" w:after="0" w:line="680" w:lineRule="exact"/>
        <w:ind w:left="0" w:right="0"/>
        <w:jc w:val="right"/>
        <w:textAlignment w:val="baseline"/>
        <w:rPr>
          <w:sz w:val="56"/>
        </w:rPr>
      </w:pPr>
    </w:p>
    <w:p w14:paraId="438C3010">
      <w:pPr>
        <w:pageBreakBefore w:val="0"/>
        <w:wordWrap w:val="0"/>
        <w:spacing w:before="0" w:after="0" w:line="680" w:lineRule="exact"/>
        <w:ind w:left="0" w:right="0"/>
        <w:jc w:val="right"/>
        <w:textAlignment w:val="baseline"/>
        <w:rPr>
          <w:sz w:val="56"/>
        </w:rPr>
      </w:pPr>
    </w:p>
    <w:p w14:paraId="34E270AB">
      <w:pPr>
        <w:pageBreakBefore w:val="0"/>
        <w:wordWrap w:val="0"/>
        <w:spacing w:before="0" w:after="0" w:line="680" w:lineRule="exact"/>
        <w:ind w:left="0" w:right="0"/>
        <w:jc w:val="right"/>
        <w:textAlignment w:val="baseline"/>
        <w:rPr>
          <w:sz w:val="56"/>
        </w:rPr>
      </w:pPr>
    </w:p>
    <w:p w14:paraId="0B71F159">
      <w:pPr>
        <w:pageBreakBefore w:val="0"/>
        <w:wordWrap w:val="0"/>
        <w:spacing w:before="0" w:after="0" w:line="680" w:lineRule="exact"/>
        <w:ind w:left="0" w:right="0"/>
        <w:jc w:val="right"/>
        <w:textAlignment w:val="baseline"/>
        <w:rPr>
          <w:sz w:val="56"/>
        </w:rPr>
      </w:pPr>
    </w:p>
    <w:p w14:paraId="7B54602D">
      <w:pPr>
        <w:pageBreakBefore w:val="0"/>
        <w:wordWrap w:val="0"/>
        <w:spacing w:before="0" w:after="0" w:line="680" w:lineRule="exact"/>
        <w:ind w:left="0" w:right="0"/>
        <w:jc w:val="right"/>
        <w:textAlignment w:val="baseline"/>
        <w:rPr>
          <w:sz w:val="56"/>
        </w:rPr>
      </w:pPr>
    </w:p>
    <w:p w14:paraId="54EFCCA9">
      <w:pPr>
        <w:pageBreakBefore w:val="0"/>
        <w:wordWrap w:val="0"/>
        <w:spacing w:before="0" w:after="0" w:line="680" w:lineRule="exact"/>
        <w:ind w:left="0" w:right="0"/>
        <w:jc w:val="right"/>
        <w:textAlignment w:val="baseline"/>
        <w:rPr>
          <w:sz w:val="56"/>
        </w:rPr>
      </w:pPr>
    </w:p>
    <w:p w14:paraId="7BB36BD1">
      <w:pPr>
        <w:pageBreakBefore w:val="0"/>
        <w:wordWrap w:val="0"/>
        <w:spacing w:before="0" w:after="0" w:line="680" w:lineRule="exact"/>
        <w:ind w:left="0" w:right="0"/>
        <w:jc w:val="right"/>
        <w:textAlignment w:val="baseline"/>
        <w:rPr>
          <w:sz w:val="56"/>
        </w:rPr>
      </w:pPr>
    </w:p>
    <w:p w14:paraId="3233A536">
      <w:pPr>
        <w:pageBreakBefore w:val="0"/>
        <w:wordWrap w:val="0"/>
        <w:spacing w:before="0" w:after="0" w:line="680" w:lineRule="exact"/>
        <w:ind w:left="0" w:right="0"/>
        <w:jc w:val="right"/>
        <w:textAlignment w:val="baseline"/>
        <w:rPr>
          <w:sz w:val="56"/>
        </w:rPr>
      </w:pPr>
    </w:p>
    <w:p w14:paraId="06A81FD0">
      <w:pPr>
        <w:pageBreakBefore w:val="0"/>
        <w:wordWrap w:val="0"/>
        <w:spacing w:before="0" w:after="0" w:line="680" w:lineRule="exact"/>
        <w:ind w:left="0" w:right="0"/>
        <w:jc w:val="right"/>
        <w:textAlignment w:val="baseline"/>
        <w:rPr>
          <w:sz w:val="56"/>
        </w:rPr>
      </w:pPr>
    </w:p>
    <w:p w14:paraId="7CEB6AB3">
      <w:pPr>
        <w:pageBreakBefore w:val="0"/>
        <w:wordWrap w:val="0"/>
        <w:spacing w:before="0" w:after="0" w:line="680" w:lineRule="exact"/>
        <w:ind w:left="0" w:right="0"/>
        <w:jc w:val="right"/>
        <w:textAlignment w:val="baseline"/>
        <w:rPr>
          <w:sz w:val="56"/>
        </w:rPr>
      </w:pPr>
    </w:p>
    <w:p w14:paraId="06F7B48D">
      <w:pPr>
        <w:pageBreakBefore w:val="0"/>
        <w:wordWrap w:val="0"/>
        <w:spacing w:before="0" w:after="0" w:line="680" w:lineRule="exact"/>
        <w:ind w:left="0" w:right="0"/>
        <w:jc w:val="right"/>
        <w:textAlignment w:val="baseline"/>
        <w:rPr>
          <w:sz w:val="56"/>
        </w:rPr>
      </w:pPr>
    </w:p>
    <w:p w14:paraId="318228F6">
      <w:pPr>
        <w:pageBreakBefore w:val="0"/>
        <w:wordWrap w:val="0"/>
        <w:spacing w:before="0" w:after="0" w:line="680" w:lineRule="exact"/>
        <w:ind w:left="0" w:right="0"/>
        <w:jc w:val="right"/>
        <w:textAlignment w:val="baseline"/>
        <w:rPr>
          <w:sz w:val="56"/>
        </w:rPr>
      </w:pPr>
    </w:p>
    <w:p w14:paraId="5B4B3836">
      <w:pPr>
        <w:pageBreakBefore w:val="0"/>
        <w:wordWrap w:val="0"/>
        <w:spacing w:before="0" w:after="0" w:line="680" w:lineRule="exact"/>
        <w:ind w:left="0" w:right="0"/>
        <w:jc w:val="right"/>
        <w:textAlignment w:val="baseline"/>
        <w:rPr>
          <w:sz w:val="56"/>
        </w:rPr>
      </w:pPr>
    </w:p>
    <w:p w14:paraId="2E8A09BC">
      <w:pPr>
        <w:pageBreakBefore w:val="0"/>
        <w:wordWrap w:val="0"/>
        <w:spacing w:before="0" w:after="0" w:line="680" w:lineRule="exact"/>
        <w:ind w:left="0" w:right="0"/>
        <w:jc w:val="right"/>
        <w:textAlignment w:val="baseline"/>
        <w:rPr>
          <w:sz w:val="56"/>
        </w:rPr>
      </w:pPr>
    </w:p>
    <w:p w14:paraId="0B9F8573">
      <w:pPr>
        <w:pageBreakBefore w:val="0"/>
        <w:wordWrap w:val="0"/>
        <w:spacing w:before="0" w:after="0" w:line="680" w:lineRule="exact"/>
        <w:ind w:left="0" w:right="0"/>
        <w:jc w:val="right"/>
        <w:textAlignment w:val="baseline"/>
        <w:rPr>
          <w:sz w:val="56"/>
        </w:rPr>
      </w:pPr>
    </w:p>
    <w:p w14:paraId="27845EC4">
      <w:pPr>
        <w:pageBreakBefore w:val="0"/>
        <w:wordWrap w:val="0"/>
        <w:spacing w:before="0" w:after="0" w:line="680" w:lineRule="exact"/>
        <w:ind w:left="0" w:right="0"/>
        <w:jc w:val="right"/>
        <w:textAlignment w:val="baseline"/>
        <w:rPr>
          <w:sz w:val="56"/>
        </w:rPr>
      </w:pPr>
    </w:p>
    <w:p w14:paraId="641B1896">
      <w:pPr>
        <w:pageBreakBefore w:val="0"/>
        <w:wordWrap w:val="0"/>
        <w:spacing w:before="0" w:after="0" w:line="680" w:lineRule="exact"/>
        <w:ind w:left="0" w:right="0"/>
        <w:jc w:val="right"/>
        <w:textAlignment w:val="baseline"/>
        <w:rPr>
          <w:sz w:val="56"/>
        </w:rPr>
      </w:pPr>
    </w:p>
    <w:p w14:paraId="773F5F0D">
      <w:pPr>
        <w:pageBreakBefore w:val="0"/>
        <w:wordWrap w:val="0"/>
        <w:spacing w:before="0" w:after="0" w:line="680" w:lineRule="exact"/>
        <w:ind w:left="0" w:right="0"/>
        <w:jc w:val="right"/>
        <w:textAlignment w:val="baseline"/>
        <w:rPr>
          <w:sz w:val="56"/>
        </w:rPr>
      </w:pPr>
    </w:p>
    <w:p w14:paraId="12D761E1">
      <w:pPr>
        <w:pageBreakBefore w:val="0"/>
        <w:wordWrap w:val="0"/>
        <w:spacing w:before="0" w:after="0" w:line="680" w:lineRule="exact"/>
        <w:ind w:left="0" w:right="0"/>
        <w:jc w:val="right"/>
        <w:textAlignment w:val="baseline"/>
        <w:rPr>
          <w:sz w:val="56"/>
        </w:rPr>
      </w:pPr>
    </w:p>
    <w:p w14:paraId="3536F503">
      <w:pPr>
        <w:pageBreakBefore w:val="0"/>
        <w:wordWrap w:val="0"/>
        <w:spacing w:before="0" w:after="0" w:line="680" w:lineRule="exact"/>
        <w:ind w:left="0" w:right="0"/>
        <w:jc w:val="right"/>
        <w:textAlignment w:val="baseline"/>
        <w:rPr>
          <w:sz w:val="56"/>
        </w:rPr>
      </w:pPr>
    </w:p>
    <w:p w14:paraId="052DF74C">
      <w:pPr>
        <w:pageBreakBefore w:val="0"/>
        <w:wordWrap w:val="0"/>
        <w:spacing w:before="0" w:after="0" w:line="680" w:lineRule="exact"/>
        <w:ind w:left="0" w:right="0"/>
        <w:jc w:val="right"/>
        <w:textAlignment w:val="baseline"/>
        <w:rPr>
          <w:sz w:val="56"/>
        </w:rPr>
      </w:pPr>
    </w:p>
    <w:p w14:paraId="58CF0B25">
      <w:pPr>
        <w:pageBreakBefore w:val="0"/>
        <w:wordWrap w:val="0"/>
        <w:spacing w:before="0" w:after="0" w:line="680" w:lineRule="exact"/>
        <w:ind w:left="0" w:right="0"/>
        <w:jc w:val="right"/>
        <w:textAlignment w:val="baseline"/>
        <w:rPr>
          <w:sz w:val="56"/>
        </w:rPr>
      </w:pPr>
    </w:p>
    <w:p w14:paraId="2DF4F955">
      <w:pPr>
        <w:pageBreakBefore w:val="0"/>
        <w:wordWrap w:val="0"/>
        <w:spacing w:before="0" w:after="0" w:line="760" w:lineRule="atLeast"/>
        <w:ind w:left="340" w:right="0"/>
        <w:jc w:val="both"/>
        <w:textAlignment w:val="baseline"/>
        <w:rPr>
          <w:sz w:val="56"/>
        </w:rPr>
      </w:pPr>
      <w:r>
        <w:rPr>
          <w:rFonts w:ascii="仿宋" w:hAnsi="仿宋" w:eastAsia="仿宋" w:cs="仿宋"/>
          <w:b w:val="0"/>
          <w:i w:val="0"/>
          <w:color w:val="000000"/>
          <w:spacing w:val="0"/>
          <w:sz w:val="56"/>
        </w:rPr>
        <w:t>—8—</w:t>
      </w:r>
    </w:p>
    <w:sectPr>
      <w:headerReference r:id="rId17" w:type="default"/>
      <w:footerReference r:id="rId18" w:type="default"/>
      <w:pgSz w:w="22400" w:h="31680"/>
      <w:pgMar w:top="2200" w:right="2860" w:bottom="2200" w:left="2860" w:header="1900" w:footer="190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楷体">
    <w:altName w:val="方正楷体_GBK"/>
    <w:panose1 w:val="00000000000000000000"/>
    <w:charset w:val="00"/>
    <w:family w:val="auto"/>
    <w:pitch w:val="default"/>
    <w:sig w:usb0="00000000" w:usb1="00000000" w:usb2="00000000" w:usb3="00000000" w:csb0="00000000" w:csb1="00000000"/>
  </w:font>
  <w:font w:name="方正楷体_GBK">
    <w:panose1 w:val="03000509000000000000"/>
    <w:charset w:val="86"/>
    <w:family w:val="auto"/>
    <w:pitch w:val="default"/>
    <w:sig w:usb0="00000001" w:usb1="080E0000" w:usb2="00000000" w:usb3="00000000" w:csb0="00040000" w:csb1="00000000"/>
  </w:font>
  <w:font w:name="等线">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MathJax_Vector">
    <w:panose1 w:val="02000603000000000000"/>
    <w:charset w:val="00"/>
    <w:family w:val="auto"/>
    <w:pitch w:val="default"/>
    <w:sig w:usb0="00000001" w:usb1="00000020" w:usb2="00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C50C8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728AB4"/>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11959"/>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15EA2"/>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4FBA7"/>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B1CD7"/>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EE445"/>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B6C11"/>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812261"/>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0E0E5"/>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722560"/>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3D1B1"/>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25B1E"/>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8FD028"/>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447993"/>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39ED7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documentProtection w:enforcement="0"/>
  <w:compat>
    <w:ulTrailSpace/>
    <w:useFELayout/>
    <w:compatSetting w:name="compatibilityMode" w:uri="http://schemas.microsoft.com/office/word" w:val="15"/>
  </w:compat>
  <w:rsids>
    <w:rsidRoot w:val="00000000"/>
    <w:rsid w:val="37AE4B0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sz w:val="21"/>
      <w:szCs w:val="22"/>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image" Target="media/image2.png"/><Relationship Id="rId20" Type="http://schemas.openxmlformats.org/officeDocument/2006/relationships/image" Target="media/image1.pn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8.xml"/><Relationship Id="rId17" Type="http://schemas.openxmlformats.org/officeDocument/2006/relationships/header" Target="header8.xml"/><Relationship Id="rId16" Type="http://schemas.openxmlformats.org/officeDocument/2006/relationships/footer" Target="footer7.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11</Pages>
  <TotalTime>1</TotalTime>
  <ScaleCrop>false</ScaleCrop>
  <LinksUpToDate>false</LinksUpToDate>
  <Application>WPS Office_12.1.2.25882_F1E327BC-269C-435d-A152-05C5408002CA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2026-03-09T09:20:00Z</dcterms:created>
  <dc:creator>Apache POI</dc:creator>
  <cp:lastModifiedBy>user</cp:lastModifiedBy>
  <dcterms:modified xsi:type="dcterms:W3CDTF">2026-10-23T10:41:39Z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7C8F89A8CC266BAA63C9DA6A9057DC8E_42</vt:lpwstr>
  </property>
</Properties>
</file>