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ind w:left="0" w:firstLineChars="0" w:firstLine="0"/>
        <w:rPr>
          <w:rFonts w:ascii="黑体" w:eastAsia="黑体" w:cs="黑体" w:hint="eastAsia"/>
          <w:lang w:eastAsia="zh-CN"/>
        </w:rPr>
      </w:pPr>
      <w:bookmarkStart w:id="0" w:name="_GoBack"/>
      <w:bookmarkEnd w:id="0"/>
      <w:r>
        <w:rPr>
          <w:rFonts w:ascii="黑体" w:eastAsia="黑体" w:cs="黑体" w:hint="eastAsia"/>
          <w:lang w:eastAsia="zh-CN"/>
        </w:rPr>
        <w:t>附件</w:t>
      </w:r>
    </w:p>
    <w:p>
      <w:pPr>
        <w:pStyle w:val="1"/>
        <w:bidi w:val="0"/>
        <w:rPr>
          <w:rFonts w:hint="eastAsia"/>
          <w:lang w:val="en-US" w:eastAsia="zh-CN"/>
        </w:rPr>
      </w:pPr>
    </w:p>
    <w:p>
      <w:pPr>
        <w:pStyle w:val="1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第二轮中央生态环境保护督察整改任务</w:t>
      </w:r>
    </w:p>
    <w:p>
      <w:pPr>
        <w:pStyle w:val="1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完成情况表</w:t>
      </w:r>
    </w:p>
    <w:tbl>
      <w:tblPr>
        <w:jc w:val="center"/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2472"/>
        <w:gridCol w:w="6621"/>
      </w:tblGrid>
      <w:tr>
        <w:trPr>
          <w:trHeight w:val="2010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0" w:firstLine="0"/>
              <w:jc w:val="center"/>
              <w:textAlignment w:val="auto"/>
              <w:rPr>
                <w:rFonts w:ascii="黑体" w:eastAsia="黑体" w:cs="黑体" w:hint="eastAsia"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</w:rPr>
              <w:t>整改任务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eastAsia="zh-CN"/>
              </w:rPr>
              <w:t>近年来，四川省加大了环境基础设施建设投入，取得一定成效，但一些重点领域短板依然突出，污染防治水平有待提高。污水收集处理能力不足。四川省城镇生活污水集中收集率总体不高，部分城市污水管网不配套，污水收集能力不足，污水处理厂进水污染物浓度偏低。2020年，全省35个设市城市生活污水集中收集率仅为47.1%，低于全国平均水平，全省近15%的城市（县城）污水处理厂进水COD年均浓度在100毫克/升以下。</w:t>
            </w:r>
          </w:p>
        </w:tc>
      </w:tr>
      <w:tr>
        <w:trPr>
          <w:trHeight w:val="1340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0" w:firstLine="0"/>
              <w:jc w:val="center"/>
              <w:textAlignment w:val="auto"/>
              <w:rPr>
                <w:rFonts w:ascii="黑体" w:eastAsia="黑体" w:cs="黑体" w:hint="eastAsia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</w:rPr>
              <w:t>整改</w:t>
            </w: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实施主体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eastAsia="zh-CN"/>
              </w:rPr>
              <w:t>住房城乡建设厅，各市（州）党委、政府</w:t>
            </w:r>
          </w:p>
        </w:tc>
      </w:tr>
      <w:tr>
        <w:trPr>
          <w:trHeight w:val="1180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0" w:firstLine="0"/>
              <w:jc w:val="center"/>
              <w:textAlignment w:val="auto"/>
              <w:rPr>
                <w:rFonts w:ascii="黑体" w:eastAsia="黑体" w:cs="黑体" w:hint="eastAsia"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</w:rPr>
              <w:t>整改目标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eastAsia="zh-CN"/>
              </w:rPr>
              <w:t>全省城市生活污水集中收集率提升至60%，2020年度城市（县城）进水COD年均浓度低于100毫克/升的污水处理厂进水COD年均浓度达到100毫克/升以上。</w:t>
            </w:r>
          </w:p>
        </w:tc>
      </w:tr>
      <w:tr>
        <w:trPr>
          <w:trHeight w:val="855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0" w:firstLine="0"/>
              <w:jc w:val="center"/>
              <w:textAlignment w:val="auto"/>
              <w:rPr>
                <w:rFonts w:ascii="黑体" w:eastAsia="黑体" w:cs="黑体" w:hint="eastAsia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</w:rPr>
              <w:t>整改</w:t>
            </w: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时限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ascii="仿宋" w:cs="仿宋" w:hint="eastAsia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val="en-US" w:eastAsia="zh-CN"/>
              </w:rPr>
              <w:t>年</w:t>
            </w:r>
            <w:r>
              <w:rPr>
                <w:rFonts w:ascii="仿宋" w:cs="仿宋" w:hint="eastAsia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  <w:lang w:val="en-US" w:eastAsia="zh-CN"/>
              </w:rPr>
              <w:t>月</w:t>
            </w:r>
          </w:p>
        </w:tc>
      </w:tr>
      <w:tr>
        <w:trPr>
          <w:trHeight w:val="2440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0" w:firstLine="0"/>
              <w:jc w:val="center"/>
              <w:textAlignment w:val="auto"/>
              <w:rPr>
                <w:rFonts w:ascii="黑体" w:eastAsia="黑体" w:cs="黑体" w:hint="eastAsia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整改措施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1．2021年12月，已完成新改建排水管网732公里。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2．2021年12月，已完成排水管网系统化排查检测1430公里。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3．2022年6月底前，全省2020年度城市（县城）进水COD年均浓度低于100毫克/升的污水处理厂修订完善“一厂一策”。2023年12月底前，全面完成整改。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4．2022年12月底前，完成新改建排水管网2009公里（含2021年732公里）。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5．2022年12月底前，完成排水管网系统化排查检测3775公里（含2021年1430公里）。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6．2023年12月底前，完成新改建排水管网3920公里（含2021年732公里、2022年1277公里）。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7．2023年12月底前，完成排水管网系统化排查检测8780公里（含2021年1430公里、2022年2345公里）。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8．2024年12月底前，完成新改建排水管网4725公里（含2021年732公里、2022年1277公里、2023年1911公里）。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9．2024年12月底前，完成排水管网系统化排查检测9641公里（含2021年1430公里、2022年2345公里、2023年5005公里）。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10．2025年12月底前，完成新改建排水管网5485公里（含2021年732公里、2022年1277公里、2023年1911公里、2024年805公里）。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11．2025年12月底前，完成排水管网系统化排查检测10578公里（含2021年1430公里、2022年2345公里、2023年5005公里、2024年861公里）。</w:t>
            </w:r>
          </w:p>
        </w:tc>
      </w:tr>
      <w:tr>
        <w:trPr>
          <w:trHeight w:val="3905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0" w:firstLine="0"/>
              <w:jc w:val="center"/>
              <w:textAlignment w:val="auto"/>
              <w:rPr>
                <w:rFonts w:ascii="黑体" w:eastAsia="黑体" w:cs="黑体" w:hint="eastAsia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ascii="黑体" w:eastAsia="黑体" w:cs="黑体" w:hint="eastAsia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整改主要工作及成效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1.2021年12月，已完成新改建排水管网1146公里。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2.2021年12月，已完成排水管网系统化排查检测4630公里。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3.2022年6月底前，全省2020年度城市（县城）进水COD年均浓度低于100毫克/升的污水处理厂已修订完善“一厂一策”。2023年12月底前，全面完成整改。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4.2022年12月底前，完成新改建排水管网2716公里（含2021年1146公里）。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5.2022年12月底前，完成排水管网系统化排查检测9363公里（含2021年4630公里）。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6.2023年12月底前，完成新改建排水管网4807公里（含2021年1146公里、2022年2716公里）。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7.2023年12月底前，完成排水管网系统化排查检测14638公里（含2021年4630公里、2022年9363公里）。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8.2024年12月底前，完成新改建排水管网6237公里（含2021年1146公里、2022年2716公里、2023年4807公里）。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9.2024年12月底前，完成排水管网系统化排查检测16974公里（含2021年4630公里、2022年9363公里、2023年14638公里）。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10.2025年12月底前，完成新改建排水管网7261公里（含2021年1146公里、2022年2716公里、2023年4807公里、2024年6237公里）。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  <w:t>11.2025年12月底前，完成排水管网系统化排查检测20036公里（含2021年4630公里、2022年9363公里、2023年14638公里、2024年16974公里）。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Chars="200" w:firstLine="552"/>
              <w:textAlignment w:val="auto"/>
              <w:rPr>
                <w:rFonts w:ascii="仿宋" w:eastAsia="仿宋" w:cs="仿宋" w:hint="eastAsia"/>
                <w:color w:val="auto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0" w:firstLine="0"/>
        <w:jc w:val="left"/>
        <w:textAlignment w:val="auto"/>
        <w:rPr>
          <w:rFonts w:ascii="Calibri" w:eastAsia="宋体" w:cs="Times New Roman" w:hAnsi="Calibri"/>
          <w:color w:val="auto"/>
          <w:sz w:val="21"/>
          <w:szCs w:val="24"/>
        </w:rPr>
      </w:pPr>
    </w:p>
    <w:p>
      <w:pPr>
        <w:wordWrap/>
        <w:jc w:val="both"/>
        <w:rPr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rtlGutter/>
      <w:docGrid w:type="linesAndChars" w:linePitch="579" w:charSpace="-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宋体">
    <w:altName w:val="方正书宋_GBK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86"/>
    <w:family w:val="roman"/>
    <w:pitch w:val="variable"/>
    <w:sig w:usb0="00007A87" w:usb1="80000000" w:usb2="00000008" w:usb3="00000000" w:csb0="400001FF" w:csb1="FFFF0000"/>
  </w:font>
  <w:font w:name="方正小标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bordersDoNotSurroundHeader/>
  <w:bordersDoNotSurroundFooter/>
  <w:documentProtection w:edit="readOnly" w:enforcement="0"/>
  <w:defaultTabStop w:val="420"/>
  <w:drawingGridHorizontalSpacing w:val="157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600" w:lineRule="exact"/>
      <w:ind w:firstLineChars="200" w:firstLine="200"/>
      <w:jc w:val="both"/>
    </w:pPr>
    <w:rPr>
      <w:rFonts w:ascii="Times New Roman" w:eastAsia="仿宋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Autospacing="0" w:afterAutospacing="0" w:line="700" w:lineRule="exact"/>
      <w:ind w:firstLineChars="0" w:firstLine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Autospacing="0" w:afterAutospacing="0" w:line="600" w:lineRule="exact"/>
      <w:outlineLvl w:val="1"/>
    </w:pPr>
    <w:rPr>
      <w:rFonts w:ascii="Times New Roman" w:eastAsia="黑体" w:hAnsi="Times New Roman"/>
    </w:rPr>
  </w:style>
  <w:style w:type="paragraph" w:styleId="3">
    <w:name w:val="heading 3"/>
    <w:basedOn w:val="0"/>
    <w:next w:val="0"/>
    <w:pPr>
      <w:keepNext/>
      <w:keepLines/>
      <w:widowControl w:val="0"/>
      <w:spacing w:beforeAutospacing="0" w:afterAutospacing="0" w:line="600" w:lineRule="exact"/>
      <w:outlineLvl w:val="2"/>
    </w:pPr>
    <w:rPr>
      <w:rFonts w:eastAsia="楷体"/>
      <w:b/>
    </w:rPr>
  </w:style>
  <w:style w:type="paragraph" w:styleId="4">
    <w:name w:val="heading 4"/>
    <w:basedOn w:val="0"/>
    <w:next w:val="0"/>
    <w:pPr>
      <w:keepNext/>
      <w:keepLines/>
      <w:widowControl w:val="0"/>
      <w:spacing w:beforeAutospacing="0" w:afterAutospacing="0" w:line="600" w:lineRule="exact"/>
      <w:outlineLvl w:val="3"/>
    </w:pPr>
    <w:rPr>
      <w:rFonts w:ascii="Times New Roman" w:eastAsia="仿宋" w:hAnsi="Times New Roman"/>
      <w:b/>
      <w:bCs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1507</TotalTime>
  <Application>Yozo_Office27021597764231179</Application>
  <Pages>3</Pages>
  <Words>1182</Words>
  <Characters>1647</Characters>
  <Lines>46</Lines>
  <Paragraphs>35</Paragraphs>
  <CharactersWithSpaces>1647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肚兜没有肚肚</dc:creator>
  <cp:lastModifiedBy>user</cp:lastModifiedBy>
  <cp:revision>1</cp:revision>
  <dcterms:created xsi:type="dcterms:W3CDTF">2026-09-22T06:58:00Z</dcterms:created>
  <dcterms:modified xsi:type="dcterms:W3CDTF">2026-10-08T01:02:25Z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2052-12.1.2.28080</vt:lpwstr>
  </property>
  <property fmtid="{D5CDD505-2E9C-101B-9397-08002B2CF9AE}" pid="3" name="ICV">
    <vt:lpwstr>15588ADE422760A59D9FB36A4D1575AE_43</vt:lpwstr>
  </property>
</Properties>
</file>