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0" w:lineRule="exact"/>
        <w:rPr>
          <w:rFonts w:ascii="黑体" w:hAnsi="黑体" w:eastAsia="黑体" w:cs="黑体"/>
          <w:snapToGrid w:val="0"/>
          <w:kern w:val="0"/>
          <w:sz w:val="32"/>
          <w:szCs w:val="32"/>
        </w:rPr>
      </w:pPr>
      <w:bookmarkStart w:id="0" w:name="_Toc15378441"/>
      <w:bookmarkStart w:id="1" w:name="_Toc15396475"/>
      <w:bookmarkStart w:id="2" w:name="_Toc15377193"/>
      <w:bookmarkStart w:id="3" w:name="_Toc15396597"/>
      <w:bookmarkStart w:id="4" w:name="_Toc15377425"/>
      <w:bookmarkStart w:id="5" w:name="_Toc15306267"/>
    </w:p>
    <w:p>
      <w:pPr>
        <w:pStyle w:val="8"/>
        <w:spacing w:before="93"/>
        <w:rPr>
          <w:rFonts w:ascii="Times New Roman" w:eastAsia="方正小标宋简体"/>
          <w:kern w:val="2"/>
          <w:sz w:val="72"/>
          <w:szCs w:val="72"/>
        </w:rPr>
      </w:pPr>
    </w:p>
    <w:p>
      <w:pPr>
        <w:pStyle w:val="8"/>
        <w:spacing w:before="93"/>
        <w:rPr>
          <w:rFonts w:hint="eastAsia" w:ascii="Times New Roman" w:eastAsia="方正小标宋简体"/>
          <w:kern w:val="2"/>
          <w:sz w:val="72"/>
          <w:szCs w:val="72"/>
        </w:rPr>
      </w:pPr>
    </w:p>
    <w:p>
      <w:pPr>
        <w:pStyle w:val="8"/>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p>
    <w:p>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攀枝花市住房和城乡建设局</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部门决算公开编制说明</w:t>
      </w:r>
    </w:p>
    <w:p>
      <w:pPr>
        <w:spacing w:line="600" w:lineRule="exact"/>
        <w:jc w:val="center"/>
        <w:outlineLvl w:val="0"/>
        <w:rPr>
          <w:rFonts w:eastAsia="方正小标宋简体"/>
          <w:sz w:val="72"/>
          <w:szCs w:val="72"/>
        </w:rPr>
      </w:pPr>
    </w:p>
    <w:p>
      <w:pPr>
        <w:pStyle w:val="20"/>
        <w:rPr>
          <w:rFonts w:ascii="Times New Roman" w:hAnsi="Times New Roman"/>
        </w:rPr>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pPr>
    </w:p>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hint="eastAsia" w:ascii="Times New Roman" w:eastAsia="方正小标宋简体"/>
          <w:kern w:val="2"/>
          <w:sz w:val="44"/>
          <w:szCs w:val="44"/>
        </w:rPr>
      </w:pPr>
      <w:bookmarkStart w:id="6" w:name="_Toc15396476"/>
      <w:bookmarkStart w:id="7" w:name="_Toc15377426"/>
      <w:bookmarkStart w:id="8" w:name="_Toc15377194"/>
      <w:bookmarkStart w:id="9" w:name="_Toc15378442"/>
      <w:bookmarkStart w:id="10" w:name="_Toc15396598"/>
      <w:r>
        <w:rPr>
          <w:rFonts w:hint="eastAsia" w:ascii="Times New Roman" w:eastAsia="方正小标宋简体"/>
          <w:kern w:val="2"/>
          <w:sz w:val="44"/>
          <w:szCs w:val="44"/>
        </w:rPr>
        <w:t>2025年度</w:t>
      </w:r>
    </w:p>
    <w:p>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攀枝花市</w:t>
      </w:r>
      <w:bookmarkEnd w:id="5"/>
      <w:bookmarkStart w:id="11" w:name="_Toc15306268"/>
      <w:r>
        <w:rPr>
          <w:rFonts w:hint="eastAsia" w:ascii="Times New Roman" w:eastAsia="方正小标宋简体"/>
          <w:kern w:val="2"/>
          <w:sz w:val="44"/>
          <w:szCs w:val="44"/>
          <w:lang w:eastAsia="zh-CN"/>
        </w:rPr>
        <w:t>住房和城乡建设局</w:t>
      </w:r>
    </w:p>
    <w:p>
      <w:pPr>
        <w:pStyle w:val="14"/>
        <w:adjustRightInd w:val="0"/>
        <w:snapToGrid w:val="0"/>
        <w:spacing w:line="560" w:lineRule="exact"/>
        <w:jc w:val="center"/>
        <w:rPr>
          <w:rFonts w:eastAsia="仿宋_GB2312" w:cs="仿宋_GB2312"/>
          <w:sz w:val="32"/>
          <w:szCs w:val="32"/>
        </w:rPr>
      </w:pPr>
      <w:r>
        <w:rPr>
          <w:rFonts w:hint="eastAsia" w:ascii="Times New Roman" w:eastAsia="方正小标宋简体"/>
          <w:kern w:val="2"/>
          <w:sz w:val="44"/>
          <w:szCs w:val="44"/>
          <w:lang w:eastAsia="zh-CN"/>
        </w:rPr>
        <w:t>部门</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eastAsia="黑体"/>
          <w:sz w:val="48"/>
          <w:szCs w:val="48"/>
        </w:rPr>
        <w:sectPr>
          <w:footerReference r:id="rId6" w:type="first"/>
          <w:footerReference r:id="rId5" w:type="default"/>
          <w:pgSz w:w="11906" w:h="16838"/>
          <w:pgMar w:top="2098" w:right="1474" w:bottom="1984" w:left="1587"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 xml:space="preserve"> 日</w:t>
      </w:r>
    </w:p>
    <w:p/>
    <w:sdt>
      <w:sdtPr>
        <w:rPr>
          <w:rFonts w:ascii="宋体" w:hAnsi="宋体" w:eastAsia="宋体" w:cs="Times New Roman"/>
          <w:kern w:val="2"/>
          <w:sz w:val="21"/>
          <w:szCs w:val="24"/>
          <w:lang w:val="en-US" w:eastAsia="zh-CN" w:bidi="ar-SA"/>
        </w:rPr>
        <w:id w:val="522816566"/>
        <w:docPartObj>
          <w:docPartGallery w:val="Table of Contents"/>
          <w:docPartUnique/>
        </w:docPartObj>
      </w:sdtPr>
      <w:sdtEndPr>
        <w:rPr>
          <w:rFonts w:hint="eastAsia" w:ascii="仿宋_GB2312" w:hAnsi="仿宋_GB2312" w:eastAsia="仿宋_GB2312" w:cs="仿宋_GB2312"/>
          <w:kern w:val="2"/>
          <w:sz w:val="32"/>
          <w:szCs w:val="32"/>
          <w:lang w:val="en-US" w:eastAsia="zh-CN" w:bidi="ar-SA"/>
        </w:rPr>
      </w:sdtEndPr>
      <w:sdtContent>
        <w:p>
          <w:pPr>
            <w:spacing w:before="0" w:beforeLines="0" w:after="0" w:afterLines="0" w:line="240" w:lineRule="auto"/>
            <w:ind w:left="0" w:leftChars="0" w:right="0" w:rightChars="0" w:firstLine="0" w:firstLineChars="0"/>
            <w:jc w:val="center"/>
          </w:pPr>
          <w:bookmarkStart w:id="12" w:name="_Toc1449728321_WPSOffice_Type2"/>
        </w:p>
        <w:p>
          <w:pPr>
            <w:pStyle w:val="37"/>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_Toc1477848101_WPSOffice_Level1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522816566"/>
              <w:placeholder>
                <w:docPart w:val="{ebbc9638-dac2-4308-afef-762e79535fb3}"/>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第一部分  部门概况</w:t>
              </w:r>
            </w:sdtContent>
          </w:sdt>
          <w:r>
            <w:rPr>
              <w:rFonts w:hint="eastAsia" w:ascii="仿宋_GB2312" w:hAnsi="仿宋_GB2312" w:eastAsia="仿宋_GB2312" w:cs="仿宋_GB2312"/>
              <w:b/>
              <w:bCs/>
              <w:sz w:val="32"/>
              <w:szCs w:val="32"/>
            </w:rPr>
            <w:tab/>
          </w:r>
          <w:bookmarkStart w:id="13" w:name="_Toc1477848101_WPSOffice_Level1Page"/>
          <w:r>
            <w:rPr>
              <w:rFonts w:hint="eastAsia" w:ascii="仿宋_GB2312" w:hAnsi="仿宋_GB2312" w:eastAsia="仿宋_GB2312" w:cs="仿宋_GB2312"/>
              <w:b/>
              <w:bCs/>
              <w:sz w:val="32"/>
              <w:szCs w:val="32"/>
            </w:rPr>
            <w:t>1</w:t>
          </w:r>
          <w:bookmarkEnd w:id="13"/>
          <w:r>
            <w:rPr>
              <w:rFonts w:hint="eastAsia" w:ascii="仿宋_GB2312" w:hAnsi="仿宋_GB2312" w:eastAsia="仿宋_GB2312" w:cs="仿宋_GB2312"/>
              <w:b/>
              <w:bCs/>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_Toc1449728321_WPSOffice_Level2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24fe4a1c-e0b1-4a0a-b558-98bbe20b6b7a}"/>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 部门职责</w:t>
              </w:r>
            </w:sdtContent>
          </w:sdt>
          <w:r>
            <w:rPr>
              <w:rFonts w:hint="eastAsia" w:ascii="仿宋_GB2312" w:hAnsi="仿宋_GB2312" w:eastAsia="仿宋_GB2312" w:cs="仿宋_GB2312"/>
              <w:sz w:val="32"/>
              <w:szCs w:val="32"/>
            </w:rPr>
            <w:tab/>
          </w:r>
          <w:bookmarkStart w:id="14" w:name="_Toc1449728321_WPSOffice_Level2Page"/>
          <w:r>
            <w:rPr>
              <w:rFonts w:hint="eastAsia" w:ascii="仿宋_GB2312" w:hAnsi="仿宋_GB2312" w:eastAsia="仿宋_GB2312" w:cs="仿宋_GB2312"/>
              <w:sz w:val="32"/>
              <w:szCs w:val="32"/>
            </w:rPr>
            <w:t>1</w:t>
          </w:r>
          <w:bookmarkEnd w:id="14"/>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_Toc72304527_WPSOffice_Level2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13f12e60-16ec-45b3-b9f8-8b2591f6cf4e}"/>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二、机构设置</w:t>
              </w:r>
            </w:sdtContent>
          </w:sdt>
          <w:r>
            <w:rPr>
              <w:rFonts w:hint="eastAsia" w:ascii="仿宋_GB2312" w:hAnsi="仿宋_GB2312" w:eastAsia="仿宋_GB2312" w:cs="仿宋_GB2312"/>
              <w:sz w:val="32"/>
              <w:szCs w:val="32"/>
            </w:rPr>
            <w:tab/>
          </w:r>
          <w:bookmarkStart w:id="15" w:name="_Toc72304527_WPSOffice_Level2Page"/>
          <w:r>
            <w:rPr>
              <w:rFonts w:hint="eastAsia" w:ascii="仿宋_GB2312" w:hAnsi="仿宋_GB2312" w:eastAsia="仿宋_GB2312" w:cs="仿宋_GB2312"/>
              <w:sz w:val="32"/>
              <w:szCs w:val="32"/>
            </w:rPr>
            <w:t>3</w:t>
          </w:r>
          <w:bookmarkEnd w:id="15"/>
          <w:r>
            <w:rPr>
              <w:rFonts w:hint="eastAsia" w:ascii="仿宋_GB2312" w:hAnsi="仿宋_GB2312" w:eastAsia="仿宋_GB2312" w:cs="仿宋_GB2312"/>
              <w:sz w:val="32"/>
              <w:szCs w:val="32"/>
            </w:rPr>
            <w:fldChar w:fldCharType="end"/>
          </w:r>
        </w:p>
        <w:p>
          <w:pPr>
            <w:pStyle w:val="37"/>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_Toc1449728321_WPSOffice_Level1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522816566"/>
              <w:placeholder>
                <w:docPart w:val="{f6096d1f-a8e7-44a7-9b5e-11810faf2ecc}"/>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第二部分  2025年度部门决算情况说明</w:t>
              </w:r>
            </w:sdtContent>
          </w:sdt>
          <w:r>
            <w:rPr>
              <w:rFonts w:hint="eastAsia" w:ascii="仿宋_GB2312" w:hAnsi="仿宋_GB2312" w:eastAsia="仿宋_GB2312" w:cs="仿宋_GB2312"/>
              <w:b/>
              <w:bCs/>
              <w:sz w:val="32"/>
              <w:szCs w:val="32"/>
            </w:rPr>
            <w:tab/>
          </w:r>
          <w:bookmarkStart w:id="16" w:name="_Toc1449728321_WPSOffice_Level1Page"/>
          <w:r>
            <w:rPr>
              <w:rFonts w:hint="eastAsia" w:ascii="仿宋_GB2312" w:hAnsi="仿宋_GB2312" w:eastAsia="仿宋_GB2312" w:cs="仿宋_GB2312"/>
              <w:b/>
              <w:bCs/>
              <w:sz w:val="32"/>
              <w:szCs w:val="32"/>
            </w:rPr>
            <w:t>5</w:t>
          </w:r>
          <w:bookmarkEnd w:id="16"/>
          <w:r>
            <w:rPr>
              <w:rFonts w:hint="eastAsia" w:ascii="仿宋_GB2312" w:hAnsi="仿宋_GB2312" w:eastAsia="仿宋_GB2312" w:cs="仿宋_GB2312"/>
              <w:b/>
              <w:bCs/>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_Toc1068337419_WPSOffice_Level2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56454871-7e67-40db-babc-9a329687fac4}"/>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一、收入支出决算总体情况说明</w:t>
              </w:r>
            </w:sdtContent>
          </w:sdt>
          <w:r>
            <w:rPr>
              <w:rFonts w:hint="eastAsia" w:ascii="仿宋_GB2312" w:hAnsi="仿宋_GB2312" w:eastAsia="仿宋_GB2312" w:cs="仿宋_GB2312"/>
              <w:sz w:val="32"/>
              <w:szCs w:val="32"/>
            </w:rPr>
            <w:tab/>
          </w:r>
          <w:bookmarkStart w:id="17" w:name="_Toc1068337419_WPSOffice_Level2Page"/>
          <w:r>
            <w:rPr>
              <w:rFonts w:hint="eastAsia" w:ascii="仿宋_GB2312" w:hAnsi="仿宋_GB2312" w:eastAsia="仿宋_GB2312" w:cs="仿宋_GB2312"/>
              <w:sz w:val="32"/>
              <w:szCs w:val="32"/>
            </w:rPr>
            <w:t>5</w:t>
          </w:r>
          <w:bookmarkEnd w:id="17"/>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_Toc690180173_WPSOffice_Level2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ce44d2f6-6587-47c2-b718-ba972761358d}"/>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二、收入决算情况说明</w:t>
              </w:r>
            </w:sdtContent>
          </w:sdt>
          <w:r>
            <w:rPr>
              <w:rFonts w:hint="eastAsia" w:ascii="仿宋_GB2312" w:hAnsi="仿宋_GB2312" w:eastAsia="仿宋_GB2312" w:cs="仿宋_GB2312"/>
              <w:sz w:val="32"/>
              <w:szCs w:val="32"/>
            </w:rPr>
            <w:tab/>
          </w:r>
          <w:bookmarkStart w:id="18" w:name="_Toc690180173_WPSOffice_Level2Page"/>
          <w:r>
            <w:rPr>
              <w:rFonts w:hint="eastAsia" w:ascii="仿宋_GB2312" w:hAnsi="仿宋_GB2312" w:eastAsia="仿宋_GB2312" w:cs="仿宋_GB2312"/>
              <w:sz w:val="32"/>
              <w:szCs w:val="32"/>
            </w:rPr>
            <w:t>6</w:t>
          </w:r>
          <w:bookmarkEnd w:id="18"/>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_Toc1781285027_WPSOffice_Level2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e5159583-2801-4cc2-9ce5-86d5d29117ab}"/>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三、支出决算情况说明</w:t>
              </w:r>
            </w:sdtContent>
          </w:sdt>
          <w:r>
            <w:rPr>
              <w:rFonts w:hint="eastAsia" w:ascii="仿宋_GB2312" w:hAnsi="仿宋_GB2312" w:eastAsia="仿宋_GB2312" w:cs="仿宋_GB2312"/>
              <w:sz w:val="32"/>
              <w:szCs w:val="32"/>
            </w:rPr>
            <w:tab/>
          </w:r>
          <w:bookmarkStart w:id="19" w:name="_Toc1781285027_WPSOffice_Level2Page"/>
          <w:r>
            <w:rPr>
              <w:rFonts w:hint="eastAsia" w:ascii="仿宋_GB2312" w:hAnsi="仿宋_GB2312" w:eastAsia="仿宋_GB2312" w:cs="仿宋_GB2312"/>
              <w:sz w:val="32"/>
              <w:szCs w:val="32"/>
            </w:rPr>
            <w:t>6</w:t>
          </w:r>
          <w:bookmarkEnd w:id="19"/>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_Toc876435646_WPSOffice_Level2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eeadafb9-87c3-45b9-b30f-412a69b05acf}"/>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四、财政拨款收入支出决算总体情况说明</w:t>
              </w:r>
            </w:sdtContent>
          </w:sdt>
          <w:r>
            <w:rPr>
              <w:rFonts w:hint="eastAsia" w:ascii="仿宋_GB2312" w:hAnsi="仿宋_GB2312" w:eastAsia="仿宋_GB2312" w:cs="仿宋_GB2312"/>
              <w:sz w:val="32"/>
              <w:szCs w:val="32"/>
            </w:rPr>
            <w:tab/>
          </w:r>
          <w:bookmarkStart w:id="20" w:name="_Toc876435646_WPSOffice_Level2Page"/>
          <w:r>
            <w:rPr>
              <w:rFonts w:hint="eastAsia" w:ascii="仿宋_GB2312" w:hAnsi="仿宋_GB2312" w:eastAsia="仿宋_GB2312" w:cs="仿宋_GB2312"/>
              <w:sz w:val="32"/>
              <w:szCs w:val="32"/>
            </w:rPr>
            <w:t>7</w:t>
          </w:r>
          <w:bookmarkEnd w:id="20"/>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_Toc622833023_WPSOffice_Level2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32cd195c-3018-4939-aec7-f7ce37403546}"/>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五、一般公共预算财政拨款支出决算情况说明</w:t>
              </w:r>
            </w:sdtContent>
          </w:sdt>
          <w:r>
            <w:rPr>
              <w:rFonts w:hint="eastAsia" w:ascii="仿宋_GB2312" w:hAnsi="仿宋_GB2312" w:eastAsia="仿宋_GB2312" w:cs="仿宋_GB2312"/>
              <w:sz w:val="32"/>
              <w:szCs w:val="32"/>
            </w:rPr>
            <w:tab/>
          </w:r>
          <w:bookmarkStart w:id="21" w:name="_Toc622833023_WPSOffice_Level2Page"/>
          <w:r>
            <w:rPr>
              <w:rFonts w:hint="eastAsia" w:ascii="仿宋_GB2312" w:hAnsi="仿宋_GB2312" w:eastAsia="仿宋_GB2312" w:cs="仿宋_GB2312"/>
              <w:sz w:val="32"/>
              <w:szCs w:val="32"/>
            </w:rPr>
            <w:t>8</w:t>
          </w:r>
          <w:bookmarkEnd w:id="21"/>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_Toc604006162_WPSOffice_Level2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8137ab46-556f-4c02-ae8c-55f7af76fdaf}"/>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六、一般公共预算财政拨款基本支出决算情况说明</w:t>
              </w:r>
            </w:sdtContent>
          </w:sdt>
          <w:r>
            <w:rPr>
              <w:rFonts w:hint="eastAsia" w:ascii="仿宋_GB2312" w:hAnsi="仿宋_GB2312" w:eastAsia="仿宋_GB2312" w:cs="仿宋_GB2312"/>
              <w:sz w:val="32"/>
              <w:szCs w:val="32"/>
            </w:rPr>
            <w:tab/>
          </w:r>
          <w:bookmarkStart w:id="22" w:name="_Toc604006162_WPSOffice_Level2Page"/>
          <w:r>
            <w:rPr>
              <w:rFonts w:hint="eastAsia" w:ascii="仿宋_GB2312" w:hAnsi="仿宋_GB2312" w:eastAsia="仿宋_GB2312" w:cs="仿宋_GB2312"/>
              <w:sz w:val="32"/>
              <w:szCs w:val="32"/>
            </w:rPr>
            <w:t>12</w:t>
          </w:r>
          <w:bookmarkEnd w:id="22"/>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_Toc1597662409_WPSOffice_Level2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9f73e0fb-6a73-48fa-8e3d-195360b01f41}"/>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七、财政拨款“三公”经费支出决算情况说明</w:t>
              </w:r>
            </w:sdtContent>
          </w:sdt>
          <w:r>
            <w:rPr>
              <w:rFonts w:hint="eastAsia" w:ascii="仿宋_GB2312" w:hAnsi="仿宋_GB2312" w:eastAsia="仿宋_GB2312" w:cs="仿宋_GB2312"/>
              <w:sz w:val="32"/>
              <w:szCs w:val="32"/>
            </w:rPr>
            <w:tab/>
          </w:r>
          <w:bookmarkStart w:id="23" w:name="_Toc1597662409_WPSOffice_Level2Page"/>
          <w:r>
            <w:rPr>
              <w:rFonts w:hint="eastAsia" w:ascii="仿宋_GB2312" w:hAnsi="仿宋_GB2312" w:eastAsia="仿宋_GB2312" w:cs="仿宋_GB2312"/>
              <w:sz w:val="32"/>
              <w:szCs w:val="32"/>
            </w:rPr>
            <w:t>13</w:t>
          </w:r>
          <w:bookmarkEnd w:id="23"/>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_Toc418602678_WPSOffice_Level2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9107745b-1bc7-4e6a-815e-f5e605ad5b6a}"/>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八、政府性基金预算支出决算情况说明</w:t>
              </w:r>
            </w:sdtContent>
          </w:sdt>
          <w:r>
            <w:rPr>
              <w:rFonts w:hint="eastAsia" w:ascii="仿宋_GB2312" w:hAnsi="仿宋_GB2312" w:eastAsia="仿宋_GB2312" w:cs="仿宋_GB2312"/>
              <w:sz w:val="32"/>
              <w:szCs w:val="32"/>
            </w:rPr>
            <w:tab/>
          </w:r>
          <w:bookmarkStart w:id="24" w:name="_Toc418602678_WPSOffice_Level2Page"/>
          <w:r>
            <w:rPr>
              <w:rFonts w:hint="eastAsia" w:ascii="仿宋_GB2312" w:hAnsi="仿宋_GB2312" w:eastAsia="仿宋_GB2312" w:cs="仿宋_GB2312"/>
              <w:sz w:val="32"/>
              <w:szCs w:val="32"/>
            </w:rPr>
            <w:t>16</w:t>
          </w:r>
          <w:bookmarkEnd w:id="24"/>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_Toc449420637_WPSOffice_Level2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236e06db-1c85-47fd-993b-c464ce67276c}"/>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九、国有资本经营预算支出决算情况说明</w:t>
              </w:r>
            </w:sdtContent>
          </w:sdt>
          <w:r>
            <w:rPr>
              <w:rFonts w:hint="eastAsia" w:ascii="仿宋_GB2312" w:hAnsi="仿宋_GB2312" w:eastAsia="仿宋_GB2312" w:cs="仿宋_GB2312"/>
              <w:sz w:val="32"/>
              <w:szCs w:val="32"/>
            </w:rPr>
            <w:tab/>
          </w:r>
          <w:bookmarkStart w:id="25" w:name="_Toc449420637_WPSOffice_Level2Page"/>
          <w:r>
            <w:rPr>
              <w:rFonts w:hint="eastAsia" w:ascii="仿宋_GB2312" w:hAnsi="仿宋_GB2312" w:eastAsia="仿宋_GB2312" w:cs="仿宋_GB2312"/>
              <w:sz w:val="32"/>
              <w:szCs w:val="32"/>
            </w:rPr>
            <w:t>16</w:t>
          </w:r>
          <w:bookmarkEnd w:id="25"/>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_Toc1492512538_WPSOffice_Level2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0f015e1c-81f1-4db3-bae8-b18eedb5c190}"/>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十、其他重要事项的情况说明</w:t>
              </w:r>
            </w:sdtContent>
          </w:sdt>
          <w:r>
            <w:rPr>
              <w:rFonts w:hint="eastAsia" w:ascii="仿宋_GB2312" w:hAnsi="仿宋_GB2312" w:eastAsia="仿宋_GB2312" w:cs="仿宋_GB2312"/>
              <w:sz w:val="32"/>
              <w:szCs w:val="32"/>
            </w:rPr>
            <w:tab/>
          </w:r>
          <w:bookmarkStart w:id="26" w:name="_Toc1492512538_WPSOffice_Level2Page"/>
          <w:r>
            <w:rPr>
              <w:rFonts w:hint="eastAsia" w:ascii="仿宋_GB2312" w:hAnsi="仿宋_GB2312" w:eastAsia="仿宋_GB2312" w:cs="仿宋_GB2312"/>
              <w:sz w:val="32"/>
              <w:szCs w:val="32"/>
            </w:rPr>
            <w:t>17</w:t>
          </w:r>
          <w:bookmarkEnd w:id="26"/>
          <w:r>
            <w:rPr>
              <w:rFonts w:hint="eastAsia" w:ascii="仿宋_GB2312" w:hAnsi="仿宋_GB2312" w:eastAsia="仿宋_GB2312" w:cs="仿宋_GB2312"/>
              <w:sz w:val="32"/>
              <w:szCs w:val="32"/>
            </w:rPr>
            <w:fldChar w:fldCharType="end"/>
          </w:r>
        </w:p>
        <w:p>
          <w:pPr>
            <w:pStyle w:val="37"/>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_Toc72304527_WPSOffice_Level1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522816566"/>
              <w:placeholder>
                <w:docPart w:val="{323c432e-4f69-4698-b6e3-8d4db31bab51}"/>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第三部分  名词解释</w:t>
              </w:r>
            </w:sdtContent>
          </w:sdt>
          <w:r>
            <w:rPr>
              <w:rFonts w:hint="eastAsia" w:ascii="仿宋_GB2312" w:hAnsi="仿宋_GB2312" w:eastAsia="仿宋_GB2312" w:cs="仿宋_GB2312"/>
              <w:b/>
              <w:bCs/>
              <w:sz w:val="32"/>
              <w:szCs w:val="32"/>
            </w:rPr>
            <w:tab/>
          </w:r>
          <w:bookmarkStart w:id="27" w:name="_Toc72304527_WPSOffice_Level1Page"/>
          <w:r>
            <w:rPr>
              <w:rFonts w:hint="eastAsia" w:ascii="仿宋_GB2312" w:hAnsi="仿宋_GB2312" w:eastAsia="仿宋_GB2312" w:cs="仿宋_GB2312"/>
              <w:b/>
              <w:bCs/>
              <w:sz w:val="32"/>
              <w:szCs w:val="32"/>
            </w:rPr>
            <w:t>21</w:t>
          </w:r>
          <w:bookmarkEnd w:id="27"/>
          <w:r>
            <w:rPr>
              <w:rFonts w:hint="eastAsia" w:ascii="仿宋_GB2312" w:hAnsi="仿宋_GB2312" w:eastAsia="仿宋_GB2312" w:cs="仿宋_GB2312"/>
              <w:b/>
              <w:bCs/>
              <w:sz w:val="32"/>
              <w:szCs w:val="32"/>
            </w:rPr>
            <w:fldChar w:fldCharType="end"/>
          </w:r>
        </w:p>
        <w:p>
          <w:pPr>
            <w:pStyle w:val="37"/>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_Toc1068337419_WPSOffice_Level1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522816566"/>
              <w:placeholder>
                <w:docPart w:val="{dbffb077-ee68-40d6-a8df-32abade7b0f1}"/>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第四部分  附件</w:t>
              </w:r>
            </w:sdtContent>
          </w:sdt>
          <w:r>
            <w:rPr>
              <w:rFonts w:hint="eastAsia" w:ascii="仿宋_GB2312" w:hAnsi="仿宋_GB2312" w:eastAsia="仿宋_GB2312" w:cs="仿宋_GB2312"/>
              <w:b/>
              <w:bCs/>
              <w:sz w:val="32"/>
              <w:szCs w:val="32"/>
            </w:rPr>
            <w:tab/>
          </w:r>
          <w:bookmarkStart w:id="28" w:name="_Toc1068337419_WPSOffice_Level1Page"/>
          <w:r>
            <w:rPr>
              <w:rFonts w:hint="eastAsia" w:ascii="仿宋_GB2312" w:hAnsi="仿宋_GB2312" w:eastAsia="仿宋_GB2312" w:cs="仿宋_GB2312"/>
              <w:b/>
              <w:bCs/>
              <w:sz w:val="32"/>
              <w:szCs w:val="32"/>
            </w:rPr>
            <w:t>25</w:t>
          </w:r>
          <w:bookmarkEnd w:id="28"/>
          <w:r>
            <w:rPr>
              <w:rFonts w:hint="eastAsia" w:ascii="仿宋_GB2312" w:hAnsi="仿宋_GB2312" w:eastAsia="仿宋_GB2312" w:cs="仿宋_GB2312"/>
              <w:b/>
              <w:bCs/>
              <w:sz w:val="32"/>
              <w:szCs w:val="32"/>
            </w:rPr>
            <w:fldChar w:fldCharType="end"/>
          </w:r>
        </w:p>
        <w:p>
          <w:pPr>
            <w:pStyle w:val="37"/>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_Toc690180173_WPSOffice_Level1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522816566"/>
              <w:placeholder>
                <w:docPart w:val="{fcb4d3a3-d1cf-4fd3-bb5f-301a247d07f6}"/>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第五部分 附表</w:t>
              </w:r>
            </w:sdtContent>
          </w:sdt>
          <w:r>
            <w:rPr>
              <w:rFonts w:hint="eastAsia" w:ascii="仿宋_GB2312" w:hAnsi="仿宋_GB2312" w:eastAsia="仿宋_GB2312" w:cs="仿宋_GB2312"/>
              <w:b/>
              <w:bCs/>
              <w:sz w:val="32"/>
              <w:szCs w:val="32"/>
            </w:rPr>
            <w:tab/>
          </w:r>
          <w:bookmarkStart w:id="29" w:name="_Toc690180173_WPSOffice_Level1Page"/>
          <w:r>
            <w:rPr>
              <w:rFonts w:hint="eastAsia" w:ascii="仿宋_GB2312" w:hAnsi="仿宋_GB2312" w:eastAsia="仿宋_GB2312" w:cs="仿宋_GB2312"/>
              <w:b/>
              <w:bCs/>
              <w:sz w:val="32"/>
              <w:szCs w:val="32"/>
            </w:rPr>
            <w:t>58</w:t>
          </w:r>
          <w:bookmarkEnd w:id="29"/>
          <w:r>
            <w:rPr>
              <w:rFonts w:hint="eastAsia" w:ascii="仿宋_GB2312" w:hAnsi="仿宋_GB2312" w:eastAsia="仿宋_GB2312" w:cs="仿宋_GB2312"/>
              <w:b/>
              <w:bCs/>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_Toc163142829_WPSOffice_Level2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a87e98a0-4db8-4138-8131-f074486e7789}"/>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一、收入支出决算总表</w:t>
              </w:r>
            </w:sdtContent>
          </w:sdt>
          <w:r>
            <w:rPr>
              <w:rFonts w:hint="eastAsia" w:ascii="仿宋_GB2312" w:hAnsi="仿宋_GB2312" w:eastAsia="仿宋_GB2312" w:cs="仿宋_GB2312"/>
              <w:sz w:val="32"/>
              <w:szCs w:val="32"/>
            </w:rPr>
            <w:tab/>
          </w:r>
          <w:bookmarkStart w:id="30" w:name="_Toc163142829_WPSOffice_Level2Page"/>
          <w:r>
            <w:rPr>
              <w:rFonts w:hint="eastAsia" w:ascii="仿宋_GB2312" w:hAnsi="仿宋_GB2312" w:eastAsia="仿宋_GB2312" w:cs="仿宋_GB2312"/>
              <w:sz w:val="32"/>
              <w:szCs w:val="32"/>
            </w:rPr>
            <w:t>58</w:t>
          </w:r>
          <w:bookmarkEnd w:id="30"/>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_Toc205131970_WPSOffice_Level2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f2948d02-b373-4ed7-9bb4-ac4b21266a83}"/>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二、收入决算表</w:t>
              </w:r>
            </w:sdtContent>
          </w:sdt>
          <w:r>
            <w:rPr>
              <w:rFonts w:hint="eastAsia" w:ascii="仿宋_GB2312" w:hAnsi="仿宋_GB2312" w:eastAsia="仿宋_GB2312" w:cs="仿宋_GB2312"/>
              <w:sz w:val="32"/>
              <w:szCs w:val="32"/>
            </w:rPr>
            <w:tab/>
          </w:r>
          <w:bookmarkStart w:id="31" w:name="_Toc205131970_WPSOffice_Level2Page"/>
          <w:r>
            <w:rPr>
              <w:rFonts w:hint="eastAsia" w:ascii="仿宋_GB2312" w:hAnsi="仿宋_GB2312" w:eastAsia="仿宋_GB2312" w:cs="仿宋_GB2312"/>
              <w:sz w:val="32"/>
              <w:szCs w:val="32"/>
            </w:rPr>
            <w:t>58</w:t>
          </w:r>
          <w:bookmarkEnd w:id="31"/>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_Toc100919249_WPSOffice_Level2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a6d8d82c-7c24-4f97-a455-c66a541a3783}"/>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三、支出决算表</w:t>
              </w:r>
            </w:sdtContent>
          </w:sdt>
          <w:r>
            <w:rPr>
              <w:rFonts w:hint="eastAsia" w:ascii="仿宋_GB2312" w:hAnsi="仿宋_GB2312" w:eastAsia="仿宋_GB2312" w:cs="仿宋_GB2312"/>
              <w:sz w:val="32"/>
              <w:szCs w:val="32"/>
            </w:rPr>
            <w:tab/>
          </w:r>
          <w:bookmarkStart w:id="32" w:name="_Toc100919249_WPSOffice_Level2Page"/>
          <w:r>
            <w:rPr>
              <w:rFonts w:hint="eastAsia" w:ascii="仿宋_GB2312" w:hAnsi="仿宋_GB2312" w:eastAsia="仿宋_GB2312" w:cs="仿宋_GB2312"/>
              <w:sz w:val="32"/>
              <w:szCs w:val="32"/>
            </w:rPr>
            <w:t>58</w:t>
          </w:r>
          <w:bookmarkEnd w:id="32"/>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_Toc334022563_WPSOffice_Level2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7cdf324a-f736-4ac1-8c99-98ec0c19823b}"/>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四、财政拨款收入支出决算总表</w:t>
              </w:r>
            </w:sdtContent>
          </w:sdt>
          <w:r>
            <w:rPr>
              <w:rFonts w:hint="eastAsia" w:ascii="仿宋_GB2312" w:hAnsi="仿宋_GB2312" w:eastAsia="仿宋_GB2312" w:cs="仿宋_GB2312"/>
              <w:sz w:val="32"/>
              <w:szCs w:val="32"/>
            </w:rPr>
            <w:tab/>
          </w:r>
          <w:bookmarkStart w:id="33" w:name="_Toc334022563_WPSOffice_Level2Page"/>
          <w:r>
            <w:rPr>
              <w:rFonts w:hint="eastAsia" w:ascii="仿宋_GB2312" w:hAnsi="仿宋_GB2312" w:eastAsia="仿宋_GB2312" w:cs="仿宋_GB2312"/>
              <w:sz w:val="32"/>
              <w:szCs w:val="32"/>
            </w:rPr>
            <w:t>58</w:t>
          </w:r>
          <w:bookmarkEnd w:id="33"/>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_Toc175454020_WPSOffice_Level2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42b60280-84e6-42f2-b487-8d1844958d88}"/>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五、财政拨款支出决算明细表</w:t>
              </w:r>
            </w:sdtContent>
          </w:sdt>
          <w:r>
            <w:rPr>
              <w:rFonts w:hint="eastAsia" w:ascii="仿宋_GB2312" w:hAnsi="仿宋_GB2312" w:eastAsia="仿宋_GB2312" w:cs="仿宋_GB2312"/>
              <w:sz w:val="32"/>
              <w:szCs w:val="32"/>
            </w:rPr>
            <w:tab/>
          </w:r>
          <w:bookmarkStart w:id="34" w:name="_Toc175454020_WPSOffice_Level2Page"/>
          <w:r>
            <w:rPr>
              <w:rFonts w:hint="eastAsia" w:ascii="仿宋_GB2312" w:hAnsi="仿宋_GB2312" w:eastAsia="仿宋_GB2312" w:cs="仿宋_GB2312"/>
              <w:sz w:val="32"/>
              <w:szCs w:val="32"/>
            </w:rPr>
            <w:t>58</w:t>
          </w:r>
          <w:bookmarkEnd w:id="34"/>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_Toc1588681099_WPSOffice_Level2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ff094fb4-39d2-4801-8a29-2b1ea67232f7}"/>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六、一般公共预算财政拨款支出决算表</w:t>
              </w:r>
            </w:sdtContent>
          </w:sdt>
          <w:r>
            <w:rPr>
              <w:rFonts w:hint="eastAsia" w:ascii="仿宋_GB2312" w:hAnsi="仿宋_GB2312" w:eastAsia="仿宋_GB2312" w:cs="仿宋_GB2312"/>
              <w:sz w:val="32"/>
              <w:szCs w:val="32"/>
            </w:rPr>
            <w:tab/>
          </w:r>
          <w:bookmarkStart w:id="35" w:name="_Toc1588681099_WPSOffice_Level2Page"/>
          <w:r>
            <w:rPr>
              <w:rFonts w:hint="eastAsia" w:ascii="仿宋_GB2312" w:hAnsi="仿宋_GB2312" w:eastAsia="仿宋_GB2312" w:cs="仿宋_GB2312"/>
              <w:sz w:val="32"/>
              <w:szCs w:val="32"/>
            </w:rPr>
            <w:t>58</w:t>
          </w:r>
          <w:bookmarkEnd w:id="35"/>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_Toc14283837_WPSOffice_Level2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dd46f34b-328f-4ee1-9910-22236bbd79dc}"/>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七、一般公共预算财政拨款支出决算明细表</w:t>
              </w:r>
            </w:sdtContent>
          </w:sdt>
          <w:r>
            <w:rPr>
              <w:rFonts w:hint="eastAsia" w:ascii="仿宋_GB2312" w:hAnsi="仿宋_GB2312" w:eastAsia="仿宋_GB2312" w:cs="仿宋_GB2312"/>
              <w:sz w:val="32"/>
              <w:szCs w:val="32"/>
            </w:rPr>
            <w:tab/>
          </w:r>
          <w:bookmarkStart w:id="36" w:name="_Toc14283837_WPSOffice_Level2Page"/>
          <w:r>
            <w:rPr>
              <w:rFonts w:hint="eastAsia" w:ascii="仿宋_GB2312" w:hAnsi="仿宋_GB2312" w:eastAsia="仿宋_GB2312" w:cs="仿宋_GB2312"/>
              <w:sz w:val="32"/>
              <w:szCs w:val="32"/>
            </w:rPr>
            <w:t>58</w:t>
          </w:r>
          <w:bookmarkEnd w:id="36"/>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_Toc2088694885_WPSOffice_Level2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0576621a-f41c-49c7-b1b7-d495678673aa}"/>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八、一般公共预算财政拨款基本支出决算表</w:t>
              </w:r>
            </w:sdtContent>
          </w:sdt>
          <w:r>
            <w:rPr>
              <w:rFonts w:hint="eastAsia" w:ascii="仿宋_GB2312" w:hAnsi="仿宋_GB2312" w:eastAsia="仿宋_GB2312" w:cs="仿宋_GB2312"/>
              <w:sz w:val="32"/>
              <w:szCs w:val="32"/>
            </w:rPr>
            <w:tab/>
          </w:r>
          <w:bookmarkStart w:id="37" w:name="_Toc2088694885_WPSOffice_Level2Page"/>
          <w:r>
            <w:rPr>
              <w:rFonts w:hint="eastAsia" w:ascii="仿宋_GB2312" w:hAnsi="仿宋_GB2312" w:eastAsia="仿宋_GB2312" w:cs="仿宋_GB2312"/>
              <w:sz w:val="32"/>
              <w:szCs w:val="32"/>
            </w:rPr>
            <w:t>58</w:t>
          </w:r>
          <w:bookmarkEnd w:id="37"/>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_Toc1283669495_WPSOffice_Level2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87466c57-b36c-4a1d-8a9b-3a0e14fc1b9d}"/>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九、一般公共预算财政拨款项目支出决算表</w:t>
              </w:r>
            </w:sdtContent>
          </w:sdt>
          <w:r>
            <w:rPr>
              <w:rFonts w:hint="eastAsia" w:ascii="仿宋_GB2312" w:hAnsi="仿宋_GB2312" w:eastAsia="仿宋_GB2312" w:cs="仿宋_GB2312"/>
              <w:sz w:val="32"/>
              <w:szCs w:val="32"/>
            </w:rPr>
            <w:tab/>
          </w:r>
          <w:bookmarkStart w:id="38" w:name="_Toc1283669495_WPSOffice_Level2Page"/>
          <w:r>
            <w:rPr>
              <w:rFonts w:hint="eastAsia" w:ascii="仿宋_GB2312" w:hAnsi="仿宋_GB2312" w:eastAsia="仿宋_GB2312" w:cs="仿宋_GB2312"/>
              <w:sz w:val="32"/>
              <w:szCs w:val="32"/>
            </w:rPr>
            <w:t>58</w:t>
          </w:r>
          <w:bookmarkEnd w:id="38"/>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_Toc1132179533_WPSOffice_Level2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bd7c90a9-3ef7-4bb4-bd8b-efcfaea26e72}"/>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十、政府性基金预算财政拨款收入支出决算表</w:t>
              </w:r>
            </w:sdtContent>
          </w:sdt>
          <w:r>
            <w:rPr>
              <w:rFonts w:hint="eastAsia" w:ascii="仿宋_GB2312" w:hAnsi="仿宋_GB2312" w:eastAsia="仿宋_GB2312" w:cs="仿宋_GB2312"/>
              <w:sz w:val="32"/>
              <w:szCs w:val="32"/>
            </w:rPr>
            <w:tab/>
          </w:r>
          <w:bookmarkStart w:id="39" w:name="_Toc1132179533_WPSOffice_Level2Page"/>
          <w:r>
            <w:rPr>
              <w:rFonts w:hint="eastAsia" w:ascii="仿宋_GB2312" w:hAnsi="仿宋_GB2312" w:eastAsia="仿宋_GB2312" w:cs="仿宋_GB2312"/>
              <w:sz w:val="32"/>
              <w:szCs w:val="32"/>
            </w:rPr>
            <w:t>58</w:t>
          </w:r>
          <w:bookmarkEnd w:id="39"/>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_Toc17357363_WPSOffice_Level2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186c9825-9a5d-42db-8d54-c7853dd59e70}"/>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十一、国有资本经营预算财政拨款收入支出决算表</w:t>
              </w:r>
            </w:sdtContent>
          </w:sdt>
          <w:r>
            <w:rPr>
              <w:rFonts w:hint="eastAsia" w:ascii="仿宋_GB2312" w:hAnsi="仿宋_GB2312" w:eastAsia="仿宋_GB2312" w:cs="仿宋_GB2312"/>
              <w:sz w:val="32"/>
              <w:szCs w:val="32"/>
            </w:rPr>
            <w:tab/>
          </w:r>
          <w:bookmarkStart w:id="40" w:name="_Toc17357363_WPSOffice_Level2Page"/>
          <w:r>
            <w:rPr>
              <w:rFonts w:hint="eastAsia" w:ascii="仿宋_GB2312" w:hAnsi="仿宋_GB2312" w:eastAsia="仿宋_GB2312" w:cs="仿宋_GB2312"/>
              <w:sz w:val="32"/>
              <w:szCs w:val="32"/>
            </w:rPr>
            <w:t>58</w:t>
          </w:r>
          <w:bookmarkEnd w:id="40"/>
          <w:r>
            <w:rPr>
              <w:rFonts w:hint="eastAsia" w:ascii="仿宋_GB2312" w:hAnsi="仿宋_GB2312" w:eastAsia="仿宋_GB2312" w:cs="仿宋_GB2312"/>
              <w:sz w:val="32"/>
              <w:szCs w:val="32"/>
            </w:rPr>
            <w:fldChar w:fldCharType="end"/>
          </w:r>
        </w:p>
        <w:p>
          <w:pPr>
            <w:pStyle w:val="38"/>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_Toc62608503_WPSOffice_Level2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f627e85e-1fa8-4cd0-9fa4-2d654df039a5}"/>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十二、国有资本经营预算财政拨款支出决算表</w:t>
              </w:r>
            </w:sdtContent>
          </w:sdt>
          <w:r>
            <w:rPr>
              <w:rFonts w:hint="eastAsia" w:ascii="仿宋_GB2312" w:hAnsi="仿宋_GB2312" w:eastAsia="仿宋_GB2312" w:cs="仿宋_GB2312"/>
              <w:sz w:val="32"/>
              <w:szCs w:val="32"/>
            </w:rPr>
            <w:tab/>
          </w:r>
          <w:bookmarkStart w:id="41" w:name="_Toc62608503_WPSOffice_Level2Page"/>
          <w:r>
            <w:rPr>
              <w:rFonts w:hint="eastAsia" w:ascii="仿宋_GB2312" w:hAnsi="仿宋_GB2312" w:eastAsia="仿宋_GB2312" w:cs="仿宋_GB2312"/>
              <w:sz w:val="32"/>
              <w:szCs w:val="32"/>
            </w:rPr>
            <w:t>58</w:t>
          </w:r>
          <w:bookmarkEnd w:id="41"/>
          <w:r>
            <w:rPr>
              <w:rFonts w:hint="eastAsia" w:ascii="仿宋_GB2312" w:hAnsi="仿宋_GB2312" w:eastAsia="仿宋_GB2312" w:cs="仿宋_GB2312"/>
              <w:sz w:val="32"/>
              <w:szCs w:val="32"/>
            </w:rPr>
            <w:fldChar w:fldCharType="end"/>
          </w:r>
        </w:p>
        <w:p>
          <w:pPr>
            <w:pStyle w:val="38"/>
            <w:tabs>
              <w:tab w:val="right" w:leader="dot" w:pos="8845"/>
            </w:tabs>
            <w:rPr>
              <w:rFonts w:hint="eastAsia" w:eastAsia="方正小标宋简体" w:cs="方正小标宋简体"/>
              <w:b w:val="0"/>
            </w:rPr>
            <w:sectPr>
              <w:footerReference r:id="rId8" w:type="first"/>
              <w:footerReference r:id="rId7" w:type="default"/>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_Toc1867887183_WPSOffice_Level2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522816566"/>
              <w:placeholder>
                <w:docPart w:val="{72f18d90-1dc5-41c4-aff5-924734737da5}"/>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十三、财政拨款“三公”经费支出决算表</w:t>
              </w:r>
            </w:sdtContent>
          </w:sdt>
          <w:r>
            <w:rPr>
              <w:rFonts w:hint="eastAsia" w:ascii="仿宋_GB2312" w:hAnsi="仿宋_GB2312" w:eastAsia="仿宋_GB2312" w:cs="仿宋_GB2312"/>
              <w:sz w:val="32"/>
              <w:szCs w:val="32"/>
            </w:rPr>
            <w:tab/>
          </w:r>
          <w:bookmarkStart w:id="42" w:name="_Toc1867887183_WPSOffice_Level2Page"/>
          <w:r>
            <w:rPr>
              <w:rFonts w:hint="eastAsia" w:ascii="仿宋_GB2312" w:hAnsi="仿宋_GB2312" w:eastAsia="仿宋_GB2312" w:cs="仿宋_GB2312"/>
              <w:sz w:val="32"/>
              <w:szCs w:val="32"/>
            </w:rPr>
            <w:t>58</w:t>
          </w:r>
          <w:bookmarkEnd w:id="42"/>
          <w:r>
            <w:rPr>
              <w:rFonts w:hint="eastAsia" w:ascii="仿宋_GB2312" w:hAnsi="仿宋_GB2312" w:eastAsia="仿宋_GB2312" w:cs="仿宋_GB2312"/>
              <w:sz w:val="32"/>
              <w:szCs w:val="32"/>
            </w:rPr>
            <w:fldChar w:fldCharType="end"/>
          </w:r>
          <w:bookmarkEnd w:id="12"/>
          <w:bookmarkStart w:id="43" w:name="_Toc15396599"/>
          <w:bookmarkStart w:id="44" w:name="_Toc15377196"/>
        </w:p>
      </w:sdtContent>
    </w:sdt>
    <w:p>
      <w:pPr>
        <w:pStyle w:val="5"/>
        <w:jc w:val="center"/>
        <w:rPr>
          <w:rFonts w:eastAsia="黑体"/>
          <w:sz w:val="32"/>
          <w:szCs w:val="32"/>
        </w:rPr>
      </w:pPr>
      <w:bookmarkStart w:id="45" w:name="_Toc1477848101_WPSOffice_Level1"/>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43"/>
      <w:bookmarkEnd w:id="44"/>
      <w:bookmarkEnd w:id="45"/>
    </w:p>
    <w:p>
      <w:pPr>
        <w:pStyle w:val="6"/>
        <w:numPr>
          <w:ilvl w:val="0"/>
          <w:numId w:val="1"/>
        </w:numPr>
        <w:rPr>
          <w:rFonts w:hint="eastAsia" w:ascii="Times New Roman" w:hAnsi="Times New Roman" w:eastAsia="黑体"/>
          <w:b w:val="0"/>
        </w:rPr>
      </w:pPr>
      <w:bookmarkStart w:id="46" w:name="_Toc1449728321_WPSOffice_Level2"/>
      <w:r>
        <w:rPr>
          <w:rFonts w:hint="eastAsia" w:ascii="Times New Roman" w:hAnsi="Times New Roman" w:eastAsia="黑体"/>
          <w:b w:val="0"/>
        </w:rPr>
        <w:t>部门职责</w:t>
      </w:r>
      <w:bookmarkEnd w:id="46"/>
    </w:p>
    <w:p>
      <w:pPr>
        <w:keepNext w:val="0"/>
        <w:keepLines w:val="0"/>
        <w:pageBreakBefore w:val="0"/>
        <w:widowControl w:val="0"/>
        <w:kinsoku/>
        <w:wordWrap/>
        <w:overflowPunct/>
        <w:topLinePunct w:val="0"/>
        <w:autoSpaceDE/>
        <w:autoSpaceDN/>
        <w:bidi w:val="0"/>
        <w:adjustRightInd/>
        <w:snapToGrid w:val="0"/>
        <w:spacing w:line="578" w:lineRule="exact"/>
        <w:ind w:firstLine="640" w:firstLineChars="200"/>
        <w:textAlignment w:val="auto"/>
        <w:rPr>
          <w:rFonts w:hint="eastAsia"/>
          <w:lang w:eastAsia="zh-CN"/>
        </w:rPr>
      </w:pPr>
      <w:r>
        <w:rPr>
          <w:rFonts w:hint="eastAsia" w:ascii="仿宋_GB2312" w:hAnsi="仿宋" w:eastAsia="仿宋_GB2312"/>
          <w:sz w:val="32"/>
          <w:szCs w:val="32"/>
          <w:lang w:eastAsia="zh-CN"/>
        </w:rPr>
        <w:t>四川省</w:t>
      </w:r>
      <w:r>
        <w:rPr>
          <w:rFonts w:hint="eastAsia" w:ascii="仿宋_GB2312" w:hAnsi="仿宋" w:eastAsia="仿宋_GB2312"/>
          <w:sz w:val="32"/>
          <w:szCs w:val="32"/>
        </w:rPr>
        <w:t>攀</w:t>
      </w:r>
      <w:r>
        <w:rPr>
          <w:rFonts w:hint="eastAsia" w:ascii="仿宋_GB2312" w:eastAsia="仿宋_GB2312"/>
          <w:bCs/>
          <w:sz w:val="32"/>
          <w:szCs w:val="32"/>
        </w:rPr>
        <w:t>枝花市住房和城乡建设局为市政府工作部门，主要职责是：</w:t>
      </w:r>
      <w:r>
        <w:rPr>
          <w:rFonts w:hint="eastAsia" w:ascii="仿宋_GB2312" w:eastAsia="仿宋_GB2312" w:cs="方正仿宋_GBK-WinCharSetFFFF-H"/>
          <w:sz w:val="33"/>
          <w:szCs w:val="33"/>
        </w:rPr>
        <w:t>负责城市市政设施年度建设计划编制。指导和督促城市市政设施建设。协调、处理城市市政设施建设过程中的有关问题。参与城市总体规划和专项规划编制和审核。拟订全市村镇建设的发展规划并监督实施</w:t>
      </w:r>
      <w:r>
        <w:rPr>
          <w:rFonts w:hint="eastAsia" w:ascii="仿宋_GB2312" w:eastAsia="仿宋_GB2312" w:cs="方正仿宋_GBK-WinCharSetFFFF-H"/>
          <w:sz w:val="33"/>
          <w:szCs w:val="33"/>
          <w:lang w:eastAsia="zh-CN"/>
        </w:rPr>
        <w:t>，</w:t>
      </w:r>
      <w:r>
        <w:rPr>
          <w:rFonts w:hint="eastAsia" w:ascii="仿宋_GB2312" w:eastAsia="仿宋_GB2312" w:cs="方正仿宋_GBK-WinCharSetFFFF-H"/>
          <w:sz w:val="33"/>
          <w:szCs w:val="33"/>
        </w:rPr>
        <w:t>指导全市乡镇和村庄建设、全市农村住房建设及危房改造、农村建筑工匠培训和管理、农村公用设施建设和小城镇建设，组织开展全市</w:t>
      </w:r>
      <w:r>
        <w:rPr>
          <w:rFonts w:hint="eastAsia" w:ascii="仿宋_GB2312" w:eastAsia="仿宋_GB2312" w:cs="TimesNewRoman"/>
          <w:sz w:val="33"/>
          <w:szCs w:val="33"/>
        </w:rPr>
        <w:t>“</w:t>
      </w:r>
      <w:r>
        <w:rPr>
          <w:rFonts w:hint="eastAsia" w:ascii="仿宋_GB2312" w:eastAsia="仿宋_GB2312" w:cs="方正仿宋_GBK-WinCharSetFFFF-H"/>
          <w:sz w:val="33"/>
          <w:szCs w:val="33"/>
        </w:rPr>
        <w:t>特色小城镇</w:t>
      </w:r>
      <w:r>
        <w:rPr>
          <w:rFonts w:hint="eastAsia" w:ascii="仿宋_GB2312" w:eastAsia="仿宋_GB2312" w:cs="TimesNewRoman"/>
          <w:sz w:val="33"/>
          <w:szCs w:val="33"/>
        </w:rPr>
        <w:t>”</w:t>
      </w:r>
      <w:r>
        <w:rPr>
          <w:rFonts w:hint="eastAsia" w:ascii="仿宋_GB2312" w:eastAsia="仿宋_GB2312" w:cs="方正仿宋_GBK-WinCharSetFFFF-H"/>
          <w:sz w:val="33"/>
          <w:szCs w:val="33"/>
        </w:rPr>
        <w:t>培育创建和开展村镇建设试点工作。拟订建筑业中长期规划、行业政策，承担建筑市场及本地建筑施工企业资质的监督管理和注册建造师的注册、执业活动的监督管理事项。参与房建和市政设施项目施工招投标活动监督。协助处理建设工程农民工拖欠工资。负责城市建设档案管理工作。负责散装水泥发展和应用的监督检查。负责材料价格信息、工程造价管理工作。负责施工合同备案管理。贯彻执行工程质量监督政策和管理规章。研究拟订建筑行业安全保护措施。全面贯彻安全生产劳动保护的法律、法规及标准。负责房屋建筑和市政基础设施工程的施工质量、安全生产和文明施工管理工作。负责工程质量竣工验收备案管理。负责行业安全生产综合监督管理和考核。负责组织建设工程质量安全生产大检查。指挥、处理房屋建筑和市政基础设施建设工程质量和安全突发应急事件。组织或参与重大工程质量问题、安全事故调查处理。负责建设工程消防竣工验收、抽查职责。研究拟订全市房地产业的发展规划、产业政策和规章制度。负责全市房地产业监督管理工作。负责房地产开发经营管理、物业管理、房屋产权交易和权属管理、房地产中介机管理工作。负责房地产市场秩序的整治与监管。参与全市城镇土地开发项目土地拍卖条件意见及规划编制方案审核工作。参与协调处理房地产交易的矛盾纠纷。承担全市勘察设计行业综合管理的具体工作。参与建设工程勘察设计招标管理。参与勘察设计违法违规行为的查处。负责大型房屋建筑和市政基础设施工程、超限工程的抗震设防专项审查和初步设计审查的组织上报。组织中小型房屋建筑和市政基础设施的初步设计审查工作。负责施工图审查备案工作。负责全市建设工程抗震设防标准的管理。指导、监督抗震设防专项论证工作。组织各类房屋建筑和市政工程设计抗震设计检查。参与抗震设计审查。指导村镇建设抗震防灾工作。负责本系统科研项目的初审和申报工作。负责行业新技术、新工艺、新材料、新设备的推广和应用工作。拟订建筑垃圾资源化再利用的整体规划和政策措施，综合协调建筑垃圾资源化再利用工作。负责机关信息化建设工作，指导所属事业单位信息化工作。负责建设工程消防安全性施工图审查及备案。负责对实施工程建设设计强制性标准进行监督检</w:t>
      </w:r>
      <w:r>
        <w:rPr>
          <w:rFonts w:hint="eastAsia" w:ascii="仿宋_GB2312" w:eastAsia="仿宋_GB2312"/>
          <w:sz w:val="32"/>
          <w:szCs w:val="32"/>
        </w:rPr>
        <w:t>查。负责对房屋建筑工程抗震设防实施情况的监督检查。负责行业体制改革的政策研究。负责行业规范性文件合法性审查工作。负责本系统法律、法规、规章贯彻执行情况的监督、检查、评估工作。负责行业的法制建设、法制宣传和培训工作。负责行业行政复议、行政诉讼等法律服务工作。负责本系统执法人员培训、考核、年审、换证及执法人员信息录入上传工作。负责全局法治考核工作。负责做好立法调研和草案起草工作。配合上位法修订工作。承办市本系统行政审批事项。负责行政许可事项和政务服务事项的公开、公示、告知工作。负责进驻政务服务中心窗口的组织协调和审批项目的受理、审核及办理工作。负责城市基础设施配套费的征收。</w:t>
      </w:r>
    </w:p>
    <w:p>
      <w:pPr>
        <w:numPr>
          <w:ilvl w:val="0"/>
          <w:numId w:val="0"/>
        </w:numPr>
      </w:pPr>
    </w:p>
    <w:p>
      <w:pPr>
        <w:pStyle w:val="6"/>
        <w:rPr>
          <w:rStyle w:val="30"/>
          <w:rFonts w:ascii="Times New Roman" w:hAnsi="Times New Roman"/>
          <w:b w:val="0"/>
          <w:bCs w:val="0"/>
        </w:rPr>
      </w:pPr>
      <w:bookmarkStart w:id="47" w:name="_Toc15377200"/>
      <w:bookmarkStart w:id="48" w:name="_Toc15396601"/>
      <w:bookmarkStart w:id="49" w:name="_Toc72304527_WPSOffice_Level2"/>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47"/>
      <w:bookmarkEnd w:id="48"/>
      <w:bookmarkEnd w:id="49"/>
    </w:p>
    <w:p>
      <w:pPr>
        <w:keepNext w:val="0"/>
        <w:keepLines w:val="0"/>
        <w:pageBreakBefore w:val="0"/>
        <w:widowControl w:val="0"/>
        <w:kinsoku/>
        <w:wordWrap/>
        <w:overflowPunct/>
        <w:topLinePunct w:val="0"/>
        <w:autoSpaceDE/>
        <w:autoSpaceDN/>
        <w:bidi w:val="0"/>
        <w:spacing w:line="578" w:lineRule="exact"/>
        <w:ind w:firstLine="800" w:firstLineChars="25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四川省攀枝花市住房和城乡建设局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个。</w:t>
      </w:r>
    </w:p>
    <w:p>
      <w:pPr>
        <w:pStyle w:val="8"/>
        <w:keepNext w:val="0"/>
        <w:keepLines w:val="0"/>
        <w:pageBreakBefore w:val="0"/>
        <w:widowControl w:val="0"/>
        <w:kinsoku/>
        <w:wordWrap/>
        <w:overflowPunct/>
        <w:topLinePunct w:val="0"/>
        <w:autoSpaceDE/>
        <w:autoSpaceDN/>
        <w:bidi w:val="0"/>
        <w:adjustRightInd w:val="0"/>
        <w:snapToGrid w:val="0"/>
        <w:spacing w:before="93" w:beforeLines="0" w:line="578" w:lineRule="exact"/>
        <w:ind w:firstLine="668" w:firstLineChars="209"/>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四川省攀枝花市住房和城乡建设局</w:t>
      </w:r>
      <w:r>
        <w:rPr>
          <w:rFonts w:hint="eastAsia" w:ascii="Times New Roman" w:hAnsi="Times New Roman" w:eastAsia="仿宋_GB2312" w:cs="仿宋_GB2312"/>
          <w:color w:val="auto"/>
          <w:sz w:val="32"/>
          <w:szCs w:val="32"/>
          <w:highlight w:val="none"/>
          <w:lang w:eastAsia="zh-CN"/>
        </w:rPr>
        <w:t>20</w:t>
      </w:r>
      <w:r>
        <w:rPr>
          <w:rFonts w:hint="eastAsia" w:ascii="Times New Roman" w:hAnsi="Times New Roman"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1.市城市基本建设档案馆</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2.市市政公用设施服务中心</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3.市建设工程消防和勘察设计技术中心</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4.市城市建设资金中心</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5.市建设工程造价站</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6.市房地产事务中心</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7.市建设工程质量安全站</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8.市建筑节能和绿色建筑发展中心</w:t>
      </w:r>
    </w:p>
    <w:p>
      <w:pPr>
        <w:pStyle w:val="8"/>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jc w:val="both"/>
        <w:textAlignment w:val="auto"/>
        <w:rPr>
          <w:rFonts w:eastAsia="仿宋"/>
          <w:kern w:val="0"/>
          <w:sz w:val="32"/>
          <w:szCs w:val="32"/>
        </w:rPr>
      </w:pPr>
      <w:r>
        <w:rPr>
          <w:rFonts w:hint="eastAsia" w:ascii="仿宋_GB2312" w:hAnsi="仿宋_GB2312" w:eastAsia="仿宋_GB2312" w:cs="仿宋_GB2312"/>
          <w:sz w:val="32"/>
          <w:szCs w:val="32"/>
        </w:rPr>
        <w:t>9.市住房保障和建设项目服务中心</w:t>
      </w:r>
      <w:r>
        <w:rPr>
          <w:rFonts w:eastAsia="仿宋"/>
          <w:sz w:val="32"/>
          <w:szCs w:val="32"/>
        </w:rPr>
        <w:br w:type="page"/>
      </w:r>
    </w:p>
    <w:p>
      <w:pPr>
        <w:pStyle w:val="5"/>
        <w:jc w:val="center"/>
        <w:rPr>
          <w:rFonts w:eastAsia="方正小标宋简体" w:cs="方正小标宋简体"/>
          <w:b w:val="0"/>
        </w:rPr>
      </w:pPr>
      <w:bookmarkStart w:id="50" w:name="_Toc1449728321_WPSOffice_Level1"/>
      <w:bookmarkStart w:id="51" w:name="_Toc15396602"/>
      <w:bookmarkStart w:id="52" w:name="_Toc15377204"/>
      <w:r>
        <w:rPr>
          <w:rFonts w:hint="eastAsia" w:eastAsia="方正小标宋简体" w:cs="方正小标宋简体"/>
          <w:b w:val="0"/>
        </w:rPr>
        <w:t>第二部分  2025年度部门决算情况说明</w:t>
      </w:r>
      <w:bookmarkEnd w:id="50"/>
      <w:bookmarkEnd w:id="51"/>
      <w:bookmarkEnd w:id="52"/>
    </w:p>
    <w:p/>
    <w:p>
      <w:pPr>
        <w:pStyle w:val="28"/>
        <w:spacing w:line="600" w:lineRule="exact"/>
        <w:ind w:firstLine="640"/>
        <w:outlineLvl w:val="1"/>
        <w:rPr>
          <w:rStyle w:val="30"/>
          <w:rFonts w:ascii="Times New Roman" w:hAnsi="Times New Roman" w:eastAsia="黑体"/>
          <w:b w:val="0"/>
        </w:rPr>
      </w:pPr>
      <w:bookmarkStart w:id="53" w:name="_Toc15377205"/>
      <w:bookmarkStart w:id="54" w:name="_Toc1068337419_WPSOffice_Level2"/>
      <w:bookmarkStart w:id="55"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53"/>
      <w:bookmarkEnd w:id="54"/>
      <w:bookmarkEnd w:id="55"/>
    </w:p>
    <w:p>
      <w:pPr>
        <w:pStyle w:val="28"/>
        <w:spacing w:line="600" w:lineRule="exact"/>
        <w:ind w:firstLine="640"/>
        <w:outlineLvl w:val="1"/>
        <w:rPr>
          <w:rFonts w:hint="eastAsia" w:ascii="仿宋_GB2312" w:hAnsi="仿宋" w:eastAsia="仿宋_GB2312"/>
          <w:color w:val="FF0000"/>
          <w:sz w:val="32"/>
          <w:szCs w:val="32"/>
          <w:lang w:eastAsia="zh-CN"/>
        </w:rPr>
      </w:pPr>
      <w:r>
        <w:rPr>
          <w:rFonts w:hint="eastAsia" w:eastAsia="仿宋_GB2312" w:cs="仿宋_GB2312"/>
          <w:sz w:val="32"/>
          <w:szCs w:val="32"/>
        </w:rPr>
        <w:t>2025年度收入、支出总计均为34</w:t>
      </w:r>
      <w:r>
        <w:rPr>
          <w:rFonts w:hint="eastAsia" w:eastAsia="仿宋_GB2312" w:cs="仿宋_GB2312"/>
          <w:sz w:val="32"/>
          <w:szCs w:val="32"/>
          <w:lang w:val="en-US" w:eastAsia="zh-CN"/>
        </w:rPr>
        <w:t>,</w:t>
      </w:r>
      <w:r>
        <w:rPr>
          <w:rFonts w:hint="eastAsia" w:eastAsia="仿宋_GB2312" w:cs="仿宋_GB2312"/>
          <w:sz w:val="32"/>
          <w:szCs w:val="32"/>
        </w:rPr>
        <w:t>736.01万元。与上年度相比，收入、支出总计各减少</w:t>
      </w:r>
      <w:r>
        <w:rPr>
          <w:rFonts w:hint="eastAsia" w:eastAsia="仿宋_GB2312" w:cs="仿宋_GB2312"/>
          <w:sz w:val="32"/>
          <w:szCs w:val="32"/>
          <w:lang w:val="en-US" w:eastAsia="zh-CN"/>
        </w:rPr>
        <w:t>3,576.75</w:t>
      </w:r>
      <w:r>
        <w:rPr>
          <w:rFonts w:hint="eastAsia" w:eastAsia="仿宋_GB2312" w:cs="仿宋_GB2312"/>
          <w:sz w:val="32"/>
          <w:szCs w:val="32"/>
        </w:rPr>
        <w:t>万元，下降</w:t>
      </w:r>
      <w:r>
        <w:rPr>
          <w:rFonts w:hint="eastAsia" w:eastAsia="仿宋_GB2312" w:cs="仿宋_GB2312"/>
          <w:sz w:val="32"/>
          <w:szCs w:val="32"/>
          <w:lang w:val="en-US" w:eastAsia="zh-CN"/>
        </w:rPr>
        <w:t>9.34</w:t>
      </w:r>
      <w:r>
        <w:rPr>
          <w:rFonts w:hint="eastAsia" w:eastAsia="仿宋_GB2312" w:cs="仿宋_GB2312"/>
          <w:sz w:val="32"/>
          <w:szCs w:val="32"/>
        </w:rPr>
        <w:t>%。主要变动原因是</w:t>
      </w:r>
      <w:r>
        <w:rPr>
          <w:rFonts w:hint="eastAsia" w:ascii="仿宋_GB2312" w:hAnsi="仿宋" w:eastAsia="仿宋_GB2312"/>
          <w:sz w:val="32"/>
          <w:szCs w:val="32"/>
        </w:rPr>
        <w:t>局机关火车南站及生活污水PPP项</w:t>
      </w:r>
      <w:r>
        <w:rPr>
          <w:rFonts w:hint="eastAsia" w:eastAsia="仿宋_GB2312" w:cs="仿宋_GB2312"/>
          <w:sz w:val="32"/>
          <w:szCs w:val="32"/>
        </w:rPr>
        <w:t>目指标下达较上年减少约6,597万元，而市市政中心增加了攀枝花大道南段市政排水管道改造、攀枝花市钢城大道西段排水管道工程等项目经费</w:t>
      </w:r>
      <w:r>
        <w:rPr>
          <w:rFonts w:hint="eastAsia" w:eastAsia="仿宋_GB2312" w:cs="仿宋_GB2312"/>
          <w:color w:val="auto"/>
          <w:sz w:val="32"/>
          <w:szCs w:val="32"/>
        </w:rPr>
        <w:t>2,846万元</w:t>
      </w:r>
      <w:r>
        <w:rPr>
          <w:rFonts w:hint="eastAsia" w:eastAsia="仿宋_GB2312" w:cs="仿宋_GB2312"/>
          <w:color w:val="auto"/>
          <w:sz w:val="32"/>
          <w:szCs w:val="32"/>
          <w:lang w:eastAsia="zh-CN"/>
        </w:rPr>
        <w:t>。</w:t>
      </w:r>
    </w:p>
    <w:p>
      <w:pPr>
        <w:pStyle w:val="28"/>
        <w:spacing w:line="240" w:lineRule="auto"/>
        <w:ind w:firstLine="640"/>
        <w:jc w:val="center"/>
        <w:outlineLvl w:val="1"/>
        <w:rPr>
          <w:rFonts w:hint="eastAsia" w:ascii="仿宋_GB2312" w:hAnsi="仿宋" w:eastAsia="仿宋_GB2312"/>
          <w:sz w:val="32"/>
          <w:szCs w:val="32"/>
          <w:lang w:eastAsia="zh-CN"/>
        </w:rPr>
      </w:pPr>
      <w:r>
        <w:rPr>
          <w:rFonts w:hint="eastAsia" w:ascii="仿宋_GB2312" w:hAnsi="仿宋" w:eastAsia="仿宋_GB2312"/>
          <w:sz w:val="32"/>
          <w:szCs w:val="32"/>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（图1：收入、支出决算总计变动情况图）</w:t>
      </w:r>
    </w:p>
    <w:p>
      <w:pPr>
        <w:ind w:firstLine="640" w:firstLineChars="200"/>
        <w:rPr>
          <w:rFonts w:eastAsia="仿宋_GB2312" w:cs="仿宋_GB2312"/>
          <w:sz w:val="32"/>
          <w:szCs w:val="32"/>
        </w:rPr>
      </w:pPr>
    </w:p>
    <w:p>
      <w:pPr>
        <w:pStyle w:val="28"/>
        <w:spacing w:line="600" w:lineRule="exact"/>
        <w:ind w:firstLine="640"/>
        <w:outlineLvl w:val="1"/>
        <w:rPr>
          <w:rFonts w:eastAsia="黑体"/>
          <w:sz w:val="32"/>
          <w:szCs w:val="32"/>
        </w:rPr>
      </w:pPr>
      <w:bookmarkStart w:id="56" w:name="_Toc15396604"/>
      <w:bookmarkStart w:id="57" w:name="_Toc15377206"/>
      <w:bookmarkStart w:id="58" w:name="_Toc690180173_WPSOffice_Level2"/>
      <w:r>
        <w:rPr>
          <w:rFonts w:hint="eastAsia" w:eastAsia="黑体"/>
          <w:sz w:val="32"/>
          <w:szCs w:val="32"/>
        </w:rPr>
        <w:t>二、收入决算情况说明</w:t>
      </w:r>
      <w:bookmarkEnd w:id="56"/>
      <w:bookmarkEnd w:id="57"/>
      <w:bookmarkEnd w:id="58"/>
    </w:p>
    <w:p>
      <w:pPr>
        <w:pStyle w:val="28"/>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2025年度本年收入合计34</w:t>
      </w:r>
      <w:r>
        <w:rPr>
          <w:rFonts w:hint="eastAsia" w:eastAsia="仿宋_GB2312" w:cs="仿宋_GB2312"/>
          <w:sz w:val="32"/>
          <w:szCs w:val="32"/>
          <w:lang w:val="en-US" w:eastAsia="zh-CN"/>
        </w:rPr>
        <w:t>,</w:t>
      </w:r>
      <w:r>
        <w:rPr>
          <w:rFonts w:hint="eastAsia" w:eastAsia="仿宋_GB2312" w:cs="仿宋_GB2312"/>
          <w:sz w:val="32"/>
          <w:szCs w:val="32"/>
        </w:rPr>
        <w:t>699.62万元，</w:t>
      </w:r>
      <w:r>
        <w:rPr>
          <w:rFonts w:hint="eastAsia" w:eastAsia="仿宋_GB2312" w:cs="仿宋_GB2312"/>
          <w:color w:val="auto"/>
          <w:sz w:val="32"/>
          <w:szCs w:val="32"/>
        </w:rPr>
        <w:t>其中：一般公共预算财政拨款收入27</w:t>
      </w:r>
      <w:r>
        <w:rPr>
          <w:rFonts w:hint="eastAsia" w:eastAsia="仿宋_GB2312" w:cs="仿宋_GB2312"/>
          <w:color w:val="auto"/>
          <w:sz w:val="32"/>
          <w:szCs w:val="32"/>
          <w:lang w:val="en-US" w:eastAsia="zh-CN"/>
        </w:rPr>
        <w:t>,</w:t>
      </w:r>
      <w:r>
        <w:rPr>
          <w:rFonts w:hint="eastAsia" w:eastAsia="仿宋_GB2312" w:cs="仿宋_GB2312"/>
          <w:color w:val="auto"/>
          <w:sz w:val="32"/>
          <w:szCs w:val="32"/>
        </w:rPr>
        <w:t>168.74万元，占</w:t>
      </w:r>
      <w:r>
        <w:rPr>
          <w:rFonts w:hint="eastAsia" w:eastAsia="仿宋_GB2312" w:cs="仿宋_GB2312"/>
          <w:color w:val="auto"/>
          <w:sz w:val="32"/>
          <w:szCs w:val="32"/>
          <w:lang w:val="en-US" w:eastAsia="zh-CN"/>
        </w:rPr>
        <w:t>78.3</w:t>
      </w:r>
      <w:r>
        <w:rPr>
          <w:rFonts w:hint="eastAsia" w:eastAsia="仿宋_GB2312" w:cs="仿宋_GB2312"/>
          <w:color w:val="auto"/>
          <w:sz w:val="32"/>
          <w:szCs w:val="32"/>
        </w:rPr>
        <w:t>%；政府性基金预算财政拨款收入7</w:t>
      </w:r>
      <w:r>
        <w:rPr>
          <w:rFonts w:hint="eastAsia" w:eastAsia="仿宋_GB2312" w:cs="仿宋_GB2312"/>
          <w:color w:val="auto"/>
          <w:sz w:val="32"/>
          <w:szCs w:val="32"/>
          <w:lang w:val="en-US" w:eastAsia="zh-CN"/>
        </w:rPr>
        <w:t>,</w:t>
      </w:r>
      <w:r>
        <w:rPr>
          <w:rFonts w:hint="eastAsia" w:eastAsia="仿宋_GB2312" w:cs="仿宋_GB2312"/>
          <w:color w:val="auto"/>
          <w:sz w:val="32"/>
          <w:szCs w:val="32"/>
        </w:rPr>
        <w:t>530.8</w:t>
      </w:r>
      <w:r>
        <w:rPr>
          <w:rFonts w:hint="eastAsia" w:eastAsia="仿宋_GB2312" w:cs="仿宋_GB2312"/>
          <w:color w:val="auto"/>
          <w:sz w:val="32"/>
          <w:szCs w:val="32"/>
          <w:lang w:val="en-US" w:eastAsia="zh-CN"/>
        </w:rPr>
        <w:t>8</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21.7</w:t>
      </w:r>
      <w:r>
        <w:rPr>
          <w:rFonts w:hint="eastAsia" w:eastAsia="仿宋_GB2312" w:cs="仿宋_GB2312"/>
          <w:color w:val="auto"/>
          <w:sz w:val="32"/>
          <w:szCs w:val="32"/>
        </w:rPr>
        <w:t>%</w:t>
      </w:r>
      <w:r>
        <w:rPr>
          <w:rFonts w:hint="eastAsia" w:eastAsia="仿宋_GB2312" w:cs="仿宋_GB2312"/>
          <w:color w:val="auto"/>
          <w:sz w:val="32"/>
          <w:szCs w:val="32"/>
          <w:lang w:eastAsia="zh-CN"/>
        </w:rPr>
        <w:t>。</w:t>
      </w:r>
    </w:p>
    <w:p>
      <w:pPr>
        <w:pStyle w:val="28"/>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（图2：收入决算结构图）</w:t>
      </w:r>
    </w:p>
    <w:p>
      <w:pPr>
        <w:ind w:firstLine="800" w:firstLineChars="250"/>
        <w:rPr>
          <w:rFonts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59" w:name="_Toc15396605"/>
      <w:bookmarkStart w:id="60" w:name="_Toc15377207"/>
      <w:bookmarkStart w:id="61" w:name="_Toc1781285027_WPSOffice_Level2"/>
      <w:r>
        <w:rPr>
          <w:rFonts w:hint="eastAsia" w:eastAsia="黑体"/>
          <w:sz w:val="32"/>
          <w:szCs w:val="32"/>
        </w:rPr>
        <w:t>三、支</w:t>
      </w:r>
      <w:r>
        <w:rPr>
          <w:rStyle w:val="30"/>
          <w:rFonts w:hint="eastAsia" w:ascii="Times New Roman" w:hAnsi="Times New Roman" w:eastAsia="黑体"/>
          <w:b w:val="0"/>
        </w:rPr>
        <w:t>出决算情况说明</w:t>
      </w:r>
      <w:bookmarkEnd w:id="59"/>
      <w:bookmarkEnd w:id="60"/>
      <w:bookmarkEnd w:id="61"/>
    </w:p>
    <w:p>
      <w:pPr>
        <w:pStyle w:val="28"/>
        <w:spacing w:line="600" w:lineRule="exact"/>
        <w:ind w:firstLine="640"/>
        <w:outlineLvl w:val="1"/>
        <w:rPr>
          <w:rFonts w:hint="eastAsia" w:eastAsia="仿宋_GB2312" w:cs="仿宋_GB2312"/>
          <w:color w:val="00B050"/>
          <w:sz w:val="32"/>
          <w:szCs w:val="32"/>
        </w:rPr>
      </w:pPr>
      <w:r>
        <w:rPr>
          <w:rFonts w:hint="eastAsia" w:eastAsia="仿宋_GB2312" w:cs="仿宋_GB2312"/>
          <w:sz w:val="32"/>
          <w:szCs w:val="32"/>
        </w:rPr>
        <w:t>2025年度本年支出合计34</w:t>
      </w:r>
      <w:r>
        <w:rPr>
          <w:rFonts w:hint="eastAsia" w:eastAsia="仿宋_GB2312" w:cs="仿宋_GB2312"/>
          <w:sz w:val="32"/>
          <w:szCs w:val="32"/>
          <w:lang w:val="en-US" w:eastAsia="zh-CN"/>
        </w:rPr>
        <w:t>,</w:t>
      </w:r>
      <w:r>
        <w:rPr>
          <w:rFonts w:hint="eastAsia" w:eastAsia="仿宋_GB2312" w:cs="仿宋_GB2312"/>
          <w:sz w:val="32"/>
          <w:szCs w:val="32"/>
        </w:rPr>
        <w:t>699.62万元，其中：基本支</w:t>
      </w:r>
      <w:r>
        <w:rPr>
          <w:rFonts w:hint="eastAsia" w:eastAsia="仿宋_GB2312" w:cs="仿宋_GB2312"/>
          <w:color w:val="auto"/>
          <w:sz w:val="32"/>
          <w:szCs w:val="32"/>
        </w:rPr>
        <w:t>出8</w:t>
      </w:r>
      <w:r>
        <w:rPr>
          <w:rFonts w:hint="eastAsia" w:eastAsia="仿宋_GB2312" w:cs="仿宋_GB2312"/>
          <w:color w:val="auto"/>
          <w:sz w:val="32"/>
          <w:szCs w:val="32"/>
          <w:lang w:val="en-US" w:eastAsia="zh-CN"/>
        </w:rPr>
        <w:t>,</w:t>
      </w:r>
      <w:r>
        <w:rPr>
          <w:rFonts w:hint="eastAsia" w:eastAsia="仿宋_GB2312" w:cs="仿宋_GB2312"/>
          <w:color w:val="auto"/>
          <w:sz w:val="32"/>
          <w:szCs w:val="32"/>
        </w:rPr>
        <w:t>999.5</w:t>
      </w:r>
      <w:r>
        <w:rPr>
          <w:rFonts w:hint="eastAsia" w:eastAsia="仿宋_GB2312" w:cs="仿宋_GB2312"/>
          <w:color w:val="auto"/>
          <w:sz w:val="32"/>
          <w:szCs w:val="32"/>
          <w:lang w:val="en-US" w:eastAsia="zh-CN"/>
        </w:rPr>
        <w:t>2</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25.94</w:t>
      </w:r>
      <w:r>
        <w:rPr>
          <w:rFonts w:hint="eastAsia" w:eastAsia="仿宋_GB2312" w:cs="仿宋_GB2312"/>
          <w:color w:val="auto"/>
          <w:sz w:val="32"/>
          <w:szCs w:val="32"/>
        </w:rPr>
        <w:t>%；项目支出25</w:t>
      </w:r>
      <w:r>
        <w:rPr>
          <w:rFonts w:hint="eastAsia" w:eastAsia="仿宋_GB2312" w:cs="仿宋_GB2312"/>
          <w:color w:val="auto"/>
          <w:sz w:val="32"/>
          <w:szCs w:val="32"/>
          <w:lang w:val="en-US" w:eastAsia="zh-CN"/>
        </w:rPr>
        <w:t>,</w:t>
      </w:r>
      <w:r>
        <w:rPr>
          <w:rFonts w:hint="eastAsia" w:eastAsia="仿宋_GB2312" w:cs="仿宋_GB2312"/>
          <w:color w:val="auto"/>
          <w:sz w:val="32"/>
          <w:szCs w:val="32"/>
        </w:rPr>
        <w:t>700.1万元，占</w:t>
      </w:r>
      <w:r>
        <w:rPr>
          <w:rFonts w:hint="eastAsia" w:eastAsia="仿宋_GB2312" w:cs="仿宋_GB2312"/>
          <w:color w:val="auto"/>
          <w:sz w:val="32"/>
          <w:szCs w:val="32"/>
          <w:lang w:val="en-US" w:eastAsia="zh-CN"/>
        </w:rPr>
        <w:t>74.06</w:t>
      </w:r>
      <w:r>
        <w:rPr>
          <w:rFonts w:hint="eastAsia" w:eastAsia="仿宋_GB2312" w:cs="仿宋_GB2312"/>
          <w:color w:val="auto"/>
          <w:sz w:val="32"/>
          <w:szCs w:val="32"/>
        </w:rPr>
        <w:t>%。</w:t>
      </w:r>
    </w:p>
    <w:p>
      <w:pPr>
        <w:pStyle w:val="28"/>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3810000"/>
            <wp:effectExtent l="4445" t="4445"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（图3：支出决算结构图）</w:t>
      </w:r>
    </w:p>
    <w:p>
      <w:pPr>
        <w:ind w:firstLine="800" w:firstLineChars="25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62" w:name="_Toc876435646_WPSOffice_Level2"/>
      <w:bookmarkStart w:id="63" w:name="_Toc15377208"/>
      <w:bookmarkStart w:id="64"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62"/>
      <w:bookmarkEnd w:id="63"/>
      <w:bookmarkEnd w:id="64"/>
    </w:p>
    <w:p>
      <w:pPr>
        <w:spacing w:line="600" w:lineRule="exact"/>
        <w:ind w:firstLine="640"/>
        <w:rPr>
          <w:rFonts w:hint="eastAsia" w:ascii="仿宋_GB2312" w:hAnsi="仿宋" w:eastAsia="仿宋_GB2312"/>
          <w:sz w:val="32"/>
          <w:szCs w:val="32"/>
          <w:lang w:eastAsia="zh-CN"/>
        </w:rPr>
      </w:pPr>
      <w:r>
        <w:rPr>
          <w:rFonts w:hint="eastAsia" w:eastAsia="仿宋_GB2312" w:cs="仿宋_GB2312"/>
          <w:sz w:val="32"/>
          <w:szCs w:val="32"/>
        </w:rPr>
        <w:t>2025年度财政拨款收入、支出总计均为34</w:t>
      </w:r>
      <w:r>
        <w:rPr>
          <w:rFonts w:hint="eastAsia" w:eastAsia="仿宋_GB2312" w:cs="仿宋_GB2312"/>
          <w:sz w:val="32"/>
          <w:szCs w:val="32"/>
          <w:lang w:val="en-US" w:eastAsia="zh-CN"/>
        </w:rPr>
        <w:t>,</w:t>
      </w:r>
      <w:r>
        <w:rPr>
          <w:rFonts w:hint="eastAsia" w:eastAsia="仿宋_GB2312" w:cs="仿宋_GB2312"/>
          <w:sz w:val="32"/>
          <w:szCs w:val="32"/>
        </w:rPr>
        <w:t>699.62万元。与上年度相比，收入、支出总计各减少</w:t>
      </w:r>
      <w:r>
        <w:rPr>
          <w:rFonts w:hint="eastAsia" w:eastAsia="仿宋_GB2312" w:cs="仿宋_GB2312"/>
          <w:sz w:val="32"/>
          <w:szCs w:val="32"/>
          <w:lang w:val="en-US" w:eastAsia="zh-CN"/>
        </w:rPr>
        <w:t>3,576.75</w:t>
      </w:r>
      <w:r>
        <w:rPr>
          <w:rFonts w:hint="eastAsia" w:eastAsia="仿宋_GB2312" w:cs="仿宋_GB2312"/>
          <w:sz w:val="32"/>
          <w:szCs w:val="32"/>
        </w:rPr>
        <w:t>万元，下降</w:t>
      </w:r>
      <w:r>
        <w:rPr>
          <w:rFonts w:hint="eastAsia" w:eastAsia="仿宋_GB2312" w:cs="仿宋_GB2312"/>
          <w:sz w:val="32"/>
          <w:szCs w:val="32"/>
          <w:lang w:val="en-US" w:eastAsia="zh-CN"/>
        </w:rPr>
        <w:t>9.34</w:t>
      </w:r>
      <w:r>
        <w:rPr>
          <w:rFonts w:hint="eastAsia" w:eastAsia="仿宋_GB2312" w:cs="仿宋_GB2312"/>
          <w:sz w:val="32"/>
          <w:szCs w:val="32"/>
        </w:rPr>
        <w:t>%。主要变动原因是局机关火车南站及生活污水PPP项目指标下达较上年减少约6</w:t>
      </w:r>
      <w:r>
        <w:rPr>
          <w:rFonts w:hint="eastAsia" w:eastAsia="仿宋_GB2312" w:cs="仿宋_GB2312"/>
          <w:sz w:val="32"/>
          <w:szCs w:val="32"/>
          <w:lang w:val="en-US" w:eastAsia="zh-CN"/>
        </w:rPr>
        <w:t>,</w:t>
      </w:r>
      <w:r>
        <w:rPr>
          <w:rFonts w:hint="eastAsia" w:eastAsia="仿宋_GB2312" w:cs="仿宋_GB2312"/>
          <w:sz w:val="32"/>
          <w:szCs w:val="32"/>
        </w:rPr>
        <w:t>597万元，而市市政中心增加了攀枝花大道南段市政排水管道改造、攀枝花市钢城大道西段排水管道工程等项目经费</w:t>
      </w:r>
      <w:r>
        <w:rPr>
          <w:rFonts w:hint="eastAsia" w:eastAsia="仿宋_GB2312" w:cs="仿宋_GB2312"/>
          <w:color w:val="auto"/>
          <w:sz w:val="32"/>
          <w:szCs w:val="32"/>
        </w:rPr>
        <w:t>2</w:t>
      </w:r>
      <w:r>
        <w:rPr>
          <w:rFonts w:hint="eastAsia" w:eastAsia="仿宋_GB2312" w:cs="仿宋_GB2312"/>
          <w:color w:val="auto"/>
          <w:sz w:val="32"/>
          <w:szCs w:val="32"/>
          <w:lang w:val="en-US" w:eastAsia="zh-CN"/>
        </w:rPr>
        <w:t>,</w:t>
      </w:r>
      <w:r>
        <w:rPr>
          <w:rFonts w:hint="eastAsia" w:eastAsia="仿宋_GB2312" w:cs="仿宋_GB2312"/>
          <w:color w:val="auto"/>
          <w:sz w:val="32"/>
          <w:szCs w:val="32"/>
        </w:rPr>
        <w:t>846万元</w:t>
      </w:r>
      <w:r>
        <w:rPr>
          <w:rFonts w:hint="eastAsia" w:eastAsia="仿宋_GB2312" w:cs="仿宋_GB2312"/>
          <w:color w:val="auto"/>
          <w:sz w:val="32"/>
          <w:szCs w:val="32"/>
          <w:lang w:eastAsia="zh-CN"/>
        </w:rPr>
        <w:t>。</w:t>
      </w:r>
    </w:p>
    <w:p>
      <w:pPr>
        <w:pStyle w:val="2"/>
        <w:jc w:val="center"/>
      </w:pPr>
      <w:r>
        <w:rPr>
          <w:rFonts w:hint="eastAsia" w:ascii="仿宋_GB2312" w:hAnsi="仿宋" w:eastAsia="仿宋_GB2312"/>
          <w:sz w:val="32"/>
          <w:szCs w:val="32"/>
          <w:lang w:eastAsia="zh-CN"/>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65" w:name="_Toc622833023_WPSOffice_Level2"/>
      <w:bookmarkStart w:id="66" w:name="_Toc15396607"/>
      <w:bookmarkStart w:id="67"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65"/>
      <w:bookmarkEnd w:id="66"/>
      <w:bookmarkEnd w:id="67"/>
    </w:p>
    <w:p>
      <w:pPr>
        <w:spacing w:line="600" w:lineRule="exact"/>
        <w:ind w:firstLine="642" w:firstLineChars="200"/>
        <w:outlineLvl w:val="2"/>
        <w:rPr>
          <w:rFonts w:eastAsia="楷体_GB2312" w:cs="楷体_GB2312"/>
          <w:b/>
          <w:sz w:val="32"/>
          <w:szCs w:val="32"/>
        </w:rPr>
      </w:pPr>
      <w:bookmarkStart w:id="68" w:name="_Toc15377210"/>
      <w:r>
        <w:rPr>
          <w:rFonts w:hint="eastAsia" w:eastAsia="楷体_GB2312" w:cs="楷体_GB2312"/>
          <w:b/>
          <w:sz w:val="32"/>
          <w:szCs w:val="32"/>
        </w:rPr>
        <w:t>（一）一般公共预算财政拨款支出决算总体情况</w:t>
      </w:r>
      <w:bookmarkEnd w:id="68"/>
    </w:p>
    <w:p>
      <w:pPr>
        <w:spacing w:line="600" w:lineRule="exact"/>
        <w:ind w:firstLine="640"/>
        <w:rPr>
          <w:rFonts w:hint="eastAsia" w:ascii="仿宋_GB2312" w:hAnsi="宋体" w:eastAsia="仿宋_GB2312"/>
          <w:sz w:val="32"/>
          <w:szCs w:val="32"/>
        </w:rPr>
      </w:pPr>
      <w:r>
        <w:rPr>
          <w:rFonts w:hint="eastAsia" w:eastAsia="仿宋_GB2312" w:cs="仿宋_GB2312"/>
          <w:sz w:val="32"/>
          <w:szCs w:val="32"/>
        </w:rPr>
        <w:t>2025年度一般公共预算财政拨款支出27</w:t>
      </w:r>
      <w:r>
        <w:rPr>
          <w:rFonts w:hint="eastAsia" w:eastAsia="仿宋_GB2312" w:cs="仿宋_GB2312"/>
          <w:sz w:val="32"/>
          <w:szCs w:val="32"/>
          <w:lang w:val="en-US" w:eastAsia="zh-CN"/>
        </w:rPr>
        <w:t>,</w:t>
      </w:r>
      <w:r>
        <w:rPr>
          <w:rFonts w:hint="eastAsia" w:eastAsia="仿宋_GB2312" w:cs="仿宋_GB2312"/>
          <w:sz w:val="32"/>
          <w:szCs w:val="32"/>
        </w:rPr>
        <w:t>168.74万元，占本年支出合计的</w:t>
      </w:r>
      <w:r>
        <w:rPr>
          <w:rFonts w:hint="eastAsia" w:eastAsia="仿宋_GB2312" w:cs="仿宋_GB2312"/>
          <w:sz w:val="32"/>
          <w:szCs w:val="32"/>
          <w:lang w:val="en-US" w:eastAsia="zh-CN"/>
        </w:rPr>
        <w:t>78.30</w:t>
      </w:r>
      <w:r>
        <w:rPr>
          <w:rFonts w:hint="eastAsia" w:eastAsia="仿宋_GB2312" w:cs="仿宋_GB2312"/>
          <w:sz w:val="32"/>
          <w:szCs w:val="32"/>
        </w:rPr>
        <w:t>%。与上年度相比，一般公共预算财政拨款支出增加11</w:t>
      </w:r>
      <w:r>
        <w:rPr>
          <w:rFonts w:hint="eastAsia" w:eastAsia="仿宋_GB2312" w:cs="仿宋_GB2312"/>
          <w:sz w:val="32"/>
          <w:szCs w:val="32"/>
          <w:lang w:val="en-US" w:eastAsia="zh-CN"/>
        </w:rPr>
        <w:t>,</w:t>
      </w:r>
      <w:r>
        <w:rPr>
          <w:rFonts w:hint="eastAsia" w:eastAsia="仿宋_GB2312" w:cs="仿宋_GB2312"/>
          <w:sz w:val="32"/>
          <w:szCs w:val="32"/>
        </w:rPr>
        <w:t>538</w:t>
      </w:r>
      <w:r>
        <w:rPr>
          <w:rFonts w:hint="eastAsia" w:eastAsia="仿宋_GB2312" w:cs="仿宋_GB2312"/>
          <w:sz w:val="32"/>
          <w:szCs w:val="32"/>
          <w:lang w:val="en-US" w:eastAsia="zh-CN"/>
        </w:rPr>
        <w:t>.34万元，增长73.82%，主要原因是局机关上年攀枝花火车南站站前基础设施PPP项目及攀枝花市生活污水处理设施建设PPP项目使用政府性基金预算，而2025年下达一般公共预算财政拨款较多。</w:t>
      </w:r>
    </w:p>
    <w:p>
      <w:pPr>
        <w:pStyle w:val="2"/>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jc w:val="center"/>
        <w:rPr>
          <w:rFonts w:hint="eastAsia" w:eastAsia="仿宋_GB2312" w:cs="仿宋_GB2312"/>
          <w:sz w:val="32"/>
          <w:szCs w:val="32"/>
        </w:rPr>
      </w:pPr>
      <w:r>
        <w:rPr>
          <w:rFonts w:hint="eastAsia" w:eastAsia="仿宋_GB2312" w:cs="仿宋_GB2312"/>
          <w:sz w:val="32"/>
          <w:szCs w:val="32"/>
        </w:rPr>
        <w:t>（图5：一般公共预算财政拨款支出决算变动情况）</w:t>
      </w:r>
    </w:p>
    <w:p>
      <w:pPr>
        <w:pStyle w:val="2"/>
        <w:rPr>
          <w:rFonts w:hint="eastAsia" w:eastAsia="仿宋_GB2312" w:cs="仿宋_GB2312"/>
          <w:sz w:val="32"/>
          <w:szCs w:val="32"/>
        </w:rPr>
      </w:pPr>
    </w:p>
    <w:p>
      <w:pPr>
        <w:pStyle w:val="3"/>
      </w:pPr>
    </w:p>
    <w:p>
      <w:pPr>
        <w:spacing w:line="600" w:lineRule="exact"/>
        <w:ind w:firstLine="642" w:firstLineChars="200"/>
        <w:outlineLvl w:val="2"/>
        <w:rPr>
          <w:rFonts w:eastAsia="楷体_GB2312" w:cs="楷体_GB2312"/>
          <w:b/>
          <w:sz w:val="32"/>
          <w:szCs w:val="32"/>
        </w:rPr>
      </w:pPr>
      <w:bookmarkStart w:id="69" w:name="_Toc15377211"/>
      <w:r>
        <w:rPr>
          <w:rFonts w:hint="eastAsia" w:eastAsia="楷体_GB2312" w:cs="楷体_GB2312"/>
          <w:b/>
          <w:sz w:val="32"/>
          <w:szCs w:val="32"/>
        </w:rPr>
        <w:t>（二）一般公共预算财政拨款支出决算结构情况</w:t>
      </w:r>
      <w:bookmarkEnd w:id="69"/>
    </w:p>
    <w:p>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2025年度一般公共预算财政拨款支出27</w:t>
      </w:r>
      <w:r>
        <w:rPr>
          <w:rFonts w:hint="eastAsia" w:eastAsia="仿宋_GB2312" w:cs="仿宋_GB2312"/>
          <w:sz w:val="32"/>
          <w:szCs w:val="32"/>
          <w:lang w:val="en-US" w:eastAsia="zh-CN"/>
        </w:rPr>
        <w:t>,</w:t>
      </w:r>
      <w:r>
        <w:rPr>
          <w:rFonts w:hint="eastAsia" w:eastAsia="仿宋_GB2312" w:cs="仿宋_GB2312"/>
          <w:sz w:val="32"/>
          <w:szCs w:val="32"/>
        </w:rPr>
        <w:t>168.74万元，</w:t>
      </w:r>
      <w:r>
        <w:rPr>
          <w:rFonts w:hint="eastAsia" w:eastAsia="仿宋_GB2312" w:cs="仿宋_GB2312"/>
          <w:color w:val="auto"/>
          <w:sz w:val="32"/>
          <w:szCs w:val="32"/>
        </w:rPr>
        <w:t>主要用于以下方面：一般公共服务支出18</w:t>
      </w:r>
      <w:r>
        <w:rPr>
          <w:rFonts w:hint="eastAsia" w:eastAsia="仿宋_GB2312" w:cs="仿宋_GB2312"/>
          <w:color w:val="auto"/>
          <w:sz w:val="32"/>
          <w:szCs w:val="32"/>
          <w:lang w:val="en-US" w:eastAsia="zh-CN"/>
        </w:rPr>
        <w:t>.</w:t>
      </w:r>
      <w:r>
        <w:rPr>
          <w:rFonts w:hint="eastAsia" w:eastAsia="仿宋_GB2312" w:cs="仿宋_GB2312"/>
          <w:color w:val="auto"/>
          <w:sz w:val="32"/>
          <w:szCs w:val="32"/>
        </w:rPr>
        <w:t>70万元，占总支出比重0.0</w:t>
      </w:r>
      <w:r>
        <w:rPr>
          <w:rFonts w:hint="eastAsia" w:eastAsia="仿宋_GB2312" w:cs="仿宋_GB2312"/>
          <w:color w:val="auto"/>
          <w:sz w:val="32"/>
          <w:szCs w:val="32"/>
          <w:lang w:val="en-US" w:eastAsia="zh-CN"/>
        </w:rPr>
        <w:t>7</w:t>
      </w:r>
      <w:r>
        <w:rPr>
          <w:rFonts w:hint="eastAsia" w:eastAsia="仿宋_GB2312" w:cs="仿宋_GB2312"/>
          <w:color w:val="auto"/>
          <w:sz w:val="32"/>
          <w:szCs w:val="32"/>
        </w:rPr>
        <w:t>%；社会保障和就业支出2</w:t>
      </w:r>
      <w:r>
        <w:rPr>
          <w:rFonts w:hint="eastAsia" w:eastAsia="仿宋_GB2312" w:cs="仿宋_GB2312"/>
          <w:color w:val="auto"/>
          <w:sz w:val="32"/>
          <w:szCs w:val="32"/>
          <w:lang w:val="en-US" w:eastAsia="zh-CN"/>
        </w:rPr>
        <w:t>,</w:t>
      </w:r>
      <w:r>
        <w:rPr>
          <w:rFonts w:hint="eastAsia" w:eastAsia="仿宋_GB2312" w:cs="仿宋_GB2312"/>
          <w:color w:val="auto"/>
          <w:sz w:val="32"/>
          <w:szCs w:val="32"/>
        </w:rPr>
        <w:t>322</w:t>
      </w:r>
      <w:r>
        <w:rPr>
          <w:rFonts w:hint="eastAsia" w:eastAsia="仿宋_GB2312" w:cs="仿宋_GB2312"/>
          <w:color w:val="auto"/>
          <w:sz w:val="32"/>
          <w:szCs w:val="32"/>
          <w:lang w:val="en-US" w:eastAsia="zh-CN"/>
        </w:rPr>
        <w:t>.</w:t>
      </w:r>
      <w:r>
        <w:rPr>
          <w:rFonts w:hint="eastAsia" w:eastAsia="仿宋_GB2312" w:cs="仿宋_GB2312"/>
          <w:color w:val="auto"/>
          <w:sz w:val="32"/>
          <w:szCs w:val="32"/>
        </w:rPr>
        <w:t>5</w:t>
      </w:r>
      <w:r>
        <w:rPr>
          <w:rFonts w:hint="eastAsia" w:eastAsia="仿宋_GB2312" w:cs="仿宋_GB2312"/>
          <w:color w:val="auto"/>
          <w:sz w:val="32"/>
          <w:szCs w:val="32"/>
          <w:lang w:val="en-US" w:eastAsia="zh-CN"/>
        </w:rPr>
        <w:t>6</w:t>
      </w:r>
      <w:r>
        <w:rPr>
          <w:rFonts w:hint="eastAsia" w:eastAsia="仿宋_GB2312" w:cs="仿宋_GB2312"/>
          <w:color w:val="auto"/>
          <w:sz w:val="32"/>
          <w:szCs w:val="32"/>
        </w:rPr>
        <w:t>万元，占总支出比重</w:t>
      </w:r>
      <w:r>
        <w:rPr>
          <w:rFonts w:hint="eastAsia" w:eastAsia="仿宋_GB2312" w:cs="仿宋_GB2312"/>
          <w:color w:val="auto"/>
          <w:sz w:val="32"/>
          <w:szCs w:val="32"/>
          <w:lang w:val="en-US" w:eastAsia="zh-CN"/>
        </w:rPr>
        <w:t>8.55</w:t>
      </w:r>
      <w:r>
        <w:rPr>
          <w:rFonts w:hint="eastAsia" w:eastAsia="仿宋_GB2312" w:cs="仿宋_GB2312"/>
          <w:color w:val="auto"/>
          <w:sz w:val="32"/>
          <w:szCs w:val="32"/>
        </w:rPr>
        <w:t>%；卫生健康支出378</w:t>
      </w:r>
      <w:r>
        <w:rPr>
          <w:rFonts w:hint="eastAsia" w:eastAsia="仿宋_GB2312" w:cs="仿宋_GB2312"/>
          <w:color w:val="auto"/>
          <w:sz w:val="32"/>
          <w:szCs w:val="32"/>
          <w:lang w:val="en-US" w:eastAsia="zh-CN"/>
        </w:rPr>
        <w:t>.</w:t>
      </w:r>
      <w:r>
        <w:rPr>
          <w:rFonts w:hint="eastAsia" w:eastAsia="仿宋_GB2312" w:cs="仿宋_GB2312"/>
          <w:color w:val="auto"/>
          <w:sz w:val="32"/>
          <w:szCs w:val="32"/>
        </w:rPr>
        <w:t>52万元，占总支出比重1.</w:t>
      </w:r>
      <w:r>
        <w:rPr>
          <w:rFonts w:hint="eastAsia" w:eastAsia="仿宋_GB2312" w:cs="仿宋_GB2312"/>
          <w:color w:val="auto"/>
          <w:sz w:val="32"/>
          <w:szCs w:val="32"/>
          <w:lang w:val="en-US" w:eastAsia="zh-CN"/>
        </w:rPr>
        <w:t>39</w:t>
      </w:r>
      <w:r>
        <w:rPr>
          <w:rFonts w:hint="eastAsia" w:eastAsia="仿宋_GB2312" w:cs="仿宋_GB2312"/>
          <w:color w:val="auto"/>
          <w:sz w:val="32"/>
          <w:szCs w:val="32"/>
        </w:rPr>
        <w:t>%；城乡社区支出</w:t>
      </w:r>
      <w:r>
        <w:rPr>
          <w:rFonts w:hint="eastAsia" w:eastAsia="仿宋_GB2312" w:cs="仿宋_GB2312"/>
          <w:color w:val="auto"/>
          <w:sz w:val="32"/>
          <w:szCs w:val="32"/>
          <w:lang w:val="en-US" w:eastAsia="zh-CN"/>
        </w:rPr>
        <w:t>23,901.47</w:t>
      </w:r>
      <w:r>
        <w:rPr>
          <w:rFonts w:hint="eastAsia" w:eastAsia="仿宋_GB2312" w:cs="仿宋_GB2312"/>
          <w:color w:val="auto"/>
          <w:sz w:val="32"/>
          <w:szCs w:val="32"/>
        </w:rPr>
        <w:t>万元，占总支出比重8</w:t>
      </w:r>
      <w:r>
        <w:rPr>
          <w:rFonts w:hint="eastAsia" w:eastAsia="仿宋_GB2312" w:cs="仿宋_GB2312"/>
          <w:color w:val="auto"/>
          <w:sz w:val="32"/>
          <w:szCs w:val="32"/>
          <w:lang w:val="en-US" w:eastAsia="zh-CN"/>
        </w:rPr>
        <w:t>7.98</w:t>
      </w:r>
      <w:r>
        <w:rPr>
          <w:rFonts w:hint="eastAsia" w:eastAsia="仿宋_GB2312" w:cs="仿宋_GB2312"/>
          <w:color w:val="auto"/>
          <w:sz w:val="32"/>
          <w:szCs w:val="32"/>
        </w:rPr>
        <w:t>%；住房保障支出522</w:t>
      </w:r>
      <w:r>
        <w:rPr>
          <w:rFonts w:hint="eastAsia" w:eastAsia="仿宋_GB2312" w:cs="仿宋_GB2312"/>
          <w:color w:val="auto"/>
          <w:sz w:val="32"/>
          <w:szCs w:val="32"/>
          <w:lang w:val="en-US" w:eastAsia="zh-CN"/>
        </w:rPr>
        <w:t>.</w:t>
      </w:r>
      <w:r>
        <w:rPr>
          <w:rFonts w:hint="eastAsia" w:eastAsia="仿宋_GB2312" w:cs="仿宋_GB2312"/>
          <w:color w:val="auto"/>
          <w:sz w:val="32"/>
          <w:szCs w:val="32"/>
        </w:rPr>
        <w:t>19万元，占总支出比重1.</w:t>
      </w:r>
      <w:r>
        <w:rPr>
          <w:rFonts w:hint="eastAsia" w:eastAsia="仿宋_GB2312" w:cs="仿宋_GB2312"/>
          <w:color w:val="auto"/>
          <w:sz w:val="32"/>
          <w:szCs w:val="32"/>
          <w:lang w:val="en-US" w:eastAsia="zh-CN"/>
        </w:rPr>
        <w:t>92</w:t>
      </w:r>
      <w:r>
        <w:rPr>
          <w:rFonts w:hint="eastAsia" w:eastAsia="仿宋_GB2312" w:cs="仿宋_GB2312"/>
          <w:color w:val="auto"/>
          <w:sz w:val="32"/>
          <w:szCs w:val="32"/>
        </w:rPr>
        <w:t>%；其他支出</w:t>
      </w:r>
      <w:r>
        <w:rPr>
          <w:rFonts w:hint="eastAsia" w:eastAsia="仿宋_GB2312" w:cs="仿宋_GB2312"/>
          <w:color w:val="auto"/>
          <w:sz w:val="32"/>
          <w:szCs w:val="32"/>
          <w:lang w:val="en-US" w:eastAsia="zh-CN"/>
        </w:rPr>
        <w:t>25.3</w:t>
      </w:r>
      <w:r>
        <w:rPr>
          <w:rFonts w:hint="eastAsia" w:eastAsia="仿宋_GB2312" w:cs="仿宋_GB2312"/>
          <w:color w:val="auto"/>
          <w:sz w:val="32"/>
          <w:szCs w:val="32"/>
        </w:rPr>
        <w:t>万元，占总支出比重</w:t>
      </w:r>
      <w:r>
        <w:rPr>
          <w:rFonts w:hint="eastAsia" w:eastAsia="仿宋_GB2312" w:cs="仿宋_GB2312"/>
          <w:color w:val="auto"/>
          <w:sz w:val="32"/>
          <w:szCs w:val="32"/>
          <w:lang w:val="en-US" w:eastAsia="zh-CN"/>
        </w:rPr>
        <w:t>0.09</w:t>
      </w:r>
      <w:r>
        <w:rPr>
          <w:rFonts w:hint="eastAsia" w:eastAsia="仿宋_GB2312" w:cs="仿宋_GB2312"/>
          <w:color w:val="auto"/>
          <w:sz w:val="32"/>
          <w:szCs w:val="32"/>
        </w:rPr>
        <w:t>%。</w:t>
      </w:r>
    </w:p>
    <w:p>
      <w:pPr>
        <w:pStyle w:val="2"/>
        <w:jc w:val="center"/>
        <w:rPr>
          <w:rFonts w:hint="eastAsia" w:eastAsia="仿宋_GB2312"/>
          <w:lang w:eastAsia="zh-CN"/>
        </w:rPr>
      </w:pPr>
      <w:r>
        <w:rPr>
          <w:rFonts w:hint="eastAsia" w:eastAsia="仿宋_GB2312"/>
          <w:lang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70" w:name="_Toc15377212"/>
      <w:r>
        <w:rPr>
          <w:rFonts w:hint="eastAsia" w:eastAsia="楷体_GB2312" w:cs="楷体_GB2312"/>
          <w:b/>
          <w:sz w:val="32"/>
          <w:szCs w:val="32"/>
        </w:rPr>
        <w:t>（三）一般公共预算财政拨款支出决算具体情况</w:t>
      </w:r>
      <w:bookmarkEnd w:id="70"/>
    </w:p>
    <w:p>
      <w:pPr>
        <w:spacing w:line="600" w:lineRule="exact"/>
        <w:ind w:firstLine="640"/>
        <w:rPr>
          <w:rFonts w:eastAsia="仿宋_GB2312" w:cs="仿宋_GB2312"/>
          <w:sz w:val="32"/>
          <w:szCs w:val="32"/>
        </w:rPr>
      </w:pPr>
      <w:bookmarkStart w:id="71" w:name="_Toc15377444"/>
      <w:bookmarkStart w:id="72" w:name="_Toc15377213"/>
      <w:bookmarkStart w:id="73" w:name="_Toc15378460"/>
      <w:r>
        <w:rPr>
          <w:rFonts w:hint="eastAsia" w:eastAsia="仿宋_GB2312" w:cs="仿宋_GB2312"/>
          <w:sz w:val="32"/>
          <w:szCs w:val="32"/>
        </w:rPr>
        <w:t>2025年度一般公共预算支出决算数为27</w:t>
      </w:r>
      <w:r>
        <w:rPr>
          <w:rFonts w:hint="eastAsia" w:eastAsia="仿宋_GB2312" w:cs="仿宋_GB2312"/>
          <w:sz w:val="32"/>
          <w:szCs w:val="32"/>
          <w:lang w:val="en-US" w:eastAsia="zh-CN"/>
        </w:rPr>
        <w:t>,</w:t>
      </w:r>
      <w:r>
        <w:rPr>
          <w:rFonts w:hint="eastAsia" w:eastAsia="仿宋_GB2312" w:cs="仿宋_GB2312"/>
          <w:sz w:val="32"/>
          <w:szCs w:val="32"/>
        </w:rPr>
        <w:t>168.74</w:t>
      </w:r>
      <w:r>
        <w:rPr>
          <w:rFonts w:hint="eastAsia" w:eastAsia="仿宋_GB2312" w:cs="仿宋_GB2312"/>
          <w:sz w:val="32"/>
          <w:szCs w:val="32"/>
          <w:lang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71"/>
      <w:bookmarkEnd w:id="72"/>
      <w:bookmarkEnd w:id="73"/>
    </w:p>
    <w:p>
      <w:pPr>
        <w:keepNext w:val="0"/>
        <w:keepLines w:val="0"/>
        <w:pageBreakBefore w:val="0"/>
        <w:widowControl w:val="0"/>
        <w:kinsoku/>
        <w:wordWrap/>
        <w:overflowPunct/>
        <w:topLinePunct w:val="0"/>
        <w:autoSpaceDE/>
        <w:bidi w:val="0"/>
        <w:adjustRightInd/>
        <w:spacing w:line="578" w:lineRule="exact"/>
        <w:ind w:lef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w:t>
      </w:r>
    </w:p>
    <w:p>
      <w:pPr>
        <w:keepNext w:val="0"/>
        <w:keepLines w:val="0"/>
        <w:pageBreakBefore w:val="0"/>
        <w:widowControl w:val="0"/>
        <w:kinsoku/>
        <w:wordWrap/>
        <w:overflowPunct/>
        <w:topLinePunct w:val="0"/>
        <w:autoSpaceDE/>
        <w:bidi w:val="0"/>
        <w:adjustRightInd/>
        <w:spacing w:line="578" w:lineRule="exact"/>
        <w:ind w:firstLine="64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val="0"/>
          <w:bCs/>
          <w:kern w:val="0"/>
          <w:sz w:val="32"/>
          <w:szCs w:val="32"/>
        </w:rPr>
        <w:t>组织事务（款）其他组织事务支出（项）</w:t>
      </w:r>
      <w:r>
        <w:rPr>
          <w:rFonts w:hint="eastAsia" w:ascii="仿宋_GB2312" w:hAnsi="仿宋_GB2312" w:eastAsia="仿宋_GB2312" w:cs="仿宋_GB2312"/>
          <w:b w:val="0"/>
          <w:bCs/>
          <w:kern w:val="0"/>
          <w:sz w:val="32"/>
          <w:szCs w:val="32"/>
          <w:lang w:eastAsia="zh-CN"/>
        </w:rPr>
        <w:t>：</w:t>
      </w:r>
      <w:r>
        <w:rPr>
          <w:rFonts w:hint="eastAsia" w:ascii="仿宋_GB2312" w:hAnsi="仿宋_GB2312" w:eastAsia="仿宋_GB2312" w:cs="仿宋_GB2312"/>
          <w:kern w:val="0"/>
          <w:sz w:val="32"/>
          <w:szCs w:val="32"/>
        </w:rPr>
        <w:t xml:space="preserve"> 支出决算为</w:t>
      </w:r>
      <w:r>
        <w:rPr>
          <w:rFonts w:hint="eastAsia" w:eastAsia="仿宋_GB2312" w:cs="仿宋_GB2312"/>
          <w:color w:val="auto"/>
          <w:kern w:val="2"/>
          <w:sz w:val="32"/>
          <w:szCs w:val="32"/>
          <w:highlight w:val="none"/>
          <w:lang w:val="en-US" w:eastAsia="zh-CN" w:bidi="ar-SA"/>
        </w:rPr>
        <w:t>18.7万元</w:t>
      </w:r>
      <w:r>
        <w:rPr>
          <w:rFonts w:hint="eastAsia" w:ascii="仿宋_GB2312" w:hAnsi="仿宋_GB2312" w:eastAsia="仿宋_GB2312" w:cs="仿宋_GB2312"/>
          <w:kern w:val="0"/>
          <w:sz w:val="32"/>
          <w:szCs w:val="32"/>
        </w:rPr>
        <w:t>，完成预算</w:t>
      </w:r>
      <w:r>
        <w:rPr>
          <w:rFonts w:hint="eastAsia" w:eastAsia="仿宋_GB2312" w:cs="仿宋_GB2312"/>
          <w:color w:val="auto"/>
          <w:kern w:val="2"/>
          <w:sz w:val="32"/>
          <w:szCs w:val="32"/>
          <w:highlight w:val="none"/>
          <w:lang w:val="en-US" w:eastAsia="zh-CN" w:bidi="ar-SA"/>
        </w:rPr>
        <w:t>100%。</w:t>
      </w:r>
    </w:p>
    <w:p>
      <w:pPr>
        <w:keepNext w:val="0"/>
        <w:keepLines w:val="0"/>
        <w:pageBreakBefore w:val="0"/>
        <w:widowControl w:val="0"/>
        <w:kinsoku/>
        <w:wordWrap/>
        <w:overflowPunct/>
        <w:topLinePunct w:val="0"/>
        <w:autoSpaceDE/>
        <w:bidi w:val="0"/>
        <w:adjustRightInd/>
        <w:spacing w:line="578" w:lineRule="exact"/>
        <w:ind w:lef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Style w:val="18"/>
          <w:rFonts w:hint="eastAsia" w:ascii="仿宋_GB2312" w:hAnsi="仿宋_GB2312" w:eastAsia="仿宋_GB2312" w:cs="仿宋_GB2312"/>
          <w:b w:val="0"/>
          <w:bCs w:val="0"/>
          <w:snapToGrid w:val="0"/>
          <w:sz w:val="32"/>
          <w:szCs w:val="32"/>
          <w:lang w:eastAsia="zh-CN"/>
        </w:rPr>
      </w:pPr>
      <w:r>
        <w:rPr>
          <w:rStyle w:val="18"/>
          <w:rFonts w:hint="eastAsia" w:ascii="仿宋_GB2312" w:hAnsi="仿宋_GB2312" w:eastAsia="仿宋_GB2312" w:cs="仿宋_GB2312"/>
          <w:b w:val="0"/>
          <w:bCs w:val="0"/>
          <w:snapToGrid w:val="0"/>
          <w:sz w:val="32"/>
          <w:szCs w:val="32"/>
        </w:rPr>
        <w:t>人力资源和社会保障管理事务（款）其他人力资源和社会保障管理事务支出（项）：支出决算为</w:t>
      </w:r>
      <w:r>
        <w:rPr>
          <w:rFonts w:hint="eastAsia" w:ascii="Times New Roman" w:hAnsi="Times New Roman" w:eastAsia="仿宋_GB2312" w:cs="仿宋_GB2312"/>
          <w:color w:val="auto"/>
          <w:kern w:val="2"/>
          <w:sz w:val="32"/>
          <w:szCs w:val="32"/>
          <w:highlight w:val="none"/>
          <w:lang w:val="en-US" w:eastAsia="zh-CN" w:bidi="ar-SA"/>
        </w:rPr>
        <w:t>48</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Style w:val="18"/>
          <w:rFonts w:hint="eastAsia" w:ascii="仿宋_GB2312" w:hAnsi="仿宋_GB2312" w:eastAsia="仿宋_GB2312" w:cs="仿宋_GB2312"/>
          <w:b w:val="0"/>
          <w:bCs w:val="0"/>
          <w:snapToGrid w:val="0"/>
          <w:sz w:val="32"/>
          <w:szCs w:val="32"/>
        </w:rPr>
      </w:pPr>
      <w:r>
        <w:rPr>
          <w:rStyle w:val="18"/>
          <w:rFonts w:hint="eastAsia" w:ascii="仿宋_GB2312" w:hAnsi="仿宋_GB2312" w:eastAsia="仿宋_GB2312" w:cs="仿宋_GB2312"/>
          <w:b w:val="0"/>
          <w:bCs w:val="0"/>
          <w:snapToGrid w:val="0"/>
          <w:sz w:val="32"/>
          <w:szCs w:val="32"/>
        </w:rPr>
        <w:t>行政事业单位养老支出（款）行政单位离退休（项）</w:t>
      </w:r>
      <w:r>
        <w:rPr>
          <w:rStyle w:val="18"/>
          <w:rFonts w:hint="eastAsia" w:ascii="仿宋_GB2312" w:hAnsi="仿宋_GB2312" w:eastAsia="仿宋_GB2312" w:cs="仿宋_GB2312"/>
          <w:b w:val="0"/>
          <w:bCs w:val="0"/>
          <w:snapToGrid w:val="0"/>
          <w:sz w:val="32"/>
          <w:szCs w:val="32"/>
          <w:lang w:eastAsia="zh-CN"/>
        </w:rPr>
        <w:t>：</w:t>
      </w:r>
      <w:r>
        <w:rPr>
          <w:rStyle w:val="18"/>
          <w:rFonts w:hint="eastAsia" w:ascii="仿宋_GB2312" w:hAnsi="仿宋_GB2312" w:eastAsia="仿宋_GB2312" w:cs="仿宋_GB2312"/>
          <w:b w:val="0"/>
          <w:bCs w:val="0"/>
          <w:snapToGrid w:val="0"/>
          <w:sz w:val="32"/>
          <w:szCs w:val="32"/>
        </w:rPr>
        <w:t xml:space="preserve"> 支出决算为</w:t>
      </w:r>
      <w:r>
        <w:rPr>
          <w:rFonts w:hint="eastAsia" w:ascii="Times New Roman" w:hAnsi="Times New Roman" w:eastAsia="仿宋_GB2312" w:cs="仿宋_GB2312"/>
          <w:color w:val="auto"/>
          <w:kern w:val="2"/>
          <w:sz w:val="32"/>
          <w:szCs w:val="32"/>
          <w:highlight w:val="none"/>
          <w:lang w:val="en-US" w:eastAsia="zh-CN" w:bidi="ar-SA"/>
        </w:rPr>
        <w:t>474.62</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rPr>
        <w:t>事业单位离退休（项）：支出决算为</w:t>
      </w:r>
      <w:r>
        <w:rPr>
          <w:rFonts w:hint="eastAsia" w:ascii="Times New Roman" w:hAnsi="Times New Roman" w:eastAsia="仿宋_GB2312" w:cs="仿宋_GB2312"/>
          <w:color w:val="auto"/>
          <w:kern w:val="2"/>
          <w:sz w:val="32"/>
          <w:szCs w:val="32"/>
          <w:highlight w:val="none"/>
          <w:lang w:val="en-US" w:eastAsia="zh-CN" w:bidi="ar-SA"/>
        </w:rPr>
        <w:t>819.24</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rPr>
        <w:t>；机关事业单位基本养老保险缴费支出（项）：支出决算为</w:t>
      </w:r>
      <w:r>
        <w:rPr>
          <w:rFonts w:hint="eastAsia" w:ascii="Times New Roman" w:hAnsi="Times New Roman" w:eastAsia="仿宋_GB2312" w:cs="仿宋_GB2312"/>
          <w:color w:val="auto"/>
          <w:kern w:val="2"/>
          <w:sz w:val="32"/>
          <w:szCs w:val="32"/>
          <w:highlight w:val="none"/>
          <w:lang w:val="en-US" w:eastAsia="zh-CN" w:bidi="ar-SA"/>
        </w:rPr>
        <w:t>677.08</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rPr>
        <w:t>；机关事业单位职业年金缴费支出（项）：支出决算为</w:t>
      </w:r>
      <w:r>
        <w:rPr>
          <w:rFonts w:hint="eastAsia" w:ascii="Times New Roman" w:hAnsi="Times New Roman" w:eastAsia="仿宋_GB2312" w:cs="仿宋_GB2312"/>
          <w:color w:val="auto"/>
          <w:kern w:val="2"/>
          <w:sz w:val="32"/>
          <w:szCs w:val="32"/>
          <w:highlight w:val="none"/>
          <w:lang w:val="en-US" w:eastAsia="zh-CN" w:bidi="ar-SA"/>
        </w:rPr>
        <w:t>126.58</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rPr>
        <w:t>。</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Style w:val="18"/>
          <w:rFonts w:hint="eastAsia" w:ascii="仿宋_GB2312" w:hAnsi="仿宋_GB2312" w:eastAsia="仿宋_GB2312" w:cs="仿宋_GB2312"/>
          <w:b w:val="0"/>
          <w:bCs w:val="0"/>
          <w:snapToGrid w:val="0"/>
          <w:sz w:val="32"/>
          <w:szCs w:val="32"/>
        </w:rPr>
      </w:pPr>
      <w:r>
        <w:rPr>
          <w:rStyle w:val="18"/>
          <w:rFonts w:hint="eastAsia" w:ascii="仿宋_GB2312" w:hAnsi="仿宋_GB2312" w:eastAsia="仿宋_GB2312" w:cs="仿宋_GB2312"/>
          <w:b w:val="0"/>
          <w:bCs w:val="0"/>
          <w:snapToGrid w:val="0"/>
          <w:sz w:val="32"/>
          <w:szCs w:val="32"/>
        </w:rPr>
        <w:t>抚恤（款）死亡抚恤（项）：支出决算为</w:t>
      </w:r>
      <w:r>
        <w:rPr>
          <w:rFonts w:hint="eastAsia" w:ascii="Times New Roman" w:hAnsi="Times New Roman" w:eastAsia="仿宋_GB2312" w:cs="仿宋_GB2312"/>
          <w:color w:val="auto"/>
          <w:kern w:val="2"/>
          <w:sz w:val="32"/>
          <w:szCs w:val="32"/>
          <w:highlight w:val="none"/>
          <w:lang w:val="en-US" w:eastAsia="zh-CN" w:bidi="ar-SA"/>
        </w:rPr>
        <w:t>176.75</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rPr>
        <w:t>。</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Fonts w:hint="eastAsia" w:ascii="仿宋" w:eastAsia="仿宋"/>
          <w:b w:val="0"/>
          <w:bCs w:val="0"/>
          <w:snapToGrid w:val="0"/>
          <w:color w:val="0000FF"/>
          <w:sz w:val="32"/>
          <w:szCs w:val="32"/>
        </w:rPr>
      </w:pPr>
      <w:r>
        <w:rPr>
          <w:rStyle w:val="18"/>
          <w:rFonts w:hint="eastAsia" w:ascii="仿宋_GB2312" w:hAnsi="仿宋_GB2312" w:eastAsia="仿宋_GB2312" w:cs="仿宋_GB2312"/>
          <w:b w:val="0"/>
          <w:bCs w:val="0"/>
          <w:snapToGrid w:val="0"/>
          <w:sz w:val="32"/>
          <w:szCs w:val="32"/>
        </w:rPr>
        <w:t>社会福利（款）儿童福利（项）：支出决算为</w:t>
      </w:r>
      <w:r>
        <w:rPr>
          <w:rFonts w:hint="eastAsia" w:ascii="Times New Roman" w:hAnsi="Times New Roman" w:eastAsia="仿宋_GB2312" w:cs="仿宋_GB2312"/>
          <w:color w:val="auto"/>
          <w:kern w:val="2"/>
          <w:sz w:val="32"/>
          <w:szCs w:val="32"/>
          <w:highlight w:val="none"/>
          <w:lang w:val="en-US" w:eastAsia="zh-CN" w:bidi="ar-SA"/>
        </w:rPr>
        <w:t>0.29</w:t>
      </w:r>
      <w:r>
        <w:rPr>
          <w:rStyle w:val="18"/>
          <w:rFonts w:hint="eastAsia" w:ascii="仿宋_GB2312" w:hAnsi="仿宋_GB2312" w:eastAsia="仿宋_GB2312" w:cs="仿宋_GB2312"/>
          <w:b w:val="0"/>
          <w:bCs w:val="0"/>
          <w:snapToGrid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bCs w:val="0"/>
          <w:snapToGrid w:val="0"/>
          <w:sz w:val="32"/>
          <w:szCs w:val="32"/>
          <w:lang w:eastAsia="zh-CN"/>
        </w:rPr>
        <w:t>。</w:t>
      </w:r>
    </w:p>
    <w:p>
      <w:pPr>
        <w:keepNext w:val="0"/>
        <w:keepLines w:val="0"/>
        <w:pageBreakBefore w:val="0"/>
        <w:widowControl w:val="0"/>
        <w:kinsoku/>
        <w:wordWrap/>
        <w:overflowPunct/>
        <w:topLinePunct w:val="0"/>
        <w:autoSpaceDE/>
        <w:bidi w:val="0"/>
        <w:adjustRightInd/>
        <w:spacing w:line="578" w:lineRule="exact"/>
        <w:ind w:left="640"/>
        <w:jc w:val="both"/>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3.</w:t>
      </w:r>
      <w:r>
        <w:rPr>
          <w:rFonts w:hint="eastAsia" w:ascii="Times New Roman" w:hAnsi="Times New Roman" w:eastAsia="仿宋_GB2312" w:cs="仿宋_GB2312"/>
          <w:b w:val="0"/>
          <w:bCs w:val="0"/>
          <w:color w:val="auto"/>
          <w:kern w:val="2"/>
          <w:sz w:val="32"/>
          <w:szCs w:val="32"/>
          <w:highlight w:val="none"/>
          <w:lang w:val="en-US" w:eastAsia="zh-CN" w:bidi="ar-SA"/>
        </w:rPr>
        <w:t>卫生健康（类）</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公共卫生（款）重大公共卫生服务（项）：支出决算为</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b w:val="0"/>
          <w:bCs w:val="0"/>
          <w:color w:val="auto"/>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行政事业单位医疗（款）</w:t>
      </w:r>
      <w:r>
        <w:rPr>
          <w:rFonts w:hint="eastAsia" w:ascii="仿宋_GB2312" w:hAnsi="仿宋_GB2312" w:eastAsia="仿宋_GB2312" w:cs="仿宋_GB2312"/>
          <w:b w:val="0"/>
          <w:bCs w:val="0"/>
          <w:color w:val="000000" w:themeColor="text1"/>
          <w:sz w:val="32"/>
          <w:szCs w:val="32"/>
          <w14:textFill>
            <w14:solidFill>
              <w14:schemeClr w14:val="tx1"/>
            </w14:solidFill>
          </w14:textFill>
        </w:rPr>
        <w:t>行政单位医疗（项）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支出决算为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130.87</w:t>
      </w:r>
      <w:r>
        <w:rPr>
          <w:rFonts w:hint="eastAsia" w:ascii="仿宋_GB2312" w:hAnsi="仿宋_GB2312" w:eastAsia="仿宋_GB2312" w:cs="仿宋_GB2312"/>
          <w:b w:val="0"/>
          <w:bCs w:val="0"/>
          <w:color w:val="000000" w:themeColor="text1"/>
          <w:sz w:val="32"/>
          <w:szCs w:val="32"/>
          <w14:textFill>
            <w14:solidFill>
              <w14:schemeClr w14:val="tx1"/>
            </w14:solidFill>
          </w14:textFill>
        </w:rPr>
        <w:t>万元，完成预算</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事业单位医疗（项）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支出决算为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165.04万</w:t>
      </w:r>
      <w:r>
        <w:rPr>
          <w:rFonts w:hint="eastAsia" w:ascii="仿宋_GB2312" w:hAnsi="仿宋_GB2312" w:eastAsia="仿宋_GB2312" w:cs="仿宋_GB2312"/>
          <w:b w:val="0"/>
          <w:bCs w:val="0"/>
          <w:color w:val="000000" w:themeColor="text1"/>
          <w:sz w:val="32"/>
          <w:szCs w:val="32"/>
          <w14:textFill>
            <w14:solidFill>
              <w14:schemeClr w14:val="tx1"/>
            </w14:solidFill>
          </w14:textFill>
        </w:rPr>
        <w:t>元，完成预算</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公务员医疗补助（项）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支出决算为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39.2</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8</w:t>
      </w:r>
      <w:r>
        <w:rPr>
          <w:rFonts w:hint="eastAsia" w:ascii="仿宋_GB2312" w:hAnsi="仿宋_GB2312" w:eastAsia="仿宋_GB2312" w:cs="仿宋_GB2312"/>
          <w:b w:val="0"/>
          <w:bCs w:val="0"/>
          <w:color w:val="000000" w:themeColor="text1"/>
          <w:sz w:val="32"/>
          <w:szCs w:val="32"/>
          <w14:textFill>
            <w14:solidFill>
              <w14:schemeClr w14:val="tx1"/>
            </w14:solidFill>
          </w14:textFill>
        </w:rPr>
        <w:t>万元，完成预算</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其他行政事业单位医疗支出（项）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支出决算为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41.97</w:t>
      </w:r>
      <w:r>
        <w:rPr>
          <w:rFonts w:hint="eastAsia" w:ascii="仿宋_GB2312" w:hAnsi="仿宋_GB2312" w:eastAsia="仿宋_GB2312" w:cs="仿宋_GB2312"/>
          <w:b w:val="0"/>
          <w:bCs w:val="0"/>
          <w:color w:val="000000" w:themeColor="text1"/>
          <w:sz w:val="32"/>
          <w:szCs w:val="32"/>
          <w14:textFill>
            <w14:solidFill>
              <w14:schemeClr w14:val="tx1"/>
            </w14:solidFill>
          </w14:textFill>
        </w:rPr>
        <w:t>万元，完成预算</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p>
    <w:p>
      <w:pPr>
        <w:pStyle w:val="15"/>
        <w:keepNext w:val="0"/>
        <w:keepLines w:val="0"/>
        <w:pageBreakBefore w:val="0"/>
        <w:widowControl w:val="0"/>
        <w:kinsoku/>
        <w:wordWrap/>
        <w:overflowPunct/>
        <w:topLinePunct w:val="0"/>
        <w:autoSpaceDE/>
        <w:autoSpaceDN w:val="0"/>
        <w:bidi w:val="0"/>
        <w:adjustRightInd/>
        <w:snapToGrid w:val="0"/>
        <w:spacing w:line="578" w:lineRule="exact"/>
        <w:ind w:firstLine="640" w:firstLineChars="200"/>
        <w:jc w:val="both"/>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sz w:val="32"/>
          <w:szCs w:val="32"/>
        </w:rPr>
        <w:t>其他卫生健康支出（款）其他卫生健康支出（项）：支出决算为</w:t>
      </w:r>
      <w:r>
        <w:rPr>
          <w:rFonts w:hint="eastAsia" w:ascii="Times New Roman" w:hAnsi="Times New Roman" w:eastAsia="仿宋_GB2312" w:cs="仿宋_GB2312"/>
          <w:color w:val="auto"/>
          <w:kern w:val="2"/>
          <w:sz w:val="32"/>
          <w:szCs w:val="32"/>
          <w:highlight w:val="none"/>
          <w:lang w:val="en-US" w:eastAsia="zh-CN" w:bidi="ar-SA"/>
        </w:rPr>
        <w:t>0.36</w:t>
      </w:r>
      <w:r>
        <w:rPr>
          <w:rFonts w:hint="eastAsia" w:ascii="仿宋_GB2312" w:hAnsi="仿宋_GB2312" w:eastAsia="仿宋_GB2312" w:cs="仿宋_GB2312"/>
          <w:b w:val="0"/>
          <w:bCs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p>
    <w:p>
      <w:pPr>
        <w:pStyle w:val="3"/>
        <w:keepNext w:val="0"/>
        <w:keepLines w:val="0"/>
        <w:pageBreakBefore w:val="0"/>
        <w:widowControl w:val="0"/>
        <w:kinsoku/>
        <w:wordWrap/>
        <w:overflowPunct/>
        <w:topLinePunct w:val="0"/>
        <w:autoSpaceDE/>
        <w:autoSpaceDN w:val="0"/>
        <w:bidi w:val="0"/>
        <w:adjustRightInd/>
        <w:spacing w:line="578" w:lineRule="exact"/>
        <w:ind w:left="0" w:leftChars="0" w:firstLine="640" w:firstLineChars="200"/>
        <w:jc w:val="both"/>
        <w:textAlignment w:val="auto"/>
        <w:rPr>
          <w:rFonts w:hint="eastAsia" w:ascii="仿宋_GB2312" w:hAnsi="仿宋_GB2312" w:eastAsia="仿宋_GB2312" w:cs="仿宋_GB2312"/>
          <w:b w:val="0"/>
          <w:bCs w:val="0"/>
          <w:sz w:val="32"/>
        </w:rPr>
      </w:pPr>
      <w:r>
        <w:rPr>
          <w:rFonts w:hint="eastAsia" w:eastAsia="仿宋_GB2312" w:cs="仿宋_GB2312"/>
          <w:b w:val="0"/>
          <w:bCs w:val="0"/>
          <w:sz w:val="32"/>
          <w:lang w:val="en-US" w:eastAsia="zh-CN"/>
        </w:rPr>
        <w:t>4.</w:t>
      </w:r>
      <w:r>
        <w:rPr>
          <w:rFonts w:hint="eastAsia" w:ascii="仿宋_GB2312" w:hAnsi="仿宋_GB2312" w:eastAsia="仿宋_GB2312" w:cs="仿宋_GB2312"/>
          <w:b w:val="0"/>
          <w:bCs w:val="0"/>
          <w:sz w:val="32"/>
        </w:rPr>
        <w:t>城乡社区(类)</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仿宋_GB2312" w:hAnsi="仿宋_GB2312" w:eastAsia="仿宋_GB2312" w:cs="仿宋_GB2312"/>
          <w:b w:val="0"/>
          <w:bCs w:val="0"/>
          <w:sz w:val="32"/>
          <w:highlight w:val="none"/>
          <w:lang w:bidi="ar-SA"/>
        </w:rPr>
      </w:pPr>
      <w:r>
        <w:rPr>
          <w:rFonts w:hint="eastAsia" w:ascii="仿宋_GB2312" w:hAnsi="仿宋_GB2312" w:eastAsia="仿宋_GB2312" w:cs="仿宋_GB2312"/>
          <w:b w:val="0"/>
          <w:bCs w:val="0"/>
          <w:sz w:val="32"/>
          <w:lang w:bidi="ar-SA"/>
        </w:rPr>
        <w:t>城乡社区管理事务（款）行政运行（项）</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支出决算为</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435.28</w:t>
      </w:r>
      <w:r>
        <w:rPr>
          <w:rFonts w:hint="eastAsia" w:ascii="仿宋_GB2312" w:hAnsi="仿宋_GB2312" w:eastAsia="仿宋_GB2312" w:cs="仿宋_GB2312"/>
          <w:b w:val="0"/>
          <w:bCs w:val="0"/>
          <w:sz w:val="32"/>
          <w:lang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sz w:val="32"/>
          <w:lang w:bidi="ar-SA"/>
        </w:rPr>
        <w:t>一般行政管理事务（项）</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支出决算为</w:t>
      </w:r>
      <w:r>
        <w:rPr>
          <w:rFonts w:hint="eastAsia" w:ascii="Times New Roman" w:hAnsi="Times New Roman" w:eastAsia="仿宋_GB2312" w:cs="仿宋_GB2312"/>
          <w:color w:val="auto"/>
          <w:kern w:val="2"/>
          <w:sz w:val="32"/>
          <w:szCs w:val="32"/>
          <w:highlight w:val="none"/>
          <w:lang w:val="en-US" w:eastAsia="zh-CN" w:bidi="ar-SA"/>
        </w:rPr>
        <w:t>76.72</w:t>
      </w:r>
      <w:r>
        <w:rPr>
          <w:rFonts w:hint="eastAsia" w:ascii="仿宋_GB2312" w:hAnsi="仿宋_GB2312" w:eastAsia="仿宋_GB2312" w:cs="仿宋_GB2312"/>
          <w:b w:val="0"/>
          <w:bCs w:val="0"/>
          <w:sz w:val="32"/>
          <w:lang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sz w:val="32"/>
          <w:lang w:bidi="ar-SA"/>
        </w:rPr>
        <w:t>工程建设标准规范编制与监管（项）</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支出决算为</w:t>
      </w:r>
      <w:r>
        <w:rPr>
          <w:rFonts w:hint="eastAsia" w:ascii="Times New Roman" w:hAnsi="Times New Roman" w:eastAsia="仿宋_GB2312" w:cs="仿宋_GB2312"/>
          <w:color w:val="auto"/>
          <w:kern w:val="2"/>
          <w:sz w:val="32"/>
          <w:szCs w:val="32"/>
          <w:highlight w:val="none"/>
          <w:lang w:val="en-US" w:eastAsia="zh-CN" w:bidi="ar-SA"/>
        </w:rPr>
        <w:t>268.98</w:t>
      </w:r>
      <w:r>
        <w:rPr>
          <w:rFonts w:hint="eastAsia" w:ascii="仿宋_GB2312" w:hAnsi="仿宋_GB2312" w:eastAsia="仿宋_GB2312" w:cs="仿宋_GB2312"/>
          <w:b w:val="0"/>
          <w:bCs w:val="0"/>
          <w:sz w:val="32"/>
          <w:lang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工程建设管理（项）</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支出决算为</w:t>
      </w:r>
      <w:r>
        <w:rPr>
          <w:rFonts w:hint="eastAsia" w:ascii="Times New Roman" w:hAnsi="Times New Roman" w:eastAsia="仿宋_GB2312" w:cs="仿宋_GB2312"/>
          <w:color w:val="auto"/>
          <w:kern w:val="2"/>
          <w:sz w:val="32"/>
          <w:szCs w:val="32"/>
          <w:highlight w:val="none"/>
          <w:lang w:val="en-US" w:eastAsia="zh-CN" w:bidi="ar-SA"/>
        </w:rPr>
        <w:t>0.18</w:t>
      </w:r>
      <w:r>
        <w:rPr>
          <w:rFonts w:hint="eastAsia" w:ascii="仿宋_GB2312" w:hAnsi="仿宋_GB2312" w:eastAsia="仿宋_GB2312" w:cs="仿宋_GB2312"/>
          <w:b w:val="0"/>
          <w:bCs w:val="0"/>
          <w:sz w:val="32"/>
          <w:lang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lang w:bidi="ar-SA"/>
        </w:rPr>
        <w:t>其他城乡社区管理事务支出（项）</w:t>
      </w:r>
      <w:r>
        <w:rPr>
          <w:rFonts w:hint="eastAsia" w:hAnsi="仿宋_GB2312" w:eastAsia="仿宋_GB2312" w:cs="仿宋_GB2312"/>
          <w:b w:val="0"/>
          <w:bCs w:val="0"/>
          <w:sz w:val="32"/>
          <w:lang w:eastAsia="zh-CN" w:bidi="ar-SA"/>
        </w:rPr>
        <w:t>：</w:t>
      </w:r>
      <w:r>
        <w:rPr>
          <w:rFonts w:hint="eastAsia" w:ascii="仿宋_GB2312" w:hAnsi="仿宋_GB2312" w:eastAsia="仿宋_GB2312" w:cs="仿宋_GB2312"/>
          <w:b w:val="0"/>
          <w:bCs w:val="0"/>
          <w:sz w:val="32"/>
          <w:highlight w:val="none"/>
          <w:lang w:bidi="ar-SA"/>
        </w:rPr>
        <w:t>支出决算为</w:t>
      </w:r>
      <w:r>
        <w:rPr>
          <w:rFonts w:hint="eastAsia" w:ascii="Times New Roman" w:hAnsi="Times New Roman" w:eastAsia="仿宋_GB2312" w:cs="仿宋_GB2312"/>
          <w:color w:val="auto"/>
          <w:kern w:val="2"/>
          <w:sz w:val="32"/>
          <w:szCs w:val="32"/>
          <w:highlight w:val="none"/>
          <w:lang w:val="en-US" w:eastAsia="zh-CN" w:bidi="ar-SA"/>
        </w:rPr>
        <w:t>1744.33</w:t>
      </w:r>
      <w:r>
        <w:rPr>
          <w:rFonts w:hint="eastAsia" w:ascii="仿宋_GB2312" w:hAnsi="仿宋_GB2312" w:eastAsia="仿宋_GB2312" w:cs="仿宋_GB2312"/>
          <w:b w:val="0"/>
          <w:bCs w:val="0"/>
          <w:sz w:val="32"/>
          <w:highlight w:val="none"/>
          <w:lang w:bidi="ar-SA"/>
        </w:rPr>
        <w:t>万元</w:t>
      </w:r>
      <w:r>
        <w:rPr>
          <w:rFonts w:hint="eastAsia" w:ascii="仿宋_GB2312" w:hAnsi="仿宋_GB2312" w:eastAsia="仿宋_GB2312" w:cs="仿宋_GB2312"/>
          <w:b w:val="0"/>
          <w:bCs w:val="0"/>
          <w:color w:val="auto"/>
          <w:sz w:val="32"/>
          <w:highlight w:val="none"/>
          <w:lang w:bidi="ar-SA"/>
        </w:rPr>
        <w:t>，完成预</w:t>
      </w:r>
      <w:r>
        <w:rPr>
          <w:rFonts w:hint="eastAsia" w:ascii="Times New Roman" w:hAnsi="Times New Roman" w:eastAsia="仿宋_GB2312" w:cs="仿宋_GB2312"/>
          <w:color w:val="auto"/>
          <w:kern w:val="2"/>
          <w:sz w:val="32"/>
          <w:szCs w:val="32"/>
          <w:highlight w:val="none"/>
          <w:lang w:val="en-US" w:eastAsia="zh-CN" w:bidi="ar-SA"/>
        </w:rPr>
        <w:t>算100%</w:t>
      </w:r>
      <w:r>
        <w:rPr>
          <w:rFonts w:hint="eastAsia" w:ascii="仿宋_GB2312" w:hAnsi="仿宋_GB2312" w:eastAsia="仿宋_GB2312" w:cs="仿宋_GB2312"/>
          <w:b w:val="0"/>
          <w:bCs w:val="0"/>
          <w:sz w:val="32"/>
          <w:highlight w:val="none"/>
          <w:lang w:bidi="ar-SA"/>
        </w:rPr>
        <w:t>。</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仿宋_GB2312" w:hAnsi="仿宋_GB2312" w:eastAsia="仿宋_GB2312" w:cs="仿宋_GB2312"/>
          <w:b w:val="0"/>
          <w:bCs w:val="0"/>
          <w:sz w:val="32"/>
          <w:lang w:bidi="ar-SA"/>
        </w:rPr>
      </w:pPr>
      <w:r>
        <w:rPr>
          <w:rFonts w:hint="eastAsia" w:ascii="仿宋_GB2312" w:hAnsi="仿宋_GB2312" w:eastAsia="仿宋_GB2312" w:cs="仿宋_GB2312"/>
          <w:b w:val="0"/>
          <w:bCs w:val="0"/>
          <w:sz w:val="32"/>
          <w:lang w:bidi="ar-SA"/>
        </w:rPr>
        <w:t>城乡社区公共设施（款）其他城乡社区公共设施支出（项）：支出决算为</w:t>
      </w:r>
      <w:r>
        <w:rPr>
          <w:rFonts w:hint="eastAsia" w:ascii="Times New Roman" w:hAnsi="Times New Roman" w:eastAsia="仿宋_GB2312" w:cs="仿宋_GB2312"/>
          <w:color w:val="auto"/>
          <w:kern w:val="2"/>
          <w:sz w:val="32"/>
          <w:szCs w:val="32"/>
          <w:highlight w:val="none"/>
          <w:lang w:val="en-US" w:eastAsia="zh-CN" w:bidi="ar-SA"/>
        </w:rPr>
        <w:t>19</w:t>
      </w:r>
      <w:r>
        <w:rPr>
          <w:rFonts w:hint="eastAsia" w:asci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308.75万</w:t>
      </w:r>
      <w:r>
        <w:rPr>
          <w:rFonts w:hint="eastAsia" w:ascii="仿宋_GB2312" w:hAnsi="仿宋_GB2312" w:eastAsia="仿宋_GB2312" w:cs="仿宋_GB2312"/>
          <w:b w:val="0"/>
          <w:bCs w:val="0"/>
          <w:sz w:val="32"/>
          <w:lang w:bidi="ar-SA"/>
        </w:rPr>
        <w:t>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sz w:val="32"/>
          <w:lang w:bidi="ar-SA"/>
        </w:rPr>
        <w:t>。</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仿宋_GB2312" w:hAnsi="仿宋_GB2312" w:eastAsia="仿宋_GB2312" w:cs="仿宋_GB2312"/>
          <w:b w:val="0"/>
          <w:bCs w:val="0"/>
          <w:sz w:val="32"/>
          <w:lang w:bidi="ar-SA"/>
        </w:rPr>
      </w:pPr>
      <w:r>
        <w:rPr>
          <w:rFonts w:hint="eastAsia" w:ascii="仿宋_GB2312" w:hAnsi="仿宋_GB2312" w:eastAsia="仿宋_GB2312" w:cs="仿宋_GB2312"/>
          <w:b w:val="0"/>
          <w:bCs w:val="0"/>
          <w:sz w:val="32"/>
          <w:lang w:bidi="ar-SA"/>
        </w:rPr>
        <w:t>建设市场管理与监督（款）建设市场管理与监督（项）：支出决算为</w:t>
      </w:r>
      <w:r>
        <w:rPr>
          <w:rFonts w:hint="eastAsia" w:ascii="Times New Roman" w:hAnsi="Times New Roman" w:eastAsia="仿宋_GB2312" w:cs="仿宋_GB2312"/>
          <w:color w:val="auto"/>
          <w:kern w:val="2"/>
          <w:sz w:val="32"/>
          <w:szCs w:val="32"/>
          <w:highlight w:val="none"/>
          <w:lang w:val="en-US" w:eastAsia="zh-CN" w:bidi="ar-SA"/>
        </w:rPr>
        <w:t>5.23万</w:t>
      </w:r>
      <w:r>
        <w:rPr>
          <w:rFonts w:hint="eastAsia" w:ascii="仿宋_GB2312" w:hAnsi="仿宋_GB2312" w:eastAsia="仿宋_GB2312" w:cs="仿宋_GB2312"/>
          <w:b w:val="0"/>
          <w:bCs w:val="0"/>
          <w:sz w:val="32"/>
          <w:lang w:bidi="ar-SA"/>
        </w:rPr>
        <w:t>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sz w:val="32"/>
          <w:lang w:bidi="ar-SA"/>
        </w:rPr>
        <w:t>。</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sz w:val="32"/>
          <w:lang w:bidi="ar-SA"/>
        </w:rPr>
        <w:t>其他城乡社区支出（款）其他城乡社区支出（项）：支出决算</w:t>
      </w:r>
      <w:r>
        <w:rPr>
          <w:rFonts w:hint="eastAsia" w:ascii="Times New Roman" w:hAnsi="Times New Roman" w:eastAsia="仿宋_GB2312" w:cs="仿宋_GB2312"/>
          <w:color w:val="auto"/>
          <w:kern w:val="2"/>
          <w:sz w:val="32"/>
          <w:szCs w:val="32"/>
          <w:highlight w:val="none"/>
          <w:lang w:val="en-US" w:eastAsia="zh-CN" w:bidi="ar-SA"/>
        </w:rPr>
        <w:t>为62万元，完成预算100%。</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5.住房保障(类)</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住房改革支出（款）住房公积金（项）：支出决算为522.19万元，完成预算100%。</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6.其他支出(类)</w:t>
      </w:r>
    </w:p>
    <w:p>
      <w:pPr>
        <w:pStyle w:val="3"/>
        <w:keepNext w:val="0"/>
        <w:keepLines w:val="0"/>
        <w:pageBreakBefore w:val="0"/>
        <w:widowControl w:val="0"/>
        <w:kinsoku/>
        <w:wordWrap/>
        <w:overflowPunct/>
        <w:topLinePunct w:val="0"/>
        <w:autoSpaceDE/>
        <w:autoSpaceDN w:val="0"/>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其他支出（款）其他支出（项）：支出决算为25.3万元，完成预算100%。</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30"/>
          <w:rFonts w:ascii="Times New Roman" w:hAnsi="Times New Roman"/>
        </w:rPr>
      </w:pPr>
      <w:bookmarkStart w:id="74" w:name="_Toc15377214"/>
      <w:bookmarkStart w:id="75" w:name="_Toc15396608"/>
      <w:bookmarkStart w:id="76" w:name="_Toc604006162_WPSOffice_Level2"/>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74"/>
      <w:bookmarkEnd w:id="75"/>
      <w:bookmarkEnd w:id="76"/>
      <w:r>
        <w:rPr>
          <w:rStyle w:val="30"/>
          <w:rFonts w:ascii="Times New Roman" w:hAnsi="Times New Roman" w:eastAsia="黑体"/>
          <w:b w:val="0"/>
        </w:rPr>
        <w:tab/>
      </w:r>
    </w:p>
    <w:p>
      <w:pPr>
        <w:spacing w:line="600" w:lineRule="exact"/>
        <w:ind w:firstLine="640"/>
        <w:rPr>
          <w:rFonts w:eastAsia="仿宋_GB2312" w:cs="仿宋_GB2312"/>
          <w:color w:val="auto"/>
          <w:sz w:val="32"/>
          <w:szCs w:val="32"/>
        </w:rPr>
      </w:pPr>
      <w:r>
        <w:rPr>
          <w:rFonts w:hint="eastAsia" w:eastAsia="仿宋_GB2312" w:cs="仿宋_GB2312"/>
          <w:sz w:val="32"/>
          <w:szCs w:val="32"/>
        </w:rPr>
        <w:t>2025年度一般公共预</w:t>
      </w:r>
      <w:r>
        <w:rPr>
          <w:rFonts w:hint="eastAsia" w:eastAsia="仿宋_GB2312" w:cs="仿宋_GB2312"/>
          <w:color w:val="auto"/>
          <w:sz w:val="32"/>
          <w:szCs w:val="32"/>
        </w:rPr>
        <w:t>算财政拨款基本支出8</w:t>
      </w:r>
      <w:r>
        <w:rPr>
          <w:rFonts w:hint="eastAsia" w:eastAsia="仿宋_GB2312" w:cs="仿宋_GB2312"/>
          <w:color w:val="auto"/>
          <w:sz w:val="32"/>
          <w:szCs w:val="32"/>
          <w:lang w:val="en-US" w:eastAsia="zh-CN"/>
        </w:rPr>
        <w:t>,</w:t>
      </w:r>
      <w:r>
        <w:rPr>
          <w:rFonts w:hint="eastAsia" w:eastAsia="仿宋_GB2312" w:cs="仿宋_GB2312"/>
          <w:color w:val="auto"/>
          <w:sz w:val="32"/>
          <w:szCs w:val="32"/>
        </w:rPr>
        <w:t>999.5</w:t>
      </w:r>
      <w:r>
        <w:rPr>
          <w:rFonts w:hint="eastAsia" w:eastAsia="仿宋_GB2312" w:cs="仿宋_GB2312"/>
          <w:color w:val="auto"/>
          <w:sz w:val="32"/>
          <w:szCs w:val="32"/>
          <w:lang w:val="en-US" w:eastAsia="zh-CN"/>
        </w:rPr>
        <w:t>2</w:t>
      </w:r>
      <w:r>
        <w:rPr>
          <w:rFonts w:hint="eastAsia" w:eastAsia="仿宋_GB2312" w:cs="仿宋_GB2312"/>
          <w:color w:val="auto"/>
          <w:sz w:val="32"/>
          <w:szCs w:val="32"/>
        </w:rPr>
        <w:t>万元，其中：</w:t>
      </w:r>
    </w:p>
    <w:p>
      <w:pPr>
        <w:spacing w:line="600" w:lineRule="exact"/>
        <w:ind w:firstLine="640"/>
        <w:rPr>
          <w:rFonts w:eastAsia="仿宋_GB2312" w:cs="仿宋_GB2312"/>
          <w:b/>
          <w:bCs/>
          <w:sz w:val="32"/>
          <w:szCs w:val="32"/>
        </w:rPr>
      </w:pPr>
      <w:r>
        <w:rPr>
          <w:rFonts w:hint="eastAsia" w:eastAsia="仿宋_GB2312" w:cs="仿宋_GB2312"/>
          <w:color w:val="auto"/>
          <w:sz w:val="32"/>
          <w:szCs w:val="32"/>
        </w:rPr>
        <w:t>人员经费</w:t>
      </w:r>
      <w:r>
        <w:rPr>
          <w:rFonts w:hint="eastAsia" w:eastAsia="仿宋_GB2312" w:cs="仿宋_GB2312"/>
          <w:color w:val="auto"/>
          <w:sz w:val="32"/>
          <w:szCs w:val="32"/>
          <w:lang w:val="en-US" w:eastAsia="zh-CN"/>
        </w:rPr>
        <w:t>8,395.12</w:t>
      </w:r>
      <w:r>
        <w:rPr>
          <w:rFonts w:hint="eastAsia" w:eastAsia="仿宋_GB2312" w:cs="仿宋_GB2312"/>
          <w:color w:val="auto"/>
          <w:sz w:val="32"/>
          <w:szCs w:val="32"/>
        </w:rPr>
        <w:t>万元，主要包括：基本工资</w:t>
      </w:r>
      <w:r>
        <w:rPr>
          <w:rFonts w:hint="eastAsia" w:eastAsia="仿宋_GB2312" w:cs="仿宋_GB2312"/>
          <w:color w:val="auto"/>
          <w:sz w:val="32"/>
          <w:szCs w:val="32"/>
          <w:lang w:eastAsia="zh-CN"/>
        </w:rPr>
        <w:t>、</w:t>
      </w:r>
      <w:r>
        <w:rPr>
          <w:rFonts w:hint="eastAsia" w:eastAsia="仿宋_GB2312" w:cs="仿宋_GB2312"/>
          <w:color w:val="auto"/>
          <w:sz w:val="32"/>
          <w:szCs w:val="32"/>
        </w:rPr>
        <w:t>津贴补贴</w:t>
      </w:r>
      <w:r>
        <w:rPr>
          <w:rFonts w:hint="eastAsia" w:eastAsia="仿宋_GB2312" w:cs="仿宋_GB2312"/>
          <w:color w:val="auto"/>
          <w:sz w:val="32"/>
          <w:szCs w:val="32"/>
          <w:lang w:eastAsia="zh-CN"/>
        </w:rPr>
        <w:t>、</w:t>
      </w:r>
      <w:r>
        <w:rPr>
          <w:rFonts w:hint="eastAsia" w:eastAsia="仿宋_GB2312" w:cs="仿宋_GB2312"/>
          <w:color w:val="auto"/>
          <w:sz w:val="32"/>
          <w:szCs w:val="32"/>
        </w:rPr>
        <w:t>奖金</w:t>
      </w:r>
      <w:r>
        <w:rPr>
          <w:rFonts w:hint="eastAsia" w:eastAsia="仿宋_GB2312" w:cs="仿宋_GB2312"/>
          <w:color w:val="auto"/>
          <w:sz w:val="32"/>
          <w:szCs w:val="32"/>
          <w:lang w:eastAsia="zh-CN"/>
        </w:rPr>
        <w:t>、</w:t>
      </w:r>
      <w:r>
        <w:rPr>
          <w:rFonts w:hint="eastAsia" w:eastAsia="仿宋_GB2312" w:cs="仿宋_GB2312"/>
          <w:color w:val="auto"/>
          <w:sz w:val="32"/>
          <w:szCs w:val="32"/>
        </w:rPr>
        <w:t>绩效工资</w:t>
      </w:r>
      <w:r>
        <w:rPr>
          <w:rFonts w:hint="eastAsia" w:eastAsia="仿宋_GB2312" w:cs="仿宋_GB2312"/>
          <w:color w:val="auto"/>
          <w:sz w:val="32"/>
          <w:szCs w:val="32"/>
          <w:lang w:eastAsia="zh-CN"/>
        </w:rPr>
        <w:t>、</w:t>
      </w:r>
      <w:r>
        <w:rPr>
          <w:rFonts w:hint="eastAsia" w:eastAsia="仿宋_GB2312" w:cs="仿宋_GB2312"/>
          <w:color w:val="auto"/>
          <w:sz w:val="32"/>
          <w:szCs w:val="32"/>
        </w:rPr>
        <w:t>机关事业单位</w:t>
      </w:r>
      <w:r>
        <w:rPr>
          <w:rFonts w:hint="eastAsia" w:eastAsia="仿宋_GB2312" w:cs="仿宋_GB2312"/>
          <w:sz w:val="32"/>
          <w:szCs w:val="32"/>
        </w:rPr>
        <w:t>基本养老保险缴费</w:t>
      </w:r>
      <w:r>
        <w:rPr>
          <w:rFonts w:hint="eastAsia" w:eastAsia="仿宋_GB2312" w:cs="仿宋_GB2312"/>
          <w:sz w:val="32"/>
          <w:szCs w:val="32"/>
          <w:lang w:eastAsia="zh-CN"/>
        </w:rPr>
        <w:t>、</w:t>
      </w:r>
      <w:r>
        <w:rPr>
          <w:rFonts w:hint="eastAsia" w:eastAsia="仿宋_GB2312" w:cs="仿宋_GB2312"/>
          <w:sz w:val="32"/>
          <w:szCs w:val="32"/>
        </w:rPr>
        <w:t>职业年金缴费</w:t>
      </w:r>
      <w:r>
        <w:rPr>
          <w:rFonts w:hint="eastAsia" w:eastAsia="仿宋_GB2312" w:cs="仿宋_GB2312"/>
          <w:sz w:val="32"/>
          <w:szCs w:val="32"/>
          <w:lang w:eastAsia="zh-CN"/>
        </w:rPr>
        <w:t>、</w:t>
      </w:r>
      <w:r>
        <w:rPr>
          <w:rFonts w:hint="eastAsia" w:eastAsia="仿宋_GB2312" w:cs="仿宋_GB2312"/>
          <w:sz w:val="32"/>
          <w:szCs w:val="32"/>
        </w:rPr>
        <w:t xml:space="preserve"> 职工基本医疗保险缴费</w:t>
      </w:r>
      <w:r>
        <w:rPr>
          <w:rFonts w:hint="eastAsia" w:eastAsia="仿宋_GB2312" w:cs="仿宋_GB2312"/>
          <w:sz w:val="32"/>
          <w:szCs w:val="32"/>
          <w:lang w:eastAsia="zh-CN"/>
        </w:rPr>
        <w:t>、</w:t>
      </w:r>
      <w:r>
        <w:rPr>
          <w:rFonts w:hint="eastAsia" w:eastAsia="仿宋_GB2312" w:cs="仿宋_GB2312"/>
          <w:sz w:val="32"/>
          <w:szCs w:val="32"/>
        </w:rPr>
        <w:t>公务员医疗补助缴费</w:t>
      </w:r>
      <w:r>
        <w:rPr>
          <w:rFonts w:hint="eastAsia" w:eastAsia="仿宋_GB2312" w:cs="仿宋_GB2312"/>
          <w:sz w:val="32"/>
          <w:szCs w:val="32"/>
          <w:lang w:eastAsia="zh-CN"/>
        </w:rPr>
        <w:t>、</w:t>
      </w:r>
      <w:r>
        <w:rPr>
          <w:rFonts w:hint="eastAsia" w:eastAsia="仿宋_GB2312" w:cs="仿宋_GB2312"/>
          <w:sz w:val="32"/>
          <w:szCs w:val="32"/>
        </w:rPr>
        <w:t>其他社会保障缴费</w:t>
      </w:r>
      <w:r>
        <w:rPr>
          <w:rFonts w:hint="eastAsia" w:eastAsia="仿宋_GB2312" w:cs="仿宋_GB2312"/>
          <w:sz w:val="32"/>
          <w:szCs w:val="32"/>
          <w:lang w:eastAsia="zh-CN"/>
        </w:rPr>
        <w:t>、</w:t>
      </w:r>
      <w:r>
        <w:rPr>
          <w:rFonts w:hint="eastAsia" w:eastAsia="仿宋_GB2312" w:cs="仿宋_GB2312"/>
          <w:sz w:val="32"/>
          <w:szCs w:val="32"/>
        </w:rPr>
        <w:t>住房公积金</w:t>
      </w:r>
      <w:r>
        <w:rPr>
          <w:rFonts w:hint="eastAsia" w:eastAsia="仿宋_GB2312" w:cs="仿宋_GB2312"/>
          <w:sz w:val="32"/>
          <w:szCs w:val="32"/>
          <w:lang w:eastAsia="zh-CN"/>
        </w:rPr>
        <w:t>、</w:t>
      </w:r>
      <w:r>
        <w:rPr>
          <w:rFonts w:hint="eastAsia" w:eastAsia="仿宋_GB2312" w:cs="仿宋_GB2312"/>
          <w:sz w:val="32"/>
          <w:szCs w:val="32"/>
        </w:rPr>
        <w:t>其他工资福利支出</w:t>
      </w:r>
      <w:r>
        <w:rPr>
          <w:rFonts w:hint="eastAsia" w:eastAsia="仿宋_GB2312" w:cs="仿宋_GB2312"/>
          <w:sz w:val="32"/>
          <w:szCs w:val="32"/>
          <w:lang w:eastAsia="zh-CN"/>
        </w:rPr>
        <w:t>、  离休费、抚恤金、生活补助、医疗费补助、奖励金、其他对个人和家庭的补助</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604.4</w:t>
      </w:r>
      <w:r>
        <w:rPr>
          <w:rFonts w:hint="eastAsia" w:eastAsia="仿宋_GB2312" w:cs="仿宋_GB2312"/>
          <w:sz w:val="32"/>
          <w:szCs w:val="32"/>
        </w:rPr>
        <w:t>万元，主要包括：办公费</w:t>
      </w:r>
      <w:r>
        <w:rPr>
          <w:rFonts w:hint="eastAsia" w:eastAsia="仿宋_GB2312" w:cs="仿宋_GB2312"/>
          <w:sz w:val="32"/>
          <w:szCs w:val="32"/>
          <w:lang w:eastAsia="zh-CN"/>
        </w:rPr>
        <w:t>、</w:t>
      </w:r>
      <w:r>
        <w:rPr>
          <w:rFonts w:hint="eastAsia" w:eastAsia="仿宋_GB2312" w:cs="仿宋_GB2312"/>
          <w:sz w:val="32"/>
          <w:szCs w:val="32"/>
        </w:rPr>
        <w:t>印刷费</w:t>
      </w:r>
      <w:r>
        <w:rPr>
          <w:rFonts w:hint="eastAsia" w:eastAsia="仿宋_GB2312" w:cs="仿宋_GB2312"/>
          <w:sz w:val="32"/>
          <w:szCs w:val="32"/>
          <w:lang w:eastAsia="zh-CN"/>
        </w:rPr>
        <w:t>、</w:t>
      </w:r>
      <w:r>
        <w:rPr>
          <w:rFonts w:hint="eastAsia" w:eastAsia="仿宋_GB2312" w:cs="仿宋_GB2312"/>
          <w:sz w:val="32"/>
          <w:szCs w:val="32"/>
        </w:rPr>
        <w:t xml:space="preserve"> 水费</w:t>
      </w:r>
      <w:r>
        <w:rPr>
          <w:rFonts w:hint="eastAsia" w:eastAsia="仿宋_GB2312" w:cs="仿宋_GB2312"/>
          <w:sz w:val="32"/>
          <w:szCs w:val="32"/>
          <w:lang w:eastAsia="zh-CN"/>
        </w:rPr>
        <w:t>、</w:t>
      </w:r>
      <w:r>
        <w:rPr>
          <w:rFonts w:hint="eastAsia" w:eastAsia="仿宋_GB2312" w:cs="仿宋_GB2312"/>
          <w:sz w:val="32"/>
          <w:szCs w:val="32"/>
        </w:rPr>
        <w:t>电费</w:t>
      </w:r>
      <w:r>
        <w:rPr>
          <w:rFonts w:hint="eastAsia" w:eastAsia="仿宋_GB2312" w:cs="仿宋_GB2312"/>
          <w:sz w:val="32"/>
          <w:szCs w:val="32"/>
          <w:lang w:eastAsia="zh-CN"/>
        </w:rPr>
        <w:t>、</w:t>
      </w:r>
      <w:r>
        <w:rPr>
          <w:rFonts w:hint="eastAsia" w:eastAsia="仿宋_GB2312" w:cs="仿宋_GB2312"/>
          <w:sz w:val="32"/>
          <w:szCs w:val="32"/>
        </w:rPr>
        <w:t>邮电费</w:t>
      </w:r>
      <w:r>
        <w:rPr>
          <w:rFonts w:hint="eastAsia" w:eastAsia="仿宋_GB2312" w:cs="仿宋_GB2312"/>
          <w:sz w:val="32"/>
          <w:szCs w:val="32"/>
          <w:lang w:eastAsia="zh-CN"/>
        </w:rPr>
        <w:t>、</w:t>
      </w:r>
      <w:r>
        <w:rPr>
          <w:rFonts w:hint="eastAsia" w:eastAsia="仿宋_GB2312" w:cs="仿宋_GB2312"/>
          <w:sz w:val="32"/>
          <w:szCs w:val="32"/>
        </w:rPr>
        <w:t>物业管理费</w:t>
      </w:r>
      <w:r>
        <w:rPr>
          <w:rFonts w:hint="eastAsia" w:eastAsia="仿宋_GB2312" w:cs="仿宋_GB2312"/>
          <w:sz w:val="32"/>
          <w:szCs w:val="32"/>
          <w:lang w:eastAsia="zh-CN"/>
        </w:rPr>
        <w:t>、</w:t>
      </w:r>
      <w:r>
        <w:rPr>
          <w:rFonts w:hint="eastAsia" w:eastAsia="仿宋_GB2312" w:cs="仿宋_GB2312"/>
          <w:sz w:val="32"/>
          <w:szCs w:val="32"/>
        </w:rPr>
        <w:t>差旅费</w:t>
      </w:r>
      <w:r>
        <w:rPr>
          <w:rFonts w:hint="eastAsia" w:eastAsia="仿宋_GB2312" w:cs="仿宋_GB2312"/>
          <w:sz w:val="32"/>
          <w:szCs w:val="32"/>
          <w:lang w:eastAsia="zh-CN"/>
        </w:rPr>
        <w:t>、</w:t>
      </w:r>
      <w:r>
        <w:rPr>
          <w:rFonts w:hint="eastAsia" w:eastAsia="仿宋_GB2312" w:cs="仿宋_GB2312"/>
          <w:sz w:val="32"/>
          <w:szCs w:val="32"/>
        </w:rPr>
        <w:t>维修（护）费</w:t>
      </w:r>
      <w:r>
        <w:rPr>
          <w:rFonts w:hint="eastAsia" w:eastAsia="仿宋_GB2312" w:cs="仿宋_GB2312"/>
          <w:sz w:val="32"/>
          <w:szCs w:val="32"/>
          <w:lang w:eastAsia="zh-CN"/>
        </w:rPr>
        <w:t>、</w:t>
      </w:r>
      <w:r>
        <w:rPr>
          <w:rFonts w:hint="eastAsia" w:eastAsia="仿宋_GB2312" w:cs="仿宋_GB2312"/>
          <w:sz w:val="32"/>
          <w:szCs w:val="32"/>
        </w:rPr>
        <w:t>租赁费</w:t>
      </w:r>
      <w:r>
        <w:rPr>
          <w:rFonts w:hint="eastAsia" w:eastAsia="仿宋_GB2312" w:cs="仿宋_GB2312"/>
          <w:sz w:val="32"/>
          <w:szCs w:val="32"/>
          <w:lang w:eastAsia="zh-CN"/>
        </w:rPr>
        <w:t>、</w:t>
      </w:r>
      <w:r>
        <w:rPr>
          <w:rFonts w:hint="eastAsia" w:eastAsia="仿宋_GB2312" w:cs="仿宋_GB2312"/>
          <w:sz w:val="32"/>
          <w:szCs w:val="32"/>
        </w:rPr>
        <w:t>会议费</w:t>
      </w:r>
      <w:r>
        <w:rPr>
          <w:rFonts w:hint="eastAsia" w:eastAsia="仿宋_GB2312" w:cs="仿宋_GB2312"/>
          <w:sz w:val="32"/>
          <w:szCs w:val="32"/>
          <w:lang w:eastAsia="zh-CN"/>
        </w:rPr>
        <w:t>、</w:t>
      </w:r>
      <w:r>
        <w:rPr>
          <w:rFonts w:hint="eastAsia" w:eastAsia="仿宋_GB2312" w:cs="仿宋_GB2312"/>
          <w:sz w:val="32"/>
          <w:szCs w:val="32"/>
        </w:rPr>
        <w:t>培训费</w:t>
      </w:r>
      <w:r>
        <w:rPr>
          <w:rFonts w:hint="eastAsia" w:eastAsia="仿宋_GB2312" w:cs="仿宋_GB2312"/>
          <w:sz w:val="32"/>
          <w:szCs w:val="32"/>
          <w:lang w:eastAsia="zh-CN"/>
        </w:rPr>
        <w:t>、</w:t>
      </w:r>
      <w:r>
        <w:rPr>
          <w:rFonts w:hint="eastAsia" w:eastAsia="仿宋_GB2312" w:cs="仿宋_GB2312"/>
          <w:sz w:val="32"/>
          <w:szCs w:val="32"/>
        </w:rPr>
        <w:t>公务接待费</w:t>
      </w:r>
      <w:r>
        <w:rPr>
          <w:rFonts w:hint="eastAsia" w:eastAsia="仿宋_GB2312" w:cs="仿宋_GB2312"/>
          <w:sz w:val="32"/>
          <w:szCs w:val="32"/>
          <w:lang w:eastAsia="zh-CN"/>
        </w:rPr>
        <w:t>、</w:t>
      </w:r>
      <w:r>
        <w:rPr>
          <w:rFonts w:hint="eastAsia" w:eastAsia="仿宋_GB2312" w:cs="仿宋_GB2312"/>
          <w:sz w:val="32"/>
          <w:szCs w:val="32"/>
        </w:rPr>
        <w:t>劳务费</w:t>
      </w:r>
      <w:r>
        <w:rPr>
          <w:rFonts w:hint="eastAsia" w:eastAsia="仿宋_GB2312" w:cs="仿宋_GB2312"/>
          <w:sz w:val="32"/>
          <w:szCs w:val="32"/>
          <w:lang w:eastAsia="zh-CN"/>
        </w:rPr>
        <w:t>、</w:t>
      </w:r>
      <w:r>
        <w:rPr>
          <w:rFonts w:hint="eastAsia" w:eastAsia="仿宋_GB2312" w:cs="仿宋_GB2312"/>
          <w:sz w:val="32"/>
          <w:szCs w:val="32"/>
        </w:rPr>
        <w:t>委托业务费</w:t>
      </w:r>
      <w:r>
        <w:rPr>
          <w:rFonts w:hint="eastAsia" w:eastAsia="仿宋_GB2312" w:cs="仿宋_GB2312"/>
          <w:sz w:val="32"/>
          <w:szCs w:val="32"/>
          <w:lang w:eastAsia="zh-CN"/>
        </w:rPr>
        <w:t>、</w:t>
      </w:r>
      <w:r>
        <w:rPr>
          <w:rFonts w:hint="eastAsia" w:eastAsia="仿宋_GB2312" w:cs="仿宋_GB2312"/>
          <w:sz w:val="32"/>
          <w:szCs w:val="32"/>
        </w:rPr>
        <w:t>工会经费</w:t>
      </w:r>
      <w:r>
        <w:rPr>
          <w:rFonts w:hint="eastAsia" w:eastAsia="仿宋_GB2312" w:cs="仿宋_GB2312"/>
          <w:sz w:val="32"/>
          <w:szCs w:val="32"/>
          <w:lang w:eastAsia="zh-CN"/>
        </w:rPr>
        <w:t>、</w:t>
      </w:r>
      <w:r>
        <w:rPr>
          <w:rFonts w:hint="eastAsia" w:eastAsia="仿宋_GB2312" w:cs="仿宋_GB2312"/>
          <w:sz w:val="32"/>
          <w:szCs w:val="32"/>
        </w:rPr>
        <w:t>福利费</w:t>
      </w:r>
      <w:r>
        <w:rPr>
          <w:rFonts w:hint="eastAsia" w:eastAsia="仿宋_GB2312" w:cs="仿宋_GB2312"/>
          <w:sz w:val="32"/>
          <w:szCs w:val="32"/>
          <w:lang w:eastAsia="zh-CN"/>
        </w:rPr>
        <w:t>、</w:t>
      </w:r>
      <w:r>
        <w:rPr>
          <w:rFonts w:hint="eastAsia" w:eastAsia="仿宋_GB2312" w:cs="仿宋_GB2312"/>
          <w:sz w:val="32"/>
          <w:szCs w:val="32"/>
        </w:rPr>
        <w:t>公务用车运行维护费</w:t>
      </w:r>
      <w:r>
        <w:rPr>
          <w:rFonts w:hint="eastAsia" w:eastAsia="仿宋_GB2312" w:cs="仿宋_GB2312"/>
          <w:sz w:val="32"/>
          <w:szCs w:val="32"/>
          <w:lang w:eastAsia="zh-CN"/>
        </w:rPr>
        <w:t>、</w:t>
      </w:r>
      <w:r>
        <w:rPr>
          <w:rFonts w:hint="eastAsia" w:eastAsia="仿宋_GB2312" w:cs="仿宋_GB2312"/>
          <w:sz w:val="32"/>
          <w:szCs w:val="32"/>
        </w:rPr>
        <w:t>其他交通费用</w:t>
      </w:r>
      <w:r>
        <w:rPr>
          <w:rFonts w:hint="eastAsia" w:eastAsia="仿宋_GB2312" w:cs="仿宋_GB2312"/>
          <w:sz w:val="32"/>
          <w:szCs w:val="32"/>
          <w:lang w:eastAsia="zh-CN"/>
        </w:rPr>
        <w:t>、</w:t>
      </w:r>
      <w:r>
        <w:rPr>
          <w:rFonts w:hint="eastAsia" w:eastAsia="仿宋_GB2312" w:cs="仿宋_GB2312"/>
          <w:sz w:val="32"/>
          <w:szCs w:val="32"/>
        </w:rPr>
        <w:t>其他商品和服务支出等</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p>
    <w:p>
      <w:pPr>
        <w:spacing w:line="600" w:lineRule="exact"/>
        <w:ind w:firstLine="640"/>
        <w:outlineLvl w:val="1"/>
        <w:rPr>
          <w:rStyle w:val="30"/>
          <w:rFonts w:ascii="Times New Roman" w:hAnsi="Times New Roman" w:eastAsia="黑体"/>
          <w:b w:val="0"/>
        </w:rPr>
      </w:pPr>
      <w:bookmarkStart w:id="77" w:name="_Toc15377215"/>
      <w:bookmarkStart w:id="78" w:name="_Toc1597662409_WPSOffice_Level2"/>
      <w:bookmarkStart w:id="79"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77"/>
      <w:bookmarkEnd w:id="78"/>
      <w:bookmarkEnd w:id="79"/>
    </w:p>
    <w:p>
      <w:pPr>
        <w:spacing w:line="600" w:lineRule="exact"/>
        <w:ind w:firstLine="642" w:firstLineChars="200"/>
        <w:outlineLvl w:val="2"/>
        <w:rPr>
          <w:rFonts w:eastAsia="楷体_GB2312" w:cs="楷体_GB2312"/>
          <w:b/>
          <w:sz w:val="32"/>
          <w:szCs w:val="32"/>
        </w:rPr>
      </w:pPr>
      <w:bookmarkStart w:id="80" w:name="_Toc15377216"/>
      <w:r>
        <w:rPr>
          <w:rFonts w:hint="eastAsia" w:eastAsia="楷体_GB2312" w:cs="楷体_GB2312"/>
          <w:b/>
          <w:sz w:val="32"/>
          <w:szCs w:val="32"/>
        </w:rPr>
        <w:t>（一）财政拨款“三公”经费支出决算总体情况说明</w:t>
      </w:r>
      <w:bookmarkEnd w:id="80"/>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2025年度财政拨款“三公”经费支出决算为79.66万元，完成预算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30.68</w:t>
      </w:r>
      <w:r>
        <w:rPr>
          <w:rFonts w:hint="eastAsia" w:eastAsia="仿宋_GB2312" w:cs="仿宋_GB2312"/>
          <w:sz w:val="32"/>
          <w:szCs w:val="32"/>
        </w:rPr>
        <w:t>万元，下降</w:t>
      </w:r>
      <w:r>
        <w:rPr>
          <w:rFonts w:hint="eastAsia" w:eastAsia="仿宋_GB2312" w:cs="仿宋_GB2312"/>
          <w:sz w:val="32"/>
          <w:szCs w:val="32"/>
          <w:lang w:val="en-US" w:eastAsia="zh-CN"/>
        </w:rPr>
        <w:t>27.8</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81" w:name="_Toc15377217"/>
      <w:r>
        <w:rPr>
          <w:rFonts w:hint="eastAsia" w:eastAsia="楷体_GB2312" w:cs="楷体_GB2312"/>
          <w:b/>
          <w:sz w:val="32"/>
          <w:szCs w:val="32"/>
        </w:rPr>
        <w:t>（二）财政拨款“三公”经费支出决算具体情况说明</w:t>
      </w:r>
      <w:bookmarkEnd w:id="81"/>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76.7</w:t>
      </w:r>
      <w:r>
        <w:rPr>
          <w:rFonts w:hint="eastAsia" w:eastAsia="仿宋_GB2312" w:cs="仿宋_GB2312"/>
          <w:sz w:val="32"/>
          <w:szCs w:val="32"/>
        </w:rPr>
        <w:t>万元，占</w:t>
      </w:r>
      <w:r>
        <w:rPr>
          <w:rFonts w:hint="eastAsia" w:eastAsia="仿宋_GB2312" w:cs="仿宋_GB2312"/>
          <w:sz w:val="32"/>
          <w:szCs w:val="32"/>
          <w:lang w:val="en-US" w:eastAsia="zh-CN"/>
        </w:rPr>
        <w:t>96.28</w:t>
      </w:r>
      <w:r>
        <w:rPr>
          <w:rFonts w:hint="eastAsia" w:eastAsia="仿宋_GB2312" w:cs="仿宋_GB2312"/>
          <w:sz w:val="32"/>
          <w:szCs w:val="32"/>
        </w:rPr>
        <w:t>%；公务接待费支出决算</w:t>
      </w:r>
      <w:r>
        <w:rPr>
          <w:rFonts w:hint="eastAsia" w:eastAsia="仿宋_GB2312" w:cs="仿宋_GB2312"/>
          <w:sz w:val="32"/>
          <w:szCs w:val="32"/>
          <w:lang w:val="en-US" w:eastAsia="zh-CN"/>
        </w:rPr>
        <w:t>2.96</w:t>
      </w:r>
      <w:r>
        <w:rPr>
          <w:rFonts w:hint="eastAsia" w:eastAsia="仿宋_GB2312" w:cs="仿宋_GB2312"/>
          <w:sz w:val="32"/>
          <w:szCs w:val="32"/>
        </w:rPr>
        <w:t>万元，占</w:t>
      </w:r>
      <w:r>
        <w:rPr>
          <w:rFonts w:hint="eastAsia" w:eastAsia="仿宋_GB2312" w:cs="仿宋_GB2312"/>
          <w:sz w:val="32"/>
          <w:szCs w:val="32"/>
          <w:lang w:val="en-US" w:eastAsia="zh-CN"/>
        </w:rPr>
        <w:t>3.72</w:t>
      </w:r>
      <w:r>
        <w:rPr>
          <w:rFonts w:hint="eastAsia" w:eastAsia="仿宋_GB2312" w:cs="仿宋_GB2312"/>
          <w:sz w:val="32"/>
          <w:szCs w:val="32"/>
        </w:rPr>
        <w:t>%。具体情况如下：</w:t>
      </w:r>
    </w:p>
    <w:p>
      <w:pPr>
        <w:pStyle w:val="2"/>
        <w:jc w:val="center"/>
        <w:rPr>
          <w:rFonts w:hint="eastAsia" w:eastAsia="仿宋_GB2312"/>
          <w:lang w:eastAsia="zh-CN"/>
        </w:rPr>
      </w:pPr>
      <w:r>
        <w:rPr>
          <w:rFonts w:hint="eastAsia" w:eastAsia="仿宋_GB2312"/>
          <w:lang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p>
    <w:p>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76.7</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29.98</w:t>
      </w:r>
      <w:r>
        <w:rPr>
          <w:rFonts w:hint="eastAsia" w:eastAsia="仿宋_GB2312" w:cs="仿宋_GB2312"/>
          <w:sz w:val="32"/>
          <w:szCs w:val="32"/>
        </w:rPr>
        <w:t>万元，下降</w:t>
      </w:r>
      <w:r>
        <w:rPr>
          <w:rFonts w:hint="eastAsia" w:eastAsia="仿宋_GB2312" w:cs="仿宋_GB2312"/>
          <w:sz w:val="32"/>
          <w:szCs w:val="32"/>
          <w:lang w:val="en-US" w:eastAsia="zh-CN"/>
        </w:rPr>
        <w:t>28.1</w:t>
      </w:r>
      <w:r>
        <w:rPr>
          <w:rFonts w:hint="eastAsia" w:eastAsia="仿宋_GB2312" w:cs="仿宋_GB2312"/>
          <w:sz w:val="32"/>
          <w:szCs w:val="32"/>
        </w:rPr>
        <w:t>%。主要原因是为保障各项重点工作及重点项目的顺利推进，局机关202</w:t>
      </w:r>
      <w:r>
        <w:rPr>
          <w:rFonts w:hint="eastAsia" w:eastAsia="仿宋_GB2312" w:cs="仿宋_GB2312"/>
          <w:sz w:val="32"/>
          <w:szCs w:val="32"/>
          <w:lang w:val="en-US" w:eastAsia="zh-CN"/>
        </w:rPr>
        <w:t>4</w:t>
      </w:r>
      <w:r>
        <w:rPr>
          <w:rFonts w:hint="eastAsia" w:eastAsia="仿宋_GB2312" w:cs="仿宋_GB2312"/>
          <w:sz w:val="32"/>
          <w:szCs w:val="32"/>
        </w:rPr>
        <w:t>年购置了专业技术用车1辆，产生购置费</w:t>
      </w:r>
      <w:r>
        <w:rPr>
          <w:rFonts w:hint="eastAsia" w:eastAsia="仿宋_GB2312" w:cs="仿宋_GB2312"/>
          <w:sz w:val="32"/>
          <w:szCs w:val="32"/>
          <w:lang w:eastAsia="zh-CN"/>
        </w:rPr>
        <w:t>，</w:t>
      </w:r>
      <w:r>
        <w:rPr>
          <w:rFonts w:hint="eastAsia" w:eastAsia="仿宋_GB2312" w:cs="仿宋_GB2312"/>
          <w:sz w:val="32"/>
          <w:szCs w:val="32"/>
          <w:lang w:val="en-US" w:eastAsia="zh-CN"/>
        </w:rPr>
        <w:t>2025年无新购车辆</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56</w:t>
      </w:r>
      <w:r>
        <w:rPr>
          <w:rFonts w:hint="eastAsia" w:eastAsia="仿宋_GB2312" w:cs="仿宋_GB2312"/>
          <w:sz w:val="32"/>
          <w:szCs w:val="32"/>
        </w:rPr>
        <w:t>辆，其中：轿车</w:t>
      </w:r>
      <w:r>
        <w:rPr>
          <w:rFonts w:hint="eastAsia" w:eastAsia="仿宋_GB2312" w:cs="仿宋_GB2312"/>
          <w:sz w:val="32"/>
          <w:szCs w:val="32"/>
          <w:lang w:val="en-US" w:eastAsia="zh-CN"/>
        </w:rPr>
        <w:t>7</w:t>
      </w:r>
      <w:r>
        <w:rPr>
          <w:rFonts w:hint="eastAsia" w:eastAsia="仿宋_GB2312" w:cs="仿宋_GB2312"/>
          <w:sz w:val="32"/>
          <w:szCs w:val="32"/>
        </w:rPr>
        <w:t>辆、越野车</w:t>
      </w:r>
      <w:r>
        <w:rPr>
          <w:rFonts w:hint="eastAsia" w:eastAsia="仿宋_GB2312" w:cs="仿宋_GB2312"/>
          <w:sz w:val="32"/>
          <w:szCs w:val="32"/>
          <w:lang w:val="en-US" w:eastAsia="zh-CN"/>
        </w:rPr>
        <w:t>11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、其他车辆</w:t>
      </w:r>
      <w:r>
        <w:rPr>
          <w:rFonts w:hint="eastAsia" w:eastAsia="仿宋_GB2312" w:cs="仿宋_GB2312"/>
          <w:color w:val="auto"/>
          <w:kern w:val="2"/>
          <w:sz w:val="32"/>
          <w:szCs w:val="32"/>
          <w:highlight w:val="none"/>
          <w:lang w:val="en-US" w:eastAsia="zh-CN" w:bidi="ar-SA"/>
        </w:rPr>
        <w:t>38辆</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76.7</w:t>
      </w:r>
      <w:r>
        <w:rPr>
          <w:rFonts w:hint="eastAsia" w:eastAsia="仿宋_GB2312" w:cs="仿宋_GB2312"/>
          <w:sz w:val="32"/>
          <w:szCs w:val="32"/>
        </w:rPr>
        <w:t>万元。主要用于</w:t>
      </w:r>
      <w:r>
        <w:rPr>
          <w:rFonts w:hint="eastAsia" w:ascii="仿宋_GB2312" w:hAnsi="仿宋_GB2312" w:eastAsia="仿宋_GB2312" w:cs="仿宋_GB2312"/>
          <w:sz w:val="32"/>
          <w:szCs w:val="32"/>
        </w:rPr>
        <w:t>开展城市更新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住房保障、老旧小区改造、农村危房改造、建筑质量</w:t>
      </w:r>
      <w:r>
        <w:rPr>
          <w:rFonts w:hint="eastAsia" w:ascii="仿宋_GB2312" w:hAnsi="仿宋_GB2312" w:eastAsia="仿宋_GB2312" w:cs="仿宋_GB2312"/>
          <w:sz w:val="32"/>
          <w:szCs w:val="32"/>
          <w:lang w:eastAsia="zh-CN"/>
        </w:rPr>
        <w:t>安全</w:t>
      </w:r>
      <w:r>
        <w:rPr>
          <w:rFonts w:hint="eastAsia" w:ascii="仿宋_GB2312" w:hAnsi="仿宋_GB2312" w:eastAsia="仿宋_GB2312" w:cs="仿宋_GB2312"/>
          <w:sz w:val="32"/>
          <w:szCs w:val="32"/>
        </w:rPr>
        <w:t>监督、零碳示范村、绿色建</w:t>
      </w:r>
      <w:r>
        <w:rPr>
          <w:rFonts w:hint="eastAsia" w:ascii="仿宋_GB2312" w:hAnsi="仿宋_GB2312" w:eastAsia="仿宋_GB2312" w:cs="仿宋_GB2312"/>
          <w:color w:val="auto"/>
          <w:sz w:val="32"/>
          <w:szCs w:val="32"/>
        </w:rPr>
        <w:t>筑发展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市政公用设施维修维护</w:t>
      </w:r>
      <w:r>
        <w:rPr>
          <w:rFonts w:hint="eastAsia" w:ascii="仿宋_GB2312" w:hAnsi="仿宋_GB2312" w:eastAsia="仿宋_GB2312" w:cs="仿宋_GB2312"/>
          <w:color w:val="auto"/>
          <w:sz w:val="32"/>
          <w:szCs w:val="32"/>
          <w:lang w:eastAsia="zh-CN"/>
        </w:rPr>
        <w:t>、</w:t>
      </w:r>
      <w:r>
        <w:rPr>
          <w:rFonts w:hint="eastAsia" w:eastAsia="仿宋_GB2312" w:cs="仿宋_GB2312"/>
          <w:color w:val="auto"/>
          <w:sz w:val="32"/>
          <w:szCs w:val="32"/>
        </w:rPr>
        <w:t>白蚁防治施工、</w:t>
      </w:r>
      <w:r>
        <w:rPr>
          <w:rFonts w:eastAsia="仿宋_GB2312" w:cs="仿宋_GB2312"/>
          <w:color w:val="auto"/>
          <w:sz w:val="32"/>
          <w:szCs w:val="32"/>
        </w:rPr>
        <w:t>公房维修、维修基金拨付现场勘查</w:t>
      </w:r>
      <w:r>
        <w:rPr>
          <w:rFonts w:hint="eastAsia" w:eastAsia="仿宋_GB2312" w:cs="仿宋_GB2312"/>
          <w:color w:val="auto"/>
          <w:sz w:val="32"/>
          <w:szCs w:val="32"/>
          <w:lang w:eastAsia="zh-CN"/>
        </w:rPr>
        <w:t>等</w:t>
      </w:r>
      <w:r>
        <w:rPr>
          <w:rFonts w:hint="eastAsia" w:ascii="仿宋_GB2312" w:hAnsi="仿宋_GB2312" w:eastAsia="仿宋_GB2312" w:cs="仿宋_GB2312"/>
          <w:color w:val="auto"/>
          <w:sz w:val="32"/>
          <w:szCs w:val="32"/>
        </w:rPr>
        <w:t>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2.96</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0.7</w:t>
      </w:r>
      <w:r>
        <w:rPr>
          <w:rFonts w:hint="eastAsia" w:eastAsia="仿宋_GB2312" w:cs="仿宋_GB2312"/>
          <w:sz w:val="32"/>
          <w:szCs w:val="32"/>
        </w:rPr>
        <w:t>万元，下降</w:t>
      </w:r>
      <w:r>
        <w:rPr>
          <w:rFonts w:hint="eastAsia" w:eastAsia="仿宋_GB2312" w:cs="仿宋_GB2312"/>
          <w:sz w:val="32"/>
          <w:szCs w:val="32"/>
          <w:lang w:val="en-US" w:eastAsia="zh-CN"/>
        </w:rPr>
        <w:t>19.13</w:t>
      </w:r>
      <w:r>
        <w:rPr>
          <w:rFonts w:hint="eastAsia" w:eastAsia="仿宋_GB2312" w:cs="仿宋_GB2312"/>
          <w:sz w:val="32"/>
          <w:szCs w:val="32"/>
        </w:rPr>
        <w:t>%。主要原因是</w:t>
      </w:r>
      <w:r>
        <w:rPr>
          <w:rFonts w:hint="eastAsia" w:ascii="仿宋_GB2312" w:hAnsi="仿宋" w:eastAsia="仿宋_GB2312"/>
          <w:sz w:val="32"/>
          <w:szCs w:val="32"/>
        </w:rPr>
        <w:t>厉行节约开支原则，公务接待费减少</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2.96</w:t>
      </w:r>
      <w:r>
        <w:rPr>
          <w:rFonts w:hint="eastAsia" w:eastAsia="仿宋_GB2312" w:cs="仿宋_GB2312"/>
          <w:sz w:val="32"/>
          <w:szCs w:val="32"/>
        </w:rPr>
        <w:t>万元，主要用于</w:t>
      </w:r>
      <w:r>
        <w:rPr>
          <w:rFonts w:hint="eastAsia" w:ascii="仿宋_GB2312" w:hAnsi="仿宋_GB2312" w:eastAsia="仿宋_GB2312" w:cs="仿宋_GB2312"/>
          <w:sz w:val="32"/>
          <w:szCs w:val="32"/>
        </w:rPr>
        <w:t>省厅各项检查和执行公务、开展业务活动</w:t>
      </w:r>
      <w:r>
        <w:rPr>
          <w:rFonts w:hint="eastAsia" w:ascii="仿宋_GB2312" w:hAnsi="仿宋_GB2312" w:eastAsia="仿宋_GB2312" w:cs="仿宋_GB2312"/>
          <w:sz w:val="32"/>
          <w:szCs w:val="32"/>
          <w:lang w:eastAsia="zh-CN"/>
        </w:rPr>
        <w:t>，以及各市州调研发生的接待</w:t>
      </w:r>
      <w:r>
        <w:rPr>
          <w:rFonts w:hint="eastAsia" w:ascii="仿宋_GB2312" w:hAnsi="仿宋_GB2312" w:eastAsia="仿宋_GB2312" w:cs="仿宋_GB2312"/>
          <w:sz w:val="32"/>
          <w:szCs w:val="32"/>
        </w:rPr>
        <w:t>餐费</w:t>
      </w:r>
      <w:r>
        <w:rPr>
          <w:rFonts w:hint="eastAsia" w:eastAsia="仿宋_GB2312" w:cs="仿宋_GB2312"/>
          <w:sz w:val="32"/>
          <w:szCs w:val="32"/>
        </w:rPr>
        <w:t>。国内公务接待</w:t>
      </w:r>
      <w:r>
        <w:rPr>
          <w:rFonts w:hint="eastAsia" w:eastAsia="仿宋_GB2312" w:cs="仿宋_GB2312"/>
          <w:sz w:val="32"/>
          <w:szCs w:val="32"/>
          <w:lang w:val="en-US" w:eastAsia="zh-CN"/>
        </w:rPr>
        <w:t>23</w:t>
      </w:r>
      <w:r>
        <w:rPr>
          <w:rFonts w:hint="eastAsia" w:eastAsia="仿宋_GB2312" w:cs="仿宋_GB2312"/>
          <w:sz w:val="32"/>
          <w:szCs w:val="32"/>
        </w:rPr>
        <w:t>批次，</w:t>
      </w:r>
      <w:r>
        <w:rPr>
          <w:rFonts w:hint="eastAsia" w:eastAsia="仿宋_GB2312" w:cs="仿宋_GB2312"/>
          <w:sz w:val="32"/>
          <w:szCs w:val="32"/>
          <w:lang w:val="en-US" w:eastAsia="zh-CN"/>
        </w:rPr>
        <w:t>177</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2.96</w:t>
      </w:r>
      <w:r>
        <w:rPr>
          <w:rFonts w:hint="eastAsia" w:eastAsia="仿宋_GB2312" w:cs="仿宋_GB2312"/>
          <w:sz w:val="32"/>
          <w:szCs w:val="32"/>
        </w:rPr>
        <w:t>万元，具体内容包括：</w:t>
      </w:r>
      <w:r>
        <w:rPr>
          <w:rFonts w:hint="eastAsia" w:eastAsia="仿宋_GB2312" w:cs="仿宋_GB2312"/>
          <w:sz w:val="32"/>
          <w:szCs w:val="32"/>
          <w:lang w:eastAsia="zh-CN"/>
        </w:rPr>
        <w:t>接待</w:t>
      </w:r>
      <w:r>
        <w:rPr>
          <w:rFonts w:hint="eastAsia" w:eastAsia="仿宋_GB2312" w:cs="仿宋_GB2312"/>
          <w:sz w:val="32"/>
          <w:szCs w:val="32"/>
        </w:rPr>
        <w:t>省厅消防安全风险排查整治餐费</w:t>
      </w:r>
      <w:r>
        <w:rPr>
          <w:rFonts w:hint="eastAsia" w:eastAsia="仿宋_GB2312" w:cs="仿宋_GB2312"/>
          <w:sz w:val="32"/>
          <w:szCs w:val="32"/>
          <w:lang w:val="en-US" w:eastAsia="zh-CN"/>
        </w:rPr>
        <w:t>1,196元，</w:t>
      </w:r>
      <w:r>
        <w:rPr>
          <w:rFonts w:hint="eastAsia" w:eastAsia="仿宋_GB2312" w:cs="仿宋_GB2312"/>
          <w:sz w:val="32"/>
          <w:szCs w:val="32"/>
        </w:rPr>
        <w:t>接待省厅来攀开展贯彻落实省委会</w:t>
      </w:r>
      <w:r>
        <w:rPr>
          <w:rFonts w:hint="eastAsia" w:eastAsia="仿宋_GB2312" w:cs="仿宋_GB2312"/>
          <w:color w:val="auto"/>
          <w:sz w:val="32"/>
          <w:szCs w:val="32"/>
        </w:rPr>
        <w:t>议</w:t>
      </w:r>
      <w:r>
        <w:rPr>
          <w:rFonts w:hint="eastAsia" w:eastAsia="仿宋_GB2312" w:cs="仿宋_GB2312"/>
          <w:color w:val="auto"/>
          <w:sz w:val="32"/>
          <w:szCs w:val="32"/>
          <w:lang w:eastAsia="zh-CN"/>
        </w:rPr>
        <w:t>精神</w:t>
      </w:r>
      <w:r>
        <w:rPr>
          <w:rFonts w:hint="eastAsia" w:eastAsia="仿宋_GB2312" w:cs="仿宋_GB2312"/>
          <w:color w:val="auto"/>
          <w:sz w:val="32"/>
          <w:szCs w:val="32"/>
        </w:rPr>
        <w:t>餐费</w:t>
      </w:r>
      <w:r>
        <w:rPr>
          <w:rFonts w:hint="eastAsia" w:eastAsia="仿宋_GB2312" w:cs="仿宋_GB2312"/>
          <w:sz w:val="32"/>
          <w:szCs w:val="32"/>
          <w:lang w:val="en-US" w:eastAsia="zh-CN"/>
        </w:rPr>
        <w:t>785元，</w:t>
      </w:r>
      <w:r>
        <w:rPr>
          <w:rFonts w:hint="eastAsia" w:eastAsia="仿宋_GB2312" w:cs="仿宋_GB2312"/>
          <w:sz w:val="32"/>
          <w:szCs w:val="32"/>
        </w:rPr>
        <w:t>接待省厅调研共同富裕试验区建设餐费</w:t>
      </w:r>
      <w:r>
        <w:rPr>
          <w:rFonts w:hint="eastAsia" w:eastAsia="仿宋_GB2312" w:cs="仿宋_GB2312"/>
          <w:sz w:val="32"/>
          <w:szCs w:val="32"/>
          <w:lang w:val="en-US" w:eastAsia="zh-CN"/>
        </w:rPr>
        <w:t>1,068元，</w:t>
      </w:r>
      <w:r>
        <w:rPr>
          <w:rFonts w:hint="eastAsia" w:eastAsia="仿宋_GB2312" w:cs="仿宋_GB2312"/>
          <w:sz w:val="32"/>
          <w:szCs w:val="32"/>
        </w:rPr>
        <w:t>接待省厅安全生产帮扶指导餐费</w:t>
      </w:r>
      <w:r>
        <w:rPr>
          <w:rFonts w:hint="eastAsia" w:eastAsia="仿宋_GB2312" w:cs="仿宋_GB2312"/>
          <w:sz w:val="32"/>
          <w:szCs w:val="32"/>
          <w:lang w:val="en-US" w:eastAsia="zh-CN"/>
        </w:rPr>
        <w:t>1,293元，</w:t>
      </w:r>
      <w:r>
        <w:rPr>
          <w:rFonts w:hint="eastAsia" w:eastAsia="仿宋_GB2312" w:cs="仿宋_GB2312"/>
          <w:sz w:val="32"/>
          <w:szCs w:val="32"/>
        </w:rPr>
        <w:t>接待省村镇中心专家组宣讲农业政策性金融支持餐费</w:t>
      </w:r>
      <w:r>
        <w:rPr>
          <w:rFonts w:hint="eastAsia" w:eastAsia="仿宋_GB2312" w:cs="仿宋_GB2312"/>
          <w:sz w:val="32"/>
          <w:szCs w:val="32"/>
          <w:lang w:val="en-US" w:eastAsia="zh-CN"/>
        </w:rPr>
        <w:t>1,249元</w:t>
      </w:r>
      <w:r>
        <w:rPr>
          <w:rFonts w:hint="eastAsia" w:eastAsia="仿宋_GB2312" w:cs="仿宋_GB2312"/>
          <w:sz w:val="32"/>
          <w:szCs w:val="32"/>
          <w:lang w:eastAsia="zh-CN"/>
        </w:rPr>
        <w:t>，</w:t>
      </w:r>
      <w:r>
        <w:rPr>
          <w:rFonts w:hint="eastAsia" w:eastAsia="仿宋_GB2312" w:cs="仿宋_GB2312"/>
          <w:sz w:val="32"/>
          <w:szCs w:val="32"/>
        </w:rPr>
        <w:t>接待省厅完整社区建设试点评价餐费</w:t>
      </w:r>
      <w:r>
        <w:rPr>
          <w:rFonts w:hint="eastAsia" w:eastAsia="仿宋_GB2312" w:cs="仿宋_GB2312"/>
          <w:sz w:val="32"/>
          <w:szCs w:val="32"/>
          <w:lang w:val="en-US" w:eastAsia="zh-CN"/>
        </w:rPr>
        <w:t>740元，</w:t>
      </w:r>
      <w:r>
        <w:rPr>
          <w:rFonts w:hint="eastAsia" w:eastAsia="仿宋_GB2312" w:cs="仿宋_GB2312"/>
          <w:sz w:val="32"/>
          <w:szCs w:val="32"/>
        </w:rPr>
        <w:t>接待省厅招投标系统整治调研餐费</w:t>
      </w:r>
      <w:r>
        <w:rPr>
          <w:rFonts w:hint="eastAsia" w:eastAsia="仿宋_GB2312" w:cs="仿宋_GB2312"/>
          <w:sz w:val="32"/>
          <w:szCs w:val="32"/>
          <w:lang w:val="en-US" w:eastAsia="zh-CN"/>
        </w:rPr>
        <w:t>1,216元，</w:t>
      </w:r>
      <w:r>
        <w:rPr>
          <w:rFonts w:hint="eastAsia" w:eastAsia="仿宋_GB2312" w:cs="仿宋_GB2312"/>
          <w:sz w:val="32"/>
          <w:szCs w:val="32"/>
        </w:rPr>
        <w:t>接待省厅调研指导保交房专项借款还款餐费</w:t>
      </w:r>
      <w:r>
        <w:rPr>
          <w:rFonts w:hint="eastAsia" w:eastAsia="仿宋_GB2312" w:cs="仿宋_GB2312"/>
          <w:sz w:val="32"/>
          <w:szCs w:val="32"/>
          <w:lang w:val="en-US" w:eastAsia="zh-CN"/>
        </w:rPr>
        <w:t>853元，</w:t>
      </w:r>
      <w:r>
        <w:rPr>
          <w:rFonts w:hint="eastAsia" w:eastAsia="仿宋_GB2312" w:cs="仿宋_GB2312"/>
          <w:sz w:val="32"/>
          <w:szCs w:val="32"/>
        </w:rPr>
        <w:t>接待省村镇中心调研指导餐费</w:t>
      </w:r>
      <w:r>
        <w:rPr>
          <w:rFonts w:hint="eastAsia" w:eastAsia="仿宋_GB2312" w:cs="仿宋_GB2312"/>
          <w:sz w:val="32"/>
          <w:szCs w:val="32"/>
          <w:lang w:val="en-US" w:eastAsia="zh-CN"/>
        </w:rPr>
        <w:t>762.22元，</w:t>
      </w:r>
      <w:r>
        <w:rPr>
          <w:rFonts w:hint="eastAsia" w:eastAsia="仿宋_GB2312" w:cs="仿宋_GB2312"/>
          <w:sz w:val="32"/>
          <w:szCs w:val="32"/>
        </w:rPr>
        <w:t>接待自建房安全专项整治督导评估餐费</w:t>
      </w:r>
      <w:r>
        <w:rPr>
          <w:rFonts w:hint="eastAsia" w:eastAsia="仿宋_GB2312" w:cs="仿宋_GB2312"/>
          <w:sz w:val="32"/>
          <w:szCs w:val="32"/>
          <w:lang w:val="en-US" w:eastAsia="zh-CN"/>
        </w:rPr>
        <w:t>1,460元，</w:t>
      </w:r>
      <w:r>
        <w:rPr>
          <w:rFonts w:hint="eastAsia" w:eastAsia="仿宋_GB2312" w:cs="仿宋_GB2312"/>
          <w:sz w:val="32"/>
          <w:szCs w:val="32"/>
        </w:rPr>
        <w:t>接待住建厅调研城市更新餐费</w:t>
      </w:r>
      <w:r>
        <w:rPr>
          <w:rFonts w:hint="eastAsia" w:eastAsia="仿宋_GB2312" w:cs="仿宋_GB2312"/>
          <w:sz w:val="32"/>
          <w:szCs w:val="32"/>
          <w:lang w:val="en-US" w:eastAsia="zh-CN"/>
        </w:rPr>
        <w:t>2,340元，</w:t>
      </w:r>
      <w:r>
        <w:rPr>
          <w:rFonts w:hint="eastAsia" w:eastAsia="仿宋_GB2312" w:cs="仿宋_GB2312"/>
          <w:sz w:val="32"/>
          <w:szCs w:val="32"/>
        </w:rPr>
        <w:t>接待泸州住建考察学习餐费</w:t>
      </w:r>
      <w:r>
        <w:rPr>
          <w:rFonts w:hint="eastAsia" w:eastAsia="仿宋_GB2312" w:cs="仿宋_GB2312"/>
          <w:sz w:val="32"/>
          <w:szCs w:val="32"/>
          <w:lang w:val="en-US" w:eastAsia="zh-CN"/>
        </w:rPr>
        <w:t>1,865元，</w:t>
      </w:r>
      <w:r>
        <w:rPr>
          <w:rFonts w:hint="eastAsia" w:eastAsia="仿宋_GB2312" w:cs="仿宋_GB2312"/>
          <w:sz w:val="32"/>
          <w:szCs w:val="32"/>
        </w:rPr>
        <w:t>接待调研棚户区改造餐费</w:t>
      </w:r>
      <w:r>
        <w:rPr>
          <w:rFonts w:hint="eastAsia" w:eastAsia="仿宋_GB2312" w:cs="仿宋_GB2312"/>
          <w:sz w:val="32"/>
          <w:szCs w:val="32"/>
          <w:lang w:val="en-US" w:eastAsia="zh-CN"/>
        </w:rPr>
        <w:t>850元，</w:t>
      </w:r>
      <w:r>
        <w:rPr>
          <w:rFonts w:hint="eastAsia" w:eastAsia="仿宋_GB2312" w:cs="仿宋_GB2312"/>
          <w:sz w:val="32"/>
          <w:szCs w:val="32"/>
        </w:rPr>
        <w:t>接待省厅历史文化名城调研及技术评审餐费</w:t>
      </w:r>
      <w:r>
        <w:rPr>
          <w:rFonts w:hint="eastAsia" w:eastAsia="仿宋_GB2312" w:cs="仿宋_GB2312"/>
          <w:sz w:val="32"/>
          <w:szCs w:val="32"/>
          <w:lang w:val="en-US" w:eastAsia="zh-CN"/>
        </w:rPr>
        <w:t>1,480元，</w:t>
      </w:r>
      <w:r>
        <w:rPr>
          <w:rFonts w:hint="eastAsia" w:eastAsia="仿宋_GB2312" w:cs="仿宋_GB2312"/>
          <w:sz w:val="32"/>
          <w:szCs w:val="32"/>
        </w:rPr>
        <w:t>接待省法院房地产政策落实情况调研餐费</w:t>
      </w:r>
      <w:r>
        <w:rPr>
          <w:rFonts w:hint="eastAsia" w:eastAsia="仿宋_GB2312" w:cs="仿宋_GB2312"/>
          <w:sz w:val="32"/>
          <w:szCs w:val="32"/>
          <w:lang w:val="en-US" w:eastAsia="zh-CN"/>
        </w:rPr>
        <w:t>923.55元，</w:t>
      </w:r>
      <w:r>
        <w:rPr>
          <w:rFonts w:hint="eastAsia" w:eastAsia="仿宋_GB2312" w:cs="仿宋_GB2312"/>
          <w:sz w:val="32"/>
          <w:szCs w:val="32"/>
        </w:rPr>
        <w:t>接待达州市房地产事务中心异地灾备房产交易电子数据安全校验工作的用餐费500元。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bookmarkStart w:id="82" w:name="_Toc15377218"/>
      <w:bookmarkStart w:id="83" w:name="_Toc15396610"/>
    </w:p>
    <w:p>
      <w:pPr>
        <w:spacing w:line="600" w:lineRule="exact"/>
        <w:ind w:firstLine="640"/>
        <w:outlineLvl w:val="1"/>
        <w:rPr>
          <w:rStyle w:val="30"/>
          <w:rFonts w:ascii="Times New Roman" w:hAnsi="Times New Roman" w:eastAsia="黑体"/>
        </w:rPr>
      </w:pPr>
      <w:bookmarkStart w:id="84" w:name="_Toc418602678_WPSOffice_Level2"/>
      <w:r>
        <w:rPr>
          <w:rFonts w:hint="eastAsia" w:eastAsia="黑体"/>
          <w:sz w:val="32"/>
          <w:szCs w:val="32"/>
        </w:rPr>
        <w:t>八、</w:t>
      </w:r>
      <w:r>
        <w:rPr>
          <w:rStyle w:val="30"/>
          <w:rFonts w:hint="eastAsia" w:ascii="Times New Roman" w:hAnsi="Times New Roman" w:eastAsia="黑体"/>
          <w:b w:val="0"/>
        </w:rPr>
        <w:t>政府性基金预算支出决算情况说明</w:t>
      </w:r>
      <w:bookmarkEnd w:id="82"/>
      <w:bookmarkEnd w:id="83"/>
      <w:bookmarkEnd w:id="84"/>
    </w:p>
    <w:p>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2025年度政府性基金预算财政拨款支出7</w:t>
      </w:r>
      <w:r>
        <w:rPr>
          <w:rFonts w:hint="eastAsia" w:eastAsia="仿宋_GB2312" w:cs="仿宋_GB2312"/>
          <w:sz w:val="32"/>
          <w:szCs w:val="32"/>
          <w:lang w:val="en-US" w:eastAsia="zh-CN"/>
        </w:rPr>
        <w:t>,</w:t>
      </w:r>
      <w:r>
        <w:rPr>
          <w:rFonts w:hint="eastAsia" w:eastAsia="仿宋_GB2312" w:cs="仿宋_GB2312"/>
          <w:sz w:val="32"/>
          <w:szCs w:val="32"/>
        </w:rPr>
        <w:t>530.8</w:t>
      </w:r>
      <w:r>
        <w:rPr>
          <w:rFonts w:hint="eastAsia" w:eastAsia="仿宋_GB2312" w:cs="仿宋_GB2312"/>
          <w:sz w:val="32"/>
          <w:szCs w:val="32"/>
          <w:lang w:val="en-US" w:eastAsia="zh-CN"/>
        </w:rPr>
        <w:t>8</w:t>
      </w:r>
      <w:r>
        <w:rPr>
          <w:rFonts w:hint="eastAsia" w:eastAsia="仿宋_GB2312" w:cs="仿宋_GB2312"/>
          <w:sz w:val="32"/>
          <w:szCs w:val="32"/>
        </w:rPr>
        <w:t>万元，占本年支出合计的</w:t>
      </w:r>
      <w:r>
        <w:rPr>
          <w:rFonts w:hint="eastAsia" w:eastAsia="仿宋_GB2312" w:cs="仿宋_GB2312"/>
          <w:sz w:val="32"/>
          <w:szCs w:val="32"/>
          <w:lang w:val="en-US" w:eastAsia="zh-CN"/>
        </w:rPr>
        <w:t>21.7</w:t>
      </w:r>
      <w:r>
        <w:rPr>
          <w:rFonts w:hint="eastAsia" w:eastAsia="仿宋_GB2312" w:cs="仿宋_GB2312"/>
          <w:sz w:val="32"/>
          <w:szCs w:val="32"/>
        </w:rPr>
        <w:t>%。与上年度相比，政府性基金预算财政拨款支出减少</w:t>
      </w:r>
      <w:r>
        <w:rPr>
          <w:rFonts w:hint="eastAsia" w:eastAsia="仿宋_GB2312" w:cs="仿宋_GB2312"/>
          <w:sz w:val="32"/>
          <w:szCs w:val="32"/>
          <w:lang w:val="en-US" w:eastAsia="zh-CN"/>
        </w:rPr>
        <w:t>15,115.09</w:t>
      </w:r>
      <w:r>
        <w:rPr>
          <w:rFonts w:hint="eastAsia" w:eastAsia="仿宋_GB2312" w:cs="仿宋_GB2312"/>
          <w:sz w:val="32"/>
          <w:szCs w:val="32"/>
        </w:rPr>
        <w:t>万元，</w:t>
      </w:r>
      <w:r>
        <w:rPr>
          <w:rFonts w:hint="eastAsia" w:eastAsia="仿宋_GB2312" w:cs="仿宋_GB2312"/>
          <w:sz w:val="32"/>
          <w:szCs w:val="32"/>
          <w:lang w:val="en-US" w:eastAsia="zh-CN"/>
        </w:rPr>
        <w:t>下降66.75%，主要原因是局机关攀枝花火车南站站前基础设施PPP项目8,599万元较上年减少2,890.40万元；攀枝花市生活污水处理设施建设PPP项目7,145.85万元较上年减少3,707.79万元，且</w:t>
      </w:r>
      <w:r>
        <w:rPr>
          <w:rFonts w:hint="eastAsia" w:ascii="仿宋_GB2312" w:eastAsia="仿宋_GB2312"/>
          <w:sz w:val="32"/>
          <w:szCs w:val="32"/>
        </w:rPr>
        <w:t>多数下达为一般公共预算财政拨款</w:t>
      </w:r>
      <w:r>
        <w:rPr>
          <w:rFonts w:hint="eastAsia" w:ascii="仿宋_GB2312" w:hAnsi="仿宋" w:eastAsia="仿宋_GB2312"/>
          <w:sz w:val="32"/>
          <w:szCs w:val="32"/>
        </w:rPr>
        <w:t>。</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85" w:name="_Toc15396611"/>
      <w:bookmarkStart w:id="86" w:name="_Toc15377219"/>
      <w:bookmarkStart w:id="87" w:name="_Toc449420637_WPSOffice_Level2"/>
      <w:r>
        <w:rPr>
          <w:rStyle w:val="30"/>
          <w:rFonts w:hint="eastAsia" w:ascii="Times New Roman" w:hAnsi="Times New Roman" w:eastAsia="黑体"/>
          <w:b w:val="0"/>
        </w:rPr>
        <w:t>九、国有资本经营预算支出决算情况说明</w:t>
      </w:r>
      <w:bookmarkEnd w:id="85"/>
      <w:bookmarkEnd w:id="86"/>
      <w:bookmarkEnd w:id="87"/>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88" w:name="_Toc1492512538_WPSOffice_Level2"/>
      <w:bookmarkStart w:id="89" w:name="_Toc15396612"/>
      <w:bookmarkStart w:id="90" w:name="_Toc15377221"/>
      <w:r>
        <w:rPr>
          <w:rStyle w:val="30"/>
          <w:rFonts w:hint="eastAsia" w:ascii="Times New Roman" w:hAnsi="Times New Roman" w:eastAsia="黑体"/>
          <w:b w:val="0"/>
        </w:rPr>
        <w:t>十、其他重要事项的情况说明</w:t>
      </w:r>
      <w:bookmarkEnd w:id="88"/>
      <w:bookmarkEnd w:id="89"/>
      <w:bookmarkEnd w:id="90"/>
    </w:p>
    <w:p>
      <w:pPr>
        <w:spacing w:line="600" w:lineRule="exact"/>
        <w:ind w:firstLine="642" w:firstLineChars="200"/>
        <w:outlineLvl w:val="2"/>
        <w:rPr>
          <w:rFonts w:eastAsia="楷体_GB2312" w:cs="楷体_GB2312"/>
          <w:b/>
          <w:sz w:val="32"/>
          <w:szCs w:val="32"/>
        </w:rPr>
      </w:pPr>
      <w:bookmarkStart w:id="91" w:name="_Toc15377222"/>
      <w:r>
        <w:rPr>
          <w:rFonts w:hint="eastAsia" w:eastAsia="楷体_GB2312" w:cs="楷体_GB2312"/>
          <w:b/>
          <w:sz w:val="32"/>
          <w:szCs w:val="32"/>
        </w:rPr>
        <w:t>（一）机关运行经费支出情况</w:t>
      </w:r>
      <w:bookmarkEnd w:id="91"/>
    </w:p>
    <w:p>
      <w:pPr>
        <w:spacing w:line="600" w:lineRule="exact"/>
        <w:ind w:firstLine="640"/>
        <w:rPr>
          <w:rFonts w:hint="eastAsia" w:eastAsia="仿宋_GB2312" w:cs="仿宋_GB2312"/>
          <w:color w:val="auto"/>
          <w:sz w:val="32"/>
          <w:szCs w:val="32"/>
          <w:lang w:eastAsia="zh-CN"/>
        </w:rPr>
      </w:pPr>
      <w:r>
        <w:rPr>
          <w:rFonts w:hint="eastAsia" w:eastAsia="仿宋_GB2312" w:cs="仿宋_GB2312"/>
          <w:color w:val="auto"/>
          <w:sz w:val="32"/>
          <w:szCs w:val="32"/>
        </w:rPr>
        <w:t>2025年度，</w:t>
      </w:r>
      <w:r>
        <w:rPr>
          <w:rFonts w:hint="eastAsia" w:ascii="仿宋_GB2312" w:hAnsi="仿宋_GB2312" w:eastAsia="仿宋_GB2312" w:cs="仿宋_GB2312"/>
          <w:color w:val="auto"/>
          <w:sz w:val="32"/>
          <w:szCs w:val="32"/>
        </w:rPr>
        <w:t>四川省攀枝花市住房和城乡建设局</w:t>
      </w:r>
      <w:r>
        <w:rPr>
          <w:rFonts w:hint="eastAsia" w:eastAsia="仿宋_GB2312" w:cs="仿宋_GB2312"/>
          <w:color w:val="auto"/>
          <w:sz w:val="32"/>
          <w:szCs w:val="32"/>
        </w:rPr>
        <w:t>机关运行经费支出</w:t>
      </w:r>
      <w:r>
        <w:rPr>
          <w:rFonts w:hint="eastAsia" w:eastAsia="仿宋_GB2312" w:cs="仿宋_GB2312"/>
          <w:color w:val="auto"/>
          <w:sz w:val="32"/>
          <w:szCs w:val="32"/>
          <w:lang w:val="en-US" w:eastAsia="zh-CN"/>
        </w:rPr>
        <w:t>359.39</w:t>
      </w:r>
      <w:r>
        <w:rPr>
          <w:rFonts w:hint="eastAsia" w:eastAsia="仿宋_GB2312" w:cs="仿宋_GB2312"/>
          <w:color w:val="auto"/>
          <w:sz w:val="32"/>
          <w:szCs w:val="32"/>
        </w:rPr>
        <w:t>万元，比上年度减少</w:t>
      </w:r>
      <w:r>
        <w:rPr>
          <w:rFonts w:hint="eastAsia" w:eastAsia="仿宋_GB2312" w:cs="仿宋_GB2312"/>
          <w:color w:val="auto"/>
          <w:sz w:val="32"/>
          <w:szCs w:val="32"/>
          <w:lang w:val="en-US" w:eastAsia="zh-CN"/>
        </w:rPr>
        <w:t>13.66</w:t>
      </w:r>
      <w:r>
        <w:rPr>
          <w:rFonts w:hint="eastAsia" w:eastAsia="仿宋_GB2312" w:cs="仿宋_GB2312"/>
          <w:color w:val="auto"/>
          <w:sz w:val="32"/>
          <w:szCs w:val="32"/>
        </w:rPr>
        <w:t>万元，下降</w:t>
      </w:r>
      <w:r>
        <w:rPr>
          <w:rFonts w:hint="eastAsia" w:eastAsia="仿宋_GB2312" w:cs="仿宋_GB2312"/>
          <w:color w:val="auto"/>
          <w:sz w:val="32"/>
          <w:szCs w:val="32"/>
          <w:lang w:val="en-US" w:eastAsia="zh-CN"/>
        </w:rPr>
        <w:t>3.66</w:t>
      </w:r>
      <w:r>
        <w:rPr>
          <w:rFonts w:hint="eastAsia" w:eastAsia="仿宋_GB2312" w:cs="仿宋_GB2312"/>
          <w:color w:val="auto"/>
          <w:sz w:val="32"/>
          <w:szCs w:val="32"/>
        </w:rPr>
        <w:t>%。主要原因是</w:t>
      </w:r>
      <w:r>
        <w:rPr>
          <w:rFonts w:hint="eastAsia" w:ascii="仿宋_GB2312" w:hAnsi="仿宋" w:eastAsia="仿宋_GB2312" w:cs="仿宋"/>
          <w:bCs/>
          <w:color w:val="auto"/>
          <w:sz w:val="32"/>
          <w:szCs w:val="32"/>
          <w:lang w:val="en-US" w:eastAsia="zh-CN"/>
        </w:rPr>
        <w:t>离退休人员人数较</w:t>
      </w:r>
      <w:r>
        <w:rPr>
          <w:rFonts w:hint="eastAsia" w:eastAsia="仿宋_GB2312" w:cs="仿宋_GB2312"/>
          <w:color w:val="auto"/>
          <w:sz w:val="32"/>
          <w:szCs w:val="32"/>
          <w:lang w:val="en-US" w:eastAsia="zh-CN"/>
        </w:rPr>
        <w:t>2024年</w:t>
      </w:r>
      <w:r>
        <w:rPr>
          <w:rFonts w:hint="eastAsia" w:ascii="仿宋_GB2312" w:hAnsi="仿宋" w:eastAsia="仿宋_GB2312" w:cs="仿宋"/>
          <w:bCs/>
          <w:color w:val="auto"/>
          <w:sz w:val="32"/>
          <w:szCs w:val="32"/>
          <w:lang w:val="en-US" w:eastAsia="zh-CN"/>
        </w:rPr>
        <w:t>减少，</w:t>
      </w:r>
      <w:r>
        <w:rPr>
          <w:rFonts w:hint="eastAsia" w:eastAsia="仿宋_GB2312" w:cs="仿宋_GB2312"/>
          <w:color w:val="auto"/>
          <w:sz w:val="32"/>
          <w:szCs w:val="32"/>
        </w:rPr>
        <w:t>机关运行经费</w:t>
      </w:r>
      <w:r>
        <w:rPr>
          <w:rFonts w:hint="eastAsia" w:ascii="仿宋_GB2312" w:hAnsi="仿宋" w:eastAsia="仿宋_GB2312" w:cs="仿宋"/>
          <w:bCs/>
          <w:color w:val="auto"/>
          <w:sz w:val="32"/>
          <w:szCs w:val="32"/>
          <w:lang w:val="en-US" w:eastAsia="zh-CN"/>
        </w:rPr>
        <w:t>相应减少</w:t>
      </w:r>
      <w:r>
        <w:rPr>
          <w:rFonts w:hint="eastAsia" w:ascii="仿宋_GB2312" w:hAnsi="仿宋" w:eastAsia="仿宋_GB2312" w:cs="仿宋_GB2312"/>
          <w:color w:val="auto"/>
          <w:sz w:val="32"/>
          <w:szCs w:val="32"/>
          <w:lang w:eastAsia="zh-CN" w:bidi="ar"/>
        </w:rPr>
        <w:t>。</w:t>
      </w:r>
    </w:p>
    <w:p>
      <w:pPr>
        <w:spacing w:line="600" w:lineRule="exact"/>
        <w:ind w:firstLine="642" w:firstLineChars="200"/>
        <w:outlineLvl w:val="2"/>
        <w:rPr>
          <w:rFonts w:eastAsia="楷体_GB2312" w:cs="楷体_GB2312"/>
          <w:b/>
          <w:sz w:val="32"/>
          <w:szCs w:val="32"/>
        </w:rPr>
      </w:pPr>
      <w:bookmarkStart w:id="92" w:name="_Toc15377223"/>
      <w:r>
        <w:rPr>
          <w:rFonts w:hint="eastAsia" w:eastAsia="楷体_GB2312" w:cs="楷体_GB2312"/>
          <w:b/>
          <w:sz w:val="32"/>
          <w:szCs w:val="32"/>
        </w:rPr>
        <w:t>（二）政府采购支出情况</w:t>
      </w:r>
      <w:bookmarkEnd w:id="92"/>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四川省攀枝花市住房和城乡建设局</w:t>
      </w:r>
      <w:r>
        <w:rPr>
          <w:rFonts w:hint="eastAsia" w:eastAsia="仿宋_GB2312" w:cs="仿宋_GB2312"/>
          <w:sz w:val="32"/>
          <w:szCs w:val="32"/>
        </w:rPr>
        <w:t>政府采购支出总额</w:t>
      </w:r>
      <w:r>
        <w:rPr>
          <w:rFonts w:hint="eastAsia" w:eastAsia="仿宋_GB2312" w:cs="仿宋_GB2312"/>
          <w:sz w:val="32"/>
          <w:szCs w:val="32"/>
          <w:lang w:eastAsia="zh-CN"/>
        </w:rPr>
        <w:t>15</w:t>
      </w:r>
      <w:r>
        <w:rPr>
          <w:rFonts w:hint="eastAsia" w:eastAsia="仿宋_GB2312" w:cs="仿宋_GB2312"/>
          <w:sz w:val="32"/>
          <w:szCs w:val="32"/>
          <w:lang w:val="en-US" w:eastAsia="zh-CN"/>
        </w:rPr>
        <w:t>,</w:t>
      </w:r>
      <w:r>
        <w:rPr>
          <w:rFonts w:hint="eastAsia" w:eastAsia="仿宋_GB2312" w:cs="仿宋_GB2312"/>
          <w:sz w:val="32"/>
          <w:szCs w:val="32"/>
          <w:lang w:eastAsia="zh-CN"/>
        </w:rPr>
        <w:t>748</w:t>
      </w:r>
      <w:r>
        <w:rPr>
          <w:rFonts w:hint="eastAsia" w:eastAsia="仿宋_GB2312" w:cs="仿宋_GB2312"/>
          <w:sz w:val="32"/>
          <w:szCs w:val="32"/>
          <w:lang w:val="en-US" w:eastAsia="zh-CN"/>
        </w:rPr>
        <w:t>.</w:t>
      </w:r>
      <w:r>
        <w:rPr>
          <w:rFonts w:hint="eastAsia" w:eastAsia="仿宋_GB2312" w:cs="仿宋_GB2312"/>
          <w:sz w:val="32"/>
          <w:szCs w:val="32"/>
          <w:lang w:eastAsia="zh-CN"/>
        </w:rPr>
        <w:t>1</w:t>
      </w:r>
      <w:r>
        <w:rPr>
          <w:rFonts w:hint="eastAsia" w:eastAsia="仿宋_GB2312" w:cs="仿宋_GB2312"/>
          <w:sz w:val="32"/>
          <w:szCs w:val="32"/>
          <w:lang w:val="en-US" w:eastAsia="zh-CN"/>
        </w:rPr>
        <w:t>3</w:t>
      </w:r>
      <w:r>
        <w:rPr>
          <w:rFonts w:hint="eastAsia" w:eastAsia="仿宋_GB2312" w:cs="仿宋_GB2312"/>
          <w:sz w:val="32"/>
          <w:szCs w:val="32"/>
        </w:rPr>
        <w:t>万元，其中：政府采购货物支</w:t>
      </w:r>
      <w:r>
        <w:rPr>
          <w:rFonts w:hint="eastAsia" w:eastAsia="仿宋_GB2312" w:cs="仿宋_GB2312"/>
          <w:sz w:val="32"/>
          <w:szCs w:val="32"/>
          <w:lang w:eastAsia="zh-CN"/>
        </w:rPr>
        <w:t>出174</w:t>
      </w:r>
      <w:r>
        <w:rPr>
          <w:rFonts w:hint="eastAsia" w:eastAsia="仿宋_GB2312" w:cs="仿宋_GB2312"/>
          <w:sz w:val="32"/>
          <w:szCs w:val="32"/>
          <w:lang w:val="en-US" w:eastAsia="zh-CN"/>
        </w:rPr>
        <w:t>.</w:t>
      </w:r>
      <w:r>
        <w:rPr>
          <w:rFonts w:hint="eastAsia" w:eastAsia="仿宋_GB2312" w:cs="仿宋_GB2312"/>
          <w:sz w:val="32"/>
          <w:szCs w:val="32"/>
          <w:lang w:eastAsia="zh-CN"/>
        </w:rPr>
        <w:t>9</w:t>
      </w:r>
      <w:r>
        <w:rPr>
          <w:rFonts w:hint="eastAsia" w:eastAsia="仿宋_GB2312" w:cs="仿宋_GB2312"/>
          <w:sz w:val="32"/>
          <w:szCs w:val="32"/>
          <w:lang w:val="en-US" w:eastAsia="zh-CN"/>
        </w:rPr>
        <w:t>8</w:t>
      </w:r>
      <w:r>
        <w:rPr>
          <w:rFonts w:hint="eastAsia" w:eastAsia="仿宋_GB2312" w:cs="仿宋_GB2312"/>
          <w:sz w:val="32"/>
          <w:szCs w:val="32"/>
          <w:lang w:eastAsia="zh-CN"/>
        </w:rPr>
        <w:t>万元、政府采购工程支出</w:t>
      </w:r>
      <w:r>
        <w:rPr>
          <w:rFonts w:hint="eastAsia" w:eastAsia="仿宋_GB2312" w:cs="仿宋_GB2312"/>
          <w:sz w:val="32"/>
          <w:szCs w:val="32"/>
          <w:lang w:val="en-US" w:eastAsia="zh-CN"/>
        </w:rPr>
        <w:t>15,115.42</w:t>
      </w:r>
      <w:r>
        <w:rPr>
          <w:rFonts w:hint="eastAsia" w:eastAsia="仿宋_GB2312" w:cs="仿宋_GB2312"/>
          <w:sz w:val="32"/>
          <w:szCs w:val="32"/>
          <w:lang w:eastAsia="zh-CN"/>
        </w:rPr>
        <w:t>万元、政府采购服务支出</w:t>
      </w:r>
      <w:r>
        <w:rPr>
          <w:rFonts w:hint="eastAsia" w:eastAsia="仿宋_GB2312" w:cs="仿宋_GB2312"/>
          <w:sz w:val="32"/>
          <w:szCs w:val="32"/>
          <w:lang w:val="en-US" w:eastAsia="zh-CN"/>
        </w:rPr>
        <w:t>457.73</w:t>
      </w:r>
      <w:r>
        <w:rPr>
          <w:rFonts w:hint="eastAsia" w:eastAsia="仿宋_GB2312" w:cs="仿宋_GB2312"/>
          <w:sz w:val="32"/>
          <w:szCs w:val="32"/>
          <w:lang w:eastAsia="zh-CN"/>
        </w:rPr>
        <w:t>万</w:t>
      </w:r>
      <w:r>
        <w:rPr>
          <w:rFonts w:hint="eastAsia" w:eastAsia="仿宋_GB2312" w:cs="仿宋_GB2312"/>
          <w:sz w:val="32"/>
          <w:szCs w:val="32"/>
        </w:rPr>
        <w:t>元。主要用于</w:t>
      </w:r>
      <w:r>
        <w:rPr>
          <w:rFonts w:hint="default" w:ascii="仿宋_GB2312" w:hAnsi="仿宋" w:eastAsia="仿宋_GB2312" w:cs="仿宋_GB2312"/>
          <w:sz w:val="32"/>
          <w:szCs w:val="32"/>
          <w:lang w:val="en-US" w:eastAsia="zh-CN" w:bidi="ar"/>
        </w:rPr>
        <w:t>攀枝花大道南段市政排水管道改造项目</w:t>
      </w:r>
      <w:r>
        <w:rPr>
          <w:rFonts w:hint="eastAsia" w:ascii="仿宋_GB2312" w:hAnsi="仿宋" w:eastAsia="仿宋_GB2312" w:cs="仿宋_GB2312"/>
          <w:sz w:val="32"/>
          <w:szCs w:val="32"/>
          <w:lang w:val="en-US" w:eastAsia="zh-CN" w:bidi="ar"/>
        </w:rPr>
        <w:t>、攀枝花市城市体检技术服务费、城市有机更新攻坚</w:t>
      </w:r>
      <w:r>
        <w:rPr>
          <w:rFonts w:hint="eastAsia" w:eastAsia="仿宋_GB2312" w:cs="仿宋_GB2312"/>
          <w:sz w:val="32"/>
          <w:szCs w:val="32"/>
          <w:lang w:val="en-US" w:eastAsia="zh-CN"/>
        </w:rPr>
        <w:t>行动第三方技术服务费、攀枝花市钢城大道西段排水管道工程项目代建费、</w:t>
      </w:r>
      <w:r>
        <w:rPr>
          <w:rFonts w:hint="default" w:eastAsia="仿宋_GB2312" w:cs="仿宋_GB2312"/>
          <w:sz w:val="32"/>
          <w:szCs w:val="32"/>
          <w:lang w:val="en-US" w:eastAsia="zh-CN"/>
        </w:rPr>
        <w:t>2025年变压器及夜景照明设施维护服务项目</w:t>
      </w:r>
      <w:r>
        <w:rPr>
          <w:rFonts w:hint="eastAsia" w:eastAsia="仿宋_GB2312" w:cs="仿宋_GB2312"/>
          <w:sz w:val="32"/>
          <w:szCs w:val="32"/>
          <w:lang w:val="en-US" w:eastAsia="zh-CN"/>
        </w:rPr>
        <w:t>、钢城大道西段道路及人行道工程项目</w:t>
      </w:r>
      <w:r>
        <w:rPr>
          <w:rFonts w:hint="eastAsia" w:eastAsia="仿宋_GB2312" w:cs="仿宋_GB2312"/>
          <w:sz w:val="32"/>
          <w:szCs w:val="32"/>
          <w:lang w:eastAsia="zh-CN"/>
        </w:rPr>
        <w:t>等</w:t>
      </w:r>
      <w:r>
        <w:rPr>
          <w:rFonts w:hint="eastAsia" w:eastAsia="仿宋_GB2312" w:cs="仿宋_GB2312"/>
          <w:sz w:val="32"/>
          <w:szCs w:val="32"/>
        </w:rPr>
        <w:t>。授予中小企业合同金额</w:t>
      </w:r>
      <w:r>
        <w:rPr>
          <w:rFonts w:hint="eastAsia" w:eastAsia="仿宋_GB2312" w:cs="仿宋_GB2312"/>
          <w:sz w:val="32"/>
          <w:szCs w:val="32"/>
          <w:lang w:eastAsia="zh-CN"/>
        </w:rPr>
        <w:t>3</w:t>
      </w:r>
      <w:r>
        <w:rPr>
          <w:rFonts w:hint="eastAsia" w:eastAsia="仿宋_GB2312" w:cs="仿宋_GB2312"/>
          <w:sz w:val="32"/>
          <w:szCs w:val="32"/>
          <w:lang w:val="en-US" w:eastAsia="zh-CN"/>
        </w:rPr>
        <w:t>,</w:t>
      </w:r>
      <w:r>
        <w:rPr>
          <w:rFonts w:hint="eastAsia" w:eastAsia="仿宋_GB2312" w:cs="仿宋_GB2312"/>
          <w:sz w:val="32"/>
          <w:szCs w:val="32"/>
          <w:lang w:eastAsia="zh-CN"/>
        </w:rPr>
        <w:t>335</w:t>
      </w:r>
      <w:r>
        <w:rPr>
          <w:rFonts w:hint="eastAsia" w:eastAsia="仿宋_GB2312" w:cs="仿宋_GB2312"/>
          <w:sz w:val="32"/>
          <w:szCs w:val="32"/>
          <w:lang w:val="en-US" w:eastAsia="zh-CN"/>
        </w:rPr>
        <w:t>.8</w:t>
      </w:r>
      <w:r>
        <w:rPr>
          <w:rFonts w:hint="eastAsia" w:eastAsia="仿宋_GB2312" w:cs="仿宋_GB2312"/>
          <w:sz w:val="32"/>
          <w:szCs w:val="32"/>
          <w:lang w:eastAsia="zh-CN"/>
        </w:rPr>
        <w:t>1</w:t>
      </w:r>
      <w:r>
        <w:rPr>
          <w:rFonts w:hint="eastAsia" w:eastAsia="仿宋_GB2312" w:cs="仿宋_GB2312"/>
          <w:sz w:val="32"/>
          <w:szCs w:val="32"/>
        </w:rPr>
        <w:t>万元，占政府采购支出总额的</w:t>
      </w:r>
      <w:r>
        <w:rPr>
          <w:rFonts w:hint="eastAsia" w:eastAsia="仿宋_GB2312" w:cs="仿宋_GB2312"/>
          <w:color w:val="auto"/>
          <w:sz w:val="32"/>
          <w:szCs w:val="32"/>
          <w:lang w:val="en-US" w:eastAsia="zh-CN"/>
        </w:rPr>
        <w:t>21.18</w:t>
      </w:r>
      <w:r>
        <w:rPr>
          <w:rFonts w:hint="eastAsia" w:eastAsia="仿宋_GB2312" w:cs="仿宋_GB2312"/>
          <w:color w:val="auto"/>
          <w:sz w:val="32"/>
          <w:szCs w:val="32"/>
        </w:rPr>
        <w:t>%，</w:t>
      </w:r>
      <w:r>
        <w:rPr>
          <w:rFonts w:hint="eastAsia" w:eastAsia="仿宋_GB2312" w:cs="仿宋_GB2312"/>
          <w:sz w:val="32"/>
          <w:szCs w:val="32"/>
        </w:rPr>
        <w:t>其中：授予小微企业合同金额</w:t>
      </w:r>
      <w:r>
        <w:rPr>
          <w:rFonts w:hint="eastAsia" w:eastAsia="仿宋_GB2312" w:cs="仿宋_GB2312"/>
          <w:sz w:val="32"/>
          <w:szCs w:val="32"/>
          <w:lang w:val="en-US" w:eastAsia="zh-CN"/>
        </w:rPr>
        <w:t>2,070.49</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13.15</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93" w:name="_Toc15377224"/>
      <w:r>
        <w:rPr>
          <w:rFonts w:hint="eastAsia" w:eastAsia="楷体_GB2312" w:cs="楷体_GB2312"/>
          <w:b/>
          <w:sz w:val="32"/>
          <w:szCs w:val="32"/>
        </w:rPr>
        <w:t>（三）国有资产占有使用情况</w:t>
      </w:r>
      <w:bookmarkEnd w:id="93"/>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四川省攀枝花市住房和城乡建设局</w:t>
      </w:r>
      <w:r>
        <w:rPr>
          <w:rFonts w:hint="eastAsia" w:eastAsia="仿宋_GB2312" w:cs="仿宋_GB2312"/>
          <w:sz w:val="32"/>
          <w:szCs w:val="32"/>
        </w:rPr>
        <w:t>共有车辆</w:t>
      </w:r>
      <w:r>
        <w:rPr>
          <w:rFonts w:hint="eastAsia" w:eastAsia="仿宋_GB2312" w:cs="仿宋_GB2312"/>
          <w:sz w:val="32"/>
          <w:szCs w:val="32"/>
          <w:lang w:val="en-US" w:eastAsia="zh-CN"/>
        </w:rPr>
        <w:t>56</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color w:val="auto"/>
          <w:sz w:val="32"/>
          <w:szCs w:val="32"/>
        </w:rPr>
        <w:t>机要通信用车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辆、应急保障用车</w:t>
      </w:r>
      <w:r>
        <w:rPr>
          <w:rFonts w:hint="eastAsia" w:eastAsia="仿宋_GB2312" w:cs="仿宋_GB2312"/>
          <w:color w:val="auto"/>
          <w:sz w:val="32"/>
          <w:szCs w:val="32"/>
          <w:lang w:val="en-US" w:eastAsia="zh-CN"/>
        </w:rPr>
        <w:t>5</w:t>
      </w:r>
      <w:r>
        <w:rPr>
          <w:rFonts w:hint="eastAsia" w:eastAsia="仿宋_GB2312" w:cs="仿宋_GB2312"/>
          <w:color w:val="auto"/>
          <w:sz w:val="32"/>
          <w:szCs w:val="32"/>
        </w:rPr>
        <w:t>辆、执法执勤用车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辆、特种专业技术用车</w:t>
      </w:r>
      <w:r>
        <w:rPr>
          <w:rFonts w:hint="eastAsia" w:eastAsia="仿宋_GB2312" w:cs="仿宋_GB2312"/>
          <w:color w:val="auto"/>
          <w:sz w:val="32"/>
          <w:szCs w:val="32"/>
          <w:lang w:val="en-US" w:eastAsia="zh-CN"/>
        </w:rPr>
        <w:t>44</w:t>
      </w:r>
      <w:r>
        <w:rPr>
          <w:rFonts w:hint="eastAsia" w:eastAsia="仿宋_GB2312" w:cs="仿宋_GB2312"/>
          <w:color w:val="auto"/>
          <w:sz w:val="32"/>
          <w:szCs w:val="32"/>
        </w:rPr>
        <w:t>辆、离退休干部服务用车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辆、其他用车</w:t>
      </w:r>
      <w:r>
        <w:rPr>
          <w:rFonts w:hint="eastAsia" w:eastAsia="仿宋_GB2312" w:cs="仿宋_GB2312"/>
          <w:color w:val="auto"/>
          <w:sz w:val="32"/>
          <w:szCs w:val="32"/>
          <w:lang w:val="en-US" w:eastAsia="zh-CN"/>
        </w:rPr>
        <w:t>7</w:t>
      </w:r>
      <w:r>
        <w:rPr>
          <w:rFonts w:hint="eastAsia" w:eastAsia="仿宋_GB2312" w:cs="仿宋_GB2312"/>
          <w:color w:val="auto"/>
          <w:sz w:val="32"/>
          <w:szCs w:val="32"/>
        </w:rPr>
        <w:t>辆，</w:t>
      </w:r>
      <w:r>
        <w:rPr>
          <w:rFonts w:hint="eastAsia" w:eastAsia="仿宋_GB2312" w:cs="仿宋_GB2312"/>
          <w:sz w:val="32"/>
          <w:szCs w:val="32"/>
        </w:rPr>
        <w:t>其他用车主要是用于</w:t>
      </w:r>
      <w:r>
        <w:rPr>
          <w:rFonts w:hint="eastAsia" w:ascii="仿宋_GB2312" w:hAnsi="仿宋_GB2312" w:eastAsia="仿宋_GB2312" w:cs="仿宋_GB2312"/>
          <w:color w:val="auto"/>
          <w:kern w:val="2"/>
          <w:sz w:val="32"/>
          <w:szCs w:val="32"/>
          <w:highlight w:val="none"/>
          <w:lang w:val="en-US" w:eastAsia="zh-CN" w:bidi="ar-SA"/>
        </w:rPr>
        <w:t>住房保障、房地产管理、房地产市场专项检查、工程监督检查、稽查投诉、白蚁防治施工、公房维修、城市基础设施配套费征收、商品房维修资金使用现场勘查、城建档案业务指导、验收、声像档案拍摄等</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根据预算绩效管理要求，四川省攀枝花市住房和城乡建设局在2025年度，组织对攀枝花火车南站PPP项目2023年可用性服务费、攀枝花市生活污水处理设施建设PPP项目可用性服务费、攀枝花市城市有机更新攻坚行动第三方技术服务、渡口桥南连接线等六处边坡地质灾害治理工程、项目前期工作激励省预算内基本建设资金支出预算、高速公路出口至市区道路功能性照明完善工程、申报国家历史文化名城工作经费、攀枝花大桥项目建议书、可行性研究报告编制费用等73个项目涉及金额25,897.7万元开展了事前绩效评估，对73个项目编制了绩效目标，预算执行过程中，选取73个项目开展绩效监控。</w:t>
      </w:r>
    </w:p>
    <w:p>
      <w:pPr>
        <w:spacing w:line="600" w:lineRule="exact"/>
        <w:ind w:firstLine="640"/>
        <w:rPr>
          <w:rFonts w:hint="eastAsia" w:eastAsia="仿宋_GB2312" w:cs="仿宋_GB2312"/>
          <w:sz w:val="32"/>
          <w:szCs w:val="32"/>
        </w:rPr>
      </w:pPr>
      <w:r>
        <w:rPr>
          <w:rFonts w:hint="eastAsia" w:eastAsia="仿宋_GB2312" w:cs="仿宋_GB2312"/>
          <w:sz w:val="32"/>
          <w:szCs w:val="32"/>
        </w:rPr>
        <w:t>组织对2025年度一般公共预算、政府性基金预算等全面开展绩效自评，形成</w:t>
      </w:r>
      <w:r>
        <w:rPr>
          <w:rFonts w:hint="eastAsia" w:ascii="仿宋_GB2312" w:hAnsi="仿宋_GB2312" w:eastAsia="仿宋_GB2312" w:cs="仿宋_GB2312"/>
          <w:sz w:val="32"/>
          <w:szCs w:val="32"/>
        </w:rPr>
        <w:t>四川省攀枝花市住房和城乡建设局</w:t>
      </w:r>
      <w:r>
        <w:rPr>
          <w:rFonts w:hint="eastAsia" w:eastAsia="仿宋_GB2312" w:cs="仿宋_GB2312"/>
          <w:sz w:val="32"/>
          <w:szCs w:val="32"/>
        </w:rPr>
        <w:t>部门预算（含部门预算项目）绩效自评报告、</w:t>
      </w:r>
      <w:r>
        <w:rPr>
          <w:rFonts w:hint="eastAsia" w:ascii="仿宋_GB2312" w:hAnsi="仿宋" w:eastAsia="仿宋_GB2312" w:cs="仿宋"/>
          <w:color w:val="auto"/>
          <w:sz w:val="32"/>
          <w:szCs w:val="32"/>
          <w:lang w:val="en-US" w:eastAsia="zh-CN"/>
        </w:rPr>
        <w:t>攀枝花市城市有机更新攻坚行动第三方技术服务、攀枝花市城市体检技术服务费</w:t>
      </w:r>
      <w:r>
        <w:rPr>
          <w:rFonts w:hint="eastAsia" w:eastAsia="仿宋_GB2312" w:cs="仿宋_GB2312"/>
          <w:sz w:val="32"/>
          <w:szCs w:val="32"/>
        </w:rPr>
        <w:t>等专项预算项目绩效自评报告，其中，</w:t>
      </w:r>
      <w:r>
        <w:rPr>
          <w:rFonts w:hint="eastAsia" w:ascii="仿宋_GB2312" w:hAnsi="仿宋_GB2312" w:eastAsia="仿宋_GB2312" w:cs="仿宋_GB2312"/>
          <w:sz w:val="32"/>
          <w:szCs w:val="32"/>
        </w:rPr>
        <w:t>四川省攀枝花市住房和城乡建设局</w:t>
      </w:r>
      <w:r>
        <w:rPr>
          <w:rFonts w:hint="eastAsia" w:eastAsia="仿宋_GB2312" w:cs="仿宋_GB2312"/>
          <w:sz w:val="32"/>
          <w:szCs w:val="32"/>
        </w:rPr>
        <w:t>部门预算（含部门预算项目）绩效自评得分为</w:t>
      </w:r>
      <w:r>
        <w:rPr>
          <w:rFonts w:hint="eastAsia" w:eastAsia="仿宋_GB2312" w:cs="仿宋_GB2312"/>
          <w:sz w:val="32"/>
          <w:szCs w:val="32"/>
          <w:lang w:val="en-US" w:eastAsia="zh-CN"/>
        </w:rPr>
        <w:t>98.34</w:t>
      </w:r>
      <w:r>
        <w:rPr>
          <w:rFonts w:hint="eastAsia" w:eastAsia="仿宋_GB2312" w:cs="仿宋_GB2312"/>
          <w:sz w:val="32"/>
          <w:szCs w:val="32"/>
        </w:rPr>
        <w:t>分，绩效自评综述</w:t>
      </w:r>
      <w:r>
        <w:rPr>
          <w:rFonts w:hint="eastAsia" w:eastAsia="仿宋_GB2312" w:cs="仿宋_GB2312"/>
          <w:sz w:val="32"/>
          <w:szCs w:val="32"/>
          <w:lang w:eastAsia="zh-CN"/>
        </w:rPr>
        <w:t>：</w:t>
      </w:r>
      <w:r>
        <w:rPr>
          <w:rFonts w:hint="eastAsia" w:eastAsia="仿宋_GB2312" w:cs="仿宋_GB2312"/>
          <w:sz w:val="32"/>
          <w:szCs w:val="32"/>
          <w:lang w:val="zh-CN"/>
        </w:rPr>
        <w:t>2025年，我局严格按照要求科学、准确地编制年初部门预算，预算执行情况均完成较好，年终结余36.39万元。同时，严控“三公”经费、会议、培训、差旅、办公设备购置等一般性支出，资产利用率高，政府采购严格执行促进中小企业发展相关管理办法，部门项目预算管理达到预期目标。绩效自评总体得分为98.34分</w:t>
      </w:r>
      <w:r>
        <w:rPr>
          <w:rFonts w:hint="eastAsia" w:eastAsia="仿宋_GB2312" w:cs="仿宋_GB2312"/>
          <w:sz w:val="32"/>
          <w:szCs w:val="32"/>
        </w:rPr>
        <w:t>；</w:t>
      </w:r>
      <w:r>
        <w:rPr>
          <w:rFonts w:hint="eastAsia" w:eastAsia="仿宋_GB2312" w:cs="仿宋_GB2312"/>
          <w:sz w:val="32"/>
          <w:szCs w:val="32"/>
          <w:lang w:val="en-US" w:eastAsia="zh-CN"/>
        </w:rPr>
        <w:t>攀枝花市城市有机更新攻坚行动第三方技术服务</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100</w:t>
      </w:r>
      <w:r>
        <w:rPr>
          <w:rFonts w:hint="eastAsia" w:eastAsia="仿宋_GB2312" w:cs="仿宋_GB2312"/>
          <w:sz w:val="32"/>
          <w:szCs w:val="32"/>
        </w:rPr>
        <w:t>分，绩效自评综述</w:t>
      </w:r>
      <w:r>
        <w:rPr>
          <w:rFonts w:hint="eastAsia" w:eastAsia="仿宋_GB2312" w:cs="仿宋_GB2312"/>
          <w:sz w:val="32"/>
          <w:szCs w:val="32"/>
          <w:lang w:eastAsia="zh-CN"/>
        </w:rPr>
        <w:t>：</w:t>
      </w:r>
      <w:r>
        <w:rPr>
          <w:rFonts w:hint="eastAsia" w:eastAsia="仿宋_GB2312" w:cs="仿宋_GB2312"/>
          <w:sz w:val="32"/>
          <w:szCs w:val="32"/>
          <w:lang w:val="en-US" w:eastAsia="zh-CN"/>
        </w:rPr>
        <w:t>综合分析攀枝花城市更新总体情况，总结攀枝花市已开展的工作和成效，分析攀枝花市在城市更新建设中需解决的主要问题、开展城市更新工作的重要性、必要性和可行性，合理确定开展城市更新工作的建设目标，提出攀枝花市城市更新系统化实施方案，健全工作机制模式，编制项目清单，在系统梳理攀枝花市已完成建立的城市更新机制体制基础上，协助建立符合攀枝花市需求的特色体制机制；攀枝花市2025年城市体检技术服务</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100</w:t>
      </w:r>
      <w:r>
        <w:rPr>
          <w:rFonts w:hint="eastAsia" w:eastAsia="仿宋_GB2312" w:cs="仿宋_GB2312"/>
          <w:sz w:val="32"/>
          <w:szCs w:val="32"/>
        </w:rPr>
        <w:t>分</w:t>
      </w:r>
      <w:r>
        <w:rPr>
          <w:rFonts w:hint="eastAsia" w:eastAsia="仿宋_GB2312" w:cs="仿宋_GB2312"/>
          <w:sz w:val="32"/>
          <w:szCs w:val="32"/>
          <w:lang w:eastAsia="zh-CN"/>
        </w:rPr>
        <w:t>，</w:t>
      </w:r>
      <w:r>
        <w:rPr>
          <w:rFonts w:hint="eastAsia" w:eastAsia="仿宋_GB2312" w:cs="仿宋_GB2312"/>
          <w:sz w:val="32"/>
          <w:szCs w:val="32"/>
        </w:rPr>
        <w:t>绩效自评综述</w:t>
      </w:r>
      <w:r>
        <w:rPr>
          <w:rFonts w:hint="eastAsia" w:eastAsia="仿宋_GB2312" w:cs="仿宋_GB2312"/>
          <w:sz w:val="32"/>
          <w:szCs w:val="32"/>
          <w:lang w:eastAsia="zh-CN"/>
        </w:rPr>
        <w:t>：</w:t>
      </w:r>
      <w:r>
        <w:rPr>
          <w:rFonts w:hint="eastAsia" w:eastAsia="仿宋_GB2312" w:cs="仿宋_GB2312"/>
          <w:sz w:val="32"/>
          <w:szCs w:val="32"/>
          <w:lang w:val="zh-CN" w:eastAsia="zh-CN"/>
        </w:rPr>
        <w:t>项目完成度方面，已完成体检指标数据采集和城市体检报告编制；项目社会效益方面充分收集居民对城市建设工作的意见和建议，并将调查情况融入城市体检报告，助力群众对城市建设满意度的提高；经济效益方面落实精明增长的建设理念，通过城市体检评估，有针对性地制定对策措施，助力城市建设质量和效果提升。以城市体检为基础，推动城市体检成果运用，精准识别问题短板，系统谋划城市更新项目库，为形成我市城市有机更新攻坚行动方案提供了有力支撑。</w:t>
      </w:r>
      <w:r>
        <w:rPr>
          <w:rFonts w:hint="eastAsia" w:eastAsia="仿宋_GB2312" w:cs="仿宋_GB2312"/>
          <w:sz w:val="32"/>
          <w:szCs w:val="32"/>
        </w:rPr>
        <w:t>绩效自评报告详见附件。</w:t>
      </w: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
      <w:pPr>
        <w:spacing w:line="600" w:lineRule="exact"/>
        <w:jc w:val="center"/>
        <w:outlineLvl w:val="0"/>
        <w:rPr>
          <w:rFonts w:hint="eastAsia" w:eastAsia="黑体"/>
          <w:sz w:val="44"/>
          <w:szCs w:val="44"/>
        </w:rPr>
      </w:pPr>
      <w:bookmarkStart w:id="94" w:name="_Toc15396613"/>
      <w:bookmarkStart w:id="95" w:name="_Toc15377225"/>
    </w:p>
    <w:p>
      <w:pPr>
        <w:spacing w:line="600" w:lineRule="exact"/>
        <w:jc w:val="center"/>
        <w:outlineLvl w:val="0"/>
        <w:rPr>
          <w:rFonts w:hint="eastAsia" w:eastAsia="黑体"/>
          <w:sz w:val="44"/>
          <w:szCs w:val="44"/>
        </w:rPr>
      </w:pPr>
    </w:p>
    <w:p>
      <w:pPr>
        <w:spacing w:line="600" w:lineRule="exact"/>
        <w:jc w:val="center"/>
        <w:outlineLvl w:val="0"/>
        <w:rPr>
          <w:rFonts w:eastAsia="黑体"/>
          <w:sz w:val="44"/>
          <w:szCs w:val="44"/>
        </w:rPr>
      </w:pPr>
      <w:bookmarkStart w:id="96" w:name="_Toc72304527_WPSOffice_Level1"/>
      <w:r>
        <w:rPr>
          <w:rFonts w:hint="eastAsia" w:eastAsia="黑体"/>
          <w:sz w:val="44"/>
          <w:szCs w:val="44"/>
        </w:rPr>
        <w:t>第三部分  名词解释</w:t>
      </w:r>
      <w:bookmarkEnd w:id="94"/>
      <w:bookmarkEnd w:id="95"/>
      <w:bookmarkEnd w:id="96"/>
    </w:p>
    <w:p>
      <w:pPr>
        <w:spacing w:line="600" w:lineRule="exact"/>
        <w:jc w:val="left"/>
        <w:rPr>
          <w:b/>
          <w:sz w:val="44"/>
          <w:szCs w:val="44"/>
        </w:rPr>
      </w:pPr>
    </w:p>
    <w:p>
      <w:pPr>
        <w:pStyle w:val="27"/>
        <w:keepNext w:val="0"/>
        <w:keepLines w:val="0"/>
        <w:pageBreakBefore w:val="0"/>
        <w:widowControl w:val="0"/>
        <w:kinsoku/>
        <w:wordWrap/>
        <w:overflowPunct/>
        <w:topLinePunct w:val="0"/>
        <w:autoSpaceDE w:val="0"/>
        <w:autoSpaceDN w:val="0"/>
        <w:bidi w:val="0"/>
        <w:adjustRightInd w:val="0"/>
        <w:snapToGrid/>
        <w:spacing w:line="578" w:lineRule="exact"/>
        <w:ind w:firstLine="640" w:firstLineChars="200"/>
        <w:jc w:val="both"/>
        <w:textAlignment w:val="auto"/>
        <w:rPr>
          <w:rFonts w:hint="eastAsia" w:ascii="仿宋_GB2312" w:eastAsia="仿宋_GB2312"/>
          <w:color w:val="auto"/>
          <w:sz w:val="32"/>
          <w:szCs w:val="32"/>
        </w:rPr>
      </w:pPr>
      <w:bookmarkStart w:id="97" w:name="_Toc15377226"/>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color w:val="auto"/>
          <w:sz w:val="32"/>
          <w:szCs w:val="32"/>
        </w:rPr>
        <w:t>财政拨款收入：指单位从同级财政部门取得的财政预算资金。</w:t>
      </w:r>
    </w:p>
    <w:p>
      <w:pPr>
        <w:pStyle w:val="27"/>
        <w:keepNext w:val="0"/>
        <w:keepLines w:val="0"/>
        <w:pageBreakBefore w:val="0"/>
        <w:widowControl w:val="0"/>
        <w:kinsoku/>
        <w:wordWrap/>
        <w:overflowPunct/>
        <w:topLinePunct w:val="0"/>
        <w:autoSpaceDE w:val="0"/>
        <w:autoSpaceDN w:val="0"/>
        <w:bidi w:val="0"/>
        <w:adjustRightInd w:val="0"/>
        <w:snapToGrid/>
        <w:spacing w:line="578" w:lineRule="exact"/>
        <w:ind w:firstLine="640" w:firstLineChars="200"/>
        <w:jc w:val="both"/>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eastAsia="仿宋_GB2312"/>
          <w:color w:val="auto"/>
          <w:sz w:val="32"/>
          <w:szCs w:val="32"/>
        </w:rPr>
        <w:t xml:space="preserve">事业收入：指事业单位开展专业业务活动及辅助活动取得的收入。 </w:t>
      </w:r>
    </w:p>
    <w:p>
      <w:pPr>
        <w:pStyle w:val="27"/>
        <w:keepNext w:val="0"/>
        <w:keepLines w:val="0"/>
        <w:pageBreakBefore w:val="0"/>
        <w:widowControl w:val="0"/>
        <w:kinsoku/>
        <w:wordWrap/>
        <w:overflowPunct/>
        <w:topLinePunct w:val="0"/>
        <w:autoSpaceDE w:val="0"/>
        <w:autoSpaceDN w:val="0"/>
        <w:bidi w:val="0"/>
        <w:adjustRightInd w:val="0"/>
        <w:snapToGrid/>
        <w:spacing w:line="578" w:lineRule="exact"/>
        <w:ind w:firstLine="640" w:firstLineChars="200"/>
        <w:jc w:val="both"/>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color w:val="auto"/>
          <w:sz w:val="32"/>
          <w:szCs w:val="32"/>
        </w:rPr>
        <w:t xml:space="preserve">年初结转和结余：指以前年度尚未完成、结转到本年按有关规定继续使用的资金。 </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eastAsia="仿宋_GB2312"/>
          <w:sz w:val="32"/>
          <w:szCs w:val="32"/>
        </w:rPr>
        <w:t>年末结转和结余：指单位按有关规定结转到下年或以后年度继续使用的资金。</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cs="仿宋_GB2312"/>
          <w:sz w:val="32"/>
          <w:szCs w:val="32"/>
        </w:rPr>
        <w:t>一般公共服务（类）组织事务（款）其他组织事务支出（项）：反映</w:t>
      </w:r>
      <w:r>
        <w:rPr>
          <w:rFonts w:hint="eastAsia" w:ascii="仿宋_GB2312" w:eastAsia="仿宋_GB2312" w:cs="仿宋_GB2312"/>
          <w:kern w:val="0"/>
          <w:sz w:val="32"/>
          <w:szCs w:val="32"/>
        </w:rPr>
        <w:t>除上述项目以外的</w:t>
      </w:r>
      <w:r>
        <w:rPr>
          <w:rFonts w:hint="eastAsia" w:ascii="仿宋_GB2312" w:eastAsia="仿宋_GB2312" w:cs="仿宋_GB2312"/>
          <w:sz w:val="32"/>
          <w:szCs w:val="32"/>
        </w:rPr>
        <w:t>其他用于中国共产党组织部门的事务支出；市场监督管理事务（款）食品安全监管（项）</w:t>
      </w:r>
      <w:r>
        <w:rPr>
          <w:rFonts w:hint="eastAsia" w:ascii="仿宋_GB2312" w:eastAsia="仿宋_GB2312" w:cs="仿宋_GB2312"/>
          <w:sz w:val="32"/>
          <w:szCs w:val="32"/>
          <w:lang w:eastAsia="zh-CN"/>
        </w:rPr>
        <w:t>：</w:t>
      </w:r>
      <w:r>
        <w:rPr>
          <w:rFonts w:hint="eastAsia" w:ascii="仿宋_GB2312" w:eastAsia="仿宋_GB2312" w:cs="仿宋_GB2312"/>
          <w:sz w:val="32"/>
          <w:szCs w:val="32"/>
        </w:rPr>
        <w:t>反映食品安全监管等专项工作支出。</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_GB2312" w:eastAsia="仿宋_GB2312"/>
          <w:sz w:val="32"/>
          <w:szCs w:val="32"/>
        </w:rPr>
        <w:t>社会保障和就业（类）人力资源和社会保障管理事务（款）其他人力资源和社会保障管理事务支出（项）：反映除上述项目以外其他用于人力资源和社会保障管理事务方面的支出。行政事业单位养老支出（款）行政单位离退休（项）：指反映行政单位（包括实行公务员管理的事业单位）开支的离退休经费；事业单位离退休（项）：反映事业单位开支的离退休经费；机关事业单位基本养老保险缴费支出（项）：指反映机关事业单位实施养老保险制度由单位缴纳的基本养老保险费支出；机关事业单位职业年金缴费支出（项）：指反映机关事业单位缴纳的职业年金支出。抚恤（款）死亡抚恤（项）：反映按规定用于烈士和牺牲、病故人员家属的一次性和定期抚恤金以及丧葬补助费。社会福利（款）儿童福利（项）：反映对儿童提供福利服务方面的支出。</w:t>
      </w:r>
    </w:p>
    <w:p>
      <w:pPr>
        <w:pStyle w:val="15"/>
        <w:keepNext w:val="0"/>
        <w:keepLines w:val="0"/>
        <w:pageBreakBefore w:val="0"/>
        <w:widowControl w:val="0"/>
        <w:suppressAutoHyphens w:val="0"/>
        <w:kinsoku/>
        <w:wordWrap/>
        <w:overflowPunct/>
        <w:topLinePunct w:val="0"/>
        <w:autoSpaceDN w:val="0"/>
        <w:bidi w:val="0"/>
        <w:snapToGrid/>
        <w:spacing w:before="93"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ascii="仿宋_GB2312" w:eastAsia="仿宋_GB2312" w:cs="仿宋_GB2312"/>
          <w:kern w:val="0"/>
          <w:sz w:val="32"/>
          <w:szCs w:val="32"/>
        </w:rPr>
        <w:t>卫生健康（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事业单位医疗（项）：反映财政部门安排的事业单位基本医疗保险缴费经费，未参加医疗保险的事业单位的公费医疗经费，按国家规定享受离休人员待遇的医疗经费；公务员医疗补助（项）：反映财政部门安排的公务员医疗补助经费；其他行政事业单位医疗支出（项）：反映除上述项目以外的其他用于行政事业单位医疗方面的支出。其他卫生健康支出（款）其他卫生健康支出（项）</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反映除上述项目以外其他用于卫生健康管理事务方面的支出</w:t>
      </w:r>
      <w:r>
        <w:rPr>
          <w:rFonts w:hint="eastAsia" w:ascii="仿宋_GB2312" w:eastAsia="仿宋_GB2312" w:cs="仿宋_GB2312"/>
          <w:kern w:val="0"/>
          <w:sz w:val="32"/>
          <w:szCs w:val="32"/>
          <w:lang w:val="en-US" w:eastAsia="zh-CN"/>
        </w:rPr>
        <w:t>;公共卫生（款）重大公共卫生服务（项）：反映重大疾病、重大传染病预防控制等重大公共卫生服务项目支出</w:t>
      </w:r>
      <w:r>
        <w:rPr>
          <w:rFonts w:hint="eastAsia" w:ascii="仿宋_GB2312" w:eastAsia="仿宋_GB2312" w:cs="仿宋_GB2312"/>
          <w:kern w:val="0"/>
          <w:sz w:val="32"/>
          <w:szCs w:val="32"/>
        </w:rPr>
        <w:t>。</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ascii="仿宋_GB2312" w:eastAsia="仿宋_GB2312"/>
          <w:sz w:val="32"/>
          <w:szCs w:val="32"/>
        </w:rPr>
        <w:t>城乡社区（类）城乡社区管理事务（款）行政运行（项）</w:t>
      </w:r>
      <w:r>
        <w:rPr>
          <w:rFonts w:hint="eastAsia" w:ascii="仿宋_GB2312" w:eastAsia="仿宋_GB2312"/>
          <w:sz w:val="32"/>
          <w:szCs w:val="32"/>
          <w:lang w:eastAsia="zh-CN"/>
        </w:rPr>
        <w:t>：</w:t>
      </w:r>
      <w:r>
        <w:rPr>
          <w:rFonts w:hint="eastAsia" w:ascii="仿宋_GB2312" w:eastAsia="仿宋_GB2312"/>
          <w:sz w:val="32"/>
          <w:szCs w:val="32"/>
        </w:rPr>
        <w:t xml:space="preserve"> 反映行政单位（包括实行公务员管理的事业单位）的基本支出；一般行政管理事务（项）</w:t>
      </w:r>
      <w:r>
        <w:rPr>
          <w:rFonts w:hint="eastAsia" w:ascii="仿宋_GB2312" w:eastAsia="仿宋_GB2312"/>
          <w:sz w:val="32"/>
          <w:szCs w:val="32"/>
          <w:lang w:eastAsia="zh-CN"/>
        </w:rPr>
        <w:t>：</w:t>
      </w:r>
      <w:r>
        <w:rPr>
          <w:rFonts w:hint="eastAsia" w:ascii="仿宋_GB2312" w:eastAsia="仿宋_GB2312"/>
          <w:sz w:val="32"/>
          <w:szCs w:val="32"/>
        </w:rPr>
        <w:t>反映行政单位（包括实行公务员管理的事业单位）未单独设置项级科目的其他项目支出；工程建设标准规范编制与监管（项）</w:t>
      </w:r>
      <w:r>
        <w:rPr>
          <w:rFonts w:hint="eastAsia" w:ascii="仿宋_GB2312" w:eastAsia="仿宋_GB2312"/>
          <w:sz w:val="32"/>
          <w:szCs w:val="32"/>
          <w:lang w:eastAsia="zh-CN"/>
        </w:rPr>
        <w:t>：</w:t>
      </w:r>
      <w:r>
        <w:rPr>
          <w:rFonts w:hint="eastAsia" w:ascii="仿宋_GB2312" w:eastAsia="仿宋_GB2312"/>
          <w:sz w:val="32"/>
          <w:szCs w:val="32"/>
        </w:rPr>
        <w:t>反映拟定工程建设国家标准和部管行业标准、监督指导各类工程建设标准定额的实施、管理工程造价等方面的支出；</w:t>
      </w:r>
      <w:r>
        <w:rPr>
          <w:rFonts w:hint="eastAsia" w:ascii="仿宋_GB2312" w:eastAsia="仿宋_GB2312"/>
          <w:sz w:val="32"/>
          <w:szCs w:val="32"/>
          <w:lang w:eastAsia="zh-CN"/>
        </w:rPr>
        <w:t>工程建设管理（项）：反映调控建设市场运行、拟定建设市场法规、实施建筑工程质量、安全、工程勘察设计监管等方面的支出；</w:t>
      </w:r>
      <w:r>
        <w:rPr>
          <w:rFonts w:hint="eastAsia" w:ascii="仿宋_GB2312" w:eastAsia="仿宋_GB2312"/>
          <w:sz w:val="32"/>
          <w:szCs w:val="32"/>
        </w:rPr>
        <w:t>其他城乡社区管理事务支出（项）</w:t>
      </w:r>
      <w:r>
        <w:rPr>
          <w:rFonts w:hint="eastAsia" w:ascii="仿宋_GB2312" w:eastAsia="仿宋_GB2312"/>
          <w:sz w:val="32"/>
          <w:szCs w:val="32"/>
          <w:lang w:eastAsia="zh-CN"/>
        </w:rPr>
        <w:t>：</w:t>
      </w:r>
      <w:r>
        <w:rPr>
          <w:rFonts w:hint="eastAsia" w:ascii="仿宋_GB2312" w:eastAsia="仿宋_GB2312"/>
          <w:sz w:val="32"/>
          <w:szCs w:val="32"/>
        </w:rPr>
        <w:t>其他城乡社区管理事务支出反映除上述项目以外其他用于城乡社区管理事务方面的支出。城乡社区公共设施（款）其他城乡社区公共设施支出（项）</w:t>
      </w:r>
      <w:r>
        <w:rPr>
          <w:rFonts w:hint="eastAsia" w:ascii="仿宋_GB2312" w:eastAsia="仿宋_GB2312"/>
          <w:sz w:val="32"/>
          <w:szCs w:val="32"/>
          <w:lang w:eastAsia="zh-CN"/>
        </w:rPr>
        <w:t>：</w:t>
      </w:r>
      <w:r>
        <w:rPr>
          <w:rFonts w:hint="eastAsia" w:ascii="仿宋_GB2312" w:eastAsia="仿宋_GB2312"/>
          <w:sz w:val="32"/>
          <w:szCs w:val="32"/>
        </w:rPr>
        <w:t>反映其他用于城乡社区公共设施其他方面的支出。建设市场管理与监督（款）建设市场管理与监督（项）</w:t>
      </w:r>
      <w:r>
        <w:rPr>
          <w:rFonts w:hint="eastAsia" w:ascii="仿宋_GB2312" w:eastAsia="仿宋_GB2312"/>
          <w:sz w:val="32"/>
          <w:szCs w:val="32"/>
          <w:lang w:eastAsia="zh-CN"/>
        </w:rPr>
        <w:t>：</w:t>
      </w:r>
      <w:r>
        <w:rPr>
          <w:rFonts w:hint="eastAsia" w:ascii="仿宋_GB2312" w:eastAsia="仿宋_GB2312"/>
          <w:sz w:val="32"/>
          <w:szCs w:val="32"/>
        </w:rPr>
        <w:t>反映各类建筑工程强制性和推荐性标准及规定的制定与修改、建筑工程招投标等市场管理、建筑工程质量与安全监督等方面的支出</w:t>
      </w:r>
      <w:r>
        <w:rPr>
          <w:rFonts w:hint="eastAsia" w:ascii="仿宋_GB2312" w:eastAsia="仿宋_GB2312"/>
          <w:sz w:val="32"/>
          <w:szCs w:val="32"/>
          <w:lang w:eastAsia="zh-CN"/>
        </w:rPr>
        <w:t>。</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住房保障（类）住房改革支出（款）住房公积金（项）</w:t>
      </w:r>
      <w:r>
        <w:rPr>
          <w:rFonts w:hint="eastAsia" w:ascii="仿宋_GB2312" w:eastAsia="仿宋_GB2312"/>
          <w:sz w:val="32"/>
          <w:szCs w:val="32"/>
          <w:lang w:eastAsia="zh-CN"/>
        </w:rPr>
        <w:t>：</w:t>
      </w:r>
      <w:r>
        <w:rPr>
          <w:rFonts w:hint="eastAsia" w:ascii="仿宋_GB2312" w:eastAsia="仿宋_GB2312"/>
          <w:sz w:val="32"/>
          <w:szCs w:val="32"/>
        </w:rPr>
        <w:t xml:space="preserve"> 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bidi w:val="0"/>
        <w:snapToGrid/>
        <w:spacing w:line="578" w:lineRule="exact"/>
        <w:textAlignment w:val="auto"/>
      </w:pPr>
      <w:r>
        <w:rPr>
          <w:rFonts w:hint="eastAsia" w:ascii="Times New Roman" w:hAnsi="Times New Roman" w:eastAsia="仿宋_GB2312" w:cs="仿宋_GB2312"/>
          <w:color w:val="auto"/>
          <w:kern w:val="2"/>
          <w:sz w:val="32"/>
          <w:szCs w:val="32"/>
          <w:highlight w:val="none"/>
          <w:lang w:val="en-US" w:eastAsia="zh-CN" w:bidi="ar-SA"/>
        </w:rPr>
        <w:t xml:space="preserve">    10.</w:t>
      </w:r>
      <w:r>
        <w:rPr>
          <w:rFonts w:hint="eastAsia" w:ascii="仿宋_GB2312" w:eastAsia="仿宋_GB2312"/>
          <w:sz w:val="32"/>
          <w:szCs w:val="32"/>
        </w:rPr>
        <w:t>其他支出（类）其他支出（款）其他支出（项）：反映除上述项目以外其他不能划分到具体功能科目中的支出项目</w:t>
      </w:r>
      <w:r>
        <w:rPr>
          <w:rFonts w:hint="eastAsia" w:ascii="仿宋_GB2312" w:eastAsia="仿宋_GB2312"/>
          <w:sz w:val="32"/>
          <w:szCs w:val="32"/>
          <w:lang w:eastAsia="zh-CN"/>
        </w:rPr>
        <w:t>；其他政府性基金及对应专项债务收入安排的支出（款）其他政府性基金债务收入安排的支出（项）：反映其他政府性基金对应专项债务收入安排的支出</w:t>
      </w:r>
      <w:r>
        <w:rPr>
          <w:rFonts w:hint="eastAsia" w:ascii="仿宋_GB2312" w:eastAsia="仿宋_GB2312"/>
          <w:sz w:val="32"/>
          <w:szCs w:val="32"/>
        </w:rPr>
        <w:t>。</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11.</w:t>
      </w:r>
      <w:r>
        <w:rPr>
          <w:rFonts w:hint="eastAsia" w:ascii="仿宋_GB2312" w:eastAsia="仿宋_GB2312"/>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eastAsia="仿宋_GB2312"/>
          <w:sz w:val="32"/>
          <w:szCs w:val="32"/>
        </w:rPr>
        <w:t>项目支出：指在基本支出之外为完成特定行政任务和事业发展目标所发生的支出。</w:t>
      </w:r>
    </w:p>
    <w:p>
      <w:pPr>
        <w:pStyle w:val="27"/>
        <w:keepNext w:val="0"/>
        <w:keepLines w:val="0"/>
        <w:pageBreakBefore w:val="0"/>
        <w:widowControl w:val="0"/>
        <w:kinsoku/>
        <w:wordWrap/>
        <w:overflowPunct/>
        <w:topLinePunct w:val="0"/>
        <w:autoSpaceDE w:val="0"/>
        <w:autoSpaceDN w:val="0"/>
        <w:bidi w:val="0"/>
        <w:adjustRightInd w:val="0"/>
        <w:snapToGrid/>
        <w:spacing w:line="578" w:lineRule="exact"/>
        <w:ind w:firstLine="640" w:firstLineChars="200"/>
        <w:jc w:val="both"/>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13.</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14.</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pPr>
        <w:spacing w:line="600" w:lineRule="exact"/>
        <w:jc w:val="center"/>
        <w:rPr>
          <w:rStyle w:val="29"/>
          <w:rFonts w:eastAsia="黑体"/>
          <w:b w:val="0"/>
        </w:rPr>
      </w:pPr>
      <w:r>
        <w:rPr>
          <w:rFonts w:hint="eastAsia" w:eastAsia="仿宋_GB2312" w:cs="仿宋_GB2312"/>
          <w:sz w:val="32"/>
          <w:szCs w:val="32"/>
        </w:rPr>
        <w:br w:type="page"/>
      </w:r>
      <w:bookmarkStart w:id="98" w:name="_Toc15396614"/>
      <w:bookmarkStart w:id="99" w:name="_Toc1068337419_WPSOffice_Level1"/>
      <w:r>
        <w:rPr>
          <w:rFonts w:hint="eastAsia" w:eastAsia="黑体"/>
          <w:sz w:val="44"/>
          <w:szCs w:val="44"/>
        </w:rPr>
        <w:t>第四部分  附件</w:t>
      </w:r>
      <w:bookmarkEnd w:id="98"/>
      <w:bookmarkEnd w:id="99"/>
    </w:p>
    <w:p>
      <w:pPr>
        <w:pStyle w:val="2"/>
      </w:pPr>
    </w:p>
    <w:p>
      <w:pPr>
        <w:spacing w:line="572" w:lineRule="exact"/>
        <w:jc w:val="left"/>
        <w:outlineLvl w:val="0"/>
        <w:rPr>
          <w:rFonts w:eastAsia="黑体" w:cs="方正小标宋简体"/>
          <w:sz w:val="44"/>
          <w:szCs w:val="44"/>
        </w:rPr>
      </w:pPr>
      <w:r>
        <w:rPr>
          <w:rFonts w:hint="eastAsia" w:eastAsia="黑体" w:cs="黑体"/>
          <w:sz w:val="32"/>
          <w:szCs w:val="32"/>
        </w:rPr>
        <w:t>附件1</w:t>
      </w:r>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color w:val="auto"/>
          <w:sz w:val="44"/>
          <w:szCs w:val="44"/>
          <w:shd w:val="clear" w:color="auto" w:fill="FFFFFF"/>
        </w:rPr>
      </w:pPr>
      <w:bookmarkStart w:id="100" w:name="_Toc363860034_WPSOffice_Level2"/>
      <w:bookmarkStart w:id="101" w:name="_Toc232752347_WPSOffice_Level2"/>
      <w:bookmarkStart w:id="102" w:name="_Toc695611744_WPSOffice_Level2"/>
      <w:r>
        <w:rPr>
          <w:rFonts w:eastAsia="方正小标宋简体"/>
          <w:bCs/>
          <w:color w:val="auto"/>
          <w:sz w:val="44"/>
          <w:szCs w:val="44"/>
          <w:shd w:val="clear" w:color="auto" w:fill="FFFFFF"/>
        </w:rPr>
        <w:t>部门预算绩效</w:t>
      </w:r>
      <w:r>
        <w:rPr>
          <w:rFonts w:hint="eastAsia" w:eastAsia="方正小标宋简体"/>
          <w:bCs/>
          <w:color w:val="auto"/>
          <w:sz w:val="44"/>
          <w:szCs w:val="44"/>
          <w:shd w:val="clear" w:color="auto" w:fill="FFFFFF"/>
        </w:rPr>
        <w:t>评价</w:t>
      </w:r>
      <w:r>
        <w:rPr>
          <w:rFonts w:eastAsia="方正小标宋简体"/>
          <w:bCs/>
          <w:color w:val="auto"/>
          <w:sz w:val="44"/>
          <w:szCs w:val="44"/>
          <w:shd w:val="clear" w:color="auto" w:fill="FFFFFF"/>
        </w:rPr>
        <w:t>报告</w:t>
      </w:r>
      <w:bookmarkEnd w:id="100"/>
      <w:bookmarkEnd w:id="101"/>
      <w:bookmarkEnd w:id="102"/>
    </w:p>
    <w:p>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03" w:name="_Toc95560077_WPSOffice_Level2"/>
      <w:bookmarkStart w:id="104" w:name="_Toc1902741408_WPSOffice_Level2"/>
      <w:bookmarkStart w:id="105" w:name="_Toc1669675614_WPSOffice_Level2"/>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bookmarkEnd w:id="103"/>
      <w:bookmarkEnd w:id="104"/>
      <w:bookmarkEnd w:id="105"/>
    </w:p>
    <w:p>
      <w:pPr>
        <w:widowControl/>
        <w:adjustRightInd w:val="0"/>
        <w:snapToGrid w:val="0"/>
        <w:spacing w:line="578" w:lineRule="exact"/>
        <w:ind w:firstLine="642"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ascii="仿宋_GB2312" w:hAnsi="仿宋_GB2312" w:eastAsia="仿宋_GB2312" w:cs="仿宋_GB2312"/>
          <w:sz w:val="32"/>
          <w:szCs w:val="32"/>
        </w:rPr>
        <w:t>攀枝花市住房和城乡建设局为市政府工作部门，内设</w:t>
      </w:r>
      <w:r>
        <w:rPr>
          <w:rFonts w:hint="eastAsia" w:ascii="Times New Roman" w:hAnsi="Times New Roman" w:eastAsia="仿宋_GB2312" w:cs="仿宋_GB2312"/>
          <w:color w:val="auto"/>
          <w:kern w:val="2"/>
          <w:sz w:val="32"/>
          <w:szCs w:val="32"/>
          <w:highlight w:val="none"/>
          <w:lang w:val="en-US" w:eastAsia="zh-CN" w:bidi="ar-SA"/>
        </w:rPr>
        <w:t>14</w:t>
      </w:r>
      <w:r>
        <w:rPr>
          <w:rFonts w:hint="eastAsia" w:ascii="仿宋_GB2312" w:hAnsi="仿宋_GB2312" w:eastAsia="仿宋_GB2312" w:cs="仿宋_GB2312"/>
          <w:sz w:val="32"/>
          <w:szCs w:val="32"/>
        </w:rPr>
        <w:t>个科室，下属</w:t>
      </w: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hAnsi="仿宋_GB2312" w:eastAsia="仿宋_GB2312" w:cs="仿宋_GB2312"/>
          <w:sz w:val="32"/>
          <w:szCs w:val="32"/>
        </w:rPr>
        <w:t>个二级单位，其中参照公务员法管理的事业单位</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hAnsi="仿宋_GB2312" w:eastAsia="仿宋_GB2312" w:cs="仿宋_GB2312"/>
          <w:sz w:val="32"/>
          <w:szCs w:val="32"/>
        </w:rPr>
        <w:t>个，分别是：市房地产事务中心、市建设工程质量安全站、市建筑节能和绿色建筑发展中心，其他事业单位</w:t>
      </w: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_GB2312" w:hAnsi="仿宋_GB2312" w:eastAsia="仿宋_GB2312" w:cs="仿宋_GB2312"/>
          <w:sz w:val="32"/>
          <w:szCs w:val="32"/>
        </w:rPr>
        <w:t>个，分别是：市市政公用设施服务中心、市建设工程造价站、市建设工程消防和勘察设计技术中心、市城市建设资金中心、市城市基本建设档案馆、市住房保障和建设项目服务中心</w:t>
      </w:r>
      <w:r>
        <w:rPr>
          <w:rFonts w:eastAsia="仿宋_GB2312" w:cs="仿宋_GB2312"/>
          <w:sz w:val="32"/>
          <w:szCs w:val="32"/>
        </w:rPr>
        <w:t>。</w:t>
      </w:r>
    </w:p>
    <w:p>
      <w:pPr>
        <w:widowControl/>
        <w:adjustRightInd w:val="0"/>
        <w:snapToGrid w:val="0"/>
        <w:spacing w:line="578" w:lineRule="exact"/>
        <w:ind w:firstLine="642" w:firstLineChars="200"/>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ascii="仿宋_GB2312" w:hAnsi="仿宋_GB2312" w:eastAsia="仿宋_GB2312" w:cs="仿宋_GB2312"/>
          <w:sz w:val="32"/>
          <w:szCs w:val="32"/>
        </w:rPr>
        <w:t>负责城市市政设施年度建设计划编制。指导和督促城市市政设施建设。协调、处理城市市政设施建设过程中的有关问题。参与城市总体规划和专项规划编制和审核。拟订全市村镇建设的发展规划并监督实施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全市乡镇和村庄建设、全市农村住房建设及危房改造、农村建筑工匠培训和管理、农村公用设施建设，组织开展全市“特色小城镇”培育创建和开展村镇建设试点工作。拟订建筑业中长期规划、行业政策，承担建筑市场及本地建筑施工企业资质的监督管理和注册建造师的注册、执业活动的监督管理事项。参与房建和市政设施项目施工招投标活动监督。协助处理建设工程农民工拖欠工资。负责全市房地产业监督管理工作。负责房地产市场秩序的整治与监管。参与协调处理房地产交易的矛盾纠纷。承担全市勘察设计行业综合管理的具体工作。负责全市建设工程抗震设防标准的管理。指导、监督抗震设防专项论证工作。组织各类房屋建筑和市政工程设计抗震设计检查。参与抗震设计审查。指导村镇建设抗震防灾工作。拟订建筑垃圾资源化再利用的整体规划和政策措施，综合协调建筑垃圾资源化再利用工作。负责信息化建设工作。负责对实施工程建设设计强制性标准进行监督检查。负责对房屋建筑工程抗震设防实施情况的监督检查。负责行业体制改革的政策研究。负责行业规范性文件合法性审查工作。负责法治考核工作。负责做好立法调研和草案起草工作。配合上位法修订工作。负责行政许可事项和政务服务事项的公开公示、告知工作。负责进驻政务服务中心窗口的组织协调和审批项目的受理、审核及办理工作</w:t>
      </w:r>
      <w:r>
        <w:rPr>
          <w:rFonts w:hint="eastAsia" w:eastAsia="仿宋_GB2312"/>
          <w:sz w:val="32"/>
          <w:szCs w:val="32"/>
        </w:rPr>
        <w:t>。</w:t>
      </w:r>
    </w:p>
    <w:p>
      <w:pPr>
        <w:spacing w:line="600" w:lineRule="exact"/>
        <w:ind w:firstLine="642"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hint="eastAsia" w:ascii="Times New Roman" w:hAnsi="Times New Roman" w:eastAsia="仿宋_GB2312" w:cs="Times New Roman"/>
          <w:color w:val="auto"/>
          <w:kern w:val="2"/>
          <w:sz w:val="32"/>
          <w:szCs w:val="32"/>
          <w:lang w:val="en-US" w:eastAsia="zh-CN" w:bidi="ar-SA"/>
        </w:rPr>
        <w:t>截至2025年末，市住房城乡建设局部门（单位）及下属单位</w:t>
      </w:r>
      <w:r>
        <w:rPr>
          <w:rFonts w:hint="eastAsia" w:ascii="Times New Roman" w:hAnsi="Times New Roman" w:eastAsia="仿宋_GB2312" w:cs="Times New Roman"/>
          <w:color w:val="auto"/>
          <w:kern w:val="2"/>
          <w:sz w:val="32"/>
          <w:szCs w:val="32"/>
          <w:lang w:val="zh-CN" w:eastAsia="zh-CN" w:bidi="ar-SA"/>
        </w:rPr>
        <w:t>公共预算财政拨款开支年末在职人数</w:t>
      </w:r>
      <w:r>
        <w:rPr>
          <w:rFonts w:hint="eastAsia" w:ascii="Times New Roman" w:hAnsi="Times New Roman" w:eastAsia="仿宋_GB2312" w:cs="Times New Roman"/>
          <w:color w:val="auto"/>
          <w:kern w:val="2"/>
          <w:sz w:val="32"/>
          <w:szCs w:val="32"/>
          <w:lang w:val="en-US" w:eastAsia="zh-CN" w:bidi="ar-SA"/>
        </w:rPr>
        <w:t>344人，离休人员2人，退休416人。</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06" w:name="_Toc57156288_WPSOffice_Level2"/>
      <w:bookmarkStart w:id="107" w:name="_Toc1718429280_WPSOffice_Level2"/>
      <w:bookmarkStart w:id="108" w:name="_Toc1808580505_WPSOffice_Level2"/>
      <w:r>
        <w:rPr>
          <w:rFonts w:eastAsia="黑体"/>
          <w:color w:val="000000"/>
          <w:kern w:val="0"/>
          <w:sz w:val="32"/>
          <w:szCs w:val="32"/>
          <w:shd w:val="clear" w:color="auto" w:fill="FFFFFF"/>
          <w:lang w:val="zh-CN"/>
        </w:rPr>
        <w:t>二、部门资金收支情况</w:t>
      </w:r>
      <w:bookmarkEnd w:id="106"/>
      <w:bookmarkEnd w:id="107"/>
      <w:bookmarkEnd w:id="108"/>
    </w:p>
    <w:p>
      <w:pPr>
        <w:widowControl/>
        <w:adjustRightInd w:val="0"/>
        <w:snapToGrid w:val="0"/>
        <w:spacing w:line="578" w:lineRule="exact"/>
        <w:ind w:firstLine="642" w:firstLineChars="200"/>
        <w:contextualSpacing/>
        <w:jc w:val="left"/>
        <w:rPr>
          <w:rFonts w:hint="default" w:eastAsia="楷体_GB2312"/>
          <w:b/>
          <w:bCs/>
          <w:color w:val="000000"/>
          <w:kern w:val="0"/>
          <w:szCs w:val="32"/>
          <w:shd w:val="clear" w:color="auto" w:fill="FFFFFF"/>
          <w:lang w:val="en-US"/>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ascii="Times New Roman" w:hAnsi="Times New Roman" w:eastAsia="仿宋_GB2312" w:cs="Times New Roman"/>
          <w:color w:val="auto"/>
          <w:kern w:val="2"/>
          <w:sz w:val="32"/>
          <w:szCs w:val="32"/>
          <w:lang w:val="zh-CN" w:eastAsia="zh-CN" w:bidi="ar-SA"/>
        </w:rPr>
        <w:t>市住房城乡建设局部门2025年年初预算收入9</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zh-CN" w:eastAsia="zh-CN" w:bidi="ar-SA"/>
        </w:rPr>
        <w:t>851.19万元，全年决算收入34</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zh-CN" w:eastAsia="zh-CN" w:bidi="ar-SA"/>
        </w:rPr>
        <w:t>736.01万元。</w:t>
      </w:r>
    </w:p>
    <w:p>
      <w:pPr>
        <w:widowControl/>
        <w:adjustRightInd w:val="0"/>
        <w:snapToGrid w:val="0"/>
        <w:spacing w:line="578" w:lineRule="exact"/>
        <w:ind w:firstLine="642" w:firstLineChars="200"/>
        <w:contextualSpacing/>
        <w:jc w:val="both"/>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ascii="Times New Roman" w:hAnsi="Times New Roman" w:eastAsia="仿宋_GB2312" w:cs="Times New Roman"/>
          <w:color w:val="auto"/>
          <w:kern w:val="2"/>
          <w:sz w:val="32"/>
          <w:szCs w:val="32"/>
          <w:lang w:val="en-US" w:eastAsia="zh-CN" w:bidi="ar-SA"/>
        </w:rPr>
        <w:t>市住房城乡建设局部门2025年年初预算支出9,851.19万元，全年决算支出34</w:t>
      </w:r>
      <w:r>
        <w:rPr>
          <w:rFonts w:hint="eastAsia"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699.62万元，主要包括</w:t>
      </w:r>
      <w:r>
        <w:rPr>
          <w:rFonts w:hint="eastAsia" w:ascii="Times New Roman" w:hAnsi="Times New Roman" w:eastAsia="仿宋_GB2312" w:cs="Times New Roman"/>
          <w:color w:val="auto"/>
          <w:kern w:val="2"/>
          <w:sz w:val="32"/>
          <w:szCs w:val="32"/>
          <w:lang w:val="zh-CN" w:eastAsia="zh-CN" w:bidi="ar-SA"/>
        </w:rPr>
        <w:t>基本支出</w:t>
      </w:r>
      <w:r>
        <w:rPr>
          <w:rFonts w:hint="eastAsia" w:ascii="Times New Roman" w:hAnsi="Times New Roman" w:eastAsia="仿宋_GB2312" w:cs="Times New Roman"/>
          <w:color w:val="auto"/>
          <w:kern w:val="2"/>
          <w:sz w:val="32"/>
          <w:szCs w:val="32"/>
          <w:lang w:val="en-US" w:eastAsia="zh-CN" w:bidi="ar-SA"/>
        </w:rPr>
        <w:t>8</w:t>
      </w:r>
      <w:r>
        <w:rPr>
          <w:rFonts w:hint="eastAsia"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999.5</w:t>
      </w:r>
      <w:r>
        <w:rPr>
          <w:rFonts w:hint="eastAsia"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万元（人员经费</w:t>
      </w:r>
      <w:r>
        <w:rPr>
          <w:rFonts w:hint="eastAsia" w:ascii="Times New Roman" w:hAnsi="Times New Roman" w:eastAsia="仿宋_GB2312" w:cs="Times New Roman"/>
          <w:color w:val="auto"/>
          <w:kern w:val="2"/>
          <w:sz w:val="32"/>
          <w:szCs w:val="32"/>
          <w:lang w:val="en-US" w:eastAsia="zh-CN" w:bidi="ar-SA"/>
        </w:rPr>
        <w:t>8</w:t>
      </w:r>
      <w:r>
        <w:rPr>
          <w:rFonts w:hint="eastAsia"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395.1</w:t>
      </w:r>
      <w:r>
        <w:rPr>
          <w:rFonts w:hint="eastAsia"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万元，日常公用经费</w:t>
      </w:r>
      <w:r>
        <w:rPr>
          <w:rFonts w:hint="eastAsia" w:ascii="Times New Roman" w:hAnsi="Times New Roman" w:eastAsia="仿宋_GB2312" w:cs="Times New Roman"/>
          <w:color w:val="auto"/>
          <w:kern w:val="2"/>
          <w:sz w:val="32"/>
          <w:szCs w:val="32"/>
          <w:lang w:val="en-US" w:eastAsia="zh-CN" w:bidi="ar-SA"/>
        </w:rPr>
        <w:t>604.4</w:t>
      </w:r>
      <w:r>
        <w:rPr>
          <w:rFonts w:hint="eastAsia" w:ascii="Times New Roman" w:hAnsi="Times New Roman" w:eastAsia="仿宋_GB2312" w:cs="Times New Roman"/>
          <w:color w:val="auto"/>
          <w:kern w:val="2"/>
          <w:sz w:val="32"/>
          <w:szCs w:val="32"/>
          <w:lang w:val="zh-CN" w:eastAsia="zh-CN" w:bidi="ar-SA"/>
        </w:rPr>
        <w:t>万元）占总支出</w:t>
      </w:r>
      <w:r>
        <w:rPr>
          <w:rFonts w:hint="eastAsia" w:ascii="Times New Roman" w:hAnsi="Times New Roman" w:eastAsia="仿宋_GB2312" w:cs="Times New Roman"/>
          <w:color w:val="auto"/>
          <w:kern w:val="2"/>
          <w:sz w:val="32"/>
          <w:szCs w:val="32"/>
          <w:lang w:val="en-US" w:eastAsia="zh-CN" w:bidi="ar-SA"/>
        </w:rPr>
        <w:t>25.94</w:t>
      </w:r>
      <w:r>
        <w:rPr>
          <w:rFonts w:hint="eastAsia" w:ascii="Times New Roman" w:hAnsi="Times New Roman" w:eastAsia="仿宋_GB2312" w:cs="Times New Roman"/>
          <w:color w:val="auto"/>
          <w:kern w:val="2"/>
          <w:sz w:val="32"/>
          <w:szCs w:val="32"/>
          <w:lang w:val="zh-CN" w:eastAsia="zh-CN" w:bidi="ar-SA"/>
        </w:rPr>
        <w:t>%；项目支出</w:t>
      </w:r>
      <w:r>
        <w:rPr>
          <w:rFonts w:hint="eastAsia" w:ascii="Times New Roman" w:hAnsi="Times New Roman" w:eastAsia="仿宋_GB2312" w:cs="Times New Roman"/>
          <w:color w:val="auto"/>
          <w:kern w:val="2"/>
          <w:sz w:val="32"/>
          <w:szCs w:val="32"/>
          <w:lang w:val="en-US" w:eastAsia="zh-CN" w:bidi="ar-SA"/>
        </w:rPr>
        <w:t>25</w:t>
      </w:r>
      <w:r>
        <w:rPr>
          <w:rFonts w:hint="eastAsia"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700.1</w:t>
      </w:r>
      <w:r>
        <w:rPr>
          <w:rFonts w:hint="eastAsia" w:ascii="Times New Roman" w:hAnsi="Times New Roman" w:eastAsia="仿宋_GB2312" w:cs="Times New Roman"/>
          <w:color w:val="auto"/>
          <w:kern w:val="2"/>
          <w:sz w:val="32"/>
          <w:szCs w:val="32"/>
          <w:lang w:val="zh-CN" w:eastAsia="zh-CN" w:bidi="ar-SA"/>
        </w:rPr>
        <w:t>万元，占总支出</w:t>
      </w:r>
      <w:r>
        <w:rPr>
          <w:rFonts w:hint="eastAsia" w:ascii="Times New Roman" w:hAnsi="Times New Roman" w:eastAsia="仿宋_GB2312" w:cs="Times New Roman"/>
          <w:color w:val="auto"/>
          <w:kern w:val="2"/>
          <w:sz w:val="32"/>
          <w:szCs w:val="32"/>
          <w:lang w:val="en-US" w:eastAsia="zh-CN" w:bidi="ar-SA"/>
        </w:rPr>
        <w:t>74.06</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w:t>
      </w:r>
    </w:p>
    <w:p>
      <w:pPr>
        <w:widowControl/>
        <w:adjustRightInd w:val="0"/>
        <w:snapToGrid w:val="0"/>
        <w:spacing w:line="578" w:lineRule="exact"/>
        <w:ind w:firstLine="642" w:firstLineChars="200"/>
        <w:contextualSpacing/>
        <w:jc w:val="both"/>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en-US" w:eastAsia="zh-CN" w:bidi="ar-SA"/>
        </w:rPr>
        <w:t>202</w:t>
      </w:r>
      <w:r>
        <w:rPr>
          <w:rFonts w:hint="eastAsia" w:ascii="Times New Roman" w:hAnsi="Times New Roman" w:cs="Times New Roman"/>
          <w:color w:val="000000"/>
          <w:kern w:val="0"/>
          <w:sz w:val="32"/>
          <w:szCs w:val="32"/>
          <w:shd w:val="clear" w:color="auto" w:fill="FFFFFF"/>
          <w:lang w:val="en-US" w:eastAsia="zh-CN" w:bidi="ar-SA"/>
        </w:rPr>
        <w:t>5</w:t>
      </w:r>
      <w:r>
        <w:rPr>
          <w:rFonts w:hint="eastAsia" w:ascii="Times New Roman" w:hAnsi="Times New Roman" w:eastAsia="仿宋_GB2312" w:cs="Times New Roman"/>
          <w:color w:val="000000"/>
          <w:kern w:val="0"/>
          <w:sz w:val="32"/>
          <w:szCs w:val="32"/>
          <w:shd w:val="clear" w:color="auto" w:fill="FFFFFF"/>
          <w:lang w:val="en-US" w:eastAsia="zh-CN" w:bidi="ar-SA"/>
        </w:rPr>
        <w:t>年</w:t>
      </w:r>
      <w:r>
        <w:rPr>
          <w:rFonts w:hint="eastAsia" w:ascii="Times New Roman" w:hAnsi="Times New Roman" w:eastAsia="仿宋_GB2312" w:cs="Times New Roman"/>
          <w:color w:val="000000"/>
          <w:kern w:val="0"/>
          <w:sz w:val="32"/>
          <w:szCs w:val="32"/>
          <w:shd w:val="clear" w:color="auto" w:fill="FFFFFF"/>
          <w:lang w:val="zh-CN" w:eastAsia="zh-CN" w:bidi="ar-SA"/>
        </w:rPr>
        <w:t>市住房城乡建设局部门年末结转结余</w:t>
      </w:r>
      <w:r>
        <w:rPr>
          <w:rFonts w:hint="eastAsia" w:ascii="Times New Roman" w:hAnsi="Times New Roman" w:eastAsia="仿宋_GB2312" w:cs="Times New Roman"/>
          <w:color w:val="000000"/>
          <w:kern w:val="0"/>
          <w:sz w:val="32"/>
          <w:szCs w:val="32"/>
          <w:shd w:val="clear" w:color="auto" w:fill="FFFFFF"/>
          <w:lang w:val="en-US" w:eastAsia="zh-CN" w:bidi="ar-SA"/>
        </w:rPr>
        <w:t>36.39万元</w:t>
      </w:r>
      <w:r>
        <w:rPr>
          <w:rFonts w:hint="eastAsia" w:ascii="Times New Roman" w:eastAsia="仿宋_GB2312" w:cs="Times New Roman"/>
          <w:color w:val="000000"/>
          <w:kern w:val="0"/>
          <w:sz w:val="32"/>
          <w:szCs w:val="32"/>
          <w:shd w:val="clear" w:color="auto" w:fill="FFFFFF"/>
          <w:lang w:val="en-US" w:eastAsia="zh-CN" w:bidi="ar-SA"/>
        </w:rPr>
        <w:t>。</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09" w:name="_Toc447791972_WPSOffice_Level2"/>
      <w:bookmarkStart w:id="110" w:name="_Toc1303233261_WPSOffice_Level2"/>
      <w:bookmarkStart w:id="111" w:name="_Toc357681884_WPSOffice_Level2"/>
      <w:r>
        <w:rPr>
          <w:rFonts w:eastAsia="黑体"/>
          <w:color w:val="000000"/>
          <w:kern w:val="0"/>
          <w:sz w:val="32"/>
          <w:szCs w:val="32"/>
          <w:shd w:val="clear" w:color="auto" w:fill="FFFFFF"/>
          <w:lang w:val="zh-CN"/>
        </w:rPr>
        <w:t>三、部门预算绩效分析</w:t>
      </w:r>
      <w:bookmarkEnd w:id="109"/>
      <w:bookmarkEnd w:id="110"/>
      <w:bookmarkEnd w:id="111"/>
    </w:p>
    <w:p>
      <w:pPr>
        <w:adjustRightInd w:val="0"/>
        <w:snapToGrid w:val="0"/>
        <w:spacing w:line="578" w:lineRule="exact"/>
        <w:ind w:firstLine="642"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1.履职效能</w:t>
      </w:r>
    </w:p>
    <w:p>
      <w:pPr>
        <w:pStyle w:val="8"/>
        <w:spacing w:after="0" w:line="560" w:lineRule="exact"/>
        <w:ind w:firstLine="602" w:firstLineChars="200"/>
        <w:textAlignment w:val="center"/>
        <w:rPr>
          <w:rFonts w:hint="eastAsia" w:ascii="Times New Roman" w:hAnsi="Times New Roman" w:eastAsia="仿宋_GB2312" w:cs="Times New Roman"/>
          <w:color w:val="000000"/>
          <w:kern w:val="0"/>
          <w:sz w:val="32"/>
          <w:szCs w:val="32"/>
          <w:shd w:val="clear" w:color="auto" w:fill="FFFFFF"/>
          <w:lang w:val="zh-CN" w:eastAsia="zh-CN" w:bidi="ar-SA"/>
        </w:rPr>
      </w:pPr>
      <w:r>
        <w:rPr>
          <w:rFonts w:ascii="Times New Roman" w:hAnsi="Times New Roman" w:eastAsia="方正楷体_GBK"/>
          <w:b/>
          <w:bCs/>
          <w:kern w:val="32"/>
          <w:szCs w:val="32"/>
          <w:lang w:bidi="ar-SA"/>
        </w:rPr>
        <w:t>（</w:t>
      </w:r>
      <w:r>
        <w:rPr>
          <w:rFonts w:hint="eastAsia" w:ascii="Times New Roman" w:hAnsi="Times New Roman" w:eastAsia="方正楷体_GBK"/>
          <w:b/>
          <w:bCs/>
          <w:kern w:val="32"/>
          <w:szCs w:val="32"/>
          <w:lang w:val="en-US" w:eastAsia="zh-CN" w:bidi="ar-SA"/>
        </w:rPr>
        <w:t>1</w:t>
      </w:r>
      <w:r>
        <w:rPr>
          <w:rFonts w:ascii="Times New Roman" w:hAnsi="Times New Roman" w:eastAsia="方正楷体_GBK"/>
          <w:b/>
          <w:bCs/>
          <w:kern w:val="32"/>
          <w:szCs w:val="32"/>
          <w:lang w:bidi="ar-SA"/>
        </w:rPr>
        <w:t>）</w:t>
      </w:r>
      <w:r>
        <w:rPr>
          <w:rFonts w:hint="eastAsia" w:ascii="CESI楷体-GB2312" w:hAnsi="CESI楷体-GB2312" w:eastAsia="CESI楷体-GB2312" w:cs="CESI楷体-GB2312"/>
          <w:b/>
          <w:bCs/>
          <w:kern w:val="32"/>
          <w:szCs w:val="32"/>
          <w:lang w:bidi="ar-SA"/>
        </w:rPr>
        <w:t>坚持更新攻坚、靶向施策，城市有机更新取得阶段性成效。</w:t>
      </w:r>
      <w:r>
        <w:rPr>
          <w:rFonts w:hint="eastAsia" w:ascii="仿宋_GB2312" w:hAnsi="仿宋_GB2312" w:eastAsia="仿宋_GB2312" w:cs="仿宋_GB2312"/>
          <w:b/>
          <w:bCs/>
          <w:kern w:val="32"/>
          <w:szCs w:val="32"/>
          <w:lang w:val="en-US" w:eastAsia="zh-CN" w:bidi="ar-SA"/>
        </w:rPr>
        <w:t>工作体系构建成型。</w:t>
      </w:r>
      <w:r>
        <w:rPr>
          <w:rFonts w:hint="eastAsia" w:ascii="Times New Roman" w:hAnsi="Times New Roman" w:eastAsia="仿宋_GB2312" w:cs="Times New Roman"/>
          <w:color w:val="000000"/>
          <w:kern w:val="0"/>
          <w:sz w:val="32"/>
          <w:szCs w:val="32"/>
          <w:shd w:val="clear" w:color="auto" w:fill="FFFFFF"/>
          <w:lang w:val="zh-CN" w:eastAsia="zh-CN" w:bidi="ar-SA"/>
        </w:rPr>
        <w:t>将城市有机更新作为推动共同富裕试验区建设的重要抓手，全面启动共富共美城市有机更新三年攻坚行动，成立城市有机更新攻坚行动指挥部，形成“一部一办六组”高效工作机制，完成中心城区和两县城市体检全覆盖，为城市更新提供精准靶向和实施依据。持续</w:t>
      </w:r>
      <w:r>
        <w:rPr>
          <w:rFonts w:hint="default" w:ascii="Times New Roman" w:hAnsi="Times New Roman" w:eastAsia="仿宋_GB2312" w:cs="Times New Roman"/>
          <w:color w:val="000000"/>
          <w:kern w:val="0"/>
          <w:sz w:val="32"/>
          <w:szCs w:val="32"/>
          <w:shd w:val="clear" w:color="auto" w:fill="FFFFFF"/>
          <w:lang w:val="zh-CN" w:eastAsia="zh-CN" w:bidi="ar-SA"/>
        </w:rPr>
        <w:t>探索城市可持续有机更新的</w:t>
      </w:r>
      <w:r>
        <w:rPr>
          <w:rFonts w:hint="eastAsia" w:ascii="Times New Roman" w:hAnsi="Times New Roman" w:eastAsia="仿宋_GB2312" w:cs="Times New Roman"/>
          <w:color w:val="000000"/>
          <w:kern w:val="0"/>
          <w:sz w:val="32"/>
          <w:szCs w:val="32"/>
          <w:shd w:val="clear" w:color="auto" w:fill="FFFFFF"/>
          <w:lang w:val="zh-CN"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攀枝花模式</w:t>
      </w:r>
      <w:r>
        <w:rPr>
          <w:rFonts w:hint="eastAsia" w:ascii="Times New Roman" w:hAnsi="Times New Roman" w:eastAsia="仿宋_GB2312" w:cs="Times New Roman"/>
          <w:color w:val="000000"/>
          <w:kern w:val="0"/>
          <w:sz w:val="32"/>
          <w:szCs w:val="32"/>
          <w:shd w:val="clear" w:color="auto" w:fill="FFFFFF"/>
          <w:lang w:val="zh-CN" w:eastAsia="zh-CN" w:bidi="ar-SA"/>
        </w:rPr>
        <w:t>”，编印形成</w:t>
      </w:r>
      <w:r>
        <w:rPr>
          <w:rFonts w:ascii="Times New Roman" w:hAnsi="Times New Roman" w:eastAsia="仿宋_GB2312" w:cs="Times New Roman"/>
          <w:color w:val="000000"/>
          <w:kern w:val="0"/>
          <w:sz w:val="32"/>
          <w:szCs w:val="32"/>
          <w:shd w:val="clear" w:color="auto" w:fill="FFFFFF"/>
          <w:lang w:val="zh-CN" w:eastAsia="zh-CN" w:bidi="ar-SA"/>
        </w:rPr>
        <w:t>典型案例和</w:t>
      </w:r>
      <w:r>
        <w:rPr>
          <w:rFonts w:hint="eastAsia" w:ascii="Times New Roman" w:hAnsi="Times New Roman" w:eastAsia="仿宋_GB2312" w:cs="Times New Roman"/>
          <w:color w:val="000000"/>
          <w:kern w:val="0"/>
          <w:sz w:val="32"/>
          <w:szCs w:val="32"/>
          <w:shd w:val="clear" w:color="auto" w:fill="FFFFFF"/>
          <w:lang w:val="zh-CN" w:eastAsia="zh-CN" w:bidi="ar-SA"/>
        </w:rPr>
        <w:t>白皮书，</w:t>
      </w:r>
      <w:r>
        <w:rPr>
          <w:rFonts w:hint="eastAsia" w:ascii="Times New Roman" w:hAnsi="Times New Roman" w:eastAsia="仿宋_GB2312" w:cs="Times New Roman"/>
          <w:color w:val="000000"/>
          <w:kern w:val="0"/>
          <w:sz w:val="32"/>
          <w:szCs w:val="32"/>
          <w:shd w:val="clear" w:color="auto" w:fill="FFFFFF"/>
          <w:lang w:val="en-US" w:eastAsia="zh-CN" w:bidi="ar-SA"/>
        </w:rPr>
        <w:t>有关做法获住房城乡建设部建筑杂志社、住房城乡建设厅发文推广。</w:t>
      </w:r>
      <w:r>
        <w:rPr>
          <w:rFonts w:hint="eastAsia" w:ascii="仿宋_GB2312" w:hAnsi="仿宋_GB2312" w:eastAsia="仿宋_GB2312" w:cs="仿宋_GB2312"/>
          <w:b/>
          <w:bCs/>
          <w:kern w:val="32"/>
          <w:szCs w:val="32"/>
          <w:lang w:val="en-US" w:eastAsia="zh-CN" w:bidi="ar-SA"/>
        </w:rPr>
        <w:t>项目实施提速增效。</w:t>
      </w:r>
      <w:r>
        <w:rPr>
          <w:rFonts w:hint="eastAsia" w:ascii="Times New Roman" w:hAnsi="Times New Roman" w:eastAsia="仿宋_GB2312" w:cs="Times New Roman"/>
          <w:color w:val="000000"/>
          <w:kern w:val="0"/>
          <w:sz w:val="32"/>
          <w:szCs w:val="32"/>
          <w:shd w:val="clear" w:color="auto" w:fill="FFFFFF"/>
          <w:lang w:val="zh-CN" w:eastAsia="zh-CN" w:bidi="ar-SA"/>
        </w:rPr>
        <w:t>全力争取上级政策资金支持，推动省级有关部门制定专项政策支持攀枝花开展城市有机更新，成功入选2025年省级城市更新行动重点城市，5个片区纳入省级城市更新重点片区培育名单，累计争取到城市更新领域资金21.19亿元，有力推动今年计划实施的181个项目开工174个、开工率96%，完成投资58亿元。</w:t>
      </w:r>
      <w:r>
        <w:rPr>
          <w:rFonts w:hint="default" w:ascii="仿宋_GB2312" w:hAnsi="仿宋_GB2312" w:eastAsia="仿宋_GB2312" w:cs="仿宋_GB2312"/>
          <w:b/>
          <w:bCs/>
          <w:kern w:val="32"/>
          <w:szCs w:val="32"/>
          <w:lang w:val="en-US" w:eastAsia="zh-CN" w:bidi="ar-SA"/>
        </w:rPr>
        <w:t>居住环境持续改善。</w:t>
      </w:r>
      <w:r>
        <w:rPr>
          <w:rFonts w:hint="eastAsia" w:ascii="Times New Roman" w:hAnsi="Times New Roman" w:eastAsia="仿宋_GB2312" w:cs="Times New Roman"/>
          <w:color w:val="000000"/>
          <w:kern w:val="0"/>
          <w:sz w:val="32"/>
          <w:szCs w:val="32"/>
          <w:shd w:val="clear" w:color="auto" w:fill="FFFFFF"/>
          <w:lang w:val="zh-CN" w:eastAsia="zh-CN" w:bidi="ar-SA"/>
        </w:rPr>
        <w:t>新开工改造老旧小区97个、续建的97个老旧小区全部完工，完成既有住宅电梯增设100部、住宅老旧电梯更新53部，让群众切实感受到共富实景。14个社区开工建设完整社区，东区新源路社区、西区杨家坪社区入选四川省首批完整社区建设可复制经验清单。</w:t>
      </w:r>
      <w:r>
        <w:rPr>
          <w:rFonts w:hint="eastAsia" w:ascii="仿宋_GB2312" w:hAnsi="仿宋_GB2312" w:eastAsia="仿宋_GB2312" w:cs="仿宋_GB2312"/>
          <w:b/>
          <w:bCs/>
          <w:kern w:val="32"/>
          <w:szCs w:val="32"/>
          <w:lang w:val="en-US" w:eastAsia="zh-CN" w:bidi="ar-SA"/>
        </w:rPr>
        <w:t>街区风貌加快焕新。</w:t>
      </w:r>
      <w:r>
        <w:rPr>
          <w:rFonts w:hint="eastAsia" w:ascii="Times New Roman" w:hAnsi="Times New Roman" w:eastAsia="仿宋_GB2312" w:cs="Times New Roman"/>
          <w:color w:val="000000"/>
          <w:kern w:val="0"/>
          <w:sz w:val="32"/>
          <w:szCs w:val="32"/>
          <w:shd w:val="clear" w:color="auto" w:fill="FFFFFF"/>
          <w:lang w:val="zh-CN" w:eastAsia="zh-CN" w:bidi="ar-SA"/>
        </w:rPr>
        <w:t>有序推进17条城市主干道开展风貌整治，《攀枝花历史文化名城保护规划（2024—2035年）》获省政府批复实施，兰谱路等3个历史文化街区保护提升项目全面开工，有效利用工业遗存塑造城市特色风貌。</w:t>
      </w:r>
    </w:p>
    <w:p>
      <w:pPr>
        <w:pStyle w:val="8"/>
        <w:spacing w:after="0" w:line="560" w:lineRule="exact"/>
        <w:ind w:firstLine="602" w:firstLineChars="200"/>
        <w:textAlignment w:val="center"/>
        <w:rPr>
          <w:rFonts w:ascii="Times New Roman" w:hAnsi="Times New Roman" w:eastAsia="方正楷体_GBK"/>
          <w:b/>
          <w:bCs/>
          <w:kern w:val="32"/>
          <w:szCs w:val="32"/>
          <w:lang w:bidi="ar-SA"/>
        </w:rPr>
      </w:pPr>
      <w:r>
        <w:rPr>
          <w:rFonts w:ascii="Times New Roman" w:hAnsi="Times New Roman" w:eastAsia="方正楷体_GBK"/>
          <w:b/>
          <w:bCs/>
          <w:kern w:val="32"/>
          <w:szCs w:val="32"/>
          <w:lang w:bidi="ar-SA"/>
        </w:rPr>
        <w:t>（</w:t>
      </w:r>
      <w:r>
        <w:rPr>
          <w:rFonts w:hint="eastAsia" w:ascii="Times New Roman" w:hAnsi="Times New Roman" w:eastAsia="方正楷体_GBK"/>
          <w:b/>
          <w:bCs/>
          <w:kern w:val="32"/>
          <w:szCs w:val="32"/>
          <w:lang w:val="en-US" w:eastAsia="zh-CN" w:bidi="ar-SA"/>
        </w:rPr>
        <w:t>2</w:t>
      </w:r>
      <w:r>
        <w:rPr>
          <w:rFonts w:ascii="Times New Roman" w:hAnsi="Times New Roman" w:eastAsia="方正楷体_GBK"/>
          <w:b/>
          <w:bCs/>
          <w:kern w:val="32"/>
          <w:szCs w:val="32"/>
          <w:lang w:bidi="ar-SA"/>
        </w:rPr>
        <w:t>）</w:t>
      </w:r>
      <w:r>
        <w:rPr>
          <w:rFonts w:hint="default" w:ascii="CESI楷体-GB2312" w:hAnsi="CESI楷体-GB2312" w:eastAsia="CESI楷体-GB2312" w:cs="CESI楷体-GB2312"/>
          <w:b/>
          <w:bCs/>
          <w:kern w:val="32"/>
          <w:szCs w:val="32"/>
          <w:lang w:bidi="ar-SA"/>
        </w:rPr>
        <w:t>坚持功能为重、品质为先，城市基础设施与风貌实现双提升</w:t>
      </w:r>
      <w:r>
        <w:rPr>
          <w:rFonts w:hint="eastAsia" w:ascii="CESI楷体-GB2312" w:hAnsi="CESI楷体-GB2312" w:eastAsia="CESI楷体-GB2312" w:cs="CESI楷体-GB2312"/>
          <w:b/>
          <w:bCs/>
          <w:kern w:val="32"/>
          <w:szCs w:val="32"/>
          <w:lang w:bidi="ar-SA"/>
        </w:rPr>
        <w:t>。</w:t>
      </w:r>
      <w:r>
        <w:rPr>
          <w:rFonts w:hint="eastAsia" w:ascii="仿宋_GB2312" w:hAnsi="仿宋_GB2312" w:eastAsia="仿宋_GB2312" w:cs="仿宋_GB2312"/>
          <w:b/>
          <w:bCs/>
          <w:kern w:val="32"/>
          <w:szCs w:val="32"/>
        </w:rPr>
        <w:t>地下管网系统织密筑牢。</w:t>
      </w:r>
      <w:r>
        <w:rPr>
          <w:rFonts w:hint="eastAsia" w:ascii="Times New Roman" w:hAnsi="Times New Roman" w:eastAsia="仿宋_GB2312" w:cs="Times New Roman"/>
          <w:color w:val="000000"/>
          <w:kern w:val="0"/>
          <w:sz w:val="32"/>
          <w:szCs w:val="32"/>
          <w:shd w:val="clear" w:color="auto" w:fill="FFFFFF"/>
          <w:lang w:val="zh-CN" w:eastAsia="zh-CN" w:bidi="ar-SA"/>
        </w:rPr>
        <w:t>着重以地下管网和城市道路更新改造为重点，统筹推进基础设施补短提质。累计实施供排水项目45个，新改建排水管网113公里、供水管网29公里，城市生活污水集中收集率从2024年的70.95%提升至78.36%，排名全省第4位。</w:t>
      </w:r>
      <w:r>
        <w:rPr>
          <w:rFonts w:hint="default" w:ascii="仿宋_GB2312" w:hAnsi="仿宋_GB2312" w:eastAsia="仿宋_GB2312" w:cs="仿宋_GB2312"/>
          <w:b/>
          <w:bCs/>
          <w:kern w:val="32"/>
          <w:szCs w:val="32"/>
        </w:rPr>
        <w:t>道路骨架体系畅通升级</w:t>
      </w:r>
      <w:r>
        <w:rPr>
          <w:rFonts w:hint="eastAsia" w:ascii="仿宋_GB2312" w:hAnsi="仿宋_GB2312" w:eastAsia="仿宋_GB2312" w:cs="仿宋_GB2312"/>
          <w:b/>
          <w:bCs/>
          <w:kern w:val="32"/>
          <w:szCs w:val="32"/>
        </w:rPr>
        <w:t>。</w:t>
      </w:r>
      <w:r>
        <w:rPr>
          <w:rFonts w:hint="eastAsia" w:ascii="Times New Roman" w:hAnsi="Times New Roman" w:eastAsia="仿宋_GB2312" w:cs="Times New Roman"/>
          <w:color w:val="000000"/>
          <w:kern w:val="0"/>
          <w:sz w:val="32"/>
          <w:szCs w:val="32"/>
          <w:shd w:val="clear" w:color="auto" w:fill="FFFFFF"/>
          <w:lang w:val="zh-CN" w:eastAsia="zh-CN" w:bidi="ar-SA"/>
        </w:rPr>
        <w:t>推动钢城大道西段等33条主次干道更新改造，整治路面及人行道约70万平方米。有序开工建设11条城市道路，建成公园大道、米易西环路至G227道路等项目，龙滩路工程量完成85%，龙滩箐隧道（左线）工程量完成75%。</w:t>
      </w:r>
      <w:r>
        <w:rPr>
          <w:rFonts w:hint="eastAsia" w:ascii="仿宋_GB2312" w:hAnsi="仿宋_GB2312" w:eastAsia="仿宋_GB2312" w:cs="仿宋_GB2312"/>
          <w:b/>
          <w:bCs/>
          <w:kern w:val="32"/>
          <w:szCs w:val="32"/>
        </w:rPr>
        <w:t>生态人文景观串珠成链。</w:t>
      </w:r>
      <w:r>
        <w:rPr>
          <w:rFonts w:hint="eastAsia" w:ascii="Times New Roman" w:hAnsi="Times New Roman" w:eastAsia="仿宋_GB2312" w:cs="Times New Roman"/>
          <w:color w:val="000000"/>
          <w:kern w:val="0"/>
          <w:sz w:val="32"/>
          <w:szCs w:val="32"/>
          <w:shd w:val="clear" w:color="auto" w:fill="FFFFFF"/>
          <w:lang w:val="zh-CN" w:eastAsia="zh-CN" w:bidi="ar-SA"/>
        </w:rPr>
        <w:t>依托金沙江、大河等流域水生态资源，稳步推进大河流域水生态综合治理建设十里大河创富走廊，持续优化提升“山海湖”项目，加快迭代更新各项目的整体规划设计，推动阿署达四季花海首开区、银江湖11.8公里滨江步道建成投用；推进三线建设文化旅游融合发展示范项目和城市艺术中心项目基本建成；更新改造攀枝花公园、河门口公园等老旧公园，建成口袋公园14个、预计全年建成24个，加快形成“一城阳光半城花”的山水园林体系，让群众在家门口就能享受“诗和远方”。</w:t>
      </w:r>
    </w:p>
    <w:p>
      <w:pPr>
        <w:pStyle w:val="8"/>
        <w:spacing w:after="0" w:line="560" w:lineRule="exact"/>
        <w:ind w:firstLine="602" w:firstLineChars="200"/>
        <w:textAlignment w:val="center"/>
        <w:rPr>
          <w:rFonts w:hint="eastAsia" w:ascii="仿宋_GB2312" w:hAnsi="仿宋_GB2312" w:eastAsia="仿宋_GB2312" w:cs="仿宋_GB2312"/>
          <w:b/>
          <w:bCs/>
          <w:kern w:val="32"/>
          <w:szCs w:val="32"/>
          <w:lang w:bidi="ar-SA"/>
        </w:rPr>
      </w:pPr>
      <w:r>
        <w:rPr>
          <w:rFonts w:ascii="Times New Roman" w:hAnsi="Times New Roman" w:eastAsia="方正楷体_GBK"/>
          <w:b/>
          <w:bCs/>
          <w:kern w:val="32"/>
          <w:szCs w:val="32"/>
          <w:lang w:bidi="ar-SA"/>
        </w:rPr>
        <w:t>（</w:t>
      </w:r>
      <w:r>
        <w:rPr>
          <w:rFonts w:hint="eastAsia" w:ascii="Times New Roman" w:hAnsi="Times New Roman" w:eastAsia="方正楷体_GBK"/>
          <w:b/>
          <w:bCs/>
          <w:kern w:val="32"/>
          <w:szCs w:val="32"/>
          <w:lang w:val="en-US" w:eastAsia="zh-CN" w:bidi="ar-SA"/>
        </w:rPr>
        <w:t>3</w:t>
      </w:r>
      <w:r>
        <w:rPr>
          <w:rFonts w:ascii="Times New Roman" w:hAnsi="Times New Roman" w:eastAsia="方正楷体_GBK"/>
          <w:b/>
          <w:bCs/>
          <w:kern w:val="32"/>
          <w:szCs w:val="32"/>
          <w:lang w:bidi="ar-SA"/>
        </w:rPr>
        <w:t>）</w:t>
      </w:r>
      <w:r>
        <w:rPr>
          <w:rFonts w:hint="eastAsia" w:ascii="CESI楷体-GB2312" w:hAnsi="CESI楷体-GB2312" w:eastAsia="CESI楷体-GB2312" w:cs="CESI楷体-GB2312"/>
          <w:b/>
          <w:bCs/>
          <w:kern w:val="32"/>
          <w:szCs w:val="32"/>
          <w:lang w:bidi="ar-SA"/>
        </w:rPr>
        <w:t>坚持产业引领、转型升级，房地产与建筑业发展稳中向好。</w:t>
      </w:r>
      <w:r>
        <w:rPr>
          <w:rFonts w:hint="eastAsia" w:ascii="仿宋_GB2312" w:hAnsi="仿宋_GB2312" w:eastAsia="仿宋_GB2312" w:cs="仿宋_GB2312"/>
          <w:b/>
          <w:bCs/>
          <w:kern w:val="32"/>
        </w:rPr>
        <w:t>康养地产模式创新突破。</w:t>
      </w:r>
      <w:r>
        <w:rPr>
          <w:rFonts w:hint="eastAsia" w:ascii="仿宋_GB2312" w:hAnsi="仿宋_GB2312" w:eastAsia="仿宋_GB2312" w:cs="仿宋_GB2312"/>
          <w:bCs/>
          <w:kern w:val="32"/>
        </w:rPr>
        <w:t>加快构建房地产发展新模式，</w:t>
      </w:r>
      <w:r>
        <w:rPr>
          <w:rFonts w:hint="eastAsia" w:ascii="仿宋_GB2312" w:hAnsi="仿宋_GB2312" w:eastAsia="仿宋_GB2312" w:cs="仿宋_GB2312"/>
          <w:kern w:val="32"/>
        </w:rPr>
        <w:t>制定《攀枝花市推动康养房地产高质量发展实施方案》《攀枝花康养好房建设标准》等康养房地产支持政策，着力打造攀枝花特色“好房子”，出台《攀枝花市进</w:t>
      </w:r>
      <w:r>
        <w:rPr>
          <w:rFonts w:hint="eastAsia" w:ascii="Times New Roman" w:hAnsi="Times New Roman" w:eastAsia="仿宋_GB2312" w:cs="Times New Roman"/>
          <w:color w:val="000000"/>
          <w:kern w:val="0"/>
          <w:sz w:val="32"/>
          <w:szCs w:val="32"/>
          <w:shd w:val="clear" w:color="auto" w:fill="FFFFFF"/>
          <w:lang w:val="zh-CN" w:eastAsia="zh-CN" w:bidi="ar-SA"/>
        </w:rPr>
        <w:t>一步促进房地产市场高质量发展十二条措施》，开展商品住房“以旧换新”、“体育+房产”等促销活动，激发住房消费潜力。全市保交房项目25个、交付任务5560套全面</w:t>
      </w:r>
      <w:r>
        <w:rPr>
          <w:rFonts w:hint="eastAsia" w:ascii="仿宋_GB2312" w:hAnsi="仿宋_GB2312" w:eastAsia="仿宋_GB2312" w:cs="仿宋_GB2312"/>
          <w:kern w:val="32"/>
        </w:rPr>
        <w:t>实现交付销号。</w:t>
      </w:r>
      <w:r>
        <w:rPr>
          <w:rFonts w:hint="eastAsia" w:ascii="仿宋_GB2312" w:hAnsi="仿宋_GB2312" w:eastAsia="仿宋_GB2312" w:cs="仿宋_GB2312"/>
          <w:b/>
          <w:bCs/>
          <w:kern w:val="32"/>
        </w:rPr>
        <w:t>建筑产业转型提质增效。</w:t>
      </w:r>
      <w:r>
        <w:rPr>
          <w:rFonts w:hint="eastAsia" w:ascii="Times New Roman" w:hAnsi="Times New Roman" w:eastAsia="仿宋_GB2312" w:cs="Times New Roman"/>
          <w:color w:val="000000"/>
          <w:kern w:val="0"/>
          <w:sz w:val="32"/>
          <w:szCs w:val="32"/>
          <w:shd w:val="clear" w:color="auto" w:fill="FFFFFF"/>
          <w:lang w:val="zh-CN" w:eastAsia="zh-CN" w:bidi="ar-SA"/>
        </w:rPr>
        <w:t>全年新增入库企业12家（含房地产2家），超额完成目标任务，前三季度全市建筑业总产值增速7.3%、增加值增速2.6%，高于全国、全省平均增速3.1、1.8个百分点。开展建筑市场突出问题整治两年行动，</w:t>
      </w:r>
      <w:r>
        <w:rPr>
          <w:rFonts w:hint="eastAsia" w:ascii="仿宋_GB2312" w:hAnsi="仿宋_GB2312" w:eastAsia="仿宋_GB2312" w:cs="仿宋_GB2312"/>
          <w:kern w:val="32"/>
        </w:rPr>
        <w:t>率先实行房屋建筑和市政工程“暗标盲评</w:t>
      </w:r>
      <w:r>
        <w:rPr>
          <w:rFonts w:hint="eastAsia" w:ascii="Times New Roman" w:hAnsi="Times New Roman" w:eastAsia="仿宋_GB2312" w:cs="Times New Roman"/>
          <w:color w:val="000000"/>
          <w:kern w:val="0"/>
          <w:sz w:val="32"/>
          <w:szCs w:val="32"/>
          <w:shd w:val="clear" w:color="auto" w:fill="FFFFFF"/>
          <w:lang w:val="zh-CN" w:eastAsia="zh-CN" w:bidi="ar-SA"/>
        </w:rPr>
        <w:t>”，在资金奖补、工程审批制度改革、工程款支付担保等方面助企纾困。完成既有建筑节能改造22.8万平方米，新增竣工绿色建筑71.21万平方米，</w:t>
      </w:r>
      <w:r>
        <w:rPr>
          <w:rFonts w:hint="eastAsia" w:ascii="仿宋_GB2312" w:hAnsi="仿宋_GB2312" w:eastAsia="仿宋_GB2312" w:cs="仿宋_GB2312"/>
          <w:kern w:val="32"/>
          <w:lang w:val="zh-CN" w:eastAsia="zh-CN"/>
        </w:rPr>
        <w:t>民用建筑实现绿</w:t>
      </w:r>
      <w:r>
        <w:rPr>
          <w:rFonts w:hint="eastAsia" w:ascii="Times New Roman" w:hAnsi="Times New Roman" w:eastAsia="仿宋_GB2312" w:cs="Times New Roman"/>
          <w:color w:val="000000"/>
          <w:kern w:val="0"/>
          <w:sz w:val="32"/>
          <w:szCs w:val="32"/>
          <w:shd w:val="clear" w:color="auto" w:fill="FFFFFF"/>
          <w:lang w:val="zh-CN" w:eastAsia="zh-CN" w:bidi="ar-SA"/>
        </w:rPr>
        <w:t>色建筑100%覆</w:t>
      </w:r>
      <w:r>
        <w:rPr>
          <w:rFonts w:hint="eastAsia" w:ascii="仿宋_GB2312" w:hAnsi="仿宋_GB2312" w:eastAsia="仿宋_GB2312" w:cs="仿宋_GB2312"/>
          <w:kern w:val="32"/>
          <w:lang w:val="zh-CN" w:eastAsia="zh-CN"/>
        </w:rPr>
        <w:t>盖。</w:t>
      </w:r>
    </w:p>
    <w:p>
      <w:pPr>
        <w:pStyle w:val="8"/>
        <w:spacing w:after="0" w:line="560" w:lineRule="exact"/>
        <w:ind w:firstLine="602" w:firstLineChars="200"/>
        <w:textAlignment w:val="center"/>
        <w:rPr>
          <w:color w:val="000000"/>
          <w:kern w:val="0"/>
          <w:szCs w:val="32"/>
          <w:shd w:val="clear" w:color="auto" w:fill="FFFFFF"/>
          <w:lang w:val="zh-CN"/>
        </w:rPr>
      </w:pPr>
      <w:r>
        <w:rPr>
          <w:rFonts w:ascii="Times New Roman" w:hAnsi="Times New Roman" w:eastAsia="方正楷体_GBK"/>
          <w:b/>
          <w:bCs/>
          <w:kern w:val="32"/>
          <w:szCs w:val="32"/>
          <w:lang w:bidi="ar-SA"/>
        </w:rPr>
        <w:t>（</w:t>
      </w:r>
      <w:r>
        <w:rPr>
          <w:rFonts w:hint="eastAsia" w:ascii="Times New Roman" w:hAnsi="Times New Roman" w:eastAsia="方正楷体_GBK"/>
          <w:b/>
          <w:bCs/>
          <w:kern w:val="32"/>
          <w:szCs w:val="32"/>
          <w:lang w:val="en-US" w:eastAsia="zh-CN" w:bidi="ar-SA"/>
        </w:rPr>
        <w:t>4</w:t>
      </w:r>
      <w:r>
        <w:rPr>
          <w:rFonts w:ascii="Times New Roman" w:hAnsi="Times New Roman" w:eastAsia="方正楷体_GBK"/>
          <w:b/>
          <w:bCs/>
          <w:kern w:val="32"/>
          <w:szCs w:val="32"/>
          <w:lang w:bidi="ar-SA"/>
        </w:rPr>
        <w:t>）</w:t>
      </w:r>
      <w:r>
        <w:rPr>
          <w:rFonts w:hint="eastAsia" w:ascii="CESI楷体-GB2312" w:hAnsi="CESI楷体-GB2312" w:eastAsia="CESI楷体-GB2312" w:cs="CESI楷体-GB2312"/>
          <w:b/>
          <w:bCs/>
          <w:kern w:val="32"/>
          <w:szCs w:val="32"/>
          <w:lang w:bidi="ar-SA"/>
        </w:rPr>
        <w:t>坚持安全为基、防治并举，城乡安居与城市运行安全持续巩固。</w:t>
      </w:r>
      <w:r>
        <w:rPr>
          <w:rFonts w:hint="eastAsia" w:ascii="仿宋_GB2312" w:hAnsi="仿宋_GB2312" w:eastAsia="仿宋_GB2312" w:cs="仿宋_GB2312"/>
          <w:b/>
          <w:bCs/>
          <w:kern w:val="32"/>
          <w:szCs w:val="32"/>
          <w:lang w:val="zh-CN" w:eastAsia="zh-CN"/>
        </w:rPr>
        <w:t>夯实群众安居基础。</w:t>
      </w:r>
      <w:r>
        <w:rPr>
          <w:rFonts w:hint="eastAsia" w:ascii="Times New Roman" w:hAnsi="Times New Roman" w:eastAsia="仿宋_GB2312" w:cs="Times New Roman"/>
          <w:color w:val="000000"/>
          <w:kern w:val="0"/>
          <w:sz w:val="32"/>
          <w:szCs w:val="32"/>
          <w:shd w:val="clear" w:color="auto" w:fill="FFFFFF"/>
          <w:lang w:val="zh-CN" w:eastAsia="zh-CN" w:bidi="ar-SA"/>
        </w:rPr>
        <w:t>整治棚改遗留房屋513栋</w:t>
      </w:r>
      <w:r>
        <w:rPr>
          <w:rFonts w:hint="eastAsia" w:ascii="Times New Roman" w:hAnsi="Times New Roman" w:eastAsia="仿宋_GB2312"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zh-CN" w:eastAsia="zh-CN" w:bidi="ar-SA"/>
        </w:rPr>
        <w:t>预计全年完成整治640栋，盘活利用棚改土地70.8亩；全市开工改造城市危旧房68栋819套，D级危旧房12月底前全面开工、安全隐患实现动态清零。实施农村六类重点对象危房改造和农房抗震改造107户、竣工率达100%；稳步推进农房抗震安全巩固提升整治行动，排查农村住房68717栋，其中需整治2110栋、已整治1607栋。有序推进保障性租赁住房1822套续建项目，完工1556套、完工率85.4%。</w:t>
      </w:r>
      <w:r>
        <w:rPr>
          <w:rFonts w:hint="eastAsia" w:ascii="仿宋_GB2312" w:hAnsi="仿宋_GB2312" w:eastAsia="仿宋_GB2312" w:cs="仿宋_GB2312"/>
          <w:b/>
          <w:bCs/>
          <w:kern w:val="32"/>
          <w:szCs w:val="32"/>
          <w:lang w:val="zh-CN" w:eastAsia="zh-CN"/>
        </w:rPr>
        <w:t>提升城市安全韧性。</w:t>
      </w:r>
      <w:r>
        <w:rPr>
          <w:rFonts w:hint="eastAsia" w:ascii="仿宋_GB2312" w:hAnsi="仿宋_GB2312" w:eastAsia="仿宋_GB2312" w:cs="仿宋_GB2312"/>
          <w:bCs/>
          <w:kern w:val="32"/>
          <w:szCs w:val="32"/>
        </w:rPr>
        <w:t>扎实推进韧性城市建设，印发实施《攀枝花城市基础设施生命线安全工程建设行动方案》，完成供水、排水、桥梁、隧道等领域安全风险评估，建成覆盖原水、供水领域的城市基础设施生命线安全运行监管平台。定期</w:t>
      </w:r>
      <w:r>
        <w:rPr>
          <w:rFonts w:hint="eastAsia" w:ascii="仿宋_GB2312" w:hAnsi="仿宋_GB2312" w:eastAsia="仿宋_GB2312" w:cs="仿宋_GB2312"/>
          <w:szCs w:val="32"/>
        </w:rPr>
        <w:t>开展市政基础设施安全运行专项治理，全面排查窨井盖、桥梁、隧道、燃气、管网等基础设施，</w:t>
      </w:r>
      <w:r>
        <w:rPr>
          <w:rFonts w:hint="eastAsia" w:ascii="仿宋_GB2312" w:hAnsi="仿宋_GB2312" w:eastAsia="仿宋_GB2312" w:cs="仿宋_GB2312"/>
          <w:bCs/>
          <w:kern w:val="32"/>
          <w:szCs w:val="32"/>
          <w:lang w:val="zh-CN" w:eastAsia="zh-CN"/>
        </w:rPr>
        <w:t>排查</w:t>
      </w:r>
      <w:r>
        <w:rPr>
          <w:rFonts w:hint="eastAsia" w:ascii="Times New Roman" w:hAnsi="Times New Roman" w:eastAsia="仿宋_GB2312" w:cs="Times New Roman"/>
          <w:color w:val="000000"/>
          <w:kern w:val="0"/>
          <w:sz w:val="32"/>
          <w:szCs w:val="32"/>
          <w:shd w:val="clear" w:color="auto" w:fill="FFFFFF"/>
          <w:lang w:val="zh-CN" w:eastAsia="zh-CN" w:bidi="ar-SA"/>
        </w:rPr>
        <w:t>管网1807公里、检查井41682个，安装防坠网3760个，</w:t>
      </w:r>
      <w:r>
        <w:rPr>
          <w:rFonts w:hint="eastAsia" w:ascii="仿宋_GB2312" w:hAnsi="仿宋_GB2312" w:eastAsia="仿宋_GB2312" w:cs="仿宋_GB2312"/>
          <w:szCs w:val="32"/>
        </w:rPr>
        <w:t>强化安全隐患整治，全力保障城市运行安全。</w:t>
      </w:r>
      <w:r>
        <w:rPr>
          <w:rFonts w:hint="eastAsia" w:ascii="仿宋_GB2312" w:hAnsi="仿宋_GB2312" w:eastAsia="仿宋_GB2312" w:cs="仿宋_GB2312"/>
          <w:b/>
          <w:bCs/>
          <w:kern w:val="32"/>
          <w:szCs w:val="32"/>
          <w:lang w:val="zh-CN" w:eastAsia="zh-CN"/>
        </w:rPr>
        <w:t>兜牢安全生产底线。</w:t>
      </w:r>
      <w:r>
        <w:rPr>
          <w:rFonts w:hint="eastAsia" w:ascii="仿宋_GB2312" w:hAnsi="仿宋_GB2312" w:eastAsia="仿宋_GB2312" w:cs="仿宋_GB2312"/>
          <w:bCs/>
          <w:kern w:val="32"/>
          <w:szCs w:val="32"/>
          <w:lang w:val="zh-CN" w:eastAsia="zh-CN"/>
        </w:rPr>
        <w:t>深入开展房屋市政工程治本攻坚三年行动及建筑保温材料、消防审验、建筑施工等重点专项整治，全面排查、有效推进各类隐患整改闭环，切实防范化解重大安全风险，全市住建领域安全生产形势持续平稳可控。</w:t>
      </w:r>
    </w:p>
    <w:p>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2.预算管理</w:t>
      </w:r>
    </w:p>
    <w:p>
      <w:pPr>
        <w:pStyle w:val="2"/>
        <w:keepNext w:val="0"/>
        <w:keepLines w:val="0"/>
        <w:pageBreakBefore w:val="0"/>
        <w:widowControl w:val="0"/>
        <w:kinsoku/>
        <w:wordWrap/>
        <w:overflowPunct/>
        <w:topLinePunct w:val="0"/>
        <w:autoSpaceDE/>
        <w:autoSpaceDN/>
        <w:bidi w:val="0"/>
        <w:adjustRightInd/>
        <w:snapToGrid w:val="0"/>
        <w:spacing w:line="578" w:lineRule="exact"/>
        <w:ind w:firstLine="640" w:firstLineChars="200"/>
        <w:jc w:val="both"/>
        <w:textAlignment w:val="auto"/>
        <w:rPr>
          <w:rFonts w:hint="eastAsia" w:ascii="仿宋_GB2312" w:hAnsi="Calibri" w:eastAsia="仿宋_GB2312" w:cs="仿宋_GB2312"/>
          <w:kern w:val="2"/>
          <w:sz w:val="32"/>
          <w:szCs w:val="32"/>
          <w:lang w:val="zh-CN" w:eastAsia="zh-CN" w:bidi="ar-SA"/>
        </w:rPr>
      </w:pPr>
      <w:r>
        <w:rPr>
          <w:rFonts w:hint="eastAsia" w:ascii="仿宋_GB2312" w:hAnsi="Calibri" w:eastAsia="仿宋_GB2312" w:cs="仿宋_GB2312"/>
          <w:kern w:val="2"/>
          <w:sz w:val="32"/>
          <w:szCs w:val="32"/>
          <w:lang w:val="zh-CN" w:eastAsia="zh-CN" w:bidi="ar-SA"/>
        </w:rPr>
        <w:t>预算编制坚持项目导向与业务实际相结合，在充分调研和论证测算的基础上，合理核定经费需求，并严格执行预算管理集体决策程序，确保编制过程规范透明。在预算执行中，进一步压实责任链条，强化项目进度与资金支出的协同管理，依据项目实施时序科学制定用款计划，确保资金支付与工作进度相匹配。坚持把财政资金用在刀刃上，严格落实中央八项规定精神，厉行勤俭节约，严控一般性支出，切实提高财政资源配置效率和使用效益</w:t>
      </w:r>
      <w:r>
        <w:rPr>
          <w:rFonts w:hint="eastAsia" w:ascii="仿宋_GB2312" w:hAnsi="Calibri" w:cs="仿宋_GB2312"/>
          <w:kern w:val="2"/>
          <w:sz w:val="32"/>
          <w:szCs w:val="32"/>
          <w:lang w:val="zh-CN" w:eastAsia="zh-CN" w:bidi="ar-SA"/>
        </w:rPr>
        <w:t>，</w:t>
      </w:r>
      <w:r>
        <w:rPr>
          <w:rFonts w:hint="eastAsia" w:ascii="仿宋_GB2312" w:hAnsi="Calibri" w:eastAsia="仿宋_GB2312" w:cs="仿宋_GB2312"/>
          <w:kern w:val="2"/>
          <w:sz w:val="32"/>
          <w:szCs w:val="32"/>
          <w:lang w:val="zh-CN" w:eastAsia="zh-CN" w:bidi="ar-SA"/>
        </w:rPr>
        <w:t>保障我局重点项目顺利推进、持续优化支出结构，在确保部门履职正常运转的基础上，着力提升预算管理的科学化与精细化水平。</w:t>
      </w:r>
    </w:p>
    <w:p>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3.财务管理</w:t>
      </w:r>
    </w:p>
    <w:p>
      <w:pPr>
        <w:adjustRightInd w:val="0"/>
        <w:snapToGrid w:val="0"/>
        <w:spacing w:line="578" w:lineRule="exact"/>
        <w:ind w:firstLine="640" w:firstLineChars="200"/>
        <w:contextualSpacing/>
        <w:jc w:val="both"/>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cs="Times New Roman"/>
          <w:color w:val="000000"/>
          <w:kern w:val="0"/>
          <w:sz w:val="32"/>
          <w:szCs w:val="32"/>
          <w:shd w:val="clear" w:color="auto" w:fill="FFFFFF"/>
          <w:lang w:val="zh-CN" w:eastAsia="zh-CN" w:bidi="ar-SA"/>
        </w:rPr>
        <w:t>我局</w:t>
      </w:r>
      <w:r>
        <w:rPr>
          <w:rFonts w:hint="eastAsia" w:ascii="Times New Roman" w:hAnsi="Times New Roman" w:eastAsia="仿宋_GB2312" w:cs="Times New Roman"/>
          <w:color w:val="000000"/>
          <w:kern w:val="0"/>
          <w:sz w:val="32"/>
          <w:szCs w:val="32"/>
          <w:shd w:val="clear" w:color="auto" w:fill="FFFFFF"/>
          <w:lang w:val="zh-CN" w:eastAsia="zh-CN" w:bidi="ar-SA"/>
        </w:rPr>
        <w:t>严格贯彻《会计法》及行政事业单位会计制度等各项财经法规，持续规范财务基础工作。通过科学设置财务岗位，明确了财务负责人、会计、出纳及资产管理等岗位职责，形成了权责清晰、运行有效的财务管理机制。在资金管理上，坚持从严管控财政资金，规范会计核算流程，特别是强化“三公经费”管理，细化收支业务、采购管理及固定资产管理等关键环节的制度建设，不断提升内部控制的严密性和有效性，确保各项收支行为合法合规。</w:t>
      </w:r>
    </w:p>
    <w:p>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4.资产管理</w:t>
      </w:r>
    </w:p>
    <w:p>
      <w:pPr>
        <w:adjustRightInd w:val="0"/>
        <w:snapToGrid w:val="0"/>
        <w:spacing w:line="578" w:lineRule="exact"/>
        <w:ind w:firstLine="640" w:firstLineChars="200"/>
        <w:contextualSpacing/>
        <w:jc w:val="both"/>
        <w:rPr>
          <w:rFonts w:hint="eastAsia" w:ascii="Times New Roman" w:hAnsi="Times New Roman" w:eastAsia="仿宋_GB2312" w:cs="Times New Roman"/>
          <w:color w:val="000000"/>
          <w:kern w:val="0"/>
          <w:sz w:val="32"/>
          <w:szCs w:val="32"/>
          <w:shd w:val="clear" w:color="auto" w:fill="FFFFFF"/>
          <w:lang w:val="en-US" w:eastAsia="zh-CN" w:bidi="ar-SA"/>
        </w:rPr>
      </w:pPr>
      <w:r>
        <w:rPr>
          <w:rFonts w:hint="eastAsia" w:cs="Times New Roman"/>
          <w:color w:val="000000"/>
          <w:kern w:val="0"/>
          <w:sz w:val="32"/>
          <w:szCs w:val="32"/>
          <w:shd w:val="clear" w:color="auto" w:fill="FFFFFF"/>
          <w:lang w:val="en-US" w:eastAsia="zh-CN" w:bidi="ar-SA"/>
        </w:rPr>
        <w:t>人</w:t>
      </w:r>
      <w:r>
        <w:rPr>
          <w:rFonts w:hint="eastAsia" w:ascii="Times New Roman" w:hAnsi="Times New Roman" w:eastAsia="仿宋_GB2312" w:cs="Times New Roman"/>
          <w:color w:val="000000"/>
          <w:kern w:val="0"/>
          <w:sz w:val="32"/>
          <w:szCs w:val="32"/>
          <w:shd w:val="clear" w:color="auto" w:fill="FFFFFF"/>
          <w:lang w:val="en-US" w:eastAsia="zh-CN" w:bidi="ar-SA"/>
        </w:rPr>
        <w:t>均资产变化率下降11.56%。主要原因为：当期新增固定资产12项，共计增值4.83万元；同期计提固定资产折旧84.29万元，两项相抵后净值净减少79.46万元，带动人均资产指标下</w:t>
      </w:r>
      <w:r>
        <w:rPr>
          <w:rFonts w:hint="eastAsia" w:cs="Times New Roman"/>
          <w:color w:val="000000"/>
          <w:kern w:val="0"/>
          <w:sz w:val="32"/>
          <w:szCs w:val="32"/>
          <w:shd w:val="clear" w:color="auto" w:fill="FFFFFF"/>
          <w:lang w:val="en-US" w:eastAsia="zh-CN" w:bidi="ar-SA"/>
        </w:rPr>
        <w:t>降</w:t>
      </w:r>
      <w:r>
        <w:rPr>
          <w:rFonts w:hint="eastAsia" w:ascii="Times New Roman" w:hAnsi="Times New Roman" w:eastAsia="仿宋_GB2312" w:cs="Times New Roman"/>
          <w:color w:val="000000"/>
          <w:kern w:val="0"/>
          <w:sz w:val="32"/>
          <w:szCs w:val="32"/>
          <w:shd w:val="clear" w:color="auto" w:fill="FFFFFF"/>
          <w:lang w:val="en-US" w:eastAsia="zh-CN" w:bidi="ar-SA"/>
        </w:rPr>
        <w:t>。在资产使用方面，现有资产利用率较高，部分办公设备虽已超过最低使用年限，但仍根据实际需求继续合理使用。办公用房统一由机关事务管理局调配安排，不存在闲置情况。其余资产主要为房屋、车辆及办公设备，暂无盘活利用的空间和条件。</w:t>
      </w:r>
    </w:p>
    <w:p>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5.采购管理</w:t>
      </w:r>
    </w:p>
    <w:p>
      <w:pPr>
        <w:adjustRightInd w:val="0"/>
        <w:snapToGrid w:val="0"/>
        <w:spacing w:line="578" w:lineRule="exact"/>
        <w:ind w:firstLine="640" w:firstLineChars="200"/>
        <w:contextualSpacing/>
        <w:jc w:val="both"/>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2025年度市住房城乡建设局系统政府采购支出总额15</w:t>
      </w:r>
      <w:r>
        <w:rPr>
          <w:rFonts w:hint="eastAsia"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748.13万元，其中：政府采购货物支出174.98万元、政府采购服务支出457.72万元，政府采购工程支出15</w:t>
      </w:r>
      <w:r>
        <w:rPr>
          <w:rFonts w:hint="eastAsia"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115.43万元。授予中小企业合同金额3</w:t>
      </w:r>
      <w:r>
        <w:rPr>
          <w:rFonts w:hint="eastAsia"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335.81万元，授予小微企业合同金额2</w:t>
      </w:r>
      <w:r>
        <w:rPr>
          <w:rFonts w:hint="eastAsia"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070.49万元。</w:t>
      </w:r>
    </w:p>
    <w:p>
      <w:pPr>
        <w:adjustRightInd w:val="0"/>
        <w:snapToGrid w:val="0"/>
        <w:spacing w:line="578" w:lineRule="exact"/>
        <w:ind w:firstLine="642"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pPr>
        <w:adjustRightInd w:val="0"/>
        <w:snapToGrid w:val="0"/>
        <w:spacing w:line="578" w:lineRule="exact"/>
        <w:ind w:firstLine="640" w:firstLineChars="200"/>
        <w:contextualSpacing/>
        <w:rPr>
          <w:rFonts w:hint="eastAsia" w:eastAsia="仿宋_GB2312" w:cs="仿宋_GB2312"/>
          <w:sz w:val="32"/>
          <w:szCs w:val="32"/>
          <w:lang w:val="zh-CN" w:eastAsia="zh-CN"/>
        </w:rPr>
      </w:pPr>
      <w:r>
        <w:rPr>
          <w:rFonts w:hint="eastAsia" w:eastAsia="仿宋_GB2312" w:cs="仿宋_GB2312"/>
          <w:sz w:val="32"/>
          <w:szCs w:val="32"/>
          <w:lang w:val="zh-CN" w:eastAsia="zh-CN"/>
        </w:rPr>
        <w:t xml:space="preserve">常年项目绩效分析。该类项目总数 </w:t>
      </w:r>
      <w:r>
        <w:rPr>
          <w:rFonts w:hint="eastAsia" w:eastAsia="仿宋_GB2312" w:cs="仿宋_GB2312"/>
          <w:sz w:val="32"/>
          <w:szCs w:val="32"/>
          <w:lang w:val="en-US" w:eastAsia="zh-CN"/>
        </w:rPr>
        <w:t>4</w:t>
      </w:r>
      <w:r>
        <w:rPr>
          <w:rFonts w:hint="eastAsia" w:eastAsia="仿宋_GB2312" w:cs="仿宋_GB2312"/>
          <w:sz w:val="32"/>
          <w:szCs w:val="32"/>
          <w:lang w:val="zh-CN" w:eastAsia="zh-CN"/>
        </w:rPr>
        <w:t xml:space="preserve"> 个，涉及预算总金额 </w:t>
      </w:r>
      <w:r>
        <w:rPr>
          <w:rFonts w:hint="eastAsia" w:eastAsia="仿宋_GB2312" w:cs="仿宋_GB2312"/>
          <w:sz w:val="32"/>
          <w:szCs w:val="32"/>
          <w:lang w:val="en-US" w:eastAsia="zh-CN"/>
        </w:rPr>
        <w:t>100.84</w:t>
      </w:r>
      <w:r>
        <w:rPr>
          <w:rFonts w:hint="eastAsia" w:eastAsia="仿宋_GB2312" w:cs="仿宋_GB2312"/>
          <w:sz w:val="32"/>
          <w:szCs w:val="32"/>
          <w:lang w:val="zh-CN" w:eastAsia="zh-CN"/>
        </w:rPr>
        <w:t>万元，1—12月预算执行总体进度为</w:t>
      </w:r>
      <w:r>
        <w:rPr>
          <w:rFonts w:hint="eastAsia" w:eastAsia="仿宋_GB2312" w:cs="仿宋_GB2312"/>
          <w:sz w:val="32"/>
          <w:szCs w:val="32"/>
          <w:lang w:val="en-US" w:eastAsia="zh-CN"/>
        </w:rPr>
        <w:t>100</w:t>
      </w:r>
      <w:r>
        <w:rPr>
          <w:rFonts w:hint="eastAsia" w:eastAsia="仿宋_GB2312" w:cs="仿宋_GB2312"/>
          <w:sz w:val="32"/>
          <w:szCs w:val="32"/>
          <w:lang w:val="zh-CN" w:eastAsia="zh-CN"/>
        </w:rPr>
        <w:t xml:space="preserve"> %，其中：预算结余率大于10%的项目共计</w:t>
      </w:r>
      <w:r>
        <w:rPr>
          <w:rFonts w:hint="eastAsia" w:eastAsia="仿宋_GB2312" w:cs="仿宋_GB2312"/>
          <w:sz w:val="32"/>
          <w:szCs w:val="32"/>
          <w:lang w:val="en-US" w:eastAsia="zh-CN"/>
        </w:rPr>
        <w:t>0</w:t>
      </w:r>
      <w:r>
        <w:rPr>
          <w:rFonts w:hint="eastAsia" w:eastAsia="仿宋_GB2312" w:cs="仿宋_GB2312"/>
          <w:sz w:val="32"/>
          <w:szCs w:val="32"/>
          <w:lang w:val="zh-CN" w:eastAsia="zh-CN"/>
        </w:rPr>
        <w:t>个。</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阶段（含一次性）项目绩效分析。</w:t>
      </w:r>
      <w:r>
        <w:rPr>
          <w:rFonts w:hint="eastAsia" w:eastAsia="仿宋_GB2312" w:cs="仿宋_GB2312"/>
          <w:sz w:val="32"/>
          <w:szCs w:val="32"/>
          <w:lang w:val="zh-CN"/>
        </w:rPr>
        <w:t>该类项目总数</w:t>
      </w:r>
      <w:r>
        <w:rPr>
          <w:rFonts w:hint="eastAsia" w:eastAsia="仿宋_GB2312" w:cs="仿宋_GB2312"/>
          <w:sz w:val="32"/>
          <w:szCs w:val="32"/>
          <w:lang w:val="en-US" w:eastAsia="zh-CN"/>
        </w:rPr>
        <w:t>69</w:t>
      </w:r>
      <w:r>
        <w:rPr>
          <w:rFonts w:hint="eastAsia" w:eastAsia="仿宋_GB2312" w:cs="仿宋_GB2312"/>
          <w:sz w:val="32"/>
          <w:szCs w:val="32"/>
          <w:lang w:val="zh-CN"/>
        </w:rPr>
        <w:t>个，涉及预算总金额</w:t>
      </w:r>
      <w:r>
        <w:rPr>
          <w:rFonts w:hint="eastAsia" w:eastAsia="仿宋_GB2312" w:cs="仿宋_GB2312"/>
          <w:sz w:val="32"/>
          <w:szCs w:val="32"/>
          <w:lang w:val="en-US" w:eastAsia="zh-CN"/>
        </w:rPr>
        <w:t>25,796.86</w:t>
      </w:r>
      <w:r>
        <w:rPr>
          <w:rFonts w:hint="eastAsia" w:eastAsia="仿宋_GB2312" w:cs="仿宋_GB2312"/>
          <w:sz w:val="32"/>
          <w:szCs w:val="32"/>
          <w:lang w:val="zh-CN"/>
        </w:rPr>
        <w:t>万元，1—1</w:t>
      </w:r>
      <w:r>
        <w:rPr>
          <w:rFonts w:hint="eastAsia" w:eastAsia="仿宋_GB2312" w:cs="仿宋_GB2312"/>
          <w:sz w:val="32"/>
          <w:szCs w:val="32"/>
        </w:rPr>
        <w:t>2</w:t>
      </w:r>
      <w:r>
        <w:rPr>
          <w:rFonts w:hint="eastAsia" w:eastAsia="仿宋_GB2312" w:cs="仿宋_GB2312"/>
          <w:sz w:val="32"/>
          <w:szCs w:val="32"/>
          <w:lang w:val="zh-CN"/>
        </w:rPr>
        <w:t>月预算执行总体进度为</w:t>
      </w:r>
      <w:r>
        <w:rPr>
          <w:rFonts w:hint="eastAsia" w:eastAsia="仿宋_GB2312" w:cs="仿宋_GB2312"/>
          <w:sz w:val="32"/>
          <w:szCs w:val="32"/>
          <w:lang w:val="en-US" w:eastAsia="zh-CN"/>
        </w:rPr>
        <w:t>100</w:t>
      </w:r>
      <w:r>
        <w:rPr>
          <w:rFonts w:hint="eastAsia" w:eastAsia="仿宋_GB2312" w:cs="仿宋_GB2312"/>
          <w:sz w:val="32"/>
          <w:szCs w:val="32"/>
          <w:lang w:val="zh-CN"/>
        </w:rPr>
        <w:t>%，其中：预算结余率大于</w:t>
      </w:r>
      <w:r>
        <w:rPr>
          <w:rFonts w:hint="eastAsia" w:eastAsia="仿宋_GB2312" w:cs="仿宋_GB2312"/>
          <w:sz w:val="32"/>
          <w:szCs w:val="32"/>
        </w:rPr>
        <w:t>10%</w:t>
      </w:r>
      <w:r>
        <w:rPr>
          <w:rFonts w:hint="eastAsia" w:eastAsia="仿宋_GB2312" w:cs="仿宋_GB2312"/>
          <w:sz w:val="32"/>
          <w:szCs w:val="32"/>
          <w:lang w:val="zh-CN"/>
        </w:rPr>
        <w:t>的项目共计</w:t>
      </w:r>
      <w:r>
        <w:rPr>
          <w:rFonts w:hint="eastAsia" w:eastAsia="仿宋_GB2312" w:cs="仿宋_GB2312"/>
          <w:sz w:val="32"/>
          <w:szCs w:val="32"/>
          <w:lang w:val="en-US" w:eastAsia="zh-CN"/>
        </w:rPr>
        <w:t>0</w:t>
      </w:r>
      <w:r>
        <w:rPr>
          <w:rFonts w:hint="eastAsia" w:eastAsia="仿宋_GB2312" w:cs="仿宋_GB2312"/>
          <w:sz w:val="32"/>
          <w:szCs w:val="32"/>
          <w:lang w:val="zh-CN"/>
        </w:rPr>
        <w:t>个。</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项目决策。</w:t>
      </w:r>
      <w:r>
        <w:rPr>
          <w:rFonts w:hint="eastAsia" w:ascii="Times New Roman" w:hAnsi="Times New Roman" w:eastAsia="仿宋_GB2312" w:cs="仿宋_GB2312"/>
          <w:sz w:val="32"/>
          <w:szCs w:val="32"/>
          <w:lang w:val="zh-CN"/>
        </w:rPr>
        <w:t>严格履行评估论证及申报程序，科学合理设定项目绩效目标，确保绩效目标与计划期内的重点工作任务及预算资金规模基本匹配。所有项目均按规定时限完成入库，程序规范、目标明确。</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2.项目执行</w:t>
      </w:r>
      <w:r>
        <w:rPr>
          <w:rFonts w:hint="eastAsia" w:eastAsia="仿宋_GB2312" w:cs="仿宋_GB2312"/>
          <w:sz w:val="32"/>
          <w:szCs w:val="32"/>
          <w:lang w:val="zh-CN"/>
        </w:rPr>
        <w:t>。为进一步强化绩效管理导向作用，我局将绩效理念深度融入项目管理全过程。项目立项前，严格开展事前绩效评估，科学设定绩效目标；项目实施中，压实相关人员责任，将绩效目标嵌入项目管理各环节，定期对数量、质量及进度等关键指标进行跟踪监控，动态纠偏，确保绩效目标可控；资金使用严格遵守相关管理规定，切实做到投向精准、监管到位，最大限度提升财政资金使用效益。</w:t>
      </w:r>
    </w:p>
    <w:p>
      <w:pPr>
        <w:adjustRightInd w:val="0"/>
        <w:snapToGrid w:val="0"/>
        <w:spacing w:line="578" w:lineRule="exact"/>
        <w:ind w:firstLine="640" w:firstLineChars="200"/>
        <w:contextualSpacing/>
        <w:rPr>
          <w:rFonts w:hint="eastAsia" w:eastAsia="仿宋_GB2312" w:cs="仿宋_GB2312"/>
          <w:sz w:val="32"/>
          <w:szCs w:val="32"/>
          <w:lang w:val="zh-CN" w:eastAsia="zh-CN"/>
        </w:rPr>
      </w:pPr>
      <w:r>
        <w:rPr>
          <w:rFonts w:hint="eastAsia" w:eastAsia="仿宋_GB2312" w:cs="仿宋_GB2312"/>
          <w:sz w:val="32"/>
          <w:szCs w:val="32"/>
        </w:rPr>
        <w:t>3.</w:t>
      </w:r>
      <w:r>
        <w:rPr>
          <w:rFonts w:hint="eastAsia" w:eastAsia="仿宋_GB2312" w:cs="仿宋_GB2312"/>
          <w:sz w:val="32"/>
          <w:szCs w:val="32"/>
          <w:lang w:val="zh-CN"/>
        </w:rPr>
        <w:t>目标实现。</w:t>
      </w:r>
      <w:r>
        <w:rPr>
          <w:rFonts w:hint="eastAsia" w:eastAsia="仿宋_GB2312" w:cs="仿宋_GB2312"/>
          <w:sz w:val="32"/>
          <w:szCs w:val="32"/>
          <w:lang w:val="zh-CN" w:eastAsia="zh-CN"/>
        </w:rPr>
        <w:t>2025年部门预算项目支出完成率为100%，各项支出严格按照预算批复执行，未发生违规使用资金情况。项目整体质量、实施时效均符合要求，成本控制成效良好，基本实现了既定的目标任务，实际执行效果与预期目标未产生明显偏离。全年共计完成绩效目标73个。</w:t>
      </w:r>
    </w:p>
    <w:p>
      <w:pPr>
        <w:adjustRightInd w:val="0"/>
        <w:snapToGrid w:val="0"/>
        <w:spacing w:line="578" w:lineRule="exact"/>
        <w:ind w:firstLine="640" w:firstLineChars="200"/>
        <w:contextualSpacing/>
        <w:rPr>
          <w:rFonts w:eastAsia="仿宋_GB2312" w:cs="仿宋_GB2312"/>
          <w:sz w:val="32"/>
          <w:szCs w:val="32"/>
        </w:rPr>
      </w:pPr>
      <w:r>
        <w:rPr>
          <w:rFonts w:hint="eastAsia" w:eastAsia="仿宋_GB2312" w:cs="仿宋_GB2312"/>
          <w:sz w:val="32"/>
          <w:szCs w:val="32"/>
          <w:lang w:eastAsia="zh-CN"/>
        </w:rPr>
        <w:t>市住房城乡建设局</w:t>
      </w:r>
      <w:r>
        <w:rPr>
          <w:rFonts w:hint="eastAsia" w:eastAsia="仿宋_GB2312" w:cs="仿宋_GB2312"/>
          <w:sz w:val="32"/>
          <w:szCs w:val="32"/>
        </w:rPr>
        <w:t>部门2025年度一般公共预算</w:t>
      </w:r>
      <w:r>
        <w:rPr>
          <w:rFonts w:hint="eastAsia" w:eastAsia="仿宋_GB2312" w:cs="仿宋_GB2312"/>
          <w:sz w:val="32"/>
          <w:szCs w:val="32"/>
          <w:lang w:eastAsia="zh-CN"/>
        </w:rPr>
        <w:t>收入</w:t>
      </w:r>
      <w:r>
        <w:rPr>
          <w:rFonts w:hint="eastAsia" w:eastAsia="仿宋_GB2312" w:cs="仿宋_GB2312"/>
          <w:sz w:val="32"/>
          <w:szCs w:val="32"/>
          <w:lang w:val="en-US" w:eastAsia="zh-CN"/>
        </w:rPr>
        <w:t>27,168.74万元，</w:t>
      </w:r>
      <w:r>
        <w:rPr>
          <w:rFonts w:hint="eastAsia" w:eastAsia="仿宋_GB2312" w:cs="仿宋_GB2312"/>
          <w:sz w:val="32"/>
          <w:szCs w:val="32"/>
        </w:rPr>
        <w:t>政府性基金预算</w:t>
      </w:r>
      <w:r>
        <w:rPr>
          <w:rFonts w:hint="eastAsia" w:eastAsia="仿宋_GB2312" w:cs="仿宋_GB2312"/>
          <w:sz w:val="32"/>
          <w:szCs w:val="32"/>
          <w:lang w:eastAsia="zh-CN"/>
        </w:rPr>
        <w:t>收入</w:t>
      </w:r>
      <w:r>
        <w:rPr>
          <w:rFonts w:hint="eastAsia" w:eastAsia="仿宋_GB2312" w:cs="仿宋_GB2312"/>
          <w:sz w:val="32"/>
          <w:szCs w:val="32"/>
          <w:lang w:val="en-US" w:eastAsia="zh-CN"/>
        </w:rPr>
        <w:t>7,530.88万元，</w:t>
      </w:r>
      <w:r>
        <w:rPr>
          <w:rFonts w:hint="eastAsia" w:eastAsia="仿宋_GB2312" w:cs="仿宋_GB2312"/>
          <w:sz w:val="32"/>
          <w:szCs w:val="32"/>
        </w:rPr>
        <w:t>国有资本经营预算</w:t>
      </w:r>
      <w:r>
        <w:rPr>
          <w:rFonts w:hint="eastAsia" w:eastAsia="仿宋_GB2312" w:cs="仿宋_GB2312"/>
          <w:sz w:val="32"/>
          <w:szCs w:val="32"/>
          <w:lang w:eastAsia="zh-CN"/>
        </w:rPr>
        <w:t>收入</w:t>
      </w:r>
      <w:r>
        <w:rPr>
          <w:rFonts w:hint="eastAsia" w:eastAsia="仿宋_GB2312" w:cs="仿宋_GB2312"/>
          <w:sz w:val="32"/>
          <w:szCs w:val="32"/>
          <w:lang w:val="en-US" w:eastAsia="zh-CN"/>
        </w:rPr>
        <w:t>0万元。政府采购支出15,748.13万元，其中：政府采购货物支出174.98万元、政府采购服务支出457.72万元，政府采购工程支出15,115.43万元。授予中小企业合同金额3,335.81万元，授予小微企业合同金额2,070.49万元。</w:t>
      </w:r>
    </w:p>
    <w:p>
      <w:pPr>
        <w:adjustRightInd w:val="0"/>
        <w:snapToGrid w:val="0"/>
        <w:spacing w:line="578" w:lineRule="exact"/>
        <w:ind w:firstLine="642" w:firstLineChars="200"/>
        <w:contextualSpacing/>
        <w:rPr>
          <w:rFonts w:hint="eastAsia" w:ascii="Times New Roman" w:hAnsi="Times New Roman" w:eastAsia="仿宋_GB2312" w:cs="仿宋_GB2312"/>
          <w:sz w:val="32"/>
          <w:szCs w:val="32"/>
          <w:lang w:val="zh-CN" w:eastAsia="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ascii="Times New Roman" w:hAnsi="Times New Roman" w:eastAsia="仿宋_GB2312" w:cs="仿宋_GB2312"/>
          <w:sz w:val="32"/>
          <w:szCs w:val="32"/>
          <w:lang w:val="zh-CN" w:eastAsia="zh-CN"/>
        </w:rPr>
        <w:t>市住房城乡建设局部门纳入绩效目标管理共73个项目，均根据部门职能职责及工作要求开展项目实施，2025年当年预算执行支出率100%，无违规支出情况。</w:t>
      </w:r>
    </w:p>
    <w:p>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zh-CN" w:eastAsia="zh-CN"/>
        </w:rPr>
        <w:t>严格落实信息公开制度，在年初部门预算批复后，及时将项目绩效目标与预算一并在政府门户网站公开，按要求开展绩效运行监控，自觉接受社会公众监督，切实增强财政资金使用透明度。通过持续完善工作机制、强化绩效管理，不断提升预算管理规范化水平，助力住房城乡建设事业高质量发展。</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12" w:name="_Toc1598387911_WPSOffice_Level2"/>
      <w:bookmarkStart w:id="113" w:name="_Toc64198076_WPSOffice_Level2"/>
      <w:bookmarkStart w:id="114" w:name="_Toc736245195_WPSOffice_Level2"/>
      <w:r>
        <w:rPr>
          <w:rFonts w:eastAsia="黑体"/>
          <w:color w:val="000000"/>
          <w:kern w:val="0"/>
          <w:sz w:val="32"/>
          <w:szCs w:val="32"/>
          <w:shd w:val="clear" w:color="auto" w:fill="FFFFFF"/>
          <w:lang w:val="zh-CN"/>
        </w:rPr>
        <w:t>四、评价结论及建议</w:t>
      </w:r>
      <w:bookmarkEnd w:id="112"/>
      <w:bookmarkEnd w:id="113"/>
      <w:bookmarkEnd w:id="114"/>
    </w:p>
    <w:p>
      <w:pPr>
        <w:widowControl/>
        <w:adjustRightInd w:val="0"/>
        <w:snapToGrid w:val="0"/>
        <w:spacing w:line="578" w:lineRule="exact"/>
        <w:ind w:firstLine="642" w:firstLineChars="200"/>
        <w:contextualSpacing/>
        <w:jc w:val="left"/>
        <w:rPr>
          <w:rFonts w:eastAsia="仿宋_GB2312"/>
          <w:sz w:val="32"/>
          <w:szCs w:val="32"/>
          <w:lang w:bidi="ar"/>
        </w:rPr>
      </w:pPr>
      <w:r>
        <w:rPr>
          <w:rFonts w:eastAsia="楷体_GB2312"/>
          <w:b/>
          <w:bCs/>
          <w:color w:val="000000"/>
          <w:kern w:val="0"/>
          <w:sz w:val="32"/>
          <w:szCs w:val="32"/>
          <w:shd w:val="clear" w:color="auto" w:fill="FFFFFF"/>
          <w:lang w:val="zh-CN"/>
        </w:rPr>
        <w:t>（一）评价结论。</w:t>
      </w:r>
      <w:r>
        <w:rPr>
          <w:rFonts w:hint="eastAsia" w:ascii="Times New Roman" w:hAnsi="Times New Roman" w:eastAsia="仿宋_GB2312" w:cs="仿宋_GB2312"/>
          <w:sz w:val="32"/>
          <w:szCs w:val="32"/>
          <w:lang w:val="zh-CN" w:eastAsia="zh-CN"/>
        </w:rPr>
        <w:t>2025年，我局严格按照要求科学、准确地编制年初部门预算，预算执行情况均完成较好，年终结余36.39万元。同时，严控“三公”经费、会议、培训、差旅、办公设备购置等一般性支出，资产利用率高，政府采购严格执行促进中小企业发展相关管理办法，部门项目预算管理达到预期目标。绩效自评总体得分为98.34分。</w:t>
      </w:r>
    </w:p>
    <w:p>
      <w:pPr>
        <w:widowControl/>
        <w:adjustRightInd w:val="0"/>
        <w:snapToGrid w:val="0"/>
        <w:spacing w:line="578" w:lineRule="exact"/>
        <w:ind w:firstLine="642" w:firstLineChars="200"/>
        <w:contextualSpacing/>
        <w:jc w:val="left"/>
        <w:rPr>
          <w:rFonts w:eastAsia="仿宋_GB2312"/>
          <w:color w:val="FF0000"/>
          <w:sz w:val="32"/>
          <w:szCs w:val="32"/>
          <w:lang w:bidi="ar"/>
        </w:rPr>
      </w:pPr>
      <w:r>
        <w:rPr>
          <w:rFonts w:eastAsia="楷体_GB2312"/>
          <w:b/>
          <w:bCs/>
          <w:color w:val="000000"/>
          <w:kern w:val="0"/>
          <w:sz w:val="32"/>
          <w:szCs w:val="32"/>
          <w:shd w:val="clear" w:color="auto" w:fill="FFFFFF"/>
          <w:lang w:val="zh-CN"/>
        </w:rPr>
        <w:t>（二）存在问题。</w:t>
      </w:r>
      <w:r>
        <w:rPr>
          <w:rFonts w:hint="eastAsia" w:ascii="仿宋_GB2312" w:hAnsi="仿宋_GB2312" w:eastAsia="仿宋_GB2312" w:cs="仿宋_GB2312"/>
          <w:b w:val="0"/>
          <w:bCs w:val="0"/>
          <w:color w:val="000000"/>
          <w:kern w:val="0"/>
          <w:sz w:val="32"/>
          <w:szCs w:val="32"/>
          <w:shd w:val="clear" w:color="auto" w:fill="FFFFFF"/>
          <w:lang w:val="zh-CN" w:eastAsia="zh-CN"/>
        </w:rPr>
        <w:t>部门预算项目因合同、验收等原因需阶段性支付，导致预算执行与项目绩效运行监控预警标准存在偏差；部分项目已达到支付条件，但实际支付不及时，影响项目预算执行效率，加大了预算管理工作难度</w:t>
      </w:r>
      <w:r>
        <w:rPr>
          <w:rFonts w:hint="eastAsia" w:ascii="仿宋_GB2312" w:hAnsi="仿宋_GB2312" w:eastAsia="仿宋_GB2312" w:cs="仿宋_GB2312"/>
          <w:b w:val="0"/>
          <w:bCs w:val="0"/>
          <w:color w:val="000000"/>
          <w:kern w:val="0"/>
          <w:sz w:val="32"/>
          <w:szCs w:val="32"/>
          <w:shd w:val="clear" w:color="auto" w:fill="FFFFFF"/>
          <w:lang w:val="zh-CN"/>
        </w:rPr>
        <w:t>。</w:t>
      </w:r>
    </w:p>
    <w:p>
      <w:pPr>
        <w:widowControl/>
        <w:adjustRightInd w:val="0"/>
        <w:snapToGrid w:val="0"/>
        <w:spacing w:line="578" w:lineRule="exact"/>
        <w:ind w:firstLine="642" w:firstLineChars="200"/>
        <w:contextualSpacing/>
        <w:jc w:val="left"/>
        <w:rPr>
          <w:rFonts w:eastAsia="仿宋_GB2312"/>
          <w:sz w:val="32"/>
          <w:szCs w:val="32"/>
          <w:lang w:val="en" w:bidi="ar"/>
        </w:rPr>
      </w:pPr>
      <w:r>
        <w:rPr>
          <w:rFonts w:eastAsia="楷体_GB2312"/>
          <w:b/>
          <w:bCs/>
          <w:color w:val="000000"/>
          <w:kern w:val="0"/>
          <w:sz w:val="32"/>
          <w:szCs w:val="32"/>
          <w:shd w:val="clear" w:color="auto" w:fill="FFFFFF"/>
          <w:lang w:val="zh-CN"/>
        </w:rPr>
        <w:t>（三）改进建议。</w:t>
      </w:r>
      <w:bookmarkStart w:id="115" w:name="_Hlk110546638"/>
      <w:r>
        <w:rPr>
          <w:rFonts w:hint="eastAsia" w:ascii="Times New Roman" w:hAnsi="Times New Roman" w:eastAsia="仿宋_GB2312" w:cs="仿宋_GB2312"/>
          <w:sz w:val="32"/>
          <w:szCs w:val="32"/>
          <w:lang w:val="zh-CN" w:eastAsia="zh-CN"/>
        </w:rPr>
        <w:t>加强与财政相关部门的沟通协调，尽可能多的支付项目资金，保障项目实施进度，强化项目预算绩效管理</w:t>
      </w:r>
      <w:r>
        <w:rPr>
          <w:rFonts w:hint="eastAsia" w:eastAsia="仿宋_GB2312"/>
          <w:sz w:val="32"/>
          <w:szCs w:val="32"/>
          <w:lang w:bidi="ar"/>
        </w:rPr>
        <w:t>。</w:t>
      </w:r>
    </w:p>
    <w:bookmarkEnd w:id="115"/>
    <w:p>
      <w:pPr>
        <w:rPr>
          <w:lang w:val="zh-CN"/>
        </w:rPr>
      </w:pPr>
    </w:p>
    <w:p>
      <w:pPr>
        <w:pStyle w:val="3"/>
        <w:spacing w:line="560" w:lineRule="exact"/>
        <w:ind w:left="0" w:leftChars="0" w:firstLine="640"/>
        <w:rPr>
          <w:rFonts w:hint="default" w:ascii="Times New Roman" w:eastAsia="仿宋_GB2312"/>
          <w:sz w:val="32"/>
          <w:lang w:val="en-US" w:eastAsia="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r>
        <w:rPr>
          <w:rFonts w:hint="eastAsia" w:ascii="Times New Roman" w:eastAsia="仿宋_GB2312"/>
          <w:sz w:val="32"/>
          <w:lang w:eastAsia="zh-CN" w:bidi="ar"/>
        </w:rPr>
        <w:t>见附件</w:t>
      </w:r>
      <w:r>
        <w:rPr>
          <w:rFonts w:hint="eastAsia" w:ascii="Times New Roman" w:eastAsia="仿宋_GB2312"/>
          <w:sz w:val="32"/>
          <w:lang w:val="en-US" w:eastAsia="zh-CN" w:bidi="ar"/>
        </w:rPr>
        <w:t>3</w:t>
      </w:r>
    </w:p>
    <w:p>
      <w:pPr>
        <w:rPr>
          <w:rFonts w:eastAsia="黑体" w:cs="黑体"/>
          <w:kern w:val="0"/>
          <w:sz w:val="32"/>
          <w:szCs w:val="32"/>
          <w:shd w:val="clear" w:color="auto" w:fill="FFFFFF"/>
          <w:lang w:val="zh-CN"/>
        </w:rPr>
      </w:pPr>
    </w:p>
    <w:p>
      <w:pPr>
        <w:pStyle w:val="2"/>
        <w:rPr>
          <w:rFonts w:eastAsia="黑体" w:cs="黑体"/>
          <w:kern w:val="0"/>
          <w:sz w:val="32"/>
          <w:szCs w:val="32"/>
          <w:shd w:val="clear" w:color="auto" w:fill="FFFFFF"/>
          <w:lang w:val="zh-CN"/>
        </w:rPr>
      </w:pPr>
    </w:p>
    <w:p>
      <w:pPr>
        <w:pStyle w:val="3"/>
        <w:rPr>
          <w:lang w:val="zh-CN"/>
        </w:rPr>
      </w:pPr>
    </w:p>
    <w:p>
      <w:pPr>
        <w:pStyle w:val="8"/>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pPr>
        <w:pStyle w:val="35"/>
        <w:spacing w:line="578" w:lineRule="exact"/>
        <w:jc w:val="center"/>
        <w:rPr>
          <w:rFonts w:ascii="Times New Roman" w:hAnsi="Times New Roman" w:eastAsia="方正小标宋简体" w:cs="方正小标宋简体"/>
          <w:color w:val="auto"/>
          <w:kern w:val="2"/>
          <w:sz w:val="44"/>
          <w:szCs w:val="44"/>
          <w:lang w:val="en-US"/>
        </w:rPr>
      </w:pPr>
    </w:p>
    <w:p>
      <w:pPr>
        <w:widowControl w:val="0"/>
        <w:spacing w:line="600" w:lineRule="exact"/>
        <w:jc w:val="center"/>
        <w:outlineLvl w:val="0"/>
        <w:rPr>
          <w:rFonts w:hint="eastAsia" w:ascii="Times New Roman" w:hAnsi="Times New Roman" w:eastAsia="方正小标宋_GBK" w:cs="方正小标宋_GBK"/>
          <w:color w:val="auto"/>
          <w:kern w:val="2"/>
          <w:sz w:val="40"/>
          <w:szCs w:val="40"/>
          <w:lang w:val="en-US" w:eastAsia="zh-CN" w:bidi="ar-SA"/>
        </w:rPr>
      </w:pPr>
      <w:bookmarkStart w:id="116" w:name="_Toc817955229_WPSOffice_Level2"/>
      <w:bookmarkStart w:id="117" w:name="_Toc652836846_WPSOffice_Level2"/>
      <w:bookmarkStart w:id="118" w:name="_Toc486950591_WPSOffice_Level2"/>
      <w:r>
        <w:rPr>
          <w:rFonts w:hint="eastAsia" w:ascii="Times New Roman" w:hAnsi="Times New Roman" w:eastAsia="方正小标宋_GBK" w:cs="方正小标宋_GBK"/>
          <w:color w:val="auto"/>
          <w:kern w:val="2"/>
          <w:sz w:val="40"/>
          <w:szCs w:val="40"/>
          <w:lang w:val="en-US" w:eastAsia="zh-CN" w:bidi="ar-SA"/>
        </w:rPr>
        <w:t>攀枝花市2025年城市体检技术服务</w:t>
      </w:r>
      <w:bookmarkEnd w:id="116"/>
      <w:bookmarkEnd w:id="117"/>
      <w:bookmarkEnd w:id="118"/>
    </w:p>
    <w:p>
      <w:pPr>
        <w:widowControl w:val="0"/>
        <w:spacing w:line="600" w:lineRule="exact"/>
        <w:jc w:val="center"/>
        <w:outlineLvl w:val="0"/>
        <w:rPr>
          <w:rFonts w:hint="eastAsia" w:ascii="Times New Roman" w:hAnsi="Times New Roman" w:eastAsia="方正小标宋_GBK" w:cs="方正小标宋_GBK"/>
          <w:color w:val="auto"/>
          <w:kern w:val="2"/>
          <w:sz w:val="40"/>
          <w:szCs w:val="40"/>
          <w:lang w:val="zh-CN" w:eastAsia="zh-CN" w:bidi="ar-SA"/>
        </w:rPr>
      </w:pPr>
      <w:bookmarkStart w:id="119" w:name="_Toc170879734_WPSOffice_Level2"/>
      <w:bookmarkStart w:id="120" w:name="_Toc385344930_WPSOffice_Level2"/>
      <w:bookmarkStart w:id="121" w:name="_Toc248128686_WPSOffice_Level2"/>
      <w:r>
        <w:rPr>
          <w:rFonts w:hint="eastAsia" w:ascii="Times New Roman" w:hAnsi="Times New Roman" w:eastAsia="方正小标宋_GBK" w:cs="方正小标宋_GBK"/>
          <w:color w:val="auto"/>
          <w:kern w:val="2"/>
          <w:sz w:val="40"/>
          <w:szCs w:val="40"/>
          <w:lang w:val="zh-CN" w:eastAsia="zh-CN" w:bidi="ar-SA"/>
        </w:rPr>
        <w:t>项目支出绩效自评报告</w:t>
      </w:r>
      <w:bookmarkEnd w:id="119"/>
      <w:bookmarkEnd w:id="120"/>
      <w:bookmarkEnd w:id="121"/>
    </w:p>
    <w:p>
      <w:pPr>
        <w:widowControl w:val="0"/>
        <w:spacing w:line="600" w:lineRule="exact"/>
        <w:jc w:val="center"/>
        <w:outlineLvl w:val="0"/>
        <w:rPr>
          <w:rFonts w:ascii="Times New Roman" w:hAnsi="Times New Roman" w:eastAsia="仿宋_GB2312" w:cs="Times New Roman"/>
          <w:color w:val="auto"/>
          <w:kern w:val="2"/>
          <w:sz w:val="32"/>
          <w:szCs w:val="32"/>
          <w:lang w:val="zh-CN" w:eastAsia="zh-CN" w:bidi="ar-SA"/>
        </w:rPr>
      </w:pPr>
      <w:r>
        <w:rPr>
          <w:rFonts w:ascii="Times New Roman" w:hAnsi="Times New Roman" w:eastAsia="仿宋_GB2312" w:cs="Times New Roman"/>
          <w:color w:val="auto"/>
          <w:kern w:val="2"/>
          <w:sz w:val="32"/>
          <w:szCs w:val="32"/>
          <w:lang w:val="zh-CN" w:eastAsia="zh-CN" w:bidi="ar-SA"/>
        </w:rPr>
        <w:t>（主管部门自评）</w:t>
      </w:r>
    </w:p>
    <w:p>
      <w:pPr>
        <w:widowControl w:val="0"/>
        <w:spacing w:line="600" w:lineRule="exact"/>
        <w:ind w:firstLine="640"/>
        <w:jc w:val="center"/>
        <w:rPr>
          <w:rFonts w:ascii="Times New Roman" w:hAnsi="Times New Roman" w:eastAsia="宋体" w:cs="Times New Roman"/>
          <w:color w:val="auto"/>
          <w:kern w:val="2"/>
          <w:sz w:val="32"/>
          <w:szCs w:val="32"/>
          <w:lang w:val="zh-CN" w:eastAsia="zh-CN" w:bidi="ar-SA"/>
        </w:rPr>
      </w:pPr>
    </w:p>
    <w:p>
      <w:pPr>
        <w:adjustRightInd w:val="0"/>
        <w:snapToGrid w:val="0"/>
        <w:spacing w:line="600" w:lineRule="exact"/>
        <w:ind w:firstLine="720"/>
        <w:outlineLvl w:val="0"/>
        <w:rPr>
          <w:rFonts w:ascii="Times New Roman" w:hAnsi="Times New Roman" w:eastAsia="黑体" w:cs="Times New Roman"/>
          <w:color w:val="auto"/>
          <w:sz w:val="32"/>
          <w:szCs w:val="32"/>
          <w:lang w:val="zh-CN"/>
        </w:rPr>
      </w:pPr>
      <w:bookmarkStart w:id="122" w:name="_Toc2117805698_WPSOffice_Level2"/>
      <w:bookmarkStart w:id="123" w:name="_Toc283553155_WPSOffice_Level2"/>
      <w:bookmarkStart w:id="124" w:name="_Toc1942257563_WPSOffice_Level2"/>
      <w:r>
        <w:rPr>
          <w:rFonts w:ascii="Times New Roman" w:hAnsi="Times New Roman" w:eastAsia="黑体" w:cs="Times New Roman"/>
          <w:color w:val="auto"/>
          <w:sz w:val="32"/>
          <w:szCs w:val="32"/>
        </w:rPr>
        <w:t>一、</w:t>
      </w:r>
      <w:r>
        <w:rPr>
          <w:rFonts w:ascii="Times New Roman" w:hAnsi="Times New Roman" w:eastAsia="黑体" w:cs="Times New Roman"/>
          <w:color w:val="auto"/>
          <w:sz w:val="32"/>
          <w:szCs w:val="32"/>
          <w:lang w:val="zh-CN"/>
        </w:rPr>
        <w:t>项目概况</w:t>
      </w:r>
      <w:bookmarkEnd w:id="122"/>
      <w:bookmarkEnd w:id="123"/>
      <w:bookmarkEnd w:id="124"/>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（一）项目基本情况</w:t>
      </w:r>
    </w:p>
    <w:p>
      <w:pPr>
        <w:adjustRightInd w:val="0"/>
        <w:snapToGrid w:val="0"/>
        <w:spacing w:line="600" w:lineRule="exact"/>
        <w:ind w:firstLine="720"/>
        <w:rPr>
          <w:rFonts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en-US" w:eastAsia="zh-CN"/>
        </w:rPr>
        <w:t>根据《住房和城乡建设部办公厅关于深入开展2025年城市体检工作的通知》（建科〔2025〕13号）和《四川省住房和城乡建设厅关于深入开展2025年城市体检工作的通知》</w:t>
      </w:r>
      <w:r>
        <w:rPr>
          <w:rFonts w:hint="eastAsia" w:ascii="Times New Roman" w:hAnsi="Times New Roman" w:eastAsia="仿宋_GB2312" w:cs="Times New Roman"/>
          <w:color w:val="auto"/>
          <w:sz w:val="32"/>
          <w:szCs w:val="32"/>
          <w:lang w:val="zh-CN"/>
        </w:rPr>
        <w:t>（川建</w:t>
      </w:r>
      <w:r>
        <w:rPr>
          <w:rFonts w:hint="eastAsia" w:ascii="Times New Roman" w:hAnsi="Times New Roman" w:eastAsia="仿宋_GB2312" w:cs="Times New Roman"/>
          <w:color w:val="auto"/>
          <w:sz w:val="32"/>
          <w:szCs w:val="32"/>
          <w:lang w:val="en-US" w:eastAsia="zh-CN"/>
        </w:rPr>
        <w:t>更新</w:t>
      </w:r>
      <w:r>
        <w:rPr>
          <w:rFonts w:hint="eastAsia" w:ascii="Times New Roman" w:hAnsi="Times New Roman" w:eastAsia="仿宋_GB2312" w:cs="Times New Roman"/>
          <w:color w:val="auto"/>
          <w:sz w:val="32"/>
          <w:szCs w:val="32"/>
          <w:lang w:val="zh-CN"/>
        </w:rPr>
        <w:t>函〔202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zh-CN"/>
        </w:rPr>
        <w:t>〕</w:t>
      </w:r>
      <w:r>
        <w:rPr>
          <w:rFonts w:hint="eastAsia" w:ascii="Times New Roman" w:hAnsi="Times New Roman" w:eastAsia="仿宋_GB2312" w:cs="Times New Roman"/>
          <w:color w:val="auto"/>
          <w:sz w:val="32"/>
          <w:szCs w:val="32"/>
          <w:lang w:val="en-US" w:eastAsia="zh-CN"/>
        </w:rPr>
        <w:t>940</w:t>
      </w:r>
      <w:r>
        <w:rPr>
          <w:rFonts w:hint="eastAsia" w:ascii="Times New Roman" w:hAnsi="Times New Roman" w:eastAsia="仿宋_GB2312" w:cs="Times New Roman"/>
          <w:color w:val="auto"/>
          <w:sz w:val="32"/>
          <w:szCs w:val="32"/>
          <w:lang w:val="zh-CN"/>
        </w:rPr>
        <w:t>号）</w:t>
      </w:r>
      <w:r>
        <w:rPr>
          <w:rFonts w:hint="eastAsia" w:ascii="Times New Roman" w:hAnsi="Times New Roman" w:eastAsia="仿宋_GB2312" w:cs="Times New Roman"/>
          <w:color w:val="auto"/>
          <w:sz w:val="32"/>
          <w:szCs w:val="32"/>
          <w:lang w:val="en-US" w:eastAsia="zh-CN"/>
        </w:rPr>
        <w:t>有关要求</w:t>
      </w:r>
      <w:r>
        <w:rPr>
          <w:rFonts w:hint="eastAsia" w:ascii="Times New Roman" w:hAnsi="Times New Roman" w:eastAsia="仿宋_GB2312" w:cs="Times New Roman"/>
          <w:color w:val="auto"/>
          <w:sz w:val="32"/>
          <w:szCs w:val="32"/>
          <w:lang w:val="zh-CN"/>
        </w:rPr>
        <w:t>，</w:t>
      </w:r>
      <w:r>
        <w:rPr>
          <w:rFonts w:hint="eastAsia" w:ascii="Times New Roman" w:hAnsi="Times New Roman" w:eastAsia="仿宋_GB2312" w:cs="Times New Roman"/>
          <w:color w:val="auto"/>
          <w:sz w:val="32"/>
          <w:szCs w:val="32"/>
          <w:lang w:val="en-US" w:eastAsia="zh-CN"/>
        </w:rPr>
        <w:t>市住房城乡建设局为城市体检的牵头单位</w:t>
      </w:r>
      <w:r>
        <w:rPr>
          <w:rFonts w:ascii="Times New Roman" w:hAnsi="Times New Roman" w:eastAsia="仿宋_GB2312" w:cs="Times New Roman"/>
          <w:color w:val="auto"/>
          <w:sz w:val="32"/>
          <w:szCs w:val="32"/>
          <w:lang w:val="zh-CN"/>
        </w:rPr>
        <w:t>。</w:t>
      </w:r>
      <w:r>
        <w:rPr>
          <w:rFonts w:hint="eastAsia" w:ascii="Times New Roman" w:hAnsi="Times New Roman" w:eastAsia="仿宋_GB2312" w:cs="Times New Roman"/>
          <w:color w:val="auto"/>
          <w:sz w:val="32"/>
          <w:szCs w:val="32"/>
          <w:lang w:val="en-US" w:eastAsia="zh-CN"/>
        </w:rPr>
        <w:t>市住房城乡建设局开展政府采购，以竞争性磋商方式，确定四川省城乡建设研究院为城市体检技术服务供应商</w:t>
      </w:r>
      <w:r>
        <w:rPr>
          <w:rFonts w:ascii="Times New Roman" w:hAnsi="Times New Roman" w:eastAsia="仿宋_GB2312" w:cs="Times New Roman"/>
          <w:color w:val="auto"/>
          <w:sz w:val="32"/>
          <w:szCs w:val="32"/>
          <w:lang w:val="zh-CN"/>
        </w:rPr>
        <w:t>。</w:t>
      </w:r>
      <w:r>
        <w:rPr>
          <w:rFonts w:hint="eastAsia" w:ascii="Times New Roman" w:hAnsi="Times New Roman" w:eastAsia="仿宋_GB2312" w:cs="Times New Roman"/>
          <w:color w:val="auto"/>
          <w:sz w:val="32"/>
          <w:szCs w:val="32"/>
          <w:lang w:val="en-US" w:eastAsia="zh-CN"/>
        </w:rPr>
        <w:t>本项目按照数量、质量、效果、社会效益、经济效益、可持续影响、满意度等指标对供应商的技术服务进行评判，按与供应商签</w:t>
      </w:r>
      <w:r>
        <w:rPr>
          <w:rFonts w:hint="eastAsia" w:eastAsia="仿宋_GB2312" w:cs="Times New Roman"/>
          <w:color w:val="auto"/>
          <w:sz w:val="32"/>
          <w:szCs w:val="32"/>
          <w:lang w:val="en-US" w:eastAsia="zh-CN"/>
        </w:rPr>
        <w:t>订</w:t>
      </w:r>
      <w:r>
        <w:rPr>
          <w:rFonts w:hint="eastAsia" w:ascii="Times New Roman" w:hAnsi="Times New Roman" w:eastAsia="仿宋_GB2312" w:cs="Times New Roman"/>
          <w:color w:val="auto"/>
          <w:sz w:val="32"/>
          <w:szCs w:val="32"/>
          <w:lang w:val="en-US" w:eastAsia="zh-CN"/>
        </w:rPr>
        <w:t>的技术服务合同拨付服务费。</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（二）项目绩效目标</w:t>
      </w:r>
    </w:p>
    <w:p>
      <w:pPr>
        <w:adjustRightInd w:val="0"/>
        <w:snapToGrid w:val="0"/>
        <w:spacing w:line="600" w:lineRule="exact"/>
        <w:ind w:firstLine="72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lang w:val="zh-CN"/>
        </w:rPr>
        <w:t>1.项目主要内容。</w:t>
      </w:r>
      <w:r>
        <w:rPr>
          <w:rFonts w:hint="eastAsia" w:ascii="Times New Roman" w:hAnsi="Times New Roman" w:eastAsia="仿宋_GB2312" w:cs="Times New Roman"/>
          <w:color w:val="auto"/>
          <w:sz w:val="32"/>
          <w:szCs w:val="32"/>
          <w:lang w:val="en-US" w:eastAsia="zh-CN"/>
        </w:rPr>
        <w:t>本项目的主要内容是按照《住房和城乡建设部办公厅关于深入开展2025年城市体检工作的通知》（建科〔2025〕13号）和《四川省住房和城乡建设厅关于深入开展2025年城市体检工作的通知》</w:t>
      </w:r>
      <w:r>
        <w:rPr>
          <w:rFonts w:hint="eastAsia" w:ascii="Times New Roman" w:hAnsi="Times New Roman" w:eastAsia="仿宋_GB2312" w:cs="Times New Roman"/>
          <w:color w:val="auto"/>
          <w:sz w:val="32"/>
          <w:szCs w:val="32"/>
          <w:lang w:val="zh-CN"/>
        </w:rPr>
        <w:t>（川建</w:t>
      </w:r>
      <w:r>
        <w:rPr>
          <w:rFonts w:hint="eastAsia" w:ascii="Times New Roman" w:hAnsi="Times New Roman" w:eastAsia="仿宋_GB2312" w:cs="Times New Roman"/>
          <w:color w:val="auto"/>
          <w:sz w:val="32"/>
          <w:szCs w:val="32"/>
          <w:lang w:val="en-US" w:eastAsia="zh-CN"/>
        </w:rPr>
        <w:t>更新</w:t>
      </w:r>
      <w:r>
        <w:rPr>
          <w:rFonts w:hint="eastAsia" w:ascii="Times New Roman" w:hAnsi="Times New Roman" w:eastAsia="仿宋_GB2312" w:cs="Times New Roman"/>
          <w:color w:val="auto"/>
          <w:sz w:val="32"/>
          <w:szCs w:val="32"/>
          <w:lang w:val="zh-CN"/>
        </w:rPr>
        <w:t>函〔202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zh-CN"/>
        </w:rPr>
        <w:t>〕</w:t>
      </w:r>
      <w:r>
        <w:rPr>
          <w:rFonts w:hint="eastAsia" w:ascii="Times New Roman" w:hAnsi="Times New Roman" w:eastAsia="仿宋_GB2312" w:cs="Times New Roman"/>
          <w:color w:val="auto"/>
          <w:sz w:val="32"/>
          <w:szCs w:val="32"/>
          <w:lang w:val="en-US" w:eastAsia="zh-CN"/>
        </w:rPr>
        <w:t>940</w:t>
      </w:r>
      <w:r>
        <w:rPr>
          <w:rFonts w:hint="eastAsia" w:ascii="Times New Roman" w:hAnsi="Times New Roman" w:eastAsia="仿宋_GB2312" w:cs="Times New Roman"/>
          <w:color w:val="auto"/>
          <w:sz w:val="32"/>
          <w:szCs w:val="32"/>
          <w:lang w:val="zh-CN"/>
        </w:rPr>
        <w:t>号）</w:t>
      </w:r>
      <w:r>
        <w:rPr>
          <w:rFonts w:hint="eastAsia" w:ascii="Times New Roman" w:hAnsi="Times New Roman" w:eastAsia="仿宋_GB2312" w:cs="Times New Roman"/>
          <w:color w:val="auto"/>
          <w:sz w:val="32"/>
          <w:szCs w:val="32"/>
          <w:lang w:val="en-US" w:eastAsia="zh-CN"/>
        </w:rPr>
        <w:t>有关要求，</w:t>
      </w:r>
      <w:r>
        <w:rPr>
          <w:rFonts w:hint="eastAsia" w:ascii="Times New Roman" w:hAnsi="Times New Roman" w:eastAsia="仿宋_GB2312" w:cs="Times New Roman"/>
          <w:color w:val="auto"/>
          <w:sz w:val="32"/>
          <w:szCs w:val="32"/>
          <w:lang w:val="zh-CN"/>
        </w:rPr>
        <w:t>开展攀枝花市202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zh-CN"/>
        </w:rPr>
        <w:t>年城市体检工作，通过城市体检指标数据采集、社会问卷调查等方式，查找城市建设和发展中的“短板”“弱项”，系统分析产生城市问题的原因，</w:t>
      </w:r>
      <w:r>
        <w:rPr>
          <w:rFonts w:hint="eastAsia" w:ascii="Times New Roman" w:hAnsi="Times New Roman" w:eastAsia="仿宋_GB2312" w:cs="Times New Roman"/>
          <w:color w:val="auto"/>
          <w:sz w:val="32"/>
          <w:szCs w:val="32"/>
          <w:lang w:val="en-US" w:eastAsia="zh-CN"/>
        </w:rPr>
        <w:t>并</w:t>
      </w:r>
      <w:r>
        <w:rPr>
          <w:rFonts w:hint="eastAsia" w:ascii="Times New Roman" w:hAnsi="Times New Roman" w:eastAsia="仿宋_GB2312" w:cs="Times New Roman"/>
          <w:color w:val="auto"/>
          <w:sz w:val="32"/>
          <w:szCs w:val="32"/>
          <w:lang w:val="zh-CN"/>
        </w:rPr>
        <w:t>提出有针对性对策和建议，编制城市体检报告。</w:t>
      </w:r>
    </w:p>
    <w:p>
      <w:pPr>
        <w:adjustRightInd w:val="0"/>
        <w:snapToGrid w:val="0"/>
        <w:spacing w:line="600" w:lineRule="exact"/>
        <w:ind w:firstLine="720"/>
        <w:rPr>
          <w:rFonts w:ascii="Times New Roman" w:hAnsi="Times New Roman" w:eastAsia="仿宋_GB2312" w:cs="Times New Roman"/>
          <w:color w:val="auto"/>
          <w:sz w:val="32"/>
          <w:szCs w:val="32"/>
          <w:lang w:val="zh-CN"/>
        </w:rPr>
      </w:pPr>
      <w:r>
        <w:rPr>
          <w:rFonts w:ascii="Times New Roman" w:hAnsi="Times New Roman" w:eastAsia="仿宋_GB2312" w:cs="Times New Roman"/>
          <w:color w:val="auto"/>
          <w:sz w:val="32"/>
          <w:szCs w:val="32"/>
          <w:lang w:val="zh-CN"/>
        </w:rPr>
        <w:t>2.项目应实现的具体绩效目标</w:t>
      </w:r>
      <w:r>
        <w:rPr>
          <w:rFonts w:hint="eastAsia" w:ascii="Times New Roman" w:hAnsi="Times New Roman" w:eastAsia="仿宋_GB2312" w:cs="Times New Roman"/>
          <w:color w:val="auto"/>
          <w:sz w:val="32"/>
          <w:szCs w:val="32"/>
          <w:lang w:val="zh-CN"/>
        </w:rPr>
        <w:t>。构建符合要求的指标体系，</w:t>
      </w:r>
      <w:r>
        <w:rPr>
          <w:rFonts w:hint="eastAsia" w:ascii="Times New Roman" w:hAnsi="Times New Roman" w:eastAsia="仿宋_GB2312" w:cs="Times New Roman"/>
          <w:color w:val="auto"/>
          <w:sz w:val="32"/>
          <w:szCs w:val="32"/>
          <w:lang w:val="en-US" w:eastAsia="zh-CN"/>
        </w:rPr>
        <w:t>完成城市体检数据采集、满意度调查，根据体检数据查找问题短板，完成城市体检报告编制，达到相应的完成度、社会效益、经济效益指标。</w:t>
      </w:r>
    </w:p>
    <w:p>
      <w:pPr>
        <w:adjustRightInd w:val="0"/>
        <w:snapToGrid w:val="0"/>
        <w:spacing w:line="560" w:lineRule="exact"/>
        <w:ind w:firstLine="720"/>
        <w:rPr>
          <w:rFonts w:ascii="Times New Roman" w:hAnsi="Times New Roman" w:eastAsia="仿宋_GB2312" w:cs="Times New Roman"/>
          <w:color w:val="auto"/>
          <w:sz w:val="32"/>
          <w:szCs w:val="32"/>
          <w:lang w:val="zh-CN"/>
        </w:rPr>
      </w:pPr>
      <w:r>
        <w:rPr>
          <w:rFonts w:ascii="Times New Roman" w:hAnsi="Times New Roman" w:eastAsia="仿宋_GB2312" w:cs="Times New Roman"/>
          <w:color w:val="auto"/>
          <w:sz w:val="32"/>
          <w:szCs w:val="32"/>
          <w:lang w:val="zh-CN"/>
        </w:rPr>
        <w:t>3.分析评价申报内容是否与实际相符，申报目标是否合理可行。</w:t>
      </w:r>
      <w:r>
        <w:rPr>
          <w:rFonts w:hint="eastAsia" w:ascii="Times New Roman" w:hAnsi="Times New Roman" w:eastAsia="仿宋_GB2312" w:cs="Times New Roman"/>
          <w:color w:val="auto"/>
          <w:sz w:val="32"/>
          <w:szCs w:val="32"/>
          <w:lang w:val="zh-CN" w:eastAsia="zh-CN"/>
        </w:rPr>
        <w:t>本次申报内容符合实际。申报目标包括数量指标、质量指标、社会效益指标、经济效益指标、服务对象满意度指标，能够比较客观反映项目实施绩效。</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（三）项目自评步骤及方法</w:t>
      </w:r>
    </w:p>
    <w:p>
      <w:pPr>
        <w:adjustRightInd w:val="0"/>
        <w:snapToGrid w:val="0"/>
        <w:spacing w:line="600" w:lineRule="exact"/>
        <w:ind w:firstLine="720"/>
        <w:rPr>
          <w:rFonts w:hint="eastAsia"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组织专家对成果编制的规范性、科学性、可操作性等方面进行评审，通过专家评审、市级有关部门审核、攀枝花市人民政府审定，确保报告编制质量。</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25" w:name="_Toc1487761849_WPSOffice_Level2"/>
      <w:bookmarkStart w:id="126" w:name="_Toc2800230_WPSOffice_Level2"/>
      <w:bookmarkStart w:id="127" w:name="_Toc80627779_WPSOffice_Level2"/>
      <w:r>
        <w:rPr>
          <w:rFonts w:ascii="Times New Roman" w:hAnsi="Times New Roman" w:eastAsia="黑体" w:cs="Times New Roman"/>
          <w:color w:val="auto"/>
          <w:sz w:val="32"/>
          <w:szCs w:val="32"/>
        </w:rPr>
        <w:t>二、项目资金申报及使用情况</w:t>
      </w:r>
      <w:bookmarkEnd w:id="125"/>
      <w:bookmarkEnd w:id="126"/>
      <w:bookmarkEnd w:id="127"/>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（一）项目资金申报及批复情况</w:t>
      </w:r>
    </w:p>
    <w:p>
      <w:pPr>
        <w:adjustRightInd w:val="0"/>
        <w:snapToGrid w:val="0"/>
        <w:spacing w:line="560" w:lineRule="exact"/>
        <w:ind w:firstLine="72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2025年3月13日，市住房城乡建设局会同市财政局向市政府报送《关于购买2025年城市体检技术服务的请示》</w:t>
      </w:r>
      <w:r>
        <w:rPr>
          <w:rFonts w:hint="eastAsia" w:ascii="Times New Roman" w:hAnsi="Times New Roman" w:eastAsia="仿宋_GB2312" w:cs="Times New Roman"/>
          <w:color w:val="000000"/>
          <w:kern w:val="0"/>
          <w:sz w:val="32"/>
          <w:szCs w:val="32"/>
          <w:shd w:val="clear" w:color="auto" w:fill="FFFFFF"/>
          <w:lang w:val="zh-CN" w:eastAsia="zh-CN" w:bidi="ar-SA"/>
        </w:rPr>
        <w:t>（攀住建〔2025〕</w:t>
      </w:r>
      <w:r>
        <w:rPr>
          <w:rFonts w:hint="eastAsia" w:ascii="Times New Roman" w:hAnsi="Times New Roman" w:eastAsia="仿宋_GB2312" w:cs="Times New Roman"/>
          <w:color w:val="000000"/>
          <w:kern w:val="0"/>
          <w:sz w:val="32"/>
          <w:szCs w:val="32"/>
          <w:shd w:val="clear" w:color="auto" w:fill="FFFFFF"/>
          <w:lang w:val="en-US" w:eastAsia="zh-CN" w:bidi="ar-SA"/>
        </w:rPr>
        <w:t>19</w:t>
      </w:r>
      <w:r>
        <w:rPr>
          <w:rFonts w:hint="eastAsia" w:ascii="Times New Roman" w:hAnsi="Times New Roman" w:eastAsia="仿宋_GB2312" w:cs="Times New Roman"/>
          <w:color w:val="000000"/>
          <w:kern w:val="0"/>
          <w:sz w:val="32"/>
          <w:szCs w:val="32"/>
          <w:shd w:val="clear" w:color="auto" w:fill="FFFFFF"/>
          <w:lang w:val="zh-CN" w:eastAsia="zh-CN" w:bidi="ar-SA"/>
        </w:rPr>
        <w:t>号），</w:t>
      </w:r>
      <w:r>
        <w:rPr>
          <w:rFonts w:hint="eastAsia" w:ascii="Times New Roman" w:hAnsi="Times New Roman" w:eastAsia="仿宋_GB2312" w:cs="Times New Roman"/>
          <w:color w:val="000000"/>
          <w:kern w:val="0"/>
          <w:sz w:val="32"/>
          <w:szCs w:val="32"/>
          <w:shd w:val="clear" w:color="auto" w:fill="FFFFFF"/>
          <w:lang w:val="en-US" w:eastAsia="zh-CN" w:bidi="ar-SA"/>
        </w:rPr>
        <w:t>恳请市政府同意以政府购买服务方式采购2025年城市体检技术服务，建议由市财政局先行安排市住房城乡建设局城市体检技术服务费48万元办理政府采购事宜，所需资金在年初预留的“规划及项目重大前期经费”中统筹解决；3月14日，市政府已审批同意。本项目2025年申报资金48万元，2025年下达预算资金48万元</w:t>
      </w:r>
      <w:r>
        <w:rPr>
          <w:rFonts w:hint="eastAsia" w:ascii="Times New Roman" w:hAnsi="Times New Roman" w:eastAsia="仿宋_GB2312" w:cs="Times New Roman"/>
          <w:color w:val="000000"/>
          <w:kern w:val="0"/>
          <w:sz w:val="32"/>
          <w:szCs w:val="32"/>
          <w:shd w:val="clear" w:color="auto" w:fill="FFFFFF"/>
          <w:lang w:val="zh-CN" w:eastAsia="zh-CN" w:bidi="ar-SA"/>
        </w:rPr>
        <w:t>。</w:t>
      </w:r>
    </w:p>
    <w:p>
      <w:pPr>
        <w:adjustRightInd w:val="0"/>
        <w:snapToGrid w:val="0"/>
        <w:spacing w:line="600" w:lineRule="exact"/>
        <w:ind w:firstLine="720"/>
        <w:outlineLvl w:val="1"/>
        <w:rPr>
          <w:rFonts w:ascii="Times New Roman" w:hAnsi="Times New Roman" w:eastAsia="仿宋_GB2312" w:cs="Times New Roman"/>
          <w:color w:val="auto"/>
          <w:sz w:val="32"/>
          <w:szCs w:val="32"/>
          <w:lang w:val="zh-CN"/>
        </w:rPr>
      </w:pPr>
      <w:r>
        <w:rPr>
          <w:rFonts w:ascii="Times New Roman" w:hAnsi="Times New Roman" w:eastAsia="楷体_GB2312" w:cs="Times New Roman"/>
          <w:b/>
          <w:color w:val="auto"/>
          <w:sz w:val="32"/>
          <w:szCs w:val="32"/>
          <w:lang w:val="zh-CN"/>
        </w:rPr>
        <w:t>（二）资金计划、到位及使用情况</w:t>
      </w:r>
    </w:p>
    <w:p>
      <w:pPr>
        <w:adjustRightInd w:val="0"/>
        <w:snapToGrid w:val="0"/>
        <w:spacing w:line="600" w:lineRule="exact"/>
        <w:ind w:firstLine="720"/>
        <w:rPr>
          <w:rFonts w:ascii="Times New Roman" w:hAnsi="Times New Roman" w:eastAsia="仿宋_GB2312" w:cs="Times New Roman"/>
          <w:color w:val="auto"/>
          <w:sz w:val="32"/>
          <w:szCs w:val="32"/>
          <w:lang w:val="zh-CN"/>
        </w:rPr>
      </w:pPr>
      <w:r>
        <w:rPr>
          <w:rFonts w:ascii="Times New Roman" w:hAnsi="Times New Roman" w:eastAsia="楷体_GB2312" w:cs="Times New Roman"/>
          <w:color w:val="auto"/>
          <w:sz w:val="32"/>
          <w:szCs w:val="32"/>
          <w:lang w:val="zh-CN"/>
        </w:rPr>
        <w:t>1</w:t>
      </w:r>
      <w:r>
        <w:rPr>
          <w:rFonts w:hint="eastAsia" w:eastAsia="楷体_GB2312" w:cs="Times New Roman"/>
          <w:color w:val="auto"/>
          <w:sz w:val="32"/>
          <w:szCs w:val="32"/>
          <w:lang w:val="en-US" w:eastAsia="zh-CN"/>
        </w:rPr>
        <w:t>.</w:t>
      </w:r>
      <w:r>
        <w:rPr>
          <w:rFonts w:ascii="Times New Roman" w:hAnsi="Times New Roman" w:eastAsia="楷体_GB2312" w:cs="Times New Roman"/>
          <w:color w:val="auto"/>
          <w:sz w:val="32"/>
          <w:szCs w:val="32"/>
          <w:lang w:val="zh-CN"/>
        </w:rPr>
        <w:t>资金计划。</w:t>
      </w:r>
      <w:r>
        <w:rPr>
          <w:rFonts w:hint="eastAsia" w:ascii="Times New Roman" w:hAnsi="Times New Roman" w:eastAsia="仿宋_GB2312" w:cs="Times New Roman"/>
          <w:color w:val="000000"/>
          <w:kern w:val="0"/>
          <w:sz w:val="32"/>
          <w:szCs w:val="32"/>
          <w:shd w:val="clear" w:color="auto" w:fill="FFFFFF"/>
          <w:lang w:val="zh-CN" w:eastAsia="zh-CN" w:bidi="ar-SA"/>
        </w:rPr>
        <w:t>本项目202</w:t>
      </w:r>
      <w:r>
        <w:rPr>
          <w:rFonts w:hint="eastAsia" w:ascii="Times New Roman" w:hAnsi="Times New Roman" w:eastAsia="仿宋_GB2312" w:cs="Times New Roman"/>
          <w:color w:val="000000"/>
          <w:kern w:val="0"/>
          <w:sz w:val="32"/>
          <w:szCs w:val="32"/>
          <w:shd w:val="clear" w:color="auto" w:fill="FFFFFF"/>
          <w:lang w:val="en-US" w:eastAsia="zh-CN" w:bidi="ar-SA"/>
        </w:rPr>
        <w:t>5</w:t>
      </w:r>
      <w:r>
        <w:rPr>
          <w:rFonts w:hint="eastAsia" w:ascii="Times New Roman" w:hAnsi="Times New Roman" w:eastAsia="仿宋_GB2312" w:cs="Times New Roman"/>
          <w:color w:val="000000"/>
          <w:kern w:val="0"/>
          <w:sz w:val="32"/>
          <w:szCs w:val="32"/>
          <w:shd w:val="clear" w:color="auto" w:fill="FFFFFF"/>
          <w:lang w:val="zh-CN" w:eastAsia="zh-CN" w:bidi="ar-SA"/>
        </w:rPr>
        <w:t>年申报资金</w:t>
      </w:r>
      <w:r>
        <w:rPr>
          <w:rFonts w:hint="eastAsia" w:ascii="Times New Roman" w:hAnsi="Times New Roman" w:eastAsia="仿宋_GB2312" w:cs="Times New Roman"/>
          <w:color w:val="000000"/>
          <w:kern w:val="0"/>
          <w:sz w:val="32"/>
          <w:szCs w:val="32"/>
          <w:shd w:val="clear" w:color="auto" w:fill="FFFFFF"/>
          <w:lang w:val="en-US" w:eastAsia="zh-CN" w:bidi="ar-SA"/>
        </w:rPr>
        <w:t>48</w:t>
      </w:r>
      <w:r>
        <w:rPr>
          <w:rFonts w:hint="eastAsia" w:ascii="Times New Roman" w:hAnsi="Times New Roman" w:eastAsia="仿宋_GB2312" w:cs="Times New Roman"/>
          <w:color w:val="000000"/>
          <w:kern w:val="0"/>
          <w:sz w:val="32"/>
          <w:szCs w:val="32"/>
          <w:shd w:val="clear" w:color="auto" w:fill="FFFFFF"/>
          <w:lang w:val="zh-CN" w:eastAsia="zh-CN" w:bidi="ar-SA"/>
        </w:rPr>
        <w:t>万元，市和区按照35%：65%比例承担</w:t>
      </w:r>
      <w:r>
        <w:rPr>
          <w:rFonts w:hint="eastAsia" w:ascii="Times New Roman" w:hAnsi="Times New Roman" w:eastAsia="仿宋_GB2312" w:cs="Times New Roman"/>
          <w:color w:val="000000"/>
          <w:kern w:val="0"/>
          <w:sz w:val="32"/>
          <w:szCs w:val="32"/>
          <w:shd w:val="clear" w:color="auto" w:fill="FFFFFF"/>
          <w:lang w:val="en-US" w:eastAsia="zh-CN" w:bidi="ar-SA"/>
        </w:rPr>
        <w:t>，并在年底由市和区进行结算</w:t>
      </w:r>
      <w:r>
        <w:rPr>
          <w:rFonts w:hint="eastAsia" w:ascii="Times New Roman" w:hAnsi="Times New Roman" w:eastAsia="仿宋_GB2312" w:cs="Times New Roman"/>
          <w:color w:val="000000"/>
          <w:kern w:val="0"/>
          <w:sz w:val="32"/>
          <w:szCs w:val="32"/>
          <w:shd w:val="clear" w:color="auto" w:fill="FFFFFF"/>
          <w:lang w:val="zh-CN" w:eastAsia="zh-CN" w:bidi="ar-SA"/>
        </w:rPr>
        <w:t>。</w:t>
      </w:r>
      <w:r>
        <w:rPr>
          <w:rFonts w:hint="eastAsia" w:ascii="Times New Roman" w:hAnsi="Times New Roman" w:eastAsia="仿宋_GB2312" w:cs="Times New Roman"/>
          <w:color w:val="000000"/>
          <w:kern w:val="0"/>
          <w:sz w:val="32"/>
          <w:szCs w:val="32"/>
          <w:shd w:val="clear" w:color="auto" w:fill="FFFFFF"/>
          <w:lang w:val="en-US" w:eastAsia="zh-CN" w:bidi="ar-SA"/>
        </w:rPr>
        <w:t>市级部分从2025年“规划及项目重大前期经费”中解决。</w:t>
      </w:r>
    </w:p>
    <w:p>
      <w:pPr>
        <w:adjustRightInd w:val="0"/>
        <w:snapToGrid w:val="0"/>
        <w:spacing w:line="560" w:lineRule="exact"/>
        <w:ind w:firstLine="720"/>
        <w:rPr>
          <w:rFonts w:hint="eastAsia" w:ascii="Times New Roman" w:hAnsi="Times New Roman" w:eastAsia="仿宋_GB2312" w:cs="Times New Roman"/>
          <w:color w:val="auto"/>
          <w:sz w:val="32"/>
          <w:szCs w:val="32"/>
          <w:lang w:val="zh-CN" w:eastAsia="zh-CN"/>
        </w:rPr>
      </w:pPr>
      <w:r>
        <w:rPr>
          <w:rFonts w:ascii="Times New Roman" w:hAnsi="Times New Roman" w:eastAsia="楷体_GB2312" w:cs="Times New Roman"/>
          <w:color w:val="auto"/>
          <w:sz w:val="32"/>
          <w:szCs w:val="32"/>
          <w:lang w:val="zh-CN"/>
        </w:rPr>
        <w:t>2</w:t>
      </w:r>
      <w:r>
        <w:rPr>
          <w:rFonts w:hint="eastAsia" w:eastAsia="楷体_GB2312" w:cs="Times New Roman"/>
          <w:color w:val="auto"/>
          <w:sz w:val="32"/>
          <w:szCs w:val="32"/>
          <w:lang w:val="en-US" w:eastAsia="zh-CN"/>
        </w:rPr>
        <w:t>.</w:t>
      </w:r>
      <w:r>
        <w:rPr>
          <w:rFonts w:ascii="Times New Roman" w:hAnsi="Times New Roman" w:eastAsia="楷体_GB2312" w:cs="Times New Roman"/>
          <w:color w:val="auto"/>
          <w:sz w:val="32"/>
          <w:szCs w:val="32"/>
          <w:lang w:val="zh-CN"/>
        </w:rPr>
        <w:t>资金到位。</w:t>
      </w:r>
      <w:r>
        <w:rPr>
          <w:rFonts w:hint="eastAsia" w:ascii="Times New Roman" w:hAnsi="Times New Roman" w:eastAsia="仿宋_GB2312" w:cs="Times New Roman"/>
          <w:color w:val="auto"/>
          <w:sz w:val="32"/>
          <w:szCs w:val="32"/>
          <w:lang w:val="zh-CN" w:eastAsia="zh-CN"/>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zh-CN" w:eastAsia="zh-CN"/>
        </w:rPr>
        <w:t>年下达预算资金</w:t>
      </w:r>
      <w:r>
        <w:rPr>
          <w:rFonts w:hint="eastAsia" w:ascii="Times New Roman" w:hAnsi="Times New Roman" w:eastAsia="仿宋_GB2312" w:cs="Times New Roman"/>
          <w:color w:val="auto"/>
          <w:sz w:val="32"/>
          <w:szCs w:val="32"/>
          <w:lang w:val="en-US" w:eastAsia="zh-CN"/>
        </w:rPr>
        <w:t>48</w:t>
      </w:r>
      <w:r>
        <w:rPr>
          <w:rFonts w:hint="eastAsia" w:ascii="Times New Roman" w:hAnsi="Times New Roman" w:eastAsia="仿宋_GB2312" w:cs="Times New Roman"/>
          <w:color w:val="auto"/>
          <w:sz w:val="32"/>
          <w:szCs w:val="32"/>
          <w:lang w:val="zh-CN" w:eastAsia="zh-CN"/>
        </w:rPr>
        <w:t>万元。</w:t>
      </w:r>
      <w:r>
        <w:rPr>
          <w:rFonts w:hint="eastAsia" w:ascii="Times New Roman" w:hAnsi="Times New Roman" w:eastAsia="仿宋_GB2312" w:cs="Times New Roman"/>
          <w:color w:val="auto"/>
          <w:sz w:val="32"/>
          <w:szCs w:val="32"/>
          <w:lang w:val="en-US" w:eastAsia="zh-CN"/>
        </w:rPr>
        <w:t>该笔资金由市级财政统一下达，市和区按照35%：65%比例承担，并在年底由市和区进行结算</w:t>
      </w:r>
      <w:r>
        <w:rPr>
          <w:rFonts w:hint="eastAsia" w:ascii="Times New Roman" w:hAnsi="Times New Roman" w:eastAsia="仿宋_GB2312" w:cs="Times New Roman"/>
          <w:color w:val="auto"/>
          <w:sz w:val="32"/>
          <w:szCs w:val="32"/>
          <w:lang w:val="zh-CN" w:eastAsia="zh-CN"/>
        </w:rPr>
        <w:t>。</w:t>
      </w:r>
    </w:p>
    <w:p>
      <w:pPr>
        <w:adjustRightInd w:val="0"/>
        <w:snapToGrid w:val="0"/>
        <w:spacing w:line="600" w:lineRule="exact"/>
        <w:ind w:firstLine="720"/>
        <w:rPr>
          <w:rFonts w:ascii="Times New Roman" w:hAnsi="Times New Roman" w:eastAsia="仿宋_GB2312" w:cs="Times New Roman"/>
          <w:color w:val="auto"/>
          <w:sz w:val="32"/>
          <w:szCs w:val="32"/>
          <w:lang w:val="zh-CN"/>
        </w:rPr>
      </w:pPr>
      <w:r>
        <w:rPr>
          <w:rFonts w:ascii="Times New Roman" w:hAnsi="Times New Roman" w:eastAsia="楷体_GB2312" w:cs="Times New Roman"/>
          <w:color w:val="auto"/>
          <w:sz w:val="32"/>
          <w:szCs w:val="32"/>
          <w:lang w:val="zh-CN"/>
        </w:rPr>
        <w:t>3</w:t>
      </w:r>
      <w:r>
        <w:rPr>
          <w:rFonts w:hint="eastAsia" w:eastAsia="楷体_GB2312" w:cs="Times New Roman"/>
          <w:color w:val="auto"/>
          <w:sz w:val="32"/>
          <w:szCs w:val="32"/>
          <w:lang w:val="en-US" w:eastAsia="zh-CN"/>
        </w:rPr>
        <w:t>.</w:t>
      </w:r>
      <w:r>
        <w:rPr>
          <w:rFonts w:ascii="Times New Roman" w:hAnsi="Times New Roman" w:eastAsia="楷体_GB2312" w:cs="Times New Roman"/>
          <w:color w:val="auto"/>
          <w:sz w:val="32"/>
          <w:szCs w:val="32"/>
          <w:lang w:val="zh-CN"/>
        </w:rPr>
        <w:t>资金使用。</w:t>
      </w:r>
      <w:r>
        <w:rPr>
          <w:rFonts w:hint="eastAsia" w:ascii="Times New Roman" w:hAnsi="Times New Roman" w:eastAsia="仿宋_GB2312" w:cs="Times New Roman"/>
          <w:b w:val="0"/>
          <w:bCs w:val="0"/>
          <w:color w:val="auto"/>
          <w:sz w:val="32"/>
          <w:szCs w:val="32"/>
          <w:highlight w:val="none"/>
          <w:lang w:val="zh-CN" w:eastAsia="zh-CN"/>
        </w:rPr>
        <w:t>市住房城乡建设局通过</w:t>
      </w:r>
      <w:r>
        <w:rPr>
          <w:rFonts w:hint="eastAsia" w:ascii="仿宋_GB2312" w:hAnsi="宋体" w:eastAsia="仿宋_GB2312" w:cs="Times New Roman"/>
          <w:color w:val="auto"/>
          <w:sz w:val="32"/>
          <w:szCs w:val="32"/>
          <w:lang w:val="en-US" w:eastAsia="zh-CN"/>
        </w:rPr>
        <w:t>政府购买服务</w:t>
      </w:r>
      <w:r>
        <w:rPr>
          <w:rFonts w:hint="eastAsia" w:ascii="Times New Roman" w:hAnsi="Times New Roman" w:eastAsia="仿宋_GB2312" w:cs="Times New Roman"/>
          <w:b w:val="0"/>
          <w:bCs w:val="0"/>
          <w:color w:val="auto"/>
          <w:sz w:val="32"/>
          <w:szCs w:val="32"/>
          <w:highlight w:val="none"/>
          <w:lang w:val="zh-CN" w:eastAsia="zh-CN"/>
        </w:rPr>
        <w:t>方式采购了</w:t>
      </w:r>
      <w:r>
        <w:rPr>
          <w:rFonts w:hint="eastAsia" w:ascii="Times New Roman" w:hAnsi="Times New Roman" w:eastAsia="仿宋_GB2312" w:cs="Times New Roman"/>
          <w:color w:val="auto"/>
          <w:sz w:val="32"/>
          <w:szCs w:val="32"/>
          <w:lang w:val="en-US" w:eastAsia="zh-CN"/>
        </w:rPr>
        <w:t>2025年城市体检技术服务</w:t>
      </w:r>
      <w:r>
        <w:rPr>
          <w:rFonts w:hint="eastAsia" w:ascii="Times New Roman" w:hAnsi="Times New Roman" w:eastAsia="仿宋_GB2312" w:cs="Times New Roman"/>
          <w:b w:val="0"/>
          <w:bCs w:val="0"/>
          <w:color w:val="auto"/>
          <w:sz w:val="32"/>
          <w:szCs w:val="32"/>
          <w:highlight w:val="none"/>
          <w:lang w:val="zh-CN" w:eastAsia="zh-CN"/>
        </w:rPr>
        <w:t>，于2025年</w:t>
      </w:r>
      <w:r>
        <w:rPr>
          <w:rFonts w:hint="eastAsia" w:ascii="Times New Roman" w:hAnsi="Times New Roman" w:eastAsia="仿宋_GB2312" w:cs="Times New Roman"/>
          <w:b w:val="0"/>
          <w:bCs w:val="0"/>
          <w:color w:val="auto"/>
          <w:sz w:val="32"/>
          <w:szCs w:val="32"/>
          <w:highlight w:val="none"/>
          <w:lang w:val="en-US" w:eastAsia="zh-CN"/>
        </w:rPr>
        <w:t>5</w:t>
      </w:r>
      <w:r>
        <w:rPr>
          <w:rFonts w:hint="eastAsia" w:ascii="Times New Roman" w:hAnsi="Times New Roman" w:eastAsia="仿宋_GB2312" w:cs="Times New Roman"/>
          <w:b w:val="0"/>
          <w:bCs w:val="0"/>
          <w:color w:val="auto"/>
          <w:sz w:val="32"/>
          <w:szCs w:val="32"/>
          <w:highlight w:val="none"/>
          <w:lang w:val="zh-CN" w:eastAsia="zh-CN"/>
        </w:rPr>
        <w:t>月2</w:t>
      </w:r>
      <w:r>
        <w:rPr>
          <w:rFonts w:hint="eastAsia" w:ascii="Times New Roman" w:hAnsi="Times New Roman" w:eastAsia="仿宋_GB2312" w:cs="Times New Roman"/>
          <w:b w:val="0"/>
          <w:bCs w:val="0"/>
          <w:color w:val="auto"/>
          <w:sz w:val="32"/>
          <w:szCs w:val="32"/>
          <w:highlight w:val="none"/>
          <w:lang w:val="en-US" w:eastAsia="zh-CN"/>
        </w:rPr>
        <w:t>8</w:t>
      </w:r>
      <w:r>
        <w:rPr>
          <w:rFonts w:hint="eastAsia" w:ascii="Times New Roman" w:hAnsi="Times New Roman" w:eastAsia="仿宋_GB2312" w:cs="Times New Roman"/>
          <w:b w:val="0"/>
          <w:bCs w:val="0"/>
          <w:color w:val="auto"/>
          <w:sz w:val="32"/>
          <w:szCs w:val="32"/>
          <w:highlight w:val="none"/>
          <w:lang w:val="zh-CN" w:eastAsia="zh-CN"/>
        </w:rPr>
        <w:t>日完成采购，中标（成交）单位为：四川省城乡建设研究院，中标（成交）金额为</w:t>
      </w:r>
      <w:r>
        <w:rPr>
          <w:rFonts w:hint="eastAsia" w:ascii="Times New Roman" w:hAnsi="Times New Roman" w:eastAsia="仿宋_GB2312" w:cs="Times New Roman"/>
          <w:b w:val="0"/>
          <w:bCs w:val="0"/>
          <w:color w:val="auto"/>
          <w:sz w:val="32"/>
          <w:szCs w:val="32"/>
          <w:highlight w:val="none"/>
          <w:lang w:val="en-US" w:eastAsia="zh-CN"/>
        </w:rPr>
        <w:t>47.5</w:t>
      </w:r>
      <w:r>
        <w:rPr>
          <w:rFonts w:hint="eastAsia" w:ascii="Times New Roman" w:hAnsi="Times New Roman" w:eastAsia="仿宋_GB2312" w:cs="Times New Roman"/>
          <w:b w:val="0"/>
          <w:bCs w:val="0"/>
          <w:color w:val="auto"/>
          <w:sz w:val="32"/>
          <w:szCs w:val="32"/>
          <w:highlight w:val="none"/>
          <w:lang w:val="zh-CN" w:eastAsia="zh-CN"/>
        </w:rPr>
        <w:t>万元，2025年</w:t>
      </w:r>
      <w:r>
        <w:rPr>
          <w:rFonts w:hint="eastAsia" w:ascii="Times New Roman" w:hAnsi="Times New Roman" w:eastAsia="仿宋_GB2312" w:cs="Times New Roman"/>
          <w:b w:val="0"/>
          <w:bCs w:val="0"/>
          <w:color w:val="auto"/>
          <w:sz w:val="32"/>
          <w:szCs w:val="32"/>
          <w:highlight w:val="none"/>
          <w:lang w:val="en-US" w:eastAsia="zh-CN"/>
        </w:rPr>
        <w:t>7</w:t>
      </w:r>
      <w:r>
        <w:rPr>
          <w:rFonts w:hint="eastAsia" w:ascii="Times New Roman" w:hAnsi="Times New Roman" w:eastAsia="仿宋_GB2312" w:cs="Times New Roman"/>
          <w:b w:val="0"/>
          <w:bCs w:val="0"/>
          <w:color w:val="auto"/>
          <w:sz w:val="32"/>
          <w:szCs w:val="32"/>
          <w:highlight w:val="none"/>
          <w:lang w:val="zh-CN" w:eastAsia="zh-CN"/>
        </w:rPr>
        <w:t>月</w:t>
      </w:r>
      <w:r>
        <w:rPr>
          <w:rFonts w:hint="eastAsia" w:ascii="Times New Roman" w:hAnsi="Times New Roman" w:eastAsia="仿宋_GB2312" w:cs="Times New Roman"/>
          <w:b w:val="0"/>
          <w:bCs w:val="0"/>
          <w:color w:val="auto"/>
          <w:sz w:val="32"/>
          <w:szCs w:val="32"/>
          <w:highlight w:val="none"/>
          <w:lang w:val="en-US" w:eastAsia="zh-CN"/>
        </w:rPr>
        <w:t>10</w:t>
      </w:r>
      <w:r>
        <w:rPr>
          <w:rFonts w:hint="eastAsia" w:ascii="Times New Roman" w:hAnsi="Times New Roman" w:eastAsia="仿宋_GB2312" w:cs="Times New Roman"/>
          <w:b w:val="0"/>
          <w:bCs w:val="0"/>
          <w:color w:val="auto"/>
          <w:sz w:val="32"/>
          <w:szCs w:val="32"/>
          <w:highlight w:val="none"/>
          <w:lang w:val="zh-CN" w:eastAsia="zh-CN"/>
        </w:rPr>
        <w:t>日签</w:t>
      </w:r>
      <w:r>
        <w:rPr>
          <w:rFonts w:hint="eastAsia" w:eastAsia="仿宋_GB2312" w:cs="Times New Roman"/>
          <w:b w:val="0"/>
          <w:bCs w:val="0"/>
          <w:color w:val="auto"/>
          <w:sz w:val="32"/>
          <w:szCs w:val="32"/>
          <w:highlight w:val="none"/>
          <w:lang w:val="zh-CN" w:eastAsia="zh-CN"/>
        </w:rPr>
        <w:t>订</w:t>
      </w:r>
      <w:r>
        <w:rPr>
          <w:rFonts w:hint="eastAsia" w:ascii="Times New Roman" w:hAnsi="Times New Roman" w:eastAsia="仿宋_GB2312" w:cs="Times New Roman"/>
          <w:b w:val="0"/>
          <w:bCs w:val="0"/>
          <w:color w:val="auto"/>
          <w:sz w:val="32"/>
          <w:szCs w:val="32"/>
          <w:highlight w:val="none"/>
          <w:lang w:val="zh-CN" w:eastAsia="zh-CN"/>
        </w:rPr>
        <w:t>合同。</w:t>
      </w:r>
      <w:r>
        <w:rPr>
          <w:rFonts w:hint="eastAsia" w:ascii="Times New Roman" w:hAnsi="Times New Roman" w:eastAsia="仿宋_GB2312" w:cs="Times New Roman"/>
          <w:b w:val="0"/>
          <w:bCs w:val="0"/>
          <w:color w:val="auto"/>
          <w:sz w:val="32"/>
          <w:szCs w:val="32"/>
          <w:highlight w:val="none"/>
          <w:lang w:val="en-US" w:eastAsia="zh-CN"/>
        </w:rPr>
        <w:t>根据合同约定：乙方将城市体检报告初步成果提交给甲方，甲方收到发票后30日内支付合同总金额的30%，计人民币14.25万元。乙方完成城市体检报告，通过专家评审，并通过市政府审定，满足第三条（四）、（五）项约定并配合甲方完成上报，甲方收到发票后30日内支付合同总金额的70%，计人民币33.25万元。</w:t>
      </w:r>
      <w:r>
        <w:rPr>
          <w:rFonts w:hint="eastAsia" w:ascii="Times New Roman" w:hAnsi="Times New Roman" w:eastAsia="仿宋_GB2312" w:cs="Times New Roman"/>
          <w:b w:val="0"/>
          <w:bCs w:val="0"/>
          <w:color w:val="auto"/>
          <w:sz w:val="32"/>
          <w:szCs w:val="32"/>
          <w:lang w:val="zh-CN"/>
        </w:rPr>
        <w:t>202</w:t>
      </w:r>
      <w:r>
        <w:rPr>
          <w:rFonts w:hint="eastAsia" w:ascii="Times New Roman" w:hAnsi="Times New Roman" w:eastAsia="仿宋_GB2312" w:cs="Times New Roman"/>
          <w:b w:val="0"/>
          <w:bCs w:val="0"/>
          <w:color w:val="auto"/>
          <w:sz w:val="32"/>
          <w:szCs w:val="32"/>
          <w:lang w:val="en-US" w:eastAsia="zh-CN"/>
        </w:rPr>
        <w:t>5</w:t>
      </w:r>
      <w:r>
        <w:rPr>
          <w:rFonts w:hint="eastAsia" w:ascii="Times New Roman" w:hAnsi="Times New Roman" w:eastAsia="仿宋_GB2312" w:cs="Times New Roman"/>
          <w:b w:val="0"/>
          <w:bCs w:val="0"/>
          <w:color w:val="auto"/>
          <w:sz w:val="32"/>
          <w:szCs w:val="32"/>
          <w:lang w:val="zh-CN"/>
        </w:rPr>
        <w:t>年12月，根据与供应商签</w:t>
      </w:r>
      <w:r>
        <w:rPr>
          <w:rFonts w:hint="eastAsia" w:eastAsia="仿宋_GB2312" w:cs="Times New Roman"/>
          <w:b w:val="0"/>
          <w:bCs w:val="0"/>
          <w:color w:val="auto"/>
          <w:sz w:val="32"/>
          <w:szCs w:val="32"/>
          <w:lang w:val="zh-CN"/>
        </w:rPr>
        <w:t>订</w:t>
      </w:r>
      <w:r>
        <w:rPr>
          <w:rFonts w:hint="eastAsia" w:ascii="Times New Roman" w:hAnsi="Times New Roman" w:eastAsia="仿宋_GB2312" w:cs="Times New Roman"/>
          <w:b w:val="0"/>
          <w:bCs w:val="0"/>
          <w:color w:val="auto"/>
          <w:sz w:val="32"/>
          <w:szCs w:val="32"/>
          <w:lang w:val="zh-CN"/>
        </w:rPr>
        <w:t>的技术服务合同，使用</w:t>
      </w:r>
      <w:r>
        <w:rPr>
          <w:rFonts w:hint="eastAsia" w:ascii="Times New Roman" w:hAnsi="Times New Roman" w:eastAsia="仿宋_GB2312" w:cs="Times New Roman"/>
          <w:b w:val="0"/>
          <w:bCs w:val="0"/>
          <w:color w:val="auto"/>
          <w:sz w:val="32"/>
          <w:szCs w:val="32"/>
          <w:lang w:val="en-US" w:eastAsia="zh-CN"/>
        </w:rPr>
        <w:t>14.25</w:t>
      </w:r>
      <w:r>
        <w:rPr>
          <w:rFonts w:hint="eastAsia" w:ascii="Times New Roman" w:hAnsi="Times New Roman" w:eastAsia="仿宋_GB2312" w:cs="Times New Roman"/>
          <w:b w:val="0"/>
          <w:bCs w:val="0"/>
          <w:color w:val="auto"/>
          <w:sz w:val="32"/>
          <w:szCs w:val="32"/>
          <w:lang w:val="zh-CN"/>
        </w:rPr>
        <w:t>万元，拨付至四川省城乡建设研究院。</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（三）项目财务管理情况</w:t>
      </w:r>
    </w:p>
    <w:p>
      <w:pPr>
        <w:adjustRightInd w:val="0"/>
        <w:snapToGrid w:val="0"/>
        <w:spacing w:line="600" w:lineRule="exact"/>
        <w:ind w:firstLine="720"/>
        <w:rPr>
          <w:rFonts w:hint="eastAsia" w:ascii="Times New Roman" w:hAnsi="Times New Roman" w:eastAsia="仿宋_GB2312" w:cs="Times New Roman"/>
          <w:b w:val="0"/>
          <w:bCs w:val="0"/>
          <w:color w:val="auto"/>
          <w:sz w:val="32"/>
          <w:szCs w:val="32"/>
          <w:highlight w:val="none"/>
          <w:lang w:val="zh-CN"/>
        </w:rPr>
      </w:pPr>
      <w:r>
        <w:rPr>
          <w:rFonts w:hint="eastAsia" w:ascii="Times New Roman" w:hAnsi="Times New Roman" w:eastAsia="仿宋_GB2312" w:cs="Times New Roman"/>
          <w:b w:val="0"/>
          <w:bCs w:val="0"/>
          <w:color w:val="auto"/>
          <w:sz w:val="32"/>
          <w:szCs w:val="32"/>
          <w:highlight w:val="none"/>
          <w:lang w:val="zh-CN"/>
        </w:rPr>
        <w:t>项目实施单位财务管理制度健全完善，严格执行国家及市级财政财务管理制度，项目资金账务处理及时规范，会计核算清晰准确，资金拨付全程遵循“按合同、按进度、按要求”原则，审批流程完整，资金使用合规可控。</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28" w:name="_Toc1827744922_WPSOffice_Level2"/>
      <w:bookmarkStart w:id="129" w:name="_Toc14693532_WPSOffice_Level2"/>
      <w:bookmarkStart w:id="130" w:name="_Toc1914281635_WPSOffice_Level2"/>
      <w:r>
        <w:rPr>
          <w:rFonts w:ascii="Times New Roman" w:hAnsi="Times New Roman" w:eastAsia="黑体" w:cs="Times New Roman"/>
          <w:color w:val="auto"/>
          <w:sz w:val="32"/>
          <w:szCs w:val="32"/>
        </w:rPr>
        <w:t>三、项目实施及管理情况</w:t>
      </w:r>
      <w:bookmarkEnd w:id="128"/>
      <w:bookmarkEnd w:id="129"/>
      <w:bookmarkEnd w:id="130"/>
    </w:p>
    <w:p>
      <w:pPr>
        <w:adjustRightInd w:val="0"/>
        <w:snapToGrid w:val="0"/>
        <w:spacing w:line="600" w:lineRule="exact"/>
        <w:ind w:firstLine="720"/>
        <w:rPr>
          <w:rFonts w:hint="eastAsia" w:ascii="Times New Roman" w:hAnsi="Times New Roman" w:eastAsia="楷体_GB2312" w:cs="Times New Roman"/>
          <w:b/>
          <w:color w:val="auto"/>
          <w:sz w:val="32"/>
          <w:szCs w:val="32"/>
          <w:lang w:val="en-US" w:eastAsia="zh-CN"/>
        </w:rPr>
      </w:pPr>
      <w:r>
        <w:rPr>
          <w:rFonts w:hint="eastAsia" w:ascii="Times New Roman" w:hAnsi="Times New Roman" w:eastAsia="楷体_GB2312" w:cs="Times New Roman"/>
          <w:b/>
          <w:color w:val="auto"/>
          <w:sz w:val="32"/>
          <w:szCs w:val="32"/>
          <w:lang w:val="en-US" w:eastAsia="zh-CN"/>
        </w:rPr>
        <w:t>（一）项目组织架构及实施流程</w:t>
      </w:r>
    </w:p>
    <w:p>
      <w:pPr>
        <w:adjustRightInd w:val="0"/>
        <w:snapToGrid w:val="0"/>
        <w:spacing w:line="600" w:lineRule="exact"/>
        <w:ind w:firstLine="720"/>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项目采用政府</w:t>
      </w:r>
      <w:r>
        <w:rPr>
          <w:rFonts w:hint="eastAsia" w:ascii="仿宋_GB2312" w:hAnsi="宋体" w:eastAsia="仿宋_GB2312" w:cs="Times New Roman"/>
          <w:color w:val="auto"/>
          <w:sz w:val="32"/>
          <w:szCs w:val="32"/>
          <w:lang w:val="en-US" w:eastAsia="zh-CN"/>
        </w:rPr>
        <w:t>购买</w:t>
      </w:r>
      <w:r>
        <w:rPr>
          <w:rFonts w:hint="eastAsia" w:ascii="Times New Roman" w:hAnsi="Times New Roman" w:eastAsia="仿宋_GB2312" w:cs="Times New Roman"/>
          <w:b w:val="0"/>
          <w:bCs w:val="0"/>
          <w:color w:val="auto"/>
          <w:sz w:val="32"/>
          <w:szCs w:val="32"/>
          <w:lang w:val="en-US" w:eastAsia="zh-CN"/>
        </w:rPr>
        <w:t>服务模式开展技术服务采购实施，项目主管单位为市住房城乡建设局。市住房城乡建设局城市更新专班牵头组织，技术服务供应商四川省城乡建设研究院具体负责推进攀枝花市2025年城市体检工作，负责指标数据采集、社会问卷调查、分析问题、编制报告等工作。项目于2025年7月启动，2026年1月完成验收。</w:t>
      </w:r>
    </w:p>
    <w:p>
      <w:pPr>
        <w:numPr>
          <w:ilvl w:val="0"/>
          <w:numId w:val="2"/>
        </w:numPr>
        <w:adjustRightInd w:val="0"/>
        <w:snapToGrid w:val="0"/>
        <w:spacing w:line="600" w:lineRule="exact"/>
        <w:ind w:firstLine="720"/>
        <w:rPr>
          <w:rFonts w:hint="eastAsia" w:ascii="Times New Roman" w:hAnsi="Times New Roman" w:eastAsia="楷体_GB2312" w:cs="Times New Roman"/>
          <w:b/>
          <w:color w:val="auto"/>
          <w:sz w:val="32"/>
          <w:szCs w:val="32"/>
          <w:lang w:val="en-US" w:eastAsia="zh-CN"/>
        </w:rPr>
      </w:pPr>
      <w:r>
        <w:rPr>
          <w:rFonts w:hint="eastAsia" w:ascii="Times New Roman" w:hAnsi="Times New Roman" w:eastAsia="楷体_GB2312" w:cs="Times New Roman"/>
          <w:b/>
          <w:color w:val="auto"/>
          <w:sz w:val="32"/>
          <w:szCs w:val="32"/>
          <w:lang w:val="en-US" w:eastAsia="zh-CN"/>
        </w:rPr>
        <w:t>项目管理情况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 xml:space="preserve">项目按照政府购买服务相关政策文件开展采购和管理，采购环节严格遵循《中华人民共和国政府采购法》《四川省政府购买服务管理办法》等有关要求执行。项目开展按照《四川省住房和城乡建设厅关于深入开展2025年城市体检工作的通知》（川建更新函〔2025〕940号）有关要求执行，符合有关文件规范和合同约定，市住房城乡建设局对项目推进进度、项目成果编制等工作严格进行监督，并按照合同约定进行绩效考核和按效付费。    </w:t>
      </w:r>
    </w:p>
    <w:p>
      <w:pPr>
        <w:numPr>
          <w:ilvl w:val="0"/>
          <w:numId w:val="2"/>
        </w:numPr>
        <w:adjustRightInd w:val="0"/>
        <w:snapToGrid w:val="0"/>
        <w:spacing w:line="600" w:lineRule="exact"/>
        <w:ind w:left="0" w:leftChars="0" w:firstLine="720" w:firstLineChars="0"/>
        <w:outlineLvl w:val="0"/>
        <w:rPr>
          <w:rFonts w:hint="eastAsia" w:ascii="Times New Roman" w:hAnsi="Times New Roman" w:eastAsia="楷体_GB2312" w:cs="Times New Roman"/>
          <w:b/>
          <w:color w:val="auto"/>
          <w:sz w:val="32"/>
          <w:szCs w:val="32"/>
          <w:lang w:val="en-US" w:eastAsia="zh-CN"/>
        </w:rPr>
      </w:pPr>
      <w:r>
        <w:rPr>
          <w:rFonts w:hint="eastAsia" w:ascii="Times New Roman" w:hAnsi="Times New Roman" w:eastAsia="楷体_GB2312" w:cs="Times New Roman"/>
          <w:b/>
          <w:color w:val="auto"/>
          <w:sz w:val="32"/>
          <w:szCs w:val="32"/>
          <w:lang w:val="en-US" w:eastAsia="zh-CN"/>
        </w:rPr>
        <w:t>项目监管情况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outlineLvl w:val="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项目实施过程中，我局对技术服务开展情况进行常态化跟踪监管，重点核查指标数据采集的真实性、问卷调查的全面性、报告编制的规范性，严格按照合同约定对阶段性成果进行审核，确保项目实施质量符合相关要求。</w:t>
      </w:r>
    </w:p>
    <w:p>
      <w:pPr>
        <w:adjustRightInd w:val="0"/>
        <w:snapToGrid w:val="0"/>
        <w:spacing w:line="600" w:lineRule="exact"/>
        <w:ind w:firstLine="720"/>
        <w:outlineLvl w:val="0"/>
        <w:rPr>
          <w:rFonts w:ascii="Times New Roman" w:hAnsi="Times New Roman" w:eastAsia="仿宋_GB2312" w:cs="Times New Roman"/>
          <w:color w:val="auto"/>
          <w:sz w:val="32"/>
          <w:szCs w:val="32"/>
          <w:lang w:val="zh-CN"/>
        </w:rPr>
      </w:pPr>
      <w:bookmarkStart w:id="131" w:name="_Toc1610450803_WPSOffice_Level2"/>
      <w:bookmarkStart w:id="132" w:name="_Toc1088064038_WPSOffice_Level2"/>
      <w:bookmarkStart w:id="133" w:name="_Toc1913240864_WPSOffice_Level2"/>
      <w:r>
        <w:rPr>
          <w:rFonts w:ascii="Times New Roman" w:hAnsi="Times New Roman" w:eastAsia="黑体" w:cs="Times New Roman"/>
          <w:color w:val="auto"/>
          <w:sz w:val="32"/>
          <w:szCs w:val="32"/>
        </w:rPr>
        <w:t>四、项目绩效情况</w:t>
      </w:r>
      <w:bookmarkEnd w:id="131"/>
      <w:bookmarkEnd w:id="132"/>
      <w:bookmarkEnd w:id="133"/>
      <w:r>
        <w:rPr>
          <w:rFonts w:ascii="Times New Roman" w:hAnsi="Times New Roman" w:eastAsia="仿宋_GB2312" w:cs="Times New Roman"/>
          <w:color w:val="auto"/>
          <w:sz w:val="32"/>
          <w:szCs w:val="32"/>
          <w:lang w:val="zh-CN"/>
        </w:rPr>
        <w:tab/>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（一）项目完成情况</w:t>
      </w:r>
    </w:p>
    <w:p>
      <w:pPr>
        <w:adjustRightInd w:val="0"/>
        <w:snapToGrid w:val="0"/>
        <w:spacing w:line="600" w:lineRule="exact"/>
        <w:ind w:firstLine="72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已完成体检指标数据采集、满意度调查、城市体检报告编制，制定问题清单和整治建议清单，为城市更新规划编制和城市更新项目生成提供依据。</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（二）项目效益情况</w:t>
      </w:r>
    </w:p>
    <w:p>
      <w:pPr>
        <w:adjustRightInd w:val="0"/>
        <w:snapToGrid w:val="0"/>
        <w:spacing w:line="600" w:lineRule="exact"/>
        <w:ind w:firstLine="720"/>
        <w:rPr>
          <w:rFonts w:hint="eastAsia"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项目完成度方面，已完成体检指标数据采集和城市体检报告编制；项目社会效益方面充分收集居民对城市建设工作的意见和建议，并将调查情况融入城市体检报告，助力群众对城市建设满意度的提高；经济效益方面落实精明增长的建设理念，通过城市体检评估，有针对性地制定对策措施，助力城市建设质量和效果提升。以城市体检为基础，推动城市体检成果运用，精准识别问题短板，系统谋划城市更新项目库，为形成我市城市有机更新攻坚行动方案提供了有力支撑。</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34" w:name="_Toc316331086_WPSOffice_Level2"/>
      <w:bookmarkStart w:id="135" w:name="_Toc1842472044_WPSOffice_Level2"/>
      <w:bookmarkStart w:id="136" w:name="_Toc1292006789_WPSOffice_Level2"/>
      <w:r>
        <w:rPr>
          <w:rFonts w:ascii="Times New Roman" w:hAnsi="Times New Roman" w:eastAsia="黑体" w:cs="Times New Roman"/>
          <w:color w:val="auto"/>
          <w:sz w:val="32"/>
          <w:szCs w:val="32"/>
        </w:rPr>
        <w:t>五、评价结论及建议</w:t>
      </w:r>
      <w:bookmarkEnd w:id="134"/>
      <w:bookmarkEnd w:id="135"/>
      <w:bookmarkEnd w:id="136"/>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（一）评价结论</w:t>
      </w:r>
    </w:p>
    <w:p>
      <w:pPr>
        <w:adjustRightInd w:val="0"/>
        <w:snapToGrid w:val="0"/>
        <w:spacing w:line="600" w:lineRule="exact"/>
        <w:ind w:firstLine="720"/>
        <w:rPr>
          <w:rFonts w:hint="eastAsia"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项目决策程序严密、规划合理，实施过程资金使用合规、执行有效，预算足额到位且使用规范，全面完成各项绩效目标，无资金结余、无违规记录，社会效益显著，达到预期效果，自评综合得分 100 分。</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（二）存在的问题</w:t>
      </w:r>
    </w:p>
    <w:p>
      <w:pPr>
        <w:adjustRightInd w:val="0"/>
        <w:snapToGrid w:val="0"/>
        <w:spacing w:line="600" w:lineRule="exact"/>
        <w:ind w:firstLine="640" w:firstLineChars="200"/>
        <w:rPr>
          <w:rFonts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无。</w:t>
      </w:r>
      <w:r>
        <w:rPr>
          <w:rFonts w:ascii="Times New Roman" w:hAnsi="Times New Roman" w:eastAsia="仿宋_GB2312" w:cs="Times New Roman"/>
          <w:color w:val="auto"/>
          <w:sz w:val="32"/>
          <w:szCs w:val="32"/>
          <w:lang w:val="zh-CN"/>
        </w:rPr>
        <w:tab/>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（三）相关建议</w:t>
      </w:r>
    </w:p>
    <w:p>
      <w:pPr>
        <w:spacing w:line="578" w:lineRule="exact"/>
        <w:ind w:firstLine="640"/>
        <w:rPr>
          <w:rFonts w:eastAsia="仿宋_GB2312" w:cs="仿宋_GB2312"/>
          <w:b/>
          <w:bCs/>
          <w:kern w:val="0"/>
          <w:sz w:val="32"/>
          <w:szCs w:val="32"/>
        </w:rPr>
      </w:pPr>
      <w:r>
        <w:rPr>
          <w:rFonts w:hint="eastAsia" w:ascii="Times New Roman" w:hAnsi="Times New Roman" w:eastAsia="仿宋_GB2312" w:cs="Times New Roman"/>
          <w:color w:val="auto"/>
          <w:sz w:val="32"/>
          <w:szCs w:val="32"/>
          <w:lang w:val="zh-CN"/>
        </w:rPr>
        <w:t>无。</w:t>
      </w: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hint="eastAsia" w:eastAsia="仿宋_GB2312" w:cs="仿宋_GB2312"/>
          <w:kern w:val="0"/>
          <w:sz w:val="32"/>
          <w:szCs w:val="32"/>
        </w:rPr>
      </w:pPr>
      <w:bookmarkStart w:id="137" w:name="_Toc15396618"/>
      <w:r>
        <w:rPr>
          <w:rFonts w:hint="eastAsia" w:eastAsia="仿宋_GB2312" w:cs="仿宋_GB2312"/>
          <w:kern w:val="0"/>
          <w:sz w:val="32"/>
          <w:szCs w:val="32"/>
        </w:rPr>
        <w:br w:type="page"/>
      </w:r>
    </w:p>
    <w:p>
      <w:pPr>
        <w:widowControl w:val="0"/>
        <w:spacing w:line="600" w:lineRule="exact"/>
        <w:jc w:val="center"/>
        <w:outlineLvl w:val="0"/>
        <w:rPr>
          <w:rFonts w:hint="eastAsia" w:ascii="Times New Roman" w:hAnsi="Times New Roman" w:eastAsia="方正小标宋简体" w:cs="Times New Roman"/>
          <w:color w:val="auto"/>
          <w:kern w:val="2"/>
          <w:sz w:val="40"/>
          <w:szCs w:val="40"/>
          <w:lang w:val="en-US" w:eastAsia="zh-CN" w:bidi="ar-SA"/>
        </w:rPr>
      </w:pPr>
      <w:bookmarkStart w:id="138" w:name="_Toc1117895696_WPSOffice_Level2"/>
      <w:bookmarkStart w:id="139" w:name="_Toc1757228617_WPSOffice_Level2"/>
      <w:bookmarkStart w:id="140" w:name="_Toc441950560_WPSOffice_Level2"/>
      <w:r>
        <w:rPr>
          <w:rFonts w:hint="eastAsia" w:ascii="Times New Roman" w:hAnsi="Times New Roman" w:eastAsia="方正小标宋简体" w:cs="Times New Roman"/>
          <w:color w:val="auto"/>
          <w:kern w:val="2"/>
          <w:sz w:val="40"/>
          <w:szCs w:val="40"/>
          <w:lang w:val="en-US" w:eastAsia="zh-CN" w:bidi="ar-SA"/>
        </w:rPr>
        <w:t>攀枝花市城市有机更新攻坚行动第三方技术服务</w:t>
      </w:r>
      <w:bookmarkEnd w:id="138"/>
      <w:bookmarkEnd w:id="139"/>
      <w:bookmarkEnd w:id="140"/>
    </w:p>
    <w:p>
      <w:pPr>
        <w:widowControl w:val="0"/>
        <w:spacing w:line="600" w:lineRule="exact"/>
        <w:jc w:val="center"/>
        <w:outlineLvl w:val="0"/>
        <w:rPr>
          <w:rFonts w:ascii="Times New Roman" w:hAnsi="Times New Roman" w:eastAsia="方正小标宋简体" w:cs="Times New Roman"/>
          <w:color w:val="auto"/>
          <w:kern w:val="2"/>
          <w:sz w:val="40"/>
          <w:szCs w:val="40"/>
          <w:lang w:val="zh-CN" w:eastAsia="zh-CN" w:bidi="ar-SA"/>
        </w:rPr>
      </w:pPr>
      <w:bookmarkStart w:id="141" w:name="_Toc76146126_WPSOffice_Level2"/>
      <w:bookmarkStart w:id="142" w:name="_Toc1275377879_WPSOffice_Level2"/>
      <w:bookmarkStart w:id="143" w:name="_Toc2076747957_WPSOffice_Level2"/>
      <w:r>
        <w:rPr>
          <w:rFonts w:hint="eastAsia" w:ascii="Times New Roman" w:hAnsi="Times New Roman" w:eastAsia="方正小标宋简体" w:cs="Times New Roman"/>
          <w:color w:val="auto"/>
          <w:kern w:val="2"/>
          <w:sz w:val="40"/>
          <w:szCs w:val="40"/>
          <w:lang w:val="en-US" w:eastAsia="zh-CN" w:bidi="ar-SA"/>
        </w:rPr>
        <w:t>项目</w:t>
      </w:r>
      <w:r>
        <w:rPr>
          <w:rFonts w:ascii="Times New Roman" w:hAnsi="Times New Roman" w:eastAsia="方正小标宋简体" w:cs="Times New Roman"/>
          <w:color w:val="auto"/>
          <w:kern w:val="2"/>
          <w:sz w:val="40"/>
          <w:szCs w:val="40"/>
          <w:lang w:val="zh-CN" w:eastAsia="zh-CN" w:bidi="ar-SA"/>
        </w:rPr>
        <w:t>支出绩效自评报告</w:t>
      </w:r>
      <w:bookmarkEnd w:id="141"/>
      <w:bookmarkEnd w:id="142"/>
      <w:bookmarkEnd w:id="143"/>
    </w:p>
    <w:p>
      <w:pPr>
        <w:widowControl w:val="0"/>
        <w:spacing w:line="600" w:lineRule="exact"/>
        <w:ind w:firstLine="883"/>
        <w:jc w:val="center"/>
        <w:outlineLvl w:val="0"/>
        <w:rPr>
          <w:rFonts w:ascii="Times New Roman" w:hAnsi="Times New Roman" w:eastAsia="仿宋_GB2312" w:cs="Times New Roman"/>
          <w:color w:val="auto"/>
          <w:kern w:val="2"/>
          <w:sz w:val="32"/>
          <w:szCs w:val="32"/>
          <w:lang w:val="zh-CN" w:eastAsia="zh-CN" w:bidi="ar-SA"/>
        </w:rPr>
      </w:pPr>
      <w:r>
        <w:rPr>
          <w:rFonts w:ascii="Times New Roman" w:hAnsi="Times New Roman" w:eastAsia="仿宋_GB2312" w:cs="Times New Roman"/>
          <w:color w:val="auto"/>
          <w:kern w:val="2"/>
          <w:sz w:val="32"/>
          <w:szCs w:val="32"/>
          <w:lang w:val="zh-CN" w:eastAsia="zh-CN" w:bidi="ar-SA"/>
        </w:rPr>
        <w:t>（主管部门自评）</w:t>
      </w:r>
    </w:p>
    <w:p>
      <w:pPr>
        <w:widowControl w:val="0"/>
        <w:spacing w:line="600" w:lineRule="exact"/>
        <w:ind w:firstLine="640"/>
        <w:jc w:val="center"/>
        <w:rPr>
          <w:rFonts w:ascii="Times New Roman" w:hAnsi="Times New Roman" w:eastAsia="宋体" w:cs="Times New Roman"/>
          <w:color w:val="auto"/>
          <w:kern w:val="2"/>
          <w:sz w:val="32"/>
          <w:szCs w:val="32"/>
          <w:lang w:val="zh-CN" w:eastAsia="zh-CN" w:bidi="ar-SA"/>
        </w:rPr>
      </w:pPr>
    </w:p>
    <w:p>
      <w:pPr>
        <w:adjustRightInd w:val="0"/>
        <w:snapToGrid w:val="0"/>
        <w:spacing w:line="600" w:lineRule="exact"/>
        <w:ind w:firstLine="720"/>
        <w:outlineLvl w:val="0"/>
        <w:rPr>
          <w:rFonts w:ascii="Times New Roman" w:hAnsi="Times New Roman" w:eastAsia="黑体" w:cs="Times New Roman"/>
          <w:color w:val="auto"/>
          <w:sz w:val="32"/>
          <w:szCs w:val="32"/>
          <w:lang w:val="zh-CN"/>
        </w:rPr>
      </w:pPr>
      <w:bookmarkStart w:id="144" w:name="_Toc268659830_WPSOffice_Level2"/>
      <w:bookmarkStart w:id="145" w:name="_Toc926422656_WPSOffice_Level2"/>
      <w:bookmarkStart w:id="146" w:name="_Toc1990366591_WPSOffice_Level2"/>
      <w:r>
        <w:rPr>
          <w:rFonts w:ascii="Times New Roman" w:hAnsi="Times New Roman" w:eastAsia="黑体" w:cs="Times New Roman"/>
          <w:color w:val="auto"/>
          <w:sz w:val="32"/>
          <w:szCs w:val="32"/>
        </w:rPr>
        <w:t>一、</w:t>
      </w:r>
      <w:r>
        <w:rPr>
          <w:rFonts w:ascii="Times New Roman" w:hAnsi="Times New Roman" w:eastAsia="黑体" w:cs="Times New Roman"/>
          <w:color w:val="auto"/>
          <w:sz w:val="32"/>
          <w:szCs w:val="32"/>
          <w:lang w:val="zh-CN"/>
        </w:rPr>
        <w:t>项目概况</w:t>
      </w:r>
      <w:bookmarkEnd w:id="144"/>
      <w:bookmarkEnd w:id="145"/>
      <w:bookmarkEnd w:id="146"/>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（一）项目基本情况</w:t>
      </w:r>
    </w:p>
    <w:p>
      <w:pPr>
        <w:adjustRightInd w:val="0"/>
        <w:snapToGrid w:val="0"/>
        <w:spacing w:line="600" w:lineRule="exact"/>
        <w:ind w:firstLine="720"/>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zh-CN" w:eastAsia="zh-CN"/>
        </w:rPr>
        <w:t>本项目根据国家、省市对城市更新工作的推进要求，开展攀枝花市城市更新重点片区前期技术咨询服务。服务内容包括：编制省级城市更新重点城市实施方案、完善申报审核的有关材料汇编，以及后期项目实施的技术咨询服务等。</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（二）项目绩效目标</w:t>
      </w:r>
    </w:p>
    <w:p>
      <w:pPr>
        <w:adjustRightInd w:val="0"/>
        <w:snapToGrid w:val="0"/>
        <w:spacing w:line="600" w:lineRule="exact"/>
        <w:ind w:firstLine="720"/>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highlight w:val="none"/>
          <w:lang w:val="zh-CN"/>
        </w:rPr>
        <w:t>1.项目主要内容。</w:t>
      </w:r>
      <w:r>
        <w:rPr>
          <w:rFonts w:hint="eastAsia" w:ascii="Times New Roman" w:hAnsi="Times New Roman" w:eastAsia="仿宋_GB2312" w:cs="Times New Roman"/>
          <w:color w:val="auto"/>
          <w:sz w:val="32"/>
          <w:szCs w:val="32"/>
          <w:lang w:val="en-US" w:eastAsia="zh-CN"/>
        </w:rPr>
        <w:t>本项目的主要内容是综合分析攀枝花城市更新总体情况，总结攀枝花市已开展的工作和成效，分析攀枝花市在城市更新建设中需解决的主要问题、开展城市更新工作的重要性、必要性和可行性，合理确定开展城市更新工作的建设目标，提出攀枝花市城市更新系统化实施方案，健全工作机制模式，编制项目清单，在系统梳理攀枝花市已完成建立的城市更新机制体制基础上，协助建立符合攀枝花市需求的特色体制机制。</w:t>
      </w:r>
    </w:p>
    <w:p>
      <w:pPr>
        <w:adjustRightInd w:val="0"/>
        <w:snapToGrid w:val="0"/>
        <w:spacing w:line="560" w:lineRule="exact"/>
        <w:ind w:firstLine="720"/>
        <w:rPr>
          <w:rFonts w:hint="eastAsia" w:ascii="Times New Roman" w:hAnsi="Times New Roman" w:eastAsia="楷体_GB2312" w:cs="Times New Roman"/>
          <w:color w:val="auto"/>
          <w:sz w:val="32"/>
          <w:szCs w:val="32"/>
          <w:highlight w:val="none"/>
          <w:lang w:val="zh-CN"/>
        </w:rPr>
      </w:pPr>
      <w:r>
        <w:rPr>
          <w:rFonts w:hint="eastAsia" w:ascii="Times New Roman" w:hAnsi="Times New Roman" w:eastAsia="楷体_GB2312" w:cs="Times New Roman"/>
          <w:color w:val="auto"/>
          <w:sz w:val="32"/>
          <w:szCs w:val="32"/>
          <w:highlight w:val="none"/>
          <w:lang w:val="zh-CN"/>
        </w:rPr>
        <w:t>2.项目应实现的具体绩效目标</w:t>
      </w:r>
    </w:p>
    <w:p>
      <w:pPr>
        <w:snapToGrid w:val="0"/>
        <w:spacing w:line="520" w:lineRule="exact"/>
        <w:ind w:left="0"/>
        <w:jc w:val="center"/>
        <w:rPr>
          <w:rFonts w:hint="default" w:ascii="Times New Roman" w:hAnsi="Times New Roman" w:eastAsia="楷体_GB2312" w:cs="Times New Roman"/>
          <w:color w:val="auto"/>
          <w:sz w:val="32"/>
          <w:szCs w:val="32"/>
        </w:rPr>
      </w:pPr>
      <w:r>
        <w:rPr>
          <w:rFonts w:hint="default" w:ascii="Times New Roman" w:hAnsi="Times New Roman" w:eastAsia="宋体" w:cs="Times New Roman"/>
          <w:b/>
          <w:bCs/>
          <w:color w:val="auto"/>
          <w:sz w:val="28"/>
          <w:szCs w:val="28"/>
        </w:rPr>
        <w:t>攀枝花市城市有机更新攻坚行动第三方技术服务项目绩效目标表</w:t>
      </w:r>
    </w:p>
    <w:tbl>
      <w:tblPr>
        <w:tblStyle w:val="16"/>
        <w:tblW w:w="8698" w:type="dxa"/>
        <w:tblInd w:w="30" w:type="dxa"/>
        <w:tblLayout w:type="fixed"/>
        <w:tblCellMar>
          <w:top w:w="0" w:type="dxa"/>
          <w:left w:w="0" w:type="dxa"/>
          <w:bottom w:w="0" w:type="dxa"/>
          <w:right w:w="0" w:type="dxa"/>
        </w:tblCellMar>
      </w:tblPr>
      <w:tblGrid>
        <w:gridCol w:w="1270"/>
        <w:gridCol w:w="1854"/>
        <w:gridCol w:w="1920"/>
        <w:gridCol w:w="3654"/>
      </w:tblGrid>
      <w:tr>
        <w:tblPrEx>
          <w:tblCellMar>
            <w:top w:w="0" w:type="dxa"/>
            <w:left w:w="0" w:type="dxa"/>
            <w:bottom w:w="0" w:type="dxa"/>
            <w:right w:w="0" w:type="dxa"/>
          </w:tblCellMar>
        </w:tblPrEx>
        <w:trPr>
          <w:trHeight w:val="396" w:hRule="atLeast"/>
        </w:trPr>
        <w:tc>
          <w:tcPr>
            <w:tcW w:w="12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napToGrid w:val="0"/>
              <w:spacing w:line="240" w:lineRule="exact"/>
              <w:jc w:val="center"/>
              <w:textAlignment w:val="center"/>
              <w:rPr>
                <w:rFonts w:hint="default" w:ascii="Times New Roman" w:hAnsi="Times New Roman" w:eastAsia="方正仿宋_GBK" w:cs="Times New Roman"/>
                <w:b/>
                <w:bCs/>
                <w:color w:val="auto"/>
                <w:sz w:val="20"/>
                <w:szCs w:val="20"/>
              </w:rPr>
            </w:pPr>
            <w:r>
              <w:rPr>
                <w:rFonts w:hint="default" w:ascii="Times New Roman" w:hAnsi="Times New Roman" w:eastAsia="方正仿宋_GBK" w:cs="Times New Roman"/>
                <w:b/>
                <w:bCs/>
                <w:color w:val="auto"/>
                <w:kern w:val="0"/>
                <w:sz w:val="20"/>
                <w:szCs w:val="20"/>
                <w:lang w:bidi="ar"/>
              </w:rPr>
              <w:t>一级指标</w:t>
            </w:r>
          </w:p>
        </w:tc>
        <w:tc>
          <w:tcPr>
            <w:tcW w:w="18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napToGrid w:val="0"/>
              <w:spacing w:line="240" w:lineRule="exact"/>
              <w:jc w:val="center"/>
              <w:textAlignment w:val="center"/>
              <w:rPr>
                <w:rFonts w:hint="default" w:ascii="Times New Roman" w:hAnsi="Times New Roman" w:eastAsia="方正仿宋_GBK" w:cs="Times New Roman"/>
                <w:b/>
                <w:bCs/>
                <w:color w:val="auto"/>
                <w:sz w:val="20"/>
                <w:szCs w:val="20"/>
              </w:rPr>
            </w:pPr>
            <w:r>
              <w:rPr>
                <w:rFonts w:hint="default" w:ascii="Times New Roman" w:hAnsi="Times New Roman" w:eastAsia="方正仿宋_GBK" w:cs="Times New Roman"/>
                <w:b/>
                <w:bCs/>
                <w:color w:val="auto"/>
                <w:kern w:val="0"/>
                <w:sz w:val="20"/>
                <w:szCs w:val="20"/>
                <w:lang w:bidi="ar"/>
              </w:rPr>
              <w:t>二级指标</w:t>
            </w:r>
          </w:p>
        </w:tc>
        <w:tc>
          <w:tcPr>
            <w:tcW w:w="1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napToGrid w:val="0"/>
              <w:spacing w:line="240" w:lineRule="exact"/>
              <w:jc w:val="center"/>
              <w:textAlignment w:val="center"/>
              <w:rPr>
                <w:rFonts w:hint="default" w:ascii="Times New Roman" w:hAnsi="Times New Roman" w:eastAsia="方正仿宋_GBK" w:cs="Times New Roman"/>
                <w:b/>
                <w:bCs/>
                <w:color w:val="auto"/>
                <w:sz w:val="20"/>
                <w:szCs w:val="20"/>
              </w:rPr>
            </w:pPr>
            <w:r>
              <w:rPr>
                <w:rFonts w:hint="default" w:ascii="Times New Roman" w:hAnsi="Times New Roman" w:eastAsia="方正仿宋_GBK" w:cs="Times New Roman"/>
                <w:b/>
                <w:bCs/>
                <w:color w:val="auto"/>
                <w:kern w:val="0"/>
                <w:sz w:val="20"/>
                <w:szCs w:val="20"/>
                <w:lang w:bidi="ar"/>
              </w:rPr>
              <w:t>三级指标</w:t>
            </w:r>
          </w:p>
        </w:tc>
        <w:tc>
          <w:tcPr>
            <w:tcW w:w="36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napToGrid w:val="0"/>
              <w:spacing w:line="240" w:lineRule="exact"/>
              <w:jc w:val="center"/>
              <w:textAlignment w:val="center"/>
              <w:rPr>
                <w:rFonts w:hint="default" w:ascii="Times New Roman" w:hAnsi="Times New Roman" w:eastAsia="方正仿宋_GBK" w:cs="Times New Roman"/>
                <w:b/>
                <w:bCs/>
                <w:color w:val="auto"/>
                <w:sz w:val="20"/>
                <w:szCs w:val="20"/>
              </w:rPr>
            </w:pPr>
            <w:r>
              <w:rPr>
                <w:rFonts w:hint="default" w:ascii="Times New Roman" w:hAnsi="Times New Roman" w:eastAsia="方正仿宋_GBK" w:cs="Times New Roman"/>
                <w:b/>
                <w:bCs/>
                <w:color w:val="auto"/>
                <w:kern w:val="0"/>
                <w:sz w:val="20"/>
                <w:szCs w:val="20"/>
                <w:lang w:bidi="ar"/>
              </w:rPr>
              <w:t>指标值</w:t>
            </w:r>
          </w:p>
        </w:tc>
      </w:tr>
      <w:tr>
        <w:tblPrEx>
          <w:tblCellMar>
            <w:top w:w="0" w:type="dxa"/>
            <w:left w:w="0" w:type="dxa"/>
            <w:bottom w:w="0" w:type="dxa"/>
            <w:right w:w="0" w:type="dxa"/>
          </w:tblCellMar>
        </w:tblPrEx>
        <w:trPr>
          <w:trHeight w:val="548" w:hRule="atLeast"/>
        </w:trPr>
        <w:tc>
          <w:tcPr>
            <w:tcW w:w="12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产出指标</w:t>
            </w:r>
          </w:p>
        </w:tc>
        <w:tc>
          <w:tcPr>
            <w:tcW w:w="18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数量指标</w:t>
            </w:r>
          </w:p>
        </w:tc>
        <w:tc>
          <w:tcPr>
            <w:tcW w:w="1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数据指标体系收集、整理和分析</w:t>
            </w:r>
          </w:p>
        </w:tc>
        <w:tc>
          <w:tcPr>
            <w:tcW w:w="36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按照国家、省市要求收集整理和分析10项指标</w:t>
            </w:r>
          </w:p>
        </w:tc>
      </w:tr>
      <w:tr>
        <w:tblPrEx>
          <w:tblCellMar>
            <w:top w:w="0" w:type="dxa"/>
            <w:left w:w="0" w:type="dxa"/>
            <w:bottom w:w="0" w:type="dxa"/>
            <w:right w:w="0" w:type="dxa"/>
          </w:tblCellMar>
        </w:tblPrEx>
        <w:trPr>
          <w:trHeight w:val="793"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产出指标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时效指标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工作期限</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按照合同约定时限完成攀枝花市城市有机更新重点城市建设工作方案编制和全过程技术咨询服务。</w:t>
            </w:r>
          </w:p>
        </w:tc>
      </w:tr>
      <w:tr>
        <w:tblPrEx>
          <w:tblCellMar>
            <w:top w:w="0" w:type="dxa"/>
            <w:left w:w="0" w:type="dxa"/>
            <w:bottom w:w="0" w:type="dxa"/>
            <w:right w:w="0" w:type="dxa"/>
          </w:tblCellMar>
        </w:tblPrEx>
        <w:trPr>
          <w:trHeight w:val="532"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产出指标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质量指标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编制报告</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工作方案编制满足上级要求，通过评审。</w:t>
            </w:r>
          </w:p>
        </w:tc>
      </w:tr>
      <w:tr>
        <w:tblPrEx>
          <w:tblCellMar>
            <w:top w:w="0" w:type="dxa"/>
            <w:left w:w="0" w:type="dxa"/>
            <w:bottom w:w="0" w:type="dxa"/>
            <w:right w:w="0" w:type="dxa"/>
          </w:tblCellMar>
        </w:tblPrEx>
        <w:trPr>
          <w:trHeight w:val="793"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效益指标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社会效益指标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助力建设效能提升</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落实城市有机更新的理念，有针对性地制定对策措施，提高城市建设质量。</w:t>
            </w:r>
          </w:p>
        </w:tc>
      </w:tr>
      <w:tr>
        <w:tblPrEx>
          <w:tblCellMar>
            <w:top w:w="0" w:type="dxa"/>
            <w:left w:w="0" w:type="dxa"/>
            <w:bottom w:w="0" w:type="dxa"/>
            <w:right w:w="0" w:type="dxa"/>
          </w:tblCellMar>
        </w:tblPrEx>
        <w:trPr>
          <w:trHeight w:val="793"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效益指标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可持续发展指标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体检评估的针对性</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工作方案符合攀枝花市实际情况和发展需求，对今后的建设具有较强的指导意义。</w:t>
            </w:r>
          </w:p>
        </w:tc>
      </w:tr>
      <w:tr>
        <w:tblPrEx>
          <w:tblCellMar>
            <w:top w:w="0" w:type="dxa"/>
            <w:left w:w="0" w:type="dxa"/>
            <w:bottom w:w="0" w:type="dxa"/>
            <w:right w:w="0" w:type="dxa"/>
          </w:tblCellMar>
        </w:tblPrEx>
        <w:trPr>
          <w:trHeight w:val="380"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满意度指标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服务对象满意度指标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受众满意度</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85%</w:t>
            </w:r>
          </w:p>
        </w:tc>
      </w:tr>
      <w:tr>
        <w:tblPrEx>
          <w:tblCellMar>
            <w:top w:w="0" w:type="dxa"/>
            <w:left w:w="0" w:type="dxa"/>
            <w:bottom w:w="0" w:type="dxa"/>
            <w:right w:w="0" w:type="dxa"/>
          </w:tblCellMar>
        </w:tblPrEx>
        <w:trPr>
          <w:trHeight w:val="391" w:hRule="atLeast"/>
        </w:trPr>
        <w:tc>
          <w:tcPr>
            <w:tcW w:w="12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成本指标</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经济成本指标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编制经费</w:t>
            </w:r>
          </w:p>
        </w:tc>
        <w:tc>
          <w:tcPr>
            <w:tcW w:w="3654"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Fonts w:hint="default" w:ascii="Times New Roman" w:hAnsi="Times New Roman" w:eastAsia="方正仿宋_GBK" w:cs="Times New Roman"/>
                <w:color w:val="auto"/>
                <w:sz w:val="20"/>
                <w:szCs w:val="36"/>
                <w:lang w:bidi="ar-SA"/>
              </w:rPr>
            </w:pPr>
            <w:r>
              <w:rPr>
                <w:rFonts w:hint="default" w:ascii="Times New Roman" w:hAnsi="Times New Roman" w:eastAsia="方正仿宋_GBK" w:cs="Times New Roman"/>
                <w:color w:val="auto"/>
                <w:sz w:val="20"/>
                <w:szCs w:val="36"/>
                <w:lang w:bidi="ar-SA"/>
              </w:rPr>
              <w:t>120万元</w:t>
            </w:r>
          </w:p>
        </w:tc>
      </w:tr>
    </w:tbl>
    <w:p>
      <w:pPr>
        <w:adjustRightInd w:val="0"/>
        <w:snapToGrid w:val="0"/>
        <w:spacing w:line="560" w:lineRule="exact"/>
        <w:ind w:firstLine="720"/>
        <w:rPr>
          <w:rFonts w:ascii="Times New Roman" w:hAnsi="Times New Roman" w:eastAsia="仿宋_GB2312" w:cs="Times New Roman"/>
          <w:color w:val="auto"/>
          <w:sz w:val="32"/>
          <w:szCs w:val="32"/>
          <w:highlight w:val="yellow"/>
          <w:lang w:val="zh-CN"/>
        </w:rPr>
      </w:pPr>
      <w:r>
        <w:rPr>
          <w:rFonts w:hint="eastAsia" w:ascii="Times New Roman" w:hAnsi="Times New Roman" w:eastAsia="楷体_GB2312" w:cs="Times New Roman"/>
          <w:color w:val="auto"/>
          <w:sz w:val="32"/>
          <w:szCs w:val="32"/>
          <w:highlight w:val="none"/>
          <w:lang w:val="zh-CN"/>
        </w:rPr>
        <w:t>3.</w:t>
      </w:r>
      <w:r>
        <w:rPr>
          <w:rFonts w:hint="eastAsia" w:ascii="Times New Roman" w:hAnsi="Times New Roman" w:eastAsia="楷体_GB2312" w:cs="Times New Roman"/>
          <w:color w:val="auto"/>
          <w:sz w:val="32"/>
          <w:szCs w:val="32"/>
          <w:highlight w:val="none"/>
          <w:lang w:val="zh-CN" w:eastAsia="zh-CN"/>
        </w:rPr>
        <w:t>本次申报内容符合实际</w:t>
      </w:r>
      <w:r>
        <w:rPr>
          <w:rFonts w:hint="eastAsia" w:ascii="CESI楷体-GB2312" w:hAnsi="CESI楷体-GB2312" w:eastAsia="CESI楷体-GB2312" w:cs="CESI楷体-GB2312"/>
          <w:color w:val="auto"/>
          <w:sz w:val="32"/>
          <w:szCs w:val="32"/>
          <w:lang w:val="zh-CN" w:eastAsia="zh-CN"/>
        </w:rPr>
        <w:t>。</w:t>
      </w:r>
      <w:r>
        <w:rPr>
          <w:rFonts w:hint="eastAsia" w:ascii="仿宋_GB2312" w:hAnsi="宋体" w:eastAsia="仿宋_GB2312" w:cs="Times New Roman"/>
          <w:color w:val="auto"/>
          <w:sz w:val="32"/>
          <w:szCs w:val="32"/>
          <w:highlight w:val="none"/>
          <w:lang w:val="zh-CN" w:eastAsia="zh-CN"/>
        </w:rPr>
        <w:t>申报目标包括数量指标、时效指标、质量指标、社会效益指标、可持续发展指标、经济效益指标、服务对象满意度指标，能够比较客观反映项目实施绩效。</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（三）项目自评步骤及方法</w:t>
      </w:r>
    </w:p>
    <w:p>
      <w:pPr>
        <w:adjustRightInd w:val="0"/>
        <w:snapToGrid w:val="0"/>
        <w:spacing w:line="600" w:lineRule="exact"/>
        <w:ind w:firstLine="720"/>
        <w:rPr>
          <w:rFonts w:hint="eastAsia"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组织专家对成果编制的规范性、科学性、可操作性等方面进行评审，通过专家评审、市级有关部门审核、攀枝花市人民政府审定，确保报告编制质量。</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47" w:name="_Toc349965950_WPSOffice_Level2"/>
      <w:bookmarkStart w:id="148" w:name="_Toc1119618752_WPSOffice_Level2"/>
      <w:bookmarkStart w:id="149" w:name="_Toc735707650_WPSOffice_Level2"/>
      <w:r>
        <w:rPr>
          <w:rFonts w:ascii="Times New Roman" w:hAnsi="Times New Roman" w:eastAsia="黑体" w:cs="Times New Roman"/>
          <w:color w:val="auto"/>
          <w:sz w:val="32"/>
          <w:szCs w:val="32"/>
        </w:rPr>
        <w:t>二、项目资金申报及使用情况</w:t>
      </w:r>
      <w:bookmarkEnd w:id="147"/>
      <w:bookmarkEnd w:id="148"/>
      <w:bookmarkEnd w:id="149"/>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（一）项目资金申报及批复情况</w:t>
      </w:r>
    </w:p>
    <w:p>
      <w:pPr>
        <w:adjustRightInd w:val="0"/>
        <w:snapToGrid w:val="0"/>
        <w:spacing w:line="560" w:lineRule="exact"/>
        <w:ind w:firstLine="72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2025年6月市住房城乡建设局会同市财政局向市政府报送了《关于在城市有机更新攻坚行动中引入第三方技术服务的请示》（攀住建〔2025〕45号），恳请市政府同意以政府购买服务方式采购城市有机更新第三方技术服务，由市财政局先行安排市住房城乡建设局城市更新技术服务费120万元（具体支付金额以采购</w:t>
      </w:r>
      <w:r>
        <w:rPr>
          <w:rFonts w:hint="eastAsia" w:ascii="仿宋_GB2312" w:hAnsi="宋体" w:eastAsia="仿宋_GB2312" w:cs="Times New Roman"/>
          <w:color w:val="auto"/>
          <w:sz w:val="32"/>
          <w:szCs w:val="32"/>
          <w:lang w:val="zh-CN" w:eastAsia="zh-CN"/>
        </w:rPr>
        <w:t>结果为准）</w:t>
      </w:r>
      <w:r>
        <w:rPr>
          <w:rFonts w:hint="eastAsia" w:ascii="Times New Roman" w:hAnsi="Times New Roman" w:eastAsia="仿宋_GB2312" w:cs="Times New Roman"/>
          <w:color w:val="000000"/>
          <w:kern w:val="0"/>
          <w:sz w:val="32"/>
          <w:szCs w:val="32"/>
          <w:shd w:val="clear" w:color="auto" w:fill="FFFFFF"/>
          <w:lang w:val="zh-CN" w:eastAsia="zh-CN" w:bidi="ar-SA"/>
        </w:rPr>
        <w:t>办理政府采购事宜，所需资金在年初预留的“规划及项目重大前期经费”中统筹解决；6月16日市政府已审批同意。</w:t>
      </w:r>
      <w:r>
        <w:rPr>
          <w:rFonts w:hint="eastAsia" w:ascii="Times New Roman" w:hAnsi="Times New Roman" w:eastAsia="仿宋_GB2312" w:cs="Times New Roman"/>
          <w:color w:val="000000"/>
          <w:kern w:val="0"/>
          <w:sz w:val="32"/>
          <w:szCs w:val="32"/>
          <w:shd w:val="clear" w:color="auto" w:fill="FFFFFF"/>
          <w:lang w:val="en-US" w:eastAsia="zh-CN" w:bidi="ar-SA"/>
        </w:rPr>
        <w:t>本项目2025年申报资金120万元，2025年下达预算资金102万元</w:t>
      </w:r>
      <w:r>
        <w:rPr>
          <w:rFonts w:hint="eastAsia" w:ascii="Times New Roman" w:hAnsi="Times New Roman" w:eastAsia="仿宋_GB2312" w:cs="Times New Roman"/>
          <w:color w:val="000000"/>
          <w:kern w:val="0"/>
          <w:sz w:val="32"/>
          <w:szCs w:val="32"/>
          <w:shd w:val="clear" w:color="auto" w:fill="FFFFFF"/>
          <w:lang w:val="zh-CN" w:eastAsia="zh-CN" w:bidi="ar-SA"/>
        </w:rPr>
        <w:t>。</w:t>
      </w:r>
    </w:p>
    <w:p>
      <w:pPr>
        <w:adjustRightInd w:val="0"/>
        <w:snapToGrid w:val="0"/>
        <w:spacing w:line="600" w:lineRule="exact"/>
        <w:ind w:firstLine="720"/>
        <w:outlineLvl w:val="1"/>
        <w:rPr>
          <w:rFonts w:ascii="Times New Roman" w:hAnsi="Times New Roman" w:eastAsia="仿宋_GB2312" w:cs="Times New Roman"/>
          <w:color w:val="auto"/>
          <w:sz w:val="32"/>
          <w:szCs w:val="32"/>
          <w:highlight w:val="none"/>
          <w:lang w:val="zh-CN"/>
        </w:rPr>
      </w:pPr>
      <w:r>
        <w:rPr>
          <w:rFonts w:ascii="Times New Roman" w:hAnsi="Times New Roman" w:eastAsia="楷体_GB2312" w:cs="Times New Roman"/>
          <w:b/>
          <w:color w:val="auto"/>
          <w:sz w:val="32"/>
          <w:szCs w:val="32"/>
          <w:highlight w:val="none"/>
          <w:lang w:val="zh-CN"/>
        </w:rPr>
        <w:t>（二）资金计划、到位及使用情况</w:t>
      </w:r>
    </w:p>
    <w:p>
      <w:pPr>
        <w:adjustRightInd w:val="0"/>
        <w:snapToGrid w:val="0"/>
        <w:spacing w:line="600" w:lineRule="exact"/>
        <w:ind w:firstLine="720"/>
        <w:rPr>
          <w:rFonts w:ascii="Times New Roman" w:hAnsi="Times New Roman" w:eastAsia="仿宋_GB2312" w:cs="Times New Roman"/>
          <w:color w:val="auto"/>
          <w:sz w:val="32"/>
          <w:szCs w:val="32"/>
          <w:highlight w:val="none"/>
          <w:lang w:val="zh-CN"/>
        </w:rPr>
      </w:pPr>
      <w:r>
        <w:rPr>
          <w:rFonts w:hint="eastAsia" w:eastAsia="楷体_GB2312" w:cs="Times New Roman"/>
          <w:color w:val="auto"/>
          <w:sz w:val="32"/>
          <w:szCs w:val="32"/>
          <w:highlight w:val="none"/>
          <w:lang w:val="en-US" w:eastAsia="zh-CN"/>
        </w:rPr>
        <w:t>1.</w:t>
      </w:r>
      <w:r>
        <w:rPr>
          <w:rFonts w:ascii="Times New Roman" w:hAnsi="Times New Roman" w:eastAsia="楷体_GB2312" w:cs="Times New Roman"/>
          <w:color w:val="auto"/>
          <w:sz w:val="32"/>
          <w:szCs w:val="32"/>
          <w:highlight w:val="none"/>
          <w:lang w:val="zh-CN"/>
        </w:rPr>
        <w:t>资金计划。</w:t>
      </w:r>
      <w:r>
        <w:rPr>
          <w:rFonts w:hint="eastAsia" w:ascii="Times New Roman" w:hAnsi="Times New Roman" w:eastAsia="仿宋_GB2312" w:cs="Times New Roman"/>
          <w:color w:val="auto"/>
          <w:sz w:val="32"/>
          <w:szCs w:val="32"/>
          <w:highlight w:val="none"/>
          <w:lang w:val="zh-CN" w:eastAsia="zh-CN"/>
        </w:rPr>
        <w:t>本项目</w:t>
      </w:r>
      <w:r>
        <w:rPr>
          <w:rFonts w:hint="eastAsia" w:ascii="Times New Roman" w:hAnsi="Times New Roman" w:eastAsia="仿宋_GB2312" w:cs="Times New Roman"/>
          <w:color w:val="auto"/>
          <w:sz w:val="32"/>
          <w:szCs w:val="32"/>
          <w:highlight w:val="none"/>
          <w:lang w:val="en-US" w:eastAsia="zh-CN"/>
        </w:rPr>
        <w:t>2025年</w:t>
      </w:r>
      <w:r>
        <w:rPr>
          <w:rFonts w:hint="eastAsia" w:ascii="Times New Roman" w:hAnsi="Times New Roman" w:eastAsia="仿宋_GB2312" w:cs="Times New Roman"/>
          <w:color w:val="auto"/>
          <w:sz w:val="32"/>
          <w:szCs w:val="32"/>
          <w:highlight w:val="none"/>
          <w:lang w:val="zh-CN" w:eastAsia="zh-CN"/>
        </w:rPr>
        <w:t>申报资金</w:t>
      </w:r>
      <w:r>
        <w:rPr>
          <w:rFonts w:hint="eastAsia" w:ascii="Times New Roman" w:hAnsi="Times New Roman" w:eastAsia="仿宋_GB2312" w:cs="Times New Roman"/>
          <w:color w:val="auto"/>
          <w:sz w:val="32"/>
          <w:szCs w:val="32"/>
          <w:highlight w:val="none"/>
          <w:lang w:val="en-US" w:eastAsia="zh-CN"/>
        </w:rPr>
        <w:t>120</w:t>
      </w:r>
      <w:r>
        <w:rPr>
          <w:rFonts w:hint="eastAsia" w:ascii="Times New Roman" w:hAnsi="Times New Roman" w:eastAsia="仿宋_GB2312" w:cs="Times New Roman"/>
          <w:color w:val="auto"/>
          <w:sz w:val="32"/>
          <w:szCs w:val="32"/>
          <w:highlight w:val="none"/>
          <w:lang w:val="zh-CN" w:eastAsia="zh-CN"/>
        </w:rPr>
        <w:t>万元。</w:t>
      </w:r>
    </w:p>
    <w:p>
      <w:pPr>
        <w:adjustRightInd w:val="0"/>
        <w:snapToGrid w:val="0"/>
        <w:spacing w:line="560" w:lineRule="exact"/>
        <w:ind w:firstLine="720"/>
        <w:rPr>
          <w:rFonts w:hint="eastAsia" w:ascii="Times New Roman" w:hAnsi="Times New Roman" w:eastAsia="仿宋_GB2312" w:cs="Times New Roman"/>
          <w:color w:val="auto"/>
          <w:sz w:val="32"/>
          <w:szCs w:val="32"/>
          <w:highlight w:val="yellow"/>
          <w:lang w:val="zh-CN" w:eastAsia="zh-CN"/>
        </w:rPr>
      </w:pPr>
      <w:r>
        <w:rPr>
          <w:rFonts w:hint="eastAsia" w:eastAsia="楷体_GB2312" w:cs="Times New Roman"/>
          <w:color w:val="auto"/>
          <w:sz w:val="32"/>
          <w:szCs w:val="32"/>
          <w:highlight w:val="none"/>
          <w:lang w:val="en-US" w:eastAsia="zh-CN"/>
        </w:rPr>
        <w:t>2.</w:t>
      </w:r>
      <w:r>
        <w:rPr>
          <w:rFonts w:ascii="Times New Roman" w:hAnsi="Times New Roman" w:eastAsia="楷体_GB2312" w:cs="Times New Roman"/>
          <w:color w:val="auto"/>
          <w:sz w:val="32"/>
          <w:szCs w:val="32"/>
          <w:highlight w:val="none"/>
          <w:lang w:val="zh-CN"/>
        </w:rPr>
        <w:t>资金到位。</w:t>
      </w:r>
      <w:r>
        <w:rPr>
          <w:rFonts w:hint="eastAsia" w:ascii="Times New Roman" w:hAnsi="Times New Roman" w:eastAsia="仿宋_GB2312" w:cs="Times New Roman"/>
          <w:color w:val="auto"/>
          <w:sz w:val="32"/>
          <w:szCs w:val="32"/>
          <w:highlight w:val="none"/>
          <w:lang w:val="zh-CN" w:eastAsia="zh-CN"/>
        </w:rPr>
        <w:t>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zh-CN" w:eastAsia="zh-CN"/>
        </w:rPr>
        <w:t>年下达预算资金</w:t>
      </w:r>
      <w:r>
        <w:rPr>
          <w:rFonts w:hint="eastAsia" w:ascii="Times New Roman" w:hAnsi="Times New Roman" w:eastAsia="仿宋_GB2312" w:cs="Times New Roman"/>
          <w:color w:val="auto"/>
          <w:sz w:val="32"/>
          <w:szCs w:val="32"/>
          <w:highlight w:val="none"/>
          <w:lang w:val="en-US" w:eastAsia="zh-CN"/>
        </w:rPr>
        <w:t>102</w:t>
      </w:r>
      <w:r>
        <w:rPr>
          <w:rFonts w:hint="eastAsia" w:ascii="Times New Roman" w:hAnsi="Times New Roman" w:eastAsia="仿宋_GB2312" w:cs="Times New Roman"/>
          <w:color w:val="auto"/>
          <w:sz w:val="32"/>
          <w:szCs w:val="32"/>
          <w:highlight w:val="none"/>
          <w:lang w:val="zh-CN" w:eastAsia="zh-CN"/>
        </w:rPr>
        <w:t>万元，</w:t>
      </w:r>
      <w:r>
        <w:rPr>
          <w:rFonts w:hint="eastAsia" w:ascii="Times New Roman" w:hAnsi="Times New Roman" w:eastAsia="仿宋_GB2312" w:cs="Times New Roman"/>
          <w:color w:val="auto"/>
          <w:sz w:val="32"/>
          <w:szCs w:val="32"/>
          <w:highlight w:val="none"/>
          <w:lang w:val="en-US" w:eastAsia="zh-CN"/>
        </w:rPr>
        <w:t>资金来源为市级财政资金，在年初预留的“规划及项目重大前期经费”中统筹解决。</w:t>
      </w:r>
    </w:p>
    <w:p>
      <w:pPr>
        <w:adjustRightInd w:val="0"/>
        <w:snapToGrid w:val="0"/>
        <w:spacing w:line="600" w:lineRule="exact"/>
        <w:ind w:firstLine="720"/>
        <w:rPr>
          <w:rFonts w:hint="default" w:ascii="Times New Roman" w:hAnsi="Times New Roman" w:eastAsia="仿宋_GB2312" w:cs="Times New Roman"/>
          <w:color w:val="auto"/>
          <w:sz w:val="32"/>
          <w:szCs w:val="32"/>
          <w:highlight w:val="none"/>
          <w:lang w:val="en-US" w:eastAsia="zh-CN"/>
        </w:rPr>
      </w:pPr>
      <w:r>
        <w:rPr>
          <w:rFonts w:hint="eastAsia" w:eastAsia="楷体_GB2312" w:cs="Times New Roman"/>
          <w:color w:val="auto"/>
          <w:sz w:val="32"/>
          <w:szCs w:val="32"/>
          <w:highlight w:val="none"/>
          <w:lang w:val="en-US" w:eastAsia="zh-CN"/>
        </w:rPr>
        <w:t>3.</w:t>
      </w:r>
      <w:r>
        <w:rPr>
          <w:rFonts w:ascii="Times New Roman" w:hAnsi="Times New Roman" w:eastAsia="楷体_GB2312" w:cs="Times New Roman"/>
          <w:color w:val="auto"/>
          <w:sz w:val="32"/>
          <w:szCs w:val="32"/>
          <w:highlight w:val="none"/>
          <w:lang w:val="zh-CN"/>
        </w:rPr>
        <w:t>资金使用。</w:t>
      </w:r>
      <w:r>
        <w:rPr>
          <w:rFonts w:hint="eastAsia" w:ascii="Times New Roman" w:hAnsi="Times New Roman" w:eastAsia="仿宋_GB2312" w:cs="Times New Roman"/>
          <w:b w:val="0"/>
          <w:bCs w:val="0"/>
          <w:color w:val="auto"/>
          <w:sz w:val="32"/>
          <w:szCs w:val="32"/>
          <w:highlight w:val="none"/>
          <w:lang w:val="zh-CN" w:eastAsia="zh-CN"/>
        </w:rPr>
        <w:t>市住房城乡建设局通过政府购买服务方式采购了城市有机更新第三方技术服务，于2025年7月25日完成采购，中标（成交）单位为：四川省城乡建设研究院，中标（成交）金额为102万元，2025年8月13日签</w:t>
      </w:r>
      <w:r>
        <w:rPr>
          <w:rFonts w:hint="eastAsia" w:eastAsia="仿宋_GB2312" w:cs="Times New Roman"/>
          <w:b w:val="0"/>
          <w:bCs w:val="0"/>
          <w:color w:val="auto"/>
          <w:sz w:val="32"/>
          <w:szCs w:val="32"/>
          <w:highlight w:val="none"/>
          <w:lang w:val="zh-CN" w:eastAsia="zh-CN"/>
        </w:rPr>
        <w:t>订</w:t>
      </w:r>
      <w:r>
        <w:rPr>
          <w:rFonts w:hint="eastAsia" w:ascii="Times New Roman" w:hAnsi="Times New Roman" w:eastAsia="仿宋_GB2312" w:cs="Times New Roman"/>
          <w:b w:val="0"/>
          <w:bCs w:val="0"/>
          <w:color w:val="auto"/>
          <w:sz w:val="32"/>
          <w:szCs w:val="32"/>
          <w:highlight w:val="none"/>
          <w:lang w:val="zh-CN" w:eastAsia="zh-CN"/>
        </w:rPr>
        <w:t>合同。</w:t>
      </w:r>
      <w:r>
        <w:rPr>
          <w:rFonts w:hint="eastAsia" w:ascii="Times New Roman" w:hAnsi="Times New Roman" w:eastAsia="仿宋_GB2312" w:cs="Times New Roman"/>
          <w:b w:val="0"/>
          <w:bCs w:val="0"/>
          <w:color w:val="auto"/>
          <w:sz w:val="32"/>
          <w:szCs w:val="32"/>
          <w:highlight w:val="none"/>
          <w:lang w:val="en-US" w:eastAsia="zh-CN"/>
        </w:rPr>
        <w:t>根据合同约定：政府采购合同签订生效后且收到发票后30日内支付合同总金额的10%，计人民币10.2万元。自乙方编制成果提交且收到发票后30日内支付合同总金额的30%，计人民币30.6万元。自乙方提交最终方案且通过上级审核通过，并收到发票后30日内支付合同总金额的60%，计人民币61.2万元。</w:t>
      </w:r>
      <w:r>
        <w:rPr>
          <w:rFonts w:hint="eastAsia" w:ascii="Times New Roman" w:hAnsi="Times New Roman" w:eastAsia="仿宋_GB2312" w:cs="Times New Roman"/>
          <w:b w:val="0"/>
          <w:bCs w:val="0"/>
          <w:color w:val="auto"/>
          <w:sz w:val="32"/>
          <w:szCs w:val="32"/>
          <w:highlight w:val="none"/>
          <w:lang w:val="zh-CN"/>
        </w:rPr>
        <w:t>202</w:t>
      </w:r>
      <w:r>
        <w:rPr>
          <w:rFonts w:hint="eastAsia" w:ascii="Times New Roman" w:hAnsi="Times New Roman" w:eastAsia="仿宋_GB2312" w:cs="Times New Roman"/>
          <w:b w:val="0"/>
          <w:bCs w:val="0"/>
          <w:color w:val="auto"/>
          <w:sz w:val="32"/>
          <w:szCs w:val="32"/>
          <w:highlight w:val="none"/>
          <w:lang w:val="en-US" w:eastAsia="zh-CN"/>
        </w:rPr>
        <w:t>5</w:t>
      </w:r>
      <w:r>
        <w:rPr>
          <w:rFonts w:hint="eastAsia" w:ascii="Times New Roman" w:hAnsi="Times New Roman" w:eastAsia="仿宋_GB2312" w:cs="Times New Roman"/>
          <w:b w:val="0"/>
          <w:bCs w:val="0"/>
          <w:color w:val="auto"/>
          <w:sz w:val="32"/>
          <w:szCs w:val="32"/>
          <w:highlight w:val="none"/>
          <w:lang w:val="zh-CN"/>
        </w:rPr>
        <w:t>年</w:t>
      </w:r>
      <w:r>
        <w:rPr>
          <w:rFonts w:hint="eastAsia" w:ascii="Times New Roman" w:hAnsi="Times New Roman" w:eastAsia="仿宋_GB2312" w:cs="Times New Roman"/>
          <w:b w:val="0"/>
          <w:bCs w:val="0"/>
          <w:color w:val="auto"/>
          <w:sz w:val="32"/>
          <w:szCs w:val="32"/>
          <w:highlight w:val="none"/>
          <w:lang w:val="en-US" w:eastAsia="zh-CN"/>
        </w:rPr>
        <w:t>8</w:t>
      </w:r>
      <w:r>
        <w:rPr>
          <w:rFonts w:hint="eastAsia" w:ascii="Times New Roman" w:hAnsi="Times New Roman" w:eastAsia="仿宋_GB2312" w:cs="Times New Roman"/>
          <w:b w:val="0"/>
          <w:bCs w:val="0"/>
          <w:color w:val="auto"/>
          <w:sz w:val="32"/>
          <w:szCs w:val="32"/>
          <w:highlight w:val="none"/>
          <w:lang w:val="zh-CN"/>
        </w:rPr>
        <w:t>月、</w:t>
      </w:r>
      <w:r>
        <w:rPr>
          <w:rFonts w:hint="eastAsia" w:ascii="Times New Roman" w:hAnsi="Times New Roman" w:eastAsia="仿宋_GB2312" w:cs="Times New Roman"/>
          <w:b w:val="0"/>
          <w:bCs w:val="0"/>
          <w:color w:val="auto"/>
          <w:sz w:val="32"/>
          <w:szCs w:val="32"/>
          <w:highlight w:val="none"/>
          <w:lang w:val="en-US" w:eastAsia="zh-CN"/>
        </w:rPr>
        <w:t>9月、11月</w:t>
      </w:r>
      <w:r>
        <w:rPr>
          <w:rFonts w:hint="eastAsia" w:ascii="Times New Roman" w:hAnsi="Times New Roman" w:eastAsia="仿宋_GB2312" w:cs="Times New Roman"/>
          <w:b w:val="0"/>
          <w:bCs w:val="0"/>
          <w:color w:val="auto"/>
          <w:sz w:val="32"/>
          <w:szCs w:val="32"/>
          <w:highlight w:val="none"/>
          <w:lang w:val="zh-CN"/>
        </w:rPr>
        <w:t>，分三次拨付至四川省城乡建设研究院，共使用</w:t>
      </w:r>
      <w:r>
        <w:rPr>
          <w:rFonts w:hint="eastAsia" w:ascii="Times New Roman" w:hAnsi="Times New Roman" w:eastAsia="仿宋_GB2312" w:cs="Times New Roman"/>
          <w:b w:val="0"/>
          <w:bCs w:val="0"/>
          <w:color w:val="auto"/>
          <w:sz w:val="32"/>
          <w:szCs w:val="32"/>
          <w:highlight w:val="none"/>
          <w:lang w:val="en-US" w:eastAsia="zh-CN"/>
        </w:rPr>
        <w:t>102</w:t>
      </w:r>
      <w:r>
        <w:rPr>
          <w:rFonts w:hint="eastAsia" w:ascii="Times New Roman" w:hAnsi="Times New Roman" w:eastAsia="仿宋_GB2312" w:cs="Times New Roman"/>
          <w:b w:val="0"/>
          <w:bCs w:val="0"/>
          <w:color w:val="auto"/>
          <w:sz w:val="32"/>
          <w:szCs w:val="32"/>
          <w:highlight w:val="none"/>
          <w:lang w:val="zh-CN"/>
        </w:rPr>
        <w:t>万元。</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（三）项目财务管理情况</w:t>
      </w:r>
    </w:p>
    <w:p>
      <w:pPr>
        <w:adjustRightInd w:val="0"/>
        <w:snapToGrid w:val="0"/>
        <w:spacing w:line="600" w:lineRule="exact"/>
        <w:ind w:firstLine="720"/>
        <w:rPr>
          <w:rFonts w:hint="eastAsia" w:ascii="Times New Roman" w:hAnsi="Times New Roman" w:eastAsia="仿宋_GB2312" w:cs="Times New Roman"/>
          <w:b w:val="0"/>
          <w:bCs w:val="0"/>
          <w:color w:val="auto"/>
          <w:sz w:val="32"/>
          <w:szCs w:val="32"/>
          <w:highlight w:val="none"/>
          <w:lang w:val="zh-CN"/>
        </w:rPr>
      </w:pPr>
      <w:r>
        <w:rPr>
          <w:rFonts w:hint="eastAsia" w:ascii="Times New Roman" w:hAnsi="Times New Roman" w:eastAsia="仿宋_GB2312" w:cs="Times New Roman"/>
          <w:b w:val="0"/>
          <w:bCs w:val="0"/>
          <w:color w:val="auto"/>
          <w:sz w:val="32"/>
          <w:szCs w:val="32"/>
          <w:highlight w:val="none"/>
          <w:lang w:val="zh-CN"/>
        </w:rPr>
        <w:t>项目实施单位财务管理制度健全完善，严格执行国家及市级财政财务管理制度，项目资金账务处理及时规范，会计核算清晰准确，资金拨付全程遵循“按合同、按进度、按要求”原则，审批流程完整，资金使用合规可控。</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50" w:name="_Toc1999204829_WPSOffice_Level2"/>
      <w:bookmarkStart w:id="151" w:name="_Toc686331698_WPSOffice_Level2"/>
      <w:bookmarkStart w:id="152" w:name="_Toc212454564_WPSOffice_Level2"/>
      <w:r>
        <w:rPr>
          <w:rFonts w:ascii="Times New Roman" w:hAnsi="Times New Roman" w:eastAsia="黑体" w:cs="Times New Roman"/>
          <w:color w:val="auto"/>
          <w:sz w:val="32"/>
          <w:szCs w:val="32"/>
        </w:rPr>
        <w:t>三、项目实施及管理情况</w:t>
      </w:r>
      <w:bookmarkEnd w:id="150"/>
      <w:bookmarkEnd w:id="151"/>
      <w:bookmarkEnd w:id="152"/>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2" w:firstLineChars="200"/>
        <w:jc w:val="left"/>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楷体_GB2312" w:cs="Times New Roman"/>
          <w:b/>
          <w:color w:val="auto"/>
          <w:sz w:val="32"/>
          <w:szCs w:val="32"/>
          <w:lang w:val="en-US" w:eastAsia="zh-CN"/>
        </w:rPr>
        <w:t>（一）项目组织架构及实施流程。</w:t>
      </w:r>
      <w:r>
        <w:rPr>
          <w:rFonts w:hint="default" w:ascii="Times New Roman" w:hAnsi="Times New Roman" w:eastAsia="仿宋_GB2312" w:cs="Times New Roman"/>
          <w:b w:val="0"/>
          <w:bCs w:val="0"/>
          <w:color w:val="auto"/>
          <w:kern w:val="2"/>
          <w:sz w:val="32"/>
          <w:szCs w:val="32"/>
          <w:lang w:val="en-US" w:eastAsia="zh-CN" w:bidi="ar-SA"/>
        </w:rPr>
        <w:t>项目采用政府购买服务模式实施，项目</w:t>
      </w:r>
      <w:r>
        <w:rPr>
          <w:rFonts w:hint="eastAsia" w:ascii="Times New Roman" w:hAnsi="Times New Roman" w:eastAsia="仿宋_GB2312" w:cs="Times New Roman"/>
          <w:b w:val="0"/>
          <w:bCs w:val="0"/>
          <w:color w:val="auto"/>
          <w:kern w:val="2"/>
          <w:sz w:val="32"/>
          <w:szCs w:val="32"/>
          <w:lang w:val="en-US" w:eastAsia="zh-CN" w:bidi="ar-SA"/>
        </w:rPr>
        <w:t>主管</w:t>
      </w:r>
      <w:r>
        <w:rPr>
          <w:rFonts w:hint="default" w:ascii="Times New Roman" w:hAnsi="Times New Roman" w:eastAsia="仿宋_GB2312" w:cs="Times New Roman"/>
          <w:b w:val="0"/>
          <w:bCs w:val="0"/>
          <w:color w:val="auto"/>
          <w:kern w:val="2"/>
          <w:sz w:val="32"/>
          <w:szCs w:val="32"/>
          <w:lang w:val="en-US" w:eastAsia="zh-CN" w:bidi="ar-SA"/>
        </w:rPr>
        <w:t>单位为市住房城乡建设局。市住房城乡建设局城市更新专班牵头推进攀枝花市城市有机更新攻坚行动第三方技术服务工作，</w:t>
      </w:r>
      <w:r>
        <w:rPr>
          <w:rFonts w:hint="eastAsia" w:ascii="Times New Roman" w:hAnsi="Times New Roman" w:eastAsia="仿宋_GB2312" w:cs="Times New Roman"/>
          <w:b w:val="0"/>
          <w:bCs w:val="0"/>
          <w:color w:val="auto"/>
          <w:kern w:val="2"/>
          <w:sz w:val="32"/>
          <w:szCs w:val="32"/>
          <w:lang w:val="en-US" w:eastAsia="zh-CN" w:bidi="ar-SA"/>
        </w:rPr>
        <w:t>于</w:t>
      </w:r>
      <w:r>
        <w:rPr>
          <w:rFonts w:hint="default" w:ascii="Times New Roman" w:hAnsi="Times New Roman" w:eastAsia="仿宋_GB2312" w:cs="Times New Roman"/>
          <w:b w:val="0"/>
          <w:bCs w:val="0"/>
          <w:color w:val="auto"/>
          <w:kern w:val="2"/>
          <w:sz w:val="32"/>
          <w:szCs w:val="32"/>
          <w:lang w:val="en-US" w:eastAsia="zh-CN" w:bidi="ar-SA"/>
        </w:rPr>
        <w:t>2025年8月组织开展省级城市更新重点城市实施方案编制、申报审核材料汇编及项目实施全过程技术咨询服务，</w:t>
      </w:r>
      <w:r>
        <w:rPr>
          <w:rFonts w:hint="eastAsia" w:ascii="Times New Roman" w:hAnsi="Times New Roman" w:eastAsia="仿宋_GB2312" w:cs="Times New Roman"/>
          <w:b w:val="0"/>
          <w:bCs w:val="0"/>
          <w:color w:val="auto"/>
          <w:kern w:val="2"/>
          <w:sz w:val="32"/>
          <w:szCs w:val="32"/>
          <w:lang w:val="en-US" w:eastAsia="zh-CN" w:bidi="ar-SA"/>
        </w:rPr>
        <w:t>11月</w:t>
      </w:r>
      <w:r>
        <w:rPr>
          <w:rFonts w:hint="default" w:ascii="Times New Roman" w:hAnsi="Times New Roman" w:eastAsia="仿宋_GB2312" w:cs="Times New Roman"/>
          <w:b w:val="0"/>
          <w:bCs w:val="0"/>
          <w:color w:val="auto"/>
          <w:kern w:val="2"/>
          <w:sz w:val="32"/>
          <w:szCs w:val="32"/>
          <w:lang w:val="en-US" w:eastAsia="zh-CN" w:bidi="ar-SA"/>
        </w:rPr>
        <w:t>编制形成《攀枝花市城市更新行动工作方案（2025—2027年）》</w:t>
      </w:r>
      <w:r>
        <w:rPr>
          <w:rFonts w:hint="eastAsia" w:ascii="Times New Roman" w:hAnsi="Times New Roman" w:eastAsia="仿宋_GB2312" w:cs="Times New Roman"/>
          <w:b w:val="0"/>
          <w:bCs w:val="0"/>
          <w:color w:val="auto"/>
          <w:kern w:val="2"/>
          <w:sz w:val="32"/>
          <w:szCs w:val="32"/>
          <w:lang w:val="en-US" w:eastAsia="zh-CN" w:bidi="ar-SA"/>
        </w:rPr>
        <w:t>，</w:t>
      </w:r>
      <w:r>
        <w:rPr>
          <w:rFonts w:hint="eastAsia" w:ascii="仿宋_GB2312" w:hAnsi="宋体" w:eastAsia="仿宋_GB2312" w:cs="Times New Roman"/>
          <w:color w:val="auto"/>
          <w:sz w:val="32"/>
          <w:szCs w:val="32"/>
          <w:highlight w:val="none"/>
          <w:lang w:val="en-US" w:eastAsia="zh-CN"/>
        </w:rPr>
        <w:t>并成功申</w:t>
      </w:r>
      <w:r>
        <w:rPr>
          <w:rFonts w:hint="eastAsia" w:ascii="Times New Roman" w:hAnsi="Times New Roman" w:eastAsia="仿宋_GB2312" w:cs="Times New Roman"/>
          <w:color w:val="000000"/>
          <w:kern w:val="0"/>
          <w:sz w:val="32"/>
          <w:szCs w:val="32"/>
          <w:shd w:val="clear" w:color="auto" w:fill="FFFFFF"/>
          <w:lang w:val="en-US" w:eastAsia="zh-CN" w:bidi="ar-SA"/>
        </w:rPr>
        <w:t>报2025年</w:t>
      </w:r>
      <w:r>
        <w:rPr>
          <w:rFonts w:hint="eastAsia" w:ascii="仿宋_GB2312" w:hAnsi="宋体" w:eastAsia="仿宋_GB2312" w:cs="Times New Roman"/>
          <w:color w:val="auto"/>
          <w:sz w:val="32"/>
          <w:szCs w:val="32"/>
          <w:highlight w:val="none"/>
          <w:lang w:val="en-US" w:eastAsia="zh-CN"/>
        </w:rPr>
        <w:t>省级城市更新行动重点城市（地级城市），</w:t>
      </w:r>
      <w:r>
        <w:rPr>
          <w:rFonts w:hint="default" w:ascii="Times New Roman" w:hAnsi="Times New Roman" w:eastAsia="仿宋_GB2312" w:cs="Times New Roman"/>
          <w:b w:val="0"/>
          <w:bCs w:val="0"/>
          <w:color w:val="auto"/>
          <w:kern w:val="2"/>
          <w:sz w:val="32"/>
          <w:szCs w:val="32"/>
          <w:lang w:val="en-US" w:eastAsia="zh-CN" w:bidi="ar-SA"/>
        </w:rPr>
        <w:t>全程推动项目按既定要求落地实施。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2" w:firstLineChars="200"/>
        <w:jc w:val="left"/>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楷体_GB2312" w:cs="Times New Roman"/>
          <w:b/>
          <w:color w:val="auto"/>
          <w:sz w:val="32"/>
          <w:szCs w:val="32"/>
          <w:lang w:val="en-US" w:eastAsia="zh-CN"/>
        </w:rPr>
        <w:t>（二）项目管理情况。</w:t>
      </w:r>
      <w:r>
        <w:rPr>
          <w:rFonts w:hint="default" w:ascii="仿宋_GB2312" w:hAnsi="宋体" w:eastAsia="仿宋_GB2312" w:cs="Times New Roman"/>
          <w:color w:val="auto"/>
          <w:sz w:val="32"/>
          <w:szCs w:val="32"/>
          <w:highlight w:val="none"/>
          <w:lang w:val="en-US" w:eastAsia="zh-CN"/>
        </w:rPr>
        <w:t>项目严格按照政府购买服务相关政策文件开展采购和运营管理，采购环节全面遵循《中华人民共和国政府采购法》《四川省政府购买</w:t>
      </w:r>
      <w:r>
        <w:rPr>
          <w:rFonts w:hint="default" w:ascii="Times New Roman" w:hAnsi="Times New Roman" w:eastAsia="仿宋_GB2312" w:cs="Times New Roman"/>
          <w:color w:val="000000"/>
          <w:kern w:val="0"/>
          <w:sz w:val="32"/>
          <w:szCs w:val="32"/>
          <w:shd w:val="clear" w:color="auto" w:fill="FFFFFF"/>
          <w:lang w:val="en-US" w:eastAsia="zh-CN" w:bidi="ar-SA"/>
        </w:rPr>
        <w:t>服务管理办法》等法规要求。本项目采购代理机构为四川瑞镁工程项目管理有限公司，2025年7月14日发布竞争性磋商公告，7月25日发布中标（成交）结果公告，采购全流程在政府采购一体化平台规范开展，程序公开、透明、合规。项目确定中标单位后，于2025年8月13日签订正</w:t>
      </w:r>
      <w:r>
        <w:rPr>
          <w:rFonts w:hint="default" w:ascii="仿宋_GB2312" w:hAnsi="宋体" w:eastAsia="仿宋_GB2312" w:cs="Times New Roman"/>
          <w:color w:val="auto"/>
          <w:sz w:val="32"/>
          <w:szCs w:val="32"/>
          <w:highlight w:val="none"/>
          <w:lang w:val="en-US" w:eastAsia="zh-CN"/>
        </w:rPr>
        <w:t>式技术服务合同，合同中明确约定服务内容、完成时限、付款节点、成果标准、双方权责等核心条款，为项目管理提供明确依据。市住房城乡建设局对第三方机构的服务开展、成果编制、进度推进等工作进行全程跟踪管理，严格按照合同约定审核阶段性成果，依据成果交付进度依规支付服务费用，确保项目管理规范化、标准化。</w:t>
      </w:r>
    </w:p>
    <w:p>
      <w:pPr>
        <w:adjustRightInd w:val="0"/>
        <w:snapToGrid w:val="0"/>
        <w:spacing w:line="600" w:lineRule="exact"/>
        <w:ind w:firstLine="720"/>
        <w:rPr>
          <w:rFonts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en-US" w:eastAsia="zh-CN"/>
        </w:rPr>
        <w:t>（三）项目监管情况。</w:t>
      </w:r>
      <w:r>
        <w:rPr>
          <w:rFonts w:hint="default" w:ascii="Times New Roman" w:hAnsi="Times New Roman" w:eastAsia="仿宋_GB2312" w:cs="Times New Roman"/>
          <w:b w:val="0"/>
          <w:bCs w:val="0"/>
          <w:color w:val="auto"/>
          <w:kern w:val="2"/>
          <w:sz w:val="32"/>
          <w:szCs w:val="32"/>
          <w:lang w:val="en-US" w:eastAsia="zh-CN" w:bidi="ar-SA"/>
        </w:rPr>
        <w:t>项目实施过程中，对第三方技术服务开展常态化跟踪监管，重点审核实施方案编制的科学性、申报材料汇编的完整性、技术咨询服务的专业性，对阶段性成果进行严格审核把关，确保项目实施质量、服务成效符合合同约定和工作要求。</w:t>
      </w:r>
    </w:p>
    <w:p>
      <w:pPr>
        <w:adjustRightInd w:val="0"/>
        <w:snapToGrid w:val="0"/>
        <w:spacing w:line="600" w:lineRule="exact"/>
        <w:ind w:firstLine="720"/>
        <w:outlineLvl w:val="0"/>
        <w:rPr>
          <w:rFonts w:ascii="Times New Roman" w:hAnsi="Times New Roman" w:eastAsia="仿宋_GB2312" w:cs="Times New Roman"/>
          <w:color w:val="auto"/>
          <w:sz w:val="32"/>
          <w:szCs w:val="32"/>
          <w:lang w:val="zh-CN"/>
        </w:rPr>
      </w:pPr>
      <w:bookmarkStart w:id="153" w:name="_Toc152793922_WPSOffice_Level2"/>
      <w:bookmarkStart w:id="154" w:name="_Toc1433324759_WPSOffice_Level2"/>
      <w:bookmarkStart w:id="155" w:name="_Toc158125774_WPSOffice_Level2"/>
      <w:r>
        <w:rPr>
          <w:rFonts w:ascii="Times New Roman" w:hAnsi="Times New Roman" w:eastAsia="黑体" w:cs="Times New Roman"/>
          <w:color w:val="auto"/>
          <w:sz w:val="32"/>
          <w:szCs w:val="32"/>
        </w:rPr>
        <w:t>四、项目绩效情况</w:t>
      </w:r>
      <w:bookmarkEnd w:id="153"/>
      <w:bookmarkEnd w:id="154"/>
      <w:bookmarkEnd w:id="155"/>
      <w:r>
        <w:rPr>
          <w:rFonts w:ascii="Times New Roman" w:hAnsi="Times New Roman" w:eastAsia="仿宋_GB2312" w:cs="Times New Roman"/>
          <w:color w:val="auto"/>
          <w:sz w:val="32"/>
          <w:szCs w:val="32"/>
          <w:lang w:val="zh-CN"/>
        </w:rPr>
        <w:tab/>
      </w:r>
    </w:p>
    <w:p>
      <w:pPr>
        <w:adjustRightInd w:val="0"/>
        <w:snapToGrid w:val="0"/>
        <w:spacing w:line="600" w:lineRule="exact"/>
        <w:ind w:firstLine="720"/>
        <w:outlineLvl w:val="1"/>
        <w:rPr>
          <w:rFonts w:ascii="Times New Roman" w:hAnsi="Times New Roman" w:eastAsia="楷体_GB2312" w:cs="Times New Roman"/>
          <w:b/>
          <w:color w:val="auto"/>
          <w:sz w:val="32"/>
          <w:szCs w:val="32"/>
          <w:highlight w:val="none"/>
          <w:lang w:val="zh-CN"/>
        </w:rPr>
      </w:pPr>
      <w:r>
        <w:rPr>
          <w:rFonts w:ascii="Times New Roman" w:hAnsi="Times New Roman" w:eastAsia="楷体_GB2312" w:cs="Times New Roman"/>
          <w:b/>
          <w:color w:val="auto"/>
          <w:sz w:val="32"/>
          <w:szCs w:val="32"/>
          <w:highlight w:val="none"/>
          <w:lang w:val="zh-CN"/>
        </w:rPr>
        <w:t>（一）项目完成情况</w:t>
      </w:r>
    </w:p>
    <w:p>
      <w:pPr>
        <w:adjustRightInd w:val="0"/>
        <w:snapToGrid w:val="0"/>
        <w:spacing w:line="600" w:lineRule="exact"/>
        <w:ind w:firstLine="720"/>
        <w:rPr>
          <w:rFonts w:hint="eastAsia" w:ascii="Times New Roman" w:hAnsi="Times New Roman" w:eastAsia="仿宋_GB2312" w:cs="Times New Roman"/>
          <w:color w:val="000000"/>
          <w:kern w:val="0"/>
          <w:sz w:val="32"/>
          <w:szCs w:val="32"/>
          <w:shd w:val="clear" w:color="auto" w:fill="FFFFFF"/>
          <w:lang w:val="en-US" w:eastAsia="zh-CN" w:bidi="ar-SA"/>
        </w:rPr>
      </w:pPr>
      <w:r>
        <w:rPr>
          <w:rFonts w:hint="eastAsia" w:ascii="仿宋_GB2312" w:hAnsi="宋体" w:eastAsia="仿宋_GB2312" w:cs="Times New Roman"/>
          <w:color w:val="auto"/>
          <w:sz w:val="32"/>
          <w:szCs w:val="32"/>
          <w:highlight w:val="none"/>
          <w:lang w:val="en-US" w:eastAsia="zh-CN"/>
        </w:rPr>
        <w:t>四川省城乡建设研究院按照合同约定时限完成了攀枝花市城市有机更新重点城市建设工作方案</w:t>
      </w:r>
      <w:r>
        <w:rPr>
          <w:rFonts w:hint="eastAsia" w:ascii="Times New Roman" w:hAnsi="Times New Roman" w:eastAsia="仿宋_GB2312" w:cs="Times New Roman"/>
          <w:color w:val="000000"/>
          <w:kern w:val="0"/>
          <w:sz w:val="32"/>
          <w:szCs w:val="32"/>
          <w:shd w:val="clear" w:color="auto" w:fill="FFFFFF"/>
          <w:lang w:val="en-US" w:eastAsia="zh-CN" w:bidi="ar-SA"/>
        </w:rPr>
        <w:t>编制和全过程技术咨询服务。项目最终成果《攀枝花市城市更新行动工作方案（2025—2027年）》通过市政府审定并报财政厅、住房城乡建设厅，经过基础性和技术性两轮评审，最终确定将攀枝花市纳入2025年省级城市更新行动重点城市（地级城市）。</w:t>
      </w:r>
      <w:r>
        <w:rPr>
          <w:rFonts w:hint="default" w:ascii="Times New Roman" w:hAnsi="Times New Roman" w:eastAsia="仿宋_GB2312" w:cs="Times New Roman"/>
          <w:color w:val="000000"/>
          <w:kern w:val="0"/>
          <w:sz w:val="32"/>
          <w:szCs w:val="32"/>
          <w:shd w:val="clear" w:color="auto" w:fill="FFFFFF"/>
          <w:lang w:val="zh-CN" w:eastAsia="zh-CN" w:bidi="ar-SA"/>
        </w:rPr>
        <w:t>本项目技术服务</w:t>
      </w:r>
      <w:r>
        <w:rPr>
          <w:rFonts w:hint="eastAsia" w:ascii="Times New Roman" w:hAnsi="Times New Roman" w:eastAsia="仿宋_GB2312" w:cs="Times New Roman"/>
          <w:color w:val="000000"/>
          <w:kern w:val="0"/>
          <w:sz w:val="32"/>
          <w:szCs w:val="32"/>
          <w:shd w:val="clear" w:color="auto" w:fill="FFFFFF"/>
          <w:lang w:val="zh-CN" w:eastAsia="zh-CN" w:bidi="ar-SA"/>
        </w:rPr>
        <w:t>已</w:t>
      </w:r>
      <w:r>
        <w:rPr>
          <w:rFonts w:hint="default" w:ascii="Times New Roman" w:hAnsi="Times New Roman" w:eastAsia="仿宋_GB2312" w:cs="Times New Roman"/>
          <w:color w:val="000000"/>
          <w:kern w:val="0"/>
          <w:sz w:val="32"/>
          <w:szCs w:val="32"/>
          <w:shd w:val="clear" w:color="auto" w:fill="FFFFFF"/>
          <w:lang w:val="zh-CN" w:eastAsia="zh-CN" w:bidi="ar-SA"/>
        </w:rPr>
        <w:t>完成。</w:t>
      </w:r>
    </w:p>
    <w:p>
      <w:pPr>
        <w:adjustRightInd w:val="0"/>
        <w:snapToGrid w:val="0"/>
        <w:spacing w:line="600" w:lineRule="exact"/>
        <w:ind w:firstLine="720"/>
        <w:outlineLvl w:val="1"/>
        <w:rPr>
          <w:rFonts w:hint="eastAsia" w:ascii="Times New Roman" w:hAnsi="Times New Roman" w:eastAsia="仿宋_GB2312" w:cs="Times New Roman"/>
          <w:color w:val="000000"/>
          <w:kern w:val="0"/>
          <w:sz w:val="32"/>
          <w:szCs w:val="32"/>
          <w:shd w:val="clear" w:color="auto" w:fill="FFFFFF"/>
          <w:lang w:val="zh-CN" w:eastAsia="zh-CN" w:bidi="ar-SA"/>
        </w:rPr>
      </w:pPr>
      <w:r>
        <w:rPr>
          <w:rFonts w:ascii="Times New Roman" w:hAnsi="Times New Roman" w:eastAsia="楷体_GB2312" w:cs="Times New Roman"/>
          <w:b/>
          <w:color w:val="auto"/>
          <w:sz w:val="32"/>
          <w:szCs w:val="32"/>
          <w:highlight w:val="none"/>
          <w:lang w:val="zh-CN"/>
        </w:rPr>
        <w:t>（二）项目效益情况</w:t>
      </w:r>
    </w:p>
    <w:p>
      <w:pPr>
        <w:adjustRightInd w:val="0"/>
        <w:snapToGrid w:val="0"/>
        <w:spacing w:line="600" w:lineRule="exact"/>
        <w:ind w:firstLine="720"/>
        <w:rPr>
          <w:rFonts w:hint="eastAsia" w:ascii="仿宋_GB2312" w:hAnsi="宋体" w:eastAsia="仿宋_GB2312" w:cs="Times New Roman"/>
          <w:color w:val="auto"/>
          <w:sz w:val="32"/>
          <w:szCs w:val="32"/>
          <w:highlight w:val="none"/>
          <w:lang w:val="en-US" w:eastAsia="zh-CN"/>
        </w:rPr>
      </w:pPr>
      <w:r>
        <w:rPr>
          <w:rFonts w:hint="eastAsia" w:ascii="Times New Roman" w:hAnsi="Times New Roman" w:eastAsia="仿宋_GB2312" w:cs="Times New Roman"/>
          <w:color w:val="000000"/>
          <w:kern w:val="0"/>
          <w:sz w:val="32"/>
          <w:szCs w:val="32"/>
          <w:shd w:val="clear" w:color="auto" w:fill="FFFFFF"/>
          <w:lang w:val="en-US" w:eastAsia="zh-CN" w:bidi="ar-SA"/>
        </w:rPr>
        <w:t>1.经济效益：攀枝花市成功纳入2025年省级城市更新行动重点城市（地级城市），争取到省级财政资金1.5亿元，为</w:t>
      </w:r>
      <w:r>
        <w:rPr>
          <w:rFonts w:hint="eastAsia" w:ascii="仿宋_GB2312" w:hAnsi="宋体" w:eastAsia="仿宋_GB2312" w:cs="Times New Roman"/>
          <w:color w:val="auto"/>
          <w:sz w:val="32"/>
          <w:szCs w:val="32"/>
          <w:highlight w:val="none"/>
          <w:lang w:val="en-US" w:eastAsia="zh-CN"/>
        </w:rPr>
        <w:t>城市更新项目建设提供了坚实的资金保障。</w:t>
      </w:r>
    </w:p>
    <w:p>
      <w:pPr>
        <w:adjustRightInd w:val="0"/>
        <w:snapToGrid w:val="0"/>
        <w:spacing w:line="600" w:lineRule="exact"/>
        <w:ind w:firstLine="720"/>
        <w:rPr>
          <w:rFonts w:hint="default" w:ascii="仿宋_GB2312" w:hAnsi="宋体" w:eastAsia="仿宋_GB2312" w:cs="Times New Roman"/>
          <w:color w:val="auto"/>
          <w:sz w:val="32"/>
          <w:szCs w:val="32"/>
          <w:highlight w:val="none"/>
          <w:lang w:val="en-US" w:eastAsia="zh-CN"/>
        </w:rPr>
      </w:pPr>
      <w:r>
        <w:rPr>
          <w:rFonts w:hint="eastAsia" w:ascii="Times New Roman" w:hAnsi="Times New Roman" w:eastAsia="仿宋_GB2312" w:cs="Times New Roman"/>
          <w:color w:val="000000"/>
          <w:kern w:val="0"/>
          <w:sz w:val="32"/>
          <w:szCs w:val="32"/>
          <w:shd w:val="clear" w:color="auto" w:fill="FFFFFF"/>
          <w:lang w:val="en-US" w:eastAsia="zh-CN" w:bidi="ar-SA"/>
        </w:rPr>
        <w:t>2.社会</w:t>
      </w:r>
      <w:r>
        <w:rPr>
          <w:rFonts w:hint="eastAsia" w:ascii="仿宋_GB2312" w:hAnsi="宋体" w:eastAsia="仿宋_GB2312" w:cs="Times New Roman"/>
          <w:color w:val="auto"/>
          <w:sz w:val="32"/>
          <w:szCs w:val="32"/>
          <w:highlight w:val="none"/>
          <w:lang w:val="en-US" w:eastAsia="zh-CN"/>
        </w:rPr>
        <w:t>效益：编制形成的《</w:t>
      </w:r>
      <w:r>
        <w:rPr>
          <w:rFonts w:hint="eastAsia" w:ascii="Times New Roman" w:hAnsi="Times New Roman" w:eastAsia="仿宋_GB2312" w:cs="Times New Roman"/>
          <w:color w:val="000000"/>
          <w:kern w:val="0"/>
          <w:sz w:val="32"/>
          <w:szCs w:val="32"/>
          <w:shd w:val="clear" w:color="auto" w:fill="FFFFFF"/>
          <w:lang w:val="en-US" w:eastAsia="zh-CN" w:bidi="ar-SA"/>
        </w:rPr>
        <w:t>攀枝花市城市更新行动工作方案（2025—2027年）》系统谋划了未来三</w:t>
      </w:r>
      <w:r>
        <w:rPr>
          <w:rFonts w:hint="eastAsia" w:ascii="仿宋_GB2312" w:hAnsi="宋体" w:eastAsia="仿宋_GB2312" w:cs="Times New Roman"/>
          <w:color w:val="auto"/>
          <w:sz w:val="32"/>
          <w:szCs w:val="32"/>
          <w:highlight w:val="none"/>
          <w:lang w:val="en-US" w:eastAsia="zh-CN"/>
        </w:rPr>
        <w:t>年城市有机更新的目标、任务与实施路径，为全市更新工作提供了科学指引和行动依据。通过方案的实施，将有效改善居民生活环境，完善公共服务设施，提升城市功能品质，增强人民群众的获得感、幸福感和安全感，促进城市更加宜居、宜业。</w:t>
      </w:r>
    </w:p>
    <w:p>
      <w:pPr>
        <w:adjustRightInd w:val="0"/>
        <w:snapToGrid w:val="0"/>
        <w:spacing w:line="600" w:lineRule="exact"/>
        <w:ind w:firstLine="720"/>
        <w:outlineLvl w:val="0"/>
        <w:rPr>
          <w:rFonts w:ascii="Times New Roman" w:hAnsi="Times New Roman" w:eastAsia="黑体" w:cs="Times New Roman"/>
          <w:color w:val="auto"/>
          <w:sz w:val="32"/>
          <w:szCs w:val="32"/>
        </w:rPr>
      </w:pPr>
      <w:bookmarkStart w:id="156" w:name="_Toc825386522_WPSOffice_Level2"/>
      <w:bookmarkStart w:id="157" w:name="_Toc2087859955_WPSOffice_Level2"/>
      <w:bookmarkStart w:id="158" w:name="_Toc1360374731_WPSOffice_Level2"/>
      <w:r>
        <w:rPr>
          <w:rFonts w:ascii="Times New Roman" w:hAnsi="Times New Roman" w:eastAsia="黑体" w:cs="Times New Roman"/>
          <w:color w:val="auto"/>
          <w:sz w:val="32"/>
          <w:szCs w:val="32"/>
        </w:rPr>
        <w:t>五、评价结论及建议</w:t>
      </w:r>
      <w:bookmarkEnd w:id="156"/>
      <w:bookmarkEnd w:id="157"/>
      <w:bookmarkEnd w:id="158"/>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（一）评价结论。</w:t>
      </w:r>
    </w:p>
    <w:p>
      <w:pPr>
        <w:adjustRightInd w:val="0"/>
        <w:snapToGrid w:val="0"/>
        <w:spacing w:line="600" w:lineRule="exact"/>
        <w:ind w:firstLine="720"/>
        <w:rPr>
          <w:rFonts w:hint="eastAsia" w:ascii="仿宋_GB2312" w:hAnsi="宋体" w:eastAsia="仿宋_GB2312" w:cs="Times New Roman"/>
          <w:color w:val="auto"/>
          <w:sz w:val="32"/>
          <w:szCs w:val="32"/>
          <w:highlight w:val="none"/>
          <w:lang w:val="zh-CN" w:eastAsia="zh-CN"/>
        </w:rPr>
      </w:pPr>
      <w:r>
        <w:rPr>
          <w:rFonts w:hint="eastAsia" w:ascii="仿宋_GB2312" w:hAnsi="宋体" w:eastAsia="仿宋_GB2312" w:cs="Times New Roman"/>
          <w:color w:val="auto"/>
          <w:sz w:val="32"/>
          <w:szCs w:val="32"/>
          <w:highlight w:val="none"/>
          <w:lang w:val="en-US" w:eastAsia="zh-CN"/>
        </w:rPr>
        <w:t>项目决策程序严密、规划合理、制度完备，实施过程资金使用合规、执行有效，全面完成各项绩效</w:t>
      </w:r>
      <w:r>
        <w:rPr>
          <w:rFonts w:hint="eastAsia" w:ascii="Times New Roman" w:hAnsi="Times New Roman" w:eastAsia="仿宋_GB2312" w:cs="Times New Roman"/>
          <w:color w:val="000000"/>
          <w:kern w:val="0"/>
          <w:sz w:val="32"/>
          <w:szCs w:val="32"/>
          <w:shd w:val="clear" w:color="auto" w:fill="FFFFFF"/>
          <w:lang w:val="en-US" w:eastAsia="zh-CN" w:bidi="ar-SA"/>
        </w:rPr>
        <w:t xml:space="preserve">目标，资金无结余、实施无违规，社会效益显著，达到预期效果，自评综合得分为 100 </w:t>
      </w:r>
      <w:r>
        <w:rPr>
          <w:rFonts w:hint="eastAsia" w:ascii="仿宋_GB2312" w:hAnsi="宋体" w:eastAsia="仿宋_GB2312" w:cs="Times New Roman"/>
          <w:color w:val="auto"/>
          <w:sz w:val="32"/>
          <w:szCs w:val="32"/>
          <w:highlight w:val="none"/>
          <w:lang w:val="en-US" w:eastAsia="zh-CN"/>
        </w:rPr>
        <w:t>分。</w:t>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（二）存在的问题。</w:t>
      </w:r>
    </w:p>
    <w:p>
      <w:pPr>
        <w:adjustRightInd w:val="0"/>
        <w:snapToGrid w:val="0"/>
        <w:spacing w:line="600" w:lineRule="exact"/>
        <w:ind w:firstLine="640" w:firstLineChars="200"/>
        <w:rPr>
          <w:rFonts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无。</w:t>
      </w:r>
      <w:r>
        <w:rPr>
          <w:rFonts w:ascii="Times New Roman" w:hAnsi="Times New Roman" w:eastAsia="仿宋_GB2312" w:cs="Times New Roman"/>
          <w:color w:val="auto"/>
          <w:sz w:val="32"/>
          <w:szCs w:val="32"/>
          <w:lang w:val="zh-CN"/>
        </w:rPr>
        <w:tab/>
      </w:r>
    </w:p>
    <w:p>
      <w:pPr>
        <w:adjustRightInd w:val="0"/>
        <w:snapToGrid w:val="0"/>
        <w:spacing w:line="600" w:lineRule="exact"/>
        <w:ind w:firstLine="720"/>
        <w:outlineLvl w:val="1"/>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（三）相关建议。</w:t>
      </w:r>
    </w:p>
    <w:p>
      <w:pPr>
        <w:adjustRightInd w:val="0"/>
        <w:snapToGrid w:val="0"/>
        <w:spacing w:line="600" w:lineRule="exact"/>
        <w:ind w:firstLine="640" w:firstLineChars="200"/>
        <w:rPr>
          <w:rFonts w:hint="eastAsia"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zh-CN"/>
        </w:rPr>
        <w:t>无。</w:t>
      </w:r>
    </w:p>
    <w:p>
      <w:pPr>
        <w:pStyle w:val="2"/>
      </w:pPr>
    </w:p>
    <w:p>
      <w:pPr>
        <w:pStyle w:val="3"/>
      </w:pPr>
    </w:p>
    <w:p/>
    <w:p>
      <w:pPr>
        <w:pStyle w:val="2"/>
      </w:pPr>
    </w:p>
    <w:p>
      <w:pPr>
        <w:pStyle w:val="3"/>
      </w:pPr>
    </w:p>
    <w:p/>
    <w:p>
      <w:pPr>
        <w:pStyle w:val="2"/>
      </w:pPr>
    </w:p>
    <w:p>
      <w:pPr>
        <w:pStyle w:val="3"/>
        <w:ind w:left="0" w:leftChars="0" w:firstLine="0" w:firstLineChars="0"/>
      </w:pPr>
    </w:p>
    <w:p>
      <w:pPr>
        <w:pStyle w:val="35"/>
        <w:spacing w:line="578" w:lineRule="exact"/>
        <w:jc w:val="center"/>
        <w:rPr>
          <w:rFonts w:hint="eastAsia" w:ascii="方正小标宋简体" w:eastAsia="方正小标宋简体"/>
          <w:kern w:val="2"/>
          <w:sz w:val="44"/>
          <w:szCs w:val="44"/>
        </w:rPr>
      </w:pPr>
      <w:bookmarkStart w:id="159" w:name="_Toc1464802525_WPSOffice_Level2"/>
      <w:bookmarkStart w:id="160" w:name="_Toc42200335_WPSOffice_Level2"/>
      <w:bookmarkStart w:id="161" w:name="_Toc2136060019_WPSOffice_Level2"/>
      <w:r>
        <w:rPr>
          <w:rFonts w:hint="eastAsia" w:ascii="方正小标宋简体" w:eastAsia="方正小标宋简体"/>
          <w:kern w:val="2"/>
          <w:sz w:val="44"/>
          <w:szCs w:val="44"/>
        </w:rPr>
        <w:t>白蚁防治管理资金</w:t>
      </w:r>
      <w:bookmarkEnd w:id="159"/>
      <w:bookmarkEnd w:id="160"/>
      <w:bookmarkEnd w:id="161"/>
    </w:p>
    <w:p>
      <w:pPr>
        <w:pStyle w:val="35"/>
        <w:spacing w:line="578" w:lineRule="exact"/>
        <w:jc w:val="center"/>
        <w:rPr>
          <w:rFonts w:hint="eastAsia" w:ascii="方正小标宋简体" w:eastAsia="方正小标宋简体"/>
          <w:kern w:val="2"/>
          <w:sz w:val="44"/>
          <w:szCs w:val="44"/>
        </w:rPr>
      </w:pPr>
      <w:bookmarkStart w:id="162" w:name="_Toc1025898224_WPSOffice_Level2"/>
      <w:bookmarkStart w:id="163" w:name="_Toc1469906440_WPSOffice_Level2"/>
      <w:bookmarkStart w:id="164" w:name="_Toc1505629286_WPSOffice_Level2"/>
      <w:r>
        <w:rPr>
          <w:rFonts w:hint="eastAsia" w:ascii="方正小标宋简体" w:eastAsia="方正小标宋简体"/>
          <w:kern w:val="2"/>
          <w:sz w:val="44"/>
          <w:szCs w:val="44"/>
        </w:rPr>
        <w:t>专项预算项目绩效评价报告</w:t>
      </w:r>
      <w:bookmarkEnd w:id="162"/>
      <w:bookmarkEnd w:id="163"/>
      <w:bookmarkEnd w:id="164"/>
    </w:p>
    <w:p>
      <w:pPr>
        <w:pStyle w:val="35"/>
        <w:spacing w:line="578" w:lineRule="exact"/>
        <w:ind w:firstLine="640"/>
        <w:jc w:val="center"/>
        <w:rPr>
          <w:rFonts w:hint="eastAsia" w:ascii="宋体"/>
          <w:kern w:val="2"/>
          <w:sz w:val="32"/>
          <w:szCs w:val="32"/>
        </w:rPr>
      </w:pPr>
    </w:p>
    <w:p>
      <w:pPr>
        <w:adjustRightInd w:val="0"/>
        <w:snapToGrid w:val="0"/>
        <w:spacing w:line="578" w:lineRule="exact"/>
        <w:ind w:firstLine="640" w:firstLineChars="200"/>
        <w:rPr>
          <w:rFonts w:hint="eastAsia" w:ascii="黑体" w:eastAsia="黑体"/>
          <w:sz w:val="32"/>
          <w:szCs w:val="32"/>
        </w:rPr>
      </w:pPr>
      <w:bookmarkStart w:id="165" w:name="_Toc281228502_WPSOffice_Level2"/>
      <w:bookmarkStart w:id="166" w:name="_Toc544074464_WPSOffice_Level2"/>
      <w:bookmarkStart w:id="167" w:name="_Toc1198810518_WPSOffice_Level2"/>
      <w:r>
        <w:rPr>
          <w:rFonts w:hint="eastAsia" w:ascii="黑体" w:eastAsia="黑体"/>
          <w:sz w:val="32"/>
          <w:szCs w:val="32"/>
        </w:rPr>
        <w:t>一、项目概况</w:t>
      </w:r>
      <w:bookmarkEnd w:id="165"/>
      <w:bookmarkEnd w:id="166"/>
      <w:bookmarkEnd w:id="167"/>
    </w:p>
    <w:p>
      <w:pPr>
        <w:widowControl/>
        <w:adjustRightInd w:val="0"/>
        <w:snapToGrid w:val="0"/>
        <w:spacing w:line="578" w:lineRule="exact"/>
        <w:ind w:firstLine="642" w:firstLineChars="200"/>
        <w:contextualSpacing/>
        <w:rPr>
          <w:rFonts w:hint="eastAsia" w:ascii="仿宋_GB2312" w:eastAsia="仿宋_GB2312"/>
          <w:kern w:val="0"/>
          <w:sz w:val="32"/>
          <w:szCs w:val="32"/>
        </w:rPr>
      </w:pPr>
      <w:r>
        <w:rPr>
          <w:rFonts w:hint="eastAsia" w:ascii="楷体_GB2312" w:eastAsia="楷体_GB2312"/>
          <w:b/>
          <w:bCs/>
          <w:sz w:val="32"/>
          <w:szCs w:val="32"/>
        </w:rPr>
        <w:t>（一）设立背景及基本情况。</w:t>
      </w:r>
      <w:r>
        <w:rPr>
          <w:rFonts w:hint="eastAsia" w:ascii="Times New Roman" w:hAnsi="Times New Roman" w:eastAsia="仿宋_GB2312" w:cs="Times New Roman"/>
          <w:color w:val="000000"/>
          <w:kern w:val="0"/>
          <w:sz w:val="32"/>
          <w:szCs w:val="32"/>
          <w:shd w:val="clear" w:color="auto" w:fill="FFFFFF"/>
          <w:lang w:val="zh-CN" w:eastAsia="zh-CN" w:bidi="ar-SA"/>
        </w:rPr>
        <w:t>根据《城市房屋白蚁防治管理规定》（建设部令第130号）及部门职能，我中心负责对三区内新建、改建、扩建、装饰装修等房屋的白蚁</w:t>
      </w:r>
      <w:r>
        <w:rPr>
          <w:rFonts w:hint="eastAsia" w:ascii="仿宋_GB2312" w:eastAsia="仿宋_GB2312"/>
          <w:kern w:val="0"/>
          <w:sz w:val="32"/>
          <w:szCs w:val="32"/>
        </w:rPr>
        <w:t>预防和对原有房屋的白蚁检查与灭治的管理。同时负责监控全市白蚁蚁情，确认危害我市房屋住用安全的白蚁蚁种、危害程度及分布范围。</w:t>
      </w:r>
    </w:p>
    <w:p>
      <w:pPr>
        <w:widowControl/>
        <w:adjustRightInd w:val="0"/>
        <w:snapToGrid w:val="0"/>
        <w:spacing w:line="578" w:lineRule="exact"/>
        <w:ind w:firstLine="642" w:firstLineChars="200"/>
        <w:contextualSpacing/>
        <w:rPr>
          <w:rFonts w:hint="eastAsia" w:ascii="仿宋_GB2312" w:eastAsia="仿宋_GB2312"/>
          <w:kern w:val="0"/>
          <w:sz w:val="32"/>
          <w:szCs w:val="32"/>
        </w:rPr>
      </w:pPr>
      <w:r>
        <w:rPr>
          <w:rFonts w:hint="eastAsia" w:ascii="楷体_GB2312" w:eastAsia="楷体_GB2312"/>
          <w:b/>
          <w:bCs/>
          <w:sz w:val="32"/>
          <w:szCs w:val="32"/>
        </w:rPr>
        <w:t>（二）实施目的及支持方向。</w:t>
      </w:r>
      <w:r>
        <w:rPr>
          <w:rFonts w:hint="eastAsia" w:ascii="仿宋_GB2312" w:eastAsia="仿宋_GB2312"/>
          <w:kern w:val="0"/>
          <w:sz w:val="32"/>
          <w:szCs w:val="32"/>
        </w:rPr>
        <w:t>本项目的主要内容是承担我市东区、西区、仁和区城市规划区范围内新建房屋白蚁预防及旧有房屋白蚁危害灭治工作。</w:t>
      </w:r>
    </w:p>
    <w:p>
      <w:pPr>
        <w:adjustRightInd w:val="0"/>
        <w:snapToGrid w:val="0"/>
        <w:spacing w:line="560" w:lineRule="exact"/>
        <w:ind w:firstLine="720"/>
        <w:rPr>
          <w:rFonts w:hint="eastAsia" w:ascii="仿宋_GB2312" w:eastAsia="仿宋_GB2312"/>
          <w:kern w:val="0"/>
          <w:sz w:val="32"/>
          <w:szCs w:val="32"/>
        </w:rPr>
      </w:pPr>
      <w:r>
        <w:rPr>
          <w:rFonts w:hint="eastAsia" w:ascii="楷体_GB2312" w:eastAsia="楷体_GB2312"/>
          <w:b/>
          <w:bCs/>
          <w:sz w:val="32"/>
          <w:szCs w:val="32"/>
        </w:rPr>
        <w:t>（三）预算安排及分配管理。</w:t>
      </w:r>
      <w:r>
        <w:rPr>
          <w:rFonts w:hint="eastAsia" w:ascii="Times New Roman" w:hAnsi="Times New Roman" w:eastAsia="仿宋_GB2312" w:cs="Times New Roman"/>
          <w:color w:val="000000"/>
          <w:kern w:val="0"/>
          <w:sz w:val="32"/>
          <w:szCs w:val="32"/>
          <w:shd w:val="clear" w:color="auto" w:fill="FFFFFF"/>
          <w:lang w:val="zh-CN" w:eastAsia="zh-CN" w:bidi="ar-SA"/>
        </w:rPr>
        <w:t>2025年度该项目预算申报64.7万元，预算批复为20.73万元。该项目遵照政府会计准则制度进行核算，设财务主管1人、会计2人、出纳1人，在中心行政帐中统一核算，并设有明细账。该项目严格执行财务管理制度、财</w:t>
      </w:r>
      <w:r>
        <w:rPr>
          <w:rFonts w:hint="eastAsia" w:ascii="仿宋_GB2312" w:eastAsia="仿宋_GB2312"/>
          <w:kern w:val="0"/>
          <w:sz w:val="32"/>
          <w:szCs w:val="32"/>
        </w:rPr>
        <w:t>务处理及时、会计核算规范。</w:t>
      </w:r>
    </w:p>
    <w:p>
      <w:pPr>
        <w:adjustRightInd w:val="0"/>
        <w:snapToGrid w:val="0"/>
        <w:spacing w:line="560" w:lineRule="exact"/>
        <w:ind w:firstLine="642" w:firstLineChars="200"/>
        <w:rPr>
          <w:rFonts w:hint="eastAsia" w:ascii="仿宋_GB2312" w:eastAsia="仿宋_GB2312"/>
          <w:kern w:val="0"/>
          <w:sz w:val="32"/>
          <w:szCs w:val="32"/>
        </w:rPr>
      </w:pPr>
      <w:r>
        <w:rPr>
          <w:rFonts w:hint="eastAsia" w:ascii="楷体_GB2312" w:eastAsia="楷体_GB2312"/>
          <w:b/>
          <w:bCs/>
          <w:sz w:val="32"/>
          <w:szCs w:val="32"/>
        </w:rPr>
        <w:t>（四）项目绩效目标设置。</w:t>
      </w:r>
      <w:r>
        <w:rPr>
          <w:rFonts w:hint="eastAsia" w:ascii="Times New Roman" w:hAnsi="Times New Roman" w:eastAsia="仿宋_GB2312" w:cs="Times New Roman"/>
          <w:color w:val="000000"/>
          <w:kern w:val="0"/>
          <w:sz w:val="32"/>
          <w:szCs w:val="32"/>
          <w:shd w:val="clear" w:color="auto" w:fill="FFFFFF"/>
          <w:lang w:val="zh-CN" w:eastAsia="zh-CN" w:bidi="ar-SA"/>
        </w:rPr>
        <w:t>全年计划购新增白蚁防治面积3万平方米，白蚁灭治合格率100%，按照预约时间施工率100%,减少新建房屋受白蚁危害面积不少于3万平方米。项目年度绩</w:t>
      </w:r>
      <w:r>
        <w:rPr>
          <w:rFonts w:hint="eastAsia" w:ascii="仿宋_GB2312" w:eastAsia="仿宋_GB2312"/>
          <w:kern w:val="0"/>
          <w:sz w:val="32"/>
          <w:szCs w:val="32"/>
        </w:rPr>
        <w:t>效目标与中长期规划一致。</w:t>
      </w:r>
    </w:p>
    <w:p>
      <w:pPr>
        <w:adjustRightInd w:val="0"/>
        <w:snapToGrid w:val="0"/>
        <w:spacing w:line="578" w:lineRule="exact"/>
        <w:ind w:firstLine="640" w:firstLineChars="200"/>
        <w:rPr>
          <w:rFonts w:hint="eastAsia" w:ascii="黑体" w:eastAsia="黑体"/>
          <w:sz w:val="32"/>
          <w:szCs w:val="32"/>
        </w:rPr>
      </w:pPr>
      <w:bookmarkStart w:id="168" w:name="_Toc126987605_WPSOffice_Level2"/>
      <w:bookmarkStart w:id="169" w:name="_Toc678756544_WPSOffice_Level2"/>
      <w:bookmarkStart w:id="170" w:name="_Toc867593760_WPSOffice_Level2"/>
      <w:r>
        <w:rPr>
          <w:rFonts w:hint="eastAsia" w:ascii="黑体" w:eastAsia="黑体"/>
          <w:sz w:val="32"/>
          <w:szCs w:val="32"/>
        </w:rPr>
        <w:t>二、评价实施</w:t>
      </w:r>
      <w:bookmarkEnd w:id="168"/>
      <w:bookmarkEnd w:id="169"/>
      <w:bookmarkEnd w:id="170"/>
    </w:p>
    <w:p>
      <w:pPr>
        <w:spacing w:line="578" w:lineRule="exact"/>
        <w:ind w:firstLine="640"/>
        <w:rPr>
          <w:rFonts w:hint="eastAsia" w:ascii="楷体_GB2312" w:eastAsia="楷体_GB2312"/>
          <w:b/>
          <w:bCs/>
          <w:sz w:val="32"/>
          <w:szCs w:val="32"/>
        </w:rPr>
      </w:pPr>
      <w:r>
        <w:rPr>
          <w:rFonts w:hint="eastAsia" w:ascii="楷体_GB2312" w:eastAsia="楷体_GB2312"/>
          <w:b/>
          <w:bCs/>
          <w:sz w:val="32"/>
          <w:szCs w:val="32"/>
        </w:rPr>
        <w:t>（一）评价目的。</w:t>
      </w:r>
    </w:p>
    <w:p>
      <w:pPr>
        <w:spacing w:line="578" w:lineRule="exact"/>
        <w:ind w:firstLine="64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1.评估项目资金使用的效率和效果。</w:t>
      </w:r>
    </w:p>
    <w:p>
      <w:pPr>
        <w:spacing w:line="578" w:lineRule="exact"/>
        <w:ind w:firstLine="64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2.发现项目实施过程中存在的问题，提出改进建议。</w:t>
      </w:r>
    </w:p>
    <w:p>
      <w:pPr>
        <w:spacing w:line="578" w:lineRule="exact"/>
        <w:ind w:firstLine="640"/>
        <w:rPr>
          <w:rFonts w:hint="eastAsia" w:ascii="仿宋_GB2312" w:eastAsia="仿宋_GB2312"/>
          <w:kern w:val="0"/>
          <w:sz w:val="32"/>
          <w:szCs w:val="32"/>
        </w:rPr>
      </w:pPr>
      <w:r>
        <w:rPr>
          <w:rFonts w:hint="eastAsia" w:ascii="Times New Roman" w:hAnsi="Times New Roman" w:eastAsia="仿宋_GB2312" w:cs="Times New Roman"/>
          <w:color w:val="000000"/>
          <w:kern w:val="0"/>
          <w:sz w:val="32"/>
          <w:szCs w:val="32"/>
          <w:shd w:val="clear" w:color="auto" w:fill="FFFFFF"/>
          <w:lang w:val="zh-CN" w:eastAsia="zh-CN" w:bidi="ar-SA"/>
        </w:rPr>
        <w:t>3.为后续白</w:t>
      </w:r>
      <w:r>
        <w:rPr>
          <w:rFonts w:hint="eastAsia" w:ascii="仿宋_GB2312" w:eastAsia="仿宋_GB2312"/>
          <w:kern w:val="0"/>
          <w:sz w:val="32"/>
          <w:szCs w:val="32"/>
        </w:rPr>
        <w:t>蚁防治管理资金预算编制和项目实施提供参考依据。</w:t>
      </w:r>
    </w:p>
    <w:p>
      <w:pPr>
        <w:spacing w:line="578" w:lineRule="exact"/>
        <w:ind w:firstLine="640"/>
        <w:rPr>
          <w:rFonts w:hint="eastAsia" w:ascii="仿宋_GB2312" w:eastAsia="仿宋_GB2312"/>
          <w:kern w:val="0"/>
          <w:sz w:val="32"/>
          <w:szCs w:val="32"/>
        </w:rPr>
      </w:pPr>
      <w:r>
        <w:rPr>
          <w:rFonts w:hint="eastAsia" w:ascii="楷体_GB2312" w:eastAsia="楷体_GB2312"/>
          <w:b/>
          <w:bCs/>
          <w:sz w:val="32"/>
          <w:szCs w:val="32"/>
        </w:rPr>
        <w:t>（二）预设问题及评价重点。</w:t>
      </w:r>
      <w:r>
        <w:rPr>
          <w:rFonts w:hint="eastAsia" w:ascii="仿宋_GB2312" w:eastAsia="仿宋_GB2312"/>
          <w:kern w:val="0"/>
          <w:sz w:val="32"/>
          <w:szCs w:val="32"/>
        </w:rPr>
        <w:t>按照绩效评价指标体系，对资金支出使用中白蚁防治的预防面积、工程施工合格率、群众满意度等方面进行了评价。</w:t>
      </w:r>
    </w:p>
    <w:p>
      <w:pPr>
        <w:adjustRightInd w:val="0"/>
        <w:snapToGrid w:val="0"/>
        <w:spacing w:line="578" w:lineRule="exact"/>
        <w:ind w:firstLine="642" w:firstLineChars="200"/>
        <w:rPr>
          <w:rFonts w:hint="eastAsia" w:ascii="仿宋_GB2312" w:eastAsia="仿宋_GB2312"/>
          <w:kern w:val="0"/>
          <w:sz w:val="32"/>
          <w:szCs w:val="32"/>
        </w:rPr>
      </w:pPr>
      <w:r>
        <w:rPr>
          <w:rFonts w:hint="eastAsia" w:ascii="楷体_GB2312" w:eastAsia="楷体_GB2312"/>
          <w:b/>
          <w:bCs/>
          <w:sz w:val="32"/>
          <w:szCs w:val="32"/>
        </w:rPr>
        <w:t>（三）评价选点。</w:t>
      </w:r>
      <w:r>
        <w:rPr>
          <w:rFonts w:hint="eastAsia" w:ascii="仿宋_GB2312" w:eastAsia="仿宋_GB2312"/>
          <w:kern w:val="0"/>
          <w:sz w:val="32"/>
          <w:szCs w:val="32"/>
        </w:rPr>
        <w:t>本年分别于</w:t>
      </w:r>
      <w:r>
        <w:rPr>
          <w:rFonts w:hint="eastAsia" w:ascii="Times New Roman" w:hAnsi="Times New Roman" w:eastAsia="仿宋_GB2312" w:cs="Times New Roman"/>
          <w:color w:val="000000"/>
          <w:kern w:val="0"/>
          <w:sz w:val="32"/>
          <w:szCs w:val="32"/>
          <w:shd w:val="clear" w:color="auto" w:fill="FFFFFF"/>
          <w:lang w:val="zh-CN" w:eastAsia="zh-CN" w:bidi="ar-SA"/>
        </w:rPr>
        <w:t>对1—8月及1—12月的项</w:t>
      </w:r>
      <w:r>
        <w:rPr>
          <w:rFonts w:hint="eastAsia" w:ascii="仿宋_GB2312" w:eastAsia="仿宋_GB2312"/>
          <w:kern w:val="0"/>
          <w:sz w:val="32"/>
          <w:szCs w:val="32"/>
        </w:rPr>
        <w:t>目完成情况进行了两次评价。</w:t>
      </w:r>
    </w:p>
    <w:p>
      <w:pPr>
        <w:spacing w:line="578" w:lineRule="exact"/>
        <w:ind w:firstLine="640"/>
        <w:rPr>
          <w:rFonts w:hint="eastAsia" w:ascii="仿宋_GB2312" w:eastAsia="仿宋_GB2312"/>
          <w:kern w:val="0"/>
          <w:sz w:val="32"/>
          <w:szCs w:val="32"/>
        </w:rPr>
      </w:pPr>
      <w:r>
        <w:rPr>
          <w:rFonts w:hint="eastAsia" w:ascii="楷体_GB2312" w:eastAsia="楷体_GB2312"/>
          <w:b/>
          <w:bCs/>
          <w:sz w:val="32"/>
          <w:szCs w:val="32"/>
        </w:rPr>
        <w:t>（四）评价方法。</w:t>
      </w:r>
      <w:r>
        <w:rPr>
          <w:rFonts w:hint="eastAsia" w:ascii="仿宋_GB2312" w:eastAsia="仿宋_GB2312"/>
          <w:kern w:val="0"/>
          <w:sz w:val="32"/>
          <w:szCs w:val="32"/>
        </w:rPr>
        <w:t>根据项目情况和评价重点，采用成本效益分析法、单位自评法等多种方法收集相关材料和开展具体评价。</w:t>
      </w:r>
    </w:p>
    <w:p>
      <w:pPr>
        <w:spacing w:line="578" w:lineRule="exact"/>
        <w:ind w:firstLine="640"/>
        <w:rPr>
          <w:rFonts w:hint="eastAsia" w:eastAsia="仿宋_GB2312"/>
          <w:szCs w:val="21"/>
        </w:rPr>
      </w:pPr>
      <w:r>
        <w:rPr>
          <w:rFonts w:hint="eastAsia" w:ascii="楷体_GB2312" w:eastAsia="楷体_GB2312"/>
          <w:b/>
          <w:bCs/>
          <w:sz w:val="32"/>
          <w:szCs w:val="32"/>
        </w:rPr>
        <w:t>（五）评价组织。</w:t>
      </w:r>
      <w:r>
        <w:rPr>
          <w:rFonts w:hint="eastAsia" w:ascii="仿宋_GB2312" w:eastAsia="仿宋_GB2312"/>
          <w:kern w:val="0"/>
          <w:sz w:val="32"/>
          <w:szCs w:val="32"/>
        </w:rPr>
        <w:t>评价组由计划财务科成员担任，姚国龙同志任组长，蔺雪及卢飞同志任组员。</w:t>
      </w:r>
    </w:p>
    <w:p>
      <w:pPr>
        <w:adjustRightInd w:val="0"/>
        <w:snapToGrid w:val="0"/>
        <w:spacing w:line="578" w:lineRule="exact"/>
        <w:ind w:firstLine="640" w:firstLineChars="200"/>
        <w:rPr>
          <w:rFonts w:hint="eastAsia" w:ascii="仿宋_GB2312" w:eastAsia="仿宋_GB2312"/>
          <w:sz w:val="32"/>
          <w:szCs w:val="32"/>
        </w:rPr>
      </w:pPr>
      <w:bookmarkStart w:id="171" w:name="_Toc1139430665_WPSOffice_Level2"/>
      <w:bookmarkStart w:id="172" w:name="_Toc1466617621_WPSOffice_Level2"/>
      <w:bookmarkStart w:id="173" w:name="_Toc1273464105_WPSOffice_Level2"/>
      <w:r>
        <w:rPr>
          <w:rFonts w:hint="eastAsia" w:ascii="黑体" w:eastAsia="黑体"/>
          <w:sz w:val="32"/>
          <w:szCs w:val="32"/>
        </w:rPr>
        <w:t>三、绩效分析</w:t>
      </w:r>
      <w:bookmarkEnd w:id="171"/>
      <w:bookmarkEnd w:id="172"/>
      <w:bookmarkEnd w:id="173"/>
      <w:r>
        <w:rPr>
          <w:rFonts w:hint="eastAsia" w:ascii="仿宋_GB2312" w:hAnsi="仿宋_GB2312"/>
          <w:sz w:val="32"/>
          <w:szCs w:val="32"/>
        </w:rPr>
        <w:tab/>
      </w:r>
    </w:p>
    <w:p>
      <w:pPr>
        <w:spacing w:line="578" w:lineRule="exact"/>
        <w:ind w:firstLine="640"/>
        <w:rPr>
          <w:rFonts w:hint="eastAsia" w:ascii="楷体_GB2312" w:eastAsia="楷体_GB2312"/>
          <w:b/>
          <w:bCs/>
          <w:sz w:val="32"/>
          <w:szCs w:val="32"/>
        </w:rPr>
      </w:pPr>
      <w:r>
        <w:rPr>
          <w:rFonts w:hint="eastAsia" w:ascii="楷体_GB2312" w:eastAsia="楷体_GB2312"/>
          <w:b/>
          <w:bCs/>
          <w:sz w:val="32"/>
          <w:szCs w:val="32"/>
        </w:rPr>
        <w:t>（一）通用指标</w:t>
      </w:r>
      <w:r>
        <w:rPr>
          <w:rFonts w:hint="eastAsia" w:ascii="楷体_GB2312" w:eastAsia="楷体_GB2312"/>
          <w:b/>
          <w:bCs/>
          <w:kern w:val="0"/>
          <w:sz w:val="32"/>
          <w:szCs w:val="32"/>
          <w:shd w:val="clear" w:color="auto" w:fill="FFFFFF"/>
        </w:rPr>
        <w:t>绩效分析。</w:t>
      </w:r>
    </w:p>
    <w:p>
      <w:pPr>
        <w:spacing w:line="578" w:lineRule="exact"/>
        <w:ind w:firstLine="64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楷体_GB2312" w:eastAsia="楷体_GB2312"/>
          <w:sz w:val="32"/>
          <w:szCs w:val="32"/>
        </w:rPr>
        <w:t>1.项目决策。</w:t>
      </w:r>
      <w:r>
        <w:rPr>
          <w:rFonts w:hint="eastAsia" w:ascii="仿宋_GB2312" w:eastAsia="仿宋_GB2312"/>
          <w:kern w:val="0"/>
          <w:sz w:val="32"/>
          <w:szCs w:val="32"/>
        </w:rPr>
        <w:t>根据《城市房屋白蚁防治管理规定》（建设部令第</w:t>
      </w:r>
      <w:r>
        <w:rPr>
          <w:rFonts w:hint="eastAsia" w:ascii="Times New Roman" w:hAnsi="Times New Roman" w:eastAsia="仿宋_GB2312" w:cs="Times New Roman"/>
          <w:color w:val="000000"/>
          <w:kern w:val="0"/>
          <w:sz w:val="32"/>
          <w:szCs w:val="32"/>
          <w:shd w:val="clear" w:color="auto" w:fill="FFFFFF"/>
          <w:lang w:val="zh-CN" w:eastAsia="zh-CN" w:bidi="ar-SA"/>
        </w:rPr>
        <w:t>130号）及2024年度预算批复文件，明确资金使用范围，不得挪作他用。</w:t>
      </w:r>
    </w:p>
    <w:p>
      <w:pPr>
        <w:ind w:firstLine="640" w:firstLineChars="200"/>
        <w:rPr>
          <w:rFonts w:hint="eastAsia" w:ascii="仿宋_GB2312" w:eastAsia="仿宋_GB2312"/>
          <w:kern w:val="0"/>
          <w:sz w:val="32"/>
          <w:szCs w:val="32"/>
        </w:rPr>
      </w:pPr>
      <w:r>
        <w:rPr>
          <w:rFonts w:hint="eastAsia" w:ascii="楷体_GB2312" w:eastAsia="楷体_GB2312"/>
          <w:sz w:val="32"/>
          <w:szCs w:val="32"/>
        </w:rPr>
        <w:t>2.项目管理。</w:t>
      </w:r>
      <w:r>
        <w:rPr>
          <w:rFonts w:hint="eastAsia" w:ascii="仿宋_GB2312" w:eastAsia="仿宋_GB2312"/>
          <w:kern w:val="0"/>
          <w:sz w:val="32"/>
          <w:szCs w:val="32"/>
        </w:rPr>
        <w:t>攀枝花市市区新建房屋白蚁预防由攀枝花市白蚁防治中心负责组织实施，职责分工明确，制度齐全，实施过程如下：市白蚁防治中心和项目单位先签</w:t>
      </w:r>
      <w:r>
        <w:rPr>
          <w:rFonts w:hint="eastAsia" w:ascii="仿宋_GB2312" w:eastAsia="仿宋_GB2312"/>
          <w:kern w:val="0"/>
          <w:sz w:val="32"/>
          <w:szCs w:val="32"/>
          <w:lang w:eastAsia="zh-CN"/>
        </w:rPr>
        <w:t>订</w:t>
      </w:r>
      <w:r>
        <w:rPr>
          <w:rFonts w:hint="eastAsia" w:ascii="仿宋_GB2312" w:eastAsia="仿宋_GB2312"/>
          <w:kern w:val="0"/>
          <w:sz w:val="32"/>
          <w:szCs w:val="32"/>
        </w:rPr>
        <w:t>《攀枝花市新建房屋白蚁预防公共服务协议》，然后按协议由市白蚁防治中心组织施工人员对项目进行施工勘察，并向项目告知白蚁预防相关注意事项及白蚁预防施工节点时间；到达白蚁预防施工节点后，由项目单位提前通知白蚁中心对其进行白蚁预防施工并由项目单位对施工质量、竣工等进行签字确认；白蚁预防施工完成后，白蚁防治中心向项目单位发放《白蚁预防实施证明》。</w:t>
      </w:r>
    </w:p>
    <w:p>
      <w:pPr>
        <w:adjustRightInd w:val="0"/>
        <w:snapToGrid w:val="0"/>
        <w:spacing w:line="560" w:lineRule="exact"/>
        <w:ind w:firstLine="72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楷体_GB2312" w:eastAsia="楷体_GB2312"/>
          <w:sz w:val="32"/>
          <w:szCs w:val="32"/>
        </w:rPr>
        <w:t>3.项目实施。</w:t>
      </w:r>
      <w:r>
        <w:rPr>
          <w:rFonts w:hint="eastAsia" w:ascii="Times New Roman" w:hAnsi="Times New Roman" w:eastAsia="仿宋_GB2312" w:cs="Times New Roman"/>
          <w:color w:val="000000"/>
          <w:kern w:val="0"/>
          <w:sz w:val="32"/>
          <w:szCs w:val="32"/>
          <w:shd w:val="clear" w:color="auto" w:fill="FFFFFF"/>
          <w:lang w:val="zh-CN" w:eastAsia="zh-CN" w:bidi="ar-SA"/>
        </w:rPr>
        <w:t>该项目实际完成新增白蚁防治面积3.5万平方米完成年初绩效的116.67%，白蚁灭治合格率100%，按照预约时间施工率100%,减少新建房屋受白蚁危害面积3.5万平方米。年终无资金结余，无违规记录。</w:t>
      </w:r>
    </w:p>
    <w:p>
      <w:pPr>
        <w:adjustRightInd w:val="0"/>
        <w:snapToGrid w:val="0"/>
        <w:spacing w:line="560" w:lineRule="exact"/>
        <w:ind w:firstLine="720"/>
        <w:rPr>
          <w:rFonts w:hint="eastAsia" w:ascii="仿宋_GB2312" w:eastAsia="仿宋_GB2312"/>
          <w:kern w:val="0"/>
          <w:sz w:val="32"/>
          <w:szCs w:val="32"/>
        </w:rPr>
      </w:pPr>
      <w:r>
        <w:rPr>
          <w:rFonts w:hint="eastAsia" w:ascii="楷体_GB2312" w:eastAsia="楷体_GB2312"/>
          <w:sz w:val="32"/>
          <w:szCs w:val="32"/>
        </w:rPr>
        <w:t>4.项目结果。</w:t>
      </w:r>
      <w:r>
        <w:rPr>
          <w:rFonts w:hint="eastAsia" w:ascii="仿宋_GB2312" w:eastAsia="仿宋_GB2312"/>
          <w:kern w:val="0"/>
          <w:sz w:val="32"/>
          <w:szCs w:val="32"/>
        </w:rPr>
        <w:t>完成了对三区内新建、改建、扩建、装饰装修等房屋的白蚁预防和对原有房屋的白蚁检查与灭治的管理。同时监控了全市白蚁蚁情，确认危害我市房屋住用安全的白蚁蚁种、危害程度及分布范围。</w:t>
      </w:r>
    </w:p>
    <w:p>
      <w:pPr>
        <w:adjustRightInd w:val="0"/>
        <w:snapToGrid w:val="0"/>
        <w:spacing w:line="560" w:lineRule="exact"/>
        <w:ind w:firstLine="720"/>
        <w:rPr>
          <w:rFonts w:hint="eastAsia" w:ascii="仿宋_GB2312" w:hAnsi="仿宋_GB2312" w:cs="仿宋_GB2312"/>
          <w:kern w:val="0"/>
          <w:sz w:val="31"/>
          <w:szCs w:val="31"/>
        </w:rPr>
      </w:pPr>
      <w:r>
        <w:rPr>
          <w:rFonts w:hint="eastAsia" w:ascii="楷体_GB2312" w:eastAsia="楷体_GB2312"/>
          <w:b/>
          <w:bCs/>
          <w:sz w:val="32"/>
          <w:szCs w:val="32"/>
        </w:rPr>
        <w:t>（二）专用指标</w:t>
      </w:r>
      <w:r>
        <w:rPr>
          <w:rFonts w:hint="eastAsia" w:ascii="楷体_GB2312" w:eastAsia="楷体_GB2312"/>
          <w:b/>
          <w:bCs/>
          <w:kern w:val="0"/>
          <w:sz w:val="32"/>
          <w:szCs w:val="32"/>
          <w:shd w:val="clear" w:color="auto" w:fill="FFFFFF"/>
        </w:rPr>
        <w:t>绩效分析。</w:t>
      </w:r>
    </w:p>
    <w:p>
      <w:pPr>
        <w:adjustRightInd w:val="0"/>
        <w:snapToGrid w:val="0"/>
        <w:spacing w:line="560" w:lineRule="exact"/>
        <w:ind w:firstLine="720"/>
        <w:rPr>
          <w:rFonts w:hint="eastAsia" w:ascii="仿宋_GB2312" w:eastAsia="仿宋_GB2312"/>
          <w:color w:val="auto"/>
          <w:kern w:val="0"/>
          <w:sz w:val="32"/>
          <w:szCs w:val="32"/>
        </w:rPr>
      </w:pPr>
      <w:r>
        <w:rPr>
          <w:rFonts w:hint="eastAsia" w:ascii="仿宋_GB2312" w:eastAsia="仿宋_GB2312"/>
          <w:color w:val="auto"/>
          <w:kern w:val="0"/>
          <w:sz w:val="32"/>
          <w:szCs w:val="32"/>
          <w:lang w:eastAsia="zh-CN"/>
        </w:rPr>
        <w:t>社会效益</w:t>
      </w:r>
      <w:r>
        <w:rPr>
          <w:rFonts w:hint="eastAsia" w:ascii="仿宋_GB2312" w:eastAsia="仿宋_GB2312"/>
          <w:color w:val="auto"/>
          <w:kern w:val="0"/>
          <w:sz w:val="32"/>
          <w:szCs w:val="32"/>
        </w:rPr>
        <w:t>方面，该项目摸清我市白蚁种群分布及白蚁危害种类，有效减轻白蚁危害在我市的蔓延，增加房屋建筑住用寿命增强人民群众对白蚁防治的必要性、重要性的认识。</w:t>
      </w:r>
    </w:p>
    <w:p>
      <w:pPr>
        <w:spacing w:line="578" w:lineRule="exact"/>
        <w:ind w:firstLine="640"/>
        <w:rPr>
          <w:rFonts w:hint="eastAsia" w:ascii="仿宋_GB2312" w:eastAsia="仿宋_GB2312"/>
          <w:kern w:val="0"/>
          <w:sz w:val="32"/>
          <w:szCs w:val="32"/>
        </w:rPr>
      </w:pPr>
      <w:r>
        <w:rPr>
          <w:rFonts w:hint="eastAsia" w:ascii="楷体_GB2312" w:eastAsia="楷体_GB2312"/>
          <w:b/>
          <w:bCs/>
          <w:sz w:val="32"/>
          <w:szCs w:val="32"/>
        </w:rPr>
        <w:t>（三）个性指标</w:t>
      </w:r>
      <w:r>
        <w:rPr>
          <w:rFonts w:hint="eastAsia" w:ascii="楷体_GB2312" w:eastAsia="楷体_GB2312"/>
          <w:b/>
          <w:bCs/>
          <w:kern w:val="0"/>
          <w:sz w:val="32"/>
          <w:szCs w:val="32"/>
          <w:shd w:val="clear" w:color="auto" w:fill="FFFFFF"/>
        </w:rPr>
        <w:t>绩效分析。</w:t>
      </w:r>
      <w:r>
        <w:rPr>
          <w:rFonts w:hint="eastAsia" w:ascii="Times New Roman" w:hAnsi="Times New Roman" w:eastAsia="仿宋_GB2312" w:cs="Times New Roman"/>
          <w:color w:val="000000"/>
          <w:kern w:val="0"/>
          <w:sz w:val="32"/>
          <w:szCs w:val="32"/>
          <w:shd w:val="clear" w:color="auto" w:fill="FFFFFF"/>
          <w:lang w:val="zh-CN" w:eastAsia="zh-CN" w:bidi="ar-SA"/>
        </w:rPr>
        <w:t>该项目100%使用国家批准的防治药品，白蚁预防项目实施后，保质期15年。</w:t>
      </w:r>
    </w:p>
    <w:p>
      <w:pPr>
        <w:spacing w:line="578" w:lineRule="exact"/>
        <w:ind w:firstLine="640"/>
        <w:rPr>
          <w:rFonts w:hint="eastAsia" w:ascii="黑体" w:eastAsia="黑体"/>
          <w:sz w:val="32"/>
          <w:szCs w:val="32"/>
        </w:rPr>
      </w:pPr>
      <w:bookmarkStart w:id="174" w:name="_Toc1157664149_WPSOffice_Level2"/>
      <w:bookmarkStart w:id="175" w:name="_Toc540036518_WPSOffice_Level2"/>
      <w:bookmarkStart w:id="176" w:name="_Toc857501086_WPSOffice_Level2"/>
      <w:r>
        <w:rPr>
          <w:rFonts w:hint="eastAsia" w:ascii="黑体" w:eastAsia="黑体"/>
          <w:sz w:val="32"/>
          <w:szCs w:val="32"/>
        </w:rPr>
        <w:t>四、评价结论</w:t>
      </w:r>
      <w:bookmarkEnd w:id="174"/>
      <w:bookmarkEnd w:id="175"/>
      <w:bookmarkEnd w:id="176"/>
    </w:p>
    <w:p>
      <w:pPr>
        <w:pStyle w:val="8"/>
        <w:spacing w:line="600" w:lineRule="exact"/>
        <w:ind w:firstLine="640" w:firstLineChars="200"/>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仿宋_GB2312" w:eastAsia="仿宋_GB2312"/>
          <w:kern w:val="0"/>
          <w:sz w:val="32"/>
          <w:szCs w:val="32"/>
        </w:rPr>
        <w:t>通过自评，</w:t>
      </w:r>
      <w:r>
        <w:rPr>
          <w:rFonts w:hint="eastAsia" w:ascii="Times New Roman" w:hAnsi="Times New Roman" w:eastAsia="仿宋_GB2312" w:cs="Times New Roman"/>
          <w:color w:val="000000"/>
          <w:kern w:val="0"/>
          <w:sz w:val="32"/>
          <w:szCs w:val="32"/>
          <w:shd w:val="clear" w:color="auto" w:fill="FFFFFF"/>
          <w:lang w:val="zh-CN" w:eastAsia="zh-CN" w:bidi="ar-SA"/>
        </w:rPr>
        <w:t>总体得分100分，其中执行情况得分10分，产出指标得分50分，效益指标得分30分，满意度指标得分10分，达到预期指标。</w:t>
      </w:r>
    </w:p>
    <w:p>
      <w:pPr>
        <w:pStyle w:val="8"/>
        <w:spacing w:line="600" w:lineRule="exact"/>
        <w:ind w:firstLine="640" w:firstLineChars="200"/>
        <w:rPr>
          <w:rFonts w:hint="eastAsia" w:ascii="黑体" w:eastAsia="黑体"/>
          <w:sz w:val="32"/>
          <w:szCs w:val="32"/>
        </w:rPr>
      </w:pPr>
      <w:bookmarkStart w:id="177" w:name="_Toc1386381016_WPSOffice_Level2"/>
      <w:bookmarkStart w:id="178" w:name="_Toc1301589567_WPSOffice_Level2"/>
      <w:bookmarkStart w:id="179" w:name="_Toc1888430860_WPSOffice_Level2"/>
      <w:r>
        <w:rPr>
          <w:rFonts w:hint="eastAsia" w:ascii="黑体" w:eastAsia="黑体"/>
          <w:sz w:val="32"/>
          <w:szCs w:val="32"/>
        </w:rPr>
        <w:t>五、存在主要问题</w:t>
      </w:r>
      <w:bookmarkEnd w:id="177"/>
      <w:bookmarkEnd w:id="178"/>
      <w:bookmarkEnd w:id="179"/>
    </w:p>
    <w:p>
      <w:pPr>
        <w:adjustRightInd w:val="0"/>
        <w:snapToGrid w:val="0"/>
        <w:spacing w:line="560" w:lineRule="exact"/>
        <w:ind w:firstLine="720"/>
        <w:rPr>
          <w:rFonts w:hint="eastAsia" w:ascii="仿宋_GB2312" w:eastAsia="仿宋_GB2312"/>
          <w:kern w:val="0"/>
          <w:sz w:val="32"/>
          <w:szCs w:val="32"/>
        </w:rPr>
      </w:pPr>
      <w:r>
        <w:rPr>
          <w:rFonts w:hint="eastAsia" w:ascii="仿宋_GB2312" w:eastAsia="仿宋_GB2312"/>
          <w:kern w:val="0"/>
          <w:sz w:val="32"/>
          <w:szCs w:val="32"/>
        </w:rPr>
        <w:t>无</w:t>
      </w:r>
    </w:p>
    <w:p>
      <w:pPr>
        <w:pStyle w:val="8"/>
        <w:spacing w:line="600" w:lineRule="exact"/>
        <w:ind w:firstLine="640" w:firstLineChars="200"/>
        <w:rPr>
          <w:rFonts w:ascii="黑体" w:eastAsia="黑体"/>
          <w:kern w:val="0"/>
          <w:position w:val="3"/>
          <w:sz w:val="32"/>
          <w:szCs w:val="32"/>
        </w:rPr>
      </w:pPr>
      <w:bookmarkStart w:id="180" w:name="_Toc1452371051_WPSOffice_Level2"/>
      <w:bookmarkStart w:id="181" w:name="_Toc1743436828_WPSOffice_Level2"/>
      <w:bookmarkStart w:id="182" w:name="_Toc184322868_WPSOffice_Level2"/>
      <w:r>
        <w:rPr>
          <w:rFonts w:hint="eastAsia" w:ascii="黑体" w:eastAsia="黑体"/>
          <w:kern w:val="0"/>
          <w:position w:val="3"/>
          <w:sz w:val="32"/>
          <w:szCs w:val="32"/>
        </w:rPr>
        <w:t>六、改进建议</w:t>
      </w:r>
      <w:bookmarkEnd w:id="180"/>
      <w:bookmarkEnd w:id="181"/>
      <w:bookmarkEnd w:id="182"/>
    </w:p>
    <w:p>
      <w:pPr>
        <w:pStyle w:val="8"/>
        <w:spacing w:line="600" w:lineRule="exact"/>
        <w:ind w:firstLine="640" w:firstLineChars="200"/>
        <w:rPr>
          <w:rFonts w:hint="eastAsia" w:ascii="黑体" w:eastAsia="黑体"/>
          <w:kern w:val="0"/>
          <w:position w:val="3"/>
          <w:sz w:val="32"/>
          <w:szCs w:val="32"/>
        </w:rPr>
      </w:pPr>
      <w:r>
        <w:rPr>
          <w:rFonts w:hint="eastAsia" w:ascii="仿宋_GB2312" w:eastAsia="仿宋_GB2312"/>
          <w:kern w:val="0"/>
          <w:sz w:val="32"/>
          <w:szCs w:val="32"/>
        </w:rPr>
        <w:t>无</w:t>
      </w: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both"/>
        <w:rPr>
          <w:rFonts w:hint="eastAsia" w:ascii="Times New Roman" w:hAnsi="Times New Roman" w:eastAsia="方正小标宋简体" w:cs="Times New Roman"/>
          <w:color w:val="000000"/>
          <w:kern w:val="2"/>
          <w:sz w:val="40"/>
          <w:szCs w:val="40"/>
          <w:lang w:val="zh-CN" w:eastAsia="zh-CN" w:bidi="ar-SA"/>
        </w:rPr>
      </w:pPr>
    </w:p>
    <w:p>
      <w:pPr>
        <w:widowControl w:val="0"/>
        <w:spacing w:line="600" w:lineRule="exact"/>
        <w:jc w:val="center"/>
        <w:rPr>
          <w:rFonts w:ascii="Times New Roman" w:hAnsi="Times New Roman" w:eastAsia="方正小标宋简体" w:cs="Times New Roman"/>
          <w:color w:val="000000"/>
          <w:kern w:val="2"/>
          <w:sz w:val="40"/>
          <w:szCs w:val="40"/>
          <w:lang w:val="zh-CN" w:eastAsia="zh-CN" w:bidi="ar-SA"/>
        </w:rPr>
      </w:pPr>
      <w:bookmarkStart w:id="183" w:name="_Toc1835275702_WPSOffice_Level2"/>
      <w:bookmarkStart w:id="184" w:name="_Toc207925767_WPSOffice_Level2"/>
      <w:bookmarkStart w:id="185" w:name="_Toc607842910_WPSOffice_Level2"/>
      <w:r>
        <w:rPr>
          <w:rFonts w:hint="eastAsia" w:ascii="Times New Roman" w:hAnsi="Times New Roman" w:eastAsia="方正小标宋简体" w:cs="Times New Roman"/>
          <w:color w:val="000000"/>
          <w:kern w:val="2"/>
          <w:sz w:val="40"/>
          <w:szCs w:val="40"/>
          <w:lang w:val="zh-CN" w:eastAsia="zh-CN" w:bidi="ar-SA"/>
        </w:rPr>
        <w:t>攀枝花市钢城大道西段排水管道工程项目</w:t>
      </w:r>
      <w:bookmarkEnd w:id="183"/>
      <w:bookmarkEnd w:id="184"/>
      <w:bookmarkEnd w:id="185"/>
    </w:p>
    <w:p>
      <w:pPr>
        <w:widowControl w:val="0"/>
        <w:spacing w:line="600" w:lineRule="exact"/>
        <w:jc w:val="center"/>
        <w:rPr>
          <w:rFonts w:ascii="Times New Roman" w:hAnsi="Times New Roman" w:eastAsia="仿宋_GB2312" w:cs="Times New Roman"/>
          <w:color w:val="000000"/>
          <w:kern w:val="2"/>
          <w:sz w:val="32"/>
          <w:szCs w:val="32"/>
          <w:lang w:val="zh-CN" w:eastAsia="zh-CN" w:bidi="ar-SA"/>
        </w:rPr>
      </w:pPr>
      <w:bookmarkStart w:id="186" w:name="_Toc1921620092_WPSOffice_Level2"/>
      <w:bookmarkStart w:id="187" w:name="_Toc1720192245_WPSOffice_Level2"/>
      <w:bookmarkStart w:id="188" w:name="_Toc699672091_WPSOffice_Level2"/>
      <w:r>
        <w:rPr>
          <w:rFonts w:hint="eastAsia" w:ascii="Times New Roman" w:hAnsi="Times New Roman" w:eastAsia="方正小标宋简体" w:cs="Times New Roman"/>
          <w:color w:val="000000"/>
          <w:kern w:val="2"/>
          <w:sz w:val="40"/>
          <w:szCs w:val="40"/>
          <w:lang w:val="zh-CN" w:eastAsia="zh-CN" w:bidi="ar-SA"/>
        </w:rPr>
        <w:t>支出绩效自评报告</w:t>
      </w:r>
      <w:bookmarkEnd w:id="186"/>
      <w:bookmarkEnd w:id="187"/>
      <w:bookmarkEnd w:id="188"/>
    </w:p>
    <w:p>
      <w:pPr>
        <w:widowControl w:val="0"/>
        <w:spacing w:line="600" w:lineRule="exact"/>
        <w:ind w:firstLine="640"/>
        <w:jc w:val="center"/>
        <w:rPr>
          <w:rFonts w:ascii="Times New Roman" w:hAnsi="Times New Roman" w:eastAsia="宋体" w:cs="Times New Roman"/>
          <w:color w:val="000000"/>
          <w:kern w:val="2"/>
          <w:sz w:val="32"/>
          <w:szCs w:val="32"/>
          <w:lang w:val="zh-CN" w:eastAsia="zh-CN" w:bidi="ar-SA"/>
        </w:rPr>
      </w:pPr>
    </w:p>
    <w:p>
      <w:pPr>
        <w:adjustRightInd w:val="0"/>
        <w:snapToGrid w:val="0"/>
        <w:spacing w:line="560" w:lineRule="exact"/>
        <w:ind w:firstLine="720"/>
        <w:rPr>
          <w:rFonts w:ascii="Times New Roman" w:hAnsi="Times New Roman" w:eastAsia="黑体" w:cs="Times New Roman"/>
          <w:color w:val="000000"/>
          <w:sz w:val="32"/>
          <w:szCs w:val="32"/>
          <w:lang w:val="zh-CN"/>
        </w:rPr>
      </w:pPr>
      <w:bookmarkStart w:id="189" w:name="_Toc147562021_WPSOffice_Level2"/>
      <w:bookmarkStart w:id="190" w:name="_Toc839451910_WPSOffice_Level2"/>
      <w:bookmarkStart w:id="191" w:name="_Toc45373817_WPSOffice_Level2"/>
      <w:r>
        <w:rPr>
          <w:rFonts w:ascii="Times New Roman" w:hAnsi="Times New Roman" w:eastAsia="黑体" w:cs="Times New Roman"/>
          <w:color w:val="000000"/>
          <w:sz w:val="32"/>
          <w:szCs w:val="32"/>
        </w:rPr>
        <w:t>一、</w:t>
      </w:r>
      <w:r>
        <w:rPr>
          <w:rFonts w:ascii="Times New Roman" w:hAnsi="Times New Roman" w:eastAsia="黑体" w:cs="Times New Roman"/>
          <w:color w:val="000000"/>
          <w:sz w:val="32"/>
          <w:szCs w:val="32"/>
          <w:lang w:val="zh-CN"/>
        </w:rPr>
        <w:t>项目概况</w:t>
      </w:r>
      <w:bookmarkEnd w:id="189"/>
      <w:bookmarkEnd w:id="190"/>
      <w:bookmarkEnd w:id="191"/>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（一）项目基本情况</w:t>
      </w:r>
    </w:p>
    <w:p>
      <w:pPr>
        <w:spacing w:line="578" w:lineRule="exact"/>
        <w:ind w:firstLine="640"/>
        <w:rPr>
          <w:rFonts w:hint="eastAsia" w:ascii="楷体_GB2312" w:eastAsia="楷体_GB2312"/>
          <w:sz w:val="32"/>
          <w:szCs w:val="32"/>
          <w:lang w:val="zh-CN"/>
        </w:rPr>
      </w:pPr>
      <w:r>
        <w:rPr>
          <w:rFonts w:hint="eastAsia" w:ascii="楷体_GB2312" w:eastAsia="楷体_GB2312"/>
          <w:sz w:val="32"/>
          <w:szCs w:val="32"/>
          <w:lang w:val="zh-CN"/>
        </w:rPr>
        <w:t>1</w:t>
      </w:r>
      <w:r>
        <w:rPr>
          <w:rFonts w:hint="eastAsia" w:ascii="楷体_GB2312" w:eastAsia="楷体_GB2312"/>
          <w:sz w:val="32"/>
          <w:szCs w:val="32"/>
          <w:lang w:val="en-US" w:eastAsia="zh-CN"/>
        </w:rPr>
        <w:t>.</w:t>
      </w:r>
      <w:r>
        <w:rPr>
          <w:rFonts w:hint="eastAsia" w:ascii="楷体_GB2312" w:eastAsia="楷体_GB2312"/>
          <w:sz w:val="32"/>
          <w:szCs w:val="32"/>
          <w:lang w:val="zh-CN"/>
        </w:rPr>
        <w:t>说明项目主管部门（单位）在该项目管理中的职能</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攀枝花市市政公用设施服务中心为项目业主，具体职能为组织项目实施，控制项目进度、安全、造价等，确保项目按合同约定内容完工，资金合理使用。</w:t>
      </w:r>
    </w:p>
    <w:p>
      <w:pPr>
        <w:spacing w:line="578" w:lineRule="exact"/>
        <w:ind w:firstLine="640"/>
        <w:rPr>
          <w:rFonts w:hint="eastAsia" w:ascii="楷体_GB2312" w:eastAsia="楷体_GB2312"/>
          <w:sz w:val="32"/>
          <w:szCs w:val="32"/>
          <w:lang w:val="zh-CN"/>
        </w:rPr>
      </w:pPr>
      <w:r>
        <w:rPr>
          <w:rFonts w:hint="eastAsia" w:ascii="楷体_GB2312" w:eastAsia="楷体_GB2312"/>
          <w:sz w:val="32"/>
          <w:szCs w:val="32"/>
          <w:lang w:val="zh-CN"/>
        </w:rPr>
        <w:t>2.项目立项、资金申报的依据</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2025年2月市发改委下发《攀枝花市发展和改革委员会关于攀枝花市钢城大道西段排水管道工程项目的批复》（攀发改函</w:t>
      </w:r>
      <w:bookmarkStart w:id="192" w:name="OLE_LINK34"/>
      <w:r>
        <w:rPr>
          <w:rFonts w:hint="eastAsia" w:ascii="Times New Roman" w:hAnsi="Times New Roman" w:eastAsia="仿宋_GB2312" w:cs="Times New Roman"/>
          <w:color w:val="000000"/>
          <w:sz w:val="32"/>
          <w:szCs w:val="32"/>
          <w:lang w:val="zh-CN"/>
        </w:rPr>
        <w:t>〔2025〕</w:t>
      </w:r>
      <w:bookmarkEnd w:id="192"/>
      <w:r>
        <w:rPr>
          <w:rFonts w:hint="eastAsia" w:ascii="Times New Roman" w:hAnsi="Times New Roman" w:eastAsia="仿宋_GB2312" w:cs="Times New Roman"/>
          <w:color w:val="000000"/>
          <w:sz w:val="32"/>
          <w:szCs w:val="32"/>
          <w:lang w:val="zh-CN"/>
        </w:rPr>
        <w:t>15号），项目估算总投资8065.93万元。</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bookmarkStart w:id="193" w:name="OLE_LINK10"/>
      <w:r>
        <w:rPr>
          <w:rFonts w:hint="eastAsia" w:ascii="Times New Roman" w:hAnsi="Times New Roman" w:eastAsia="仿宋_GB2312" w:cs="Times New Roman"/>
          <w:color w:val="000000"/>
          <w:sz w:val="32"/>
          <w:szCs w:val="32"/>
          <w:lang w:val="zh-CN"/>
        </w:rPr>
        <w:t>资金申报：</w:t>
      </w:r>
      <w:bookmarkStart w:id="194" w:name="OLE_LINK16"/>
      <w:bookmarkStart w:id="195" w:name="OLE_LINK15"/>
      <w:r>
        <w:rPr>
          <w:rFonts w:hint="eastAsia" w:ascii="Times New Roman" w:hAnsi="Times New Roman" w:eastAsia="仿宋_GB2312" w:cs="Times New Roman"/>
          <w:color w:val="000000"/>
          <w:sz w:val="32"/>
          <w:szCs w:val="32"/>
          <w:lang w:val="zh-CN"/>
        </w:rPr>
        <w:t>攀财资投〔2025〕40号下达资金5242万元</w:t>
      </w:r>
      <w:bookmarkEnd w:id="194"/>
      <w:bookmarkEnd w:id="195"/>
      <w:r>
        <w:rPr>
          <w:rFonts w:hint="eastAsia" w:ascii="Times New Roman" w:hAnsi="Times New Roman" w:eastAsia="仿宋_GB2312" w:cs="Times New Roman"/>
          <w:color w:val="000000"/>
          <w:sz w:val="32"/>
          <w:szCs w:val="32"/>
          <w:lang w:val="zh-CN"/>
        </w:rPr>
        <w:t>，</w:t>
      </w:r>
      <w:bookmarkStart w:id="196" w:name="OLE_LINK17"/>
      <w:r>
        <w:rPr>
          <w:rFonts w:hint="eastAsia" w:ascii="Times New Roman" w:hAnsi="Times New Roman" w:eastAsia="仿宋_GB2312" w:cs="Times New Roman"/>
          <w:color w:val="000000"/>
          <w:sz w:val="32"/>
          <w:szCs w:val="32"/>
          <w:lang w:val="zh-CN"/>
        </w:rPr>
        <w:t>攀财资综〔2025〕67号下达资金500万元。</w:t>
      </w:r>
    </w:p>
    <w:bookmarkEnd w:id="193"/>
    <w:bookmarkEnd w:id="196"/>
    <w:p>
      <w:pPr>
        <w:spacing w:line="578" w:lineRule="exact"/>
        <w:ind w:firstLine="640"/>
        <w:rPr>
          <w:rFonts w:hint="eastAsia" w:ascii="楷体_GB2312" w:eastAsia="楷体_GB2312"/>
          <w:sz w:val="32"/>
          <w:szCs w:val="32"/>
          <w:lang w:val="zh-CN"/>
        </w:rPr>
      </w:pPr>
      <w:r>
        <w:rPr>
          <w:rFonts w:hint="eastAsia" w:ascii="楷体_GB2312" w:eastAsia="楷体_GB2312"/>
          <w:sz w:val="32"/>
          <w:szCs w:val="32"/>
          <w:lang w:val="zh-CN"/>
        </w:rPr>
        <w:t>3</w:t>
      </w:r>
      <w:r>
        <w:rPr>
          <w:rFonts w:hint="eastAsia" w:ascii="楷体_GB2312" w:eastAsia="楷体_GB2312"/>
          <w:sz w:val="32"/>
          <w:szCs w:val="32"/>
          <w:lang w:val="en-US" w:eastAsia="zh-CN"/>
        </w:rPr>
        <w:t>.</w:t>
      </w:r>
      <w:r>
        <w:rPr>
          <w:rFonts w:hint="eastAsia" w:ascii="楷体_GB2312" w:eastAsia="楷体_GB2312"/>
          <w:sz w:val="32"/>
          <w:szCs w:val="32"/>
          <w:lang w:val="zh-CN"/>
        </w:rPr>
        <w:t>资金管理办法制定情况，资金支持具体项目的条件、范围与支持方式概况</w:t>
      </w:r>
    </w:p>
    <w:p>
      <w:pPr>
        <w:autoSpaceDE w:val="0"/>
        <w:autoSpaceDN w:val="0"/>
        <w:adjustRightInd w:val="0"/>
        <w:spacing w:line="560" w:lineRule="exact"/>
        <w:ind w:firstLine="640"/>
        <w:jc w:val="left"/>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根据“专项资金，专项使用”的原则，项目资金管理使用上实行层层把关，多级审查付款制度，根据建设项目管理规定和《支出管理制度》，工程项目支出实行先申请后报销支付的规定，由收款方填报《工程项目资金拨款申请表》，通过审批后再进行报销。</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资金用于攀枝花市钢城大道西段排水管道工程项目。</w:t>
      </w:r>
    </w:p>
    <w:p>
      <w:pPr>
        <w:spacing w:line="578" w:lineRule="exact"/>
        <w:ind w:firstLine="640"/>
        <w:rPr>
          <w:rFonts w:hint="eastAsia" w:ascii="楷体_GB2312" w:eastAsia="楷体_GB2312"/>
          <w:sz w:val="32"/>
          <w:szCs w:val="32"/>
          <w:lang w:val="zh-CN"/>
        </w:rPr>
      </w:pPr>
      <w:r>
        <w:rPr>
          <w:rFonts w:hint="eastAsia" w:ascii="楷体_GB2312" w:eastAsia="楷体_GB2312"/>
          <w:sz w:val="32"/>
          <w:szCs w:val="32"/>
          <w:lang w:val="zh-CN"/>
        </w:rPr>
        <w:t>4.资金分配的原则及考虑因素</w:t>
      </w:r>
    </w:p>
    <w:p>
      <w:pPr>
        <w:autoSpaceDE w:val="0"/>
        <w:autoSpaceDN w:val="0"/>
        <w:adjustRightInd w:val="0"/>
        <w:spacing w:line="560" w:lineRule="exact"/>
        <w:ind w:firstLine="640"/>
        <w:jc w:val="left"/>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资金来源为市级财政资金，根据“专项资金，专项使用”的原则，按工程合同约定、质量保证条款等因素进行款项拨付。</w:t>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（二）项目绩效目标。</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hint="eastAsia" w:ascii="楷体_GB2312" w:eastAsia="楷体_GB2312"/>
          <w:sz w:val="32"/>
          <w:szCs w:val="32"/>
          <w:lang w:val="zh-CN"/>
        </w:rPr>
        <w:t>1.项目主要内容</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新建东区钢城大道西DN300-DN1000排水管道15公里，以及检查井、雨水口等配套设施建设。</w:t>
      </w:r>
    </w:p>
    <w:p>
      <w:pPr>
        <w:spacing w:line="578" w:lineRule="exact"/>
        <w:ind w:firstLine="640"/>
        <w:rPr>
          <w:rFonts w:hint="eastAsia" w:ascii="楷体_GB2312" w:eastAsia="楷体_GB2312"/>
          <w:sz w:val="32"/>
          <w:szCs w:val="32"/>
          <w:lang w:val="zh-CN" w:eastAsia="zh-CN"/>
        </w:rPr>
      </w:pPr>
      <w:r>
        <w:rPr>
          <w:rFonts w:hint="eastAsia" w:ascii="楷体_GB2312" w:eastAsia="楷体_GB2312"/>
          <w:sz w:val="32"/>
          <w:szCs w:val="32"/>
          <w:lang w:val="zh-CN"/>
        </w:rPr>
        <w:t>2.项目应实现的具体绩效目标。</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（1）数量指标：建设规模1项。</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（2）质量指标：工程质量-合格。</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（3）时效指标：工程建设期- 2025年-2026年完成。</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（4）经济效益指标：利于经济社会发展-居住品质提升，有利于经济社会发展。</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（5）社会效益指标</w:t>
      </w:r>
      <w:r>
        <w:rPr>
          <w:rFonts w:hint="eastAsia" w:eastAsia="仿宋_GB2312" w:cs="Times New Roman"/>
          <w:color w:val="000000"/>
          <w:sz w:val="32"/>
          <w:szCs w:val="32"/>
          <w:lang w:val="zh-CN"/>
        </w:rPr>
        <w:t>：</w:t>
      </w:r>
      <w:r>
        <w:rPr>
          <w:rFonts w:hint="eastAsia" w:ascii="Times New Roman" w:hAnsi="Times New Roman" w:eastAsia="仿宋_GB2312" w:cs="Times New Roman"/>
          <w:color w:val="000000"/>
          <w:sz w:val="32"/>
          <w:szCs w:val="32"/>
          <w:lang w:val="zh-CN"/>
        </w:rPr>
        <w:t>城市排水防涝设施功能提升-排水畅通，防治城市内涝。</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（6）生态效益指标：保护水质-促进雨污分流，保护金沙江水质。</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（7）可持续影响指标：人居环境改善-促进雨污分流，保护金沙江水质。</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（8）服务对象满意度指标：市民满意度≥90%。</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（9）经济成本指标：工程总投资</w:t>
      </w:r>
      <w:bookmarkStart w:id="197" w:name="OLE_LINK14"/>
      <w:bookmarkStart w:id="198" w:name="OLE_LINK13"/>
      <w:r>
        <w:rPr>
          <w:rFonts w:hint="eastAsia" w:ascii="Times New Roman" w:hAnsi="Times New Roman" w:eastAsia="仿宋_GB2312" w:cs="Times New Roman"/>
          <w:color w:val="000000"/>
          <w:sz w:val="32"/>
          <w:szCs w:val="32"/>
          <w:lang w:val="zh-CN" w:eastAsia="zh-CN"/>
        </w:rPr>
        <w:t>4</w:t>
      </w:r>
      <w:r>
        <w:rPr>
          <w:rFonts w:hint="eastAsia"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eastAsia="zh-CN"/>
        </w:rPr>
        <w:t>862</w:t>
      </w:r>
      <w:r>
        <w:rPr>
          <w:rFonts w:hint="eastAsia" w:ascii="Times New Roman" w:hAnsi="Times New Roman" w:eastAsia="仿宋_GB2312" w:cs="Times New Roman"/>
          <w:color w:val="000000"/>
          <w:sz w:val="32"/>
          <w:szCs w:val="32"/>
          <w:lang w:val="zh-CN"/>
        </w:rPr>
        <w:t>.24</w:t>
      </w:r>
      <w:bookmarkEnd w:id="197"/>
      <w:bookmarkEnd w:id="198"/>
      <w:r>
        <w:rPr>
          <w:rFonts w:hint="eastAsia" w:ascii="Times New Roman" w:hAnsi="Times New Roman" w:eastAsia="仿宋_GB2312" w:cs="Times New Roman"/>
          <w:color w:val="000000"/>
          <w:sz w:val="32"/>
          <w:szCs w:val="32"/>
          <w:lang w:val="zh-CN"/>
        </w:rPr>
        <w:t>万元。</w:t>
      </w:r>
    </w:p>
    <w:p>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楷体_GB2312" w:eastAsia="楷体_GB2312"/>
          <w:sz w:val="32"/>
          <w:szCs w:val="32"/>
          <w:lang w:val="zh-CN"/>
        </w:rPr>
      </w:pPr>
      <w:r>
        <w:rPr>
          <w:rFonts w:hint="eastAsia" w:ascii="楷体_GB2312" w:eastAsia="楷体_GB2312"/>
          <w:sz w:val="32"/>
          <w:szCs w:val="32"/>
          <w:lang w:val="zh-CN"/>
        </w:rPr>
        <w:t>3.分析评价申报内容是否与实际相符，申报目标是否合理可行。</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经分析评价申报内容与实际相符，申报目标合理可行。</w:t>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（三）项目自评步骤及方法。</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按照有关规定和工作安排，我单位开展自行评估，通过自行成立方式组建评估组，通过收集被评估项目相关基础资料，并查阅资料、收集数据信息等，深入论证分析后，形成绩效评估报告。</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本项目通过现场踏勘、与项目相关人员座谈或讨论、市场调研等方法了解项目情况，收集相关资料，综合分析相关情况后，对项目的立项必要性、投入经济性、目标合理性、方案可行性以及筹资合规性实施评估。</w:t>
      </w:r>
    </w:p>
    <w:p>
      <w:pPr>
        <w:adjustRightInd w:val="0"/>
        <w:snapToGrid w:val="0"/>
        <w:spacing w:line="560" w:lineRule="exact"/>
        <w:ind w:firstLine="720"/>
        <w:rPr>
          <w:rFonts w:ascii="Times New Roman" w:hAnsi="Times New Roman" w:eastAsia="黑体" w:cs="Times New Roman"/>
          <w:color w:val="000000"/>
          <w:sz w:val="32"/>
          <w:szCs w:val="32"/>
        </w:rPr>
      </w:pPr>
      <w:bookmarkStart w:id="199" w:name="_Toc2100355448_WPSOffice_Level2"/>
      <w:bookmarkStart w:id="200" w:name="_Toc177994315_WPSOffice_Level2"/>
      <w:bookmarkStart w:id="201" w:name="_Toc361323434_WPSOffice_Level2"/>
      <w:r>
        <w:rPr>
          <w:rFonts w:ascii="Times New Roman" w:hAnsi="Times New Roman" w:eastAsia="黑体" w:cs="Times New Roman"/>
          <w:color w:val="000000"/>
          <w:sz w:val="32"/>
          <w:szCs w:val="32"/>
        </w:rPr>
        <w:t>二、项目资金申报及使用情况</w:t>
      </w:r>
      <w:bookmarkEnd w:id="199"/>
      <w:bookmarkEnd w:id="200"/>
      <w:bookmarkEnd w:id="201"/>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（一）项目资金申报及批复情况。</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资金申报：</w:t>
      </w:r>
      <w:bookmarkStart w:id="202" w:name="OLE_LINK12"/>
      <w:r>
        <w:rPr>
          <w:rFonts w:hint="eastAsia" w:ascii="Times New Roman" w:hAnsi="Times New Roman" w:eastAsia="仿宋_GB2312" w:cs="Times New Roman"/>
          <w:color w:val="000000"/>
          <w:sz w:val="32"/>
          <w:szCs w:val="32"/>
          <w:lang w:val="zh-CN"/>
        </w:rPr>
        <w:t>攀财资投〔</w:t>
      </w:r>
      <w:r>
        <w:rPr>
          <w:rFonts w:ascii="Times New Roman" w:hAnsi="Times New Roman" w:eastAsia="仿宋_GB2312" w:cs="Times New Roman"/>
          <w:color w:val="000000"/>
          <w:sz w:val="32"/>
          <w:szCs w:val="32"/>
          <w:lang w:val="zh-CN"/>
        </w:rPr>
        <w:t>2025</w:t>
      </w:r>
      <w:r>
        <w:rPr>
          <w:rFonts w:hint="eastAsia" w:ascii="Times New Roman" w:hAnsi="Times New Roman" w:eastAsia="仿宋_GB2312" w:cs="Times New Roman"/>
          <w:color w:val="000000"/>
          <w:sz w:val="32"/>
          <w:szCs w:val="32"/>
          <w:lang w:val="zh-CN"/>
        </w:rPr>
        <w:t>〕40号</w:t>
      </w:r>
      <w:bookmarkEnd w:id="202"/>
      <w:bookmarkStart w:id="203" w:name="OLE_LINK11"/>
      <w:r>
        <w:rPr>
          <w:rFonts w:hint="eastAsia" w:ascii="Times New Roman" w:hAnsi="Times New Roman" w:eastAsia="仿宋_GB2312" w:cs="Times New Roman"/>
          <w:color w:val="000000"/>
          <w:sz w:val="32"/>
          <w:szCs w:val="32"/>
          <w:lang w:val="zh-CN"/>
        </w:rPr>
        <w:t>下达资金5</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242万元</w:t>
      </w:r>
      <w:bookmarkEnd w:id="203"/>
      <w:r>
        <w:rPr>
          <w:rFonts w:hint="eastAsia" w:ascii="Times New Roman" w:hAnsi="Times New Roman" w:eastAsia="仿宋_GB2312" w:cs="Times New Roman"/>
          <w:color w:val="000000"/>
          <w:sz w:val="32"/>
          <w:szCs w:val="32"/>
          <w:lang w:val="zh-CN"/>
        </w:rPr>
        <w:t>，攀财资综〔</w:t>
      </w:r>
      <w:r>
        <w:rPr>
          <w:rFonts w:ascii="Times New Roman" w:hAnsi="Times New Roman" w:eastAsia="仿宋_GB2312" w:cs="Times New Roman"/>
          <w:color w:val="000000"/>
          <w:sz w:val="32"/>
          <w:szCs w:val="32"/>
          <w:lang w:val="zh-CN"/>
        </w:rPr>
        <w:t>2025</w:t>
      </w:r>
      <w:r>
        <w:rPr>
          <w:rFonts w:hint="eastAsia" w:ascii="Times New Roman" w:hAnsi="Times New Roman" w:eastAsia="仿宋_GB2312" w:cs="Times New Roman"/>
          <w:color w:val="000000"/>
          <w:sz w:val="32"/>
          <w:szCs w:val="32"/>
          <w:lang w:val="zh-CN"/>
        </w:rPr>
        <w:t>〕67号下达资金500万元。。</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ascii="Times New Roman" w:hAnsi="Times New Roman" w:eastAsia="楷体_GB2312" w:cs="Times New Roman"/>
          <w:b/>
          <w:color w:val="000000"/>
          <w:sz w:val="32"/>
          <w:szCs w:val="32"/>
          <w:lang w:val="zh-CN"/>
        </w:rPr>
        <w:t>（二）资金计划、到位及使用情况（可用表格形式反映）。</w:t>
      </w:r>
    </w:p>
    <w:p>
      <w:pPr>
        <w:adjustRightInd w:val="0"/>
        <w:snapToGrid w:val="0"/>
        <w:spacing w:line="560" w:lineRule="exact"/>
        <w:ind w:firstLine="720"/>
        <w:rPr>
          <w:rFonts w:hint="eastAsia" w:ascii="Times New Roman" w:hAnsi="Times New Roman" w:eastAsia="仿宋_GB2312" w:cs="Times New Roman"/>
          <w:color w:val="000000"/>
          <w:sz w:val="32"/>
          <w:szCs w:val="32"/>
          <w:lang w:val="zh-CN"/>
        </w:rPr>
      </w:pPr>
      <w:r>
        <w:rPr>
          <w:rFonts w:hint="eastAsia" w:ascii="楷体_GB2312" w:eastAsia="楷体_GB2312"/>
          <w:sz w:val="32"/>
          <w:szCs w:val="32"/>
          <w:lang w:val="en-US" w:eastAsia="zh-CN"/>
        </w:rPr>
        <w:t>1.</w:t>
      </w:r>
      <w:r>
        <w:rPr>
          <w:rFonts w:hint="eastAsia" w:ascii="楷体_GB2312" w:eastAsia="楷体_GB2312"/>
          <w:sz w:val="32"/>
          <w:szCs w:val="32"/>
          <w:lang w:val="zh-CN"/>
        </w:rPr>
        <w:t>资金计划。</w:t>
      </w:r>
      <w:r>
        <w:rPr>
          <w:rFonts w:hint="eastAsia" w:ascii="Times New Roman" w:hAnsi="Times New Roman" w:eastAsia="仿宋_GB2312" w:cs="Times New Roman"/>
          <w:color w:val="000000"/>
          <w:sz w:val="32"/>
          <w:szCs w:val="32"/>
          <w:lang w:val="zh-CN"/>
        </w:rPr>
        <w:t>项目资金为财政资金，2025年市财政下达资金5</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242万元（攀财资投〔2025〕40号）。</w:t>
      </w:r>
    </w:p>
    <w:p>
      <w:pPr>
        <w:adjustRightInd w:val="0"/>
        <w:snapToGrid w:val="0"/>
        <w:spacing w:line="560" w:lineRule="exact"/>
        <w:ind w:firstLine="720"/>
        <w:rPr>
          <w:rFonts w:hint="eastAsia" w:ascii="Times New Roman" w:hAnsi="Times New Roman" w:eastAsia="仿宋_GB2312" w:cs="Times New Roman"/>
          <w:color w:val="000000"/>
          <w:sz w:val="32"/>
          <w:szCs w:val="32"/>
          <w:lang w:val="zh-CN"/>
        </w:rPr>
      </w:pPr>
      <w:r>
        <w:rPr>
          <w:rFonts w:hint="eastAsia" w:ascii="楷体_GB2312" w:eastAsia="楷体_GB2312"/>
          <w:sz w:val="32"/>
          <w:szCs w:val="32"/>
          <w:lang w:val="zh-CN"/>
        </w:rPr>
        <w:t>2.资金到位。</w:t>
      </w:r>
      <w:r>
        <w:rPr>
          <w:rFonts w:hint="eastAsia" w:ascii="Times New Roman" w:hAnsi="Times New Roman" w:eastAsia="仿宋_GB2312" w:cs="Times New Roman"/>
          <w:color w:val="000000"/>
          <w:sz w:val="32"/>
          <w:szCs w:val="32"/>
          <w:lang w:val="zh-CN"/>
        </w:rPr>
        <w:t>2025年12月31日止该项目到位资金5</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742万元。</w:t>
      </w:r>
    </w:p>
    <w:p>
      <w:pPr>
        <w:adjustRightInd w:val="0"/>
        <w:snapToGrid w:val="0"/>
        <w:spacing w:line="560" w:lineRule="exact"/>
        <w:ind w:firstLine="720"/>
        <w:rPr>
          <w:rFonts w:hint="eastAsia" w:ascii="Times New Roman" w:hAnsi="Times New Roman" w:eastAsia="仿宋_GB2312" w:cs="Times New Roman"/>
          <w:color w:val="000000"/>
          <w:sz w:val="32"/>
          <w:szCs w:val="32"/>
          <w:lang w:val="zh-CN"/>
        </w:rPr>
      </w:pPr>
      <w:r>
        <w:rPr>
          <w:rFonts w:hint="eastAsia" w:ascii="楷体_GB2312" w:eastAsia="楷体_GB2312"/>
          <w:sz w:val="32"/>
          <w:szCs w:val="32"/>
          <w:lang w:val="en-US" w:eastAsia="zh-CN"/>
        </w:rPr>
        <w:t>3.</w:t>
      </w:r>
      <w:r>
        <w:rPr>
          <w:rFonts w:hint="eastAsia" w:ascii="楷体_GB2312" w:eastAsia="楷体_GB2312"/>
          <w:sz w:val="32"/>
          <w:szCs w:val="32"/>
          <w:lang w:val="zh-CN"/>
        </w:rPr>
        <w:t>资金使用。</w:t>
      </w:r>
      <w:r>
        <w:rPr>
          <w:rFonts w:hint="eastAsia" w:ascii="Times New Roman" w:hAnsi="Times New Roman" w:eastAsia="仿宋_GB2312" w:cs="Times New Roman"/>
          <w:color w:val="000000"/>
          <w:sz w:val="32"/>
          <w:szCs w:val="32"/>
          <w:lang w:val="zh-CN"/>
        </w:rPr>
        <w:t>2025年12月31日止该项目支出资金4</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862.24万元。支付依据合规合法。</w:t>
      </w:r>
    </w:p>
    <w:p>
      <w:pPr>
        <w:adjustRightInd w:val="0"/>
        <w:snapToGrid w:val="0"/>
        <w:spacing w:line="560" w:lineRule="exact"/>
        <w:ind w:firstLine="720"/>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资金支付与预算的差距说明如下：</w:t>
      </w:r>
    </w:p>
    <w:p>
      <w:pPr>
        <w:adjustRightInd w:val="0"/>
        <w:snapToGrid w:val="0"/>
        <w:spacing w:line="560" w:lineRule="exact"/>
        <w:ind w:firstLine="720"/>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按合同约定，1.工程竣工验收后支付工程款至实际完成金额的80%，即5</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192*80%=4</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153.6万元，剩余工程款待审计完成后支付；2.工程竣工后支付监理费59.76万元，剩余监理费审计完成后支付；3.工程竣工后支付代建费45万元，剩余代建费审计完成后支付。</w:t>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（三）项目财务管理情况。</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根据“专项资金，专项使用”的原则，项目资金管理使用上实行层层把关，多级审查付款制度，根据建设项目管理规定、《支出管理制度》和相关程序予以拨付（大额资金上中心党委会审批）。账务处理上设置了专项会计科目，会计核算清晰，相关附件完整。财务收支符合相关财经法规的规定。</w:t>
      </w:r>
    </w:p>
    <w:p>
      <w:pPr>
        <w:adjustRightInd w:val="0"/>
        <w:snapToGrid w:val="0"/>
        <w:spacing w:line="560" w:lineRule="exact"/>
        <w:ind w:firstLine="720"/>
        <w:rPr>
          <w:rFonts w:ascii="Times New Roman" w:hAnsi="Times New Roman" w:eastAsia="黑体" w:cs="Times New Roman"/>
          <w:color w:val="000000"/>
          <w:sz w:val="32"/>
          <w:szCs w:val="32"/>
        </w:rPr>
      </w:pPr>
      <w:bookmarkStart w:id="204" w:name="_Toc1952944593_WPSOffice_Level2"/>
      <w:bookmarkStart w:id="205" w:name="_Toc1395283835_WPSOffice_Level2"/>
      <w:bookmarkStart w:id="206" w:name="_Toc137996479_WPSOffice_Level2"/>
      <w:r>
        <w:rPr>
          <w:rFonts w:ascii="Times New Roman" w:hAnsi="Times New Roman" w:eastAsia="黑体" w:cs="Times New Roman"/>
          <w:color w:val="000000"/>
          <w:sz w:val="32"/>
          <w:szCs w:val="32"/>
        </w:rPr>
        <w:t>三、项目实施及管理情况</w:t>
      </w:r>
      <w:bookmarkEnd w:id="204"/>
      <w:bookmarkEnd w:id="205"/>
      <w:bookmarkEnd w:id="206"/>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（一）项目组织架构及实施流程。</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成立由分管领导任组长，职能科室相关人员为成员项目工作组，明确生产、计划、质安等部门责任分工，严格按照建设项目相关程序及规范实施项目，项目组承担内外协调和组织管理及监督实施工作，各业务部门充分发挥各个专业、技术、经济和管理优势，控制好质量安全、造价、工期等，确保预定目标的最终实现。同时督促代建公司严格按照建设项目相关程序及规范实施本项目，并要求监理单位按照监理规划和监理实施细则开展进度、质量、造价等监理工作。</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 xml:space="preserve">实施流程：政府采购、公开招标 </w:t>
      </w:r>
      <w:bookmarkStart w:id="207" w:name="OLE_LINK33"/>
      <w:r>
        <w:rPr>
          <w:rFonts w:hint="eastAsia" w:ascii="Times New Roman" w:hAnsi="Times New Roman" w:eastAsia="仿宋_GB2312" w:cs="Times New Roman"/>
          <w:color w:val="000000"/>
          <w:sz w:val="32"/>
          <w:szCs w:val="32"/>
          <w:lang w:val="zh-CN"/>
        </w:rPr>
        <w:t>→</w:t>
      </w:r>
      <w:bookmarkEnd w:id="207"/>
      <w:r>
        <w:rPr>
          <w:rFonts w:hint="eastAsia" w:ascii="Times New Roman" w:hAnsi="Times New Roman" w:eastAsia="仿宋_GB2312" w:cs="Times New Roman"/>
          <w:color w:val="000000"/>
          <w:sz w:val="32"/>
          <w:szCs w:val="32"/>
          <w:lang w:val="zh-CN"/>
        </w:rPr>
        <w:t xml:space="preserve">代建单位组织施工  </w:t>
      </w:r>
      <w:r>
        <w:rPr>
          <w:rFonts w:hint="eastAsia" w:ascii="华文仿宋" w:hAnsi="华文仿宋" w:eastAsia="华文仿宋" w:cs="Times New Roman"/>
          <w:color w:val="000000"/>
          <w:sz w:val="32"/>
          <w:szCs w:val="32"/>
        </w:rPr>
        <w:t xml:space="preserve">     </w:t>
      </w:r>
      <w:r>
        <w:rPr>
          <w:rFonts w:hint="eastAsia" w:ascii="Times New Roman" w:hAnsi="Times New Roman" w:eastAsia="仿宋_GB2312" w:cs="Times New Roman"/>
          <w:color w:val="000000"/>
          <w:sz w:val="32"/>
          <w:szCs w:val="32"/>
          <w:lang w:val="zh-CN"/>
        </w:rPr>
        <w:t>→完工→竣工验收</w:t>
      </w:r>
    </w:p>
    <w:p>
      <w:pPr>
        <w:autoSpaceDE w:val="0"/>
        <w:autoSpaceDN w:val="0"/>
        <w:adjustRightInd w:val="0"/>
        <w:spacing w:line="560" w:lineRule="exact"/>
        <w:ind w:firstLine="640"/>
        <w:jc w:val="left"/>
        <w:rPr>
          <w:rFonts w:ascii="Times New Roman" w:hAnsi="Times New Roman" w:eastAsia="仿宋_GB2312" w:cs="Times New Roman"/>
          <w:color w:val="000000"/>
          <w:sz w:val="32"/>
          <w:szCs w:val="32"/>
          <w:lang w:val="zh-CN"/>
        </w:rPr>
      </w:pPr>
      <w:r>
        <w:rPr>
          <w:rFonts w:ascii="Times New Roman" w:hAnsi="Times New Roman" w:eastAsia="楷体_GB2312" w:cs="Times New Roman"/>
          <w:b/>
          <w:color w:val="000000"/>
          <w:sz w:val="32"/>
          <w:szCs w:val="32"/>
          <w:lang w:val="zh-CN"/>
        </w:rPr>
        <w:t>（二）项目管理情况。</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1.本项目按照政府采购方式确定代建单位，通过公开招标方式确定勘察单位、工程总承包单位、监理单位，并做好相关公示工作。政府采购程序、招投标程序等符合相关管理规定。</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2.按照政府投资项目管理规定、代建项目管理规定、施工技术规范等进行项目管理，项目组各成员按照职能要求督促代建单位做好质量、安全、进度、造价等方面的管理，监理单位按照监理规划和监理实施细则开展监理工作。</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3.各方配合密切，项目圆满完成。</w:t>
      </w:r>
    </w:p>
    <w:p>
      <w:pPr>
        <w:adjustRightInd w:val="0"/>
        <w:snapToGrid w:val="0"/>
        <w:spacing w:line="560" w:lineRule="exact"/>
        <w:ind w:firstLine="720"/>
        <w:rPr>
          <w:rFonts w:ascii="Times New Roman" w:hAnsi="Times New Roman" w:eastAsia="仿宋_GB2312" w:cs="Times New Roman"/>
          <w:color w:val="000000"/>
          <w:sz w:val="32"/>
          <w:szCs w:val="32"/>
          <w:lang w:val="zh-CN"/>
        </w:rPr>
      </w:pPr>
      <w:r>
        <w:rPr>
          <w:rFonts w:ascii="Times New Roman" w:hAnsi="Times New Roman" w:eastAsia="楷体_GB2312" w:cs="Times New Roman"/>
          <w:b/>
          <w:color w:val="000000"/>
          <w:sz w:val="32"/>
          <w:szCs w:val="32"/>
          <w:lang w:val="zh-CN"/>
        </w:rPr>
        <w:t>（三）项目监管情况。</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（1）单位纪委监督项目管理全过程，从项目申报到竣工。</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（2）项目组督促代建单位严格按照相关项目管理制度</w:t>
      </w:r>
      <w:bookmarkStart w:id="242" w:name="_GoBack"/>
      <w:bookmarkEnd w:id="242"/>
      <w:r>
        <w:rPr>
          <w:rFonts w:hint="eastAsia" w:ascii="Times New Roman" w:hAnsi="Times New Roman" w:eastAsia="仿宋_GB2312" w:cs="Times New Roman"/>
          <w:color w:val="000000"/>
          <w:sz w:val="32"/>
          <w:szCs w:val="32"/>
          <w:lang w:val="zh-CN"/>
        </w:rPr>
        <w:t>以及建筑工程施工技术规范等，做好项目进度、质量、安全、造价控制的管理。</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（3）监理工程师按照合同约定开展相关工作。项目按计划、安全完成。</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（4）资金监管根据“专项资金，专项使用”的原则，项目资金管理使用上实行层层把关，多级审查付款制度。</w:t>
      </w:r>
    </w:p>
    <w:p>
      <w:pPr>
        <w:adjustRightInd w:val="0"/>
        <w:snapToGrid w:val="0"/>
        <w:spacing w:line="560" w:lineRule="exact"/>
        <w:ind w:firstLine="720"/>
        <w:rPr>
          <w:rFonts w:ascii="Times New Roman" w:hAnsi="Times New Roman" w:eastAsia="仿宋_GB2312" w:cs="Times New Roman"/>
          <w:color w:val="000000"/>
          <w:sz w:val="32"/>
          <w:szCs w:val="32"/>
          <w:lang w:val="zh-CN"/>
        </w:rPr>
      </w:pPr>
      <w:bookmarkStart w:id="208" w:name="_Toc140933894_WPSOffice_Level2"/>
      <w:bookmarkStart w:id="209" w:name="_Toc594709671_WPSOffice_Level2"/>
      <w:bookmarkStart w:id="210" w:name="_Toc1817237635_WPSOffice_Level2"/>
      <w:r>
        <w:rPr>
          <w:rFonts w:ascii="Times New Roman" w:hAnsi="Times New Roman" w:eastAsia="黑体" w:cs="Times New Roman"/>
          <w:color w:val="000000"/>
          <w:sz w:val="32"/>
          <w:szCs w:val="32"/>
        </w:rPr>
        <w:t>四、项目绩效情况</w:t>
      </w:r>
      <w:bookmarkEnd w:id="208"/>
      <w:bookmarkEnd w:id="209"/>
      <w:bookmarkEnd w:id="210"/>
      <w:r>
        <w:rPr>
          <w:rFonts w:ascii="Times New Roman" w:hAnsi="Times New Roman" w:eastAsia="仿宋_GB2312" w:cs="Times New Roman"/>
          <w:color w:val="000000"/>
          <w:sz w:val="32"/>
          <w:szCs w:val="32"/>
          <w:lang w:val="zh-CN"/>
        </w:rPr>
        <w:tab/>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（一）项目完成情况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s="Times New Roman"/>
          <w:color w:val="000000"/>
          <w:sz w:val="32"/>
          <w:szCs w:val="32"/>
          <w:lang w:val="zh-CN" w:eastAsia="zh-CN"/>
        </w:rPr>
      </w:pPr>
      <w:r>
        <w:rPr>
          <w:rFonts w:hint="eastAsia" w:eastAsia="仿宋_GB2312" w:cs="Times New Roman"/>
          <w:color w:val="000000"/>
          <w:sz w:val="32"/>
          <w:szCs w:val="32"/>
          <w:lang w:val="zh-CN" w:eastAsia="zh-CN"/>
        </w:rPr>
        <w:t>1</w:t>
      </w:r>
      <w:r>
        <w:rPr>
          <w:rFonts w:hint="eastAsia" w:eastAsia="仿宋_GB2312" w:cs="Times New Roman"/>
          <w:color w:val="000000"/>
          <w:sz w:val="32"/>
          <w:szCs w:val="32"/>
          <w:lang w:val="en-US" w:eastAsia="zh-CN"/>
        </w:rPr>
        <w:t>.</w:t>
      </w:r>
      <w:r>
        <w:rPr>
          <w:rFonts w:hint="eastAsia" w:eastAsia="仿宋_GB2312" w:cs="Times New Roman"/>
          <w:color w:val="000000"/>
          <w:sz w:val="32"/>
          <w:szCs w:val="32"/>
          <w:lang w:val="zh-CN" w:eastAsia="zh-CN"/>
        </w:rPr>
        <w:t>数量指标：建设规模1项，排水管道15公里，以及检查井、雨水口等配套设施建设。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2.</w:t>
      </w:r>
      <w:r>
        <w:rPr>
          <w:rFonts w:hint="eastAsia" w:ascii="Times New Roman" w:hAnsi="Times New Roman" w:eastAsia="仿宋_GB2312" w:cs="Times New Roman"/>
          <w:color w:val="000000"/>
          <w:sz w:val="32"/>
          <w:szCs w:val="32"/>
          <w:lang w:val="zh-CN"/>
        </w:rPr>
        <w:t>质量指标：工程质量-</w:t>
      </w:r>
      <w:r>
        <w:rPr>
          <w:rFonts w:hint="eastAsia" w:ascii="Times New Roman" w:hAnsi="Times New Roman" w:eastAsia="仿宋_GB2312" w:cs="Times New Roman"/>
          <w:color w:val="000000"/>
          <w:sz w:val="32"/>
          <w:szCs w:val="32"/>
          <w:lang w:val="en-US" w:eastAsia="zh-CN"/>
        </w:rPr>
        <w:t>合格</w:t>
      </w:r>
      <w:r>
        <w:rPr>
          <w:rFonts w:hint="eastAsia" w:ascii="Times New Roman" w:hAnsi="Times New Roman" w:eastAsia="仿宋_GB2312" w:cs="Times New Roman"/>
          <w:color w:val="000000"/>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3.</w:t>
      </w:r>
      <w:r>
        <w:rPr>
          <w:rFonts w:hint="eastAsia" w:ascii="Times New Roman" w:hAnsi="Times New Roman" w:eastAsia="仿宋_GB2312" w:cs="Times New Roman"/>
          <w:color w:val="000000"/>
          <w:sz w:val="32"/>
          <w:szCs w:val="32"/>
          <w:lang w:val="zh-CN"/>
        </w:rPr>
        <w:t>时效指标：工程建设期-</w:t>
      </w:r>
      <w:r>
        <w:rPr>
          <w:rFonts w:hint="eastAsia" w:ascii="Times New Roman" w:hAnsi="Times New Roman" w:eastAsia="仿宋_GB2312" w:cs="Times New Roman"/>
          <w:color w:val="000000"/>
          <w:sz w:val="32"/>
          <w:szCs w:val="32"/>
          <w:u w:val="none"/>
          <w:lang w:val="zh-CN"/>
        </w:rPr>
        <w:t>完成</w:t>
      </w:r>
      <w:r>
        <w:rPr>
          <w:rFonts w:hint="eastAsia" w:ascii="Times New Roman" w:hAnsi="Times New Roman" w:eastAsia="仿宋_GB2312" w:cs="Times New Roman"/>
          <w:color w:val="000000"/>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4.</w:t>
      </w:r>
      <w:r>
        <w:rPr>
          <w:rFonts w:hint="eastAsia" w:ascii="Times New Roman" w:hAnsi="Times New Roman" w:eastAsia="仿宋_GB2312" w:cs="Times New Roman"/>
          <w:color w:val="000000"/>
          <w:sz w:val="32"/>
          <w:szCs w:val="32"/>
          <w:lang w:val="zh-CN"/>
        </w:rPr>
        <w:t>经济成本指标：工程总投</w:t>
      </w:r>
      <w:r>
        <w:rPr>
          <w:rFonts w:hint="eastAsia" w:ascii="华文仿宋" w:hAnsi="华文仿宋" w:eastAsia="华文仿宋" w:cs="Times New Roman"/>
          <w:color w:val="000000"/>
          <w:kern w:val="0"/>
          <w:sz w:val="32"/>
          <w:szCs w:val="32"/>
          <w:lang w:val="zh-CN"/>
        </w:rPr>
        <w:t>资</w:t>
      </w:r>
      <w:bookmarkStart w:id="211" w:name="OLE_LINK18"/>
      <w:r>
        <w:rPr>
          <w:rFonts w:hint="eastAsia" w:ascii="Times New Roman" w:hAnsi="Times New Roman" w:eastAsia="仿宋_GB2312" w:cs="Times New Roman"/>
          <w:color w:val="000000"/>
          <w:sz w:val="32"/>
          <w:szCs w:val="32"/>
          <w:lang w:val="zh-CN"/>
        </w:rPr>
        <w:t>4</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862.24</w:t>
      </w:r>
      <w:bookmarkEnd w:id="211"/>
      <w:r>
        <w:rPr>
          <w:rFonts w:hint="eastAsia" w:ascii="Times New Roman" w:hAnsi="Times New Roman" w:eastAsia="仿宋_GB2312" w:cs="Times New Roman"/>
          <w:color w:val="000000"/>
          <w:sz w:val="32"/>
          <w:szCs w:val="32"/>
          <w:lang w:val="zh-CN"/>
        </w:rPr>
        <w:t>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华文仿宋" w:hAnsi="华文仿宋" w:eastAsia="华文仿宋" w:cs="Times New Roman"/>
          <w:color w:val="000000"/>
          <w:kern w:val="0"/>
          <w:sz w:val="32"/>
          <w:szCs w:val="32"/>
          <w:lang w:val="zh-CN"/>
        </w:rPr>
      </w:pPr>
      <w:r>
        <w:rPr>
          <w:rFonts w:hint="eastAsia" w:ascii="Times New Roman" w:hAnsi="Times New Roman" w:eastAsia="仿宋_GB2312" w:cs="Times New Roman"/>
          <w:color w:val="000000"/>
          <w:sz w:val="32"/>
          <w:szCs w:val="32"/>
          <w:lang w:val="zh-CN"/>
        </w:rPr>
        <w:t>项目于2025年6月开工，2025年10月竣工。项目已按合同约定全面完工，工程质量满足国家相关规范要求，工程造价严格控制在预算范围内，本次工程建设费用约为4</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zh-CN"/>
        </w:rPr>
        <w:t>862.24万元</w:t>
      </w:r>
      <w:r>
        <w:rPr>
          <w:rFonts w:hint="eastAsia" w:ascii="华文仿宋" w:hAnsi="华文仿宋" w:eastAsia="华文仿宋" w:cs="Times New Roman"/>
          <w:color w:val="000000"/>
          <w:kern w:val="0"/>
          <w:sz w:val="32"/>
          <w:szCs w:val="32"/>
          <w:lang w:val="zh-CN"/>
        </w:rPr>
        <w:t>。</w:t>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（二）项目效益情况</w:t>
      </w:r>
    </w:p>
    <w:p>
      <w:pPr>
        <w:autoSpaceDE w:val="0"/>
        <w:autoSpaceDN w:val="0"/>
        <w:adjustRightInd w:val="0"/>
        <w:spacing w:line="560" w:lineRule="exact"/>
        <w:ind w:firstLine="640" w:firstLineChars="200"/>
        <w:jc w:val="left"/>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zh-CN"/>
        </w:rPr>
        <w:t>经济效益指标：利于经济社会发展-达到。</w:t>
      </w:r>
    </w:p>
    <w:p>
      <w:pPr>
        <w:autoSpaceDE w:val="0"/>
        <w:autoSpaceDN w:val="0"/>
        <w:adjustRightInd w:val="0"/>
        <w:spacing w:line="560" w:lineRule="exact"/>
        <w:ind w:firstLine="640" w:firstLineChars="200"/>
        <w:jc w:val="left"/>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2.</w:t>
      </w:r>
      <w:r>
        <w:rPr>
          <w:rFonts w:hint="eastAsia" w:ascii="Times New Roman" w:hAnsi="Times New Roman" w:eastAsia="仿宋_GB2312" w:cs="Times New Roman"/>
          <w:color w:val="000000"/>
          <w:sz w:val="32"/>
          <w:szCs w:val="32"/>
          <w:lang w:val="zh-CN"/>
        </w:rPr>
        <w:t>社会效益指标：城市排水防涝设施功能提升-达到。</w:t>
      </w:r>
    </w:p>
    <w:p>
      <w:pPr>
        <w:autoSpaceDE w:val="0"/>
        <w:autoSpaceDN w:val="0"/>
        <w:adjustRightInd w:val="0"/>
        <w:spacing w:line="560" w:lineRule="exact"/>
        <w:ind w:firstLine="640" w:firstLineChars="200"/>
        <w:jc w:val="left"/>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3.</w:t>
      </w:r>
      <w:r>
        <w:rPr>
          <w:rFonts w:hint="eastAsia" w:ascii="Times New Roman" w:hAnsi="Times New Roman" w:eastAsia="仿宋_GB2312" w:cs="Times New Roman"/>
          <w:color w:val="000000"/>
          <w:sz w:val="32"/>
          <w:szCs w:val="32"/>
          <w:lang w:val="zh-CN"/>
        </w:rPr>
        <w:t>生态效益指标：保护水质-达到。</w:t>
      </w:r>
    </w:p>
    <w:p>
      <w:pPr>
        <w:autoSpaceDE w:val="0"/>
        <w:autoSpaceDN w:val="0"/>
        <w:adjustRightInd w:val="0"/>
        <w:spacing w:line="560" w:lineRule="exact"/>
        <w:ind w:firstLine="640" w:firstLineChars="200"/>
        <w:jc w:val="left"/>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4.</w:t>
      </w:r>
      <w:r>
        <w:rPr>
          <w:rFonts w:hint="eastAsia" w:ascii="Times New Roman" w:hAnsi="Times New Roman" w:eastAsia="仿宋_GB2312" w:cs="Times New Roman"/>
          <w:color w:val="000000"/>
          <w:sz w:val="32"/>
          <w:szCs w:val="32"/>
          <w:lang w:val="zh-CN"/>
        </w:rPr>
        <w:t>可持续影响指标：人居环境改善-达到。</w:t>
      </w:r>
    </w:p>
    <w:p>
      <w:pPr>
        <w:autoSpaceDE w:val="0"/>
        <w:autoSpaceDN w:val="0"/>
        <w:adjustRightInd w:val="0"/>
        <w:spacing w:line="560" w:lineRule="exact"/>
        <w:ind w:firstLine="640" w:firstLineChars="200"/>
        <w:jc w:val="left"/>
        <w:rPr>
          <w:rFonts w:ascii="Times New Roman" w:hAnsi="Times New Roman" w:eastAsia="仿宋_GB2312" w:cs="Times New Roman"/>
          <w:color w:val="000000"/>
          <w:sz w:val="32"/>
          <w:szCs w:val="32"/>
          <w:lang w:val="zh-CN"/>
        </w:rPr>
      </w:pPr>
      <w:r>
        <w:rPr>
          <w:rFonts w:hint="eastAsia"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lang w:val="zh-CN"/>
        </w:rPr>
        <w:t>服务对象满意度指标：市民满意度≥90%。</w:t>
      </w:r>
    </w:p>
    <w:p>
      <w:pPr>
        <w:autoSpaceDE w:val="0"/>
        <w:autoSpaceDN w:val="0"/>
        <w:adjustRightInd w:val="0"/>
        <w:spacing w:line="560" w:lineRule="exact"/>
        <w:ind w:firstLine="64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本项目的实施对城市排水防涝设施功能、改善城市的环境质量水平以及人居环境起到重要作用，对城市发展具有积极作用。社会效益显著。</w:t>
      </w:r>
    </w:p>
    <w:p>
      <w:pPr>
        <w:adjustRightInd w:val="0"/>
        <w:snapToGrid w:val="0"/>
        <w:spacing w:line="560" w:lineRule="exact"/>
        <w:ind w:firstLine="720"/>
        <w:rPr>
          <w:rFonts w:ascii="Times New Roman" w:hAnsi="Times New Roman" w:eastAsia="黑体" w:cs="Times New Roman"/>
          <w:color w:val="000000"/>
          <w:sz w:val="32"/>
          <w:szCs w:val="32"/>
        </w:rPr>
      </w:pPr>
      <w:bookmarkStart w:id="212" w:name="_Toc418479722_WPSOffice_Level2"/>
      <w:bookmarkStart w:id="213" w:name="_Toc1896423595_WPSOffice_Level2"/>
      <w:bookmarkStart w:id="214" w:name="_Toc1761452306_WPSOffice_Level2"/>
      <w:r>
        <w:rPr>
          <w:rFonts w:ascii="Times New Roman" w:hAnsi="Times New Roman" w:eastAsia="黑体" w:cs="Times New Roman"/>
          <w:color w:val="000000"/>
          <w:sz w:val="32"/>
          <w:szCs w:val="32"/>
        </w:rPr>
        <w:t>五、评价结论及建议</w:t>
      </w:r>
      <w:bookmarkEnd w:id="212"/>
      <w:bookmarkEnd w:id="213"/>
      <w:bookmarkEnd w:id="214"/>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（一）评价结论</w:t>
      </w:r>
    </w:p>
    <w:p>
      <w:pPr>
        <w:autoSpaceDE w:val="0"/>
        <w:autoSpaceDN w:val="0"/>
        <w:adjustRightInd w:val="0"/>
        <w:spacing w:line="560" w:lineRule="exact"/>
        <w:ind w:firstLine="640" w:firstLineChars="200"/>
        <w:jc w:val="left"/>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我单位开展全面自评，采取收集资料，结合座谈、翻阅资料、踏勘等方式，从项目决策、项目管理、项目绩效三个方面开展了绩效评价。总体认为：项目实施中无违反工程建设各方责任主体有关质量管理规定的行为，未出现影响结构安全的质量问题，完成质量较高。根据进度计划和项目安全风险情况，推进工期控制，确保按时效指标完成项目。截至评价时点的数量指标、质量指标、时效指标全面完成。施工过程中采取控制工程量等措施有效控制成本。项目自评得分：100分。项目实施后保证排水畅通，确保人居环境安全、舒适，取得良好社会效益。</w:t>
      </w:r>
    </w:p>
    <w:p>
      <w:pPr>
        <w:adjustRightInd w:val="0"/>
        <w:snapToGrid w:val="0"/>
        <w:spacing w:line="560" w:lineRule="exact"/>
        <w:ind w:firstLine="642" w:firstLineChars="20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（二）存在的问题</w:t>
      </w:r>
    </w:p>
    <w:p>
      <w:pPr>
        <w:adjustRightInd w:val="0"/>
        <w:snapToGrid w:val="0"/>
        <w:spacing w:line="560" w:lineRule="exact"/>
        <w:ind w:firstLine="640" w:firstLineChars="20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无</w:t>
      </w:r>
      <w:r>
        <w:rPr>
          <w:rFonts w:ascii="Times New Roman" w:hAnsi="Times New Roman" w:eastAsia="仿宋_GB2312" w:cs="Times New Roman"/>
          <w:color w:val="000000"/>
          <w:sz w:val="32"/>
          <w:szCs w:val="32"/>
          <w:lang w:val="zh-CN"/>
        </w:rPr>
        <w:t>。</w:t>
      </w:r>
      <w:r>
        <w:rPr>
          <w:rFonts w:ascii="Times New Roman" w:hAnsi="Times New Roman" w:eastAsia="仿宋_GB2312" w:cs="Times New Roman"/>
          <w:color w:val="000000"/>
          <w:sz w:val="32"/>
          <w:szCs w:val="32"/>
          <w:lang w:val="zh-CN"/>
        </w:rPr>
        <w:tab/>
      </w:r>
    </w:p>
    <w:p>
      <w:pPr>
        <w:adjustRightInd w:val="0"/>
        <w:snapToGrid w:val="0"/>
        <w:spacing w:line="560" w:lineRule="exact"/>
        <w:ind w:firstLine="720"/>
        <w:rPr>
          <w:rFonts w:ascii="Times New Roman" w:hAnsi="Times New Roman" w:eastAsia="楷体_GB2312" w:cs="Times New Roman"/>
          <w:b/>
          <w:color w:val="000000"/>
          <w:sz w:val="32"/>
          <w:szCs w:val="32"/>
          <w:lang w:val="zh-CN"/>
        </w:rPr>
      </w:pPr>
      <w:r>
        <w:rPr>
          <w:rFonts w:ascii="Times New Roman" w:hAnsi="Times New Roman" w:eastAsia="楷体_GB2312" w:cs="Times New Roman"/>
          <w:b/>
          <w:color w:val="000000"/>
          <w:sz w:val="32"/>
          <w:szCs w:val="32"/>
          <w:lang w:val="zh-CN"/>
        </w:rPr>
        <w:t>（三）相关建议</w:t>
      </w:r>
    </w:p>
    <w:p>
      <w:pPr>
        <w:adjustRightInd w:val="0"/>
        <w:snapToGrid w:val="0"/>
        <w:spacing w:line="560" w:lineRule="exact"/>
        <w:ind w:firstLine="640" w:firstLineChars="200"/>
        <w:rPr>
          <w:rFonts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lang w:val="zh-CN"/>
        </w:rPr>
        <w:t>无</w:t>
      </w:r>
      <w:r>
        <w:rPr>
          <w:rFonts w:ascii="Times New Roman" w:hAnsi="Times New Roman" w:eastAsia="仿宋_GB2312" w:cs="Times New Roman"/>
          <w:color w:val="000000"/>
          <w:sz w:val="32"/>
          <w:szCs w:val="32"/>
          <w:lang w:val="zh-CN"/>
        </w:rPr>
        <w:t>。</w:t>
      </w: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
      <w:pPr>
        <w:widowControl/>
        <w:jc w:val="center"/>
        <w:rPr>
          <w:rFonts w:eastAsia="仿宋"/>
        </w:rPr>
      </w:pPr>
      <w:bookmarkStart w:id="215" w:name="_Toc690180173_WPSOffice_Level1"/>
      <w:r>
        <w:rPr>
          <w:rFonts w:hint="eastAsia" w:eastAsia="黑体"/>
          <w:sz w:val="44"/>
          <w:szCs w:val="44"/>
        </w:rPr>
        <w:t>第</w:t>
      </w:r>
      <w:r>
        <w:rPr>
          <w:rStyle w:val="29"/>
          <w:rFonts w:hint="eastAsia" w:eastAsia="黑体"/>
          <w:b w:val="0"/>
        </w:rPr>
        <w:t>五部分 附表</w:t>
      </w:r>
      <w:bookmarkEnd w:id="97"/>
      <w:bookmarkEnd w:id="137"/>
      <w:bookmarkEnd w:id="215"/>
      <w:bookmarkStart w:id="216"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bookmarkStart w:id="217" w:name="_Toc163142829_WPSOffice_Level2"/>
      <w:r>
        <w:rPr>
          <w:rFonts w:hint="eastAsia" w:eastAsia="仿宋_GB2312" w:cs="仿宋_GB2312"/>
          <w:sz w:val="32"/>
          <w:szCs w:val="32"/>
        </w:rPr>
        <w:t>一、收入支出决算总表</w:t>
      </w:r>
      <w:bookmarkEnd w:id="216"/>
      <w:bookmarkEnd w:id="217"/>
    </w:p>
    <w:p>
      <w:pPr>
        <w:pStyle w:val="14"/>
        <w:adjustRightInd w:val="0"/>
        <w:snapToGrid w:val="0"/>
        <w:spacing w:line="560" w:lineRule="exact"/>
        <w:jc w:val="left"/>
        <w:rPr>
          <w:rFonts w:eastAsia="仿宋_GB2312" w:cs="仿宋_GB2312"/>
          <w:sz w:val="32"/>
          <w:szCs w:val="32"/>
        </w:rPr>
      </w:pPr>
      <w:bookmarkStart w:id="218" w:name="_Toc205131970_WPSOffice_Level2"/>
      <w:bookmarkStart w:id="219" w:name="_Toc15396620"/>
      <w:r>
        <w:rPr>
          <w:rFonts w:hint="eastAsia" w:eastAsia="仿宋_GB2312" w:cs="仿宋_GB2312"/>
          <w:sz w:val="32"/>
          <w:szCs w:val="32"/>
        </w:rPr>
        <w:t>二、收入决算表</w:t>
      </w:r>
      <w:bookmarkEnd w:id="218"/>
      <w:bookmarkEnd w:id="219"/>
    </w:p>
    <w:p>
      <w:pPr>
        <w:pStyle w:val="14"/>
        <w:adjustRightInd w:val="0"/>
        <w:snapToGrid w:val="0"/>
        <w:spacing w:line="560" w:lineRule="exact"/>
        <w:jc w:val="left"/>
        <w:rPr>
          <w:rFonts w:eastAsia="仿宋_GB2312" w:cs="仿宋_GB2312"/>
          <w:sz w:val="32"/>
          <w:szCs w:val="32"/>
        </w:rPr>
      </w:pPr>
      <w:bookmarkStart w:id="220" w:name="_Toc15396621"/>
      <w:bookmarkStart w:id="221" w:name="_Toc100919249_WPSOffice_Level2"/>
      <w:r>
        <w:rPr>
          <w:rFonts w:hint="eastAsia" w:eastAsia="仿宋_GB2312" w:cs="仿宋_GB2312"/>
          <w:sz w:val="32"/>
          <w:szCs w:val="32"/>
        </w:rPr>
        <w:t>三、支出决算表</w:t>
      </w:r>
      <w:bookmarkEnd w:id="220"/>
      <w:bookmarkEnd w:id="221"/>
    </w:p>
    <w:p>
      <w:pPr>
        <w:pStyle w:val="14"/>
        <w:adjustRightInd w:val="0"/>
        <w:snapToGrid w:val="0"/>
        <w:spacing w:line="560" w:lineRule="exact"/>
        <w:jc w:val="left"/>
        <w:rPr>
          <w:rFonts w:eastAsia="仿宋_GB2312" w:cs="仿宋_GB2312"/>
          <w:sz w:val="32"/>
          <w:szCs w:val="32"/>
        </w:rPr>
      </w:pPr>
      <w:bookmarkStart w:id="222" w:name="_Toc15396622"/>
      <w:bookmarkStart w:id="223" w:name="_Toc334022563_WPSOffice_Level2"/>
      <w:r>
        <w:rPr>
          <w:rFonts w:hint="eastAsia" w:eastAsia="仿宋_GB2312" w:cs="仿宋_GB2312"/>
          <w:sz w:val="32"/>
          <w:szCs w:val="32"/>
        </w:rPr>
        <w:t>四、财政拨款收入支出决算总表</w:t>
      </w:r>
      <w:bookmarkEnd w:id="222"/>
      <w:bookmarkEnd w:id="223"/>
    </w:p>
    <w:p>
      <w:pPr>
        <w:pStyle w:val="14"/>
        <w:adjustRightInd w:val="0"/>
        <w:snapToGrid w:val="0"/>
        <w:spacing w:line="560" w:lineRule="exact"/>
        <w:jc w:val="left"/>
        <w:rPr>
          <w:rFonts w:eastAsia="仿宋_GB2312" w:cs="仿宋_GB2312"/>
          <w:sz w:val="32"/>
          <w:szCs w:val="32"/>
        </w:rPr>
      </w:pPr>
      <w:bookmarkStart w:id="224" w:name="_Toc15396623"/>
      <w:bookmarkStart w:id="225" w:name="_Toc175454020_WPSOffice_Level2"/>
      <w:r>
        <w:rPr>
          <w:rFonts w:hint="eastAsia" w:eastAsia="仿宋_GB2312" w:cs="仿宋_GB2312"/>
          <w:sz w:val="32"/>
          <w:szCs w:val="32"/>
        </w:rPr>
        <w:t>五、财政拨款支出决算明细表</w:t>
      </w:r>
      <w:bookmarkEnd w:id="224"/>
      <w:bookmarkEnd w:id="225"/>
      <w:bookmarkStart w:id="226" w:name="_Toc15396624"/>
    </w:p>
    <w:p>
      <w:pPr>
        <w:pStyle w:val="14"/>
        <w:adjustRightInd w:val="0"/>
        <w:snapToGrid w:val="0"/>
        <w:spacing w:line="560" w:lineRule="exact"/>
        <w:jc w:val="left"/>
        <w:rPr>
          <w:rFonts w:eastAsia="仿宋_GB2312" w:cs="仿宋_GB2312"/>
          <w:sz w:val="32"/>
          <w:szCs w:val="32"/>
        </w:rPr>
      </w:pPr>
      <w:bookmarkStart w:id="227" w:name="_Toc1588681099_WPSOffice_Level2"/>
      <w:r>
        <w:rPr>
          <w:rFonts w:hint="eastAsia" w:eastAsia="仿宋_GB2312" w:cs="仿宋_GB2312"/>
          <w:sz w:val="32"/>
          <w:szCs w:val="32"/>
        </w:rPr>
        <w:t>六、一般公共预算财政拨款支出决算表</w:t>
      </w:r>
      <w:bookmarkEnd w:id="226"/>
      <w:bookmarkEnd w:id="227"/>
    </w:p>
    <w:p>
      <w:pPr>
        <w:pStyle w:val="14"/>
        <w:adjustRightInd w:val="0"/>
        <w:snapToGrid w:val="0"/>
        <w:spacing w:line="560" w:lineRule="exact"/>
        <w:jc w:val="left"/>
        <w:rPr>
          <w:rFonts w:eastAsia="仿宋_GB2312" w:cs="仿宋_GB2312"/>
          <w:sz w:val="32"/>
          <w:szCs w:val="32"/>
        </w:rPr>
      </w:pPr>
      <w:bookmarkStart w:id="228" w:name="_Toc14283837_WPSOffice_Level2"/>
      <w:bookmarkStart w:id="229" w:name="_Toc15396625"/>
      <w:r>
        <w:rPr>
          <w:rFonts w:hint="eastAsia" w:eastAsia="仿宋_GB2312" w:cs="仿宋_GB2312"/>
          <w:sz w:val="32"/>
          <w:szCs w:val="32"/>
        </w:rPr>
        <w:t>七、一般公共预算财政拨款支出决算明细表</w:t>
      </w:r>
      <w:bookmarkEnd w:id="228"/>
      <w:bookmarkEnd w:id="229"/>
    </w:p>
    <w:p>
      <w:pPr>
        <w:pStyle w:val="14"/>
        <w:adjustRightInd w:val="0"/>
        <w:snapToGrid w:val="0"/>
        <w:spacing w:line="560" w:lineRule="exact"/>
        <w:jc w:val="left"/>
        <w:rPr>
          <w:rFonts w:eastAsia="仿宋_GB2312" w:cs="仿宋_GB2312"/>
          <w:sz w:val="32"/>
          <w:szCs w:val="32"/>
        </w:rPr>
      </w:pPr>
      <w:bookmarkStart w:id="230" w:name="_Toc2088694885_WPSOffice_Level2"/>
      <w:bookmarkStart w:id="231" w:name="_Toc15396626"/>
      <w:r>
        <w:rPr>
          <w:rFonts w:hint="eastAsia" w:eastAsia="仿宋_GB2312" w:cs="仿宋_GB2312"/>
          <w:sz w:val="32"/>
          <w:szCs w:val="32"/>
        </w:rPr>
        <w:t>八、一般公共预算财政拨款基本支出决算表</w:t>
      </w:r>
      <w:bookmarkEnd w:id="230"/>
      <w:bookmarkEnd w:id="231"/>
    </w:p>
    <w:p>
      <w:pPr>
        <w:pStyle w:val="14"/>
        <w:adjustRightInd w:val="0"/>
        <w:snapToGrid w:val="0"/>
        <w:spacing w:line="560" w:lineRule="exact"/>
        <w:jc w:val="left"/>
        <w:rPr>
          <w:rFonts w:eastAsia="仿宋_GB2312" w:cs="仿宋_GB2312"/>
          <w:sz w:val="32"/>
          <w:szCs w:val="32"/>
        </w:rPr>
      </w:pPr>
      <w:bookmarkStart w:id="232" w:name="_Toc1283669495_WPSOffice_Level2"/>
      <w:bookmarkStart w:id="233" w:name="_Toc15396627"/>
      <w:r>
        <w:rPr>
          <w:rFonts w:hint="eastAsia" w:eastAsia="仿宋_GB2312" w:cs="仿宋_GB2312"/>
          <w:sz w:val="32"/>
          <w:szCs w:val="32"/>
        </w:rPr>
        <w:t>九、一般公共预算财政拨款项目支出决算表</w:t>
      </w:r>
      <w:bookmarkEnd w:id="232"/>
      <w:bookmarkEnd w:id="233"/>
    </w:p>
    <w:p>
      <w:pPr>
        <w:pStyle w:val="14"/>
        <w:adjustRightInd w:val="0"/>
        <w:snapToGrid w:val="0"/>
        <w:spacing w:line="560" w:lineRule="exact"/>
        <w:jc w:val="left"/>
        <w:rPr>
          <w:rFonts w:eastAsia="仿宋_GB2312" w:cs="仿宋_GB2312"/>
          <w:sz w:val="32"/>
          <w:szCs w:val="32"/>
        </w:rPr>
      </w:pPr>
      <w:bookmarkStart w:id="234" w:name="_Toc15396628"/>
      <w:bookmarkStart w:id="235" w:name="_Toc1132179533_WPSOffice_Level2"/>
      <w:r>
        <w:rPr>
          <w:rFonts w:hint="eastAsia" w:eastAsia="仿宋_GB2312" w:cs="仿宋_GB2312"/>
          <w:sz w:val="32"/>
          <w:szCs w:val="32"/>
        </w:rPr>
        <w:t>十、</w:t>
      </w:r>
      <w:bookmarkEnd w:id="234"/>
      <w:r>
        <w:rPr>
          <w:rFonts w:hint="eastAsia" w:eastAsia="仿宋_GB2312" w:cs="仿宋_GB2312"/>
          <w:sz w:val="32"/>
          <w:szCs w:val="32"/>
        </w:rPr>
        <w:t>政府性基金预算财政拨款收入支出决算表</w:t>
      </w:r>
      <w:bookmarkEnd w:id="235"/>
    </w:p>
    <w:p>
      <w:pPr>
        <w:pStyle w:val="14"/>
        <w:adjustRightInd w:val="0"/>
        <w:snapToGrid w:val="0"/>
        <w:spacing w:line="560" w:lineRule="exact"/>
        <w:jc w:val="left"/>
        <w:rPr>
          <w:rFonts w:eastAsia="仿宋_GB2312" w:cs="仿宋_GB2312"/>
          <w:sz w:val="32"/>
          <w:szCs w:val="32"/>
        </w:rPr>
      </w:pPr>
      <w:bookmarkStart w:id="236" w:name="_Toc15396629"/>
      <w:bookmarkStart w:id="237" w:name="_Toc17357363_WPSOffice_Level2"/>
      <w:r>
        <w:rPr>
          <w:rFonts w:hint="eastAsia" w:eastAsia="仿宋_GB2312" w:cs="仿宋_GB2312"/>
          <w:sz w:val="32"/>
          <w:szCs w:val="32"/>
        </w:rPr>
        <w:t>十一、</w:t>
      </w:r>
      <w:bookmarkEnd w:id="236"/>
      <w:r>
        <w:rPr>
          <w:rFonts w:hint="eastAsia" w:eastAsia="仿宋_GB2312" w:cs="仿宋_GB2312"/>
          <w:sz w:val="32"/>
          <w:szCs w:val="32"/>
        </w:rPr>
        <w:t>国有资本经营预算财政拨款收入支出决算表</w:t>
      </w:r>
      <w:bookmarkEnd w:id="237"/>
    </w:p>
    <w:p>
      <w:pPr>
        <w:pStyle w:val="14"/>
        <w:adjustRightInd w:val="0"/>
        <w:snapToGrid w:val="0"/>
        <w:spacing w:line="560" w:lineRule="exact"/>
        <w:jc w:val="left"/>
        <w:rPr>
          <w:rFonts w:eastAsia="仿宋_GB2312" w:cs="仿宋_GB2312"/>
          <w:sz w:val="32"/>
          <w:szCs w:val="32"/>
        </w:rPr>
      </w:pPr>
      <w:bookmarkStart w:id="238" w:name="_Toc15396630"/>
      <w:bookmarkStart w:id="239" w:name="_Toc62608503_WPSOffice_Level2"/>
      <w:r>
        <w:rPr>
          <w:rFonts w:hint="eastAsia" w:eastAsia="仿宋_GB2312" w:cs="仿宋_GB2312"/>
          <w:sz w:val="32"/>
          <w:szCs w:val="32"/>
        </w:rPr>
        <w:t>十二、</w:t>
      </w:r>
      <w:bookmarkEnd w:id="238"/>
      <w:r>
        <w:rPr>
          <w:rFonts w:hint="eastAsia" w:eastAsia="仿宋_GB2312" w:cs="仿宋_GB2312"/>
          <w:sz w:val="32"/>
          <w:szCs w:val="32"/>
        </w:rPr>
        <w:t>国有资本经营预算财政拨款支出决算表</w:t>
      </w:r>
      <w:bookmarkEnd w:id="239"/>
    </w:p>
    <w:p>
      <w:pPr>
        <w:pStyle w:val="14"/>
        <w:adjustRightInd w:val="0"/>
        <w:snapToGrid w:val="0"/>
        <w:spacing w:line="560" w:lineRule="exact"/>
        <w:jc w:val="left"/>
        <w:rPr>
          <w:rFonts w:eastAsia="仿宋_GB2312" w:cs="仿宋_GB2312"/>
          <w:sz w:val="32"/>
          <w:szCs w:val="32"/>
        </w:rPr>
      </w:pPr>
      <w:bookmarkStart w:id="240" w:name="_Toc15396631"/>
      <w:bookmarkStart w:id="241" w:name="_Toc1867887183_WPSOffice_Level2"/>
      <w:r>
        <w:rPr>
          <w:rFonts w:hint="eastAsia" w:eastAsia="仿宋_GB2312" w:cs="仿宋_GB2312"/>
          <w:sz w:val="32"/>
          <w:szCs w:val="32"/>
        </w:rPr>
        <w:t>十三、</w:t>
      </w:r>
      <w:bookmarkEnd w:id="240"/>
      <w:r>
        <w:rPr>
          <w:rFonts w:hint="eastAsia" w:eastAsia="仿宋_GB2312" w:cs="仿宋_GB2312"/>
          <w:sz w:val="32"/>
          <w:szCs w:val="32"/>
        </w:rPr>
        <w:t>财政拨款“三公”经费支出决算表</w:t>
      </w:r>
      <w:bookmarkEnd w:id="241"/>
    </w:p>
    <w:p/>
    <w:sectPr>
      <w:footerReference r:id="rId9"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WinCharSetFFFF-H">
    <w:altName w:val="黑体"/>
    <w:panose1 w:val="00000000000000000000"/>
    <w:charset w:val="86"/>
    <w:family w:val="auto"/>
    <w:pitch w:val="default"/>
    <w:sig w:usb0="00000000" w:usb1="00000000" w:usb2="00000010" w:usb3="00000000" w:csb0="00040000" w:csb1="00000000"/>
  </w:font>
  <w:font w:name="TimesNewRoman">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楷体_GBK">
    <w:panose1 w:val="02000000000000000000"/>
    <w:charset w:val="86"/>
    <w:family w:val="script"/>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oto Sans Lao">
    <w:panose1 w:val="02000500000000000000"/>
    <w:charset w:val="00"/>
    <w:family w:val="auto"/>
    <w:pitch w:val="default"/>
    <w:sig w:usb0="02000000" w:usb1="00000000" w:usb2="00000000" w:usb3="00000000" w:csb0="20000111" w:csb1="4100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12FD"/>
    <w:multiLevelType w:val="singleLevel"/>
    <w:tmpl w:val="AFF612FD"/>
    <w:lvl w:ilvl="0" w:tentative="0">
      <w:start w:val="1"/>
      <w:numFmt w:val="chineseCounting"/>
      <w:suff w:val="nothing"/>
      <w:lvlText w:val="%1、"/>
      <w:lvlJc w:val="left"/>
      <w:rPr>
        <w:rFonts w:hint="eastAsia"/>
      </w:rPr>
    </w:lvl>
  </w:abstractNum>
  <w:abstractNum w:abstractNumId="1">
    <w:nsid w:val="B7E66C2C"/>
    <w:multiLevelType w:val="singleLevel"/>
    <w:tmpl w:val="B7E66C2C"/>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7C8664"/>
    <w:rsid w:val="2FAE5751"/>
    <w:rsid w:val="2FB1A395"/>
    <w:rsid w:val="2FD9A7D8"/>
    <w:rsid w:val="319F7F4E"/>
    <w:rsid w:val="321B2544"/>
    <w:rsid w:val="3304709D"/>
    <w:rsid w:val="34281836"/>
    <w:rsid w:val="349D6851"/>
    <w:rsid w:val="35BA6CAF"/>
    <w:rsid w:val="364D14C1"/>
    <w:rsid w:val="365AA8D2"/>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1E558A"/>
    <w:rsid w:val="3F768F0B"/>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EF93F79"/>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6BD3568"/>
    <w:rsid w:val="67AA3209"/>
    <w:rsid w:val="67FFCCBD"/>
    <w:rsid w:val="681C4F0D"/>
    <w:rsid w:val="69046D0F"/>
    <w:rsid w:val="698D0931"/>
    <w:rsid w:val="69A3504D"/>
    <w:rsid w:val="69FE0560"/>
    <w:rsid w:val="6A993CED"/>
    <w:rsid w:val="6B053271"/>
    <w:rsid w:val="6BCE6674"/>
    <w:rsid w:val="6BFE0D70"/>
    <w:rsid w:val="6C4A05C8"/>
    <w:rsid w:val="6C8742B8"/>
    <w:rsid w:val="6C8A170F"/>
    <w:rsid w:val="6CB54609"/>
    <w:rsid w:val="6DBF5E93"/>
    <w:rsid w:val="6DFF077E"/>
    <w:rsid w:val="6E7E3605"/>
    <w:rsid w:val="6E7FDCC7"/>
    <w:rsid w:val="6ED6A62E"/>
    <w:rsid w:val="6EE00B15"/>
    <w:rsid w:val="6F544B20"/>
    <w:rsid w:val="6F6FB3EB"/>
    <w:rsid w:val="6F784160"/>
    <w:rsid w:val="6F7DF1E3"/>
    <w:rsid w:val="6F8731EA"/>
    <w:rsid w:val="6FCE6052"/>
    <w:rsid w:val="6FD57C00"/>
    <w:rsid w:val="6FEB07BF"/>
    <w:rsid w:val="6FEFFFD8"/>
    <w:rsid w:val="6FF5CC65"/>
    <w:rsid w:val="6FFB3508"/>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F5619C"/>
    <w:rsid w:val="77FB6319"/>
    <w:rsid w:val="77FD35FC"/>
    <w:rsid w:val="77FFBBCF"/>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DF79B0"/>
    <w:rsid w:val="7EEF11D3"/>
    <w:rsid w:val="7EF7365A"/>
    <w:rsid w:val="7F0971A6"/>
    <w:rsid w:val="7F3F679B"/>
    <w:rsid w:val="7F4FC4EF"/>
    <w:rsid w:val="7F5E4D54"/>
    <w:rsid w:val="7F6181F5"/>
    <w:rsid w:val="7F6E0135"/>
    <w:rsid w:val="7FA30C79"/>
    <w:rsid w:val="7FAF8ABF"/>
    <w:rsid w:val="7FAFB6DD"/>
    <w:rsid w:val="7FB7269E"/>
    <w:rsid w:val="7FC96657"/>
    <w:rsid w:val="7FCFE3E7"/>
    <w:rsid w:val="7FDA9588"/>
    <w:rsid w:val="7FDF220F"/>
    <w:rsid w:val="7FEDC5F7"/>
    <w:rsid w:val="7FEDD9DE"/>
    <w:rsid w:val="7FF5890D"/>
    <w:rsid w:val="7FF60E11"/>
    <w:rsid w:val="7FF93490"/>
    <w:rsid w:val="8D4F478F"/>
    <w:rsid w:val="99FF2014"/>
    <w:rsid w:val="9DFFDB41"/>
    <w:rsid w:val="A3F7E528"/>
    <w:rsid w:val="A6DD0D7F"/>
    <w:rsid w:val="ABA32BE0"/>
    <w:rsid w:val="ADC6F725"/>
    <w:rsid w:val="B1F7186F"/>
    <w:rsid w:val="B7CF06AB"/>
    <w:rsid w:val="B7CFA926"/>
    <w:rsid w:val="B7F8786B"/>
    <w:rsid w:val="BABB6AA1"/>
    <w:rsid w:val="BB2F4199"/>
    <w:rsid w:val="BB380238"/>
    <w:rsid w:val="BD079C78"/>
    <w:rsid w:val="BD733540"/>
    <w:rsid w:val="BF3735D5"/>
    <w:rsid w:val="BF7F09AC"/>
    <w:rsid w:val="BFB3608C"/>
    <w:rsid w:val="BFBF0080"/>
    <w:rsid w:val="BFD475C3"/>
    <w:rsid w:val="BFDE5EA6"/>
    <w:rsid w:val="CF6FC6F3"/>
    <w:rsid w:val="CFD3D3D7"/>
    <w:rsid w:val="CFDF1009"/>
    <w:rsid w:val="CFE7EC58"/>
    <w:rsid w:val="D7D7B16A"/>
    <w:rsid w:val="D7FBC29F"/>
    <w:rsid w:val="D7FFE933"/>
    <w:rsid w:val="D8D6DB89"/>
    <w:rsid w:val="DB6F4CAB"/>
    <w:rsid w:val="DB777682"/>
    <w:rsid w:val="DBFBA544"/>
    <w:rsid w:val="DBFF657B"/>
    <w:rsid w:val="DCAF7FB8"/>
    <w:rsid w:val="DD1FB521"/>
    <w:rsid w:val="DDFC6FE5"/>
    <w:rsid w:val="DEBE7017"/>
    <w:rsid w:val="DEFBFEAE"/>
    <w:rsid w:val="DF1F3B80"/>
    <w:rsid w:val="DF6F9789"/>
    <w:rsid w:val="DFFFA9E8"/>
    <w:rsid w:val="E5F4E9DC"/>
    <w:rsid w:val="E70FE695"/>
    <w:rsid w:val="E79EA0E7"/>
    <w:rsid w:val="ECFED1BC"/>
    <w:rsid w:val="ED1D69BB"/>
    <w:rsid w:val="ED7FD312"/>
    <w:rsid w:val="EF53993F"/>
    <w:rsid w:val="EF6FD633"/>
    <w:rsid w:val="EFBFB2F4"/>
    <w:rsid w:val="EFBFFA21"/>
    <w:rsid w:val="F2BEBCB8"/>
    <w:rsid w:val="F36FB518"/>
    <w:rsid w:val="F3DE1A04"/>
    <w:rsid w:val="F3F722E5"/>
    <w:rsid w:val="F7DAED4E"/>
    <w:rsid w:val="F7FF5318"/>
    <w:rsid w:val="FA5F1E70"/>
    <w:rsid w:val="FA5FDB97"/>
    <w:rsid w:val="FA9D83F1"/>
    <w:rsid w:val="FB7F486A"/>
    <w:rsid w:val="FBFF5B2E"/>
    <w:rsid w:val="FD7FFE2B"/>
    <w:rsid w:val="FDEE196B"/>
    <w:rsid w:val="FDFE6575"/>
    <w:rsid w:val="FEDFDDC2"/>
    <w:rsid w:val="FEED32F6"/>
    <w:rsid w:val="FEEF7750"/>
    <w:rsid w:val="FEF781DD"/>
    <w:rsid w:val="FF3F7E3F"/>
    <w:rsid w:val="FF615216"/>
    <w:rsid w:val="FF7E83AE"/>
    <w:rsid w:val="FF9F63BB"/>
    <w:rsid w:val="FFBA12D7"/>
    <w:rsid w:val="FFDFFAEE"/>
    <w:rsid w:val="FFF7F23F"/>
    <w:rsid w:val="FFF9B57B"/>
    <w:rsid w:val="FFFD61D9"/>
    <w:rsid w:val="FFFD8F59"/>
    <w:rsid w:val="FFFF286D"/>
    <w:rsid w:val="FFFF2BB1"/>
    <w:rsid w:val="FFFFB04D"/>
    <w:rsid w:val="FFFFE0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6"/>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next w:val="4"/>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3"/>
    <w:qFormat/>
    <w:uiPriority w:val="99"/>
    <w:rPr>
      <w:rFonts w:ascii="仿宋_GB2312"/>
      <w:kern w:val="2"/>
      <w:sz w:val="21"/>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收入、支出决算总计表动情况图</a:t>
            </a:r>
            <a:r>
              <a:rPr lang="en-US" altLang="zh-CN"/>
              <a:t> </a:t>
            </a:r>
            <a:r>
              <a:rPr altLang="en-US"/>
              <a:t>（单位：万元）</a:t>
            </a:r>
            <a:endParaRPr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c:formatCode>
                <c:ptCount val="2"/>
                <c:pt idx="0">
                  <c:v>38312.76</c:v>
                </c:pt>
                <c:pt idx="1">
                  <c:v>34736.01</c:v>
                </c:pt>
              </c:numCache>
            </c:numRef>
          </c:val>
        </c:ser>
        <c:dLbls>
          <c:showLegendKey val="false"/>
          <c:showVal val="true"/>
          <c:showCatName val="false"/>
          <c:showSerName val="false"/>
          <c:showPercent val="false"/>
          <c:showBubbleSize val="false"/>
        </c:dLbls>
        <c:gapWidth val="219"/>
        <c:overlap val="-27"/>
        <c:axId val="797795269"/>
        <c:axId val="523076428"/>
      </c:barChart>
      <c:catAx>
        <c:axId val="797795269"/>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23076428"/>
        <c:crosses val="autoZero"/>
        <c:auto val="true"/>
        <c:lblAlgn val="ctr"/>
        <c:lblOffset val="100"/>
        <c:tickLblSkip val="1"/>
        <c:noMultiLvlLbl val="false"/>
      </c:catAx>
      <c:valAx>
        <c:axId val="523076428"/>
        <c:scaling>
          <c:orientation val="minMax"/>
          <c:min val="0"/>
        </c:scaling>
        <c:delete val="false"/>
        <c:axPos val="l"/>
        <c:majorGridlines>
          <c:spPr>
            <a:ln w="9525" cap="flat" cmpd="sng" algn="ctr">
              <a:solidFill>
                <a:schemeClr val="tx1">
                  <a:lumMod val="15000"/>
                  <a:lumOff val="85000"/>
                </a:schemeClr>
              </a:solidFill>
              <a:round/>
            </a:ln>
            <a:effectLst/>
          </c:spPr>
        </c:majorGridlines>
        <c:numFmt formatCode="#,##0.00"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97795269"/>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false"/>
    <c:plotArea>
      <c:layout/>
      <c:pieChart>
        <c:varyColors val="true"/>
        <c:ser>
          <c:idx val="0"/>
          <c:order val="0"/>
          <c:tx>
            <c:strRef>
              <c:f>Sheet1!$B$1</c:f>
              <c:strCache>
                <c:ptCount val="1"/>
                <c:pt idx="0">
                  <c:v>收入决算结构图 （单位：万元）</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174615673252834"/>
                  <c:y val="-0.112544432273107"/>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0775626166839136"/>
                  <c:y val="0.0608470168071221"/>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27168.74</c:v>
                </c:pt>
                <c:pt idx="1">
                  <c:v>7530.88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false"/>
    <c:plotArea>
      <c:layout/>
      <c:pieChart>
        <c:varyColors val="true"/>
        <c:ser>
          <c:idx val="0"/>
          <c:order val="0"/>
          <c:tx>
            <c:strRef>
              <c:f>Sheet1!$B$1</c:f>
              <c:strCache>
                <c:ptCount val="1"/>
                <c:pt idx="0">
                  <c:v>支出决算结构图 （单位：万元）</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0957021169610982"/>
                  <c:y val="0.0489903503832241"/>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110952070556604"/>
                  <c:y val="-0.0173236480548782"/>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tru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项目支出</c:v>
                </c:pt>
                <c:pt idx="1">
                  <c:v>基本支出</c:v>
                </c:pt>
              </c:strCache>
            </c:strRef>
          </c:cat>
          <c:val>
            <c:numRef>
              <c:f>Sheet1!$B$2:$B$3</c:f>
              <c:numCache>
                <c:formatCode>#,##0.00</c:formatCode>
                <c:ptCount val="2"/>
                <c:pt idx="0">
                  <c:v>8999.52</c:v>
                </c:pt>
                <c:pt idx="1">
                  <c:v>25700.1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财政拨款收、支决算总计变动情况图</a:t>
            </a:r>
            <a:endParaRPr altLang="en-US"/>
          </a:p>
          <a:p>
            <a:pPr defTabSz="914400">
              <a:defRPr lang="zh-CN" sz="1400" b="0" i="0" u="none" strike="noStrike" kern="1200" spc="0" baseline="0">
                <a:solidFill>
                  <a:schemeClr val="tx1">
                    <a:lumMod val="65000"/>
                    <a:lumOff val="35000"/>
                  </a:schemeClr>
                </a:solidFill>
                <a:latin typeface="+mn-lt"/>
                <a:ea typeface="+mn-ea"/>
                <a:cs typeface="+mn-cs"/>
              </a:defRPr>
            </a:pPr>
            <a:r>
              <a:rPr altLang="en-US"/>
              <a:t>（单位：万元）</a:t>
            </a:r>
            <a:endParaRPr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c:formatCode>
                <c:ptCount val="2"/>
                <c:pt idx="0">
                  <c:v>38276.37</c:v>
                </c:pt>
                <c:pt idx="1">
                  <c:v>34699.62</c:v>
                </c:pt>
              </c:numCache>
            </c:numRef>
          </c:val>
        </c:ser>
        <c:dLbls>
          <c:showLegendKey val="false"/>
          <c:showVal val="true"/>
          <c:showCatName val="false"/>
          <c:showSerName val="false"/>
          <c:showPercent val="false"/>
          <c:showBubbleSize val="false"/>
        </c:dLbls>
        <c:gapWidth val="219"/>
        <c:overlap val="-27"/>
        <c:axId val="797795269"/>
        <c:axId val="523076428"/>
      </c:barChart>
      <c:catAx>
        <c:axId val="797795269"/>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23076428"/>
        <c:crosses val="autoZero"/>
        <c:auto val="true"/>
        <c:lblAlgn val="ctr"/>
        <c:lblOffset val="100"/>
        <c:tickLblSkip val="1"/>
        <c:noMultiLvlLbl val="false"/>
      </c:catAx>
      <c:valAx>
        <c:axId val="523076428"/>
        <c:scaling>
          <c:orientation val="minMax"/>
          <c:min val="0"/>
        </c:scaling>
        <c:delete val="false"/>
        <c:axPos val="l"/>
        <c:majorGridlines>
          <c:spPr>
            <a:ln w="9525" cap="flat" cmpd="sng" algn="ctr">
              <a:solidFill>
                <a:schemeClr val="tx1">
                  <a:lumMod val="15000"/>
                  <a:lumOff val="85000"/>
                </a:schemeClr>
              </a:solidFill>
              <a:round/>
            </a:ln>
            <a:effectLst/>
          </c:spPr>
        </c:majorGridlines>
        <c:numFmt formatCode="#,##0.00"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97795269"/>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一般公共预算财政拨款支出决算变动情况表</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dLbl>
              <c:idx val="0"/>
              <c:layout>
                <c:manualLayout>
                  <c:x val="-0.001625"/>
                  <c:y val="-0.00233333333333333"/>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15</a:t>
                    </a:r>
                    <a:r>
                      <a:rPr lang="en-US" altLang="zh-CN"/>
                      <a:t>,</a:t>
                    </a:r>
                    <a:r>
                      <a:t>630.4</a:t>
                    </a:r>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01625"/>
                  <c:y val="-0.00233333333333333"/>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27</a:t>
                    </a:r>
                    <a:r>
                      <a:rPr lang="en-US" altLang="zh-CN"/>
                      <a:t>,</a:t>
                    </a:r>
                    <a:r>
                      <a:t>168.74</a:t>
                    </a:r>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15630.4</c:v>
                </c:pt>
                <c:pt idx="1">
                  <c:v>27168.74</c:v>
                </c:pt>
              </c:numCache>
            </c:numRef>
          </c:val>
        </c:ser>
        <c:dLbls>
          <c:showLegendKey val="false"/>
          <c:showVal val="true"/>
          <c:showCatName val="false"/>
          <c:showSerName val="false"/>
          <c:showPercent val="false"/>
          <c:showBubbleSize val="false"/>
        </c:dLbls>
        <c:gapWidth val="219"/>
        <c:overlap val="-27"/>
        <c:axId val="605497169"/>
        <c:axId val="650061070"/>
      </c:barChart>
      <c:catAx>
        <c:axId val="605497169"/>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50061070"/>
        <c:crosses val="autoZero"/>
        <c:auto val="true"/>
        <c:lblAlgn val="ctr"/>
        <c:lblOffset val="100"/>
        <c:noMultiLvlLbl val="false"/>
      </c:catAx>
      <c:valAx>
        <c:axId val="650061070"/>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05497169"/>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 </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false"/>
      <c:spPr>
        <a:noFill/>
        <a:ln>
          <a:noFill/>
        </a:ln>
        <a:effectLst/>
      </c:spPr>
    </c:title>
    <c:autoTitleDeleted val="false"/>
    <c:plotArea>
      <c:layout/>
      <c:pieChart>
        <c:varyColors val="true"/>
        <c:ser>
          <c:idx val="0"/>
          <c:order val="0"/>
          <c:tx>
            <c:strRef>
              <c:f>Sheet1!$B$1</c:f>
              <c:strCache>
                <c:ptCount val="1"/>
                <c:pt idx="0">
                  <c:v>一般公共预算财政拨款支出决算结构图 （单位：万元）</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Lbls>
            <c:dLbl>
              <c:idx val="0"/>
              <c:layout>
                <c:manualLayout>
                  <c:x val="0.037467599758324"/>
                  <c:y val="-0.0749156252428523"/>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0485207704345028"/>
                  <c:y val="-0.0877911288609081"/>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2"/>
              <c:layout>
                <c:manualLayout>
                  <c:x val="0.0287113689157288"/>
                  <c:y val="0.0644021659159047"/>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3"/>
              <c:layout>
                <c:manualLayout>
                  <c:x val="-0.0527611084223746"/>
                  <c:y val="-0.180126226039121"/>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23,901.4</a:t>
                    </a:r>
                    <a:r>
                      <a:rPr lang="en-US" altLang="zh-CN"/>
                      <a:t>7</a:t>
                    </a:r>
                    <a:r>
                      <a:t>, 87.9</a:t>
                    </a:r>
                    <a:r>
                      <a:rPr lang="en-US" altLang="zh-CN"/>
                      <a:t>8</a:t>
                    </a:r>
                    <a:r>
                      <a:t>%</a:t>
                    </a:r>
                  </a:p>
                </c:rich>
              </c:tx>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4"/>
              <c:layout>
                <c:manualLayout>
                  <c:x val="0.012339274477545"/>
                  <c:y val="-0.169300264839811"/>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5"/>
              <c:layout>
                <c:manualLayout>
                  <c:x val="0.017975320654419"/>
                  <c:y val="-0.137296299510427"/>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tru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一般公共服务支出</c:v>
                </c:pt>
                <c:pt idx="1">
                  <c:v>社会保障和就业支出</c:v>
                </c:pt>
                <c:pt idx="2">
                  <c:v>卫生健康支出</c:v>
                </c:pt>
                <c:pt idx="3">
                  <c:v>城乡社区支出</c:v>
                </c:pt>
                <c:pt idx="4">
                  <c:v>住房保障支出</c:v>
                </c:pt>
                <c:pt idx="5">
                  <c:v>其他支出</c:v>
                </c:pt>
              </c:strCache>
            </c:strRef>
          </c:cat>
          <c:val>
            <c:numRef>
              <c:f>Sheet1!$B$2:$B$7</c:f>
              <c:numCache>
                <c:formatCode>#,##0.00</c:formatCode>
                <c:ptCount val="6"/>
                <c:pt idx="0">
                  <c:v>18.7</c:v>
                </c:pt>
                <c:pt idx="1">
                  <c:v>2322.56</c:v>
                </c:pt>
                <c:pt idx="2">
                  <c:v>378.52</c:v>
                </c:pt>
                <c:pt idx="3">
                  <c:v>23901.47</c:v>
                </c:pt>
                <c:pt idx="4">
                  <c:v>522.19</c:v>
                </c:pt>
                <c:pt idx="5">
                  <c:v>25.3</c:v>
                </c:pt>
              </c:numCache>
            </c:numRef>
          </c:val>
        </c:ser>
        <c:dLbls>
          <c:showLegendKey val="false"/>
          <c:showVal val="true"/>
          <c:showCatName val="false"/>
          <c:showSerName val="false"/>
          <c:showPercent val="false"/>
          <c:showBubbleSize val="false"/>
          <c:showLeaderLines val="true"/>
        </c:dLbls>
        <c:firstSliceAng val="73"/>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false"/>
    <c:plotArea>
      <c:layout/>
      <c:pieChart>
        <c:varyColors val="true"/>
        <c:ser>
          <c:idx val="0"/>
          <c:order val="0"/>
          <c:tx>
            <c:strRef>
              <c:f>Sheet1!$B$1</c:f>
              <c:strCache>
                <c:ptCount val="1"/>
                <c:pt idx="0">
                  <c:v>财政拨款“三公”经费支出结构图（单位：万元）</c:v>
                </c:pt>
              </c:strCache>
            </c:strRef>
          </c:tx>
          <c:spPr/>
          <c:explosion val="0"/>
          <c:dPt>
            <c:idx val="0"/>
            <c:bubble3D val="false"/>
            <c:spPr>
              <a:solidFill>
                <a:schemeClr val="accent1"/>
              </a:solidFill>
              <a:ln>
                <a:noFill/>
              </a:ln>
              <a:effectLst/>
            </c:spPr>
          </c:dPt>
          <c:dPt>
            <c:idx val="1"/>
            <c:bubble3D val="false"/>
            <c:spPr>
              <a:solidFill>
                <a:schemeClr val="accent2"/>
              </a:solidFill>
              <a:ln>
                <a:noFill/>
              </a:ln>
              <a:effectLst/>
            </c:spPr>
          </c:dPt>
          <c:dLbls>
            <c:dLbl>
              <c:idx val="0"/>
              <c:layout>
                <c:manualLayout>
                  <c:x val="0.144250736276585"/>
                  <c:y val="-0.0402297337356772"/>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187004947275152"/>
                  <c:y val="0.0150244605775528"/>
                </c:manualLayout>
              </c:layout>
              <c:dLblPos val="bestFit"/>
              <c:showLegendKey val="tru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tru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76.7</c:v>
                </c:pt>
                <c:pt idx="1">
                  <c:v>2.96</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bbc9638-dac2-4308-afef-762e79535fb3}"/>
        <w:style w:val=""/>
        <w:category>
          <w:name w:val="常规"/>
          <w:gallery w:val="placeholder"/>
        </w:category>
        <w:types>
          <w:type w:val="bbPlcHdr"/>
        </w:types>
        <w:behaviors>
          <w:behavior w:val="content"/>
        </w:behaviors>
        <w:description w:val=""/>
        <w:guid w:val="{ebbc9638-dac2-4308-afef-762e79535fb3}"/>
      </w:docPartPr>
      <w:docPartBody>
        <w:p>
          <w:r>
            <w:rPr>
              <w:color w:val="808080"/>
            </w:rPr>
            <w:t>单击此处输入文字。</w:t>
          </w:r>
        </w:p>
      </w:docPartBody>
    </w:docPart>
    <w:docPart>
      <w:docPartPr>
        <w:name w:val="{24fe4a1c-e0b1-4a0a-b558-98bbe20b6b7a}"/>
        <w:style w:val=""/>
        <w:category>
          <w:name w:val="常规"/>
          <w:gallery w:val="placeholder"/>
        </w:category>
        <w:types>
          <w:type w:val="bbPlcHdr"/>
        </w:types>
        <w:behaviors>
          <w:behavior w:val="content"/>
        </w:behaviors>
        <w:description w:val=""/>
        <w:guid w:val="{24fe4a1c-e0b1-4a0a-b558-98bbe20b6b7a}"/>
      </w:docPartPr>
      <w:docPartBody>
        <w:p>
          <w:r>
            <w:rPr>
              <w:color w:val="808080"/>
            </w:rPr>
            <w:t>单击此处输入文字。</w:t>
          </w:r>
        </w:p>
      </w:docPartBody>
    </w:docPart>
    <w:docPart>
      <w:docPartPr>
        <w:name w:val="{13f12e60-16ec-45b3-b9f8-8b2591f6cf4e}"/>
        <w:style w:val=""/>
        <w:category>
          <w:name w:val="常规"/>
          <w:gallery w:val="placeholder"/>
        </w:category>
        <w:types>
          <w:type w:val="bbPlcHdr"/>
        </w:types>
        <w:behaviors>
          <w:behavior w:val="content"/>
        </w:behaviors>
        <w:description w:val=""/>
        <w:guid w:val="{13f12e60-16ec-45b3-b9f8-8b2591f6cf4e}"/>
      </w:docPartPr>
      <w:docPartBody>
        <w:p>
          <w:r>
            <w:rPr>
              <w:color w:val="808080"/>
            </w:rPr>
            <w:t>单击此处输入文字。</w:t>
          </w:r>
        </w:p>
      </w:docPartBody>
    </w:docPart>
    <w:docPart>
      <w:docPartPr>
        <w:name w:val="{f6096d1f-a8e7-44a7-9b5e-11810faf2ecc}"/>
        <w:style w:val=""/>
        <w:category>
          <w:name w:val="常规"/>
          <w:gallery w:val="placeholder"/>
        </w:category>
        <w:types>
          <w:type w:val="bbPlcHdr"/>
        </w:types>
        <w:behaviors>
          <w:behavior w:val="content"/>
        </w:behaviors>
        <w:description w:val=""/>
        <w:guid w:val="{f6096d1f-a8e7-44a7-9b5e-11810faf2ecc}"/>
      </w:docPartPr>
      <w:docPartBody>
        <w:p>
          <w:r>
            <w:rPr>
              <w:color w:val="808080"/>
            </w:rPr>
            <w:t>单击此处输入文字。</w:t>
          </w:r>
        </w:p>
      </w:docPartBody>
    </w:docPart>
    <w:docPart>
      <w:docPartPr>
        <w:name w:val="{56454871-7e67-40db-babc-9a329687fac4}"/>
        <w:style w:val=""/>
        <w:category>
          <w:name w:val="常规"/>
          <w:gallery w:val="placeholder"/>
        </w:category>
        <w:types>
          <w:type w:val="bbPlcHdr"/>
        </w:types>
        <w:behaviors>
          <w:behavior w:val="content"/>
        </w:behaviors>
        <w:description w:val=""/>
        <w:guid w:val="{56454871-7e67-40db-babc-9a329687fac4}"/>
      </w:docPartPr>
      <w:docPartBody>
        <w:p>
          <w:r>
            <w:rPr>
              <w:color w:val="808080"/>
            </w:rPr>
            <w:t>单击此处输入文字。</w:t>
          </w:r>
        </w:p>
      </w:docPartBody>
    </w:docPart>
    <w:docPart>
      <w:docPartPr>
        <w:name w:val="{ce44d2f6-6587-47c2-b718-ba972761358d}"/>
        <w:style w:val=""/>
        <w:category>
          <w:name w:val="常规"/>
          <w:gallery w:val="placeholder"/>
        </w:category>
        <w:types>
          <w:type w:val="bbPlcHdr"/>
        </w:types>
        <w:behaviors>
          <w:behavior w:val="content"/>
        </w:behaviors>
        <w:description w:val=""/>
        <w:guid w:val="{ce44d2f6-6587-47c2-b718-ba972761358d}"/>
      </w:docPartPr>
      <w:docPartBody>
        <w:p>
          <w:r>
            <w:rPr>
              <w:color w:val="808080"/>
            </w:rPr>
            <w:t>单击此处输入文字。</w:t>
          </w:r>
        </w:p>
      </w:docPartBody>
    </w:docPart>
    <w:docPart>
      <w:docPartPr>
        <w:name w:val="{e5159583-2801-4cc2-9ce5-86d5d29117ab}"/>
        <w:style w:val=""/>
        <w:category>
          <w:name w:val="常规"/>
          <w:gallery w:val="placeholder"/>
        </w:category>
        <w:types>
          <w:type w:val="bbPlcHdr"/>
        </w:types>
        <w:behaviors>
          <w:behavior w:val="content"/>
        </w:behaviors>
        <w:description w:val=""/>
        <w:guid w:val="{e5159583-2801-4cc2-9ce5-86d5d29117ab}"/>
      </w:docPartPr>
      <w:docPartBody>
        <w:p>
          <w:r>
            <w:rPr>
              <w:color w:val="808080"/>
            </w:rPr>
            <w:t>单击此处输入文字。</w:t>
          </w:r>
        </w:p>
      </w:docPartBody>
    </w:docPart>
    <w:docPart>
      <w:docPartPr>
        <w:name w:val="{eeadafb9-87c3-45b9-b30f-412a69b05acf}"/>
        <w:style w:val=""/>
        <w:category>
          <w:name w:val="常规"/>
          <w:gallery w:val="placeholder"/>
        </w:category>
        <w:types>
          <w:type w:val="bbPlcHdr"/>
        </w:types>
        <w:behaviors>
          <w:behavior w:val="content"/>
        </w:behaviors>
        <w:description w:val=""/>
        <w:guid w:val="{eeadafb9-87c3-45b9-b30f-412a69b05acf}"/>
      </w:docPartPr>
      <w:docPartBody>
        <w:p>
          <w:r>
            <w:rPr>
              <w:color w:val="808080"/>
            </w:rPr>
            <w:t>单击此处输入文字。</w:t>
          </w:r>
        </w:p>
      </w:docPartBody>
    </w:docPart>
    <w:docPart>
      <w:docPartPr>
        <w:name w:val="{32cd195c-3018-4939-aec7-f7ce37403546}"/>
        <w:style w:val=""/>
        <w:category>
          <w:name w:val="常规"/>
          <w:gallery w:val="placeholder"/>
        </w:category>
        <w:types>
          <w:type w:val="bbPlcHdr"/>
        </w:types>
        <w:behaviors>
          <w:behavior w:val="content"/>
        </w:behaviors>
        <w:description w:val=""/>
        <w:guid w:val="{32cd195c-3018-4939-aec7-f7ce37403546}"/>
      </w:docPartPr>
      <w:docPartBody>
        <w:p>
          <w:r>
            <w:rPr>
              <w:color w:val="808080"/>
            </w:rPr>
            <w:t>单击此处输入文字。</w:t>
          </w:r>
        </w:p>
      </w:docPartBody>
    </w:docPart>
    <w:docPart>
      <w:docPartPr>
        <w:name w:val="{8137ab46-556f-4c02-ae8c-55f7af76fdaf}"/>
        <w:style w:val=""/>
        <w:category>
          <w:name w:val="常规"/>
          <w:gallery w:val="placeholder"/>
        </w:category>
        <w:types>
          <w:type w:val="bbPlcHdr"/>
        </w:types>
        <w:behaviors>
          <w:behavior w:val="content"/>
        </w:behaviors>
        <w:description w:val=""/>
        <w:guid w:val="{8137ab46-556f-4c02-ae8c-55f7af76fdaf}"/>
      </w:docPartPr>
      <w:docPartBody>
        <w:p>
          <w:r>
            <w:rPr>
              <w:color w:val="808080"/>
            </w:rPr>
            <w:t>单击此处输入文字。</w:t>
          </w:r>
        </w:p>
      </w:docPartBody>
    </w:docPart>
    <w:docPart>
      <w:docPartPr>
        <w:name w:val="{9f73e0fb-6a73-48fa-8e3d-195360b01f41}"/>
        <w:style w:val=""/>
        <w:category>
          <w:name w:val="常规"/>
          <w:gallery w:val="placeholder"/>
        </w:category>
        <w:types>
          <w:type w:val="bbPlcHdr"/>
        </w:types>
        <w:behaviors>
          <w:behavior w:val="content"/>
        </w:behaviors>
        <w:description w:val=""/>
        <w:guid w:val="{9f73e0fb-6a73-48fa-8e3d-195360b01f41}"/>
      </w:docPartPr>
      <w:docPartBody>
        <w:p>
          <w:r>
            <w:rPr>
              <w:color w:val="808080"/>
            </w:rPr>
            <w:t>单击此处输入文字。</w:t>
          </w:r>
        </w:p>
      </w:docPartBody>
    </w:docPart>
    <w:docPart>
      <w:docPartPr>
        <w:name w:val="{9107745b-1bc7-4e6a-815e-f5e605ad5b6a}"/>
        <w:style w:val=""/>
        <w:category>
          <w:name w:val="常规"/>
          <w:gallery w:val="placeholder"/>
        </w:category>
        <w:types>
          <w:type w:val="bbPlcHdr"/>
        </w:types>
        <w:behaviors>
          <w:behavior w:val="content"/>
        </w:behaviors>
        <w:description w:val=""/>
        <w:guid w:val="{9107745b-1bc7-4e6a-815e-f5e605ad5b6a}"/>
      </w:docPartPr>
      <w:docPartBody>
        <w:p>
          <w:r>
            <w:rPr>
              <w:color w:val="808080"/>
            </w:rPr>
            <w:t>单击此处输入文字。</w:t>
          </w:r>
        </w:p>
      </w:docPartBody>
    </w:docPart>
    <w:docPart>
      <w:docPartPr>
        <w:name w:val="{236e06db-1c85-47fd-993b-c464ce67276c}"/>
        <w:style w:val=""/>
        <w:category>
          <w:name w:val="常规"/>
          <w:gallery w:val="placeholder"/>
        </w:category>
        <w:types>
          <w:type w:val="bbPlcHdr"/>
        </w:types>
        <w:behaviors>
          <w:behavior w:val="content"/>
        </w:behaviors>
        <w:description w:val=""/>
        <w:guid w:val="{236e06db-1c85-47fd-993b-c464ce67276c}"/>
      </w:docPartPr>
      <w:docPartBody>
        <w:p>
          <w:r>
            <w:rPr>
              <w:color w:val="808080"/>
            </w:rPr>
            <w:t>单击此处输入文字。</w:t>
          </w:r>
        </w:p>
      </w:docPartBody>
    </w:docPart>
    <w:docPart>
      <w:docPartPr>
        <w:name w:val="{0f015e1c-81f1-4db3-bae8-b18eedb5c190}"/>
        <w:style w:val=""/>
        <w:category>
          <w:name w:val="常规"/>
          <w:gallery w:val="placeholder"/>
        </w:category>
        <w:types>
          <w:type w:val="bbPlcHdr"/>
        </w:types>
        <w:behaviors>
          <w:behavior w:val="content"/>
        </w:behaviors>
        <w:description w:val=""/>
        <w:guid w:val="{0f015e1c-81f1-4db3-bae8-b18eedb5c190}"/>
      </w:docPartPr>
      <w:docPartBody>
        <w:p>
          <w:r>
            <w:rPr>
              <w:color w:val="808080"/>
            </w:rPr>
            <w:t>单击此处输入文字。</w:t>
          </w:r>
        </w:p>
      </w:docPartBody>
    </w:docPart>
    <w:docPart>
      <w:docPartPr>
        <w:name w:val="{323c432e-4f69-4698-b6e3-8d4db31bab51}"/>
        <w:style w:val=""/>
        <w:category>
          <w:name w:val="常规"/>
          <w:gallery w:val="placeholder"/>
        </w:category>
        <w:types>
          <w:type w:val="bbPlcHdr"/>
        </w:types>
        <w:behaviors>
          <w:behavior w:val="content"/>
        </w:behaviors>
        <w:description w:val=""/>
        <w:guid w:val="{323c432e-4f69-4698-b6e3-8d4db31bab51}"/>
      </w:docPartPr>
      <w:docPartBody>
        <w:p>
          <w:r>
            <w:rPr>
              <w:color w:val="808080"/>
            </w:rPr>
            <w:t>单击此处输入文字。</w:t>
          </w:r>
        </w:p>
      </w:docPartBody>
    </w:docPart>
    <w:docPart>
      <w:docPartPr>
        <w:name w:val="{dbffb077-ee68-40d6-a8df-32abade7b0f1}"/>
        <w:style w:val=""/>
        <w:category>
          <w:name w:val="常规"/>
          <w:gallery w:val="placeholder"/>
        </w:category>
        <w:types>
          <w:type w:val="bbPlcHdr"/>
        </w:types>
        <w:behaviors>
          <w:behavior w:val="content"/>
        </w:behaviors>
        <w:description w:val=""/>
        <w:guid w:val="{dbffb077-ee68-40d6-a8df-32abade7b0f1}"/>
      </w:docPartPr>
      <w:docPartBody>
        <w:p>
          <w:r>
            <w:rPr>
              <w:color w:val="808080"/>
            </w:rPr>
            <w:t>单击此处输入文字。</w:t>
          </w:r>
        </w:p>
      </w:docPartBody>
    </w:docPart>
    <w:docPart>
      <w:docPartPr>
        <w:name w:val="{fcb4d3a3-d1cf-4fd3-bb5f-301a247d07f6}"/>
        <w:style w:val=""/>
        <w:category>
          <w:name w:val="常规"/>
          <w:gallery w:val="placeholder"/>
        </w:category>
        <w:types>
          <w:type w:val="bbPlcHdr"/>
        </w:types>
        <w:behaviors>
          <w:behavior w:val="content"/>
        </w:behaviors>
        <w:description w:val=""/>
        <w:guid w:val="{fcb4d3a3-d1cf-4fd3-bb5f-301a247d07f6}"/>
      </w:docPartPr>
      <w:docPartBody>
        <w:p>
          <w:r>
            <w:rPr>
              <w:color w:val="808080"/>
            </w:rPr>
            <w:t>单击此处输入文字。</w:t>
          </w:r>
        </w:p>
      </w:docPartBody>
    </w:docPart>
    <w:docPart>
      <w:docPartPr>
        <w:name w:val="{a87e98a0-4db8-4138-8131-f074486e7789}"/>
        <w:style w:val=""/>
        <w:category>
          <w:name w:val="常规"/>
          <w:gallery w:val="placeholder"/>
        </w:category>
        <w:types>
          <w:type w:val="bbPlcHdr"/>
        </w:types>
        <w:behaviors>
          <w:behavior w:val="content"/>
        </w:behaviors>
        <w:description w:val=""/>
        <w:guid w:val="{a87e98a0-4db8-4138-8131-f074486e7789}"/>
      </w:docPartPr>
      <w:docPartBody>
        <w:p>
          <w:r>
            <w:rPr>
              <w:color w:val="808080"/>
            </w:rPr>
            <w:t>单击此处输入文字。</w:t>
          </w:r>
        </w:p>
      </w:docPartBody>
    </w:docPart>
    <w:docPart>
      <w:docPartPr>
        <w:name w:val="{f2948d02-b373-4ed7-9bb4-ac4b21266a83}"/>
        <w:style w:val=""/>
        <w:category>
          <w:name w:val="常规"/>
          <w:gallery w:val="placeholder"/>
        </w:category>
        <w:types>
          <w:type w:val="bbPlcHdr"/>
        </w:types>
        <w:behaviors>
          <w:behavior w:val="content"/>
        </w:behaviors>
        <w:description w:val=""/>
        <w:guid w:val="{f2948d02-b373-4ed7-9bb4-ac4b21266a83}"/>
      </w:docPartPr>
      <w:docPartBody>
        <w:p>
          <w:r>
            <w:rPr>
              <w:color w:val="808080"/>
            </w:rPr>
            <w:t>单击此处输入文字。</w:t>
          </w:r>
        </w:p>
      </w:docPartBody>
    </w:docPart>
    <w:docPart>
      <w:docPartPr>
        <w:name w:val="{a6d8d82c-7c24-4f97-a455-c66a541a3783}"/>
        <w:style w:val=""/>
        <w:category>
          <w:name w:val="常规"/>
          <w:gallery w:val="placeholder"/>
        </w:category>
        <w:types>
          <w:type w:val="bbPlcHdr"/>
        </w:types>
        <w:behaviors>
          <w:behavior w:val="content"/>
        </w:behaviors>
        <w:description w:val=""/>
        <w:guid w:val="{a6d8d82c-7c24-4f97-a455-c66a541a3783}"/>
      </w:docPartPr>
      <w:docPartBody>
        <w:p>
          <w:r>
            <w:rPr>
              <w:color w:val="808080"/>
            </w:rPr>
            <w:t>单击此处输入文字。</w:t>
          </w:r>
        </w:p>
      </w:docPartBody>
    </w:docPart>
    <w:docPart>
      <w:docPartPr>
        <w:name w:val="{7cdf324a-f736-4ac1-8c99-98ec0c19823b}"/>
        <w:style w:val=""/>
        <w:category>
          <w:name w:val="常规"/>
          <w:gallery w:val="placeholder"/>
        </w:category>
        <w:types>
          <w:type w:val="bbPlcHdr"/>
        </w:types>
        <w:behaviors>
          <w:behavior w:val="content"/>
        </w:behaviors>
        <w:description w:val=""/>
        <w:guid w:val="{7cdf324a-f736-4ac1-8c99-98ec0c19823b}"/>
      </w:docPartPr>
      <w:docPartBody>
        <w:p>
          <w:r>
            <w:rPr>
              <w:color w:val="808080"/>
            </w:rPr>
            <w:t>单击此处输入文字。</w:t>
          </w:r>
        </w:p>
      </w:docPartBody>
    </w:docPart>
    <w:docPart>
      <w:docPartPr>
        <w:name w:val="{42b60280-84e6-42f2-b487-8d1844958d88}"/>
        <w:style w:val=""/>
        <w:category>
          <w:name w:val="常规"/>
          <w:gallery w:val="placeholder"/>
        </w:category>
        <w:types>
          <w:type w:val="bbPlcHdr"/>
        </w:types>
        <w:behaviors>
          <w:behavior w:val="content"/>
        </w:behaviors>
        <w:description w:val=""/>
        <w:guid w:val="{42b60280-84e6-42f2-b487-8d1844958d88}"/>
      </w:docPartPr>
      <w:docPartBody>
        <w:p>
          <w:r>
            <w:rPr>
              <w:color w:val="808080"/>
            </w:rPr>
            <w:t>单击此处输入文字。</w:t>
          </w:r>
        </w:p>
      </w:docPartBody>
    </w:docPart>
    <w:docPart>
      <w:docPartPr>
        <w:name w:val="{ff094fb4-39d2-4801-8a29-2b1ea67232f7}"/>
        <w:style w:val=""/>
        <w:category>
          <w:name w:val="常规"/>
          <w:gallery w:val="placeholder"/>
        </w:category>
        <w:types>
          <w:type w:val="bbPlcHdr"/>
        </w:types>
        <w:behaviors>
          <w:behavior w:val="content"/>
        </w:behaviors>
        <w:description w:val=""/>
        <w:guid w:val="{ff094fb4-39d2-4801-8a29-2b1ea67232f7}"/>
      </w:docPartPr>
      <w:docPartBody>
        <w:p>
          <w:r>
            <w:rPr>
              <w:color w:val="808080"/>
            </w:rPr>
            <w:t>单击此处输入文字。</w:t>
          </w:r>
        </w:p>
      </w:docPartBody>
    </w:docPart>
    <w:docPart>
      <w:docPartPr>
        <w:name w:val="{dd46f34b-328f-4ee1-9910-22236bbd79dc}"/>
        <w:style w:val=""/>
        <w:category>
          <w:name w:val="常规"/>
          <w:gallery w:val="placeholder"/>
        </w:category>
        <w:types>
          <w:type w:val="bbPlcHdr"/>
        </w:types>
        <w:behaviors>
          <w:behavior w:val="content"/>
        </w:behaviors>
        <w:description w:val=""/>
        <w:guid w:val="{dd46f34b-328f-4ee1-9910-22236bbd79dc}"/>
      </w:docPartPr>
      <w:docPartBody>
        <w:p>
          <w:r>
            <w:rPr>
              <w:color w:val="808080"/>
            </w:rPr>
            <w:t>单击此处输入文字。</w:t>
          </w:r>
        </w:p>
      </w:docPartBody>
    </w:docPart>
    <w:docPart>
      <w:docPartPr>
        <w:name w:val="{0576621a-f41c-49c7-b1b7-d495678673aa}"/>
        <w:style w:val=""/>
        <w:category>
          <w:name w:val="常规"/>
          <w:gallery w:val="placeholder"/>
        </w:category>
        <w:types>
          <w:type w:val="bbPlcHdr"/>
        </w:types>
        <w:behaviors>
          <w:behavior w:val="content"/>
        </w:behaviors>
        <w:description w:val=""/>
        <w:guid w:val="{0576621a-f41c-49c7-b1b7-d495678673aa}"/>
      </w:docPartPr>
      <w:docPartBody>
        <w:p>
          <w:r>
            <w:rPr>
              <w:color w:val="808080"/>
            </w:rPr>
            <w:t>单击此处输入文字。</w:t>
          </w:r>
        </w:p>
      </w:docPartBody>
    </w:docPart>
    <w:docPart>
      <w:docPartPr>
        <w:name w:val="{87466c57-b36c-4a1d-8a9b-3a0e14fc1b9d}"/>
        <w:style w:val=""/>
        <w:category>
          <w:name w:val="常规"/>
          <w:gallery w:val="placeholder"/>
        </w:category>
        <w:types>
          <w:type w:val="bbPlcHdr"/>
        </w:types>
        <w:behaviors>
          <w:behavior w:val="content"/>
        </w:behaviors>
        <w:description w:val=""/>
        <w:guid w:val="{87466c57-b36c-4a1d-8a9b-3a0e14fc1b9d}"/>
      </w:docPartPr>
      <w:docPartBody>
        <w:p>
          <w:r>
            <w:rPr>
              <w:color w:val="808080"/>
            </w:rPr>
            <w:t>单击此处输入文字。</w:t>
          </w:r>
        </w:p>
      </w:docPartBody>
    </w:docPart>
    <w:docPart>
      <w:docPartPr>
        <w:name w:val="{bd7c90a9-3ef7-4bb4-bd8b-efcfaea26e72}"/>
        <w:style w:val=""/>
        <w:category>
          <w:name w:val="常规"/>
          <w:gallery w:val="placeholder"/>
        </w:category>
        <w:types>
          <w:type w:val="bbPlcHdr"/>
        </w:types>
        <w:behaviors>
          <w:behavior w:val="content"/>
        </w:behaviors>
        <w:description w:val=""/>
        <w:guid w:val="{bd7c90a9-3ef7-4bb4-bd8b-efcfaea26e72}"/>
      </w:docPartPr>
      <w:docPartBody>
        <w:p>
          <w:r>
            <w:rPr>
              <w:color w:val="808080"/>
            </w:rPr>
            <w:t>单击此处输入文字。</w:t>
          </w:r>
        </w:p>
      </w:docPartBody>
    </w:docPart>
    <w:docPart>
      <w:docPartPr>
        <w:name w:val="{186c9825-9a5d-42db-8d54-c7853dd59e70}"/>
        <w:style w:val=""/>
        <w:category>
          <w:name w:val="常规"/>
          <w:gallery w:val="placeholder"/>
        </w:category>
        <w:types>
          <w:type w:val="bbPlcHdr"/>
        </w:types>
        <w:behaviors>
          <w:behavior w:val="content"/>
        </w:behaviors>
        <w:description w:val=""/>
        <w:guid w:val="{186c9825-9a5d-42db-8d54-c7853dd59e70}"/>
      </w:docPartPr>
      <w:docPartBody>
        <w:p>
          <w:r>
            <w:rPr>
              <w:color w:val="808080"/>
            </w:rPr>
            <w:t>单击此处输入文字。</w:t>
          </w:r>
        </w:p>
      </w:docPartBody>
    </w:docPart>
    <w:docPart>
      <w:docPartPr>
        <w:name w:val="{f627e85e-1fa8-4cd0-9fa4-2d654df039a5}"/>
        <w:style w:val=""/>
        <w:category>
          <w:name w:val="常规"/>
          <w:gallery w:val="placeholder"/>
        </w:category>
        <w:types>
          <w:type w:val="bbPlcHdr"/>
        </w:types>
        <w:behaviors>
          <w:behavior w:val="content"/>
        </w:behaviors>
        <w:description w:val=""/>
        <w:guid w:val="{f627e85e-1fa8-4cd0-9fa4-2d654df039a5}"/>
      </w:docPartPr>
      <w:docPartBody>
        <w:p>
          <w:r>
            <w:rPr>
              <w:color w:val="808080"/>
            </w:rPr>
            <w:t>单击此处输入文字。</w:t>
          </w:r>
        </w:p>
      </w:docPartBody>
    </w:docPart>
    <w:docPart>
      <w:docPartPr>
        <w:name w:val="{72f18d90-1dc5-41c4-aff5-924734737da5}"/>
        <w:style w:val=""/>
        <w:category>
          <w:name w:val="常规"/>
          <w:gallery w:val="placeholder"/>
        </w:category>
        <w:types>
          <w:type w:val="bbPlcHdr"/>
        </w:types>
        <w:behaviors>
          <w:behavior w:val="content"/>
        </w:behaviors>
        <w:description w:val=""/>
        <w:guid w:val="{72f18d90-1dc5-41c4-aff5-924734737da5}"/>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1334</Words>
  <Characters>7606</Characters>
  <Lines>63</Lines>
  <Paragraphs>17</Paragraphs>
  <TotalTime>158</TotalTime>
  <ScaleCrop>false</ScaleCrop>
  <LinksUpToDate>false</LinksUpToDate>
  <CharactersWithSpaces>8923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2020-08-13T01:49:00Z</dcterms:created>
  <dc:creator>曹颖</dc:creator>
  <cp:lastModifiedBy>user</cp:lastModifiedBy>
  <cp:lastPrinted>2026-08-31T08:27:00Z</cp:lastPrinted>
  <dcterms:modified xsi:type="dcterms:W3CDTF">2026-09-16T16:42:03Z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3BF536824C220DA3E40E8B68BA118B1C_42</vt:lpwstr>
  </property>
</Properties>
</file>