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93"/>
        <w:rPr>
          <w:rFonts w:hint="eastAsia" w:ascii="Times New Roman" w:eastAsia="方正小标宋简体"/>
          <w:kern w:val="2"/>
          <w:sz w:val="72"/>
          <w:szCs w:val="72"/>
        </w:rPr>
      </w:pPr>
      <w:bookmarkStart w:id="0" w:name="_Toc15377425"/>
      <w:bookmarkStart w:id="1" w:name="_Toc15377193"/>
      <w:bookmarkStart w:id="2" w:name="_Toc15396475"/>
      <w:bookmarkStart w:id="3" w:name="_Toc15396597"/>
      <w:bookmarkStart w:id="4" w:name="_Toc15378441"/>
      <w:bookmarkStart w:id="5" w:name="_Toc15306267"/>
    </w:p>
    <w:p>
      <w:pPr>
        <w:adjustRightInd w:val="0"/>
        <w:snapToGrid w:val="0"/>
        <w:spacing w:line="400" w:lineRule="exact"/>
        <w:rPr>
          <w:rFonts w:ascii="黑体" w:hAnsi="黑体" w:eastAsia="黑体" w:cs="黑体"/>
          <w:snapToGrid w:val="0"/>
          <w:kern w:val="0"/>
          <w:sz w:val="32"/>
          <w:szCs w:val="32"/>
        </w:rPr>
      </w:pPr>
      <w:bookmarkStart w:id="130" w:name="_GoBack"/>
      <w:bookmarkEnd w:id="130"/>
    </w:p>
    <w:p>
      <w:pPr>
        <w:pStyle w:val="8"/>
        <w:spacing w:before="93"/>
        <w:rPr>
          <w:rFonts w:ascii="Times New Roman" w:eastAsia="方正小标宋简体"/>
          <w:kern w:val="2"/>
          <w:sz w:val="72"/>
          <w:szCs w:val="72"/>
        </w:rPr>
      </w:pPr>
    </w:p>
    <w:p>
      <w:pPr>
        <w:pStyle w:val="8"/>
        <w:spacing w:before="93"/>
        <w:rPr>
          <w:rFonts w:hint="eastAsia" w:ascii="Times New Roman" w:eastAsia="方正小标宋简体"/>
          <w:kern w:val="2"/>
          <w:sz w:val="72"/>
          <w:szCs w:val="72"/>
        </w:rPr>
      </w:pPr>
    </w:p>
    <w:p>
      <w:pPr>
        <w:pStyle w:val="8"/>
        <w:spacing w:before="93"/>
        <w:jc w:val="center"/>
        <w:rPr>
          <w:rFonts w:hint="eastAsia" w:ascii="Times New Roman" w:eastAsia="方正小标宋简体"/>
          <w:kern w:val="2"/>
          <w:sz w:val="44"/>
          <w:szCs w:val="44"/>
        </w:rPr>
      </w:pPr>
      <w:r>
        <w:rPr>
          <w:rFonts w:hint="eastAsia" w:ascii="Times New Roman" w:eastAsia="方正小标宋简体"/>
          <w:kern w:val="2"/>
          <w:sz w:val="44"/>
          <w:szCs w:val="44"/>
        </w:rPr>
        <w:t>2025年度</w:t>
      </w:r>
    </w:p>
    <w:p>
      <w:pPr>
        <w:pStyle w:val="8"/>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lang w:eastAsia="zh-CN"/>
        </w:rPr>
        <w:t>攀枝花市住房和城乡建设局</w:t>
      </w:r>
    </w:p>
    <w:p>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rPr>
        <w:t>单位决算公开编制说明</w:t>
      </w:r>
    </w:p>
    <w:p>
      <w:pPr>
        <w:spacing w:line="600" w:lineRule="exact"/>
        <w:jc w:val="center"/>
        <w:outlineLvl w:val="0"/>
        <w:rPr>
          <w:rFonts w:eastAsia="方正小标宋简体"/>
          <w:sz w:val="72"/>
          <w:szCs w:val="72"/>
        </w:rPr>
      </w:pPr>
    </w:p>
    <w:p>
      <w:pPr>
        <w:pStyle w:val="20"/>
        <w:rPr>
          <w:rFonts w:ascii="Times New Roman" w:hAnsi="Times New Roma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p>
      <w:pPr>
        <w:pStyle w:val="8"/>
        <w:spacing w:before="93"/>
        <w:jc w:val="center"/>
        <w:rPr>
          <w:rFonts w:ascii="Times New Roman" w:eastAsia="方正小标宋简体"/>
          <w:kern w:val="2"/>
          <w:sz w:val="44"/>
          <w:szCs w:val="44"/>
        </w:rPr>
      </w:pPr>
    </w:p>
    <w:bookmarkEnd w:id="0"/>
    <w:bookmarkEnd w:id="1"/>
    <w:bookmarkEnd w:id="2"/>
    <w:bookmarkEnd w:id="3"/>
    <w:bookmarkEnd w:id="4"/>
    <w:p>
      <w:pPr>
        <w:pStyle w:val="8"/>
        <w:spacing w:before="93"/>
        <w:jc w:val="center"/>
        <w:rPr>
          <w:rFonts w:hint="eastAsia" w:ascii="Times New Roman" w:eastAsia="方正小标宋简体"/>
          <w:kern w:val="2"/>
          <w:sz w:val="44"/>
          <w:szCs w:val="44"/>
        </w:rPr>
      </w:pPr>
      <w:bookmarkStart w:id="6" w:name="_Toc15396476"/>
      <w:bookmarkStart w:id="7" w:name="_Toc15378442"/>
      <w:bookmarkStart w:id="8" w:name="_Toc15396598"/>
      <w:bookmarkStart w:id="9" w:name="_Toc15377194"/>
      <w:bookmarkStart w:id="10" w:name="_Toc15377426"/>
      <w:r>
        <w:rPr>
          <w:rFonts w:hint="eastAsia" w:ascii="Times New Roman" w:eastAsia="方正小标宋简体"/>
          <w:kern w:val="2"/>
          <w:sz w:val="44"/>
          <w:szCs w:val="44"/>
        </w:rPr>
        <w:t>2025年度</w:t>
      </w:r>
    </w:p>
    <w:p>
      <w:pPr>
        <w:pStyle w:val="8"/>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rPr>
        <w:t>攀枝花市</w:t>
      </w:r>
      <w:bookmarkEnd w:id="5"/>
      <w:bookmarkStart w:id="11" w:name="_Toc15306268"/>
      <w:r>
        <w:rPr>
          <w:rFonts w:hint="eastAsia" w:ascii="Times New Roman" w:eastAsia="方正小标宋简体"/>
          <w:kern w:val="2"/>
          <w:sz w:val="44"/>
          <w:szCs w:val="44"/>
          <w:lang w:eastAsia="zh-CN"/>
        </w:rPr>
        <w:t>住房和城乡建设局</w:t>
      </w:r>
    </w:p>
    <w:p>
      <w:pPr>
        <w:pStyle w:val="14"/>
        <w:adjustRightInd w:val="0"/>
        <w:snapToGrid w:val="0"/>
        <w:spacing w:line="560" w:lineRule="exact"/>
        <w:jc w:val="center"/>
        <w:rPr>
          <w:rFonts w:eastAsia="仿宋_GB2312" w:cs="仿宋_GB2312"/>
          <w:sz w:val="32"/>
          <w:szCs w:val="32"/>
        </w:rPr>
      </w:pPr>
      <w:r>
        <w:rPr>
          <w:rFonts w:hint="eastAsia" w:ascii="Times New Roman" w:eastAsia="方正小标宋简体"/>
          <w:kern w:val="2"/>
          <w:sz w:val="44"/>
          <w:szCs w:val="44"/>
          <w:lang w:eastAsia="zh-CN"/>
        </w:rPr>
        <w:t>单位</w:t>
      </w:r>
      <w:r>
        <w:rPr>
          <w:rFonts w:hint="eastAsia" w:ascii="Times New Roman" w:eastAsia="方正小标宋简体"/>
          <w:kern w:val="2"/>
          <w:sz w:val="44"/>
          <w:szCs w:val="44"/>
        </w:rPr>
        <w:t>决算</w:t>
      </w:r>
      <w:bookmarkEnd w:id="6"/>
      <w:bookmarkEnd w:id="7"/>
      <w:bookmarkEnd w:id="8"/>
      <w:bookmarkEnd w:id="9"/>
      <w:bookmarkEnd w:id="10"/>
      <w:bookmarkEnd w:id="11"/>
    </w:p>
    <w:p>
      <w:pPr>
        <w:widowControl/>
        <w:jc w:val="center"/>
        <w:rPr>
          <w:rFonts w:eastAsia="黑体"/>
          <w:sz w:val="48"/>
          <w:szCs w:val="48"/>
        </w:rPr>
        <w:sectPr>
          <w:footerReference r:id="rId6" w:type="first"/>
          <w:footerReference r:id="rId5" w:type="default"/>
          <w:pgSz w:w="11906" w:h="16838"/>
          <w:pgMar w:top="1440" w:right="1800" w:bottom="1440" w:left="1800" w:header="851" w:footer="992" w:gutter="0"/>
          <w:pgNumType w:start="1"/>
          <w:cols w:space="425" w:num="1"/>
          <w:titlePg/>
          <w:docGrid w:type="lines" w:linePitch="312" w:charSpace="0"/>
        </w:sectPr>
      </w:pPr>
    </w:p>
    <w:p>
      <w:pPr>
        <w:widowControl/>
        <w:jc w:val="center"/>
        <w:rPr>
          <w:rFonts w:eastAsia="黑体"/>
          <w:sz w:val="48"/>
          <w:szCs w:val="48"/>
        </w:rPr>
      </w:pPr>
      <w:r>
        <w:rPr>
          <w:rFonts w:hint="eastAsia" w:eastAsia="黑体"/>
          <w:sz w:val="48"/>
          <w:szCs w:val="48"/>
        </w:rPr>
        <w:t>目录</w:t>
      </w:r>
    </w:p>
    <w:p>
      <w:pPr>
        <w:widowControl/>
        <w:jc w:val="center"/>
        <w:rPr>
          <w:rFonts w:eastAsia="黑体" w:cstheme="minorBidi"/>
          <w:sz w:val="28"/>
          <w:szCs w:val="28"/>
        </w:rPr>
      </w:pPr>
    </w:p>
    <w:p>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 xml:space="preserve">公开时间：2026年 </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 xml:space="preserve"> 月 </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 xml:space="preserve"> 日</w:t>
      </w:r>
    </w:p>
    <w:p/>
    <w:sdt>
      <w:sdtPr>
        <w:rPr>
          <w:rFonts w:ascii="宋体" w:hAnsi="宋体" w:eastAsia="宋体" w:cs="Times New Roman"/>
          <w:kern w:val="2"/>
          <w:sz w:val="21"/>
          <w:szCs w:val="24"/>
          <w:lang w:val="en-US" w:eastAsia="zh-CN" w:bidi="ar-SA"/>
        </w:rPr>
        <w:id w:val="138286015"/>
        <w:docPartObj>
          <w:docPartGallery w:val="Table of Contents"/>
          <w:docPartUnique/>
        </w:docPartObj>
      </w:sdtPr>
      <w:sdtEndPr>
        <w:rPr>
          <w:rFonts w:ascii="Times New Roman" w:hAnsi="Times New Roman" w:eastAsia="宋体" w:cs="Times New Roman"/>
          <w:kern w:val="2"/>
          <w:sz w:val="20"/>
          <w:szCs w:val="20"/>
          <w:lang w:val="en-US" w:eastAsia="zh-CN" w:bidi="ar-SA"/>
        </w:rPr>
      </w:sdtEndPr>
      <w:sdtContent>
        <w:p>
          <w:pPr>
            <w:spacing w:before="0" w:beforeLines="0" w:after="0" w:afterLines="0" w:line="240" w:lineRule="auto"/>
            <w:ind w:left="0" w:leftChars="0" w:right="0" w:rightChars="0" w:firstLine="0" w:firstLineChars="0"/>
            <w:jc w:val="center"/>
          </w:pPr>
          <w:bookmarkStart w:id="12" w:name="_Toc1497614818_WPSOffice_Type2"/>
        </w:p>
        <w:p>
          <w:pPr>
            <w:pStyle w:val="3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sz w:val="32"/>
              <w:szCs w:val="32"/>
            </w:rPr>
            <w:instrText xml:space="preserve"> HYPERLINK \l _Toc334425759_WPSOffice_Level1 </w:instrText>
          </w:r>
          <w:r>
            <w:rPr>
              <w:rFonts w:hint="eastAsia" w:ascii="仿宋_GB2312" w:hAnsi="仿宋_GB2312" w:eastAsia="仿宋_GB2312" w:cs="仿宋_GB2312"/>
              <w:b/>
              <w:bCs/>
              <w:sz w:val="32"/>
              <w:szCs w:val="32"/>
            </w:rPr>
            <w:fldChar w:fldCharType="separate"/>
          </w:r>
          <w:sdt>
            <w:sdtPr>
              <w:rPr>
                <w:rFonts w:hint="eastAsia" w:ascii="仿宋_GB2312" w:hAnsi="仿宋_GB2312" w:eastAsia="仿宋_GB2312" w:cs="仿宋_GB2312"/>
                <w:b/>
                <w:bCs/>
                <w:kern w:val="2"/>
                <w:sz w:val="32"/>
                <w:szCs w:val="32"/>
                <w:lang w:val="en-US" w:eastAsia="zh-CN" w:bidi="ar-SA"/>
              </w:rPr>
              <w:id w:val="138286015"/>
              <w:placeholder>
                <w:docPart w:val="{13aaea09-bcd4-4eaa-8718-a21b16030c41}"/>
              </w:placeholder>
            </w:sdtPr>
            <w:sdtEndPr>
              <w:rPr>
                <w:rFonts w:hint="eastAsia" w:ascii="仿宋_GB2312" w:hAnsi="仿宋_GB2312" w:eastAsia="仿宋_GB2312" w:cs="仿宋_GB2312"/>
                <w:b/>
                <w:bCs/>
                <w:kern w:val="2"/>
                <w:sz w:val="32"/>
                <w:szCs w:val="32"/>
                <w:lang w:val="en-US" w:eastAsia="zh-CN" w:bidi="ar-SA"/>
              </w:rPr>
            </w:sdtEndPr>
            <w:sdtContent>
              <w:r>
                <w:rPr>
                  <w:rFonts w:hint="eastAsia" w:ascii="仿宋_GB2312" w:hAnsi="仿宋_GB2312" w:eastAsia="仿宋_GB2312" w:cs="仿宋_GB2312"/>
                  <w:b/>
                  <w:bCs/>
                  <w:sz w:val="32"/>
                  <w:szCs w:val="32"/>
                </w:rPr>
                <w:t>第一部分  单位概况</w:t>
              </w:r>
            </w:sdtContent>
          </w:sdt>
          <w:r>
            <w:rPr>
              <w:rFonts w:hint="eastAsia" w:ascii="仿宋_GB2312" w:hAnsi="仿宋_GB2312" w:eastAsia="仿宋_GB2312" w:cs="仿宋_GB2312"/>
              <w:b/>
              <w:bCs/>
              <w:sz w:val="32"/>
              <w:szCs w:val="32"/>
            </w:rPr>
            <w:tab/>
          </w:r>
          <w:bookmarkStart w:id="13" w:name="_Toc334425759_WPSOffice_Level1Page"/>
          <w:r>
            <w:rPr>
              <w:rFonts w:hint="eastAsia" w:ascii="仿宋_GB2312" w:hAnsi="仿宋_GB2312" w:eastAsia="仿宋_GB2312" w:cs="仿宋_GB2312"/>
              <w:b/>
              <w:bCs/>
              <w:sz w:val="32"/>
              <w:szCs w:val="32"/>
            </w:rPr>
            <w:t>3</w:t>
          </w:r>
          <w:bookmarkEnd w:id="13"/>
          <w:r>
            <w:rPr>
              <w:rFonts w:hint="eastAsia" w:ascii="仿宋_GB2312" w:hAnsi="仿宋_GB2312" w:eastAsia="仿宋_GB2312" w:cs="仿宋_GB2312"/>
              <w:b/>
              <w:bCs/>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_Toc1497614818_WPSOffice_Level2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40d3816d-6fde-45a1-bc7e-944b733e5871}"/>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一、 单位职责</w:t>
              </w:r>
            </w:sdtContent>
          </w:sdt>
          <w:r>
            <w:rPr>
              <w:rFonts w:hint="eastAsia" w:ascii="仿宋_GB2312" w:hAnsi="仿宋_GB2312" w:eastAsia="仿宋_GB2312" w:cs="仿宋_GB2312"/>
              <w:sz w:val="32"/>
              <w:szCs w:val="32"/>
            </w:rPr>
            <w:tab/>
          </w:r>
          <w:bookmarkStart w:id="14" w:name="_Toc1497614818_WPSOffice_Level2Page"/>
          <w:r>
            <w:rPr>
              <w:rFonts w:hint="eastAsia" w:ascii="仿宋_GB2312" w:hAnsi="仿宋_GB2312" w:eastAsia="仿宋_GB2312" w:cs="仿宋_GB2312"/>
              <w:sz w:val="32"/>
              <w:szCs w:val="32"/>
            </w:rPr>
            <w:t>3</w:t>
          </w:r>
          <w:bookmarkEnd w:id="14"/>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_Toc186312871_WPSOffice_Level2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ce6739b5-8d54-4f1d-a7be-8164e5d54484}"/>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二、机构设置</w:t>
              </w:r>
            </w:sdtContent>
          </w:sdt>
          <w:r>
            <w:rPr>
              <w:rFonts w:hint="eastAsia" w:ascii="仿宋_GB2312" w:hAnsi="仿宋_GB2312" w:eastAsia="仿宋_GB2312" w:cs="仿宋_GB2312"/>
              <w:sz w:val="32"/>
              <w:szCs w:val="32"/>
            </w:rPr>
            <w:tab/>
          </w:r>
          <w:bookmarkStart w:id="15" w:name="_Toc186312871_WPSOffice_Level2Page"/>
          <w:r>
            <w:rPr>
              <w:rFonts w:hint="eastAsia" w:ascii="仿宋_GB2312" w:hAnsi="仿宋_GB2312" w:eastAsia="仿宋_GB2312" w:cs="仿宋_GB2312"/>
              <w:sz w:val="32"/>
              <w:szCs w:val="32"/>
            </w:rPr>
            <w:t>4</w:t>
          </w:r>
          <w:bookmarkEnd w:id="15"/>
          <w:r>
            <w:rPr>
              <w:rFonts w:hint="eastAsia" w:ascii="仿宋_GB2312" w:hAnsi="仿宋_GB2312" w:eastAsia="仿宋_GB2312" w:cs="仿宋_GB2312"/>
              <w:sz w:val="32"/>
              <w:szCs w:val="32"/>
            </w:rPr>
            <w:fldChar w:fldCharType="end"/>
          </w:r>
        </w:p>
        <w:p>
          <w:pPr>
            <w:pStyle w:val="3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sz w:val="32"/>
              <w:szCs w:val="32"/>
            </w:rPr>
            <w:instrText xml:space="preserve"> HYPERLINK \l _Toc1497614818_WPSOffice_Level1 </w:instrText>
          </w:r>
          <w:r>
            <w:rPr>
              <w:rFonts w:hint="eastAsia" w:ascii="仿宋_GB2312" w:hAnsi="仿宋_GB2312" w:eastAsia="仿宋_GB2312" w:cs="仿宋_GB2312"/>
              <w:b/>
              <w:bCs/>
              <w:sz w:val="32"/>
              <w:szCs w:val="32"/>
            </w:rPr>
            <w:fldChar w:fldCharType="separate"/>
          </w:r>
          <w:sdt>
            <w:sdtPr>
              <w:rPr>
                <w:rFonts w:hint="eastAsia" w:ascii="仿宋_GB2312" w:hAnsi="仿宋_GB2312" w:eastAsia="仿宋_GB2312" w:cs="仿宋_GB2312"/>
                <w:b/>
                <w:bCs/>
                <w:kern w:val="2"/>
                <w:sz w:val="32"/>
                <w:szCs w:val="32"/>
                <w:lang w:val="en-US" w:eastAsia="zh-CN" w:bidi="ar-SA"/>
              </w:rPr>
              <w:id w:val="138286015"/>
              <w:placeholder>
                <w:docPart w:val="{0bee29c9-afdd-4824-a35f-209fe40c5352}"/>
              </w:placeholder>
            </w:sdtPr>
            <w:sdtEndPr>
              <w:rPr>
                <w:rFonts w:hint="eastAsia" w:ascii="仿宋_GB2312" w:hAnsi="仿宋_GB2312" w:eastAsia="仿宋_GB2312" w:cs="仿宋_GB2312"/>
                <w:b/>
                <w:bCs/>
                <w:kern w:val="2"/>
                <w:sz w:val="32"/>
                <w:szCs w:val="32"/>
                <w:lang w:val="en-US" w:eastAsia="zh-CN" w:bidi="ar-SA"/>
              </w:rPr>
            </w:sdtEndPr>
            <w:sdtContent>
              <w:r>
                <w:rPr>
                  <w:rFonts w:hint="eastAsia" w:ascii="仿宋_GB2312" w:hAnsi="仿宋_GB2312" w:eastAsia="仿宋_GB2312" w:cs="仿宋_GB2312"/>
                  <w:b/>
                  <w:bCs/>
                  <w:sz w:val="32"/>
                  <w:szCs w:val="32"/>
                </w:rPr>
                <w:t>第二部分  2025年度单位决算情况说明</w:t>
              </w:r>
            </w:sdtContent>
          </w:sdt>
          <w:r>
            <w:rPr>
              <w:rFonts w:hint="eastAsia" w:ascii="仿宋_GB2312" w:hAnsi="仿宋_GB2312" w:eastAsia="仿宋_GB2312" w:cs="仿宋_GB2312"/>
              <w:b/>
              <w:bCs/>
              <w:sz w:val="32"/>
              <w:szCs w:val="32"/>
            </w:rPr>
            <w:tab/>
          </w:r>
          <w:bookmarkStart w:id="16" w:name="_Toc1497614818_WPSOffice_Level1Page"/>
          <w:r>
            <w:rPr>
              <w:rFonts w:hint="eastAsia" w:ascii="仿宋_GB2312" w:hAnsi="仿宋_GB2312" w:eastAsia="仿宋_GB2312" w:cs="仿宋_GB2312"/>
              <w:b/>
              <w:bCs/>
              <w:sz w:val="32"/>
              <w:szCs w:val="32"/>
            </w:rPr>
            <w:t>4</w:t>
          </w:r>
          <w:bookmarkEnd w:id="16"/>
          <w:r>
            <w:rPr>
              <w:rFonts w:hint="eastAsia" w:ascii="仿宋_GB2312" w:hAnsi="仿宋_GB2312" w:eastAsia="仿宋_GB2312" w:cs="仿宋_GB2312"/>
              <w:b/>
              <w:bCs/>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_Toc1588492951_WPSOffice_Level2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ba5d44bf-956c-4279-bdea-857457d2d814}"/>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一、收入支出决算总体情况说明</w:t>
              </w:r>
            </w:sdtContent>
          </w:sdt>
          <w:r>
            <w:rPr>
              <w:rFonts w:hint="eastAsia" w:ascii="仿宋_GB2312" w:hAnsi="仿宋_GB2312" w:eastAsia="仿宋_GB2312" w:cs="仿宋_GB2312"/>
              <w:sz w:val="32"/>
              <w:szCs w:val="32"/>
            </w:rPr>
            <w:tab/>
          </w:r>
          <w:bookmarkStart w:id="17" w:name="_Toc1588492951_WPSOffice_Level2Page"/>
          <w:r>
            <w:rPr>
              <w:rFonts w:hint="eastAsia" w:ascii="仿宋_GB2312" w:hAnsi="仿宋_GB2312" w:eastAsia="仿宋_GB2312" w:cs="仿宋_GB2312"/>
              <w:sz w:val="32"/>
              <w:szCs w:val="32"/>
            </w:rPr>
            <w:t>4</w:t>
          </w:r>
          <w:bookmarkEnd w:id="17"/>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_Toc1635212064_WPSOffice_Level2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5c74f5d5-3d6d-4949-9625-5848ae1d2903}"/>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二、收入决算情况说明</w:t>
              </w:r>
            </w:sdtContent>
          </w:sdt>
          <w:r>
            <w:rPr>
              <w:rFonts w:hint="eastAsia" w:ascii="仿宋_GB2312" w:hAnsi="仿宋_GB2312" w:eastAsia="仿宋_GB2312" w:cs="仿宋_GB2312"/>
              <w:sz w:val="32"/>
              <w:szCs w:val="32"/>
            </w:rPr>
            <w:tab/>
          </w:r>
          <w:bookmarkStart w:id="18" w:name="_Toc1635212064_WPSOffice_Level2Page"/>
          <w:r>
            <w:rPr>
              <w:rFonts w:hint="eastAsia" w:ascii="仿宋_GB2312" w:hAnsi="仿宋_GB2312" w:eastAsia="仿宋_GB2312" w:cs="仿宋_GB2312"/>
              <w:sz w:val="32"/>
              <w:szCs w:val="32"/>
            </w:rPr>
            <w:t>5</w:t>
          </w:r>
          <w:bookmarkEnd w:id="18"/>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_Toc1176536921_WPSOffice_Level2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285b3b36-89d2-434e-825c-cacaf39b9f2e}"/>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三、支出决算情况说明</w:t>
              </w:r>
            </w:sdtContent>
          </w:sdt>
          <w:r>
            <w:rPr>
              <w:rFonts w:hint="eastAsia" w:ascii="仿宋_GB2312" w:hAnsi="仿宋_GB2312" w:eastAsia="仿宋_GB2312" w:cs="仿宋_GB2312"/>
              <w:sz w:val="32"/>
              <w:szCs w:val="32"/>
            </w:rPr>
            <w:tab/>
          </w:r>
          <w:bookmarkStart w:id="19" w:name="_Toc1176536921_WPSOffice_Level2Page"/>
          <w:r>
            <w:rPr>
              <w:rFonts w:hint="eastAsia" w:ascii="仿宋_GB2312" w:hAnsi="仿宋_GB2312" w:eastAsia="仿宋_GB2312" w:cs="仿宋_GB2312"/>
              <w:sz w:val="32"/>
              <w:szCs w:val="32"/>
            </w:rPr>
            <w:t>6</w:t>
          </w:r>
          <w:bookmarkEnd w:id="19"/>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_Toc657013146_WPSOffice_Level2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964a0189-fb94-4eaa-9ce8-701a2ef5fdda}"/>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四、财政拨款收入支出决算总体情况说明</w:t>
              </w:r>
            </w:sdtContent>
          </w:sdt>
          <w:r>
            <w:rPr>
              <w:rFonts w:hint="eastAsia" w:ascii="仿宋_GB2312" w:hAnsi="仿宋_GB2312" w:eastAsia="仿宋_GB2312" w:cs="仿宋_GB2312"/>
              <w:sz w:val="32"/>
              <w:szCs w:val="32"/>
            </w:rPr>
            <w:tab/>
          </w:r>
          <w:bookmarkStart w:id="20" w:name="_Toc657013146_WPSOffice_Level2Page"/>
          <w:r>
            <w:rPr>
              <w:rFonts w:hint="eastAsia" w:ascii="仿宋_GB2312" w:hAnsi="仿宋_GB2312" w:eastAsia="仿宋_GB2312" w:cs="仿宋_GB2312"/>
              <w:sz w:val="32"/>
              <w:szCs w:val="32"/>
            </w:rPr>
            <w:t>6</w:t>
          </w:r>
          <w:bookmarkEnd w:id="20"/>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_Toc793126707_WPSOffice_Level2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9077d76c-2d2e-47be-a1f8-d0931ee806dc}"/>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五、一般公共预算财政拨款支出决算情况说明</w:t>
              </w:r>
            </w:sdtContent>
          </w:sdt>
          <w:r>
            <w:rPr>
              <w:rFonts w:hint="eastAsia" w:ascii="仿宋_GB2312" w:hAnsi="仿宋_GB2312" w:eastAsia="仿宋_GB2312" w:cs="仿宋_GB2312"/>
              <w:sz w:val="32"/>
              <w:szCs w:val="32"/>
            </w:rPr>
            <w:tab/>
          </w:r>
          <w:bookmarkStart w:id="21" w:name="_Toc793126707_WPSOffice_Level2Page"/>
          <w:r>
            <w:rPr>
              <w:rFonts w:hint="eastAsia" w:ascii="仿宋_GB2312" w:hAnsi="仿宋_GB2312" w:eastAsia="仿宋_GB2312" w:cs="仿宋_GB2312"/>
              <w:sz w:val="32"/>
              <w:szCs w:val="32"/>
            </w:rPr>
            <w:t>7</w:t>
          </w:r>
          <w:bookmarkEnd w:id="21"/>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_Toc234733077_WPSOffice_Level2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4ef5fbf3-ed9c-4d02-9840-efe05c58226e}"/>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六、一般公共预算财政拨款基本支出决算情况说明</w:t>
              </w:r>
            </w:sdtContent>
          </w:sdt>
          <w:r>
            <w:rPr>
              <w:rFonts w:hint="eastAsia" w:ascii="仿宋_GB2312" w:hAnsi="仿宋_GB2312" w:eastAsia="仿宋_GB2312" w:cs="仿宋_GB2312"/>
              <w:sz w:val="32"/>
              <w:szCs w:val="32"/>
            </w:rPr>
            <w:tab/>
          </w:r>
          <w:bookmarkStart w:id="22" w:name="_Toc234733077_WPSOffice_Level2Page"/>
          <w:r>
            <w:rPr>
              <w:rFonts w:hint="eastAsia" w:ascii="仿宋_GB2312" w:hAnsi="仿宋_GB2312" w:eastAsia="仿宋_GB2312" w:cs="仿宋_GB2312"/>
              <w:sz w:val="32"/>
              <w:szCs w:val="32"/>
            </w:rPr>
            <w:t>11</w:t>
          </w:r>
          <w:bookmarkEnd w:id="22"/>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_Toc694942514_WPSOffice_Level2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49faffbf-7fe6-49bf-a846-721bce06bf77}"/>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七、财政拨款“三公”经费支出决算情况说明</w:t>
              </w:r>
            </w:sdtContent>
          </w:sdt>
          <w:r>
            <w:rPr>
              <w:rFonts w:hint="eastAsia" w:ascii="仿宋_GB2312" w:hAnsi="仿宋_GB2312" w:eastAsia="仿宋_GB2312" w:cs="仿宋_GB2312"/>
              <w:sz w:val="32"/>
              <w:szCs w:val="32"/>
            </w:rPr>
            <w:tab/>
          </w:r>
          <w:bookmarkStart w:id="23" w:name="_Toc694942514_WPSOffice_Level2Page"/>
          <w:r>
            <w:rPr>
              <w:rFonts w:hint="eastAsia" w:ascii="仿宋_GB2312" w:hAnsi="仿宋_GB2312" w:eastAsia="仿宋_GB2312" w:cs="仿宋_GB2312"/>
              <w:sz w:val="32"/>
              <w:szCs w:val="32"/>
            </w:rPr>
            <w:t>11</w:t>
          </w:r>
          <w:bookmarkEnd w:id="23"/>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_Toc1824120915_WPSOffice_Level2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5e2115fc-d451-4543-b8e7-cb8a93ed32b4}"/>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八、政府性基金预算支出决算情况说明</w:t>
              </w:r>
            </w:sdtContent>
          </w:sdt>
          <w:r>
            <w:rPr>
              <w:rFonts w:hint="eastAsia" w:ascii="仿宋_GB2312" w:hAnsi="仿宋_GB2312" w:eastAsia="仿宋_GB2312" w:cs="仿宋_GB2312"/>
              <w:sz w:val="32"/>
              <w:szCs w:val="32"/>
            </w:rPr>
            <w:tab/>
          </w:r>
          <w:bookmarkStart w:id="24" w:name="_Toc1824120915_WPSOffice_Level2Page"/>
          <w:r>
            <w:rPr>
              <w:rFonts w:hint="eastAsia" w:ascii="仿宋_GB2312" w:hAnsi="仿宋_GB2312" w:eastAsia="仿宋_GB2312" w:cs="仿宋_GB2312"/>
              <w:sz w:val="32"/>
              <w:szCs w:val="32"/>
            </w:rPr>
            <w:t>14</w:t>
          </w:r>
          <w:bookmarkEnd w:id="24"/>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_Toc383038067_WPSOffice_Level2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276f4c0b-aa12-42ae-b8d5-36eba0045f16}"/>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九、国有资本经营预算支出决算情况说明</w:t>
              </w:r>
            </w:sdtContent>
          </w:sdt>
          <w:r>
            <w:rPr>
              <w:rFonts w:hint="eastAsia" w:ascii="仿宋_GB2312" w:hAnsi="仿宋_GB2312" w:eastAsia="仿宋_GB2312" w:cs="仿宋_GB2312"/>
              <w:sz w:val="32"/>
              <w:szCs w:val="32"/>
            </w:rPr>
            <w:tab/>
          </w:r>
          <w:bookmarkStart w:id="25" w:name="_Toc383038067_WPSOffice_Level2Page"/>
          <w:r>
            <w:rPr>
              <w:rFonts w:hint="eastAsia" w:ascii="仿宋_GB2312" w:hAnsi="仿宋_GB2312" w:eastAsia="仿宋_GB2312" w:cs="仿宋_GB2312"/>
              <w:sz w:val="32"/>
              <w:szCs w:val="32"/>
            </w:rPr>
            <w:t>15</w:t>
          </w:r>
          <w:bookmarkEnd w:id="25"/>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_Toc1142768806_WPSOffice_Level2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6c2b3b3b-ac9c-4429-81d8-9ea9d19c754d}"/>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十、其他重要事项的情况说明</w:t>
              </w:r>
            </w:sdtContent>
          </w:sdt>
          <w:r>
            <w:rPr>
              <w:rFonts w:hint="eastAsia" w:ascii="仿宋_GB2312" w:hAnsi="仿宋_GB2312" w:eastAsia="仿宋_GB2312" w:cs="仿宋_GB2312"/>
              <w:sz w:val="32"/>
              <w:szCs w:val="32"/>
            </w:rPr>
            <w:tab/>
          </w:r>
          <w:bookmarkStart w:id="26" w:name="_Toc1142768806_WPSOffice_Level2Page"/>
          <w:r>
            <w:rPr>
              <w:rFonts w:hint="eastAsia" w:ascii="仿宋_GB2312" w:hAnsi="仿宋_GB2312" w:eastAsia="仿宋_GB2312" w:cs="仿宋_GB2312"/>
              <w:sz w:val="32"/>
              <w:szCs w:val="32"/>
            </w:rPr>
            <w:t>15</w:t>
          </w:r>
          <w:bookmarkEnd w:id="26"/>
          <w:r>
            <w:rPr>
              <w:rFonts w:hint="eastAsia" w:ascii="仿宋_GB2312" w:hAnsi="仿宋_GB2312" w:eastAsia="仿宋_GB2312" w:cs="仿宋_GB2312"/>
              <w:sz w:val="32"/>
              <w:szCs w:val="32"/>
            </w:rPr>
            <w:fldChar w:fldCharType="end"/>
          </w:r>
        </w:p>
        <w:p>
          <w:pPr>
            <w:pStyle w:val="3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sz w:val="32"/>
              <w:szCs w:val="32"/>
            </w:rPr>
            <w:instrText xml:space="preserve"> HYPERLINK \l _Toc186312871_WPSOffice_Level1 </w:instrText>
          </w:r>
          <w:r>
            <w:rPr>
              <w:rFonts w:hint="eastAsia" w:ascii="仿宋_GB2312" w:hAnsi="仿宋_GB2312" w:eastAsia="仿宋_GB2312" w:cs="仿宋_GB2312"/>
              <w:b/>
              <w:bCs/>
              <w:sz w:val="32"/>
              <w:szCs w:val="32"/>
            </w:rPr>
            <w:fldChar w:fldCharType="separate"/>
          </w:r>
          <w:sdt>
            <w:sdtPr>
              <w:rPr>
                <w:rFonts w:hint="eastAsia" w:ascii="仿宋_GB2312" w:hAnsi="仿宋_GB2312" w:eastAsia="仿宋_GB2312" w:cs="仿宋_GB2312"/>
                <w:b/>
                <w:bCs/>
                <w:kern w:val="2"/>
                <w:sz w:val="32"/>
                <w:szCs w:val="32"/>
                <w:lang w:val="en-US" w:eastAsia="zh-CN" w:bidi="ar-SA"/>
              </w:rPr>
              <w:id w:val="138286015"/>
              <w:placeholder>
                <w:docPart w:val="{96856a36-ce61-45c5-96a8-7997271c813c}"/>
              </w:placeholder>
            </w:sdtPr>
            <w:sdtEndPr>
              <w:rPr>
                <w:rFonts w:hint="eastAsia" w:ascii="仿宋_GB2312" w:hAnsi="仿宋_GB2312" w:eastAsia="仿宋_GB2312" w:cs="仿宋_GB2312"/>
                <w:b/>
                <w:bCs/>
                <w:kern w:val="2"/>
                <w:sz w:val="32"/>
                <w:szCs w:val="32"/>
                <w:lang w:val="en-US" w:eastAsia="zh-CN" w:bidi="ar-SA"/>
              </w:rPr>
            </w:sdtEndPr>
            <w:sdtContent>
              <w:r>
                <w:rPr>
                  <w:rFonts w:hint="eastAsia" w:ascii="仿宋_GB2312" w:hAnsi="仿宋_GB2312" w:eastAsia="仿宋_GB2312" w:cs="仿宋_GB2312"/>
                  <w:b/>
                  <w:bCs/>
                  <w:sz w:val="32"/>
                  <w:szCs w:val="32"/>
                </w:rPr>
                <w:t>第三部分  名词解释</w:t>
              </w:r>
            </w:sdtContent>
          </w:sdt>
          <w:r>
            <w:rPr>
              <w:rFonts w:hint="eastAsia" w:ascii="仿宋_GB2312" w:hAnsi="仿宋_GB2312" w:eastAsia="仿宋_GB2312" w:cs="仿宋_GB2312"/>
              <w:b/>
              <w:bCs/>
              <w:sz w:val="32"/>
              <w:szCs w:val="32"/>
            </w:rPr>
            <w:tab/>
          </w:r>
          <w:bookmarkStart w:id="27" w:name="_Toc186312871_WPSOffice_Level1Page"/>
          <w:r>
            <w:rPr>
              <w:rFonts w:hint="eastAsia" w:ascii="仿宋_GB2312" w:hAnsi="仿宋_GB2312" w:eastAsia="仿宋_GB2312" w:cs="仿宋_GB2312"/>
              <w:b/>
              <w:bCs/>
              <w:sz w:val="32"/>
              <w:szCs w:val="32"/>
            </w:rPr>
            <w:t>17</w:t>
          </w:r>
          <w:bookmarkEnd w:id="27"/>
          <w:r>
            <w:rPr>
              <w:rFonts w:hint="eastAsia" w:ascii="仿宋_GB2312" w:hAnsi="仿宋_GB2312" w:eastAsia="仿宋_GB2312" w:cs="仿宋_GB2312"/>
              <w:b/>
              <w:bCs/>
              <w:sz w:val="32"/>
              <w:szCs w:val="32"/>
            </w:rPr>
            <w:fldChar w:fldCharType="end"/>
          </w:r>
        </w:p>
        <w:p>
          <w:pPr>
            <w:pStyle w:val="3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sz w:val="32"/>
              <w:szCs w:val="32"/>
            </w:rPr>
            <w:instrText xml:space="preserve"> HYPERLINK \l _Toc1588492951_WPSOffice_Level1 </w:instrText>
          </w:r>
          <w:r>
            <w:rPr>
              <w:rFonts w:hint="eastAsia" w:ascii="仿宋_GB2312" w:hAnsi="仿宋_GB2312" w:eastAsia="仿宋_GB2312" w:cs="仿宋_GB2312"/>
              <w:b/>
              <w:bCs/>
              <w:sz w:val="32"/>
              <w:szCs w:val="32"/>
            </w:rPr>
            <w:fldChar w:fldCharType="separate"/>
          </w:r>
          <w:sdt>
            <w:sdtPr>
              <w:rPr>
                <w:rFonts w:hint="eastAsia" w:ascii="仿宋_GB2312" w:hAnsi="仿宋_GB2312" w:eastAsia="仿宋_GB2312" w:cs="仿宋_GB2312"/>
                <w:b/>
                <w:bCs/>
                <w:kern w:val="2"/>
                <w:sz w:val="32"/>
                <w:szCs w:val="32"/>
                <w:lang w:val="en-US" w:eastAsia="zh-CN" w:bidi="ar-SA"/>
              </w:rPr>
              <w:id w:val="138286015"/>
              <w:placeholder>
                <w:docPart w:val="{766f1879-e341-47ec-aef3-7e6d3670cfec}"/>
              </w:placeholder>
            </w:sdtPr>
            <w:sdtEndPr>
              <w:rPr>
                <w:rFonts w:hint="eastAsia" w:ascii="仿宋_GB2312" w:hAnsi="仿宋_GB2312" w:eastAsia="仿宋_GB2312" w:cs="仿宋_GB2312"/>
                <w:b/>
                <w:bCs/>
                <w:kern w:val="2"/>
                <w:sz w:val="32"/>
                <w:szCs w:val="32"/>
                <w:lang w:val="en-US" w:eastAsia="zh-CN" w:bidi="ar-SA"/>
              </w:rPr>
            </w:sdtEndPr>
            <w:sdtContent>
              <w:r>
                <w:rPr>
                  <w:rFonts w:hint="eastAsia" w:ascii="仿宋_GB2312" w:hAnsi="仿宋_GB2312" w:eastAsia="仿宋_GB2312" w:cs="仿宋_GB2312"/>
                  <w:b/>
                  <w:bCs/>
                  <w:sz w:val="32"/>
                  <w:szCs w:val="32"/>
                </w:rPr>
                <w:t>第四部分  附件</w:t>
              </w:r>
            </w:sdtContent>
          </w:sdt>
          <w:r>
            <w:rPr>
              <w:rFonts w:hint="eastAsia" w:ascii="仿宋_GB2312" w:hAnsi="仿宋_GB2312" w:eastAsia="仿宋_GB2312" w:cs="仿宋_GB2312"/>
              <w:b/>
              <w:bCs/>
              <w:sz w:val="32"/>
              <w:szCs w:val="32"/>
            </w:rPr>
            <w:tab/>
          </w:r>
          <w:bookmarkStart w:id="28" w:name="_Toc1588492951_WPSOffice_Level1Page"/>
          <w:r>
            <w:rPr>
              <w:rFonts w:hint="eastAsia" w:ascii="仿宋_GB2312" w:hAnsi="仿宋_GB2312" w:eastAsia="仿宋_GB2312" w:cs="仿宋_GB2312"/>
              <w:b/>
              <w:bCs/>
              <w:sz w:val="32"/>
              <w:szCs w:val="32"/>
            </w:rPr>
            <w:t>21</w:t>
          </w:r>
          <w:bookmarkEnd w:id="28"/>
          <w:r>
            <w:rPr>
              <w:rFonts w:hint="eastAsia" w:ascii="仿宋_GB2312" w:hAnsi="仿宋_GB2312" w:eastAsia="仿宋_GB2312" w:cs="仿宋_GB2312"/>
              <w:b/>
              <w:bCs/>
              <w:sz w:val="32"/>
              <w:szCs w:val="32"/>
            </w:rPr>
            <w:fldChar w:fldCharType="end"/>
          </w:r>
        </w:p>
        <w:p>
          <w:pPr>
            <w:pStyle w:val="37"/>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fldChar w:fldCharType="begin"/>
          </w:r>
          <w:r>
            <w:rPr>
              <w:rFonts w:hint="eastAsia" w:ascii="仿宋_GB2312" w:hAnsi="仿宋_GB2312" w:eastAsia="仿宋_GB2312" w:cs="仿宋_GB2312"/>
              <w:sz w:val="32"/>
              <w:szCs w:val="32"/>
            </w:rPr>
            <w:instrText xml:space="preserve"> HYPERLINK \l _Toc1635212064_WPSOffice_Level1 </w:instrText>
          </w:r>
          <w:r>
            <w:rPr>
              <w:rFonts w:hint="eastAsia" w:ascii="仿宋_GB2312" w:hAnsi="仿宋_GB2312" w:eastAsia="仿宋_GB2312" w:cs="仿宋_GB2312"/>
              <w:b/>
              <w:bCs/>
              <w:sz w:val="32"/>
              <w:szCs w:val="32"/>
            </w:rPr>
            <w:fldChar w:fldCharType="separate"/>
          </w:r>
          <w:sdt>
            <w:sdtPr>
              <w:rPr>
                <w:rFonts w:hint="eastAsia" w:ascii="仿宋_GB2312" w:hAnsi="仿宋_GB2312" w:eastAsia="仿宋_GB2312" w:cs="仿宋_GB2312"/>
                <w:b/>
                <w:bCs/>
                <w:kern w:val="2"/>
                <w:sz w:val="32"/>
                <w:szCs w:val="32"/>
                <w:lang w:val="en-US" w:eastAsia="zh-CN" w:bidi="ar-SA"/>
              </w:rPr>
              <w:id w:val="138286015"/>
              <w:placeholder>
                <w:docPart w:val="{a71e2ce5-6c39-4c96-857b-c829cd7a1ecc}"/>
              </w:placeholder>
            </w:sdtPr>
            <w:sdtEndPr>
              <w:rPr>
                <w:rFonts w:hint="eastAsia" w:ascii="仿宋_GB2312" w:hAnsi="仿宋_GB2312" w:eastAsia="仿宋_GB2312" w:cs="仿宋_GB2312"/>
                <w:b/>
                <w:bCs/>
                <w:kern w:val="2"/>
                <w:sz w:val="32"/>
                <w:szCs w:val="32"/>
                <w:lang w:val="en-US" w:eastAsia="zh-CN" w:bidi="ar-SA"/>
              </w:rPr>
            </w:sdtEndPr>
            <w:sdtContent>
              <w:r>
                <w:rPr>
                  <w:rFonts w:hint="eastAsia" w:ascii="仿宋_GB2312" w:hAnsi="仿宋_GB2312" w:eastAsia="仿宋_GB2312" w:cs="仿宋_GB2312"/>
                  <w:b/>
                  <w:bCs/>
                  <w:sz w:val="32"/>
                  <w:szCs w:val="32"/>
                </w:rPr>
                <w:t>第五部分 附表</w:t>
              </w:r>
            </w:sdtContent>
          </w:sdt>
          <w:r>
            <w:rPr>
              <w:rFonts w:hint="eastAsia" w:ascii="仿宋_GB2312" w:hAnsi="仿宋_GB2312" w:eastAsia="仿宋_GB2312" w:cs="仿宋_GB2312"/>
              <w:b/>
              <w:bCs/>
              <w:sz w:val="32"/>
              <w:szCs w:val="32"/>
            </w:rPr>
            <w:tab/>
          </w:r>
          <w:bookmarkStart w:id="29" w:name="_Toc1635212064_WPSOffice_Level1Page"/>
          <w:r>
            <w:rPr>
              <w:rFonts w:hint="eastAsia" w:ascii="仿宋_GB2312" w:hAnsi="仿宋_GB2312" w:eastAsia="仿宋_GB2312" w:cs="仿宋_GB2312"/>
              <w:b/>
              <w:bCs/>
              <w:sz w:val="32"/>
              <w:szCs w:val="32"/>
            </w:rPr>
            <w:t>22</w:t>
          </w:r>
          <w:bookmarkEnd w:id="29"/>
          <w:r>
            <w:rPr>
              <w:rFonts w:hint="eastAsia" w:ascii="仿宋_GB2312" w:hAnsi="仿宋_GB2312" w:eastAsia="仿宋_GB2312" w:cs="仿宋_GB2312"/>
              <w:b/>
              <w:bCs/>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_Toc276735243_WPSOffice_Level2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10eac57b-2e41-4dc9-927c-c9bc14b4cfa3}"/>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一、收入支出决算总表</w:t>
              </w:r>
            </w:sdtContent>
          </w:sdt>
          <w:r>
            <w:rPr>
              <w:rFonts w:hint="eastAsia" w:ascii="仿宋_GB2312" w:hAnsi="仿宋_GB2312" w:eastAsia="仿宋_GB2312" w:cs="仿宋_GB2312"/>
              <w:sz w:val="32"/>
              <w:szCs w:val="32"/>
            </w:rPr>
            <w:tab/>
          </w:r>
          <w:bookmarkStart w:id="30" w:name="_Toc276735243_WPSOffice_Level2Page"/>
          <w:r>
            <w:rPr>
              <w:rFonts w:hint="eastAsia" w:ascii="仿宋_GB2312" w:hAnsi="仿宋_GB2312" w:eastAsia="仿宋_GB2312" w:cs="仿宋_GB2312"/>
              <w:sz w:val="32"/>
              <w:szCs w:val="32"/>
            </w:rPr>
            <w:t>22</w:t>
          </w:r>
          <w:bookmarkEnd w:id="30"/>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_Toc1909480436_WPSOffice_Level2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d1a89e36-978f-4261-9a88-d9ed51e6daa1}"/>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二、收入决算表</w:t>
              </w:r>
            </w:sdtContent>
          </w:sdt>
          <w:r>
            <w:rPr>
              <w:rFonts w:hint="eastAsia" w:ascii="仿宋_GB2312" w:hAnsi="仿宋_GB2312" w:eastAsia="仿宋_GB2312" w:cs="仿宋_GB2312"/>
              <w:sz w:val="32"/>
              <w:szCs w:val="32"/>
            </w:rPr>
            <w:tab/>
          </w:r>
          <w:bookmarkStart w:id="31" w:name="_Toc1909480436_WPSOffice_Level2Page"/>
          <w:r>
            <w:rPr>
              <w:rFonts w:hint="eastAsia" w:ascii="仿宋_GB2312" w:hAnsi="仿宋_GB2312" w:eastAsia="仿宋_GB2312" w:cs="仿宋_GB2312"/>
              <w:sz w:val="32"/>
              <w:szCs w:val="32"/>
            </w:rPr>
            <w:t>22</w:t>
          </w:r>
          <w:bookmarkEnd w:id="31"/>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_Toc280745561_WPSOffice_Level2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ff5c61d0-cf68-4748-ba32-339c94286800}"/>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三、支出决算表</w:t>
              </w:r>
            </w:sdtContent>
          </w:sdt>
          <w:r>
            <w:rPr>
              <w:rFonts w:hint="eastAsia" w:ascii="仿宋_GB2312" w:hAnsi="仿宋_GB2312" w:eastAsia="仿宋_GB2312" w:cs="仿宋_GB2312"/>
              <w:sz w:val="32"/>
              <w:szCs w:val="32"/>
            </w:rPr>
            <w:tab/>
          </w:r>
          <w:bookmarkStart w:id="32" w:name="_Toc280745561_WPSOffice_Level2Page"/>
          <w:r>
            <w:rPr>
              <w:rFonts w:hint="eastAsia" w:ascii="仿宋_GB2312" w:hAnsi="仿宋_GB2312" w:eastAsia="仿宋_GB2312" w:cs="仿宋_GB2312"/>
              <w:sz w:val="32"/>
              <w:szCs w:val="32"/>
            </w:rPr>
            <w:t>22</w:t>
          </w:r>
          <w:bookmarkEnd w:id="32"/>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_Toc905202565_WPSOffice_Level2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4bcd951a-7e46-4dfe-8be4-c2f4540e6fbf}"/>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四、财政拨款收入支出决算总表</w:t>
              </w:r>
            </w:sdtContent>
          </w:sdt>
          <w:r>
            <w:rPr>
              <w:rFonts w:hint="eastAsia" w:ascii="仿宋_GB2312" w:hAnsi="仿宋_GB2312" w:eastAsia="仿宋_GB2312" w:cs="仿宋_GB2312"/>
              <w:sz w:val="32"/>
              <w:szCs w:val="32"/>
            </w:rPr>
            <w:tab/>
          </w:r>
          <w:bookmarkStart w:id="33" w:name="_Toc905202565_WPSOffice_Level2Page"/>
          <w:r>
            <w:rPr>
              <w:rFonts w:hint="eastAsia" w:ascii="仿宋_GB2312" w:hAnsi="仿宋_GB2312" w:eastAsia="仿宋_GB2312" w:cs="仿宋_GB2312"/>
              <w:sz w:val="32"/>
              <w:szCs w:val="32"/>
            </w:rPr>
            <w:t>22</w:t>
          </w:r>
          <w:bookmarkEnd w:id="33"/>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_Toc709711031_WPSOffice_Level2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8b08ed59-006f-42af-babf-0d381b6210d9}"/>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五、财政拨款支出决算明细表</w:t>
              </w:r>
            </w:sdtContent>
          </w:sdt>
          <w:r>
            <w:rPr>
              <w:rFonts w:hint="eastAsia" w:ascii="仿宋_GB2312" w:hAnsi="仿宋_GB2312" w:eastAsia="仿宋_GB2312" w:cs="仿宋_GB2312"/>
              <w:sz w:val="32"/>
              <w:szCs w:val="32"/>
            </w:rPr>
            <w:tab/>
          </w:r>
          <w:bookmarkStart w:id="34" w:name="_Toc709711031_WPSOffice_Level2Page"/>
          <w:r>
            <w:rPr>
              <w:rFonts w:hint="eastAsia" w:ascii="仿宋_GB2312" w:hAnsi="仿宋_GB2312" w:eastAsia="仿宋_GB2312" w:cs="仿宋_GB2312"/>
              <w:sz w:val="32"/>
              <w:szCs w:val="32"/>
            </w:rPr>
            <w:t>22</w:t>
          </w:r>
          <w:bookmarkEnd w:id="34"/>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_Toc636530629_WPSOffice_Level2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cd3255e8-326f-4354-8dd9-91f96ed40e2b}"/>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六、一般公共预算财政拨款支出决算表</w:t>
              </w:r>
            </w:sdtContent>
          </w:sdt>
          <w:r>
            <w:rPr>
              <w:rFonts w:hint="eastAsia" w:ascii="仿宋_GB2312" w:hAnsi="仿宋_GB2312" w:eastAsia="仿宋_GB2312" w:cs="仿宋_GB2312"/>
              <w:sz w:val="32"/>
              <w:szCs w:val="32"/>
            </w:rPr>
            <w:tab/>
          </w:r>
          <w:bookmarkStart w:id="35" w:name="_Toc636530629_WPSOffice_Level2Page"/>
          <w:r>
            <w:rPr>
              <w:rFonts w:hint="eastAsia" w:ascii="仿宋_GB2312" w:hAnsi="仿宋_GB2312" w:eastAsia="仿宋_GB2312" w:cs="仿宋_GB2312"/>
              <w:sz w:val="32"/>
              <w:szCs w:val="32"/>
            </w:rPr>
            <w:t>22</w:t>
          </w:r>
          <w:bookmarkEnd w:id="35"/>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_Toc1645852961_WPSOffice_Level2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ac794f12-521e-4e10-844f-6f0c28b09969}"/>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七、一般公共预算财政拨款支出决算明细表</w:t>
              </w:r>
            </w:sdtContent>
          </w:sdt>
          <w:r>
            <w:rPr>
              <w:rFonts w:hint="eastAsia" w:ascii="仿宋_GB2312" w:hAnsi="仿宋_GB2312" w:eastAsia="仿宋_GB2312" w:cs="仿宋_GB2312"/>
              <w:sz w:val="32"/>
              <w:szCs w:val="32"/>
            </w:rPr>
            <w:tab/>
          </w:r>
          <w:bookmarkStart w:id="36" w:name="_Toc1645852961_WPSOffice_Level2Page"/>
          <w:r>
            <w:rPr>
              <w:rFonts w:hint="eastAsia" w:ascii="仿宋_GB2312" w:hAnsi="仿宋_GB2312" w:eastAsia="仿宋_GB2312" w:cs="仿宋_GB2312"/>
              <w:sz w:val="32"/>
              <w:szCs w:val="32"/>
            </w:rPr>
            <w:t>22</w:t>
          </w:r>
          <w:bookmarkEnd w:id="36"/>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_Toc1824867055_WPSOffice_Level2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2c6a8fd0-4b54-497b-9ba6-3d529797f244}"/>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八、一般公共预算财政拨款基本支出决算表</w:t>
              </w:r>
            </w:sdtContent>
          </w:sdt>
          <w:r>
            <w:rPr>
              <w:rFonts w:hint="eastAsia" w:ascii="仿宋_GB2312" w:hAnsi="仿宋_GB2312" w:eastAsia="仿宋_GB2312" w:cs="仿宋_GB2312"/>
              <w:sz w:val="32"/>
              <w:szCs w:val="32"/>
            </w:rPr>
            <w:tab/>
          </w:r>
          <w:bookmarkStart w:id="37" w:name="_Toc1824867055_WPSOffice_Level2Page"/>
          <w:r>
            <w:rPr>
              <w:rFonts w:hint="eastAsia" w:ascii="仿宋_GB2312" w:hAnsi="仿宋_GB2312" w:eastAsia="仿宋_GB2312" w:cs="仿宋_GB2312"/>
              <w:sz w:val="32"/>
              <w:szCs w:val="32"/>
            </w:rPr>
            <w:t>22</w:t>
          </w:r>
          <w:bookmarkEnd w:id="37"/>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_Toc879889565_WPSOffice_Level2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64872f36-190c-4ab2-96d9-36c443a491f0}"/>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九、一般公共预算财政拨款项目支出决算表</w:t>
              </w:r>
            </w:sdtContent>
          </w:sdt>
          <w:r>
            <w:rPr>
              <w:rFonts w:hint="eastAsia" w:ascii="仿宋_GB2312" w:hAnsi="仿宋_GB2312" w:eastAsia="仿宋_GB2312" w:cs="仿宋_GB2312"/>
              <w:sz w:val="32"/>
              <w:szCs w:val="32"/>
            </w:rPr>
            <w:tab/>
          </w:r>
          <w:bookmarkStart w:id="38" w:name="_Toc879889565_WPSOffice_Level2Page"/>
          <w:r>
            <w:rPr>
              <w:rFonts w:hint="eastAsia" w:ascii="仿宋_GB2312" w:hAnsi="仿宋_GB2312" w:eastAsia="仿宋_GB2312" w:cs="仿宋_GB2312"/>
              <w:sz w:val="32"/>
              <w:szCs w:val="32"/>
            </w:rPr>
            <w:t>22</w:t>
          </w:r>
          <w:bookmarkEnd w:id="38"/>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_Toc307289611_WPSOffice_Level2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71d245b7-ebe9-4c9d-abdc-aa8da828a619}"/>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十、政府性基金预算财政拨款收入支出决算表</w:t>
              </w:r>
            </w:sdtContent>
          </w:sdt>
          <w:r>
            <w:rPr>
              <w:rFonts w:hint="eastAsia" w:ascii="仿宋_GB2312" w:hAnsi="仿宋_GB2312" w:eastAsia="仿宋_GB2312" w:cs="仿宋_GB2312"/>
              <w:sz w:val="32"/>
              <w:szCs w:val="32"/>
            </w:rPr>
            <w:tab/>
          </w:r>
          <w:bookmarkStart w:id="39" w:name="_Toc307289611_WPSOffice_Level2Page"/>
          <w:r>
            <w:rPr>
              <w:rFonts w:hint="eastAsia" w:ascii="仿宋_GB2312" w:hAnsi="仿宋_GB2312" w:eastAsia="仿宋_GB2312" w:cs="仿宋_GB2312"/>
              <w:sz w:val="32"/>
              <w:szCs w:val="32"/>
            </w:rPr>
            <w:t>22</w:t>
          </w:r>
          <w:bookmarkEnd w:id="39"/>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_Toc699211049_WPSOffice_Level2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1e140bdd-345c-4500-bc0b-beef8b6f3c01}"/>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十一、国有资本经营预算财政拨款收入支出决算表</w:t>
              </w:r>
            </w:sdtContent>
          </w:sdt>
          <w:r>
            <w:rPr>
              <w:rFonts w:hint="eastAsia" w:ascii="仿宋_GB2312" w:hAnsi="仿宋_GB2312" w:eastAsia="仿宋_GB2312" w:cs="仿宋_GB2312"/>
              <w:sz w:val="32"/>
              <w:szCs w:val="32"/>
            </w:rPr>
            <w:tab/>
          </w:r>
          <w:bookmarkStart w:id="40" w:name="_Toc699211049_WPSOffice_Level2Page"/>
          <w:r>
            <w:rPr>
              <w:rFonts w:hint="eastAsia" w:ascii="仿宋_GB2312" w:hAnsi="仿宋_GB2312" w:eastAsia="仿宋_GB2312" w:cs="仿宋_GB2312"/>
              <w:sz w:val="32"/>
              <w:szCs w:val="32"/>
            </w:rPr>
            <w:t>22</w:t>
          </w:r>
          <w:bookmarkEnd w:id="40"/>
          <w:r>
            <w:rPr>
              <w:rFonts w:hint="eastAsia" w:ascii="仿宋_GB2312" w:hAnsi="仿宋_GB2312" w:eastAsia="仿宋_GB2312" w:cs="仿宋_GB2312"/>
              <w:sz w:val="32"/>
              <w:szCs w:val="32"/>
            </w:rPr>
            <w:fldChar w:fldCharType="end"/>
          </w:r>
        </w:p>
        <w:p>
          <w:pPr>
            <w:pStyle w:val="38"/>
            <w:tabs>
              <w:tab w:val="right" w:leader="dot" w:pos="830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_Toc1668032632_WPSOffice_Level2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78ab29c7-9846-489e-8a7d-196913fbe3df}"/>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十二、国有资本经营预算财政拨款支出决算表</w:t>
              </w:r>
            </w:sdtContent>
          </w:sdt>
          <w:r>
            <w:rPr>
              <w:rFonts w:hint="eastAsia" w:ascii="仿宋_GB2312" w:hAnsi="仿宋_GB2312" w:eastAsia="仿宋_GB2312" w:cs="仿宋_GB2312"/>
              <w:sz w:val="32"/>
              <w:szCs w:val="32"/>
            </w:rPr>
            <w:tab/>
          </w:r>
          <w:bookmarkStart w:id="41" w:name="_Toc1668032632_WPSOffice_Level2Page"/>
          <w:r>
            <w:rPr>
              <w:rFonts w:hint="eastAsia" w:ascii="仿宋_GB2312" w:hAnsi="仿宋_GB2312" w:eastAsia="仿宋_GB2312" w:cs="仿宋_GB2312"/>
              <w:sz w:val="32"/>
              <w:szCs w:val="32"/>
            </w:rPr>
            <w:t>22</w:t>
          </w:r>
          <w:bookmarkEnd w:id="41"/>
          <w:r>
            <w:rPr>
              <w:rFonts w:hint="eastAsia" w:ascii="仿宋_GB2312" w:hAnsi="仿宋_GB2312" w:eastAsia="仿宋_GB2312" w:cs="仿宋_GB2312"/>
              <w:sz w:val="32"/>
              <w:szCs w:val="32"/>
            </w:rPr>
            <w:fldChar w:fldCharType="end"/>
          </w:r>
        </w:p>
        <w:p>
          <w:pPr>
            <w:pStyle w:val="38"/>
            <w:tabs>
              <w:tab w:val="right" w:leader="dot" w:pos="8306"/>
            </w:tabs>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_Toc118797023_WPSOffice_Level2 </w:instrText>
          </w:r>
          <w:r>
            <w:rPr>
              <w:rFonts w:hint="eastAsia" w:ascii="仿宋_GB2312" w:hAnsi="仿宋_GB2312" w:eastAsia="仿宋_GB2312" w:cs="仿宋_GB2312"/>
              <w:sz w:val="32"/>
              <w:szCs w:val="32"/>
            </w:rPr>
            <w:fldChar w:fldCharType="separate"/>
          </w:r>
          <w:sdt>
            <w:sdtPr>
              <w:rPr>
                <w:rFonts w:hint="eastAsia" w:ascii="仿宋_GB2312" w:hAnsi="仿宋_GB2312" w:eastAsia="仿宋_GB2312" w:cs="仿宋_GB2312"/>
                <w:kern w:val="2"/>
                <w:sz w:val="32"/>
                <w:szCs w:val="32"/>
                <w:lang w:val="en-US" w:eastAsia="zh-CN" w:bidi="ar-SA"/>
              </w:rPr>
              <w:id w:val="138286015"/>
              <w:placeholder>
                <w:docPart w:val="{db9173f7-dc52-4b6e-8823-60c94ea5f12d}"/>
              </w:placeholder>
            </w:sdtPr>
            <w:sdtEndPr>
              <w:rPr>
                <w:rFonts w:hint="eastAsia" w:ascii="仿宋_GB2312" w:hAnsi="仿宋_GB2312" w:eastAsia="仿宋_GB2312" w:cs="仿宋_GB2312"/>
                <w:kern w:val="2"/>
                <w:sz w:val="32"/>
                <w:szCs w:val="32"/>
                <w:lang w:val="en-US" w:eastAsia="zh-CN" w:bidi="ar-SA"/>
              </w:rPr>
            </w:sdtEndPr>
            <w:sdtContent>
              <w:r>
                <w:rPr>
                  <w:rFonts w:hint="eastAsia" w:ascii="仿宋_GB2312" w:hAnsi="仿宋_GB2312" w:eastAsia="仿宋_GB2312" w:cs="仿宋_GB2312"/>
                  <w:sz w:val="32"/>
                  <w:szCs w:val="32"/>
                </w:rPr>
                <w:t>十三、财政拨款“三公”经费支出决算表</w:t>
              </w:r>
            </w:sdtContent>
          </w:sdt>
          <w:r>
            <w:rPr>
              <w:rFonts w:hint="eastAsia" w:ascii="仿宋_GB2312" w:hAnsi="仿宋_GB2312" w:eastAsia="仿宋_GB2312" w:cs="仿宋_GB2312"/>
              <w:sz w:val="32"/>
              <w:szCs w:val="32"/>
            </w:rPr>
            <w:tab/>
          </w:r>
          <w:bookmarkStart w:id="42" w:name="_Toc118797023_WPSOffice_Level2Page"/>
          <w:r>
            <w:rPr>
              <w:rFonts w:hint="eastAsia" w:ascii="仿宋_GB2312" w:hAnsi="仿宋_GB2312" w:eastAsia="仿宋_GB2312" w:cs="仿宋_GB2312"/>
              <w:sz w:val="32"/>
              <w:szCs w:val="32"/>
            </w:rPr>
            <w:t>22</w:t>
          </w:r>
          <w:bookmarkEnd w:id="42"/>
          <w:r>
            <w:rPr>
              <w:rFonts w:hint="eastAsia" w:ascii="仿宋_GB2312" w:hAnsi="仿宋_GB2312" w:eastAsia="仿宋_GB2312" w:cs="仿宋_GB2312"/>
              <w:sz w:val="32"/>
              <w:szCs w:val="32"/>
            </w:rPr>
            <w:fldChar w:fldCharType="end"/>
          </w:r>
          <w:bookmarkEnd w:id="12"/>
        </w:p>
      </w:sdtContent>
    </w:sdt>
    <w:p>
      <w:pPr>
        <w:widowControl/>
        <w:spacing w:line="560" w:lineRule="exact"/>
        <w:jc w:val="left"/>
        <w:rPr>
          <w:rFonts w:hint="eastAsia" w:eastAsia="方正小标宋简体" w:cs="方正小标宋简体"/>
          <w:b w:val="0"/>
        </w:rPr>
      </w:pPr>
      <w:r>
        <w:rPr>
          <w:rFonts w:hint="eastAsia" w:eastAsia="仿宋_GB2312" w:cs="仿宋_GB2312"/>
          <w:b/>
          <w:sz w:val="32"/>
          <w:szCs w:val="32"/>
        </w:rPr>
        <w:br w:type="page"/>
      </w:r>
    </w:p>
    <w:p>
      <w:pPr>
        <w:pStyle w:val="5"/>
        <w:jc w:val="center"/>
        <w:rPr>
          <w:rStyle w:val="29"/>
          <w:rFonts w:eastAsia="方正小标宋简体" w:cs="方正小标宋简体"/>
          <w:b/>
          <w:bCs w:val="0"/>
        </w:rPr>
      </w:pPr>
      <w:bookmarkStart w:id="43" w:name="_Toc334425759_WPSOffice_Level1"/>
      <w:r>
        <w:rPr>
          <w:rFonts w:hint="eastAsia" w:eastAsia="方正小标宋简体" w:cs="方正小标宋简体"/>
          <w:b w:val="0"/>
        </w:rPr>
        <w:t xml:space="preserve">第一部分  </w:t>
      </w:r>
      <w:r>
        <w:rPr>
          <w:rFonts w:hint="eastAsia" w:eastAsia="方正小标宋简体" w:cs="方正小标宋简体"/>
          <w:b w:val="0"/>
          <w:lang w:eastAsia="zh-CN"/>
        </w:rPr>
        <w:t>单位</w:t>
      </w:r>
      <w:r>
        <w:rPr>
          <w:rStyle w:val="29"/>
          <w:rFonts w:hint="eastAsia" w:eastAsia="方正小标宋简体" w:cs="方正小标宋简体"/>
          <w:b w:val="0"/>
          <w:bCs w:val="0"/>
        </w:rPr>
        <w:t>概况</w:t>
      </w:r>
      <w:bookmarkEnd w:id="43"/>
    </w:p>
    <w:p>
      <w:pPr>
        <w:widowControl/>
        <w:jc w:val="left"/>
        <w:rPr>
          <w:rFonts w:eastAsia="黑体"/>
          <w:sz w:val="32"/>
          <w:szCs w:val="32"/>
        </w:rPr>
      </w:pPr>
    </w:p>
    <w:p>
      <w:pPr>
        <w:pStyle w:val="6"/>
        <w:numPr>
          <w:ilvl w:val="0"/>
          <w:numId w:val="1"/>
        </w:numPr>
        <w:rPr>
          <w:rFonts w:hint="eastAsia" w:ascii="Times New Roman" w:hAnsi="Times New Roman" w:eastAsia="黑体"/>
          <w:b w:val="0"/>
        </w:rPr>
      </w:pPr>
      <w:bookmarkStart w:id="44" w:name="_Toc1497614818_WPSOffice_Level2"/>
      <w:r>
        <w:rPr>
          <w:rFonts w:hint="eastAsia" w:ascii="Times New Roman" w:hAnsi="Times New Roman" w:eastAsia="黑体"/>
          <w:b w:val="0"/>
          <w:lang w:eastAsia="zh-CN"/>
        </w:rPr>
        <w:t>单位</w:t>
      </w:r>
      <w:r>
        <w:rPr>
          <w:rFonts w:hint="eastAsia" w:ascii="Times New Roman" w:hAnsi="Times New Roman" w:eastAsia="黑体"/>
          <w:b w:val="0"/>
        </w:rPr>
        <w:t>职责</w:t>
      </w:r>
      <w:bookmarkEnd w:id="44"/>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Fonts w:hint="eastAsia" w:ascii="仿宋_GB2312" w:eastAsia="仿宋_GB2312"/>
          <w:sz w:val="32"/>
          <w:szCs w:val="32"/>
          <w:lang w:eastAsia="zh-CN"/>
        </w:rPr>
      </w:pPr>
      <w:r>
        <w:rPr>
          <w:rFonts w:hint="eastAsia" w:ascii="仿宋_GB2312" w:hAnsi="仿宋" w:eastAsia="仿宋_GB2312"/>
          <w:sz w:val="32"/>
          <w:szCs w:val="32"/>
          <w:lang w:eastAsia="zh-CN"/>
        </w:rPr>
        <w:t>四川省</w:t>
      </w:r>
      <w:r>
        <w:rPr>
          <w:rFonts w:hint="eastAsia" w:ascii="仿宋_GB2312" w:hAnsi="仿宋" w:eastAsia="仿宋_GB2312"/>
          <w:sz w:val="32"/>
          <w:szCs w:val="32"/>
        </w:rPr>
        <w:t>攀</w:t>
      </w:r>
      <w:r>
        <w:rPr>
          <w:rFonts w:hint="eastAsia" w:ascii="仿宋_GB2312" w:eastAsia="仿宋_GB2312"/>
          <w:bCs/>
          <w:sz w:val="32"/>
          <w:szCs w:val="32"/>
        </w:rPr>
        <w:t>枝花市住房和城乡建设局为市政府工作部门，主要职责是：</w:t>
      </w:r>
      <w:r>
        <w:rPr>
          <w:rFonts w:hint="eastAsia" w:ascii="仿宋_GB2312" w:eastAsia="仿宋_GB2312" w:cs="方正仿宋_GBK-WinCharSetFFFF-H"/>
          <w:sz w:val="33"/>
          <w:szCs w:val="33"/>
        </w:rPr>
        <w:t>负责城市市政设施年度建设计划编制。指导和督促城市市政设施建设。协调、处理城市市政设施建设过程中的有关问题。参与城市总体规划和专项规划编制和审核。拟订全市村镇建设的发展规划并监督实施</w:t>
      </w:r>
      <w:r>
        <w:rPr>
          <w:rFonts w:hint="eastAsia" w:ascii="仿宋_GB2312" w:eastAsia="仿宋_GB2312" w:cs="方正仿宋_GBK-WinCharSetFFFF-H"/>
          <w:sz w:val="33"/>
          <w:szCs w:val="33"/>
          <w:lang w:eastAsia="zh-CN"/>
        </w:rPr>
        <w:t>，</w:t>
      </w:r>
      <w:r>
        <w:rPr>
          <w:rFonts w:hint="eastAsia" w:ascii="仿宋_GB2312" w:eastAsia="仿宋_GB2312" w:cs="方正仿宋_GBK-WinCharSetFFFF-H"/>
          <w:sz w:val="33"/>
          <w:szCs w:val="33"/>
        </w:rPr>
        <w:t>指导全市乡镇和村庄建设、全市农村住房建设及危房改造、农村建筑工匠培训和管理、农村公用设施建设，组织开展全市</w:t>
      </w:r>
      <w:r>
        <w:rPr>
          <w:rFonts w:hint="eastAsia" w:ascii="仿宋_GB2312" w:eastAsia="仿宋_GB2312" w:cs="TimesNewRoman"/>
          <w:sz w:val="33"/>
          <w:szCs w:val="33"/>
        </w:rPr>
        <w:t>“</w:t>
      </w:r>
      <w:r>
        <w:rPr>
          <w:rFonts w:hint="eastAsia" w:ascii="仿宋_GB2312" w:eastAsia="仿宋_GB2312" w:cs="方正仿宋_GBK-WinCharSetFFFF-H"/>
          <w:sz w:val="33"/>
          <w:szCs w:val="33"/>
        </w:rPr>
        <w:t>特色小城镇</w:t>
      </w:r>
      <w:r>
        <w:rPr>
          <w:rFonts w:hint="eastAsia" w:ascii="仿宋_GB2312" w:eastAsia="仿宋_GB2312" w:cs="TimesNewRoman"/>
          <w:sz w:val="33"/>
          <w:szCs w:val="33"/>
        </w:rPr>
        <w:t>”</w:t>
      </w:r>
      <w:r>
        <w:rPr>
          <w:rFonts w:hint="eastAsia" w:ascii="仿宋_GB2312" w:eastAsia="仿宋_GB2312" w:cs="方正仿宋_GBK-WinCharSetFFFF-H"/>
          <w:sz w:val="33"/>
          <w:szCs w:val="33"/>
        </w:rPr>
        <w:t>培育创建和开展村镇建设试点工作。拟订建筑业中长期规划、行业政策，承担建筑市场及本地建筑施工企业资质的监督管理和注册建造师的注册、执业活动的监督管理事项。参与房建和市政设施项目施工招投标活动监督。协助处理建设工程农民工拖欠工资。负责全市房地产业监督管理工作。负责房地产市场秩序的整治与监管。参与协调处理房地产交易的矛盾纠纷。承担全市勘察设计行业综合管理的具体工作。负责全市建设工程抗震设防标准的管理。指导、监督抗震设防专项论证工作。组织各类房屋建筑和市政工程设计抗震设计检查。参与抗震设计审查</w:t>
      </w:r>
      <w:r>
        <w:rPr>
          <w:rFonts w:hint="eastAsia" w:ascii="仿宋_GB2312" w:eastAsia="仿宋_GB2312" w:cs="方正仿宋_GBK-WinCharSetFFFF-H"/>
          <w:sz w:val="33"/>
          <w:szCs w:val="33"/>
          <w:lang w:eastAsia="zh-CN"/>
        </w:rPr>
        <w:t>。</w:t>
      </w:r>
      <w:r>
        <w:rPr>
          <w:rFonts w:hint="eastAsia" w:ascii="仿宋_GB2312" w:eastAsia="仿宋_GB2312" w:cs="方正仿宋_GBK-WinCharSetFFFF-H"/>
          <w:sz w:val="33"/>
          <w:szCs w:val="33"/>
        </w:rPr>
        <w:t>指导村镇建设抗震防灾工作。拟订建筑垃圾资源化再利用的整体规划和政策措施，综合协调建筑垃圾资源化再利用工作。负责信息化建设工作。负责对实施工程建设设计强制性标准进行监督检</w:t>
      </w:r>
      <w:r>
        <w:rPr>
          <w:rFonts w:hint="eastAsia" w:ascii="仿宋_GB2312" w:eastAsia="仿宋_GB2312"/>
          <w:sz w:val="32"/>
          <w:szCs w:val="32"/>
        </w:rPr>
        <w:t>查。负责对房屋建筑工程抗震设防实施情况的监督检查。负责行业体制改革的政策研究。负责行业规范性文件合法性审查工作。负责法治考核工作。负责做好立法调研和草案起草工作。配合上位法修订工作。负责行政许可事项和政务服务事项的公开、公示、告知工作。负责进驻政务服务中心窗口的组织协调和审批项目的受理、审核及办理工作</w:t>
      </w:r>
      <w:r>
        <w:rPr>
          <w:rFonts w:hint="eastAsia" w:ascii="仿宋_GB2312" w:eastAsia="仿宋_GB2312"/>
          <w:sz w:val="32"/>
          <w:szCs w:val="32"/>
          <w:lang w:eastAsia="zh-CN"/>
        </w:rPr>
        <w:t>。</w:t>
      </w:r>
      <w:bookmarkStart w:id="45" w:name="_Toc15396601"/>
      <w:bookmarkStart w:id="46" w:name="_Toc15377200"/>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rPr>
          <w:rStyle w:val="30"/>
          <w:rFonts w:ascii="Times New Roman" w:hAnsi="Times New Roman"/>
          <w:b w:val="0"/>
          <w:bCs w:val="0"/>
        </w:rPr>
      </w:pPr>
      <w:bookmarkStart w:id="47" w:name="_Toc186312871_WPSOffice_Level2"/>
      <w:r>
        <w:rPr>
          <w:rStyle w:val="30"/>
          <w:rFonts w:hint="eastAsia" w:eastAsia="黑体"/>
          <w:b w:val="0"/>
          <w:bCs w:val="0"/>
          <w:lang w:eastAsia="zh-CN"/>
        </w:rPr>
        <w:t>二、机</w:t>
      </w:r>
      <w:r>
        <w:rPr>
          <w:rStyle w:val="30"/>
          <w:rFonts w:hint="eastAsia" w:ascii="Times New Roman" w:hAnsi="Times New Roman" w:eastAsia="黑体"/>
          <w:b w:val="0"/>
          <w:bCs w:val="0"/>
        </w:rPr>
        <w:t>构设置</w:t>
      </w:r>
      <w:bookmarkEnd w:id="45"/>
      <w:bookmarkEnd w:id="46"/>
      <w:bookmarkEnd w:id="47"/>
    </w:p>
    <w:p>
      <w:pPr>
        <w:pStyle w:val="8"/>
        <w:keepNext w:val="0"/>
        <w:keepLines w:val="0"/>
        <w:pageBreakBefore w:val="0"/>
        <w:widowControl w:val="0"/>
        <w:kinsoku/>
        <w:wordWrap/>
        <w:overflowPunct/>
        <w:topLinePunct w:val="0"/>
        <w:autoSpaceDE/>
        <w:autoSpaceDN/>
        <w:bidi w:val="0"/>
        <w:adjustRightInd w:val="0"/>
        <w:snapToGrid w:val="0"/>
        <w:spacing w:before="93" w:line="600" w:lineRule="exact"/>
        <w:ind w:firstLine="640" w:firstLineChars="200"/>
        <w:textAlignment w:val="auto"/>
        <w:rPr>
          <w:rFonts w:hint="eastAsia" w:ascii="Times New Roman" w:eastAsia="仿宋_GB2312" w:cs="仿宋_GB2312"/>
          <w:sz w:val="32"/>
          <w:szCs w:val="32"/>
          <w:lang w:val="en-US" w:eastAsia="zh-CN"/>
        </w:rPr>
      </w:pPr>
      <w:r>
        <w:rPr>
          <w:rFonts w:hint="eastAsia" w:ascii="仿宋_GB2312" w:hAnsi="仿宋" w:eastAsia="仿宋_GB2312"/>
          <w:sz w:val="32"/>
          <w:szCs w:val="32"/>
          <w:lang w:eastAsia="zh-CN"/>
        </w:rPr>
        <w:t>四川省</w:t>
      </w:r>
      <w:r>
        <w:rPr>
          <w:rFonts w:hint="eastAsia" w:ascii="仿宋_GB2312" w:hAnsi="仿宋" w:eastAsia="仿宋_GB2312"/>
          <w:sz w:val="32"/>
          <w:szCs w:val="32"/>
        </w:rPr>
        <w:t>攀</w:t>
      </w:r>
      <w:r>
        <w:rPr>
          <w:rFonts w:hint="eastAsia" w:ascii="仿宋_GB2312" w:eastAsia="仿宋_GB2312"/>
          <w:bCs/>
          <w:sz w:val="32"/>
          <w:szCs w:val="32"/>
        </w:rPr>
        <w:t>枝花市住房和城乡建设局</w:t>
      </w:r>
      <w:r>
        <w:rPr>
          <w:rFonts w:hint="eastAsia" w:ascii="仿宋_GB2312" w:eastAsia="仿宋_GB2312"/>
          <w:sz w:val="32"/>
          <w:szCs w:val="32"/>
        </w:rPr>
        <w:t>设办公室（信访科）、财务审计科、城市建设科、村镇建设科、建筑行业管理科、工程质量安全管理与消防验收科、房地产市场监管科、勘察设计与消防审查科、行政审批科（政策法规科）、市政管理科、人事科、机关党委办公室共</w:t>
      </w:r>
      <w:r>
        <w:rPr>
          <w:rFonts w:hint="eastAsia" w:ascii="Times New Roman" w:hAnsi="Times New Roman" w:eastAsia="仿宋_GB2312" w:cs="仿宋_GB2312"/>
          <w:color w:val="auto"/>
          <w:kern w:val="2"/>
          <w:sz w:val="32"/>
          <w:szCs w:val="32"/>
          <w:highlight w:val="none"/>
          <w:lang w:val="en-US" w:eastAsia="zh-CN" w:bidi="ar-SA"/>
        </w:rPr>
        <w:t>12个</w:t>
      </w:r>
      <w:r>
        <w:rPr>
          <w:rFonts w:hint="eastAsia" w:ascii="仿宋_GB2312" w:eastAsia="仿宋_GB2312"/>
          <w:sz w:val="32"/>
          <w:szCs w:val="32"/>
        </w:rPr>
        <w:t>科室，另有市住房保障办公室和市建设建材工会，共有行政编制</w:t>
      </w:r>
      <w:r>
        <w:rPr>
          <w:rFonts w:hint="eastAsia" w:ascii="Times New Roman" w:hAnsi="Times New Roman" w:eastAsia="仿宋_GB2312" w:cs="仿宋_GB2312"/>
          <w:color w:val="auto"/>
          <w:kern w:val="2"/>
          <w:sz w:val="32"/>
          <w:szCs w:val="32"/>
          <w:highlight w:val="none"/>
          <w:lang w:val="en-US" w:eastAsia="zh-CN" w:bidi="ar-SA"/>
        </w:rPr>
        <w:t>35</w:t>
      </w:r>
      <w:r>
        <w:rPr>
          <w:rFonts w:hint="eastAsia" w:ascii="仿宋_GB2312" w:eastAsia="仿宋_GB2312"/>
          <w:sz w:val="32"/>
          <w:szCs w:val="32"/>
        </w:rPr>
        <w:t>名，工勤人员</w:t>
      </w: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eastAsia="仿宋_GB2312"/>
          <w:sz w:val="32"/>
          <w:szCs w:val="32"/>
        </w:rPr>
        <w:t>名</w:t>
      </w:r>
      <w:r>
        <w:rPr>
          <w:rFonts w:hint="eastAsia"/>
          <w:sz w:val="32"/>
          <w:szCs w:val="32"/>
          <w:lang w:eastAsia="zh-CN"/>
        </w:rPr>
        <w:t>。</w:t>
      </w:r>
    </w:p>
    <w:p>
      <w:pPr>
        <w:pStyle w:val="5"/>
        <w:jc w:val="center"/>
      </w:pPr>
      <w:bookmarkStart w:id="48" w:name="_Toc15396602"/>
      <w:bookmarkStart w:id="49" w:name="_Toc1497614818_WPSOffice_Level1"/>
      <w:bookmarkStart w:id="50" w:name="_Toc15377204"/>
      <w:r>
        <w:rPr>
          <w:rFonts w:hint="eastAsia" w:eastAsia="方正小标宋简体" w:cs="方正小标宋简体"/>
          <w:b w:val="0"/>
        </w:rPr>
        <w:t>第二部分  2025年度</w:t>
      </w:r>
      <w:r>
        <w:rPr>
          <w:rFonts w:hint="eastAsia" w:eastAsia="方正小标宋简体" w:cs="方正小标宋简体"/>
          <w:b w:val="0"/>
          <w:lang w:eastAsia="zh-CN"/>
        </w:rPr>
        <w:t>单位</w:t>
      </w:r>
      <w:r>
        <w:rPr>
          <w:rFonts w:hint="eastAsia" w:eastAsia="方正小标宋简体" w:cs="方正小标宋简体"/>
          <w:b w:val="0"/>
        </w:rPr>
        <w:t>决算情况说明</w:t>
      </w:r>
      <w:bookmarkEnd w:id="48"/>
      <w:bookmarkEnd w:id="49"/>
      <w:bookmarkEnd w:id="50"/>
    </w:p>
    <w:p>
      <w:pPr>
        <w:pStyle w:val="28"/>
        <w:spacing w:line="600" w:lineRule="exact"/>
        <w:ind w:firstLine="640"/>
        <w:outlineLvl w:val="1"/>
        <w:rPr>
          <w:rStyle w:val="30"/>
          <w:rFonts w:ascii="Times New Roman" w:hAnsi="Times New Roman" w:eastAsia="黑体"/>
          <w:b w:val="0"/>
        </w:rPr>
      </w:pPr>
      <w:bookmarkStart w:id="51" w:name="_Toc15396603"/>
      <w:bookmarkStart w:id="52" w:name="_Toc15377205"/>
      <w:bookmarkStart w:id="53" w:name="_Toc1588492951_WPSOffice_Level2"/>
      <w:r>
        <w:rPr>
          <w:rFonts w:hint="eastAsia" w:eastAsia="黑体"/>
          <w:sz w:val="32"/>
          <w:szCs w:val="32"/>
        </w:rPr>
        <w:t>一、收</w:t>
      </w:r>
      <w:r>
        <w:rPr>
          <w:rStyle w:val="30"/>
          <w:rFonts w:hint="eastAsia" w:ascii="Times New Roman" w:hAnsi="Times New Roman" w:eastAsia="黑体"/>
          <w:b w:val="0"/>
        </w:rPr>
        <w:t>入支出决算总体情况说明</w:t>
      </w:r>
      <w:bookmarkEnd w:id="51"/>
      <w:bookmarkEnd w:id="52"/>
      <w:bookmarkEnd w:id="53"/>
    </w:p>
    <w:p>
      <w:pPr>
        <w:pStyle w:val="28"/>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2025年度收入、支出总计均为</w:t>
      </w:r>
      <w:r>
        <w:rPr>
          <w:rFonts w:hint="eastAsia" w:eastAsia="仿宋_GB2312" w:cs="仿宋_GB2312"/>
          <w:sz w:val="32"/>
          <w:szCs w:val="32"/>
          <w:lang w:val="en-US" w:eastAsia="zh-CN"/>
        </w:rPr>
        <w:t>17,794.46</w:t>
      </w:r>
      <w:r>
        <w:rPr>
          <w:rFonts w:hint="eastAsia" w:eastAsia="仿宋_GB2312" w:cs="仿宋_GB2312"/>
          <w:sz w:val="32"/>
          <w:szCs w:val="32"/>
        </w:rPr>
        <w:t>万元。与上年度相比，收入、支出总计</w:t>
      </w:r>
      <w:r>
        <w:rPr>
          <w:rFonts w:hint="eastAsia" w:eastAsia="仿宋_GB2312" w:cs="仿宋_GB2312"/>
          <w:sz w:val="32"/>
          <w:szCs w:val="32"/>
          <w:lang w:eastAsia="zh-CN"/>
        </w:rPr>
        <w:t>各</w:t>
      </w:r>
      <w:r>
        <w:rPr>
          <w:rFonts w:hint="eastAsia" w:eastAsia="仿宋_GB2312" w:cs="仿宋_GB2312"/>
          <w:sz w:val="32"/>
          <w:szCs w:val="32"/>
        </w:rPr>
        <w:t>减少</w:t>
      </w:r>
      <w:r>
        <w:rPr>
          <w:rFonts w:hint="eastAsia" w:eastAsia="仿宋_GB2312" w:cs="仿宋_GB2312"/>
          <w:sz w:val="32"/>
          <w:szCs w:val="32"/>
          <w:lang w:val="en-US" w:eastAsia="zh-CN"/>
        </w:rPr>
        <w:t>6,625.15</w:t>
      </w:r>
      <w:r>
        <w:rPr>
          <w:rFonts w:hint="eastAsia" w:eastAsia="仿宋_GB2312" w:cs="仿宋_GB2312"/>
          <w:sz w:val="32"/>
          <w:szCs w:val="32"/>
        </w:rPr>
        <w:t>万元，下降</w:t>
      </w:r>
      <w:r>
        <w:rPr>
          <w:rFonts w:hint="eastAsia" w:eastAsia="仿宋_GB2312" w:cs="仿宋_GB2312"/>
          <w:sz w:val="32"/>
          <w:szCs w:val="32"/>
          <w:lang w:val="en-US" w:eastAsia="zh-CN"/>
        </w:rPr>
        <w:t>27.13</w:t>
      </w:r>
      <w:r>
        <w:rPr>
          <w:rFonts w:hint="eastAsia" w:eastAsia="仿宋_GB2312" w:cs="仿宋_GB2312"/>
          <w:sz w:val="32"/>
          <w:szCs w:val="32"/>
        </w:rPr>
        <w:t>%。主要变动原因是</w:t>
      </w:r>
      <w:r>
        <w:rPr>
          <w:rFonts w:hint="eastAsia" w:ascii="仿宋_GB2312" w:eastAsia="仿宋_GB2312"/>
          <w:sz w:val="32"/>
          <w:szCs w:val="32"/>
        </w:rPr>
        <w:t>攀枝花</w:t>
      </w:r>
      <w:r>
        <w:rPr>
          <w:rFonts w:hint="eastAsia" w:eastAsia="仿宋_GB2312" w:cs="仿宋_GB2312"/>
          <w:sz w:val="32"/>
          <w:szCs w:val="32"/>
        </w:rPr>
        <w:t>火车南站站前基础设施PPP项目</w:t>
      </w:r>
      <w:r>
        <w:rPr>
          <w:rFonts w:hint="eastAsia" w:eastAsia="仿宋_GB2312" w:cs="仿宋_GB2312"/>
          <w:sz w:val="32"/>
          <w:szCs w:val="32"/>
          <w:lang w:eastAsia="zh-CN"/>
        </w:rPr>
        <w:t>收入</w:t>
      </w:r>
      <w:r>
        <w:rPr>
          <w:rFonts w:hint="eastAsia" w:eastAsia="仿宋_GB2312" w:cs="仿宋_GB2312"/>
          <w:sz w:val="32"/>
          <w:szCs w:val="32"/>
        </w:rPr>
        <w:t>较去年减少2</w:t>
      </w:r>
      <w:r>
        <w:rPr>
          <w:rFonts w:hint="eastAsia" w:eastAsia="仿宋_GB2312" w:cs="仿宋_GB2312"/>
          <w:sz w:val="32"/>
          <w:szCs w:val="32"/>
          <w:lang w:val="en-US" w:eastAsia="zh-CN"/>
        </w:rPr>
        <w:t>,</w:t>
      </w:r>
      <w:r>
        <w:rPr>
          <w:rFonts w:hint="eastAsia" w:eastAsia="仿宋_GB2312" w:cs="仿宋_GB2312"/>
          <w:sz w:val="32"/>
          <w:szCs w:val="32"/>
        </w:rPr>
        <w:t>890万元，攀枝花市生活污水处理设施建设PPP项目</w:t>
      </w:r>
      <w:r>
        <w:rPr>
          <w:rFonts w:hint="eastAsia" w:eastAsia="仿宋_GB2312" w:cs="仿宋_GB2312"/>
          <w:sz w:val="32"/>
          <w:szCs w:val="32"/>
          <w:lang w:eastAsia="zh-CN"/>
        </w:rPr>
        <w:t>收入</w:t>
      </w:r>
      <w:r>
        <w:rPr>
          <w:rFonts w:hint="eastAsia" w:eastAsia="仿宋_GB2312" w:cs="仿宋_GB2312"/>
          <w:sz w:val="32"/>
          <w:szCs w:val="32"/>
        </w:rPr>
        <w:t>较去年减少3</w:t>
      </w:r>
      <w:r>
        <w:rPr>
          <w:rFonts w:hint="eastAsia" w:eastAsia="仿宋_GB2312" w:cs="仿宋_GB2312"/>
          <w:sz w:val="32"/>
          <w:szCs w:val="32"/>
          <w:lang w:val="en-US" w:eastAsia="zh-CN"/>
        </w:rPr>
        <w:t>,</w:t>
      </w:r>
      <w:r>
        <w:rPr>
          <w:rFonts w:hint="eastAsia" w:eastAsia="仿宋_GB2312" w:cs="仿宋_GB2312"/>
          <w:sz w:val="32"/>
          <w:szCs w:val="32"/>
        </w:rPr>
        <w:t>707万元。</w:t>
      </w:r>
    </w:p>
    <w:p>
      <w:pPr>
        <w:pStyle w:val="28"/>
        <w:spacing w:line="240" w:lineRule="auto"/>
        <w:ind w:left="0" w:leftChars="0" w:firstLine="0" w:firstLineChars="0"/>
        <w:jc w:val="center"/>
        <w:outlineLvl w:val="1"/>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5080000" cy="2901315"/>
            <wp:effectExtent l="4445" t="4445" r="20955" b="889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8"/>
        <w:spacing w:line="600" w:lineRule="exact"/>
        <w:ind w:firstLine="640"/>
        <w:jc w:val="center"/>
        <w:outlineLvl w:val="1"/>
        <w:rPr>
          <w:rFonts w:eastAsia="仿宋_GB2312" w:cs="仿宋_GB2312"/>
          <w:sz w:val="32"/>
          <w:szCs w:val="32"/>
        </w:rPr>
      </w:pPr>
      <w:r>
        <w:rPr>
          <w:rFonts w:hint="eastAsia" w:eastAsia="仿宋_GB2312" w:cs="仿宋_GB2312"/>
          <w:sz w:val="32"/>
          <w:szCs w:val="32"/>
        </w:rPr>
        <w:t>（图1：收入、支出决算总计变动情况图）</w:t>
      </w:r>
    </w:p>
    <w:p>
      <w:pPr>
        <w:pStyle w:val="28"/>
        <w:spacing w:line="600" w:lineRule="exact"/>
        <w:ind w:firstLine="640"/>
        <w:outlineLvl w:val="1"/>
        <w:rPr>
          <w:rFonts w:eastAsia="黑体"/>
          <w:sz w:val="32"/>
          <w:szCs w:val="32"/>
        </w:rPr>
      </w:pPr>
      <w:bookmarkStart w:id="54" w:name="_Toc1635212064_WPSOffice_Level2"/>
      <w:bookmarkStart w:id="55" w:name="_Toc15396604"/>
      <w:bookmarkStart w:id="56" w:name="_Toc15377206"/>
      <w:r>
        <w:rPr>
          <w:rFonts w:hint="eastAsia" w:eastAsia="黑体"/>
          <w:sz w:val="32"/>
          <w:szCs w:val="32"/>
        </w:rPr>
        <w:t>二、收入决算情况说明</w:t>
      </w:r>
      <w:bookmarkEnd w:id="54"/>
      <w:bookmarkEnd w:id="55"/>
      <w:bookmarkEnd w:id="56"/>
    </w:p>
    <w:p>
      <w:pPr>
        <w:pStyle w:val="28"/>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2025年度本年收入合计</w:t>
      </w:r>
      <w:r>
        <w:rPr>
          <w:rFonts w:hint="eastAsia" w:eastAsia="仿宋_GB2312" w:cs="仿宋_GB2312"/>
          <w:sz w:val="32"/>
          <w:szCs w:val="32"/>
          <w:lang w:val="en-US" w:eastAsia="zh-CN"/>
        </w:rPr>
        <w:t>17,794.46</w:t>
      </w:r>
      <w:r>
        <w:rPr>
          <w:rFonts w:hint="eastAsia" w:eastAsia="仿宋_GB2312" w:cs="仿宋_GB2312"/>
          <w:sz w:val="32"/>
          <w:szCs w:val="32"/>
        </w:rPr>
        <w:t>万元，其中：一般公共预算财政拨款收入16</w:t>
      </w:r>
      <w:r>
        <w:rPr>
          <w:rFonts w:hint="eastAsia" w:eastAsia="仿宋_GB2312" w:cs="仿宋_GB2312"/>
          <w:sz w:val="32"/>
          <w:szCs w:val="32"/>
          <w:lang w:val="en-US" w:eastAsia="zh-CN"/>
        </w:rPr>
        <w:t>,</w:t>
      </w:r>
      <w:r>
        <w:rPr>
          <w:rFonts w:hint="eastAsia" w:eastAsia="仿宋_GB2312" w:cs="仿宋_GB2312"/>
          <w:sz w:val="32"/>
          <w:szCs w:val="32"/>
        </w:rPr>
        <w:t>212.46万元，占</w:t>
      </w:r>
      <w:r>
        <w:rPr>
          <w:rFonts w:hint="eastAsia" w:eastAsia="仿宋_GB2312" w:cs="仿宋_GB2312"/>
          <w:sz w:val="32"/>
          <w:szCs w:val="32"/>
          <w:lang w:val="en-US" w:eastAsia="zh-CN"/>
        </w:rPr>
        <w:t>91.11</w:t>
      </w:r>
      <w:r>
        <w:rPr>
          <w:rFonts w:hint="eastAsia" w:eastAsia="仿宋_GB2312" w:cs="仿宋_GB2312"/>
          <w:sz w:val="32"/>
          <w:szCs w:val="32"/>
        </w:rPr>
        <w:t>%；政府性基金预算财政拨款收入1</w:t>
      </w:r>
      <w:r>
        <w:rPr>
          <w:rFonts w:hint="eastAsia" w:eastAsia="仿宋_GB2312" w:cs="仿宋_GB2312"/>
          <w:sz w:val="32"/>
          <w:szCs w:val="32"/>
          <w:lang w:val="en-US" w:eastAsia="zh-CN"/>
        </w:rPr>
        <w:t>,</w:t>
      </w:r>
      <w:r>
        <w:rPr>
          <w:rFonts w:hint="eastAsia" w:eastAsia="仿宋_GB2312" w:cs="仿宋_GB2312"/>
          <w:sz w:val="32"/>
          <w:szCs w:val="32"/>
        </w:rPr>
        <w:t>582万元，占</w:t>
      </w:r>
      <w:r>
        <w:rPr>
          <w:rFonts w:hint="eastAsia" w:eastAsia="仿宋_GB2312" w:cs="仿宋_GB2312"/>
          <w:sz w:val="32"/>
          <w:szCs w:val="32"/>
          <w:lang w:val="en-US" w:eastAsia="zh-CN"/>
        </w:rPr>
        <w:t>8.89</w:t>
      </w:r>
      <w:r>
        <w:rPr>
          <w:rFonts w:hint="eastAsia" w:eastAsia="仿宋_GB2312" w:cs="仿宋_GB2312"/>
          <w:sz w:val="32"/>
          <w:szCs w:val="32"/>
        </w:rPr>
        <w:t>%。</w:t>
      </w:r>
    </w:p>
    <w:p>
      <w:pPr>
        <w:pStyle w:val="28"/>
        <w:spacing w:line="240" w:lineRule="auto"/>
        <w:ind w:left="0" w:leftChars="0" w:firstLine="0" w:firstLineChars="0"/>
        <w:jc w:val="center"/>
        <w:outlineLvl w:val="1"/>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5080000" cy="2746375"/>
            <wp:effectExtent l="4445" t="4445" r="20955" b="1143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28"/>
        <w:spacing w:line="600" w:lineRule="exact"/>
        <w:ind w:firstLine="640"/>
        <w:jc w:val="center"/>
        <w:outlineLvl w:val="1"/>
        <w:rPr>
          <w:rFonts w:eastAsia="仿宋_GB2312" w:cs="仿宋_GB2312"/>
          <w:sz w:val="32"/>
          <w:szCs w:val="32"/>
        </w:rPr>
      </w:pPr>
      <w:r>
        <w:rPr>
          <w:rFonts w:hint="eastAsia" w:eastAsia="仿宋_GB2312" w:cs="仿宋_GB2312"/>
          <w:sz w:val="32"/>
          <w:szCs w:val="32"/>
        </w:rPr>
        <w:t>（图2：收入决算结构图）</w:t>
      </w:r>
    </w:p>
    <w:p>
      <w:pPr>
        <w:pStyle w:val="28"/>
        <w:spacing w:line="600" w:lineRule="exact"/>
        <w:ind w:firstLine="640"/>
        <w:outlineLvl w:val="1"/>
        <w:rPr>
          <w:rStyle w:val="30"/>
          <w:rFonts w:ascii="Times New Roman" w:hAnsi="Times New Roman" w:eastAsia="黑体"/>
          <w:b w:val="0"/>
        </w:rPr>
      </w:pPr>
      <w:bookmarkStart w:id="57" w:name="_Toc15396605"/>
      <w:bookmarkStart w:id="58" w:name="_Toc15377207"/>
      <w:bookmarkStart w:id="59" w:name="_Toc1176536921_WPSOffice_Level2"/>
      <w:r>
        <w:rPr>
          <w:rFonts w:hint="eastAsia" w:eastAsia="黑体"/>
          <w:sz w:val="32"/>
          <w:szCs w:val="32"/>
        </w:rPr>
        <w:t>三、支</w:t>
      </w:r>
      <w:r>
        <w:rPr>
          <w:rStyle w:val="30"/>
          <w:rFonts w:hint="eastAsia" w:ascii="Times New Roman" w:hAnsi="Times New Roman" w:eastAsia="黑体"/>
          <w:b w:val="0"/>
        </w:rPr>
        <w:t>出决算情况说明</w:t>
      </w:r>
      <w:bookmarkEnd w:id="57"/>
      <w:bookmarkEnd w:id="58"/>
      <w:bookmarkEnd w:id="59"/>
    </w:p>
    <w:p>
      <w:pPr>
        <w:pStyle w:val="28"/>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2025年度本年支出合计</w:t>
      </w:r>
      <w:r>
        <w:rPr>
          <w:rFonts w:hint="eastAsia" w:eastAsia="仿宋_GB2312" w:cs="仿宋_GB2312"/>
          <w:sz w:val="32"/>
          <w:szCs w:val="32"/>
          <w:lang w:val="en-US" w:eastAsia="zh-CN"/>
        </w:rPr>
        <w:t>17,794.46</w:t>
      </w:r>
      <w:r>
        <w:rPr>
          <w:rFonts w:hint="eastAsia" w:eastAsia="仿宋_GB2312" w:cs="仿宋_GB2312"/>
          <w:sz w:val="32"/>
          <w:szCs w:val="32"/>
        </w:rPr>
        <w:t>万元，其中：基本支出1</w:t>
      </w:r>
      <w:r>
        <w:rPr>
          <w:rFonts w:hint="eastAsia" w:eastAsia="仿宋_GB2312" w:cs="仿宋_GB2312"/>
          <w:sz w:val="32"/>
          <w:szCs w:val="32"/>
          <w:lang w:val="en-US" w:eastAsia="zh-CN"/>
        </w:rPr>
        <w:t>,</w:t>
      </w:r>
      <w:r>
        <w:rPr>
          <w:rFonts w:hint="eastAsia" w:eastAsia="仿宋_GB2312" w:cs="仿宋_GB2312"/>
          <w:sz w:val="32"/>
          <w:szCs w:val="32"/>
        </w:rPr>
        <w:t>582.52万元，占</w:t>
      </w:r>
      <w:r>
        <w:rPr>
          <w:rFonts w:hint="eastAsia" w:eastAsia="仿宋_GB2312" w:cs="仿宋_GB2312"/>
          <w:sz w:val="32"/>
          <w:szCs w:val="32"/>
          <w:lang w:val="en-US" w:eastAsia="zh-CN"/>
        </w:rPr>
        <w:t>8.89</w:t>
      </w:r>
      <w:r>
        <w:rPr>
          <w:rFonts w:hint="eastAsia" w:eastAsia="仿宋_GB2312" w:cs="仿宋_GB2312"/>
          <w:sz w:val="32"/>
          <w:szCs w:val="32"/>
        </w:rPr>
        <w:t>%；项目支出16</w:t>
      </w:r>
      <w:r>
        <w:rPr>
          <w:rFonts w:hint="eastAsia" w:eastAsia="仿宋_GB2312" w:cs="仿宋_GB2312"/>
          <w:sz w:val="32"/>
          <w:szCs w:val="32"/>
          <w:lang w:val="en-US" w:eastAsia="zh-CN"/>
        </w:rPr>
        <w:t>,</w:t>
      </w:r>
      <w:r>
        <w:rPr>
          <w:rFonts w:hint="eastAsia" w:eastAsia="仿宋_GB2312" w:cs="仿宋_GB2312"/>
          <w:sz w:val="32"/>
          <w:szCs w:val="32"/>
        </w:rPr>
        <w:t>211.94万元，占</w:t>
      </w:r>
      <w:r>
        <w:rPr>
          <w:rFonts w:hint="eastAsia" w:eastAsia="仿宋_GB2312" w:cs="仿宋_GB2312"/>
          <w:sz w:val="32"/>
          <w:szCs w:val="32"/>
          <w:lang w:val="en-US" w:eastAsia="zh-CN"/>
        </w:rPr>
        <w:t>91.11</w:t>
      </w:r>
      <w:r>
        <w:rPr>
          <w:rFonts w:hint="eastAsia" w:eastAsia="仿宋_GB2312" w:cs="仿宋_GB2312"/>
          <w:sz w:val="32"/>
          <w:szCs w:val="32"/>
        </w:rPr>
        <w:t>%。</w:t>
      </w:r>
    </w:p>
    <w:p>
      <w:pPr>
        <w:pStyle w:val="28"/>
        <w:spacing w:line="240" w:lineRule="auto"/>
        <w:ind w:left="0" w:leftChars="0" w:firstLine="0" w:firstLineChars="0"/>
        <w:jc w:val="center"/>
        <w:outlineLvl w:val="1"/>
        <w:rPr>
          <w:rFonts w:hint="eastAsia" w:eastAsia="仿宋_GB2312" w:cs="仿宋_GB2312"/>
          <w:sz w:val="32"/>
          <w:szCs w:val="32"/>
          <w:lang w:eastAsia="zh-CN"/>
        </w:rPr>
      </w:pPr>
      <w:r>
        <w:rPr>
          <w:rFonts w:hint="eastAsia" w:eastAsia="仿宋_GB2312" w:cs="仿宋_GB2312"/>
          <w:sz w:val="32"/>
          <w:szCs w:val="32"/>
          <w:lang w:eastAsia="zh-CN"/>
        </w:rPr>
        <w:drawing>
          <wp:inline distT="0" distB="0" distL="114300" distR="114300">
            <wp:extent cx="5080000" cy="2668270"/>
            <wp:effectExtent l="4445" t="4445" r="20955" b="1333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28"/>
        <w:spacing w:line="600" w:lineRule="exact"/>
        <w:ind w:firstLine="640"/>
        <w:jc w:val="center"/>
        <w:outlineLvl w:val="1"/>
        <w:rPr>
          <w:rFonts w:eastAsia="仿宋_GB2312" w:cs="仿宋_GB2312"/>
          <w:sz w:val="32"/>
          <w:szCs w:val="32"/>
        </w:rPr>
      </w:pPr>
      <w:r>
        <w:rPr>
          <w:rFonts w:hint="eastAsia" w:eastAsia="仿宋_GB2312" w:cs="仿宋_GB2312"/>
          <w:sz w:val="32"/>
          <w:szCs w:val="32"/>
        </w:rPr>
        <w:t>（图3：支出决算结构图）</w:t>
      </w:r>
    </w:p>
    <w:p>
      <w:pPr>
        <w:spacing w:line="600" w:lineRule="exact"/>
        <w:ind w:firstLine="640" w:firstLineChars="200"/>
        <w:outlineLvl w:val="1"/>
        <w:rPr>
          <w:rStyle w:val="30"/>
          <w:rFonts w:ascii="Times New Roman" w:hAnsi="Times New Roman" w:eastAsia="黑体"/>
          <w:b w:val="0"/>
        </w:rPr>
      </w:pPr>
      <w:bookmarkStart w:id="60" w:name="_Toc15377208"/>
      <w:bookmarkStart w:id="61" w:name="_Toc15396606"/>
      <w:bookmarkStart w:id="62" w:name="_Toc657013146_WPSOffice_Level2"/>
      <w:r>
        <w:rPr>
          <w:rFonts w:hint="eastAsia" w:eastAsia="黑体"/>
          <w:sz w:val="32"/>
          <w:szCs w:val="32"/>
        </w:rPr>
        <w:t>四、财</w:t>
      </w:r>
      <w:r>
        <w:rPr>
          <w:rStyle w:val="30"/>
          <w:rFonts w:hint="eastAsia" w:ascii="Times New Roman" w:hAnsi="Times New Roman" w:eastAsia="黑体"/>
          <w:b w:val="0"/>
        </w:rPr>
        <w:t>政拨款收入支出决算总体情况说明</w:t>
      </w:r>
      <w:bookmarkEnd w:id="60"/>
      <w:bookmarkEnd w:id="61"/>
      <w:bookmarkEnd w:id="62"/>
    </w:p>
    <w:p>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2025年度财政拨款收入、支出总计均为</w:t>
      </w:r>
      <w:r>
        <w:rPr>
          <w:rFonts w:hint="eastAsia" w:eastAsia="仿宋_GB2312" w:cs="仿宋_GB2312"/>
          <w:sz w:val="32"/>
          <w:szCs w:val="32"/>
          <w:lang w:val="en-US" w:eastAsia="zh-CN"/>
        </w:rPr>
        <w:t>17,794.46</w:t>
      </w:r>
      <w:r>
        <w:rPr>
          <w:rFonts w:hint="eastAsia" w:eastAsia="仿宋_GB2312" w:cs="仿宋_GB2312"/>
          <w:sz w:val="32"/>
          <w:szCs w:val="32"/>
        </w:rPr>
        <w:t>万元。与上年度相比，财政拨款收入、支出总计各减少</w:t>
      </w:r>
      <w:r>
        <w:rPr>
          <w:rFonts w:hint="eastAsia" w:eastAsia="仿宋_GB2312" w:cs="仿宋_GB2312"/>
          <w:sz w:val="32"/>
          <w:szCs w:val="32"/>
          <w:lang w:val="en-US" w:eastAsia="zh-CN"/>
        </w:rPr>
        <w:t>6,625.15</w:t>
      </w:r>
      <w:r>
        <w:rPr>
          <w:rFonts w:hint="eastAsia" w:eastAsia="仿宋_GB2312" w:cs="仿宋_GB2312"/>
          <w:sz w:val="32"/>
          <w:szCs w:val="32"/>
        </w:rPr>
        <w:t>万元，下降</w:t>
      </w:r>
      <w:r>
        <w:rPr>
          <w:rFonts w:hint="eastAsia" w:eastAsia="仿宋_GB2312" w:cs="仿宋_GB2312"/>
          <w:sz w:val="32"/>
          <w:szCs w:val="32"/>
          <w:lang w:val="en-US" w:eastAsia="zh-CN"/>
        </w:rPr>
        <w:t>27.13</w:t>
      </w:r>
      <w:r>
        <w:rPr>
          <w:rFonts w:hint="eastAsia" w:eastAsia="仿宋_GB2312" w:cs="仿宋_GB2312"/>
          <w:sz w:val="32"/>
          <w:szCs w:val="32"/>
        </w:rPr>
        <w:t>%。主要变动原因是攀枝花火车南站站前基础设施PPP项目</w:t>
      </w:r>
      <w:r>
        <w:rPr>
          <w:rFonts w:hint="eastAsia" w:eastAsia="仿宋_GB2312" w:cs="仿宋_GB2312"/>
          <w:sz w:val="32"/>
          <w:szCs w:val="32"/>
          <w:lang w:eastAsia="zh-CN"/>
        </w:rPr>
        <w:t>收入</w:t>
      </w:r>
      <w:r>
        <w:rPr>
          <w:rFonts w:hint="eastAsia" w:eastAsia="仿宋_GB2312" w:cs="仿宋_GB2312"/>
          <w:sz w:val="32"/>
          <w:szCs w:val="32"/>
        </w:rPr>
        <w:t>较去年减少2</w:t>
      </w:r>
      <w:r>
        <w:rPr>
          <w:rFonts w:hint="eastAsia" w:eastAsia="仿宋_GB2312" w:cs="仿宋_GB2312"/>
          <w:sz w:val="32"/>
          <w:szCs w:val="32"/>
          <w:lang w:val="en-US" w:eastAsia="zh-CN"/>
        </w:rPr>
        <w:t>,</w:t>
      </w:r>
      <w:r>
        <w:rPr>
          <w:rFonts w:hint="eastAsia" w:eastAsia="仿宋_GB2312" w:cs="仿宋_GB2312"/>
          <w:sz w:val="32"/>
          <w:szCs w:val="32"/>
        </w:rPr>
        <w:t>890万元，攀枝花市生活污水处理设施建设PPP项目</w:t>
      </w:r>
      <w:r>
        <w:rPr>
          <w:rFonts w:hint="eastAsia" w:eastAsia="仿宋_GB2312" w:cs="仿宋_GB2312"/>
          <w:sz w:val="32"/>
          <w:szCs w:val="32"/>
          <w:lang w:eastAsia="zh-CN"/>
        </w:rPr>
        <w:t>收入</w:t>
      </w:r>
      <w:r>
        <w:rPr>
          <w:rFonts w:hint="eastAsia" w:eastAsia="仿宋_GB2312" w:cs="仿宋_GB2312"/>
          <w:sz w:val="32"/>
          <w:szCs w:val="32"/>
        </w:rPr>
        <w:t>较去年减少3</w:t>
      </w:r>
      <w:r>
        <w:rPr>
          <w:rFonts w:hint="eastAsia" w:eastAsia="仿宋_GB2312" w:cs="仿宋_GB2312"/>
          <w:sz w:val="32"/>
          <w:szCs w:val="32"/>
          <w:lang w:val="en-US" w:eastAsia="zh-CN"/>
        </w:rPr>
        <w:t>,</w:t>
      </w:r>
      <w:r>
        <w:rPr>
          <w:rFonts w:hint="eastAsia" w:eastAsia="仿宋_GB2312" w:cs="仿宋_GB2312"/>
          <w:sz w:val="32"/>
          <w:szCs w:val="32"/>
        </w:rPr>
        <w:t>707万元。</w:t>
      </w:r>
    </w:p>
    <w:p>
      <w:pPr>
        <w:pStyle w:val="2"/>
        <w:jc w:val="center"/>
        <w:rPr>
          <w:rFonts w:hint="eastAsia"/>
        </w:rPr>
      </w:pPr>
      <w:r>
        <w:rPr>
          <w:rFonts w:hint="eastAsia" w:eastAsia="仿宋_GB2312" w:cs="仿宋_GB2312"/>
          <w:sz w:val="32"/>
          <w:szCs w:val="32"/>
          <w:lang w:eastAsia="zh-CN"/>
        </w:rPr>
        <w:drawing>
          <wp:inline distT="0" distB="0" distL="114300" distR="114300">
            <wp:extent cx="5080000" cy="2597785"/>
            <wp:effectExtent l="4445" t="4445" r="20955" b="762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2"/>
      </w:pPr>
    </w:p>
    <w:p>
      <w:pPr>
        <w:spacing w:line="600" w:lineRule="exact"/>
        <w:ind w:firstLine="640" w:firstLineChars="200"/>
        <w:jc w:val="center"/>
        <w:rPr>
          <w:rFonts w:eastAsia="仿宋_GB2312" w:cs="仿宋_GB2312"/>
          <w:sz w:val="32"/>
          <w:szCs w:val="32"/>
        </w:rPr>
      </w:pPr>
      <w:r>
        <w:rPr>
          <w:rFonts w:hint="eastAsia" w:eastAsia="仿宋_GB2312" w:cs="仿宋_GB2312"/>
          <w:sz w:val="32"/>
          <w:szCs w:val="32"/>
        </w:rPr>
        <w:t>（图4：财政拨款收、支决算总计变动情况）</w:t>
      </w:r>
    </w:p>
    <w:p>
      <w:pPr>
        <w:spacing w:line="600" w:lineRule="exact"/>
        <w:ind w:firstLine="640"/>
        <w:rPr>
          <w:rFonts w:eastAsia="仿宋_GB2312" w:cs="仿宋_GB2312"/>
          <w:sz w:val="32"/>
          <w:szCs w:val="32"/>
        </w:rPr>
      </w:pPr>
    </w:p>
    <w:p>
      <w:pPr>
        <w:spacing w:line="600" w:lineRule="exact"/>
        <w:ind w:firstLine="640" w:firstLineChars="200"/>
        <w:outlineLvl w:val="1"/>
        <w:rPr>
          <w:rStyle w:val="30"/>
          <w:rFonts w:ascii="Times New Roman" w:hAnsi="Times New Roman" w:eastAsia="黑体"/>
          <w:b w:val="0"/>
        </w:rPr>
      </w:pPr>
      <w:bookmarkStart w:id="63" w:name="_Toc793126707_WPSOffice_Level2"/>
      <w:bookmarkStart w:id="64" w:name="_Toc15396607"/>
      <w:bookmarkStart w:id="65" w:name="_Toc15377209"/>
      <w:r>
        <w:rPr>
          <w:rFonts w:hint="eastAsia" w:eastAsia="黑体"/>
          <w:sz w:val="32"/>
          <w:szCs w:val="32"/>
        </w:rPr>
        <w:t>五、</w:t>
      </w:r>
      <w:r>
        <w:rPr>
          <w:rFonts w:hint="eastAsia" w:eastAsia="黑体"/>
          <w:b/>
          <w:sz w:val="32"/>
          <w:szCs w:val="32"/>
        </w:rPr>
        <w:t>一</w:t>
      </w:r>
      <w:r>
        <w:rPr>
          <w:rStyle w:val="30"/>
          <w:rFonts w:hint="eastAsia" w:ascii="Times New Roman" w:hAnsi="Times New Roman" w:eastAsia="黑体"/>
          <w:b w:val="0"/>
        </w:rPr>
        <w:t>般公共预算财政拨款支出决算情况说明</w:t>
      </w:r>
      <w:bookmarkEnd w:id="63"/>
      <w:bookmarkEnd w:id="64"/>
      <w:bookmarkEnd w:id="65"/>
    </w:p>
    <w:p>
      <w:pPr>
        <w:spacing w:line="600" w:lineRule="exact"/>
        <w:ind w:firstLine="642" w:firstLineChars="200"/>
        <w:outlineLvl w:val="2"/>
        <w:rPr>
          <w:rFonts w:eastAsia="楷体_GB2312" w:cs="楷体_GB2312"/>
          <w:b/>
          <w:sz w:val="32"/>
          <w:szCs w:val="32"/>
        </w:rPr>
      </w:pPr>
      <w:bookmarkStart w:id="66" w:name="_Toc15377210"/>
      <w:r>
        <w:rPr>
          <w:rFonts w:hint="eastAsia" w:eastAsia="楷体_GB2312" w:cs="楷体_GB2312"/>
          <w:b/>
          <w:sz w:val="32"/>
          <w:szCs w:val="32"/>
        </w:rPr>
        <w:t>（一）一般公共预算财政拨款支出决算总体情况</w:t>
      </w:r>
      <w:bookmarkEnd w:id="66"/>
    </w:p>
    <w:p>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2025年度一般公共预算财政拨款支出16</w:t>
      </w:r>
      <w:r>
        <w:rPr>
          <w:rFonts w:hint="eastAsia" w:eastAsia="仿宋_GB2312" w:cs="仿宋_GB2312"/>
          <w:sz w:val="32"/>
          <w:szCs w:val="32"/>
          <w:lang w:val="en-US" w:eastAsia="zh-CN"/>
        </w:rPr>
        <w:t>,</w:t>
      </w:r>
      <w:r>
        <w:rPr>
          <w:rFonts w:hint="eastAsia" w:eastAsia="仿宋_GB2312" w:cs="仿宋_GB2312"/>
          <w:sz w:val="32"/>
          <w:szCs w:val="32"/>
        </w:rPr>
        <w:t>212.46万元，占本年支出合计的</w:t>
      </w:r>
      <w:r>
        <w:rPr>
          <w:rFonts w:hint="eastAsia" w:eastAsia="仿宋_GB2312" w:cs="仿宋_GB2312"/>
          <w:sz w:val="32"/>
          <w:szCs w:val="32"/>
          <w:lang w:val="en-US" w:eastAsia="zh-CN"/>
        </w:rPr>
        <w:t>91.11</w:t>
      </w:r>
      <w:r>
        <w:rPr>
          <w:rFonts w:hint="eastAsia" w:eastAsia="仿宋_GB2312" w:cs="仿宋_GB2312"/>
          <w:sz w:val="32"/>
          <w:szCs w:val="32"/>
        </w:rPr>
        <w:t>%。与上年度相比，一般公共预算财政拨款支出增加</w:t>
      </w:r>
      <w:r>
        <w:rPr>
          <w:rFonts w:hint="eastAsia" w:eastAsia="仿宋_GB2312" w:cs="仿宋_GB2312"/>
          <w:sz w:val="32"/>
          <w:szCs w:val="32"/>
          <w:lang w:val="en-US" w:eastAsia="zh-CN"/>
        </w:rPr>
        <w:t>14,135.89</w:t>
      </w:r>
      <w:r>
        <w:rPr>
          <w:rFonts w:hint="eastAsia" w:eastAsia="仿宋_GB2312" w:cs="仿宋_GB2312"/>
          <w:sz w:val="32"/>
          <w:szCs w:val="32"/>
        </w:rPr>
        <w:t>万元，增长</w:t>
      </w:r>
      <w:r>
        <w:rPr>
          <w:rFonts w:hint="eastAsia" w:eastAsia="仿宋_GB2312" w:cs="仿宋_GB2312"/>
          <w:sz w:val="32"/>
          <w:szCs w:val="32"/>
          <w:lang w:val="en-US" w:eastAsia="zh-CN"/>
        </w:rPr>
        <w:t>680.73</w:t>
      </w:r>
      <w:r>
        <w:rPr>
          <w:rFonts w:hint="eastAsia" w:eastAsia="仿宋_GB2312" w:cs="仿宋_GB2312"/>
          <w:sz w:val="32"/>
          <w:szCs w:val="32"/>
        </w:rPr>
        <w:t>%。主</w:t>
      </w:r>
      <w:r>
        <w:rPr>
          <w:rFonts w:hint="eastAsia" w:eastAsia="仿宋_GB2312" w:cs="仿宋_GB2312"/>
          <w:color w:val="auto"/>
          <w:sz w:val="32"/>
          <w:szCs w:val="32"/>
        </w:rPr>
        <w:t>要变动原</w:t>
      </w:r>
      <w:r>
        <w:rPr>
          <w:rFonts w:hint="eastAsia" w:eastAsia="仿宋_GB2312" w:cs="仿宋_GB2312"/>
          <w:sz w:val="32"/>
          <w:szCs w:val="32"/>
        </w:rPr>
        <w:t>因</w:t>
      </w:r>
      <w:r>
        <w:rPr>
          <w:rFonts w:hint="eastAsia" w:eastAsia="仿宋_GB2312" w:cs="仿宋_GB2312"/>
          <w:sz w:val="32"/>
          <w:szCs w:val="32"/>
          <w:lang w:eastAsia="zh-CN"/>
        </w:rPr>
        <w:t>是</w:t>
      </w:r>
      <w:r>
        <w:rPr>
          <w:rFonts w:hint="eastAsia" w:eastAsia="仿宋_GB2312" w:cs="仿宋_GB2312"/>
          <w:sz w:val="32"/>
          <w:szCs w:val="32"/>
        </w:rPr>
        <w:t>上年</w:t>
      </w:r>
      <w:r>
        <w:rPr>
          <w:rFonts w:hint="eastAsia" w:eastAsia="仿宋_GB2312" w:cs="仿宋_GB2312"/>
          <w:sz w:val="32"/>
          <w:szCs w:val="32"/>
          <w:lang w:eastAsia="zh-CN"/>
        </w:rPr>
        <w:t>度财政下达</w:t>
      </w:r>
      <w:r>
        <w:rPr>
          <w:rFonts w:hint="eastAsia" w:eastAsia="仿宋_GB2312" w:cs="仿宋_GB2312"/>
          <w:sz w:val="32"/>
          <w:szCs w:val="32"/>
        </w:rPr>
        <w:t>攀枝花火车南站站前基础设施PPP项目及攀枝花市生活污水处理设施建设PPP项目</w:t>
      </w:r>
      <w:r>
        <w:rPr>
          <w:rFonts w:hint="eastAsia" w:eastAsia="仿宋_GB2312" w:cs="仿宋_GB2312"/>
          <w:sz w:val="32"/>
          <w:szCs w:val="32"/>
          <w:lang w:eastAsia="zh-CN"/>
        </w:rPr>
        <w:t>科目为</w:t>
      </w:r>
      <w:r>
        <w:rPr>
          <w:rFonts w:hint="eastAsia" w:eastAsia="仿宋_GB2312" w:cs="仿宋_GB2312"/>
          <w:sz w:val="32"/>
          <w:szCs w:val="32"/>
        </w:rPr>
        <w:t>政府性基金预算，而2025年下达</w:t>
      </w:r>
      <w:r>
        <w:rPr>
          <w:rFonts w:hint="eastAsia" w:eastAsia="仿宋_GB2312" w:cs="仿宋_GB2312"/>
          <w:sz w:val="32"/>
          <w:szCs w:val="32"/>
          <w:lang w:eastAsia="zh-CN"/>
        </w:rPr>
        <w:t>科目多为</w:t>
      </w:r>
      <w:r>
        <w:rPr>
          <w:rFonts w:hint="eastAsia" w:eastAsia="仿宋_GB2312" w:cs="仿宋_GB2312"/>
          <w:sz w:val="32"/>
          <w:szCs w:val="32"/>
        </w:rPr>
        <w:t>一般公共预算。</w:t>
      </w:r>
    </w:p>
    <w:p>
      <w:pPr>
        <w:pStyle w:val="2"/>
        <w:spacing w:line="240" w:lineRule="auto"/>
        <w:jc w:val="center"/>
        <w:rPr>
          <w:rFonts w:hint="eastAsia" w:eastAsia="宋体"/>
          <w:lang w:eastAsia="zh-CN"/>
        </w:rPr>
      </w:pPr>
      <w:r>
        <w:rPr>
          <w:rFonts w:hint="eastAsia" w:eastAsia="宋体"/>
          <w:lang w:eastAsia="zh-CN"/>
        </w:rPr>
        <w:drawing>
          <wp:inline distT="0" distB="0" distL="114300" distR="114300">
            <wp:extent cx="5080000" cy="3810000"/>
            <wp:effectExtent l="4445" t="4445" r="20955" b="1460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rPr>
          <w:rFonts w:eastAsia="仿宋_GB2312" w:cs="仿宋_GB2312"/>
          <w:sz w:val="32"/>
          <w:szCs w:val="32"/>
        </w:rPr>
      </w:pPr>
      <w:r>
        <w:rPr>
          <w:rFonts w:hint="eastAsia" w:eastAsia="仿宋_GB2312" w:cs="仿宋_GB2312"/>
          <w:sz w:val="32"/>
          <w:szCs w:val="32"/>
        </w:rPr>
        <w:t>（图5：一般公共预算财政拨款支出决算变动情况）</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67" w:name="_Toc15377211"/>
      <w:r>
        <w:rPr>
          <w:rFonts w:hint="eastAsia" w:eastAsia="楷体_GB2312" w:cs="楷体_GB2312"/>
          <w:b/>
          <w:sz w:val="32"/>
          <w:szCs w:val="32"/>
        </w:rPr>
        <w:t>（二）一般公共预算财政拨款支出决算结构情况</w:t>
      </w:r>
      <w:bookmarkEnd w:id="67"/>
    </w:p>
    <w:p>
      <w:pPr>
        <w:spacing w:line="600" w:lineRule="exact"/>
        <w:ind w:firstLine="640"/>
        <w:rPr>
          <w:rFonts w:hint="eastAsia" w:eastAsia="仿宋_GB2312" w:cs="仿宋_GB2312"/>
          <w:color w:val="0070C0"/>
          <w:sz w:val="32"/>
          <w:szCs w:val="32"/>
          <w:lang w:eastAsia="zh-CN"/>
        </w:rPr>
      </w:pPr>
      <w:r>
        <w:rPr>
          <w:rFonts w:hint="eastAsia" w:eastAsia="仿宋_GB2312" w:cs="仿宋_GB2312"/>
          <w:sz w:val="32"/>
          <w:szCs w:val="32"/>
        </w:rPr>
        <w:t>2025年度一般公共预算财政拨款支出16</w:t>
      </w:r>
      <w:r>
        <w:rPr>
          <w:rFonts w:hint="eastAsia" w:eastAsia="仿宋_GB2312" w:cs="仿宋_GB2312"/>
          <w:sz w:val="32"/>
          <w:szCs w:val="32"/>
          <w:lang w:val="en-US" w:eastAsia="zh-CN"/>
        </w:rPr>
        <w:t>,</w:t>
      </w:r>
      <w:r>
        <w:rPr>
          <w:rFonts w:hint="eastAsia" w:eastAsia="仿宋_GB2312" w:cs="仿宋_GB2312"/>
          <w:sz w:val="32"/>
          <w:szCs w:val="32"/>
        </w:rPr>
        <w:t>212.46万元，主要用于以下方面：</w:t>
      </w:r>
      <w:r>
        <w:rPr>
          <w:rFonts w:hint="eastAsia" w:eastAsia="仿宋_GB2312" w:cs="仿宋_GB2312"/>
          <w:color w:val="auto"/>
          <w:sz w:val="32"/>
          <w:szCs w:val="32"/>
        </w:rPr>
        <w:t>一般公共服务支出15.87万元，占</w:t>
      </w:r>
      <w:r>
        <w:rPr>
          <w:rFonts w:hint="eastAsia" w:eastAsia="仿宋_GB2312" w:cs="仿宋_GB2312"/>
          <w:color w:val="auto"/>
          <w:sz w:val="32"/>
          <w:szCs w:val="32"/>
          <w:lang w:val="en-US" w:eastAsia="zh-CN"/>
        </w:rPr>
        <w:t>0.1</w:t>
      </w:r>
      <w:r>
        <w:rPr>
          <w:rFonts w:hint="eastAsia" w:eastAsia="仿宋_GB2312" w:cs="仿宋_GB2312"/>
          <w:color w:val="auto"/>
          <w:sz w:val="32"/>
          <w:szCs w:val="32"/>
        </w:rPr>
        <w:t>%；社会保障和就业支出532.09万元，占</w:t>
      </w:r>
      <w:r>
        <w:rPr>
          <w:rFonts w:hint="eastAsia" w:eastAsia="仿宋_GB2312" w:cs="仿宋_GB2312"/>
          <w:color w:val="auto"/>
          <w:sz w:val="32"/>
          <w:szCs w:val="32"/>
          <w:lang w:val="en-US" w:eastAsia="zh-CN"/>
        </w:rPr>
        <w:t>3.28</w:t>
      </w:r>
      <w:r>
        <w:rPr>
          <w:rFonts w:hint="eastAsia" w:eastAsia="仿宋_GB2312" w:cs="仿宋_GB2312"/>
          <w:color w:val="auto"/>
          <w:sz w:val="32"/>
          <w:szCs w:val="32"/>
        </w:rPr>
        <w:t>%；卫生健康支出59.37万元，占</w:t>
      </w:r>
      <w:r>
        <w:rPr>
          <w:rFonts w:hint="eastAsia" w:eastAsia="仿宋_GB2312" w:cs="仿宋_GB2312"/>
          <w:color w:val="auto"/>
          <w:sz w:val="32"/>
          <w:szCs w:val="32"/>
          <w:lang w:val="en-US" w:eastAsia="zh-CN"/>
        </w:rPr>
        <w:t>0.37</w:t>
      </w:r>
      <w:r>
        <w:rPr>
          <w:rFonts w:hint="eastAsia" w:eastAsia="仿宋_GB2312" w:cs="仿宋_GB2312"/>
          <w:color w:val="auto"/>
          <w:sz w:val="32"/>
          <w:szCs w:val="32"/>
        </w:rPr>
        <w:t>%；</w:t>
      </w:r>
      <w:r>
        <w:rPr>
          <w:rFonts w:hint="eastAsia" w:eastAsia="仿宋_GB2312" w:cs="仿宋_GB2312"/>
          <w:color w:val="auto"/>
          <w:sz w:val="32"/>
          <w:szCs w:val="32"/>
          <w:lang w:eastAsia="zh-CN"/>
        </w:rPr>
        <w:t>城乡社区</w:t>
      </w:r>
      <w:r>
        <w:rPr>
          <w:rFonts w:hint="eastAsia" w:eastAsia="仿宋_GB2312" w:cs="仿宋_GB2312"/>
          <w:color w:val="auto"/>
          <w:sz w:val="32"/>
          <w:szCs w:val="32"/>
        </w:rPr>
        <w:t>支出15</w:t>
      </w:r>
      <w:r>
        <w:rPr>
          <w:rFonts w:hint="eastAsia" w:eastAsia="仿宋_GB2312" w:cs="仿宋_GB2312"/>
          <w:color w:val="auto"/>
          <w:sz w:val="32"/>
          <w:szCs w:val="32"/>
          <w:lang w:val="en-US" w:eastAsia="zh-CN"/>
        </w:rPr>
        <w:t>,</w:t>
      </w:r>
      <w:r>
        <w:rPr>
          <w:rFonts w:hint="eastAsia" w:eastAsia="仿宋_GB2312" w:cs="仿宋_GB2312"/>
          <w:color w:val="auto"/>
          <w:sz w:val="32"/>
          <w:szCs w:val="32"/>
        </w:rPr>
        <w:t>533.36万元，占</w:t>
      </w:r>
      <w:r>
        <w:rPr>
          <w:rFonts w:hint="eastAsia" w:eastAsia="仿宋_GB2312" w:cs="仿宋_GB2312"/>
          <w:color w:val="auto"/>
          <w:sz w:val="32"/>
          <w:szCs w:val="32"/>
          <w:lang w:val="en-US" w:eastAsia="zh-CN"/>
        </w:rPr>
        <w:t>95.81</w:t>
      </w:r>
      <w:r>
        <w:rPr>
          <w:rFonts w:hint="eastAsia" w:eastAsia="仿宋_GB2312" w:cs="仿宋_GB2312"/>
          <w:color w:val="auto"/>
          <w:sz w:val="32"/>
          <w:szCs w:val="32"/>
        </w:rPr>
        <w:t>%；住房保障支出71.77万元，占</w:t>
      </w:r>
      <w:r>
        <w:rPr>
          <w:rFonts w:hint="eastAsia" w:eastAsia="仿宋_GB2312" w:cs="仿宋_GB2312"/>
          <w:color w:val="auto"/>
          <w:sz w:val="32"/>
          <w:szCs w:val="32"/>
          <w:lang w:val="en-US" w:eastAsia="zh-CN"/>
        </w:rPr>
        <w:t>0.44</w:t>
      </w:r>
      <w:r>
        <w:rPr>
          <w:rFonts w:hint="eastAsia" w:eastAsia="仿宋_GB2312" w:cs="仿宋_GB2312"/>
          <w:color w:val="auto"/>
          <w:sz w:val="32"/>
          <w:szCs w:val="32"/>
        </w:rPr>
        <w:t>%</w:t>
      </w:r>
      <w:r>
        <w:rPr>
          <w:rFonts w:hint="eastAsia" w:eastAsia="仿宋_GB2312" w:cs="仿宋_GB2312"/>
          <w:color w:val="auto"/>
          <w:sz w:val="32"/>
          <w:szCs w:val="32"/>
          <w:lang w:eastAsia="zh-CN"/>
        </w:rPr>
        <w:t>。</w:t>
      </w:r>
    </w:p>
    <w:p>
      <w:pPr>
        <w:pStyle w:val="2"/>
        <w:jc w:val="center"/>
        <w:rPr>
          <w:rFonts w:hint="eastAsia"/>
          <w:lang w:eastAsia="zh-CN"/>
        </w:rPr>
      </w:pPr>
      <w:r>
        <w:rPr>
          <w:rFonts w:hint="eastAsia"/>
          <w:lang w:eastAsia="zh-CN"/>
        </w:rPr>
        <w:drawing>
          <wp:inline distT="0" distB="0" distL="114300" distR="114300">
            <wp:extent cx="5080000" cy="3810000"/>
            <wp:effectExtent l="4445" t="4445" r="20955" b="1460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line="600" w:lineRule="exact"/>
        <w:ind w:firstLine="640"/>
        <w:jc w:val="center"/>
        <w:rPr>
          <w:rFonts w:eastAsia="仿宋_GB2312" w:cs="仿宋_GB2312"/>
          <w:sz w:val="32"/>
          <w:szCs w:val="32"/>
        </w:rPr>
      </w:pPr>
      <w:r>
        <w:rPr>
          <w:rFonts w:hint="eastAsia" w:eastAsia="仿宋_GB2312" w:cs="仿宋_GB2312"/>
          <w:sz w:val="32"/>
          <w:szCs w:val="32"/>
        </w:rPr>
        <w:t>（图6：一般公共预算财政拨款支出决算结构）</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68" w:name="_Toc15377212"/>
      <w:r>
        <w:rPr>
          <w:rFonts w:hint="eastAsia" w:eastAsia="楷体_GB2312" w:cs="楷体_GB2312"/>
          <w:b/>
          <w:sz w:val="32"/>
          <w:szCs w:val="32"/>
        </w:rPr>
        <w:t>（三）一般公共预算财政拨款支出决算具体情况</w:t>
      </w:r>
      <w:bookmarkEnd w:id="68"/>
    </w:p>
    <w:p>
      <w:pPr>
        <w:spacing w:line="600" w:lineRule="exact"/>
        <w:ind w:firstLine="640"/>
        <w:rPr>
          <w:rFonts w:eastAsia="仿宋_GB2312" w:cs="仿宋_GB2312"/>
          <w:sz w:val="32"/>
          <w:szCs w:val="32"/>
        </w:rPr>
      </w:pPr>
      <w:bookmarkStart w:id="69" w:name="_Toc15377213"/>
      <w:bookmarkStart w:id="70" w:name="_Toc15377444"/>
      <w:bookmarkStart w:id="71" w:name="_Toc15378460"/>
      <w:r>
        <w:rPr>
          <w:rFonts w:hint="eastAsia" w:eastAsia="仿宋_GB2312" w:cs="仿宋_GB2312"/>
          <w:sz w:val="32"/>
          <w:szCs w:val="32"/>
        </w:rPr>
        <w:t>2025年度一般公共预算支出决算数为16</w:t>
      </w:r>
      <w:r>
        <w:rPr>
          <w:rFonts w:hint="eastAsia" w:eastAsia="仿宋_GB2312" w:cs="仿宋_GB2312"/>
          <w:sz w:val="32"/>
          <w:szCs w:val="32"/>
          <w:lang w:val="en-US" w:eastAsia="zh-CN"/>
        </w:rPr>
        <w:t>,</w:t>
      </w:r>
      <w:r>
        <w:rPr>
          <w:rFonts w:hint="eastAsia" w:eastAsia="仿宋_GB2312" w:cs="仿宋_GB2312"/>
          <w:sz w:val="32"/>
          <w:szCs w:val="32"/>
        </w:rPr>
        <w:t>212.46</w:t>
      </w:r>
      <w:r>
        <w:rPr>
          <w:rFonts w:hint="eastAsia" w:eastAsia="仿宋_GB2312" w:cs="仿宋_GB2312"/>
          <w:sz w:val="32"/>
          <w:szCs w:val="32"/>
          <w:lang w:eastAsia="zh-CN"/>
        </w:rPr>
        <w:t>万元</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69"/>
      <w:bookmarkEnd w:id="70"/>
      <w:bookmarkEnd w:id="71"/>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eastAsia="仿宋_GB2312" w:cs="仿宋_GB2312"/>
          <w:sz w:val="32"/>
          <w:szCs w:val="32"/>
        </w:rPr>
      </w:pPr>
      <w:r>
        <w:rPr>
          <w:rFonts w:hint="eastAsia" w:eastAsia="仿宋_GB2312" w:cs="仿宋_GB2312"/>
          <w:sz w:val="32"/>
          <w:szCs w:val="32"/>
          <w:lang w:val="en-US" w:eastAsia="zh-CN"/>
        </w:rPr>
        <w:t>1.</w:t>
      </w:r>
      <w:r>
        <w:rPr>
          <w:rFonts w:hint="eastAsia" w:eastAsia="仿宋_GB2312" w:cs="仿宋_GB2312"/>
          <w:sz w:val="32"/>
          <w:szCs w:val="32"/>
        </w:rPr>
        <w:t>一般公共服务（类）</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eastAsia="仿宋_GB2312" w:cs="仿宋_GB2312"/>
          <w:sz w:val="32"/>
          <w:szCs w:val="32"/>
          <w:lang w:eastAsia="zh-CN"/>
        </w:rPr>
      </w:pPr>
      <w:r>
        <w:rPr>
          <w:rFonts w:hint="eastAsia" w:eastAsia="仿宋_GB2312" w:cs="仿宋_GB2312"/>
          <w:sz w:val="32"/>
          <w:szCs w:val="32"/>
        </w:rPr>
        <w:t>组织事务（款）其他组织事务支出（项）：支出决算为</w:t>
      </w:r>
      <w:r>
        <w:rPr>
          <w:rFonts w:hint="eastAsia" w:eastAsia="仿宋_GB2312" w:cs="仿宋_GB2312"/>
          <w:sz w:val="32"/>
          <w:szCs w:val="32"/>
          <w:lang w:val="en-US" w:eastAsia="zh-CN"/>
        </w:rPr>
        <w:t>15.87</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eastAsia="zh-CN"/>
        </w:rPr>
        <w:t>。</w:t>
      </w:r>
    </w:p>
    <w:p>
      <w:pPr>
        <w:pStyle w:val="2"/>
        <w:keepNext w:val="0"/>
        <w:keepLines w:val="0"/>
        <w:pageBreakBefore w:val="0"/>
        <w:widowControl w:val="0"/>
        <w:numPr>
          <w:ilvl w:val="0"/>
          <w:numId w:val="0"/>
        </w:numPr>
        <w:kinsoku/>
        <w:wordWrap/>
        <w:overflowPunct/>
        <w:topLinePunct w:val="0"/>
        <w:autoSpaceDE/>
        <w:autoSpaceDN/>
        <w:bidi w:val="0"/>
        <w:adjustRightInd/>
        <w:snapToGrid w:val="0"/>
        <w:spacing w:line="578" w:lineRule="exact"/>
        <w:ind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社会保障和就业（类）</w:t>
      </w:r>
    </w:p>
    <w:p>
      <w:pPr>
        <w:keepNext w:val="0"/>
        <w:keepLines w:val="0"/>
        <w:pageBreakBefore w:val="0"/>
        <w:widowControl w:val="0"/>
        <w:kinsoku/>
        <w:wordWrap/>
        <w:overflowPunct/>
        <w:topLinePunct w:val="0"/>
        <w:autoSpaceDE/>
        <w:bidi w:val="0"/>
        <w:adjustRightInd/>
        <w:spacing w:line="578" w:lineRule="exact"/>
        <w:ind w:firstLine="640" w:firstLineChars="200"/>
        <w:jc w:val="both"/>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人力资源和社会保障管理事务（款）其他人力资源和社会保障管理事务支出（项）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bidi w:val="0"/>
        <w:adjustRightInd/>
        <w:spacing w:line="578" w:lineRule="exact"/>
        <w:ind w:firstLine="640" w:firstLineChars="200"/>
        <w:jc w:val="both"/>
        <w:textAlignment w:val="auto"/>
        <w:rPr>
          <w:rFonts w:hint="eastAsia"/>
          <w:lang w:eastAsia="zh-CN"/>
        </w:rPr>
      </w:pPr>
      <w:r>
        <w:rPr>
          <w:rStyle w:val="18"/>
          <w:rFonts w:hint="eastAsia" w:ascii="仿宋_GB2312" w:hAnsi="仿宋_GB2312" w:eastAsia="仿宋_GB2312" w:cs="仿宋_GB2312"/>
          <w:b w:val="0"/>
          <w:bCs w:val="0"/>
          <w:sz w:val="32"/>
          <w:szCs w:val="32"/>
        </w:rPr>
        <w:t>行政事业单位养老支出（款）行政单位离退休（项）</w:t>
      </w:r>
      <w:r>
        <w:rPr>
          <w:rStyle w:val="18"/>
          <w:rFonts w:hint="eastAsia" w:ascii="仿宋_GB2312" w:hAnsi="仿宋_GB2312" w:eastAsia="仿宋_GB2312" w:cs="仿宋_GB2312"/>
          <w:b w:val="0"/>
          <w:bCs w:val="0"/>
          <w:sz w:val="32"/>
          <w:szCs w:val="32"/>
          <w:lang w:eastAsia="zh-CN"/>
        </w:rPr>
        <w:t>：</w:t>
      </w:r>
      <w:r>
        <w:rPr>
          <w:rStyle w:val="18"/>
          <w:rFonts w:hint="eastAsia" w:ascii="仿宋_GB2312" w:hAnsi="仿宋_GB2312" w:eastAsia="仿宋_GB2312" w:cs="仿宋_GB2312"/>
          <w:b w:val="0"/>
          <w:sz w:val="32"/>
          <w:szCs w:val="32"/>
        </w:rPr>
        <w:t>支出决算为</w:t>
      </w:r>
      <w:r>
        <w:rPr>
          <w:rFonts w:hint="eastAsia" w:eastAsia="仿宋_GB2312" w:cs="仿宋_GB2312"/>
          <w:color w:val="auto"/>
          <w:kern w:val="2"/>
          <w:sz w:val="32"/>
          <w:szCs w:val="32"/>
          <w:highlight w:val="none"/>
          <w:lang w:val="en-US" w:eastAsia="zh-CN" w:bidi="ar-SA"/>
        </w:rPr>
        <w:t>311.01</w:t>
      </w:r>
      <w:r>
        <w:rPr>
          <w:rStyle w:val="18"/>
          <w:rFonts w:hint="eastAsia" w:ascii="仿宋_GB2312" w:hAnsi="仿宋_GB2312" w:eastAsia="仿宋_GB2312" w:cs="仿宋_GB2312"/>
          <w:b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Style w:val="18"/>
          <w:rFonts w:hint="eastAsia" w:ascii="仿宋_GB2312" w:hAnsi="仿宋_GB2312" w:eastAsia="仿宋_GB2312" w:cs="仿宋_GB2312"/>
          <w:b w:val="0"/>
          <w:sz w:val="32"/>
          <w:szCs w:val="32"/>
          <w:lang w:eastAsia="zh-CN"/>
        </w:rPr>
        <w:t>，</w:t>
      </w:r>
      <w:r>
        <w:rPr>
          <w:rStyle w:val="18"/>
          <w:rFonts w:hint="eastAsia" w:ascii="仿宋_GB2312" w:hAnsi="仿宋_GB2312" w:eastAsia="仿宋_GB2312" w:cs="仿宋_GB2312"/>
          <w:b w:val="0"/>
          <w:bCs w:val="0"/>
          <w:sz w:val="32"/>
          <w:szCs w:val="32"/>
        </w:rPr>
        <w:t>机关事业单位基本养老保险费支出（项）：</w:t>
      </w:r>
      <w:r>
        <w:rPr>
          <w:rStyle w:val="18"/>
          <w:rFonts w:hint="eastAsia" w:ascii="仿宋_GB2312" w:hAnsi="仿宋_GB2312" w:eastAsia="仿宋_GB2312" w:cs="仿宋_GB2312"/>
          <w:b w:val="0"/>
          <w:sz w:val="32"/>
          <w:szCs w:val="32"/>
        </w:rPr>
        <w:t>支出决算为</w:t>
      </w:r>
      <w:r>
        <w:rPr>
          <w:rFonts w:hint="eastAsia" w:eastAsia="仿宋_GB2312" w:cs="仿宋_GB2312"/>
          <w:color w:val="auto"/>
          <w:kern w:val="2"/>
          <w:sz w:val="32"/>
          <w:szCs w:val="32"/>
          <w:highlight w:val="none"/>
          <w:lang w:val="en-US" w:eastAsia="zh-CN" w:bidi="ar-SA"/>
        </w:rPr>
        <w:t>85.58</w:t>
      </w:r>
      <w:r>
        <w:rPr>
          <w:rStyle w:val="18"/>
          <w:rFonts w:hint="eastAsia" w:ascii="仿宋_GB2312" w:hAnsi="仿宋_GB2312" w:eastAsia="仿宋_GB2312" w:cs="仿宋_GB2312"/>
          <w:b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eastAsia="仿宋_GB2312" w:cs="仿宋_GB2312"/>
          <w:color w:val="auto"/>
          <w:kern w:val="2"/>
          <w:sz w:val="32"/>
          <w:szCs w:val="32"/>
          <w:highlight w:val="none"/>
          <w:lang w:val="en-US" w:eastAsia="zh-CN" w:bidi="ar-SA"/>
        </w:rPr>
        <w:t>，</w:t>
      </w:r>
      <w:r>
        <w:rPr>
          <w:rStyle w:val="18"/>
          <w:rFonts w:hint="eastAsia" w:ascii="仿宋_GB2312" w:hAnsi="仿宋_GB2312" w:eastAsia="仿宋_GB2312" w:cs="仿宋_GB2312"/>
          <w:b w:val="0"/>
          <w:bCs w:val="0"/>
          <w:sz w:val="32"/>
          <w:szCs w:val="32"/>
        </w:rPr>
        <w:t>机关事业单位职业年金缴费支出（项）：</w:t>
      </w:r>
      <w:r>
        <w:rPr>
          <w:rStyle w:val="18"/>
          <w:rFonts w:hint="eastAsia" w:ascii="仿宋_GB2312" w:hAnsi="仿宋_GB2312" w:eastAsia="仿宋_GB2312" w:cs="仿宋_GB2312"/>
          <w:b w:val="0"/>
          <w:sz w:val="32"/>
          <w:szCs w:val="32"/>
        </w:rPr>
        <w:t>支出决算为</w:t>
      </w:r>
      <w:r>
        <w:rPr>
          <w:rFonts w:hint="eastAsia" w:eastAsia="仿宋_GB2312" w:cs="仿宋_GB2312"/>
          <w:color w:val="auto"/>
          <w:kern w:val="2"/>
          <w:sz w:val="32"/>
          <w:szCs w:val="32"/>
          <w:highlight w:val="none"/>
          <w:lang w:val="en-US" w:eastAsia="zh-CN" w:bidi="ar-SA"/>
        </w:rPr>
        <w:t>22.25</w:t>
      </w:r>
      <w:r>
        <w:rPr>
          <w:rStyle w:val="18"/>
          <w:rFonts w:hint="eastAsia" w:ascii="仿宋_GB2312" w:hAnsi="仿宋_GB2312" w:eastAsia="仿宋_GB2312" w:cs="仿宋_GB2312"/>
          <w:b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Style w:val="18"/>
          <w:rFonts w:hint="eastAsia" w:ascii="仿宋_GB2312" w:hAnsi="仿宋_GB2312" w:eastAsia="仿宋_GB2312" w:cs="仿宋_GB2312"/>
          <w:b w:val="0"/>
          <w:sz w:val="32"/>
          <w:szCs w:val="32"/>
          <w:lang w:eastAsia="zh-CN"/>
        </w:rPr>
        <w:t>。</w:t>
      </w:r>
    </w:p>
    <w:p>
      <w:pPr>
        <w:keepNext w:val="0"/>
        <w:keepLines w:val="0"/>
        <w:pageBreakBefore w:val="0"/>
        <w:widowControl w:val="0"/>
        <w:kinsoku/>
        <w:wordWrap/>
        <w:overflowPunct/>
        <w:topLinePunct w:val="0"/>
        <w:autoSpaceDE/>
        <w:bidi w:val="0"/>
        <w:adjustRightInd/>
        <w:spacing w:line="578" w:lineRule="exact"/>
        <w:ind w:firstLine="640" w:firstLineChars="200"/>
        <w:jc w:val="both"/>
        <w:textAlignment w:val="auto"/>
        <w:rPr>
          <w:rStyle w:val="18"/>
          <w:rFonts w:hint="eastAsia" w:ascii="仿宋_GB2312" w:hAnsi="仿宋_GB2312" w:eastAsia="仿宋_GB2312" w:cs="仿宋_GB2312"/>
          <w:b w:val="0"/>
          <w:sz w:val="32"/>
          <w:szCs w:val="32"/>
        </w:rPr>
      </w:pPr>
      <w:r>
        <w:rPr>
          <w:rStyle w:val="18"/>
          <w:rFonts w:hint="eastAsia" w:ascii="仿宋_GB2312" w:hAnsi="仿宋_GB2312" w:eastAsia="仿宋_GB2312" w:cs="仿宋_GB2312"/>
          <w:b w:val="0"/>
          <w:bCs w:val="0"/>
          <w:sz w:val="32"/>
          <w:szCs w:val="32"/>
        </w:rPr>
        <w:t>抚恤（款）死亡抚恤（项）：</w:t>
      </w:r>
      <w:r>
        <w:rPr>
          <w:rStyle w:val="18"/>
          <w:rFonts w:hint="eastAsia" w:ascii="仿宋_GB2312" w:hAnsi="仿宋_GB2312" w:eastAsia="仿宋_GB2312" w:cs="仿宋_GB2312"/>
          <w:b w:val="0"/>
          <w:sz w:val="32"/>
          <w:szCs w:val="32"/>
        </w:rPr>
        <w:t>支出决算为</w:t>
      </w:r>
      <w:r>
        <w:rPr>
          <w:rFonts w:hint="eastAsia" w:eastAsia="仿宋_GB2312" w:cs="仿宋_GB2312"/>
          <w:color w:val="auto"/>
          <w:kern w:val="2"/>
          <w:sz w:val="32"/>
          <w:szCs w:val="32"/>
          <w:highlight w:val="none"/>
          <w:lang w:val="en-US" w:eastAsia="zh-CN" w:bidi="ar-SA"/>
        </w:rPr>
        <w:t>104.96</w:t>
      </w:r>
      <w:r>
        <w:rPr>
          <w:rStyle w:val="18"/>
          <w:rFonts w:hint="eastAsia" w:ascii="仿宋_GB2312" w:hAnsi="仿宋_GB2312" w:eastAsia="仿宋_GB2312" w:cs="仿宋_GB2312"/>
          <w:b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Style w:val="18"/>
          <w:rFonts w:hint="eastAsia" w:ascii="仿宋_GB2312" w:hAnsi="仿宋_GB2312" w:eastAsia="仿宋_GB2312" w:cs="仿宋_GB2312"/>
          <w:b w:val="0"/>
          <w:sz w:val="32"/>
          <w:szCs w:val="32"/>
        </w:rPr>
        <w:t>。</w:t>
      </w:r>
    </w:p>
    <w:p>
      <w:pPr>
        <w:keepNext w:val="0"/>
        <w:keepLines w:val="0"/>
        <w:pageBreakBefore w:val="0"/>
        <w:widowControl w:val="0"/>
        <w:kinsoku/>
        <w:wordWrap/>
        <w:overflowPunct/>
        <w:topLinePunct w:val="0"/>
        <w:autoSpaceDE/>
        <w:bidi w:val="0"/>
        <w:adjustRightInd/>
        <w:spacing w:line="578" w:lineRule="exact"/>
        <w:ind w:firstLine="640" w:firstLineChars="200"/>
        <w:jc w:val="both"/>
        <w:textAlignment w:val="auto"/>
      </w:pPr>
      <w:r>
        <w:rPr>
          <w:rStyle w:val="18"/>
          <w:rFonts w:hint="eastAsia" w:ascii="仿宋_GB2312" w:hAnsi="仿宋_GB2312" w:eastAsia="仿宋_GB2312" w:cs="仿宋_GB2312"/>
          <w:b w:val="0"/>
          <w:bCs w:val="0"/>
          <w:sz w:val="32"/>
          <w:szCs w:val="32"/>
        </w:rPr>
        <w:t>社会福利（款）儿童福利（项）：</w:t>
      </w:r>
      <w:r>
        <w:rPr>
          <w:rStyle w:val="18"/>
          <w:rFonts w:hint="eastAsia" w:ascii="仿宋_GB2312" w:hAnsi="仿宋_GB2312" w:eastAsia="仿宋_GB2312" w:cs="仿宋_GB2312"/>
          <w:b w:val="0"/>
          <w:sz w:val="32"/>
          <w:szCs w:val="32"/>
        </w:rPr>
        <w:t>支出决算为</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29</w:t>
      </w:r>
      <w:r>
        <w:rPr>
          <w:rStyle w:val="18"/>
          <w:rFonts w:hint="eastAsia" w:ascii="仿宋_GB2312" w:hAnsi="仿宋_GB2312" w:eastAsia="仿宋_GB2312" w:cs="仿宋_GB2312"/>
          <w:b w:val="0"/>
          <w:sz w:val="32"/>
          <w:szCs w:val="32"/>
        </w:rPr>
        <w:t>万元，完成预算</w:t>
      </w:r>
      <w:r>
        <w:rPr>
          <w:rFonts w:hint="eastAsia" w:ascii="Times New Roman" w:hAnsi="Times New Roman" w:eastAsia="仿宋_GB2312" w:cs="仿宋_GB2312"/>
          <w:color w:val="auto"/>
          <w:kern w:val="2"/>
          <w:sz w:val="32"/>
          <w:szCs w:val="32"/>
          <w:highlight w:val="none"/>
          <w:lang w:val="en-US" w:eastAsia="zh-CN" w:bidi="ar-SA"/>
        </w:rPr>
        <w:t>100%。</w:t>
      </w:r>
    </w:p>
    <w:p>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卫生健康（类）</w:t>
      </w:r>
    </w:p>
    <w:p>
      <w:pPr>
        <w:keepNext w:val="0"/>
        <w:keepLines w:val="0"/>
        <w:pageBreakBefore w:val="0"/>
        <w:widowControl w:val="0"/>
        <w:kinsoku/>
        <w:wordWrap/>
        <w:overflowPunct/>
        <w:topLinePunct w:val="0"/>
        <w:autoSpaceDE/>
        <w:bidi w:val="0"/>
        <w:adjustRightInd/>
        <w:spacing w:line="578" w:lineRule="exact"/>
        <w:ind w:firstLine="640" w:firstLineChars="200"/>
        <w:jc w:val="both"/>
        <w:textAlignment w:val="auto"/>
        <w:rPr>
          <w:rFonts w:hint="eastAsia" w:ascii="仿宋_GB2312" w:hAnsi="仿宋_GB2312" w:eastAsia="仿宋_GB2312" w:cs="仿宋_GB2312"/>
          <w:b w:val="0"/>
          <w:bCs w:val="0"/>
          <w:sz w:val="32"/>
          <w:szCs w:val="32"/>
          <w:lang w:eastAsia="zh-CN" w:bidi="ar"/>
        </w:rPr>
      </w:pPr>
      <w:r>
        <w:rPr>
          <w:rFonts w:hint="eastAsia" w:ascii="仿宋_GB2312" w:hAnsi="仿宋_GB2312" w:eastAsia="仿宋_GB2312" w:cs="仿宋_GB2312"/>
          <w:b w:val="0"/>
          <w:bCs w:val="0"/>
          <w:sz w:val="32"/>
          <w:szCs w:val="32"/>
          <w:lang w:bidi="ar"/>
        </w:rPr>
        <w:t>公共卫生</w:t>
      </w:r>
      <w:r>
        <w:rPr>
          <w:rFonts w:hint="eastAsia" w:ascii="仿宋_GB2312" w:hAnsi="仿宋_GB2312" w:eastAsia="仿宋_GB2312" w:cs="仿宋_GB2312"/>
          <w:b w:val="0"/>
          <w:bCs w:val="0"/>
          <w:sz w:val="32"/>
          <w:szCs w:val="32"/>
          <w:lang w:eastAsia="zh-CN" w:bidi="ar"/>
        </w:rPr>
        <w:t>（款）重大公共卫生服务（项）：</w:t>
      </w:r>
      <w:r>
        <w:rPr>
          <w:rFonts w:hint="eastAsia" w:ascii="仿宋_GB2312" w:hAnsi="仿宋_GB2312" w:eastAsia="仿宋_GB2312" w:cs="仿宋_GB2312"/>
          <w:sz w:val="32"/>
          <w:szCs w:val="32"/>
          <w:lang w:bidi="ar"/>
        </w:rPr>
        <w:t>支出决算为</w:t>
      </w:r>
      <w:r>
        <w:rPr>
          <w:rFonts w:hint="eastAsia" w:eastAsia="仿宋_GB2312" w:cs="仿宋_GB2312"/>
          <w:color w:val="auto"/>
          <w:kern w:val="2"/>
          <w:sz w:val="32"/>
          <w:szCs w:val="32"/>
          <w:highlight w:val="none"/>
          <w:lang w:val="en-US" w:eastAsia="zh-CN" w:bidi="ar-SA"/>
        </w:rPr>
        <w:t>1</w:t>
      </w:r>
      <w:r>
        <w:rPr>
          <w:rFonts w:hint="eastAsia" w:ascii="仿宋_GB2312" w:hAnsi="仿宋_GB2312" w:eastAsia="仿宋_GB2312" w:cs="仿宋_GB2312"/>
          <w:sz w:val="32"/>
          <w:szCs w:val="32"/>
          <w:lang w:bidi="ar"/>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eastAsia="仿宋_GB2312" w:cs="仿宋_GB2312"/>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bidi w:val="0"/>
        <w:adjustRightInd/>
        <w:spacing w:line="578" w:lineRule="exact"/>
        <w:ind w:firstLine="640" w:firstLineChars="200"/>
        <w:jc w:val="both"/>
        <w:textAlignment w:val="auto"/>
        <w:rPr>
          <w:rFonts w:hint="eastAsia" w:ascii="仿宋_GB2312" w:hAnsi="仿宋_GB2312" w:eastAsia="仿宋_GB2312" w:cs="仿宋_GB2312"/>
          <w:sz w:val="32"/>
          <w:szCs w:val="32"/>
          <w:lang w:eastAsia="zh-CN" w:bidi="ar"/>
        </w:rPr>
      </w:pPr>
      <w:r>
        <w:rPr>
          <w:rFonts w:hint="eastAsia" w:ascii="仿宋_GB2312" w:hAnsi="仿宋_GB2312" w:eastAsia="仿宋_GB2312" w:cs="仿宋_GB2312"/>
          <w:b w:val="0"/>
          <w:bCs w:val="0"/>
          <w:sz w:val="32"/>
          <w:szCs w:val="32"/>
          <w:lang w:bidi="ar"/>
        </w:rPr>
        <w:t>行政事业单位医疗（款）</w:t>
      </w:r>
      <w:r>
        <w:rPr>
          <w:rFonts w:hint="eastAsia" w:ascii="仿宋_GB2312" w:hAnsi="仿宋_GB2312" w:eastAsia="仿宋_GB2312" w:cs="仿宋_GB2312"/>
          <w:color w:val="auto"/>
          <w:sz w:val="32"/>
          <w:szCs w:val="32"/>
          <w:lang w:eastAsia="zh-CN" w:bidi="ar"/>
        </w:rPr>
        <w:t>行政单位医疗</w:t>
      </w:r>
      <w:r>
        <w:rPr>
          <w:rFonts w:hint="eastAsia" w:ascii="仿宋_GB2312" w:hAnsi="仿宋_GB2312" w:eastAsia="仿宋_GB2312" w:cs="仿宋_GB2312"/>
          <w:b w:val="0"/>
          <w:bCs w:val="0"/>
          <w:color w:val="auto"/>
          <w:sz w:val="32"/>
          <w:szCs w:val="32"/>
          <w:lang w:bidi="ar"/>
        </w:rPr>
        <w:t>（项）</w:t>
      </w:r>
      <w:r>
        <w:rPr>
          <w:rFonts w:hint="eastAsia" w:ascii="仿宋_GB2312" w:hAnsi="仿宋_GB2312" w:eastAsia="仿宋_GB2312" w:cs="仿宋_GB2312"/>
          <w:b w:val="0"/>
          <w:bCs w:val="0"/>
          <w:color w:val="auto"/>
          <w:sz w:val="32"/>
          <w:szCs w:val="32"/>
          <w:lang w:eastAsia="zh-CN" w:bidi="ar"/>
        </w:rPr>
        <w:t>：</w:t>
      </w:r>
      <w:r>
        <w:rPr>
          <w:rFonts w:hint="eastAsia" w:ascii="仿宋_GB2312" w:hAnsi="仿宋_GB2312" w:eastAsia="仿宋_GB2312" w:cs="仿宋_GB2312"/>
          <w:sz w:val="32"/>
          <w:szCs w:val="32"/>
          <w:lang w:bidi="ar"/>
        </w:rPr>
        <w:t>支出决算为</w:t>
      </w: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7.77</w:t>
      </w:r>
      <w:r>
        <w:rPr>
          <w:rFonts w:hint="eastAsia" w:ascii="仿宋_GB2312" w:hAnsi="仿宋_GB2312" w:eastAsia="仿宋_GB2312" w:cs="仿宋_GB2312"/>
          <w:sz w:val="32"/>
          <w:szCs w:val="32"/>
          <w:lang w:bidi="ar"/>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b w:val="0"/>
          <w:bCs w:val="0"/>
          <w:sz w:val="32"/>
          <w:szCs w:val="32"/>
          <w:lang w:bidi="ar"/>
        </w:rPr>
        <w:t>公务员医疗补助（项）</w:t>
      </w:r>
      <w:r>
        <w:rPr>
          <w:rFonts w:hint="eastAsia" w:ascii="仿宋_GB2312" w:hAnsi="仿宋_GB2312" w:eastAsia="仿宋_GB2312" w:cs="仿宋_GB2312"/>
          <w:b w:val="0"/>
          <w:bCs w:val="0"/>
          <w:sz w:val="32"/>
          <w:szCs w:val="32"/>
          <w:lang w:eastAsia="zh-CN" w:bidi="ar"/>
        </w:rPr>
        <w:t>：</w:t>
      </w:r>
      <w:r>
        <w:rPr>
          <w:rFonts w:hint="eastAsia" w:ascii="仿宋_GB2312" w:hAnsi="仿宋_GB2312" w:eastAsia="仿宋_GB2312" w:cs="仿宋_GB2312"/>
          <w:sz w:val="32"/>
          <w:szCs w:val="32"/>
          <w:lang w:bidi="ar"/>
        </w:rPr>
        <w:t>支出决算为</w:t>
      </w:r>
      <w:r>
        <w:rPr>
          <w:rFonts w:hint="eastAsia" w:ascii="Times New Roman" w:hAnsi="Times New Roman"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en-US" w:eastAsia="zh-CN" w:bidi="ar-SA"/>
        </w:rPr>
        <w:t>53</w:t>
      </w:r>
      <w:r>
        <w:rPr>
          <w:rFonts w:hint="eastAsia" w:ascii="仿宋_GB2312" w:hAnsi="仿宋_GB2312" w:eastAsia="仿宋_GB2312" w:cs="仿宋_GB2312"/>
          <w:sz w:val="32"/>
          <w:szCs w:val="32"/>
          <w:lang w:bidi="ar"/>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b w:val="0"/>
          <w:bCs w:val="0"/>
          <w:sz w:val="32"/>
          <w:szCs w:val="32"/>
          <w:lang w:bidi="ar"/>
        </w:rPr>
        <w:t>其他行政事业单位医疗支出（项）</w:t>
      </w:r>
      <w:r>
        <w:rPr>
          <w:rFonts w:hint="eastAsia" w:ascii="仿宋_GB2312" w:hAnsi="仿宋_GB2312" w:eastAsia="仿宋_GB2312" w:cs="仿宋_GB2312"/>
          <w:b w:val="0"/>
          <w:bCs w:val="0"/>
          <w:sz w:val="32"/>
          <w:szCs w:val="32"/>
          <w:lang w:eastAsia="zh-CN" w:bidi="ar"/>
        </w:rPr>
        <w:t>：</w:t>
      </w:r>
      <w:r>
        <w:rPr>
          <w:rFonts w:hint="eastAsia" w:ascii="仿宋_GB2312" w:hAnsi="仿宋_GB2312" w:eastAsia="仿宋_GB2312" w:cs="仿宋_GB2312"/>
          <w:sz w:val="32"/>
          <w:szCs w:val="32"/>
          <w:lang w:bidi="ar"/>
        </w:rPr>
        <w:t>支出决算为</w:t>
      </w:r>
      <w:r>
        <w:rPr>
          <w:rFonts w:hint="eastAsia" w:ascii="Times New Roman" w:hAnsi="Times New Roman"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en-US" w:eastAsia="zh-CN" w:bidi="ar-SA"/>
        </w:rPr>
        <w:t>71</w:t>
      </w:r>
      <w:r>
        <w:rPr>
          <w:rFonts w:hint="eastAsia" w:ascii="仿宋_GB2312" w:hAnsi="仿宋_GB2312" w:eastAsia="仿宋_GB2312" w:cs="仿宋_GB2312"/>
          <w:sz w:val="32"/>
          <w:szCs w:val="32"/>
          <w:lang w:bidi="ar"/>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sz w:val="32"/>
          <w:szCs w:val="32"/>
          <w:lang w:eastAsia="zh-CN" w:bidi="ar"/>
        </w:rPr>
        <w:t>。</w:t>
      </w:r>
    </w:p>
    <w:p>
      <w:pPr>
        <w:keepNext w:val="0"/>
        <w:keepLines w:val="0"/>
        <w:pageBreakBefore w:val="0"/>
        <w:widowControl w:val="0"/>
        <w:kinsoku/>
        <w:wordWrap/>
        <w:overflowPunct/>
        <w:topLinePunct w:val="0"/>
        <w:autoSpaceDE/>
        <w:bidi w:val="0"/>
        <w:adjustRightInd/>
        <w:spacing w:line="578" w:lineRule="exact"/>
        <w:ind w:firstLine="640" w:firstLineChars="200"/>
        <w:jc w:val="both"/>
        <w:textAlignment w:val="auto"/>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eastAsia="zh-CN" w:bidi="ar"/>
        </w:rPr>
        <w:t>其他卫生健康支出（款）</w:t>
      </w:r>
      <w:r>
        <w:rPr>
          <w:rFonts w:hint="eastAsia" w:ascii="仿宋_GB2312" w:hAnsi="仿宋_GB2312" w:eastAsia="仿宋_GB2312" w:cs="仿宋_GB2312"/>
          <w:b w:val="0"/>
          <w:bCs w:val="0"/>
          <w:sz w:val="32"/>
          <w:szCs w:val="32"/>
          <w:lang w:bidi="ar"/>
        </w:rPr>
        <w:t>其他卫生健康支出（项）</w:t>
      </w:r>
      <w:r>
        <w:rPr>
          <w:rFonts w:hint="eastAsia" w:ascii="仿宋_GB2312" w:hAnsi="仿宋_GB2312" w:eastAsia="仿宋_GB2312" w:cs="仿宋_GB2312"/>
          <w:b w:val="0"/>
          <w:bCs w:val="0"/>
          <w:sz w:val="32"/>
          <w:szCs w:val="32"/>
          <w:lang w:eastAsia="zh-CN" w:bidi="ar"/>
        </w:rPr>
        <w:t>：</w:t>
      </w:r>
      <w:r>
        <w:rPr>
          <w:rFonts w:hint="eastAsia" w:ascii="仿宋_GB2312" w:hAnsi="仿宋_GB2312" w:eastAsia="仿宋_GB2312" w:cs="仿宋_GB2312"/>
          <w:sz w:val="32"/>
          <w:szCs w:val="32"/>
          <w:lang w:bidi="ar"/>
        </w:rPr>
        <w:t>支出决算为</w:t>
      </w:r>
      <w:r>
        <w:rPr>
          <w:rFonts w:hint="eastAsia" w:ascii="Times New Roman" w:hAnsi="Times New Roman"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en-US" w:eastAsia="zh-CN" w:bidi="ar-SA"/>
        </w:rPr>
        <w:t>36</w:t>
      </w:r>
      <w:r>
        <w:rPr>
          <w:rFonts w:hint="eastAsia" w:ascii="仿宋_GB2312" w:hAnsi="仿宋_GB2312" w:eastAsia="仿宋_GB2312" w:cs="仿宋_GB2312"/>
          <w:sz w:val="32"/>
          <w:szCs w:val="32"/>
          <w:lang w:bidi="ar"/>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sz w:val="32"/>
          <w:szCs w:val="32"/>
          <w:lang w:bidi="ar"/>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b w:val="0"/>
          <w:bCs w:val="0"/>
          <w:sz w:val="32"/>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仿宋_GB2312" w:hAnsi="仿宋_GB2312" w:eastAsia="仿宋_GB2312" w:cs="仿宋_GB2312"/>
          <w:b w:val="0"/>
          <w:bCs w:val="0"/>
          <w:sz w:val="32"/>
        </w:rPr>
        <w:t>城乡社区支出(类)</w:t>
      </w:r>
    </w:p>
    <w:p>
      <w:pPr>
        <w:pStyle w:val="3"/>
        <w:keepNext w:val="0"/>
        <w:keepLines w:val="0"/>
        <w:pageBreakBefore w:val="0"/>
        <w:widowControl w:val="0"/>
        <w:kinsoku/>
        <w:wordWrap/>
        <w:overflowPunct/>
        <w:topLinePunct w:val="0"/>
        <w:autoSpaceDE/>
        <w:bidi w:val="0"/>
        <w:adjustRightInd/>
        <w:spacing w:line="578" w:lineRule="exact"/>
        <w:ind w:left="0" w:leftChars="0" w:firstLine="640" w:firstLineChars="200"/>
        <w:jc w:val="both"/>
        <w:textAlignment w:val="auto"/>
        <w:rPr>
          <w:rFonts w:hint="eastAsia" w:ascii="仿宋_GB2312" w:hAnsi="仿宋_GB2312" w:eastAsia="仿宋_GB2312" w:cs="仿宋_GB2312"/>
          <w:sz w:val="32"/>
          <w:lang w:bidi="ar"/>
        </w:rPr>
      </w:pPr>
      <w:r>
        <w:rPr>
          <w:rFonts w:hint="eastAsia" w:ascii="仿宋_GB2312" w:hAnsi="仿宋_GB2312" w:eastAsia="仿宋_GB2312" w:cs="仿宋_GB2312"/>
          <w:b w:val="0"/>
          <w:bCs w:val="0"/>
          <w:sz w:val="32"/>
          <w:lang w:bidi="ar"/>
        </w:rPr>
        <w:t>城乡社区管理事务（款）行政运行（项）</w:t>
      </w:r>
      <w:r>
        <w:rPr>
          <w:rFonts w:hint="eastAsia" w:hAnsi="仿宋_GB2312" w:eastAsia="仿宋_GB2312" w:cs="仿宋_GB2312"/>
          <w:b w:val="0"/>
          <w:bCs w:val="0"/>
          <w:sz w:val="32"/>
          <w:lang w:eastAsia="zh-CN" w:bidi="ar"/>
        </w:rPr>
        <w:t>：</w:t>
      </w:r>
      <w:r>
        <w:rPr>
          <w:rFonts w:hint="eastAsia" w:ascii="仿宋_GB2312" w:hAnsi="仿宋_GB2312" w:eastAsia="仿宋_GB2312" w:cs="仿宋_GB2312"/>
          <w:sz w:val="32"/>
          <w:lang w:bidi="ar"/>
        </w:rPr>
        <w:t>支出决算为</w:t>
      </w:r>
      <w:r>
        <w:rPr>
          <w:rFonts w:hint="eastAsia" w:ascii="Times New Roman" w:eastAsia="仿宋_GB2312" w:cs="仿宋_GB2312"/>
          <w:color w:val="auto"/>
          <w:kern w:val="2"/>
          <w:sz w:val="32"/>
          <w:szCs w:val="32"/>
          <w:highlight w:val="none"/>
          <w:lang w:val="en-US" w:eastAsia="zh-CN" w:bidi="ar-SA"/>
        </w:rPr>
        <w:t>920.94</w:t>
      </w:r>
      <w:r>
        <w:rPr>
          <w:rFonts w:hint="eastAsia" w:ascii="仿宋_GB2312" w:hAnsi="仿宋_GB2312" w:eastAsia="仿宋_GB2312" w:cs="仿宋_GB2312"/>
          <w:sz w:val="32"/>
          <w:lang w:bidi="ar"/>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hAnsi="仿宋_GB2312" w:eastAsia="仿宋_GB2312" w:cs="仿宋_GB2312"/>
          <w:sz w:val="32"/>
          <w:lang w:eastAsia="zh-CN" w:bidi="ar"/>
        </w:rPr>
        <w:t>；</w:t>
      </w:r>
      <w:r>
        <w:rPr>
          <w:rFonts w:hint="eastAsia" w:ascii="仿宋_GB2312" w:hAnsi="仿宋_GB2312" w:eastAsia="仿宋_GB2312" w:cs="仿宋_GB2312"/>
          <w:b w:val="0"/>
          <w:bCs w:val="0"/>
          <w:sz w:val="32"/>
          <w:lang w:bidi="ar"/>
        </w:rPr>
        <w:t>一般行政管理事务（项）</w:t>
      </w:r>
      <w:r>
        <w:rPr>
          <w:rFonts w:hint="eastAsia" w:hAnsi="仿宋_GB2312" w:eastAsia="仿宋_GB2312" w:cs="仿宋_GB2312"/>
          <w:b w:val="0"/>
          <w:bCs w:val="0"/>
          <w:sz w:val="32"/>
          <w:lang w:eastAsia="zh-CN" w:bidi="ar"/>
        </w:rPr>
        <w:t>：</w:t>
      </w:r>
      <w:r>
        <w:rPr>
          <w:rFonts w:hint="eastAsia" w:ascii="仿宋_GB2312" w:hAnsi="仿宋_GB2312" w:eastAsia="仿宋_GB2312" w:cs="仿宋_GB2312"/>
          <w:sz w:val="32"/>
          <w:lang w:bidi="ar"/>
        </w:rPr>
        <w:t>支出决算为</w:t>
      </w:r>
      <w:r>
        <w:rPr>
          <w:rFonts w:hint="eastAsia" w:ascii="Times New Roman" w:eastAsia="仿宋_GB2312" w:cs="仿宋_GB2312"/>
          <w:color w:val="auto"/>
          <w:kern w:val="2"/>
          <w:sz w:val="32"/>
          <w:szCs w:val="32"/>
          <w:highlight w:val="none"/>
          <w:lang w:val="en-US" w:eastAsia="zh-CN" w:bidi="ar-SA"/>
        </w:rPr>
        <w:t>76.72</w:t>
      </w:r>
      <w:r>
        <w:rPr>
          <w:rFonts w:hint="eastAsia" w:ascii="仿宋_GB2312" w:hAnsi="仿宋_GB2312" w:eastAsia="仿宋_GB2312" w:cs="仿宋_GB2312"/>
          <w:sz w:val="32"/>
          <w:lang w:bidi="ar"/>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b w:val="0"/>
          <w:bCs w:val="0"/>
          <w:sz w:val="32"/>
          <w:lang w:bidi="ar"/>
        </w:rPr>
        <w:t>其他城乡社区管理事务支出（项）</w:t>
      </w:r>
      <w:r>
        <w:rPr>
          <w:rFonts w:hint="eastAsia" w:hAnsi="仿宋_GB2312" w:eastAsia="仿宋_GB2312" w:cs="仿宋_GB2312"/>
          <w:b w:val="0"/>
          <w:bCs w:val="0"/>
          <w:sz w:val="32"/>
          <w:lang w:eastAsia="zh-CN" w:bidi="ar"/>
        </w:rPr>
        <w:t>：</w:t>
      </w:r>
      <w:r>
        <w:rPr>
          <w:rFonts w:hint="eastAsia" w:ascii="仿宋_GB2312" w:hAnsi="仿宋_GB2312" w:eastAsia="仿宋_GB2312" w:cs="仿宋_GB2312"/>
          <w:sz w:val="32"/>
          <w:lang w:bidi="ar"/>
        </w:rPr>
        <w:t>支出决算为</w:t>
      </w:r>
      <w:r>
        <w:rPr>
          <w:rFonts w:hint="eastAsia" w:ascii="Times New Roman" w:eastAsia="仿宋_GB2312" w:cs="仿宋_GB2312"/>
          <w:color w:val="auto"/>
          <w:kern w:val="2"/>
          <w:sz w:val="32"/>
          <w:szCs w:val="32"/>
          <w:highlight w:val="none"/>
          <w:lang w:val="en-US" w:eastAsia="zh-CN" w:bidi="ar-SA"/>
        </w:rPr>
        <w:t>310.85</w:t>
      </w:r>
      <w:r>
        <w:rPr>
          <w:rFonts w:hint="eastAsia" w:ascii="仿宋_GB2312" w:hAnsi="仿宋_GB2312" w:eastAsia="仿宋_GB2312" w:cs="仿宋_GB2312"/>
          <w:sz w:val="32"/>
          <w:lang w:bidi="ar"/>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sz w:val="32"/>
          <w:lang w:bidi="ar"/>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b w:val="0"/>
          <w:bCs w:val="0"/>
          <w:kern w:val="2"/>
          <w:sz w:val="32"/>
          <w:szCs w:val="32"/>
          <w:lang w:val="en-US" w:eastAsia="zh-CN" w:bidi="ar"/>
        </w:rPr>
      </w:pPr>
      <w:r>
        <w:rPr>
          <w:rFonts w:hint="eastAsia" w:ascii="仿宋_GB2312" w:hAnsi="仿宋_GB2312" w:eastAsia="仿宋_GB2312" w:cs="仿宋_GB2312"/>
          <w:b w:val="0"/>
          <w:bCs w:val="0"/>
          <w:kern w:val="2"/>
          <w:sz w:val="32"/>
          <w:szCs w:val="32"/>
          <w:lang w:val="en-US" w:eastAsia="zh-CN" w:bidi="ar"/>
        </w:rPr>
        <w:t>城乡社区公共设施（款）其他城乡社区公共设施支出（项）：</w:t>
      </w:r>
      <w:r>
        <w:rPr>
          <w:rFonts w:hint="eastAsia" w:ascii="仿宋_GB2312" w:hAnsi="仿宋_GB2312" w:eastAsia="仿宋_GB2312" w:cs="仿宋_GB2312"/>
          <w:sz w:val="32"/>
          <w:lang w:bidi="ar"/>
        </w:rPr>
        <w:t>支出决算为</w:t>
      </w:r>
      <w:r>
        <w:rPr>
          <w:rFonts w:hint="eastAsia" w:ascii="Times New Roman" w:hAnsi="Times New Roman" w:eastAsia="仿宋_GB2312" w:cs="仿宋_GB2312"/>
          <w:color w:val="auto"/>
          <w:kern w:val="2"/>
          <w:sz w:val="32"/>
          <w:szCs w:val="32"/>
          <w:highlight w:val="none"/>
          <w:lang w:val="en-US" w:eastAsia="zh-CN" w:bidi="ar-SA"/>
        </w:rPr>
        <w:t>14</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162.85</w:t>
      </w:r>
      <w:r>
        <w:rPr>
          <w:rFonts w:hint="eastAsia" w:ascii="仿宋_GB2312" w:hAnsi="仿宋_GB2312" w:eastAsia="仿宋_GB2312" w:cs="仿宋_GB2312"/>
          <w:sz w:val="32"/>
          <w:lang w:bidi="ar"/>
        </w:rPr>
        <w:t>万元，完成预算</w:t>
      </w:r>
      <w:r>
        <w:rPr>
          <w:rFonts w:hint="eastAsia" w:ascii="Times New Roman" w:hAnsi="Times New Roman" w:eastAsia="仿宋_GB2312" w:cs="仿宋_GB2312"/>
          <w:color w:val="auto"/>
          <w:kern w:val="2"/>
          <w:sz w:val="32"/>
          <w:szCs w:val="32"/>
          <w:highlight w:val="none"/>
          <w:lang w:val="en-US" w:eastAsia="zh-CN" w:bidi="ar-SA"/>
        </w:rPr>
        <w:t>100%</w:t>
      </w:r>
    </w:p>
    <w:p>
      <w:pPr>
        <w:pStyle w:val="3"/>
        <w:keepNext w:val="0"/>
        <w:keepLines w:val="0"/>
        <w:pageBreakBefore w:val="0"/>
        <w:widowControl w:val="0"/>
        <w:kinsoku/>
        <w:wordWrap/>
        <w:overflowPunct/>
        <w:topLinePunct w:val="0"/>
        <w:autoSpaceDE/>
        <w:bidi w:val="0"/>
        <w:adjustRightInd/>
        <w:spacing w:line="578" w:lineRule="exact"/>
        <w:ind w:left="0" w:leftChars="0" w:firstLine="640" w:firstLineChars="200"/>
        <w:jc w:val="both"/>
        <w:textAlignment w:val="auto"/>
        <w:rPr>
          <w:rFonts w:hint="eastAsia"/>
        </w:rPr>
      </w:pPr>
      <w:r>
        <w:rPr>
          <w:rFonts w:hint="eastAsia" w:ascii="仿宋_GB2312" w:hAnsi="仿宋_GB2312" w:eastAsia="仿宋_GB2312" w:cs="仿宋_GB2312"/>
          <w:b w:val="0"/>
          <w:bCs w:val="0"/>
          <w:sz w:val="32"/>
          <w:lang w:bidi="ar"/>
        </w:rPr>
        <w:t>其他城乡社区支出（款）其他城乡社区支出（项）：</w:t>
      </w:r>
      <w:r>
        <w:rPr>
          <w:rFonts w:hint="eastAsia" w:ascii="仿宋_GB2312" w:hAnsi="仿宋_GB2312" w:eastAsia="仿宋_GB2312" w:cs="仿宋_GB2312"/>
          <w:sz w:val="32"/>
          <w:lang w:bidi="ar"/>
        </w:rPr>
        <w:t>支出决算为</w:t>
      </w:r>
      <w:r>
        <w:rPr>
          <w:rFonts w:hint="eastAsia" w:ascii="Times New Roman" w:eastAsia="仿宋_GB2312" w:cs="仿宋_GB2312"/>
          <w:color w:val="auto"/>
          <w:kern w:val="2"/>
          <w:sz w:val="32"/>
          <w:szCs w:val="32"/>
          <w:highlight w:val="none"/>
          <w:lang w:val="en-US" w:eastAsia="zh-CN" w:bidi="ar-SA"/>
        </w:rPr>
        <w:t>62</w:t>
      </w:r>
      <w:r>
        <w:rPr>
          <w:rFonts w:hint="eastAsia" w:ascii="仿宋_GB2312" w:hAnsi="仿宋_GB2312" w:eastAsia="仿宋_GB2312" w:cs="仿宋_GB2312"/>
          <w:sz w:val="32"/>
          <w:lang w:bidi="ar"/>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sz w:val="32"/>
          <w:lang w:bidi="ar"/>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jc w:val="both"/>
        <w:textAlignment w:val="auto"/>
        <w:rPr>
          <w:rFonts w:hint="eastAsia" w:ascii="仿宋_GB2312" w:hAnsi="仿宋_GB2312" w:eastAsia="仿宋_GB2312" w:cs="仿宋_GB2312"/>
          <w:b w:val="0"/>
          <w:bCs/>
          <w:sz w:val="32"/>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仿宋_GB2312" w:hAnsi="仿宋_GB2312" w:eastAsia="仿宋_GB2312" w:cs="仿宋_GB2312"/>
          <w:b w:val="0"/>
          <w:bCs/>
          <w:sz w:val="32"/>
        </w:rPr>
        <w:t>住房保障支出(类)</w:t>
      </w:r>
    </w:p>
    <w:p>
      <w:pPr>
        <w:spacing w:line="600" w:lineRule="exact"/>
        <w:ind w:firstLine="640"/>
        <w:rPr>
          <w:rFonts w:eastAsia="仿宋_GB2312" w:cs="仿宋_GB2312"/>
          <w:b/>
          <w:bCs/>
          <w:sz w:val="32"/>
          <w:szCs w:val="32"/>
        </w:rPr>
      </w:pPr>
      <w:r>
        <w:rPr>
          <w:rFonts w:hint="eastAsia" w:ascii="仿宋_GB2312" w:hAnsi="仿宋_GB2312" w:eastAsia="仿宋_GB2312" w:cs="仿宋_GB2312"/>
          <w:b w:val="0"/>
          <w:bCs/>
          <w:sz w:val="32"/>
          <w:lang w:bidi="ar"/>
        </w:rPr>
        <w:t>住房改革支出（款）住房公积金（项）</w:t>
      </w:r>
      <w:r>
        <w:rPr>
          <w:rFonts w:hint="eastAsia" w:ascii="仿宋_GB2312" w:hAnsi="仿宋_GB2312" w:eastAsia="仿宋_GB2312" w:cs="仿宋_GB2312"/>
          <w:b w:val="0"/>
          <w:bCs/>
          <w:sz w:val="32"/>
          <w:lang w:eastAsia="zh-CN" w:bidi="ar"/>
        </w:rPr>
        <w:t>：</w:t>
      </w:r>
      <w:r>
        <w:rPr>
          <w:rFonts w:hint="eastAsia" w:ascii="仿宋_GB2312" w:hAnsi="仿宋_GB2312" w:eastAsia="仿宋_GB2312" w:cs="仿宋_GB2312"/>
          <w:sz w:val="32"/>
          <w:lang w:bidi="ar"/>
        </w:rPr>
        <w:t>支出决算为</w:t>
      </w:r>
      <w:r>
        <w:rPr>
          <w:rFonts w:hint="eastAsia" w:ascii="Times New Roman" w:eastAsia="仿宋_GB2312" w:cs="仿宋_GB2312"/>
          <w:color w:val="auto"/>
          <w:kern w:val="2"/>
          <w:sz w:val="32"/>
          <w:szCs w:val="32"/>
          <w:highlight w:val="none"/>
          <w:lang w:val="en-US" w:eastAsia="zh-CN" w:bidi="ar-SA"/>
        </w:rPr>
        <w:t>71.77</w:t>
      </w:r>
      <w:r>
        <w:rPr>
          <w:rFonts w:hint="eastAsia" w:ascii="仿宋_GB2312" w:hAnsi="仿宋_GB2312" w:eastAsia="仿宋_GB2312" w:cs="仿宋_GB2312"/>
          <w:sz w:val="32"/>
          <w:lang w:bidi="ar"/>
        </w:rPr>
        <w:t>万元，完成预算</w:t>
      </w:r>
      <w:r>
        <w:rPr>
          <w:rFonts w:hint="eastAsia" w:ascii="Times New Roman" w:hAnsi="Times New Roman" w:eastAsia="仿宋_GB2312" w:cs="仿宋_GB2312"/>
          <w:color w:val="auto"/>
          <w:kern w:val="2"/>
          <w:sz w:val="32"/>
          <w:szCs w:val="32"/>
          <w:highlight w:val="none"/>
          <w:lang w:val="en-US" w:eastAsia="zh-CN" w:bidi="ar-SA"/>
        </w:rPr>
        <w:t>100%</w:t>
      </w:r>
      <w:r>
        <w:rPr>
          <w:rFonts w:hint="eastAsia" w:ascii="仿宋_GB2312" w:hAnsi="仿宋_GB2312" w:eastAsia="仿宋_GB2312" w:cs="仿宋_GB2312"/>
          <w:sz w:val="32"/>
          <w:lang w:bidi="ar"/>
        </w:rPr>
        <w:t>。</w:t>
      </w:r>
    </w:p>
    <w:p>
      <w:pPr>
        <w:spacing w:line="600" w:lineRule="exact"/>
        <w:ind w:firstLine="640"/>
        <w:rPr>
          <w:rFonts w:eastAsia="仿宋_GB2312" w:cs="仿宋_GB2312"/>
          <w:sz w:val="32"/>
          <w:szCs w:val="32"/>
        </w:rPr>
      </w:pPr>
    </w:p>
    <w:p>
      <w:pPr>
        <w:tabs>
          <w:tab w:val="right" w:pos="8306"/>
        </w:tabs>
        <w:spacing w:line="600" w:lineRule="exact"/>
        <w:ind w:firstLine="640"/>
        <w:outlineLvl w:val="1"/>
        <w:rPr>
          <w:rStyle w:val="30"/>
          <w:rFonts w:ascii="Times New Roman" w:hAnsi="Times New Roman"/>
        </w:rPr>
      </w:pPr>
      <w:bookmarkStart w:id="72" w:name="_Toc15377214"/>
      <w:bookmarkStart w:id="73" w:name="_Toc15396608"/>
      <w:bookmarkStart w:id="74" w:name="_Toc234733077_WPSOffice_Level2"/>
      <w:r>
        <w:rPr>
          <w:rFonts w:hint="eastAsia" w:eastAsia="黑体"/>
          <w:sz w:val="32"/>
          <w:szCs w:val="32"/>
        </w:rPr>
        <w:t>六</w:t>
      </w:r>
      <w:r>
        <w:rPr>
          <w:rFonts w:hint="eastAsia" w:eastAsia="黑体"/>
          <w:b/>
          <w:sz w:val="32"/>
          <w:szCs w:val="32"/>
        </w:rPr>
        <w:t>、一</w:t>
      </w:r>
      <w:r>
        <w:rPr>
          <w:rStyle w:val="30"/>
          <w:rFonts w:hint="eastAsia" w:ascii="Times New Roman" w:hAnsi="Times New Roman" w:eastAsia="黑体"/>
          <w:b w:val="0"/>
        </w:rPr>
        <w:t>般公共预算财政拨款基本支出决算情况说明</w:t>
      </w:r>
      <w:bookmarkEnd w:id="72"/>
      <w:bookmarkEnd w:id="73"/>
      <w:bookmarkEnd w:id="74"/>
      <w:r>
        <w:rPr>
          <w:rStyle w:val="30"/>
          <w:rFonts w:ascii="Times New Roman" w:hAnsi="Times New Roman" w:eastAsia="黑体"/>
          <w:b w:val="0"/>
        </w:rPr>
        <w:tab/>
      </w:r>
    </w:p>
    <w:p>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2025年度一般公共预算财政拨款基本支出1</w:t>
      </w:r>
      <w:r>
        <w:rPr>
          <w:rFonts w:hint="eastAsia" w:eastAsia="仿宋_GB2312" w:cs="仿宋_GB2312"/>
          <w:sz w:val="32"/>
          <w:szCs w:val="32"/>
          <w:lang w:val="en-US" w:eastAsia="zh-CN"/>
        </w:rPr>
        <w:t>,</w:t>
      </w:r>
      <w:r>
        <w:rPr>
          <w:rFonts w:hint="eastAsia" w:eastAsia="仿宋_GB2312" w:cs="仿宋_GB2312"/>
          <w:sz w:val="32"/>
          <w:szCs w:val="32"/>
        </w:rPr>
        <w:t>582.52万元，其中：</w:t>
      </w:r>
    </w:p>
    <w:p>
      <w:pPr>
        <w:spacing w:line="600" w:lineRule="exact"/>
        <w:ind w:firstLine="640"/>
        <w:rPr>
          <w:rFonts w:eastAsia="仿宋_GB2312" w:cs="仿宋_GB2312"/>
          <w:b/>
          <w:bCs/>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1,458.17</w:t>
      </w:r>
      <w:r>
        <w:rPr>
          <w:rFonts w:hint="eastAsia" w:eastAsia="仿宋_GB2312" w:cs="仿宋_GB2312"/>
          <w:sz w:val="32"/>
          <w:szCs w:val="32"/>
        </w:rPr>
        <w:t>万元，主要包括：基本工资、津贴补贴、奖金、机关事业单位基本养老保险缴费</w:t>
      </w:r>
      <w:r>
        <w:rPr>
          <w:rFonts w:hint="eastAsia" w:eastAsia="仿宋_GB2312" w:cs="仿宋_GB2312"/>
          <w:sz w:val="32"/>
          <w:szCs w:val="32"/>
          <w:lang w:eastAsia="zh-CN"/>
        </w:rPr>
        <w:t>、职业年金缴费</w:t>
      </w:r>
      <w:r>
        <w:rPr>
          <w:rFonts w:hint="eastAsia" w:eastAsia="仿宋_GB2312" w:cs="仿宋_GB2312"/>
          <w:sz w:val="32"/>
          <w:szCs w:val="32"/>
        </w:rPr>
        <w:t>、职工基本医疗保险缴费、公务员医疗补助缴费、其他社会保障缴费、其他工资福利支出、离休费、抚恤金、生活补助、医疗费补助、</w:t>
      </w:r>
      <w:r>
        <w:rPr>
          <w:rFonts w:hint="eastAsia" w:eastAsia="仿宋_GB2312" w:cs="仿宋_GB2312"/>
          <w:color w:val="auto"/>
          <w:sz w:val="32"/>
          <w:szCs w:val="32"/>
        </w:rPr>
        <w:t>奖励金</w:t>
      </w:r>
      <w:r>
        <w:rPr>
          <w:rFonts w:hint="eastAsia" w:eastAsia="仿宋_GB2312" w:cs="仿宋_GB2312"/>
          <w:sz w:val="32"/>
          <w:szCs w:val="32"/>
        </w:rPr>
        <w:t>、住房公积金、其他对个人和家庭的补助支出等。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124.35</w:t>
      </w:r>
      <w:r>
        <w:rPr>
          <w:rFonts w:hint="eastAsia" w:eastAsia="仿宋_GB2312" w:cs="仿宋_GB2312"/>
          <w:sz w:val="32"/>
          <w:szCs w:val="32"/>
        </w:rPr>
        <w:t>万元，主要包括：</w:t>
      </w:r>
      <w:r>
        <w:rPr>
          <w:rFonts w:hint="eastAsia" w:ascii="仿宋_GB2312" w:hAnsi="仿宋_GB2312" w:eastAsia="仿宋_GB2312" w:cs="仿宋_GB2312"/>
          <w:sz w:val="32"/>
          <w:szCs w:val="32"/>
        </w:rPr>
        <w:t>办公费、印刷费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水费、电费、邮电费、</w:t>
      </w:r>
      <w:r>
        <w:rPr>
          <w:rFonts w:hint="eastAsia" w:ascii="仿宋_GB2312" w:hAnsi="仿宋_GB2312" w:eastAsia="仿宋_GB2312" w:cs="仿宋_GB2312"/>
          <w:sz w:val="32"/>
          <w:szCs w:val="32"/>
          <w:lang w:eastAsia="zh-CN"/>
        </w:rPr>
        <w:t>物业管理费、</w:t>
      </w:r>
      <w:r>
        <w:rPr>
          <w:rFonts w:hint="eastAsia" w:ascii="仿宋_GB2312" w:hAnsi="仿宋_GB2312" w:eastAsia="仿宋_GB2312" w:cs="仿宋_GB2312"/>
          <w:sz w:val="32"/>
          <w:szCs w:val="32"/>
        </w:rPr>
        <w:t>差旅费、维修（护）费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lang w:eastAsia="zh-CN"/>
        </w:rPr>
        <w:t>租赁费</w:t>
      </w:r>
      <w:r>
        <w:rPr>
          <w:rFonts w:hint="eastAsia" w:ascii="仿宋_GB2312" w:hAnsi="仿宋_GB2312" w:eastAsia="仿宋_GB2312" w:cs="仿宋_GB2312"/>
          <w:sz w:val="32"/>
          <w:szCs w:val="32"/>
        </w:rPr>
        <w:t>、会议费、培训费、公务接待费、工会经费、福利费、公务用车运行维护费、其他交通费、其他商品和服务支出等</w:t>
      </w:r>
      <w:r>
        <w:rPr>
          <w:rFonts w:hint="eastAsia" w:eastAsia="仿宋_GB2312" w:cs="仿宋_GB2312"/>
          <w:sz w:val="32"/>
          <w:szCs w:val="32"/>
        </w:rPr>
        <w:t>。</w:t>
      </w:r>
    </w:p>
    <w:p>
      <w:pPr>
        <w:spacing w:line="600" w:lineRule="exact"/>
        <w:ind w:firstLine="640"/>
        <w:rPr>
          <w:rFonts w:eastAsia="仿宋_GB2312" w:cs="仿宋_GB2312"/>
          <w:sz w:val="32"/>
          <w:szCs w:val="32"/>
        </w:rPr>
      </w:pPr>
    </w:p>
    <w:p>
      <w:pPr>
        <w:spacing w:line="600" w:lineRule="exact"/>
        <w:ind w:firstLine="640"/>
        <w:outlineLvl w:val="1"/>
        <w:rPr>
          <w:rStyle w:val="30"/>
          <w:rFonts w:ascii="Times New Roman" w:hAnsi="Times New Roman" w:eastAsia="黑体"/>
          <w:b w:val="0"/>
        </w:rPr>
      </w:pPr>
      <w:bookmarkStart w:id="75" w:name="_Toc15396609"/>
      <w:bookmarkStart w:id="76" w:name="_Toc694942514_WPSOffice_Level2"/>
      <w:bookmarkStart w:id="77" w:name="_Toc15377215"/>
      <w:r>
        <w:rPr>
          <w:rFonts w:hint="eastAsia" w:eastAsia="黑体"/>
          <w:sz w:val="32"/>
          <w:szCs w:val="32"/>
        </w:rPr>
        <w:t>七、</w:t>
      </w:r>
      <w:r>
        <w:rPr>
          <w:rStyle w:val="30"/>
          <w:rFonts w:hint="eastAsia" w:ascii="Times New Roman" w:hAnsi="Times New Roman" w:eastAsia="黑体"/>
          <w:b w:val="0"/>
        </w:rPr>
        <w:t>财政拨款</w:t>
      </w:r>
      <w:r>
        <w:rPr>
          <w:rStyle w:val="30"/>
          <w:rFonts w:hint="eastAsia" w:ascii="Times New Roman" w:hAnsi="Times New Roman" w:eastAsia="黑体"/>
        </w:rPr>
        <w:t>“</w:t>
      </w:r>
      <w:r>
        <w:rPr>
          <w:rStyle w:val="30"/>
          <w:rFonts w:hint="eastAsia" w:ascii="Times New Roman" w:hAnsi="Times New Roman" w:eastAsia="黑体"/>
          <w:b w:val="0"/>
        </w:rPr>
        <w:t>三公”经费支出决算情况说明</w:t>
      </w:r>
      <w:bookmarkEnd w:id="75"/>
      <w:bookmarkEnd w:id="76"/>
      <w:bookmarkEnd w:id="77"/>
    </w:p>
    <w:p>
      <w:pPr>
        <w:spacing w:line="600" w:lineRule="exact"/>
        <w:ind w:firstLine="642" w:firstLineChars="200"/>
        <w:outlineLvl w:val="2"/>
        <w:rPr>
          <w:rFonts w:eastAsia="楷体_GB2312" w:cs="楷体_GB2312"/>
          <w:b/>
          <w:sz w:val="32"/>
          <w:szCs w:val="32"/>
        </w:rPr>
      </w:pPr>
      <w:bookmarkStart w:id="78" w:name="_Toc15377216"/>
      <w:r>
        <w:rPr>
          <w:rFonts w:hint="eastAsia" w:eastAsia="楷体_GB2312" w:cs="楷体_GB2312"/>
          <w:b/>
          <w:sz w:val="32"/>
          <w:szCs w:val="32"/>
        </w:rPr>
        <w:t>（一）财政拨款“三公”经费支出决算总体情况说明</w:t>
      </w:r>
      <w:bookmarkEnd w:id="78"/>
    </w:p>
    <w:p>
      <w:pPr>
        <w:spacing w:line="600" w:lineRule="exact"/>
        <w:ind w:firstLine="640"/>
        <w:rPr>
          <w:rFonts w:eastAsia="仿宋_GB2312" w:cs="仿宋_GB2312"/>
          <w:b/>
          <w:bCs/>
          <w:sz w:val="32"/>
          <w:szCs w:val="32"/>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9.41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%，较上年度减少</w:t>
      </w:r>
      <w:r>
        <w:rPr>
          <w:rFonts w:hint="eastAsia" w:eastAsia="仿宋_GB2312" w:cs="仿宋_GB2312"/>
          <w:sz w:val="32"/>
          <w:szCs w:val="32"/>
          <w:lang w:val="en-US" w:eastAsia="zh-CN"/>
        </w:rPr>
        <w:t>29.22</w:t>
      </w:r>
      <w:r>
        <w:rPr>
          <w:rFonts w:hint="eastAsia" w:eastAsia="仿宋_GB2312" w:cs="仿宋_GB2312"/>
          <w:sz w:val="32"/>
          <w:szCs w:val="32"/>
        </w:rPr>
        <w:t>万元，下降</w:t>
      </w:r>
      <w:r>
        <w:rPr>
          <w:rFonts w:hint="eastAsia" w:eastAsia="仿宋_GB2312" w:cs="仿宋_GB2312"/>
          <w:sz w:val="32"/>
          <w:szCs w:val="32"/>
          <w:lang w:val="en-US" w:eastAsia="zh-CN"/>
        </w:rPr>
        <w:t>75.64</w:t>
      </w:r>
      <w:r>
        <w:rPr>
          <w:rFonts w:hint="eastAsia" w:eastAsia="仿宋_GB2312" w:cs="仿宋_GB2312"/>
          <w:sz w:val="32"/>
          <w:szCs w:val="32"/>
        </w:rPr>
        <w:t>%。决算数与预算数持平</w:t>
      </w:r>
      <w:r>
        <w:rPr>
          <w:rFonts w:hint="eastAsia" w:eastAsia="仿宋_GB2312" w:cs="仿宋_GB2312"/>
          <w:sz w:val="32"/>
          <w:szCs w:val="32"/>
          <w:lang w:eastAsia="zh-CN"/>
        </w:rPr>
        <w:t>。</w:t>
      </w:r>
    </w:p>
    <w:p>
      <w:pPr>
        <w:spacing w:line="600" w:lineRule="exact"/>
        <w:ind w:firstLine="642" w:firstLineChars="200"/>
        <w:outlineLvl w:val="2"/>
        <w:rPr>
          <w:rFonts w:eastAsia="楷体_GB2312" w:cs="楷体_GB2312"/>
          <w:b/>
          <w:sz w:val="32"/>
          <w:szCs w:val="32"/>
        </w:rPr>
      </w:pPr>
      <w:bookmarkStart w:id="79" w:name="_Toc15377217"/>
      <w:r>
        <w:rPr>
          <w:rFonts w:hint="eastAsia" w:eastAsia="楷体_GB2312" w:cs="楷体_GB2312"/>
          <w:b/>
          <w:sz w:val="32"/>
          <w:szCs w:val="32"/>
        </w:rPr>
        <w:t>（二）财政拨款“三公”经费支出决算具体情况说明</w:t>
      </w:r>
      <w:bookmarkEnd w:id="79"/>
    </w:p>
    <w:p>
      <w:pPr>
        <w:spacing w:line="600" w:lineRule="exact"/>
        <w:ind w:firstLine="640"/>
        <w:rPr>
          <w:rFonts w:hint="eastAsia" w:eastAsia="仿宋_GB2312" w:cs="仿宋_GB2312"/>
          <w:sz w:val="32"/>
          <w:szCs w:val="32"/>
        </w:rPr>
      </w:pPr>
      <w:r>
        <w:rPr>
          <w:rFonts w:hint="eastAsia" w:eastAsia="仿宋_GB2312" w:cs="仿宋_GB2312"/>
          <w:sz w:val="32"/>
          <w:szCs w:val="32"/>
        </w:rPr>
        <w:t>2025年度财政拨款“三公”经费支出决算中，因公出国（境）费支出决算</w:t>
      </w:r>
      <w:r>
        <w:rPr>
          <w:rFonts w:hint="eastAsia" w:eastAsia="仿宋_GB2312" w:cs="仿宋_GB2312"/>
          <w:sz w:val="32"/>
          <w:szCs w:val="32"/>
          <w:lang w:val="en-US" w:eastAsia="zh-CN"/>
        </w:rPr>
        <w:t>0</w:t>
      </w:r>
      <w:r>
        <w:rPr>
          <w:rFonts w:hint="eastAsia" w:eastAsia="仿宋_GB2312" w:cs="仿宋_GB2312"/>
          <w:sz w:val="32"/>
          <w:szCs w:val="32"/>
        </w:rPr>
        <w:t>万元，占</w:t>
      </w:r>
      <w:r>
        <w:rPr>
          <w:rFonts w:hint="eastAsia" w:eastAsia="仿宋_GB2312" w:cs="仿宋_GB2312"/>
          <w:sz w:val="32"/>
          <w:szCs w:val="32"/>
          <w:lang w:val="en-US" w:eastAsia="zh-CN"/>
        </w:rPr>
        <w:t>0</w:t>
      </w:r>
      <w:r>
        <w:rPr>
          <w:rFonts w:hint="eastAsia" w:eastAsia="仿宋_GB2312" w:cs="仿宋_GB2312"/>
          <w:sz w:val="32"/>
          <w:szCs w:val="32"/>
        </w:rPr>
        <w:t>%；公务用车购置及运行维护费支出决算</w:t>
      </w:r>
      <w:r>
        <w:rPr>
          <w:rFonts w:hint="eastAsia" w:eastAsia="仿宋_GB2312" w:cs="仿宋_GB2312"/>
          <w:sz w:val="32"/>
          <w:szCs w:val="32"/>
          <w:lang w:val="en-US" w:eastAsia="zh-CN"/>
        </w:rPr>
        <w:t>6.8</w:t>
      </w:r>
      <w:r>
        <w:rPr>
          <w:rFonts w:hint="eastAsia" w:eastAsia="仿宋_GB2312" w:cs="仿宋_GB2312"/>
          <w:sz w:val="32"/>
          <w:szCs w:val="32"/>
        </w:rPr>
        <w:t>万元，占</w:t>
      </w:r>
      <w:r>
        <w:rPr>
          <w:rFonts w:hint="eastAsia" w:eastAsia="仿宋_GB2312" w:cs="仿宋_GB2312"/>
          <w:sz w:val="32"/>
          <w:szCs w:val="32"/>
          <w:lang w:val="en-US" w:eastAsia="zh-CN"/>
        </w:rPr>
        <w:t>72.26</w:t>
      </w:r>
      <w:r>
        <w:rPr>
          <w:rFonts w:hint="eastAsia" w:eastAsia="仿宋_GB2312" w:cs="仿宋_GB2312"/>
          <w:sz w:val="32"/>
          <w:szCs w:val="32"/>
        </w:rPr>
        <w:t>%；公务接待费支出决算</w:t>
      </w:r>
      <w:r>
        <w:rPr>
          <w:rFonts w:hint="eastAsia" w:eastAsia="仿宋_GB2312" w:cs="仿宋_GB2312"/>
          <w:sz w:val="32"/>
          <w:szCs w:val="32"/>
          <w:lang w:val="en-US" w:eastAsia="zh-CN"/>
        </w:rPr>
        <w:t>2.61</w:t>
      </w:r>
      <w:r>
        <w:rPr>
          <w:rFonts w:hint="eastAsia" w:eastAsia="仿宋_GB2312" w:cs="仿宋_GB2312"/>
          <w:sz w:val="32"/>
          <w:szCs w:val="32"/>
        </w:rPr>
        <w:t>万元，占</w:t>
      </w:r>
      <w:r>
        <w:rPr>
          <w:rFonts w:hint="eastAsia" w:eastAsia="仿宋_GB2312" w:cs="仿宋_GB2312"/>
          <w:sz w:val="32"/>
          <w:szCs w:val="32"/>
          <w:lang w:val="en-US" w:eastAsia="zh-CN"/>
        </w:rPr>
        <w:t>27.74</w:t>
      </w:r>
      <w:r>
        <w:rPr>
          <w:rFonts w:hint="eastAsia" w:eastAsia="仿宋_GB2312" w:cs="仿宋_GB2312"/>
          <w:sz w:val="32"/>
          <w:szCs w:val="32"/>
        </w:rPr>
        <w:t>%。具体情况如下：</w:t>
      </w:r>
    </w:p>
    <w:p>
      <w:pPr>
        <w:pStyle w:val="2"/>
        <w:jc w:val="center"/>
        <w:rPr>
          <w:rFonts w:hint="eastAsia" w:eastAsia="仿宋_GB2312"/>
          <w:lang w:eastAsia="zh-CN"/>
        </w:rPr>
      </w:pPr>
      <w:r>
        <w:rPr>
          <w:rFonts w:hint="eastAsia" w:eastAsia="仿宋_GB2312"/>
          <w:lang w:eastAsia="zh-CN"/>
        </w:rPr>
        <w:drawing>
          <wp:inline distT="0" distB="0" distL="114300" distR="114300">
            <wp:extent cx="5080000" cy="3810000"/>
            <wp:effectExtent l="4445" t="4445" r="20955" b="1460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line="600" w:lineRule="exact"/>
        <w:ind w:firstLine="640"/>
        <w:jc w:val="center"/>
        <w:rPr>
          <w:rFonts w:eastAsia="仿宋_GB2312" w:cs="仿宋_GB2312"/>
          <w:sz w:val="32"/>
          <w:szCs w:val="32"/>
        </w:rPr>
      </w:pPr>
      <w:r>
        <w:rPr>
          <w:rFonts w:hint="eastAsia" w:eastAsia="仿宋_GB2312" w:cs="仿宋_GB2312"/>
          <w:sz w:val="32"/>
          <w:szCs w:val="32"/>
        </w:rPr>
        <w:t>（图7：财政拨款“三公”经费支出结构）</w:t>
      </w:r>
    </w:p>
    <w:p>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全年安排因公出国（境）团组</w:t>
      </w:r>
      <w:r>
        <w:rPr>
          <w:rFonts w:hint="eastAsia"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eastAsia="仿宋_GB2312" w:cs="仿宋_GB2312"/>
          <w:sz w:val="32"/>
          <w:szCs w:val="32"/>
        </w:rPr>
        <w:t>人。</w:t>
      </w:r>
    </w:p>
    <w:p>
      <w:pPr>
        <w:spacing w:line="600" w:lineRule="exact"/>
        <w:ind w:firstLine="640"/>
        <w:rPr>
          <w:rFonts w:hint="eastAsia"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eastAsia="仿宋_GB2312" w:cs="仿宋_GB2312"/>
          <w:b/>
          <w:bCs/>
          <w:sz w:val="32"/>
          <w:szCs w:val="32"/>
          <w:lang w:val="en-US" w:eastAsia="zh-CN"/>
        </w:rPr>
        <w:t>6.8</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公务用车购置及运行维护费支出决算比上年度减少</w:t>
      </w:r>
      <w:r>
        <w:rPr>
          <w:rFonts w:hint="eastAsia" w:eastAsia="仿宋_GB2312" w:cs="仿宋_GB2312"/>
          <w:sz w:val="32"/>
          <w:szCs w:val="32"/>
          <w:lang w:val="en-US" w:eastAsia="zh-CN"/>
        </w:rPr>
        <w:t>28.87</w:t>
      </w:r>
      <w:r>
        <w:rPr>
          <w:rFonts w:hint="eastAsia" w:eastAsia="仿宋_GB2312" w:cs="仿宋_GB2312"/>
          <w:sz w:val="32"/>
          <w:szCs w:val="32"/>
        </w:rPr>
        <w:t>万元，下降</w:t>
      </w:r>
      <w:r>
        <w:rPr>
          <w:rFonts w:hint="eastAsia" w:eastAsia="仿宋_GB2312" w:cs="仿宋_GB2312"/>
          <w:sz w:val="32"/>
          <w:szCs w:val="32"/>
          <w:lang w:val="en-US" w:eastAsia="zh-CN"/>
        </w:rPr>
        <w:t>80.94</w:t>
      </w:r>
      <w:r>
        <w:rPr>
          <w:rFonts w:hint="eastAsia" w:eastAsia="仿宋_GB2312" w:cs="仿宋_GB2312"/>
          <w:sz w:val="32"/>
          <w:szCs w:val="32"/>
        </w:rPr>
        <w:t>%。主要原因是</w:t>
      </w:r>
      <w:r>
        <w:rPr>
          <w:rFonts w:hint="eastAsia" w:eastAsia="仿宋_GB2312" w:cs="仿宋_GB2312"/>
          <w:sz w:val="32"/>
          <w:szCs w:val="32"/>
          <w:lang w:val="en-US" w:eastAsia="zh-CN"/>
        </w:rPr>
        <w:t>2024年新购置一辆公务用车，产生了</w:t>
      </w:r>
      <w:r>
        <w:rPr>
          <w:rFonts w:hint="eastAsia" w:eastAsia="仿宋_GB2312" w:cs="仿宋_GB2312"/>
          <w:sz w:val="32"/>
          <w:szCs w:val="32"/>
        </w:rPr>
        <w:t>公务用车购置</w:t>
      </w:r>
      <w:r>
        <w:rPr>
          <w:rFonts w:hint="eastAsia" w:eastAsia="仿宋_GB2312" w:cs="仿宋_GB2312"/>
          <w:sz w:val="32"/>
          <w:szCs w:val="32"/>
          <w:lang w:eastAsia="zh-CN"/>
        </w:rPr>
        <w:t>费，</w:t>
      </w:r>
      <w:r>
        <w:rPr>
          <w:rFonts w:hint="eastAsia" w:eastAsia="仿宋_GB2312" w:cs="仿宋_GB2312"/>
          <w:sz w:val="32"/>
          <w:szCs w:val="32"/>
          <w:lang w:val="en-US" w:eastAsia="zh-CN"/>
        </w:rPr>
        <w:t>2025年未产生该费用。</w:t>
      </w:r>
    </w:p>
    <w:p>
      <w:pPr>
        <w:spacing w:line="600" w:lineRule="exact"/>
        <w:ind w:firstLine="640"/>
        <w:rPr>
          <w:rFonts w:eastAsia="仿宋_GB2312" w:cs="仿宋_GB2312"/>
          <w:sz w:val="32"/>
          <w:szCs w:val="32"/>
        </w:rPr>
      </w:pPr>
      <w:r>
        <w:rPr>
          <w:rFonts w:hint="eastAsia" w:eastAsia="仿宋_GB2312" w:cs="仿宋_GB2312"/>
          <w:sz w:val="32"/>
          <w:szCs w:val="32"/>
        </w:rPr>
        <w:t>其中：公务用车购置支出</w:t>
      </w:r>
      <w:r>
        <w:rPr>
          <w:rFonts w:hint="eastAsia"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万元，越野车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万元，载客汽车</w:t>
      </w:r>
      <w:r>
        <w:rPr>
          <w:rFonts w:hint="eastAsia" w:eastAsia="仿宋_GB2312" w:cs="仿宋_GB2312"/>
          <w:sz w:val="32"/>
          <w:szCs w:val="32"/>
          <w:lang w:val="en-US" w:eastAsia="zh-CN"/>
        </w:rPr>
        <w:t>0</w:t>
      </w:r>
      <w:r>
        <w:rPr>
          <w:rFonts w:hint="eastAsia" w:eastAsia="仿宋_GB2312" w:cs="仿宋_GB2312"/>
          <w:sz w:val="32"/>
          <w:szCs w:val="32"/>
        </w:rPr>
        <w:t>辆、金额</w:t>
      </w:r>
      <w:r>
        <w:rPr>
          <w:rFonts w:hint="eastAsia" w:eastAsia="仿宋_GB2312" w:cs="仿宋_GB2312"/>
          <w:sz w:val="32"/>
          <w:szCs w:val="32"/>
          <w:lang w:val="en-US" w:eastAsia="zh-CN"/>
        </w:rPr>
        <w:t>0</w:t>
      </w:r>
      <w:r>
        <w:rPr>
          <w:rFonts w:hint="eastAsia" w:eastAsia="仿宋_GB2312" w:cs="仿宋_GB2312"/>
          <w:sz w:val="32"/>
          <w:szCs w:val="32"/>
        </w:rPr>
        <w:t>万元。截至2025年12月31日，单位共有公务用车</w:t>
      </w:r>
      <w:r>
        <w:rPr>
          <w:rFonts w:hint="eastAsia" w:eastAsia="仿宋_GB2312" w:cs="仿宋_GB2312"/>
          <w:sz w:val="32"/>
          <w:szCs w:val="32"/>
          <w:lang w:val="en-US" w:eastAsia="zh-CN"/>
        </w:rPr>
        <w:t>3</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3</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6.8</w:t>
      </w:r>
      <w:r>
        <w:rPr>
          <w:rFonts w:hint="eastAsia" w:eastAsia="仿宋_GB2312" w:cs="仿宋_GB2312"/>
          <w:sz w:val="32"/>
          <w:szCs w:val="32"/>
        </w:rPr>
        <w:t>万元。主要用于</w:t>
      </w:r>
      <w:r>
        <w:rPr>
          <w:rFonts w:hint="eastAsia" w:ascii="仿宋_GB2312" w:hAnsi="仿宋_GB2312" w:eastAsia="仿宋_GB2312" w:cs="仿宋_GB2312"/>
          <w:color w:val="000000"/>
          <w:sz w:val="32"/>
          <w:szCs w:val="32"/>
          <w:lang w:bidi="ar"/>
        </w:rPr>
        <w:t>开展城市更新</w:t>
      </w:r>
      <w:r>
        <w:rPr>
          <w:rFonts w:hint="eastAsia" w:ascii="仿宋_GB2312" w:hAnsi="仿宋_GB2312" w:eastAsia="仿宋_GB2312" w:cs="仿宋_GB2312"/>
          <w:color w:val="000000"/>
          <w:sz w:val="32"/>
          <w:szCs w:val="32"/>
          <w:lang w:eastAsia="zh-CN" w:bidi="ar"/>
        </w:rPr>
        <w:t>、</w:t>
      </w:r>
      <w:r>
        <w:rPr>
          <w:rFonts w:hint="eastAsia" w:ascii="仿宋_GB2312" w:hAnsi="仿宋_GB2312" w:eastAsia="仿宋_GB2312" w:cs="仿宋_GB2312"/>
          <w:color w:val="000000"/>
          <w:sz w:val="32"/>
          <w:szCs w:val="32"/>
          <w:lang w:bidi="ar"/>
        </w:rPr>
        <w:t>住房保障、老旧小区改造、农村危房改造、建筑质量监督、零碳示范、绿色建筑发展</w:t>
      </w:r>
      <w:r>
        <w:rPr>
          <w:rFonts w:hint="eastAsia" w:ascii="仿宋_GB2312" w:hAnsi="仿宋_GB2312" w:eastAsia="仿宋_GB2312" w:cs="仿宋_GB2312"/>
          <w:color w:val="000000"/>
          <w:sz w:val="32"/>
          <w:szCs w:val="32"/>
          <w:lang w:eastAsia="zh-CN" w:bidi="ar"/>
        </w:rPr>
        <w:t>工作</w:t>
      </w:r>
      <w:r>
        <w:rPr>
          <w:rFonts w:hint="eastAsia" w:ascii="仿宋_GB2312" w:hAnsi="仿宋_GB2312" w:eastAsia="仿宋_GB2312" w:cs="仿宋_GB2312"/>
          <w:color w:val="000000"/>
          <w:sz w:val="32"/>
          <w:szCs w:val="32"/>
          <w:lang w:bidi="ar"/>
        </w:rPr>
        <w:t>等</w:t>
      </w:r>
      <w:r>
        <w:rPr>
          <w:rFonts w:hint="eastAsia" w:eastAsia="仿宋_GB2312" w:cs="仿宋_GB2312"/>
          <w:sz w:val="32"/>
          <w:szCs w:val="32"/>
        </w:rPr>
        <w:t>所需的公务用车燃料费、维修费、过路过桥费、保险费等支出。</w:t>
      </w:r>
    </w:p>
    <w:p>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eastAsia="仿宋_GB2312" w:cs="仿宋_GB2312"/>
          <w:b/>
          <w:bCs/>
          <w:sz w:val="32"/>
          <w:szCs w:val="32"/>
          <w:lang w:val="en-US" w:eastAsia="zh-CN"/>
        </w:rPr>
        <w:t>2.61</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公务接待费支出决算比上年度减少</w:t>
      </w:r>
      <w:r>
        <w:rPr>
          <w:rFonts w:hint="eastAsia" w:eastAsia="仿宋_GB2312" w:cs="仿宋_GB2312"/>
          <w:sz w:val="32"/>
          <w:szCs w:val="32"/>
          <w:lang w:val="en-US" w:eastAsia="zh-CN"/>
        </w:rPr>
        <w:t>0.35</w:t>
      </w:r>
      <w:r>
        <w:rPr>
          <w:rFonts w:hint="eastAsia" w:eastAsia="仿宋_GB2312" w:cs="仿宋_GB2312"/>
          <w:sz w:val="32"/>
          <w:szCs w:val="32"/>
        </w:rPr>
        <w:t>万元，下降</w:t>
      </w:r>
      <w:r>
        <w:rPr>
          <w:rFonts w:hint="eastAsia" w:eastAsia="仿宋_GB2312" w:cs="仿宋_GB2312"/>
          <w:sz w:val="32"/>
          <w:szCs w:val="32"/>
          <w:lang w:val="en-US" w:eastAsia="zh-CN"/>
        </w:rPr>
        <w:t>11.82</w:t>
      </w:r>
      <w:r>
        <w:rPr>
          <w:rFonts w:hint="eastAsia" w:eastAsia="仿宋_GB2312" w:cs="仿宋_GB2312"/>
          <w:sz w:val="32"/>
          <w:szCs w:val="32"/>
        </w:rPr>
        <w:t>%。主要原因是</w:t>
      </w:r>
      <w:r>
        <w:rPr>
          <w:rFonts w:hint="eastAsia" w:eastAsia="仿宋_GB2312" w:cs="仿宋_GB2312"/>
          <w:sz w:val="32"/>
          <w:szCs w:val="32"/>
          <w:lang w:eastAsia="zh-CN"/>
        </w:rPr>
        <w:t>厉行勤俭节约，减少公务接待费开支</w:t>
      </w:r>
      <w:r>
        <w:rPr>
          <w:rFonts w:hint="eastAsia" w:eastAsia="仿宋_GB2312" w:cs="仿宋_GB2312"/>
          <w:sz w:val="32"/>
          <w:szCs w:val="32"/>
        </w:rPr>
        <w:t>。其中：</w:t>
      </w:r>
    </w:p>
    <w:p>
      <w:pPr>
        <w:spacing w:line="600" w:lineRule="exact"/>
        <w:ind w:firstLine="640"/>
        <w:rPr>
          <w:rFonts w:eastAsia="仿宋_GB2312" w:cs="仿宋_GB2312"/>
          <w:sz w:val="32"/>
          <w:szCs w:val="32"/>
        </w:rPr>
      </w:pPr>
      <w:r>
        <w:rPr>
          <w:rFonts w:hint="eastAsia" w:eastAsia="仿宋_GB2312" w:cs="仿宋_GB2312"/>
          <w:sz w:val="32"/>
          <w:szCs w:val="32"/>
        </w:rPr>
        <w:t>国内公务接待支出</w:t>
      </w:r>
      <w:r>
        <w:rPr>
          <w:rFonts w:hint="eastAsia" w:eastAsia="仿宋_GB2312" w:cs="仿宋_GB2312"/>
          <w:sz w:val="32"/>
          <w:szCs w:val="32"/>
          <w:lang w:val="en-US" w:eastAsia="zh-CN"/>
        </w:rPr>
        <w:t>2.61</w:t>
      </w:r>
      <w:r>
        <w:rPr>
          <w:rFonts w:hint="eastAsia" w:eastAsia="仿宋_GB2312" w:cs="仿宋_GB2312"/>
          <w:sz w:val="32"/>
          <w:szCs w:val="32"/>
        </w:rPr>
        <w:t>万元，主要用于</w:t>
      </w:r>
      <w:r>
        <w:rPr>
          <w:rFonts w:hint="eastAsia" w:ascii="仿宋_GB2312" w:hAnsi="仿宋_GB2312" w:eastAsia="仿宋_GB2312" w:cs="仿宋_GB2312"/>
          <w:color w:val="000000"/>
          <w:sz w:val="32"/>
          <w:szCs w:val="32"/>
          <w:lang w:bidi="ar"/>
        </w:rPr>
        <w:t>接待省厅各项检查和执行公务、开展业务活动开支的用餐费</w:t>
      </w:r>
      <w:r>
        <w:rPr>
          <w:rFonts w:hint="eastAsia" w:eastAsia="仿宋_GB2312" w:cs="仿宋_GB2312"/>
          <w:sz w:val="32"/>
          <w:szCs w:val="32"/>
        </w:rPr>
        <w:t>。国内公务接待</w:t>
      </w:r>
      <w:r>
        <w:rPr>
          <w:rFonts w:hint="eastAsia" w:eastAsia="仿宋_GB2312" w:cs="仿宋_GB2312"/>
          <w:sz w:val="32"/>
          <w:szCs w:val="32"/>
          <w:lang w:val="en-US" w:eastAsia="zh-CN"/>
        </w:rPr>
        <w:t>19</w:t>
      </w:r>
      <w:r>
        <w:rPr>
          <w:rFonts w:hint="eastAsia" w:eastAsia="仿宋_GB2312" w:cs="仿宋_GB2312"/>
          <w:sz w:val="32"/>
          <w:szCs w:val="32"/>
        </w:rPr>
        <w:t>批次，</w:t>
      </w:r>
      <w:r>
        <w:rPr>
          <w:rFonts w:hint="eastAsia" w:eastAsia="仿宋_GB2312" w:cs="仿宋_GB2312"/>
          <w:sz w:val="32"/>
          <w:szCs w:val="32"/>
          <w:lang w:val="en-US" w:eastAsia="zh-CN"/>
        </w:rPr>
        <w:t>154</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2.61</w:t>
      </w:r>
      <w:r>
        <w:rPr>
          <w:rFonts w:hint="eastAsia" w:eastAsia="仿宋_GB2312" w:cs="仿宋_GB2312"/>
          <w:sz w:val="32"/>
          <w:szCs w:val="32"/>
        </w:rPr>
        <w:t>万元，具体内容包括：</w:t>
      </w:r>
      <w:r>
        <w:rPr>
          <w:rFonts w:hint="eastAsia" w:eastAsia="仿宋_GB2312" w:cs="仿宋_GB2312"/>
          <w:sz w:val="32"/>
          <w:szCs w:val="32"/>
          <w:lang w:eastAsia="zh-CN"/>
        </w:rPr>
        <w:t>接待</w:t>
      </w:r>
      <w:r>
        <w:rPr>
          <w:rFonts w:hint="eastAsia" w:eastAsia="仿宋_GB2312" w:cs="仿宋_GB2312"/>
          <w:sz w:val="32"/>
          <w:szCs w:val="32"/>
        </w:rPr>
        <w:t>省厅消防安全风险排查整治餐费</w:t>
      </w:r>
      <w:r>
        <w:rPr>
          <w:rFonts w:hint="eastAsia" w:eastAsia="仿宋_GB2312" w:cs="仿宋_GB2312"/>
          <w:sz w:val="32"/>
          <w:szCs w:val="32"/>
          <w:lang w:val="en-US" w:eastAsia="zh-CN"/>
        </w:rPr>
        <w:t>1,196元，</w:t>
      </w:r>
      <w:r>
        <w:rPr>
          <w:rFonts w:hint="eastAsia" w:eastAsia="仿宋_GB2312" w:cs="仿宋_GB2312"/>
          <w:sz w:val="32"/>
          <w:szCs w:val="32"/>
        </w:rPr>
        <w:t>接待省厅来攀开展贯彻落实省委会</w:t>
      </w:r>
      <w:r>
        <w:rPr>
          <w:rFonts w:hint="eastAsia" w:eastAsia="仿宋_GB2312" w:cs="仿宋_GB2312"/>
          <w:color w:val="auto"/>
          <w:sz w:val="32"/>
          <w:szCs w:val="32"/>
        </w:rPr>
        <w:t>议</w:t>
      </w:r>
      <w:r>
        <w:rPr>
          <w:rFonts w:hint="eastAsia" w:eastAsia="仿宋_GB2312" w:cs="仿宋_GB2312"/>
          <w:color w:val="auto"/>
          <w:sz w:val="32"/>
          <w:szCs w:val="32"/>
          <w:lang w:eastAsia="zh-CN"/>
        </w:rPr>
        <w:t>精神</w:t>
      </w:r>
      <w:r>
        <w:rPr>
          <w:rFonts w:hint="eastAsia" w:eastAsia="仿宋_GB2312" w:cs="仿宋_GB2312"/>
          <w:color w:val="auto"/>
          <w:sz w:val="32"/>
          <w:szCs w:val="32"/>
        </w:rPr>
        <w:t>餐费</w:t>
      </w:r>
      <w:r>
        <w:rPr>
          <w:rFonts w:hint="eastAsia" w:eastAsia="仿宋_GB2312" w:cs="仿宋_GB2312"/>
          <w:sz w:val="32"/>
          <w:szCs w:val="32"/>
          <w:lang w:val="en-US" w:eastAsia="zh-CN"/>
        </w:rPr>
        <w:t>785元，</w:t>
      </w:r>
      <w:r>
        <w:rPr>
          <w:rFonts w:hint="eastAsia" w:eastAsia="仿宋_GB2312" w:cs="仿宋_GB2312"/>
          <w:sz w:val="32"/>
          <w:szCs w:val="32"/>
        </w:rPr>
        <w:t>接待省厅调研共同富裕试验区建设餐费</w:t>
      </w:r>
      <w:r>
        <w:rPr>
          <w:rFonts w:hint="eastAsia" w:eastAsia="仿宋_GB2312" w:cs="仿宋_GB2312"/>
          <w:sz w:val="32"/>
          <w:szCs w:val="32"/>
          <w:lang w:val="en-US" w:eastAsia="zh-CN"/>
        </w:rPr>
        <w:t>1,068元，</w:t>
      </w:r>
      <w:r>
        <w:rPr>
          <w:rFonts w:hint="eastAsia" w:eastAsia="仿宋_GB2312" w:cs="仿宋_GB2312"/>
          <w:sz w:val="32"/>
          <w:szCs w:val="32"/>
        </w:rPr>
        <w:t>接待省厅安全生产帮扶指导餐费</w:t>
      </w:r>
      <w:r>
        <w:rPr>
          <w:rFonts w:hint="eastAsia" w:eastAsia="仿宋_GB2312" w:cs="仿宋_GB2312"/>
          <w:sz w:val="32"/>
          <w:szCs w:val="32"/>
          <w:lang w:val="en-US" w:eastAsia="zh-CN"/>
        </w:rPr>
        <w:t>1,293元，</w:t>
      </w:r>
      <w:r>
        <w:rPr>
          <w:rFonts w:hint="eastAsia" w:eastAsia="仿宋_GB2312" w:cs="仿宋_GB2312"/>
          <w:sz w:val="32"/>
          <w:szCs w:val="32"/>
        </w:rPr>
        <w:t>接待省村镇中心专家组宣讲农业政策性金融支持餐费</w:t>
      </w:r>
      <w:r>
        <w:rPr>
          <w:rFonts w:hint="eastAsia" w:eastAsia="仿宋_GB2312" w:cs="仿宋_GB2312"/>
          <w:sz w:val="32"/>
          <w:szCs w:val="32"/>
          <w:lang w:val="en-US" w:eastAsia="zh-CN"/>
        </w:rPr>
        <w:t>1,249元</w:t>
      </w:r>
      <w:r>
        <w:rPr>
          <w:rFonts w:hint="eastAsia" w:eastAsia="仿宋_GB2312" w:cs="仿宋_GB2312"/>
          <w:sz w:val="32"/>
          <w:szCs w:val="32"/>
          <w:lang w:eastAsia="zh-CN"/>
        </w:rPr>
        <w:t>，</w:t>
      </w:r>
      <w:r>
        <w:rPr>
          <w:rFonts w:hint="eastAsia" w:eastAsia="仿宋_GB2312" w:cs="仿宋_GB2312"/>
          <w:sz w:val="32"/>
          <w:szCs w:val="32"/>
        </w:rPr>
        <w:t>接待省厅完整社区建设试点评价餐费</w:t>
      </w:r>
      <w:r>
        <w:rPr>
          <w:rFonts w:hint="eastAsia" w:eastAsia="仿宋_GB2312" w:cs="仿宋_GB2312"/>
          <w:sz w:val="32"/>
          <w:szCs w:val="32"/>
          <w:lang w:val="en-US" w:eastAsia="zh-CN"/>
        </w:rPr>
        <w:t>740元，</w:t>
      </w:r>
      <w:r>
        <w:rPr>
          <w:rFonts w:hint="eastAsia" w:eastAsia="仿宋_GB2312" w:cs="仿宋_GB2312"/>
          <w:sz w:val="32"/>
          <w:szCs w:val="32"/>
        </w:rPr>
        <w:t>接待省厅招投标系统整治调研餐费</w:t>
      </w:r>
      <w:r>
        <w:rPr>
          <w:rFonts w:hint="eastAsia" w:eastAsia="仿宋_GB2312" w:cs="仿宋_GB2312"/>
          <w:sz w:val="32"/>
          <w:szCs w:val="32"/>
          <w:lang w:val="en-US" w:eastAsia="zh-CN"/>
        </w:rPr>
        <w:t>1,216元，</w:t>
      </w:r>
      <w:r>
        <w:rPr>
          <w:rFonts w:hint="eastAsia" w:eastAsia="仿宋_GB2312" w:cs="仿宋_GB2312"/>
          <w:sz w:val="32"/>
          <w:szCs w:val="32"/>
        </w:rPr>
        <w:t>接待省厅调研指导保交房专项借款还款餐费</w:t>
      </w:r>
      <w:r>
        <w:rPr>
          <w:rFonts w:hint="eastAsia" w:eastAsia="仿宋_GB2312" w:cs="仿宋_GB2312"/>
          <w:sz w:val="32"/>
          <w:szCs w:val="32"/>
          <w:lang w:val="en-US" w:eastAsia="zh-CN"/>
        </w:rPr>
        <w:t>853元，</w:t>
      </w:r>
      <w:r>
        <w:rPr>
          <w:rFonts w:hint="eastAsia" w:eastAsia="仿宋_GB2312" w:cs="仿宋_GB2312"/>
          <w:sz w:val="32"/>
          <w:szCs w:val="32"/>
        </w:rPr>
        <w:t>接待省村镇中心调研指导餐费</w:t>
      </w:r>
      <w:r>
        <w:rPr>
          <w:rFonts w:hint="eastAsia" w:eastAsia="仿宋_GB2312" w:cs="仿宋_GB2312"/>
          <w:sz w:val="32"/>
          <w:szCs w:val="32"/>
          <w:lang w:val="en-US" w:eastAsia="zh-CN"/>
        </w:rPr>
        <w:t>762.22元，</w:t>
      </w:r>
      <w:r>
        <w:rPr>
          <w:rFonts w:hint="eastAsia" w:eastAsia="仿宋_GB2312" w:cs="仿宋_GB2312"/>
          <w:sz w:val="32"/>
          <w:szCs w:val="32"/>
        </w:rPr>
        <w:t>接待自建房安全专项整治督导评估餐费</w:t>
      </w:r>
      <w:r>
        <w:rPr>
          <w:rFonts w:hint="eastAsia" w:eastAsia="仿宋_GB2312" w:cs="仿宋_GB2312"/>
          <w:sz w:val="32"/>
          <w:szCs w:val="32"/>
          <w:lang w:val="en-US" w:eastAsia="zh-CN"/>
        </w:rPr>
        <w:t>1,460元，</w:t>
      </w:r>
      <w:r>
        <w:rPr>
          <w:rFonts w:hint="eastAsia" w:eastAsia="仿宋_GB2312" w:cs="仿宋_GB2312"/>
          <w:sz w:val="32"/>
          <w:szCs w:val="32"/>
        </w:rPr>
        <w:t>接待住建厅调研城市更新餐费</w:t>
      </w:r>
      <w:r>
        <w:rPr>
          <w:rFonts w:hint="eastAsia" w:eastAsia="仿宋_GB2312" w:cs="仿宋_GB2312"/>
          <w:sz w:val="32"/>
          <w:szCs w:val="32"/>
          <w:lang w:val="en-US" w:eastAsia="zh-CN"/>
        </w:rPr>
        <w:t>2,340元，</w:t>
      </w:r>
      <w:r>
        <w:rPr>
          <w:rFonts w:hint="eastAsia" w:eastAsia="仿宋_GB2312" w:cs="仿宋_GB2312"/>
          <w:sz w:val="32"/>
          <w:szCs w:val="32"/>
        </w:rPr>
        <w:t>接待泸州住建考察学习餐费</w:t>
      </w:r>
      <w:r>
        <w:rPr>
          <w:rFonts w:hint="eastAsia" w:eastAsia="仿宋_GB2312" w:cs="仿宋_GB2312"/>
          <w:sz w:val="32"/>
          <w:szCs w:val="32"/>
          <w:lang w:val="en-US" w:eastAsia="zh-CN"/>
        </w:rPr>
        <w:t>1,865元，</w:t>
      </w:r>
      <w:r>
        <w:rPr>
          <w:rFonts w:hint="eastAsia" w:eastAsia="仿宋_GB2312" w:cs="仿宋_GB2312"/>
          <w:sz w:val="32"/>
          <w:szCs w:val="32"/>
        </w:rPr>
        <w:t>接待调研棚户区改造餐费</w:t>
      </w:r>
      <w:r>
        <w:rPr>
          <w:rFonts w:hint="eastAsia" w:eastAsia="仿宋_GB2312" w:cs="仿宋_GB2312"/>
          <w:sz w:val="32"/>
          <w:szCs w:val="32"/>
          <w:lang w:val="en-US" w:eastAsia="zh-CN"/>
        </w:rPr>
        <w:t>850元，</w:t>
      </w:r>
      <w:r>
        <w:rPr>
          <w:rFonts w:hint="eastAsia" w:eastAsia="仿宋_GB2312" w:cs="仿宋_GB2312"/>
          <w:sz w:val="32"/>
          <w:szCs w:val="32"/>
        </w:rPr>
        <w:t>接待省厅历史文化名城调研及技术评审餐费</w:t>
      </w:r>
      <w:r>
        <w:rPr>
          <w:rFonts w:hint="eastAsia" w:eastAsia="仿宋_GB2312" w:cs="仿宋_GB2312"/>
          <w:sz w:val="32"/>
          <w:szCs w:val="32"/>
          <w:lang w:val="en-US" w:eastAsia="zh-CN"/>
        </w:rPr>
        <w:t>1,480元，</w:t>
      </w:r>
      <w:r>
        <w:rPr>
          <w:rFonts w:hint="eastAsia" w:eastAsia="仿宋_GB2312" w:cs="仿宋_GB2312"/>
          <w:sz w:val="32"/>
          <w:szCs w:val="32"/>
        </w:rPr>
        <w:t>接待省法院房地产政策落实情况调研餐费</w:t>
      </w:r>
      <w:r>
        <w:rPr>
          <w:rFonts w:hint="eastAsia" w:eastAsia="仿宋_GB2312" w:cs="仿宋_GB2312"/>
          <w:sz w:val="32"/>
          <w:szCs w:val="32"/>
          <w:lang w:val="en-US" w:eastAsia="zh-CN"/>
        </w:rPr>
        <w:t>923.55元</w:t>
      </w:r>
      <w:r>
        <w:rPr>
          <w:rFonts w:hint="eastAsia" w:eastAsia="仿宋_GB2312" w:cs="仿宋_GB2312"/>
          <w:sz w:val="32"/>
          <w:szCs w:val="32"/>
        </w:rPr>
        <w:t>。</w:t>
      </w:r>
    </w:p>
    <w:p>
      <w:pPr>
        <w:spacing w:line="600" w:lineRule="exact"/>
        <w:ind w:firstLine="640"/>
        <w:rPr>
          <w:rFonts w:eastAsia="仿宋_GB2312" w:cs="仿宋_GB2312"/>
          <w:sz w:val="32"/>
          <w:szCs w:val="32"/>
        </w:rPr>
      </w:pPr>
      <w:r>
        <w:rPr>
          <w:rFonts w:hint="eastAsia" w:eastAsia="仿宋_GB2312" w:cs="仿宋_GB2312"/>
          <w:sz w:val="32"/>
          <w:szCs w:val="32"/>
        </w:rPr>
        <w:t>外事接待支出</w:t>
      </w:r>
      <w:r>
        <w:rPr>
          <w:rFonts w:hint="eastAsia" w:eastAsia="仿宋_GB2312" w:cs="仿宋_GB2312"/>
          <w:sz w:val="32"/>
          <w:szCs w:val="32"/>
          <w:lang w:val="en-US" w:eastAsia="zh-CN"/>
        </w:rPr>
        <w:t>0</w:t>
      </w:r>
      <w:r>
        <w:rPr>
          <w:rFonts w:hint="eastAsia" w:eastAsia="仿宋_GB2312" w:cs="仿宋_GB2312"/>
          <w:sz w:val="32"/>
          <w:szCs w:val="32"/>
        </w:rPr>
        <w:t>万元，外事接待</w:t>
      </w:r>
      <w:r>
        <w:rPr>
          <w:rFonts w:hint="eastAsia" w:eastAsia="仿宋_GB2312" w:cs="仿宋_GB2312"/>
          <w:sz w:val="32"/>
          <w:szCs w:val="32"/>
          <w:lang w:val="en-US" w:eastAsia="zh-CN"/>
        </w:rPr>
        <w:t>0</w:t>
      </w:r>
      <w:r>
        <w:rPr>
          <w:rFonts w:hint="eastAsia" w:eastAsia="仿宋_GB2312" w:cs="仿宋_GB2312"/>
          <w:sz w:val="32"/>
          <w:szCs w:val="32"/>
        </w:rPr>
        <w:t>批次，</w:t>
      </w:r>
      <w:r>
        <w:rPr>
          <w:rFonts w:hint="eastAsia" w:eastAsia="仿宋_GB2312" w:cs="仿宋_GB2312"/>
          <w:sz w:val="32"/>
          <w:szCs w:val="32"/>
          <w:lang w:val="en-US" w:eastAsia="zh-CN"/>
        </w:rPr>
        <w:t>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w:t>
      </w:r>
      <w:r>
        <w:rPr>
          <w:rFonts w:hint="eastAsia" w:eastAsia="仿宋_GB2312" w:cs="仿宋_GB2312"/>
          <w:sz w:val="32"/>
          <w:szCs w:val="32"/>
        </w:rPr>
        <w:t>万元。</w:t>
      </w:r>
    </w:p>
    <w:p>
      <w:pPr>
        <w:spacing w:line="600" w:lineRule="exact"/>
        <w:ind w:firstLine="640"/>
        <w:rPr>
          <w:rFonts w:eastAsia="仿宋_GB2312" w:cs="仿宋_GB2312"/>
          <w:sz w:val="32"/>
          <w:szCs w:val="32"/>
        </w:rPr>
      </w:pPr>
      <w:bookmarkStart w:id="80" w:name="_Toc15377218"/>
      <w:bookmarkStart w:id="81" w:name="_Toc15396610"/>
    </w:p>
    <w:p>
      <w:pPr>
        <w:spacing w:line="600" w:lineRule="exact"/>
        <w:ind w:firstLine="640"/>
        <w:outlineLvl w:val="1"/>
        <w:rPr>
          <w:rStyle w:val="30"/>
          <w:rFonts w:ascii="Times New Roman" w:hAnsi="Times New Roman" w:eastAsia="黑体"/>
        </w:rPr>
      </w:pPr>
      <w:bookmarkStart w:id="82" w:name="_Toc1824120915_WPSOffice_Level2"/>
      <w:r>
        <w:rPr>
          <w:rFonts w:hint="eastAsia" w:eastAsia="黑体"/>
          <w:sz w:val="32"/>
          <w:szCs w:val="32"/>
        </w:rPr>
        <w:t>八、</w:t>
      </w:r>
      <w:r>
        <w:rPr>
          <w:rStyle w:val="30"/>
          <w:rFonts w:hint="eastAsia" w:ascii="Times New Roman" w:hAnsi="Times New Roman" w:eastAsia="黑体"/>
          <w:b w:val="0"/>
        </w:rPr>
        <w:t>政府性基金预算支出决算情况说明</w:t>
      </w:r>
      <w:bookmarkEnd w:id="80"/>
      <w:bookmarkEnd w:id="81"/>
      <w:bookmarkEnd w:id="82"/>
    </w:p>
    <w:p>
      <w:pPr>
        <w:spacing w:line="600" w:lineRule="exact"/>
        <w:ind w:firstLine="640"/>
        <w:rPr>
          <w:rFonts w:eastAsia="仿宋_GB2312" w:cs="仿宋_GB2312"/>
          <w:b/>
          <w:bCs/>
          <w:sz w:val="32"/>
          <w:szCs w:val="32"/>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1,582</w:t>
      </w:r>
      <w:r>
        <w:rPr>
          <w:rFonts w:hint="eastAsia" w:eastAsia="仿宋_GB2312" w:cs="仿宋_GB2312"/>
          <w:sz w:val="32"/>
          <w:szCs w:val="32"/>
        </w:rPr>
        <w:t>万元，占本年支出合计的</w:t>
      </w:r>
      <w:r>
        <w:rPr>
          <w:rFonts w:hint="eastAsia" w:eastAsia="仿宋_GB2312" w:cs="仿宋_GB2312"/>
          <w:sz w:val="32"/>
          <w:szCs w:val="32"/>
          <w:lang w:val="en-US" w:eastAsia="zh-CN"/>
        </w:rPr>
        <w:t>8.89</w:t>
      </w:r>
      <w:r>
        <w:rPr>
          <w:rFonts w:hint="eastAsia" w:eastAsia="仿宋_GB2312" w:cs="仿宋_GB2312"/>
          <w:sz w:val="32"/>
          <w:szCs w:val="32"/>
        </w:rPr>
        <w:t>%。与上年度相比，政府性基金预算财政拨款支出减少</w:t>
      </w:r>
      <w:r>
        <w:rPr>
          <w:rFonts w:hint="eastAsia" w:eastAsia="仿宋_GB2312" w:cs="仿宋_GB2312"/>
          <w:sz w:val="32"/>
          <w:szCs w:val="32"/>
          <w:lang w:val="en-US" w:eastAsia="zh-CN"/>
        </w:rPr>
        <w:t>20,761.04</w:t>
      </w:r>
      <w:r>
        <w:rPr>
          <w:rFonts w:hint="eastAsia" w:eastAsia="仿宋_GB2312" w:cs="仿宋_GB2312"/>
          <w:sz w:val="32"/>
          <w:szCs w:val="32"/>
        </w:rPr>
        <w:t>万元，下降</w:t>
      </w:r>
      <w:r>
        <w:rPr>
          <w:rFonts w:hint="eastAsia" w:eastAsia="仿宋_GB2312" w:cs="仿宋_GB2312"/>
          <w:sz w:val="32"/>
          <w:szCs w:val="32"/>
          <w:lang w:val="en-US" w:eastAsia="zh-CN"/>
        </w:rPr>
        <w:t>92.92</w:t>
      </w:r>
      <w:r>
        <w:rPr>
          <w:rFonts w:hint="eastAsia" w:eastAsia="仿宋_GB2312" w:cs="仿宋_GB2312"/>
          <w:sz w:val="32"/>
          <w:szCs w:val="32"/>
        </w:rPr>
        <w:t>%。主要变动原因是</w:t>
      </w:r>
      <w:r>
        <w:rPr>
          <w:rFonts w:hint="eastAsia" w:ascii="仿宋_GB2312" w:hAnsi="宋体" w:eastAsia="仿宋_GB2312"/>
          <w:color w:val="auto"/>
          <w:sz w:val="32"/>
          <w:szCs w:val="32"/>
          <w:lang w:eastAsia="zh-CN"/>
        </w:rPr>
        <w:t>一是同项目下达金额减少，</w:t>
      </w:r>
      <w:r>
        <w:rPr>
          <w:rFonts w:hint="eastAsia" w:eastAsia="仿宋_GB2312" w:cs="仿宋_GB2312"/>
          <w:sz w:val="32"/>
          <w:szCs w:val="32"/>
          <w:lang w:eastAsia="zh-CN"/>
        </w:rPr>
        <w:t>如</w:t>
      </w:r>
      <w:r>
        <w:rPr>
          <w:rFonts w:hint="eastAsia" w:eastAsia="仿宋_GB2312" w:cs="仿宋_GB2312"/>
          <w:sz w:val="32"/>
          <w:szCs w:val="32"/>
        </w:rPr>
        <w:t>攀枝花火车南站站前基础设施PPP项目8</w:t>
      </w:r>
      <w:r>
        <w:rPr>
          <w:rFonts w:hint="eastAsia" w:eastAsia="仿宋_GB2312" w:cs="仿宋_GB2312"/>
          <w:sz w:val="32"/>
          <w:szCs w:val="32"/>
          <w:lang w:val="en-US" w:eastAsia="zh-CN"/>
        </w:rPr>
        <w:t>,</w:t>
      </w:r>
      <w:r>
        <w:rPr>
          <w:rFonts w:hint="eastAsia" w:eastAsia="仿宋_GB2312" w:cs="仿宋_GB2312"/>
          <w:sz w:val="32"/>
          <w:szCs w:val="32"/>
        </w:rPr>
        <w:t>599万元较去年减少2</w:t>
      </w:r>
      <w:r>
        <w:rPr>
          <w:rFonts w:hint="eastAsia" w:eastAsia="仿宋_GB2312" w:cs="仿宋_GB2312"/>
          <w:sz w:val="32"/>
          <w:szCs w:val="32"/>
          <w:lang w:val="en-US" w:eastAsia="zh-CN"/>
        </w:rPr>
        <w:t>,</w:t>
      </w:r>
      <w:r>
        <w:rPr>
          <w:rFonts w:hint="eastAsia" w:eastAsia="仿宋_GB2312" w:cs="仿宋_GB2312"/>
          <w:sz w:val="32"/>
          <w:szCs w:val="32"/>
        </w:rPr>
        <w:t>890.40万元；攀枝花市生活污水处理设施建设PPP项目7</w:t>
      </w:r>
      <w:r>
        <w:rPr>
          <w:rFonts w:hint="eastAsia" w:eastAsia="仿宋_GB2312" w:cs="仿宋_GB2312"/>
          <w:sz w:val="32"/>
          <w:szCs w:val="32"/>
          <w:lang w:val="en-US" w:eastAsia="zh-CN"/>
        </w:rPr>
        <w:t>,</w:t>
      </w:r>
      <w:r>
        <w:rPr>
          <w:rFonts w:hint="eastAsia" w:eastAsia="仿宋_GB2312" w:cs="仿宋_GB2312"/>
          <w:sz w:val="32"/>
          <w:szCs w:val="32"/>
        </w:rPr>
        <w:t>145.85万元</w:t>
      </w:r>
      <w:r>
        <w:rPr>
          <w:rFonts w:hint="eastAsia" w:ascii="仿宋_GB2312" w:eastAsia="仿宋_GB2312"/>
          <w:sz w:val="32"/>
          <w:szCs w:val="32"/>
        </w:rPr>
        <w:t>较去年减少</w:t>
      </w:r>
      <w:r>
        <w:rPr>
          <w:rFonts w:hint="eastAsia" w:eastAsia="仿宋_GB2312" w:cs="仿宋_GB2312"/>
          <w:sz w:val="32"/>
          <w:szCs w:val="32"/>
        </w:rPr>
        <w:t>3</w:t>
      </w:r>
      <w:r>
        <w:rPr>
          <w:rFonts w:hint="eastAsia" w:eastAsia="仿宋_GB2312" w:cs="仿宋_GB2312"/>
          <w:sz w:val="32"/>
          <w:szCs w:val="32"/>
          <w:lang w:val="en-US" w:eastAsia="zh-CN"/>
        </w:rPr>
        <w:t>,</w:t>
      </w:r>
      <w:r>
        <w:rPr>
          <w:rFonts w:hint="eastAsia" w:eastAsia="仿宋_GB2312" w:cs="仿宋_GB2312"/>
          <w:sz w:val="32"/>
          <w:szCs w:val="32"/>
        </w:rPr>
        <w:t>707.79万元，</w:t>
      </w:r>
      <w:r>
        <w:rPr>
          <w:rFonts w:hint="eastAsia" w:eastAsia="仿宋_GB2312" w:cs="仿宋_GB2312"/>
          <w:sz w:val="32"/>
          <w:szCs w:val="32"/>
          <w:lang w:eastAsia="zh-CN"/>
        </w:rPr>
        <w:t>二是</w:t>
      </w:r>
      <w:r>
        <w:rPr>
          <w:rFonts w:hint="eastAsia" w:eastAsia="仿宋_GB2312" w:cs="仿宋_GB2312"/>
          <w:sz w:val="32"/>
          <w:szCs w:val="32"/>
        </w:rPr>
        <w:t>下达</w:t>
      </w:r>
      <w:r>
        <w:rPr>
          <w:rFonts w:hint="eastAsia" w:eastAsia="仿宋_GB2312" w:cs="仿宋_GB2312"/>
          <w:sz w:val="32"/>
          <w:szCs w:val="32"/>
          <w:lang w:eastAsia="zh-CN"/>
        </w:rPr>
        <w:t>科目多</w:t>
      </w:r>
      <w:r>
        <w:rPr>
          <w:rFonts w:hint="eastAsia" w:eastAsia="仿宋_GB2312" w:cs="仿宋_GB2312"/>
          <w:sz w:val="32"/>
          <w:szCs w:val="32"/>
        </w:rPr>
        <w:t>为一般公共预算财政拨款</w:t>
      </w:r>
      <w:r>
        <w:rPr>
          <w:rFonts w:hint="eastAsia" w:ascii="仿宋_GB2312" w:hAnsi="宋体" w:eastAsia="仿宋_GB2312"/>
          <w:sz w:val="32"/>
          <w:szCs w:val="32"/>
        </w:rPr>
        <w:t>。</w:t>
      </w:r>
    </w:p>
    <w:p>
      <w:pPr>
        <w:spacing w:line="600" w:lineRule="exact"/>
        <w:ind w:firstLine="640"/>
        <w:rPr>
          <w:rFonts w:eastAsia="仿宋_GB2312" w:cs="仿宋_GB2312"/>
          <w:sz w:val="32"/>
          <w:szCs w:val="32"/>
        </w:rPr>
      </w:pPr>
    </w:p>
    <w:p>
      <w:pPr>
        <w:spacing w:line="600" w:lineRule="exact"/>
        <w:ind w:left="630"/>
        <w:outlineLvl w:val="1"/>
        <w:rPr>
          <w:rStyle w:val="30"/>
          <w:rFonts w:ascii="Times New Roman" w:hAnsi="Times New Roman" w:eastAsia="黑体"/>
          <w:b w:val="0"/>
        </w:rPr>
      </w:pPr>
      <w:bookmarkStart w:id="83" w:name="_Toc15377219"/>
      <w:bookmarkStart w:id="84" w:name="_Toc15396611"/>
      <w:bookmarkStart w:id="85" w:name="_Toc383038067_WPSOffice_Level2"/>
      <w:r>
        <w:rPr>
          <w:rStyle w:val="30"/>
          <w:rFonts w:hint="eastAsia" w:ascii="Times New Roman" w:hAnsi="Times New Roman" w:eastAsia="黑体"/>
          <w:b w:val="0"/>
        </w:rPr>
        <w:t>九、国有资本经营预算支出决算情况说明</w:t>
      </w:r>
      <w:bookmarkEnd w:id="83"/>
      <w:bookmarkEnd w:id="84"/>
      <w:bookmarkEnd w:id="85"/>
    </w:p>
    <w:p>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p>
    <w:p>
      <w:pPr>
        <w:spacing w:line="600" w:lineRule="exact"/>
        <w:ind w:firstLine="640"/>
        <w:rPr>
          <w:rFonts w:eastAsia="仿宋_GB2312" w:cs="仿宋_GB2312"/>
          <w:sz w:val="32"/>
          <w:szCs w:val="32"/>
        </w:rPr>
      </w:pPr>
    </w:p>
    <w:p>
      <w:pPr>
        <w:spacing w:line="600" w:lineRule="exact"/>
        <w:ind w:left="630"/>
        <w:outlineLvl w:val="1"/>
        <w:rPr>
          <w:rStyle w:val="30"/>
          <w:rFonts w:ascii="Times New Roman" w:hAnsi="Times New Roman" w:eastAsia="黑体"/>
          <w:b w:val="0"/>
        </w:rPr>
      </w:pPr>
      <w:bookmarkStart w:id="86" w:name="_Toc15396612"/>
      <w:bookmarkStart w:id="87" w:name="_Toc1142768806_WPSOffice_Level2"/>
      <w:bookmarkStart w:id="88" w:name="_Toc15377221"/>
      <w:r>
        <w:rPr>
          <w:rStyle w:val="30"/>
          <w:rFonts w:hint="eastAsia" w:ascii="Times New Roman" w:hAnsi="Times New Roman" w:eastAsia="黑体"/>
          <w:b w:val="0"/>
        </w:rPr>
        <w:t>十、其他重要事项的情况说明</w:t>
      </w:r>
      <w:bookmarkEnd w:id="86"/>
      <w:bookmarkEnd w:id="87"/>
      <w:bookmarkEnd w:id="88"/>
    </w:p>
    <w:p>
      <w:pPr>
        <w:spacing w:line="600" w:lineRule="exact"/>
        <w:ind w:firstLine="642" w:firstLineChars="200"/>
        <w:outlineLvl w:val="2"/>
        <w:rPr>
          <w:rFonts w:eastAsia="楷体_GB2312" w:cs="楷体_GB2312"/>
          <w:b/>
          <w:sz w:val="32"/>
          <w:szCs w:val="32"/>
        </w:rPr>
      </w:pPr>
      <w:bookmarkStart w:id="89" w:name="_Toc15377222"/>
      <w:r>
        <w:rPr>
          <w:rFonts w:hint="eastAsia" w:eastAsia="楷体_GB2312" w:cs="楷体_GB2312"/>
          <w:b/>
          <w:sz w:val="32"/>
          <w:szCs w:val="32"/>
        </w:rPr>
        <w:t>（一）机关运行经费支出情况</w:t>
      </w:r>
      <w:bookmarkEnd w:id="89"/>
    </w:p>
    <w:p>
      <w:pPr>
        <w:spacing w:line="600" w:lineRule="exact"/>
        <w:ind w:firstLine="640"/>
        <w:rPr>
          <w:rFonts w:hint="eastAsia" w:eastAsia="仿宋_GB2312" w:cs="仿宋_GB2312"/>
          <w:color w:val="FF0000"/>
          <w:sz w:val="32"/>
          <w:szCs w:val="32"/>
          <w:lang w:val="en-US" w:eastAsia="zh-CN"/>
        </w:rPr>
      </w:pPr>
      <w:r>
        <w:rPr>
          <w:rFonts w:hint="eastAsia" w:eastAsia="仿宋_GB2312" w:cs="仿宋_GB2312"/>
          <w:sz w:val="32"/>
          <w:szCs w:val="32"/>
        </w:rPr>
        <w:t>2025年度，</w:t>
      </w:r>
      <w:r>
        <w:rPr>
          <w:rFonts w:hint="eastAsia" w:ascii="仿宋_GB2312" w:hAnsi="仿宋_GB2312" w:eastAsia="仿宋_GB2312" w:cs="仿宋_GB2312"/>
          <w:sz w:val="32"/>
          <w:szCs w:val="32"/>
        </w:rPr>
        <w:t>四川省攀枝花市住房和城乡建设局（本级）</w:t>
      </w:r>
      <w:r>
        <w:rPr>
          <w:rFonts w:hint="eastAsia" w:eastAsia="仿宋_GB2312" w:cs="仿宋_GB2312"/>
          <w:sz w:val="32"/>
          <w:szCs w:val="32"/>
        </w:rPr>
        <w:t>机关运行经费支出</w:t>
      </w:r>
      <w:r>
        <w:rPr>
          <w:rFonts w:hint="eastAsia" w:eastAsia="仿宋_GB2312" w:cs="仿宋_GB2312"/>
          <w:sz w:val="32"/>
          <w:szCs w:val="32"/>
          <w:lang w:val="en-US" w:eastAsia="zh-CN"/>
        </w:rPr>
        <w:t>124.35</w:t>
      </w:r>
      <w:r>
        <w:rPr>
          <w:rFonts w:hint="eastAsia" w:eastAsia="仿宋_GB2312" w:cs="仿宋_GB2312"/>
          <w:sz w:val="32"/>
          <w:szCs w:val="32"/>
        </w:rPr>
        <w:t>万元，比上年度减少</w:t>
      </w:r>
      <w:r>
        <w:rPr>
          <w:rFonts w:hint="eastAsia" w:eastAsia="仿宋_GB2312" w:cs="仿宋_GB2312"/>
          <w:sz w:val="32"/>
          <w:szCs w:val="32"/>
          <w:lang w:val="en-US" w:eastAsia="zh-CN"/>
        </w:rPr>
        <w:t>11.82</w:t>
      </w:r>
      <w:r>
        <w:rPr>
          <w:rFonts w:hint="eastAsia" w:eastAsia="仿宋_GB2312" w:cs="仿宋_GB2312"/>
          <w:sz w:val="32"/>
          <w:szCs w:val="32"/>
        </w:rPr>
        <w:t>万元，下降</w:t>
      </w:r>
      <w:r>
        <w:rPr>
          <w:rFonts w:hint="eastAsia" w:eastAsia="仿宋_GB2312" w:cs="仿宋_GB2312"/>
          <w:sz w:val="32"/>
          <w:szCs w:val="32"/>
          <w:lang w:val="en-US" w:eastAsia="zh-CN"/>
        </w:rPr>
        <w:t>8.68</w:t>
      </w:r>
      <w:r>
        <w:rPr>
          <w:rFonts w:hint="eastAsia" w:eastAsia="仿宋_GB2312" w:cs="仿宋_GB2312"/>
          <w:sz w:val="32"/>
          <w:szCs w:val="32"/>
        </w:rPr>
        <w:t>%。</w:t>
      </w:r>
      <w:r>
        <w:rPr>
          <w:rFonts w:hint="eastAsia" w:eastAsia="仿宋_GB2312" w:cs="仿宋_GB2312"/>
          <w:color w:val="auto"/>
          <w:sz w:val="32"/>
          <w:szCs w:val="32"/>
        </w:rPr>
        <w:t>主要原因是</w:t>
      </w:r>
      <w:r>
        <w:rPr>
          <w:rFonts w:hint="eastAsia" w:ascii="仿宋_GB2312" w:hAnsi="仿宋" w:eastAsia="仿宋_GB2312" w:cs="仿宋"/>
          <w:bCs/>
          <w:color w:val="auto"/>
          <w:sz w:val="32"/>
          <w:szCs w:val="32"/>
          <w:lang w:val="en-US" w:eastAsia="zh-CN"/>
        </w:rPr>
        <w:t>离退休人员人数较</w:t>
      </w:r>
      <w:r>
        <w:rPr>
          <w:rFonts w:hint="eastAsia" w:eastAsia="仿宋_GB2312" w:cs="仿宋_GB2312"/>
          <w:color w:val="auto"/>
          <w:sz w:val="32"/>
          <w:szCs w:val="32"/>
          <w:lang w:val="en-US" w:eastAsia="zh-CN"/>
        </w:rPr>
        <w:t>2024年减少3人，</w:t>
      </w:r>
      <w:r>
        <w:rPr>
          <w:rFonts w:hint="eastAsia" w:eastAsia="仿宋_GB2312" w:cs="仿宋_GB2312"/>
          <w:color w:val="auto"/>
          <w:sz w:val="32"/>
          <w:szCs w:val="32"/>
        </w:rPr>
        <w:t>机关运行</w:t>
      </w:r>
      <w:r>
        <w:rPr>
          <w:rFonts w:hint="eastAsia" w:eastAsia="仿宋_GB2312" w:cs="仿宋_GB2312"/>
          <w:color w:val="auto"/>
          <w:sz w:val="32"/>
          <w:szCs w:val="32"/>
          <w:lang w:val="en-US" w:eastAsia="zh-CN"/>
        </w:rPr>
        <w:t>经费相应减少。</w:t>
      </w:r>
    </w:p>
    <w:p>
      <w:pPr>
        <w:spacing w:line="600" w:lineRule="exact"/>
        <w:ind w:firstLine="642" w:firstLineChars="200"/>
        <w:outlineLvl w:val="2"/>
        <w:rPr>
          <w:rFonts w:eastAsia="楷体_GB2312" w:cs="楷体_GB2312"/>
          <w:b/>
          <w:sz w:val="32"/>
          <w:szCs w:val="32"/>
        </w:rPr>
      </w:pPr>
      <w:bookmarkStart w:id="90" w:name="_Toc15377223"/>
      <w:r>
        <w:rPr>
          <w:rFonts w:hint="eastAsia" w:eastAsia="楷体_GB2312" w:cs="楷体_GB2312"/>
          <w:b/>
          <w:sz w:val="32"/>
          <w:szCs w:val="32"/>
        </w:rPr>
        <w:t>（二）政府采购支出情况</w:t>
      </w:r>
      <w:bookmarkEnd w:id="90"/>
    </w:p>
    <w:p>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ascii="仿宋_GB2312" w:hAnsi="仿宋_GB2312" w:eastAsia="仿宋_GB2312" w:cs="仿宋_GB2312"/>
          <w:sz w:val="32"/>
          <w:szCs w:val="32"/>
        </w:rPr>
        <w:t>四川省攀枝花市住房和城乡建设局（本级）</w:t>
      </w:r>
      <w:r>
        <w:rPr>
          <w:rFonts w:hint="eastAsia" w:eastAsia="仿宋_GB2312" w:cs="仿宋_GB2312"/>
          <w:sz w:val="32"/>
          <w:szCs w:val="32"/>
        </w:rPr>
        <w:t>政府采购支出总额</w:t>
      </w:r>
      <w:r>
        <w:rPr>
          <w:rFonts w:hint="eastAsia" w:eastAsia="仿宋_GB2312" w:cs="仿宋_GB2312"/>
          <w:sz w:val="32"/>
          <w:szCs w:val="32"/>
          <w:lang w:val="en-US" w:eastAsia="zh-CN"/>
        </w:rPr>
        <w:t>156.76</w:t>
      </w:r>
      <w:r>
        <w:rPr>
          <w:rFonts w:hint="eastAsia" w:eastAsia="仿宋_GB2312" w:cs="仿宋_GB2312"/>
          <w:sz w:val="32"/>
          <w:szCs w:val="32"/>
        </w:rPr>
        <w:t>万元，其中：政府采购货物支出</w:t>
      </w:r>
      <w:r>
        <w:rPr>
          <w:rFonts w:hint="eastAsia" w:eastAsia="仿宋_GB2312" w:cs="仿宋_GB2312"/>
          <w:sz w:val="32"/>
          <w:szCs w:val="32"/>
          <w:lang w:val="en-US" w:eastAsia="zh-CN"/>
        </w:rPr>
        <w:t>1.73</w:t>
      </w:r>
      <w:r>
        <w:rPr>
          <w:rFonts w:hint="eastAsia" w:eastAsia="仿宋_GB2312" w:cs="仿宋_GB2312"/>
          <w:sz w:val="32"/>
          <w:szCs w:val="32"/>
        </w:rPr>
        <w:t>万元、政府采购工程支出</w:t>
      </w:r>
      <w:r>
        <w:rPr>
          <w:rFonts w:hint="eastAsia" w:eastAsia="仿宋_GB2312" w:cs="仿宋_GB2312"/>
          <w:sz w:val="32"/>
          <w:szCs w:val="32"/>
          <w:lang w:val="en-US" w:eastAsia="zh-CN"/>
        </w:rPr>
        <w:t>0</w:t>
      </w:r>
      <w:r>
        <w:rPr>
          <w:rFonts w:hint="eastAsia" w:eastAsia="仿宋_GB2312" w:cs="仿宋_GB2312"/>
          <w:sz w:val="32"/>
          <w:szCs w:val="32"/>
        </w:rPr>
        <w:t>万元、政府采购服务支出</w:t>
      </w:r>
      <w:r>
        <w:rPr>
          <w:rFonts w:hint="eastAsia" w:eastAsia="仿宋_GB2312" w:cs="仿宋_GB2312"/>
          <w:sz w:val="32"/>
          <w:szCs w:val="32"/>
          <w:lang w:val="en-US" w:eastAsia="zh-CN"/>
        </w:rPr>
        <w:t>155.03</w:t>
      </w:r>
      <w:r>
        <w:rPr>
          <w:rFonts w:hint="eastAsia" w:eastAsia="仿宋_GB2312" w:cs="仿宋_GB2312"/>
          <w:sz w:val="32"/>
          <w:szCs w:val="32"/>
        </w:rPr>
        <w:t>万元。主要用于攀枝花市城市体检技术服务费</w:t>
      </w:r>
      <w:r>
        <w:rPr>
          <w:rFonts w:hint="eastAsia" w:eastAsia="仿宋_GB2312" w:cs="仿宋_GB2312"/>
          <w:sz w:val="32"/>
          <w:szCs w:val="32"/>
          <w:lang w:eastAsia="zh-CN"/>
        </w:rPr>
        <w:t>、攀枝花市城市有机更新攻坚行动第三方技术服务、攀枝花大桥项目建议书、可行性研究报告编制费用</w:t>
      </w:r>
      <w:r>
        <w:rPr>
          <w:rFonts w:hint="eastAsia" w:eastAsia="仿宋_GB2312" w:cs="仿宋_GB2312"/>
          <w:sz w:val="32"/>
          <w:szCs w:val="32"/>
        </w:rPr>
        <w:t>。授予中小企业合同金额</w:t>
      </w:r>
      <w:r>
        <w:rPr>
          <w:rFonts w:hint="eastAsia" w:eastAsia="仿宋_GB2312" w:cs="仿宋_GB2312"/>
          <w:sz w:val="32"/>
          <w:szCs w:val="32"/>
          <w:lang w:val="en-US" w:eastAsia="zh-CN"/>
        </w:rPr>
        <w:t>2.89</w:t>
      </w:r>
      <w:r>
        <w:rPr>
          <w:rFonts w:hint="eastAsia" w:eastAsia="仿宋_GB2312" w:cs="仿宋_GB2312"/>
          <w:sz w:val="32"/>
          <w:szCs w:val="32"/>
        </w:rPr>
        <w:t>万元，占政府采购支出总额的</w:t>
      </w:r>
      <w:r>
        <w:rPr>
          <w:rFonts w:hint="eastAsia" w:eastAsia="仿宋_GB2312" w:cs="仿宋_GB2312"/>
          <w:sz w:val="32"/>
          <w:szCs w:val="32"/>
          <w:lang w:val="en-US" w:eastAsia="zh-CN"/>
        </w:rPr>
        <w:t>1.84</w:t>
      </w:r>
      <w:r>
        <w:rPr>
          <w:rFonts w:hint="eastAsia" w:eastAsia="仿宋_GB2312" w:cs="仿宋_GB2312"/>
          <w:sz w:val="32"/>
          <w:szCs w:val="32"/>
        </w:rPr>
        <w:t>%，其中：授予小微企业合同金额</w:t>
      </w:r>
      <w:r>
        <w:rPr>
          <w:rFonts w:hint="eastAsia" w:eastAsia="仿宋_GB2312" w:cs="仿宋_GB2312"/>
          <w:sz w:val="32"/>
          <w:szCs w:val="32"/>
          <w:lang w:val="en-US" w:eastAsia="zh-CN"/>
        </w:rPr>
        <w:t>2.89</w:t>
      </w:r>
      <w:r>
        <w:rPr>
          <w:rFonts w:hint="eastAsia" w:eastAsia="仿宋_GB2312" w:cs="仿宋_GB2312"/>
          <w:sz w:val="32"/>
          <w:szCs w:val="32"/>
        </w:rPr>
        <w:t>万元，占政府采购支出总额的</w:t>
      </w:r>
      <w:r>
        <w:rPr>
          <w:rFonts w:hint="eastAsia" w:eastAsia="仿宋_GB2312" w:cs="仿宋_GB2312"/>
          <w:sz w:val="32"/>
          <w:szCs w:val="32"/>
          <w:lang w:val="en-US" w:eastAsia="zh-CN"/>
        </w:rPr>
        <w:t>1.84</w:t>
      </w:r>
      <w:r>
        <w:rPr>
          <w:rFonts w:hint="eastAsia" w:eastAsia="仿宋_GB2312" w:cs="仿宋_GB2312"/>
          <w:sz w:val="32"/>
          <w:szCs w:val="32"/>
        </w:rPr>
        <w:t>%。</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bookmarkStart w:id="91" w:name="_Toc15377224"/>
      <w:r>
        <w:rPr>
          <w:rFonts w:hint="eastAsia" w:eastAsia="楷体_GB2312" w:cs="楷体_GB2312"/>
          <w:b/>
          <w:sz w:val="32"/>
          <w:szCs w:val="32"/>
        </w:rPr>
        <w:t>（三）国有资产占有使用情况</w:t>
      </w:r>
      <w:bookmarkEnd w:id="91"/>
    </w:p>
    <w:p>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ascii="仿宋_GB2312" w:hAnsi="仿宋_GB2312" w:eastAsia="仿宋_GB2312" w:cs="仿宋_GB2312"/>
          <w:sz w:val="32"/>
          <w:szCs w:val="32"/>
        </w:rPr>
        <w:t>四川省攀枝花市住房和城乡建设局（本级）</w:t>
      </w:r>
      <w:r>
        <w:rPr>
          <w:rFonts w:hint="eastAsia" w:eastAsia="仿宋_GB2312" w:cs="仿宋_GB2312"/>
          <w:sz w:val="32"/>
          <w:szCs w:val="32"/>
        </w:rPr>
        <w:t>共有车辆</w:t>
      </w:r>
      <w:r>
        <w:rPr>
          <w:rFonts w:hint="eastAsia" w:eastAsia="仿宋_GB2312" w:cs="仿宋_GB2312"/>
          <w:sz w:val="32"/>
          <w:szCs w:val="32"/>
          <w:lang w:val="en-US" w:eastAsia="zh-CN"/>
        </w:rPr>
        <w:t>3</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1</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2</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0</w:t>
      </w:r>
      <w:r>
        <w:rPr>
          <w:rFonts w:hint="eastAsia" w:eastAsia="仿宋_GB2312" w:cs="仿宋_GB2312"/>
          <w:sz w:val="32"/>
          <w:szCs w:val="32"/>
        </w:rPr>
        <w:t>辆。单价100万元（含）以上设备（不含车辆）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pPr>
        <w:spacing w:line="600" w:lineRule="exact"/>
        <w:ind w:firstLine="640"/>
        <w:rPr>
          <w:rFonts w:eastAsia="仿宋_GB2312" w:cs="仿宋_GB2312"/>
          <w:sz w:val="32"/>
          <w:szCs w:val="32"/>
        </w:rPr>
      </w:pPr>
    </w:p>
    <w:p>
      <w:pPr>
        <w:spacing w:line="600" w:lineRule="exact"/>
        <w:ind w:firstLine="642" w:firstLineChars="200"/>
        <w:outlineLvl w:val="2"/>
        <w:rPr>
          <w:rFonts w:eastAsia="楷体_GB2312" w:cs="楷体_GB2312"/>
          <w:b/>
          <w:sz w:val="32"/>
          <w:szCs w:val="32"/>
        </w:rPr>
      </w:pPr>
      <w:r>
        <w:rPr>
          <w:rFonts w:hint="eastAsia" w:eastAsia="楷体_GB2312" w:cs="楷体_GB2312"/>
          <w:b/>
          <w:sz w:val="32"/>
          <w:szCs w:val="32"/>
        </w:rPr>
        <w:t>（四）预算绩效管理情况</w:t>
      </w:r>
    </w:p>
    <w:p>
      <w:pPr>
        <w:spacing w:line="600" w:lineRule="exact"/>
        <w:ind w:firstLine="640"/>
        <w:rPr>
          <w:rFonts w:hint="eastAsia" w:eastAsia="仿宋_GB2312" w:cs="仿宋_GB2312"/>
          <w:sz w:val="32"/>
          <w:szCs w:val="32"/>
        </w:rPr>
      </w:pPr>
      <w:r>
        <w:rPr>
          <w:rFonts w:hint="eastAsia" w:eastAsia="仿宋_GB2312" w:cs="仿宋_GB2312"/>
          <w:sz w:val="32"/>
          <w:szCs w:val="32"/>
        </w:rPr>
        <w:t>根据预算绩效管理要求，</w:t>
      </w:r>
      <w:r>
        <w:rPr>
          <w:rFonts w:hint="eastAsia" w:ascii="仿宋_GB2312" w:hAnsi="仿宋_GB2312" w:eastAsia="仿宋_GB2312" w:cs="仿宋_GB2312"/>
          <w:sz w:val="32"/>
          <w:szCs w:val="32"/>
        </w:rPr>
        <w:t>四川省攀枝花市住房和城乡建设局</w:t>
      </w:r>
      <w:r>
        <w:rPr>
          <w:rFonts w:hint="eastAsia" w:eastAsia="仿宋_GB2312" w:cs="仿宋_GB2312"/>
          <w:sz w:val="32"/>
          <w:szCs w:val="32"/>
        </w:rPr>
        <w:t>（本级）在2025年度，组织对攀枝花火车南站PPP项目2023年可用性服务费</w:t>
      </w:r>
      <w:r>
        <w:rPr>
          <w:rFonts w:hint="eastAsia" w:eastAsia="仿宋_GB2312" w:cs="仿宋_GB2312"/>
          <w:sz w:val="32"/>
          <w:szCs w:val="32"/>
          <w:lang w:eastAsia="zh-CN"/>
        </w:rPr>
        <w:t>、</w:t>
      </w:r>
      <w:r>
        <w:rPr>
          <w:rFonts w:hint="eastAsia" w:eastAsia="仿宋_GB2312" w:cs="仿宋_GB2312"/>
          <w:sz w:val="32"/>
          <w:szCs w:val="32"/>
          <w:lang w:val="en-US" w:eastAsia="zh-CN"/>
        </w:rPr>
        <w:t>攀枝花市生活污水处理设施建设PPP项目可用性服务费、</w:t>
      </w:r>
      <w:r>
        <w:rPr>
          <w:rFonts w:hint="eastAsia" w:ascii="仿宋_GB2312" w:hAnsi="仿宋" w:eastAsia="仿宋_GB2312" w:cs="仿宋"/>
          <w:color w:val="auto"/>
          <w:sz w:val="32"/>
          <w:szCs w:val="32"/>
          <w:lang w:val="en-US" w:eastAsia="zh-CN"/>
        </w:rPr>
        <w:t>攀枝花市城市有机更新攻坚行动第三方技术服务、项目前期工作激励省预算内基本建设资金支出预算、</w:t>
      </w:r>
      <w:r>
        <w:rPr>
          <w:rFonts w:hint="eastAsia" w:ascii="仿宋_GB2312" w:hAnsi="仿宋" w:eastAsia="仿宋_GB2312" w:cs="仿宋"/>
          <w:color w:val="000000"/>
          <w:sz w:val="32"/>
          <w:szCs w:val="32"/>
          <w:lang w:val="en-US" w:eastAsia="zh-CN"/>
        </w:rPr>
        <w:t>申报国家历史文化名城工作经费、</w:t>
      </w:r>
      <w:r>
        <w:rPr>
          <w:rFonts w:hint="eastAsia" w:ascii="仿宋_GB2312" w:hAnsi="仿宋" w:eastAsia="仿宋_GB2312" w:cs="仿宋"/>
          <w:color w:val="auto"/>
          <w:sz w:val="32"/>
          <w:szCs w:val="32"/>
          <w:lang w:val="en-US" w:eastAsia="zh-CN"/>
        </w:rPr>
        <w:t>攀枝花大桥项目建议书、可行性研究报告编制费用</w:t>
      </w:r>
      <w:r>
        <w:rPr>
          <w:rFonts w:hint="eastAsia" w:eastAsia="仿宋_GB2312" w:cs="仿宋_GB2312"/>
          <w:sz w:val="32"/>
          <w:szCs w:val="32"/>
        </w:rPr>
        <w:t>等</w:t>
      </w:r>
      <w:r>
        <w:rPr>
          <w:rFonts w:hint="eastAsia" w:eastAsia="仿宋_GB2312" w:cs="仿宋_GB2312"/>
          <w:sz w:val="32"/>
          <w:szCs w:val="32"/>
          <w:lang w:val="en-US" w:eastAsia="zh-CN"/>
        </w:rPr>
        <w:t>25</w:t>
      </w:r>
      <w:r>
        <w:rPr>
          <w:rFonts w:hint="eastAsia" w:eastAsia="仿宋_GB2312" w:cs="仿宋_GB2312"/>
          <w:sz w:val="32"/>
          <w:szCs w:val="32"/>
        </w:rPr>
        <w:t>个项目涉及金额</w:t>
      </w:r>
      <w:r>
        <w:rPr>
          <w:rFonts w:hint="eastAsia" w:eastAsia="仿宋_GB2312" w:cs="仿宋_GB2312"/>
          <w:sz w:val="32"/>
          <w:szCs w:val="32"/>
          <w:lang w:val="en-US" w:eastAsia="zh-CN"/>
        </w:rPr>
        <w:t>16,313.9</w:t>
      </w:r>
      <w:r>
        <w:rPr>
          <w:rFonts w:hint="eastAsia" w:eastAsia="仿宋_GB2312" w:cs="仿宋_GB2312"/>
          <w:sz w:val="32"/>
          <w:szCs w:val="32"/>
        </w:rPr>
        <w:t>万元开展了事前绩效评估，对</w:t>
      </w:r>
      <w:r>
        <w:rPr>
          <w:rFonts w:hint="eastAsia" w:eastAsia="仿宋_GB2312" w:cs="仿宋_GB2312"/>
          <w:sz w:val="32"/>
          <w:szCs w:val="32"/>
          <w:lang w:val="en-US" w:eastAsia="zh-CN"/>
        </w:rPr>
        <w:t>25</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25</w:t>
      </w:r>
      <w:r>
        <w:rPr>
          <w:rFonts w:hint="eastAsia" w:eastAsia="仿宋_GB2312" w:cs="仿宋_GB2312"/>
          <w:sz w:val="32"/>
          <w:szCs w:val="32"/>
        </w:rPr>
        <w:t>个项目开展绩效监控。</w:t>
      </w:r>
    </w:p>
    <w:p>
      <w:pPr>
        <w:pStyle w:val="2"/>
        <w:rPr>
          <w:rFonts w:hint="eastAsia" w:eastAsia="仿宋_GB2312" w:cs="仿宋_GB2312"/>
          <w:sz w:val="32"/>
          <w:szCs w:val="32"/>
        </w:rPr>
      </w:pPr>
    </w:p>
    <w:p>
      <w:pPr>
        <w:pStyle w:val="3"/>
        <w:rPr>
          <w:rFonts w:hint="eastAsia" w:eastAsia="仿宋_GB2312" w:cs="仿宋_GB2312"/>
          <w:sz w:val="32"/>
          <w:szCs w:val="32"/>
        </w:rPr>
      </w:pPr>
    </w:p>
    <w:p>
      <w:pPr>
        <w:rPr>
          <w:rFonts w:hint="eastAsia" w:eastAsia="仿宋_GB2312" w:cs="仿宋_GB2312"/>
          <w:sz w:val="32"/>
          <w:szCs w:val="32"/>
        </w:rPr>
      </w:pPr>
    </w:p>
    <w:p>
      <w:pPr>
        <w:pStyle w:val="2"/>
        <w:rPr>
          <w:rFonts w:hint="eastAsia" w:eastAsia="仿宋_GB2312" w:cs="仿宋_GB2312"/>
          <w:sz w:val="32"/>
          <w:szCs w:val="32"/>
        </w:rPr>
      </w:pPr>
    </w:p>
    <w:p>
      <w:pPr>
        <w:pStyle w:val="3"/>
      </w:pPr>
    </w:p>
    <w:p>
      <w:pPr>
        <w:spacing w:line="600" w:lineRule="exact"/>
        <w:jc w:val="center"/>
        <w:outlineLvl w:val="0"/>
        <w:rPr>
          <w:rFonts w:hint="eastAsia" w:eastAsia="黑体"/>
          <w:sz w:val="44"/>
          <w:szCs w:val="44"/>
        </w:rPr>
      </w:pPr>
      <w:bookmarkStart w:id="92" w:name="_Toc15396613"/>
      <w:bookmarkStart w:id="93" w:name="_Toc15377225"/>
    </w:p>
    <w:p>
      <w:pPr>
        <w:spacing w:line="600" w:lineRule="exact"/>
        <w:jc w:val="center"/>
        <w:outlineLvl w:val="0"/>
        <w:rPr>
          <w:rFonts w:eastAsia="黑体"/>
          <w:sz w:val="44"/>
          <w:szCs w:val="44"/>
        </w:rPr>
      </w:pPr>
      <w:bookmarkStart w:id="94" w:name="_Toc186312871_WPSOffice_Level1"/>
      <w:r>
        <w:rPr>
          <w:rFonts w:hint="eastAsia" w:eastAsia="黑体"/>
          <w:sz w:val="44"/>
          <w:szCs w:val="44"/>
        </w:rPr>
        <w:t>第三部分  名词解释</w:t>
      </w:r>
      <w:bookmarkEnd w:id="92"/>
      <w:bookmarkEnd w:id="93"/>
      <w:bookmarkEnd w:id="94"/>
    </w:p>
    <w:p>
      <w:pPr>
        <w:spacing w:line="600" w:lineRule="exact"/>
        <w:jc w:val="left"/>
        <w:rPr>
          <w:b/>
          <w:sz w:val="44"/>
          <w:szCs w:val="44"/>
        </w:rPr>
      </w:pPr>
    </w:p>
    <w:p>
      <w:pPr>
        <w:keepNext w:val="0"/>
        <w:keepLines w:val="0"/>
        <w:pageBreakBefore w:val="0"/>
        <w:widowControl w:val="0"/>
        <w:kinsoku/>
        <w:wordWrap/>
        <w:overflowPunct/>
        <w:topLinePunct w:val="0"/>
        <w:autoSpaceDE/>
        <w:bidi w:val="0"/>
        <w:adjustRightInd/>
        <w:snapToGrid/>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sz w:val="32"/>
          <w:szCs w:val="32"/>
        </w:rPr>
        <w:t>1.财政拨款收入：</w:t>
      </w:r>
      <w:r>
        <w:rPr>
          <w:rFonts w:hint="eastAsia" w:ascii="Times New Roman" w:hAnsi="Times New Roman" w:eastAsia="仿宋_GB2312" w:cs="仿宋_GB2312"/>
          <w:color w:val="auto"/>
          <w:kern w:val="2"/>
          <w:sz w:val="32"/>
          <w:szCs w:val="32"/>
          <w:highlight w:val="none"/>
          <w:lang w:val="en-US" w:eastAsia="zh-CN" w:bidi="ar-SA"/>
        </w:rPr>
        <w:t xml:space="preserve">指单位从同级财政部门取得的财政预算资金。 </w:t>
      </w:r>
    </w:p>
    <w:p>
      <w:pPr>
        <w:keepNext w:val="0"/>
        <w:keepLines w:val="0"/>
        <w:pageBreakBefore w:val="0"/>
        <w:widowControl w:val="0"/>
        <w:kinsoku/>
        <w:wordWrap/>
        <w:overflowPunct/>
        <w:topLinePunct w:val="0"/>
        <w:autoSpaceDE/>
        <w:bidi w:val="0"/>
        <w:adjustRightInd/>
        <w:snapToGrid/>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2.年初结转和结余：指以前年度尚未完成、结转到本年按有关规定继续使用的资金。 </w:t>
      </w:r>
    </w:p>
    <w:p>
      <w:pPr>
        <w:keepNext w:val="0"/>
        <w:keepLines w:val="0"/>
        <w:pageBreakBefore w:val="0"/>
        <w:widowControl w:val="0"/>
        <w:kinsoku/>
        <w:wordWrap/>
        <w:overflowPunct/>
        <w:topLinePunct w:val="0"/>
        <w:autoSpaceDE/>
        <w:bidi w:val="0"/>
        <w:adjustRightInd/>
        <w:snapToGrid/>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3.年末结转和结余：指单位按有关规定结转到下年或以后年度继续使用的资金。</w:t>
      </w:r>
    </w:p>
    <w:p>
      <w:pPr>
        <w:keepNext w:val="0"/>
        <w:keepLines w:val="0"/>
        <w:pageBreakBefore w:val="0"/>
        <w:widowControl w:val="0"/>
        <w:kinsoku/>
        <w:wordWrap/>
        <w:overflowPunct/>
        <w:topLinePunct w:val="0"/>
        <w:autoSpaceDE/>
        <w:bidi w:val="0"/>
        <w:adjustRightInd/>
        <w:snapToGrid/>
        <w:spacing w:line="578" w:lineRule="exact"/>
        <w:ind w:firstLine="640" w:firstLineChars="200"/>
        <w:textAlignment w:val="auto"/>
        <w:rPr>
          <w:rFonts w:hint="eastAsia" w:ascii="仿宋_GB2312" w:hAnsi="仿宋_GB2312" w:eastAsia="仿宋_GB2312" w:cs="仿宋_GB2312"/>
          <w:sz w:val="32"/>
          <w:szCs w:val="32"/>
          <w:lang w:bidi="ar"/>
        </w:rPr>
      </w:pPr>
      <w:r>
        <w:rPr>
          <w:rFonts w:hint="eastAsia" w:ascii="Times New Roman" w:hAnsi="Times New Roman" w:eastAsia="仿宋_GB2312" w:cs="仿宋_GB2312"/>
          <w:color w:val="auto"/>
          <w:kern w:val="2"/>
          <w:sz w:val="32"/>
          <w:szCs w:val="32"/>
          <w:highlight w:val="none"/>
          <w:lang w:val="en-US" w:eastAsia="zh-CN" w:bidi="ar-SA"/>
        </w:rPr>
        <w:t>4.</w:t>
      </w:r>
      <w:r>
        <w:rPr>
          <w:rFonts w:hint="eastAsia" w:ascii="仿宋_GB2312" w:hAnsi="仿宋_GB2312" w:eastAsia="仿宋_GB2312" w:cs="仿宋_GB2312"/>
          <w:sz w:val="32"/>
          <w:szCs w:val="32"/>
          <w:lang w:bidi="ar"/>
        </w:rPr>
        <w:t>一般公共服务（类）组织事务（款）其他组织事务支出（项）：反映</w:t>
      </w:r>
      <w:r>
        <w:rPr>
          <w:rFonts w:hint="eastAsia" w:ascii="仿宋_GB2312" w:hAnsi="仿宋_GB2312" w:eastAsia="仿宋_GB2312" w:cs="仿宋_GB2312"/>
          <w:kern w:val="0"/>
          <w:sz w:val="32"/>
          <w:szCs w:val="32"/>
          <w:lang w:bidi="ar"/>
        </w:rPr>
        <w:t>除上述项目以外的</w:t>
      </w:r>
      <w:r>
        <w:rPr>
          <w:rFonts w:hint="eastAsia" w:ascii="仿宋_GB2312" w:hAnsi="仿宋_GB2312" w:eastAsia="仿宋_GB2312" w:cs="仿宋_GB2312"/>
          <w:sz w:val="32"/>
          <w:szCs w:val="32"/>
          <w:lang w:bidi="ar"/>
        </w:rPr>
        <w:t>其他用于中国共产党组织部门的事务支出。</w:t>
      </w:r>
    </w:p>
    <w:p>
      <w:pPr>
        <w:keepNext w:val="0"/>
        <w:keepLines w:val="0"/>
        <w:pageBreakBefore w:val="0"/>
        <w:widowControl w:val="0"/>
        <w:kinsoku/>
        <w:wordWrap/>
        <w:overflowPunct/>
        <w:topLinePunct w:val="0"/>
        <w:autoSpaceDE/>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ascii="仿宋_GB2312" w:hAnsi="仿宋_GB2312" w:eastAsia="仿宋_GB2312" w:cs="仿宋_GB2312"/>
          <w:color w:val="auto"/>
          <w:sz w:val="32"/>
          <w:szCs w:val="32"/>
          <w:lang w:bidi="ar"/>
        </w:rPr>
        <w:t>社会保障和就业（类）</w:t>
      </w:r>
      <w:r>
        <w:rPr>
          <w:rFonts w:ascii="仿宋_GB2312" w:hAnsi="仿宋_GB2312" w:eastAsia="仿宋_GB2312" w:cs="仿宋_GB2312"/>
          <w:color w:val="auto"/>
          <w:sz w:val="32"/>
          <w:szCs w:val="32"/>
          <w:lang w:bidi="ar"/>
        </w:rPr>
        <w:t>人力资源和社会保障管理事务</w:t>
      </w:r>
      <w:r>
        <w:rPr>
          <w:rFonts w:hint="eastAsia" w:ascii="仿宋_GB2312" w:hAnsi="仿宋_GB2312" w:eastAsia="仿宋_GB2312" w:cs="仿宋_GB2312"/>
          <w:color w:val="auto"/>
          <w:sz w:val="32"/>
          <w:szCs w:val="32"/>
          <w:lang w:bidi="ar"/>
        </w:rPr>
        <w:t>（款）</w:t>
      </w:r>
      <w:r>
        <w:rPr>
          <w:rFonts w:ascii="仿宋_GB2312" w:hAnsi="仿宋_GB2312" w:eastAsia="仿宋_GB2312" w:cs="仿宋_GB2312"/>
          <w:color w:val="auto"/>
          <w:sz w:val="32"/>
          <w:szCs w:val="32"/>
          <w:lang w:bidi="ar"/>
        </w:rPr>
        <w:t>其他人力资源和社会保障管理事务支出</w:t>
      </w:r>
      <w:r>
        <w:rPr>
          <w:rFonts w:hint="eastAsia" w:ascii="仿宋_GB2312" w:hAnsi="仿宋_GB2312" w:eastAsia="仿宋_GB2312" w:cs="仿宋_GB2312"/>
          <w:color w:val="auto"/>
          <w:sz w:val="32"/>
          <w:szCs w:val="32"/>
          <w:lang w:bidi="ar"/>
        </w:rPr>
        <w:t>（项）：反映</w:t>
      </w:r>
      <w:r>
        <w:rPr>
          <w:rFonts w:hint="eastAsia" w:ascii="仿宋_GB2312" w:hAnsi="仿宋_GB2312" w:eastAsia="仿宋_GB2312" w:cs="仿宋_GB2312"/>
          <w:color w:val="auto"/>
          <w:kern w:val="0"/>
          <w:sz w:val="32"/>
          <w:szCs w:val="32"/>
          <w:lang w:bidi="ar"/>
        </w:rPr>
        <w:t>除上述项目以外</w:t>
      </w:r>
      <w:r>
        <w:rPr>
          <w:rFonts w:hint="eastAsia" w:ascii="仿宋_GB2312" w:hAnsi="仿宋_GB2312" w:eastAsia="仿宋_GB2312" w:cs="仿宋_GB2312"/>
          <w:color w:val="auto"/>
          <w:sz w:val="32"/>
          <w:szCs w:val="32"/>
          <w:lang w:bidi="ar"/>
        </w:rPr>
        <w:t>其他用于人力资源和社会保障管理事务方面的支出。</w:t>
      </w:r>
    </w:p>
    <w:p>
      <w:pPr>
        <w:pStyle w:val="2"/>
        <w:keepNext w:val="0"/>
        <w:keepLines w:val="0"/>
        <w:pageBreakBefore w:val="0"/>
        <w:widowControl w:val="0"/>
        <w:kinsoku/>
        <w:wordWrap/>
        <w:overflowPunct/>
        <w:topLinePunct w:val="0"/>
        <w:bidi w:val="0"/>
        <w:spacing w:line="600" w:lineRule="exact"/>
        <w:ind w:firstLine="640" w:firstLineChars="200"/>
        <w:jc w:val="both"/>
        <w:textAlignment w:val="auto"/>
        <w:rPr>
          <w:rFonts w:hint="eastAsia" w:ascii="仿宋_GB2312" w:hAnsi="仿宋_GB2312" w:eastAsia="仿宋_GB2312" w:cs="仿宋_GB2312"/>
          <w:color w:val="000000"/>
          <w:sz w:val="32"/>
          <w:szCs w:val="32"/>
          <w:lang w:bidi="ar"/>
        </w:rPr>
      </w:pPr>
      <w:r>
        <w:rPr>
          <w:rFonts w:hint="eastAsia" w:ascii="Times New Roman" w:hAnsi="Times New Roman" w:eastAsia="仿宋_GB2312" w:cs="仿宋_GB2312"/>
          <w:color w:val="auto"/>
          <w:kern w:val="2"/>
          <w:sz w:val="32"/>
          <w:szCs w:val="32"/>
          <w:highlight w:val="none"/>
          <w:lang w:val="en-US" w:eastAsia="zh-CN" w:bidi="ar-SA"/>
        </w:rPr>
        <w:t>6.</w:t>
      </w:r>
      <w:r>
        <w:rPr>
          <w:rFonts w:hint="eastAsia" w:ascii="仿宋_GB2312" w:hAnsi="仿宋_GB2312" w:eastAsia="仿宋_GB2312" w:cs="仿宋_GB2312"/>
          <w:color w:val="000000"/>
          <w:sz w:val="32"/>
          <w:szCs w:val="32"/>
          <w:lang w:bidi="ar"/>
        </w:rPr>
        <w:t>社会保障和就业（类）行政事业单位养老支出（款）行政单位离退休（项）：指反映行政单位（包括实行公务员管理的事业单位）开支的离退休经费</w:t>
      </w:r>
      <w:r>
        <w:rPr>
          <w:rFonts w:hint="eastAsia" w:ascii="仿宋_GB2312" w:hAnsi="仿宋_GB2312" w:eastAsia="仿宋_GB2312" w:cs="仿宋_GB2312"/>
          <w:color w:val="000000"/>
          <w:sz w:val="32"/>
          <w:szCs w:val="32"/>
          <w:lang w:eastAsia="zh-CN" w:bidi="ar"/>
        </w:rPr>
        <w:t>；</w:t>
      </w:r>
      <w:r>
        <w:rPr>
          <w:rFonts w:hint="eastAsia" w:ascii="仿宋_GB2312" w:hAnsi="仿宋_GB2312" w:eastAsia="仿宋_GB2312" w:cs="仿宋_GB2312"/>
          <w:color w:val="000000"/>
          <w:sz w:val="32"/>
          <w:szCs w:val="32"/>
          <w:lang w:bidi="ar"/>
        </w:rPr>
        <w:t>机关事业单位职业年金缴费支出（项）：反映机关事业单位实施养老保险制度由单位缴纳的</w:t>
      </w:r>
      <w:r>
        <w:rPr>
          <w:rFonts w:hint="eastAsia" w:ascii="仿宋_GB2312" w:hAnsi="仿宋_GB2312" w:eastAsia="仿宋_GB2312" w:cs="仿宋_GB2312"/>
          <w:color w:val="000000"/>
          <w:sz w:val="32"/>
          <w:szCs w:val="32"/>
          <w:lang w:eastAsia="zh-CN" w:bidi="ar"/>
        </w:rPr>
        <w:t>职业年金</w:t>
      </w:r>
      <w:r>
        <w:rPr>
          <w:rFonts w:hint="eastAsia" w:ascii="仿宋_GB2312" w:hAnsi="仿宋_GB2312" w:eastAsia="仿宋_GB2312" w:cs="仿宋_GB2312"/>
          <w:color w:val="000000"/>
          <w:sz w:val="32"/>
          <w:szCs w:val="32"/>
          <w:lang w:bidi="ar"/>
        </w:rPr>
        <w:t>支出。</w:t>
      </w:r>
    </w:p>
    <w:p>
      <w:pPr>
        <w:keepNext w:val="0"/>
        <w:keepLines w:val="0"/>
        <w:pageBreakBefore w:val="0"/>
        <w:widowControl w:val="0"/>
        <w:suppressAutoHyphens w:val="0"/>
        <w:kinsoku/>
        <w:wordWrap/>
        <w:overflowPunct/>
        <w:topLinePunct w:val="0"/>
        <w:autoSpaceDE/>
        <w:autoSpaceDN w:val="0"/>
        <w:bidi w:val="0"/>
        <w:adjustRightInd/>
        <w:snapToGrid/>
        <w:spacing w:line="578" w:lineRule="exact"/>
        <w:ind w:firstLine="640" w:firstLineChars="200"/>
        <w:textAlignment w:val="auto"/>
        <w:rPr>
          <w:rFonts w:hint="eastAsia" w:ascii="仿宋_GB2312" w:hAnsi="仿宋_GB2312" w:eastAsia="仿宋_GB2312" w:cs="仿宋_GB2312"/>
          <w:color w:val="000000"/>
          <w:sz w:val="32"/>
          <w:szCs w:val="32"/>
          <w:lang w:bidi="ar"/>
        </w:rPr>
      </w:pPr>
      <w:r>
        <w:rPr>
          <w:rFonts w:hint="eastAsia" w:ascii="Times New Roman" w:hAnsi="Times New Roman" w:eastAsia="仿宋_GB2312" w:cs="仿宋_GB2312"/>
          <w:color w:val="auto"/>
          <w:kern w:val="2"/>
          <w:sz w:val="32"/>
          <w:szCs w:val="32"/>
          <w:highlight w:val="none"/>
          <w:lang w:val="en-US" w:eastAsia="zh-CN" w:bidi="ar-SA"/>
        </w:rPr>
        <w:t>7.</w:t>
      </w:r>
      <w:r>
        <w:rPr>
          <w:rFonts w:hint="eastAsia" w:ascii="仿宋_GB2312" w:hAnsi="仿宋_GB2312" w:eastAsia="仿宋_GB2312" w:cs="仿宋_GB2312"/>
          <w:color w:val="000000"/>
          <w:sz w:val="32"/>
          <w:szCs w:val="32"/>
          <w:lang w:bidi="ar"/>
        </w:rPr>
        <w:t>社会保障和就业（类）行政事业单位养老支出（款）机关事业单位基本养老保险缴费支出（项）：指反映机关事业单位实施养老保险制度由单位缴纳的基本养老保险费支出。</w:t>
      </w:r>
    </w:p>
    <w:p>
      <w:pPr>
        <w:keepNext w:val="0"/>
        <w:keepLines w:val="0"/>
        <w:pageBreakBefore w:val="0"/>
        <w:widowControl w:val="0"/>
        <w:suppressAutoHyphens w:val="0"/>
        <w:kinsoku/>
        <w:wordWrap/>
        <w:overflowPunct/>
        <w:topLinePunct w:val="0"/>
        <w:autoSpaceDE/>
        <w:autoSpaceDN w:val="0"/>
        <w:bidi w:val="0"/>
        <w:adjustRightInd/>
        <w:snapToGrid/>
        <w:spacing w:line="578" w:lineRule="exact"/>
        <w:ind w:firstLine="640" w:firstLineChars="200"/>
        <w:textAlignment w:val="auto"/>
        <w:rPr>
          <w:rFonts w:hint="eastAsia" w:ascii="仿宋_GB2312" w:hAnsi="仿宋_GB2312" w:eastAsia="仿宋_GB2312" w:cs="仿宋_GB2312"/>
          <w:sz w:val="32"/>
          <w:szCs w:val="32"/>
          <w:lang w:bidi="ar"/>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000000"/>
          <w:sz w:val="32"/>
          <w:szCs w:val="32"/>
          <w:lang w:bidi="ar"/>
        </w:rPr>
        <w:t>社会保障和就业（类）抚恤（款）死亡抚恤（项）：</w:t>
      </w:r>
      <w:r>
        <w:rPr>
          <w:rFonts w:hint="eastAsia" w:ascii="仿宋_GB2312" w:hAnsi="仿宋_GB2312" w:eastAsia="仿宋_GB2312" w:cs="仿宋_GB2312"/>
          <w:sz w:val="32"/>
          <w:szCs w:val="32"/>
          <w:lang w:bidi="ar"/>
        </w:rPr>
        <w:t>反映按规定用于烈士和牺牲、病故人员家属的一次性和定期抚恤金以及丧葬补助费。</w:t>
      </w:r>
    </w:p>
    <w:p>
      <w:pPr>
        <w:keepNext w:val="0"/>
        <w:keepLines w:val="0"/>
        <w:pageBreakBefore w:val="0"/>
        <w:widowControl w:val="0"/>
        <w:suppressAutoHyphens w:val="0"/>
        <w:kinsoku/>
        <w:wordWrap/>
        <w:overflowPunct/>
        <w:topLinePunct w:val="0"/>
        <w:autoSpaceDE/>
        <w:autoSpaceDN w:val="0"/>
        <w:bidi w:val="0"/>
        <w:adjustRightInd/>
        <w:snapToGrid/>
        <w:spacing w:line="578" w:lineRule="exact"/>
        <w:ind w:firstLine="640" w:firstLineChars="200"/>
        <w:textAlignment w:val="auto"/>
        <w:rPr>
          <w:rFonts w:hint="eastAsia" w:ascii="仿宋_GB2312" w:hAnsi="仿宋_GB2312" w:eastAsia="仿宋_GB2312" w:cs="仿宋_GB2312"/>
          <w:sz w:val="32"/>
          <w:szCs w:val="32"/>
          <w:lang w:bidi="ar"/>
        </w:rPr>
      </w:pPr>
      <w:r>
        <w:rPr>
          <w:rFonts w:hint="eastAsia" w:ascii="Times New Roman" w:hAnsi="Times New Roman" w:eastAsia="仿宋_GB2312" w:cs="仿宋_GB2312"/>
          <w:color w:val="auto"/>
          <w:kern w:val="2"/>
          <w:sz w:val="32"/>
          <w:szCs w:val="32"/>
          <w:highlight w:val="none"/>
          <w:lang w:val="en-US" w:eastAsia="zh-CN" w:bidi="ar-SA"/>
        </w:rPr>
        <w:t>9.社</w:t>
      </w:r>
      <w:r>
        <w:rPr>
          <w:rFonts w:hint="eastAsia" w:ascii="仿宋_GB2312" w:hAnsi="仿宋_GB2312" w:eastAsia="仿宋_GB2312" w:cs="仿宋_GB2312"/>
          <w:color w:val="000000"/>
          <w:sz w:val="32"/>
          <w:szCs w:val="32"/>
          <w:lang w:bidi="ar"/>
        </w:rPr>
        <w:t>会保障和就业（类）</w:t>
      </w:r>
      <w:r>
        <w:rPr>
          <w:rFonts w:hint="eastAsia" w:ascii="仿宋_GB2312" w:hAnsi="仿宋_GB2312" w:eastAsia="仿宋_GB2312" w:cs="仿宋_GB2312"/>
          <w:sz w:val="32"/>
          <w:szCs w:val="32"/>
          <w:lang w:bidi="ar"/>
        </w:rPr>
        <w:t>社会福利（款）儿童福利（项）：反映对儿童提供福利服务方面的支出。</w:t>
      </w:r>
    </w:p>
    <w:p>
      <w:pPr>
        <w:keepNext w:val="0"/>
        <w:keepLines w:val="0"/>
        <w:pageBreakBefore w:val="0"/>
        <w:widowControl w:val="0"/>
        <w:kinsoku/>
        <w:wordWrap/>
        <w:overflowPunct/>
        <w:topLinePunct w:val="0"/>
        <w:autoSpaceDE/>
        <w:autoSpaceDN w:val="0"/>
        <w:bidi w:val="0"/>
        <w:adjustRightInd/>
        <w:snapToGrid/>
        <w:spacing w:line="578" w:lineRule="exact"/>
        <w:ind w:firstLine="640" w:firstLineChars="200"/>
        <w:textAlignment w:val="auto"/>
        <w:rPr>
          <w:rFonts w:hint="eastAsia" w:ascii="仿宋_GB2312" w:hAnsi="仿宋_GB2312" w:eastAsia="仿宋_GB2312" w:cs="仿宋_GB2312"/>
          <w:color w:val="auto"/>
          <w:sz w:val="32"/>
          <w:szCs w:val="32"/>
          <w:lang w:bidi="ar"/>
        </w:rPr>
      </w:pPr>
      <w:r>
        <w:rPr>
          <w:rFonts w:hint="eastAsia" w:ascii="Times New Roman" w:hAnsi="Times New Roman" w:eastAsia="仿宋_GB2312" w:cs="仿宋_GB2312"/>
          <w:color w:val="auto"/>
          <w:kern w:val="2"/>
          <w:sz w:val="32"/>
          <w:szCs w:val="32"/>
          <w:highlight w:val="none"/>
          <w:lang w:val="en-US" w:eastAsia="zh-CN" w:bidi="ar-SA"/>
        </w:rPr>
        <w:t>10.</w:t>
      </w:r>
      <w:r>
        <w:rPr>
          <w:rFonts w:hint="eastAsia" w:ascii="仿宋_GB2312" w:hAnsi="仿宋_GB2312" w:eastAsia="仿宋_GB2312" w:cs="仿宋_GB2312"/>
          <w:color w:val="auto"/>
          <w:sz w:val="32"/>
          <w:szCs w:val="32"/>
          <w:lang w:bidi="ar"/>
        </w:rPr>
        <w:t>社会保障和就业（类）</w:t>
      </w:r>
      <w:r>
        <w:rPr>
          <w:rFonts w:ascii="仿宋_GB2312" w:hAnsi="仿宋_GB2312" w:eastAsia="仿宋_GB2312" w:cs="仿宋_GB2312"/>
          <w:color w:val="auto"/>
          <w:sz w:val="32"/>
          <w:szCs w:val="32"/>
          <w:lang w:bidi="ar"/>
        </w:rPr>
        <w:t>退役军人管理事务</w:t>
      </w:r>
      <w:r>
        <w:rPr>
          <w:rFonts w:hint="eastAsia" w:ascii="仿宋_GB2312" w:hAnsi="仿宋_GB2312" w:eastAsia="仿宋_GB2312" w:cs="仿宋_GB2312"/>
          <w:color w:val="auto"/>
          <w:sz w:val="32"/>
          <w:szCs w:val="32"/>
          <w:lang w:bidi="ar"/>
        </w:rPr>
        <w:t>（款）</w:t>
      </w:r>
      <w:r>
        <w:rPr>
          <w:rFonts w:ascii="仿宋_GB2312" w:hAnsi="仿宋_GB2312" w:eastAsia="仿宋_GB2312" w:cs="仿宋_GB2312"/>
          <w:color w:val="auto"/>
          <w:sz w:val="32"/>
          <w:szCs w:val="32"/>
          <w:lang w:bidi="ar"/>
        </w:rPr>
        <w:t>其他退役军人事务管理支出</w:t>
      </w:r>
      <w:r>
        <w:rPr>
          <w:rFonts w:hint="eastAsia" w:ascii="仿宋_GB2312" w:hAnsi="仿宋_GB2312" w:eastAsia="仿宋_GB2312" w:cs="仿宋_GB2312"/>
          <w:color w:val="auto"/>
          <w:sz w:val="32"/>
          <w:szCs w:val="32"/>
          <w:lang w:bidi="ar"/>
        </w:rPr>
        <w:t>（项）：反映</w:t>
      </w:r>
      <w:r>
        <w:rPr>
          <w:rFonts w:hint="eastAsia" w:ascii="仿宋_GB2312" w:hAnsi="仿宋_GB2312" w:eastAsia="仿宋_GB2312" w:cs="仿宋_GB2312"/>
          <w:color w:val="auto"/>
          <w:kern w:val="0"/>
          <w:sz w:val="32"/>
          <w:szCs w:val="32"/>
          <w:lang w:bidi="ar"/>
        </w:rPr>
        <w:t>除上述项目以外</w:t>
      </w:r>
      <w:r>
        <w:rPr>
          <w:rFonts w:hint="eastAsia" w:ascii="仿宋_GB2312" w:hAnsi="仿宋_GB2312" w:eastAsia="仿宋_GB2312" w:cs="仿宋_GB2312"/>
          <w:color w:val="auto"/>
          <w:sz w:val="32"/>
          <w:szCs w:val="32"/>
          <w:lang w:bidi="ar"/>
        </w:rPr>
        <w:t>其他用于退役军人事务管理方面的支出。</w:t>
      </w:r>
    </w:p>
    <w:p>
      <w:pPr>
        <w:pStyle w:val="15"/>
        <w:keepNext w:val="0"/>
        <w:keepLines w:val="0"/>
        <w:pageBreakBefore w:val="0"/>
        <w:widowControl w:val="0"/>
        <w:kinsoku/>
        <w:wordWrap/>
        <w:overflowPunct/>
        <w:topLinePunct w:val="0"/>
        <w:autoSpaceDE/>
        <w:autoSpaceDN w:val="0"/>
        <w:bidi w:val="0"/>
        <w:adjustRightInd/>
        <w:snapToGrid/>
        <w:spacing w:before="93" w:beforeLines="30" w:line="578" w:lineRule="exact"/>
        <w:ind w:firstLine="640" w:firstLineChars="200"/>
        <w:textAlignment w:val="auto"/>
        <w:rPr>
          <w:rFonts w:hint="eastAsia"/>
        </w:rPr>
      </w:pPr>
      <w:r>
        <w:rPr>
          <w:rFonts w:hint="eastAsia" w:ascii="Times New Roman" w:hAnsi="Times New Roman" w:eastAsia="仿宋_GB2312" w:cs="仿宋_GB2312"/>
          <w:color w:val="auto"/>
          <w:kern w:val="2"/>
          <w:sz w:val="32"/>
          <w:szCs w:val="32"/>
          <w:highlight w:val="none"/>
          <w:lang w:val="en-US" w:eastAsia="zh-CN" w:bidi="ar-SA"/>
        </w:rPr>
        <w:t>11.</w:t>
      </w:r>
      <w:r>
        <w:rPr>
          <w:rFonts w:hint="eastAsia" w:ascii="仿宋_GB2312" w:hAnsi="仿宋_GB2312" w:eastAsia="仿宋_GB2312" w:cs="仿宋_GB2312"/>
          <w:color w:val="auto"/>
          <w:sz w:val="32"/>
          <w:szCs w:val="32"/>
          <w:lang w:bidi="ar"/>
        </w:rPr>
        <w:t>卫生健康（类）行政事业单位医疗（款）</w:t>
      </w:r>
      <w:r>
        <w:rPr>
          <w:rFonts w:ascii="仿宋_GB2312" w:hAnsi="仿宋_GB2312" w:eastAsia="仿宋_GB2312" w:cs="仿宋_GB2312"/>
          <w:color w:val="auto"/>
          <w:sz w:val="32"/>
          <w:szCs w:val="32"/>
          <w:lang w:bidi="ar"/>
        </w:rPr>
        <w:t>行政单位医疗</w:t>
      </w:r>
      <w:r>
        <w:rPr>
          <w:rFonts w:hint="eastAsia" w:ascii="仿宋_GB2312" w:hAnsi="仿宋_GB2312" w:eastAsia="仿宋_GB2312" w:cs="仿宋_GB2312"/>
          <w:color w:val="auto"/>
          <w:sz w:val="32"/>
          <w:szCs w:val="32"/>
          <w:lang w:bidi="ar"/>
        </w:rPr>
        <w:t>（项）：反映财政部门安排的行政单位（包括实行公务员管理的事业单位）基本医疗保险缴费经费，未参加医疗保险的行政单位的公费医疗经费，按国家规定享受离休人员、红军老战士待遇人员的医疗经费。</w:t>
      </w:r>
    </w:p>
    <w:p>
      <w:pPr>
        <w:pStyle w:val="15"/>
        <w:keepNext w:val="0"/>
        <w:keepLines w:val="0"/>
        <w:pageBreakBefore w:val="0"/>
        <w:widowControl w:val="0"/>
        <w:suppressAutoHyphens w:val="0"/>
        <w:kinsoku/>
        <w:wordWrap/>
        <w:overflowPunct/>
        <w:topLinePunct w:val="0"/>
        <w:autoSpaceDE/>
        <w:autoSpaceDN w:val="0"/>
        <w:bidi w:val="0"/>
        <w:adjustRightInd/>
        <w:snapToGrid/>
        <w:spacing w:before="93" w:beforeLines="30" w:line="578" w:lineRule="exact"/>
        <w:ind w:firstLine="640" w:firstLineChars="200"/>
        <w:textAlignment w:val="auto"/>
        <w:rPr>
          <w:rFonts w:hint="eastAsia" w:ascii="仿宋_GB2312" w:hAnsi="仿宋_GB2312" w:eastAsia="仿宋_GB2312" w:cs="仿宋_GB2312"/>
          <w:kern w:val="0"/>
          <w:sz w:val="32"/>
          <w:szCs w:val="32"/>
          <w:lang w:bidi="ar"/>
        </w:rPr>
      </w:pPr>
      <w:r>
        <w:rPr>
          <w:rFonts w:hint="eastAsia" w:ascii="Times New Roman" w:hAnsi="Times New Roman" w:eastAsia="仿宋_GB2312" w:cs="仿宋_GB2312"/>
          <w:color w:val="auto"/>
          <w:kern w:val="2"/>
          <w:sz w:val="32"/>
          <w:szCs w:val="32"/>
          <w:highlight w:val="none"/>
          <w:lang w:val="en-US" w:eastAsia="zh-CN" w:bidi="ar-SA"/>
        </w:rPr>
        <w:t>12.</w:t>
      </w:r>
      <w:r>
        <w:rPr>
          <w:rFonts w:hint="eastAsia" w:ascii="仿宋_GB2312" w:hAnsi="仿宋_GB2312" w:eastAsia="仿宋_GB2312" w:cs="仿宋_GB2312"/>
          <w:kern w:val="0"/>
          <w:sz w:val="32"/>
          <w:szCs w:val="32"/>
          <w:lang w:bidi="ar"/>
        </w:rPr>
        <w:t>卫生健康（类）行政事业单位医疗（款）公务员医疗补助（项）：反映财政部门安排的公务员医疗补助经费。</w:t>
      </w:r>
    </w:p>
    <w:p>
      <w:pPr>
        <w:pStyle w:val="15"/>
        <w:keepNext w:val="0"/>
        <w:keepLines w:val="0"/>
        <w:pageBreakBefore w:val="0"/>
        <w:widowControl w:val="0"/>
        <w:suppressAutoHyphens w:val="0"/>
        <w:kinsoku/>
        <w:wordWrap/>
        <w:overflowPunct/>
        <w:topLinePunct w:val="0"/>
        <w:autoSpaceDE/>
        <w:autoSpaceDN w:val="0"/>
        <w:bidi w:val="0"/>
        <w:adjustRightInd/>
        <w:snapToGrid/>
        <w:spacing w:before="93" w:beforeLines="30" w:line="578" w:lineRule="exact"/>
        <w:ind w:firstLine="640" w:firstLineChars="200"/>
        <w:textAlignment w:val="auto"/>
        <w:rPr>
          <w:rFonts w:hint="eastAsia" w:ascii="仿宋_GB2312" w:hAnsi="仿宋_GB2312" w:eastAsia="仿宋_GB2312" w:cs="仿宋_GB2312"/>
          <w:kern w:val="0"/>
          <w:sz w:val="32"/>
          <w:szCs w:val="32"/>
          <w:lang w:bidi="ar"/>
        </w:rPr>
      </w:pPr>
      <w:r>
        <w:rPr>
          <w:rFonts w:hint="eastAsia" w:ascii="Times New Roman" w:hAnsi="Times New Roman" w:eastAsia="仿宋_GB2312" w:cs="仿宋_GB2312"/>
          <w:color w:val="auto"/>
          <w:kern w:val="2"/>
          <w:sz w:val="32"/>
          <w:szCs w:val="32"/>
          <w:highlight w:val="none"/>
          <w:lang w:val="en-US" w:eastAsia="zh-CN" w:bidi="ar-SA"/>
        </w:rPr>
        <w:t>13.</w:t>
      </w:r>
      <w:r>
        <w:rPr>
          <w:rFonts w:hint="eastAsia" w:ascii="仿宋_GB2312" w:hAnsi="仿宋_GB2312" w:eastAsia="仿宋_GB2312" w:cs="仿宋_GB2312"/>
          <w:kern w:val="0"/>
          <w:sz w:val="32"/>
          <w:szCs w:val="32"/>
          <w:lang w:bidi="ar"/>
        </w:rPr>
        <w:t>卫生健康（类）行政事业单位医疗（款）其他行政事业单位医疗支出（项）：反映除上述项目以外的其他用于行政事业单位医疗方面的支出。</w:t>
      </w:r>
    </w:p>
    <w:p>
      <w:pPr>
        <w:pStyle w:val="15"/>
        <w:keepNext w:val="0"/>
        <w:keepLines w:val="0"/>
        <w:pageBreakBefore w:val="0"/>
        <w:widowControl w:val="0"/>
        <w:suppressAutoHyphens w:val="0"/>
        <w:kinsoku/>
        <w:wordWrap/>
        <w:overflowPunct/>
        <w:topLinePunct w:val="0"/>
        <w:autoSpaceDE/>
        <w:autoSpaceDN w:val="0"/>
        <w:bidi w:val="0"/>
        <w:adjustRightInd/>
        <w:snapToGrid/>
        <w:spacing w:before="93" w:beforeLines="30" w:line="578"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14.</w:t>
      </w:r>
      <w:r>
        <w:rPr>
          <w:rFonts w:hint="eastAsia" w:ascii="仿宋_GB2312" w:hAnsi="仿宋_GB2312" w:eastAsia="仿宋_GB2312" w:cs="仿宋_GB2312"/>
          <w:kern w:val="0"/>
          <w:sz w:val="32"/>
          <w:szCs w:val="32"/>
          <w:lang w:bidi="ar"/>
        </w:rPr>
        <w:t>卫生健康（类）其他卫生健康支出（款）其他卫生健康支出（项）:反映除上述项目以外其他用于卫生健康管理事务方面的支出。</w:t>
      </w:r>
    </w:p>
    <w:p>
      <w:pPr>
        <w:keepNext w:val="0"/>
        <w:keepLines w:val="0"/>
        <w:pageBreakBefore w:val="0"/>
        <w:widowControl w:val="0"/>
        <w:kinsoku/>
        <w:wordWrap/>
        <w:overflowPunct/>
        <w:topLinePunct w:val="0"/>
        <w:autoSpaceDE/>
        <w:bidi w:val="0"/>
        <w:adjustRightInd/>
        <w:snapToGrid/>
        <w:spacing w:line="578"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15.城</w:t>
      </w:r>
      <w:r>
        <w:rPr>
          <w:rFonts w:hint="eastAsia" w:ascii="仿宋_GB2312" w:eastAsia="仿宋_GB2312"/>
          <w:sz w:val="32"/>
          <w:szCs w:val="32"/>
        </w:rPr>
        <w:t>乡社区（类）城乡社区管理事务（款）行政运行（项）: 反映行政单位（包括实行公务员管理的事业单位）的基本支出。</w:t>
      </w:r>
    </w:p>
    <w:p>
      <w:pPr>
        <w:keepNext w:val="0"/>
        <w:keepLines w:val="0"/>
        <w:pageBreakBefore w:val="0"/>
        <w:widowControl w:val="0"/>
        <w:kinsoku/>
        <w:wordWrap/>
        <w:overflowPunct/>
        <w:topLinePunct w:val="0"/>
        <w:autoSpaceDE/>
        <w:bidi w:val="0"/>
        <w:adjustRightInd/>
        <w:snapToGrid/>
        <w:spacing w:line="578"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16.</w:t>
      </w:r>
      <w:r>
        <w:rPr>
          <w:rFonts w:hint="eastAsia" w:ascii="仿宋_GB2312" w:eastAsia="仿宋_GB2312"/>
          <w:sz w:val="32"/>
          <w:szCs w:val="32"/>
        </w:rPr>
        <w:t>城乡社区（类）城乡社区管理事务（款）一般行政管理事务（项）: 反映行政单位（包括实行公务员管理的事业单位）未单独设置项级科目的其他项目支出。</w:t>
      </w:r>
    </w:p>
    <w:p>
      <w:pPr>
        <w:keepNext w:val="0"/>
        <w:keepLines w:val="0"/>
        <w:pageBreakBefore w:val="0"/>
        <w:widowControl w:val="0"/>
        <w:kinsoku/>
        <w:wordWrap/>
        <w:overflowPunct/>
        <w:topLinePunct w:val="0"/>
        <w:autoSpaceDE/>
        <w:bidi w:val="0"/>
        <w:adjustRightInd/>
        <w:snapToGrid/>
        <w:spacing w:line="578"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17.</w:t>
      </w:r>
      <w:r>
        <w:rPr>
          <w:rFonts w:hint="eastAsia" w:ascii="仿宋_GB2312" w:eastAsia="仿宋_GB2312"/>
          <w:sz w:val="32"/>
          <w:szCs w:val="32"/>
        </w:rPr>
        <w:t>城乡社区（类）城乡社区管理事务（款）其他城乡社区管理事务支出（项）: 其他城乡社区管理事务支出反映除上述项目以外其他用于城乡社区管理事务方面的支出。</w:t>
      </w:r>
    </w:p>
    <w:p>
      <w:pPr>
        <w:keepNext w:val="0"/>
        <w:keepLines w:val="0"/>
        <w:pageBreakBefore w:val="0"/>
        <w:widowControl w:val="0"/>
        <w:kinsoku/>
        <w:wordWrap/>
        <w:overflowPunct/>
        <w:topLinePunct w:val="0"/>
        <w:autoSpaceDE/>
        <w:bidi w:val="0"/>
        <w:adjustRightInd/>
        <w:snapToGrid/>
        <w:spacing w:line="578" w:lineRule="exact"/>
        <w:ind w:firstLine="640" w:firstLineChars="200"/>
        <w:textAlignment w:val="auto"/>
        <w:rPr>
          <w:rFonts w:hint="eastAsia" w:ascii="仿宋_GB2312" w:eastAsia="仿宋_GB2312"/>
          <w:color w:val="auto"/>
          <w:sz w:val="32"/>
          <w:szCs w:val="32"/>
        </w:rPr>
      </w:pPr>
      <w:r>
        <w:rPr>
          <w:rFonts w:hint="eastAsia" w:ascii="Times New Roman" w:hAnsi="Times New Roman" w:eastAsia="仿宋_GB2312" w:cs="仿宋_GB2312"/>
          <w:color w:val="auto"/>
          <w:kern w:val="2"/>
          <w:sz w:val="32"/>
          <w:szCs w:val="32"/>
          <w:highlight w:val="none"/>
          <w:lang w:val="en-US" w:eastAsia="zh-CN" w:bidi="ar-SA"/>
        </w:rPr>
        <w:t>18.</w:t>
      </w:r>
      <w:r>
        <w:rPr>
          <w:rFonts w:hint="eastAsia" w:ascii="仿宋_GB2312" w:eastAsia="仿宋_GB2312"/>
          <w:color w:val="auto"/>
          <w:sz w:val="32"/>
          <w:szCs w:val="32"/>
        </w:rPr>
        <w:t>城乡社区（类）</w:t>
      </w:r>
      <w:r>
        <w:rPr>
          <w:rFonts w:ascii="仿宋_GB2312" w:eastAsia="仿宋_GB2312"/>
          <w:color w:val="auto"/>
          <w:sz w:val="32"/>
          <w:szCs w:val="32"/>
        </w:rPr>
        <w:t>国有土地使用权出让收入安排的支出</w:t>
      </w:r>
      <w:r>
        <w:rPr>
          <w:rFonts w:hint="eastAsia" w:ascii="仿宋_GB2312" w:eastAsia="仿宋_GB2312"/>
          <w:color w:val="auto"/>
          <w:sz w:val="32"/>
          <w:szCs w:val="32"/>
        </w:rPr>
        <w:t>（款）</w:t>
      </w:r>
      <w:r>
        <w:rPr>
          <w:rFonts w:ascii="仿宋_GB2312" w:eastAsia="仿宋_GB2312"/>
          <w:color w:val="auto"/>
          <w:sz w:val="32"/>
          <w:szCs w:val="32"/>
        </w:rPr>
        <w:t>土地开发支出</w:t>
      </w:r>
      <w:r>
        <w:rPr>
          <w:rFonts w:hint="eastAsia" w:ascii="仿宋_GB2312" w:eastAsia="仿宋_GB2312"/>
          <w:color w:val="auto"/>
          <w:sz w:val="32"/>
          <w:szCs w:val="32"/>
        </w:rPr>
        <w:t>（项）:反映新疆生产建设兵团和地方政府用于前期土地开发性支出以及与前期土地开发相关的费用等支出。</w:t>
      </w:r>
    </w:p>
    <w:p>
      <w:pPr>
        <w:keepNext w:val="0"/>
        <w:keepLines w:val="0"/>
        <w:pageBreakBefore w:val="0"/>
        <w:widowControl w:val="0"/>
        <w:kinsoku/>
        <w:wordWrap/>
        <w:overflowPunct/>
        <w:topLinePunct w:val="0"/>
        <w:autoSpaceDE/>
        <w:bidi w:val="0"/>
        <w:adjustRightInd/>
        <w:snapToGrid/>
        <w:spacing w:line="578" w:lineRule="exact"/>
        <w:ind w:firstLine="640" w:firstLineChars="200"/>
        <w:textAlignment w:val="auto"/>
        <w:rPr>
          <w:rFonts w:hint="eastAsia" w:ascii="仿宋_GB2312" w:eastAsia="仿宋_GB2312"/>
          <w:color w:val="auto"/>
          <w:sz w:val="32"/>
          <w:szCs w:val="32"/>
        </w:rPr>
      </w:pPr>
      <w:r>
        <w:rPr>
          <w:rFonts w:hint="eastAsia" w:ascii="Times New Roman" w:hAnsi="Times New Roman" w:eastAsia="仿宋_GB2312" w:cs="仿宋_GB2312"/>
          <w:color w:val="auto"/>
          <w:kern w:val="2"/>
          <w:sz w:val="32"/>
          <w:szCs w:val="32"/>
          <w:highlight w:val="none"/>
          <w:lang w:val="en-US" w:eastAsia="zh-CN" w:bidi="ar-SA"/>
        </w:rPr>
        <w:t>19.</w:t>
      </w:r>
      <w:r>
        <w:rPr>
          <w:rFonts w:hint="eastAsia" w:ascii="仿宋_GB2312" w:eastAsia="仿宋_GB2312"/>
          <w:color w:val="auto"/>
          <w:sz w:val="32"/>
          <w:szCs w:val="32"/>
        </w:rPr>
        <w:t>城乡社区（类）</w:t>
      </w:r>
      <w:r>
        <w:rPr>
          <w:rFonts w:ascii="仿宋_GB2312" w:eastAsia="仿宋_GB2312"/>
          <w:color w:val="auto"/>
          <w:sz w:val="32"/>
          <w:szCs w:val="32"/>
        </w:rPr>
        <w:t>国有土地使用权出让收入安排的支出</w:t>
      </w:r>
      <w:r>
        <w:rPr>
          <w:rFonts w:hint="eastAsia" w:ascii="仿宋_GB2312" w:eastAsia="仿宋_GB2312"/>
          <w:color w:val="auto"/>
          <w:sz w:val="32"/>
          <w:szCs w:val="32"/>
        </w:rPr>
        <w:t>（款）</w:t>
      </w:r>
      <w:r>
        <w:rPr>
          <w:rFonts w:ascii="仿宋_GB2312" w:eastAsia="仿宋_GB2312"/>
          <w:color w:val="auto"/>
          <w:sz w:val="32"/>
          <w:szCs w:val="32"/>
        </w:rPr>
        <w:t>农村基础设施建设支出</w:t>
      </w:r>
      <w:r>
        <w:rPr>
          <w:rFonts w:hint="eastAsia" w:ascii="仿宋_GB2312" w:eastAsia="仿宋_GB2312"/>
          <w:color w:val="auto"/>
          <w:sz w:val="32"/>
          <w:szCs w:val="32"/>
        </w:rPr>
        <w:t>（项）: 反映土地出让收入用于农村供水保障、村庄公共设施建设和管护以及与农业农村直接相关的以工代赈等方面的支出。</w:t>
      </w:r>
    </w:p>
    <w:p>
      <w:pPr>
        <w:keepNext w:val="0"/>
        <w:keepLines w:val="0"/>
        <w:pageBreakBefore w:val="0"/>
        <w:widowControl w:val="0"/>
        <w:kinsoku/>
        <w:wordWrap/>
        <w:overflowPunct/>
        <w:topLinePunct w:val="0"/>
        <w:autoSpaceDE/>
        <w:bidi w:val="0"/>
        <w:adjustRightInd/>
        <w:snapToGrid/>
        <w:spacing w:line="578"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20.</w:t>
      </w:r>
      <w:r>
        <w:rPr>
          <w:rFonts w:hint="eastAsia" w:ascii="仿宋_GB2312" w:eastAsia="仿宋_GB2312"/>
          <w:color w:val="auto"/>
          <w:sz w:val="32"/>
          <w:szCs w:val="32"/>
        </w:rPr>
        <w:t>城乡社区（类）</w:t>
      </w:r>
      <w:r>
        <w:rPr>
          <w:rFonts w:ascii="仿宋_GB2312" w:eastAsia="仿宋_GB2312"/>
          <w:color w:val="auto"/>
          <w:sz w:val="32"/>
          <w:szCs w:val="32"/>
        </w:rPr>
        <w:t>国有土地使用权出让收入安排的支出</w:t>
      </w:r>
      <w:r>
        <w:rPr>
          <w:rFonts w:hint="eastAsia" w:ascii="仿宋_GB2312" w:eastAsia="仿宋_GB2312"/>
          <w:color w:val="auto"/>
          <w:sz w:val="32"/>
          <w:szCs w:val="32"/>
        </w:rPr>
        <w:t>（款）农业土地开发资金安排的支出（项）: 反映土地出让收入用于农业土地开发相关项目的支出。</w:t>
      </w:r>
    </w:p>
    <w:p>
      <w:pPr>
        <w:keepNext w:val="0"/>
        <w:keepLines w:val="0"/>
        <w:pageBreakBefore w:val="0"/>
        <w:widowControl w:val="0"/>
        <w:kinsoku/>
        <w:wordWrap/>
        <w:overflowPunct/>
        <w:topLinePunct w:val="0"/>
        <w:autoSpaceDE/>
        <w:bidi w:val="0"/>
        <w:adjustRightInd/>
        <w:snapToGrid/>
        <w:spacing w:line="578" w:lineRule="exact"/>
        <w:ind w:firstLine="640" w:firstLineChars="200"/>
        <w:textAlignment w:val="auto"/>
        <w:rPr>
          <w:rFonts w:hint="eastAsia" w:ascii="仿宋_GB2312" w:eastAsia="仿宋_GB2312"/>
          <w:sz w:val="32"/>
          <w:szCs w:val="32"/>
        </w:rPr>
      </w:pPr>
      <w:r>
        <w:rPr>
          <w:rFonts w:hint="eastAsia" w:ascii="Times New Roman" w:hAnsi="Times New Roman" w:eastAsia="仿宋_GB2312" w:cs="仿宋_GB2312"/>
          <w:color w:val="auto"/>
          <w:kern w:val="2"/>
          <w:sz w:val="32"/>
          <w:szCs w:val="32"/>
          <w:highlight w:val="none"/>
          <w:lang w:val="en-US" w:eastAsia="zh-CN" w:bidi="ar-SA"/>
        </w:rPr>
        <w:t>21.</w:t>
      </w:r>
      <w:r>
        <w:rPr>
          <w:rFonts w:hint="eastAsia" w:ascii="仿宋_GB2312" w:eastAsia="仿宋_GB2312"/>
          <w:sz w:val="32"/>
          <w:szCs w:val="32"/>
        </w:rPr>
        <w:t>住房保障（类）住房改革支出（款）住房公积金（项）: 反映行政事业单位按人力资源和社会保障部、财政部规定的基本工资和津贴补贴以及规定比例为职工缴纳的住房公积金。</w:t>
      </w:r>
    </w:p>
    <w:p>
      <w:pPr>
        <w:keepNext w:val="0"/>
        <w:keepLines w:val="0"/>
        <w:pageBreakBefore w:val="0"/>
        <w:widowControl w:val="0"/>
        <w:kinsoku/>
        <w:wordWrap/>
        <w:overflowPunct/>
        <w:topLinePunct w:val="0"/>
        <w:autoSpaceDE/>
        <w:bidi w:val="0"/>
        <w:adjustRightInd/>
        <w:snapToGrid/>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pPr>
        <w:keepNext w:val="0"/>
        <w:keepLines w:val="0"/>
        <w:pageBreakBefore w:val="0"/>
        <w:widowControl w:val="0"/>
        <w:kinsoku/>
        <w:wordWrap/>
        <w:overflowPunct/>
        <w:topLinePunct w:val="0"/>
        <w:autoSpaceDE/>
        <w:bidi w:val="0"/>
        <w:adjustRightInd/>
        <w:snapToGrid/>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pPr>
        <w:keepNext w:val="0"/>
        <w:keepLines w:val="0"/>
        <w:pageBreakBefore w:val="0"/>
        <w:widowControl w:val="0"/>
        <w:kinsoku/>
        <w:wordWrap/>
        <w:overflowPunct/>
        <w:topLinePunct w:val="0"/>
        <w:autoSpaceDE/>
        <w:bidi w:val="0"/>
        <w:adjustRightInd/>
        <w:snapToGrid/>
        <w:spacing w:line="578"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eastAsia="仿宋_GB2312" w:cs="仿宋_GB2312"/>
          <w:b/>
          <w:bCs/>
          <w:sz w:val="32"/>
          <w:szCs w:val="32"/>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一般设备购置费、办公用房水电费、办公用房物业管理费、公务用车运行维护费以及其他费用。</w:t>
      </w:r>
    </w:p>
    <w:p>
      <w:pPr>
        <w:spacing w:line="600" w:lineRule="exact"/>
        <w:jc w:val="center"/>
        <w:rPr>
          <w:rFonts w:hint="eastAsia" w:eastAsia="黑体"/>
          <w:sz w:val="44"/>
          <w:szCs w:val="44"/>
        </w:rPr>
      </w:pPr>
      <w:bookmarkStart w:id="95" w:name="_Toc15377226"/>
      <w:r>
        <w:rPr>
          <w:rFonts w:hint="eastAsia" w:eastAsia="仿宋_GB2312" w:cs="仿宋_GB2312"/>
          <w:sz w:val="32"/>
          <w:szCs w:val="32"/>
        </w:rPr>
        <w:br w:type="page"/>
      </w:r>
      <w:bookmarkStart w:id="96" w:name="_Toc1588492951_WPSOffice_Level1"/>
      <w:bookmarkStart w:id="97" w:name="_Toc15396614"/>
      <w:r>
        <w:rPr>
          <w:rFonts w:hint="eastAsia" w:eastAsia="黑体"/>
          <w:sz w:val="44"/>
          <w:szCs w:val="44"/>
        </w:rPr>
        <w:t>第四部分  附件</w:t>
      </w:r>
      <w:bookmarkEnd w:id="96"/>
      <w:bookmarkEnd w:id="97"/>
    </w:p>
    <w:p>
      <w:pPr>
        <w:pStyle w:val="2"/>
      </w:pPr>
    </w:p>
    <w:p>
      <w:pPr>
        <w:spacing w:line="600" w:lineRule="exact"/>
        <w:jc w:val="center"/>
        <w:outlineLvl w:val="0"/>
        <w:rPr>
          <w:rFonts w:hint="eastAsia" w:ascii="仿宋_GB2312" w:hAnsi="仿宋_GB2312" w:eastAsia="仿宋_GB2312" w:cs="仿宋_GB2312"/>
          <w:color w:val="FF0000"/>
          <w:sz w:val="44"/>
          <w:szCs w:val="44"/>
          <w:lang w:eastAsia="zh-CN"/>
        </w:rPr>
      </w:pPr>
      <w:bookmarkStart w:id="98" w:name="_Toc264643082_WPSOffice_Level2"/>
      <w:bookmarkStart w:id="99" w:name="_Toc980301166_WPSOffice_Level2"/>
      <w:bookmarkStart w:id="100" w:name="_Toc1700934924_WPSOffice_Level2"/>
      <w:bookmarkStart w:id="101" w:name="_Toc773707587_WPSOffice_Level2"/>
      <w:r>
        <w:rPr>
          <w:rFonts w:hint="eastAsia" w:ascii="仿宋_GB2312" w:hAnsi="仿宋_GB2312" w:eastAsia="仿宋_GB2312" w:cs="仿宋_GB2312"/>
          <w:sz w:val="32"/>
          <w:szCs w:val="32"/>
        </w:rPr>
        <w:t>部门预算项目支出绩效自评表（202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w:t>
      </w:r>
      <w:bookmarkEnd w:id="98"/>
      <w:bookmarkEnd w:id="99"/>
      <w:r>
        <w:rPr>
          <w:rFonts w:hint="eastAsia" w:ascii="仿宋_GB2312" w:hAnsi="仿宋_GB2312" w:eastAsia="仿宋_GB2312" w:cs="仿宋_GB2312"/>
          <w:sz w:val="32"/>
          <w:szCs w:val="32"/>
          <w:lang w:eastAsia="zh-CN"/>
        </w:rPr>
        <w:t>（见附件</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bookmarkEnd w:id="100"/>
      <w:bookmarkEnd w:id="101"/>
    </w:p>
    <w:p>
      <w:pPr>
        <w:spacing w:line="572" w:lineRule="exact"/>
        <w:jc w:val="left"/>
        <w:outlineLvl w:val="0"/>
        <w:rPr>
          <w:rFonts w:eastAsia="黑体" w:cs="黑体"/>
          <w:color w:val="FF0000"/>
          <w:sz w:val="32"/>
          <w:szCs w:val="32"/>
        </w:rPr>
      </w:pPr>
    </w:p>
    <w:p>
      <w:pPr>
        <w:pStyle w:val="2"/>
      </w:pPr>
    </w:p>
    <w:p>
      <w:pPr>
        <w:spacing w:line="578" w:lineRule="exact"/>
        <w:ind w:firstLine="640"/>
        <w:rPr>
          <w:rFonts w:eastAsia="仿宋_GB2312" w:cs="仿宋_GB2312"/>
          <w:kern w:val="0"/>
          <w:sz w:val="32"/>
          <w:szCs w:val="32"/>
        </w:rPr>
      </w:pPr>
      <w:bookmarkStart w:id="102" w:name="_Toc15396618"/>
      <w:r>
        <w:rPr>
          <w:rFonts w:hint="eastAsia" w:eastAsia="仿宋_GB2312" w:cs="仿宋_GB2312"/>
          <w:kern w:val="0"/>
          <w:sz w:val="32"/>
          <w:szCs w:val="32"/>
        </w:rPr>
        <w:br w:type="page"/>
      </w:r>
    </w:p>
    <w:p>
      <w:pPr>
        <w:widowControl/>
        <w:jc w:val="center"/>
        <w:rPr>
          <w:rFonts w:eastAsia="仿宋"/>
        </w:rPr>
      </w:pPr>
      <w:bookmarkStart w:id="103" w:name="_Toc1635212064_WPSOffice_Level1"/>
      <w:r>
        <w:rPr>
          <w:rFonts w:hint="eastAsia" w:eastAsia="黑体"/>
          <w:sz w:val="44"/>
          <w:szCs w:val="44"/>
        </w:rPr>
        <w:t>第</w:t>
      </w:r>
      <w:r>
        <w:rPr>
          <w:rStyle w:val="29"/>
          <w:rFonts w:hint="eastAsia" w:eastAsia="黑体"/>
          <w:b w:val="0"/>
        </w:rPr>
        <w:t>五部分 附表</w:t>
      </w:r>
      <w:bookmarkEnd w:id="95"/>
      <w:bookmarkEnd w:id="102"/>
      <w:bookmarkEnd w:id="103"/>
      <w:bookmarkStart w:id="104" w:name="_Toc15396619"/>
    </w:p>
    <w:p>
      <w:pPr>
        <w:pStyle w:val="14"/>
        <w:adjustRightInd w:val="0"/>
        <w:snapToGrid w:val="0"/>
        <w:spacing w:line="560" w:lineRule="exact"/>
        <w:jc w:val="left"/>
        <w:rPr>
          <w:rFonts w:eastAsia="仿宋_GB2312" w:cs="仿宋_GB2312"/>
          <w:sz w:val="32"/>
          <w:szCs w:val="32"/>
        </w:rPr>
      </w:pPr>
    </w:p>
    <w:p>
      <w:pPr>
        <w:pStyle w:val="14"/>
        <w:adjustRightInd w:val="0"/>
        <w:snapToGrid w:val="0"/>
        <w:spacing w:line="560" w:lineRule="exact"/>
        <w:jc w:val="left"/>
        <w:rPr>
          <w:rFonts w:eastAsia="仿宋_GB2312" w:cs="仿宋_GB2312"/>
          <w:sz w:val="32"/>
          <w:szCs w:val="32"/>
        </w:rPr>
      </w:pPr>
      <w:bookmarkStart w:id="105" w:name="_Toc276735243_WPSOffice_Level2"/>
      <w:r>
        <w:rPr>
          <w:rFonts w:hint="eastAsia" w:eastAsia="仿宋_GB2312" w:cs="仿宋_GB2312"/>
          <w:sz w:val="32"/>
          <w:szCs w:val="32"/>
        </w:rPr>
        <w:t>一、收入支出决算总表</w:t>
      </w:r>
      <w:bookmarkEnd w:id="104"/>
      <w:bookmarkEnd w:id="105"/>
    </w:p>
    <w:p>
      <w:pPr>
        <w:pStyle w:val="14"/>
        <w:adjustRightInd w:val="0"/>
        <w:snapToGrid w:val="0"/>
        <w:spacing w:line="560" w:lineRule="exact"/>
        <w:jc w:val="left"/>
        <w:rPr>
          <w:rFonts w:eastAsia="仿宋_GB2312" w:cs="仿宋_GB2312"/>
          <w:sz w:val="32"/>
          <w:szCs w:val="32"/>
        </w:rPr>
      </w:pPr>
      <w:bookmarkStart w:id="106" w:name="_Toc15396620"/>
      <w:bookmarkStart w:id="107" w:name="_Toc1909480436_WPSOffice_Level2"/>
      <w:r>
        <w:rPr>
          <w:rFonts w:hint="eastAsia" w:eastAsia="仿宋_GB2312" w:cs="仿宋_GB2312"/>
          <w:sz w:val="32"/>
          <w:szCs w:val="32"/>
        </w:rPr>
        <w:t>二、收入决算表</w:t>
      </w:r>
      <w:bookmarkEnd w:id="106"/>
      <w:bookmarkEnd w:id="107"/>
    </w:p>
    <w:p>
      <w:pPr>
        <w:pStyle w:val="14"/>
        <w:adjustRightInd w:val="0"/>
        <w:snapToGrid w:val="0"/>
        <w:spacing w:line="560" w:lineRule="exact"/>
        <w:jc w:val="left"/>
        <w:rPr>
          <w:rFonts w:eastAsia="仿宋_GB2312" w:cs="仿宋_GB2312"/>
          <w:sz w:val="32"/>
          <w:szCs w:val="32"/>
        </w:rPr>
      </w:pPr>
      <w:bookmarkStart w:id="108" w:name="_Toc280745561_WPSOffice_Level2"/>
      <w:bookmarkStart w:id="109" w:name="_Toc15396621"/>
      <w:r>
        <w:rPr>
          <w:rFonts w:hint="eastAsia" w:eastAsia="仿宋_GB2312" w:cs="仿宋_GB2312"/>
          <w:sz w:val="32"/>
          <w:szCs w:val="32"/>
        </w:rPr>
        <w:t>三、支出决算表</w:t>
      </w:r>
      <w:bookmarkEnd w:id="108"/>
      <w:bookmarkEnd w:id="109"/>
    </w:p>
    <w:p>
      <w:pPr>
        <w:pStyle w:val="14"/>
        <w:adjustRightInd w:val="0"/>
        <w:snapToGrid w:val="0"/>
        <w:spacing w:line="560" w:lineRule="exact"/>
        <w:jc w:val="left"/>
        <w:rPr>
          <w:rFonts w:eastAsia="仿宋_GB2312" w:cs="仿宋_GB2312"/>
          <w:sz w:val="32"/>
          <w:szCs w:val="32"/>
        </w:rPr>
      </w:pPr>
      <w:bookmarkStart w:id="110" w:name="_Toc15396622"/>
      <w:bookmarkStart w:id="111" w:name="_Toc905202565_WPSOffice_Level2"/>
      <w:r>
        <w:rPr>
          <w:rFonts w:hint="eastAsia" w:eastAsia="仿宋_GB2312" w:cs="仿宋_GB2312"/>
          <w:sz w:val="32"/>
          <w:szCs w:val="32"/>
        </w:rPr>
        <w:t>四、财政拨款收入支出决算总表</w:t>
      </w:r>
      <w:bookmarkEnd w:id="110"/>
      <w:bookmarkEnd w:id="111"/>
    </w:p>
    <w:p>
      <w:pPr>
        <w:pStyle w:val="14"/>
        <w:adjustRightInd w:val="0"/>
        <w:snapToGrid w:val="0"/>
        <w:spacing w:line="560" w:lineRule="exact"/>
        <w:jc w:val="left"/>
        <w:rPr>
          <w:rFonts w:eastAsia="仿宋_GB2312" w:cs="仿宋_GB2312"/>
          <w:sz w:val="32"/>
          <w:szCs w:val="32"/>
        </w:rPr>
      </w:pPr>
      <w:bookmarkStart w:id="112" w:name="_Toc709711031_WPSOffice_Level2"/>
      <w:bookmarkStart w:id="113" w:name="_Toc15396623"/>
      <w:r>
        <w:rPr>
          <w:rFonts w:hint="eastAsia" w:eastAsia="仿宋_GB2312" w:cs="仿宋_GB2312"/>
          <w:sz w:val="32"/>
          <w:szCs w:val="32"/>
        </w:rPr>
        <w:t>五、财政拨款支出决算明细表</w:t>
      </w:r>
      <w:bookmarkEnd w:id="112"/>
      <w:bookmarkEnd w:id="113"/>
      <w:bookmarkStart w:id="114" w:name="_Toc15396624"/>
    </w:p>
    <w:p>
      <w:pPr>
        <w:pStyle w:val="14"/>
        <w:adjustRightInd w:val="0"/>
        <w:snapToGrid w:val="0"/>
        <w:spacing w:line="560" w:lineRule="exact"/>
        <w:jc w:val="left"/>
        <w:rPr>
          <w:rFonts w:eastAsia="仿宋_GB2312" w:cs="仿宋_GB2312"/>
          <w:sz w:val="32"/>
          <w:szCs w:val="32"/>
        </w:rPr>
      </w:pPr>
      <w:bookmarkStart w:id="115" w:name="_Toc636530629_WPSOffice_Level2"/>
      <w:r>
        <w:rPr>
          <w:rFonts w:hint="eastAsia" w:eastAsia="仿宋_GB2312" w:cs="仿宋_GB2312"/>
          <w:sz w:val="32"/>
          <w:szCs w:val="32"/>
        </w:rPr>
        <w:t>六、一般公共预算财政拨款支出决算表</w:t>
      </w:r>
      <w:bookmarkEnd w:id="114"/>
      <w:bookmarkEnd w:id="115"/>
    </w:p>
    <w:p>
      <w:pPr>
        <w:pStyle w:val="14"/>
        <w:adjustRightInd w:val="0"/>
        <w:snapToGrid w:val="0"/>
        <w:spacing w:line="560" w:lineRule="exact"/>
        <w:jc w:val="left"/>
        <w:rPr>
          <w:rFonts w:eastAsia="仿宋_GB2312" w:cs="仿宋_GB2312"/>
          <w:sz w:val="32"/>
          <w:szCs w:val="32"/>
        </w:rPr>
      </w:pPr>
      <w:bookmarkStart w:id="116" w:name="_Toc1645852961_WPSOffice_Level2"/>
      <w:bookmarkStart w:id="117" w:name="_Toc15396625"/>
      <w:r>
        <w:rPr>
          <w:rFonts w:hint="eastAsia" w:eastAsia="仿宋_GB2312" w:cs="仿宋_GB2312"/>
          <w:sz w:val="32"/>
          <w:szCs w:val="32"/>
        </w:rPr>
        <w:t>七、一般公共预算财政拨款支出决算明细表</w:t>
      </w:r>
      <w:bookmarkEnd w:id="116"/>
      <w:bookmarkEnd w:id="117"/>
    </w:p>
    <w:p>
      <w:pPr>
        <w:pStyle w:val="14"/>
        <w:adjustRightInd w:val="0"/>
        <w:snapToGrid w:val="0"/>
        <w:spacing w:line="560" w:lineRule="exact"/>
        <w:jc w:val="left"/>
        <w:rPr>
          <w:rFonts w:eastAsia="仿宋_GB2312" w:cs="仿宋_GB2312"/>
          <w:sz w:val="32"/>
          <w:szCs w:val="32"/>
        </w:rPr>
      </w:pPr>
      <w:bookmarkStart w:id="118" w:name="_Toc1824867055_WPSOffice_Level2"/>
      <w:bookmarkStart w:id="119" w:name="_Toc15396626"/>
      <w:r>
        <w:rPr>
          <w:rFonts w:hint="eastAsia" w:eastAsia="仿宋_GB2312" w:cs="仿宋_GB2312"/>
          <w:sz w:val="32"/>
          <w:szCs w:val="32"/>
        </w:rPr>
        <w:t>八、一般公共预算财政拨款基本支出决算表</w:t>
      </w:r>
      <w:bookmarkEnd w:id="118"/>
      <w:bookmarkEnd w:id="119"/>
    </w:p>
    <w:p>
      <w:pPr>
        <w:pStyle w:val="14"/>
        <w:adjustRightInd w:val="0"/>
        <w:snapToGrid w:val="0"/>
        <w:spacing w:line="560" w:lineRule="exact"/>
        <w:jc w:val="left"/>
        <w:rPr>
          <w:rFonts w:eastAsia="仿宋_GB2312" w:cs="仿宋_GB2312"/>
          <w:sz w:val="32"/>
          <w:szCs w:val="32"/>
        </w:rPr>
      </w:pPr>
      <w:bookmarkStart w:id="120" w:name="_Toc879889565_WPSOffice_Level2"/>
      <w:bookmarkStart w:id="121" w:name="_Toc15396627"/>
      <w:r>
        <w:rPr>
          <w:rFonts w:hint="eastAsia" w:eastAsia="仿宋_GB2312" w:cs="仿宋_GB2312"/>
          <w:sz w:val="32"/>
          <w:szCs w:val="32"/>
        </w:rPr>
        <w:t>九、一般公共预算财政拨款项目支出决算表</w:t>
      </w:r>
      <w:bookmarkEnd w:id="120"/>
      <w:bookmarkEnd w:id="121"/>
    </w:p>
    <w:p>
      <w:pPr>
        <w:pStyle w:val="14"/>
        <w:adjustRightInd w:val="0"/>
        <w:snapToGrid w:val="0"/>
        <w:spacing w:line="560" w:lineRule="exact"/>
        <w:jc w:val="left"/>
        <w:rPr>
          <w:rFonts w:eastAsia="仿宋_GB2312" w:cs="仿宋_GB2312"/>
          <w:sz w:val="32"/>
          <w:szCs w:val="32"/>
        </w:rPr>
      </w:pPr>
      <w:bookmarkStart w:id="122" w:name="_Toc15396628"/>
      <w:bookmarkStart w:id="123" w:name="_Toc307289611_WPSOffice_Level2"/>
      <w:r>
        <w:rPr>
          <w:rFonts w:hint="eastAsia" w:eastAsia="仿宋_GB2312" w:cs="仿宋_GB2312"/>
          <w:sz w:val="32"/>
          <w:szCs w:val="32"/>
        </w:rPr>
        <w:t>十、</w:t>
      </w:r>
      <w:bookmarkEnd w:id="122"/>
      <w:r>
        <w:rPr>
          <w:rFonts w:hint="eastAsia" w:eastAsia="仿宋_GB2312" w:cs="仿宋_GB2312"/>
          <w:sz w:val="32"/>
          <w:szCs w:val="32"/>
        </w:rPr>
        <w:t>政府性基金预算财政拨款收入支出决算表</w:t>
      </w:r>
      <w:bookmarkEnd w:id="123"/>
    </w:p>
    <w:p>
      <w:pPr>
        <w:pStyle w:val="14"/>
        <w:adjustRightInd w:val="0"/>
        <w:snapToGrid w:val="0"/>
        <w:spacing w:line="560" w:lineRule="exact"/>
        <w:jc w:val="left"/>
        <w:rPr>
          <w:rFonts w:eastAsia="仿宋_GB2312" w:cs="仿宋_GB2312"/>
          <w:sz w:val="32"/>
          <w:szCs w:val="32"/>
        </w:rPr>
      </w:pPr>
      <w:bookmarkStart w:id="124" w:name="_Toc15396629"/>
      <w:bookmarkStart w:id="125" w:name="_Toc699211049_WPSOffice_Level2"/>
      <w:r>
        <w:rPr>
          <w:rFonts w:hint="eastAsia" w:eastAsia="仿宋_GB2312" w:cs="仿宋_GB2312"/>
          <w:sz w:val="32"/>
          <w:szCs w:val="32"/>
        </w:rPr>
        <w:t>十一、</w:t>
      </w:r>
      <w:bookmarkEnd w:id="124"/>
      <w:r>
        <w:rPr>
          <w:rFonts w:hint="eastAsia" w:eastAsia="仿宋_GB2312" w:cs="仿宋_GB2312"/>
          <w:sz w:val="32"/>
          <w:szCs w:val="32"/>
        </w:rPr>
        <w:t>国有资本经营预算财政拨款收入支出决算表</w:t>
      </w:r>
      <w:bookmarkEnd w:id="125"/>
    </w:p>
    <w:p>
      <w:pPr>
        <w:pStyle w:val="14"/>
        <w:adjustRightInd w:val="0"/>
        <w:snapToGrid w:val="0"/>
        <w:spacing w:line="560" w:lineRule="exact"/>
        <w:jc w:val="left"/>
        <w:rPr>
          <w:rFonts w:eastAsia="仿宋_GB2312" w:cs="仿宋_GB2312"/>
          <w:sz w:val="32"/>
          <w:szCs w:val="32"/>
        </w:rPr>
      </w:pPr>
      <w:bookmarkStart w:id="126" w:name="_Toc15396630"/>
      <w:bookmarkStart w:id="127" w:name="_Toc1668032632_WPSOffice_Level2"/>
      <w:r>
        <w:rPr>
          <w:rFonts w:hint="eastAsia" w:eastAsia="仿宋_GB2312" w:cs="仿宋_GB2312"/>
          <w:sz w:val="32"/>
          <w:szCs w:val="32"/>
        </w:rPr>
        <w:t>十二、</w:t>
      </w:r>
      <w:bookmarkEnd w:id="126"/>
      <w:r>
        <w:rPr>
          <w:rFonts w:hint="eastAsia" w:eastAsia="仿宋_GB2312" w:cs="仿宋_GB2312"/>
          <w:sz w:val="32"/>
          <w:szCs w:val="32"/>
        </w:rPr>
        <w:t>国有资本经营预算财政拨款支出决算表</w:t>
      </w:r>
      <w:bookmarkEnd w:id="127"/>
    </w:p>
    <w:p>
      <w:pPr>
        <w:pStyle w:val="14"/>
        <w:adjustRightInd w:val="0"/>
        <w:snapToGrid w:val="0"/>
        <w:spacing w:line="560" w:lineRule="exact"/>
        <w:jc w:val="left"/>
        <w:rPr>
          <w:rFonts w:eastAsia="仿宋_GB2312" w:cs="仿宋_GB2312"/>
          <w:sz w:val="32"/>
          <w:szCs w:val="32"/>
        </w:rPr>
      </w:pPr>
      <w:bookmarkStart w:id="128" w:name="_Toc15396631"/>
      <w:bookmarkStart w:id="129" w:name="_Toc118797023_WPSOffice_Level2"/>
      <w:r>
        <w:rPr>
          <w:rFonts w:hint="eastAsia" w:eastAsia="仿宋_GB2312" w:cs="仿宋_GB2312"/>
          <w:sz w:val="32"/>
          <w:szCs w:val="32"/>
        </w:rPr>
        <w:t>十三、</w:t>
      </w:r>
      <w:bookmarkEnd w:id="128"/>
      <w:r>
        <w:rPr>
          <w:rFonts w:hint="eastAsia" w:eastAsia="仿宋_GB2312" w:cs="仿宋_GB2312"/>
          <w:sz w:val="32"/>
          <w:szCs w:val="32"/>
        </w:rPr>
        <w:t>财政拨款“三公”经费支出决算表</w:t>
      </w:r>
      <w:bookmarkEnd w:id="129"/>
    </w:p>
    <w:p/>
    <w:sectPr>
      <w:footerReference r:id="rId8" w:type="first"/>
      <w:foot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0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00000000000000000"/>
    <w:charset w:val="86"/>
    <w:family w:val="script"/>
    <w:pitch w:val="default"/>
    <w:sig w:usb0="A00002BF" w:usb1="184F6CFA" w:usb2="00000012" w:usb3="00000000" w:csb0="00040001" w:csb1="00000000"/>
  </w:font>
  <w:font w:name="方正仿宋_GBK-WinCharSetFFFF-H">
    <w:altName w:val="黑体"/>
    <w:panose1 w:val="00000000000000000000"/>
    <w:charset w:val="86"/>
    <w:family w:val="auto"/>
    <w:pitch w:val="default"/>
    <w:sig w:usb0="00000000" w:usb1="00000000" w:usb2="00000010" w:usb3="00000000" w:csb0="00040000" w:csb1="00000000"/>
  </w:font>
  <w:font w:name="TimesNewRoman">
    <w:altName w:val="黑体"/>
    <w:panose1 w:val="00000000000000000000"/>
    <w:charset w:val="86"/>
    <w:family w:val="auto"/>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楷体">
    <w:panose1 w:val="02010609060101010101"/>
    <w:charset w:val="86"/>
    <w:family w:val="auto"/>
    <w:pitch w:val="default"/>
    <w:sig w:usb0="800002BF" w:usb1="38CF7CFA" w:usb2="00000016" w:usb3="00000000" w:csb0="00040001" w:csb1="0000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q+O8FQIAABkEAAAOAAAAAAAAAAEAIAAAADUBAABkcnMvZTJvRG9jLnhtbFBLBQYAAAAABgAG&#10;AFkBAAC8BQAAAAA=&#10;">
              <v:fill on="f" focussize="0,0"/>
              <v:stroke on="f" weight="0.5pt"/>
              <v:imagedata o:title=""/>
              <o:lock v:ext="edit" aspectratio="f"/>
              <v:textbox inset="0mm,0mm,0mm,0mm" style="mso-fit-shape-to-text:t;">
                <w:txbxContent>
                  <w:p>
                    <w:pPr>
                      <w:pStyle w:val="11"/>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F7B53"/>
    <w:multiLevelType w:val="singleLevel"/>
    <w:tmpl w:val="CFFF7B5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BFE1463"/>
    <w:rsid w:val="1D155CEE"/>
    <w:rsid w:val="1E740ACF"/>
    <w:rsid w:val="1FF35744"/>
    <w:rsid w:val="1FF6BC77"/>
    <w:rsid w:val="21962A9E"/>
    <w:rsid w:val="21AE7C77"/>
    <w:rsid w:val="22BC3C41"/>
    <w:rsid w:val="23860B96"/>
    <w:rsid w:val="240371BF"/>
    <w:rsid w:val="260F557C"/>
    <w:rsid w:val="27F7C0BF"/>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5AA8D2"/>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516792"/>
    <w:rsid w:val="3D98207C"/>
    <w:rsid w:val="3D9B0D99"/>
    <w:rsid w:val="3DDFE359"/>
    <w:rsid w:val="3DEE7CF3"/>
    <w:rsid w:val="3DF02244"/>
    <w:rsid w:val="3E78745D"/>
    <w:rsid w:val="3F9536EA"/>
    <w:rsid w:val="3FB1FF85"/>
    <w:rsid w:val="3FEF14D4"/>
    <w:rsid w:val="3FF4CAE0"/>
    <w:rsid w:val="3FF7B227"/>
    <w:rsid w:val="40E54C45"/>
    <w:rsid w:val="43A407DF"/>
    <w:rsid w:val="44515BEA"/>
    <w:rsid w:val="44E268DA"/>
    <w:rsid w:val="453F7E5B"/>
    <w:rsid w:val="47D94936"/>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5F93BE"/>
    <w:rsid w:val="5CD71FC4"/>
    <w:rsid w:val="5D1F11B5"/>
    <w:rsid w:val="5DAE1B18"/>
    <w:rsid w:val="5DE7D9E5"/>
    <w:rsid w:val="5ECEC941"/>
    <w:rsid w:val="5F493CB7"/>
    <w:rsid w:val="5FBF9FF3"/>
    <w:rsid w:val="5FCD4E2C"/>
    <w:rsid w:val="5FD15F49"/>
    <w:rsid w:val="5FEF394A"/>
    <w:rsid w:val="5FF67715"/>
    <w:rsid w:val="5FFF92E5"/>
    <w:rsid w:val="62BF3928"/>
    <w:rsid w:val="647F5392"/>
    <w:rsid w:val="664B1D71"/>
    <w:rsid w:val="67AA3209"/>
    <w:rsid w:val="67FDEF3A"/>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4FE607"/>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97AD3"/>
    <w:rsid w:val="76FF5125"/>
    <w:rsid w:val="776F6FFA"/>
    <w:rsid w:val="778769C8"/>
    <w:rsid w:val="77DC22F5"/>
    <w:rsid w:val="79086DAD"/>
    <w:rsid w:val="79974F09"/>
    <w:rsid w:val="79D7FD79"/>
    <w:rsid w:val="79EE5BA4"/>
    <w:rsid w:val="7A894339"/>
    <w:rsid w:val="7AFF7572"/>
    <w:rsid w:val="7B6C7DFB"/>
    <w:rsid w:val="7B9FE8A7"/>
    <w:rsid w:val="7BBFBED0"/>
    <w:rsid w:val="7BC3E394"/>
    <w:rsid w:val="7BF11883"/>
    <w:rsid w:val="7C1F3737"/>
    <w:rsid w:val="7CBF4F7A"/>
    <w:rsid w:val="7CBFC87B"/>
    <w:rsid w:val="7CFE0F48"/>
    <w:rsid w:val="7D7EC23E"/>
    <w:rsid w:val="7D916348"/>
    <w:rsid w:val="7E8ADEBF"/>
    <w:rsid w:val="7EE7DBEC"/>
    <w:rsid w:val="7EEF11D3"/>
    <w:rsid w:val="7F0971A6"/>
    <w:rsid w:val="7F1F5BC8"/>
    <w:rsid w:val="7F3F679B"/>
    <w:rsid w:val="7F4FC4EF"/>
    <w:rsid w:val="7F5E4D54"/>
    <w:rsid w:val="7F6E0135"/>
    <w:rsid w:val="7F9CA7BB"/>
    <w:rsid w:val="7FA30C79"/>
    <w:rsid w:val="7FAF8ABF"/>
    <w:rsid w:val="7FB7269E"/>
    <w:rsid w:val="7FC96657"/>
    <w:rsid w:val="7FDA9588"/>
    <w:rsid w:val="7FDF220F"/>
    <w:rsid w:val="7FEDC5F7"/>
    <w:rsid w:val="7FEDD9DE"/>
    <w:rsid w:val="7FF5890D"/>
    <w:rsid w:val="7FF93490"/>
    <w:rsid w:val="7FFF4BC1"/>
    <w:rsid w:val="99FF2014"/>
    <w:rsid w:val="9FE2F8F7"/>
    <w:rsid w:val="9FFF1201"/>
    <w:rsid w:val="A6DD0D7F"/>
    <w:rsid w:val="ADC6F725"/>
    <w:rsid w:val="AF26C886"/>
    <w:rsid w:val="B7CF06AB"/>
    <w:rsid w:val="B7CFA926"/>
    <w:rsid w:val="B7F8786B"/>
    <w:rsid w:val="B9364C85"/>
    <w:rsid w:val="BABB6AA1"/>
    <w:rsid w:val="BB2F4199"/>
    <w:rsid w:val="BD079C78"/>
    <w:rsid w:val="BD733540"/>
    <w:rsid w:val="BF3735D5"/>
    <w:rsid w:val="BF7F09AC"/>
    <w:rsid w:val="BFD475C3"/>
    <w:rsid w:val="BFDE5EA6"/>
    <w:rsid w:val="CF6FC6F3"/>
    <w:rsid w:val="CFD3D3D7"/>
    <w:rsid w:val="CFDF1009"/>
    <w:rsid w:val="CFFA310A"/>
    <w:rsid w:val="D3CEBFEA"/>
    <w:rsid w:val="D6E9EBEC"/>
    <w:rsid w:val="D7D7B16A"/>
    <w:rsid w:val="D8D6DB89"/>
    <w:rsid w:val="DB6F4CAB"/>
    <w:rsid w:val="DB777682"/>
    <w:rsid w:val="DD1FB521"/>
    <w:rsid w:val="DEFBFEAE"/>
    <w:rsid w:val="DF1F3B80"/>
    <w:rsid w:val="DF6F9789"/>
    <w:rsid w:val="DFFB73E6"/>
    <w:rsid w:val="DFFFA9E8"/>
    <w:rsid w:val="E2DEFB29"/>
    <w:rsid w:val="E5F4E9DC"/>
    <w:rsid w:val="E6FC4CB6"/>
    <w:rsid w:val="E70FE695"/>
    <w:rsid w:val="ECFC46F2"/>
    <w:rsid w:val="ECFED1BC"/>
    <w:rsid w:val="ED1D69BB"/>
    <w:rsid w:val="ED7FD312"/>
    <w:rsid w:val="EF53993F"/>
    <w:rsid w:val="EF6FD633"/>
    <w:rsid w:val="EFBF05A9"/>
    <w:rsid w:val="EFBFB2F4"/>
    <w:rsid w:val="EFBFFA21"/>
    <w:rsid w:val="EFFCF643"/>
    <w:rsid w:val="F1F588F4"/>
    <w:rsid w:val="F2BEBCB8"/>
    <w:rsid w:val="F36FB518"/>
    <w:rsid w:val="F3DE1A04"/>
    <w:rsid w:val="F3F722E5"/>
    <w:rsid w:val="F5F56C5F"/>
    <w:rsid w:val="F62FCA95"/>
    <w:rsid w:val="F6F77546"/>
    <w:rsid w:val="F729C949"/>
    <w:rsid w:val="F7FF0223"/>
    <w:rsid w:val="FA5F1E70"/>
    <w:rsid w:val="FA5FDB97"/>
    <w:rsid w:val="FAD61911"/>
    <w:rsid w:val="FB7F486A"/>
    <w:rsid w:val="FBBED898"/>
    <w:rsid w:val="FBF735A7"/>
    <w:rsid w:val="FBFF5B2E"/>
    <w:rsid w:val="FD7FFE2B"/>
    <w:rsid w:val="FDEE196B"/>
    <w:rsid w:val="FDFE6575"/>
    <w:rsid w:val="FEDAF586"/>
    <w:rsid w:val="FEDFDDC2"/>
    <w:rsid w:val="FEED32F6"/>
    <w:rsid w:val="FEF781DD"/>
    <w:rsid w:val="FF3F7E3F"/>
    <w:rsid w:val="FF615216"/>
    <w:rsid w:val="FF7F6AF9"/>
    <w:rsid w:val="FF9D7424"/>
    <w:rsid w:val="FFBA12D7"/>
    <w:rsid w:val="FFDDB366"/>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link w:val="36"/>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6"/>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0"/>
    <w:rPr>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8"/>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5"/>
    <w:qFormat/>
    <w:uiPriority w:val="9"/>
    <w:rPr>
      <w:rFonts w:ascii="Times New Roman" w:hAnsi="Times New Roman"/>
      <w:b/>
      <w:bCs/>
      <w:kern w:val="44"/>
      <w:sz w:val="44"/>
      <w:szCs w:val="44"/>
    </w:rPr>
  </w:style>
  <w:style w:type="character" w:customStyle="1" w:styleId="30">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1">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7"/>
    <w:qFormat/>
    <w:uiPriority w:val="9"/>
    <w:rPr>
      <w:rFonts w:ascii="Times New Roman" w:hAnsi="Times New Roman"/>
      <w:b/>
      <w:bCs/>
      <w:kern w:val="2"/>
      <w:sz w:val="32"/>
      <w:szCs w:val="32"/>
    </w:rPr>
  </w:style>
  <w:style w:type="paragraph" w:customStyle="1" w:styleId="34">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character" w:customStyle="1" w:styleId="36">
    <w:name w:val="正文首行缩进 2 Char"/>
    <w:basedOn w:val="17"/>
    <w:link w:val="3"/>
    <w:qFormat/>
    <w:uiPriority w:val="99"/>
    <w:rPr>
      <w:rFonts w:ascii="仿宋_GB2312"/>
      <w:kern w:val="2"/>
      <w:sz w:val="21"/>
      <w:szCs w:val="32"/>
    </w:rPr>
  </w:style>
  <w:style w:type="paragraph" w:customStyle="1" w:styleId="37">
    <w:name w:val="WPSOffice手动目录 1"/>
    <w:qFormat/>
    <w:uiPriority w:val="0"/>
    <w:pPr>
      <w:ind w:leftChars="0"/>
    </w:pPr>
    <w:rPr>
      <w:rFonts w:ascii="Times New Roman" w:hAnsi="Times New Roman" w:eastAsia="宋体" w:cs="Times New Roman"/>
      <w:sz w:val="20"/>
      <w:szCs w:val="20"/>
    </w:rPr>
  </w:style>
  <w:style w:type="paragraph" w:customStyle="1" w:styleId="3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glossaryDocument" Target="glossary/document.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 </a:t>
            </a:r>
            <a:r>
              <a:rPr>
                <a:solidFill>
                  <a:schemeClr val="tx1"/>
                </a:solidFill>
              </a:rPr>
              <a:t>收入、支出决算总计变动情况图</a:t>
            </a:r>
            <a:r>
              <a:rPr lang="en-US" altLang="zh-CN">
                <a:solidFill>
                  <a:schemeClr val="tx1"/>
                </a:solidFill>
              </a:rPr>
              <a:t> </a:t>
            </a:r>
            <a:r>
              <a:rPr altLang="en-US">
                <a:solidFill>
                  <a:schemeClr val="tx1"/>
                </a:solidFill>
              </a:rPr>
              <a:t>（单位：万元）</a:t>
            </a:r>
            <a:endParaRPr altLang="en-US">
              <a:solidFill>
                <a:schemeClr val="tx1"/>
              </a:solidFill>
            </a:endParaRPr>
          </a:p>
        </c:rich>
      </c:tx>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
                </c:pt>
              </c:strCache>
            </c:strRef>
          </c:tx>
          <c:spPr>
            <a:solidFill>
              <a:schemeClr val="accent1"/>
            </a:solidFill>
            <a:ln>
              <a:noFill/>
            </a:ln>
            <a:effectLst/>
          </c:spPr>
          <c:invertIfNegative val="false"/>
          <c:dLbls>
            <c:dLbl>
              <c:idx val="0"/>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24</a:t>
                    </a:r>
                    <a:r>
                      <a:rPr lang="en-US" altLang="zh-CN"/>
                      <a:t>,</a:t>
                    </a:r>
                    <a:r>
                      <a:t>419.61</a:t>
                    </a:r>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17</a:t>
                    </a:r>
                    <a:r>
                      <a:rPr lang="en-US" altLang="zh-CN"/>
                      <a:t>,</a:t>
                    </a:r>
                    <a:r>
                      <a:t>794.46</a:t>
                    </a:r>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24419.61</c:v>
                </c:pt>
                <c:pt idx="1">
                  <c:v>17794.46</c:v>
                </c:pt>
              </c:numCache>
            </c:numRef>
          </c:val>
        </c:ser>
        <c:dLbls>
          <c:showLegendKey val="false"/>
          <c:showVal val="true"/>
          <c:showCatName val="false"/>
          <c:showSerName val="false"/>
          <c:showPercent val="false"/>
          <c:showBubbleSize val="false"/>
        </c:dLbls>
        <c:gapWidth val="150"/>
        <c:overlap val="0"/>
        <c:axId val="799073010"/>
        <c:axId val="526324568"/>
      </c:barChart>
      <c:catAx>
        <c:axId val="799073010"/>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26324568"/>
        <c:crosses val="autoZero"/>
        <c:auto val="true"/>
        <c:lblAlgn val="ctr"/>
        <c:lblOffset val="100"/>
        <c:noMultiLvlLbl val="false"/>
      </c:catAx>
      <c:valAx>
        <c:axId val="526324568"/>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99073010"/>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a:solidFill>
                  <a:sysClr val="windowText" lastClr="000000"/>
                </a:solidFill>
              </a:rPr>
              <a:t> 收入决算结构图</a:t>
            </a:r>
            <a:r>
              <a:rPr lang="en-US" altLang="zh-CN">
                <a:solidFill>
                  <a:sysClr val="windowText" lastClr="000000"/>
                </a:solidFill>
              </a:rPr>
              <a:t> </a:t>
            </a:r>
            <a:r>
              <a:rPr altLang="en-US">
                <a:solidFill>
                  <a:sysClr val="windowText" lastClr="000000"/>
                </a:solidFill>
              </a:rPr>
              <a:t>（单位：万元）</a:t>
            </a:r>
            <a:endParaRPr altLang="en-US">
              <a:solidFill>
                <a:sysClr val="windowText" lastClr="000000"/>
              </a:solidFill>
            </a:endParaRPr>
          </a:p>
        </c:rich>
      </c:tx>
      <c:layout/>
      <c:overlay val="false"/>
      <c:spPr>
        <a:noFill/>
        <a:ln>
          <a:noFill/>
        </a:ln>
        <a:effectLst/>
      </c:spPr>
    </c:title>
    <c:autoTitleDeleted val="false"/>
    <c:plotArea>
      <c:layout/>
      <c:pieChart>
        <c:varyColors val="true"/>
        <c:ser>
          <c:idx val="0"/>
          <c:order val="0"/>
          <c:tx>
            <c:strRef>
              <c:f>Sheet1!$B$1</c:f>
              <c:strCache>
                <c:ptCount val="1"/>
                <c:pt idx="0">
                  <c:v/>
                </c:pt>
              </c:strCache>
            </c:strRef>
          </c:tx>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政府性基金预算财政拨款收入</c:v>
                </c:pt>
              </c:strCache>
            </c:strRef>
          </c:cat>
          <c:val>
            <c:numRef>
              <c:f>Sheet1!$B$2:$B$3</c:f>
              <c:numCache>
                <c:formatCode>#,##0.00</c:formatCode>
                <c:ptCount val="2"/>
                <c:pt idx="0">
                  <c:v>16212.46</c:v>
                </c:pt>
                <c:pt idx="1">
                  <c:v>1582</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r"/>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 </a:t>
            </a:r>
            <a:r>
              <a:rPr>
                <a:solidFill>
                  <a:sysClr val="windowText" lastClr="000000"/>
                </a:solidFill>
              </a:rPr>
              <a:t>支出决算结构图</a:t>
            </a:r>
            <a:r>
              <a:rPr lang="en-US" altLang="zh-CN">
                <a:solidFill>
                  <a:sysClr val="windowText" lastClr="000000"/>
                </a:solidFill>
              </a:rPr>
              <a:t> </a:t>
            </a:r>
            <a:r>
              <a:rPr altLang="en-US">
                <a:solidFill>
                  <a:sysClr val="windowText" lastClr="000000"/>
                </a:solidFill>
              </a:rPr>
              <a:t>（单位：万元）</a:t>
            </a:r>
            <a:endParaRPr altLang="en-US">
              <a:solidFill>
                <a:sysClr val="windowText" lastClr="000000"/>
              </a:solidFill>
            </a:endParaRPr>
          </a:p>
        </c:rich>
      </c:tx>
      <c:layout/>
      <c:overlay val="false"/>
      <c:spPr>
        <a:noFill/>
        <a:ln>
          <a:noFill/>
        </a:ln>
        <a:effectLst/>
      </c:spPr>
    </c:title>
    <c:autoTitleDeleted val="false"/>
    <c:plotArea>
      <c:layout/>
      <c:pieChart>
        <c:varyColors val="true"/>
        <c:ser>
          <c:idx val="0"/>
          <c:order val="0"/>
          <c:tx>
            <c:strRef>
              <c:f>Sheet1!$B$1</c:f>
              <c:strCache>
                <c:ptCount val="1"/>
                <c:pt idx="0">
                  <c:v/>
                </c:pt>
              </c:strCache>
            </c:strRef>
          </c:tx>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dLbl>
              <c:idx val="0"/>
              <c:layout>
                <c:manualLayout>
                  <c:x val="0.179877930534255"/>
                  <c:y val="0.0478764268520847"/>
                </c:manualLayout>
              </c:layout>
              <c:dLblPos val="bestFit"/>
              <c:showLegendKey val="false"/>
              <c:showVal val="true"/>
              <c:showCatName val="false"/>
              <c:showSerName val="false"/>
              <c:showPercent val="true"/>
              <c:showBubbleSize val="false"/>
              <c:extLst>
                <c:ext xmlns:c15="http://schemas.microsoft.com/office/drawing/2012/chart" uri="{CE6537A1-D6FC-4f65-9D91-7224C49458BB}">
                  <c15:layout/>
                </c:ext>
              </c:extLst>
            </c:dLbl>
            <c:dLbl>
              <c:idx val="1"/>
              <c:layout>
                <c:manualLayout>
                  <c:x val="-0.209939127227919"/>
                  <c:y val="-0.0818764212633287"/>
                </c:manualLayout>
              </c:layout>
              <c:dLblPos val="bestFit"/>
              <c:showLegendKey val="false"/>
              <c:showVal val="true"/>
              <c:showCatName val="false"/>
              <c:showSerName val="false"/>
              <c:showPercent val="true"/>
              <c:showBubbleSize val="false"/>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false"/>
            <c:showVal val="tru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1582.52</c:v>
                </c:pt>
                <c:pt idx="1">
                  <c:v>16211.94</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 </a:t>
            </a:r>
            <a:r>
              <a:rPr>
                <a:solidFill>
                  <a:sysClr val="windowText" lastClr="000000"/>
                </a:solidFill>
              </a:rPr>
              <a:t>财政拨款收、支决算总计变动情况</a:t>
            </a:r>
            <a:r>
              <a:rPr>
                <a:solidFill>
                  <a:schemeClr val="tx1"/>
                </a:solidFill>
              </a:rPr>
              <a:t>图</a:t>
            </a:r>
            <a:r>
              <a:rPr lang="en-US" altLang="zh-CN">
                <a:solidFill>
                  <a:schemeClr val="tx1"/>
                </a:solidFill>
              </a:rPr>
              <a:t> </a:t>
            </a:r>
            <a:endParaRPr lang="en-US" altLang="zh-CN">
              <a:solidFill>
                <a:schemeClr val="tx1"/>
              </a:solidFill>
            </a:endParaRPr>
          </a:p>
          <a:p>
            <a:pPr defTabSz="914400">
              <a:defRPr lang="zh-CN" sz="1400" b="0" i="0" u="none" strike="noStrike" kern="1200" spc="0" baseline="0">
                <a:solidFill>
                  <a:schemeClr val="tx1">
                    <a:lumMod val="65000"/>
                    <a:lumOff val="35000"/>
                  </a:schemeClr>
                </a:solidFill>
                <a:latin typeface="+mn-lt"/>
                <a:ea typeface="+mn-ea"/>
                <a:cs typeface="+mn-cs"/>
              </a:defRPr>
            </a:pPr>
            <a:r>
              <a:rPr altLang="en-US">
                <a:solidFill>
                  <a:schemeClr val="tx1"/>
                </a:solidFill>
              </a:rPr>
              <a:t>（单位：万元）</a:t>
            </a:r>
            <a:endParaRPr altLang="en-US">
              <a:solidFill>
                <a:schemeClr val="tx1"/>
              </a:solidFill>
            </a:endParaRPr>
          </a:p>
        </c:rich>
      </c:tx>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
                </c:pt>
              </c:strCache>
            </c:strRef>
          </c:tx>
          <c:spPr>
            <a:solidFill>
              <a:schemeClr val="accent1"/>
            </a:solidFill>
            <a:ln>
              <a:noFill/>
            </a:ln>
            <a:effectLst/>
          </c:spPr>
          <c:invertIfNegative val="false"/>
          <c:dLbls>
            <c:dLbl>
              <c:idx val="0"/>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24</a:t>
                    </a:r>
                    <a:r>
                      <a:rPr lang="en-US" altLang="zh-CN"/>
                      <a:t>,</a:t>
                    </a:r>
                    <a:r>
                      <a:t>419.61</a:t>
                    </a:r>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17</a:t>
                    </a:r>
                    <a:r>
                      <a:rPr lang="en-US" altLang="zh-CN"/>
                      <a:t>,</a:t>
                    </a:r>
                    <a:r>
                      <a:t>794.46</a:t>
                    </a:r>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24419.61</c:v>
                </c:pt>
                <c:pt idx="1">
                  <c:v>17794.46</c:v>
                </c:pt>
              </c:numCache>
            </c:numRef>
          </c:val>
        </c:ser>
        <c:dLbls>
          <c:showLegendKey val="false"/>
          <c:showVal val="true"/>
          <c:showCatName val="false"/>
          <c:showSerName val="false"/>
          <c:showPercent val="false"/>
          <c:showBubbleSize val="false"/>
        </c:dLbls>
        <c:gapWidth val="150"/>
        <c:overlap val="0"/>
        <c:axId val="799073010"/>
        <c:axId val="526324568"/>
      </c:barChart>
      <c:catAx>
        <c:axId val="799073010"/>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26324568"/>
        <c:crosses val="autoZero"/>
        <c:auto val="true"/>
        <c:lblAlgn val="ctr"/>
        <c:lblOffset val="100"/>
        <c:noMultiLvlLbl val="false"/>
      </c:catAx>
      <c:valAx>
        <c:axId val="526324568"/>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799073010"/>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 </a:t>
            </a:r>
            <a:r>
              <a:rPr>
                <a:solidFill>
                  <a:sysClr val="windowText" lastClr="000000"/>
                </a:solidFill>
              </a:rPr>
              <a:t>一般公共预算财政拨款支出决算变动情况图</a:t>
            </a:r>
            <a:r>
              <a:rPr lang="en-US" altLang="zh-CN">
                <a:solidFill>
                  <a:sysClr val="windowText" lastClr="000000"/>
                </a:solidFill>
              </a:rPr>
              <a:t> </a:t>
            </a:r>
            <a:endParaRPr lang="en-US" altLang="zh-CN">
              <a:solidFill>
                <a:sysClr val="windowText" lastClr="000000"/>
              </a:solidFill>
            </a:endParaRPr>
          </a:p>
          <a:p>
            <a:pPr defTabSz="914400">
              <a:defRPr lang="zh-CN" sz="1400" b="0" i="0" u="none" strike="noStrike" kern="1200" spc="0" baseline="0">
                <a:solidFill>
                  <a:schemeClr val="tx1">
                    <a:lumMod val="65000"/>
                    <a:lumOff val="35000"/>
                  </a:schemeClr>
                </a:solidFill>
                <a:latin typeface="+mn-lt"/>
                <a:ea typeface="+mn-ea"/>
                <a:cs typeface="+mn-cs"/>
              </a:defRPr>
            </a:pPr>
            <a:r>
              <a:rPr altLang="en-US">
                <a:solidFill>
                  <a:sysClr val="windowText" lastClr="000000"/>
                </a:solidFill>
              </a:rPr>
              <a:t>（单位：万元）</a:t>
            </a:r>
            <a:endParaRPr altLang="en-US">
              <a:solidFill>
                <a:sysClr val="windowText" lastClr="000000"/>
              </a:solidFill>
            </a:endParaRPr>
          </a:p>
        </c:rich>
      </c:tx>
      <c:layout>
        <c:manualLayout>
          <c:xMode val="edge"/>
          <c:yMode val="edge"/>
          <c:x val="0.119125"/>
          <c:y val="0.0153333333333333"/>
        </c:manualLayout>
      </c:layout>
      <c:overlay val="false"/>
      <c:spPr>
        <a:noFill/>
        <a:ln>
          <a:noFill/>
        </a:ln>
        <a:effectLst/>
      </c:spPr>
    </c:title>
    <c:autoTitleDeleted val="false"/>
    <c:plotArea>
      <c:layout/>
      <c:barChart>
        <c:barDir val="col"/>
        <c:grouping val="clustered"/>
        <c:varyColors val="false"/>
        <c:ser>
          <c:idx val="0"/>
          <c:order val="0"/>
          <c:tx>
            <c:strRef>
              <c:f>Sheet1!$B$1</c:f>
              <c:strCache>
                <c:ptCount val="1"/>
                <c:pt idx="0">
                  <c:v/>
                </c:pt>
              </c:strCache>
            </c:strRef>
          </c:tx>
          <c:spPr>
            <a:solidFill>
              <a:schemeClr val="accent1"/>
            </a:solidFill>
            <a:ln>
              <a:noFill/>
            </a:ln>
            <a:effectLst/>
          </c:spPr>
          <c:invertIfNegative val="false"/>
          <c:dLbls>
            <c:dLbl>
              <c:idx val="0"/>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2</a:t>
                    </a:r>
                    <a:r>
                      <a:rPr lang="en-US" altLang="zh-CN"/>
                      <a:t>,</a:t>
                    </a:r>
                    <a:r>
                      <a:t>076.57</a:t>
                    </a:r>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16</a:t>
                    </a:r>
                    <a:r>
                      <a:rPr lang="en-US" altLang="zh-CN"/>
                      <a:t>,</a:t>
                    </a:r>
                    <a:r>
                      <a:t>212.46</a:t>
                    </a:r>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2076.57</c:v>
                </c:pt>
                <c:pt idx="1">
                  <c:v>16212.46</c:v>
                </c:pt>
              </c:numCache>
            </c:numRef>
          </c:val>
        </c:ser>
        <c:dLbls>
          <c:showLegendKey val="false"/>
          <c:showVal val="true"/>
          <c:showCatName val="false"/>
          <c:showSerName val="false"/>
          <c:showPercent val="false"/>
          <c:showBubbleSize val="false"/>
        </c:dLbls>
        <c:gapWidth val="219"/>
        <c:overlap val="-27"/>
        <c:axId val="38971132"/>
        <c:axId val="839704346"/>
      </c:barChart>
      <c:catAx>
        <c:axId val="38971132"/>
        <c:scaling>
          <c:orientation val="minMax"/>
        </c:scaling>
        <c:delete val="false"/>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839704346"/>
        <c:crosses val="autoZero"/>
        <c:auto val="true"/>
        <c:lblAlgn val="ctr"/>
        <c:lblOffset val="100"/>
        <c:noMultiLvlLbl val="false"/>
      </c:catAx>
      <c:valAx>
        <c:axId val="839704346"/>
        <c:scaling>
          <c:orientation val="minMax"/>
        </c:scaling>
        <c:delete val="false"/>
        <c:axPos val="l"/>
        <c:majorGridlines>
          <c:spPr>
            <a:ln w="9525" cap="flat" cmpd="sng" algn="ctr">
              <a:solidFill>
                <a:schemeClr val="tx1">
                  <a:lumMod val="15000"/>
                  <a:lumOff val="85000"/>
                </a:schemeClr>
              </a:solidFill>
              <a:round/>
            </a:ln>
            <a:effectLst/>
          </c:spPr>
        </c:majorGridlines>
        <c:numFmt formatCode="General" sourceLinked="true"/>
        <c:majorTickMark val="none"/>
        <c:minorTickMark val="none"/>
        <c:tickLblPos val="nextTo"/>
        <c:spPr>
          <a:noFill/>
          <a:ln>
            <a:noFill/>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38971132"/>
        <c:crosses val="autoZero"/>
        <c:crossBetween val="between"/>
      </c:valAx>
      <c:spPr>
        <a:noFill/>
        <a:ln>
          <a:noFill/>
        </a:ln>
        <a:effectLst/>
      </c:spPr>
    </c:plotArea>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 </a:t>
            </a:r>
            <a:r>
              <a:rPr>
                <a:solidFill>
                  <a:sysClr val="windowText" lastClr="000000"/>
                </a:solidFill>
              </a:rPr>
              <a:t>一般公共预算财政拨款支出决算结构图</a:t>
            </a:r>
            <a:r>
              <a:rPr lang="en-US" altLang="zh-CN">
                <a:solidFill>
                  <a:sysClr val="windowText" lastClr="000000"/>
                </a:solidFill>
              </a:rPr>
              <a:t> </a:t>
            </a:r>
            <a:endParaRPr lang="en-US" altLang="zh-CN">
              <a:solidFill>
                <a:sysClr val="windowText" lastClr="000000"/>
              </a:solidFill>
            </a:endParaRPr>
          </a:p>
          <a:p>
            <a:pPr defTabSz="914400">
              <a:defRPr lang="zh-CN" sz="1400" b="0" i="0" u="none" strike="noStrike" kern="1200" spc="0" baseline="0">
                <a:solidFill>
                  <a:schemeClr val="tx1">
                    <a:lumMod val="65000"/>
                    <a:lumOff val="35000"/>
                  </a:schemeClr>
                </a:solidFill>
                <a:latin typeface="+mn-lt"/>
                <a:ea typeface="+mn-ea"/>
                <a:cs typeface="+mn-cs"/>
              </a:defRPr>
            </a:pPr>
            <a:r>
              <a:rPr altLang="en-US">
                <a:solidFill>
                  <a:sysClr val="windowText" lastClr="000000"/>
                </a:solidFill>
              </a:rPr>
              <a:t>（单位：万元）</a:t>
            </a:r>
            <a:endParaRPr altLang="en-US">
              <a:solidFill>
                <a:sysClr val="windowText" lastClr="000000"/>
              </a:solidFill>
            </a:endParaRPr>
          </a:p>
        </c:rich>
      </c:tx>
      <c:layout/>
      <c:overlay val="false"/>
      <c:spPr>
        <a:noFill/>
        <a:ln>
          <a:noFill/>
        </a:ln>
        <a:effectLst/>
      </c:spPr>
    </c:title>
    <c:autoTitleDeleted val="false"/>
    <c:plotArea>
      <c:layout/>
      <c:pieChart>
        <c:varyColors val="true"/>
        <c:ser>
          <c:idx val="0"/>
          <c:order val="0"/>
          <c:tx>
            <c:strRef>
              <c:f>Sheet1!$B$1</c:f>
              <c:strCache>
                <c:ptCount val="1"/>
                <c:pt idx="0">
                  <c:v/>
                </c:pt>
              </c:strCache>
            </c:strRef>
          </c:tx>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Lbls>
            <c:dLbl>
              <c:idx val="0"/>
              <c:layout>
                <c:manualLayout>
                  <c:x val="-0.0670637962808538"/>
                  <c:y val="-0.321463182653109"/>
                </c:manualLayout>
              </c:layout>
              <c:dLblPos val="bestFit"/>
              <c:showLegendKey val="false"/>
              <c:showVal val="true"/>
              <c:showCatName val="false"/>
              <c:showSerName val="false"/>
              <c:showPercent val="true"/>
              <c:showBubbleSize val="false"/>
              <c:extLst>
                <c:ext xmlns:c15="http://schemas.microsoft.com/office/drawing/2012/chart" uri="{CE6537A1-D6FC-4f65-9D91-7224C49458BB}">
                  <c15:layout/>
                </c:ext>
              </c:extLst>
            </c:dLbl>
            <c:dLbl>
              <c:idx val="1"/>
              <c:layout>
                <c:manualLayout>
                  <c:x val="0.0661410840620005"/>
                  <c:y val="0.0640251149738066"/>
                </c:manualLayout>
              </c:layout>
              <c:dLblPos val="bestFit"/>
              <c:showLegendKey val="false"/>
              <c:showVal val="true"/>
              <c:showCatName val="false"/>
              <c:showSerName val="false"/>
              <c:showPercent val="true"/>
              <c:showBubbleSize val="false"/>
              <c:extLst>
                <c:ext xmlns:c15="http://schemas.microsoft.com/office/drawing/2012/chart" uri="{CE6537A1-D6FC-4f65-9D91-7224C49458BB}">
                  <c15:layout/>
                </c:ext>
              </c:extLst>
            </c:dLbl>
            <c:dLbl>
              <c:idx val="2"/>
              <c:layout>
                <c:manualLayout>
                  <c:x val="0.00881355066393996"/>
                  <c:y val="0.207991613691283"/>
                </c:manualLayout>
              </c:layout>
              <c:dLblPos val="bestFit"/>
              <c:showLegendKey val="false"/>
              <c:showVal val="true"/>
              <c:showCatName val="false"/>
              <c:showSerName val="false"/>
              <c:showPercent val="true"/>
              <c:showBubbleSize val="false"/>
              <c:extLst>
                <c:ext xmlns:c15="http://schemas.microsoft.com/office/drawing/2012/chart" uri="{CE6537A1-D6FC-4f65-9D91-7224C49458BB}">
                  <c15:layout/>
                </c:ext>
              </c:extLst>
            </c:dLbl>
            <c:dLbl>
              <c:idx val="3"/>
              <c:layout>
                <c:manualLayout>
                  <c:x val="-0.278847667556333"/>
                  <c:y val="-0.107662054916807"/>
                </c:manualLayout>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15</a:t>
                    </a:r>
                    <a:r>
                      <a:rPr lang="en-US" altLang="zh-CN"/>
                      <a:t>,</a:t>
                    </a:r>
                    <a:r>
                      <a:t>533.36, 95.81%</a:t>
                    </a:r>
                  </a:p>
                </c:rich>
              </c:tx>
              <c:dLblPos val="bestFit"/>
              <c:showLegendKey val="false"/>
              <c:showVal val="true"/>
              <c:showCatName val="false"/>
              <c:showSerName val="false"/>
              <c:showPercent val="true"/>
              <c:showBubbleSize val="false"/>
              <c:extLst>
                <c:ext xmlns:c15="http://schemas.microsoft.com/office/drawing/2012/chart" uri="{CE6537A1-D6FC-4f65-9D91-7224C49458BB}">
                  <c15:layout/>
                </c:ext>
              </c:extLst>
            </c:dLbl>
            <c:dLbl>
              <c:idx val="4"/>
              <c:layout>
                <c:manualLayout>
                  <c:x val="0.0505469020170332"/>
                  <c:y val="-0.0396300159585866"/>
                </c:manualLayout>
              </c:layout>
              <c:dLblPos val="bestFit"/>
              <c:showLegendKey val="false"/>
              <c:showVal val="true"/>
              <c:showCatName val="false"/>
              <c:showSerName val="false"/>
              <c:showPercent val="true"/>
              <c:showBubbleSize val="false"/>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Sheet1!$A$2:$A$6</c:f>
              <c:strCache>
                <c:ptCount val="5"/>
                <c:pt idx="0">
                  <c:v>一般公共服务支出</c:v>
                </c:pt>
                <c:pt idx="1">
                  <c:v>社会保障和就业支出</c:v>
                </c:pt>
                <c:pt idx="2">
                  <c:v>卫生健康支出</c:v>
                </c:pt>
                <c:pt idx="3">
                  <c:v>城乡社区支出</c:v>
                </c:pt>
                <c:pt idx="4">
                  <c:v>住房保障支出</c:v>
                </c:pt>
              </c:strCache>
            </c:strRef>
          </c:cat>
          <c:val>
            <c:numRef>
              <c:f>Sheet1!$B$2:$B$6</c:f>
              <c:numCache>
                <c:formatCode>General</c:formatCode>
                <c:ptCount val="5"/>
                <c:pt idx="0">
                  <c:v>15.87</c:v>
                </c:pt>
                <c:pt idx="1">
                  <c:v>532.09</c:v>
                </c:pt>
                <c:pt idx="2">
                  <c:v>59.37</c:v>
                </c:pt>
                <c:pt idx="3">
                  <c:v>15533.36</c:v>
                </c:pt>
                <c:pt idx="4">
                  <c:v>71.77</c:v>
                </c:pt>
              </c:numCache>
            </c:numRef>
          </c:val>
        </c:ser>
        <c:dLbls>
          <c:showLegendKey val="false"/>
          <c:showVal val="true"/>
          <c:showCatName val="false"/>
          <c:showSerName val="false"/>
          <c:showPercent val="false"/>
          <c:showBubbleSize val="false"/>
          <c:showLeaderLines val="true"/>
        </c:dLbls>
        <c:firstSliceAng val="9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rPr>
                <a:solidFill>
                  <a:sysClr val="windowText" lastClr="000000"/>
                </a:solidFill>
              </a:rPr>
              <a:t> 财政拨款“三公”经费支出结构图</a:t>
            </a:r>
            <a:r>
              <a:rPr lang="en-US" altLang="zh-CN">
                <a:solidFill>
                  <a:sysClr val="windowText" lastClr="000000"/>
                </a:solidFill>
              </a:rPr>
              <a:t> </a:t>
            </a:r>
            <a:r>
              <a:rPr altLang="en-US">
                <a:solidFill>
                  <a:sysClr val="windowText" lastClr="000000"/>
                </a:solidFill>
              </a:rPr>
              <a:t>（单位：元）</a:t>
            </a:r>
            <a:endParaRPr altLang="en-US">
              <a:solidFill>
                <a:sysClr val="windowText" lastClr="000000"/>
              </a:solidFill>
            </a:endParaRPr>
          </a:p>
        </c:rich>
      </c:tx>
      <c:layout/>
      <c:overlay val="false"/>
      <c:spPr>
        <a:noFill/>
        <a:ln>
          <a:noFill/>
        </a:ln>
        <a:effectLst/>
      </c:spPr>
    </c:title>
    <c:autoTitleDeleted val="false"/>
    <c:plotArea>
      <c:layout/>
      <c:pieChart>
        <c:varyColors val="true"/>
        <c:ser>
          <c:idx val="0"/>
          <c:order val="0"/>
          <c:tx>
            <c:strRef>
              <c:f>Sheet1!$B$1</c:f>
              <c:strCache>
                <c:ptCount val="1"/>
                <c:pt idx="0">
                  <c:v/>
                </c:pt>
              </c:strCache>
            </c:strRef>
          </c:tx>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dLbl>
              <c:idx val="0"/>
              <c:layout>
                <c:manualLayout>
                  <c:x val="0.13708365307924"/>
                  <c:y val="-0.0407618647583467"/>
                </c:manualLayout>
              </c:layout>
              <c:dLblPos val="bestFit"/>
              <c:showLegendKey val="false"/>
              <c:showVal val="true"/>
              <c:showCatName val="false"/>
              <c:showSerName val="false"/>
              <c:showPercent val="true"/>
              <c:showBubbleSize val="false"/>
              <c:extLst>
                <c:ext xmlns:c15="http://schemas.microsoft.com/office/drawing/2012/chart" uri="{CE6537A1-D6FC-4f65-9D91-7224C49458BB}">
                  <c15:layout/>
                </c:ext>
              </c:extLst>
            </c:dLbl>
            <c:dLbl>
              <c:idx val="1"/>
              <c:layout>
                <c:manualLayout>
                  <c:x val="0.0720346423615455"/>
                  <c:y val="-0.125238131051899"/>
                </c:manualLayout>
              </c:layout>
              <c:dLblPos val="bestFit"/>
              <c:showLegendKey val="false"/>
              <c:showVal val="true"/>
              <c:showCatName val="false"/>
              <c:showSerName val="false"/>
              <c:showPercent val="true"/>
              <c:showBubbleSize val="false"/>
              <c:extLst>
                <c:ext xmlns:c15="http://schemas.microsoft.com/office/drawing/2012/chart" uri="{CE6537A1-D6FC-4f65-9D91-7224C49458BB}">
                  <c15:layout/>
                </c:ext>
              </c:extLst>
            </c:dLbl>
            <c:numFmt formatCode="0.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false"/>
            <c:showVal val="true"/>
            <c:showCatName val="fals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Sheet1!$A$2:$A$3</c:f>
              <c:strCache>
                <c:ptCount val="2"/>
                <c:pt idx="0">
                  <c:v>公务用车购置及运行维护费</c:v>
                </c:pt>
                <c:pt idx="1">
                  <c:v>公务接待费</c:v>
                </c:pt>
              </c:strCache>
            </c:strRef>
          </c:cat>
          <c:val>
            <c:numRef>
              <c:f>Sheet1!$B$2:$B$3</c:f>
              <c:numCache>
                <c:formatCode>General</c:formatCode>
                <c:ptCount val="2"/>
                <c:pt idx="0">
                  <c:v>6.8</c:v>
                </c:pt>
                <c:pt idx="1">
                  <c:v>2.61</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r"/>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13aaea09-bcd4-4eaa-8718-a21b16030c41}"/>
        <w:style w:val=""/>
        <w:category>
          <w:name w:val="常规"/>
          <w:gallery w:val="placeholder"/>
        </w:category>
        <w:types>
          <w:type w:val="bbPlcHdr"/>
        </w:types>
        <w:behaviors>
          <w:behavior w:val="content"/>
        </w:behaviors>
        <w:description w:val=""/>
        <w:guid w:val="{13aaea09-bcd4-4eaa-8718-a21b16030c41}"/>
      </w:docPartPr>
      <w:docPartBody>
        <w:p>
          <w:r>
            <w:rPr>
              <w:color w:val="808080"/>
            </w:rPr>
            <w:t>单击此处输入文字。</w:t>
          </w:r>
        </w:p>
      </w:docPartBody>
    </w:docPart>
    <w:docPart>
      <w:docPartPr>
        <w:name w:val="{40d3816d-6fde-45a1-bc7e-944b733e5871}"/>
        <w:style w:val=""/>
        <w:category>
          <w:name w:val="常规"/>
          <w:gallery w:val="placeholder"/>
        </w:category>
        <w:types>
          <w:type w:val="bbPlcHdr"/>
        </w:types>
        <w:behaviors>
          <w:behavior w:val="content"/>
        </w:behaviors>
        <w:description w:val=""/>
        <w:guid w:val="{40d3816d-6fde-45a1-bc7e-944b733e5871}"/>
      </w:docPartPr>
      <w:docPartBody>
        <w:p>
          <w:r>
            <w:rPr>
              <w:color w:val="808080"/>
            </w:rPr>
            <w:t>单击此处输入文字。</w:t>
          </w:r>
        </w:p>
      </w:docPartBody>
    </w:docPart>
    <w:docPart>
      <w:docPartPr>
        <w:name w:val="{ce6739b5-8d54-4f1d-a7be-8164e5d54484}"/>
        <w:style w:val=""/>
        <w:category>
          <w:name w:val="常规"/>
          <w:gallery w:val="placeholder"/>
        </w:category>
        <w:types>
          <w:type w:val="bbPlcHdr"/>
        </w:types>
        <w:behaviors>
          <w:behavior w:val="content"/>
        </w:behaviors>
        <w:description w:val=""/>
        <w:guid w:val="{ce6739b5-8d54-4f1d-a7be-8164e5d54484}"/>
      </w:docPartPr>
      <w:docPartBody>
        <w:p>
          <w:r>
            <w:rPr>
              <w:color w:val="808080"/>
            </w:rPr>
            <w:t>单击此处输入文字。</w:t>
          </w:r>
        </w:p>
      </w:docPartBody>
    </w:docPart>
    <w:docPart>
      <w:docPartPr>
        <w:name w:val="{0bee29c9-afdd-4824-a35f-209fe40c5352}"/>
        <w:style w:val=""/>
        <w:category>
          <w:name w:val="常规"/>
          <w:gallery w:val="placeholder"/>
        </w:category>
        <w:types>
          <w:type w:val="bbPlcHdr"/>
        </w:types>
        <w:behaviors>
          <w:behavior w:val="content"/>
        </w:behaviors>
        <w:description w:val=""/>
        <w:guid w:val="{0bee29c9-afdd-4824-a35f-209fe40c5352}"/>
      </w:docPartPr>
      <w:docPartBody>
        <w:p>
          <w:r>
            <w:rPr>
              <w:color w:val="808080"/>
            </w:rPr>
            <w:t>单击此处输入文字。</w:t>
          </w:r>
        </w:p>
      </w:docPartBody>
    </w:docPart>
    <w:docPart>
      <w:docPartPr>
        <w:name w:val="{ba5d44bf-956c-4279-bdea-857457d2d814}"/>
        <w:style w:val=""/>
        <w:category>
          <w:name w:val="常规"/>
          <w:gallery w:val="placeholder"/>
        </w:category>
        <w:types>
          <w:type w:val="bbPlcHdr"/>
        </w:types>
        <w:behaviors>
          <w:behavior w:val="content"/>
        </w:behaviors>
        <w:description w:val=""/>
        <w:guid w:val="{ba5d44bf-956c-4279-bdea-857457d2d814}"/>
      </w:docPartPr>
      <w:docPartBody>
        <w:p>
          <w:r>
            <w:rPr>
              <w:color w:val="808080"/>
            </w:rPr>
            <w:t>单击此处输入文字。</w:t>
          </w:r>
        </w:p>
      </w:docPartBody>
    </w:docPart>
    <w:docPart>
      <w:docPartPr>
        <w:name w:val="{5c74f5d5-3d6d-4949-9625-5848ae1d2903}"/>
        <w:style w:val=""/>
        <w:category>
          <w:name w:val="常规"/>
          <w:gallery w:val="placeholder"/>
        </w:category>
        <w:types>
          <w:type w:val="bbPlcHdr"/>
        </w:types>
        <w:behaviors>
          <w:behavior w:val="content"/>
        </w:behaviors>
        <w:description w:val=""/>
        <w:guid w:val="{5c74f5d5-3d6d-4949-9625-5848ae1d2903}"/>
      </w:docPartPr>
      <w:docPartBody>
        <w:p>
          <w:r>
            <w:rPr>
              <w:color w:val="808080"/>
            </w:rPr>
            <w:t>单击此处输入文字。</w:t>
          </w:r>
        </w:p>
      </w:docPartBody>
    </w:docPart>
    <w:docPart>
      <w:docPartPr>
        <w:name w:val="{285b3b36-89d2-434e-825c-cacaf39b9f2e}"/>
        <w:style w:val=""/>
        <w:category>
          <w:name w:val="常规"/>
          <w:gallery w:val="placeholder"/>
        </w:category>
        <w:types>
          <w:type w:val="bbPlcHdr"/>
        </w:types>
        <w:behaviors>
          <w:behavior w:val="content"/>
        </w:behaviors>
        <w:description w:val=""/>
        <w:guid w:val="{285b3b36-89d2-434e-825c-cacaf39b9f2e}"/>
      </w:docPartPr>
      <w:docPartBody>
        <w:p>
          <w:r>
            <w:rPr>
              <w:color w:val="808080"/>
            </w:rPr>
            <w:t>单击此处输入文字。</w:t>
          </w:r>
        </w:p>
      </w:docPartBody>
    </w:docPart>
    <w:docPart>
      <w:docPartPr>
        <w:name w:val="{964a0189-fb94-4eaa-9ce8-701a2ef5fdda}"/>
        <w:style w:val=""/>
        <w:category>
          <w:name w:val="常规"/>
          <w:gallery w:val="placeholder"/>
        </w:category>
        <w:types>
          <w:type w:val="bbPlcHdr"/>
        </w:types>
        <w:behaviors>
          <w:behavior w:val="content"/>
        </w:behaviors>
        <w:description w:val=""/>
        <w:guid w:val="{964a0189-fb94-4eaa-9ce8-701a2ef5fdda}"/>
      </w:docPartPr>
      <w:docPartBody>
        <w:p>
          <w:r>
            <w:rPr>
              <w:color w:val="808080"/>
            </w:rPr>
            <w:t>单击此处输入文字。</w:t>
          </w:r>
        </w:p>
      </w:docPartBody>
    </w:docPart>
    <w:docPart>
      <w:docPartPr>
        <w:name w:val="{9077d76c-2d2e-47be-a1f8-d0931ee806dc}"/>
        <w:style w:val=""/>
        <w:category>
          <w:name w:val="常规"/>
          <w:gallery w:val="placeholder"/>
        </w:category>
        <w:types>
          <w:type w:val="bbPlcHdr"/>
        </w:types>
        <w:behaviors>
          <w:behavior w:val="content"/>
        </w:behaviors>
        <w:description w:val=""/>
        <w:guid w:val="{9077d76c-2d2e-47be-a1f8-d0931ee806dc}"/>
      </w:docPartPr>
      <w:docPartBody>
        <w:p>
          <w:r>
            <w:rPr>
              <w:color w:val="808080"/>
            </w:rPr>
            <w:t>单击此处输入文字。</w:t>
          </w:r>
        </w:p>
      </w:docPartBody>
    </w:docPart>
    <w:docPart>
      <w:docPartPr>
        <w:name w:val="{4ef5fbf3-ed9c-4d02-9840-efe05c58226e}"/>
        <w:style w:val=""/>
        <w:category>
          <w:name w:val="常规"/>
          <w:gallery w:val="placeholder"/>
        </w:category>
        <w:types>
          <w:type w:val="bbPlcHdr"/>
        </w:types>
        <w:behaviors>
          <w:behavior w:val="content"/>
        </w:behaviors>
        <w:description w:val=""/>
        <w:guid w:val="{4ef5fbf3-ed9c-4d02-9840-efe05c58226e}"/>
      </w:docPartPr>
      <w:docPartBody>
        <w:p>
          <w:r>
            <w:rPr>
              <w:color w:val="808080"/>
            </w:rPr>
            <w:t>单击此处输入文字。</w:t>
          </w:r>
        </w:p>
      </w:docPartBody>
    </w:docPart>
    <w:docPart>
      <w:docPartPr>
        <w:name w:val="{49faffbf-7fe6-49bf-a846-721bce06bf77}"/>
        <w:style w:val=""/>
        <w:category>
          <w:name w:val="常规"/>
          <w:gallery w:val="placeholder"/>
        </w:category>
        <w:types>
          <w:type w:val="bbPlcHdr"/>
        </w:types>
        <w:behaviors>
          <w:behavior w:val="content"/>
        </w:behaviors>
        <w:description w:val=""/>
        <w:guid w:val="{49faffbf-7fe6-49bf-a846-721bce06bf77}"/>
      </w:docPartPr>
      <w:docPartBody>
        <w:p>
          <w:r>
            <w:rPr>
              <w:color w:val="808080"/>
            </w:rPr>
            <w:t>单击此处输入文字。</w:t>
          </w:r>
        </w:p>
      </w:docPartBody>
    </w:docPart>
    <w:docPart>
      <w:docPartPr>
        <w:name w:val="{5e2115fc-d451-4543-b8e7-cb8a93ed32b4}"/>
        <w:style w:val=""/>
        <w:category>
          <w:name w:val="常规"/>
          <w:gallery w:val="placeholder"/>
        </w:category>
        <w:types>
          <w:type w:val="bbPlcHdr"/>
        </w:types>
        <w:behaviors>
          <w:behavior w:val="content"/>
        </w:behaviors>
        <w:description w:val=""/>
        <w:guid w:val="{5e2115fc-d451-4543-b8e7-cb8a93ed32b4}"/>
      </w:docPartPr>
      <w:docPartBody>
        <w:p>
          <w:r>
            <w:rPr>
              <w:color w:val="808080"/>
            </w:rPr>
            <w:t>单击此处输入文字。</w:t>
          </w:r>
        </w:p>
      </w:docPartBody>
    </w:docPart>
    <w:docPart>
      <w:docPartPr>
        <w:name w:val="{276f4c0b-aa12-42ae-b8d5-36eba0045f16}"/>
        <w:style w:val=""/>
        <w:category>
          <w:name w:val="常规"/>
          <w:gallery w:val="placeholder"/>
        </w:category>
        <w:types>
          <w:type w:val="bbPlcHdr"/>
        </w:types>
        <w:behaviors>
          <w:behavior w:val="content"/>
        </w:behaviors>
        <w:description w:val=""/>
        <w:guid w:val="{276f4c0b-aa12-42ae-b8d5-36eba0045f16}"/>
      </w:docPartPr>
      <w:docPartBody>
        <w:p>
          <w:r>
            <w:rPr>
              <w:color w:val="808080"/>
            </w:rPr>
            <w:t>单击此处输入文字。</w:t>
          </w:r>
        </w:p>
      </w:docPartBody>
    </w:docPart>
    <w:docPart>
      <w:docPartPr>
        <w:name w:val="{6c2b3b3b-ac9c-4429-81d8-9ea9d19c754d}"/>
        <w:style w:val=""/>
        <w:category>
          <w:name w:val="常规"/>
          <w:gallery w:val="placeholder"/>
        </w:category>
        <w:types>
          <w:type w:val="bbPlcHdr"/>
        </w:types>
        <w:behaviors>
          <w:behavior w:val="content"/>
        </w:behaviors>
        <w:description w:val=""/>
        <w:guid w:val="{6c2b3b3b-ac9c-4429-81d8-9ea9d19c754d}"/>
      </w:docPartPr>
      <w:docPartBody>
        <w:p>
          <w:r>
            <w:rPr>
              <w:color w:val="808080"/>
            </w:rPr>
            <w:t>单击此处输入文字。</w:t>
          </w:r>
        </w:p>
      </w:docPartBody>
    </w:docPart>
    <w:docPart>
      <w:docPartPr>
        <w:name w:val="{96856a36-ce61-45c5-96a8-7997271c813c}"/>
        <w:style w:val=""/>
        <w:category>
          <w:name w:val="常规"/>
          <w:gallery w:val="placeholder"/>
        </w:category>
        <w:types>
          <w:type w:val="bbPlcHdr"/>
        </w:types>
        <w:behaviors>
          <w:behavior w:val="content"/>
        </w:behaviors>
        <w:description w:val=""/>
        <w:guid w:val="{96856a36-ce61-45c5-96a8-7997271c813c}"/>
      </w:docPartPr>
      <w:docPartBody>
        <w:p>
          <w:r>
            <w:rPr>
              <w:color w:val="808080"/>
            </w:rPr>
            <w:t>单击此处输入文字。</w:t>
          </w:r>
        </w:p>
      </w:docPartBody>
    </w:docPart>
    <w:docPart>
      <w:docPartPr>
        <w:name w:val="{766f1879-e341-47ec-aef3-7e6d3670cfec}"/>
        <w:style w:val=""/>
        <w:category>
          <w:name w:val="常规"/>
          <w:gallery w:val="placeholder"/>
        </w:category>
        <w:types>
          <w:type w:val="bbPlcHdr"/>
        </w:types>
        <w:behaviors>
          <w:behavior w:val="content"/>
        </w:behaviors>
        <w:description w:val=""/>
        <w:guid w:val="{766f1879-e341-47ec-aef3-7e6d3670cfec}"/>
      </w:docPartPr>
      <w:docPartBody>
        <w:p>
          <w:r>
            <w:rPr>
              <w:color w:val="808080"/>
            </w:rPr>
            <w:t>单击此处输入文字。</w:t>
          </w:r>
        </w:p>
      </w:docPartBody>
    </w:docPart>
    <w:docPart>
      <w:docPartPr>
        <w:name w:val="{a71e2ce5-6c39-4c96-857b-c829cd7a1ecc}"/>
        <w:style w:val=""/>
        <w:category>
          <w:name w:val="常规"/>
          <w:gallery w:val="placeholder"/>
        </w:category>
        <w:types>
          <w:type w:val="bbPlcHdr"/>
        </w:types>
        <w:behaviors>
          <w:behavior w:val="content"/>
        </w:behaviors>
        <w:description w:val=""/>
        <w:guid w:val="{a71e2ce5-6c39-4c96-857b-c829cd7a1ecc}"/>
      </w:docPartPr>
      <w:docPartBody>
        <w:p>
          <w:r>
            <w:rPr>
              <w:color w:val="808080"/>
            </w:rPr>
            <w:t>单击此处输入文字。</w:t>
          </w:r>
        </w:p>
      </w:docPartBody>
    </w:docPart>
    <w:docPart>
      <w:docPartPr>
        <w:name w:val="{10eac57b-2e41-4dc9-927c-c9bc14b4cfa3}"/>
        <w:style w:val=""/>
        <w:category>
          <w:name w:val="常规"/>
          <w:gallery w:val="placeholder"/>
        </w:category>
        <w:types>
          <w:type w:val="bbPlcHdr"/>
        </w:types>
        <w:behaviors>
          <w:behavior w:val="content"/>
        </w:behaviors>
        <w:description w:val=""/>
        <w:guid w:val="{10eac57b-2e41-4dc9-927c-c9bc14b4cfa3}"/>
      </w:docPartPr>
      <w:docPartBody>
        <w:p>
          <w:r>
            <w:rPr>
              <w:color w:val="808080"/>
            </w:rPr>
            <w:t>单击此处输入文字。</w:t>
          </w:r>
        </w:p>
      </w:docPartBody>
    </w:docPart>
    <w:docPart>
      <w:docPartPr>
        <w:name w:val="{d1a89e36-978f-4261-9a88-d9ed51e6daa1}"/>
        <w:style w:val=""/>
        <w:category>
          <w:name w:val="常规"/>
          <w:gallery w:val="placeholder"/>
        </w:category>
        <w:types>
          <w:type w:val="bbPlcHdr"/>
        </w:types>
        <w:behaviors>
          <w:behavior w:val="content"/>
        </w:behaviors>
        <w:description w:val=""/>
        <w:guid w:val="{d1a89e36-978f-4261-9a88-d9ed51e6daa1}"/>
      </w:docPartPr>
      <w:docPartBody>
        <w:p>
          <w:r>
            <w:rPr>
              <w:color w:val="808080"/>
            </w:rPr>
            <w:t>单击此处输入文字。</w:t>
          </w:r>
        </w:p>
      </w:docPartBody>
    </w:docPart>
    <w:docPart>
      <w:docPartPr>
        <w:name w:val="{ff5c61d0-cf68-4748-ba32-339c94286800}"/>
        <w:style w:val=""/>
        <w:category>
          <w:name w:val="常规"/>
          <w:gallery w:val="placeholder"/>
        </w:category>
        <w:types>
          <w:type w:val="bbPlcHdr"/>
        </w:types>
        <w:behaviors>
          <w:behavior w:val="content"/>
        </w:behaviors>
        <w:description w:val=""/>
        <w:guid w:val="{ff5c61d0-cf68-4748-ba32-339c94286800}"/>
      </w:docPartPr>
      <w:docPartBody>
        <w:p>
          <w:r>
            <w:rPr>
              <w:color w:val="808080"/>
            </w:rPr>
            <w:t>单击此处输入文字。</w:t>
          </w:r>
        </w:p>
      </w:docPartBody>
    </w:docPart>
    <w:docPart>
      <w:docPartPr>
        <w:name w:val="{4bcd951a-7e46-4dfe-8be4-c2f4540e6fbf}"/>
        <w:style w:val=""/>
        <w:category>
          <w:name w:val="常规"/>
          <w:gallery w:val="placeholder"/>
        </w:category>
        <w:types>
          <w:type w:val="bbPlcHdr"/>
        </w:types>
        <w:behaviors>
          <w:behavior w:val="content"/>
        </w:behaviors>
        <w:description w:val=""/>
        <w:guid w:val="{4bcd951a-7e46-4dfe-8be4-c2f4540e6fbf}"/>
      </w:docPartPr>
      <w:docPartBody>
        <w:p>
          <w:r>
            <w:rPr>
              <w:color w:val="808080"/>
            </w:rPr>
            <w:t>单击此处输入文字。</w:t>
          </w:r>
        </w:p>
      </w:docPartBody>
    </w:docPart>
    <w:docPart>
      <w:docPartPr>
        <w:name w:val="{8b08ed59-006f-42af-babf-0d381b6210d9}"/>
        <w:style w:val=""/>
        <w:category>
          <w:name w:val="常规"/>
          <w:gallery w:val="placeholder"/>
        </w:category>
        <w:types>
          <w:type w:val="bbPlcHdr"/>
        </w:types>
        <w:behaviors>
          <w:behavior w:val="content"/>
        </w:behaviors>
        <w:description w:val=""/>
        <w:guid w:val="{8b08ed59-006f-42af-babf-0d381b6210d9}"/>
      </w:docPartPr>
      <w:docPartBody>
        <w:p>
          <w:r>
            <w:rPr>
              <w:color w:val="808080"/>
            </w:rPr>
            <w:t>单击此处输入文字。</w:t>
          </w:r>
        </w:p>
      </w:docPartBody>
    </w:docPart>
    <w:docPart>
      <w:docPartPr>
        <w:name w:val="{cd3255e8-326f-4354-8dd9-91f96ed40e2b}"/>
        <w:style w:val=""/>
        <w:category>
          <w:name w:val="常规"/>
          <w:gallery w:val="placeholder"/>
        </w:category>
        <w:types>
          <w:type w:val="bbPlcHdr"/>
        </w:types>
        <w:behaviors>
          <w:behavior w:val="content"/>
        </w:behaviors>
        <w:description w:val=""/>
        <w:guid w:val="{cd3255e8-326f-4354-8dd9-91f96ed40e2b}"/>
      </w:docPartPr>
      <w:docPartBody>
        <w:p>
          <w:r>
            <w:rPr>
              <w:color w:val="808080"/>
            </w:rPr>
            <w:t>单击此处输入文字。</w:t>
          </w:r>
        </w:p>
      </w:docPartBody>
    </w:docPart>
    <w:docPart>
      <w:docPartPr>
        <w:name w:val="{ac794f12-521e-4e10-844f-6f0c28b09969}"/>
        <w:style w:val=""/>
        <w:category>
          <w:name w:val="常规"/>
          <w:gallery w:val="placeholder"/>
        </w:category>
        <w:types>
          <w:type w:val="bbPlcHdr"/>
        </w:types>
        <w:behaviors>
          <w:behavior w:val="content"/>
        </w:behaviors>
        <w:description w:val=""/>
        <w:guid w:val="{ac794f12-521e-4e10-844f-6f0c28b09969}"/>
      </w:docPartPr>
      <w:docPartBody>
        <w:p>
          <w:r>
            <w:rPr>
              <w:color w:val="808080"/>
            </w:rPr>
            <w:t>单击此处输入文字。</w:t>
          </w:r>
        </w:p>
      </w:docPartBody>
    </w:docPart>
    <w:docPart>
      <w:docPartPr>
        <w:name w:val="{2c6a8fd0-4b54-497b-9ba6-3d529797f244}"/>
        <w:style w:val=""/>
        <w:category>
          <w:name w:val="常规"/>
          <w:gallery w:val="placeholder"/>
        </w:category>
        <w:types>
          <w:type w:val="bbPlcHdr"/>
        </w:types>
        <w:behaviors>
          <w:behavior w:val="content"/>
        </w:behaviors>
        <w:description w:val=""/>
        <w:guid w:val="{2c6a8fd0-4b54-497b-9ba6-3d529797f244}"/>
      </w:docPartPr>
      <w:docPartBody>
        <w:p>
          <w:r>
            <w:rPr>
              <w:color w:val="808080"/>
            </w:rPr>
            <w:t>单击此处输入文字。</w:t>
          </w:r>
        </w:p>
      </w:docPartBody>
    </w:docPart>
    <w:docPart>
      <w:docPartPr>
        <w:name w:val="{64872f36-190c-4ab2-96d9-36c443a491f0}"/>
        <w:style w:val=""/>
        <w:category>
          <w:name w:val="常规"/>
          <w:gallery w:val="placeholder"/>
        </w:category>
        <w:types>
          <w:type w:val="bbPlcHdr"/>
        </w:types>
        <w:behaviors>
          <w:behavior w:val="content"/>
        </w:behaviors>
        <w:description w:val=""/>
        <w:guid w:val="{64872f36-190c-4ab2-96d9-36c443a491f0}"/>
      </w:docPartPr>
      <w:docPartBody>
        <w:p>
          <w:r>
            <w:rPr>
              <w:color w:val="808080"/>
            </w:rPr>
            <w:t>单击此处输入文字。</w:t>
          </w:r>
        </w:p>
      </w:docPartBody>
    </w:docPart>
    <w:docPart>
      <w:docPartPr>
        <w:name w:val="{71d245b7-ebe9-4c9d-abdc-aa8da828a619}"/>
        <w:style w:val=""/>
        <w:category>
          <w:name w:val="常规"/>
          <w:gallery w:val="placeholder"/>
        </w:category>
        <w:types>
          <w:type w:val="bbPlcHdr"/>
        </w:types>
        <w:behaviors>
          <w:behavior w:val="content"/>
        </w:behaviors>
        <w:description w:val=""/>
        <w:guid w:val="{71d245b7-ebe9-4c9d-abdc-aa8da828a619}"/>
      </w:docPartPr>
      <w:docPartBody>
        <w:p>
          <w:r>
            <w:rPr>
              <w:color w:val="808080"/>
            </w:rPr>
            <w:t>单击此处输入文字。</w:t>
          </w:r>
        </w:p>
      </w:docPartBody>
    </w:docPart>
    <w:docPart>
      <w:docPartPr>
        <w:name w:val="{1e140bdd-345c-4500-bc0b-beef8b6f3c01}"/>
        <w:style w:val=""/>
        <w:category>
          <w:name w:val="常规"/>
          <w:gallery w:val="placeholder"/>
        </w:category>
        <w:types>
          <w:type w:val="bbPlcHdr"/>
        </w:types>
        <w:behaviors>
          <w:behavior w:val="content"/>
        </w:behaviors>
        <w:description w:val=""/>
        <w:guid w:val="{1e140bdd-345c-4500-bc0b-beef8b6f3c01}"/>
      </w:docPartPr>
      <w:docPartBody>
        <w:p>
          <w:r>
            <w:rPr>
              <w:color w:val="808080"/>
            </w:rPr>
            <w:t>单击此处输入文字。</w:t>
          </w:r>
        </w:p>
      </w:docPartBody>
    </w:docPart>
    <w:docPart>
      <w:docPartPr>
        <w:name w:val="{78ab29c7-9846-489e-8a7d-196913fbe3df}"/>
        <w:style w:val=""/>
        <w:category>
          <w:name w:val="常规"/>
          <w:gallery w:val="placeholder"/>
        </w:category>
        <w:types>
          <w:type w:val="bbPlcHdr"/>
        </w:types>
        <w:behaviors>
          <w:behavior w:val="content"/>
        </w:behaviors>
        <w:description w:val=""/>
        <w:guid w:val="{78ab29c7-9846-489e-8a7d-196913fbe3df}"/>
      </w:docPartPr>
      <w:docPartBody>
        <w:p>
          <w:r>
            <w:rPr>
              <w:color w:val="808080"/>
            </w:rPr>
            <w:t>单击此处输入文字。</w:t>
          </w:r>
        </w:p>
      </w:docPartBody>
    </w:docPart>
    <w:docPart>
      <w:docPartPr>
        <w:name w:val="{db9173f7-dc52-4b6e-8823-60c94ea5f12d}"/>
        <w:style w:val=""/>
        <w:category>
          <w:name w:val="常规"/>
          <w:gallery w:val="placeholder"/>
        </w:category>
        <w:types>
          <w:type w:val="bbPlcHdr"/>
        </w:types>
        <w:behaviors>
          <w:behavior w:val="content"/>
        </w:behaviors>
        <w:description w:val=""/>
        <w:guid w:val="{db9173f7-dc52-4b6e-8823-60c94ea5f12d}"/>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Nimbus Roman No9 L">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25</Pages>
  <Words>1334</Words>
  <Characters>7606</Characters>
  <Lines>63</Lines>
  <Paragraphs>17</Paragraphs>
  <TotalTime>3</TotalTime>
  <ScaleCrop>false</ScaleCrop>
  <LinksUpToDate>false</LinksUpToDate>
  <CharactersWithSpaces>8923</CharactersWithSpaces>
  <Application>WPS Office_11.8.2.9864_F1E327BC-269C-435d-A152-05C5408002CA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2020-08-11T17:49:00Z</dcterms:created>
  <dc:creator>曹颖</dc:creator>
  <cp:lastModifiedBy>user</cp:lastModifiedBy>
  <cp:lastPrinted>2026-08-30T00:27:00Z</cp:lastPrinted>
  <dcterms:modified xsi:type="dcterms:W3CDTF">2026-09-15T15:56:53Z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2052-11.8.2.9864</vt:lpwstr>
  </property>
  <property fmtid="{D5CDD505-2E9C-101B-9397-08002B2CF9AE}" pid="3" name="ICV">
    <vt:lpwstr>3BF536824C220DA3E40E8B68BA118B1C_42</vt:lpwstr>
  </property>
</Properties>
</file>