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3"/>
        <w:rPr>
          <w:rFonts w:hint="eastAsia" w:ascii="Times New Roman" w:eastAsia="方正小标宋简体"/>
          <w:kern w:val="2"/>
          <w:sz w:val="72"/>
          <w:szCs w:val="72"/>
        </w:rPr>
      </w:pPr>
      <w:bookmarkStart w:id="0" w:name="_Toc15377193"/>
      <w:bookmarkStart w:id="1" w:name="_Toc15306267"/>
      <w:bookmarkStart w:id="2" w:name="_Toc15378441"/>
      <w:bookmarkStart w:id="3" w:name="_Toc15377425"/>
      <w:bookmarkStart w:id="4" w:name="_Toc15396475"/>
      <w:bookmarkStart w:id="5" w:name="_Toc15396597"/>
    </w:p>
    <w:p>
      <w:pPr>
        <w:pStyle w:val="2"/>
        <w:spacing w:before="93"/>
        <w:rPr>
          <w:rFonts w:hint="eastAsia" w:ascii="Times New Roman" w:eastAsia="方正小标宋简体"/>
          <w:kern w:val="2"/>
          <w:sz w:val="72"/>
          <w:szCs w:val="72"/>
        </w:rPr>
      </w:pPr>
    </w:p>
    <w:p>
      <w:pPr>
        <w:pStyle w:val="2"/>
        <w:spacing w:before="93"/>
        <w:rPr>
          <w:rFonts w:hint="eastAsia" w:ascii="Times New Roman" w:eastAsia="方正小标宋简体"/>
          <w:kern w:val="2"/>
          <w:sz w:val="72"/>
          <w:szCs w:val="72"/>
        </w:rPr>
      </w:pPr>
    </w:p>
    <w:p>
      <w:pPr>
        <w:adjustRightInd w:val="0"/>
        <w:snapToGrid w:val="0"/>
        <w:spacing w:line="400" w:lineRule="exact"/>
        <w:rPr>
          <w:rFonts w:ascii="黑体" w:hAnsi="黑体" w:eastAsia="黑体" w:cs="黑体"/>
          <w:snapToGrid w:val="0"/>
          <w:kern w:val="0"/>
          <w:sz w:val="32"/>
          <w:szCs w:val="32"/>
        </w:rPr>
      </w:pPr>
    </w:p>
    <w:p>
      <w:pPr>
        <w:pStyle w:val="2"/>
        <w:spacing w:before="93"/>
        <w:rPr>
          <w:rFonts w:ascii="Times New Roman" w:eastAsia="方正小标宋简体"/>
          <w:kern w:val="2"/>
          <w:sz w:val="72"/>
          <w:szCs w:val="72"/>
        </w:rPr>
      </w:pPr>
    </w:p>
    <w:p>
      <w:pPr>
        <w:pStyle w:val="2"/>
        <w:spacing w:before="93"/>
        <w:rPr>
          <w:rFonts w:hint="eastAsia" w:ascii="Times New Roman" w:eastAsia="方正小标宋简体"/>
          <w:kern w:val="2"/>
          <w:sz w:val="72"/>
          <w:szCs w:val="72"/>
        </w:rPr>
      </w:pPr>
    </w:p>
    <w:p>
      <w:pPr>
        <w:pStyle w:val="2"/>
        <w:jc w:val="center"/>
        <w:rPr>
          <w:rFonts w:hint="eastAsia" w:asciiTheme="majorEastAsia" w:hAnsiTheme="majorEastAsia" w:eastAsiaTheme="majorEastAsia" w:cstheme="majorEastAsia"/>
          <w:b/>
          <w:bCs/>
          <w:sz w:val="48"/>
          <w:szCs w:val="48"/>
          <w:lang w:val="en-US" w:eastAsia="zh-CN"/>
        </w:rPr>
      </w:pPr>
      <w:r>
        <w:rPr>
          <w:rFonts w:hint="eastAsia" w:asciiTheme="majorEastAsia" w:hAnsiTheme="majorEastAsia" w:eastAsiaTheme="majorEastAsia" w:cstheme="majorEastAsia"/>
          <w:b/>
          <w:bCs/>
          <w:sz w:val="48"/>
          <w:szCs w:val="48"/>
          <w:lang w:val="en-US" w:eastAsia="zh-CN"/>
        </w:rPr>
        <w:t>2025年度</w:t>
      </w:r>
    </w:p>
    <w:p>
      <w:pPr>
        <w:pStyle w:val="2"/>
        <w:jc w:val="center"/>
        <w:rPr>
          <w:rFonts w:hint="eastAsia"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lang w:eastAsia="zh-CN"/>
        </w:rPr>
        <w:t>四川省</w:t>
      </w:r>
      <w:r>
        <w:rPr>
          <w:rFonts w:hint="eastAsia" w:asciiTheme="majorEastAsia" w:hAnsiTheme="majorEastAsia" w:eastAsiaTheme="majorEastAsia" w:cstheme="majorEastAsia"/>
          <w:b/>
          <w:bCs/>
          <w:sz w:val="48"/>
          <w:szCs w:val="48"/>
        </w:rPr>
        <w:t>攀枝花市城市基本建设档案馆</w:t>
      </w:r>
    </w:p>
    <w:p>
      <w:pPr>
        <w:pStyle w:val="2"/>
        <w:jc w:val="center"/>
        <w:rPr>
          <w:rFonts w:hint="eastAsia" w:asciiTheme="majorEastAsia" w:hAnsiTheme="majorEastAsia" w:eastAsiaTheme="majorEastAsia" w:cstheme="majorEastAsia"/>
          <w:b/>
          <w:bCs/>
          <w:sz w:val="48"/>
          <w:szCs w:val="48"/>
          <w:lang w:val="en-US" w:eastAsia="zh-CN"/>
        </w:rPr>
      </w:pPr>
      <w:r>
        <w:rPr>
          <w:rFonts w:hint="eastAsia" w:asciiTheme="majorEastAsia" w:hAnsiTheme="majorEastAsia" w:eastAsiaTheme="majorEastAsia" w:cstheme="majorEastAsia"/>
          <w:b/>
          <w:bCs/>
          <w:sz w:val="48"/>
          <w:szCs w:val="48"/>
          <w:lang w:val="en-US" w:eastAsia="zh-CN"/>
        </w:rPr>
        <w:t>单位决算</w:t>
      </w:r>
    </w:p>
    <w:p>
      <w:pPr>
        <w:spacing w:line="600" w:lineRule="exact"/>
        <w:jc w:val="center"/>
        <w:outlineLvl w:val="0"/>
        <w:rPr>
          <w:rFonts w:eastAsia="方正小标宋简体"/>
          <w:sz w:val="72"/>
          <w:szCs w:val="72"/>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 xml:space="preserve"> 日</w:t>
      </w:r>
    </w:p>
    <w:p/>
    <w:p>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概况</w:t>
      </w:r>
      <w:r>
        <w:rPr>
          <w:rFonts w:hint="eastAsia" w:ascii="Times New Roman" w:hAnsi="Times New Roman" w:eastAsia="黑体" w:cs="黑体"/>
          <w:sz w:val="32"/>
          <w:szCs w:val="32"/>
          <w:lang w:val="en-US" w:eastAsia="zh-CN"/>
        </w:rPr>
        <w:t>...................................................................1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w:t>
      </w:r>
      <w:r>
        <w:rPr>
          <w:rFonts w:hint="eastAsia" w:eastAsia="仿宋_GB2312" w:cs="仿宋_GB2312"/>
          <w:sz w:val="32"/>
          <w:szCs w:val="32"/>
          <w:lang w:eastAsia="zh-CN"/>
        </w:rPr>
        <w:t>单位</w:t>
      </w:r>
      <w:r>
        <w:rPr>
          <w:rFonts w:hint="eastAsia" w:eastAsia="仿宋_GB2312" w:cs="仿宋_GB2312"/>
          <w:sz w:val="32"/>
          <w:szCs w:val="32"/>
        </w:rPr>
        <w:t>职责</w:t>
      </w:r>
      <w:r>
        <w:rPr>
          <w:rFonts w:hint="eastAsia" w:eastAsia="仿宋_GB2312" w:cs="仿宋_GB2312"/>
          <w:sz w:val="32"/>
          <w:szCs w:val="32"/>
          <w:lang w:val="en-US" w:eastAsia="zh-CN"/>
        </w:rPr>
        <w:t>......................................................................1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......................................................................1</w:t>
      </w:r>
    </w:p>
    <w:p>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决算情况说明</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.............4</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.....6</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.............6</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.........................8</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.....................8</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..........................................8</w:t>
      </w:r>
    </w:p>
    <w:p>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.................................................................10</w:t>
      </w:r>
    </w:p>
    <w:p>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.........................................................................12</w:t>
      </w:r>
    </w:p>
    <w:p>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五、财政拨款支出决算明细表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六、一般公共预算财政拨款支出决算表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七、一般公共预算财政拨款支出决算明细表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八、一般公共预算财政拨款基本支出决算明细表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九、一般公共预算财政拨款项目支出决算表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十、政府性基金预算财政拨款收入支出决算表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十一、国有资本经营预算财政拨款收入支出决算表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十二、国有资本经营预算财政拨款支出决算表</w:t>
      </w:r>
      <w:r>
        <w:rPr>
          <w:rFonts w:hint="eastAsia" w:eastAsia="仿宋_GB2312" w:cs="仿宋_GB2312"/>
          <w:sz w:val="32"/>
          <w:szCs w:val="32"/>
          <w:lang w:val="en-US" w:eastAsia="zh-CN"/>
        </w:rPr>
        <w:t>............13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十三、财政拨款“三公”经费支出决算表</w:t>
      </w:r>
      <w:r>
        <w:rPr>
          <w:rFonts w:hint="eastAsia" w:eastAsia="仿宋_GB2312" w:cs="仿宋_GB2312"/>
          <w:sz w:val="32"/>
          <w:szCs w:val="32"/>
          <w:lang w:val="en-US" w:eastAsia="zh-CN"/>
        </w:rPr>
        <w:t>....................13</w:t>
      </w:r>
    </w:p>
    <w:p>
      <w:pPr>
        <w:pStyle w:val="3"/>
        <w:jc w:val="center"/>
        <w:rPr>
          <w:rFonts w:hint="eastAsia" w:eastAsia="方正小标宋简体" w:cs="方正小标宋简体"/>
          <w:b w:val="0"/>
        </w:rPr>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pPr>
      <w:bookmarkStart w:id="6" w:name="_Toc15377196"/>
      <w:bookmarkStart w:id="7" w:name="_Toc15396599"/>
    </w:p>
    <w:p>
      <w:pPr>
        <w:pStyle w:val="3"/>
        <w:jc w:val="center"/>
        <w:rPr>
          <w:rStyle w:val="28"/>
          <w:rFonts w:eastAsia="方正小标宋简体" w:cs="方正小标宋简体"/>
          <w:b/>
          <w:bCs w:val="0"/>
        </w:rPr>
      </w:pPr>
      <w:r>
        <w:rPr>
          <w:rFonts w:hint="eastAsia" w:eastAsia="方正小标宋简体" w:cs="方正小标宋简体"/>
          <w:b w:val="0"/>
        </w:rPr>
        <w:t xml:space="preserve">第一部分  </w:t>
      </w:r>
      <w:r>
        <w:rPr>
          <w:rFonts w:hint="eastAsia" w:eastAsia="方正小标宋简体" w:cs="方正小标宋简体"/>
          <w:b w:val="0"/>
          <w:lang w:eastAsia="zh-CN"/>
        </w:rPr>
        <w:t>单位</w:t>
      </w:r>
      <w:r>
        <w:rPr>
          <w:rStyle w:val="28"/>
          <w:rFonts w:hint="eastAsia" w:eastAsia="方正小标宋简体" w:cs="方正小标宋简体"/>
          <w:b w:val="0"/>
          <w:bCs w:val="0"/>
        </w:rPr>
        <w:t>概况</w:t>
      </w:r>
      <w:bookmarkEnd w:id="6"/>
      <w:bookmarkEnd w:id="7"/>
    </w:p>
    <w:p>
      <w:pPr>
        <w:widowControl/>
        <w:jc w:val="left"/>
        <w:rPr>
          <w:rFonts w:eastAsia="黑体"/>
          <w:sz w:val="32"/>
          <w:szCs w:val="32"/>
        </w:rPr>
      </w:pPr>
    </w:p>
    <w:p>
      <w:pPr>
        <w:pStyle w:val="4"/>
        <w:numPr>
          <w:ilvl w:val="0"/>
          <w:numId w:val="1"/>
        </w:numPr>
        <w:rPr>
          <w:rFonts w:hint="eastAsia" w:ascii="Times New Roman" w:hAnsi="Times New Roman" w:eastAsia="黑体"/>
          <w:b w:val="0"/>
        </w:rPr>
      </w:pPr>
      <w:r>
        <w:rPr>
          <w:rFonts w:hint="eastAsia" w:ascii="Times New Roman" w:hAnsi="Times New Roman" w:eastAsia="黑体"/>
          <w:b w:val="0"/>
          <w:lang w:eastAsia="zh-CN"/>
        </w:rPr>
        <w:t>单位</w:t>
      </w:r>
      <w:r>
        <w:rPr>
          <w:rFonts w:hint="eastAsia" w:ascii="Times New Roman" w:hAnsi="Times New Roman" w:eastAsia="黑体"/>
          <w:b w:val="0"/>
        </w:rPr>
        <w:t>职责</w:t>
      </w:r>
    </w:p>
    <w:p>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攀枝花市城市基本建设档案馆主要工作职责是接收、管理、利用全市城乡建设档案，为城乡规划、建设、管理和城市科学研究服务。</w:t>
      </w:r>
      <w:bookmarkStart w:id="8" w:name="_Toc15377200"/>
      <w:bookmarkStart w:id="9" w:name="_Toc15396601"/>
    </w:p>
    <w:p>
      <w:pPr>
        <w:snapToGrid w:val="0"/>
        <w:spacing w:line="520" w:lineRule="exact"/>
        <w:rPr>
          <w:rFonts w:hint="eastAsia" w:ascii="仿宋_GB2312" w:eastAsia="仿宋_GB2312"/>
          <w:sz w:val="32"/>
          <w:szCs w:val="32"/>
        </w:rPr>
      </w:pPr>
    </w:p>
    <w:p>
      <w:pPr>
        <w:pStyle w:val="4"/>
        <w:bidi w:val="0"/>
        <w:rPr>
          <w:rStyle w:val="29"/>
          <w:rFonts w:ascii="Times New Roman" w:hAnsi="Times New Roman"/>
          <w:b w:val="0"/>
          <w:bCs w:val="0"/>
        </w:rPr>
      </w:pPr>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pPr>
        <w:pStyle w:val="2"/>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bookmarkStart w:id="10" w:name="_Toc15377201"/>
      <w:bookmarkStart w:id="11" w:name="_Toc15377432"/>
      <w:bookmarkStart w:id="12" w:name="_Toc15378448"/>
      <w:bookmarkStart w:id="13" w:name="_Toc15306275"/>
      <w:bookmarkStart w:id="65" w:name="_GoBack"/>
      <w:r>
        <w:rPr>
          <w:rFonts w:hint="eastAsia" w:ascii="仿宋_GB2312" w:hAnsi="Times New Roman" w:eastAsia="仿宋_GB2312" w:cs="Times New Roman"/>
          <w:kern w:val="2"/>
          <w:sz w:val="32"/>
          <w:szCs w:val="32"/>
          <w:lang w:val="en-US" w:eastAsia="zh-CN" w:bidi="ar-SA"/>
        </w:rPr>
        <w:t>攀枝花市城市基本建设档案馆为攀枝花市住房和城乡建设局所属公益一类科级事业单位。四川省攀枝花市城市基本建设档案馆下属二级预算单位0个，其中行政单位0个，参照公务员法管理的事业单位0个，其他事业单位0个</w:t>
      </w:r>
      <w:bookmarkEnd w:id="10"/>
      <w:bookmarkEnd w:id="11"/>
      <w:bookmarkEnd w:id="12"/>
      <w:bookmarkEnd w:id="13"/>
      <w:r>
        <w:rPr>
          <w:rFonts w:hint="eastAsia" w:cs="Times New Roman"/>
          <w:kern w:val="2"/>
          <w:sz w:val="32"/>
          <w:szCs w:val="32"/>
          <w:lang w:val="en-US" w:eastAsia="zh-CN" w:bidi="ar-SA"/>
        </w:rPr>
        <w:t>。</w:t>
      </w:r>
    </w:p>
    <w:bookmarkEnd w:id="65"/>
    <w:p>
      <w:pPr>
        <w:widowControl/>
        <w:jc w:val="left"/>
        <w:rPr>
          <w:rFonts w:eastAsia="仿宋"/>
          <w:kern w:val="0"/>
          <w:sz w:val="32"/>
          <w:szCs w:val="32"/>
        </w:rPr>
      </w:pPr>
      <w:r>
        <w:rPr>
          <w:rFonts w:eastAsia="仿宋"/>
          <w:sz w:val="32"/>
          <w:szCs w:val="32"/>
        </w:rPr>
        <w:br w:type="page"/>
      </w:r>
    </w:p>
    <w:p>
      <w:pPr>
        <w:pStyle w:val="3"/>
        <w:jc w:val="center"/>
      </w:pPr>
      <w:bookmarkStart w:id="14" w:name="_Toc15396602"/>
      <w:bookmarkStart w:id="15" w:name="_Toc15377204"/>
      <w:r>
        <w:rPr>
          <w:rFonts w:hint="eastAsia" w:eastAsia="方正小标宋简体" w:cs="方正小标宋简体"/>
          <w:b w:val="0"/>
        </w:rPr>
        <w:t>第二部分  2025年度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14"/>
      <w:bookmarkEnd w:id="15"/>
    </w:p>
    <w:p>
      <w:pPr>
        <w:pStyle w:val="27"/>
        <w:spacing w:line="600" w:lineRule="exact"/>
        <w:ind w:left="0" w:leftChars="0" w:firstLine="0" w:firstLineChars="0"/>
        <w:outlineLvl w:val="1"/>
        <w:rPr>
          <w:rStyle w:val="29"/>
          <w:rFonts w:ascii="Times New Roman" w:hAnsi="Times New Roman" w:eastAsia="黑体"/>
          <w:b w:val="0"/>
        </w:rPr>
      </w:pPr>
      <w:bookmarkStart w:id="16" w:name="_Toc15377205"/>
      <w:bookmarkStart w:id="17"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年度收入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eastAsia="zh-CN"/>
        </w:rPr>
        <w:t>均为</w:t>
      </w:r>
      <w:r>
        <w:rPr>
          <w:rFonts w:hint="eastAsia" w:ascii="仿宋_GB2312" w:hAnsi="仿宋_GB2312" w:eastAsia="仿宋_GB2312" w:cs="仿宋_GB2312"/>
          <w:sz w:val="32"/>
          <w:szCs w:val="32"/>
          <w:lang w:val="en-US" w:eastAsia="zh-CN"/>
        </w:rPr>
        <w:t>305.74</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相比，</w:t>
      </w:r>
      <w:r>
        <w:rPr>
          <w:rFonts w:hint="eastAsia" w:ascii="仿宋_GB2312" w:hAnsi="仿宋_GB2312" w:eastAsia="仿宋_GB2312" w:cs="仿宋_GB2312"/>
          <w:sz w:val="32"/>
          <w:szCs w:val="32"/>
          <w:lang w:eastAsia="zh-CN"/>
        </w:rPr>
        <w:t>收入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总计各增加</w:t>
      </w:r>
      <w:r>
        <w:rPr>
          <w:rFonts w:hint="eastAsia" w:ascii="仿宋_GB2312" w:hAnsi="仿宋_GB2312" w:eastAsia="仿宋_GB2312" w:cs="仿宋_GB2312"/>
          <w:sz w:val="32"/>
          <w:szCs w:val="32"/>
          <w:lang w:val="en-US" w:eastAsia="zh-CN"/>
        </w:rPr>
        <w:t>0.17</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0.05</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人员经费增加。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hAnsi="仿宋_GB2312" w:eastAsia="仿宋_GB2312" w:cs="仿宋_GB2312"/>
          <w:sz w:val="32"/>
          <w:szCs w:val="32"/>
          <w:lang w:eastAsia="zh-CN"/>
        </w:rPr>
      </w:pPr>
      <w:r>
        <w:drawing>
          <wp:anchor distT="0" distB="0" distL="114300" distR="114300" simplePos="0" relativeHeight="251659264" behindDoc="0" locked="0" layoutInCell="1" allowOverlap="1">
            <wp:simplePos x="0" y="0"/>
            <wp:positionH relativeFrom="column">
              <wp:posOffset>687070</wp:posOffset>
            </wp:positionH>
            <wp:positionV relativeFrom="paragraph">
              <wp:posOffset>66675</wp:posOffset>
            </wp:positionV>
            <wp:extent cx="3959225" cy="1791970"/>
            <wp:effectExtent l="4445" t="4445" r="17780" b="1333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spacing w:line="600" w:lineRule="exact"/>
        <w:ind w:firstLine="640"/>
        <w:jc w:val="center"/>
        <w:outlineLvl w:val="1"/>
        <w:rPr>
          <w:rFonts w:eastAsia="仿宋_GB2312" w:cs="仿宋_GB2312"/>
          <w:sz w:val="32"/>
          <w:szCs w:val="32"/>
        </w:rPr>
      </w:pPr>
      <w:r>
        <w:rPr>
          <w:rFonts w:hint="eastAsia" w:eastAsia="仿宋_GB2312" w:cs="仿宋_GB2312"/>
          <w:sz w:val="32"/>
          <w:szCs w:val="32"/>
        </w:rPr>
        <w:t>（图1：收入、支出决算总计变动情况图）</w:t>
      </w:r>
    </w:p>
    <w:p>
      <w:pPr>
        <w:pStyle w:val="27"/>
        <w:spacing w:line="600" w:lineRule="exact"/>
        <w:ind w:left="0" w:leftChars="0" w:firstLine="0" w:firstLineChars="0"/>
        <w:outlineLvl w:val="1"/>
        <w:rPr>
          <w:rFonts w:hint="eastAsia" w:eastAsia="黑体"/>
          <w:sz w:val="32"/>
          <w:szCs w:val="32"/>
        </w:rPr>
      </w:pPr>
      <w:bookmarkStart w:id="18" w:name="_Toc15377206"/>
      <w:bookmarkStart w:id="19" w:name="_Toc15396604"/>
    </w:p>
    <w:p>
      <w:pPr>
        <w:pStyle w:val="27"/>
        <w:spacing w:line="600" w:lineRule="exact"/>
        <w:ind w:left="0" w:leftChars="0" w:firstLine="0" w:firstLineChars="0"/>
        <w:outlineLvl w:val="1"/>
        <w:rPr>
          <w:rFonts w:eastAsia="黑体"/>
          <w:sz w:val="32"/>
          <w:szCs w:val="32"/>
        </w:rPr>
      </w:pPr>
      <w:r>
        <w:rPr>
          <w:rFonts w:hint="eastAsia" w:eastAsia="黑体"/>
          <w:sz w:val="32"/>
          <w:szCs w:val="32"/>
        </w:rPr>
        <w:t>二、收入决算情况说明</w:t>
      </w:r>
      <w:bookmarkEnd w:id="18"/>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年度本年收入合计305.</w:t>
      </w:r>
      <w:r>
        <w:rPr>
          <w:rFonts w:hint="eastAsia" w:ascii="仿宋_GB2312" w:hAnsi="仿宋_GB2312" w:eastAsia="仿宋_GB2312" w:cs="仿宋_GB2312"/>
          <w:sz w:val="32"/>
          <w:szCs w:val="32"/>
          <w:lang w:val="en-US" w:eastAsia="zh-CN"/>
        </w:rPr>
        <w:t>74</w:t>
      </w:r>
      <w:r>
        <w:rPr>
          <w:rFonts w:hint="eastAsia" w:ascii="仿宋_GB2312" w:hAnsi="仿宋_GB2312" w:eastAsia="仿宋_GB2312" w:cs="仿宋_GB2312"/>
          <w:sz w:val="32"/>
          <w:szCs w:val="32"/>
          <w:lang w:eastAsia="zh-CN"/>
        </w:rPr>
        <w:t>万元，其中：一般公共预算财政拨款收入305.</w:t>
      </w:r>
      <w:r>
        <w:rPr>
          <w:rFonts w:hint="eastAsia" w:ascii="仿宋_GB2312" w:hAnsi="仿宋_GB2312" w:eastAsia="仿宋_GB2312" w:cs="仿宋_GB2312"/>
          <w:sz w:val="32"/>
          <w:szCs w:val="32"/>
          <w:lang w:val="en-US" w:eastAsia="zh-CN"/>
        </w:rPr>
        <w:t>74</w:t>
      </w:r>
      <w:r>
        <w:rPr>
          <w:rFonts w:hint="eastAsia" w:ascii="仿宋_GB2312" w:hAnsi="仿宋_GB2312" w:eastAsia="仿宋_GB2312" w:cs="仿宋_GB2312"/>
          <w:sz w:val="32"/>
          <w:szCs w:val="32"/>
          <w:lang w:eastAsia="zh-CN"/>
        </w:rPr>
        <w:t>万元，占100%。</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hAnsi="仿宋_GB2312" w:eastAsia="仿宋_GB2312" w:cs="仿宋_GB2312"/>
          <w:sz w:val="32"/>
          <w:szCs w:val="32"/>
          <w:lang w:eastAsia="zh-CN"/>
        </w:rPr>
      </w:pPr>
      <w:r>
        <w:drawing>
          <wp:anchor distT="0" distB="0" distL="114300" distR="114300" simplePos="0" relativeHeight="251660288" behindDoc="0" locked="0" layoutInCell="1" allowOverlap="1">
            <wp:simplePos x="0" y="0"/>
            <wp:positionH relativeFrom="column">
              <wp:posOffset>409575</wp:posOffset>
            </wp:positionH>
            <wp:positionV relativeFrom="paragraph">
              <wp:posOffset>-262255</wp:posOffset>
            </wp:positionV>
            <wp:extent cx="4426585" cy="2128520"/>
            <wp:effectExtent l="4445" t="4445" r="7620" b="1968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spacing w:line="600" w:lineRule="exact"/>
        <w:ind w:firstLine="1920" w:firstLineChars="600"/>
        <w:jc w:val="both"/>
        <w:outlineLvl w:val="1"/>
        <w:rPr>
          <w:rFonts w:eastAsia="仿宋_GB2312" w:cs="仿宋_GB2312"/>
          <w:sz w:val="32"/>
          <w:szCs w:val="32"/>
        </w:rPr>
      </w:pPr>
      <w:r>
        <w:rPr>
          <w:rFonts w:hint="eastAsia" w:eastAsia="仿宋_GB2312" w:cs="仿宋_GB2312"/>
          <w:sz w:val="32"/>
          <w:szCs w:val="32"/>
        </w:rPr>
        <w:t>（图2：收入决算结构图）</w:t>
      </w:r>
    </w:p>
    <w:p>
      <w:pPr>
        <w:ind w:firstLine="800" w:firstLineChars="250"/>
        <w:rPr>
          <w:rFonts w:eastAsia="仿宋_GB2312" w:cs="仿宋_GB2312"/>
          <w:sz w:val="32"/>
          <w:szCs w:val="32"/>
        </w:rPr>
      </w:pPr>
    </w:p>
    <w:p>
      <w:pPr>
        <w:pStyle w:val="27"/>
        <w:spacing w:line="600" w:lineRule="exact"/>
        <w:ind w:left="0" w:leftChars="0" w:firstLine="0" w:firstLineChars="0"/>
        <w:outlineLvl w:val="1"/>
        <w:rPr>
          <w:rFonts w:hint="eastAsia" w:eastAsia="黑体"/>
          <w:sz w:val="32"/>
          <w:szCs w:val="32"/>
        </w:rPr>
      </w:pPr>
      <w:bookmarkStart w:id="20" w:name="_Toc15377207"/>
      <w:bookmarkStart w:id="21" w:name="_Toc15396605"/>
      <w:r>
        <w:rPr>
          <w:rFonts w:hint="eastAsia" w:eastAsia="黑体"/>
          <w:sz w:val="32"/>
          <w:szCs w:val="32"/>
        </w:rPr>
        <w:t>三、支出决算情况说明</w:t>
      </w:r>
      <w:bookmarkEnd w:id="20"/>
      <w:bookmarkEnd w:id="21"/>
    </w:p>
    <w:p>
      <w:pPr>
        <w:pStyle w:val="27"/>
        <w:spacing w:line="600" w:lineRule="exact"/>
        <w:ind w:left="0" w:leftChars="0" w:firstLine="640" w:firstLineChars="200"/>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年度本年支出合计305.</w:t>
      </w:r>
      <w:r>
        <w:rPr>
          <w:rFonts w:hint="eastAsia" w:ascii="仿宋_GB2312" w:hAnsi="仿宋_GB2312" w:eastAsia="仿宋_GB2312" w:cs="仿宋_GB2312"/>
          <w:sz w:val="32"/>
          <w:szCs w:val="32"/>
          <w:lang w:val="en-US" w:eastAsia="zh-CN"/>
        </w:rPr>
        <w:t>74</w:t>
      </w:r>
      <w:r>
        <w:rPr>
          <w:rFonts w:hint="eastAsia" w:ascii="仿宋_GB2312" w:hAnsi="仿宋_GB2312" w:eastAsia="仿宋_GB2312" w:cs="仿宋_GB2312"/>
          <w:sz w:val="32"/>
          <w:szCs w:val="32"/>
          <w:lang w:eastAsia="zh-CN"/>
        </w:rPr>
        <w:t>万元，其中：基本支出</w:t>
      </w:r>
      <w:r>
        <w:rPr>
          <w:rFonts w:hint="eastAsia" w:ascii="仿宋_GB2312" w:hAnsi="仿宋_GB2312" w:eastAsia="仿宋_GB2312" w:cs="仿宋_GB2312"/>
          <w:sz w:val="32"/>
          <w:szCs w:val="32"/>
          <w:lang w:val="en-US" w:eastAsia="zh-CN"/>
        </w:rPr>
        <w:t>277.44</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90.74</w:t>
      </w:r>
      <w:r>
        <w:rPr>
          <w:rFonts w:hint="eastAsia" w:ascii="仿宋_GB2312" w:hAnsi="仿宋_GB2312" w:eastAsia="仿宋_GB2312" w:cs="仿宋_GB2312"/>
          <w:sz w:val="32"/>
          <w:szCs w:val="32"/>
          <w:lang w:eastAsia="zh-CN"/>
        </w:rPr>
        <w:t>%；项目支出28.3万元，占</w:t>
      </w:r>
      <w:r>
        <w:rPr>
          <w:rFonts w:hint="eastAsia" w:ascii="仿宋_GB2312" w:hAnsi="仿宋_GB2312" w:eastAsia="仿宋_GB2312" w:cs="仿宋_GB2312"/>
          <w:sz w:val="32"/>
          <w:szCs w:val="32"/>
          <w:lang w:val="en-US" w:eastAsia="zh-CN"/>
        </w:rPr>
        <w:t>9.26</w:t>
      </w:r>
      <w:r>
        <w:rPr>
          <w:rFonts w:hint="eastAsia" w:ascii="仿宋_GB2312" w:hAnsi="仿宋_GB2312" w:eastAsia="仿宋_GB2312" w:cs="仿宋_GB2312"/>
          <w:sz w:val="32"/>
          <w:szCs w:val="32"/>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hAnsi="仿宋_GB2312" w:eastAsia="仿宋_GB2312" w:cs="仿宋_GB2312"/>
          <w:sz w:val="32"/>
          <w:szCs w:val="32"/>
          <w:lang w:eastAsia="zh-CN"/>
        </w:rPr>
      </w:pPr>
      <w:r>
        <w:drawing>
          <wp:anchor distT="0" distB="0" distL="114300" distR="114300" simplePos="0" relativeHeight="251661312" behindDoc="0" locked="0" layoutInCell="1" allowOverlap="1">
            <wp:simplePos x="0" y="0"/>
            <wp:positionH relativeFrom="column">
              <wp:posOffset>219075</wp:posOffset>
            </wp:positionH>
            <wp:positionV relativeFrom="paragraph">
              <wp:posOffset>180340</wp:posOffset>
            </wp:positionV>
            <wp:extent cx="4407535" cy="1876425"/>
            <wp:effectExtent l="4445" t="4445" r="7620" b="5080"/>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spacing w:line="600" w:lineRule="exact"/>
        <w:ind w:left="0" w:leftChars="0" w:firstLine="0" w:firstLineChars="0"/>
        <w:jc w:val="both"/>
        <w:outlineLvl w:val="1"/>
        <w:rPr>
          <w:rFonts w:hint="eastAsia" w:eastAsia="仿宋_GB2312" w:cs="仿宋_GB2312"/>
          <w:sz w:val="32"/>
          <w:szCs w:val="32"/>
        </w:rPr>
      </w:pPr>
    </w:p>
    <w:p>
      <w:pPr>
        <w:pStyle w:val="27"/>
        <w:spacing w:line="600" w:lineRule="exact"/>
        <w:ind w:left="0" w:leftChars="0" w:firstLine="0" w:firstLineChars="0"/>
        <w:jc w:val="both"/>
        <w:outlineLvl w:val="1"/>
        <w:rPr>
          <w:rFonts w:hint="eastAsia" w:eastAsia="仿宋_GB2312" w:cs="仿宋_GB2312"/>
          <w:sz w:val="32"/>
          <w:szCs w:val="32"/>
        </w:rPr>
      </w:pPr>
    </w:p>
    <w:p>
      <w:pPr>
        <w:pStyle w:val="27"/>
        <w:spacing w:line="600" w:lineRule="exact"/>
        <w:ind w:left="0" w:leftChars="0" w:firstLine="0" w:firstLineChars="0"/>
        <w:jc w:val="both"/>
        <w:outlineLvl w:val="1"/>
        <w:rPr>
          <w:rFonts w:hint="eastAsia" w:eastAsia="仿宋_GB2312" w:cs="仿宋_GB2312"/>
          <w:sz w:val="32"/>
          <w:szCs w:val="32"/>
        </w:rPr>
      </w:pPr>
    </w:p>
    <w:p>
      <w:pPr>
        <w:pStyle w:val="27"/>
        <w:spacing w:line="600" w:lineRule="exact"/>
        <w:ind w:left="0" w:leftChars="0" w:firstLine="0" w:firstLineChars="0"/>
        <w:jc w:val="center"/>
        <w:outlineLvl w:val="1"/>
        <w:rPr>
          <w:rFonts w:eastAsia="仿宋_GB2312" w:cs="仿宋_GB2312"/>
          <w:sz w:val="32"/>
          <w:szCs w:val="32"/>
        </w:rPr>
      </w:pPr>
      <w:r>
        <w:rPr>
          <w:rFonts w:hint="eastAsia" w:eastAsia="仿宋_GB2312" w:cs="仿宋_GB2312"/>
          <w:sz w:val="32"/>
          <w:szCs w:val="32"/>
        </w:rPr>
        <w:t>（图3：支出决算结构图）</w:t>
      </w:r>
    </w:p>
    <w:p>
      <w:pPr>
        <w:ind w:firstLine="800" w:firstLineChars="25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bookmarkStart w:id="22" w:name="_Toc15396606"/>
      <w:bookmarkStart w:id="23"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2025年度财政拨款收入、支出总计均为</w:t>
      </w:r>
      <w:r>
        <w:rPr>
          <w:rFonts w:hint="eastAsia" w:ascii="仿宋_GB2312" w:hAnsi="仿宋_GB2312" w:eastAsia="仿宋_GB2312" w:cs="仿宋_GB2312"/>
          <w:sz w:val="32"/>
          <w:szCs w:val="32"/>
          <w:lang w:eastAsia="zh-CN"/>
        </w:rPr>
        <w:t>305.</w:t>
      </w:r>
      <w:r>
        <w:rPr>
          <w:rFonts w:hint="eastAsia" w:ascii="仿宋_GB2312" w:hAnsi="仿宋_GB2312" w:eastAsia="仿宋_GB2312" w:cs="仿宋_GB2312"/>
          <w:sz w:val="32"/>
          <w:szCs w:val="32"/>
          <w:lang w:val="en-US" w:eastAsia="zh-CN"/>
        </w:rPr>
        <w:t>74万元。与2024年度相比，财政拨款收入总计、支出总计各增加0.17万元，增长0.05%。主要变动原因是人员</w:t>
      </w:r>
      <w:r>
        <w:rPr>
          <w:rFonts w:hint="eastAsia" w:ascii="仿宋_GB2312" w:hAnsi="仿宋_GB2312" w:eastAsia="仿宋_GB2312" w:cs="仿宋_GB2312"/>
          <w:sz w:val="32"/>
          <w:szCs w:val="32"/>
          <w:lang w:eastAsia="zh-CN"/>
        </w:rPr>
        <w:t>经费增加。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hAnsi="仿宋_GB2312" w:eastAsia="仿宋_GB2312" w:cs="仿宋_GB2312"/>
          <w:sz w:val="32"/>
          <w:szCs w:val="32"/>
          <w:lang w:eastAsia="zh-CN"/>
        </w:rPr>
      </w:pPr>
      <w:r>
        <w:drawing>
          <wp:anchor distT="0" distB="0" distL="114300" distR="114300" simplePos="0" relativeHeight="251662336" behindDoc="0" locked="0" layoutInCell="1" allowOverlap="1">
            <wp:simplePos x="0" y="0"/>
            <wp:positionH relativeFrom="column">
              <wp:posOffset>340360</wp:posOffset>
            </wp:positionH>
            <wp:positionV relativeFrom="paragraph">
              <wp:posOffset>259080</wp:posOffset>
            </wp:positionV>
            <wp:extent cx="4349750" cy="1971675"/>
            <wp:effectExtent l="4445" t="5080" r="8255" b="4445"/>
            <wp:wrapSquare wrapText="bothSides"/>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eastAsia="zh-CN"/>
        </w:rPr>
      </w:pPr>
    </w:p>
    <w:p>
      <w:pPr>
        <w:spacing w:line="600" w:lineRule="exact"/>
        <w:rPr>
          <w:rFonts w:hint="eastAsia" w:eastAsia="仿宋_GB2312" w:cs="仿宋_GB2312"/>
          <w:sz w:val="32"/>
          <w:szCs w:val="32"/>
        </w:rPr>
      </w:pPr>
    </w:p>
    <w:p>
      <w:pPr>
        <w:spacing w:line="600" w:lineRule="exact"/>
        <w:ind w:firstLine="1280" w:firstLineChars="400"/>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rPr>
          <w:rFonts w:eastAsia="仿宋_GB2312" w:cs="仿宋_GB2312"/>
          <w:sz w:val="32"/>
          <w:szCs w:val="32"/>
        </w:rPr>
      </w:pPr>
    </w:p>
    <w:p>
      <w:pPr>
        <w:spacing w:line="600" w:lineRule="exact"/>
        <w:ind w:firstLine="640" w:firstLineChars="200"/>
        <w:outlineLvl w:val="1"/>
        <w:rPr>
          <w:rStyle w:val="29"/>
          <w:rFonts w:ascii="Times New Roman" w:hAnsi="Times New Roman" w:eastAsia="黑体"/>
          <w:b w:val="0"/>
        </w:rPr>
      </w:pPr>
      <w:bookmarkStart w:id="24" w:name="_Toc15377209"/>
      <w:bookmarkStart w:id="25"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4"/>
      <w:bookmarkEnd w:id="25"/>
    </w:p>
    <w:p>
      <w:pPr>
        <w:spacing w:line="600" w:lineRule="exact"/>
        <w:ind w:firstLine="642" w:firstLineChars="200"/>
        <w:outlineLvl w:val="2"/>
        <w:rPr>
          <w:rFonts w:eastAsia="楷体_GB2312" w:cs="楷体_GB2312"/>
          <w:b/>
          <w:sz w:val="32"/>
          <w:szCs w:val="32"/>
        </w:rPr>
      </w:pPr>
      <w:bookmarkStart w:id="26" w:name="_Toc15377210"/>
      <w:r>
        <w:rPr>
          <w:rFonts w:hint="eastAsia" w:eastAsia="楷体_GB2312" w:cs="楷体_GB2312"/>
          <w:b/>
          <w:sz w:val="32"/>
          <w:szCs w:val="32"/>
        </w:rPr>
        <w:t>（一）一般公共预算财政拨款支出决算总体情况</w:t>
      </w:r>
      <w:bookmarkEnd w:id="26"/>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2025年度一般公共预算财政拨款支出305.74万元，占本年支出合计的100%。与2024年度相比，一般公共预算财政拨款支出增加0.17万元，增长0.05%。主要变动原因是人员经费增加。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hAnsi="仿宋_GB2312" w:eastAsia="仿宋_GB2312" w:cs="仿宋_GB2312"/>
          <w:kern w:val="2"/>
          <w:sz w:val="32"/>
          <w:szCs w:val="32"/>
          <w:lang w:val="en-US" w:eastAsia="zh-CN" w:bidi="ar-SA"/>
        </w:rPr>
      </w:pPr>
      <w:r>
        <w:drawing>
          <wp:anchor distT="0" distB="0" distL="114300" distR="114300" simplePos="0" relativeHeight="251663360" behindDoc="0" locked="0" layoutInCell="1" allowOverlap="1">
            <wp:simplePos x="0" y="0"/>
            <wp:positionH relativeFrom="column">
              <wp:posOffset>497205</wp:posOffset>
            </wp:positionH>
            <wp:positionV relativeFrom="paragraph">
              <wp:posOffset>170180</wp:posOffset>
            </wp:positionV>
            <wp:extent cx="4159885" cy="1939925"/>
            <wp:effectExtent l="4445" t="4445" r="7620" b="1778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kern w:val="2"/>
          <w:sz w:val="32"/>
          <w:szCs w:val="32"/>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kern w:val="2"/>
          <w:sz w:val="32"/>
          <w:szCs w:val="32"/>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kern w:val="2"/>
          <w:sz w:val="32"/>
          <w:szCs w:val="32"/>
          <w:lang w:val="en-US" w:eastAsia="zh-CN" w:bidi="ar-SA"/>
        </w:rPr>
      </w:pPr>
    </w:p>
    <w:p>
      <w:pPr>
        <w:spacing w:line="600" w:lineRule="exact"/>
        <w:rPr>
          <w:rFonts w:hint="eastAsia" w:eastAsia="仿宋_GB2312" w:cs="仿宋_GB2312"/>
          <w:sz w:val="32"/>
          <w:szCs w:val="32"/>
        </w:rPr>
      </w:pPr>
    </w:p>
    <w:p>
      <w:pPr>
        <w:spacing w:line="600" w:lineRule="exact"/>
        <w:rPr>
          <w:rFonts w:hint="eastAsia" w:eastAsia="仿宋_GB2312" w:cs="仿宋_GB2312"/>
          <w:sz w:val="32"/>
          <w:szCs w:val="32"/>
        </w:rPr>
      </w:pPr>
    </w:p>
    <w:p>
      <w:pPr>
        <w:spacing w:line="600" w:lineRule="exact"/>
        <w:jc w:val="center"/>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2" w:firstLineChars="200"/>
        <w:outlineLvl w:val="2"/>
        <w:rPr>
          <w:rFonts w:eastAsia="楷体_GB2312" w:cs="楷体_GB2312"/>
          <w:b/>
          <w:sz w:val="32"/>
          <w:szCs w:val="32"/>
        </w:rPr>
      </w:pPr>
      <w:bookmarkStart w:id="27" w:name="_Toc15377211"/>
      <w:r>
        <w:rPr>
          <w:rFonts w:hint="eastAsia" w:eastAsia="楷体_GB2312" w:cs="楷体_GB2312"/>
          <w:b/>
          <w:sz w:val="32"/>
          <w:szCs w:val="32"/>
        </w:rPr>
        <w:t>（二）一般公共预算财政拨款支出决算结构情况</w:t>
      </w:r>
      <w:bookmarkEnd w:id="2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2025年度一般公共预算财政拨款支出305.74万元，主要用于以下方面：社会保障和就业支出77.19万元，占25.25%；卫生健康支出1.19万元，占0.39%；住房保障支出16.36万元，占5.35%；城乡社区支出210.99万元，占69.01%。</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hAnsi="仿宋_GB2312" w:eastAsia="仿宋_GB2312" w:cs="仿宋_GB2312"/>
          <w:sz w:val="32"/>
          <w:szCs w:val="32"/>
          <w:lang w:val="en-US" w:eastAsia="zh-CN"/>
        </w:rPr>
      </w:pPr>
      <w:r>
        <w:drawing>
          <wp:anchor distT="0" distB="0" distL="114300" distR="114300" simplePos="0" relativeHeight="251664384" behindDoc="0" locked="0" layoutInCell="1" allowOverlap="1">
            <wp:simplePos x="0" y="0"/>
            <wp:positionH relativeFrom="column">
              <wp:posOffset>435610</wp:posOffset>
            </wp:positionH>
            <wp:positionV relativeFrom="paragraph">
              <wp:posOffset>140970</wp:posOffset>
            </wp:positionV>
            <wp:extent cx="4423410" cy="2054860"/>
            <wp:effectExtent l="4445" t="5080" r="10795" b="16510"/>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lang w:val="en-US" w:eastAsia="zh-CN"/>
        </w:rPr>
      </w:pPr>
    </w:p>
    <w:p>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2" w:firstLineChars="200"/>
        <w:outlineLvl w:val="2"/>
        <w:rPr>
          <w:rFonts w:hint="eastAsia" w:ascii="仿宋_GB2312" w:hAnsi="仿宋_GB2312" w:eastAsia="仿宋_GB2312" w:cs="仿宋_GB2312"/>
          <w:b/>
          <w:sz w:val="32"/>
          <w:szCs w:val="32"/>
        </w:rPr>
      </w:pPr>
      <w:bookmarkStart w:id="28" w:name="_Toc15377212"/>
      <w:r>
        <w:rPr>
          <w:rFonts w:hint="eastAsia" w:ascii="仿宋_GB2312" w:hAnsi="仿宋_GB2312" w:eastAsia="仿宋_GB2312" w:cs="仿宋_GB2312"/>
          <w:b/>
          <w:sz w:val="32"/>
          <w:szCs w:val="32"/>
        </w:rPr>
        <w:t>（三）一般公共预算财政拨款支出决算具体情况</w:t>
      </w:r>
      <w:bookmarkEnd w:id="28"/>
    </w:p>
    <w:p>
      <w:pPr>
        <w:suppressAutoHyphens/>
        <w:bidi w:val="0"/>
        <w:spacing w:line="600" w:lineRule="exact"/>
        <w:ind w:firstLine="642" w:firstLineChars="200"/>
        <w:outlineLvl w:val="2"/>
        <w:rPr>
          <w:rFonts w:hint="eastAsia" w:ascii="仿宋_GB2312" w:hAnsi="仿宋_GB2312" w:eastAsia="仿宋_GB2312" w:cs="仿宋_GB2312"/>
          <w:b/>
          <w:color w:val="auto"/>
          <w:sz w:val="32"/>
          <w:szCs w:val="32"/>
          <w:highlight w:val="none"/>
          <w:lang w:val="en-US" w:eastAsia="zh-CN"/>
        </w:rPr>
      </w:pPr>
      <w:bookmarkStart w:id="29" w:name="_Toc15378460"/>
      <w:bookmarkStart w:id="30" w:name="_Toc15377213"/>
      <w:bookmarkStart w:id="31" w:name="_Toc15377444"/>
      <w:r>
        <w:rPr>
          <w:rFonts w:hint="eastAsia" w:ascii="仿宋_GB2312" w:hAnsi="仿宋_GB2312" w:eastAsia="仿宋_GB2312" w:cs="仿宋_GB2312"/>
          <w:b/>
          <w:color w:val="auto"/>
          <w:sz w:val="32"/>
          <w:szCs w:val="32"/>
          <w:highlight w:val="none"/>
          <w:lang w:val="en-US" w:eastAsia="zh-CN"/>
        </w:rPr>
        <w:t>2025年度一般公共预算财政拨款支出决算数为</w:t>
      </w:r>
      <w:r>
        <w:rPr>
          <w:rFonts w:hint="eastAsia" w:ascii="仿宋_GB2312" w:hAnsi="仿宋_GB2312" w:eastAsia="仿宋_GB2312" w:cs="仿宋_GB2312"/>
          <w:b/>
          <w:color w:val="auto"/>
          <w:sz w:val="32"/>
          <w:szCs w:val="32"/>
          <w:highlight w:val="none"/>
          <w:lang w:eastAsia="zh-CN"/>
        </w:rPr>
        <w:t>305.</w:t>
      </w:r>
      <w:r>
        <w:rPr>
          <w:rFonts w:hint="eastAsia" w:ascii="仿宋_GB2312" w:hAnsi="仿宋_GB2312" w:eastAsia="仿宋_GB2312" w:cs="仿宋_GB2312"/>
          <w:b/>
          <w:color w:val="auto"/>
          <w:sz w:val="32"/>
          <w:szCs w:val="32"/>
          <w:highlight w:val="none"/>
          <w:lang w:val="en-US" w:eastAsia="zh-CN"/>
        </w:rPr>
        <w:t>74</w:t>
      </w:r>
      <w:r>
        <w:rPr>
          <w:rFonts w:hint="eastAsia" w:ascii="仿宋_GB2312" w:hAnsi="仿宋_GB2312" w:eastAsia="仿宋_GB2312" w:cs="仿宋_GB2312"/>
          <w:b/>
          <w:color w:val="auto"/>
          <w:sz w:val="32"/>
          <w:szCs w:val="32"/>
          <w:highlight w:val="none"/>
          <w:lang w:eastAsia="zh-CN"/>
        </w:rPr>
        <w:t>万元</w:t>
      </w:r>
      <w:r>
        <w:rPr>
          <w:rFonts w:hint="eastAsia" w:ascii="仿宋_GB2312" w:hAnsi="仿宋_GB2312" w:eastAsia="仿宋_GB2312" w:cs="仿宋_GB2312"/>
          <w:b/>
          <w:color w:val="auto"/>
          <w:sz w:val="32"/>
          <w:szCs w:val="32"/>
          <w:highlight w:val="none"/>
          <w:lang w:val="en-US" w:eastAsia="zh-CN"/>
        </w:rPr>
        <w:t>，完成预算100%。其中：</w:t>
      </w:r>
      <w:bookmarkEnd w:id="29"/>
      <w:bookmarkEnd w:id="30"/>
      <w:bookmarkEnd w:id="31"/>
    </w:p>
    <w:p>
      <w:pPr>
        <w:suppressAutoHyphens/>
        <w:bidi w:val="0"/>
        <w:spacing w:line="600" w:lineRule="exact"/>
        <w:ind w:firstLine="640"/>
        <w:rPr>
          <w:rFonts w:hint="eastAsia" w:ascii="仿宋_GB2312" w:hAnsi="Calibri" w:eastAsia="仿宋_GB2312" w:cs="Times New Roman"/>
          <w:color w:val="auto"/>
          <w:kern w:val="2"/>
          <w:sz w:val="32"/>
          <w:szCs w:val="32"/>
          <w:lang w:val="en-US" w:eastAsia="zh-CN" w:bidi="ar-SA"/>
        </w:rPr>
      </w:pPr>
      <w:r>
        <w:rPr>
          <w:rFonts w:hint="eastAsia" w:ascii="仿宋_GB2312" w:hAnsi="仿宋_GB2312" w:eastAsia="仿宋_GB2312" w:cs="仿宋_GB2312"/>
          <w:b/>
          <w:color w:val="auto"/>
          <w:sz w:val="32"/>
          <w:szCs w:val="32"/>
          <w:highlight w:val="none"/>
          <w:lang w:val="en-US" w:eastAsia="zh-CN"/>
        </w:rPr>
        <w:t>1.社会保障和就业（类）行政事业单位养老支出（款）事业单位离退休（项）：</w:t>
      </w:r>
      <w:r>
        <w:rPr>
          <w:rFonts w:hint="eastAsia" w:ascii="仿宋_GB2312" w:hAnsi="仿宋_GB2312" w:eastAsia="仿宋_GB2312" w:cs="仿宋_GB2312"/>
          <w:kern w:val="2"/>
          <w:sz w:val="32"/>
          <w:szCs w:val="32"/>
          <w:lang w:val="en-US" w:eastAsia="zh-CN" w:bidi="ar-SA"/>
        </w:rPr>
        <w:t>支出决算数为35.55万元，完成预算100%，决算数等于预算数。</w:t>
      </w:r>
    </w:p>
    <w:p>
      <w:pPr>
        <w:suppressAutoHyphens/>
        <w:bidi w:val="0"/>
        <w:spacing w:line="600" w:lineRule="exact"/>
        <w:ind w:firstLine="640"/>
        <w:rPr>
          <w:rStyle w:val="17"/>
          <w:rFonts w:hint="eastAsia" w:ascii="仿宋" w:hAnsi="仿宋" w:eastAsia="仿宋" w:cs="Times New Roman"/>
          <w:bCs/>
          <w:color w:val="auto"/>
          <w:sz w:val="32"/>
          <w:szCs w:val="32"/>
          <w:lang w:val="en-US" w:eastAsia="zh-CN"/>
        </w:rPr>
      </w:pPr>
      <w:r>
        <w:rPr>
          <w:rFonts w:hint="eastAsia" w:ascii="仿宋_GB2312" w:hAnsi="仿宋_GB2312" w:eastAsia="仿宋_GB2312" w:cs="仿宋_GB2312"/>
          <w:b/>
          <w:color w:val="auto"/>
          <w:sz w:val="32"/>
          <w:szCs w:val="32"/>
          <w:highlight w:val="none"/>
          <w:lang w:val="en-US" w:eastAsia="zh-CN"/>
        </w:rPr>
        <w:t>2.社会保障和就业（类）行政事业单位养老支出（款）机关事业单位基本养老保险缴费支出（项）:</w:t>
      </w:r>
      <w:r>
        <w:rPr>
          <w:rFonts w:hint="eastAsia" w:ascii="仿宋_GB2312" w:hAnsi="仿宋_GB2312" w:eastAsia="仿宋_GB2312" w:cs="仿宋_GB2312"/>
          <w:kern w:val="2"/>
          <w:sz w:val="32"/>
          <w:szCs w:val="32"/>
          <w:lang w:val="en-US" w:eastAsia="zh-CN" w:bidi="ar-SA"/>
        </w:rPr>
        <w:t>支出决算为22.23万元，完成预算100%，决算数等于预算数。</w:t>
      </w:r>
    </w:p>
    <w:p>
      <w:pPr>
        <w:suppressAutoHyphens/>
        <w:bidi w:val="0"/>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color w:val="auto"/>
          <w:sz w:val="32"/>
          <w:szCs w:val="32"/>
          <w:highlight w:val="none"/>
          <w:lang w:val="en-US" w:eastAsia="zh-CN"/>
        </w:rPr>
        <w:t>3.社会保障和就业（类）行政事业单位养老支出（款）机关事业单位职业年金缴费支出（项）:</w:t>
      </w:r>
      <w:r>
        <w:rPr>
          <w:rFonts w:hint="eastAsia" w:ascii="仿宋_GB2312" w:hAnsi="仿宋_GB2312" w:eastAsia="仿宋_GB2312" w:cs="仿宋_GB2312"/>
          <w:kern w:val="2"/>
          <w:sz w:val="32"/>
          <w:szCs w:val="32"/>
          <w:lang w:val="en-US" w:eastAsia="zh-CN" w:bidi="ar-SA"/>
        </w:rPr>
        <w:t>支出决算为19.41万元，完成预算100%，决算数等于预算数。</w:t>
      </w:r>
    </w:p>
    <w:p>
      <w:pPr>
        <w:pStyle w:val="2"/>
        <w:ind w:firstLine="642" w:firstLineChars="200"/>
        <w:rPr>
          <w:rFonts w:hint="default"/>
          <w:lang w:val="en-US" w:eastAsia="zh-CN"/>
        </w:rPr>
      </w:pPr>
      <w:r>
        <w:rPr>
          <w:rFonts w:hint="eastAsia" w:hAnsi="仿宋_GB2312" w:cs="仿宋_GB2312"/>
          <w:b/>
          <w:bCs/>
          <w:kern w:val="2"/>
          <w:sz w:val="32"/>
          <w:szCs w:val="32"/>
          <w:lang w:val="en-US" w:eastAsia="zh-CN" w:bidi="ar-SA"/>
        </w:rPr>
        <w:t>4.卫生健康支出</w:t>
      </w:r>
      <w:r>
        <w:rPr>
          <w:rFonts w:hint="eastAsia" w:ascii="仿宋_GB2312" w:hAnsi="仿宋_GB2312" w:eastAsia="仿宋_GB2312" w:cs="仿宋_GB2312"/>
          <w:b/>
          <w:bCs/>
          <w:color w:val="auto"/>
          <w:sz w:val="32"/>
          <w:szCs w:val="32"/>
          <w:highlight w:val="none"/>
          <w:lang w:val="en-US" w:eastAsia="zh-CN"/>
        </w:rPr>
        <w:t>（类）行政事业单位医疗（款）事业单位医疗（项）:</w:t>
      </w:r>
      <w:r>
        <w:rPr>
          <w:rFonts w:hint="eastAsia" w:ascii="仿宋_GB2312" w:hAnsi="仿宋_GB2312" w:eastAsia="仿宋_GB2312" w:cs="仿宋_GB2312"/>
          <w:kern w:val="2"/>
          <w:sz w:val="32"/>
          <w:szCs w:val="32"/>
          <w:lang w:val="en-US" w:eastAsia="zh-CN" w:bidi="ar-SA"/>
        </w:rPr>
        <w:t>支出决算为</w:t>
      </w:r>
      <w:r>
        <w:rPr>
          <w:rFonts w:hint="eastAsia" w:hAnsi="仿宋_GB2312" w:cs="仿宋_GB2312"/>
          <w:kern w:val="2"/>
          <w:sz w:val="32"/>
          <w:szCs w:val="32"/>
          <w:lang w:val="en-US" w:eastAsia="zh-CN" w:bidi="ar-SA"/>
        </w:rPr>
        <w:t>1.19</w:t>
      </w:r>
      <w:r>
        <w:rPr>
          <w:rFonts w:hint="eastAsia" w:ascii="仿宋_GB2312" w:hAnsi="仿宋_GB2312" w:eastAsia="仿宋_GB2312" w:cs="仿宋_GB2312"/>
          <w:kern w:val="2"/>
          <w:sz w:val="32"/>
          <w:szCs w:val="32"/>
          <w:lang w:val="en-US" w:eastAsia="zh-CN" w:bidi="ar-SA"/>
        </w:rPr>
        <w:t>万元，完成预算100%，决算数等于预算数。</w:t>
      </w:r>
    </w:p>
    <w:p>
      <w:pPr>
        <w:suppressAutoHyphens/>
        <w:bidi w:val="0"/>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color w:val="auto"/>
          <w:sz w:val="32"/>
          <w:szCs w:val="32"/>
          <w:highlight w:val="none"/>
          <w:lang w:val="en-US" w:eastAsia="zh-CN"/>
        </w:rPr>
        <w:t>5.城乡社区支出（类）城乡社区管理事务（款）其他城乡社区管理事务支出（项）</w:t>
      </w:r>
      <w:r>
        <w:rPr>
          <w:rStyle w:val="17"/>
          <w:rFonts w:hint="eastAsia" w:ascii="仿宋" w:hAnsi="仿宋" w:eastAsia="仿宋" w:cs="Times New Roman"/>
          <w:bCs/>
          <w:color w:val="auto"/>
          <w:sz w:val="32"/>
          <w:szCs w:val="32"/>
          <w:lang w:eastAsia="zh-CN"/>
        </w:rPr>
        <w:t>：</w:t>
      </w:r>
      <w:r>
        <w:rPr>
          <w:rFonts w:hint="eastAsia" w:ascii="仿宋_GB2312" w:hAnsi="仿宋_GB2312" w:eastAsia="仿宋_GB2312" w:cs="仿宋_GB2312"/>
          <w:kern w:val="2"/>
          <w:sz w:val="32"/>
          <w:szCs w:val="32"/>
          <w:lang w:val="en-US" w:eastAsia="zh-CN" w:bidi="ar-SA"/>
        </w:rPr>
        <w:t>支出决算数为210.99万元，完成预算100%，决算数等于预算数。</w:t>
      </w:r>
    </w:p>
    <w:p>
      <w:pPr>
        <w:suppressAutoHyphens/>
        <w:bidi w:val="0"/>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color w:val="auto"/>
          <w:sz w:val="32"/>
          <w:szCs w:val="32"/>
          <w:highlight w:val="none"/>
          <w:lang w:val="en-US" w:eastAsia="zh-CN"/>
        </w:rPr>
        <w:t>6.住房保障支出（类）住房改革支出（款）住房公积金（项）：</w:t>
      </w:r>
      <w:r>
        <w:rPr>
          <w:rFonts w:hint="eastAsia" w:ascii="仿宋_GB2312" w:hAnsi="仿宋_GB2312" w:eastAsia="仿宋_GB2312" w:cs="仿宋_GB2312"/>
          <w:kern w:val="2"/>
          <w:sz w:val="32"/>
          <w:szCs w:val="32"/>
          <w:lang w:val="en-US" w:eastAsia="zh-CN" w:bidi="ar-SA"/>
        </w:rPr>
        <w:t>支出决算数为16.36万元，完成预算100%，决算数等于预算数。</w:t>
      </w:r>
    </w:p>
    <w:p>
      <w:pPr>
        <w:pStyle w:val="2"/>
      </w:pPr>
    </w:p>
    <w:p>
      <w:pPr>
        <w:tabs>
          <w:tab w:val="right" w:pos="8306"/>
        </w:tabs>
        <w:spacing w:line="600" w:lineRule="exact"/>
        <w:ind w:firstLine="640"/>
        <w:outlineLvl w:val="1"/>
        <w:rPr>
          <w:rStyle w:val="29"/>
          <w:rFonts w:ascii="Times New Roman" w:hAnsi="Times New Roman"/>
        </w:rPr>
      </w:pPr>
      <w:bookmarkStart w:id="32" w:name="_Toc15396608"/>
      <w:bookmarkStart w:id="33"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2"/>
      <w:bookmarkEnd w:id="33"/>
      <w:r>
        <w:rPr>
          <w:rStyle w:val="29"/>
          <w:rFonts w:ascii="Times New Roman" w:hAnsi="Times New Roman" w:eastAsia="黑体"/>
          <w:b w:val="0"/>
        </w:rPr>
        <w:tab/>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2024年度一般公共预算财政拨款基本支出277.44万元，其中：</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人员经费263.53万元，主要包括：基本工资、津贴补贴、绩效工资、机关事业单位基本养老保险缴费、职业年金缴费、职工基本医疗保险缴费、 公务员医疗补助缴费、其他社会保障缴费、其他工资福利支出、生活补助、医疗费补助、奖励金、住房公积金。</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　　公用经费13.91万元，主要包括：办公费、水费、电费、邮电费、物业管理费、差旅费、福利费、工会经费、公务用车运行维护费、其他商品和服务支出。</w:t>
      </w:r>
    </w:p>
    <w:p>
      <w:pPr>
        <w:spacing w:line="600" w:lineRule="exact"/>
        <w:ind w:firstLine="640"/>
        <w:rPr>
          <w:rFonts w:eastAsia="仿宋_GB2312" w:cs="仿宋_GB2312"/>
          <w:sz w:val="32"/>
          <w:szCs w:val="32"/>
        </w:rPr>
      </w:pPr>
    </w:p>
    <w:p>
      <w:pPr>
        <w:spacing w:line="600" w:lineRule="exact"/>
        <w:ind w:firstLine="640"/>
        <w:outlineLvl w:val="1"/>
        <w:rPr>
          <w:rStyle w:val="29"/>
          <w:rFonts w:ascii="Times New Roman" w:hAnsi="Times New Roman" w:eastAsia="黑体"/>
          <w:b w:val="0"/>
        </w:rPr>
      </w:pPr>
      <w:bookmarkStart w:id="34" w:name="_Toc15377215"/>
      <w:bookmarkStart w:id="35"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4"/>
      <w:bookmarkEnd w:id="35"/>
    </w:p>
    <w:p>
      <w:pPr>
        <w:spacing w:line="600" w:lineRule="exact"/>
        <w:ind w:firstLine="642" w:firstLineChars="200"/>
        <w:outlineLvl w:val="2"/>
        <w:rPr>
          <w:rFonts w:eastAsia="楷体_GB2312" w:cs="楷体_GB2312"/>
          <w:b/>
          <w:sz w:val="32"/>
          <w:szCs w:val="32"/>
        </w:rPr>
      </w:pPr>
      <w:bookmarkStart w:id="36" w:name="_Toc15377216"/>
      <w:r>
        <w:rPr>
          <w:rFonts w:hint="eastAsia" w:eastAsia="楷体_GB2312" w:cs="楷体_GB2312"/>
          <w:b/>
          <w:sz w:val="32"/>
          <w:szCs w:val="32"/>
        </w:rPr>
        <w:t>（一）财政拨款“三公”经费支出决算总体情况说明</w:t>
      </w:r>
      <w:bookmarkEnd w:id="36"/>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pPr>
      <w:r>
        <w:rPr>
          <w:rFonts w:hint="eastAsia" w:ascii="仿宋_GB2312" w:hAnsi="仿宋_GB2312" w:eastAsia="仿宋_GB2312" w:cs="仿宋_GB2312"/>
          <w:kern w:val="2"/>
          <w:sz w:val="32"/>
          <w:szCs w:val="32"/>
          <w:lang w:val="en-US" w:eastAsia="zh-CN" w:bidi="ar-SA"/>
        </w:rPr>
        <w:t>2025年度“三公”经费财政拨款支出决算为0.77万元，完成预算100%，较上年度增加0.37万元，增长了92.5%。决算数与预算数持平的主要原因是合理用车，减少公务用车出行成本，无公务接待费发生。</w:t>
      </w:r>
    </w:p>
    <w:p>
      <w:pPr>
        <w:spacing w:line="600" w:lineRule="exact"/>
        <w:ind w:firstLine="642" w:firstLineChars="200"/>
        <w:outlineLvl w:val="2"/>
        <w:rPr>
          <w:rFonts w:eastAsia="楷体_GB2312" w:cs="楷体_GB2312"/>
          <w:b/>
          <w:sz w:val="32"/>
          <w:szCs w:val="32"/>
        </w:rPr>
      </w:pPr>
      <w:bookmarkStart w:id="37" w:name="_Toc15377217"/>
      <w:r>
        <w:rPr>
          <w:rFonts w:hint="eastAsia" w:eastAsia="楷体_GB2312" w:cs="楷体_GB2312"/>
          <w:b/>
          <w:sz w:val="32"/>
          <w:szCs w:val="32"/>
        </w:rPr>
        <w:t>（二）财政拨款“三公”经费支出决算具体情况说明</w:t>
      </w:r>
      <w:bookmarkEnd w:id="37"/>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0.77</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pPr>
        <w:pStyle w:val="2"/>
        <w:rPr>
          <w:rFonts w:hint="eastAsia" w:ascii="仿宋_GB2312" w:hAnsi="仿宋_GB2312" w:eastAsia="仿宋_GB2312" w:cs="仿宋_GB2312"/>
          <w:color w:val="auto"/>
          <w:kern w:val="2"/>
          <w:sz w:val="32"/>
          <w:szCs w:val="32"/>
          <w:highlight w:val="none"/>
          <w:lang w:val="en-US" w:eastAsia="zh-CN" w:bidi="ar-SA"/>
        </w:rPr>
      </w:pPr>
      <w:r>
        <w:drawing>
          <wp:inline distT="0" distB="0" distL="114300" distR="114300">
            <wp:extent cx="5214620" cy="1949450"/>
            <wp:effectExtent l="4445" t="4445" r="19685" b="825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1292" w:firstLineChars="404"/>
        <w:rPr>
          <w:rFonts w:hint="eastAsia" w:eastAsia="仿宋_GB2312" w:cs="仿宋_GB2312"/>
          <w:b/>
          <w:bCs/>
          <w:sz w:val="32"/>
          <w:szCs w:val="32"/>
        </w:rPr>
      </w:pPr>
      <w:r>
        <w:rPr>
          <w:rFonts w:hint="eastAsia" w:eastAsia="仿宋_GB2312" w:cs="仿宋_GB2312"/>
          <w:sz w:val="32"/>
          <w:szCs w:val="32"/>
        </w:rPr>
        <w:t>（图7：财政拨款“三公”经费支出结构）</w:t>
      </w:r>
    </w:p>
    <w:p>
      <w:pPr>
        <w:spacing w:line="600" w:lineRule="exact"/>
        <w:ind w:firstLine="640"/>
        <w:rPr>
          <w:rFonts w:ascii="仿宋_GB2312" w:eastAsia="仿宋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全年安排因公出国（境）团组0次，出国（境）0人。因公出国（境）支出决算与2024年持平，均无发生额。</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ascii="仿宋_GB2312" w:eastAsia="仿宋_GB2312"/>
          <w:b/>
          <w:color w:val="auto"/>
          <w:sz w:val="32"/>
          <w:szCs w:val="32"/>
          <w:highlight w:val="none"/>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0.77</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公务用车购置及运行维护费支出决算比2024年度增长0.37万元，</w:t>
      </w:r>
      <w:r>
        <w:rPr>
          <w:rFonts w:hint="eastAsia" w:ascii="仿宋_GB2312" w:hAnsi="仿宋_GB2312" w:eastAsia="仿宋_GB2312" w:cs="仿宋_GB2312"/>
          <w:kern w:val="2"/>
          <w:sz w:val="32"/>
          <w:szCs w:val="32"/>
          <w:lang w:val="en-US" w:eastAsia="zh-CN" w:bidi="ar-SA"/>
        </w:rPr>
        <w:t>增长了92.5%</w:t>
      </w:r>
      <w:r>
        <w:rPr>
          <w:rFonts w:hint="eastAsia" w:ascii="仿宋_GB2312" w:hAnsi="仿宋_GB2312" w:eastAsia="仿宋_GB2312" w:cs="仿宋_GB2312"/>
          <w:color w:val="auto"/>
          <w:kern w:val="2"/>
          <w:sz w:val="32"/>
          <w:szCs w:val="32"/>
          <w:highlight w:val="none"/>
          <w:lang w:val="en-US" w:eastAsia="zh-CN" w:bidi="ar-SA"/>
        </w:rPr>
        <w:t>。主要原因是24年车辆保险于25年支付，导致增长幅度较大。</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2024年12月31日，单位共有公务用车1辆，其中：轿车0辆、越野车1辆、载客汽车0辆。</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公务用车运行维护费支出0.77万元。主要用于公务用车保险费、维修费支出。</w:t>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bookmarkStart w:id="38" w:name="_Toc15377218"/>
      <w:bookmarkStart w:id="39" w:name="_Toc15396610"/>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公务接待费支出决算比2024年度持平，均无相关费用支出。</w:t>
      </w:r>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8"/>
      <w:bookmarkEnd w:id="39"/>
    </w:p>
    <w:p>
      <w:pPr>
        <w:spacing w:line="600" w:lineRule="exact"/>
        <w:ind w:firstLine="640"/>
        <w:rPr>
          <w:rFonts w:eastAsia="仿宋_GB2312" w:cs="仿宋_GB2312"/>
          <w:sz w:val="32"/>
          <w:szCs w:val="32"/>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2025年度政府性基金预算财政拨款支出0万元。</w:t>
      </w:r>
    </w:p>
    <w:p>
      <w:pPr>
        <w:spacing w:line="600" w:lineRule="exact"/>
        <w:ind w:left="630"/>
        <w:outlineLvl w:val="1"/>
        <w:rPr>
          <w:rStyle w:val="29"/>
          <w:rFonts w:ascii="Times New Roman" w:hAnsi="Times New Roman" w:eastAsia="黑体"/>
          <w:b w:val="0"/>
        </w:rPr>
      </w:pPr>
      <w:bookmarkStart w:id="40" w:name="_Toc15396611"/>
      <w:bookmarkStart w:id="41" w:name="_Toc15377219"/>
      <w:r>
        <w:rPr>
          <w:rStyle w:val="29"/>
          <w:rFonts w:hint="eastAsia" w:ascii="Times New Roman" w:hAnsi="Times New Roman" w:eastAsia="黑体"/>
          <w:b w:val="0"/>
        </w:rPr>
        <w:t>九、国有资本经营预算支出决算情况说明</w:t>
      </w:r>
      <w:bookmarkEnd w:id="40"/>
      <w:bookmarkEnd w:id="41"/>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2025年度国有资本经营预算财政拨款支出0万元。</w:t>
      </w:r>
    </w:p>
    <w:p>
      <w:pPr>
        <w:spacing w:line="600" w:lineRule="exact"/>
        <w:ind w:firstLine="640"/>
        <w:rPr>
          <w:rFonts w:eastAsia="仿宋_GB2312" w:cs="仿宋_GB2312"/>
          <w:sz w:val="32"/>
          <w:szCs w:val="32"/>
        </w:rPr>
      </w:pPr>
    </w:p>
    <w:p>
      <w:pPr>
        <w:spacing w:line="600" w:lineRule="exact"/>
        <w:ind w:left="630"/>
        <w:outlineLvl w:val="1"/>
        <w:rPr>
          <w:rStyle w:val="29"/>
          <w:rFonts w:ascii="Times New Roman" w:hAnsi="Times New Roman" w:eastAsia="黑体"/>
          <w:b w:val="0"/>
        </w:rPr>
      </w:pPr>
      <w:bookmarkStart w:id="42" w:name="_Toc15396612"/>
      <w:bookmarkStart w:id="43" w:name="_Toc15377221"/>
      <w:r>
        <w:rPr>
          <w:rStyle w:val="29"/>
          <w:rFonts w:hint="eastAsia" w:ascii="Times New Roman" w:hAnsi="Times New Roman" w:eastAsia="黑体"/>
          <w:b w:val="0"/>
        </w:rPr>
        <w:t>十、其他重要事项的情况说明</w:t>
      </w:r>
      <w:bookmarkEnd w:id="42"/>
      <w:bookmarkEnd w:id="43"/>
    </w:p>
    <w:p>
      <w:pPr>
        <w:spacing w:line="600" w:lineRule="exact"/>
        <w:ind w:firstLine="642" w:firstLineChars="200"/>
        <w:outlineLvl w:val="2"/>
        <w:rPr>
          <w:rFonts w:eastAsia="楷体_GB2312" w:cs="楷体_GB2312"/>
          <w:b/>
          <w:sz w:val="32"/>
          <w:szCs w:val="32"/>
        </w:rPr>
      </w:pPr>
      <w:bookmarkStart w:id="44" w:name="_Toc15377222"/>
      <w:r>
        <w:rPr>
          <w:rFonts w:hint="eastAsia" w:eastAsia="楷体_GB2312" w:cs="楷体_GB2312"/>
          <w:b/>
          <w:sz w:val="32"/>
          <w:szCs w:val="32"/>
        </w:rPr>
        <w:t>（一）机关运行经费支出情况</w:t>
      </w:r>
      <w:bookmarkEnd w:id="44"/>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2025年度，单位无机关运行经费支出事项。</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45" w:name="_Toc15377223"/>
      <w:r>
        <w:rPr>
          <w:rFonts w:hint="eastAsia" w:eastAsia="楷体_GB2312" w:cs="楷体_GB2312"/>
          <w:b/>
          <w:sz w:val="32"/>
          <w:szCs w:val="32"/>
        </w:rPr>
        <w:t>（二）政府采购支出情况</w:t>
      </w:r>
      <w:bookmarkEnd w:id="45"/>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2025年度，单位无政府采购支出。</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46" w:name="_Toc15377224"/>
      <w:r>
        <w:rPr>
          <w:rFonts w:hint="eastAsia" w:eastAsia="楷体_GB2312" w:cs="楷体_GB2312"/>
          <w:b/>
          <w:sz w:val="32"/>
          <w:szCs w:val="32"/>
        </w:rPr>
        <w:t>（三）国有资产占有使用情况</w:t>
      </w:r>
      <w:bookmarkEnd w:id="46"/>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四川省攀枝花市城市基本建设档案馆共有车辆1辆，其中：主要负责人用车0辆、机要通信用车0辆、应急保障用车0辆、其他用车1辆，其他用车主要是用于城建档案业务指导、验收、声像档案拍摄等工作，单价100万元以上专用设备0台（套）。</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预算绩效管理要求，本单位在2025年度预算编制阶段，组织对城建档案查询利用复印工本费、信息系统维护费等3个项目开展了预算事前绩效评估，对3个项目编制了绩效目标，预算执行过程中，选取3个项目开展绩效监控。</w:t>
      </w:r>
    </w:p>
    <w:p>
      <w:pPr>
        <w:spacing w:line="600" w:lineRule="exact"/>
        <w:ind w:firstLine="640"/>
        <w:rPr>
          <w:rFonts w:eastAsia="仿宋_GB2312" w:cs="仿宋_GB2312"/>
          <w:sz w:val="32"/>
          <w:szCs w:val="32"/>
        </w:rPr>
      </w:pPr>
    </w:p>
    <w:p>
      <w:pPr>
        <w:spacing w:line="600" w:lineRule="exact"/>
        <w:jc w:val="center"/>
        <w:outlineLvl w:val="0"/>
        <w:rPr>
          <w:rFonts w:hint="eastAsia" w:eastAsia="黑体"/>
          <w:sz w:val="44"/>
          <w:szCs w:val="44"/>
        </w:rPr>
      </w:pPr>
      <w:bookmarkStart w:id="47" w:name="_Toc15377225"/>
      <w:bookmarkStart w:id="48" w:name="_Toc15396613"/>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center"/>
        <w:outlineLvl w:val="0"/>
        <w:rPr>
          <w:rFonts w:hint="eastAsia" w:eastAsia="黑体"/>
          <w:sz w:val="44"/>
          <w:szCs w:val="44"/>
        </w:rPr>
      </w:pPr>
    </w:p>
    <w:p>
      <w:pPr>
        <w:spacing w:line="600" w:lineRule="exact"/>
        <w:jc w:val="both"/>
        <w:outlineLvl w:val="0"/>
        <w:rPr>
          <w:rFonts w:hint="eastAsia" w:eastAsia="黑体"/>
          <w:sz w:val="44"/>
          <w:szCs w:val="44"/>
        </w:rPr>
      </w:pPr>
    </w:p>
    <w:p>
      <w:pPr>
        <w:spacing w:line="600" w:lineRule="exact"/>
        <w:jc w:val="center"/>
        <w:outlineLvl w:val="0"/>
        <w:rPr>
          <w:rFonts w:eastAsia="黑体"/>
          <w:sz w:val="44"/>
          <w:szCs w:val="44"/>
        </w:rPr>
      </w:pPr>
      <w:r>
        <w:rPr>
          <w:rFonts w:hint="eastAsia" w:eastAsia="黑体"/>
          <w:sz w:val="44"/>
          <w:szCs w:val="44"/>
        </w:rPr>
        <w:t>第三部分  名词解释</w:t>
      </w:r>
      <w:bookmarkEnd w:id="47"/>
      <w:bookmarkEnd w:id="48"/>
    </w:p>
    <w:p>
      <w:pPr>
        <w:spacing w:line="600" w:lineRule="exact"/>
        <w:jc w:val="left"/>
        <w:rPr>
          <w:b/>
          <w:sz w:val="44"/>
          <w:szCs w:val="44"/>
        </w:rPr>
      </w:pP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49" w:name="_Toc15377226"/>
      <w:r>
        <w:rPr>
          <w:rFonts w:hint="eastAsia" w:ascii="仿宋_GB2312" w:hAnsi="仿宋_GB2312"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2.年初结转和结余：指以前年度尚未完成、结转到本年按有关规定继续使用的资金。</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3、年末结转和结余：指单位按有关规定结转到下年或以后年度继续使用的资金。</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4.社会保障和就业（类）行政事业单位养老支出（款）事业单位离退休（项）：指反映事业单位开支的离退休经费。</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5.社会保障和就业（类）行政事业单位养老支出（款）机关事业单位基本养老保险缴费支出（项）：指反映机关事业单位实施养老保险制度由单位缴纳的基本养老保险费支出。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6.城乡社区支出（类）城乡社区管理事务（款）其他城乡社区管理事务支出（项）：指反映其他用于其他城乡社区管理事务方面的支出。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7.住房保障（类）住房改革支出（款）住房公积金（项）：指反映行政事业单位按照人力资源和社会保障部、财政部规定的基本工资和津补贴以及规定比例为职工缴纳的住房公积金。</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8.基本支出：指为保障机构正常运转、完成日常工作任务而发生的人员支出和公用支出。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9.项目支出：指在基本支出之外为完成特定行政任务和事业发展目标所发生的支出。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center"/>
        <w:rPr>
          <w:rStyle w:val="28"/>
          <w:rFonts w:hint="eastAsia" w:ascii="Times New Roman" w:hAnsi="Times New Roman" w:eastAsia="黑体"/>
          <w:b w:val="0"/>
          <w:color w:val="auto"/>
          <w:highlight w:val="none"/>
          <w:lang w:eastAsia="zh-CN"/>
        </w:rPr>
      </w:pPr>
      <w:r>
        <w:rPr>
          <w:rFonts w:hint="eastAsia" w:eastAsia="仿宋_GB2312" w:cs="仿宋_GB2312"/>
          <w:sz w:val="32"/>
          <w:szCs w:val="32"/>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spacing w:line="600" w:lineRule="exact"/>
        <w:ind w:firstLine="640"/>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部门预算项目支出绩效自评表（2025年度）见附件3</w:t>
      </w:r>
    </w:p>
    <w:p>
      <w:pPr>
        <w:pStyle w:val="7"/>
        <w:spacing w:line="560" w:lineRule="exact"/>
        <w:ind w:left="0" w:leftChars="0" w:firstLine="643"/>
        <w:rPr>
          <w:rFonts w:ascii="Times New Roman" w:eastAsia="仿宋_GB2312" w:cs="仿宋_GB2312"/>
          <w:kern w:val="0"/>
          <w:sz w:val="32"/>
          <w:lang w:val="zh-CN"/>
        </w:rPr>
      </w:pPr>
    </w:p>
    <w:p>
      <w:pPr>
        <w:spacing w:line="572" w:lineRule="exact"/>
        <w:jc w:val="left"/>
        <w:outlineLvl w:val="0"/>
        <w:rPr>
          <w:rFonts w:eastAsia="黑体" w:cs="黑体"/>
          <w:color w:val="FF0000"/>
          <w:sz w:val="32"/>
          <w:szCs w:val="32"/>
        </w:rPr>
      </w:pPr>
    </w:p>
    <w:p>
      <w:pPr>
        <w:pStyle w:val="13"/>
      </w:pPr>
    </w:p>
    <w:p>
      <w:pPr>
        <w:spacing w:line="578" w:lineRule="exact"/>
        <w:ind w:firstLine="640"/>
        <w:rPr>
          <w:rFonts w:eastAsia="仿宋_GB2312" w:cs="仿宋_GB2312"/>
          <w:kern w:val="0"/>
          <w:sz w:val="32"/>
          <w:szCs w:val="32"/>
        </w:rPr>
      </w:pPr>
    </w:p>
    <w:p>
      <w:pPr>
        <w:spacing w:line="578" w:lineRule="exact"/>
        <w:ind w:firstLine="640"/>
        <w:rPr>
          <w:rFonts w:eastAsia="仿宋_GB2312" w:cs="仿宋_GB2312"/>
          <w:kern w:val="0"/>
          <w:sz w:val="32"/>
          <w:szCs w:val="32"/>
        </w:rPr>
      </w:pPr>
      <w:bookmarkStart w:id="51" w:name="_Toc15396618"/>
      <w:r>
        <w:rPr>
          <w:rFonts w:hint="eastAsia" w:eastAsia="仿宋_GB2312" w:cs="仿宋_GB2312"/>
          <w:kern w:val="0"/>
          <w:sz w:val="32"/>
          <w:szCs w:val="32"/>
        </w:rPr>
        <w:br w:type="page"/>
      </w:r>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49"/>
      <w:bookmarkEnd w:id="51"/>
      <w:bookmarkStart w:id="52"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2"/>
    </w:p>
    <w:p>
      <w:pPr>
        <w:pStyle w:val="14"/>
        <w:adjustRightInd w:val="0"/>
        <w:snapToGrid w:val="0"/>
        <w:spacing w:line="560" w:lineRule="exact"/>
        <w:jc w:val="left"/>
        <w:rPr>
          <w:rFonts w:eastAsia="仿宋_GB2312" w:cs="仿宋_GB2312"/>
          <w:sz w:val="32"/>
          <w:szCs w:val="32"/>
        </w:rPr>
      </w:pPr>
      <w:bookmarkStart w:id="53" w:name="_Toc15396620"/>
      <w:r>
        <w:rPr>
          <w:rFonts w:hint="eastAsia" w:eastAsia="仿宋_GB2312" w:cs="仿宋_GB2312"/>
          <w:sz w:val="32"/>
          <w:szCs w:val="32"/>
        </w:rPr>
        <w:t>二、收入决算表</w:t>
      </w:r>
      <w:bookmarkEnd w:id="53"/>
    </w:p>
    <w:p>
      <w:pPr>
        <w:pStyle w:val="14"/>
        <w:adjustRightInd w:val="0"/>
        <w:snapToGrid w:val="0"/>
        <w:spacing w:line="560" w:lineRule="exact"/>
        <w:jc w:val="left"/>
        <w:rPr>
          <w:rFonts w:eastAsia="仿宋_GB2312" w:cs="仿宋_GB2312"/>
          <w:sz w:val="32"/>
          <w:szCs w:val="32"/>
        </w:rPr>
      </w:pPr>
      <w:bookmarkStart w:id="54" w:name="_Toc15396621"/>
      <w:r>
        <w:rPr>
          <w:rFonts w:hint="eastAsia" w:eastAsia="仿宋_GB2312" w:cs="仿宋_GB2312"/>
          <w:sz w:val="32"/>
          <w:szCs w:val="32"/>
        </w:rPr>
        <w:t>三、支出决算表</w:t>
      </w:r>
      <w:bookmarkEnd w:id="54"/>
    </w:p>
    <w:p>
      <w:pPr>
        <w:pStyle w:val="14"/>
        <w:adjustRightInd w:val="0"/>
        <w:snapToGrid w:val="0"/>
        <w:spacing w:line="560" w:lineRule="exact"/>
        <w:jc w:val="left"/>
        <w:rPr>
          <w:rFonts w:eastAsia="仿宋_GB2312" w:cs="仿宋_GB2312"/>
          <w:sz w:val="32"/>
          <w:szCs w:val="32"/>
        </w:rPr>
      </w:pPr>
      <w:bookmarkStart w:id="55" w:name="_Toc15396622"/>
      <w:r>
        <w:rPr>
          <w:rFonts w:hint="eastAsia" w:eastAsia="仿宋_GB2312" w:cs="仿宋_GB2312"/>
          <w:sz w:val="32"/>
          <w:szCs w:val="32"/>
        </w:rPr>
        <w:t>四、财政拨款收入支出决算总表</w:t>
      </w:r>
      <w:bookmarkEnd w:id="55"/>
    </w:p>
    <w:p>
      <w:pPr>
        <w:pStyle w:val="14"/>
        <w:adjustRightInd w:val="0"/>
        <w:snapToGrid w:val="0"/>
        <w:spacing w:line="560" w:lineRule="exact"/>
        <w:jc w:val="left"/>
        <w:rPr>
          <w:rFonts w:eastAsia="仿宋_GB2312" w:cs="仿宋_GB2312"/>
          <w:sz w:val="32"/>
          <w:szCs w:val="32"/>
        </w:rPr>
      </w:pPr>
      <w:bookmarkStart w:id="56" w:name="_Toc15396623"/>
      <w:r>
        <w:rPr>
          <w:rFonts w:hint="eastAsia" w:eastAsia="仿宋_GB2312" w:cs="仿宋_GB2312"/>
          <w:sz w:val="32"/>
          <w:szCs w:val="32"/>
        </w:rPr>
        <w:t>五、财政拨款支出决算明细表</w:t>
      </w:r>
      <w:bookmarkEnd w:id="56"/>
      <w:bookmarkStart w:id="57"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7"/>
    </w:p>
    <w:p>
      <w:pPr>
        <w:pStyle w:val="14"/>
        <w:adjustRightInd w:val="0"/>
        <w:snapToGrid w:val="0"/>
        <w:spacing w:line="560" w:lineRule="exact"/>
        <w:jc w:val="left"/>
        <w:rPr>
          <w:rFonts w:eastAsia="仿宋_GB2312" w:cs="仿宋_GB2312"/>
          <w:sz w:val="32"/>
          <w:szCs w:val="32"/>
        </w:rPr>
      </w:pPr>
      <w:bookmarkStart w:id="58" w:name="_Toc15396625"/>
      <w:r>
        <w:rPr>
          <w:rFonts w:hint="eastAsia" w:eastAsia="仿宋_GB2312" w:cs="仿宋_GB2312"/>
          <w:sz w:val="32"/>
          <w:szCs w:val="32"/>
        </w:rPr>
        <w:t>七、一般公共预算财政拨款支出决算明细表</w:t>
      </w:r>
      <w:bookmarkEnd w:id="58"/>
    </w:p>
    <w:p>
      <w:pPr>
        <w:pStyle w:val="14"/>
        <w:adjustRightInd w:val="0"/>
        <w:snapToGrid w:val="0"/>
        <w:spacing w:line="560" w:lineRule="exact"/>
        <w:jc w:val="left"/>
        <w:rPr>
          <w:rFonts w:eastAsia="仿宋_GB2312" w:cs="仿宋_GB2312"/>
          <w:sz w:val="32"/>
          <w:szCs w:val="32"/>
        </w:rPr>
      </w:pPr>
      <w:bookmarkStart w:id="59" w:name="_Toc15396626"/>
      <w:r>
        <w:rPr>
          <w:rFonts w:hint="eastAsia" w:eastAsia="仿宋_GB2312" w:cs="仿宋_GB2312"/>
          <w:sz w:val="32"/>
          <w:szCs w:val="32"/>
        </w:rPr>
        <w:t>八、一般公共预算财政拨款基本支出决算表</w:t>
      </w:r>
      <w:bookmarkEnd w:id="59"/>
    </w:p>
    <w:p>
      <w:pPr>
        <w:pStyle w:val="14"/>
        <w:adjustRightInd w:val="0"/>
        <w:snapToGrid w:val="0"/>
        <w:spacing w:line="560" w:lineRule="exact"/>
        <w:jc w:val="left"/>
        <w:rPr>
          <w:rFonts w:eastAsia="仿宋_GB2312" w:cs="仿宋_GB2312"/>
          <w:sz w:val="32"/>
          <w:szCs w:val="32"/>
        </w:rPr>
      </w:pPr>
      <w:bookmarkStart w:id="60" w:name="_Toc15396627"/>
      <w:r>
        <w:rPr>
          <w:rFonts w:hint="eastAsia" w:eastAsia="仿宋_GB2312" w:cs="仿宋_GB2312"/>
          <w:sz w:val="32"/>
          <w:szCs w:val="32"/>
        </w:rPr>
        <w:t>九、一般公共预算财政拨款项目支出决算表</w:t>
      </w:r>
      <w:bookmarkEnd w:id="60"/>
    </w:p>
    <w:p>
      <w:pPr>
        <w:pStyle w:val="14"/>
        <w:adjustRightInd w:val="0"/>
        <w:snapToGrid w:val="0"/>
        <w:spacing w:line="560" w:lineRule="exact"/>
        <w:jc w:val="left"/>
        <w:rPr>
          <w:rFonts w:eastAsia="仿宋_GB2312" w:cs="仿宋_GB2312"/>
          <w:sz w:val="32"/>
          <w:szCs w:val="32"/>
        </w:rPr>
      </w:pPr>
      <w:bookmarkStart w:id="61" w:name="_Toc15396628"/>
      <w:r>
        <w:rPr>
          <w:rFonts w:hint="eastAsia" w:eastAsia="仿宋_GB2312" w:cs="仿宋_GB2312"/>
          <w:sz w:val="32"/>
          <w:szCs w:val="32"/>
        </w:rPr>
        <w:t>十、</w:t>
      </w:r>
      <w:bookmarkEnd w:id="61"/>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62" w:name="_Toc15396629"/>
      <w:r>
        <w:rPr>
          <w:rFonts w:hint="eastAsia" w:eastAsia="仿宋_GB2312" w:cs="仿宋_GB2312"/>
          <w:sz w:val="32"/>
          <w:szCs w:val="32"/>
        </w:rPr>
        <w:t>十一、</w:t>
      </w:r>
      <w:bookmarkEnd w:id="62"/>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63" w:name="_Toc15396630"/>
      <w:r>
        <w:rPr>
          <w:rFonts w:hint="eastAsia" w:eastAsia="仿宋_GB2312" w:cs="仿宋_GB2312"/>
          <w:sz w:val="32"/>
          <w:szCs w:val="32"/>
        </w:rPr>
        <w:t>十二、</w:t>
      </w:r>
      <w:bookmarkEnd w:id="63"/>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4" w:name="_Toc15396631"/>
      <w:r>
        <w:rPr>
          <w:rFonts w:hint="eastAsia" w:eastAsia="仿宋_GB2312" w:cs="仿宋_GB2312"/>
          <w:sz w:val="32"/>
          <w:szCs w:val="32"/>
        </w:rPr>
        <w:t>十三、</w:t>
      </w:r>
      <w:bookmarkEnd w:id="64"/>
      <w:r>
        <w:rPr>
          <w:rFonts w:hint="eastAsia" w:eastAsia="仿宋_GB2312" w:cs="仿宋_GB2312"/>
          <w:sz w:val="32"/>
          <w:szCs w:val="32"/>
        </w:rPr>
        <w:t>财政拨款“三公”经费支出决算表</w:t>
      </w:r>
    </w:p>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A54690"/>
    <w:multiLevelType w:val="singleLevel"/>
    <w:tmpl w:val="DAA5469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mYzgxYzNmYWY5ZjgzODAxYjdkZjg0YzAxMWYxOT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316A"/>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432557"/>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5D43C05"/>
    <w:rsid w:val="165E0673"/>
    <w:rsid w:val="16BB723D"/>
    <w:rsid w:val="186504BB"/>
    <w:rsid w:val="1938089F"/>
    <w:rsid w:val="19A445FC"/>
    <w:rsid w:val="1A6702DA"/>
    <w:rsid w:val="1B03022F"/>
    <w:rsid w:val="1B7D550C"/>
    <w:rsid w:val="1BE8440E"/>
    <w:rsid w:val="1CB533A4"/>
    <w:rsid w:val="1D155CEE"/>
    <w:rsid w:val="1E740ACF"/>
    <w:rsid w:val="1FF35744"/>
    <w:rsid w:val="1FF6BC77"/>
    <w:rsid w:val="21962A9E"/>
    <w:rsid w:val="21AE7C77"/>
    <w:rsid w:val="22BC3C41"/>
    <w:rsid w:val="23725C3A"/>
    <w:rsid w:val="23860B96"/>
    <w:rsid w:val="240371BF"/>
    <w:rsid w:val="260F557C"/>
    <w:rsid w:val="281408E2"/>
    <w:rsid w:val="282D518A"/>
    <w:rsid w:val="29FD04D3"/>
    <w:rsid w:val="2BFF7BC6"/>
    <w:rsid w:val="2C8A61B5"/>
    <w:rsid w:val="2D2E01CF"/>
    <w:rsid w:val="2DF04E50"/>
    <w:rsid w:val="2E7A43F6"/>
    <w:rsid w:val="2E9545B0"/>
    <w:rsid w:val="2F040D46"/>
    <w:rsid w:val="2FAE5751"/>
    <w:rsid w:val="2FB1A395"/>
    <w:rsid w:val="2FD9A7D8"/>
    <w:rsid w:val="319F7F4E"/>
    <w:rsid w:val="321B2544"/>
    <w:rsid w:val="3304709D"/>
    <w:rsid w:val="33177B76"/>
    <w:rsid w:val="34281836"/>
    <w:rsid w:val="349D6851"/>
    <w:rsid w:val="34EA39B0"/>
    <w:rsid w:val="35BA6CAF"/>
    <w:rsid w:val="364D14C1"/>
    <w:rsid w:val="36AA5135"/>
    <w:rsid w:val="36BE0DA7"/>
    <w:rsid w:val="375A6043"/>
    <w:rsid w:val="376B6AA6"/>
    <w:rsid w:val="376D39B2"/>
    <w:rsid w:val="37E16F03"/>
    <w:rsid w:val="37F53A3B"/>
    <w:rsid w:val="389B6C89"/>
    <w:rsid w:val="38D469F0"/>
    <w:rsid w:val="39627CCD"/>
    <w:rsid w:val="397BAF1F"/>
    <w:rsid w:val="3AB79AF3"/>
    <w:rsid w:val="3B7EF35A"/>
    <w:rsid w:val="3B9FDB6C"/>
    <w:rsid w:val="3BF5BC2F"/>
    <w:rsid w:val="3CE32EB1"/>
    <w:rsid w:val="3CEBA265"/>
    <w:rsid w:val="3D98207C"/>
    <w:rsid w:val="3D9B0D99"/>
    <w:rsid w:val="3DEE7CF3"/>
    <w:rsid w:val="3DF02244"/>
    <w:rsid w:val="3E78745D"/>
    <w:rsid w:val="3F1606F5"/>
    <w:rsid w:val="3FF4CAE0"/>
    <w:rsid w:val="3FF7B227"/>
    <w:rsid w:val="40E54C45"/>
    <w:rsid w:val="4220769D"/>
    <w:rsid w:val="4274319C"/>
    <w:rsid w:val="43A407DF"/>
    <w:rsid w:val="44515BEA"/>
    <w:rsid w:val="44E268DA"/>
    <w:rsid w:val="453F7E5B"/>
    <w:rsid w:val="454F1606"/>
    <w:rsid w:val="48205DD0"/>
    <w:rsid w:val="486A6C7A"/>
    <w:rsid w:val="490A6124"/>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54A2643"/>
    <w:rsid w:val="55E878E8"/>
    <w:rsid w:val="56E47B74"/>
    <w:rsid w:val="57BD3DD4"/>
    <w:rsid w:val="59F90AC4"/>
    <w:rsid w:val="5AF92295"/>
    <w:rsid w:val="5BDD79E6"/>
    <w:rsid w:val="5BF561CA"/>
    <w:rsid w:val="5BFF5DFC"/>
    <w:rsid w:val="5CD71FC4"/>
    <w:rsid w:val="5D054B7B"/>
    <w:rsid w:val="5D1F11B5"/>
    <w:rsid w:val="5DAE1B18"/>
    <w:rsid w:val="5DE7D9E5"/>
    <w:rsid w:val="5DF14D75"/>
    <w:rsid w:val="5ECEC941"/>
    <w:rsid w:val="5F493CB7"/>
    <w:rsid w:val="5FBF9FF3"/>
    <w:rsid w:val="5FCD4E2C"/>
    <w:rsid w:val="5FD15F49"/>
    <w:rsid w:val="5FEF394A"/>
    <w:rsid w:val="5FF67715"/>
    <w:rsid w:val="62BF3928"/>
    <w:rsid w:val="647F5392"/>
    <w:rsid w:val="65AD4D1F"/>
    <w:rsid w:val="662D1633"/>
    <w:rsid w:val="664B1D71"/>
    <w:rsid w:val="67AA3209"/>
    <w:rsid w:val="681C4F0D"/>
    <w:rsid w:val="69046D0F"/>
    <w:rsid w:val="698D0931"/>
    <w:rsid w:val="699B27EA"/>
    <w:rsid w:val="69D42D50"/>
    <w:rsid w:val="6A3C509D"/>
    <w:rsid w:val="6A993CED"/>
    <w:rsid w:val="6B053271"/>
    <w:rsid w:val="6BC9569B"/>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FC4273"/>
    <w:rsid w:val="712A28F1"/>
    <w:rsid w:val="715C0E4B"/>
    <w:rsid w:val="72233669"/>
    <w:rsid w:val="72734D90"/>
    <w:rsid w:val="72BF32CC"/>
    <w:rsid w:val="7332FE48"/>
    <w:rsid w:val="738D2368"/>
    <w:rsid w:val="73AB61DA"/>
    <w:rsid w:val="73AD73D5"/>
    <w:rsid w:val="73B6EB34"/>
    <w:rsid w:val="73FA497D"/>
    <w:rsid w:val="742F1CDB"/>
    <w:rsid w:val="744731E5"/>
    <w:rsid w:val="74527205"/>
    <w:rsid w:val="74BBD01D"/>
    <w:rsid w:val="74ED5379"/>
    <w:rsid w:val="74FC2395"/>
    <w:rsid w:val="75DEEEC2"/>
    <w:rsid w:val="76E3355F"/>
    <w:rsid w:val="76FF5125"/>
    <w:rsid w:val="770B3BDD"/>
    <w:rsid w:val="776F6FFA"/>
    <w:rsid w:val="778769C8"/>
    <w:rsid w:val="77DC22F5"/>
    <w:rsid w:val="79086DAD"/>
    <w:rsid w:val="79974F09"/>
    <w:rsid w:val="79D7FD79"/>
    <w:rsid w:val="79EE5BA4"/>
    <w:rsid w:val="7A894339"/>
    <w:rsid w:val="7AFF7572"/>
    <w:rsid w:val="7B6C7DFB"/>
    <w:rsid w:val="7BAA4A3D"/>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0672C"/>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2B1AAF"/>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BF557"/>
    <w:rsid w:val="FEED32F6"/>
    <w:rsid w:val="FEF781DD"/>
    <w:rsid w:val="FF3F7E3F"/>
    <w:rsid w:val="FFBA12D7"/>
    <w:rsid w:val="FFDFFAEE"/>
    <w:rsid w:val="FFEF3FE4"/>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X%20&#24037;&#20316;&#34920;%20(2).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X%20&#24037;&#20316;&#34920;%20(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X%20&#24037;&#20316;&#34920;%20(2).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X%20&#24037;&#20316;&#34920;%20(2).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X%20&#24037;&#20316;&#34920;%20(2).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20(2).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6032;&#24314;%20XLSX%20&#24037;&#20316;&#34920;%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false"/>
      <c:spPr>
        <a:noFill/>
        <a:ln>
          <a:noFill/>
        </a:ln>
        <a:effectLst/>
      </c:spPr>
    </c:title>
    <c:autoTitleDeleted val="false"/>
    <c:plotArea>
      <c:layout/>
      <c:barChart>
        <c:barDir val="col"/>
        <c:grouping val="clustered"/>
        <c:varyColors val="false"/>
        <c:ser>
          <c:idx val="0"/>
          <c:order val="0"/>
          <c:tx>
            <c:strRef>
              <c:f>'[新建 XLSX 工作表 (2).xlsx]Sheet1'!$A$3</c:f>
              <c:strCache>
                <c:ptCount val="1"/>
                <c:pt idx="0">
                  <c:v>总收入</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numRef>
              <c:f>'[新建 XLSX 工作表 (2).xlsx]Sheet1'!$B$2:$C$2</c:f>
              <c:numCache>
                <c:formatCode>General</c:formatCode>
                <c:ptCount val="2"/>
                <c:pt idx="0">
                  <c:v>2024</c:v>
                </c:pt>
                <c:pt idx="1">
                  <c:v>2025</c:v>
                </c:pt>
              </c:numCache>
            </c:numRef>
          </c:cat>
          <c:val>
            <c:numRef>
              <c:f>'[新建 XLSX 工作表 (2).xlsx]Sheet1'!$B$3:$C$3</c:f>
              <c:numCache>
                <c:formatCode>General</c:formatCode>
                <c:ptCount val="2"/>
                <c:pt idx="0">
                  <c:v>305.57</c:v>
                </c:pt>
                <c:pt idx="1">
                  <c:v>305.74</c:v>
                </c:pt>
              </c:numCache>
            </c:numRef>
          </c:val>
        </c:ser>
        <c:ser>
          <c:idx val="1"/>
          <c:order val="1"/>
          <c:tx>
            <c:strRef>
              <c:f>'[新建 XLSX 工作表 (2).xlsx]Sheet1'!$A$4</c:f>
              <c:strCache>
                <c:ptCount val="1"/>
                <c:pt idx="0">
                  <c:v>总支出</c:v>
                </c:pt>
              </c:strCache>
            </c:strRef>
          </c:tx>
          <c:spPr>
            <a:solidFill>
              <a:schemeClr val="accent2"/>
            </a:solidFill>
            <a:ln>
              <a:noFill/>
            </a:ln>
            <a:effectLst/>
          </c:spPr>
          <c:invertIfNegative val="false"/>
          <c:dLbls>
            <c:dLbl>
              <c:idx val="0"/>
              <c:layout>
                <c:manualLayout>
                  <c:x val="0.0218123496391339"/>
                  <c:y val="-0.00496102055279943"/>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0.0392943063352045"/>
                  <c:y val="-0.00460666194188519"/>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numRef>
              <c:f>'[新建 XLSX 工作表 (2).xlsx]Sheet1'!$B$2:$C$2</c:f>
              <c:numCache>
                <c:formatCode>General</c:formatCode>
                <c:ptCount val="2"/>
                <c:pt idx="0">
                  <c:v>2024</c:v>
                </c:pt>
                <c:pt idx="1">
                  <c:v>2025</c:v>
                </c:pt>
              </c:numCache>
            </c:numRef>
          </c:cat>
          <c:val>
            <c:numRef>
              <c:f>'[新建 XLSX 工作表 (2).xlsx]Sheet1'!$B$4:$C$4</c:f>
              <c:numCache>
                <c:formatCode>General</c:formatCode>
                <c:ptCount val="2"/>
                <c:pt idx="0">
                  <c:v>305.57</c:v>
                </c:pt>
                <c:pt idx="1">
                  <c:v>305.74</c:v>
                </c:pt>
              </c:numCache>
            </c:numRef>
          </c:val>
        </c:ser>
        <c:dLbls>
          <c:showLegendKey val="false"/>
          <c:showVal val="true"/>
          <c:showCatName val="false"/>
          <c:showSerName val="false"/>
          <c:showPercent val="false"/>
          <c:showBubbleSize val="false"/>
        </c:dLbls>
        <c:gapWidth val="150"/>
        <c:overlap val="0"/>
        <c:axId val="43902828"/>
        <c:axId val="598168769"/>
      </c:barChart>
      <c:catAx>
        <c:axId val="43902828"/>
        <c:scaling>
          <c:orientation val="minMax"/>
        </c:scaling>
        <c:delete val="false"/>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98168769"/>
        <c:crosses val="autoZero"/>
        <c:auto val="true"/>
        <c:lblAlgn val="ctr"/>
        <c:lblOffset val="100"/>
        <c:noMultiLvlLbl val="false"/>
      </c:catAx>
      <c:valAx>
        <c:axId val="598168769"/>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3902828"/>
        <c:crosses val="autoZero"/>
        <c:crossBetween val="between"/>
      </c:valAx>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false"/>
      <c:spPr>
        <a:noFill/>
        <a:ln>
          <a:noFill/>
        </a:ln>
        <a:effectLst/>
      </c:spPr>
    </c:title>
    <c:autoTitleDeleted val="false"/>
    <c:plotArea>
      <c:layout/>
      <c:pieChart>
        <c:varyColors val="true"/>
        <c:ser>
          <c:idx val="0"/>
          <c:order val="0"/>
          <c:tx>
            <c:strRef>
              <c:f>'[新建 XLSX 工作表 (2).xlsx]Sheet1'!$A$16</c:f>
              <c:strCache>
                <c:ptCount val="1"/>
                <c:pt idx="0">
                  <c:v>一般公共预算财政拨款收入</c:v>
                </c:pt>
              </c:strCache>
            </c:strRef>
          </c:tx>
          <c:spPr/>
          <c:explosion val="0"/>
          <c:dPt>
            <c:idx val="0"/>
            <c:bubble3D val="false"/>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val>
            <c:numRef>
              <c:f>'[新建 XLSX 工作表 (2).xlsx]Sheet1'!$B$16</c:f>
              <c:numCache>
                <c:formatCode>0%</c:formatCode>
                <c:ptCount val="1"/>
                <c:pt idx="0">
                  <c:v>1</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'[新建 XLSX 工作表 (2).xlsx]Sheet1'!$A$24:$A$25</c:f>
              <c:strCache>
                <c:ptCount val="2"/>
                <c:pt idx="0">
                  <c:v>基本支出</c:v>
                </c:pt>
                <c:pt idx="1">
                  <c:v>项目支出</c:v>
                </c:pt>
              </c:strCache>
            </c:strRef>
          </c:cat>
          <c:val>
            <c:numRef>
              <c:f>'[新建 XLSX 工作表 (2).xlsx]Sheet1'!$B$24:$B$25</c:f>
              <c:numCache>
                <c:formatCode>General</c:formatCode>
                <c:ptCount val="2"/>
                <c:pt idx="0">
                  <c:v>277.44</c:v>
                </c:pt>
                <c:pt idx="1">
                  <c:v>28.3</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manualLayout>
          <c:xMode val="edge"/>
          <c:yMode val="edge"/>
          <c:x val="0.188905109489051"/>
          <c:y val="0.00966183574879227"/>
        </c:manualLayout>
      </c:layout>
      <c:overlay val="false"/>
      <c:spPr>
        <a:noFill/>
        <a:ln>
          <a:noFill/>
        </a:ln>
        <a:effectLst/>
      </c:spPr>
    </c:title>
    <c:autoTitleDeleted val="false"/>
    <c:plotArea>
      <c:layout>
        <c:manualLayout>
          <c:layoutTarget val="inner"/>
          <c:xMode val="edge"/>
          <c:yMode val="edge"/>
          <c:x val="0.123299270072993"/>
          <c:y val="0.28792270531401"/>
          <c:w val="0.844583941605839"/>
          <c:h val="0.493848631239936"/>
        </c:manualLayout>
      </c:layout>
      <c:barChart>
        <c:barDir val="col"/>
        <c:grouping val="clustered"/>
        <c:varyColors val="false"/>
        <c:ser>
          <c:idx val="0"/>
          <c:order val="0"/>
          <c:tx>
            <c:strRef>
              <c:f>'[新建 XLSX 工作表 (2).xlsx]Sheet1'!$A$42</c:f>
              <c:strCache>
                <c:ptCount val="1"/>
                <c:pt idx="0">
                  <c:v>总收入</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numRef>
              <c:f>'[新建 XLSX 工作表 (2).xlsx]Sheet1'!$B$41:$C$41</c:f>
              <c:numCache>
                <c:formatCode>General</c:formatCode>
                <c:ptCount val="2"/>
                <c:pt idx="0">
                  <c:v>2024</c:v>
                </c:pt>
                <c:pt idx="1">
                  <c:v>2025</c:v>
                </c:pt>
              </c:numCache>
            </c:numRef>
          </c:cat>
          <c:val>
            <c:numRef>
              <c:f>'[新建 XLSX 工作表 (2).xlsx]Sheet1'!$B$42:$C$42</c:f>
              <c:numCache>
                <c:formatCode>General</c:formatCode>
                <c:ptCount val="2"/>
                <c:pt idx="0">
                  <c:v>305.57</c:v>
                </c:pt>
                <c:pt idx="1">
                  <c:v>305.74</c:v>
                </c:pt>
              </c:numCache>
            </c:numRef>
          </c:val>
        </c:ser>
        <c:ser>
          <c:idx val="1"/>
          <c:order val="1"/>
          <c:tx>
            <c:strRef>
              <c:f>'[新建 XLSX 工作表 (2).xlsx]Sheet1'!$A$43</c:f>
              <c:strCache>
                <c:ptCount val="1"/>
                <c:pt idx="0">
                  <c:v>总支出</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numRef>
              <c:f>'[新建 XLSX 工作表 (2).xlsx]Sheet1'!$B$41:$C$41</c:f>
              <c:numCache>
                <c:formatCode>General</c:formatCode>
                <c:ptCount val="2"/>
                <c:pt idx="0">
                  <c:v>2024</c:v>
                </c:pt>
                <c:pt idx="1">
                  <c:v>2025</c:v>
                </c:pt>
              </c:numCache>
            </c:numRef>
          </c:cat>
          <c:val>
            <c:numRef>
              <c:f>'[新建 XLSX 工作表 (2).xlsx]Sheet1'!$B$43:$C$43</c:f>
              <c:numCache>
                <c:formatCode>General</c:formatCode>
                <c:ptCount val="2"/>
                <c:pt idx="0">
                  <c:v>305.57</c:v>
                </c:pt>
                <c:pt idx="1">
                  <c:v>305.74</c:v>
                </c:pt>
              </c:numCache>
            </c:numRef>
          </c:val>
        </c:ser>
        <c:dLbls>
          <c:showLegendKey val="false"/>
          <c:showVal val="true"/>
          <c:showCatName val="false"/>
          <c:showSerName val="false"/>
          <c:showPercent val="false"/>
          <c:showBubbleSize val="false"/>
        </c:dLbls>
        <c:gapWidth val="246"/>
        <c:overlap val="-28"/>
        <c:axId val="391158058"/>
        <c:axId val="997685637"/>
      </c:barChart>
      <c:catAx>
        <c:axId val="391158058"/>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97685637"/>
        <c:crosses val="autoZero"/>
        <c:auto val="true"/>
        <c:lblAlgn val="ctr"/>
        <c:lblOffset val="100"/>
        <c:noMultiLvlLbl val="false"/>
      </c:catAx>
      <c:valAx>
        <c:axId val="997685637"/>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91158058"/>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149996900629666"/>
          <c:y val="0.0225200009907611"/>
        </c:manualLayout>
      </c:layout>
      <c:overlay val="false"/>
      <c:spPr>
        <a:noFill/>
        <a:ln>
          <a:noFill/>
        </a:ln>
        <a:effectLst/>
      </c:spPr>
    </c:title>
    <c:autoTitleDeleted val="false"/>
    <c:plotArea>
      <c:layout/>
      <c:barChart>
        <c:barDir val="col"/>
        <c:grouping val="clustered"/>
        <c:varyColors val="false"/>
        <c:ser>
          <c:idx val="0"/>
          <c:order val="0"/>
          <c:tx>
            <c:strRef>
              <c:f>'[新建 XLSX 工作表 (2).xlsx]Sheet1'!$B$52</c:f>
              <c:strCache>
                <c:ptCount val="1"/>
                <c:pt idx="0">
                  <c:v>一般公共预算财政拨款支出</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numRef>
              <c:f>'[新建 XLSX 工作表 (2).xlsx]Sheet1'!$A$53:$A$54</c:f>
              <c:numCache>
                <c:formatCode>General</c:formatCode>
                <c:ptCount val="2"/>
                <c:pt idx="0">
                  <c:v>2024</c:v>
                </c:pt>
                <c:pt idx="1">
                  <c:v>2025</c:v>
                </c:pt>
              </c:numCache>
            </c:numRef>
          </c:cat>
          <c:val>
            <c:numRef>
              <c:f>'[新建 XLSX 工作表 (2).xlsx]Sheet1'!$B$53:$B$54</c:f>
              <c:numCache>
                <c:formatCode>General</c:formatCode>
                <c:ptCount val="2"/>
                <c:pt idx="0">
                  <c:v>305.57</c:v>
                </c:pt>
                <c:pt idx="1">
                  <c:v>305.74</c:v>
                </c:pt>
              </c:numCache>
            </c:numRef>
          </c:val>
        </c:ser>
        <c:dLbls>
          <c:showLegendKey val="false"/>
          <c:showVal val="true"/>
          <c:showCatName val="false"/>
          <c:showSerName val="false"/>
          <c:showPercent val="false"/>
          <c:showBubbleSize val="false"/>
        </c:dLbls>
        <c:gapWidth val="246"/>
        <c:overlap val="-28"/>
        <c:axId val="31126393"/>
        <c:axId val="601985041"/>
      </c:barChart>
      <c:catAx>
        <c:axId val="31126393"/>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01985041"/>
        <c:crosses val="autoZero"/>
        <c:auto val="true"/>
        <c:lblAlgn val="ctr"/>
        <c:lblOffset val="100"/>
        <c:noMultiLvlLbl val="false"/>
      </c:catAx>
      <c:valAx>
        <c:axId val="601985041"/>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1126393"/>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'[新建 XLSX 工作表 (2).xlsx]Sheet1'!$A$66:$A$69</c:f>
              <c:strCache>
                <c:ptCount val="4"/>
                <c:pt idx="0">
                  <c:v>社会保障和就业支出</c:v>
                </c:pt>
                <c:pt idx="1">
                  <c:v>卫生健康支出</c:v>
                </c:pt>
                <c:pt idx="2">
                  <c:v>住房保障支出</c:v>
                </c:pt>
                <c:pt idx="3">
                  <c:v>城乡社区支出</c:v>
                </c:pt>
              </c:strCache>
            </c:strRef>
          </c:cat>
          <c:val>
            <c:numRef>
              <c:f>'[新建 XLSX 工作表 (2).xlsx]Sheet1'!$B$66:$B$69</c:f>
              <c:numCache>
                <c:formatCode>0.00%</c:formatCode>
                <c:ptCount val="4"/>
                <c:pt idx="0">
                  <c:v>0.2525</c:v>
                </c:pt>
                <c:pt idx="1">
                  <c:v>0.0039</c:v>
                </c:pt>
                <c:pt idx="2">
                  <c:v>0.0535</c:v>
                </c:pt>
                <c:pt idx="3">
                  <c:v>0.6901</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900" b="1" i="0" u="none" strike="noStrike" kern="1200" baseline="0">
              <a:solidFill>
                <a:schemeClr val="tx1">
                  <a:lumMod val="75000"/>
                  <a:lumOff val="25000"/>
                </a:schemeClr>
              </a:solidFill>
              <a:latin typeface="+mn-lt"/>
              <a:ea typeface="+mn-ea"/>
              <a:cs typeface="+mn-cs"/>
            </a:defRPr>
          </a:pPr>
        </a:p>
      </c:txPr>
    </c:title>
    <c:autoTitleDeleted val="false"/>
    <c:plotArea>
      <c:layout/>
      <c:pieChart>
        <c:varyColors val="true"/>
        <c:ser>
          <c:idx val="0"/>
          <c:order val="0"/>
          <c:tx>
            <c:strRef>
              <c:f>'[新建 XLSX 工作表 (2).xlsx]Sheet1'!$A$79</c:f>
              <c:strCache>
                <c:ptCount val="1"/>
                <c:pt idx="0">
                  <c:v>财政拨款“三公”经费支出结构</c:v>
                </c:pt>
              </c:strCache>
            </c:strRef>
          </c:tx>
          <c:spPr/>
          <c:explosion val="0"/>
          <c:dPt>
            <c:idx val="0"/>
            <c:bubble3D val="false"/>
            <c:spPr>
              <a:solidFill>
                <a:schemeClr val="accent1"/>
              </a:solidFill>
              <a:ln>
                <a:solidFill>
                  <a:schemeClr val="bg1"/>
                </a:solidFill>
              </a:ln>
              <a:effectLst/>
            </c:spPr>
          </c:dPt>
          <c:dLbls>
            <c:delete val="true"/>
          </c:dLbls>
          <c:cat>
            <c:strRef>
              <c:f>'[新建 XLSX 工作表 (2).xlsx]Sheet1'!$B$78</c:f>
              <c:strCache>
                <c:ptCount val="1"/>
                <c:pt idx="0">
                  <c:v>公务用车购置及运行维护费支出</c:v>
                </c:pt>
              </c:strCache>
            </c:strRef>
          </c:cat>
          <c:val>
            <c:numRef>
              <c:f>'[新建 XLSX 工作表 (2).xlsx]Sheet1'!$B$79</c:f>
              <c:numCache>
                <c:formatCode>0%</c:formatCode>
                <c:ptCount val="1"/>
                <c:pt idx="0">
                  <c:v>1</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1334</Words>
  <Characters>7606</Characters>
  <Lines>63</Lines>
  <Paragraphs>17</Paragraphs>
  <TotalTime>83</TotalTime>
  <ScaleCrop>false</ScaleCrop>
  <LinksUpToDate>false</LinksUpToDate>
  <CharactersWithSpaces>8923</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2026-08-27T16:27:00Z</cp:lastPrinted>
  <dcterms:modified xsi:type="dcterms:W3CDTF">2026-09-15T10:56:55Z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3BF536824C220DA3E40E8B68BA118B1C_42</vt:lpwstr>
  </property>
</Properties>
</file>