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93"/>
        <w:rPr>
          <w:rFonts w:ascii="Times New Roman" w:eastAsia="方正小标宋简体"/>
          <w:kern w:val="2"/>
          <w:sz w:val="72"/>
          <w:szCs w:val="72"/>
        </w:rPr>
      </w:pPr>
      <w:bookmarkStart w:id="0" w:name="_Toc15377425"/>
      <w:bookmarkStart w:id="1" w:name="_Toc15396597"/>
      <w:bookmarkStart w:id="2" w:name="_Toc15377193"/>
      <w:bookmarkStart w:id="3" w:name="_Toc15378441"/>
      <w:bookmarkStart w:id="4" w:name="_Toc15306267"/>
      <w:bookmarkStart w:id="5" w:name="_Toc15396475"/>
    </w:p>
    <w:p>
      <w:pPr>
        <w:pStyle w:val="5"/>
        <w:spacing w:before="93"/>
        <w:rPr>
          <w:rFonts w:ascii="Times New Roman" w:eastAsia="方正小标宋简体"/>
          <w:kern w:val="2"/>
          <w:sz w:val="72"/>
          <w:szCs w:val="72"/>
        </w:rPr>
      </w:pPr>
    </w:p>
    <w:p>
      <w:pPr>
        <w:pStyle w:val="5"/>
        <w:spacing w:before="93"/>
        <w:rPr>
          <w:rFonts w:ascii="Times New Roman" w:eastAsia="方正小标宋简体"/>
          <w:kern w:val="2"/>
          <w:sz w:val="72"/>
          <w:szCs w:val="72"/>
        </w:rPr>
      </w:pPr>
    </w:p>
    <w:p>
      <w:pPr>
        <w:pStyle w:val="5"/>
        <w:spacing w:before="93"/>
        <w:rPr>
          <w:rFonts w:hint="eastAsia" w:ascii="Times New Roman" w:eastAsia="方正小标宋简体"/>
          <w:kern w:val="2"/>
          <w:sz w:val="72"/>
          <w:szCs w:val="72"/>
        </w:rPr>
      </w:pPr>
    </w:p>
    <w:p>
      <w:pPr>
        <w:pStyle w:val="5"/>
        <w:spacing w:before="93"/>
        <w:jc w:val="center"/>
        <w:rPr>
          <w:rFonts w:ascii="Times New Roman" w:eastAsia="方正小标宋简体"/>
          <w:kern w:val="2"/>
          <w:sz w:val="44"/>
          <w:szCs w:val="44"/>
        </w:rPr>
      </w:pPr>
    </w:p>
    <w:p>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年度四川省攀枝花市建筑节能和绿色建筑发展中心单位决算</w:t>
      </w:r>
    </w:p>
    <w:p>
      <w:pPr>
        <w:spacing w:line="600" w:lineRule="exact"/>
        <w:jc w:val="center"/>
        <w:outlineLvl w:val="0"/>
        <w:rPr>
          <w:rFonts w:eastAsia="方正小标宋简体"/>
          <w:sz w:val="72"/>
          <w:szCs w:val="72"/>
        </w:rPr>
      </w:pPr>
    </w:p>
    <w:p>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bookmarkEnd w:id="0"/>
    <w:bookmarkEnd w:id="1"/>
    <w:bookmarkEnd w:id="2"/>
    <w:bookmarkEnd w:id="3"/>
    <w:bookmarkEnd w:id="4"/>
    <w:bookmarkEnd w:id="5"/>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公开时间：2026年 </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 xml:space="preserve"> 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w:t>
      </w:r>
    </w:p>
    <w:p>
      <w:pPr>
        <w:pStyle w:val="12"/>
        <w:jc w:val="left"/>
        <w:rPr>
          <w:rFonts w:hint="eastAsia" w:ascii="仿宋_GB2312" w:hAnsi="仿宋_GB2312" w:eastAsia="仿宋_GB2312" w:cs="仿宋_GB2312"/>
          <w:sz w:val="32"/>
          <w:szCs w:val="32"/>
        </w:rPr>
      </w:pPr>
      <w:bookmarkStart w:id="6" w:name="_Toc15377196"/>
      <w:bookmarkStart w:id="7" w:name="_Toc15396599"/>
      <w:r>
        <w:rPr>
          <w:rFonts w:hint="eastAsia" w:ascii="仿宋_GB2312" w:hAnsi="仿宋_GB2312" w:eastAsia="仿宋_GB2312" w:cs="仿宋_GB2312"/>
          <w:sz w:val="32"/>
          <w:szCs w:val="32"/>
        </w:rPr>
        <w:t>第一部分 单位概况</w:t>
      </w:r>
    </w:p>
    <w:p>
      <w:pPr>
        <w:pStyle w:val="12"/>
        <w:rPr>
          <w:rFonts w:hint="eastAsia" w:ascii="仿宋_GB2312" w:hAnsi="仿宋_GB2312" w:eastAsia="仿宋_GB2312" w:cs="仿宋_GB2312"/>
          <w:b w:val="0"/>
          <w:spacing w:val="-10"/>
          <w:sz w:val="32"/>
          <w:szCs w:val="32"/>
          <w:lang w:val="en-US" w:eastAsia="zh-CN"/>
        </w:rPr>
      </w:pPr>
      <w:r>
        <w:rPr>
          <w:rFonts w:hint="eastAsia" w:ascii="仿宋_GB2312" w:hAnsi="仿宋_GB2312" w:eastAsia="仿宋_GB2312" w:cs="仿宋_GB2312"/>
          <w:b w:val="0"/>
          <w:spacing w:val="-10"/>
          <w:sz w:val="32"/>
          <w:szCs w:val="32"/>
        </w:rPr>
        <w:t xml:space="preserve">   一、单位职责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p>
    <w:p>
      <w:pPr>
        <w:pStyle w:val="12"/>
        <w:rPr>
          <w:rFonts w:hint="eastAsia" w:ascii="仿宋_GB2312" w:hAnsi="仿宋_GB2312" w:eastAsia="仿宋_GB2312" w:cs="仿宋_GB2312"/>
          <w:b w:val="0"/>
          <w:spacing w:val="-10"/>
          <w:sz w:val="32"/>
          <w:szCs w:val="32"/>
          <w:lang w:val="en-US" w:eastAsia="zh-CN"/>
        </w:rPr>
      </w:pPr>
      <w:r>
        <w:rPr>
          <w:rFonts w:hint="eastAsia" w:ascii="仿宋_GB2312" w:hAnsi="仿宋_GB2312" w:eastAsia="仿宋_GB2312" w:cs="仿宋_GB2312"/>
          <w:b w:val="0"/>
          <w:spacing w:val="-10"/>
          <w:sz w:val="32"/>
          <w:szCs w:val="32"/>
        </w:rPr>
        <w:t xml:space="preserve">   二、机构设置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p>
    <w:p>
      <w:pPr>
        <w:pStyle w:val="12"/>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第二部分 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年度单位决算情况说明</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9</w:t>
      </w:r>
    </w:p>
    <w:p>
      <w:pPr>
        <w:pStyle w:val="1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七、财政拨款“三公”经费支出决算情况说明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10</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九、国有资本经营预算支出决算情况说明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p>
    <w:p>
      <w:pPr>
        <w:pStyle w:val="1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12</w:t>
      </w:r>
    </w:p>
    <w:p>
      <w:pPr>
        <w:pStyle w:val="1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第三部分 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p>
    <w:p>
      <w:pPr>
        <w:pStyle w:val="1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第四部分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5</w:t>
      </w:r>
    </w:p>
    <w:p>
      <w:pPr>
        <w:pStyle w:val="1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四、财政拨款收入支出决算总表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五、财政拨款支出决算明细表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六、一般公共预算财政拨款支出决算表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七、一般公共预算财政拨款支出决算明细表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八、一般公共预算财政拨款基本支出决算明细表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九、一般公共预算财政拨款项目支出决算表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十一、国有资本经营预算财政拨款收入支出决算表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十二、国有资本经营预算财政拨款支出决算表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14"/>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十三、财政拨款“三公”经费支出决算表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p>
    <w:p>
      <w:pPr>
        <w:pStyle w:val="2"/>
        <w:spacing w:line="640" w:lineRule="exact"/>
        <w:jc w:val="center"/>
        <w:rPr>
          <w:rFonts w:hint="eastAsia" w:eastAsia="方正小标宋简体" w:cs="方正小标宋简体"/>
          <w:b w:val="0"/>
        </w:rPr>
      </w:pPr>
    </w:p>
    <w:p>
      <w:pPr>
        <w:rPr>
          <w:rFonts w:hint="eastAsia"/>
        </w:rPr>
      </w:pPr>
    </w:p>
    <w:p>
      <w:pPr>
        <w:pStyle w:val="2"/>
        <w:spacing w:line="640" w:lineRule="exact"/>
        <w:jc w:val="center"/>
        <w:rPr>
          <w:rFonts w:hint="eastAsia" w:eastAsia="方正小标宋简体" w:cs="方正小标宋简体"/>
          <w:b w:val="0"/>
        </w:rPr>
      </w:pPr>
    </w:p>
    <w:p>
      <w:pPr>
        <w:pStyle w:val="2"/>
        <w:spacing w:line="640" w:lineRule="exact"/>
        <w:jc w:val="center"/>
        <w:rPr>
          <w:rFonts w:hint="eastAsia" w:eastAsia="方正小标宋简体" w:cs="方正小标宋简体"/>
          <w:b w:val="0"/>
        </w:rPr>
      </w:pPr>
    </w:p>
    <w:p>
      <w:pPr>
        <w:rPr>
          <w:rFonts w:hint="eastAsia" w:eastAsia="方正小标宋简体" w:cs="方正小标宋简体"/>
          <w:b w:val="0"/>
        </w:rPr>
      </w:pPr>
    </w:p>
    <w:p>
      <w:pPr>
        <w:rPr>
          <w:rFonts w:hint="eastAsia" w:eastAsia="方正小标宋简体" w:cs="方正小标宋简体"/>
          <w:b w:val="0"/>
        </w:rPr>
      </w:pPr>
    </w:p>
    <w:p>
      <w:pPr>
        <w:rPr>
          <w:rFonts w:hint="eastAsia" w:eastAsia="方正小标宋简体" w:cs="方正小标宋简体"/>
          <w:b w:val="0"/>
        </w:rPr>
      </w:pPr>
    </w:p>
    <w:p>
      <w:pPr>
        <w:pStyle w:val="2"/>
        <w:spacing w:line="640" w:lineRule="exact"/>
        <w:jc w:val="center"/>
        <w:rPr>
          <w:rStyle w:val="28"/>
          <w:rFonts w:ascii="黑体" w:hAnsi="黑体" w:eastAsia="黑体"/>
          <w:b/>
          <w:bCs w:val="0"/>
        </w:rPr>
      </w:pPr>
      <w:r>
        <w:rPr>
          <w:rFonts w:hint="eastAsia" w:eastAsia="方正小标宋简体" w:cs="方正小标宋简体"/>
          <w:b w:val="0"/>
        </w:rPr>
        <w:t xml:space="preserve">第一部分 </w:t>
      </w:r>
      <w:bookmarkEnd w:id="6"/>
      <w:bookmarkEnd w:id="7"/>
      <w:r>
        <w:rPr>
          <w:rStyle w:val="28"/>
          <w:rFonts w:hint="eastAsia" w:ascii="黑体" w:hAnsi="黑体" w:eastAsia="黑体"/>
          <w:b w:val="0"/>
          <w:bCs w:val="0"/>
        </w:rPr>
        <w:t>单位概况</w:t>
      </w:r>
    </w:p>
    <w:p>
      <w:pPr>
        <w:ind w:firstLine="640" w:firstLineChars="200"/>
        <w:rPr>
          <w:rFonts w:eastAsia="黑体"/>
        </w:rPr>
      </w:pPr>
      <w:r>
        <w:rPr>
          <w:rStyle w:val="29"/>
          <w:rFonts w:hint="eastAsia" w:ascii="黑体" w:hAnsi="黑体" w:eastAsia="黑体"/>
          <w:b w:val="0"/>
        </w:rPr>
        <w:t xml:space="preserve"> 一、单位职责</w:t>
      </w:r>
    </w:p>
    <w:p>
      <w:pPr>
        <w:widowControl/>
        <w:spacing w:line="60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攀枝花市建筑节能和绿色建筑发展中心（简称：市节能绿建中心）主要职能职责为：承担全市散装水泥、新型墙材、建筑节能和绿色建筑相关事务性、服务性工作；负责散装水泥、新型墙材、建筑节能和绿色建筑相关的宣传培训、信息交流、统计上报和新技术、新材料、新工艺、新设备的推广应用；协调全市绿色建材发展工作；负责对全市散装水泥、新型墙材、建筑节能和绿色建筑发展工作的业务指导。</w:t>
      </w:r>
    </w:p>
    <w:p>
      <w:pPr>
        <w:pStyle w:val="5"/>
        <w:adjustRightInd w:val="0"/>
        <w:snapToGrid w:val="0"/>
        <w:spacing w:beforeLines="0" w:line="640" w:lineRule="exact"/>
        <w:ind w:firstLine="640" w:firstLineChars="200"/>
        <w:outlineLvl w:val="2"/>
        <w:rPr>
          <w:rFonts w:ascii="黑体" w:hAnsi="黑体" w:eastAsia="黑体"/>
          <w:bCs/>
          <w:color w:val="000000"/>
          <w:sz w:val="32"/>
          <w:szCs w:val="32"/>
        </w:rPr>
      </w:pPr>
      <w:r>
        <w:rPr>
          <w:rFonts w:hint="eastAsia" w:ascii="黑体" w:hAnsi="黑体" w:eastAsia="黑体"/>
          <w:bCs/>
          <w:color w:val="000000"/>
          <w:sz w:val="32"/>
          <w:szCs w:val="32"/>
        </w:rPr>
        <w:t>二、机构设置</w:t>
      </w:r>
    </w:p>
    <w:p>
      <w:pPr>
        <w:widowControl/>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市节能绿建中心是隶属于攀枝花市住房和城乡建设局的副县级参照公务员法管理事业单</w:t>
      </w:r>
      <w:r>
        <w:rPr>
          <w:rFonts w:hint="eastAsia" w:eastAsia="仿宋_GB2312" w:cs="仿宋_GB2312"/>
          <w:sz w:val="32"/>
          <w:szCs w:val="32"/>
        </w:rPr>
        <w:t>位，共有编制数10个，实有在职人员</w:t>
      </w:r>
      <w:r>
        <w:rPr>
          <w:rFonts w:hint="eastAsia" w:eastAsia="仿宋_GB2312" w:cs="仿宋_GB2312"/>
          <w:sz w:val="32"/>
          <w:szCs w:val="32"/>
          <w:lang w:val="en-US" w:eastAsia="zh-CN"/>
        </w:rPr>
        <w:t>11</w:t>
      </w:r>
      <w:r>
        <w:rPr>
          <w:rFonts w:hint="eastAsia" w:eastAsia="仿宋_GB2312" w:cs="仿宋_GB2312"/>
          <w:sz w:val="32"/>
          <w:szCs w:val="32"/>
        </w:rPr>
        <w:t>名，退休人员</w:t>
      </w:r>
      <w:r>
        <w:rPr>
          <w:rFonts w:hint="eastAsia" w:eastAsia="仿宋_GB2312" w:cs="仿宋_GB2312"/>
          <w:sz w:val="32"/>
          <w:szCs w:val="32"/>
          <w:lang w:val="en-US" w:eastAsia="zh-CN"/>
        </w:rPr>
        <w:t>4</w:t>
      </w:r>
      <w:r>
        <w:rPr>
          <w:rFonts w:hint="eastAsia" w:eastAsia="仿宋_GB2312" w:cs="仿宋_GB2312"/>
          <w:sz w:val="32"/>
          <w:szCs w:val="32"/>
        </w:rPr>
        <w:t>名；中心设有领导班子成员2名，实有</w:t>
      </w:r>
      <w:r>
        <w:rPr>
          <w:rFonts w:hint="eastAsia" w:eastAsia="仿宋_GB2312" w:cs="仿宋_GB2312"/>
          <w:sz w:val="32"/>
          <w:szCs w:val="32"/>
          <w:lang w:val="en-US" w:eastAsia="zh-CN"/>
        </w:rPr>
        <w:t>2</w:t>
      </w:r>
      <w:r>
        <w:rPr>
          <w:rFonts w:hint="eastAsia" w:eastAsia="仿宋_GB2312" w:cs="仿宋_GB2312"/>
          <w:sz w:val="32"/>
          <w:szCs w:val="32"/>
        </w:rPr>
        <w:t>名，共有三个内设科室，分别为：综合科、科研法规科、工程应用科。</w:t>
      </w:r>
    </w:p>
    <w:p>
      <w:pPr>
        <w:widowControl/>
        <w:ind w:firstLine="640" w:firstLineChars="200"/>
        <w:jc w:val="left"/>
        <w:rPr>
          <w:rFonts w:eastAsia="仿宋"/>
          <w:kern w:val="0"/>
          <w:sz w:val="32"/>
          <w:szCs w:val="32"/>
        </w:rPr>
      </w:pPr>
    </w:p>
    <w:p>
      <w:pPr>
        <w:widowControl/>
        <w:jc w:val="left"/>
        <w:rPr>
          <w:rFonts w:eastAsia="仿宋"/>
          <w:kern w:val="0"/>
          <w:sz w:val="32"/>
          <w:szCs w:val="32"/>
        </w:rPr>
      </w:pPr>
      <w:r>
        <w:rPr>
          <w:rFonts w:eastAsia="仿宋"/>
          <w:sz w:val="32"/>
          <w:szCs w:val="32"/>
        </w:rPr>
        <w:br w:type="page"/>
      </w:r>
    </w:p>
    <w:p>
      <w:pPr>
        <w:pStyle w:val="2"/>
        <w:jc w:val="center"/>
        <w:rPr>
          <w:rFonts w:eastAsia="方正小标宋简体" w:cs="方正小标宋简体"/>
          <w:b w:val="0"/>
        </w:rPr>
      </w:pPr>
      <w:bookmarkStart w:id="8" w:name="_Toc15396602"/>
      <w:bookmarkStart w:id="9" w:name="_Toc15377204"/>
      <w:r>
        <w:rPr>
          <w:rFonts w:hint="eastAsia" w:eastAsia="方正小标宋简体" w:cs="方正小标宋简体"/>
          <w:b w:val="0"/>
        </w:rPr>
        <w:t>第二部分  2025年度</w:t>
      </w:r>
      <w:r>
        <w:rPr>
          <w:rFonts w:hint="eastAsia" w:eastAsia="方正小标宋简体" w:cs="方正小标宋简体"/>
          <w:b w:val="0"/>
          <w:lang w:eastAsia="zh-CN"/>
        </w:rPr>
        <w:t>单位</w:t>
      </w:r>
      <w:r>
        <w:rPr>
          <w:rFonts w:hint="eastAsia" w:eastAsia="方正小标宋简体" w:cs="方正小标宋简体"/>
          <w:b w:val="0"/>
        </w:rPr>
        <w:t>决算情况说明</w:t>
      </w:r>
      <w:bookmarkEnd w:id="8"/>
      <w:bookmarkEnd w:id="9"/>
    </w:p>
    <w:p/>
    <w:p>
      <w:pPr>
        <w:pStyle w:val="27"/>
        <w:spacing w:line="600" w:lineRule="exact"/>
        <w:ind w:firstLine="640"/>
        <w:outlineLvl w:val="1"/>
        <w:rPr>
          <w:rStyle w:val="29"/>
          <w:rFonts w:ascii="Times New Roman" w:hAnsi="Times New Roman" w:eastAsia="黑体"/>
          <w:b w:val="0"/>
        </w:rPr>
      </w:pPr>
      <w:bookmarkStart w:id="10" w:name="_Toc15377205"/>
      <w:bookmarkStart w:id="11"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0"/>
      <w:bookmarkEnd w:id="11"/>
    </w:p>
    <w:p>
      <w:pPr>
        <w:pStyle w:val="27"/>
        <w:spacing w:line="600" w:lineRule="exact"/>
        <w:ind w:firstLine="640"/>
        <w:outlineLvl w:val="1"/>
        <w:rPr>
          <w:rFonts w:hint="eastAsia" w:ascii="仿宋_GB2312" w:hAnsi="仿宋" w:eastAsia="仿宋_GB2312"/>
          <w:sz w:val="32"/>
          <w:szCs w:val="32"/>
          <w:lang w:val="en-US" w:eastAsia="zh-CN"/>
        </w:rPr>
      </w:pPr>
      <w:r>
        <w:rPr>
          <w:rFonts w:hint="eastAsia" w:eastAsia="仿宋_GB2312" w:cs="仿宋_GB2312"/>
          <w:sz w:val="32"/>
          <w:szCs w:val="32"/>
        </w:rPr>
        <w:t>2025年度收入、支出总计均为</w:t>
      </w:r>
      <w:r>
        <w:rPr>
          <w:rFonts w:hint="eastAsia" w:eastAsia="仿宋_GB2312" w:cs="仿宋_GB2312"/>
          <w:sz w:val="32"/>
          <w:szCs w:val="32"/>
          <w:lang w:val="en-US" w:eastAsia="zh-CN"/>
        </w:rPr>
        <w:t>242.92</w:t>
      </w:r>
      <w:r>
        <w:rPr>
          <w:rFonts w:hint="eastAsia" w:eastAsia="仿宋_GB2312" w:cs="仿宋_GB2312"/>
          <w:sz w:val="32"/>
          <w:szCs w:val="32"/>
        </w:rPr>
        <w:t>万元。与上年度相比，收入、支出总计各增加</w:t>
      </w:r>
      <w:r>
        <w:rPr>
          <w:rFonts w:hint="eastAsia" w:eastAsia="仿宋_GB2312" w:cs="仿宋_GB2312"/>
          <w:sz w:val="32"/>
          <w:szCs w:val="32"/>
          <w:lang w:val="en-US" w:eastAsia="zh-CN"/>
        </w:rPr>
        <w:t>46.12</w:t>
      </w:r>
      <w:r>
        <w:rPr>
          <w:rFonts w:hint="eastAsia" w:eastAsia="仿宋_GB2312" w:cs="仿宋_GB2312"/>
          <w:sz w:val="32"/>
          <w:szCs w:val="32"/>
        </w:rPr>
        <w:t>万元，增长</w:t>
      </w:r>
      <w:r>
        <w:rPr>
          <w:rFonts w:hint="eastAsia" w:eastAsia="仿宋_GB2312" w:cs="仿宋_GB2312"/>
          <w:sz w:val="32"/>
          <w:szCs w:val="32"/>
          <w:lang w:val="en-US" w:eastAsia="zh-CN"/>
        </w:rPr>
        <w:t>23.4</w:t>
      </w:r>
      <w:r>
        <w:rPr>
          <w:rFonts w:hint="eastAsia" w:eastAsia="仿宋_GB2312" w:cs="仿宋_GB2312"/>
          <w:sz w:val="32"/>
          <w:szCs w:val="32"/>
        </w:rPr>
        <w:t>%。主要变动原因</w:t>
      </w:r>
      <w:r>
        <w:rPr>
          <w:rFonts w:hint="eastAsia" w:eastAsia="仿宋_GB2312" w:cs="仿宋_GB2312"/>
          <w:sz w:val="32"/>
          <w:szCs w:val="32"/>
          <w:lang w:eastAsia="zh-CN"/>
        </w:rPr>
        <w:t>一</w:t>
      </w:r>
      <w:r>
        <w:rPr>
          <w:rFonts w:hint="eastAsia" w:eastAsia="仿宋_GB2312" w:cs="仿宋_GB2312"/>
          <w:sz w:val="32"/>
          <w:szCs w:val="32"/>
        </w:rPr>
        <w:t>是</w:t>
      </w:r>
      <w:r>
        <w:rPr>
          <w:rFonts w:hint="eastAsia" w:eastAsia="仿宋_GB2312" w:cs="仿宋_GB2312"/>
          <w:sz w:val="32"/>
          <w:szCs w:val="32"/>
          <w:lang w:val="en-US" w:eastAsia="zh-CN"/>
        </w:rPr>
        <w:t>2024年度</w:t>
      </w:r>
      <w:r>
        <w:rPr>
          <w:rFonts w:hint="eastAsia" w:ascii="仿宋_GB2312" w:hAnsi="仿宋" w:eastAsia="仿宋_GB2312"/>
          <w:sz w:val="32"/>
          <w:szCs w:val="32"/>
        </w:rPr>
        <w:t>实</w:t>
      </w:r>
      <w:r>
        <w:rPr>
          <w:rFonts w:hint="eastAsia" w:ascii="Times New Roman" w:hAnsi="Times New Roman" w:eastAsia="仿宋_GB2312" w:cs="仿宋_GB2312"/>
          <w:kern w:val="2"/>
          <w:sz w:val="32"/>
          <w:szCs w:val="32"/>
          <w:lang w:val="en-US" w:eastAsia="zh-CN" w:bidi="ar-SA"/>
        </w:rPr>
        <w:t>有在职人员9名，退休人员3名,2025年实有在职人员11人，退休人员4人，2025年度在职人员较上年增加2人，退休人员较上年增加1人，相应的人员经费、退休人员生活补助增加；二是2025年度新增一个一次性项目：十五五散装水泥专项规划编制经费7万元</w:t>
      </w:r>
      <w:r>
        <w:rPr>
          <w:rFonts w:hint="eastAsia" w:ascii="仿宋_GB2312" w:hAnsi="仿宋" w:eastAsia="仿宋_GB2312"/>
          <w:sz w:val="32"/>
          <w:szCs w:val="32"/>
          <w:lang w:val="en-US" w:eastAsia="zh-CN"/>
        </w:rPr>
        <w:t>。</w:t>
      </w:r>
    </w:p>
    <w:p>
      <w:pPr>
        <w:pStyle w:val="27"/>
        <w:spacing w:line="600" w:lineRule="exact"/>
        <w:ind w:firstLine="640"/>
        <w:outlineLvl w:val="1"/>
        <w:rPr>
          <w:rFonts w:hint="eastAsia" w:ascii="仿宋_GB2312" w:hAnsi="仿宋" w:eastAsia="仿宋_GB2312"/>
          <w:sz w:val="32"/>
          <w:szCs w:val="32"/>
          <w:lang w:val="en-US" w:eastAsia="zh-CN"/>
        </w:rPr>
      </w:pPr>
    </w:p>
    <w:p>
      <w:pPr>
        <w:pStyle w:val="27"/>
        <w:spacing w:line="600" w:lineRule="exact"/>
        <w:ind w:firstLine="640"/>
        <w:jc w:val="center"/>
        <w:outlineLvl w:val="1"/>
        <w:rPr>
          <w:rFonts w:eastAsia="仿宋_GB2312" w:cs="仿宋_GB2312"/>
          <w:sz w:val="32"/>
          <w:szCs w:val="32"/>
        </w:rPr>
      </w:pPr>
      <w:r>
        <w:rPr>
          <w:rFonts w:hint="eastAsia" w:ascii="仿宋_GB2312" w:hAnsi="仿宋" w:eastAsia="仿宋_GB2312"/>
          <w:color w:val="000000"/>
          <w:sz w:val="32"/>
          <w:szCs w:val="32"/>
        </w:rPr>
        <w:drawing>
          <wp:anchor distT="0" distB="0" distL="114300" distR="114300" simplePos="0" relativeHeight="251661312" behindDoc="0" locked="0" layoutInCell="1" allowOverlap="1">
            <wp:simplePos x="0" y="0"/>
            <wp:positionH relativeFrom="column">
              <wp:posOffset>-161925</wp:posOffset>
            </wp:positionH>
            <wp:positionV relativeFrom="paragraph">
              <wp:posOffset>72390</wp:posOffset>
            </wp:positionV>
            <wp:extent cx="5920105" cy="2476500"/>
            <wp:effectExtent l="4445" t="4445" r="19050" b="14605"/>
            <wp:wrapSquare wrapText="bothSides"/>
            <wp:docPr id="7" name="对象 2"/>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sz w:val="32"/>
          <w:szCs w:val="32"/>
        </w:rPr>
        <w:t>（图1：收入、支出决算总计变动情况图）</w:t>
      </w:r>
    </w:p>
    <w:p>
      <w:pPr>
        <w:ind w:firstLine="640" w:firstLineChars="200"/>
        <w:rPr>
          <w:rFonts w:eastAsia="仿宋_GB2312" w:cs="仿宋_GB2312"/>
          <w:sz w:val="32"/>
          <w:szCs w:val="32"/>
        </w:rPr>
      </w:pPr>
    </w:p>
    <w:p>
      <w:pPr>
        <w:pStyle w:val="27"/>
        <w:spacing w:line="600" w:lineRule="exact"/>
        <w:ind w:firstLine="640"/>
        <w:outlineLvl w:val="1"/>
        <w:rPr>
          <w:rFonts w:eastAsia="黑体"/>
          <w:sz w:val="32"/>
          <w:szCs w:val="32"/>
        </w:rPr>
      </w:pPr>
      <w:bookmarkStart w:id="12" w:name="_Toc15396604"/>
      <w:bookmarkStart w:id="13" w:name="_Toc15377206"/>
      <w:r>
        <w:rPr>
          <w:rFonts w:hint="eastAsia" w:eastAsia="黑体"/>
          <w:sz w:val="32"/>
          <w:szCs w:val="32"/>
        </w:rPr>
        <w:t>二、收入决算情况说明</w:t>
      </w:r>
      <w:bookmarkEnd w:id="12"/>
      <w:bookmarkEnd w:id="13"/>
    </w:p>
    <w:p>
      <w:pPr>
        <w:pStyle w:val="27"/>
        <w:spacing w:line="600" w:lineRule="exact"/>
        <w:ind w:firstLine="640"/>
        <w:outlineLvl w:val="1"/>
        <w:rPr>
          <w:rFonts w:hint="eastAsia" w:eastAsia="仿宋_GB2312" w:cs="仿宋_GB2312"/>
          <w:b/>
          <w:bCs/>
          <w:sz w:val="32"/>
          <w:szCs w:val="32"/>
        </w:rPr>
      </w:pPr>
      <w:r>
        <w:rPr>
          <w:rFonts w:hint="eastAsia" w:eastAsia="仿宋_GB2312" w:cs="仿宋_GB2312"/>
          <w:sz w:val="32"/>
          <w:szCs w:val="32"/>
        </w:rPr>
        <w:t>2025年度本年收入合计</w:t>
      </w:r>
      <w:r>
        <w:rPr>
          <w:rFonts w:hint="eastAsia" w:eastAsia="仿宋_GB2312" w:cs="仿宋_GB2312"/>
          <w:sz w:val="32"/>
          <w:szCs w:val="32"/>
          <w:lang w:val="en-US" w:eastAsia="zh-CN"/>
        </w:rPr>
        <w:t>242.92</w:t>
      </w:r>
      <w:r>
        <w:rPr>
          <w:rFonts w:hint="eastAsia" w:eastAsia="仿宋_GB2312" w:cs="仿宋_GB2312"/>
          <w:sz w:val="32"/>
          <w:szCs w:val="32"/>
        </w:rPr>
        <w:t>万元，其中：一般公共预算财政拨款收入</w:t>
      </w:r>
      <w:r>
        <w:rPr>
          <w:rFonts w:hint="eastAsia" w:eastAsia="仿宋_GB2312" w:cs="仿宋_GB2312"/>
          <w:sz w:val="32"/>
          <w:szCs w:val="32"/>
          <w:lang w:val="en-US" w:eastAsia="zh-CN"/>
        </w:rPr>
        <w:t>242.92</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w:t>
      </w:r>
    </w:p>
    <w:p>
      <w:pPr>
        <w:pStyle w:val="27"/>
        <w:spacing w:line="600" w:lineRule="exact"/>
        <w:ind w:firstLine="640"/>
        <w:outlineLvl w:val="1"/>
        <w:rPr>
          <w:rFonts w:hint="eastAsia" w:eastAsia="仿宋_GB2312" w:cs="仿宋_GB2312"/>
          <w:b/>
          <w:bCs/>
          <w:sz w:val="32"/>
          <w:szCs w:val="32"/>
        </w:rPr>
      </w:pPr>
      <w:r>
        <w:rPr>
          <w:rFonts w:hint="eastAsia" w:ascii="仿宋_GB2312" w:hAnsi="仿宋" w:eastAsia="仿宋_GB2312"/>
          <w:color w:val="000000"/>
          <w:sz w:val="32"/>
          <w:szCs w:val="32"/>
        </w:rPr>
        <w:drawing>
          <wp:anchor distT="0" distB="0" distL="114300" distR="114300" simplePos="0" relativeHeight="251662336" behindDoc="0" locked="0" layoutInCell="1" allowOverlap="1">
            <wp:simplePos x="0" y="0"/>
            <wp:positionH relativeFrom="column">
              <wp:posOffset>203200</wp:posOffset>
            </wp:positionH>
            <wp:positionV relativeFrom="paragraph">
              <wp:posOffset>361315</wp:posOffset>
            </wp:positionV>
            <wp:extent cx="5511800" cy="2447925"/>
            <wp:effectExtent l="0" t="0" r="0" b="0"/>
            <wp:wrapSquare wrapText="bothSides"/>
            <wp:docPr id="4" name="对象 2"/>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spacing w:line="600" w:lineRule="exact"/>
        <w:ind w:firstLine="640"/>
        <w:jc w:val="center"/>
        <w:outlineLvl w:val="1"/>
        <w:rPr>
          <w:rFonts w:eastAsia="仿宋_GB2312" w:cs="仿宋_GB2312"/>
          <w:sz w:val="32"/>
          <w:szCs w:val="32"/>
        </w:rPr>
      </w:pPr>
      <w:r>
        <w:rPr>
          <w:rFonts w:hint="eastAsia" w:eastAsia="仿宋_GB2312" w:cs="仿宋_GB2312"/>
          <w:sz w:val="32"/>
          <w:szCs w:val="32"/>
        </w:rPr>
        <w:t>（图2：收入决算结构图）</w:t>
      </w:r>
    </w:p>
    <w:p>
      <w:pPr>
        <w:ind w:firstLine="800" w:firstLineChars="250"/>
        <w:rPr>
          <w:rFonts w:eastAsia="仿宋_GB2312" w:cs="仿宋_GB2312"/>
          <w:sz w:val="32"/>
          <w:szCs w:val="32"/>
        </w:rPr>
      </w:pPr>
    </w:p>
    <w:p>
      <w:pPr>
        <w:pStyle w:val="27"/>
        <w:spacing w:line="600" w:lineRule="exact"/>
        <w:ind w:firstLine="640"/>
        <w:outlineLvl w:val="1"/>
        <w:rPr>
          <w:rStyle w:val="29"/>
          <w:rFonts w:ascii="Times New Roman" w:hAnsi="Times New Roman" w:eastAsia="黑体"/>
          <w:b w:val="0"/>
        </w:rPr>
      </w:pPr>
      <w:bookmarkStart w:id="14" w:name="_Toc15377207"/>
      <w:bookmarkStart w:id="15" w:name="_Toc15396605"/>
      <w:r>
        <w:rPr>
          <w:rFonts w:hint="eastAsia" w:eastAsia="黑体"/>
          <w:sz w:val="32"/>
          <w:szCs w:val="32"/>
        </w:rPr>
        <w:t>三、支</w:t>
      </w:r>
      <w:r>
        <w:rPr>
          <w:rStyle w:val="29"/>
          <w:rFonts w:hint="eastAsia" w:ascii="Times New Roman" w:hAnsi="Times New Roman" w:eastAsia="黑体"/>
          <w:b w:val="0"/>
        </w:rPr>
        <w:t>出决算情况说明</w:t>
      </w:r>
      <w:bookmarkEnd w:id="14"/>
      <w:bookmarkEnd w:id="15"/>
    </w:p>
    <w:p>
      <w:pPr>
        <w:pStyle w:val="27"/>
        <w:spacing w:line="600" w:lineRule="exact"/>
        <w:ind w:firstLine="640"/>
        <w:outlineLvl w:val="1"/>
        <w:rPr>
          <w:rFonts w:hint="eastAsia" w:eastAsia="仿宋_GB2312" w:cs="仿宋_GB2312"/>
          <w:sz w:val="32"/>
          <w:szCs w:val="32"/>
          <w:lang w:eastAsia="zh-CN"/>
        </w:rPr>
      </w:pPr>
      <w:r>
        <w:rPr>
          <w:rFonts w:hint="eastAsia" w:eastAsia="仿宋_GB2312" w:cs="仿宋_GB2312"/>
          <w:sz w:val="32"/>
          <w:szCs w:val="32"/>
        </w:rPr>
        <w:t>2025年度本年支出合计</w:t>
      </w:r>
      <w:r>
        <w:rPr>
          <w:rFonts w:hint="eastAsia" w:eastAsia="仿宋_GB2312" w:cs="仿宋_GB2312"/>
          <w:sz w:val="32"/>
          <w:szCs w:val="32"/>
          <w:lang w:val="en-US" w:eastAsia="zh-CN"/>
        </w:rPr>
        <w:t>242.92</w:t>
      </w:r>
      <w:r>
        <w:rPr>
          <w:rFonts w:hint="eastAsia" w:eastAsia="仿宋_GB2312" w:cs="仿宋_GB2312"/>
          <w:sz w:val="32"/>
          <w:szCs w:val="32"/>
        </w:rPr>
        <w:t>万元，其中：基本支出</w:t>
      </w:r>
      <w:r>
        <w:rPr>
          <w:rFonts w:hint="eastAsia" w:eastAsia="仿宋_GB2312" w:cs="仿宋_GB2312"/>
          <w:sz w:val="32"/>
          <w:szCs w:val="32"/>
          <w:lang w:val="en-US" w:eastAsia="zh-CN"/>
        </w:rPr>
        <w:t>229.17</w:t>
      </w:r>
      <w:r>
        <w:rPr>
          <w:rFonts w:hint="eastAsia" w:eastAsia="仿宋_GB2312" w:cs="仿宋_GB2312"/>
          <w:sz w:val="32"/>
          <w:szCs w:val="32"/>
        </w:rPr>
        <w:t>万元，占</w:t>
      </w:r>
      <w:r>
        <w:rPr>
          <w:rFonts w:hint="eastAsia" w:eastAsia="仿宋_GB2312" w:cs="仿宋_GB2312"/>
          <w:sz w:val="32"/>
          <w:szCs w:val="32"/>
          <w:lang w:val="en-US" w:eastAsia="zh-CN"/>
        </w:rPr>
        <w:t>94.3</w:t>
      </w:r>
      <w:r>
        <w:rPr>
          <w:rFonts w:hint="eastAsia" w:eastAsia="仿宋_GB2312" w:cs="仿宋_GB2312"/>
          <w:sz w:val="32"/>
          <w:szCs w:val="32"/>
        </w:rPr>
        <w:t>%；项目支出</w:t>
      </w:r>
      <w:r>
        <w:rPr>
          <w:rFonts w:hint="eastAsia" w:eastAsia="仿宋_GB2312" w:cs="仿宋_GB2312"/>
          <w:sz w:val="32"/>
          <w:szCs w:val="32"/>
          <w:lang w:val="en-US" w:eastAsia="zh-CN"/>
        </w:rPr>
        <w:t>13.75</w:t>
      </w:r>
      <w:r>
        <w:rPr>
          <w:rFonts w:hint="eastAsia" w:eastAsia="仿宋_GB2312" w:cs="仿宋_GB2312"/>
          <w:sz w:val="32"/>
          <w:szCs w:val="32"/>
        </w:rPr>
        <w:t>万元，占</w:t>
      </w:r>
      <w:r>
        <w:rPr>
          <w:rFonts w:hint="eastAsia" w:eastAsia="仿宋_GB2312" w:cs="仿宋_GB2312"/>
          <w:sz w:val="32"/>
          <w:szCs w:val="32"/>
          <w:lang w:val="en-US" w:eastAsia="zh-CN"/>
        </w:rPr>
        <w:t>5.7</w:t>
      </w:r>
      <w:r>
        <w:rPr>
          <w:rFonts w:hint="eastAsia" w:eastAsia="仿宋_GB2312" w:cs="仿宋_GB2312"/>
          <w:sz w:val="32"/>
          <w:szCs w:val="32"/>
        </w:rPr>
        <w:t>%</w:t>
      </w:r>
      <w:r>
        <w:rPr>
          <w:rFonts w:hint="eastAsia" w:eastAsia="仿宋_GB2312" w:cs="仿宋_GB2312"/>
          <w:sz w:val="32"/>
          <w:szCs w:val="32"/>
          <w:lang w:eastAsia="zh-CN"/>
        </w:rPr>
        <w:t>。</w:t>
      </w:r>
    </w:p>
    <w:p>
      <w:pPr>
        <w:pStyle w:val="27"/>
        <w:spacing w:line="600" w:lineRule="exact"/>
        <w:ind w:firstLine="640"/>
        <w:outlineLvl w:val="1"/>
        <w:rPr>
          <w:rFonts w:hint="eastAsia" w:eastAsia="仿宋_GB2312" w:cs="仿宋_GB2312"/>
          <w:sz w:val="32"/>
          <w:szCs w:val="32"/>
          <w:lang w:eastAsia="zh-CN"/>
        </w:rPr>
      </w:pPr>
      <w:r>
        <w:rPr>
          <w:rFonts w:hint="eastAsia" w:eastAsia="仿宋_GB2312" w:cs="仿宋_GB2312"/>
          <w:color w:val="0000FF"/>
          <w:sz w:val="32"/>
          <w:szCs w:val="32"/>
        </w:rPr>
        <w:drawing>
          <wp:anchor distT="0" distB="0" distL="114300" distR="114300" simplePos="0" relativeHeight="251663360" behindDoc="1" locked="0" layoutInCell="1" allowOverlap="1">
            <wp:simplePos x="0" y="0"/>
            <wp:positionH relativeFrom="column">
              <wp:posOffset>457200</wp:posOffset>
            </wp:positionH>
            <wp:positionV relativeFrom="paragraph">
              <wp:posOffset>283845</wp:posOffset>
            </wp:positionV>
            <wp:extent cx="4600575" cy="2305685"/>
            <wp:effectExtent l="0" t="0" r="0" b="0"/>
            <wp:wrapNone/>
            <wp:docPr id="2" name="对象 9"/>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spacing w:line="600" w:lineRule="exact"/>
        <w:ind w:firstLine="640"/>
        <w:outlineLvl w:val="1"/>
        <w:rPr>
          <w:rFonts w:hint="eastAsia" w:eastAsia="仿宋_GB2312" w:cs="仿宋_GB2312"/>
          <w:sz w:val="32"/>
          <w:szCs w:val="32"/>
          <w:lang w:eastAsia="zh-CN"/>
        </w:rPr>
      </w:pPr>
    </w:p>
    <w:p>
      <w:pPr>
        <w:pStyle w:val="27"/>
        <w:spacing w:line="600" w:lineRule="exact"/>
        <w:ind w:firstLine="640"/>
        <w:outlineLvl w:val="1"/>
        <w:rPr>
          <w:rFonts w:hint="eastAsia" w:eastAsia="仿宋_GB2312" w:cs="仿宋_GB2312"/>
          <w:sz w:val="32"/>
          <w:szCs w:val="32"/>
          <w:lang w:eastAsia="zh-CN"/>
        </w:rPr>
      </w:pPr>
    </w:p>
    <w:p>
      <w:pPr>
        <w:pStyle w:val="27"/>
        <w:spacing w:line="600" w:lineRule="exact"/>
        <w:ind w:firstLine="640"/>
        <w:outlineLvl w:val="1"/>
        <w:rPr>
          <w:rFonts w:hint="eastAsia" w:eastAsia="仿宋_GB2312" w:cs="仿宋_GB2312"/>
          <w:sz w:val="32"/>
          <w:szCs w:val="32"/>
          <w:lang w:eastAsia="zh-CN"/>
        </w:rPr>
      </w:pPr>
    </w:p>
    <w:p>
      <w:pPr>
        <w:pStyle w:val="27"/>
        <w:spacing w:line="600" w:lineRule="exact"/>
        <w:ind w:firstLine="640"/>
        <w:outlineLvl w:val="1"/>
        <w:rPr>
          <w:rFonts w:hint="eastAsia" w:eastAsia="仿宋_GB2312" w:cs="仿宋_GB2312"/>
          <w:sz w:val="32"/>
          <w:szCs w:val="32"/>
          <w:lang w:eastAsia="zh-CN"/>
        </w:rPr>
      </w:pPr>
    </w:p>
    <w:p>
      <w:pPr>
        <w:pStyle w:val="27"/>
        <w:spacing w:line="600" w:lineRule="exact"/>
        <w:ind w:firstLine="640"/>
        <w:outlineLvl w:val="1"/>
        <w:rPr>
          <w:rFonts w:hint="eastAsia" w:eastAsia="仿宋_GB2312" w:cs="仿宋_GB2312"/>
          <w:sz w:val="32"/>
          <w:szCs w:val="32"/>
          <w:lang w:eastAsia="zh-CN"/>
        </w:rPr>
      </w:pPr>
    </w:p>
    <w:p>
      <w:pPr>
        <w:pStyle w:val="27"/>
        <w:spacing w:line="600" w:lineRule="exact"/>
        <w:ind w:firstLine="640"/>
        <w:outlineLvl w:val="1"/>
        <w:rPr>
          <w:rFonts w:hint="eastAsia" w:eastAsia="仿宋_GB2312" w:cs="仿宋_GB2312"/>
          <w:sz w:val="32"/>
          <w:szCs w:val="32"/>
          <w:lang w:eastAsia="zh-CN"/>
        </w:rPr>
      </w:pPr>
    </w:p>
    <w:p>
      <w:pPr>
        <w:pStyle w:val="27"/>
        <w:spacing w:line="600" w:lineRule="exact"/>
        <w:ind w:firstLine="640"/>
        <w:jc w:val="center"/>
        <w:outlineLvl w:val="1"/>
        <w:rPr>
          <w:rFonts w:eastAsia="仿宋_GB2312" w:cs="仿宋_GB2312"/>
          <w:sz w:val="32"/>
          <w:szCs w:val="32"/>
        </w:rPr>
      </w:pPr>
      <w:r>
        <w:rPr>
          <w:rFonts w:hint="eastAsia" w:eastAsia="仿宋_GB2312" w:cs="仿宋_GB2312"/>
          <w:sz w:val="32"/>
          <w:szCs w:val="32"/>
        </w:rPr>
        <w:t>（图3：支出决算结构图）</w:t>
      </w:r>
    </w:p>
    <w:p>
      <w:pPr>
        <w:spacing w:line="600" w:lineRule="exact"/>
        <w:ind w:firstLine="640" w:firstLineChars="200"/>
        <w:outlineLvl w:val="1"/>
        <w:rPr>
          <w:rStyle w:val="29"/>
          <w:rFonts w:ascii="Times New Roman" w:hAnsi="Times New Roman" w:eastAsia="黑体"/>
          <w:b w:val="0"/>
        </w:rPr>
      </w:pPr>
      <w:bookmarkStart w:id="16" w:name="_Toc15377208"/>
      <w:bookmarkStart w:id="17" w:name="_Toc15396606"/>
      <w:r>
        <w:rPr>
          <w:rFonts w:hint="eastAsia" w:eastAsia="黑体"/>
          <w:sz w:val="32"/>
          <w:szCs w:val="32"/>
        </w:rPr>
        <w:t>四、财</w:t>
      </w:r>
      <w:r>
        <w:rPr>
          <w:rStyle w:val="29"/>
          <w:rFonts w:hint="eastAsia" w:ascii="Times New Roman" w:hAnsi="Times New Roman" w:eastAsia="黑体"/>
          <w:b w:val="0"/>
        </w:rPr>
        <w:t>政拨款收入支出决算总体情况说明</w:t>
      </w:r>
      <w:bookmarkEnd w:id="16"/>
      <w:bookmarkEnd w:id="17"/>
    </w:p>
    <w:p>
      <w:pPr>
        <w:pStyle w:val="27"/>
        <w:spacing w:line="600" w:lineRule="exact"/>
        <w:ind w:firstLine="640"/>
        <w:outlineLvl w:val="1"/>
        <w:rPr>
          <w:rFonts w:hint="eastAsia" w:ascii="仿宋_GB2312" w:hAnsi="仿宋" w:eastAsia="仿宋_GB2312"/>
          <w:sz w:val="32"/>
          <w:szCs w:val="32"/>
          <w:lang w:val="en-US"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242.92</w:t>
      </w:r>
      <w:r>
        <w:rPr>
          <w:rFonts w:hint="eastAsia" w:eastAsia="仿宋_GB2312" w:cs="仿宋_GB2312"/>
          <w:sz w:val="32"/>
          <w:szCs w:val="32"/>
        </w:rPr>
        <w:t>万元。</w:t>
      </w:r>
      <w:r>
        <w:rPr>
          <w:rFonts w:hint="eastAsia" w:eastAsia="仿宋_GB2312" w:cs="仿宋_GB2312"/>
          <w:sz w:val="32"/>
          <w:szCs w:val="32"/>
          <w:lang w:eastAsia="zh-CN"/>
        </w:rPr>
        <w:t>较</w:t>
      </w:r>
      <w:r>
        <w:rPr>
          <w:rFonts w:hint="eastAsia" w:eastAsia="仿宋_GB2312" w:cs="仿宋_GB2312"/>
          <w:sz w:val="32"/>
          <w:szCs w:val="32"/>
        </w:rPr>
        <w:t>上年增长</w:t>
      </w:r>
      <w:r>
        <w:rPr>
          <w:rFonts w:hint="eastAsia" w:eastAsia="仿宋_GB2312" w:cs="仿宋_GB2312"/>
          <w:sz w:val="32"/>
          <w:szCs w:val="32"/>
          <w:lang w:val="en-US" w:eastAsia="zh-CN"/>
        </w:rPr>
        <w:t>23.4</w:t>
      </w:r>
      <w:r>
        <w:rPr>
          <w:rFonts w:hint="eastAsia" w:eastAsia="仿宋_GB2312" w:cs="仿宋_GB2312"/>
          <w:sz w:val="32"/>
          <w:szCs w:val="32"/>
        </w:rPr>
        <w:t>%。主要变动原因</w:t>
      </w:r>
      <w:r>
        <w:rPr>
          <w:rFonts w:hint="eastAsia" w:eastAsia="仿宋_GB2312" w:cs="仿宋_GB2312"/>
          <w:sz w:val="32"/>
          <w:szCs w:val="32"/>
          <w:lang w:eastAsia="zh-CN"/>
        </w:rPr>
        <w:t>一</w:t>
      </w:r>
      <w:r>
        <w:rPr>
          <w:rFonts w:hint="eastAsia" w:ascii="Times New Roman" w:hAnsi="Times New Roman" w:eastAsia="仿宋_GB2312" w:cs="仿宋_GB2312"/>
          <w:kern w:val="2"/>
          <w:sz w:val="32"/>
          <w:szCs w:val="32"/>
          <w:lang w:val="en-US" w:eastAsia="zh-CN" w:bidi="ar-SA"/>
        </w:rPr>
        <w:t>是2025年度在职人员较上年增加2人，退休人员较上年增加1人，相应的人员经费、退休人员生活补助增加；二是2025年度新增一个一次性项目：十五五散装水泥专项规划编制经费7万元。</w:t>
      </w:r>
    </w:p>
    <w:p>
      <w:pPr>
        <w:pStyle w:val="27"/>
        <w:spacing w:line="600" w:lineRule="exact"/>
        <w:ind w:firstLine="640"/>
        <w:outlineLvl w:val="1"/>
        <w:rPr>
          <w:rFonts w:hint="eastAsia" w:ascii="仿宋_GB2312" w:hAnsi="仿宋" w:eastAsia="仿宋_GB2312"/>
          <w:sz w:val="32"/>
          <w:szCs w:val="32"/>
          <w:lang w:val="en-US" w:eastAsia="zh-CN"/>
        </w:rPr>
      </w:pPr>
    </w:p>
    <w:p>
      <w:pPr>
        <w:spacing w:line="600" w:lineRule="exact"/>
        <w:ind w:firstLine="640"/>
        <w:rPr>
          <w:rFonts w:eastAsia="仿宋_GB2312" w:cs="仿宋_GB2312"/>
          <w:sz w:val="32"/>
          <w:szCs w:val="32"/>
        </w:rPr>
      </w:pPr>
      <w:r>
        <w:rPr>
          <w:rFonts w:hint="eastAsia" w:eastAsia="仿宋_GB2312" w:cs="仿宋_GB2312"/>
          <w:sz w:val="32"/>
          <w:szCs w:val="32"/>
        </w:rPr>
        <w:drawing>
          <wp:anchor distT="0" distB="0" distL="114300" distR="114300" simplePos="0" relativeHeight="251664384" behindDoc="0" locked="0" layoutInCell="1" allowOverlap="1">
            <wp:simplePos x="0" y="0"/>
            <wp:positionH relativeFrom="column">
              <wp:posOffset>-180975</wp:posOffset>
            </wp:positionH>
            <wp:positionV relativeFrom="paragraph">
              <wp:posOffset>40005</wp:posOffset>
            </wp:positionV>
            <wp:extent cx="6069965" cy="2906395"/>
            <wp:effectExtent l="0" t="0" r="0" b="0"/>
            <wp:wrapSquare wrapText="bothSides"/>
            <wp:docPr id="3" name="对象 2"/>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0" w:firstLineChars="200"/>
        <w:jc w:val="center"/>
        <w:rPr>
          <w:rFonts w:eastAsia="仿宋_GB2312" w:cs="仿宋_GB2312"/>
          <w:sz w:val="32"/>
          <w:szCs w:val="32"/>
        </w:rPr>
      </w:pPr>
      <w:r>
        <w:rPr>
          <w:rFonts w:hint="eastAsia" w:eastAsia="仿宋_GB2312" w:cs="仿宋_GB2312"/>
          <w:sz w:val="32"/>
          <w:szCs w:val="32"/>
        </w:rPr>
        <w:t>（图4：财政拨款收、支决算总计变动情况）</w:t>
      </w:r>
    </w:p>
    <w:p>
      <w:pPr>
        <w:spacing w:line="600" w:lineRule="exact"/>
        <w:ind w:firstLine="640"/>
        <w:rPr>
          <w:rFonts w:eastAsia="仿宋_GB2312" w:cs="仿宋_GB2312"/>
          <w:sz w:val="32"/>
          <w:szCs w:val="32"/>
        </w:rPr>
      </w:pPr>
    </w:p>
    <w:p>
      <w:pPr>
        <w:spacing w:line="600" w:lineRule="exact"/>
        <w:ind w:firstLine="640" w:firstLineChars="200"/>
        <w:outlineLvl w:val="1"/>
        <w:rPr>
          <w:rStyle w:val="29"/>
          <w:rFonts w:ascii="Times New Roman" w:hAnsi="Times New Roman" w:eastAsia="黑体"/>
          <w:b w:val="0"/>
        </w:rPr>
      </w:pPr>
      <w:bookmarkStart w:id="18" w:name="_Toc15396607"/>
      <w:bookmarkStart w:id="19"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18"/>
      <w:bookmarkEnd w:id="19"/>
    </w:p>
    <w:p>
      <w:pPr>
        <w:spacing w:line="600" w:lineRule="exact"/>
        <w:ind w:firstLine="642" w:firstLineChars="200"/>
        <w:outlineLvl w:val="2"/>
        <w:rPr>
          <w:rFonts w:eastAsia="楷体_GB2312" w:cs="楷体_GB2312"/>
          <w:b/>
          <w:sz w:val="32"/>
          <w:szCs w:val="32"/>
        </w:rPr>
      </w:pPr>
      <w:bookmarkStart w:id="20" w:name="_Toc15377210"/>
      <w:r>
        <w:rPr>
          <w:rFonts w:hint="eastAsia" w:eastAsia="楷体_GB2312" w:cs="楷体_GB2312"/>
          <w:b/>
          <w:sz w:val="32"/>
          <w:szCs w:val="32"/>
        </w:rPr>
        <w:t>（一）一般公共预算财政拨款支出决算总体情况</w:t>
      </w:r>
      <w:bookmarkEnd w:id="20"/>
    </w:p>
    <w:p>
      <w:pPr>
        <w:pStyle w:val="27"/>
        <w:spacing w:line="600" w:lineRule="exact"/>
        <w:ind w:firstLine="640"/>
        <w:outlineLvl w:val="1"/>
        <w:rPr>
          <w:rFonts w:hint="eastAsia" w:ascii="仿宋_GB2312" w:hAnsi="仿宋" w:eastAsia="仿宋_GB2312"/>
          <w:sz w:val="32"/>
          <w:szCs w:val="32"/>
          <w:lang w:val="en-US"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242.92</w:t>
      </w:r>
      <w:r>
        <w:rPr>
          <w:rFonts w:hint="eastAsia" w:eastAsia="仿宋_GB2312" w:cs="仿宋_GB2312"/>
          <w:sz w:val="32"/>
          <w:szCs w:val="32"/>
        </w:rPr>
        <w:t>万元，占本年支出合计的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46.12</w:t>
      </w:r>
      <w:r>
        <w:rPr>
          <w:rFonts w:hint="eastAsia" w:eastAsia="仿宋_GB2312" w:cs="仿宋_GB2312"/>
          <w:sz w:val="32"/>
          <w:szCs w:val="32"/>
        </w:rPr>
        <w:t>万元，增长</w:t>
      </w:r>
      <w:r>
        <w:rPr>
          <w:rFonts w:hint="eastAsia" w:ascii="Times New Roman" w:hAnsi="Times New Roman" w:eastAsia="仿宋_GB2312" w:cs="仿宋_GB2312"/>
          <w:kern w:val="2"/>
          <w:sz w:val="32"/>
          <w:szCs w:val="32"/>
          <w:lang w:val="en-US" w:eastAsia="zh-CN" w:bidi="ar-SA"/>
        </w:rPr>
        <w:t>23.4%。主要变动原因一是2025年度在职人员较上年增加2人，退休人员较上年增加1人，相应的人员经费、退休人员生活补助增加；二是2025年度新增一个一次性项目：十五五散装水泥专项规划编制经费7万元。</w:t>
      </w:r>
    </w:p>
    <w:p>
      <w:pPr>
        <w:pStyle w:val="27"/>
        <w:spacing w:line="600" w:lineRule="exact"/>
        <w:ind w:firstLine="640"/>
        <w:outlineLvl w:val="1"/>
        <w:rPr>
          <w:rFonts w:hint="eastAsia" w:ascii="仿宋_GB2312" w:hAnsi="仿宋" w:eastAsia="仿宋_GB2312"/>
          <w:sz w:val="32"/>
          <w:szCs w:val="32"/>
          <w:lang w:val="en-US" w:eastAsia="zh-CN"/>
        </w:rPr>
      </w:pPr>
    </w:p>
    <w:p>
      <w:pPr>
        <w:pStyle w:val="27"/>
        <w:spacing w:line="600" w:lineRule="exact"/>
        <w:ind w:firstLine="640"/>
        <w:outlineLvl w:val="1"/>
        <w:rPr>
          <w:rFonts w:hint="eastAsia" w:ascii="仿宋_GB2312" w:hAnsi="仿宋" w:eastAsia="仿宋_GB2312"/>
          <w:sz w:val="32"/>
          <w:szCs w:val="32"/>
          <w:lang w:val="en-US" w:eastAsia="zh-CN"/>
        </w:rPr>
      </w:pPr>
      <w:r>
        <w:rPr>
          <w:rFonts w:hint="eastAsia" w:eastAsia="仿宋_GB2312" w:cs="仿宋_GB2312"/>
          <w:sz w:val="32"/>
          <w:szCs w:val="32"/>
        </w:rPr>
        <w:drawing>
          <wp:anchor distT="0" distB="0" distL="114300" distR="114300" simplePos="0" relativeHeight="251665408" behindDoc="0" locked="0" layoutInCell="1" allowOverlap="1">
            <wp:simplePos x="0" y="0"/>
            <wp:positionH relativeFrom="column">
              <wp:posOffset>-161925</wp:posOffset>
            </wp:positionH>
            <wp:positionV relativeFrom="paragraph">
              <wp:posOffset>3810</wp:posOffset>
            </wp:positionV>
            <wp:extent cx="5792470" cy="2773680"/>
            <wp:effectExtent l="0" t="0" r="0" b="0"/>
            <wp:wrapSquare wrapText="bothSides"/>
            <wp:docPr id="10" name="对象 2"/>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jc w:val="center"/>
        <w:rPr>
          <w:rFonts w:hint="eastAsia"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0"/>
        <w:rPr>
          <w:rFonts w:hint="eastAsia"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21" w:name="_Toc15377211"/>
      <w:r>
        <w:rPr>
          <w:rFonts w:hint="eastAsia" w:eastAsia="楷体_GB2312" w:cs="楷体_GB2312"/>
          <w:b/>
          <w:sz w:val="32"/>
          <w:szCs w:val="32"/>
        </w:rPr>
        <w:t>（二）一般公共预算财政拨款支出决算结构情况</w:t>
      </w:r>
      <w:bookmarkEnd w:id="21"/>
    </w:p>
    <w:p>
      <w:pPr>
        <w:snapToGrid w:val="0"/>
        <w:spacing w:line="600" w:lineRule="exact"/>
        <w:ind w:firstLine="640" w:firstLineChars="200"/>
        <w:rPr>
          <w:rFonts w:hint="eastAsia" w:ascii="仿宋_GB2312" w:hAnsi="仿宋" w:eastAsia="仿宋_GB2312"/>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242.92</w:t>
      </w:r>
      <w:r>
        <w:rPr>
          <w:rFonts w:hint="eastAsia" w:eastAsia="仿宋_GB2312" w:cs="仿宋_GB2312"/>
          <w:sz w:val="32"/>
          <w:szCs w:val="32"/>
        </w:rPr>
        <w:t>万元，主要用于以下方面：社会保障和就业支出</w:t>
      </w:r>
      <w:r>
        <w:rPr>
          <w:rFonts w:hint="eastAsia" w:eastAsia="仿宋_GB2312" w:cs="仿宋_GB2312"/>
          <w:sz w:val="32"/>
          <w:szCs w:val="32"/>
          <w:lang w:val="en-US" w:eastAsia="zh-CN"/>
        </w:rPr>
        <w:t>36</w:t>
      </w:r>
      <w:r>
        <w:rPr>
          <w:rFonts w:hint="eastAsia" w:eastAsia="仿宋_GB2312" w:cs="仿宋_GB2312"/>
          <w:sz w:val="32"/>
          <w:szCs w:val="32"/>
        </w:rPr>
        <w:t>万元，占</w:t>
      </w:r>
      <w:r>
        <w:rPr>
          <w:rFonts w:hint="eastAsia" w:eastAsia="仿宋_GB2312" w:cs="仿宋_GB2312"/>
          <w:sz w:val="32"/>
          <w:szCs w:val="32"/>
          <w:lang w:val="en-US" w:eastAsia="zh-CN"/>
        </w:rPr>
        <w:t>14.8</w:t>
      </w:r>
      <w:r>
        <w:rPr>
          <w:rFonts w:hint="eastAsia" w:eastAsia="仿宋_GB2312" w:cs="仿宋_GB2312"/>
          <w:sz w:val="32"/>
          <w:szCs w:val="32"/>
        </w:rPr>
        <w:t>%；卫生健康支出</w:t>
      </w:r>
      <w:r>
        <w:rPr>
          <w:rFonts w:hint="eastAsia" w:eastAsia="仿宋_GB2312" w:cs="仿宋_GB2312"/>
          <w:sz w:val="32"/>
          <w:szCs w:val="32"/>
          <w:lang w:val="en-US" w:eastAsia="zh-CN"/>
        </w:rPr>
        <w:t>12.94</w:t>
      </w:r>
      <w:r>
        <w:rPr>
          <w:rFonts w:hint="eastAsia" w:eastAsia="仿宋_GB2312" w:cs="仿宋_GB2312"/>
          <w:sz w:val="32"/>
          <w:szCs w:val="32"/>
        </w:rPr>
        <w:t>万元，占</w:t>
      </w:r>
      <w:r>
        <w:rPr>
          <w:rFonts w:hint="eastAsia" w:eastAsia="仿宋_GB2312" w:cs="仿宋_GB2312"/>
          <w:sz w:val="32"/>
          <w:szCs w:val="32"/>
          <w:lang w:val="en-US" w:eastAsia="zh-CN"/>
        </w:rPr>
        <w:t>5.3</w:t>
      </w:r>
      <w:r>
        <w:rPr>
          <w:rFonts w:hint="eastAsia" w:eastAsia="仿宋_GB2312" w:cs="仿宋_GB2312"/>
          <w:sz w:val="32"/>
          <w:szCs w:val="32"/>
        </w:rPr>
        <w:t>%；城乡社区支出</w:t>
      </w:r>
      <w:r>
        <w:rPr>
          <w:rFonts w:hint="eastAsia" w:eastAsia="仿宋_GB2312" w:cs="仿宋_GB2312"/>
          <w:sz w:val="32"/>
          <w:szCs w:val="32"/>
          <w:lang w:val="en-US" w:eastAsia="zh-CN"/>
        </w:rPr>
        <w:t>177.99</w:t>
      </w:r>
      <w:r>
        <w:rPr>
          <w:rFonts w:hint="eastAsia" w:eastAsia="仿宋_GB2312" w:cs="仿宋_GB2312"/>
          <w:sz w:val="32"/>
          <w:szCs w:val="32"/>
        </w:rPr>
        <w:t>万元，占</w:t>
      </w:r>
      <w:r>
        <w:rPr>
          <w:rFonts w:hint="eastAsia" w:eastAsia="仿宋_GB2312" w:cs="仿宋_GB2312"/>
          <w:sz w:val="32"/>
          <w:szCs w:val="32"/>
          <w:lang w:val="en-US" w:eastAsia="zh-CN"/>
        </w:rPr>
        <w:t>73.3</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住房保障支出</w:t>
      </w:r>
      <w:r>
        <w:rPr>
          <w:rFonts w:hint="eastAsia" w:eastAsia="仿宋_GB2312" w:cs="仿宋_GB2312"/>
          <w:sz w:val="32"/>
          <w:szCs w:val="32"/>
          <w:lang w:val="en-US" w:eastAsia="zh-CN"/>
        </w:rPr>
        <w:t>15.99</w:t>
      </w:r>
      <w:r>
        <w:rPr>
          <w:rFonts w:hint="eastAsia" w:eastAsia="仿宋_GB2312" w:cs="仿宋_GB2312"/>
          <w:sz w:val="32"/>
          <w:szCs w:val="32"/>
        </w:rPr>
        <w:t>万元，占</w:t>
      </w:r>
      <w:r>
        <w:rPr>
          <w:rFonts w:hint="eastAsia" w:eastAsia="仿宋_GB2312" w:cs="仿宋_GB2312"/>
          <w:sz w:val="32"/>
          <w:szCs w:val="32"/>
          <w:lang w:val="en-US" w:eastAsia="zh-CN"/>
        </w:rPr>
        <w:t>6.6</w:t>
      </w:r>
      <w:r>
        <w:rPr>
          <w:rFonts w:hint="eastAsia" w:eastAsia="仿宋_GB2312" w:cs="仿宋_GB2312"/>
          <w:sz w:val="32"/>
          <w:szCs w:val="32"/>
        </w:rPr>
        <w:t>%。</w:t>
      </w:r>
    </w:p>
    <w:p>
      <w:pPr>
        <w:snapToGrid w:val="0"/>
        <w:spacing w:line="240" w:lineRule="auto"/>
        <w:rPr>
          <w:rFonts w:hint="eastAsia" w:eastAsia="仿宋_GB2312" w:cs="仿宋_GB2312"/>
          <w:b/>
          <w:bCs/>
          <w:sz w:val="32"/>
          <w:szCs w:val="32"/>
        </w:rPr>
      </w:pPr>
      <w:r>
        <w:rPr>
          <w:rFonts w:hint="eastAsia" w:eastAsia="仿宋_GB2312" w:cs="仿宋_GB2312"/>
          <w:color w:val="0000FF"/>
          <w:sz w:val="32"/>
          <w:szCs w:val="32"/>
        </w:rPr>
        <w:drawing>
          <wp:inline distT="0" distB="0" distL="114300" distR="114300">
            <wp:extent cx="5305425" cy="2181225"/>
            <wp:effectExtent l="4445" t="4445" r="5080" b="5080"/>
            <wp:docPr id="9" name="对象 12"/>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rPr>
          <w:rFonts w:hint="eastAsia" w:eastAsia="仿宋_GB2312" w:cs="仿宋_GB2312"/>
          <w:sz w:val="32"/>
          <w:szCs w:val="32"/>
        </w:rPr>
      </w:pPr>
      <w:r>
        <w:rPr>
          <w:rFonts w:hint="eastAsia" w:eastAsia="仿宋_GB2312" w:cs="仿宋_GB2312"/>
          <w:sz w:val="32"/>
          <w:szCs w:val="32"/>
        </w:rPr>
        <w:t>（图6：一般公共预算财政拨款支出决算结构）</w:t>
      </w:r>
      <w:bookmarkStart w:id="22" w:name="_Toc15377212"/>
    </w:p>
    <w:p>
      <w:pPr>
        <w:spacing w:line="600" w:lineRule="exact"/>
        <w:ind w:firstLine="640"/>
        <w:rPr>
          <w:rFonts w:hint="eastAsia" w:eastAsia="仿宋_GB2312" w:cs="仿宋_GB2312"/>
          <w:sz w:val="32"/>
          <w:szCs w:val="32"/>
        </w:rPr>
      </w:pPr>
    </w:p>
    <w:p>
      <w:pPr>
        <w:spacing w:line="600" w:lineRule="exact"/>
        <w:ind w:firstLine="640"/>
        <w:rPr>
          <w:rFonts w:eastAsia="楷体_GB2312" w:cs="楷体_GB2312"/>
          <w:b/>
          <w:sz w:val="32"/>
          <w:szCs w:val="32"/>
        </w:rPr>
      </w:pPr>
      <w:r>
        <w:rPr>
          <w:rFonts w:hint="eastAsia" w:eastAsia="楷体_GB2312" w:cs="楷体_GB2312"/>
          <w:b/>
          <w:sz w:val="32"/>
          <w:szCs w:val="32"/>
        </w:rPr>
        <w:t>（三）一般公共预算财政拨款支出决算具体情况</w:t>
      </w:r>
      <w:bookmarkEnd w:id="22"/>
    </w:p>
    <w:p>
      <w:pPr>
        <w:spacing w:line="600" w:lineRule="exact"/>
        <w:ind w:firstLine="640"/>
        <w:rPr>
          <w:rFonts w:eastAsia="仿宋_GB2312" w:cs="仿宋_GB2312"/>
          <w:sz w:val="32"/>
          <w:szCs w:val="32"/>
        </w:rPr>
      </w:pPr>
      <w:bookmarkStart w:id="23" w:name="_Toc15378460"/>
      <w:bookmarkStart w:id="24" w:name="_Toc15377444"/>
      <w:bookmarkStart w:id="25" w:name="_Toc15377213"/>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242.92</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23"/>
      <w:bookmarkEnd w:id="24"/>
      <w:bookmarkEnd w:id="25"/>
    </w:p>
    <w:p>
      <w:pPr>
        <w:spacing w:line="600" w:lineRule="exact"/>
        <w:ind w:firstLine="640"/>
        <w:rPr>
          <w:rStyle w:val="17"/>
          <w:rFonts w:hint="eastAsia" w:eastAsia="仿宋_GB2312" w:cs="仿宋_GB2312"/>
          <w:b w:val="0"/>
          <w:sz w:val="32"/>
          <w:szCs w:val="32"/>
        </w:rPr>
      </w:pPr>
      <w:r>
        <w:rPr>
          <w:rFonts w:hint="eastAsia" w:eastAsia="仿宋_GB2312" w:cs="仿宋_GB2312"/>
          <w:sz w:val="32"/>
          <w:szCs w:val="32"/>
        </w:rPr>
        <w:t>1.</w:t>
      </w:r>
      <w:r>
        <w:rPr>
          <w:rFonts w:hint="eastAsia" w:ascii="仿宋_GB2312" w:hAnsi="黑体" w:eastAsia="仿宋_GB2312"/>
          <w:sz w:val="32"/>
          <w:szCs w:val="32"/>
        </w:rPr>
        <w:t>城乡社区支</w:t>
      </w:r>
      <w:r>
        <w:rPr>
          <w:rFonts w:hint="eastAsia" w:eastAsia="仿宋_GB2312" w:cs="仿宋_GB2312"/>
          <w:sz w:val="32"/>
          <w:szCs w:val="32"/>
        </w:rPr>
        <w:t>出（类）城乡社区管理事务（款）行政运行（项）：支出决算为</w:t>
      </w:r>
      <w:r>
        <w:rPr>
          <w:rFonts w:hint="eastAsia" w:eastAsia="仿宋_GB2312" w:cs="仿宋_GB2312"/>
          <w:sz w:val="32"/>
          <w:szCs w:val="32"/>
          <w:lang w:val="en-US" w:eastAsia="zh-CN"/>
        </w:rPr>
        <w:t>164.24</w:t>
      </w:r>
      <w:r>
        <w:rPr>
          <w:rFonts w:hint="eastAsia" w:eastAsia="仿宋_GB2312" w:cs="仿宋_GB2312"/>
          <w:sz w:val="32"/>
          <w:szCs w:val="32"/>
        </w:rPr>
        <w:t>万元，完成预算100%。决算数等于预算数。</w:t>
      </w:r>
    </w:p>
    <w:p>
      <w:pPr>
        <w:spacing w:line="600" w:lineRule="exact"/>
        <w:ind w:firstLine="640"/>
        <w:rPr>
          <w:rStyle w:val="17"/>
          <w:rFonts w:eastAsia="仿宋_GB2312" w:cs="仿宋_GB2312"/>
          <w:b w:val="0"/>
          <w:sz w:val="32"/>
          <w:szCs w:val="32"/>
        </w:rPr>
      </w:pPr>
      <w:r>
        <w:rPr>
          <w:rFonts w:hint="eastAsia" w:ascii="仿宋_GB2312" w:hAnsi="黑体" w:eastAsia="仿宋_GB2312"/>
          <w:sz w:val="32"/>
          <w:szCs w:val="32"/>
        </w:rPr>
        <w:t>2.城乡社区支出</w:t>
      </w:r>
      <w:r>
        <w:rPr>
          <w:rStyle w:val="17"/>
          <w:rFonts w:hint="eastAsia" w:ascii="仿宋_GB2312" w:hAnsi="黑体" w:eastAsia="仿宋_GB2312"/>
          <w:b w:val="0"/>
          <w:sz w:val="32"/>
          <w:szCs w:val="32"/>
        </w:rPr>
        <w:t>（类）城乡社区管理事务（款）其他城乡社区管</w:t>
      </w:r>
      <w:r>
        <w:rPr>
          <w:rFonts w:hint="eastAsia" w:eastAsia="仿宋_GB2312" w:cs="仿宋_GB2312"/>
          <w:sz w:val="32"/>
          <w:szCs w:val="32"/>
        </w:rPr>
        <w:t>理事务支出（项）：支出决算为</w:t>
      </w:r>
      <w:r>
        <w:rPr>
          <w:rFonts w:hint="eastAsia" w:eastAsia="仿宋_GB2312" w:cs="仿宋_GB2312"/>
          <w:sz w:val="32"/>
          <w:szCs w:val="32"/>
          <w:lang w:val="en-US" w:eastAsia="zh-CN"/>
        </w:rPr>
        <w:t>13.75</w:t>
      </w:r>
      <w:r>
        <w:rPr>
          <w:rFonts w:hint="eastAsia" w:eastAsia="仿宋_GB2312" w:cs="仿宋_GB2312"/>
          <w:sz w:val="32"/>
          <w:szCs w:val="32"/>
        </w:rPr>
        <w:t>万元，完成预算100%。决算数等于预算数。</w:t>
      </w:r>
    </w:p>
    <w:p>
      <w:pPr>
        <w:spacing w:line="600" w:lineRule="exact"/>
        <w:ind w:firstLine="640" w:firstLineChars="200"/>
        <w:rPr>
          <w:rFonts w:ascii="仿宋_GB2312" w:hAnsi="黑体" w:eastAsia="仿宋_GB2312"/>
          <w:color w:val="000000"/>
          <w:sz w:val="32"/>
          <w:szCs w:val="32"/>
        </w:rPr>
      </w:pPr>
      <w:r>
        <w:rPr>
          <w:rStyle w:val="17"/>
          <w:rFonts w:hint="eastAsia" w:ascii="仿宋_GB2312" w:hAnsi="黑体" w:eastAsia="仿宋_GB2312"/>
          <w:b w:val="0"/>
          <w:color w:val="000000"/>
          <w:sz w:val="32"/>
          <w:szCs w:val="32"/>
        </w:rPr>
        <w:t>3.社会保障和就业（类）行政事业单位养老支出（款）行政单位离退休（项）</w:t>
      </w:r>
      <w:r>
        <w:rPr>
          <w:rStyle w:val="17"/>
          <w:rFonts w:hint="eastAsia" w:ascii="仿宋_GB2312" w:hAnsi="黑体" w:eastAsia="仿宋_GB2312"/>
          <w:b w:val="0"/>
          <w:color w:val="000000"/>
          <w:sz w:val="32"/>
          <w:szCs w:val="32"/>
          <w:lang w:eastAsia="zh-CN"/>
        </w:rPr>
        <w:t>：</w:t>
      </w:r>
      <w:r>
        <w:rPr>
          <w:rStyle w:val="17"/>
          <w:rFonts w:hint="eastAsia" w:ascii="仿宋_GB2312" w:hAnsi="黑体" w:eastAsia="仿宋_GB2312"/>
          <w:b w:val="0"/>
          <w:bCs/>
          <w:color w:val="000000"/>
          <w:sz w:val="32"/>
          <w:szCs w:val="32"/>
        </w:rPr>
        <w:t>支</w:t>
      </w:r>
      <w:r>
        <w:rPr>
          <w:rFonts w:hint="eastAsia" w:eastAsia="仿宋_GB2312" w:cs="仿宋_GB2312"/>
          <w:sz w:val="32"/>
          <w:szCs w:val="32"/>
        </w:rPr>
        <w:t>出决算为8.</w:t>
      </w:r>
      <w:r>
        <w:rPr>
          <w:rFonts w:hint="eastAsia" w:eastAsia="仿宋_GB2312" w:cs="仿宋_GB2312"/>
          <w:sz w:val="32"/>
          <w:szCs w:val="32"/>
          <w:lang w:val="en-US" w:eastAsia="zh-CN"/>
        </w:rPr>
        <w:t>46</w:t>
      </w:r>
      <w:r>
        <w:rPr>
          <w:rFonts w:hint="eastAsia" w:eastAsia="仿宋_GB2312" w:cs="仿宋_GB2312"/>
          <w:sz w:val="32"/>
          <w:szCs w:val="32"/>
        </w:rPr>
        <w:t>万元，完成预算100%。决算数等于预算数。</w:t>
      </w:r>
    </w:p>
    <w:p>
      <w:pPr>
        <w:spacing w:line="600" w:lineRule="exact"/>
        <w:ind w:firstLine="640" w:firstLineChars="200"/>
        <w:rPr>
          <w:rStyle w:val="17"/>
          <w:rFonts w:hint="eastAsia" w:ascii="仿宋_GB2312" w:hAnsi="黑体" w:eastAsia="仿宋_GB2312"/>
          <w:b w:val="0"/>
          <w:bCs/>
          <w:color w:val="000000"/>
          <w:sz w:val="32"/>
          <w:szCs w:val="32"/>
        </w:rPr>
      </w:pPr>
      <w:r>
        <w:rPr>
          <w:rStyle w:val="17"/>
          <w:rFonts w:hint="eastAsia" w:ascii="仿宋_GB2312" w:hAnsi="黑体" w:eastAsia="仿宋_GB2312"/>
          <w:b w:val="0"/>
          <w:color w:val="000000"/>
          <w:sz w:val="32"/>
          <w:szCs w:val="32"/>
        </w:rPr>
        <w:t>4.社会保障和就业（类）行政事业</w:t>
      </w:r>
      <w:r>
        <w:rPr>
          <w:rFonts w:hint="eastAsia" w:eastAsia="仿宋_GB2312" w:cs="仿宋_GB2312"/>
          <w:sz w:val="32"/>
          <w:szCs w:val="32"/>
        </w:rPr>
        <w:t>单位养老支出（款）机关事业单位基本养老保险缴费（项）：支出决算为</w:t>
      </w:r>
      <w:r>
        <w:rPr>
          <w:rFonts w:hint="eastAsia" w:eastAsia="仿宋_GB2312" w:cs="仿宋_GB2312"/>
          <w:sz w:val="32"/>
          <w:szCs w:val="32"/>
          <w:lang w:val="en-US" w:eastAsia="zh-CN"/>
        </w:rPr>
        <w:t>19.08</w:t>
      </w:r>
      <w:r>
        <w:rPr>
          <w:rFonts w:hint="eastAsia" w:eastAsia="仿宋_GB2312" w:cs="仿宋_GB2312"/>
          <w:sz w:val="32"/>
          <w:szCs w:val="32"/>
        </w:rPr>
        <w:t>万元，完成预算100%。决算数等于预算数。</w:t>
      </w:r>
    </w:p>
    <w:p>
      <w:pPr>
        <w:spacing w:line="600" w:lineRule="exact"/>
        <w:ind w:firstLine="640" w:firstLineChars="200"/>
        <w:rPr>
          <w:rStyle w:val="17"/>
          <w:rFonts w:ascii="仿宋_GB2312" w:hAnsi="黑体" w:eastAsia="仿宋_GB2312"/>
          <w:b w:val="0"/>
          <w:bCs/>
          <w:color w:val="000000"/>
          <w:sz w:val="32"/>
          <w:szCs w:val="32"/>
        </w:rPr>
      </w:pPr>
      <w:r>
        <w:rPr>
          <w:rStyle w:val="17"/>
          <w:rFonts w:hint="eastAsia" w:ascii="仿宋_GB2312" w:hAnsi="黑体" w:eastAsia="仿宋_GB2312"/>
          <w:b w:val="0"/>
          <w:bCs/>
          <w:color w:val="000000"/>
          <w:sz w:val="32"/>
          <w:szCs w:val="32"/>
          <w:lang w:val="en-US" w:eastAsia="zh-CN"/>
        </w:rPr>
        <w:t>5.</w:t>
      </w:r>
      <w:r>
        <w:rPr>
          <w:rStyle w:val="17"/>
          <w:rFonts w:hint="eastAsia" w:ascii="仿宋_GB2312" w:hAnsi="黑体" w:eastAsia="仿宋_GB2312"/>
          <w:b w:val="0"/>
          <w:color w:val="000000"/>
          <w:sz w:val="32"/>
          <w:szCs w:val="32"/>
        </w:rPr>
        <w:t>社会保障和就业（类）行政事</w:t>
      </w:r>
      <w:r>
        <w:rPr>
          <w:rFonts w:hint="eastAsia" w:eastAsia="仿宋_GB2312" w:cs="仿宋_GB2312"/>
          <w:sz w:val="32"/>
          <w:szCs w:val="32"/>
        </w:rPr>
        <w:t>业单位养老支出（款）机关事业单位职业年金缴费支出（项）：支出决算为</w:t>
      </w:r>
      <w:r>
        <w:rPr>
          <w:rFonts w:hint="eastAsia" w:eastAsia="仿宋_GB2312" w:cs="仿宋_GB2312"/>
          <w:sz w:val="32"/>
          <w:szCs w:val="32"/>
          <w:lang w:val="en-US" w:eastAsia="zh-CN"/>
        </w:rPr>
        <w:t>8.46</w:t>
      </w:r>
      <w:r>
        <w:rPr>
          <w:rFonts w:hint="eastAsia" w:eastAsia="仿宋_GB2312" w:cs="仿宋_GB2312"/>
          <w:sz w:val="32"/>
          <w:szCs w:val="32"/>
        </w:rPr>
        <w:t>万元，完成预算100%。决算数等于预算数。</w:t>
      </w:r>
    </w:p>
    <w:p>
      <w:pPr>
        <w:spacing w:line="600" w:lineRule="exact"/>
        <w:ind w:firstLine="640" w:firstLineChars="200"/>
        <w:rPr>
          <w:rStyle w:val="17"/>
          <w:rFonts w:ascii="仿宋_GB2312" w:hAnsi="黑体" w:eastAsia="仿宋_GB2312"/>
          <w:b w:val="0"/>
          <w:bCs/>
          <w:color w:val="000000"/>
          <w:sz w:val="32"/>
          <w:szCs w:val="32"/>
        </w:rPr>
      </w:pPr>
      <w:r>
        <w:rPr>
          <w:rStyle w:val="17"/>
          <w:rFonts w:hint="eastAsia" w:ascii="仿宋_GB2312" w:hAnsi="黑体" w:eastAsia="仿宋_GB2312"/>
          <w:b w:val="0"/>
          <w:color w:val="000000"/>
          <w:sz w:val="32"/>
          <w:szCs w:val="32"/>
        </w:rPr>
        <w:t>6.卫生健康支出（类）行</w:t>
      </w:r>
      <w:r>
        <w:rPr>
          <w:rFonts w:hint="eastAsia" w:eastAsia="仿宋_GB2312" w:cs="仿宋_GB2312"/>
          <w:sz w:val="32"/>
          <w:szCs w:val="32"/>
        </w:rPr>
        <w:t>政事业单位医疗（款）行政单位医疗（项）: 支出决算为</w:t>
      </w:r>
      <w:r>
        <w:rPr>
          <w:rFonts w:hint="eastAsia" w:eastAsia="仿宋_GB2312" w:cs="仿宋_GB2312"/>
          <w:sz w:val="32"/>
          <w:szCs w:val="32"/>
          <w:lang w:val="en-US" w:eastAsia="zh-CN"/>
        </w:rPr>
        <w:t>10.18</w:t>
      </w:r>
      <w:r>
        <w:rPr>
          <w:rFonts w:hint="eastAsia" w:eastAsia="仿宋_GB2312" w:cs="仿宋_GB2312"/>
          <w:sz w:val="32"/>
          <w:szCs w:val="32"/>
        </w:rPr>
        <w:t>万元，完成预算100%。决算数等于预算数。</w:t>
      </w:r>
    </w:p>
    <w:p>
      <w:pPr>
        <w:spacing w:line="600" w:lineRule="exact"/>
        <w:ind w:firstLine="640" w:firstLineChars="200"/>
        <w:rPr>
          <w:rStyle w:val="17"/>
          <w:rFonts w:ascii="仿宋_GB2312" w:hAnsi="黑体" w:eastAsia="仿宋_GB2312"/>
          <w:b w:val="0"/>
          <w:bCs/>
          <w:color w:val="000000"/>
          <w:sz w:val="32"/>
          <w:szCs w:val="32"/>
        </w:rPr>
      </w:pPr>
      <w:r>
        <w:rPr>
          <w:rStyle w:val="17"/>
          <w:rFonts w:hint="eastAsia" w:ascii="仿宋_GB2312" w:hAnsi="黑体" w:eastAsia="仿宋_GB2312"/>
          <w:b w:val="0"/>
          <w:color w:val="000000"/>
          <w:sz w:val="32"/>
          <w:szCs w:val="32"/>
        </w:rPr>
        <w:t>7.卫生健康支出（类）</w:t>
      </w:r>
      <w:r>
        <w:rPr>
          <w:rFonts w:hint="eastAsia" w:eastAsia="仿宋_GB2312" w:cs="仿宋_GB2312"/>
          <w:sz w:val="32"/>
          <w:szCs w:val="32"/>
        </w:rPr>
        <w:t>行政事业单位医疗（款）公务员医疗补助（项）: 支出决算为1.</w:t>
      </w:r>
      <w:r>
        <w:rPr>
          <w:rFonts w:hint="eastAsia" w:eastAsia="仿宋_GB2312" w:cs="仿宋_GB2312"/>
          <w:sz w:val="32"/>
          <w:szCs w:val="32"/>
          <w:lang w:val="en-US" w:eastAsia="zh-CN"/>
        </w:rPr>
        <w:t>16</w:t>
      </w:r>
      <w:r>
        <w:rPr>
          <w:rFonts w:hint="eastAsia" w:eastAsia="仿宋_GB2312" w:cs="仿宋_GB2312"/>
          <w:sz w:val="32"/>
          <w:szCs w:val="32"/>
        </w:rPr>
        <w:t>万元，完成预算100%。决算数等于预算数。</w:t>
      </w:r>
    </w:p>
    <w:p>
      <w:pPr>
        <w:spacing w:line="600" w:lineRule="exact"/>
        <w:ind w:firstLine="640" w:firstLineChars="200"/>
        <w:rPr>
          <w:rStyle w:val="17"/>
          <w:rFonts w:ascii="仿宋_GB2312" w:hAnsi="黑体" w:eastAsia="仿宋_GB2312"/>
          <w:b w:val="0"/>
          <w:bCs/>
          <w:color w:val="000000"/>
          <w:sz w:val="32"/>
          <w:szCs w:val="32"/>
        </w:rPr>
      </w:pPr>
      <w:r>
        <w:rPr>
          <w:rStyle w:val="17"/>
          <w:rFonts w:hint="eastAsia" w:ascii="仿宋_GB2312" w:hAnsi="黑体" w:eastAsia="仿宋_GB2312"/>
          <w:b w:val="0"/>
          <w:color w:val="000000"/>
          <w:sz w:val="32"/>
          <w:szCs w:val="32"/>
        </w:rPr>
        <w:t>8.卫生健康支出（类）行政事</w:t>
      </w:r>
      <w:r>
        <w:rPr>
          <w:rFonts w:hint="eastAsia" w:eastAsia="仿宋_GB2312" w:cs="仿宋_GB2312"/>
          <w:sz w:val="32"/>
          <w:szCs w:val="32"/>
        </w:rPr>
        <w:t>业单位医疗（款）其他行政事业单位医疗支出（项）: 支出决算为1</w:t>
      </w:r>
      <w:r>
        <w:rPr>
          <w:rFonts w:hint="eastAsia" w:eastAsia="仿宋_GB2312" w:cs="仿宋_GB2312"/>
          <w:sz w:val="32"/>
          <w:szCs w:val="32"/>
          <w:lang w:val="en-US" w:eastAsia="zh-CN"/>
        </w:rPr>
        <w:t>.6</w:t>
      </w:r>
      <w:r>
        <w:rPr>
          <w:rFonts w:hint="eastAsia" w:eastAsia="仿宋_GB2312" w:cs="仿宋_GB2312"/>
          <w:sz w:val="32"/>
          <w:szCs w:val="32"/>
        </w:rPr>
        <w:t>万元，完成预算100%。决算数等于预算数。</w:t>
      </w:r>
    </w:p>
    <w:p>
      <w:pPr>
        <w:spacing w:line="600" w:lineRule="exact"/>
        <w:ind w:firstLine="640" w:firstLineChars="200"/>
        <w:rPr>
          <w:rFonts w:ascii="仿宋_GB2312" w:hAnsi="黑体" w:eastAsia="仿宋_GB2312"/>
          <w:b/>
          <w:bCs/>
          <w:color w:val="000000"/>
          <w:sz w:val="32"/>
          <w:szCs w:val="32"/>
        </w:rPr>
      </w:pPr>
      <w:r>
        <w:rPr>
          <w:rStyle w:val="17"/>
          <w:rFonts w:hint="eastAsia" w:ascii="仿宋_GB2312" w:hAnsi="黑体" w:eastAsia="仿宋_GB2312"/>
          <w:b w:val="0"/>
          <w:sz w:val="32"/>
          <w:szCs w:val="32"/>
        </w:rPr>
        <w:t>9.</w:t>
      </w:r>
      <w:r>
        <w:rPr>
          <w:rFonts w:hint="eastAsia" w:ascii="仿宋_GB2312" w:hAnsi="黑体" w:eastAsia="仿宋_GB2312"/>
          <w:sz w:val="32"/>
          <w:szCs w:val="32"/>
        </w:rPr>
        <w:t>住房保障支出</w:t>
      </w:r>
      <w:r>
        <w:rPr>
          <w:rStyle w:val="17"/>
          <w:rFonts w:hint="eastAsia" w:ascii="仿宋_GB2312" w:hAnsi="黑体" w:eastAsia="仿宋_GB2312"/>
          <w:b w:val="0"/>
          <w:sz w:val="32"/>
          <w:szCs w:val="32"/>
        </w:rPr>
        <w:t>（类）住房</w:t>
      </w:r>
      <w:r>
        <w:rPr>
          <w:rFonts w:hint="eastAsia" w:eastAsia="仿宋_GB2312" w:cs="仿宋_GB2312"/>
          <w:sz w:val="32"/>
          <w:szCs w:val="32"/>
        </w:rPr>
        <w:t>改革支出（款）住房公积金（项）：支出决算为1</w:t>
      </w:r>
      <w:r>
        <w:rPr>
          <w:rFonts w:hint="eastAsia" w:eastAsia="仿宋_GB2312" w:cs="仿宋_GB2312"/>
          <w:sz w:val="32"/>
          <w:szCs w:val="32"/>
          <w:lang w:val="en-US" w:eastAsia="zh-CN"/>
        </w:rPr>
        <w:t>5.99</w:t>
      </w:r>
      <w:r>
        <w:rPr>
          <w:rFonts w:hint="eastAsia" w:eastAsia="仿宋_GB2312" w:cs="仿宋_GB2312"/>
          <w:sz w:val="32"/>
          <w:szCs w:val="32"/>
        </w:rPr>
        <w:t>万元，完成预算100%。决算数等于预算数。</w:t>
      </w:r>
    </w:p>
    <w:p>
      <w:pPr>
        <w:tabs>
          <w:tab w:val="right" w:pos="8306"/>
        </w:tabs>
        <w:spacing w:line="600" w:lineRule="exact"/>
        <w:ind w:firstLine="640"/>
        <w:outlineLvl w:val="1"/>
        <w:rPr>
          <w:rStyle w:val="29"/>
          <w:rFonts w:ascii="Times New Roman" w:hAnsi="Times New Roman"/>
        </w:rPr>
      </w:pPr>
      <w:bookmarkStart w:id="26" w:name="_Toc15396608"/>
      <w:bookmarkStart w:id="27"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26"/>
      <w:bookmarkEnd w:id="27"/>
      <w:r>
        <w:rPr>
          <w:rStyle w:val="29"/>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229.17</w:t>
      </w:r>
      <w:r>
        <w:rPr>
          <w:rFonts w:hint="eastAsia" w:eastAsia="仿宋_GB2312" w:cs="仿宋_GB2312"/>
          <w:sz w:val="32"/>
          <w:szCs w:val="32"/>
        </w:rPr>
        <w:t>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210.74</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退休费、生活补助、医疗费补助、奖励金、住房公积金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18.43</w:t>
      </w:r>
      <w:r>
        <w:rPr>
          <w:rFonts w:hint="eastAsia" w:eastAsia="仿宋_GB2312" w:cs="仿宋_GB2312"/>
          <w:sz w:val="32"/>
          <w:szCs w:val="32"/>
        </w:rPr>
        <w:t>万元，主要包括：办公费、印刷费、咨询费、水费、电费、邮电费、物业管理费、差旅费、培训费、公务接待费、劳务费、委托业务费、工会经费、福利费、其他交通费、其他商品和服务支出等。</w:t>
      </w:r>
    </w:p>
    <w:p>
      <w:pPr>
        <w:spacing w:line="600" w:lineRule="exact"/>
        <w:ind w:firstLine="640"/>
        <w:outlineLvl w:val="1"/>
        <w:rPr>
          <w:rStyle w:val="29"/>
          <w:rFonts w:ascii="Times New Roman" w:hAnsi="Times New Roman" w:eastAsia="黑体"/>
          <w:b w:val="0"/>
        </w:rPr>
      </w:pPr>
      <w:bookmarkStart w:id="28" w:name="_Toc15396609"/>
      <w:bookmarkStart w:id="29"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28"/>
      <w:bookmarkEnd w:id="29"/>
    </w:p>
    <w:p>
      <w:pPr>
        <w:spacing w:line="600" w:lineRule="exact"/>
        <w:ind w:firstLine="642" w:firstLineChars="200"/>
        <w:outlineLvl w:val="2"/>
        <w:rPr>
          <w:rFonts w:eastAsia="楷体_GB2312" w:cs="楷体_GB2312"/>
          <w:b/>
          <w:sz w:val="32"/>
          <w:szCs w:val="32"/>
        </w:rPr>
      </w:pPr>
      <w:bookmarkStart w:id="30" w:name="_Toc15377216"/>
      <w:r>
        <w:rPr>
          <w:rFonts w:hint="eastAsia" w:eastAsia="楷体_GB2312" w:cs="楷体_GB2312"/>
          <w:b/>
          <w:sz w:val="32"/>
          <w:szCs w:val="32"/>
        </w:rPr>
        <w:t>（一）财政拨款“三公”经费支出决算总体情况说明</w:t>
      </w:r>
      <w:bookmarkEnd w:id="30"/>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0.21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%，较上年度增加</w:t>
      </w:r>
      <w:r>
        <w:rPr>
          <w:rFonts w:hint="eastAsia" w:eastAsia="仿宋_GB2312" w:cs="仿宋_GB2312"/>
          <w:sz w:val="32"/>
          <w:szCs w:val="32"/>
          <w:lang w:val="en-US" w:eastAsia="zh-CN"/>
        </w:rPr>
        <w:t>0.11</w:t>
      </w:r>
      <w:r>
        <w:rPr>
          <w:rFonts w:hint="eastAsia" w:eastAsia="仿宋_GB2312" w:cs="仿宋_GB2312"/>
          <w:sz w:val="32"/>
          <w:szCs w:val="32"/>
        </w:rPr>
        <w:t>万元，增长</w:t>
      </w:r>
      <w:r>
        <w:rPr>
          <w:rFonts w:hint="eastAsia" w:eastAsia="仿宋_GB2312" w:cs="仿宋_GB2312"/>
          <w:sz w:val="32"/>
          <w:szCs w:val="32"/>
          <w:lang w:val="en-US" w:eastAsia="zh-CN"/>
        </w:rPr>
        <w:t>110</w:t>
      </w:r>
      <w:r>
        <w:rPr>
          <w:rFonts w:hint="eastAsia" w:eastAsia="仿宋_GB2312" w:cs="仿宋_GB2312"/>
          <w:sz w:val="32"/>
          <w:szCs w:val="32"/>
        </w:rPr>
        <w:t>%。决算数与预算数持平。</w:t>
      </w:r>
    </w:p>
    <w:p>
      <w:pPr>
        <w:spacing w:line="600" w:lineRule="exact"/>
        <w:ind w:firstLine="642" w:firstLineChars="200"/>
        <w:outlineLvl w:val="2"/>
        <w:rPr>
          <w:rFonts w:eastAsia="楷体_GB2312" w:cs="楷体_GB2312"/>
          <w:b/>
          <w:sz w:val="32"/>
          <w:szCs w:val="32"/>
        </w:rPr>
      </w:pPr>
      <w:bookmarkStart w:id="31" w:name="_Toc15377217"/>
      <w:r>
        <w:rPr>
          <w:rFonts w:hint="eastAsia" w:eastAsia="楷体_GB2312" w:cs="楷体_GB2312"/>
          <w:b/>
          <w:sz w:val="32"/>
          <w:szCs w:val="32"/>
        </w:rPr>
        <w:t>（二）财政拨款“三公”经费支出决算具体情况说明</w:t>
      </w:r>
      <w:bookmarkEnd w:id="31"/>
    </w:p>
    <w:p>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%；公务接待费支出决算</w:t>
      </w:r>
      <w:r>
        <w:rPr>
          <w:rFonts w:hint="eastAsia" w:eastAsia="仿宋_GB2312" w:cs="仿宋_GB2312"/>
          <w:sz w:val="32"/>
          <w:szCs w:val="32"/>
          <w:lang w:val="en-US" w:eastAsia="zh-CN"/>
        </w:rPr>
        <w:t>0.21</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%。具体情况如下：</w:t>
      </w: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67456" behindDoc="1" locked="0" layoutInCell="1" allowOverlap="1">
            <wp:simplePos x="0" y="0"/>
            <wp:positionH relativeFrom="column">
              <wp:posOffset>190500</wp:posOffset>
            </wp:positionH>
            <wp:positionV relativeFrom="paragraph">
              <wp:posOffset>203835</wp:posOffset>
            </wp:positionV>
            <wp:extent cx="4933950" cy="1914525"/>
            <wp:effectExtent l="0" t="0" r="0" b="0"/>
            <wp:wrapNone/>
            <wp:docPr id="11" name="对象 3"/>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jc w:val="center"/>
        <w:rPr>
          <w:rFonts w:hint="eastAsia" w:eastAsia="仿宋_GB2312" w:cs="仿宋_GB2312"/>
          <w:sz w:val="32"/>
          <w:szCs w:val="32"/>
        </w:rPr>
      </w:pPr>
      <w:r>
        <w:rPr>
          <w:rFonts w:hint="eastAsia" w:eastAsia="仿宋_GB2312" w:cs="仿宋_GB2312"/>
          <w:sz w:val="32"/>
          <w:szCs w:val="32"/>
        </w:rPr>
        <w:t>（图7：财政拨款“三公”经费支出结构）</w:t>
      </w:r>
    </w:p>
    <w:p>
      <w:pPr>
        <w:spacing w:line="600" w:lineRule="exact"/>
        <w:ind w:firstLine="640"/>
        <w:rPr>
          <w:rFonts w:hint="eastAsia" w:eastAsia="仿宋_GB2312" w:cs="仿宋_GB2312"/>
          <w:sz w:val="32"/>
          <w:szCs w:val="32"/>
        </w:rPr>
      </w:pP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1.因公出国（境）经费支出0万元。</w:t>
      </w:r>
      <w:r>
        <w:rPr>
          <w:rFonts w:hint="eastAsia" w:eastAsia="仿宋_GB2312" w:cs="仿宋_GB2312"/>
          <w:sz w:val="32"/>
          <w:szCs w:val="32"/>
        </w:rPr>
        <w:t>全年安排因公出国（境）团组0次，出国（境）0人。</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0万</w:t>
      </w:r>
      <w:r>
        <w:rPr>
          <w:rFonts w:hint="eastAsia" w:eastAsia="仿宋_GB2312" w:cs="仿宋_GB2312"/>
          <w:b/>
          <w:bCs/>
          <w:sz w:val="32"/>
          <w:szCs w:val="32"/>
        </w:rPr>
        <w:t>元。</w:t>
      </w:r>
      <w:r>
        <w:rPr>
          <w:rFonts w:hint="eastAsia" w:eastAsia="仿宋_GB2312" w:cs="仿宋_GB2312"/>
          <w:sz w:val="32"/>
          <w:szCs w:val="32"/>
        </w:rPr>
        <w:t>其中：公务用车购置支出0万元。全年按规定更新购置公务用车0辆，其中：轿车0辆、金额0万元，越野车0辆、金额0万元，载客0辆、金额0万元0。截至202</w:t>
      </w:r>
      <w:r>
        <w:rPr>
          <w:rFonts w:hint="eastAsia" w:eastAsia="仿宋_GB2312" w:cs="仿宋_GB2312"/>
          <w:sz w:val="32"/>
          <w:szCs w:val="32"/>
          <w:lang w:val="en-US" w:eastAsia="zh-CN"/>
        </w:rPr>
        <w:t>5</w:t>
      </w:r>
      <w:r>
        <w:rPr>
          <w:rFonts w:hint="eastAsia" w:eastAsia="仿宋_GB2312" w:cs="仿宋_GB2312"/>
          <w:sz w:val="32"/>
          <w:szCs w:val="32"/>
        </w:rPr>
        <w:t>年12月31日，单位共有公务用车0辆，其中：轿车0辆、越野车0辆、载客汽车0辆。</w:t>
      </w:r>
    </w:p>
    <w:p>
      <w:pPr>
        <w:spacing w:line="600" w:lineRule="exact"/>
        <w:ind w:firstLine="640"/>
        <w:rPr>
          <w:rFonts w:hint="eastAsia" w:eastAsia="仿宋_GB2312" w:cs="仿宋_GB2312"/>
          <w:sz w:val="32"/>
          <w:szCs w:val="32"/>
        </w:rPr>
      </w:pPr>
      <w:r>
        <w:rPr>
          <w:rFonts w:hint="eastAsia" w:eastAsia="仿宋_GB2312" w:cs="仿宋_GB2312"/>
          <w:sz w:val="32"/>
          <w:szCs w:val="32"/>
        </w:rPr>
        <w:t>公务用车运行维护费支出0万元。</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0.21</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公务接待费支出决算比上年度增加/减少</w:t>
      </w:r>
      <w:r>
        <w:rPr>
          <w:rFonts w:hint="eastAsia" w:eastAsia="仿宋_GB2312" w:cs="仿宋_GB2312"/>
          <w:sz w:val="32"/>
          <w:szCs w:val="32"/>
          <w:lang w:val="en-US" w:eastAsia="zh-CN"/>
        </w:rPr>
        <w:t>0.11</w:t>
      </w:r>
      <w:r>
        <w:rPr>
          <w:rFonts w:hint="eastAsia" w:eastAsia="仿宋_GB2312" w:cs="仿宋_GB2312"/>
          <w:sz w:val="32"/>
          <w:szCs w:val="32"/>
        </w:rPr>
        <w:t>万元，增长</w:t>
      </w:r>
      <w:r>
        <w:rPr>
          <w:rFonts w:hint="eastAsia" w:eastAsia="仿宋_GB2312" w:cs="仿宋_GB2312"/>
          <w:sz w:val="32"/>
          <w:szCs w:val="32"/>
          <w:lang w:val="en-US" w:eastAsia="zh-CN"/>
        </w:rPr>
        <w:t>110</w:t>
      </w:r>
      <w:r>
        <w:rPr>
          <w:rFonts w:hint="eastAsia" w:eastAsia="仿宋_GB2312" w:cs="仿宋_GB2312"/>
          <w:sz w:val="32"/>
          <w:szCs w:val="32"/>
        </w:rPr>
        <w:t>%。主要原因是</w:t>
      </w:r>
      <w:r>
        <w:rPr>
          <w:rFonts w:hint="eastAsia" w:eastAsia="仿宋_GB2312" w:cs="仿宋_GB2312"/>
          <w:sz w:val="32"/>
          <w:szCs w:val="32"/>
          <w:lang w:val="en-US" w:eastAsia="zh-CN"/>
        </w:rPr>
        <w:t>2025年接待批次和人次较上年有大幅增加，但均在年初预算内</w:t>
      </w:r>
      <w:r>
        <w:rPr>
          <w:rFonts w:hint="eastAsia" w:eastAsia="仿宋_GB2312" w:cs="仿宋_GB2312"/>
          <w:sz w:val="32"/>
          <w:szCs w:val="32"/>
        </w:rPr>
        <w:t>。其中：</w:t>
      </w:r>
    </w:p>
    <w:p>
      <w:pPr>
        <w:spacing w:line="600" w:lineRule="exact"/>
        <w:ind w:firstLine="640" w:firstLineChars="200"/>
        <w:rPr>
          <w:rFonts w:hint="eastAsia"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0.21</w:t>
      </w:r>
      <w:r>
        <w:rPr>
          <w:rFonts w:hint="eastAsia" w:eastAsia="仿宋_GB2312" w:cs="仿宋_GB2312"/>
          <w:sz w:val="32"/>
          <w:szCs w:val="32"/>
        </w:rPr>
        <w:t>万元，主要用于主要用于开展业务活动开支的接待费。国内公务接待2批次，</w:t>
      </w:r>
      <w:r>
        <w:rPr>
          <w:rFonts w:hint="eastAsia" w:eastAsia="仿宋_GB2312" w:cs="仿宋_GB2312"/>
          <w:sz w:val="32"/>
          <w:szCs w:val="32"/>
          <w:lang w:val="en-US" w:eastAsia="zh-CN"/>
        </w:rPr>
        <w:t>11</w:t>
      </w:r>
      <w:r>
        <w:rPr>
          <w:rFonts w:hint="eastAsia" w:eastAsia="仿宋_GB2312" w:cs="仿宋_GB2312"/>
          <w:sz w:val="32"/>
          <w:szCs w:val="32"/>
        </w:rPr>
        <w:t>人次（不包括陪同人员），共计支出0.</w:t>
      </w:r>
      <w:r>
        <w:rPr>
          <w:rFonts w:hint="eastAsia" w:eastAsia="仿宋_GB2312" w:cs="仿宋_GB2312"/>
          <w:sz w:val="32"/>
          <w:szCs w:val="32"/>
          <w:lang w:val="en-US" w:eastAsia="zh-CN"/>
        </w:rPr>
        <w:t>21</w:t>
      </w:r>
      <w:r>
        <w:rPr>
          <w:rFonts w:hint="eastAsia" w:eastAsia="仿宋_GB2312" w:cs="仿宋_GB2312"/>
          <w:sz w:val="32"/>
          <w:szCs w:val="32"/>
        </w:rPr>
        <w:t>万元，具体内容包括：组织</w:t>
      </w:r>
      <w:r>
        <w:rPr>
          <w:rFonts w:hint="eastAsia" w:eastAsia="仿宋_GB2312" w:cs="仿宋_GB2312"/>
          <w:sz w:val="32"/>
          <w:szCs w:val="32"/>
          <w:lang w:val="en-US" w:eastAsia="zh-CN"/>
        </w:rPr>
        <w:t>1</w:t>
      </w:r>
      <w:r>
        <w:rPr>
          <w:rFonts w:hint="eastAsia" w:eastAsia="仿宋_GB2312" w:cs="仿宋_GB2312"/>
          <w:sz w:val="32"/>
          <w:szCs w:val="32"/>
        </w:rPr>
        <w:t>次</w:t>
      </w:r>
      <w:r>
        <w:rPr>
          <w:rFonts w:hint="eastAsia" w:eastAsia="仿宋_GB2312" w:cs="仿宋_GB2312"/>
          <w:sz w:val="32"/>
          <w:szCs w:val="32"/>
          <w:lang w:eastAsia="zh-CN"/>
        </w:rPr>
        <w:t>绿色低碳技术应用及建筑领域法律知识</w:t>
      </w:r>
      <w:r>
        <w:rPr>
          <w:rFonts w:hint="eastAsia" w:eastAsia="仿宋_GB2312" w:cs="仿宋_GB2312"/>
          <w:sz w:val="32"/>
          <w:szCs w:val="32"/>
        </w:rPr>
        <w:t>宣贯培训专家接待费</w:t>
      </w:r>
      <w:r>
        <w:rPr>
          <w:rFonts w:hint="eastAsia" w:eastAsia="仿宋_GB2312" w:cs="仿宋_GB2312"/>
          <w:sz w:val="32"/>
          <w:szCs w:val="32"/>
          <w:lang w:val="en-US" w:eastAsia="zh-CN"/>
        </w:rPr>
        <w:t>0.16万元</w:t>
      </w:r>
      <w:r>
        <w:rPr>
          <w:rFonts w:hint="eastAsia" w:eastAsia="仿宋_GB2312" w:cs="仿宋_GB2312"/>
          <w:sz w:val="32"/>
          <w:szCs w:val="32"/>
          <w:lang w:eastAsia="zh-CN"/>
        </w:rPr>
        <w:t>，开展</w:t>
      </w:r>
      <w:r>
        <w:rPr>
          <w:rFonts w:hint="eastAsia" w:eastAsia="仿宋_GB2312" w:cs="仿宋_GB2312"/>
          <w:sz w:val="32"/>
          <w:szCs w:val="32"/>
          <w:lang w:val="en-US" w:eastAsia="zh-CN"/>
        </w:rPr>
        <w:t>1</w:t>
      </w:r>
      <w:r>
        <w:rPr>
          <w:rFonts w:hint="eastAsia" w:eastAsia="仿宋_GB2312" w:cs="仿宋_GB2312"/>
          <w:sz w:val="32"/>
          <w:szCs w:val="32"/>
          <w:lang w:eastAsia="zh-CN"/>
        </w:rPr>
        <w:t>次绿色建材产品分级认证政策宣贯培训专家接待费</w:t>
      </w:r>
      <w:r>
        <w:rPr>
          <w:rFonts w:hint="eastAsia" w:eastAsia="仿宋_GB2312" w:cs="仿宋_GB2312"/>
          <w:sz w:val="32"/>
          <w:szCs w:val="32"/>
          <w:lang w:val="en-US" w:eastAsia="zh-CN"/>
        </w:rPr>
        <w:t>0.05万元</w:t>
      </w:r>
      <w:r>
        <w:rPr>
          <w:rFonts w:hint="eastAsia" w:eastAsia="仿宋_GB2312" w:cs="仿宋_GB2312"/>
          <w:sz w:val="32"/>
          <w:szCs w:val="32"/>
        </w:rPr>
        <w:t>。</w:t>
      </w:r>
    </w:p>
    <w:p>
      <w:pPr>
        <w:spacing w:line="600" w:lineRule="exact"/>
        <w:ind w:firstLine="640" w:firstLineChars="200"/>
        <w:rPr>
          <w:rFonts w:hint="eastAsia" w:eastAsia="仿宋_GB2312" w:cs="仿宋_GB2312"/>
          <w:sz w:val="32"/>
          <w:szCs w:val="32"/>
        </w:rPr>
      </w:pPr>
      <w:bookmarkStart w:id="32" w:name="_Toc15377218"/>
      <w:bookmarkStart w:id="33" w:name="_Toc15396610"/>
      <w:r>
        <w:rPr>
          <w:rFonts w:hint="eastAsia" w:eastAsia="仿宋_GB2312" w:cs="仿宋_GB2312"/>
          <w:sz w:val="32"/>
          <w:szCs w:val="32"/>
        </w:rPr>
        <w:t xml:space="preserve"> 外事接待支出0万元。</w:t>
      </w:r>
    </w:p>
    <w:p>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32"/>
      <w:bookmarkEnd w:id="33"/>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eastAsia="仿宋_GB2312" w:cs="仿宋_GB2312"/>
          <w:sz w:val="32"/>
          <w:szCs w:val="32"/>
          <w:lang w:eastAsia="zh-CN"/>
        </w:rPr>
        <w:t>。</w:t>
      </w:r>
    </w:p>
    <w:p>
      <w:pPr>
        <w:spacing w:line="600" w:lineRule="exact"/>
        <w:ind w:left="630"/>
        <w:outlineLvl w:val="1"/>
        <w:rPr>
          <w:rStyle w:val="29"/>
          <w:rFonts w:ascii="Times New Roman" w:hAnsi="Times New Roman" w:eastAsia="黑体"/>
          <w:b w:val="0"/>
        </w:rPr>
      </w:pPr>
      <w:bookmarkStart w:id="34" w:name="_Toc15377219"/>
      <w:bookmarkStart w:id="35" w:name="_Toc15396611"/>
      <w:r>
        <w:rPr>
          <w:rStyle w:val="29"/>
          <w:rFonts w:hint="eastAsia" w:ascii="Times New Roman" w:hAnsi="Times New Roman" w:eastAsia="黑体"/>
          <w:b w:val="0"/>
        </w:rPr>
        <w:t>九、国有资本经营预算支出决算情况说明</w:t>
      </w:r>
      <w:bookmarkEnd w:id="34"/>
      <w:bookmarkEnd w:id="35"/>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left="630"/>
        <w:outlineLvl w:val="1"/>
        <w:rPr>
          <w:rStyle w:val="29"/>
          <w:rFonts w:ascii="Times New Roman" w:hAnsi="Times New Roman" w:eastAsia="黑体"/>
          <w:b w:val="0"/>
        </w:rPr>
      </w:pPr>
      <w:bookmarkStart w:id="36" w:name="_Toc15396612"/>
      <w:bookmarkStart w:id="37" w:name="_Toc15377221"/>
      <w:r>
        <w:rPr>
          <w:rStyle w:val="29"/>
          <w:rFonts w:hint="eastAsia" w:ascii="Times New Roman" w:hAnsi="Times New Roman" w:eastAsia="黑体"/>
          <w:b w:val="0"/>
        </w:rPr>
        <w:t>十、其他重要事项的情况说明</w:t>
      </w:r>
      <w:bookmarkEnd w:id="36"/>
      <w:bookmarkEnd w:id="37"/>
    </w:p>
    <w:p>
      <w:pPr>
        <w:spacing w:line="600" w:lineRule="exact"/>
        <w:ind w:firstLine="642" w:firstLineChars="200"/>
        <w:outlineLvl w:val="2"/>
        <w:rPr>
          <w:rFonts w:eastAsia="楷体_GB2312" w:cs="楷体_GB2312"/>
          <w:b/>
          <w:sz w:val="32"/>
          <w:szCs w:val="32"/>
        </w:rPr>
      </w:pPr>
      <w:bookmarkStart w:id="38" w:name="_Toc15377222"/>
      <w:r>
        <w:rPr>
          <w:rFonts w:hint="eastAsia" w:eastAsia="楷体_GB2312" w:cs="楷体_GB2312"/>
          <w:b/>
          <w:sz w:val="32"/>
          <w:szCs w:val="32"/>
        </w:rPr>
        <w:t>（一）机关运行经费支出情况</w:t>
      </w:r>
      <w:bookmarkEnd w:id="38"/>
    </w:p>
    <w:p>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2025年度，</w:t>
      </w:r>
      <w:bookmarkStart w:id="39" w:name="_Toc15377223"/>
      <w:r>
        <w:rPr>
          <w:rFonts w:hint="eastAsia" w:eastAsia="仿宋_GB2312" w:cs="仿宋_GB2312"/>
          <w:sz w:val="32"/>
          <w:szCs w:val="32"/>
          <w:lang w:val="en-US" w:eastAsia="zh-CN"/>
        </w:rPr>
        <w:t>四川省攀枝花市建筑节能和绿色建筑发展中心机关运行经费支出18.43万元，比2024年度减少0.67万元，下降3.5%。主要原因是2025年部分办公经费虽已产生，如物业费、水电费、征订报刊杂志费等，但因财政资金紧张，未予审核支付。</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（二）政府采购支出情况</w:t>
      </w:r>
      <w:bookmarkEnd w:id="39"/>
    </w:p>
    <w:p>
      <w:pPr>
        <w:spacing w:line="600" w:lineRule="exact"/>
        <w:ind w:firstLine="640" w:firstLineChars="200"/>
        <w:rPr>
          <w:rFonts w:ascii="仿宋_GB2312" w:eastAsia="仿宋_GB2312"/>
          <w:sz w:val="32"/>
          <w:szCs w:val="32"/>
        </w:rPr>
      </w:pPr>
      <w:r>
        <w:rPr>
          <w:rFonts w:hint="eastAsia" w:eastAsia="仿宋_GB2312" w:cs="仿宋_GB2312"/>
          <w:sz w:val="32"/>
          <w:szCs w:val="32"/>
        </w:rPr>
        <w:t>2025年度，</w:t>
      </w:r>
      <w:bookmarkStart w:id="40" w:name="_Toc15377224"/>
      <w:r>
        <w:rPr>
          <w:rFonts w:hint="eastAsia" w:eastAsia="仿宋_GB2312" w:cs="仿宋_GB2312"/>
          <w:sz w:val="32"/>
          <w:szCs w:val="32"/>
        </w:rPr>
        <w:t>市节能绿建中心政府采购支出总额0万元，其中：政府采购货物支出0万元、政府采购工程支出0万元、政府采购服务支出0万元。</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（三）国有资产占有使用情况</w:t>
      </w:r>
      <w:bookmarkEnd w:id="40"/>
    </w:p>
    <w:p>
      <w:pPr>
        <w:spacing w:line="600" w:lineRule="exact"/>
        <w:ind w:firstLine="640" w:firstLineChars="200"/>
        <w:rPr>
          <w:rFonts w:hint="eastAsia" w:eastAsia="仿宋_GB2312" w:cs="仿宋_GB2312"/>
          <w:sz w:val="32"/>
          <w:szCs w:val="32"/>
        </w:rPr>
      </w:pPr>
      <w:r>
        <w:rPr>
          <w:rFonts w:hint="eastAsia" w:eastAsia="仿宋_GB2312" w:cs="仿宋_GB2312"/>
          <w:sz w:val="32"/>
          <w:szCs w:val="32"/>
        </w:rPr>
        <w:t>四川省攀枝花市建筑节能和绿色建筑发展中心共有车辆0辆，其中：主要负责人用车0辆、机要通信用车0辆、应急保障用车0辆、其他用车0辆。单价100万元（含）以上设备（不含车辆）0台（套）。</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根据预算绩效管理要求，市节能绿建中心在2025年度，组织对预拌行业管理、绿色建筑标识管理、</w:t>
      </w:r>
      <w:r>
        <w:rPr>
          <w:rFonts w:hint="eastAsia" w:eastAsia="仿宋_GB2312" w:cs="仿宋_GB2312"/>
          <w:sz w:val="32"/>
          <w:szCs w:val="32"/>
          <w:lang w:val="en-US" w:eastAsia="zh-CN"/>
        </w:rPr>
        <w:t>十五五散装水泥专项规划编制费</w:t>
      </w:r>
      <w:r>
        <w:rPr>
          <w:rFonts w:hint="eastAsia" w:eastAsia="仿宋_GB2312" w:cs="仿宋_GB2312"/>
          <w:sz w:val="32"/>
          <w:szCs w:val="32"/>
        </w:rPr>
        <w:t>等3个项目涉及金额</w:t>
      </w:r>
      <w:r>
        <w:rPr>
          <w:rFonts w:hint="eastAsia" w:eastAsia="仿宋_GB2312" w:cs="仿宋_GB2312"/>
          <w:sz w:val="32"/>
          <w:szCs w:val="32"/>
          <w:lang w:val="en-US" w:eastAsia="zh-CN"/>
        </w:rPr>
        <w:t>13.75</w:t>
      </w:r>
      <w:r>
        <w:rPr>
          <w:rFonts w:hint="eastAsia" w:eastAsia="仿宋_GB2312" w:cs="仿宋_GB2312"/>
          <w:sz w:val="32"/>
          <w:szCs w:val="32"/>
        </w:rPr>
        <w:t>万元开展了事前绩效评估，对</w:t>
      </w:r>
      <w:r>
        <w:rPr>
          <w:rFonts w:hint="eastAsia" w:eastAsia="仿宋_GB2312" w:cs="仿宋_GB2312"/>
          <w:sz w:val="32"/>
          <w:szCs w:val="32"/>
          <w:lang w:val="en-US" w:eastAsia="zh-CN"/>
        </w:rPr>
        <w:t>3</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3</w:t>
      </w:r>
      <w:r>
        <w:rPr>
          <w:rFonts w:hint="eastAsia" w:eastAsia="仿宋_GB2312" w:cs="仿宋_GB2312"/>
          <w:sz w:val="32"/>
          <w:szCs w:val="32"/>
        </w:rPr>
        <w:t>个项目开展绩效监控。</w:t>
      </w:r>
    </w:p>
    <w:p>
      <w:pPr>
        <w:spacing w:line="600" w:lineRule="exact"/>
        <w:ind w:firstLine="640"/>
        <w:rPr>
          <w:rFonts w:eastAsia="仿宋_GB2312" w:cs="仿宋_GB2312"/>
          <w:sz w:val="32"/>
          <w:szCs w:val="32"/>
        </w:rPr>
      </w:pPr>
    </w:p>
    <w:p>
      <w:pPr>
        <w:spacing w:line="600" w:lineRule="exact"/>
        <w:jc w:val="center"/>
        <w:outlineLvl w:val="0"/>
        <w:rPr>
          <w:rFonts w:hint="eastAsia" w:eastAsia="黑体"/>
          <w:sz w:val="44"/>
          <w:szCs w:val="44"/>
        </w:rPr>
      </w:pPr>
      <w:bookmarkStart w:id="41" w:name="_Toc15396613"/>
      <w:bookmarkStart w:id="42" w:name="_Toc15377225"/>
    </w:p>
    <w:p>
      <w:pPr>
        <w:spacing w:line="600" w:lineRule="exact"/>
        <w:jc w:val="center"/>
        <w:outlineLvl w:val="0"/>
        <w:rPr>
          <w:rFonts w:eastAsia="黑体"/>
          <w:sz w:val="44"/>
          <w:szCs w:val="44"/>
        </w:rPr>
      </w:pPr>
      <w:r>
        <w:rPr>
          <w:rFonts w:hint="eastAsia" w:eastAsia="黑体"/>
          <w:sz w:val="44"/>
          <w:szCs w:val="44"/>
        </w:rPr>
        <w:t>第三部分  名词解释</w:t>
      </w:r>
      <w:bookmarkEnd w:id="41"/>
      <w:bookmarkEnd w:id="42"/>
    </w:p>
    <w:p>
      <w:pPr>
        <w:spacing w:line="600" w:lineRule="exact"/>
        <w:jc w:val="left"/>
        <w:rPr>
          <w:b/>
          <w:sz w:val="44"/>
          <w:szCs w:val="44"/>
        </w:rPr>
      </w:pPr>
    </w:p>
    <w:p>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pPr>
        <w:pStyle w:val="26"/>
        <w:spacing w:line="540" w:lineRule="exact"/>
        <w:ind w:firstLine="640" w:firstLineChars="200"/>
        <w:jc w:val="both"/>
        <w:rPr>
          <w:rFonts w:ascii="Times New Roman" w:hAnsi="Times New Roman" w:eastAsia="仿宋_GB2312" w:cs="仿宋_GB2312"/>
          <w:color w:val="auto"/>
          <w:kern w:val="2"/>
          <w:sz w:val="32"/>
          <w:szCs w:val="32"/>
        </w:rPr>
      </w:pPr>
      <w:r>
        <w:rPr>
          <w:rFonts w:ascii="Times New Roman" w:hAnsi="Times New Roman" w:eastAsia="仿宋_GB2312" w:cs="仿宋_GB2312"/>
          <w:color w:val="auto"/>
          <w:kern w:val="2"/>
          <w:sz w:val="32"/>
          <w:szCs w:val="32"/>
        </w:rPr>
        <w:t>2.社会保障和就业（类）人力资源和社会保障管理事务（款）其他人力资源和社会保障管理事务支出（项）：反映其他用于人力资源和社会保障管理事务方面的支出。</w:t>
      </w:r>
    </w:p>
    <w:p>
      <w:pPr>
        <w:pStyle w:val="26"/>
        <w:spacing w:line="540" w:lineRule="exact"/>
        <w:ind w:firstLine="640" w:firstLineChars="200"/>
        <w:jc w:val="both"/>
        <w:rPr>
          <w:rFonts w:ascii="Times New Roman" w:hAnsi="Times New Roman" w:eastAsia="仿宋_GB2312" w:cs="仿宋_GB2312"/>
          <w:color w:val="auto"/>
          <w:kern w:val="2"/>
          <w:sz w:val="32"/>
          <w:szCs w:val="32"/>
        </w:rPr>
      </w:pPr>
      <w:r>
        <w:rPr>
          <w:rFonts w:ascii="Times New Roman" w:hAnsi="Times New Roman" w:eastAsia="仿宋_GB2312" w:cs="仿宋_GB2312"/>
          <w:color w:val="auto"/>
          <w:kern w:val="2"/>
          <w:sz w:val="32"/>
          <w:szCs w:val="32"/>
        </w:rPr>
        <w:t>3.社会保障和就业（类）行政事业单位养老（款）事业单位离退休（项）：指事业单位开支的离退休经费。</w:t>
      </w:r>
    </w:p>
    <w:p>
      <w:pPr>
        <w:pStyle w:val="26"/>
        <w:spacing w:line="540" w:lineRule="exact"/>
        <w:ind w:firstLine="640" w:firstLineChars="200"/>
        <w:jc w:val="both"/>
        <w:rPr>
          <w:rFonts w:ascii="Times New Roman" w:hAnsi="Times New Roman" w:eastAsia="仿宋_GB2312" w:cs="仿宋_GB2312"/>
          <w:color w:val="auto"/>
          <w:kern w:val="2"/>
          <w:sz w:val="32"/>
          <w:szCs w:val="32"/>
        </w:rPr>
      </w:pPr>
      <w:r>
        <w:rPr>
          <w:rFonts w:ascii="Times New Roman" w:hAnsi="Times New Roman" w:eastAsia="仿宋_GB2312" w:cs="仿宋_GB2312"/>
          <w:color w:val="auto"/>
          <w:kern w:val="2"/>
          <w:sz w:val="32"/>
          <w:szCs w:val="32"/>
        </w:rPr>
        <w:t>4.社会保障和就业（类）行政事业单位养老（款）机关事业单位基本养老保险缴费支出（项）：指机关事业单位实施养老保险制度由单位缴纳的基本养老保险费支出。</w:t>
      </w:r>
    </w:p>
    <w:p>
      <w:pPr>
        <w:pStyle w:val="26"/>
        <w:spacing w:line="540" w:lineRule="exact"/>
        <w:ind w:firstLine="640" w:firstLineChars="200"/>
        <w:jc w:val="both"/>
        <w:rPr>
          <w:rFonts w:ascii="Times New Roman" w:hAnsi="Times New Roman" w:eastAsia="仿宋_GB2312" w:cs="仿宋_GB2312"/>
          <w:color w:val="auto"/>
          <w:kern w:val="2"/>
          <w:sz w:val="32"/>
          <w:szCs w:val="32"/>
        </w:rPr>
      </w:pPr>
      <w:r>
        <w:rPr>
          <w:rFonts w:ascii="Times New Roman" w:hAnsi="Times New Roman" w:eastAsia="仿宋_GB2312" w:cs="仿宋_GB2312"/>
          <w:color w:val="auto"/>
          <w:kern w:val="2"/>
          <w:sz w:val="32"/>
          <w:szCs w:val="32"/>
        </w:rPr>
        <w:t>5.卫生健康支出（类）行政事业单位医疗（款）事业单位医疗（项）：指事业单位基本医疗保险缴费经费。</w:t>
      </w:r>
    </w:p>
    <w:p>
      <w:pPr>
        <w:pStyle w:val="26"/>
        <w:spacing w:line="540" w:lineRule="exact"/>
        <w:ind w:firstLine="640" w:firstLineChars="200"/>
        <w:jc w:val="both"/>
        <w:rPr>
          <w:rFonts w:ascii="Times New Roman" w:hAnsi="Times New Roman" w:eastAsia="仿宋_GB2312" w:cs="仿宋_GB2312"/>
          <w:color w:val="auto"/>
          <w:kern w:val="2"/>
          <w:sz w:val="32"/>
          <w:szCs w:val="32"/>
        </w:rPr>
      </w:pPr>
      <w:r>
        <w:rPr>
          <w:rFonts w:ascii="Times New Roman" w:hAnsi="Times New Roman" w:eastAsia="仿宋_GB2312" w:cs="仿宋_GB2312"/>
          <w:color w:val="auto"/>
          <w:kern w:val="2"/>
          <w:sz w:val="32"/>
          <w:szCs w:val="32"/>
        </w:rPr>
        <w:t>6.卫生健康支出（类）行政事业单位医疗（款）公务员医疗补助（项）：指公务员医疗补助经费。</w:t>
      </w:r>
    </w:p>
    <w:p>
      <w:pPr>
        <w:pStyle w:val="26"/>
        <w:spacing w:line="540" w:lineRule="exact"/>
        <w:ind w:firstLine="640" w:firstLineChars="200"/>
        <w:jc w:val="both"/>
        <w:rPr>
          <w:rFonts w:ascii="Times New Roman" w:hAnsi="Times New Roman" w:eastAsia="仿宋_GB2312" w:cs="仿宋_GB2312"/>
          <w:color w:val="auto"/>
          <w:kern w:val="2"/>
          <w:sz w:val="32"/>
          <w:szCs w:val="32"/>
        </w:rPr>
      </w:pPr>
      <w:r>
        <w:rPr>
          <w:rFonts w:ascii="Times New Roman" w:hAnsi="Times New Roman" w:eastAsia="仿宋_GB2312" w:cs="仿宋_GB2312"/>
          <w:color w:val="auto"/>
          <w:kern w:val="2"/>
          <w:sz w:val="32"/>
          <w:szCs w:val="32"/>
        </w:rPr>
        <w:t>7.卫生健康支出（类）行政事业单位医疗（款）其他行政事业单位医疗支出（项）：指其他用于行政事业单位医疗方面的支出。</w:t>
      </w:r>
    </w:p>
    <w:p>
      <w:pPr>
        <w:pStyle w:val="26"/>
        <w:spacing w:line="540" w:lineRule="exact"/>
        <w:ind w:firstLine="640" w:firstLineChars="200"/>
        <w:jc w:val="both"/>
        <w:rPr>
          <w:rFonts w:ascii="Times New Roman" w:hAnsi="Times New Roman" w:eastAsia="仿宋_GB2312" w:cs="仿宋_GB2312"/>
          <w:color w:val="auto"/>
          <w:kern w:val="2"/>
          <w:sz w:val="32"/>
          <w:szCs w:val="32"/>
        </w:rPr>
      </w:pPr>
      <w:r>
        <w:rPr>
          <w:rFonts w:ascii="Times New Roman" w:hAnsi="Times New Roman" w:eastAsia="仿宋_GB2312" w:cs="仿宋_GB2312"/>
          <w:color w:val="auto"/>
          <w:kern w:val="2"/>
          <w:sz w:val="32"/>
          <w:szCs w:val="32"/>
        </w:rPr>
        <w:t>8.城乡社区支出（类）城乡社区管理事务（款）其他城乡社区管理事务（项）：指其他用于城乡社区管理事务方面的支出。</w:t>
      </w:r>
    </w:p>
    <w:p>
      <w:pPr>
        <w:spacing w:line="540" w:lineRule="exact"/>
        <w:ind w:firstLine="640" w:firstLineChars="200"/>
        <w:rPr>
          <w:rFonts w:eastAsia="仿宋_GB2312" w:cs="仿宋_GB2312"/>
          <w:sz w:val="32"/>
          <w:szCs w:val="32"/>
        </w:rPr>
      </w:pPr>
      <w:r>
        <w:rPr>
          <w:rFonts w:eastAsia="仿宋_GB2312" w:cs="仿宋_GB2312"/>
          <w:sz w:val="32"/>
          <w:szCs w:val="32"/>
        </w:rPr>
        <w:t>9.住房保障支出（类）住房改革（款）住房公积金（项）：指反映行政事业单位按人力资源和社会保障部、财政部规定的基本工资和津贴补贴以及规定比例为职工缴纳的住房公积金。</w:t>
      </w:r>
    </w:p>
    <w:p>
      <w:pPr>
        <w:spacing w:line="540" w:lineRule="exact"/>
        <w:ind w:firstLine="640" w:firstLineChars="200"/>
        <w:rPr>
          <w:rFonts w:eastAsia="仿宋_GB2312" w:cs="仿宋_GB2312"/>
          <w:sz w:val="32"/>
          <w:szCs w:val="32"/>
        </w:rPr>
      </w:pPr>
      <w:r>
        <w:rPr>
          <w:rFonts w:eastAsia="仿宋_GB2312" w:cs="仿宋_GB2312"/>
          <w:sz w:val="32"/>
          <w:szCs w:val="32"/>
        </w:rPr>
        <w:t>10.基本支出：指为保障机构正常运转、完成日常工作任务而发生的人员支出和公用支出。</w:t>
      </w:r>
    </w:p>
    <w:p>
      <w:pPr>
        <w:spacing w:line="540" w:lineRule="exact"/>
        <w:ind w:firstLine="640" w:firstLineChars="200"/>
        <w:rPr>
          <w:rFonts w:eastAsia="仿宋_GB2312" w:cs="仿宋_GB2312"/>
          <w:sz w:val="32"/>
          <w:szCs w:val="32"/>
        </w:rPr>
      </w:pPr>
      <w:r>
        <w:rPr>
          <w:rFonts w:eastAsia="仿宋_GB2312" w:cs="仿宋_GB2312"/>
          <w:sz w:val="32"/>
          <w:szCs w:val="32"/>
        </w:rPr>
        <w:t xml:space="preserve">11.项目支出：指在基本支出之外为完成特定行政任务和事业发展目标所发生的支出。 </w:t>
      </w:r>
    </w:p>
    <w:p>
      <w:pPr>
        <w:pStyle w:val="26"/>
        <w:spacing w:line="540" w:lineRule="exact"/>
        <w:ind w:firstLine="640" w:firstLineChars="200"/>
        <w:jc w:val="both"/>
        <w:rPr>
          <w:rFonts w:ascii="Times New Roman" w:hAnsi="Times New Roman" w:eastAsia="仿宋_GB2312" w:cs="仿宋_GB2312"/>
          <w:color w:val="auto"/>
          <w:kern w:val="2"/>
          <w:sz w:val="32"/>
          <w:szCs w:val="32"/>
        </w:rPr>
      </w:pPr>
      <w:r>
        <w:rPr>
          <w:rFonts w:ascii="Times New Roman" w:hAnsi="Times New Roman" w:eastAsia="仿宋_GB2312" w:cs="仿宋_GB2312"/>
          <w:color w:val="auto"/>
          <w:kern w:val="2"/>
          <w:sz w:val="32"/>
          <w:szCs w:val="32"/>
        </w:rPr>
        <w:t>12.“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hint="eastAsia" w:eastAsia="仿宋_GB2312" w:cs="仿宋_GB2312"/>
          <w:sz w:val="32"/>
          <w:szCs w:val="32"/>
          <w:lang w:val="en-US" w:eastAsia="zh-CN"/>
        </w:rPr>
        <w:t>13</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eastAsia="黑体"/>
          <w:sz w:val="44"/>
          <w:szCs w:val="44"/>
        </w:rPr>
      </w:pPr>
      <w:bookmarkStart w:id="43" w:name="_Toc15396614"/>
      <w:bookmarkStart w:id="44" w:name="_Toc15377226"/>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both"/>
        <w:rPr>
          <w:rFonts w:hint="eastAsia" w:eastAsia="黑体"/>
          <w:sz w:val="44"/>
          <w:szCs w:val="44"/>
        </w:rPr>
      </w:pPr>
    </w:p>
    <w:p>
      <w:pPr>
        <w:spacing w:line="600" w:lineRule="exact"/>
        <w:jc w:val="center"/>
        <w:rPr>
          <w:rStyle w:val="28"/>
          <w:rFonts w:eastAsia="黑体"/>
          <w:b w:val="0"/>
        </w:rPr>
      </w:pPr>
      <w:r>
        <w:rPr>
          <w:rFonts w:hint="eastAsia" w:eastAsia="黑体"/>
          <w:sz w:val="44"/>
          <w:szCs w:val="44"/>
        </w:rPr>
        <w:t>第四部分  附件</w:t>
      </w:r>
      <w:bookmarkEnd w:id="43"/>
    </w:p>
    <w:p>
      <w:pPr>
        <w:widowControl/>
        <w:jc w:val="left"/>
        <w:rPr>
          <w:rFonts w:hint="eastAsia" w:eastAsia="仿宋_GB2312" w:cs="仿宋_GB2312"/>
          <w:sz w:val="32"/>
          <w:szCs w:val="32"/>
        </w:rPr>
      </w:pPr>
      <w:r>
        <w:rPr>
          <w:rFonts w:hint="eastAsia" w:eastAsia="方正仿宋_GBK"/>
          <w:kern w:val="44"/>
          <w:sz w:val="32"/>
          <w:szCs w:val="32"/>
          <w:lang w:val="en-US" w:eastAsia="zh-CN"/>
        </w:rPr>
        <w:t xml:space="preserve"> </w:t>
      </w:r>
      <w:r>
        <w:rPr>
          <w:rFonts w:hint="eastAsia" w:eastAsia="仿宋_GB2312" w:cs="仿宋_GB2312"/>
          <w:sz w:val="32"/>
          <w:szCs w:val="32"/>
          <w:lang w:val="en-US" w:eastAsia="zh-CN"/>
        </w:rPr>
        <w:t xml:space="preserve"> </w:t>
      </w:r>
      <w:r>
        <w:rPr>
          <w:rFonts w:hint="eastAsia" w:eastAsia="仿宋_GB2312" w:cs="仿宋_GB2312"/>
          <w:sz w:val="32"/>
          <w:szCs w:val="32"/>
        </w:rPr>
        <w:t>单位预算项目支出绩效自评表（202</w:t>
      </w:r>
      <w:r>
        <w:rPr>
          <w:rFonts w:hint="eastAsia" w:eastAsia="仿宋_GB2312" w:cs="仿宋_GB2312"/>
          <w:sz w:val="32"/>
          <w:szCs w:val="32"/>
          <w:lang w:val="en-US" w:eastAsia="zh-CN"/>
        </w:rPr>
        <w:t>5</w:t>
      </w:r>
      <w:r>
        <w:rPr>
          <w:rFonts w:hint="eastAsia" w:eastAsia="仿宋_GB2312" w:cs="仿宋_GB2312"/>
          <w:sz w:val="32"/>
          <w:szCs w:val="32"/>
        </w:rPr>
        <w:t>年度）（详见附件</w:t>
      </w:r>
      <w:r>
        <w:rPr>
          <w:rFonts w:hint="eastAsia" w:eastAsia="仿宋_GB2312" w:cs="仿宋_GB2312"/>
          <w:sz w:val="32"/>
          <w:szCs w:val="32"/>
          <w:lang w:val="en-US" w:eastAsia="zh-CN"/>
        </w:rPr>
        <w:t>3</w:t>
      </w:r>
      <w:r>
        <w:rPr>
          <w:rFonts w:hint="eastAsia" w:eastAsia="仿宋_GB2312" w:cs="仿宋_GB2312"/>
          <w:sz w:val="32"/>
          <w:szCs w:val="32"/>
        </w:rPr>
        <w:t>）</w:t>
      </w:r>
    </w:p>
    <w:p>
      <w:pPr>
        <w:pStyle w:val="7"/>
        <w:spacing w:line="560" w:lineRule="exact"/>
        <w:ind w:left="0" w:leftChars="0" w:firstLine="640"/>
        <w:rPr>
          <w:rFonts w:hint="eastAsia" w:ascii="Times New Roman" w:eastAsia="仿宋_GB2312" w:cs="仿宋_GB2312"/>
          <w:kern w:val="0"/>
          <w:sz w:val="32"/>
        </w:rPr>
      </w:pPr>
    </w:p>
    <w:p>
      <w:pPr>
        <w:rPr>
          <w:rFonts w:hint="eastAsia"/>
        </w:rPr>
      </w:pPr>
      <w:bookmarkStart w:id="59" w:name="_GoBack"/>
      <w:bookmarkEnd w:id="59"/>
    </w:p>
    <w:p>
      <w:pPr>
        <w:widowControl/>
        <w:jc w:val="center"/>
        <w:rPr>
          <w:rFonts w:hint="eastAsia" w:eastAsia="黑体"/>
          <w:sz w:val="44"/>
          <w:szCs w:val="44"/>
        </w:rPr>
      </w:pPr>
      <w:bookmarkStart w:id="45" w:name="_Toc15396618"/>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center"/>
        <w:rPr>
          <w:rFonts w:hint="eastAsia" w:eastAsia="黑体"/>
          <w:sz w:val="44"/>
          <w:szCs w:val="44"/>
        </w:rPr>
      </w:pPr>
    </w:p>
    <w:p>
      <w:pPr>
        <w:widowControl/>
        <w:jc w:val="both"/>
        <w:rPr>
          <w:rFonts w:hint="eastAsia" w:eastAsia="黑体"/>
          <w:sz w:val="44"/>
          <w:szCs w:val="44"/>
        </w:rPr>
      </w:pPr>
    </w:p>
    <w:p>
      <w:pPr>
        <w:widowControl/>
        <w:jc w:val="center"/>
        <w:rPr>
          <w:rFonts w:eastAsia="仿宋"/>
        </w:rPr>
      </w:pPr>
      <w:r>
        <w:rPr>
          <w:rFonts w:hint="eastAsia" w:eastAsia="黑体"/>
          <w:sz w:val="44"/>
          <w:szCs w:val="44"/>
        </w:rPr>
        <w:t>第</w:t>
      </w:r>
      <w:r>
        <w:rPr>
          <w:rStyle w:val="28"/>
          <w:rFonts w:hint="eastAsia" w:eastAsia="黑体"/>
          <w:b w:val="0"/>
        </w:rPr>
        <w:t>五部分 附表</w:t>
      </w:r>
      <w:bookmarkEnd w:id="44"/>
      <w:bookmarkEnd w:id="45"/>
      <w:bookmarkStart w:id="46"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6"/>
    </w:p>
    <w:p>
      <w:pPr>
        <w:pStyle w:val="14"/>
        <w:adjustRightInd w:val="0"/>
        <w:snapToGrid w:val="0"/>
        <w:spacing w:line="560" w:lineRule="exact"/>
        <w:jc w:val="left"/>
        <w:rPr>
          <w:rFonts w:eastAsia="仿宋_GB2312" w:cs="仿宋_GB2312"/>
          <w:sz w:val="32"/>
          <w:szCs w:val="32"/>
        </w:rPr>
      </w:pPr>
      <w:bookmarkStart w:id="47" w:name="_Toc15396620"/>
      <w:r>
        <w:rPr>
          <w:rFonts w:hint="eastAsia" w:eastAsia="仿宋_GB2312" w:cs="仿宋_GB2312"/>
          <w:sz w:val="32"/>
          <w:szCs w:val="32"/>
        </w:rPr>
        <w:t>二、收入决算表</w:t>
      </w:r>
      <w:bookmarkEnd w:id="47"/>
    </w:p>
    <w:p>
      <w:pPr>
        <w:pStyle w:val="14"/>
        <w:adjustRightInd w:val="0"/>
        <w:snapToGrid w:val="0"/>
        <w:spacing w:line="560" w:lineRule="exact"/>
        <w:jc w:val="left"/>
        <w:rPr>
          <w:rFonts w:eastAsia="仿宋_GB2312" w:cs="仿宋_GB2312"/>
          <w:sz w:val="32"/>
          <w:szCs w:val="32"/>
        </w:rPr>
      </w:pPr>
      <w:bookmarkStart w:id="48" w:name="_Toc15396621"/>
      <w:r>
        <w:rPr>
          <w:rFonts w:hint="eastAsia" w:eastAsia="仿宋_GB2312" w:cs="仿宋_GB2312"/>
          <w:sz w:val="32"/>
          <w:szCs w:val="32"/>
        </w:rPr>
        <w:t>三、支出决算表</w:t>
      </w:r>
      <w:bookmarkEnd w:id="48"/>
    </w:p>
    <w:p>
      <w:pPr>
        <w:pStyle w:val="14"/>
        <w:adjustRightInd w:val="0"/>
        <w:snapToGrid w:val="0"/>
        <w:spacing w:line="560" w:lineRule="exact"/>
        <w:jc w:val="left"/>
        <w:rPr>
          <w:rFonts w:eastAsia="仿宋_GB2312" w:cs="仿宋_GB2312"/>
          <w:sz w:val="32"/>
          <w:szCs w:val="32"/>
        </w:rPr>
      </w:pPr>
      <w:bookmarkStart w:id="49" w:name="_Toc15396622"/>
      <w:r>
        <w:rPr>
          <w:rFonts w:hint="eastAsia" w:eastAsia="仿宋_GB2312" w:cs="仿宋_GB2312"/>
          <w:sz w:val="32"/>
          <w:szCs w:val="32"/>
        </w:rPr>
        <w:t>四、财政拨款收入支出决算总表</w:t>
      </w:r>
      <w:bookmarkEnd w:id="49"/>
    </w:p>
    <w:p>
      <w:pPr>
        <w:pStyle w:val="14"/>
        <w:adjustRightInd w:val="0"/>
        <w:snapToGrid w:val="0"/>
        <w:spacing w:line="560" w:lineRule="exact"/>
        <w:jc w:val="left"/>
        <w:rPr>
          <w:rFonts w:eastAsia="仿宋_GB2312" w:cs="仿宋_GB2312"/>
          <w:sz w:val="32"/>
          <w:szCs w:val="32"/>
        </w:rPr>
      </w:pPr>
      <w:bookmarkStart w:id="50" w:name="_Toc15396623"/>
      <w:r>
        <w:rPr>
          <w:rFonts w:hint="eastAsia" w:eastAsia="仿宋_GB2312" w:cs="仿宋_GB2312"/>
          <w:sz w:val="32"/>
          <w:szCs w:val="32"/>
        </w:rPr>
        <w:t>五、财政拨款支出决算明细表</w:t>
      </w:r>
      <w:bookmarkEnd w:id="50"/>
      <w:bookmarkStart w:id="51"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1"/>
    </w:p>
    <w:p>
      <w:pPr>
        <w:pStyle w:val="14"/>
        <w:adjustRightInd w:val="0"/>
        <w:snapToGrid w:val="0"/>
        <w:spacing w:line="560" w:lineRule="exact"/>
        <w:jc w:val="left"/>
        <w:rPr>
          <w:rFonts w:eastAsia="仿宋_GB2312" w:cs="仿宋_GB2312"/>
          <w:sz w:val="32"/>
          <w:szCs w:val="32"/>
        </w:rPr>
      </w:pPr>
      <w:bookmarkStart w:id="52" w:name="_Toc15396625"/>
      <w:r>
        <w:rPr>
          <w:rFonts w:hint="eastAsia" w:eastAsia="仿宋_GB2312" w:cs="仿宋_GB2312"/>
          <w:sz w:val="32"/>
          <w:szCs w:val="32"/>
        </w:rPr>
        <w:t>七、一般公共预算财政拨款支出决算明细表</w:t>
      </w:r>
      <w:bookmarkEnd w:id="52"/>
    </w:p>
    <w:p>
      <w:pPr>
        <w:pStyle w:val="14"/>
        <w:adjustRightInd w:val="0"/>
        <w:snapToGrid w:val="0"/>
        <w:spacing w:line="560" w:lineRule="exact"/>
        <w:jc w:val="left"/>
        <w:rPr>
          <w:rFonts w:eastAsia="仿宋_GB2312" w:cs="仿宋_GB2312"/>
          <w:sz w:val="32"/>
          <w:szCs w:val="32"/>
        </w:rPr>
      </w:pPr>
      <w:bookmarkStart w:id="53" w:name="_Toc15396626"/>
      <w:r>
        <w:rPr>
          <w:rFonts w:hint="eastAsia" w:eastAsia="仿宋_GB2312" w:cs="仿宋_GB2312"/>
          <w:sz w:val="32"/>
          <w:szCs w:val="32"/>
        </w:rPr>
        <w:t>八、一般公共预算财政拨款基本支出决算表</w:t>
      </w:r>
      <w:bookmarkEnd w:id="53"/>
    </w:p>
    <w:p>
      <w:pPr>
        <w:pStyle w:val="14"/>
        <w:adjustRightInd w:val="0"/>
        <w:snapToGrid w:val="0"/>
        <w:spacing w:line="560" w:lineRule="exact"/>
        <w:jc w:val="left"/>
        <w:rPr>
          <w:rFonts w:hint="eastAsia" w:eastAsia="仿宋_GB2312" w:cs="仿宋_GB2312"/>
          <w:sz w:val="32"/>
          <w:szCs w:val="32"/>
        </w:rPr>
      </w:pPr>
      <w:bookmarkStart w:id="54" w:name="_Toc15396627"/>
      <w:r>
        <w:rPr>
          <w:rFonts w:hint="eastAsia" w:eastAsia="仿宋_GB2312" w:cs="仿宋_GB2312"/>
          <w:sz w:val="32"/>
          <w:szCs w:val="32"/>
        </w:rPr>
        <w:t>九、一般公共预算财政拨款项目支出决算表</w:t>
      </w:r>
      <w:bookmarkEnd w:id="54"/>
    </w:p>
    <w:p>
      <w:pPr>
        <w:pStyle w:val="14"/>
        <w:adjustRightInd w:val="0"/>
        <w:snapToGrid w:val="0"/>
        <w:spacing w:line="560" w:lineRule="exact"/>
        <w:jc w:val="left"/>
        <w:rPr>
          <w:rFonts w:hint="eastAsia" w:eastAsia="仿宋_GB2312" w:cs="仿宋_GB2312"/>
          <w:sz w:val="32"/>
          <w:szCs w:val="32"/>
        </w:rPr>
      </w:pPr>
      <w:bookmarkStart w:id="55" w:name="_Toc15396628"/>
      <w:r>
        <w:rPr>
          <w:rFonts w:hint="eastAsia" w:eastAsia="仿宋_GB2312" w:cs="仿宋_GB2312"/>
          <w:sz w:val="32"/>
          <w:szCs w:val="32"/>
        </w:rPr>
        <w:t>十、</w:t>
      </w:r>
      <w:bookmarkEnd w:id="55"/>
      <w:r>
        <w:rPr>
          <w:rFonts w:hint="eastAsia" w:eastAsia="仿宋_GB2312" w:cs="仿宋_GB2312"/>
          <w:sz w:val="32"/>
          <w:szCs w:val="32"/>
        </w:rPr>
        <w:t>政府性基金预算财政拨款收入支出决算表(此表无数据）</w:t>
      </w:r>
    </w:p>
    <w:p>
      <w:pPr>
        <w:pStyle w:val="14"/>
        <w:adjustRightInd w:val="0"/>
        <w:snapToGrid w:val="0"/>
        <w:spacing w:line="560" w:lineRule="exact"/>
        <w:jc w:val="left"/>
        <w:rPr>
          <w:rFonts w:hint="eastAsia" w:eastAsia="仿宋_GB2312" w:cs="仿宋_GB2312"/>
          <w:sz w:val="32"/>
          <w:szCs w:val="32"/>
        </w:rPr>
      </w:pPr>
      <w:bookmarkStart w:id="56" w:name="_Toc15396629"/>
      <w:r>
        <w:rPr>
          <w:rFonts w:hint="eastAsia" w:eastAsia="仿宋_GB2312" w:cs="仿宋_GB2312"/>
          <w:sz w:val="32"/>
          <w:szCs w:val="32"/>
        </w:rPr>
        <w:t>十一、</w:t>
      </w:r>
      <w:bookmarkEnd w:id="56"/>
      <w:r>
        <w:rPr>
          <w:rFonts w:hint="eastAsia" w:eastAsia="仿宋_GB2312" w:cs="仿宋_GB2312"/>
          <w:sz w:val="32"/>
          <w:szCs w:val="32"/>
        </w:rPr>
        <w:t>国有资本经营预算财政拨款收入支出决算表(此表无数据）</w:t>
      </w:r>
    </w:p>
    <w:p>
      <w:pPr>
        <w:pStyle w:val="14"/>
        <w:adjustRightInd w:val="0"/>
        <w:snapToGrid w:val="0"/>
        <w:spacing w:line="560" w:lineRule="exact"/>
        <w:jc w:val="left"/>
        <w:rPr>
          <w:rFonts w:hint="eastAsia" w:eastAsia="仿宋_GB2312" w:cs="仿宋_GB2312"/>
          <w:sz w:val="32"/>
          <w:szCs w:val="32"/>
        </w:rPr>
      </w:pPr>
      <w:bookmarkStart w:id="57" w:name="_Toc15396630"/>
      <w:r>
        <w:rPr>
          <w:rFonts w:hint="eastAsia" w:eastAsia="仿宋_GB2312" w:cs="仿宋_GB2312"/>
          <w:sz w:val="32"/>
          <w:szCs w:val="32"/>
        </w:rPr>
        <w:t>十二、</w:t>
      </w:r>
      <w:bookmarkEnd w:id="57"/>
      <w:r>
        <w:rPr>
          <w:rFonts w:hint="eastAsia" w:eastAsia="仿宋_GB2312" w:cs="仿宋_GB2312"/>
          <w:sz w:val="32"/>
          <w:szCs w:val="32"/>
        </w:rPr>
        <w:t>国有资本经营预算财政拨款支出决算表(此表无数据）</w:t>
      </w:r>
    </w:p>
    <w:p>
      <w:pPr>
        <w:pStyle w:val="14"/>
        <w:adjustRightInd w:val="0"/>
        <w:snapToGrid w:val="0"/>
        <w:spacing w:line="560" w:lineRule="exact"/>
        <w:jc w:val="left"/>
        <w:rPr>
          <w:rFonts w:hint="eastAsia" w:eastAsia="仿宋_GB2312" w:cs="仿宋_GB2312"/>
          <w:sz w:val="32"/>
          <w:szCs w:val="32"/>
        </w:rPr>
      </w:pPr>
      <w:bookmarkStart w:id="58" w:name="_Toc15396631"/>
      <w:r>
        <w:rPr>
          <w:rFonts w:hint="eastAsia" w:eastAsia="仿宋_GB2312" w:cs="仿宋_GB2312"/>
          <w:sz w:val="32"/>
          <w:szCs w:val="32"/>
        </w:rPr>
        <w:t>十三、</w:t>
      </w:r>
      <w:bookmarkEnd w:id="58"/>
      <w:r>
        <w:rPr>
          <w:rFonts w:hint="eastAsia" w:eastAsia="仿宋_GB2312" w:cs="仿宋_GB2312"/>
          <w:sz w:val="32"/>
          <w:szCs w:val="32"/>
        </w:rPr>
        <w:t>财政拨款“三公”经费支出决算表</w:t>
      </w:r>
    </w:p>
    <w:p/>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Lucida Sans">
    <w:altName w:val="Noto Naskh Arabic"/>
    <w:panose1 w:val="020B0602030504020204"/>
    <w:charset w:val="01"/>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00" w:usb3="00000000" w:csb0="00040000" w:csb1="00000000"/>
  </w:font>
  <w:font w:name="方正兰亭黑_GBK">
    <w:panose1 w:val="02000000000000000000"/>
    <w:charset w:val="86"/>
    <w:family w:val="auto"/>
    <w:pitch w:val="default"/>
    <w:sig w:usb0="A00002BF" w:usb1="3ACF7CFA" w:usb2="00080016"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O8FQIAABkEAAAOAAAAZHJz&#10;L2Uyb0RvYy54bWytU82O0zAQviPxDpbvNGkRVVU1XZVdFSFV7EoL4uw6dhvJf7LdJuUB4A04ceHO&#10;c/U5+OwmXQScEBdnxjOZme+bz4ubTityFD401lR0PCopEYbbujG7in54v34xoyREZmqmrBEVPYlA&#10;b5bPny1aNxcTu7eqFp6giAnz1lV0H6ObF0Xge6FZGFknDILSes0iXL8ras9aVNeqmJTltGitr523&#10;XISA27tLkC5zfSkFj/dSBhGJqihmi/n0+dyms1gu2Hznmds3vB+D/cMUmjUGTa+l7lhk5OCbP0rp&#10;hnsbrIwjbnVhpWy4yBiAZlz+huZxz5zIWEBOcFeawv8ry98dHzxp6opOKTFMY0Xnr1/O336cv38m&#10;00RP68IcWY8OebF7bbuKRn8QQyjgPgHvpNfpC0gEKeD6dOVXdJFwXI5nk9msRIgjNjhoUTz97nyI&#10;b4TVJBkV9Vhg5pUdNyFeUoeU1M3YdaNUXqIypAWKl6/K/MM1guLKoEfCcRk2WbHbdj24ra1PwObt&#10;RRzB8XWD5hsW4gPzUAMGhsLjPQ6pLJrY3qJkb/2nv92nfCwJUUpaqKuiBvKnRL01WF4S4mD4wdgO&#10;hjnoWwu5jvFyHM8mfvBRDab0Vn+E7Feph2QqoDAzHN2wmsG8jfD6IJ4PF6vV1Yf0HIsb8+h4v8zE&#10;ZXCrQwSfmebE0YWYnjroLy+qfytJ4L/6Oev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q+O8FQIAABkEAAAOAAAAAAAAAAEAIAAAADUBAABkcnMvZTJvRG9jLnhtbFBLBQYAAAAABgAG&#10;AFkBAAC8BQAAAAA=&#10;">
              <v:fill on="f" focussize="0,0"/>
              <v:stroke on="f" weight="0.5pt"/>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54B06"/>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0881"/>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9D5578"/>
    <w:rsid w:val="08DB07E4"/>
    <w:rsid w:val="09867E8F"/>
    <w:rsid w:val="0A2032A3"/>
    <w:rsid w:val="0C6C4794"/>
    <w:rsid w:val="0CA8290A"/>
    <w:rsid w:val="0D35B1ED"/>
    <w:rsid w:val="0DE07E2B"/>
    <w:rsid w:val="0F071AD7"/>
    <w:rsid w:val="0F98263C"/>
    <w:rsid w:val="101860EC"/>
    <w:rsid w:val="10C055FF"/>
    <w:rsid w:val="10D97543"/>
    <w:rsid w:val="11772AA4"/>
    <w:rsid w:val="118107EC"/>
    <w:rsid w:val="11AD50D3"/>
    <w:rsid w:val="12D3750D"/>
    <w:rsid w:val="13124BB3"/>
    <w:rsid w:val="13D50BC4"/>
    <w:rsid w:val="14022904"/>
    <w:rsid w:val="152F2A07"/>
    <w:rsid w:val="15F7090F"/>
    <w:rsid w:val="165E0673"/>
    <w:rsid w:val="16BB723D"/>
    <w:rsid w:val="175273B2"/>
    <w:rsid w:val="186504BB"/>
    <w:rsid w:val="1938089F"/>
    <w:rsid w:val="19A445FC"/>
    <w:rsid w:val="1AA44D47"/>
    <w:rsid w:val="1B7D550C"/>
    <w:rsid w:val="1BE8440E"/>
    <w:rsid w:val="1C105C02"/>
    <w:rsid w:val="1D155CEE"/>
    <w:rsid w:val="1E740ACF"/>
    <w:rsid w:val="1FF35744"/>
    <w:rsid w:val="1FF6BC77"/>
    <w:rsid w:val="21962A9E"/>
    <w:rsid w:val="21AE7C77"/>
    <w:rsid w:val="22BC3C41"/>
    <w:rsid w:val="23860B96"/>
    <w:rsid w:val="240371BF"/>
    <w:rsid w:val="260F557C"/>
    <w:rsid w:val="281408E2"/>
    <w:rsid w:val="283B120E"/>
    <w:rsid w:val="283D1D82"/>
    <w:rsid w:val="29FD04D3"/>
    <w:rsid w:val="2B273046"/>
    <w:rsid w:val="2BFF7BC6"/>
    <w:rsid w:val="2C8A61B5"/>
    <w:rsid w:val="2D2E01CF"/>
    <w:rsid w:val="2D47A63C"/>
    <w:rsid w:val="2DF04E50"/>
    <w:rsid w:val="2E9545B0"/>
    <w:rsid w:val="2F040D46"/>
    <w:rsid w:val="2FAE5751"/>
    <w:rsid w:val="2FB1A395"/>
    <w:rsid w:val="2FD9A7D8"/>
    <w:rsid w:val="30F50D33"/>
    <w:rsid w:val="319F7F4E"/>
    <w:rsid w:val="321B2544"/>
    <w:rsid w:val="3304709D"/>
    <w:rsid w:val="3427365A"/>
    <w:rsid w:val="34281836"/>
    <w:rsid w:val="348E417A"/>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D314CE"/>
    <w:rsid w:val="40E54C45"/>
    <w:rsid w:val="419C6062"/>
    <w:rsid w:val="43A407DF"/>
    <w:rsid w:val="44515BEA"/>
    <w:rsid w:val="44851E7F"/>
    <w:rsid w:val="44E268DA"/>
    <w:rsid w:val="453F7E5B"/>
    <w:rsid w:val="486A6C7A"/>
    <w:rsid w:val="49176D9B"/>
    <w:rsid w:val="4A300872"/>
    <w:rsid w:val="4A627F82"/>
    <w:rsid w:val="4B0E749A"/>
    <w:rsid w:val="4B4F25DA"/>
    <w:rsid w:val="4BDA0CFB"/>
    <w:rsid w:val="4BE068DB"/>
    <w:rsid w:val="4C9377CD"/>
    <w:rsid w:val="4D012C97"/>
    <w:rsid w:val="4D3C0CCC"/>
    <w:rsid w:val="4D577224"/>
    <w:rsid w:val="4DBF1CEB"/>
    <w:rsid w:val="4E01161F"/>
    <w:rsid w:val="4EA71EC4"/>
    <w:rsid w:val="4EAB630A"/>
    <w:rsid w:val="4ECE2238"/>
    <w:rsid w:val="4F833267"/>
    <w:rsid w:val="4FE9BD67"/>
    <w:rsid w:val="4FFB052F"/>
    <w:rsid w:val="50EF48C6"/>
    <w:rsid w:val="53083A92"/>
    <w:rsid w:val="537E6D0A"/>
    <w:rsid w:val="53AF27A2"/>
    <w:rsid w:val="53F74C96"/>
    <w:rsid w:val="56E47B74"/>
    <w:rsid w:val="57BD3DD4"/>
    <w:rsid w:val="5AF92295"/>
    <w:rsid w:val="5B176E59"/>
    <w:rsid w:val="5BDD79E6"/>
    <w:rsid w:val="5BF561CA"/>
    <w:rsid w:val="5BFF5DFC"/>
    <w:rsid w:val="5CD71FC4"/>
    <w:rsid w:val="5D1F11B5"/>
    <w:rsid w:val="5DAE1B18"/>
    <w:rsid w:val="5DE7D9E5"/>
    <w:rsid w:val="5ECEC941"/>
    <w:rsid w:val="5F493CB7"/>
    <w:rsid w:val="5FA62147"/>
    <w:rsid w:val="5FBF9FF3"/>
    <w:rsid w:val="5FCD4E2C"/>
    <w:rsid w:val="5FD15F49"/>
    <w:rsid w:val="5FDD025B"/>
    <w:rsid w:val="5FEF394A"/>
    <w:rsid w:val="5FF67715"/>
    <w:rsid w:val="62BF3928"/>
    <w:rsid w:val="647F5392"/>
    <w:rsid w:val="653F7FFD"/>
    <w:rsid w:val="65417051"/>
    <w:rsid w:val="664B1D71"/>
    <w:rsid w:val="66BDAA2C"/>
    <w:rsid w:val="67495FD6"/>
    <w:rsid w:val="67AA3209"/>
    <w:rsid w:val="681C4F0D"/>
    <w:rsid w:val="69046D0F"/>
    <w:rsid w:val="698D0931"/>
    <w:rsid w:val="6A993CED"/>
    <w:rsid w:val="6B053271"/>
    <w:rsid w:val="6B7C3F10"/>
    <w:rsid w:val="6BCE6674"/>
    <w:rsid w:val="6C4A05C8"/>
    <w:rsid w:val="6C8742B8"/>
    <w:rsid w:val="6C8A170F"/>
    <w:rsid w:val="6CB54609"/>
    <w:rsid w:val="6DBF5E93"/>
    <w:rsid w:val="6DFF077E"/>
    <w:rsid w:val="6E596023"/>
    <w:rsid w:val="6E7E3605"/>
    <w:rsid w:val="6E7FDCC7"/>
    <w:rsid w:val="6EB768EF"/>
    <w:rsid w:val="6ED6A62E"/>
    <w:rsid w:val="6EE00B15"/>
    <w:rsid w:val="6EF46913"/>
    <w:rsid w:val="6F3DD6F0"/>
    <w:rsid w:val="6F544B20"/>
    <w:rsid w:val="6F6FB3EB"/>
    <w:rsid w:val="6F784160"/>
    <w:rsid w:val="6F7971EC"/>
    <w:rsid w:val="6F8731EA"/>
    <w:rsid w:val="6FCE6052"/>
    <w:rsid w:val="6FD57C00"/>
    <w:rsid w:val="6FEFFFD8"/>
    <w:rsid w:val="6FF5CC65"/>
    <w:rsid w:val="6FFB47EC"/>
    <w:rsid w:val="6FFF034A"/>
    <w:rsid w:val="70496804"/>
    <w:rsid w:val="712A28F1"/>
    <w:rsid w:val="715C0E4B"/>
    <w:rsid w:val="71657AB6"/>
    <w:rsid w:val="72233669"/>
    <w:rsid w:val="72734D90"/>
    <w:rsid w:val="7332FE48"/>
    <w:rsid w:val="73AB61DA"/>
    <w:rsid w:val="73AD73D5"/>
    <w:rsid w:val="73B6EB34"/>
    <w:rsid w:val="73FA497D"/>
    <w:rsid w:val="744731E5"/>
    <w:rsid w:val="74527205"/>
    <w:rsid w:val="74BBD01D"/>
    <w:rsid w:val="74ED5379"/>
    <w:rsid w:val="74FC2395"/>
    <w:rsid w:val="75DEEEC2"/>
    <w:rsid w:val="76DC59A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BE864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1D111B"/>
    <w:rsid w:val="BD733540"/>
    <w:rsid w:val="BF3735D5"/>
    <w:rsid w:val="BF7F09AC"/>
    <w:rsid w:val="BFD475C3"/>
    <w:rsid w:val="BFDE5EA6"/>
    <w:rsid w:val="CF6FC6F3"/>
    <w:rsid w:val="CFD3D3D7"/>
    <w:rsid w:val="CFDF1009"/>
    <w:rsid w:val="D6E9BE82"/>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7DC70D"/>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5"/>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r>
              <a:t>单位：万元</a:t>
            </a:r>
          </a:p>
        </c:rich>
      </c:tx>
      <c:layout>
        <c:manualLayout>
          <c:xMode val="edge"/>
          <c:yMode val="edge"/>
          <c:x val="0.777192804732225"/>
          <c:y val="0.203846153846154"/>
        </c:manualLayout>
      </c:layout>
      <c:overlay val="false"/>
      <c:spPr>
        <a:noFill/>
        <a:ln>
          <a:noFill/>
        </a:ln>
        <a:effectLst/>
      </c:spPr>
    </c:title>
    <c:autoTitleDeleted val="false"/>
    <c:plotArea>
      <c:layout>
        <c:manualLayout>
          <c:layoutTarget val="inner"/>
          <c:xMode val="edge"/>
          <c:yMode val="edge"/>
          <c:x val="0.11091132960936"/>
          <c:y val="0.162856049781579"/>
          <c:w val="0.632921775397969"/>
          <c:h val="0.697605430694737"/>
        </c:manualLayout>
      </c:layout>
      <c:barChart>
        <c:barDir val="col"/>
        <c:grouping val="clustered"/>
        <c:varyColors val="false"/>
        <c:ser>
          <c:idx val="0"/>
          <c:order val="0"/>
          <c:tx>
            <c:strRef>
              <c:f>Sheet1!$A$2</c:f>
              <c:strCache>
                <c:ptCount val="1"/>
                <c:pt idx="0">
                  <c:v>2025年</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numRef>
              <c:f>Sheet1!$B$1</c:f>
              <c:numCache>
                <c:formatCode>General</c:formatCode>
                <c:ptCount val="1"/>
              </c:numCache>
            </c:numRef>
          </c:cat>
          <c:val>
            <c:numRef>
              <c:f>Sheet1!$B$2</c:f>
              <c:numCache>
                <c:formatCode>General</c:formatCode>
                <c:ptCount val="1"/>
                <c:pt idx="0">
                  <c:v>242.92</c:v>
                </c:pt>
              </c:numCache>
            </c:numRef>
          </c:val>
        </c:ser>
        <c:ser>
          <c:idx val="1"/>
          <c:order val="1"/>
          <c:tx>
            <c:strRef>
              <c:f>Sheet1!$A$3</c:f>
              <c:strCache>
                <c:ptCount val="1"/>
                <c:pt idx="0">
                  <c:v>2024年</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numRef>
              <c:f>Sheet1!$B$1</c:f>
              <c:numCache>
                <c:formatCode>General</c:formatCode>
                <c:ptCount val="1"/>
              </c:numCache>
            </c:numRef>
          </c:cat>
          <c:val>
            <c:numRef>
              <c:f>Sheet1!$B$3</c:f>
              <c:numCache>
                <c:formatCode>General</c:formatCode>
                <c:ptCount val="1"/>
                <c:pt idx="0">
                  <c:v>196.8</c:v>
                </c:pt>
              </c:numCache>
            </c:numRef>
          </c:val>
        </c:ser>
        <c:dLbls>
          <c:showLegendKey val="false"/>
          <c:showVal val="true"/>
          <c:showCatName val="false"/>
          <c:showSerName val="false"/>
          <c:showPercent val="false"/>
          <c:showBubbleSize val="false"/>
        </c:dLbls>
        <c:gapWidth val="219"/>
        <c:overlap val="-27"/>
        <c:axId val="50498176"/>
        <c:axId val="51847936"/>
      </c:barChart>
      <c:catAx>
        <c:axId val="50498176"/>
        <c:scaling>
          <c:orientation val="minMax"/>
        </c:scaling>
        <c:delete val="false"/>
        <c:axPos val="b"/>
        <c:numFmt formatCode="General" sourceLinked="true"/>
        <c:majorTickMark val="in"/>
        <c:minorTickMark val="none"/>
        <c:tickLblPos val="nextTo"/>
        <c:spPr>
          <a:noFill/>
          <a:ln w="9525" cap="flat" cmpd="sng" algn="ctr">
            <a:solidFill>
              <a:schemeClr val="tx1">
                <a:lumMod val="15000"/>
                <a:lumOff val="85000"/>
              </a:schemeClr>
            </a:solidFill>
            <a:round/>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1847936"/>
        <c:crosses val="autoZero"/>
        <c:auto val="true"/>
        <c:lblAlgn val="ctr"/>
        <c:lblOffset val="100"/>
        <c:noMultiLvlLbl val="false"/>
      </c:catAx>
      <c:valAx>
        <c:axId val="51847936"/>
        <c:scaling>
          <c:orientation val="minMax"/>
          <c:max val="280"/>
          <c:min val="0"/>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in"/>
        <c:minorTickMark val="none"/>
        <c:tickLblPos val="nextTo"/>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0498176"/>
        <c:crossesAt val="1"/>
        <c:crossBetween val="between"/>
        <c:majorUnit val="40"/>
      </c:valAx>
      <c:spPr>
        <a:noFill/>
        <a:ln>
          <a:noFill/>
        </a:ln>
        <a:effectLst/>
      </c:spPr>
    </c:plotArea>
    <c:legend>
      <c:legendPos val="b"/>
      <c:layout>
        <c:manualLayout>
          <c:xMode val="edge"/>
          <c:yMode val="edge"/>
          <c:x val="0.799420787300225"/>
          <c:y val="0.46025641025641"/>
          <c:w val="0.137984083833949"/>
          <c:h val="0.189189200000001"/>
        </c:manualLayou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defRPr lang="zh-CN" sz="1250" b="0" i="0" u="none" strike="noStrike" kern="1200" baseline="0">
                <a:solidFill>
                  <a:srgbClr val="000000"/>
                </a:solidFill>
                <a:latin typeface="宋体" charset="-122"/>
                <a:ea typeface="宋体" charset="-122"/>
                <a:cs typeface="Lucida Sans" panose="020B0602030504020204"/>
              </a:defRPr>
            </a:pPr>
            <a:r>
              <a:rPr lang="zh-CN" sz="900" b="0" i="0" u="none" strike="noStrike" baseline="0">
                <a:solidFill>
                  <a:srgbClr val="000000"/>
                </a:solidFill>
                <a:latin typeface="宋体" charset="-122"/>
                <a:ea typeface="宋体" charset="-122"/>
                <a:cs typeface="Lucida Sans" panose="020B0602030504020204"/>
              </a:rPr>
              <a:t>单</a:t>
            </a:r>
            <a:r>
              <a:rPr lang="zh-CN" altLang="en-US" sz="900" b="0" i="0" u="none" strike="noStrike" baseline="0">
                <a:solidFill>
                  <a:srgbClr val="000000"/>
                </a:solidFill>
                <a:latin typeface="宋体" charset="-122"/>
                <a:ea typeface="宋体" charset="-122"/>
                <a:cs typeface="Lucida Sans" panose="020B0602030504020204"/>
              </a:rPr>
              <a:t>位：万元</a:t>
            </a:r>
            <a:endParaRPr lang="zh-CN" sz="900" b="0" i="0" u="heavy" strike="noStrike" baseline="0">
              <a:solidFill>
                <a:srgbClr val="000000"/>
              </a:solidFill>
              <a:uFill>
                <a:solidFill>
                  <a:srgbClr val="000000"/>
                </a:solidFill>
              </a:uFill>
              <a:latin typeface="宋体" charset="-122"/>
              <a:ea typeface="宋体" charset="-122"/>
              <a:cs typeface="Lucida Sans" panose="020B0602030504020204"/>
            </a:endParaRPr>
          </a:p>
        </c:rich>
      </c:tx>
      <c:layout>
        <c:manualLayout>
          <c:xMode val="edge"/>
          <c:yMode val="edge"/>
          <c:x val="0.642356687395501"/>
          <c:y val="0.127229613539687"/>
        </c:manualLayout>
      </c:layout>
      <c:overlay val="false"/>
      <c:spPr>
        <a:ln>
          <a:noFill/>
        </a:ln>
      </c:spPr>
    </c:title>
    <c:autoTitleDeleted val="false"/>
    <c:plotArea>
      <c:layout>
        <c:manualLayout>
          <c:layoutTarget val="inner"/>
          <c:xMode val="edge"/>
          <c:yMode val="edge"/>
          <c:x val="0.00357142857142857"/>
          <c:y val="0.00778210116731518"/>
          <c:w val="0.423271889400922"/>
          <c:h val="0.953047989623865"/>
        </c:manualLayout>
      </c:layout>
      <c:pieChart>
        <c:varyColors val="true"/>
        <c:ser>
          <c:idx val="0"/>
          <c:order val="0"/>
          <c:spPr>
            <a:solidFill>
              <a:srgbClr val="9999FF"/>
            </a:solidFill>
            <a:ln w="6350">
              <a:solidFill>
                <a:srgbClr val="000000"/>
              </a:solidFill>
              <a:prstDash val="solid"/>
            </a:ln>
          </c:spPr>
          <c:explosion val="42"/>
          <c:dPt>
            <c:idx val="0"/>
            <c:bubble3D val="false"/>
            <c:explosion val="44"/>
            <c:spPr>
              <a:solidFill>
                <a:srgbClr val="9999FF"/>
              </a:solidFill>
              <a:ln w="6350">
                <a:solidFill>
                  <a:srgbClr val="000000"/>
                </a:solidFill>
                <a:prstDash val="solid"/>
              </a:ln>
            </c:spPr>
          </c:dPt>
          <c:dPt>
            <c:idx val="1"/>
            <c:bubble3D val="false"/>
            <c:spPr>
              <a:solidFill>
                <a:srgbClr val="993366"/>
              </a:solidFill>
              <a:ln w="6350">
                <a:solidFill>
                  <a:srgbClr val="000000"/>
                </a:solidFill>
                <a:prstDash val="solid"/>
              </a:ln>
            </c:spPr>
          </c:dPt>
          <c:dLbls>
            <c:dLbl>
              <c:idx val="0"/>
              <c:layout>
                <c:manualLayout>
                  <c:x val="-0.00345666312265902"/>
                  <c:y val="-0.110151463888112"/>
                </c:manualLayout>
              </c:layout>
              <c:tx>
                <c:rich>
                  <a:bodyPr rot="0" spcFirstLastPara="0" vertOverflow="ellipsis" vert="horz" wrap="square" lIns="38100" tIns="19050" rIns="38100" bIns="19050"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r>
                      <a:rPr lang="en-US" altLang="zh-CN"/>
                      <a:t>242.92</a:t>
                    </a:r>
                    <a:endParaRPr lang="en-US" altLang="zh-CN"/>
                  </a:p>
                </c:rich>
              </c:tx>
              <c:dLblPos val="bestFit"/>
              <c:showLegendKey val="false"/>
              <c:showVal val="true"/>
              <c:showCatName val="false"/>
              <c:showSerName val="false"/>
              <c:showPercent val="false"/>
              <c:showBubbleSize val="false"/>
              <c:extLst>
                <c:ext xmlns:c15="http://schemas.microsoft.com/office/drawing/2012/chart" uri="{CE6537A1-D6FC-4f65-9D91-7224C49458BB}">
                  <c15:layout>
                    <c:manualLayout>
                      <c:w val="0.0959677419354839"/>
                      <c:h val="0.12632944228275"/>
                    </c:manualLayout>
                  </c15:layout>
                </c:ext>
              </c:extLst>
            </c:dLbl>
            <c:dLbl>
              <c:idx val="1"/>
              <c:delete val="true"/>
            </c:dLbl>
            <c:spPr>
              <a:noFill/>
              <a:ln>
                <a:noFill/>
              </a:ln>
              <a:effectLst/>
            </c:spPr>
            <c:txPr>
              <a:bodyPr rot="0" spcFirstLastPara="0" vertOverflow="ellipsis" vert="horz" wrap="square" lIns="38100" tIns="19050" rIns="38100" bIns="19050"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dLblPos val="bestFit"/>
            <c:showLegendKey val="false"/>
            <c:showVal val="fals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'Sheet1 (2)'!$A$1:$B$1</c:f>
              <c:strCache>
                <c:ptCount val="2"/>
                <c:pt idx="0">
                  <c:v>一般公共预算财政拨款收入</c:v>
                </c:pt>
                <c:pt idx="1">
                  <c:v>其他</c:v>
                </c:pt>
              </c:strCache>
            </c:strRef>
          </c:cat>
          <c:val>
            <c:numRef>
              <c:f>'Sheet1 (2)'!$A$2:$B$2</c:f>
              <c:numCache>
                <c:formatCode>General</c:formatCode>
                <c:ptCount val="2"/>
                <c:pt idx="0">
                  <c:v>216.03</c:v>
                </c:pt>
              </c:numCache>
            </c:numRef>
          </c:val>
        </c:ser>
        <c:dLbls>
          <c:showLegendKey val="false"/>
          <c:showVal val="false"/>
          <c:showCatName val="false"/>
          <c:showSerName val="false"/>
          <c:showPercent val="false"/>
          <c:showBubbleSize val="false"/>
          <c:showLeaderLines val="true"/>
        </c:dLbls>
        <c:firstSliceAng val="0"/>
      </c:pieChart>
      <c:spPr>
        <a:solidFill>
          <a:srgbClr val="C0C0C0"/>
        </a:solidFill>
        <a:ln w="6350">
          <a:solidFill>
            <a:srgbClr val="808080"/>
          </a:solidFill>
          <a:prstDash val="solid"/>
        </a:ln>
      </c:spPr>
    </c:plotArea>
    <c:legend>
      <c:legendPos val="r"/>
      <c:legendEntry>
        <c:idx val="0"/>
        <c:txPr>
          <a:bodyPr rot="0" spcFirstLastPara="0" vertOverflow="ellipsis" vert="horz" wrap="square"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legendEntry>
      <c:legendEntry>
        <c:idx val="1"/>
        <c:txPr>
          <a:bodyPr rot="0" spcFirstLastPara="0" vertOverflow="ellipsis" vert="horz" wrap="square"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legendEntry>
      <c:layout>
        <c:manualLayout>
          <c:xMode val="edge"/>
          <c:yMode val="edge"/>
          <c:x val="0.520276497695852"/>
          <c:y val="0.422568093385214"/>
          <c:w val="0.431336405529954"/>
          <c:h val="0.388326848249027"/>
        </c:manualLayout>
      </c:layout>
      <c:overlay val="false"/>
      <c:spPr>
        <a:noFill/>
        <a:ln w="6350">
          <a:solidFill>
            <a:srgbClr val="000000"/>
          </a:solidFill>
          <a:prstDash val="solid"/>
        </a:ln>
      </c:spPr>
      <c:txPr>
        <a:bodyPr rot="0" spcFirstLastPara="0" vertOverflow="ellipsis" vert="horz" wrap="square"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legend>
    <c:plotVisOnly val="true"/>
    <c:dispBlanksAs val="zero"/>
    <c:showDLblsOverMax val="false"/>
  </c:chart>
  <c:spPr>
    <a:noFill/>
    <a:ln w="9525" cap="flat" cmpd="sng" algn="ctr">
      <a:noFill/>
      <a:prstDash val="solid"/>
      <a:round/>
    </a:ln>
  </c:spPr>
  <c:txPr>
    <a:bodyPr/>
    <a:lstStyle/>
    <a:p>
      <a:pPr>
        <a:defRPr lang="zh-CN" sz="1050" b="0" i="0" u="none" strike="noStrike" baseline="0">
          <a:solidFill>
            <a:srgbClr val="000000"/>
          </a:solidFill>
          <a:latin typeface="宋体" charset="-122"/>
          <a:ea typeface="宋体" charset="-122"/>
          <a:cs typeface="Lucida Sans" panose="020B0602030504020204"/>
        </a:defRPr>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defRPr lang="zh-CN" sz="1450" b="0" i="0" u="none" strike="noStrike" kern="1200" baseline="0">
                <a:solidFill>
                  <a:srgbClr val="000000"/>
                </a:solidFill>
                <a:latin typeface="宋体" charset="-122"/>
                <a:ea typeface="宋体" charset="-122"/>
                <a:cs typeface="Lucida Sans" panose="020B0602030504020204"/>
              </a:defRPr>
            </a:pPr>
            <a:r>
              <a:rPr lang="zh-CN" sz="1100" b="0" i="0" u="none" strike="noStrike" baseline="0">
                <a:solidFill>
                  <a:srgbClr val="000000"/>
                </a:solidFill>
                <a:latin typeface="宋体" charset="-122"/>
                <a:ea typeface="宋体" charset="-122"/>
                <a:cs typeface="Lucida Sans" panose="020B0602030504020204"/>
              </a:rPr>
              <a:t>单位:</a:t>
            </a:r>
            <a:r>
              <a:rPr lang="zh-CN" altLang="en-US" sz="1100" b="0" i="0" u="none" strike="noStrike" baseline="0">
                <a:solidFill>
                  <a:srgbClr val="000000"/>
                </a:solidFill>
                <a:latin typeface="宋体" charset="-122"/>
                <a:ea typeface="宋体" charset="-122"/>
                <a:cs typeface="Lucida Sans" panose="020B0602030504020204"/>
              </a:rPr>
              <a:t>万元</a:t>
            </a:r>
            <a:endParaRPr lang="zh-CN" sz="1100" b="0" i="0" u="sng" strike="noStrike" baseline="0">
              <a:solidFill>
                <a:srgbClr val="000000"/>
              </a:solidFill>
              <a:uFill>
                <a:solidFill>
                  <a:srgbClr val="000000"/>
                </a:solidFill>
              </a:uFill>
              <a:latin typeface="宋体" charset="-122"/>
              <a:ea typeface="宋体" charset="-122"/>
              <a:cs typeface="Lucida Sans" panose="020B0602030504020204"/>
            </a:endParaRPr>
          </a:p>
        </c:rich>
      </c:tx>
      <c:layout>
        <c:manualLayout>
          <c:xMode val="edge"/>
          <c:yMode val="edge"/>
          <c:x val="0.722534300189702"/>
          <c:y val="0.120346782819727"/>
        </c:manualLayout>
      </c:layout>
      <c:overlay val="false"/>
      <c:spPr>
        <a:ln>
          <a:noFill/>
        </a:ln>
      </c:spPr>
    </c:title>
    <c:autoTitleDeleted val="false"/>
    <c:plotArea>
      <c:layout>
        <c:manualLayout>
          <c:layoutTarget val="inner"/>
          <c:xMode val="edge"/>
          <c:yMode val="edge"/>
          <c:x val="0.146077101931217"/>
          <c:y val="0.143589743589744"/>
          <c:w val="0.424550255699168"/>
          <c:h val="0.847179469517344"/>
        </c:manualLayout>
      </c:layout>
      <c:pieChart>
        <c:varyColors val="true"/>
        <c:ser>
          <c:idx val="0"/>
          <c:order val="0"/>
          <c:tx>
            <c:strRef>
              <c:f>'Sheet1 (3)'!$A$2</c:f>
              <c:strCache>
                <c:ptCount val="1"/>
                <c:pt idx="0">
                  <c:v/>
                </c:pt>
              </c:strCache>
            </c:strRef>
          </c:tx>
          <c:spPr>
            <a:solidFill>
              <a:srgbClr val="9999FF"/>
            </a:solidFill>
            <a:ln w="6350">
              <a:solidFill>
                <a:srgbClr val="000000"/>
              </a:solidFill>
              <a:prstDash val="solid"/>
            </a:ln>
          </c:spPr>
          <c:explosion val="0"/>
          <c:dPt>
            <c:idx val="0"/>
            <c:bubble3D val="false"/>
            <c:spPr>
              <a:solidFill>
                <a:srgbClr val="9999FF"/>
              </a:solidFill>
              <a:ln w="6350">
                <a:solidFill>
                  <a:srgbClr val="000000"/>
                </a:solidFill>
                <a:prstDash val="solid"/>
              </a:ln>
            </c:spPr>
          </c:dPt>
          <c:dPt>
            <c:idx val="1"/>
            <c:bubble3D val="false"/>
            <c:spPr>
              <a:solidFill>
                <a:srgbClr val="993366"/>
              </a:solidFill>
              <a:ln w="6350">
                <a:solidFill>
                  <a:srgbClr val="000000"/>
                </a:solidFill>
                <a:prstDash val="solid"/>
              </a:ln>
            </c:spPr>
          </c:dPt>
          <c:dLbls>
            <c:dLbl>
              <c:idx val="1"/>
              <c:layout>
                <c:manualLayout>
                  <c:x val="0.00403310195595121"/>
                  <c:y val="-0.00104481867455794"/>
                </c:manualLayout>
              </c:layout>
              <c:tx>
                <c:rich>
                  <a:bodyPr rot="0" spcFirstLastPara="0" vertOverflow="ellipsis" vert="horz" wrap="square" lIns="38100" tIns="19050" rIns="38100" bIns="19050" anchor="ctr" anchorCtr="true"/>
                  <a:lstStyle/>
                  <a:p>
                    <a:pPr>
                      <a:defRPr lang="zh-CN" sz="1200" b="0" i="0" u="none" strike="noStrike" kern="1200" baseline="0">
                        <a:solidFill>
                          <a:srgbClr val="000000"/>
                        </a:solidFill>
                        <a:latin typeface="宋体" charset="-122"/>
                        <a:ea typeface="宋体" charset="-122"/>
                        <a:cs typeface="Lucida Sans" panose="020B0602030504020204"/>
                      </a:defRPr>
                    </a:pPr>
                    <a:r>
                      <a:rPr lang="en-US" altLang="zh-CN"/>
                      <a:t>13.75</a:t>
                    </a:r>
                    <a:endParaRPr lang="en-US" altLang="zh-CN"/>
                  </a:p>
                </c:rich>
              </c:tx>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200" b="0" i="0" u="none" strike="noStrike" kern="1200" baseline="0">
                    <a:solidFill>
                      <a:srgbClr val="000000"/>
                    </a:solidFill>
                    <a:latin typeface="宋体" charset="-122"/>
                    <a:ea typeface="宋体" charset="-122"/>
                    <a:cs typeface="Lucida Sans" panose="020B0602030504020204"/>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'Sheet1 (3)'!$B$1:$C$1</c:f>
              <c:strCache>
                <c:ptCount val="2"/>
                <c:pt idx="0">
                  <c:v>基本支出</c:v>
                </c:pt>
                <c:pt idx="1">
                  <c:v>项目支出</c:v>
                </c:pt>
              </c:strCache>
            </c:strRef>
          </c:cat>
          <c:val>
            <c:numRef>
              <c:f>'Sheet1 (3)'!$B$2:$C$2</c:f>
              <c:numCache>
                <c:formatCode>General</c:formatCode>
                <c:ptCount val="2"/>
                <c:pt idx="0">
                  <c:v>229.17</c:v>
                </c:pt>
                <c:pt idx="1">
                  <c:v>13.75</c:v>
                </c:pt>
              </c:numCache>
            </c:numRef>
          </c:val>
        </c:ser>
        <c:dLbls>
          <c:showLegendKey val="false"/>
          <c:showVal val="true"/>
          <c:showCatName val="false"/>
          <c:showSerName val="false"/>
          <c:showPercent val="false"/>
          <c:showBubbleSize val="false"/>
          <c:showLeaderLines val="true"/>
        </c:dLbls>
        <c:firstSliceAng val="0"/>
      </c:pieChart>
      <c:spPr>
        <a:solidFill>
          <a:srgbClr val="C0C0C0"/>
        </a:solidFill>
        <a:ln w="6350">
          <a:solidFill>
            <a:srgbClr val="808080"/>
          </a:solidFill>
          <a:prstDash val="solid"/>
        </a:ln>
      </c:spPr>
    </c:plotArea>
    <c:legend>
      <c:legendPos val="r"/>
      <c:layout>
        <c:manualLayout>
          <c:xMode val="edge"/>
          <c:yMode val="edge"/>
          <c:x val="0.680537676061714"/>
          <c:y val="0.387346039176149"/>
          <c:w val="0.239290680000001"/>
          <c:h val="0.378847570000002"/>
        </c:manualLayout>
      </c:layout>
      <c:overlay val="false"/>
      <c:spPr>
        <a:noFill/>
        <a:ln w="6350">
          <a:solidFill>
            <a:srgbClr val="000000"/>
          </a:solidFill>
          <a:prstDash val="solid"/>
        </a:ln>
      </c:spPr>
      <c:txPr>
        <a:bodyPr rot="0" spcFirstLastPara="0" vertOverflow="ellipsis" vert="horz" wrap="square" anchor="ctr" anchorCtr="true"/>
        <a:lstStyle/>
        <a:p>
          <a:pPr>
            <a:defRPr lang="zh-CN" sz="1100" b="0" i="0" u="none" strike="noStrike" kern="1200" baseline="0">
              <a:solidFill>
                <a:srgbClr val="000000"/>
              </a:solidFill>
              <a:latin typeface="宋体" charset="-122"/>
              <a:ea typeface="宋体" charset="-122"/>
              <a:cs typeface="Lucida Sans" panose="020B0602030504020204"/>
            </a:defRPr>
          </a:pPr>
        </a:p>
      </c:txPr>
    </c:legend>
    <c:plotVisOnly val="true"/>
    <c:dispBlanksAs val="zero"/>
    <c:showDLblsOverMax val="false"/>
  </c:chart>
  <c:spPr>
    <a:noFill/>
    <a:ln w="9525" cap="flat" cmpd="sng" algn="ctr">
      <a:noFill/>
      <a:prstDash val="solid"/>
      <a:round/>
    </a:ln>
  </c:spPr>
  <c:txPr>
    <a:bodyPr/>
    <a:lstStyle/>
    <a:p>
      <a:pPr>
        <a:defRPr lang="zh-CN" sz="1200" b="0" i="0" u="none" strike="noStrike" baseline="0">
          <a:solidFill>
            <a:srgbClr val="000000"/>
          </a:solidFill>
          <a:latin typeface="宋体" charset="-122"/>
          <a:ea typeface="宋体" charset="-122"/>
          <a:cs typeface="Lucida Sans" panose="020B0602030504020204"/>
        </a:defRPr>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defRPr lang="zh-CN" sz="1250" b="0" i="0" u="none" strike="noStrike" kern="1200" baseline="0">
                <a:solidFill>
                  <a:srgbClr val="000000"/>
                </a:solidFill>
                <a:latin typeface="宋体" charset="-122"/>
                <a:ea typeface="宋体" charset="-122"/>
                <a:cs typeface="Lucida Sans" panose="020B0602030504020204"/>
              </a:defRPr>
            </a:pPr>
            <a:r>
              <a:rPr lang="zh-CN" sz="1250" b="0" i="0" u="none" strike="noStrike" baseline="0">
                <a:solidFill>
                  <a:srgbClr val="000000"/>
                </a:solidFill>
                <a:latin typeface="宋体" charset="-122"/>
                <a:ea typeface="宋体" charset="-122"/>
                <a:cs typeface="Lucida Sans" panose="020B0602030504020204"/>
              </a:rPr>
              <a:t>单位：万元</a:t>
            </a:r>
            <a:endParaRPr lang="zh-CN" sz="1250" b="0" i="0" u="none" strike="noStrike" baseline="0">
              <a:solidFill>
                <a:srgbClr val="000000"/>
              </a:solidFill>
              <a:latin typeface="宋体" charset="-122"/>
              <a:ea typeface="宋体" charset="-122"/>
              <a:cs typeface="Lucida Sans" panose="020B0602030504020204"/>
            </a:endParaRPr>
          </a:p>
        </c:rich>
      </c:tx>
      <c:layout>
        <c:manualLayout>
          <c:xMode val="edge"/>
          <c:yMode val="edge"/>
          <c:x val="0.785364708108377"/>
          <c:y val="0.0725069520159959"/>
        </c:manualLayout>
      </c:layout>
      <c:overlay val="false"/>
      <c:spPr>
        <a:ln>
          <a:noFill/>
        </a:ln>
      </c:spPr>
    </c:title>
    <c:autoTitleDeleted val="false"/>
    <c:plotArea>
      <c:layout>
        <c:manualLayout>
          <c:layoutTarget val="inner"/>
          <c:xMode val="edge"/>
          <c:yMode val="edge"/>
          <c:x val="0.0918518518518519"/>
          <c:y val="0.0354948805460751"/>
          <c:w val="0.648997821350763"/>
          <c:h val="0.913720136518771"/>
        </c:manualLayout>
      </c:layout>
      <c:barChart>
        <c:barDir val="col"/>
        <c:grouping val="clustered"/>
        <c:varyColors val="false"/>
        <c:ser>
          <c:idx val="0"/>
          <c:order val="0"/>
          <c:tx>
            <c:strRef>
              <c:f>Sheet1!$A$2</c:f>
              <c:strCache>
                <c:ptCount val="1"/>
                <c:pt idx="0">
                  <c:v>2025年</c:v>
                </c:pt>
              </c:strCache>
            </c:strRef>
          </c:tx>
          <c:spPr>
            <a:solidFill>
              <a:srgbClr val="9999FF"/>
            </a:solidFill>
            <a:ln w="6350">
              <a:solidFill>
                <a:srgbClr val="000000"/>
              </a:solidFill>
              <a:prstDash val="solid"/>
            </a:ln>
          </c:spPr>
          <c:invertIfNegative val="false"/>
          <c:dLbls>
            <c:spPr>
              <a:noFill/>
              <a:ln>
                <a:noFill/>
              </a:ln>
              <a:effectLst/>
            </c:spPr>
            <c:txPr>
              <a:bodyPr rot="0" spcFirstLastPara="0" vertOverflow="ellipsis" vert="horz" wrap="square" lIns="38100" tIns="19050" rIns="38100" bIns="19050"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ext>
            </c:extLst>
          </c:dLbls>
          <c:cat>
            <c:numRef>
              <c:f>Sheet1!$B$1</c:f>
              <c:numCache>
                <c:formatCode>General</c:formatCode>
                <c:ptCount val="1"/>
              </c:numCache>
            </c:numRef>
          </c:cat>
          <c:val>
            <c:numRef>
              <c:f>Sheet1!$B$2</c:f>
              <c:numCache>
                <c:formatCode>General</c:formatCode>
                <c:ptCount val="1"/>
                <c:pt idx="0">
                  <c:v>242.92</c:v>
                </c:pt>
              </c:numCache>
            </c:numRef>
          </c:val>
        </c:ser>
        <c:ser>
          <c:idx val="1"/>
          <c:order val="1"/>
          <c:tx>
            <c:strRef>
              <c:f>Sheet1!$A$3</c:f>
              <c:strCache>
                <c:ptCount val="1"/>
                <c:pt idx="0">
                  <c:v>2024年</c:v>
                </c:pt>
              </c:strCache>
            </c:strRef>
          </c:tx>
          <c:spPr>
            <a:solidFill>
              <a:srgbClr val="993366"/>
            </a:solidFill>
            <a:ln w="6350">
              <a:solidFill>
                <a:srgbClr val="000000"/>
              </a:solidFill>
              <a:prstDash val="solid"/>
            </a:ln>
          </c:spPr>
          <c:invertIfNegative val="false"/>
          <c:dLbls>
            <c:dLbl>
              <c:idx val="0"/>
              <c:layout>
                <c:manualLayout>
                  <c:x val="0.00217864923747277"/>
                  <c:y val="0.0136518771331058"/>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ext>
            </c:extLst>
          </c:dLbls>
          <c:cat>
            <c:numRef>
              <c:f>Sheet1!$B$1</c:f>
              <c:numCache>
                <c:formatCode>General</c:formatCode>
                <c:ptCount val="1"/>
              </c:numCache>
            </c:numRef>
          </c:cat>
          <c:val>
            <c:numRef>
              <c:f>Sheet1!$B$3</c:f>
              <c:numCache>
                <c:formatCode>General</c:formatCode>
                <c:ptCount val="1"/>
                <c:pt idx="0">
                  <c:v>196.8</c:v>
                </c:pt>
              </c:numCache>
            </c:numRef>
          </c:val>
        </c:ser>
        <c:dLbls>
          <c:showLegendKey val="false"/>
          <c:showVal val="true"/>
          <c:showCatName val="false"/>
          <c:showSerName val="false"/>
          <c:showPercent val="false"/>
          <c:showBubbleSize val="false"/>
        </c:dLbls>
        <c:gapWidth val="150"/>
        <c:axId val="98089216"/>
        <c:axId val="115815552"/>
      </c:barChart>
      <c:catAx>
        <c:axId val="98089216"/>
        <c:scaling>
          <c:orientation val="minMax"/>
        </c:scaling>
        <c:delete val="false"/>
        <c:axPos val="b"/>
        <c:numFmt formatCode="General" sourceLinked="true"/>
        <c:majorTickMark val="in"/>
        <c:minorTickMark val="none"/>
        <c:tickLblPos val="nextTo"/>
        <c:spPr>
          <a:ln w="6350" cap="flat" cmpd="sng" algn="ctr">
            <a:solidFill>
              <a:srgbClr val="000000"/>
            </a:solidFill>
            <a:prstDash val="solid"/>
            <a:round/>
          </a:ln>
        </c:spPr>
        <c:txPr>
          <a:bodyPr rot="0" spcFirstLastPara="0" vertOverflow="ellipsis" vert="horz" wrap="square" anchor="t" anchorCtr="false"/>
          <a:lstStyle/>
          <a:p>
            <a:pPr>
              <a:defRPr lang="zh-CN" sz="1050" b="0" i="0" u="none" strike="noStrike" kern="1200" baseline="0">
                <a:solidFill>
                  <a:srgbClr val="000000"/>
                </a:solidFill>
                <a:latin typeface="宋体" charset="-122"/>
                <a:ea typeface="宋体" charset="-122"/>
                <a:cs typeface="Lucida Sans" panose="020B0602030504020204"/>
              </a:defRPr>
            </a:pPr>
          </a:p>
        </c:txPr>
        <c:crossAx val="115815552"/>
        <c:crosses val="autoZero"/>
        <c:auto val="true"/>
        <c:lblAlgn val="ctr"/>
        <c:lblOffset val="100"/>
        <c:noMultiLvlLbl val="false"/>
      </c:catAx>
      <c:valAx>
        <c:axId val="115815552"/>
        <c:scaling>
          <c:orientation val="minMax"/>
          <c:max val="280"/>
        </c:scaling>
        <c:delete val="false"/>
        <c:axPos val="l"/>
        <c:majorGridlines>
          <c:spPr>
            <a:ln w="6350" cap="flat" cmpd="sng" algn="ctr">
              <a:solidFill>
                <a:srgbClr val="000000"/>
              </a:solidFill>
              <a:prstDash val="solid"/>
              <a:round/>
            </a:ln>
          </c:spPr>
        </c:majorGridlines>
        <c:numFmt formatCode="General" sourceLinked="true"/>
        <c:majorTickMark val="in"/>
        <c:minorTickMark val="none"/>
        <c:tickLblPos val="nextTo"/>
        <c:spPr>
          <a:ln w="6350" cap="flat" cmpd="sng" algn="ctr">
            <a:solidFill>
              <a:srgbClr val="000000"/>
            </a:solidFill>
            <a:prstDash val="solid"/>
            <a:round/>
          </a:ln>
        </c:spPr>
        <c:txPr>
          <a:bodyPr rot="0" spcFirstLastPara="0" vertOverflow="ellipsis" vert="horz" wrap="square" anchor="t" anchorCtr="false"/>
          <a:lstStyle/>
          <a:p>
            <a:pPr>
              <a:defRPr lang="zh-CN" sz="1050" b="0" i="0" u="none" strike="noStrike" kern="1200" baseline="0">
                <a:solidFill>
                  <a:srgbClr val="000000"/>
                </a:solidFill>
                <a:latin typeface="宋体" charset="-122"/>
                <a:ea typeface="宋体" charset="-122"/>
                <a:cs typeface="Lucida Sans" panose="020B0602030504020204"/>
              </a:defRPr>
            </a:pPr>
          </a:p>
        </c:txPr>
        <c:crossAx val="98089216"/>
        <c:crossesAt val="1"/>
        <c:crossBetween val="between"/>
        <c:majorUnit val="40"/>
        <c:minorUnit val="8"/>
      </c:valAx>
      <c:spPr>
        <a:solidFill>
          <a:srgbClr val="C0C0C0"/>
        </a:solidFill>
        <a:ln w="6350">
          <a:solidFill>
            <a:srgbClr val="808080"/>
          </a:solidFill>
          <a:prstDash val="solid"/>
        </a:ln>
      </c:spPr>
    </c:plotArea>
    <c:legend>
      <c:legendPos val="r"/>
      <c:legendEntry>
        <c:idx val="0"/>
        <c:txPr>
          <a:bodyPr rot="0" spcFirstLastPara="0" vertOverflow="ellipsis" vert="horz" wrap="square"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legendEntry>
      <c:legendEntry>
        <c:idx val="1"/>
        <c:txPr>
          <a:bodyPr rot="0" spcFirstLastPara="0" vertOverflow="ellipsis" vert="horz" wrap="square"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legendEntry>
      <c:layout>
        <c:manualLayout>
          <c:xMode val="edge"/>
          <c:yMode val="edge"/>
          <c:x val="0.791049922871403"/>
          <c:y val="0.402481502301147"/>
          <c:w val="0.137984083833948"/>
          <c:h val="0.1891892"/>
        </c:manualLayout>
      </c:layout>
      <c:overlay val="false"/>
      <c:spPr>
        <a:noFill/>
        <a:ln w="6350">
          <a:solidFill>
            <a:srgbClr val="000000"/>
          </a:solidFill>
          <a:prstDash val="solid"/>
        </a:ln>
      </c:spPr>
      <c:txPr>
        <a:bodyPr rot="0" spcFirstLastPara="0" vertOverflow="ellipsis" vert="horz" wrap="square"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legend>
    <c:plotVisOnly val="true"/>
    <c:dispBlanksAs val="gap"/>
    <c:showDLblsOverMax val="false"/>
  </c:chart>
  <c:spPr>
    <a:noFill/>
    <a:ln w="9525" cap="flat" cmpd="sng" algn="ctr">
      <a:noFill/>
      <a:prstDash val="solid"/>
      <a:round/>
    </a:ln>
  </c:spPr>
  <c:txPr>
    <a:bodyPr/>
    <a:lstStyle/>
    <a:p>
      <a:pPr>
        <a:defRPr lang="zh-CN" sz="1050" b="0" i="0" u="none" strike="noStrike" baseline="0">
          <a:solidFill>
            <a:srgbClr val="000000"/>
          </a:solidFill>
          <a:latin typeface="宋体" charset="-122"/>
          <a:ea typeface="宋体" charset="-122"/>
          <a:cs typeface="Lucida Sans" panose="020B0602030504020204"/>
        </a:defRPr>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defRPr lang="zh-CN" sz="1250" b="0" i="0" u="none" strike="noStrike" kern="1200" baseline="0">
                <a:solidFill>
                  <a:srgbClr val="000000"/>
                </a:solidFill>
                <a:latin typeface="宋体" charset="-122"/>
                <a:ea typeface="宋体" charset="-122"/>
                <a:cs typeface="Lucida Sans" panose="020B0602030504020204"/>
              </a:defRPr>
            </a:pPr>
            <a:r>
              <a:rPr lang="zh-CN" sz="1250" b="0" i="0" u="none" strike="noStrike" baseline="0">
                <a:solidFill>
                  <a:srgbClr val="000000"/>
                </a:solidFill>
                <a:latin typeface="宋体" charset="-122"/>
                <a:ea typeface="宋体" charset="-122"/>
                <a:cs typeface="Lucida Sans" panose="020B0602030504020204"/>
              </a:rPr>
              <a:t>单位：万元</a:t>
            </a:r>
            <a:endParaRPr lang="zh-CN" sz="1250" b="0" i="0" u="none" strike="noStrike" baseline="0">
              <a:solidFill>
                <a:srgbClr val="000000"/>
              </a:solidFill>
              <a:latin typeface="宋体" charset="-122"/>
              <a:ea typeface="宋体" charset="-122"/>
              <a:cs typeface="Lucida Sans" panose="020B0602030504020204"/>
            </a:endParaRPr>
          </a:p>
        </c:rich>
      </c:tx>
      <c:layout>
        <c:manualLayout>
          <c:xMode val="edge"/>
          <c:yMode val="edge"/>
          <c:x val="0.785364708108377"/>
          <c:y val="0.0725069520159959"/>
        </c:manualLayout>
      </c:layout>
      <c:overlay val="false"/>
      <c:spPr>
        <a:ln>
          <a:noFill/>
        </a:ln>
      </c:spPr>
    </c:title>
    <c:autoTitleDeleted val="false"/>
    <c:plotArea>
      <c:layout>
        <c:manualLayout>
          <c:layoutTarget val="inner"/>
          <c:xMode val="edge"/>
          <c:yMode val="edge"/>
          <c:x val="0.0651754212628782"/>
          <c:y val="0.0340834607821717"/>
          <c:w val="0.648997821350763"/>
          <c:h val="0.913720136518771"/>
        </c:manualLayout>
      </c:layout>
      <c:barChart>
        <c:barDir val="col"/>
        <c:grouping val="clustered"/>
        <c:varyColors val="false"/>
        <c:ser>
          <c:idx val="0"/>
          <c:order val="0"/>
          <c:tx>
            <c:strRef>
              <c:f>Sheet1!$A$2</c:f>
              <c:strCache>
                <c:ptCount val="1"/>
                <c:pt idx="0">
                  <c:v>2025年</c:v>
                </c:pt>
              </c:strCache>
            </c:strRef>
          </c:tx>
          <c:spPr>
            <a:solidFill>
              <a:srgbClr val="9999FF"/>
            </a:solidFill>
            <a:ln w="6350">
              <a:solidFill>
                <a:srgbClr val="000000"/>
              </a:solidFill>
              <a:prstDash val="solid"/>
            </a:ln>
          </c:spPr>
          <c:invertIfNegative val="false"/>
          <c:dLbls>
            <c:spPr>
              <a:noFill/>
              <a:ln>
                <a:noFill/>
              </a:ln>
              <a:effectLst/>
            </c:spPr>
            <c:txPr>
              <a:bodyPr rot="0" spcFirstLastPara="0" vertOverflow="ellipsis" vert="horz" wrap="square" lIns="38100" tIns="19050" rIns="38100" bIns="19050"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ext>
            </c:extLst>
          </c:dLbls>
          <c:cat>
            <c:numRef>
              <c:f>Sheet1!$B$1</c:f>
              <c:numCache>
                <c:formatCode>General</c:formatCode>
                <c:ptCount val="1"/>
              </c:numCache>
            </c:numRef>
          </c:cat>
          <c:val>
            <c:numRef>
              <c:f>Sheet1!$B$2</c:f>
              <c:numCache>
                <c:formatCode>General</c:formatCode>
                <c:ptCount val="1"/>
                <c:pt idx="0">
                  <c:v>242.92</c:v>
                </c:pt>
              </c:numCache>
            </c:numRef>
          </c:val>
        </c:ser>
        <c:ser>
          <c:idx val="1"/>
          <c:order val="1"/>
          <c:tx>
            <c:strRef>
              <c:f>Sheet1!$A$3</c:f>
              <c:strCache>
                <c:ptCount val="1"/>
                <c:pt idx="0">
                  <c:v>2024年</c:v>
                </c:pt>
              </c:strCache>
            </c:strRef>
          </c:tx>
          <c:spPr>
            <a:solidFill>
              <a:srgbClr val="993366"/>
            </a:solidFill>
            <a:ln w="6350">
              <a:solidFill>
                <a:srgbClr val="000000"/>
              </a:solidFill>
              <a:prstDash val="solid"/>
            </a:ln>
          </c:spPr>
          <c:invertIfNegative val="false"/>
          <c:dLbls>
            <c:dLbl>
              <c:idx val="0"/>
              <c:layout>
                <c:manualLayout>
                  <c:x val="0.00217864923747277"/>
                  <c:y val="0.0136518771331058"/>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ext>
            </c:extLst>
          </c:dLbls>
          <c:cat>
            <c:numRef>
              <c:f>Sheet1!$B$1</c:f>
              <c:numCache>
                <c:formatCode>General</c:formatCode>
                <c:ptCount val="1"/>
              </c:numCache>
            </c:numRef>
          </c:cat>
          <c:val>
            <c:numRef>
              <c:f>Sheet1!$B$3</c:f>
              <c:numCache>
                <c:formatCode>General</c:formatCode>
                <c:ptCount val="1"/>
                <c:pt idx="0">
                  <c:v>196.8</c:v>
                </c:pt>
              </c:numCache>
            </c:numRef>
          </c:val>
        </c:ser>
        <c:dLbls>
          <c:showLegendKey val="false"/>
          <c:showVal val="true"/>
          <c:showCatName val="false"/>
          <c:showSerName val="false"/>
          <c:showPercent val="false"/>
          <c:showBubbleSize val="false"/>
        </c:dLbls>
        <c:gapWidth val="150"/>
        <c:axId val="98089216"/>
        <c:axId val="115815552"/>
      </c:barChart>
      <c:catAx>
        <c:axId val="98089216"/>
        <c:scaling>
          <c:orientation val="minMax"/>
        </c:scaling>
        <c:delete val="false"/>
        <c:axPos val="b"/>
        <c:numFmt formatCode="General" sourceLinked="true"/>
        <c:majorTickMark val="in"/>
        <c:minorTickMark val="none"/>
        <c:tickLblPos val="nextTo"/>
        <c:spPr>
          <a:ln w="6350" cap="flat" cmpd="sng" algn="ctr">
            <a:solidFill>
              <a:srgbClr val="000000"/>
            </a:solidFill>
            <a:prstDash val="solid"/>
            <a:round/>
          </a:ln>
        </c:spPr>
        <c:txPr>
          <a:bodyPr rot="0" spcFirstLastPara="0" vertOverflow="ellipsis" vert="horz" wrap="square" anchor="t" anchorCtr="false"/>
          <a:lstStyle/>
          <a:p>
            <a:pPr>
              <a:defRPr lang="zh-CN" sz="1050" b="0" i="0" u="none" strike="noStrike" kern="1200" baseline="0">
                <a:solidFill>
                  <a:srgbClr val="000000"/>
                </a:solidFill>
                <a:latin typeface="宋体" charset="-122"/>
                <a:ea typeface="宋体" charset="-122"/>
                <a:cs typeface="Lucida Sans" panose="020B0602030504020204"/>
              </a:defRPr>
            </a:pPr>
          </a:p>
        </c:txPr>
        <c:crossAx val="115815552"/>
        <c:crosses val="autoZero"/>
        <c:auto val="true"/>
        <c:lblAlgn val="ctr"/>
        <c:lblOffset val="100"/>
        <c:noMultiLvlLbl val="false"/>
      </c:catAx>
      <c:valAx>
        <c:axId val="115815552"/>
        <c:scaling>
          <c:orientation val="minMax"/>
          <c:max val="280"/>
        </c:scaling>
        <c:delete val="false"/>
        <c:axPos val="l"/>
        <c:majorGridlines>
          <c:spPr>
            <a:ln w="6350" cap="flat" cmpd="sng" algn="ctr">
              <a:solidFill>
                <a:srgbClr val="000000"/>
              </a:solidFill>
              <a:prstDash val="solid"/>
              <a:round/>
            </a:ln>
          </c:spPr>
        </c:majorGridlines>
        <c:numFmt formatCode="General" sourceLinked="true"/>
        <c:majorTickMark val="in"/>
        <c:minorTickMark val="none"/>
        <c:tickLblPos val="nextTo"/>
        <c:spPr>
          <a:ln w="6350" cap="flat" cmpd="sng" algn="ctr">
            <a:solidFill>
              <a:srgbClr val="000000"/>
            </a:solidFill>
            <a:prstDash val="solid"/>
            <a:round/>
          </a:ln>
        </c:spPr>
        <c:txPr>
          <a:bodyPr rot="0" spcFirstLastPara="0" vertOverflow="ellipsis" vert="horz" wrap="square" anchor="t" anchorCtr="false"/>
          <a:lstStyle/>
          <a:p>
            <a:pPr>
              <a:defRPr lang="zh-CN" sz="1050" b="0" i="0" u="none" strike="noStrike" kern="1200" baseline="0">
                <a:solidFill>
                  <a:srgbClr val="000000"/>
                </a:solidFill>
                <a:latin typeface="宋体" charset="-122"/>
                <a:ea typeface="宋体" charset="-122"/>
                <a:cs typeface="Lucida Sans" panose="020B0602030504020204"/>
              </a:defRPr>
            </a:pPr>
          </a:p>
        </c:txPr>
        <c:crossAx val="98089216"/>
        <c:crossesAt val="1"/>
        <c:crossBetween val="between"/>
        <c:majorUnit val="40"/>
        <c:minorUnit val="8"/>
      </c:valAx>
      <c:spPr>
        <a:solidFill>
          <a:srgbClr val="C0C0C0"/>
        </a:solidFill>
        <a:ln w="6350">
          <a:solidFill>
            <a:srgbClr val="808080"/>
          </a:solidFill>
          <a:prstDash val="solid"/>
        </a:ln>
      </c:spPr>
    </c:plotArea>
    <c:legend>
      <c:legendPos val="r"/>
      <c:legendEntry>
        <c:idx val="0"/>
        <c:txPr>
          <a:bodyPr rot="0" spcFirstLastPara="0" vertOverflow="ellipsis" vert="horz" wrap="square"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legendEntry>
      <c:legendEntry>
        <c:idx val="1"/>
        <c:txPr>
          <a:bodyPr rot="0" spcFirstLastPara="0" vertOverflow="ellipsis" vert="horz" wrap="square"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legendEntry>
      <c:layout>
        <c:manualLayout>
          <c:xMode val="edge"/>
          <c:yMode val="edge"/>
          <c:x val="0.791049922871403"/>
          <c:y val="0.402481502301147"/>
          <c:w val="0.137984083833948"/>
          <c:h val="0.1891892"/>
        </c:manualLayout>
      </c:layout>
      <c:overlay val="false"/>
      <c:spPr>
        <a:noFill/>
        <a:ln w="6350">
          <a:solidFill>
            <a:srgbClr val="000000"/>
          </a:solidFill>
          <a:prstDash val="solid"/>
        </a:ln>
      </c:spPr>
      <c:txPr>
        <a:bodyPr rot="0" spcFirstLastPara="0" vertOverflow="ellipsis" vert="horz" wrap="square" anchor="ctr" anchorCtr="true"/>
        <a:lstStyle/>
        <a:p>
          <a:pPr>
            <a:defRPr lang="zh-CN" sz="1050" b="0" i="0" u="none" strike="noStrike" kern="1200" baseline="0">
              <a:solidFill>
                <a:srgbClr val="000000"/>
              </a:solidFill>
              <a:latin typeface="宋体" charset="-122"/>
              <a:ea typeface="宋体" charset="-122"/>
              <a:cs typeface="Lucida Sans" panose="020B0602030504020204"/>
            </a:defRPr>
          </a:pPr>
        </a:p>
      </c:txPr>
    </c:legend>
    <c:plotVisOnly val="true"/>
    <c:dispBlanksAs val="gap"/>
    <c:showDLblsOverMax val="false"/>
  </c:chart>
  <c:spPr>
    <a:noFill/>
    <a:ln w="9525" cap="flat" cmpd="sng" algn="ctr">
      <a:noFill/>
      <a:prstDash val="solid"/>
      <a:round/>
    </a:ln>
  </c:spPr>
  <c:txPr>
    <a:bodyPr/>
    <a:lstStyle/>
    <a:p>
      <a:pPr>
        <a:defRPr lang="zh-CN" sz="1050" b="0" i="0" u="none" strike="noStrike" baseline="0">
          <a:solidFill>
            <a:srgbClr val="000000"/>
          </a:solidFill>
          <a:latin typeface="宋体" charset="-122"/>
          <a:ea typeface="宋体" charset="-122"/>
          <a:cs typeface="Lucida Sans" panose="020B0602030504020204"/>
        </a:defRPr>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341887407700608"/>
          <c:y val="0.0937968343476717"/>
          <c:w val="0.29245027495441"/>
          <c:h val="0.711331018120552"/>
        </c:manualLayout>
      </c:layout>
      <c:pieChart>
        <c:varyColors val="true"/>
        <c:ser>
          <c:idx val="0"/>
          <c:order val="0"/>
          <c:explosion val="20"/>
          <c:dPt>
            <c:idx val="0"/>
            <c:bubble3D val="false"/>
            <c:spPr>
              <a:solidFill>
                <a:srgbClr val="4F81BD"/>
              </a:solidFill>
              <a:ln w="6350">
                <a:solidFill>
                  <a:srgbClr val="FFFFFF"/>
                </a:solidFill>
                <a:prstDash val="solid"/>
              </a:ln>
            </c:spPr>
          </c:dPt>
          <c:dPt>
            <c:idx val="1"/>
            <c:bubble3D val="false"/>
            <c:explosion val="21"/>
            <c:spPr>
              <a:solidFill>
                <a:srgbClr val="C0504D"/>
              </a:solidFill>
              <a:ln w="6350">
                <a:solidFill>
                  <a:srgbClr val="FFFFFF"/>
                </a:solidFill>
                <a:prstDash val="solid"/>
              </a:ln>
            </c:spPr>
          </c:dPt>
          <c:dPt>
            <c:idx val="2"/>
            <c:bubble3D val="false"/>
            <c:spPr>
              <a:solidFill>
                <a:srgbClr val="9BBB59"/>
              </a:solidFill>
              <a:ln w="6350">
                <a:solidFill>
                  <a:srgbClr val="FFFFFF"/>
                </a:solidFill>
                <a:prstDash val="solid"/>
              </a:ln>
            </c:spPr>
          </c:dPt>
          <c:dPt>
            <c:idx val="3"/>
            <c:bubble3D val="false"/>
            <c:spPr>
              <a:solidFill>
                <a:srgbClr val="8064A2"/>
              </a:solidFill>
              <a:ln w="6350">
                <a:solidFill>
                  <a:srgbClr val="FFFFFF"/>
                </a:solidFill>
                <a:prstDash val="solid"/>
              </a:ln>
            </c:spPr>
          </c:dPt>
          <c:dLbls>
            <c:dLbl>
              <c:idx val="0"/>
              <c:layout>
                <c:manualLayout>
                  <c:x val="0.0712319258234381"/>
                  <c:y val="-0.0486111111111111"/>
                </c:manualLayout>
              </c:layout>
              <c:tx>
                <c:rich>
                  <a:bodyPr rot="0" spcFirstLastPara="0" vertOverflow="ellipsis" vert="horz" wrap="square" lIns="38100" tIns="19050" rIns="38100" bIns="19050" anchor="ctr" anchorCtr="true"/>
                  <a:lstStyle/>
                  <a:p>
                    <a:pPr>
                      <a:defRPr lang="zh-CN" sz="1000" b="0" i="0" u="none" strike="noStrike" kern="1200" baseline="0">
                        <a:solidFill>
                          <a:srgbClr val="000000"/>
                        </a:solidFill>
                        <a:latin typeface="Times New Roman" panose="02020603050405020304"/>
                        <a:ea typeface="方正兰亭黑_GBK" panose="02000000000000000000" charset="-122"/>
                        <a:cs typeface="Lucida Sans" panose="020B0602030504020204"/>
                      </a:defRPr>
                    </a:pPr>
                    <a:r>
                      <a:rPr lang="en-US" altLang="zh-CN"/>
                      <a:t>14.8</a:t>
                    </a:r>
                    <a:r>
                      <a:rPr altLang="en-US"/>
                      <a:t>%</a:t>
                    </a:r>
                    <a:endParaRPr altLang="en-US"/>
                  </a:p>
                </c:rich>
              </c:tx>
              <c:numFmt formatCode="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rgbClr val="000000"/>
                      </a:solidFill>
                      <a:latin typeface="Times New Roman" panose="02020603050405020304"/>
                      <a:ea typeface="方正兰亭黑_GBK" panose="02000000000000000000" charset="-122"/>
                      <a:cs typeface="Lucida Sans" panose="020B0602030504020204"/>
                    </a:defRPr>
                  </a:pPr>
                </a:p>
              </c:txPr>
              <c:dLblPos val="inEnd"/>
              <c:showLegendKey val="false"/>
              <c:showVal val="false"/>
              <c:showCatName val="false"/>
              <c:showSerName val="false"/>
              <c:showPercent val="true"/>
              <c:showBubbleSize val="false"/>
              <c:extLst>
                <c:ext xmlns:c15="http://schemas.microsoft.com/office/drawing/2012/chart" uri="{CE6537A1-D6FC-4f65-9D91-7224C49458BB}">
                  <c15:layout/>
                </c:ext>
              </c:extLst>
            </c:dLbl>
            <c:dLbl>
              <c:idx val="1"/>
              <c:layout>
                <c:manualLayout>
                  <c:x val="0.00569857201413331"/>
                  <c:y val="-0.0625"/>
                </c:manualLayout>
              </c:layout>
              <c:tx>
                <c:rich>
                  <a:bodyPr rot="0" spcFirstLastPara="0" vertOverflow="ellipsis" vert="horz" wrap="square" lIns="38100" tIns="19050" rIns="38100" bIns="19050" anchor="ctr" anchorCtr="true"/>
                  <a:lstStyle/>
                  <a:p>
                    <a:pPr>
                      <a:defRPr lang="zh-CN" sz="1000" b="0" i="0" u="none" strike="noStrike" kern="1200" baseline="0">
                        <a:solidFill>
                          <a:srgbClr val="000000"/>
                        </a:solidFill>
                        <a:latin typeface="Times New Roman" panose="02020603050405020304"/>
                        <a:ea typeface="方正兰亭黑_GBK" panose="02000000000000000000" charset="-122"/>
                        <a:cs typeface="Lucida Sans" panose="020B0602030504020204"/>
                      </a:defRPr>
                    </a:pPr>
                    <a:r>
                      <a:rPr lang="en-US" altLang="en-US"/>
                      <a:t>73.3</a:t>
                    </a:r>
                    <a:r>
                      <a:rPr altLang="en-US"/>
                      <a:t>%</a:t>
                    </a:r>
                    <a:endParaRPr altLang="en-US"/>
                  </a:p>
                </c:rich>
              </c:tx>
              <c:numFmt formatCode="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rgbClr val="000000"/>
                      </a:solidFill>
                      <a:latin typeface="Times New Roman" panose="02020603050405020304"/>
                      <a:ea typeface="方正兰亭黑_GBK" panose="02000000000000000000" charset="-122"/>
                      <a:cs typeface="Lucida Sans" panose="020B0602030504020204"/>
                    </a:defRPr>
                  </a:pPr>
                </a:p>
              </c:txPr>
              <c:dLblPos val="inEnd"/>
              <c:showLegendKey val="false"/>
              <c:showVal val="false"/>
              <c:showCatName val="false"/>
              <c:showSerName val="false"/>
              <c:showPercent val="true"/>
              <c:showBubbleSize val="false"/>
              <c:extLst>
                <c:ext xmlns:c15="http://schemas.microsoft.com/office/drawing/2012/chart" uri="{CE6537A1-D6FC-4f65-9D91-7224C49458BB}">
                  <c15:layout/>
                </c:ext>
              </c:extLst>
            </c:dLbl>
            <c:dLbl>
              <c:idx val="2"/>
              <c:layout>
                <c:manualLayout>
                  <c:x val="-0.0484378621201335"/>
                  <c:y val="-0.0416666666666667"/>
                </c:manualLayout>
              </c:layout>
              <c:tx>
                <c:rich>
                  <a:bodyPr rot="0" spcFirstLastPara="0" vertOverflow="ellipsis" vert="horz" wrap="square" lIns="38100" tIns="19050" rIns="38100" bIns="19050" anchor="ctr" anchorCtr="true"/>
                  <a:lstStyle/>
                  <a:p>
                    <a:pPr>
                      <a:defRPr lang="zh-CN" sz="1000" b="0" i="0" u="none" strike="noStrike" kern="1200" baseline="0">
                        <a:solidFill>
                          <a:srgbClr val="000000"/>
                        </a:solidFill>
                        <a:latin typeface="Times New Roman" panose="02020603050405020304"/>
                        <a:ea typeface="方正兰亭黑_GBK" panose="02000000000000000000" charset="-122"/>
                        <a:cs typeface="Lucida Sans" panose="020B0602030504020204"/>
                      </a:defRPr>
                    </a:pPr>
                    <a:r>
                      <a:rPr lang="en-US" altLang="en-US"/>
                      <a:t>6.6</a:t>
                    </a:r>
                    <a:r>
                      <a:rPr altLang="en-US"/>
                      <a:t>%</a:t>
                    </a:r>
                    <a:endParaRPr altLang="en-US"/>
                  </a:p>
                </c:rich>
              </c:tx>
              <c:numFmt formatCode="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rgbClr val="000000"/>
                      </a:solidFill>
                      <a:latin typeface="Times New Roman" panose="02020603050405020304"/>
                      <a:ea typeface="方正兰亭黑_GBK" panose="02000000000000000000" charset="-122"/>
                      <a:cs typeface="Lucida Sans" panose="020B0602030504020204"/>
                    </a:defRPr>
                  </a:pPr>
                </a:p>
              </c:txPr>
              <c:dLblPos val="inEnd"/>
              <c:showLegendKey val="false"/>
              <c:showVal val="false"/>
              <c:showCatName val="false"/>
              <c:showSerName val="false"/>
              <c:showPercent val="true"/>
              <c:showBubbleSize val="false"/>
              <c:extLst>
                <c:ext xmlns:c15="http://schemas.microsoft.com/office/drawing/2012/chart" uri="{CE6537A1-D6FC-4f65-9D91-7224C49458BB}">
                  <c15:layout/>
                </c:ext>
              </c:extLst>
            </c:dLbl>
            <c:dLbl>
              <c:idx val="3"/>
              <c:layout>
                <c:manualLayout>
                  <c:x val="0"/>
                  <c:y val="-0.0763888888888889"/>
                </c:manualLayout>
              </c:layout>
              <c:tx>
                <c:rich>
                  <a:bodyPr rot="0" spcFirstLastPara="0" vertOverflow="ellipsis" vert="horz" wrap="square" lIns="38100" tIns="19050" rIns="38100" bIns="19050" anchor="ctr" anchorCtr="true"/>
                  <a:lstStyle/>
                  <a:p>
                    <a:pPr>
                      <a:defRPr lang="zh-CN" sz="1000" b="0" i="0" u="none" strike="noStrike" kern="1200" baseline="0">
                        <a:solidFill>
                          <a:srgbClr val="000000"/>
                        </a:solidFill>
                        <a:latin typeface="Times New Roman" panose="02020603050405020304"/>
                        <a:ea typeface="方正兰亭黑_GBK" panose="02000000000000000000" charset="-122"/>
                        <a:cs typeface="Lucida Sans" panose="020B0602030504020204"/>
                      </a:defRPr>
                    </a:pPr>
                    <a:r>
                      <a:rPr lang="en-US" altLang="zh-CN"/>
                      <a:t>5.3</a:t>
                    </a:r>
                    <a:r>
                      <a:rPr altLang="en-US"/>
                      <a:t>%</a:t>
                    </a:r>
                    <a:endParaRPr altLang="en-US"/>
                  </a:p>
                </c:rich>
              </c:tx>
              <c:numFmt formatCode="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rgbClr val="000000"/>
                      </a:solidFill>
                      <a:latin typeface="Times New Roman" panose="02020603050405020304"/>
                      <a:ea typeface="方正兰亭黑_GBK" panose="02000000000000000000" charset="-122"/>
                      <a:cs typeface="Lucida Sans" panose="020B0602030504020204"/>
                    </a:defRPr>
                  </a:pPr>
                </a:p>
              </c:txPr>
              <c:dLblPos val="inEnd"/>
              <c:showLegendKey val="false"/>
              <c:showVal val="false"/>
              <c:showCatName val="false"/>
              <c:showSerName val="false"/>
              <c:showPercent val="true"/>
              <c:showBubbleSize val="false"/>
              <c:extLst>
                <c:ext xmlns:c15="http://schemas.microsoft.com/office/drawing/2012/chart" uri="{CE6537A1-D6FC-4f65-9D91-7224C49458BB}">
                  <c15:layout/>
                </c:ext>
              </c:extLst>
            </c:dLbl>
            <c:numFmt formatCode="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rgbClr val="404040"/>
                    </a:solidFill>
                    <a:latin typeface="Times New Roman" panose="02020603050405020304"/>
                    <a:ea typeface="方正兰亭黑_GBK" panose="02000000000000000000" charset="-122"/>
                    <a:cs typeface="Lucida Sans" panose="020B0602030504020204"/>
                  </a:defRPr>
                </a:pPr>
              </a:p>
            </c:txPr>
            <c:dLblPos val="inEnd"/>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ext>
            </c:extLst>
          </c:dLbls>
          <c:cat>
            <c:strRef>
              <c:f>Sheet2!$A$2:$A$5</c:f>
              <c:strCache>
                <c:ptCount val="4"/>
                <c:pt idx="0">
                  <c:v>社会保障和就业支出</c:v>
                </c:pt>
                <c:pt idx="1">
                  <c:v>城乡社区支出</c:v>
                </c:pt>
                <c:pt idx="2">
                  <c:v>住房保障支出</c:v>
                </c:pt>
                <c:pt idx="3">
                  <c:v>卫生健康支出</c:v>
                </c:pt>
              </c:strCache>
            </c:strRef>
          </c:cat>
          <c:val>
            <c:numRef>
              <c:f>Sheet2!$B$2:$B$5</c:f>
              <c:numCache>
                <c:formatCode>#,##0.00</c:formatCode>
                <c:ptCount val="4"/>
                <c:pt idx="0">
                  <c:v>36</c:v>
                </c:pt>
                <c:pt idx="1">
                  <c:v>177.99</c:v>
                </c:pt>
                <c:pt idx="2">
                  <c:v>15.99</c:v>
                </c:pt>
                <c:pt idx="3" c:formatCode="General">
                  <c:v>12.94</c:v>
                </c:pt>
              </c:numCache>
            </c:numRef>
          </c:val>
        </c:ser>
        <c:dLbls>
          <c:showLegendKey val="false"/>
          <c:showVal val="false"/>
          <c:showCatName val="false"/>
          <c:showSerName val="false"/>
          <c:showPercent val="true"/>
          <c:showBubbleSize val="false"/>
          <c:showLeaderLines val="true"/>
        </c:dLbls>
        <c:firstSliceAng val="0"/>
      </c:pieChart>
      <c:spPr>
        <a:noFill/>
        <a:ln>
          <a:noFill/>
        </a:ln>
        <a:effectLst/>
      </c:spPr>
    </c:plotArea>
    <c:legend>
      <c:legendPos val="b"/>
      <c:layout>
        <c:manualLayout>
          <c:xMode val="edge"/>
          <c:yMode val="edge"/>
          <c:x val="0.106644048309042"/>
          <c:y val="0.855223555570838"/>
          <c:w val="0.801074371987164"/>
          <c:h val="0.0923746977042717"/>
        </c:manualLayout>
      </c:layout>
      <c:overlay val="false"/>
      <c:spPr>
        <a:noFill/>
        <a:ln>
          <a:noFill/>
        </a:ln>
      </c:spPr>
      <c:txPr>
        <a:bodyPr rot="0" spcFirstLastPara="0" vertOverflow="ellipsis" vert="horz" wrap="square" anchor="ctr" anchorCtr="true"/>
        <a:lstStyle/>
        <a:p>
          <a:pPr>
            <a:defRPr lang="zh-CN" sz="900" b="0" i="0" u="none" strike="noStrike" kern="1200" baseline="0">
              <a:solidFill>
                <a:srgbClr val="595959"/>
              </a:solidFill>
              <a:latin typeface="Times New Roman" panose="02020603050405020304"/>
              <a:ea typeface="方正兰亭黑_GBK" panose="02000000000000000000" charset="-122"/>
              <a:cs typeface="Lucida Sans" panose="020B0602030504020204"/>
            </a:defRPr>
          </a:pPr>
        </a:p>
      </c:txPr>
    </c:legend>
    <c:plotVisOnly val="true"/>
    <c:dispBlanksAs val="zero"/>
    <c:showDLblsOverMax val="false"/>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方正兰亭黑_GBK" panose="02000000000000000000" charset="-122"/>
          <a:cs typeface="Lucida Sans" panose="020B0602030504020204"/>
        </a:defRPr>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defRPr lang="zh-CN" sz="1100" b="0" i="0" u="none" strike="noStrike" kern="1200" baseline="0">
                <a:solidFill>
                  <a:srgbClr val="000000"/>
                </a:solidFill>
                <a:latin typeface="宋体" charset="-122"/>
                <a:ea typeface="宋体" charset="-122"/>
                <a:cs typeface="Lucida Sans" panose="020B0602030504020204"/>
              </a:defRPr>
            </a:pPr>
            <a:r>
              <a:rPr lang="zh-CN" sz="1100" b="0" i="0" u="none" strike="noStrike" baseline="0">
                <a:solidFill>
                  <a:srgbClr val="000000"/>
                </a:solidFill>
                <a:latin typeface="宋体" charset="-122"/>
                <a:ea typeface="宋体" charset="-122"/>
                <a:cs typeface="Lucida Sans" panose="020B0602030504020204"/>
              </a:rPr>
              <a:t>单位：万元</a:t>
            </a:r>
            <a:endParaRPr lang="zh-CN" sz="1100" b="0" i="0" u="none" strike="noStrike" baseline="0">
              <a:solidFill>
                <a:srgbClr val="000000"/>
              </a:solidFill>
              <a:latin typeface="宋体" charset="-122"/>
              <a:ea typeface="宋体" charset="-122"/>
              <a:cs typeface="Lucida Sans" panose="020B0602030504020204"/>
            </a:endParaRPr>
          </a:p>
        </c:rich>
      </c:tx>
      <c:layout>
        <c:manualLayout>
          <c:xMode val="edge"/>
          <c:yMode val="edge"/>
          <c:x val="0.702702702702703"/>
          <c:y val="0.107794361525705"/>
        </c:manualLayout>
      </c:layout>
      <c:overlay val="false"/>
      <c:spPr>
        <a:ln>
          <a:noFill/>
        </a:ln>
      </c:spPr>
    </c:title>
    <c:autoTitleDeleted val="false"/>
    <c:plotArea>
      <c:layout>
        <c:manualLayout>
          <c:layoutTarget val="inner"/>
          <c:xMode val="edge"/>
          <c:yMode val="edge"/>
          <c:x val="0.243371943371944"/>
          <c:y val="0.0315091210613599"/>
          <c:w val="0.336550836550836"/>
          <c:h val="0.867330016583747"/>
        </c:manualLayout>
      </c:layout>
      <c:pieChart>
        <c:varyColors val="true"/>
        <c:ser>
          <c:idx val="0"/>
          <c:order val="0"/>
          <c:spPr>
            <a:solidFill>
              <a:srgbClr val="9999FF"/>
            </a:solidFill>
            <a:ln w="6350">
              <a:solidFill>
                <a:srgbClr val="000000"/>
              </a:solidFill>
              <a:prstDash val="solid"/>
            </a:ln>
          </c:spPr>
          <c:explosion val="0"/>
          <c:dPt>
            <c:idx val="0"/>
            <c:bubble3D val="false"/>
            <c:spPr>
              <a:solidFill>
                <a:srgbClr val="9999FF"/>
              </a:solidFill>
              <a:ln w="6350">
                <a:solidFill>
                  <a:srgbClr val="000000"/>
                </a:solidFill>
                <a:prstDash val="solid"/>
              </a:ln>
            </c:spPr>
          </c:dPt>
          <c:dPt>
            <c:idx val="1"/>
            <c:bubble3D val="false"/>
            <c:spPr>
              <a:solidFill>
                <a:srgbClr val="993366"/>
              </a:solidFill>
              <a:ln w="6350">
                <a:solidFill>
                  <a:srgbClr val="000000"/>
                </a:solidFill>
                <a:prstDash val="solid"/>
              </a:ln>
            </c:spPr>
          </c:dPt>
          <c:dPt>
            <c:idx val="2"/>
            <c:bubble3D val="false"/>
            <c:spPr>
              <a:solidFill>
                <a:srgbClr val="9999FF"/>
              </a:solidFill>
              <a:ln w="6350">
                <a:solidFill>
                  <a:srgbClr val="000000"/>
                </a:solidFill>
                <a:prstDash val="solid"/>
              </a:ln>
            </c:spPr>
          </c:dPt>
          <c:dLbls>
            <c:dLbl>
              <c:idx val="1"/>
              <c:layout>
                <c:manualLayout>
                  <c:x val="-0.000719504656512531"/>
                  <c:y val="-0.190499993470965"/>
                </c:manualLayout>
              </c:layout>
              <c:tx>
                <c:rich>
                  <a:bodyPr rot="0" spcFirstLastPara="0" vertOverflow="ellipsis" vert="horz" wrap="square" lIns="38100" tIns="19050" rIns="38100" bIns="19050" anchor="ctr" anchorCtr="true"/>
                  <a:lstStyle/>
                  <a:p>
                    <a:pPr>
                      <a:defRPr lang="zh-CN" sz="900" b="0" i="0" u="none" strike="noStrike" kern="1200" baseline="0">
                        <a:solidFill>
                          <a:srgbClr val="000000"/>
                        </a:solidFill>
                        <a:latin typeface="宋体" charset="-122"/>
                        <a:ea typeface="宋体" charset="-122"/>
                        <a:cs typeface="Lucida Sans" panose="020B0602030504020204"/>
                      </a:defRPr>
                    </a:pPr>
                    <a:r>
                      <a:rPr altLang="en-US"/>
                      <a:t>0.</a:t>
                    </a:r>
                    <a:r>
                      <a:rPr lang="en-US" altLang="en-US"/>
                      <a:t>1</a:t>
                    </a:r>
                    <a:endParaRPr altLang="en-US"/>
                  </a:p>
                </c:rich>
              </c:tx>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rgbClr val="000000"/>
                    </a:solidFill>
                    <a:latin typeface="宋体" charset="-122"/>
                    <a:ea typeface="宋体" charset="-122"/>
                    <a:cs typeface="Lucida Sans" panose="020B0602030504020204"/>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'Sheet1 (6)'!$A$1:$C$1</c:f>
              <c:strCache>
                <c:ptCount val="3"/>
                <c:pt idx="0">
                  <c:v>公务用车购置及运行维护费</c:v>
                </c:pt>
                <c:pt idx="1">
                  <c:v>公务接待费</c:v>
                </c:pt>
                <c:pt idx="2">
                  <c:v>因公出国（境)</c:v>
                </c:pt>
              </c:strCache>
            </c:strRef>
          </c:cat>
          <c:val>
            <c:numRef>
              <c:f>'Sheet1 (6)'!$A$2:$C$2</c:f>
              <c:numCache>
                <c:formatCode>General</c:formatCode>
                <c:ptCount val="3"/>
                <c:pt idx="0">
                  <c:v>0</c:v>
                </c:pt>
                <c:pt idx="1">
                  <c:v>0.29</c:v>
                </c:pt>
                <c:pt idx="2">
                  <c:v>0</c:v>
                </c:pt>
              </c:numCache>
            </c:numRef>
          </c:val>
        </c:ser>
        <c:dLbls>
          <c:showLegendKey val="false"/>
          <c:showVal val="true"/>
          <c:showCatName val="false"/>
          <c:showSerName val="false"/>
          <c:showPercent val="false"/>
          <c:showBubbleSize val="false"/>
          <c:showLeaderLines val="true"/>
        </c:dLbls>
        <c:firstSliceAng val="0"/>
      </c:pieChart>
      <c:spPr>
        <a:solidFill>
          <a:srgbClr val="C0C0C0"/>
        </a:solidFill>
        <a:ln w="6350">
          <a:solidFill>
            <a:srgbClr val="808080"/>
          </a:solidFill>
          <a:prstDash val="solid"/>
        </a:ln>
      </c:spPr>
    </c:plotArea>
    <c:legend>
      <c:legendPos val="r"/>
      <c:layout>
        <c:manualLayout>
          <c:xMode val="edge"/>
          <c:yMode val="edge"/>
          <c:x val="0.64230038812716"/>
          <c:y val="0.313763466133897"/>
          <c:w val="0.288178920000002"/>
          <c:h val="0.525239169999997"/>
        </c:manualLayout>
      </c:layout>
      <c:overlay val="false"/>
      <c:spPr>
        <a:noFill/>
        <a:ln w="6350">
          <a:solidFill>
            <a:srgbClr val="000000"/>
          </a:solidFill>
          <a:prstDash val="solid"/>
        </a:ln>
      </c:spPr>
      <c:txPr>
        <a:bodyPr rot="0" spcFirstLastPara="0" vertOverflow="ellipsis" vert="horz" wrap="square" anchor="ctr" anchorCtr="true"/>
        <a:lstStyle/>
        <a:p>
          <a:pPr>
            <a:defRPr lang="zh-CN" sz="850" b="0" i="0" u="none" strike="noStrike" kern="1200" baseline="0">
              <a:solidFill>
                <a:srgbClr val="000000"/>
              </a:solidFill>
              <a:latin typeface="宋体" charset="-122"/>
              <a:ea typeface="宋体" charset="-122"/>
              <a:cs typeface="Lucida Sans" panose="020B0602030504020204"/>
            </a:defRPr>
          </a:pPr>
        </a:p>
      </c:txPr>
    </c:legend>
    <c:plotVisOnly val="true"/>
    <c:dispBlanksAs val="zero"/>
    <c:showDLblsOverMax val="false"/>
  </c:chart>
  <c:spPr>
    <a:noFill/>
    <a:ln w="9525" cap="flat" cmpd="sng" algn="ctr">
      <a:noFill/>
      <a:prstDash val="solid"/>
      <a:round/>
    </a:ln>
  </c:spPr>
  <c:txPr>
    <a:bodyPr/>
    <a:lstStyle/>
    <a:p>
      <a:pPr>
        <a:defRPr lang="zh-CN" sz="900" b="0" i="0" u="none" strike="noStrike" baseline="0">
          <a:solidFill>
            <a:srgbClr val="000000"/>
          </a:solidFill>
          <a:latin typeface="宋体" charset="-122"/>
          <a:ea typeface="宋体" charset="-122"/>
          <a:cs typeface="Lucida Sans" panose="020B0602030504020204"/>
        </a:defRPr>
      </a:pPr>
    </a:p>
  </c:txPr>
  <c:externalData r:id="rId1">
    <c:autoUpdate val="false"/>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1334</Words>
  <Characters>7606</Characters>
  <Lines>63</Lines>
  <Paragraphs>17</Paragraphs>
  <TotalTime>8</TotalTime>
  <ScaleCrop>false</ScaleCrop>
  <LinksUpToDate>false</LinksUpToDate>
  <CharactersWithSpaces>8923</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user</cp:lastModifiedBy>
  <cp:lastPrinted>2026-09-03T00:43:00Z</cp:lastPrinted>
  <dcterms:modified xsi:type="dcterms:W3CDTF">2026-09-15T10:40:42Z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3BF536824C220DA3E40E8B68BA118B1C_42</vt:lpwstr>
  </property>
</Properties>
</file>