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78441"/>
      <w:bookmarkStart w:id="2" w:name="_Toc15396475"/>
      <w:bookmarkStart w:id="3" w:name="_Toc15377193"/>
      <w:bookmarkStart w:id="4" w:name="_Toc15396597"/>
      <w:bookmarkStart w:id="5" w:name="_Toc15306267"/>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spacing w:val="-6"/>
          <w:kern w:val="2"/>
          <w:sz w:val="44"/>
          <w:szCs w:val="44"/>
          <w:highlight w:val="none"/>
          <w:lang w:val="en-US" w:eastAsia="zh-CN" w:bidi="ar-SA"/>
        </w:rPr>
        <w:t>攀枝花市建设工程消防和勘察设计技术中心</w:t>
      </w: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单位决算</w:t>
      </w:r>
    </w:p>
    <w:p>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w:t>
      </w:r>
      <w:r>
        <w:rPr>
          <w:rFonts w:hint="eastAsia" w:ascii="Times New Roman" w:eastAsia="方正小标宋简体" w:cs="Times New Roman"/>
          <w:color w:val="auto"/>
          <w:kern w:val="2"/>
          <w:sz w:val="44"/>
          <w:szCs w:val="44"/>
          <w:highlight w:val="none"/>
          <w:lang w:val="en-US" w:eastAsia="zh-CN" w:bidi="ar-SA"/>
        </w:rPr>
        <w:t>编制说明</w:t>
      </w:r>
    </w:p>
    <w:p>
      <w:pPr>
        <w:spacing w:line="600" w:lineRule="exact"/>
        <w:jc w:val="center"/>
        <w:outlineLvl w:val="0"/>
        <w:rPr>
          <w:rFonts w:ascii="Times New Roman" w:hAnsi="Times New Roman" w:eastAsia="方正小标宋简体"/>
          <w:color w:val="auto"/>
          <w:sz w:val="72"/>
          <w:szCs w:val="72"/>
          <w:highlight w:val="none"/>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8"/>
        <w:jc w:val="center"/>
        <w:rPr>
          <w:rFonts w:hint="eastAsia" w:ascii="Times New Roman" w:eastAsia="方正小标宋简体" w:cs="Times New Roman"/>
          <w:color w:val="auto"/>
          <w:kern w:val="2"/>
          <w:sz w:val="44"/>
          <w:szCs w:val="44"/>
          <w:highlight w:val="none"/>
          <w:lang w:val="en-US" w:eastAsia="zh-CN" w:bidi="ar-SA"/>
        </w:rPr>
      </w:pPr>
      <w:bookmarkStart w:id="6" w:name="_Toc15377194"/>
      <w:bookmarkStart w:id="7" w:name="_Toc15378442"/>
      <w:bookmarkStart w:id="8" w:name="_Toc15377426"/>
      <w:bookmarkStart w:id="9" w:name="_Toc15396476"/>
      <w:bookmarkStart w:id="10" w:name="_Toc15396598"/>
      <w:r>
        <w:rPr>
          <w:rFonts w:hint="eastAsia"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攀枝花市建设工程消防和勘察</w:t>
      </w: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设计技术中心单位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r>
        <w:rPr>
          <w:sz w:val="24"/>
        </w:rPr>
        <w:tab/>
      </w:r>
      <w:r>
        <w:rPr>
          <w:rFonts w:hint="eastAsia"/>
          <w:sz w:val="24"/>
          <w:lang w:val="en-US" w:eastAsia="zh-CN"/>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单位</w:t>
      </w:r>
      <w:r>
        <w:rPr>
          <w:rFonts w:hint="eastAsia" w:ascii="Times New Roman" w:hAnsi="Times New Roman" w:eastAsia="仿宋_GB2312" w:cs="仿宋_GB2312"/>
          <w:color w:val="auto"/>
          <w:sz w:val="32"/>
          <w:szCs w:val="32"/>
          <w:highlight w:val="none"/>
          <w:lang w:eastAsia="zh-CN"/>
        </w:rPr>
        <w:t>职责</w:t>
      </w:r>
      <w:r>
        <w:rPr>
          <w:sz w:val="24"/>
        </w:rPr>
        <w:tab/>
      </w:r>
      <w:r>
        <w:rPr>
          <w:rFonts w:hint="eastAsia"/>
          <w:sz w:val="24"/>
          <w:lang w:val="en-US" w:eastAsia="zh-CN"/>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sz w:val="24"/>
        </w:rPr>
        <w:tab/>
      </w:r>
      <w:r>
        <w:rPr>
          <w:rFonts w:hint="eastAsia"/>
          <w:sz w:val="24"/>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2025年度单位</w:t>
      </w:r>
      <w:r>
        <w:rPr>
          <w:rFonts w:hint="eastAsia" w:ascii="Times New Roman" w:hAnsi="Times New Roman" w:eastAsia="黑体" w:cs="黑体"/>
          <w:color w:val="auto"/>
          <w:sz w:val="32"/>
          <w:szCs w:val="32"/>
          <w:highlight w:val="none"/>
        </w:rPr>
        <w:t>决算情况说明</w:t>
      </w:r>
      <w:r>
        <w:rPr>
          <w:sz w:val="24"/>
        </w:rPr>
        <w:tab/>
      </w:r>
      <w:r>
        <w:rPr>
          <w:rFonts w:hint="eastAsia"/>
          <w:sz w:val="24"/>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sz w:val="24"/>
        </w:rPr>
        <w:tab/>
      </w:r>
      <w:r>
        <w:rPr>
          <w:rFonts w:hint="eastAsia"/>
          <w:sz w:val="24"/>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r>
        <w:rPr>
          <w:sz w:val="24"/>
        </w:rPr>
        <w:tab/>
      </w:r>
      <w:r>
        <w:rPr>
          <w:rFonts w:hint="eastAsia"/>
          <w:sz w:val="24"/>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sz w:val="24"/>
        </w:rPr>
        <w:tab/>
      </w:r>
      <w:r>
        <w:rPr>
          <w:rFonts w:hint="eastAsia"/>
          <w:sz w:val="24"/>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sz w:val="24"/>
        </w:rPr>
        <w:tab/>
      </w:r>
      <w:r>
        <w:rPr>
          <w:rFonts w:hint="eastAsia"/>
          <w:sz w:val="24"/>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r>
        <w:rPr>
          <w:sz w:val="24"/>
        </w:rPr>
        <w:tab/>
      </w:r>
      <w:r>
        <w:rPr>
          <w:rFonts w:hint="eastAsia"/>
          <w:sz w:val="24"/>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r>
        <w:rPr>
          <w:sz w:val="24"/>
        </w:rPr>
        <w:tab/>
      </w:r>
      <w:r>
        <w:rPr>
          <w:rFonts w:hint="eastAsia"/>
          <w:sz w:val="24"/>
          <w:lang w:val="en-US" w:eastAsia="zh-CN"/>
        </w:rPr>
        <w:t>6</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sz w:val="24"/>
        </w:rPr>
        <w:tab/>
      </w:r>
      <w:r>
        <w:rPr>
          <w:rFonts w:hint="eastAsia"/>
          <w:sz w:val="24"/>
          <w:lang w:val="en-US" w:eastAsia="zh-CN"/>
        </w:rPr>
        <w:t>6</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r>
        <w:rPr>
          <w:sz w:val="24"/>
        </w:rPr>
        <w:tab/>
      </w:r>
      <w:r>
        <w:rPr>
          <w:rFonts w:hint="eastAsia"/>
          <w:sz w:val="24"/>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sz w:val="24"/>
        </w:rPr>
        <w:tab/>
      </w:r>
      <w:r>
        <w:rPr>
          <w:rFonts w:hint="eastAsia"/>
          <w:sz w:val="24"/>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sz w:val="24"/>
        </w:rPr>
        <w:tab/>
      </w:r>
      <w:r>
        <w:rPr>
          <w:rFonts w:hint="eastAsia"/>
          <w:sz w:val="24"/>
          <w:lang w:val="en-US" w:eastAsia="zh-CN"/>
        </w:rPr>
        <w:t>8</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sz w:val="24"/>
        </w:rPr>
        <w:tab/>
      </w:r>
      <w:r>
        <w:rPr>
          <w:rFonts w:hint="eastAsia"/>
          <w:sz w:val="24"/>
          <w:lang w:val="en-US" w:eastAsia="zh-CN"/>
        </w:rPr>
        <w:t>10</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sz w:val="24"/>
        </w:rPr>
        <w:tab/>
      </w:r>
      <w:r>
        <w:rPr>
          <w:rFonts w:hint="eastAsia"/>
          <w:sz w:val="24"/>
          <w:lang w:val="en-US" w:eastAsia="zh-CN"/>
        </w:rPr>
        <w:t>12</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sz w:val="24"/>
        </w:rPr>
        <w:tab/>
      </w:r>
      <w:r>
        <w:rPr>
          <w:rFonts w:hint="eastAsia"/>
          <w:sz w:val="24"/>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r>
        <w:rPr>
          <w:sz w:val="24"/>
        </w:rPr>
        <w:tab/>
      </w:r>
      <w:r>
        <w:rPr>
          <w:rFonts w:hint="eastAsia"/>
          <w:sz w:val="24"/>
          <w:lang w:val="en-US" w:eastAsia="zh-CN"/>
        </w:rPr>
        <w:t>13</w:t>
      </w:r>
    </w:p>
    <w:p>
      <w:pPr>
        <w:pStyle w:val="5"/>
        <w:jc w:val="center"/>
        <w:rPr>
          <w:rFonts w:hint="eastAsia" w:ascii="Times New Roman" w:hAnsi="Times New Roman" w:eastAsia="方正小标宋简体" w:cs="方正小标宋简体"/>
          <w:b w:val="0"/>
          <w:color w:val="auto"/>
          <w:highlight w:val="none"/>
        </w:rPr>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pPr>
      <w:bookmarkStart w:id="12" w:name="_Toc15377196"/>
      <w:bookmarkStart w:id="13" w:name="_Toc15396599"/>
    </w:p>
    <w:p>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eastAsia="zh-CN"/>
        </w:rPr>
        <w:t>单位</w:t>
      </w:r>
      <w:r>
        <w:rPr>
          <w:rStyle w:val="28"/>
          <w:rFonts w:hint="eastAsia" w:ascii="Times New Roman" w:hAnsi="Times New Roman" w:eastAsia="方正小标宋简体" w:cs="方正小标宋简体"/>
          <w:b w:val="0"/>
          <w:bCs w:val="0"/>
          <w:color w:val="auto"/>
          <w:highlight w:val="none"/>
        </w:rPr>
        <w:t>概况</w:t>
      </w:r>
      <w:bookmarkEnd w:id="12"/>
      <w:bookmarkEnd w:id="13"/>
    </w:p>
    <w:p>
      <w:pPr>
        <w:widowControl/>
        <w:jc w:val="left"/>
        <w:rPr>
          <w:rFonts w:ascii="Times New Roman" w:hAnsi="Times New Roman" w:eastAsia="黑体"/>
          <w:color w:val="auto"/>
          <w:sz w:val="32"/>
          <w:szCs w:val="32"/>
          <w:highlight w:val="none"/>
        </w:rPr>
      </w:pPr>
    </w:p>
    <w:p>
      <w:pPr>
        <w:pStyle w:val="6"/>
        <w:rPr>
          <w:rFonts w:hint="eastAsia" w:ascii="Times New Roman" w:hAnsi="Times New Roman" w:eastAsia="黑体"/>
          <w:b w:val="0"/>
          <w:color w:val="auto"/>
          <w:highlight w:val="none"/>
          <w:lang w:eastAsia="zh-CN"/>
        </w:rPr>
      </w:pPr>
      <w:bookmarkStart w:id="14" w:name="_Toc15396600"/>
      <w:bookmarkStart w:id="15" w:name="_Toc15377197"/>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单位职责</w:t>
      </w:r>
    </w:p>
    <w:p>
      <w:pPr>
        <w:ind w:firstLine="800" w:firstLineChars="25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攀枝花市建设工程消防和勘察设计技术中心为全市建设工程勘察设计和建设工程消防设计审查等提供技术服务，为全市建筑抗震设防、勘察设计文件质量和房屋安全检查、鉴定和事故调查、认定等提供技术支持，负责全市建设工程技术专家库管理工作。</w:t>
      </w:r>
    </w:p>
    <w:p>
      <w:pPr>
        <w:pStyle w:val="6"/>
        <w:rPr>
          <w:rStyle w:val="29"/>
          <w:rFonts w:ascii="Times New Roman" w:hAnsi="Times New Roman"/>
          <w:b w:val="0"/>
          <w:bCs w:val="0"/>
          <w:color w:val="auto"/>
          <w:highlight w:val="none"/>
        </w:rPr>
      </w:pPr>
      <w:bookmarkStart w:id="16" w:name="_Toc15377200"/>
      <w:bookmarkStart w:id="17"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攀枝花市建设工程消防和勘察设计技术中心为攀枝花市住房和城乡建设局所属的公益一类科级事业单位。无下属二级预算单位。</w:t>
      </w:r>
    </w:p>
    <w:p>
      <w:pPr>
        <w:pStyle w:val="8"/>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jc w:val="center"/>
        <w:rPr>
          <w:rFonts w:hint="eastAsia" w:ascii="Times New Roman" w:hAnsi="Times New Roman" w:eastAsia="方正小标宋简体" w:cs="方正小标宋简体"/>
          <w:b w:val="0"/>
          <w:color w:val="auto"/>
          <w:highlight w:val="none"/>
        </w:rPr>
      </w:pPr>
      <w:bookmarkStart w:id="18" w:name="_Toc15377204"/>
      <w:bookmarkStart w:id="19"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2025年度单位</w:t>
      </w:r>
      <w:r>
        <w:rPr>
          <w:rFonts w:hint="eastAsia" w:ascii="Times New Roman" w:hAnsi="Times New Roman" w:eastAsia="方正小标宋简体" w:cs="方正小标宋简体"/>
          <w:b w:val="0"/>
          <w:color w:val="auto"/>
          <w:highlight w:val="none"/>
        </w:rPr>
        <w:t>决算情况说明</w:t>
      </w:r>
      <w:bookmarkEnd w:id="18"/>
      <w:bookmarkEnd w:id="19"/>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5"/>
      <w:bookmarkStart w:id="2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181.9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5.79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3.29</w:t>
      </w:r>
      <w:r>
        <w:rPr>
          <w:rFonts w:hint="eastAsia" w:ascii="Times New Roman" w:hAnsi="Times New Roman" w:eastAsia="仿宋_GB2312" w:cs="仿宋_GB2312"/>
          <w:color w:val="auto"/>
          <w:sz w:val="32"/>
          <w:szCs w:val="32"/>
          <w:highlight w:val="none"/>
        </w:rPr>
        <w:t>%。主要变动原因是单位人员增加，人员经费增加。</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1"/>
        <w:rPr>
          <w:rFonts w:hint="eastAsia" w:ascii="Times New Roman" w:hAnsi="Times New Roman" w:eastAsia="仿宋_GB2312" w:cs="仿宋_GB2312"/>
          <w:color w:val="auto"/>
          <w:sz w:val="32"/>
          <w:szCs w:val="32"/>
          <w:highlight w:val="none"/>
        </w:rPr>
      </w:pPr>
      <w:r>
        <w:drawing>
          <wp:inline distT="0" distB="0" distL="114300" distR="114300">
            <wp:extent cx="3819525" cy="2162175"/>
            <wp:effectExtent l="5080" t="4445" r="4445" b="5080"/>
            <wp:docPr id="1027" name="图表 2" descr="7b0a202020202263686172745265734964223a202232303437363334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r>
        <w:rPr>
          <w:rFonts w:hint="eastAsia" w:eastAsia="仿宋_GB2312" w:cs="仿宋_GB2312"/>
          <w:color w:val="auto"/>
          <w:sz w:val="32"/>
          <w:szCs w:val="32"/>
          <w:highlight w:val="none"/>
          <w:lang w:val="en-US" w:eastAsia="zh-CN"/>
        </w:rPr>
        <w:t xml:space="preserve"> 单位：万元</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77206"/>
      <w:bookmarkStart w:id="23" w:name="_Toc15396604"/>
      <w:r>
        <w:rPr>
          <w:rFonts w:hint="eastAsia" w:ascii="Times New Roman" w:hAnsi="Times New Roman" w:eastAsia="黑体"/>
          <w:color w:val="auto"/>
          <w:sz w:val="32"/>
          <w:szCs w:val="32"/>
          <w:highlight w:val="none"/>
          <w:lang w:eastAsia="zh-CN"/>
        </w:rPr>
        <w:t>二、收入决算情况说明</w:t>
      </w:r>
      <w:bookmarkEnd w:id="22"/>
      <w:bookmarkEnd w:id="2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181.9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181.9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1"/>
        <w:rPr>
          <w:rFonts w:hint="eastAsia" w:ascii="Times New Roman" w:hAnsi="Times New Roman" w:eastAsia="仿宋_GB2312" w:cs="仿宋_GB2312"/>
          <w:color w:val="auto"/>
          <w:sz w:val="32"/>
          <w:szCs w:val="32"/>
          <w:highlight w:val="none"/>
          <w:lang w:eastAsia="zh-CN"/>
        </w:rPr>
      </w:pPr>
      <w:r>
        <w:drawing>
          <wp:inline distT="0" distB="0" distL="114300" distR="114300">
            <wp:extent cx="3295650" cy="2133600"/>
            <wp:effectExtent l="4445" t="4445" r="14605" b="14605"/>
            <wp:docPr id="102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96605"/>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w:t>
      </w:r>
      <w:r>
        <w:rPr>
          <w:rFonts w:hint="eastAsia" w:eastAsia="仿宋_GB2312" w:cs="仿宋_GB2312"/>
          <w:color w:val="auto"/>
          <w:sz w:val="32"/>
          <w:szCs w:val="32"/>
          <w:highlight w:val="none"/>
          <w:lang w:eastAsia="zh-CN"/>
        </w:rPr>
        <w:t>出合计181.9万元，其中：基本支出177.98万元，占97.84%；项目支出3.92万元，占2.1</w:t>
      </w:r>
      <w:r>
        <w:rPr>
          <w:rFonts w:hint="eastAsia" w:eastAsia="仿宋_GB2312" w:cs="仿宋_GB2312"/>
          <w:color w:val="auto"/>
          <w:sz w:val="32"/>
          <w:szCs w:val="32"/>
          <w:highlight w:val="none"/>
          <w:lang w:val="en-US" w:eastAsia="zh-CN"/>
        </w:rPr>
        <w:t>6</w:t>
      </w:r>
      <w:r>
        <w:rPr>
          <w:rFonts w:hint="eastAsia"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1"/>
        <w:rPr>
          <w:rFonts w:hint="eastAsia" w:ascii="Times New Roman" w:hAnsi="Times New Roman" w:eastAsia="仿宋_GB2312" w:cs="仿宋_GB2312"/>
          <w:color w:val="auto"/>
          <w:sz w:val="32"/>
          <w:szCs w:val="32"/>
          <w:highlight w:val="none"/>
          <w:lang w:eastAsia="zh-CN"/>
        </w:rPr>
      </w:pPr>
      <w:r>
        <w:drawing>
          <wp:inline distT="0" distB="0" distL="114300" distR="114300">
            <wp:extent cx="3238500" cy="1857375"/>
            <wp:effectExtent l="4445" t="4445" r="14605" b="62230"/>
            <wp:docPr id="1029" name="图表 3" descr="7b0a202020202263686172745265734964223a2022323034373634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r>
        <w:rPr>
          <w:rFonts w:hint="eastAsia" w:eastAsia="仿宋_GB2312" w:cs="仿宋_GB2312"/>
          <w:color w:val="auto"/>
          <w:kern w:val="2"/>
          <w:sz w:val="32"/>
          <w:szCs w:val="32"/>
          <w:highlight w:val="none"/>
          <w:lang w:val="en-US" w:eastAsia="zh-CN" w:bidi="ar-SA"/>
        </w:rPr>
        <w:t xml:space="preserve"> 单位：万元</w:t>
      </w:r>
    </w:p>
    <w:p>
      <w:pPr>
        <w:spacing w:line="600" w:lineRule="exact"/>
        <w:ind w:firstLine="640" w:firstLineChars="200"/>
        <w:outlineLvl w:val="1"/>
        <w:rPr>
          <w:rStyle w:val="29"/>
          <w:rFonts w:ascii="Times New Roman" w:hAnsi="Times New Roman" w:eastAsia="黑体"/>
          <w:b w:val="0"/>
          <w:color w:val="auto"/>
          <w:highlight w:val="none"/>
        </w:rPr>
      </w:pPr>
      <w:bookmarkStart w:id="26" w:name="_Toc15396606"/>
      <w:bookmarkStart w:id="27"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6"/>
      <w:bookmarkEnd w:id="2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财政拨款收入、支出总计均为181.9万元。与上年度相比，财政拨款收入、支出总计各增加5.79万元，增长3.29%。主要变动原因是单位人员增加，人员经费增加。</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943350" cy="2667635"/>
            <wp:effectExtent l="4445" t="4445" r="14605" b="13970"/>
            <wp:docPr id="104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jc w:val="center"/>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r>
        <w:rPr>
          <w:rFonts w:hint="eastAsia" w:eastAsia="仿宋_GB2312" w:cs="仿宋_GB2312"/>
          <w:color w:val="auto"/>
          <w:kern w:val="2"/>
          <w:sz w:val="32"/>
          <w:szCs w:val="32"/>
          <w:highlight w:val="none"/>
          <w:lang w:val="en-US" w:eastAsia="zh-CN" w:bidi="ar-SA"/>
        </w:rPr>
        <w:t xml:space="preserve"> 单位：万元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ascii="Times New Roman" w:hAnsi="Times New Roman" w:eastAsia="黑体"/>
          <w:b w:val="0"/>
          <w:color w:val="auto"/>
          <w:highlight w:val="none"/>
        </w:rPr>
      </w:pPr>
      <w:bookmarkStart w:id="28" w:name="_Toc15396607"/>
      <w:bookmarkStart w:id="29"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一般公共预算财政拨款支出181.9万元，占本年支出合计的100%。与上年度相比，一般公共预算财政拨款支出增加5.79万元，增长3.29%。主要变动原因是单位人员增加，人员经费增加。</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740785" cy="2162810"/>
            <wp:effectExtent l="4445" t="4445" r="7620" b="23495"/>
            <wp:docPr id="4" name="图表 3" descr="7b0a202020202263686172745265734964223a202232303437363630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r>
        <w:rPr>
          <w:rFonts w:hint="eastAsia" w:eastAsia="仿宋_GB2312" w:cs="仿宋_GB2312"/>
          <w:color w:val="auto"/>
          <w:kern w:val="2"/>
          <w:sz w:val="32"/>
          <w:szCs w:val="32"/>
          <w:highlight w:val="none"/>
          <w:lang w:val="en-US" w:eastAsia="zh-CN" w:bidi="ar-SA"/>
        </w:rPr>
        <w:t xml:space="preserve"> 单位：万元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一般公共预算财政拨款支出181.9万元，主要用于以下方面：社会保障和就业支出41.38万元，占22.75%；卫生健康支出8.53万元，占4.69%；城乡社区支出120.56万元，占66.28%；住房保障支出11.43万元，占6.28%。</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143375" cy="2524125"/>
            <wp:effectExtent l="4445" t="4445" r="5080" b="62230"/>
            <wp:docPr id="1031" name="图表 6" descr="7b0a202020202263686172745265734964223a202232303437363633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r>
        <w:rPr>
          <w:rFonts w:hint="eastAsia" w:eastAsia="仿宋_GB2312" w:cs="仿宋_GB2312"/>
          <w:color w:val="auto"/>
          <w:sz w:val="32"/>
          <w:szCs w:val="32"/>
          <w:highlight w:val="none"/>
          <w:lang w:val="en-US" w:eastAsia="zh-CN"/>
        </w:rPr>
        <w:t xml:space="preserve"> 单位：万元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7213"/>
      <w:bookmarkStart w:id="34" w:name="_Toc15377444"/>
      <w:bookmarkStart w:id="3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一般公共预算支出决算数为181.9，完成预算100%。其中：</w:t>
      </w:r>
      <w:bookmarkEnd w:id="33"/>
      <w:bookmarkEnd w:id="34"/>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.社会保障和就业（类）人力资源和社会保障管理事务（款）其他人力资源和社会保障管理事务支出（项）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.社会保障和就业（类）行政事业单位养老支出（款）事业单位离退休（项）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9.68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7.57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0.96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城乡社区</w:t>
      </w:r>
      <w:r>
        <w:rPr>
          <w:rFonts w:hint="eastAsia" w:ascii="Times New Roman" w:hAnsi="Times New Roman" w:eastAsia="仿宋_GB2312" w:cs="仿宋_GB2312"/>
          <w:color w:val="auto"/>
          <w:kern w:val="2"/>
          <w:sz w:val="32"/>
          <w:szCs w:val="32"/>
          <w:highlight w:val="none"/>
          <w:lang w:val="en-US" w:eastAsia="zh-CN" w:bidi="ar-SA"/>
        </w:rPr>
        <w:t>（类）城乡社区管理事务（款）其他城乡社区管理事务支出（项）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120.56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住房保障</w:t>
      </w:r>
      <w:r>
        <w:rPr>
          <w:rFonts w:hint="eastAsia" w:ascii="Times New Roman" w:hAnsi="Times New Roman" w:eastAsia="仿宋_GB2312" w:cs="仿宋_GB2312"/>
          <w:color w:val="auto"/>
          <w:kern w:val="2"/>
          <w:sz w:val="32"/>
          <w:szCs w:val="32"/>
          <w:highlight w:val="none"/>
          <w:lang w:val="en-US" w:eastAsia="zh-CN" w:bidi="ar-SA"/>
        </w:rPr>
        <w:t>（类）住房</w:t>
      </w:r>
      <w:r>
        <w:rPr>
          <w:rFonts w:hint="eastAsia" w:eastAsia="仿宋_GB2312" w:cs="仿宋_GB2312"/>
          <w:color w:val="auto"/>
          <w:kern w:val="2"/>
          <w:sz w:val="32"/>
          <w:szCs w:val="32"/>
          <w:highlight w:val="none"/>
          <w:lang w:val="en-US" w:eastAsia="zh-CN" w:bidi="ar-SA"/>
        </w:rPr>
        <w:t>改革</w:t>
      </w:r>
      <w:r>
        <w:rPr>
          <w:rFonts w:hint="eastAsia" w:ascii="Times New Roman" w:hAnsi="Times New Roman" w:eastAsia="仿宋_GB2312" w:cs="仿宋_GB2312"/>
          <w:color w:val="auto"/>
          <w:kern w:val="2"/>
          <w:sz w:val="32"/>
          <w:szCs w:val="32"/>
          <w:highlight w:val="none"/>
          <w:lang w:val="en-US" w:eastAsia="zh-CN" w:bidi="ar-SA"/>
        </w:rPr>
        <w:t>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11.43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tabs>
          <w:tab w:val="right" w:pos="8306"/>
        </w:tabs>
        <w:spacing w:line="600" w:lineRule="exact"/>
        <w:ind w:firstLine="640"/>
        <w:outlineLvl w:val="1"/>
        <w:rPr>
          <w:rStyle w:val="29"/>
          <w:rFonts w:ascii="Times New Roman" w:hAnsi="Times New Roman"/>
          <w:color w:val="auto"/>
          <w:highlight w:val="none"/>
        </w:rPr>
      </w:pPr>
      <w:bookmarkStart w:id="36" w:name="_Toc15396608"/>
      <w:bookmarkStart w:id="3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6"/>
      <w:bookmarkEnd w:id="37"/>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一般公共预算财政拨款基本支出177.98万元，其中：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人员经费170.37万元，主要包括：基本工资、津贴补贴、绩效工资、机关事业单位基本养老保险缴费、职工基本医疗保险缴费、公务</w:t>
      </w:r>
      <w:r>
        <w:rPr>
          <w:rFonts w:hint="eastAsia" w:eastAsia="仿宋_GB2312" w:cs="仿宋_GB2312"/>
          <w:color w:val="auto"/>
          <w:kern w:val="2"/>
          <w:sz w:val="32"/>
          <w:szCs w:val="32"/>
          <w:highlight w:val="none"/>
          <w:lang w:val="en-US" w:eastAsia="zh-CN" w:bidi="ar-SA"/>
        </w:rPr>
        <w:t>员医疗补助缴</w:t>
      </w:r>
      <w:r>
        <w:rPr>
          <w:rFonts w:hint="eastAsia" w:ascii="Times New Roman" w:hAnsi="Times New Roman" w:eastAsia="仿宋_GB2312" w:cs="仿宋_GB2312"/>
          <w:color w:val="auto"/>
          <w:kern w:val="2"/>
          <w:sz w:val="32"/>
          <w:szCs w:val="32"/>
          <w:highlight w:val="none"/>
          <w:lang w:val="en-US" w:eastAsia="zh-CN" w:bidi="ar-SA"/>
        </w:rPr>
        <w:t>费、其他社会保障缴费、住房公积金、其他工资福利支出、生活补助、医疗费补助、奖励金、其他对个人和家庭的补助支出等。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公用经费7.61万元，主要包括：办公费、水费、电费、邮电费、物业管理费、差旅费、工会经费、其他交通费用、其他商品和服务支出等。</w:t>
      </w:r>
    </w:p>
    <w:p>
      <w:pPr>
        <w:spacing w:line="600" w:lineRule="exact"/>
        <w:ind w:firstLine="640"/>
        <w:outlineLvl w:val="1"/>
        <w:rPr>
          <w:rStyle w:val="29"/>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财政拨款“三公”经费支出决算为0万元，完成预算0%，较上年度持平。决算数与预算数持平的主要原因是无公务接待。</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财政拨款“三公”经费支出决算中，因公出国（境）费支出决算0万元，占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%；公务接待费支出决算0万元，占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0辆，其中：轿车0辆、越野车0辆、载客汽车0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公务用车运行维护费支出0万元。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国内公务接待支出0万元。国内公务接待0批次，0人次（不包括陪同人员），共计支出0万元。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外事接待支出0万元。外事接待0批次，0人次（不包括陪同人员），共计支出0万元。</w:t>
      </w:r>
    </w:p>
    <w:p>
      <w:pPr>
        <w:spacing w:line="600" w:lineRule="exact"/>
        <w:ind w:firstLine="640"/>
        <w:outlineLvl w:val="1"/>
        <w:rPr>
          <w:rStyle w:val="29"/>
          <w:rFonts w:ascii="Times New Roman" w:hAnsi="Times New Roman" w:eastAsia="黑体"/>
          <w:color w:val="auto"/>
          <w:highlight w:val="none"/>
        </w:rPr>
      </w:pPr>
      <w:bookmarkStart w:id="42" w:name="_Toc15396610"/>
      <w:bookmarkStart w:id="43" w:name="_Toc15377218"/>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政府性基金预算财政拨款支出0万元，占本年支出合计的0%。与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w:t>
      </w:r>
      <w:r>
        <w:rPr>
          <w:rFonts w:hint="eastAsia" w:eastAsia="仿宋_GB2312" w:cs="仿宋_GB2312"/>
          <w:color w:val="auto"/>
          <w:kern w:val="2"/>
          <w:sz w:val="32"/>
          <w:szCs w:val="32"/>
          <w:highlight w:val="none"/>
          <w:lang w:val="en-US" w:eastAsia="zh-CN" w:bidi="ar-SA"/>
        </w:rPr>
        <w:t>支出持平</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4" w:name="_Toc15377219"/>
      <w:bookmarkStart w:id="45"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4"/>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国有资本经营预算财政拨款支出0万元，占本年支出合计的0%。与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6" w:name="_Toc15396612"/>
      <w:bookmarkStart w:id="47"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6"/>
      <w:bookmarkEnd w:id="4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攀枝花市建设工程消防和勘察设计技术中心</w:t>
      </w:r>
      <w:r>
        <w:rPr>
          <w:rFonts w:hint="eastAsia" w:ascii="Times New Roman" w:hAnsi="Times New Roman" w:eastAsia="仿宋_GB2312" w:cs="仿宋_GB2312"/>
          <w:color w:val="auto"/>
          <w:kern w:val="2"/>
          <w:sz w:val="32"/>
          <w:szCs w:val="32"/>
          <w:highlight w:val="none"/>
          <w:lang w:val="en-US" w:eastAsia="zh-CN" w:bidi="ar-SA"/>
        </w:rPr>
        <w:t>机关运行经费支出0万元，与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攀枝花市建设工程消防和勘察设计技术中心</w:t>
      </w:r>
      <w:r>
        <w:rPr>
          <w:rFonts w:hint="eastAsia" w:ascii="Times New Roman" w:hAnsi="Times New Roman" w:eastAsia="仿宋_GB2312" w:cs="仿宋_GB2312"/>
          <w:color w:val="auto"/>
          <w:kern w:val="2"/>
          <w:sz w:val="32"/>
          <w:szCs w:val="32"/>
          <w:highlight w:val="none"/>
          <w:lang w:val="en-US" w:eastAsia="zh-CN" w:bidi="ar-SA"/>
        </w:rPr>
        <w:t>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攀枝花市建设工程消防和勘察设计技术中心</w:t>
      </w:r>
      <w:r>
        <w:rPr>
          <w:rFonts w:hint="eastAsia" w:ascii="Times New Roman" w:hAnsi="Times New Roman" w:eastAsia="仿宋_GB2312" w:cs="仿宋_GB2312"/>
          <w:color w:val="auto"/>
          <w:kern w:val="2"/>
          <w:sz w:val="32"/>
          <w:szCs w:val="32"/>
          <w:highlight w:val="none"/>
          <w:lang w:val="en-US" w:eastAsia="zh-CN" w:bidi="ar-SA"/>
        </w:rPr>
        <w:t>共有车辆0辆，其中：副部（省）级及以上领导用车0辆、主要负责人用车0辆、机要通信用车0辆、应急保障用车0辆、执法执勤用车0辆、特种专业技术用车0辆、离退休干部服务用车0辆、其他用车0辆。单价100万元（含）以上设备（不含车辆）0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根据预算绩效管理要求，攀枝花市建设工程消防和勘察设计技术中心在2025年度，组织对消防和勘察设计审查、房屋抗震、房屋安全检查技术经费</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3.92</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77225"/>
      <w:bookmarkStart w:id="52"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3.项目支出：指在基本支出之外为完成特定行政任务和事业发展目标所发生的支出。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4.社会保障和就业支出（类）人力资源和社会保障管理事务（款）其他人力资源和社会保障管理事务支出（项）：指其他用于人力资源和社会保障管理事务方面的支出。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5.社会保障和就业支出（类）行政事业单位养老支出（款）事业单位离退休（项）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指事业单位开支的离退休经费。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6.社会保障和就业支出（类）行政事业单位养老支出（款）机关事业单位基本养老保险缴费支出（项）：指机关事业单位实施养老保险制度由单位缴纳的基本养老保险费支出。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.卫生健康支出（类）行政事业单位医疗（款）事业单位医疗（项）：指财政部门安排的事业单位基本医疗保险缴费经费，未参加医疗保险的事业单位的公费医疗经费，按国家规定享受离休人员待遇的医疗经费。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.卫生健康支出（类）行政事业单位医疗（款）公务员医疗补助（项）：指财政部门安排的公务员医疗补助经费。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.城乡社区支出（类）城乡社区管理事务（款）其他城乡社区管理事务支出（项）：指其他用于城乡社区管理事务方面的支出。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.住房保障支出（类）住房改革支出（款）住房公积金（项）：指行政事业单位按人力资源和社会保障部、财政部规定的基本工资和津贴补贴以及规定比例为职工缴纳的住房公积金。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jc w:val="center"/>
        <w:rPr>
          <w:rStyle w:val="28"/>
          <w:rFonts w:hint="eastAsia" w:ascii="Times New Roman" w:hAnsi="Times New Roman" w:eastAsia="黑体"/>
          <w:b w:val="0"/>
          <w:color w:val="auto"/>
          <w:highlight w:val="none"/>
          <w:lang w:eastAsia="zh-CN"/>
        </w:rPr>
      </w:pPr>
      <w:bookmarkStart w:id="5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4"/>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2"/>
          <w:sz w:val="32"/>
          <w:szCs w:val="32"/>
          <w:u w:val="none"/>
          <w:lang w:val="en-US" w:eastAsia="zh-CN" w:bidi="ar"/>
        </w:rPr>
      </w:pPr>
      <w:bookmarkStart w:id="69" w:name="_GoBack"/>
      <w:bookmarkEnd w:id="69"/>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r>
        <w:rPr>
          <w:rFonts w:hint="eastAsia" w:ascii="Times New Roman" w:eastAsia="仿宋_GB2312" w:cs="Times New Roman"/>
          <w:kern w:val="2"/>
          <w:sz w:val="32"/>
          <w:szCs w:val="32"/>
          <w:u w:val="none"/>
          <w:lang w:val="en-US" w:eastAsia="zh-CN" w:bidi="ar"/>
        </w:rPr>
        <w:t>见附件3</w:t>
      </w: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8"/>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widowControl/>
        <w:jc w:val="center"/>
        <w:rPr>
          <w:rFonts w:hint="eastAsia" w:ascii="Times New Roman" w:hAnsi="Times New Roman" w:eastAsia="仿宋"/>
          <w:b w:val="0"/>
          <w:color w:val="auto"/>
          <w:highlight w:val="none"/>
        </w:rPr>
      </w:pPr>
      <w:bookmarkStart w:id="55"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 xml:space="preserve">五部分 </w:t>
      </w:r>
      <w:r>
        <w:rPr>
          <w:rStyle w:val="28"/>
          <w:rFonts w:hint="eastAsia" w:eastAsia="黑体"/>
          <w:b w:val="0"/>
          <w:color w:val="auto"/>
          <w:highlight w:val="none"/>
          <w:lang w:val="en-US" w:eastAsia="zh-CN"/>
        </w:rPr>
        <w:t xml:space="preserve"> </w:t>
      </w:r>
      <w:r>
        <w:rPr>
          <w:rStyle w:val="28"/>
          <w:rFonts w:hint="eastAsia" w:ascii="Times New Roman" w:hAnsi="Times New Roman" w:eastAsia="黑体"/>
          <w:b w:val="0"/>
          <w:color w:val="auto"/>
          <w:highlight w:val="none"/>
        </w:rPr>
        <w:t>附表</w:t>
      </w:r>
      <w:bookmarkEnd w:id="53"/>
      <w:bookmarkEnd w:id="55"/>
      <w:bookmarkStart w:id="56"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0"/>
      <w:r>
        <w:rPr>
          <w:rFonts w:hint="eastAsia" w:ascii="Times New Roman" w:hAnsi="Times New Roman" w:eastAsia="仿宋_GB2312" w:cs="仿宋_GB2312"/>
          <w:color w:val="auto"/>
          <w:sz w:val="32"/>
          <w:szCs w:val="32"/>
          <w:highlight w:val="none"/>
        </w:rPr>
        <w:t>二、收入决算表</w:t>
      </w:r>
      <w:bookmarkEnd w:id="5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1"/>
      <w:r>
        <w:rPr>
          <w:rFonts w:hint="eastAsia" w:ascii="Times New Roman" w:hAnsi="Times New Roman" w:eastAsia="仿宋_GB2312" w:cs="仿宋_GB2312"/>
          <w:color w:val="auto"/>
          <w:sz w:val="32"/>
          <w:szCs w:val="32"/>
          <w:highlight w:val="none"/>
        </w:rPr>
        <w:t>三、支出决算表</w:t>
      </w:r>
      <w:bookmarkEnd w:id="5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2"/>
      <w:r>
        <w:rPr>
          <w:rFonts w:hint="eastAsia" w:ascii="Times New Roman" w:hAnsi="Times New Roman" w:eastAsia="仿宋_GB2312" w:cs="仿宋_GB2312"/>
          <w:color w:val="auto"/>
          <w:sz w:val="32"/>
          <w:szCs w:val="32"/>
          <w:highlight w:val="none"/>
        </w:rPr>
        <w:t>四、财政拨款收入支出决算总表</w:t>
      </w:r>
      <w:bookmarkEnd w:id="5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3"/>
      <w:r>
        <w:rPr>
          <w:rFonts w:hint="eastAsia" w:ascii="Times New Roman" w:hAnsi="Times New Roman" w:eastAsia="仿宋_GB2312" w:cs="仿宋_GB2312"/>
          <w:color w:val="auto"/>
          <w:sz w:val="32"/>
          <w:szCs w:val="32"/>
          <w:highlight w:val="none"/>
        </w:rPr>
        <w:t>五、财政拨款支出决算明细表</w:t>
      </w:r>
      <w:bookmarkEnd w:id="60"/>
      <w:bookmarkStart w:id="61"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5"/>
      <w:r>
        <w:rPr>
          <w:rFonts w:hint="eastAsia" w:ascii="Times New Roman" w:hAnsi="Times New Roman" w:eastAsia="仿宋_GB2312" w:cs="仿宋_GB2312"/>
          <w:color w:val="auto"/>
          <w:sz w:val="32"/>
          <w:szCs w:val="32"/>
          <w:highlight w:val="none"/>
        </w:rPr>
        <w:t>七、一般公共预算财政拨款支出决算明细表</w:t>
      </w:r>
      <w:bookmarkEnd w:id="6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6"/>
      <w:r>
        <w:rPr>
          <w:rFonts w:hint="eastAsia" w:ascii="Times New Roman" w:hAnsi="Times New Roman" w:eastAsia="仿宋_GB2312" w:cs="仿宋_GB2312"/>
          <w:color w:val="auto"/>
          <w:sz w:val="32"/>
          <w:szCs w:val="32"/>
          <w:highlight w:val="none"/>
        </w:rPr>
        <w:t>八、一般公共预算财政拨款基本支出决算表</w:t>
      </w:r>
      <w:bookmarkEnd w:id="6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7"/>
      <w:r>
        <w:rPr>
          <w:rFonts w:hint="eastAsia" w:ascii="Times New Roman" w:hAnsi="Times New Roman" w:eastAsia="仿宋_GB2312" w:cs="仿宋_GB2312"/>
          <w:color w:val="auto"/>
          <w:sz w:val="32"/>
          <w:szCs w:val="32"/>
          <w:highlight w:val="none"/>
        </w:rPr>
        <w:t>九、一般公共预算财政拨款项目支出决算表</w:t>
      </w:r>
      <w:bookmarkEnd w:id="6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8"/>
      <w:r>
        <w:rPr>
          <w:rFonts w:hint="eastAsia" w:ascii="Times New Roman" w:hAnsi="Times New Roman" w:eastAsia="仿宋_GB2312" w:cs="仿宋_GB2312"/>
          <w:color w:val="auto"/>
          <w:sz w:val="32"/>
          <w:szCs w:val="32"/>
          <w:highlight w:val="none"/>
        </w:rPr>
        <w:t>十、</w:t>
      </w:r>
      <w:bookmarkEnd w:id="65"/>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9"/>
      <w:r>
        <w:rPr>
          <w:rFonts w:hint="eastAsia" w:ascii="Times New Roman" w:hAnsi="Times New Roman" w:eastAsia="仿宋_GB2312" w:cs="仿宋_GB2312"/>
          <w:color w:val="auto"/>
          <w:sz w:val="32"/>
          <w:szCs w:val="32"/>
          <w:highlight w:val="none"/>
        </w:rPr>
        <w:t>十一、</w:t>
      </w:r>
      <w:bookmarkEnd w:id="6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30"/>
      <w:r>
        <w:rPr>
          <w:rFonts w:hint="eastAsia" w:ascii="Times New Roman" w:hAnsi="Times New Roman" w:eastAsia="仿宋_GB2312" w:cs="仿宋_GB2312"/>
          <w:color w:val="auto"/>
          <w:sz w:val="32"/>
          <w:szCs w:val="32"/>
          <w:highlight w:val="none"/>
        </w:rPr>
        <w:t>十二、</w:t>
      </w:r>
      <w:bookmarkEnd w:id="67"/>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8" w:name="_Toc15396631"/>
      <w:r>
        <w:rPr>
          <w:rFonts w:hint="eastAsia" w:ascii="Times New Roman" w:hAnsi="Times New Roman" w:eastAsia="仿宋_GB2312" w:cs="仿宋_GB2312"/>
          <w:color w:val="auto"/>
          <w:sz w:val="32"/>
          <w:szCs w:val="32"/>
          <w:highlight w:val="none"/>
        </w:rPr>
        <w:t>十三、</w:t>
      </w:r>
      <w:bookmarkEnd w:id="68"/>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1"/>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099E"/>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D2227"/>
    <w:rsid w:val="014F03EF"/>
    <w:rsid w:val="015975B8"/>
    <w:rsid w:val="016516BC"/>
    <w:rsid w:val="01A23516"/>
    <w:rsid w:val="02317B1B"/>
    <w:rsid w:val="02FEBE30"/>
    <w:rsid w:val="034C3F9F"/>
    <w:rsid w:val="03B1172C"/>
    <w:rsid w:val="04C609C8"/>
    <w:rsid w:val="04CE3D21"/>
    <w:rsid w:val="061E35DE"/>
    <w:rsid w:val="066E0107"/>
    <w:rsid w:val="07954ADC"/>
    <w:rsid w:val="07996F6E"/>
    <w:rsid w:val="07DFD8BA"/>
    <w:rsid w:val="07E06245"/>
    <w:rsid w:val="08B82D1E"/>
    <w:rsid w:val="08DB07E4"/>
    <w:rsid w:val="09304FAA"/>
    <w:rsid w:val="09867E8F"/>
    <w:rsid w:val="09A33F5B"/>
    <w:rsid w:val="0A090C58"/>
    <w:rsid w:val="0A2032A3"/>
    <w:rsid w:val="0BBE4AEF"/>
    <w:rsid w:val="0C2048DC"/>
    <w:rsid w:val="0C45799C"/>
    <w:rsid w:val="0C6C4794"/>
    <w:rsid w:val="0C871385"/>
    <w:rsid w:val="0C8D626F"/>
    <w:rsid w:val="0CA8290A"/>
    <w:rsid w:val="0D35B1ED"/>
    <w:rsid w:val="0D4B4161"/>
    <w:rsid w:val="0DE07E2B"/>
    <w:rsid w:val="0E741495"/>
    <w:rsid w:val="0EAC0C2F"/>
    <w:rsid w:val="0ECA5559"/>
    <w:rsid w:val="0F256C33"/>
    <w:rsid w:val="0F98263C"/>
    <w:rsid w:val="0F9F6B86"/>
    <w:rsid w:val="0FD541B5"/>
    <w:rsid w:val="101860EC"/>
    <w:rsid w:val="109E0A4B"/>
    <w:rsid w:val="10BB5418"/>
    <w:rsid w:val="10C055FF"/>
    <w:rsid w:val="10E30B54"/>
    <w:rsid w:val="11672681"/>
    <w:rsid w:val="11673533"/>
    <w:rsid w:val="11772AA4"/>
    <w:rsid w:val="118107EC"/>
    <w:rsid w:val="11812847"/>
    <w:rsid w:val="121511E1"/>
    <w:rsid w:val="13957196"/>
    <w:rsid w:val="13D50BC4"/>
    <w:rsid w:val="14022904"/>
    <w:rsid w:val="140E5EE8"/>
    <w:rsid w:val="148263CE"/>
    <w:rsid w:val="14BC1DE8"/>
    <w:rsid w:val="150C0679"/>
    <w:rsid w:val="152F2A07"/>
    <w:rsid w:val="165E0673"/>
    <w:rsid w:val="16BB723D"/>
    <w:rsid w:val="16F13FCB"/>
    <w:rsid w:val="17463BEB"/>
    <w:rsid w:val="18090EA0"/>
    <w:rsid w:val="182E4DAB"/>
    <w:rsid w:val="186504BB"/>
    <w:rsid w:val="1938089F"/>
    <w:rsid w:val="19483C4A"/>
    <w:rsid w:val="197E58BE"/>
    <w:rsid w:val="19A445FC"/>
    <w:rsid w:val="19D159ED"/>
    <w:rsid w:val="1B666609"/>
    <w:rsid w:val="1B7D550C"/>
    <w:rsid w:val="1BE8440E"/>
    <w:rsid w:val="1D155CEE"/>
    <w:rsid w:val="1DE178F3"/>
    <w:rsid w:val="1E012619"/>
    <w:rsid w:val="1E740ACF"/>
    <w:rsid w:val="1EC75611"/>
    <w:rsid w:val="1ED363DF"/>
    <w:rsid w:val="1F4B7FF0"/>
    <w:rsid w:val="1FAE1473"/>
    <w:rsid w:val="1FF35744"/>
    <w:rsid w:val="1FF6BC77"/>
    <w:rsid w:val="206155F1"/>
    <w:rsid w:val="20875058"/>
    <w:rsid w:val="20895274"/>
    <w:rsid w:val="214E5B76"/>
    <w:rsid w:val="218E68BA"/>
    <w:rsid w:val="21962A9E"/>
    <w:rsid w:val="21AE7C77"/>
    <w:rsid w:val="21E87D78"/>
    <w:rsid w:val="22BC3C41"/>
    <w:rsid w:val="231132FF"/>
    <w:rsid w:val="23272B22"/>
    <w:rsid w:val="23860B96"/>
    <w:rsid w:val="239042DF"/>
    <w:rsid w:val="240371BF"/>
    <w:rsid w:val="24312F92"/>
    <w:rsid w:val="245C4A4D"/>
    <w:rsid w:val="24ED38F7"/>
    <w:rsid w:val="24F9734D"/>
    <w:rsid w:val="25382268"/>
    <w:rsid w:val="254E63C5"/>
    <w:rsid w:val="255B5A58"/>
    <w:rsid w:val="25BF3437"/>
    <w:rsid w:val="25F34F3E"/>
    <w:rsid w:val="260F557C"/>
    <w:rsid w:val="26C1503C"/>
    <w:rsid w:val="27EE6E08"/>
    <w:rsid w:val="281408E2"/>
    <w:rsid w:val="28BA1D43"/>
    <w:rsid w:val="29802F8C"/>
    <w:rsid w:val="29FA0F90"/>
    <w:rsid w:val="29FD04D3"/>
    <w:rsid w:val="2AAF1D7B"/>
    <w:rsid w:val="2AD74E2E"/>
    <w:rsid w:val="2B833C60"/>
    <w:rsid w:val="2BF11FC9"/>
    <w:rsid w:val="2BFF7BC6"/>
    <w:rsid w:val="2C8A61B5"/>
    <w:rsid w:val="2D2E01CF"/>
    <w:rsid w:val="2D346567"/>
    <w:rsid w:val="2DA84860"/>
    <w:rsid w:val="2DD218DC"/>
    <w:rsid w:val="2DF04E50"/>
    <w:rsid w:val="2E5A3DAC"/>
    <w:rsid w:val="2E9545B0"/>
    <w:rsid w:val="2F040D46"/>
    <w:rsid w:val="2F083808"/>
    <w:rsid w:val="2FAE5751"/>
    <w:rsid w:val="2FB1A395"/>
    <w:rsid w:val="2FD9A7D8"/>
    <w:rsid w:val="2FED0C50"/>
    <w:rsid w:val="3071362F"/>
    <w:rsid w:val="316E7B6E"/>
    <w:rsid w:val="318B6972"/>
    <w:rsid w:val="318D26EA"/>
    <w:rsid w:val="319F7F4E"/>
    <w:rsid w:val="321B2544"/>
    <w:rsid w:val="324F79A0"/>
    <w:rsid w:val="3281224F"/>
    <w:rsid w:val="32F7161B"/>
    <w:rsid w:val="3304709D"/>
    <w:rsid w:val="331032E3"/>
    <w:rsid w:val="331A2125"/>
    <w:rsid w:val="3350577D"/>
    <w:rsid w:val="337F42B4"/>
    <w:rsid w:val="34281836"/>
    <w:rsid w:val="3489363D"/>
    <w:rsid w:val="349D6851"/>
    <w:rsid w:val="351849C1"/>
    <w:rsid w:val="35BA6CAF"/>
    <w:rsid w:val="35D37231"/>
    <w:rsid w:val="361C5DEB"/>
    <w:rsid w:val="364D14C1"/>
    <w:rsid w:val="36736ACF"/>
    <w:rsid w:val="36AA5135"/>
    <w:rsid w:val="36BE0DA7"/>
    <w:rsid w:val="376B6AA6"/>
    <w:rsid w:val="376D39B2"/>
    <w:rsid w:val="379C71E3"/>
    <w:rsid w:val="37E16F03"/>
    <w:rsid w:val="37F53A3B"/>
    <w:rsid w:val="389B6C89"/>
    <w:rsid w:val="38D469F0"/>
    <w:rsid w:val="39627CCD"/>
    <w:rsid w:val="397BAF1F"/>
    <w:rsid w:val="3AB79AF3"/>
    <w:rsid w:val="3B0D21A6"/>
    <w:rsid w:val="3B7DC2A7"/>
    <w:rsid w:val="3B7EF35A"/>
    <w:rsid w:val="3B9FDB6C"/>
    <w:rsid w:val="3BDF3B42"/>
    <w:rsid w:val="3BF5BC2F"/>
    <w:rsid w:val="3C7626F9"/>
    <w:rsid w:val="3CEBA265"/>
    <w:rsid w:val="3D127F47"/>
    <w:rsid w:val="3D2F2C1F"/>
    <w:rsid w:val="3D98207C"/>
    <w:rsid w:val="3D995F73"/>
    <w:rsid w:val="3D9B0D99"/>
    <w:rsid w:val="3DEE7CF3"/>
    <w:rsid w:val="3DF02244"/>
    <w:rsid w:val="3E4660FB"/>
    <w:rsid w:val="3E78745D"/>
    <w:rsid w:val="3FE94F8F"/>
    <w:rsid w:val="3FF4CAE0"/>
    <w:rsid w:val="3FF7B227"/>
    <w:rsid w:val="40E54C45"/>
    <w:rsid w:val="41151DB4"/>
    <w:rsid w:val="41313393"/>
    <w:rsid w:val="416F3BBA"/>
    <w:rsid w:val="418331C2"/>
    <w:rsid w:val="42AB29D0"/>
    <w:rsid w:val="432B4AE5"/>
    <w:rsid w:val="433E55F2"/>
    <w:rsid w:val="43650DD1"/>
    <w:rsid w:val="43707776"/>
    <w:rsid w:val="43A407DF"/>
    <w:rsid w:val="441427F7"/>
    <w:rsid w:val="441B16CA"/>
    <w:rsid w:val="44515BEA"/>
    <w:rsid w:val="44B52F47"/>
    <w:rsid w:val="44E268DA"/>
    <w:rsid w:val="450B59A8"/>
    <w:rsid w:val="453F7E5B"/>
    <w:rsid w:val="45B24076"/>
    <w:rsid w:val="46113492"/>
    <w:rsid w:val="4695585D"/>
    <w:rsid w:val="46F604C7"/>
    <w:rsid w:val="472471F5"/>
    <w:rsid w:val="47590C4D"/>
    <w:rsid w:val="47857C94"/>
    <w:rsid w:val="48164D90"/>
    <w:rsid w:val="481C50E8"/>
    <w:rsid w:val="48676C36"/>
    <w:rsid w:val="486A6C7A"/>
    <w:rsid w:val="487B278C"/>
    <w:rsid w:val="48BA501E"/>
    <w:rsid w:val="48DF5182"/>
    <w:rsid w:val="49176D9B"/>
    <w:rsid w:val="494006BD"/>
    <w:rsid w:val="49757894"/>
    <w:rsid w:val="49B66A74"/>
    <w:rsid w:val="49E8450A"/>
    <w:rsid w:val="4A5A33C8"/>
    <w:rsid w:val="4A627F82"/>
    <w:rsid w:val="4A9B157C"/>
    <w:rsid w:val="4B0E749A"/>
    <w:rsid w:val="4B4F25DA"/>
    <w:rsid w:val="4B83098E"/>
    <w:rsid w:val="4B9366F7"/>
    <w:rsid w:val="4BDA0CFB"/>
    <w:rsid w:val="4BDF2C21"/>
    <w:rsid w:val="4BE068DB"/>
    <w:rsid w:val="4C0B2731"/>
    <w:rsid w:val="4D3C0CCC"/>
    <w:rsid w:val="4D577224"/>
    <w:rsid w:val="4DBF1CEB"/>
    <w:rsid w:val="4E41243B"/>
    <w:rsid w:val="4EAB630A"/>
    <w:rsid w:val="4ECE2238"/>
    <w:rsid w:val="4F833267"/>
    <w:rsid w:val="4FE9BD67"/>
    <w:rsid w:val="4FFB052F"/>
    <w:rsid w:val="50716EC6"/>
    <w:rsid w:val="50744C66"/>
    <w:rsid w:val="509E5922"/>
    <w:rsid w:val="53013E63"/>
    <w:rsid w:val="53083A92"/>
    <w:rsid w:val="53682217"/>
    <w:rsid w:val="537E6D0A"/>
    <w:rsid w:val="53AF27A2"/>
    <w:rsid w:val="53F74C96"/>
    <w:rsid w:val="53FF2B7C"/>
    <w:rsid w:val="54F63F7F"/>
    <w:rsid w:val="551332FF"/>
    <w:rsid w:val="552F7491"/>
    <w:rsid w:val="564C7BCE"/>
    <w:rsid w:val="564E1B99"/>
    <w:rsid w:val="56E47B74"/>
    <w:rsid w:val="56F049FE"/>
    <w:rsid w:val="57BD3DD4"/>
    <w:rsid w:val="57DD4F82"/>
    <w:rsid w:val="58D72319"/>
    <w:rsid w:val="59A04C8B"/>
    <w:rsid w:val="59DB6922"/>
    <w:rsid w:val="5AF92295"/>
    <w:rsid w:val="5BDD79E6"/>
    <w:rsid w:val="5BF561CA"/>
    <w:rsid w:val="5BFF5DFC"/>
    <w:rsid w:val="5C4C5474"/>
    <w:rsid w:val="5CD71FC4"/>
    <w:rsid w:val="5D1F11B5"/>
    <w:rsid w:val="5DAE1B18"/>
    <w:rsid w:val="5DE7D9E5"/>
    <w:rsid w:val="5E0D2339"/>
    <w:rsid w:val="5E337FF2"/>
    <w:rsid w:val="5E5E2B95"/>
    <w:rsid w:val="5ECEC941"/>
    <w:rsid w:val="5F493CB7"/>
    <w:rsid w:val="5FBF9FF3"/>
    <w:rsid w:val="5FCD4E2C"/>
    <w:rsid w:val="5FD15F49"/>
    <w:rsid w:val="5FEF394A"/>
    <w:rsid w:val="5FF67715"/>
    <w:rsid w:val="60575AEE"/>
    <w:rsid w:val="61534507"/>
    <w:rsid w:val="61BA4586"/>
    <w:rsid w:val="61F45CEA"/>
    <w:rsid w:val="624B3430"/>
    <w:rsid w:val="6292105F"/>
    <w:rsid w:val="62BF3928"/>
    <w:rsid w:val="62CF5E0F"/>
    <w:rsid w:val="64540CC2"/>
    <w:rsid w:val="646A4041"/>
    <w:rsid w:val="647F5392"/>
    <w:rsid w:val="652E32C1"/>
    <w:rsid w:val="65D04378"/>
    <w:rsid w:val="65F52031"/>
    <w:rsid w:val="664B1D71"/>
    <w:rsid w:val="666C78FD"/>
    <w:rsid w:val="67AA3209"/>
    <w:rsid w:val="67EB36EB"/>
    <w:rsid w:val="68030A35"/>
    <w:rsid w:val="681C4F0D"/>
    <w:rsid w:val="69046D0F"/>
    <w:rsid w:val="69381677"/>
    <w:rsid w:val="6985191D"/>
    <w:rsid w:val="698D0931"/>
    <w:rsid w:val="69981651"/>
    <w:rsid w:val="6A1567FD"/>
    <w:rsid w:val="6A993CED"/>
    <w:rsid w:val="6B053271"/>
    <w:rsid w:val="6B1B6095"/>
    <w:rsid w:val="6BAF2C82"/>
    <w:rsid w:val="6BCE6674"/>
    <w:rsid w:val="6C292A34"/>
    <w:rsid w:val="6C4A05C8"/>
    <w:rsid w:val="6C8742B8"/>
    <w:rsid w:val="6C8A170F"/>
    <w:rsid w:val="6C8A6155"/>
    <w:rsid w:val="6CB54609"/>
    <w:rsid w:val="6CE07597"/>
    <w:rsid w:val="6DBF5E93"/>
    <w:rsid w:val="6DF57072"/>
    <w:rsid w:val="6DFF077E"/>
    <w:rsid w:val="6E7E3605"/>
    <w:rsid w:val="6E7FDCC7"/>
    <w:rsid w:val="6EBF6172"/>
    <w:rsid w:val="6ED6A62E"/>
    <w:rsid w:val="6EE00B15"/>
    <w:rsid w:val="6F285225"/>
    <w:rsid w:val="6F544B20"/>
    <w:rsid w:val="6F6D047C"/>
    <w:rsid w:val="6F6FB3EB"/>
    <w:rsid w:val="6F784160"/>
    <w:rsid w:val="6F8731EA"/>
    <w:rsid w:val="6F8D5088"/>
    <w:rsid w:val="6FBB3C45"/>
    <w:rsid w:val="6FCE6052"/>
    <w:rsid w:val="6FD57C00"/>
    <w:rsid w:val="6FEFFFD8"/>
    <w:rsid w:val="6FF5CC65"/>
    <w:rsid w:val="6FFB47EC"/>
    <w:rsid w:val="6FFF034A"/>
    <w:rsid w:val="700C41FF"/>
    <w:rsid w:val="701234E1"/>
    <w:rsid w:val="70496804"/>
    <w:rsid w:val="712A28F1"/>
    <w:rsid w:val="715C0E4B"/>
    <w:rsid w:val="71866233"/>
    <w:rsid w:val="71B0505E"/>
    <w:rsid w:val="72233669"/>
    <w:rsid w:val="72734D90"/>
    <w:rsid w:val="7332FE48"/>
    <w:rsid w:val="734939BC"/>
    <w:rsid w:val="734B3290"/>
    <w:rsid w:val="73A905BB"/>
    <w:rsid w:val="73AB61DA"/>
    <w:rsid w:val="73AD73D5"/>
    <w:rsid w:val="73B6EB34"/>
    <w:rsid w:val="73FA497D"/>
    <w:rsid w:val="744731E5"/>
    <w:rsid w:val="74527205"/>
    <w:rsid w:val="745413E9"/>
    <w:rsid w:val="74982505"/>
    <w:rsid w:val="74AE3AD6"/>
    <w:rsid w:val="74BBD01D"/>
    <w:rsid w:val="74BF3F35"/>
    <w:rsid w:val="74ED5379"/>
    <w:rsid w:val="74FC2395"/>
    <w:rsid w:val="750202C6"/>
    <w:rsid w:val="75AA6994"/>
    <w:rsid w:val="75DEEEC2"/>
    <w:rsid w:val="76B178AE"/>
    <w:rsid w:val="76CF7E18"/>
    <w:rsid w:val="76E3355F"/>
    <w:rsid w:val="76FF5125"/>
    <w:rsid w:val="76FF686B"/>
    <w:rsid w:val="776F6FFA"/>
    <w:rsid w:val="778769C8"/>
    <w:rsid w:val="77DC22F5"/>
    <w:rsid w:val="78882890"/>
    <w:rsid w:val="79086DAD"/>
    <w:rsid w:val="79892D64"/>
    <w:rsid w:val="79974F09"/>
    <w:rsid w:val="79D7FD79"/>
    <w:rsid w:val="79EE5BA4"/>
    <w:rsid w:val="7A73269F"/>
    <w:rsid w:val="7A894339"/>
    <w:rsid w:val="7AFF7572"/>
    <w:rsid w:val="7B4909FD"/>
    <w:rsid w:val="7B6C7DFB"/>
    <w:rsid w:val="7B97648D"/>
    <w:rsid w:val="7BBFBED0"/>
    <w:rsid w:val="7BC3E394"/>
    <w:rsid w:val="7C0466D2"/>
    <w:rsid w:val="7C1F3737"/>
    <w:rsid w:val="7C3C2310"/>
    <w:rsid w:val="7C840FC1"/>
    <w:rsid w:val="7CBFC87B"/>
    <w:rsid w:val="7CF6426C"/>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AE71CF86"/>
    <w:rsid w:val="B7CF06AB"/>
    <w:rsid w:val="B7CFA926"/>
    <w:rsid w:val="B7F8786B"/>
    <w:rsid w:val="B7FFB69E"/>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E3B6F"/>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oleObject" Target="file:///C:\Users\Administrator\Desktop\&#35828;&#26126;&#32472;&#2227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ome/user/Desktop/24&#24180;&#20915;&#31639;&#20844;&#24320;/&#35828;&#26126;&#32472;&#2227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35828;&#26126;&#32472;&#22270;.xlsx" TargetMode="External"/></Relationships>
</file>

<file path=word/charts/_rels/chart4.xml.rels><?xml version="1.0" encoding="UTF-8" standalone="yes"?>
<Relationships xmlns="http://schemas.openxmlformats.org/package/2006/relationships"><Relationship Id="rId6" Type="http://schemas.microsoft.com/office/2011/relationships/chartColorStyle" Target="colors4.xml"/><Relationship Id="rId5" Type="http://schemas.microsoft.com/office/2011/relationships/chartStyle" Target="style4.xml"/><Relationship Id="rId4" Type="http://schemas.openxmlformats.org/officeDocument/2006/relationships/image" Target="../media/image3.png"/><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oleObject" Target="&#24037;&#20316;&#34920;%20&#22312;%20&#35828;&#26126;&#32472;&#22270;.xlsx"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2.xml"/><Relationship Id="rId1" Type="http://schemas.openxmlformats.org/officeDocument/2006/relationships/oleObject" Target="file:///C:\Users\Administrator\Desktop\&#35828;&#26126;&#32472;&#22270;.xlsx"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3.xml"/><Relationship Id="rId1" Type="http://schemas.openxmlformats.org/officeDocument/2006/relationships/oleObject" Target="file:///C:\Users\Administrator\Desktop\&#35828;&#26126;&#32472;&#2227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true" forceAA="false"/>
          <a:lstStyle/>
          <a:p>
            <a:pPr>
              <a:defRPr lang="zh-CN" sz="1440" b="0" i="0" u="none" strike="noStrike" kern="1200" spc="0" baseline="0">
                <a:solidFill>
                  <a:schemeClr val="tx1">
                    <a:lumMod val="65000"/>
                    <a:lumOff val="35000"/>
                  </a:schemeClr>
                </a:solidFill>
                <a:latin typeface="+mn-lt"/>
                <a:ea typeface="+mn-ea"/>
                <a:cs typeface="+mn-cs"/>
              </a:defRPr>
            </a:pPr>
            <a:r>
              <a:rPr sz="1440"/>
              <a:t>收入、支出决算总计变动情况图</a:t>
            </a:r>
            <a:endParaRPr sz="1440"/>
          </a:p>
        </c:rich>
      </c:tx>
      <c:layout/>
      <c:overlay val="false"/>
      <c:spPr>
        <a:noFill/>
        <a:ln>
          <a:noFill/>
        </a:ln>
        <a:effectLst/>
      </c:spPr>
    </c:title>
    <c:autoTitleDeleted val="false"/>
    <c:plotArea>
      <c:layout/>
      <c:barChart>
        <c:barDir val="col"/>
        <c:grouping val="clustered"/>
        <c:varyColors val="false"/>
        <c:ser>
          <c:idx val="0"/>
          <c:order val="0"/>
          <c:spPr>
            <a:gradFill flip="none" rotWithShape="true">
              <a:gsLst>
                <a:gs pos="25000">
                  <a:srgbClr val="FF566A"/>
                </a:gs>
                <a:gs pos="75000">
                  <a:srgbClr val="F6AABA"/>
                </a:gs>
                <a:gs pos="0">
                  <a:srgbClr val="EB3A48"/>
                </a:gs>
                <a:gs pos="100000">
                  <a:srgbClr val="FFCFD9"/>
                </a:gs>
              </a:gsLst>
              <a:lin ang="18900000" scaled="true"/>
            </a:gradFill>
            <a:ln>
              <a:noFill/>
            </a:ln>
            <a:effectLst>
              <a:outerShdw blurRad="50800" dir="18900000" sy="23000" kx="-1200000" algn="bl" rotWithShape="0">
                <a:prstClr val="black">
                  <a:alpha val="10000"/>
                </a:prstClr>
              </a:outerShdw>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forceAA="false">
                <a:spAutoFit/>
              </a:bodyPr>
              <a:lstStyle/>
              <a:p>
                <a:pPr>
                  <a:defRPr lang="zh-CN" sz="1200" b="1" i="0" u="none" strike="noStrike" kern="1200" baseline="0">
                    <a:solidFill>
                      <a:srgbClr val="FFFFFF"/>
                    </a:solidFill>
                    <a:latin typeface="+mn-lt"/>
                    <a:ea typeface="+mn-ea"/>
                    <a:cs typeface="+mn-cs"/>
                  </a:defRPr>
                </a:pPr>
              </a:p>
            </c:txPr>
            <c:dLblPos val="in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[说明绘图.xlsx]Sheet1!$A$1:$B$1</c:f>
              <c:strCache>
                <c:ptCount val="2"/>
                <c:pt idx="0">
                  <c:v>2024年</c:v>
                </c:pt>
                <c:pt idx="1">
                  <c:v>2025年</c:v>
                </c:pt>
              </c:strCache>
            </c:strRef>
          </c:cat>
          <c:val>
            <c:numRef>
              <c:f>[说明绘图.xlsx]Sheet1!$A$2:$B$2</c:f>
              <c:numCache>
                <c:formatCode>0.00_ </c:formatCode>
                <c:ptCount val="2"/>
                <c:pt idx="0">
                  <c:v>176.11</c:v>
                </c:pt>
                <c:pt idx="1">
                  <c:v>181.9</c:v>
                </c:pt>
              </c:numCache>
            </c:numRef>
          </c:val>
        </c:ser>
        <c:dLbls>
          <c:showLegendKey val="false"/>
          <c:showVal val="true"/>
          <c:showCatName val="false"/>
          <c:showSerName val="false"/>
          <c:showPercent val="false"/>
          <c:showBubbleSize val="false"/>
        </c:dLbls>
        <c:gapWidth val="219"/>
        <c:overlap val="-27"/>
        <c:axId val="48755072"/>
        <c:axId val="48756608"/>
      </c:barChart>
      <c:catAx>
        <c:axId val="48755072"/>
        <c:scaling>
          <c:orientation val="minMax"/>
        </c:scaling>
        <c:delete val="false"/>
        <c:axPos val="b"/>
        <c:numFmt formatCode="General" sourceLinked="true"/>
        <c:majorTickMark val="none"/>
        <c:minorTickMark val="none"/>
        <c:tickLblPos val="nextTo"/>
        <c:spPr>
          <a:noFill/>
          <a:ln w="6350" cap="flat" cmpd="sng" algn="ctr">
            <a:solidFill>
              <a:schemeClr val="tx1">
                <a:lumMod val="15000"/>
                <a:lumOff val="85000"/>
                <a:alpha val="30000"/>
              </a:schemeClr>
            </a:solidFill>
            <a:round/>
          </a:ln>
          <a:effectLst/>
        </c:spPr>
        <c:txPr>
          <a:bodyPr rot="-60000000" spcFirstLastPara="0" vertOverflow="ellipsis" vert="horz" wrap="square" anchor="ctr" anchorCtr="true" forceAA="false"/>
          <a:lstStyle/>
          <a:p>
            <a:pPr>
              <a:defRPr lang="zh-CN" sz="1000" b="0" i="0" u="none" strike="noStrike" kern="1200" baseline="0">
                <a:solidFill>
                  <a:schemeClr val="tx1">
                    <a:lumMod val="65000"/>
                    <a:lumOff val="35000"/>
                  </a:schemeClr>
                </a:solidFill>
                <a:latin typeface="+mn-lt"/>
                <a:ea typeface="+mn-ea"/>
                <a:cs typeface="+mn-cs"/>
              </a:defRPr>
            </a:pPr>
          </a:p>
        </c:txPr>
        <c:crossAx val="48756608"/>
        <c:crosses val="autoZero"/>
        <c:auto val="true"/>
        <c:lblAlgn val="ctr"/>
        <c:lblOffset val="100"/>
        <c:noMultiLvlLbl val="false"/>
      </c:catAx>
      <c:valAx>
        <c:axId val="48756608"/>
        <c:scaling>
          <c:orientation val="minMax"/>
        </c:scaling>
        <c:delete val="true"/>
        <c:axPos val="l"/>
        <c:numFmt formatCode="0.00_ " sourceLinked="true"/>
        <c:majorTickMark val="none"/>
        <c:minorTickMark val="none"/>
        <c:tickLblPos val="nextTo"/>
        <c:txPr>
          <a:bodyPr rot="-60000000" spcFirstLastPara="0" vertOverflow="ellipsis" vert="horz" wrap="square" anchor="ctr" anchorCtr="true" forceAA="false"/>
          <a:lstStyle/>
          <a:p>
            <a:pPr>
              <a:defRPr lang="zh-CN" sz="1200" b="0" i="0" u="none" strike="noStrike" kern="1200" baseline="0">
                <a:solidFill>
                  <a:schemeClr val="tx1">
                    <a:lumMod val="65000"/>
                    <a:lumOff val="35000"/>
                  </a:schemeClr>
                </a:solidFill>
                <a:latin typeface="+mn-lt"/>
                <a:ea typeface="+mn-ea"/>
                <a:cs typeface="+mn-cs"/>
              </a:defRPr>
            </a:pPr>
          </a:p>
        </c:txPr>
        <c:crossAx val="48755072"/>
        <c:crosses val="autoZero"/>
        <c:crossBetween val="between"/>
      </c:valAx>
      <c:spPr>
        <a:noFill/>
        <a:ln>
          <a:noFill/>
        </a:ln>
        <a:effectLst/>
      </c:spPr>
    </c:plotArea>
    <c:plotVisOnly val="true"/>
    <c:dispBlanksAs val="gap"/>
    <c:showDLblsOverMax val="false"/>
  </c:chart>
  <c:spPr>
    <a:solidFill>
      <a:schemeClr val="bg1"/>
    </a:solidFill>
    <a:ln w="6350" cap="flat" cmpd="sng" algn="ctr">
      <a:solidFill>
        <a:schemeClr val="tx1">
          <a:lumMod val="50000"/>
          <a:lumOff val="50000"/>
          <a:alpha val="25000"/>
        </a:schemeClr>
      </a:solidFill>
      <a:round/>
    </a:ln>
    <a:effectLst/>
  </c:spPr>
  <c:txPr>
    <a:bodyPr/>
    <a:lstStyle/>
    <a:p>
      <a:pPr>
        <a:defRPr lang="zh-CN" sz="1200"/>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spPr>
        <a:noFill/>
        <a:ln>
          <a:noFill/>
        </a:ln>
        <a:effectLst/>
      </c:spPr>
      <c:txPr>
        <a:bodyPr rot="0" spcFirstLastPara="0" vertOverflow="ellipsis" vert="horz" wrap="square" anchor="ctr" anchorCtr="true"/>
        <a:lstStyle/>
        <a:p>
          <a:pPr>
            <a:defRPr lang="zh-CN" sz="1440" b="1" i="0" u="none" strike="noStrike" kern="1200" baseline="0">
              <a:solidFill>
                <a:schemeClr val="tx1">
                  <a:lumMod val="75000"/>
                  <a:lumOff val="25000"/>
                </a:schemeClr>
              </a:solidFill>
              <a:latin typeface="+mn-lt"/>
              <a:ea typeface="+mn-ea"/>
              <a:cs typeface="+mn-cs"/>
            </a:defRPr>
          </a:pPr>
        </a:p>
      </c:txPr>
    </c:title>
    <c:autoTitleDeleted val="false"/>
    <c:plotArea>
      <c:layout/>
      <c:pieChart>
        <c:varyColors val="true"/>
        <c:ser>
          <c:idx val="0"/>
          <c:order val="0"/>
          <c:tx>
            <c:strRef>
              <c:f>[说明绘图.xlsx]Sheet1!$I$1</c:f>
              <c:strCache>
                <c:ptCount val="1"/>
                <c:pt idx="0">
                  <c:v>收入决算结构图</c:v>
                </c:pt>
              </c:strCache>
            </c:strRef>
          </c:tx>
          <c:spPr/>
          <c:explosion val="0"/>
          <c:dPt>
            <c:idx val="0"/>
            <c:bubble3D val="false"/>
            <c:spPr>
              <a:gradFill>
                <a:gsLst>
                  <a:gs pos="0">
                    <a:schemeClr val="accent1">
                      <a:lumMod val="40000"/>
                      <a:lumOff val="60000"/>
                    </a:schemeClr>
                  </a:gs>
                  <a:gs pos="90000">
                    <a:schemeClr val="accent1"/>
                  </a:gs>
                </a:gsLst>
                <a:lin ang="5400000" scaled="false"/>
              </a:gradFill>
              <a:ln>
                <a:gradFill>
                  <a:gsLst>
                    <a:gs pos="0">
                      <a:schemeClr val="accent1"/>
                    </a:gs>
                    <a:gs pos="100000">
                      <a:schemeClr val="accent1">
                        <a:lumMod val="75000"/>
                      </a:schemeClr>
                    </a:gs>
                  </a:gsLst>
                  <a:lin ang="5400000" scaled="true"/>
                </a:gradFill>
              </a:ln>
              <a:effectLst/>
            </c:spPr>
          </c:dPt>
          <c:dLbls>
            <c:spPr>
              <a:noFill/>
              <a:ln>
                <a:noFill/>
              </a:ln>
              <a:effectLst/>
            </c:spPr>
            <c:txPr>
              <a:bodyPr rot="0" spcFirstLastPara="0" vertOverflow="ellipsis" vert="horz" wrap="square" lIns="38100" tIns="19050" rIns="38100" bIns="19050" anchor="ctr" anchorCtr="true"/>
              <a:lstStyle/>
              <a:p>
                <a:pPr>
                  <a:defRPr lang="zh-CN" sz="1200" b="0" i="0" u="none" strike="noStrike" kern="1200" baseline="0">
                    <a:solidFill>
                      <a:schemeClr val="tx1">
                        <a:lumMod val="75000"/>
                        <a:lumOff val="25000"/>
                      </a:schemeClr>
                    </a:solidFill>
                    <a:latin typeface="+mn-lt"/>
                    <a:ea typeface="+mn-ea"/>
                    <a:cs typeface="+mn-cs"/>
                  </a:defRPr>
                </a:pPr>
              </a:p>
            </c:txPr>
            <c:dLblPos val="inEnd"/>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{"一般公共预算财政拨款收入"}</c:f>
              <c:strCache>
                <c:ptCount val="1"/>
                <c:pt idx="0">
                  <c:v>一般公共预算财政拨款收入</c:v>
                </c:pt>
              </c:strCache>
            </c:strRef>
          </c:cat>
          <c:val>
            <c:numRef>
              <c:f>[说明绘图.xlsx]Sheet1!$J$2</c:f>
              <c:numCache>
                <c:formatCode>General</c:formatCode>
                <c:ptCount val="1"/>
                <c:pt idx="0">
                  <c:v>161.8</c:v>
                </c:pt>
              </c:numCache>
            </c:numRef>
          </c:val>
        </c:ser>
        <c:dLbls>
          <c:showLegendKey val="false"/>
          <c:showVal val="false"/>
          <c:showCatName val="false"/>
          <c:showSerName val="false"/>
          <c:showPercent val="true"/>
          <c:showBubbleSize val="false"/>
          <c:showLeaderLines val="true"/>
        </c:dLbls>
        <c:firstSliceAng val="0"/>
      </c:pieChart>
      <c:spPr>
        <a:noFill/>
        <a:ln>
          <a:noFill/>
        </a:ln>
        <a:effectLst/>
      </c:spPr>
    </c:plotArea>
    <c:legend>
      <c:legendPos val="b"/>
      <c:legendEntry>
        <c:idx val="0"/>
        <c:txPr>
          <a:bodyPr rot="0" spcFirstLastPara="0"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p>
        </c:txPr>
      </c:legendEntry>
      <c:layout/>
      <c:overlay val="false"/>
      <c:spPr>
        <a:noFill/>
        <a:ln>
          <a:noFill/>
        </a:ln>
        <a:effectLst/>
      </c:spPr>
      <c:txPr>
        <a:bodyPr rot="0" spcFirstLastPara="0"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p>
      </c:txPr>
    </c:legend>
    <c:plotVisOnly val="true"/>
    <c:dispBlanksAs val="zero"/>
    <c:showDLblsOverMax val="false"/>
  </c:chart>
  <c:spPr>
    <a:solidFill>
      <a:schemeClr val="bg1"/>
    </a:solidFill>
    <a:ln w="9525" cap="flat" cmpd="sng" algn="ctr">
      <a:solidFill>
        <a:schemeClr val="tx1">
          <a:lumMod val="15000"/>
          <a:lumOff val="85000"/>
        </a:schemeClr>
      </a:solidFill>
      <a:round/>
    </a:ln>
    <a:effectLst/>
  </c:spPr>
  <c:txPr>
    <a:bodyPr/>
    <a:lstStyle/>
    <a:p>
      <a:pPr>
        <a:defRPr lang="zh-CN" sz="1200"/>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forceAA="false"/>
          <a:lstStyle/>
          <a:p>
            <a:pPr>
              <a:defRPr lang="zh-CN" sz="1400" b="0" i="0" u="none" strike="noStrike" kern="1200" cap="all"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200"/>
              <a:t>支出决算结构图</a:t>
            </a:r>
            <a:endParaRPr sz="1200"/>
          </a:p>
        </c:rich>
      </c:tx>
      <c:layout/>
      <c:overlay val="false"/>
      <c:spPr>
        <a:noFill/>
        <a:ln>
          <a:noFill/>
        </a:ln>
        <a:effectLst/>
      </c:spPr>
    </c:title>
    <c:autoTitleDeleted val="false"/>
    <c:plotArea>
      <c:layout/>
      <c:pieChart>
        <c:varyColors val="true"/>
        <c:ser>
          <c:idx val="0"/>
          <c:order val="0"/>
          <c:spPr>
            <a:ln>
              <a:solidFill>
                <a:schemeClr val="bg1"/>
              </a:solidFill>
            </a:ln>
            <a:effectLst>
              <a:glow rad="88900">
                <a:schemeClr val="accent1">
                  <a:satMod val="175000"/>
                  <a:alpha val="40000"/>
                </a:schemeClr>
              </a:glow>
            </a:effectLst>
          </c:spPr>
          <c:explosion val="0"/>
          <c:dPt>
            <c:idx val="0"/>
            <c:bubble3D val="false"/>
            <c:explosion val="10"/>
            <c:spPr>
              <a:solidFill>
                <a:schemeClr val="accent1"/>
              </a:solidFill>
              <a:ln>
                <a:solidFill>
                  <a:schemeClr val="bg1"/>
                </a:solidFill>
              </a:ln>
              <a:effectLst>
                <a:glow rad="88900">
                  <a:schemeClr val="accent1">
                    <a:satMod val="175000"/>
                    <a:alpha val="40000"/>
                  </a:schemeClr>
                </a:glow>
              </a:effectLst>
            </c:spPr>
          </c:dPt>
          <c:dPt>
            <c:idx val="1"/>
            <c:bubble3D val="false"/>
            <c:spPr>
              <a:solidFill>
                <a:schemeClr val="accent2"/>
              </a:solidFill>
              <a:ln>
                <a:solidFill>
                  <a:schemeClr val="bg1"/>
                </a:solidFill>
              </a:ln>
              <a:effectLst>
                <a:glow rad="88900">
                  <a:schemeClr val="accent2">
                    <a:alpha val="40000"/>
                  </a:schemeClr>
                </a:glow>
              </a:effectLst>
            </c:spPr>
          </c:dPt>
          <c:dPt>
            <c:idx val="2"/>
            <c:bubble3D val="false"/>
            <c:spPr>
              <a:solidFill>
                <a:schemeClr val="accent3"/>
              </a:solidFill>
              <a:ln>
                <a:solidFill>
                  <a:schemeClr val="bg1"/>
                </a:solidFill>
              </a:ln>
              <a:effectLst>
                <a:glow rad="88900">
                  <a:schemeClr val="accent3">
                    <a:alpha val="40000"/>
                  </a:schemeClr>
                </a:glow>
              </a:effectLst>
            </c:spPr>
          </c:dPt>
          <c:dLbls>
            <c:dLbl>
              <c:idx val="0"/>
              <c:layout/>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1" i="0" u="none" strike="noStrike" kern="1200" spc="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true"/>
              <c:showSerName val="false"/>
              <c:showPercent val="false"/>
              <c:showBubbleSize val="false"/>
              <c:separator>
</c:separator>
              <c:extLst>
                <c:ext xmlns:c15="http://schemas.microsoft.com/office/drawing/2012/chart" uri="{CE6537A1-D6FC-4f65-9D91-7224C49458BB}"/>
              </c:extLst>
            </c:dLbl>
            <c:dLbl>
              <c:idx val="1"/>
              <c:layout/>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1" i="0" u="none" strike="noStrike" kern="1200" spc="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true"/>
              <c:showSerName val="false"/>
              <c:showPercent val="false"/>
              <c:showBubbleSize val="false"/>
              <c:separator>
</c:separator>
              <c:extLst>
                <c:ext xmlns:c15="http://schemas.microsoft.com/office/drawing/2012/chart" uri="{CE6537A1-D6FC-4f65-9D91-7224C49458BB}"/>
              </c:extLst>
            </c:dLbl>
            <c:dLbl>
              <c:idx val="2"/>
              <c:layout/>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1" i="0" u="none" strike="noStrike" kern="1200" spc="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true"/>
              <c:showSerName val="false"/>
              <c:showPercent val="false"/>
              <c:showBubbleSize val="false"/>
              <c:separator>
</c:separator>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1" i="0" u="none" strike="noStrike" kern="1200" spc="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true"/>
            <c:showSerName val="false"/>
            <c:showPercent val="fals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[说明绘图.xlsx]Sheet1!$O$1:$O$3</c:f>
              <c:strCache>
                <c:ptCount val="3"/>
                <c:pt idx="0">
                  <c:v>支出决算结构图</c:v>
                </c:pt>
                <c:pt idx="1">
                  <c:v>基本支出</c:v>
                </c:pt>
                <c:pt idx="2">
                  <c:v>项目支出</c:v>
                </c:pt>
              </c:strCache>
            </c:strRef>
          </c:cat>
          <c:val>
            <c:numRef>
              <c:f>[说明绘图.xlsx]Sheet1!$P$1:$P$3</c:f>
              <c:numCache>
                <c:formatCode>General</c:formatCode>
                <c:ptCount val="3"/>
                <c:pt idx="1">
                  <c:v>177.98</c:v>
                </c:pt>
                <c:pt idx="2">
                  <c:v>3.92</c:v>
                </c:pt>
              </c:numCache>
            </c:numRef>
          </c:val>
        </c:ser>
        <c:ser>
          <c:idx val="1"/>
          <c:order val="1"/>
          <c:spPr>
            <a:ln>
              <a:solidFill>
                <a:schemeClr val="bg1"/>
              </a:solidFill>
            </a:ln>
            <a:effectLst>
              <a:glow rad="88900">
                <a:schemeClr val="accent1">
                  <a:satMod val="175000"/>
                  <a:alpha val="40000"/>
                </a:schemeClr>
              </a:glow>
            </a:effectLst>
          </c:spPr>
          <c:explosion val="0"/>
          <c:dPt>
            <c:idx val="0"/>
            <c:bubble3D val="false"/>
            <c:explosion val="10"/>
            <c:spPr>
              <a:solidFill>
                <a:schemeClr val="accent1"/>
              </a:solidFill>
              <a:ln>
                <a:solidFill>
                  <a:schemeClr val="bg1"/>
                </a:solidFill>
              </a:ln>
              <a:effectLst>
                <a:glow rad="88900">
                  <a:schemeClr val="accent1">
                    <a:satMod val="175000"/>
                    <a:alpha val="40000"/>
                  </a:schemeClr>
                </a:glow>
              </a:effectLst>
            </c:spPr>
          </c:dPt>
          <c:dPt>
            <c:idx val="1"/>
            <c:bubble3D val="false"/>
            <c:spPr>
              <a:solidFill>
                <a:schemeClr val="accent2"/>
              </a:solidFill>
              <a:ln>
                <a:solidFill>
                  <a:schemeClr val="bg1"/>
                </a:solidFill>
              </a:ln>
              <a:effectLst>
                <a:glow rad="88900">
                  <a:schemeClr val="accent2">
                    <a:alpha val="40000"/>
                  </a:schemeClr>
                </a:glow>
              </a:effectLst>
            </c:spPr>
          </c:dPt>
          <c:dPt>
            <c:idx val="2"/>
            <c:bubble3D val="false"/>
            <c:spPr>
              <a:solidFill>
                <a:schemeClr val="accent3"/>
              </a:solidFill>
              <a:ln>
                <a:solidFill>
                  <a:schemeClr val="bg1"/>
                </a:solidFill>
              </a:ln>
              <a:effectLst>
                <a:glow rad="88900">
                  <a:schemeClr val="accent3">
                    <a:alpha val="40000"/>
                  </a:schemeClr>
                </a:glow>
              </a:effectLst>
            </c:spPr>
          </c:dPt>
          <c:dLbls>
            <c:dLbl>
              <c:idx val="0"/>
              <c:layout/>
              <c:numFmt formatCode="General" sourceLinked="true"/>
              <c:spPr>
                <a:noFill/>
                <a:ln>
                  <a:noFill/>
                </a:ln>
                <a:effectLst/>
              </c:spPr>
              <c:txPr>
                <a:bodyPr rot="0" spcFirstLastPara="0" vertOverflow="ellipsis" vert="horz" wrap="square" lIns="38100" tIns="19050" rIns="38100" bIns="19050" anchor="ctr" anchorCtr="true"/>
                <a:lstStyle/>
                <a:p>
                  <a:pPr>
                    <a:defRPr lang="zh-CN" sz="10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true"/>
              <c:showSerName val="false"/>
              <c:showPercent val="false"/>
              <c:showBubbleSize val="false"/>
              <c:separator>
</c:separator>
              <c:extLst>
                <c:ext xmlns:c15="http://schemas.microsoft.com/office/drawing/2012/chart" uri="{CE6537A1-D6FC-4f65-9D91-7224C49458BB}"/>
              </c:extLst>
            </c:dLbl>
            <c:dLbl>
              <c:idx val="1"/>
              <c:layout/>
              <c:numFmt formatCode="General" sourceLinked="true"/>
              <c:spPr>
                <a:noFill/>
                <a:ln>
                  <a:noFill/>
                </a:ln>
                <a:effectLst/>
              </c:spPr>
              <c:txPr>
                <a:bodyPr rot="0" spcFirstLastPara="0" vertOverflow="ellipsis" vert="horz" wrap="square" lIns="38100" tIns="19050" rIns="38100" bIns="19050" anchor="ctr" anchorCtr="true"/>
                <a:lstStyle/>
                <a:p>
                  <a:pPr>
                    <a:defRPr lang="zh-CN" sz="10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true"/>
              <c:showSerName val="false"/>
              <c:showPercent val="false"/>
              <c:showBubbleSize val="false"/>
              <c:separator>
</c:separator>
              <c:extLst>
                <c:ext xmlns:c15="http://schemas.microsoft.com/office/drawing/2012/chart" uri="{CE6537A1-D6FC-4f65-9D91-7224C49458BB}"/>
              </c:extLst>
            </c:dLbl>
            <c:dLbl>
              <c:idx val="2"/>
              <c:layout/>
              <c:numFmt formatCode="General" sourceLinked="true"/>
              <c:spPr>
                <a:noFill/>
                <a:ln>
                  <a:noFill/>
                </a:ln>
                <a:effectLst/>
              </c:spPr>
              <c:txPr>
                <a:bodyPr rot="0" spcFirstLastPara="0" vertOverflow="ellipsis" vert="horz" wrap="square" lIns="38100" tIns="19050" rIns="38100" bIns="19050" anchor="ctr" anchorCtr="true"/>
                <a:lstStyle/>
                <a:p>
                  <a:pPr>
                    <a:defRPr lang="zh-CN" sz="10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true"/>
              <c:showSerName val="false"/>
              <c:showPercent val="false"/>
              <c:showBubbleSize val="false"/>
              <c:separator>
</c:separator>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10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true"/>
            <c:showSerName val="false"/>
            <c:showPercent val="fals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[说明绘图.xlsx]Sheet1!$O$1:$O$3</c:f>
              <c:strCache>
                <c:ptCount val="3"/>
                <c:pt idx="0">
                  <c:v>支出决算结构图</c:v>
                </c:pt>
                <c:pt idx="1">
                  <c:v>基本支出</c:v>
                </c:pt>
                <c:pt idx="2">
                  <c:v>项目支出</c:v>
                </c:pt>
              </c:strCache>
            </c:strRef>
          </c:cat>
          <c:val>
            <c:numRef>
              <c:f>[说明绘图.xlsx]Sheet1!$Q$1:$Q$3</c:f>
              <c:numCache>
                <c:formatCode>General</c:formatCode>
                <c:ptCount val="3"/>
                <c:pt idx="1" c:formatCode="0.00%">
                  <c:v>0.9784</c:v>
                </c:pt>
                <c:pt idx="2" c:formatCode="0.00%">
                  <c:v>0.0216</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plotVisOnly val="true"/>
    <c:dispBlanksAs val="gap"/>
    <c:showDLblsOverMax val="false"/>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forceAA="false"/>
          <a:lstStyle/>
          <a:p>
            <a:pPr>
              <a:defRPr lang="zh-CN" sz="144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200"/>
              <a:t>财政拨款收、支决算总计变动情况</a:t>
            </a:r>
            <a:endParaRPr sz="1200"/>
          </a:p>
        </c:rich>
      </c:tx>
      <c:layout/>
      <c:overlay val="false"/>
      <c:spPr>
        <a:noFill/>
        <a:ln>
          <a:noFill/>
        </a:ln>
        <a:effectLst/>
      </c:spPr>
    </c:title>
    <c:autoTitleDeleted val="false"/>
    <c:plotArea>
      <c:layout/>
      <c:barChart>
        <c:barDir val="col"/>
        <c:grouping val="clustered"/>
        <c:varyColors val="false"/>
        <c:ser>
          <c:idx val="0"/>
          <c:order val="0"/>
          <c:tx>
            <c:strRef>
              <c:f>'[工作表 在 说明绘图.xlsx]Sheet1'!$B$3</c:f>
              <c:strCache>
                <c:ptCount val="1"/>
                <c:pt idx="0">
                  <c:v>财政拨款收入</c:v>
                </c:pt>
              </c:strCache>
            </c:strRef>
          </c:tx>
          <c:spPr>
            <a:blipFill rotWithShape="true">
              <a:blip xmlns:r="http://schemas.openxmlformats.org/officeDocument/2006/relationships" r:embed="rId2">
                <a:duotone>
                  <a:schemeClr val="accent1"/>
                  <a:prstClr val="white"/>
                </a:duotone>
              </a:blip>
              <a:stretch>
                <a:fillRect/>
              </a:stretch>
            </a:blipFill>
            <a:ln>
              <a:noFill/>
            </a:ln>
            <a:effectLst>
              <a:outerShdw blurRad="76200" dir="18900000" sy="23000" kx="-1200000" algn="bl" rotWithShape="0">
                <a:prstClr val="black">
                  <a:alpha val="10000"/>
                </a:prstClr>
              </a:outerShdw>
            </a:effectLst>
          </c:spPr>
          <c:invertIfNegative val="false"/>
          <c:dPt>
            <c:idx val="0"/>
            <c:invertIfNegative val="false"/>
            <c:bubble3D val="false"/>
            <c:spPr>
              <a:blipFill rotWithShape="true">
                <a:blip xmlns:r="http://schemas.openxmlformats.org/officeDocument/2006/relationships" r:embed="rId3">
                  <a:duotone>
                    <a:schemeClr val="accent1"/>
                    <a:prstClr val="white"/>
                  </a:duotone>
                </a:blip>
                <a:stretch>
                  <a:fillRect/>
                </a:stretch>
              </a:blipFill>
              <a:ln>
                <a:noFill/>
              </a:ln>
              <a:effectLst>
                <a:outerShdw blurRad="76200" dir="18900000" sy="23000" kx="-1200000" algn="bl" rotWithShape="0">
                  <a:prstClr val="black">
                    <a:alpha val="10000"/>
                  </a:prstClr>
                </a:outerShdw>
              </a:effectLst>
            </c:spPr>
          </c:dPt>
          <c:dPt>
            <c:idx val="1"/>
            <c:invertIfNegative val="false"/>
            <c:bubble3D val="false"/>
            <c:spPr>
              <a:blipFill rotWithShape="true">
                <a:blip xmlns:r="http://schemas.openxmlformats.org/officeDocument/2006/relationships" r:embed="rId3">
                  <a:duotone>
                    <a:schemeClr val="accent2"/>
                    <a:prstClr val="white"/>
                  </a:duotone>
                </a:blip>
                <a:stretch>
                  <a:fillRect/>
                </a:stretch>
              </a:blipFill>
              <a:ln>
                <a:noFill/>
              </a:ln>
              <a:effectLst>
                <a:outerShdw blurRad="76200" dir="18900000" sy="23000" kx="-1200000" algn="bl" rotWithShape="0">
                  <a:prstClr val="black">
                    <a:alpha val="10000"/>
                  </a:prstClr>
                </a:outerShdw>
              </a:effectLst>
            </c:spPr>
          </c:dPt>
          <c:dLbls>
            <c:dLbl>
              <c:idx val="0"/>
              <c:layout/>
              <c:numFmt formatCode="General" sourceLinked="true"/>
              <c:spPr>
                <a:solidFill>
                  <a:schemeClr val="accent1"/>
                </a:solidFill>
                <a:ln>
                  <a:noFill/>
                </a:ln>
                <a:effectLst/>
              </c:spPr>
              <c:txPr>
                <a:bodyPr rot="0" spcFirstLastPara="0" vertOverflow="ellipsis" vert="horz" wrap="square" lIns="39370" tIns="0" rIns="38100" bIns="0" anchor="ctr" anchorCtr="true" forceAA="false"/>
                <a:lstStyle/>
                <a:p>
                  <a:pPr>
                    <a:defRPr lang="zh-CN" sz="8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numFmt formatCode="General" sourceLinked="true"/>
              <c:spPr>
                <a:solidFill>
                  <a:schemeClr val="accent2"/>
                </a:solidFill>
                <a:ln>
                  <a:noFill/>
                </a:ln>
                <a:effectLst/>
              </c:spPr>
              <c:txPr>
                <a:bodyPr rot="0" spcFirstLastPara="0" vertOverflow="ellipsis" vert="horz" wrap="square" lIns="39370" tIns="0" rIns="38100" bIns="0" anchor="ctr" anchorCtr="true" forceAA="false"/>
                <a:lstStyle/>
                <a:p>
                  <a:pPr>
                    <a:defRPr lang="zh-CN" sz="8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9370" tIns="0" rIns="38100" bIns="0" anchor="ctr" anchorCtr="true" forceAA="false"/>
              <a:lstStyle/>
              <a:p>
                <a:pPr>
                  <a:defRPr lang="zh-CN" sz="8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'[工作表 在 说明绘图.xlsx]Sheet1'!$C$2:$D$2</c:f>
              <c:strCache>
                <c:ptCount val="2"/>
                <c:pt idx="0">
                  <c:v>2024年</c:v>
                </c:pt>
                <c:pt idx="1">
                  <c:v>2025年</c:v>
                </c:pt>
              </c:strCache>
            </c:strRef>
          </c:cat>
          <c:val>
            <c:numRef>
              <c:f>'[工作表 在 说明绘图.xlsx]Sheet1'!$C$3:$D$3</c:f>
              <c:numCache>
                <c:formatCode>0.00_ </c:formatCode>
                <c:ptCount val="2"/>
                <c:pt idx="0">
                  <c:v>176.11</c:v>
                </c:pt>
                <c:pt idx="1">
                  <c:v>181.9</c:v>
                </c:pt>
              </c:numCache>
            </c:numRef>
          </c:val>
        </c:ser>
        <c:ser>
          <c:idx val="1"/>
          <c:order val="1"/>
          <c:tx>
            <c:strRef>
              <c:f>'[工作表 在 说明绘图.xlsx]Sheet1'!$B$4</c:f>
              <c:strCache>
                <c:ptCount val="1"/>
                <c:pt idx="0">
                  <c:v>财政拨款支出</c:v>
                </c:pt>
              </c:strCache>
            </c:strRef>
          </c:tx>
          <c:spPr>
            <a:blipFill rotWithShape="true">
              <a:blip xmlns:r="http://schemas.openxmlformats.org/officeDocument/2006/relationships" r:embed="rId4">
                <a:duotone>
                  <a:schemeClr val="accent2"/>
                  <a:prstClr val="white"/>
                </a:duotone>
              </a:blip>
              <a:stretch>
                <a:fillRect/>
              </a:stretch>
            </a:blipFill>
            <a:ln>
              <a:noFill/>
            </a:ln>
            <a:effectLst>
              <a:outerShdw blurRad="76200" dir="18900000" sy="23000" kx="-1200000" algn="bl" rotWithShape="0">
                <a:prstClr val="black">
                  <a:alpha val="10000"/>
                </a:prstClr>
              </a:outerShdw>
            </a:effectLst>
          </c:spPr>
          <c:invertIfNegative val="false"/>
          <c:dPt>
            <c:idx val="0"/>
            <c:invertIfNegative val="false"/>
            <c:bubble3D val="false"/>
            <c:spPr>
              <a:blipFill rotWithShape="true">
                <a:blip xmlns:r="http://schemas.openxmlformats.org/officeDocument/2006/relationships" r:embed="rId3">
                  <a:duotone>
                    <a:schemeClr val="accent1"/>
                    <a:prstClr val="white"/>
                  </a:duotone>
                </a:blip>
                <a:stretch>
                  <a:fillRect/>
                </a:stretch>
              </a:blipFill>
              <a:ln>
                <a:noFill/>
              </a:ln>
              <a:effectLst>
                <a:outerShdw blurRad="76200" dir="18900000" sy="23000" kx="-1200000" algn="bl" rotWithShape="0">
                  <a:prstClr val="black">
                    <a:alpha val="10000"/>
                  </a:prstClr>
                </a:outerShdw>
              </a:effectLst>
            </c:spPr>
          </c:dPt>
          <c:dPt>
            <c:idx val="1"/>
            <c:invertIfNegative val="false"/>
            <c:bubble3D val="false"/>
            <c:spPr>
              <a:blipFill rotWithShape="true">
                <a:blip xmlns:r="http://schemas.openxmlformats.org/officeDocument/2006/relationships" r:embed="rId3">
                  <a:duotone>
                    <a:schemeClr val="accent2"/>
                    <a:prstClr val="white"/>
                  </a:duotone>
                </a:blip>
                <a:stretch>
                  <a:fillRect/>
                </a:stretch>
              </a:blipFill>
              <a:ln>
                <a:noFill/>
              </a:ln>
              <a:effectLst>
                <a:outerShdw blurRad="76200" dir="18900000" sy="23000" kx="-1200000" algn="bl" rotWithShape="0">
                  <a:prstClr val="black">
                    <a:alpha val="10000"/>
                  </a:prstClr>
                </a:outerShdw>
              </a:effectLst>
            </c:spPr>
          </c:dPt>
          <c:dLbls>
            <c:dLbl>
              <c:idx val="0"/>
              <c:layout/>
              <c:numFmt formatCode="General" sourceLinked="true"/>
              <c:spPr>
                <a:solidFill>
                  <a:schemeClr val="accent1"/>
                </a:solidFill>
                <a:ln>
                  <a:noFill/>
                </a:ln>
                <a:effectLst/>
              </c:spPr>
              <c:txPr>
                <a:bodyPr rot="0" spcFirstLastPara="0" vertOverflow="ellipsis" vert="horz" wrap="square" lIns="38100" tIns="0" rIns="38100" bIns="0" anchor="ctr" anchorCtr="true" forceAA="false"/>
                <a:lstStyle/>
                <a:p>
                  <a:pPr>
                    <a:defRPr lang="zh-CN" sz="8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numFmt formatCode="General" sourceLinked="true"/>
              <c:spPr>
                <a:solidFill>
                  <a:schemeClr val="accent2"/>
                </a:solidFill>
                <a:ln>
                  <a:noFill/>
                </a:ln>
                <a:effectLst/>
              </c:spPr>
              <c:txPr>
                <a:bodyPr rot="0" spcFirstLastPara="0" vertOverflow="ellipsis" vert="horz" wrap="square" lIns="38100" tIns="0" rIns="38100" bIns="0" anchor="ctr" anchorCtr="true" forceAA="false"/>
                <a:lstStyle/>
                <a:p>
                  <a:pPr>
                    <a:defRPr lang="zh-CN" sz="8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0" rIns="38100" bIns="0" anchor="ctr" anchorCtr="true" forceAA="false"/>
              <a:lstStyle/>
              <a:p>
                <a:pPr>
                  <a:defRPr lang="zh-CN" sz="8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'[工作表 在 说明绘图.xlsx]Sheet1'!$C$2:$D$2</c:f>
              <c:strCache>
                <c:ptCount val="2"/>
                <c:pt idx="0">
                  <c:v>2024年</c:v>
                </c:pt>
                <c:pt idx="1">
                  <c:v>2025年</c:v>
                </c:pt>
              </c:strCache>
            </c:strRef>
          </c:cat>
          <c:val>
            <c:numRef>
              <c:f>'[工作表 在 说明绘图.xlsx]Sheet1'!$C$4:$D$4</c:f>
              <c:numCache>
                <c:formatCode>0.00_ </c:formatCode>
                <c:ptCount val="2"/>
                <c:pt idx="0">
                  <c:v>176.11</c:v>
                </c:pt>
                <c:pt idx="1">
                  <c:v>181.9</c:v>
                </c:pt>
              </c:numCache>
            </c:numRef>
          </c:val>
        </c:ser>
        <c:ser>
          <c:idx val="2"/>
          <c:order val="2"/>
          <c:tx>
            <c:strRef>
              <c:f>'[工作表 在 说明绘图.xlsx]Sheet1'!$B$5</c:f>
              <c:strCache>
                <c:ptCount val="1"/>
                <c:pt idx="0">
                  <c:v/>
                </c:pt>
              </c:strCache>
            </c:strRef>
          </c:tx>
          <c:spPr>
            <a:noFill/>
            <a:ln>
              <a:noFill/>
            </a:ln>
            <a:effectLst>
              <a:outerShdw blurRad="76200" dir="18900000" sy="23000" kx="-1200000" algn="bl" rotWithShape="0">
                <a:prstClr val="black">
                  <a:alpha val="10000"/>
                </a:prstClr>
              </a:outerShdw>
            </a:effectLst>
          </c:spPr>
          <c:invertIfNegative val="false"/>
          <c:dPt>
            <c:idx val="0"/>
            <c:invertIfNegative val="false"/>
            <c:bubble3D val="false"/>
            <c:spPr>
              <a:noFill/>
              <a:ln>
                <a:noFill/>
              </a:ln>
              <a:effectLst>
                <a:outerShdw blurRad="76200" dir="18900000" sy="23000" kx="-1200000" algn="bl" rotWithShape="0">
                  <a:prstClr val="black">
                    <a:alpha val="10000"/>
                  </a:prstClr>
                </a:outerShdw>
              </a:effectLst>
            </c:spPr>
          </c:dPt>
          <c:dPt>
            <c:idx val="1"/>
            <c:invertIfNegative val="false"/>
            <c:bubble3D val="false"/>
            <c:spPr>
              <a:noFill/>
              <a:ln>
                <a:noFill/>
              </a:ln>
              <a:effectLst>
                <a:outerShdw blurRad="76200" dir="18900000" sy="23000" kx="-1200000" algn="bl" rotWithShape="0">
                  <a:prstClr val="black">
                    <a:alpha val="10000"/>
                  </a:prstClr>
                </a:outerShdw>
              </a:effectLst>
            </c:spPr>
          </c:dPt>
          <c:dLbls>
            <c:dLbl>
              <c:idx val="0"/>
              <c:layout/>
              <c:numFmt formatCode="General" sourceLinked="true"/>
              <c:spPr>
                <a:solidFill>
                  <a:schemeClr val="accent1"/>
                </a:solidFill>
                <a:ln>
                  <a:noFill/>
                </a:ln>
                <a:effectLst/>
              </c:spPr>
              <c:txPr>
                <a:bodyPr rot="0" spcFirstLastPara="0" vertOverflow="ellipsis" vert="horz" wrap="square" lIns="38100" tIns="0" rIns="38100" bIns="0" anchor="ctr" anchorCtr="true" forceAA="false"/>
                <a:lstStyle/>
                <a:p>
                  <a:pPr>
                    <a:defRPr lang="zh-CN" sz="12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numFmt formatCode="General" sourceLinked="true"/>
              <c:spPr>
                <a:solidFill>
                  <a:schemeClr val="accent2"/>
                </a:solidFill>
                <a:ln>
                  <a:noFill/>
                </a:ln>
                <a:effectLst/>
              </c:spPr>
              <c:txPr>
                <a:bodyPr rot="0" spcFirstLastPara="0" vertOverflow="ellipsis" vert="horz" wrap="square" lIns="38100" tIns="0" rIns="38100" bIns="0" anchor="ctr" anchorCtr="true" forceAA="false"/>
                <a:lstStyle/>
                <a:p>
                  <a:pPr>
                    <a:defRPr lang="zh-CN" sz="12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0" rIns="38100" bIns="0" anchor="ctr" anchorCtr="true" forceAA="false"/>
              <a:lstStyle/>
              <a:p>
                <a:pPr>
                  <a:defRPr lang="zh-CN" sz="12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'[工作表 在 说明绘图.xlsx]Sheet1'!$C$2:$D$2</c:f>
              <c:strCache>
                <c:ptCount val="2"/>
                <c:pt idx="0">
                  <c:v>2024年</c:v>
                </c:pt>
                <c:pt idx="1">
                  <c:v>2025年</c:v>
                </c:pt>
              </c:strCache>
            </c:strRef>
          </c:cat>
          <c:val>
            <c:numRef>
              <c:f>[006b8ef91]Sheet1!$C$5:$D$5</c:f>
              <c:numCache>
                <c:formatCode>General</c:formatCode>
                <c:ptCount val="2"/>
              </c:numCache>
            </c:numRef>
          </c:val>
        </c:ser>
        <c:dLbls>
          <c:showLegendKey val="false"/>
          <c:showVal val="true"/>
          <c:showCatName val="false"/>
          <c:showSerName val="false"/>
          <c:showPercent val="false"/>
          <c:showBubbleSize val="false"/>
        </c:dLbls>
        <c:gapWidth val="152"/>
        <c:overlap val="-21"/>
        <c:axId val="915686374"/>
        <c:axId val="346805396"/>
      </c:barChart>
      <c:catAx>
        <c:axId val="915686374"/>
        <c:scaling>
          <c:orientation val="minMax"/>
        </c:scaling>
        <c:delete val="false"/>
        <c:axPos val="b"/>
        <c:majorGridlines>
          <c:spPr>
            <a:ln w="6350" cap="flat" cmpd="sng" algn="ctr">
              <a:solidFill>
                <a:schemeClr val="tx1">
                  <a:lumMod val="50000"/>
                  <a:lumOff val="50000"/>
                  <a:alpha val="25000"/>
                </a:schemeClr>
              </a:solidFill>
              <a:round/>
            </a:ln>
            <a:effectLst/>
          </c:spPr>
        </c:majorGridlines>
        <c:numFmt formatCode="General" sourceLinked="true"/>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true" forceAA="false"/>
          <a:lstStyle/>
          <a:p>
            <a:pPr>
              <a:defRPr lang="zh-CN" sz="12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46805396"/>
        <c:crosses val="autoZero"/>
        <c:auto val="true"/>
        <c:lblAlgn val="ctr"/>
        <c:lblOffset val="100"/>
        <c:noMultiLvlLbl val="false"/>
      </c:catAx>
      <c:valAx>
        <c:axId val="346805396"/>
        <c:scaling>
          <c:orientation val="minMax"/>
        </c:scaling>
        <c:delete val="true"/>
        <c:axPos val="l"/>
        <c:numFmt formatCode="0.00_ " sourceLinked="true"/>
        <c:majorTickMark val="none"/>
        <c:minorTickMark val="none"/>
        <c:tickLblPos val="nextTo"/>
        <c:txPr>
          <a:bodyPr rot="-60000000" spcFirstLastPara="0" vertOverflow="ellipsis" vert="horz" wrap="square" anchor="ctr" anchorCtr="true" forceAA="false"/>
          <a:lstStyle/>
          <a:p>
            <a:pPr>
              <a:defRPr lang="zh-CN" sz="12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15686374"/>
        <c:crosses val="autoZero"/>
        <c:crossBetween val="between"/>
      </c:valAx>
      <c:spPr>
        <a:noFill/>
        <a:ln>
          <a:noFill/>
        </a:ln>
        <a:effectLst/>
      </c:spPr>
    </c:plotArea>
    <c:legend>
      <c:legendPos val="t"/>
      <c:legendEntry>
        <c:idx val="0"/>
        <c:txPr>
          <a:bodyPr rot="0" spcFirstLastPara="0" vertOverflow="ellipsis" vert="horz" wrap="square" anchor="ctr" anchorCtr="true"/>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Entry>
      <c:legendEntry>
        <c:idx val="1"/>
        <c:txPr>
          <a:bodyPr rot="0" spcFirstLastPara="0" vertOverflow="ellipsis" vert="horz" wrap="square" anchor="ctr" anchorCtr="true"/>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Entry>
      <c:legendEntry>
        <c:idx val="2"/>
        <c:txPr>
          <a:bodyPr rot="0" spcFirstLastPara="0" vertOverflow="ellipsis" vert="horz" wrap="square" anchor="ctr" anchorCtr="true"/>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Entry>
      <c:layout/>
      <c:overlay val="false"/>
      <c:spPr>
        <a:noFill/>
        <a:ln>
          <a:noFill/>
        </a:ln>
        <a:effectLst/>
      </c:spPr>
      <c:txPr>
        <a:bodyPr rot="0" spcFirstLastPara="0" vertOverflow="ellipsis" vert="horz" wrap="square" anchor="ctr" anchorCtr="true" forceAA="false"/>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true"/>
    <c:dispBlanksAs val="gap"/>
    <c:showDLblsOverMax val="false"/>
  </c:chart>
  <c:spPr>
    <a:solidFill>
      <a:schemeClr val="bg1"/>
    </a:solidFill>
    <a:ln w="6350" cap="flat" cmpd="sng" algn="ctr">
      <a:solidFill>
        <a:schemeClr val="tx1">
          <a:lumMod val="50000"/>
          <a:lumOff val="50000"/>
          <a:alpha val="25000"/>
        </a:schemeClr>
      </a:solidFill>
      <a:round/>
    </a:ln>
    <a:effectLst/>
  </c:spPr>
  <c:txPr>
    <a:bodyPr/>
    <a:lstStyle/>
    <a:p>
      <a:pPr>
        <a:defRPr lang="zh-CN" sz="120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true" forceAA="false"/>
          <a:lstStyle/>
          <a:p>
            <a:pPr>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200"/>
              <a:t>一般公共预算财政拨款支出决算变动情况</a:t>
            </a:r>
            <a:endParaRPr sz="1200"/>
          </a:p>
        </c:rich>
      </c:tx>
      <c:layout/>
      <c:overlay val="false"/>
      <c:spPr>
        <a:noFill/>
        <a:ln>
          <a:noFill/>
        </a:ln>
        <a:effectLst/>
      </c:spPr>
    </c:title>
    <c:autoTitleDeleted val="false"/>
    <c:plotArea>
      <c:layout/>
      <c:barChart>
        <c:barDir val="col"/>
        <c:grouping val="clustered"/>
        <c:varyColors val="false"/>
        <c:ser>
          <c:idx val="0"/>
          <c:order val="0"/>
          <c:spPr>
            <a:solidFill>
              <a:schemeClr val="accent1"/>
            </a:solidFill>
            <a:ln w="9525">
              <a:noFill/>
            </a:ln>
            <a:effectLst/>
            <a:sp3d contourW="9525"/>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[说明绘图.xlsx]Sheet1!$A$23:$A$25</c15:sqref>
                  </c15:fullRef>
                </c:ext>
              </c:extLst>
              <c:f>[说明绘图.xlsx]Sheet1!$A$24:$A$25</c:f>
              <c:strCache>
                <c:ptCount val="2"/>
                <c:pt idx="0">
                  <c:v>2024年</c:v>
                </c:pt>
                <c:pt idx="1">
                  <c:v>2025年</c:v>
                </c:pt>
              </c:strCache>
            </c:strRef>
          </c:cat>
          <c:val>
            <c:numRef>
              <c:extLst>
                <c:ext xmlns:c15="http://schemas.microsoft.com/office/drawing/2012/chart" uri="{02D57815-91ED-43cb-92C2-25804820EDAC}">
                  <c15:fullRef>
                    <c15:sqref>Sheet1!$B$23:$B$25</c15:sqref>
                  </c15:fullRef>
                </c:ext>
              </c:extLst>
              <c:f>[说明绘图.xlsx]Sheet1!$B$24:$B$25</c:f>
              <c:numCache>
                <c:formatCode>0.00_ </c:formatCode>
                <c:ptCount val="2"/>
                <c:pt idx="0">
                  <c:v>176.11</c:v>
                </c:pt>
                <c:pt idx="1">
                  <c:v>181.9</c:v>
                </c:pt>
              </c:numCache>
            </c:numRef>
          </c:val>
        </c:ser>
        <c:dLbls>
          <c:showLegendKey val="false"/>
          <c:showVal val="true"/>
          <c:showCatName val="false"/>
          <c:showSerName val="false"/>
          <c:showPercent val="false"/>
          <c:showBubbleSize val="false"/>
        </c:dLbls>
        <c:gapWidth val="255"/>
        <c:overlap val="-32"/>
        <c:axId val="381167627"/>
        <c:axId val="985970151"/>
      </c:barChart>
      <c:catAx>
        <c:axId val="381167627"/>
        <c:scaling>
          <c:orientation val="minMax"/>
        </c:scaling>
        <c:delete val="false"/>
        <c:axPos val="b"/>
        <c:numFmt formatCode="General" sourceLinked="true"/>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true" forceAA="fals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85970151"/>
        <c:crosses val="autoZero"/>
        <c:auto val="true"/>
        <c:lblAlgn val="ctr"/>
        <c:lblOffset val="100"/>
        <c:noMultiLvlLbl val="false"/>
      </c:catAx>
      <c:valAx>
        <c:axId val="985970151"/>
        <c:scaling>
          <c:orientation val="minMax"/>
        </c:scaling>
        <c:delete val="false"/>
        <c:axPos val="l"/>
        <c:majorGridlines>
          <c:spPr>
            <a:ln w="6350" cap="flat" cmpd="sng" algn="ctr">
              <a:solidFill>
                <a:schemeClr val="tx1">
                  <a:lumMod val="50000"/>
                  <a:lumOff val="50000"/>
                  <a:alpha val="25000"/>
                </a:schemeClr>
              </a:solidFill>
              <a:round/>
            </a:ln>
            <a:effectLst/>
          </c:spPr>
        </c:majorGridlines>
        <c:numFmt formatCode="0.00_ " sourceLinked="true"/>
        <c:majorTickMark val="none"/>
        <c:minorTickMark val="none"/>
        <c:tickLblPos val="nextTo"/>
        <c:spPr>
          <a:noFill/>
          <a:ln>
            <a:noFill/>
          </a:ln>
          <a:effectLst/>
        </c:spPr>
        <c:txPr>
          <a:bodyPr rot="-60000000" spcFirstLastPara="0" vertOverflow="ellipsis" vert="horz" wrap="square" anchor="ctr" anchorCtr="true" forceAA="fals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81167627"/>
        <c:crosses val="autoZero"/>
        <c:crossBetween val="between"/>
      </c:valAx>
      <c:spPr>
        <a:pattFill prst="wdDnDiag">
          <a:fgClr>
            <a:schemeClr val="bg1">
              <a:lumMod val="95000"/>
            </a:schemeClr>
          </a:fgClr>
          <a:bgClr>
            <a:schemeClr val="bg1"/>
          </a:bgClr>
        </a:pattFill>
        <a:ln>
          <a:noFill/>
        </a:ln>
        <a:effectLst>
          <a:outerShdw blurRad="63500" dist="38100" dir="18900000" algn="bl" rotWithShape="0">
            <a:schemeClr val="tx1">
              <a:lumMod val="50000"/>
              <a:lumOff val="50000"/>
              <a:alpha val="40000"/>
            </a:schemeClr>
          </a:outerShdw>
        </a:effectLst>
      </c:spPr>
    </c:plotArea>
    <c:plotVisOnly val="true"/>
    <c:dispBlanksAs val="gap"/>
    <c:showDLblsOverMax val="false"/>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pieChart>
        <c:varyColors val="true"/>
        <c:ser>
          <c:idx val="0"/>
          <c:order val="0"/>
          <c:spPr>
            <a:ln w="53975" cmpd="dbl">
              <a:solidFill>
                <a:schemeClr val="bg1"/>
              </a:solidFill>
            </a:ln>
            <a:sp3d contourW="53975"/>
          </c:spPr>
          <c:explosion val="0"/>
          <c:dPt>
            <c:idx val="0"/>
            <c:bubble3D val="false"/>
            <c:spPr>
              <a:solidFill>
                <a:schemeClr val="accent1"/>
              </a:solidFill>
              <a:ln w="53975" cmpd="dbl">
                <a:solidFill>
                  <a:schemeClr val="bg1"/>
                </a:solidFill>
              </a:ln>
              <a:effectLst/>
              <a:sp3d contourW="53975"/>
            </c:spPr>
          </c:dPt>
          <c:dPt>
            <c:idx val="1"/>
            <c:bubble3D val="false"/>
            <c:spPr>
              <a:solidFill>
                <a:schemeClr val="accent2"/>
              </a:solidFill>
              <a:ln w="53975" cmpd="dbl">
                <a:solidFill>
                  <a:schemeClr val="bg1"/>
                </a:solidFill>
              </a:ln>
              <a:effectLst/>
              <a:sp3d contourW="53975"/>
            </c:spPr>
          </c:dPt>
          <c:dPt>
            <c:idx val="2"/>
            <c:bubble3D val="false"/>
            <c:spPr>
              <a:solidFill>
                <a:schemeClr val="accent3"/>
              </a:solidFill>
              <a:ln w="53975" cmpd="dbl">
                <a:solidFill>
                  <a:schemeClr val="bg1"/>
                </a:solidFill>
              </a:ln>
              <a:effectLst/>
              <a:sp3d contourW="53975"/>
            </c:spPr>
          </c:dPt>
          <c:dPt>
            <c:idx val="3"/>
            <c:bubble3D val="false"/>
            <c:spPr>
              <a:solidFill>
                <a:schemeClr val="accent4"/>
              </a:solidFill>
              <a:ln w="53975" cmpd="dbl">
                <a:solidFill>
                  <a:schemeClr val="bg1"/>
                </a:solidFill>
              </a:ln>
              <a:effectLst/>
              <a:sp3d contourW="53975"/>
            </c:spPr>
          </c:dPt>
          <c:dLbls>
            <c:dLbl>
              <c:idx val="0"/>
              <c:layout/>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800" b="1"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false"/>
              <c:showSerName val="false"/>
              <c:showPercent val="false"/>
              <c:showBubbleSize val="false"/>
              <c:extLst>
                <c:ext xmlns:c15="http://schemas.microsoft.com/office/drawing/2012/chart" uri="{CE6537A1-D6FC-4f65-9D91-7224C49458BB}"/>
              </c:extLst>
            </c:dLbl>
            <c:dLbl>
              <c:idx val="1"/>
              <c:layout/>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800" b="1"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false"/>
              <c:showSerName val="false"/>
              <c:showPercent val="false"/>
              <c:showBubbleSize val="false"/>
              <c:extLst>
                <c:ext xmlns:c15="http://schemas.microsoft.com/office/drawing/2012/chart" uri="{CE6537A1-D6FC-4f65-9D91-7224C49458BB}"/>
              </c:extLst>
            </c:dLbl>
            <c:dLbl>
              <c:idx val="2"/>
              <c:layout/>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800" b="1"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false"/>
              <c:showSerName val="false"/>
              <c:showPercent val="false"/>
              <c:showBubbleSize val="false"/>
              <c:extLst>
                <c:ext xmlns:c15="http://schemas.microsoft.com/office/drawing/2012/chart" uri="{CE6537A1-D6FC-4f65-9D91-7224C49458BB}"/>
              </c:extLst>
            </c:dLbl>
            <c:dLbl>
              <c:idx val="3"/>
              <c:layout/>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800" b="1"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false"/>
              <c:showSerName val="fals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800" b="1"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[说明绘图.xlsx]Sheet1!$I$26:$I$29</c:f>
              <c:strCache>
                <c:ptCount val="4"/>
                <c:pt idx="0">
                  <c:v>社会保障和就业支出</c:v>
                </c:pt>
                <c:pt idx="1">
                  <c:v>卫生健康支出</c:v>
                </c:pt>
                <c:pt idx="2">
                  <c:v>城乡社区支出</c:v>
                </c:pt>
                <c:pt idx="3">
                  <c:v>住房保障支出</c:v>
                </c:pt>
              </c:strCache>
            </c:strRef>
          </c:cat>
          <c:val>
            <c:numRef>
              <c:f>[说明绘图.xlsx]Sheet1!$J$26:$J$29</c:f>
              <c:numCache>
                <c:formatCode>General</c:formatCode>
                <c:ptCount val="4"/>
                <c:pt idx="0">
                  <c:v>41.38</c:v>
                </c:pt>
                <c:pt idx="1">
                  <c:v>8.53</c:v>
                </c:pt>
                <c:pt idx="2">
                  <c:v>120.56</c:v>
                </c:pt>
                <c:pt idx="3">
                  <c:v>11.43</c:v>
                </c:pt>
              </c:numCache>
            </c:numRef>
          </c:val>
        </c:ser>
        <c:ser>
          <c:idx val="1"/>
          <c:order val="1"/>
          <c:spPr>
            <a:ln w="53975" cmpd="dbl">
              <a:solidFill>
                <a:schemeClr val="bg1"/>
              </a:solidFill>
            </a:ln>
            <a:sp3d contourW="53975"/>
          </c:spPr>
          <c:explosion val="0"/>
          <c:dPt>
            <c:idx val="0"/>
            <c:bubble3D val="false"/>
            <c:spPr>
              <a:solidFill>
                <a:schemeClr val="accent1"/>
              </a:solidFill>
              <a:ln w="53975" cmpd="dbl">
                <a:solidFill>
                  <a:schemeClr val="bg1"/>
                </a:solidFill>
              </a:ln>
              <a:effectLst/>
              <a:sp3d contourW="53975"/>
            </c:spPr>
          </c:dPt>
          <c:dPt>
            <c:idx val="1"/>
            <c:bubble3D val="false"/>
            <c:spPr>
              <a:solidFill>
                <a:schemeClr val="accent2"/>
              </a:solidFill>
              <a:ln w="53975" cmpd="dbl">
                <a:solidFill>
                  <a:schemeClr val="bg1"/>
                </a:solidFill>
              </a:ln>
              <a:effectLst/>
              <a:sp3d contourW="53975"/>
            </c:spPr>
          </c:dPt>
          <c:dPt>
            <c:idx val="2"/>
            <c:bubble3D val="false"/>
            <c:spPr>
              <a:solidFill>
                <a:schemeClr val="accent3"/>
              </a:solidFill>
              <a:ln w="53975" cmpd="dbl">
                <a:solidFill>
                  <a:schemeClr val="bg1"/>
                </a:solidFill>
              </a:ln>
              <a:effectLst/>
              <a:sp3d contourW="53975"/>
            </c:spPr>
          </c:dPt>
          <c:dPt>
            <c:idx val="3"/>
            <c:bubble3D val="false"/>
            <c:spPr>
              <a:solidFill>
                <a:schemeClr val="accent4"/>
              </a:solidFill>
              <a:ln w="53975" cmpd="dbl">
                <a:solidFill>
                  <a:schemeClr val="bg1"/>
                </a:solidFill>
              </a:ln>
              <a:effectLst/>
              <a:sp3d contourW="53975"/>
            </c:spPr>
          </c:dPt>
          <c:dLbls>
            <c:dLbl>
              <c:idx val="0"/>
              <c:layout/>
              <c:dLblPos val="inEnd"/>
              <c:showLegendKey val="false"/>
              <c:showVal val="true"/>
              <c:showCatName val="false"/>
              <c:showSerName val="false"/>
              <c:showPercent val="false"/>
              <c:showBubbleSize val="false"/>
              <c:separator>
</c:separator>
              <c:extLst>
                <c:ext xmlns:c15="http://schemas.microsoft.com/office/drawing/2012/chart" uri="{CE6537A1-D6FC-4f65-9D91-7224C49458BB}"/>
              </c:extLst>
            </c:dLbl>
            <c:dLbl>
              <c:idx val="1"/>
              <c:layout/>
              <c:dLblPos val="inEnd"/>
              <c:showLegendKey val="false"/>
              <c:showVal val="true"/>
              <c:showCatName val="false"/>
              <c:showSerName val="false"/>
              <c:showPercent val="false"/>
              <c:showBubbleSize val="false"/>
              <c:separator>
</c:separator>
              <c:extLst>
                <c:ext xmlns:c15="http://schemas.microsoft.com/office/drawing/2012/chart" uri="{CE6537A1-D6FC-4f65-9D91-7224C49458BB}"/>
              </c:extLst>
            </c:dLbl>
            <c:dLbl>
              <c:idx val="2"/>
              <c:layout/>
              <c:dLblPos val="inEnd"/>
              <c:showLegendKey val="false"/>
              <c:showVal val="true"/>
              <c:showCatName val="false"/>
              <c:showSerName val="false"/>
              <c:showPercent val="false"/>
              <c:showBubbleSize val="false"/>
              <c:separator>
</c:separator>
              <c:extLst>
                <c:ext xmlns:c15="http://schemas.microsoft.com/office/drawing/2012/chart" uri="{CE6537A1-D6FC-4f65-9D91-7224C49458BB}"/>
              </c:extLst>
            </c:dLbl>
            <c:dLbl>
              <c:idx val="3"/>
              <c:layout/>
              <c:dLblPos val="inEnd"/>
              <c:showLegendKey val="false"/>
              <c:showVal val="true"/>
              <c:showCatName val="false"/>
              <c:showSerName val="false"/>
              <c:showPercent val="false"/>
              <c:showBubbleSize val="false"/>
              <c:separator>
</c:separator>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[说明绘图.xlsx]Sheet1!$I$26:$I$29</c:f>
              <c:strCache>
                <c:ptCount val="4"/>
                <c:pt idx="0">
                  <c:v>社会保障和就业支出</c:v>
                </c:pt>
                <c:pt idx="1">
                  <c:v>卫生健康支出</c:v>
                </c:pt>
                <c:pt idx="2">
                  <c:v>城乡社区支出</c:v>
                </c:pt>
                <c:pt idx="3">
                  <c:v>住房保障支出</c:v>
                </c:pt>
              </c:strCache>
            </c:strRef>
          </c:cat>
          <c:val>
            <c:numRef>
              <c:f>[说明绘图.xlsx]Sheet1!$K$26:$K$29</c:f>
              <c:numCache>
                <c:formatCode>0.00%</c:formatCode>
                <c:ptCount val="4"/>
                <c:pt idx="0">
                  <c:v>0.2275</c:v>
                </c:pt>
                <c:pt idx="1">
                  <c:v>0.0469</c:v>
                </c:pt>
                <c:pt idx="2">
                  <c:v>0.6628</c:v>
                </c:pt>
                <c:pt idx="3">
                  <c:v>0.0628</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true"/>
    <c:dispBlanksAs val="gap"/>
    <c:showDLblsOverMax val="false"/>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false"/>
      </a:gradFill>
      <a:ln>
        <a:gradFill>
          <a:gsLst>
            <a:gs pos="0">
              <a:schemeClr val="phClr"/>
            </a:gs>
            <a:gs pos="100000">
              <a:schemeClr val="phClr">
                <a:lumMod val="75000"/>
              </a:schemeClr>
            </a:gs>
          </a:gsLst>
          <a:lin ang="5400000" scaled="true"/>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true">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多彩-02">
    <a:dk1>
      <a:srgbClr val="000000"/>
    </a:dk1>
    <a:lt1>
      <a:srgbClr val="FFFFFF"/>
    </a:lt1>
    <a:dk2>
      <a:srgbClr val="000000"/>
    </a:dk2>
    <a:lt2>
      <a:srgbClr val="FEFFFF"/>
    </a:lt2>
    <a:accent1>
      <a:srgbClr val="3B73FF"/>
    </a:accent1>
    <a:accent2>
      <a:srgbClr val="18DC96"/>
    </a:accent2>
    <a:accent3>
      <a:srgbClr val="FFC41D"/>
    </a:accent3>
    <a:accent4>
      <a:srgbClr val="FF7741"/>
    </a:accent4>
    <a:accent5>
      <a:srgbClr val="FB5F5F"/>
    </a:accent5>
    <a:accent6>
      <a:srgbClr val="A15CFF"/>
    </a:accent6>
    <a:hlink>
      <a:srgbClr val="304FFE"/>
    </a:hlink>
    <a:folHlink>
      <a:srgbClr val="492067"/>
    </a:folHlink>
  </a:clrScheme>
  <a:fontScheme name="微软雅黑">
    <a:majorFont>
      <a:latin typeface="Arial"/>
      <a:ea typeface="微软雅黑"/>
      <a:cs typeface=""/>
    </a:majorFont>
    <a:minorFont>
      <a:latin typeface="Arial"/>
      <a:ea typeface="微软雅黑"/>
      <a:cs typeface=""/>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word/theme/themeOverride2.xml><?xml version="1.0" encoding="utf-8"?>
<a:themeOverride xmlns:a="http://schemas.openxmlformats.org/drawingml/2006/main">
  <a:clrScheme name="自定义 14">
    <a:dk1>
      <a:srgbClr val="000000"/>
    </a:dk1>
    <a:lt1>
      <a:srgbClr val="FFFFFF"/>
    </a:lt1>
    <a:dk2>
      <a:srgbClr val="44546A"/>
    </a:dk2>
    <a:lt2>
      <a:srgbClr val="E7E6E6"/>
    </a:lt2>
    <a:accent1>
      <a:srgbClr val="3DB8BF"/>
    </a:accent1>
    <a:accent2>
      <a:srgbClr val="7A7D85"/>
    </a:accent2>
    <a:accent3>
      <a:srgbClr val="4D4F57"/>
    </a:accent3>
    <a:accent4>
      <a:srgbClr val="025F85"/>
    </a:accent4>
    <a:accent5>
      <a:srgbClr val="0070C0"/>
    </a:accent5>
    <a:accent6>
      <a:srgbClr val="00B0F0"/>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word/theme/themeOverride3.xml><?xml version="1.0" encoding="utf-8"?>
<a:themeOverride xmlns:a="http://schemas.openxmlformats.org/drawingml/2006/main">
  <a:clrScheme name="自定义 1">
    <a:dk1>
      <a:srgbClr val="000000"/>
    </a:dk1>
    <a:lt1>
      <a:srgbClr val="FFFFFF"/>
    </a:lt1>
    <a:dk2>
      <a:srgbClr val="44546A"/>
    </a:dk2>
    <a:lt2>
      <a:srgbClr val="E7E6E6"/>
    </a:lt2>
    <a:accent1>
      <a:srgbClr val="4F80FF"/>
    </a:accent1>
    <a:accent2>
      <a:srgbClr val="16CC8A"/>
    </a:accent2>
    <a:accent3>
      <a:srgbClr val="FFC619"/>
    </a:accent3>
    <a:accent4>
      <a:srgbClr val="FF7F41"/>
    </a:accent4>
    <a:accent5>
      <a:srgbClr val="F95F5F"/>
    </a:accent5>
    <a:accent6>
      <a:srgbClr val="A15CFF"/>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4319</Words>
  <Characters>4619</Characters>
  <Lines>61</Lines>
  <Paragraphs>17</Paragraphs>
  <TotalTime>4</TotalTime>
  <ScaleCrop>false</ScaleCrop>
  <LinksUpToDate>false</LinksUpToDate>
  <CharactersWithSpaces>4672</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2026-08-04T01:27:00Z</cp:lastPrinted>
  <dcterms:modified xsi:type="dcterms:W3CDTF">2026-09-15T10:41:10Z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62B79B6CF4B646D69DDFF840121C5DC8_13</vt:lpwstr>
  </property>
  <property fmtid="{D5CDD505-2E9C-101B-9397-08002B2CF9AE}" pid="4" name="KSOTemplateDocerSaveRecord">
    <vt:lpwstr>eyJoZGlkIjoiZjhhMTU2OTY2ZjA3NjM3MDQwMmM2MjA2YTg1MTMyMzMiLCJ1c2VySWQiOiI0NjE0NTQ4NDEifQ==</vt:lpwstr>
  </property>
</Properties>
</file>