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Override PartName="/word/theme/themeOverride5.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Times New Roman" w:hAnsi="Times New Roman" w:eastAsia="方正小标宋简体" w:cs="Times New Roman"/>
          <w:color w:val="auto"/>
          <w:kern w:val="2"/>
          <w:sz w:val="72"/>
          <w:szCs w:val="72"/>
          <w:highlight w:val="none"/>
          <w:lang w:val="en-US" w:eastAsia="zh-CN" w:bidi="ar-SA"/>
        </w:rPr>
      </w:pPr>
      <w:bookmarkStart w:id="0" w:name="_Toc15378441"/>
      <w:bookmarkStart w:id="1" w:name="_Toc15396597"/>
      <w:bookmarkStart w:id="2" w:name="_Toc15377425"/>
      <w:bookmarkStart w:id="3" w:name="_Toc15396475"/>
      <w:bookmarkStart w:id="4" w:name="_Toc15377193"/>
      <w:bookmarkStart w:id="5" w:name="_Toc15306267"/>
    </w:p>
    <w:p>
      <w:pPr>
        <w:pStyle w:val="2"/>
        <w:rPr>
          <w:rFonts w:hint="eastAsia" w:ascii="Times New Roman" w:hAnsi="Times New Roman" w:eastAsia="方正小标宋简体" w:cs="Times New Roman"/>
          <w:color w:val="auto"/>
          <w:kern w:val="2"/>
          <w:sz w:val="72"/>
          <w:szCs w:val="72"/>
          <w:highlight w:val="none"/>
          <w:lang w:val="en-US" w:eastAsia="zh-CN" w:bidi="ar-SA"/>
        </w:rPr>
      </w:pPr>
    </w:p>
    <w:p>
      <w:pPr>
        <w:pStyle w:val="2"/>
        <w:rPr>
          <w:rFonts w:hint="eastAsia" w:ascii="Times New Roman" w:hAnsi="Times New Roman" w:eastAsia="方正小标宋简体" w:cs="Times New Roman"/>
          <w:color w:val="auto"/>
          <w:kern w:val="2"/>
          <w:sz w:val="72"/>
          <w:szCs w:val="72"/>
          <w:highlight w:val="none"/>
          <w:lang w:val="en-US" w:eastAsia="zh-CN" w:bidi="ar-SA"/>
        </w:rPr>
      </w:pPr>
    </w:p>
    <w:p>
      <w:pPr>
        <w:pStyle w:val="2"/>
        <w:rPr>
          <w:rFonts w:hint="eastAsia" w:ascii="Times New Roman" w:hAnsi="Times New Roman" w:eastAsia="方正小标宋简体" w:cs="Times New Roman"/>
          <w:color w:val="auto"/>
          <w:kern w:val="2"/>
          <w:sz w:val="72"/>
          <w:szCs w:val="72"/>
          <w:highlight w:val="none"/>
          <w:lang w:val="en-US" w:eastAsia="zh-CN" w:bidi="ar-SA"/>
        </w:rPr>
      </w:pPr>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2025年度市</w:t>
      </w:r>
      <w:r>
        <w:rPr>
          <w:rFonts w:hint="eastAsia" w:ascii="Times New Roman" w:hAnsi="Times New Roman" w:eastAsia="方正小标宋简体" w:cs="Times New Roman"/>
          <w:color w:val="auto"/>
          <w:kern w:val="2"/>
          <w:sz w:val="44"/>
          <w:szCs w:val="44"/>
          <w:highlight w:val="none"/>
          <w:lang w:val="en-US" w:eastAsia="zh-CN" w:bidi="ar-SA"/>
        </w:rPr>
        <w:t>级单位决算</w:t>
      </w:r>
    </w:p>
    <w:p>
      <w:pPr>
        <w:pStyle w:val="2"/>
        <w:jc w:val="center"/>
        <w:outlineLvl w:val="0"/>
        <w:rPr>
          <w:rFonts w:hint="default" w:ascii="Times New Roman" w:hAnsi="Times New Roman" w:eastAsia="方正小标宋简体" w:cs="Times New Roman"/>
          <w:color w:val="auto"/>
          <w:kern w:val="2"/>
          <w:sz w:val="44"/>
          <w:szCs w:val="44"/>
          <w:highlight w:val="none"/>
          <w:lang w:val="en-US" w:eastAsia="zh-CN" w:bidi="ar-SA"/>
        </w:rPr>
      </w:pPr>
      <w:bookmarkStart w:id="6" w:name="_Toc2592"/>
      <w:bookmarkStart w:id="7" w:name="_Toc16802"/>
      <w:r>
        <w:rPr>
          <w:rFonts w:hint="eastAsia" w:ascii="Times New Roman" w:hAnsi="Times New Roman" w:eastAsia="方正小标宋简体" w:cs="Times New Roman"/>
          <w:color w:val="auto"/>
          <w:kern w:val="2"/>
          <w:sz w:val="44"/>
          <w:szCs w:val="44"/>
          <w:highlight w:val="none"/>
          <w:lang w:val="en-US" w:eastAsia="zh-CN" w:bidi="ar-SA"/>
        </w:rPr>
        <w:t>公开</w:t>
      </w:r>
      <w:r>
        <w:rPr>
          <w:rFonts w:hint="eastAsia" w:ascii="Times New Roman" w:eastAsia="方正小标宋简体" w:cs="Times New Roman"/>
          <w:color w:val="auto"/>
          <w:kern w:val="2"/>
          <w:sz w:val="44"/>
          <w:szCs w:val="44"/>
          <w:highlight w:val="none"/>
          <w:lang w:val="en-US" w:eastAsia="zh-CN" w:bidi="ar-SA"/>
        </w:rPr>
        <w:t>编制</w:t>
      </w:r>
      <w:r>
        <w:rPr>
          <w:rFonts w:hint="eastAsia" w:ascii="Times New Roman" w:hAnsi="Times New Roman" w:eastAsia="方正小标宋简体" w:cs="Times New Roman"/>
          <w:color w:val="auto"/>
          <w:kern w:val="2"/>
          <w:sz w:val="44"/>
          <w:szCs w:val="44"/>
          <w:highlight w:val="none"/>
          <w:lang w:val="en-US" w:eastAsia="zh-CN" w:bidi="ar-SA"/>
        </w:rPr>
        <w:t>说明</w:t>
      </w:r>
      <w:bookmarkEnd w:id="6"/>
      <w:bookmarkEnd w:id="7"/>
    </w:p>
    <w:p>
      <w:pPr>
        <w:spacing w:line="600" w:lineRule="exact"/>
        <w:jc w:val="center"/>
        <w:outlineLvl w:val="9"/>
        <w:rPr>
          <w:rFonts w:ascii="Times New Roman" w:hAnsi="Times New Roman" w:eastAsia="方正小标宋简体"/>
          <w:color w:val="auto"/>
          <w:sz w:val="72"/>
          <w:szCs w:val="72"/>
          <w:highlight w:val="none"/>
        </w:rPr>
      </w:pPr>
    </w:p>
    <w:p>
      <w:pPr>
        <w:pStyle w:val="19"/>
        <w:outlineLvl w:val="9"/>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rPr>
          <w:rFonts w:ascii="Times New Roman" w:hAnsi="Times New Roman"/>
        </w:rPr>
      </w:pPr>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pPr>
        <w:pStyle w:val="2"/>
        <w:jc w:val="center"/>
        <w:rPr>
          <w:rFonts w:hint="default" w:ascii="Times New Roman" w:eastAsia="方正小标宋简体" w:cs="Times New Roman"/>
          <w:color w:val="auto"/>
          <w:kern w:val="2"/>
          <w:sz w:val="44"/>
          <w:szCs w:val="44"/>
          <w:highlight w:val="none"/>
          <w:lang w:val="en-US" w:eastAsia="zh-CN" w:bidi="ar-SA"/>
        </w:rPr>
      </w:pPr>
      <w:bookmarkStart w:id="8" w:name="_Toc15396476"/>
      <w:bookmarkStart w:id="9" w:name="_Toc15396598"/>
      <w:bookmarkStart w:id="10" w:name="_Toc15377426"/>
      <w:bookmarkStart w:id="11" w:name="_Toc15377194"/>
      <w:bookmarkStart w:id="12" w:name="_Toc15378442"/>
      <w:r>
        <w:rPr>
          <w:rFonts w:hint="eastAsia" w:ascii="Times New Roman" w:eastAsia="方正小标宋简体" w:cs="Times New Roman"/>
          <w:color w:val="auto"/>
          <w:kern w:val="2"/>
          <w:sz w:val="44"/>
          <w:szCs w:val="44"/>
          <w:highlight w:val="none"/>
          <w:lang w:val="en-US" w:eastAsia="zh-CN" w:bidi="ar-SA"/>
        </w:rPr>
        <w:t>2025年度</w:t>
      </w:r>
    </w:p>
    <w:bookmarkEnd w:id="5"/>
    <w:bookmarkEnd w:id="8"/>
    <w:bookmarkEnd w:id="9"/>
    <w:bookmarkEnd w:id="10"/>
    <w:bookmarkEnd w:id="11"/>
    <w:bookmarkEnd w:id="12"/>
    <w:p>
      <w:pPr>
        <w:pStyle w:val="2"/>
        <w:jc w:val="center"/>
        <w:outlineLvl w:val="0"/>
        <w:rPr>
          <w:rFonts w:hint="eastAsia" w:ascii="Times New Roman" w:eastAsia="方正小标宋简体"/>
          <w:kern w:val="2"/>
          <w:sz w:val="44"/>
          <w:szCs w:val="44"/>
          <w:lang w:val="en-US" w:eastAsia="zh-CN"/>
        </w:rPr>
      </w:pPr>
      <w:bookmarkStart w:id="13" w:name="_Toc26207"/>
      <w:bookmarkStart w:id="14" w:name="_Toc27500"/>
      <w:r>
        <w:rPr>
          <w:rFonts w:hint="eastAsia" w:ascii="Times New Roman" w:eastAsia="方正小标宋简体"/>
          <w:kern w:val="2"/>
          <w:sz w:val="44"/>
          <w:szCs w:val="44"/>
        </w:rPr>
        <w:t>攀枝花市</w:t>
      </w:r>
      <w:bookmarkStart w:id="15" w:name="_Toc15306268"/>
      <w:r>
        <w:rPr>
          <w:rFonts w:hint="eastAsia" w:ascii="Times New Roman" w:eastAsia="方正小标宋简体"/>
          <w:kern w:val="2"/>
          <w:sz w:val="44"/>
          <w:szCs w:val="44"/>
          <w:lang w:val="en-US" w:eastAsia="zh-CN"/>
        </w:rPr>
        <w:t>城市建设资金中心</w:t>
      </w:r>
      <w:bookmarkEnd w:id="13"/>
      <w:bookmarkEnd w:id="14"/>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kern w:val="2"/>
          <w:sz w:val="44"/>
          <w:szCs w:val="44"/>
          <w:lang w:val="en-US" w:eastAsia="zh-CN"/>
        </w:rPr>
        <w:t>单位</w:t>
      </w:r>
      <w:r>
        <w:rPr>
          <w:rFonts w:hint="eastAsia" w:ascii="Times New Roman" w:eastAsia="方正小标宋简体"/>
          <w:kern w:val="2"/>
          <w:sz w:val="44"/>
          <w:szCs w:val="44"/>
        </w:rPr>
        <w:t>决算</w:t>
      </w:r>
      <w:bookmarkEnd w:id="15"/>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both"/>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sectPr>
          <w:footerReference r:id="rId5" w:type="default"/>
          <w:pgSz w:w="11906" w:h="16838"/>
          <w:pgMar w:top="1440" w:right="1800" w:bottom="1440" w:left="1800" w:header="851" w:footer="992" w:gutter="0"/>
          <w:pgNumType w:fmt="decimal" w:start="1"/>
          <w:cols w:space="425" w:num="1"/>
          <w:docGrid w:type="lines" w:linePitch="312" w:charSpace="0"/>
        </w:sect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15</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47478671"/>
        <w15:color w:val="DBDBDB"/>
        <w:docPartObj>
          <w:docPartGallery w:val="Table of Contents"/>
          <w:docPartUnique/>
        </w:docPartObj>
      </w:sdtPr>
      <w:sdtEndPr>
        <w:rPr>
          <w:rFonts w:hint="eastAsia" w:ascii="Times New Roman" w:hAnsi="Times New Roman" w:eastAsia="宋体" w:cs="Times New Roman"/>
          <w:b/>
          <w:kern w:val="2"/>
          <w:sz w:val="21"/>
          <w:szCs w:val="24"/>
          <w:lang w:val="en-US" w:eastAsia="zh-CN" w:bidi="ar-SA"/>
        </w:rPr>
      </w:sdtEndPr>
      <w:sdtContent>
        <w:p>
          <w:r>
            <w:rPr>
              <w:rFonts w:hint="eastAsia"/>
            </w:rPr>
            <w:fldChar w:fldCharType="begin"/>
          </w:r>
          <w:r>
            <w:rPr>
              <w:rFonts w:hint="eastAsia"/>
            </w:rPr>
            <w:instrText xml:space="preserve">TOC \o "1-2" \h \u </w:instrText>
          </w:r>
          <w:r>
            <w:rPr>
              <w:rFonts w:hint="eastAsia"/>
            </w:rPr>
            <w:fldChar w:fldCharType="separate"/>
          </w:r>
        </w:p>
        <w:p>
          <w:pPr>
            <w:pStyle w:val="12"/>
            <w:tabs>
              <w:tab w:val="right" w:leader="dot" w:pos="8306"/>
              <w:tab w:val="clear" w:pos="8296"/>
            </w:tabs>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_Toc28402 </w:instrText>
          </w:r>
          <w:r>
            <w:rPr>
              <w:rFonts w:hint="eastAsia" w:ascii="黑体" w:hAnsi="黑体" w:eastAsia="黑体" w:cs="黑体"/>
              <w:sz w:val="32"/>
              <w:szCs w:val="32"/>
            </w:rPr>
            <w:fldChar w:fldCharType="separate"/>
          </w:r>
          <w:r>
            <w:rPr>
              <w:rFonts w:hint="eastAsia" w:ascii="黑体" w:hAnsi="黑体" w:eastAsia="黑体" w:cs="黑体"/>
              <w:sz w:val="32"/>
              <w:szCs w:val="32"/>
              <w:highlight w:val="none"/>
            </w:rPr>
            <w:t>第一部分</w:t>
          </w:r>
          <w:r>
            <w:rPr>
              <w:rFonts w:hint="eastAsia" w:ascii="黑体" w:hAnsi="黑体" w:eastAsia="黑体" w:cs="黑体"/>
              <w:sz w:val="32"/>
              <w:szCs w:val="32"/>
              <w:highlight w:val="none"/>
              <w:lang w:val="en-US" w:eastAsia="zh-CN"/>
            </w:rPr>
            <w:t xml:space="preserve"> </w:t>
          </w:r>
          <w:r>
            <w:rPr>
              <w:rFonts w:hint="eastAsia" w:ascii="黑体" w:hAnsi="黑体" w:eastAsia="黑体" w:cs="黑体"/>
              <w:sz w:val="32"/>
              <w:szCs w:val="32"/>
              <w:highlight w:val="none"/>
            </w:rPr>
            <w:t xml:space="preserve"> </w:t>
          </w:r>
          <w:r>
            <w:rPr>
              <w:rFonts w:hint="eastAsia" w:ascii="黑体" w:hAnsi="黑体" w:eastAsia="黑体" w:cs="黑体"/>
              <w:bCs w:val="0"/>
              <w:sz w:val="32"/>
              <w:szCs w:val="32"/>
              <w:highlight w:val="none"/>
              <w:lang w:val="en-US" w:eastAsia="zh-CN"/>
            </w:rPr>
            <w:t>单位</w:t>
          </w:r>
          <w:r>
            <w:rPr>
              <w:rFonts w:hint="eastAsia" w:ascii="黑体" w:hAnsi="黑体" w:eastAsia="黑体" w:cs="黑体"/>
              <w:bCs w:val="0"/>
              <w:sz w:val="32"/>
              <w:szCs w:val="32"/>
              <w:highlight w:val="none"/>
            </w:rPr>
            <w:t>概况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_Toc28402 \h </w:instrText>
          </w:r>
          <w:r>
            <w:rPr>
              <w:rFonts w:hint="eastAsia" w:ascii="黑体" w:hAnsi="黑体" w:eastAsia="黑体" w:cs="黑体"/>
              <w:sz w:val="32"/>
              <w:szCs w:val="32"/>
            </w:rPr>
            <w:fldChar w:fldCharType="separate"/>
          </w:r>
          <w:r>
            <w:rPr>
              <w:rFonts w:hint="eastAsia" w:ascii="黑体" w:hAnsi="黑体" w:eastAsia="黑体" w:cs="黑体"/>
              <w:sz w:val="32"/>
              <w:szCs w:val="32"/>
            </w:rPr>
            <w:t>1</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_Toc23057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highlight w:val="none"/>
              <w:lang w:val="en-US" w:eastAsia="zh-CN"/>
            </w:rPr>
            <w:t>单位</w:t>
          </w:r>
          <w:r>
            <w:rPr>
              <w:rFonts w:hint="eastAsia" w:ascii="仿宋_GB2312" w:hAnsi="仿宋_GB2312" w:eastAsia="仿宋_GB2312" w:cs="仿宋_GB2312"/>
              <w:sz w:val="32"/>
              <w:szCs w:val="32"/>
              <w:highlight w:val="none"/>
              <w:lang w:eastAsia="zh-CN"/>
            </w:rPr>
            <w:t>职责</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_Toc23057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_Toc13265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二、机</w:t>
          </w:r>
          <w:r>
            <w:rPr>
              <w:rFonts w:hint="eastAsia" w:ascii="仿宋_GB2312" w:hAnsi="仿宋_GB2312" w:eastAsia="仿宋_GB2312" w:cs="仿宋_GB2312"/>
              <w:bCs w:val="0"/>
              <w:sz w:val="32"/>
              <w:szCs w:val="32"/>
              <w:highlight w:val="none"/>
            </w:rPr>
            <w:t>构设置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_Toc13265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12"/>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_Toc8363 </w:instrText>
          </w:r>
          <w:r>
            <w:rPr>
              <w:rFonts w:hint="eastAsia" w:ascii="黑体" w:hAnsi="黑体" w:eastAsia="黑体" w:cs="黑体"/>
              <w:sz w:val="32"/>
              <w:szCs w:val="32"/>
            </w:rPr>
            <w:fldChar w:fldCharType="separate"/>
          </w:r>
          <w:r>
            <w:rPr>
              <w:rFonts w:hint="eastAsia" w:ascii="黑体" w:hAnsi="黑体" w:eastAsia="黑体" w:cs="黑体"/>
              <w:sz w:val="32"/>
              <w:szCs w:val="32"/>
            </w:rPr>
            <w:t>第二部分</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 xml:space="preserve"> </w:t>
          </w:r>
          <w:r>
            <w:rPr>
              <w:rFonts w:hint="eastAsia" w:ascii="黑体" w:hAnsi="黑体" w:eastAsia="黑体" w:cs="黑体"/>
              <w:sz w:val="32"/>
              <w:szCs w:val="32"/>
              <w:lang w:val="en-US" w:eastAsia="zh-CN"/>
            </w:rPr>
            <w:t>2025年度单位</w:t>
          </w:r>
          <w:r>
            <w:rPr>
              <w:rFonts w:hint="eastAsia" w:ascii="黑体" w:hAnsi="黑体" w:eastAsia="黑体" w:cs="黑体"/>
              <w:sz w:val="32"/>
              <w:szCs w:val="32"/>
            </w:rPr>
            <w:t>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_Toc8363 \h </w:instrText>
          </w:r>
          <w:r>
            <w:rPr>
              <w:rFonts w:hint="eastAsia" w:ascii="黑体" w:hAnsi="黑体" w:eastAsia="黑体" w:cs="黑体"/>
              <w:sz w:val="32"/>
              <w:szCs w:val="32"/>
            </w:rPr>
            <w:fldChar w:fldCharType="separate"/>
          </w:r>
          <w:r>
            <w:rPr>
              <w:rFonts w:hint="eastAsia" w:ascii="黑体" w:hAnsi="黑体" w:eastAsia="黑体" w:cs="黑体"/>
              <w:sz w:val="32"/>
              <w:szCs w:val="32"/>
            </w:rPr>
            <w:t>2</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_Toc18810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一、</w:t>
          </w:r>
          <w:r>
            <w:rPr>
              <w:rFonts w:hint="eastAsia" w:ascii="仿宋_GB2312" w:hAnsi="仿宋_GB2312" w:eastAsia="仿宋_GB2312" w:cs="仿宋_GB2312"/>
              <w:sz w:val="32"/>
              <w:szCs w:val="32"/>
              <w:highlight w:val="none"/>
            </w:rPr>
            <w:t>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_Toc18810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_Toc31134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二、收入决算情况说明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_Toc31134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_Toc21756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三、</w:t>
          </w:r>
          <w:r>
            <w:rPr>
              <w:rFonts w:hint="eastAsia" w:ascii="仿宋_GB2312" w:hAnsi="仿宋_GB2312" w:eastAsia="仿宋_GB2312" w:cs="仿宋_GB2312"/>
              <w:sz w:val="32"/>
              <w:szCs w:val="32"/>
              <w:highlight w:val="none"/>
            </w:rPr>
            <w:t>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_Toc21756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_Toc13632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四、财政拨款收入支出决算总体情况说明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_Toc13632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_Toc7518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五、一般公共预算财政拨款支出决算情况说明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_Toc7518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_Toc6515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六、一般公共预算财政拨款基本支出决算情况说明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_Toc6515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_Toc19090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七、财政拨款“三公”经费支出决算情况说明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_Toc19090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_Toc16142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八、政府性基金预算支出决算情况说明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_Toc16142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_Toc8768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九、</w:t>
          </w:r>
          <w:r>
            <w:rPr>
              <w:rFonts w:hint="eastAsia" w:ascii="仿宋_GB2312" w:hAnsi="仿宋_GB2312" w:eastAsia="仿宋_GB2312" w:cs="仿宋_GB2312"/>
              <w:sz w:val="32"/>
              <w:szCs w:val="32"/>
              <w:highlight w:val="none"/>
            </w:rPr>
            <w:t>国有资本经营预算支出决算情况说明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_Toc8768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14"/>
            <w:tabs>
              <w:tab w:val="right" w:leader="dot" w:pos="8306"/>
              <w:tab w:val="clear" w:pos="8296"/>
            </w:tabs>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_Toc28197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十、</w:t>
          </w:r>
          <w:r>
            <w:rPr>
              <w:rFonts w:hint="eastAsia" w:ascii="仿宋_GB2312" w:hAnsi="仿宋_GB2312" w:eastAsia="仿宋_GB2312" w:cs="仿宋_GB2312"/>
              <w:sz w:val="32"/>
              <w:szCs w:val="32"/>
              <w:highlight w:val="none"/>
            </w:rPr>
            <w:t>其他重要事项的情况说明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_Toc28197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12"/>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_Toc17334 </w:instrText>
          </w:r>
          <w:r>
            <w:rPr>
              <w:rFonts w:hint="eastAsia" w:ascii="黑体" w:hAnsi="黑体" w:eastAsia="黑体" w:cs="黑体"/>
              <w:sz w:val="32"/>
              <w:szCs w:val="32"/>
            </w:rPr>
            <w:fldChar w:fldCharType="separate"/>
          </w:r>
          <w:r>
            <w:rPr>
              <w:rFonts w:hint="eastAsia" w:ascii="黑体" w:hAnsi="黑体" w:eastAsia="黑体" w:cs="黑体"/>
              <w:sz w:val="32"/>
              <w:szCs w:val="32"/>
            </w:rPr>
            <w:t>第</w:t>
          </w:r>
          <w:r>
            <w:rPr>
              <w:rFonts w:hint="eastAsia" w:ascii="黑体" w:hAnsi="黑体" w:eastAsia="黑体" w:cs="黑体"/>
              <w:sz w:val="32"/>
              <w:szCs w:val="32"/>
              <w:lang w:eastAsia="zh-CN"/>
            </w:rPr>
            <w:t>三</w:t>
          </w:r>
          <w:r>
            <w:rPr>
              <w:rFonts w:hint="eastAsia" w:ascii="黑体" w:hAnsi="黑体" w:eastAsia="黑体" w:cs="黑体"/>
              <w:sz w:val="32"/>
              <w:szCs w:val="32"/>
            </w:rPr>
            <w:t>部分</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名词解释</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_Toc17334 \h </w:instrText>
          </w:r>
          <w:r>
            <w:rPr>
              <w:rFonts w:hint="eastAsia" w:ascii="黑体" w:hAnsi="黑体" w:eastAsia="黑体" w:cs="黑体"/>
              <w:sz w:val="32"/>
              <w:szCs w:val="32"/>
            </w:rPr>
            <w:fldChar w:fldCharType="separate"/>
          </w:r>
          <w:r>
            <w:rPr>
              <w:rFonts w:hint="eastAsia" w:ascii="黑体" w:hAnsi="黑体" w:eastAsia="黑体" w:cs="黑体"/>
              <w:sz w:val="32"/>
              <w:szCs w:val="32"/>
            </w:rPr>
            <w:t>11</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pPr>
            <w:pStyle w:val="12"/>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_Toc18525 </w:instrText>
          </w:r>
          <w:r>
            <w:rPr>
              <w:rFonts w:hint="eastAsia" w:ascii="黑体" w:hAnsi="黑体" w:eastAsia="黑体" w:cs="黑体"/>
              <w:sz w:val="32"/>
              <w:szCs w:val="32"/>
            </w:rPr>
            <w:fldChar w:fldCharType="separate"/>
          </w:r>
          <w:r>
            <w:rPr>
              <w:rFonts w:hint="eastAsia" w:ascii="黑体" w:hAnsi="黑体" w:eastAsia="黑体" w:cs="黑体"/>
              <w:sz w:val="32"/>
              <w:szCs w:val="32"/>
            </w:rPr>
            <w:t>第四部分</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 xml:space="preserve"> 附件</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_Toc18525 \h </w:instrText>
          </w:r>
          <w:r>
            <w:rPr>
              <w:rFonts w:hint="eastAsia" w:ascii="黑体" w:hAnsi="黑体" w:eastAsia="黑体" w:cs="黑体"/>
              <w:sz w:val="32"/>
              <w:szCs w:val="32"/>
            </w:rPr>
            <w:fldChar w:fldCharType="separate"/>
          </w:r>
          <w:r>
            <w:rPr>
              <w:rFonts w:hint="eastAsia" w:ascii="黑体" w:hAnsi="黑体" w:eastAsia="黑体" w:cs="黑体"/>
              <w:sz w:val="32"/>
              <w:szCs w:val="32"/>
            </w:rPr>
            <w:t>13</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pPr>
            <w:pStyle w:val="12"/>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_Toc25457 </w:instrText>
          </w:r>
          <w:r>
            <w:rPr>
              <w:rFonts w:hint="eastAsia" w:ascii="黑体" w:hAnsi="黑体" w:eastAsia="黑体" w:cs="黑体"/>
              <w:sz w:val="32"/>
              <w:szCs w:val="32"/>
            </w:rPr>
            <w:fldChar w:fldCharType="separate"/>
          </w:r>
          <w:r>
            <w:rPr>
              <w:rFonts w:hint="eastAsia" w:ascii="黑体" w:hAnsi="黑体" w:eastAsia="黑体" w:cs="黑体"/>
              <w:sz w:val="32"/>
              <w:szCs w:val="32"/>
            </w:rPr>
            <w:t xml:space="preserve">第五部分 </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附表</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_Toc25457 \h </w:instrText>
          </w:r>
          <w:r>
            <w:rPr>
              <w:rFonts w:hint="eastAsia" w:ascii="黑体" w:hAnsi="黑体" w:eastAsia="黑体" w:cs="黑体"/>
              <w:sz w:val="32"/>
              <w:szCs w:val="32"/>
            </w:rPr>
            <w:fldChar w:fldCharType="separate"/>
          </w:r>
          <w:r>
            <w:rPr>
              <w:rFonts w:hint="eastAsia" w:ascii="黑体" w:hAnsi="黑体" w:eastAsia="黑体" w:cs="黑体"/>
              <w:sz w:val="32"/>
              <w:szCs w:val="32"/>
            </w:rPr>
            <w:t>14</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_Toc12851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一、收入支出决算总表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_Toc12851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_Toc17376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二、收入决算表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_Toc17376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_Toc15151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三、支出决算表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_Toc15151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_Toc7603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四、财政拨款收入支出决算总表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_Toc7603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_Toc29823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五、财政拨款支出决算明细表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_Toc29823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_Toc11774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六、一般公共预算财政拨款支出决算表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_Toc11774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_Toc23815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七、一般公共预算财政拨款支出决算明细表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_Toc23815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_Toc15822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八、一般公共预算财政拨款基本支出决算</w:t>
          </w:r>
          <w:r>
            <w:rPr>
              <w:rFonts w:hint="eastAsia" w:ascii="仿宋_GB2312" w:hAnsi="仿宋_GB2312" w:eastAsia="仿宋_GB2312" w:cs="仿宋_GB2312"/>
              <w:sz w:val="32"/>
              <w:szCs w:val="32"/>
              <w:lang w:eastAsia="zh-CN"/>
            </w:rPr>
            <w:t>明细</w:t>
          </w:r>
          <w:r>
            <w:rPr>
              <w:rFonts w:hint="eastAsia" w:ascii="仿宋_GB2312" w:hAnsi="仿宋_GB2312" w:eastAsia="仿宋_GB2312" w:cs="仿宋_GB2312"/>
              <w:sz w:val="32"/>
              <w:szCs w:val="32"/>
            </w:rPr>
            <w:t>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_Toc15822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_Toc4233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九、一般公共预算财政拨款项目支出决算表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_Toc4233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_Toc15640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十、政府性基金预算财政拨款收入支出决算表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_Toc15640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_Toc32092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十一、国有资本经营预算财政拨款收入支出决算表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_Toc32092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_Toc3625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十二、国有资本经营预算财政拨款支出决算表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_Toc3625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_Toc15526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十三、财政拨款“三公”经费支出决算表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_Toc15526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spacing w:before="0" w:beforeLines="0" w:after="0" w:afterLines="0" w:line="240" w:lineRule="auto"/>
            <w:ind w:left="0" w:leftChars="0" w:right="0" w:rightChars="0" w:firstLine="0" w:firstLineChars="0"/>
            <w:jc w:val="center"/>
            <w:rPr>
              <w:rFonts w:hint="eastAsia" w:ascii="Times New Roman" w:hAnsi="Times New Roman" w:eastAsia="宋体" w:cs="Times New Roman"/>
              <w:b/>
              <w:kern w:val="2"/>
              <w:sz w:val="21"/>
              <w:szCs w:val="24"/>
              <w:lang w:val="en-US" w:eastAsia="zh-CN" w:bidi="ar-SA"/>
            </w:rPr>
          </w:pPr>
          <w:r>
            <w:rPr>
              <w:rFonts w:hint="eastAsia"/>
              <w:b/>
            </w:rPr>
            <w:fldChar w:fldCharType="end"/>
          </w:r>
        </w:p>
      </w:sdtContent>
    </w:sdt>
    <w:p>
      <w:pPr>
        <w:pStyle w:val="2"/>
        <w:rPr>
          <w:rFonts w:hint="eastAsia"/>
        </w:rPr>
      </w:pPr>
    </w:p>
    <w:p>
      <w:pPr>
        <w:rPr>
          <w:rFonts w:ascii="Times New Roman" w:hAnsi="Times New Roman"/>
          <w:color w:val="auto"/>
          <w:highlight w:val="none"/>
        </w:rPr>
      </w:pPr>
    </w:p>
    <w:p>
      <w:pPr>
        <w:pStyle w:val="3"/>
        <w:jc w:val="center"/>
        <w:rPr>
          <w:rFonts w:hint="eastAsia" w:ascii="Times New Roman" w:hAnsi="Times New Roman" w:eastAsia="方正小标宋简体" w:cs="方正小标宋简体"/>
          <w:b w:val="0"/>
          <w:color w:val="auto"/>
          <w:highlight w:val="none"/>
        </w:rPr>
        <w:sectPr>
          <w:footerReference r:id="rId6" w:type="default"/>
          <w:pgSz w:w="11906" w:h="16838"/>
          <w:pgMar w:top="1440" w:right="1800" w:bottom="1440" w:left="1800" w:header="851" w:footer="992" w:gutter="0"/>
          <w:pgNumType w:fmt="decimal" w:start="1"/>
          <w:cols w:space="425" w:num="1"/>
          <w:docGrid w:type="lines" w:linePitch="312" w:charSpace="0"/>
        </w:sectPr>
      </w:pPr>
      <w:bookmarkStart w:id="16" w:name="_Toc15396599"/>
      <w:bookmarkStart w:id="17" w:name="_Toc15377196"/>
    </w:p>
    <w:p>
      <w:pPr>
        <w:pStyle w:val="3"/>
        <w:jc w:val="center"/>
        <w:rPr>
          <w:rStyle w:val="28"/>
          <w:rFonts w:hint="eastAsia" w:ascii="Times New Roman" w:hAnsi="Times New Roman" w:eastAsia="方正小标宋简体" w:cs="方正小标宋简体"/>
          <w:b/>
          <w:bCs w:val="0"/>
          <w:color w:val="auto"/>
          <w:highlight w:val="none"/>
        </w:rPr>
      </w:pPr>
      <w:bookmarkStart w:id="18" w:name="_Toc28402"/>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eastAsia="方正小标宋简体" w:cs="方正小标宋简体"/>
          <w:b w:val="0"/>
          <w:bCs w:val="0"/>
          <w:color w:val="auto"/>
          <w:highlight w:val="none"/>
          <w:lang w:val="en-US" w:eastAsia="zh-CN"/>
        </w:rPr>
        <w:t>单位</w:t>
      </w:r>
      <w:r>
        <w:rPr>
          <w:rStyle w:val="28"/>
          <w:rFonts w:hint="eastAsia" w:ascii="Times New Roman" w:hAnsi="Times New Roman" w:eastAsia="方正小标宋简体" w:cs="方正小标宋简体"/>
          <w:b w:val="0"/>
          <w:bCs w:val="0"/>
          <w:color w:val="auto"/>
          <w:highlight w:val="none"/>
        </w:rPr>
        <w:t>概况</w:t>
      </w:r>
      <w:bookmarkEnd w:id="16"/>
      <w:bookmarkEnd w:id="17"/>
      <w:bookmarkEnd w:id="18"/>
    </w:p>
    <w:p>
      <w:pPr>
        <w:widowControl/>
        <w:jc w:val="left"/>
        <w:rPr>
          <w:rFonts w:ascii="Times New Roman" w:hAnsi="Times New Roman" w:eastAsia="黑体"/>
          <w:color w:val="auto"/>
          <w:sz w:val="32"/>
          <w:szCs w:val="32"/>
          <w:highlight w:val="none"/>
        </w:rPr>
      </w:pPr>
    </w:p>
    <w:p>
      <w:pPr>
        <w:pStyle w:val="4"/>
        <w:numPr>
          <w:ilvl w:val="0"/>
          <w:numId w:val="1"/>
        </w:numPr>
        <w:rPr>
          <w:rFonts w:hint="eastAsia" w:ascii="Times New Roman" w:hAnsi="Times New Roman" w:eastAsia="黑体"/>
          <w:b w:val="0"/>
          <w:color w:val="auto"/>
          <w:highlight w:val="none"/>
          <w:lang w:eastAsia="zh-CN"/>
        </w:rPr>
      </w:pPr>
      <w:bookmarkStart w:id="19" w:name="_Toc23057"/>
      <w:r>
        <w:rPr>
          <w:rFonts w:hint="eastAsia" w:ascii="Times New Roman" w:hAnsi="Times New Roman" w:eastAsia="黑体"/>
          <w:b w:val="0"/>
          <w:color w:val="auto"/>
          <w:highlight w:val="none"/>
          <w:lang w:val="en-US" w:eastAsia="zh-CN"/>
        </w:rPr>
        <w:t>单位</w:t>
      </w:r>
      <w:r>
        <w:rPr>
          <w:rFonts w:hint="eastAsia" w:ascii="Times New Roman" w:hAnsi="Times New Roman" w:eastAsia="黑体"/>
          <w:b w:val="0"/>
          <w:color w:val="auto"/>
          <w:highlight w:val="none"/>
          <w:lang w:eastAsia="zh-CN"/>
        </w:rPr>
        <w:t>职责</w:t>
      </w:r>
      <w:bookmarkEnd w:id="19"/>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严格执行《政府性基金管理暂行办法》（财综〔2010〕80号）、《攀枝花市城市建设基础设施配套费管理办法》（攀枝花市人民政府 第77号令）文件规定，负责城市基础设施配套费征收服务工作，做到应收尽收；负责城市基础设施配套费法律法规及征收标准的宣传工作；负责区建设项目城市基础设施配套费征收指导工作；负责对漏缴、拒缴及拖欠城市基础设施配套费的单位及个人开展依法依规追缴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lang w:eastAsia="zh-CN"/>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全面做好房改房维修资金管理工作，严格执行国家、省、市级关于维修资金缴存、支取的文件规定，确保合理、有效的使用</w:t>
      </w:r>
      <w:r>
        <w:rPr>
          <w:rFonts w:hint="eastAsia" w:ascii="仿宋_GB2312" w:hAnsi="仿宋_GB2312" w:eastAsia="仿宋_GB2312" w:cs="仿宋_GB2312"/>
          <w:color w:val="auto"/>
          <w:sz w:val="32"/>
          <w:szCs w:val="32"/>
          <w:highlight w:val="none"/>
          <w:lang w:val="en-US" w:eastAsia="zh-CN"/>
        </w:rPr>
        <w:t>房改房</w:t>
      </w:r>
      <w:r>
        <w:rPr>
          <w:rFonts w:hint="eastAsia" w:ascii="仿宋_GB2312" w:hAnsi="仿宋_GB2312" w:eastAsia="仿宋_GB2312" w:cs="仿宋_GB2312"/>
          <w:color w:val="auto"/>
          <w:sz w:val="32"/>
          <w:szCs w:val="32"/>
          <w:highlight w:val="none"/>
        </w:rPr>
        <w:t>维修资金，服务人民群众。</w:t>
      </w:r>
    </w:p>
    <w:p>
      <w:pPr>
        <w:pStyle w:val="4"/>
        <w:rPr>
          <w:rStyle w:val="29"/>
          <w:rFonts w:ascii="Times New Roman" w:hAnsi="Times New Roman"/>
          <w:b w:val="0"/>
          <w:bCs w:val="0"/>
          <w:color w:val="auto"/>
          <w:highlight w:val="none"/>
        </w:rPr>
      </w:pPr>
      <w:bookmarkStart w:id="20" w:name="_Toc15396601"/>
      <w:bookmarkStart w:id="21" w:name="_Toc15377200"/>
      <w:bookmarkStart w:id="22" w:name="_Toc13265"/>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20"/>
      <w:bookmarkEnd w:id="21"/>
      <w:bookmarkEnd w:id="22"/>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攀枝花市城市建设资金中心</w:t>
      </w:r>
      <w:r>
        <w:rPr>
          <w:rFonts w:hint="eastAsia" w:ascii="仿宋_GB2312" w:hAnsi="仿宋_GB2312" w:eastAsia="仿宋_GB2312" w:cs="仿宋_GB2312"/>
          <w:color w:val="auto"/>
          <w:sz w:val="32"/>
          <w:szCs w:val="32"/>
          <w:highlight w:val="none"/>
          <w:lang w:eastAsia="zh-CN"/>
        </w:rPr>
        <w:t>属攀枝花市住房和城乡建设局下属公益一类科级事业单位，</w:t>
      </w:r>
      <w:r>
        <w:rPr>
          <w:rFonts w:hint="eastAsia" w:ascii="仿宋_GB2312" w:hAnsi="仿宋_GB2312" w:eastAsia="仿宋_GB2312" w:cs="仿宋_GB2312"/>
          <w:color w:val="auto"/>
          <w:sz w:val="32"/>
          <w:szCs w:val="32"/>
          <w:highlight w:val="none"/>
          <w:lang w:val="en-US" w:eastAsia="zh-CN"/>
        </w:rPr>
        <w:t>无</w:t>
      </w:r>
      <w:r>
        <w:rPr>
          <w:rFonts w:hint="eastAsia" w:ascii="仿宋_GB2312" w:hAnsi="仿宋_GB2312" w:eastAsia="仿宋_GB2312" w:cs="仿宋_GB2312"/>
          <w:color w:val="auto"/>
          <w:sz w:val="32"/>
          <w:szCs w:val="32"/>
          <w:highlight w:val="none"/>
        </w:rPr>
        <w:t>下属二级</w:t>
      </w:r>
      <w:r>
        <w:rPr>
          <w:rFonts w:hint="eastAsia" w:ascii="仿宋_GB2312" w:hAnsi="仿宋_GB2312" w:eastAsia="仿宋_GB2312" w:cs="仿宋_GB2312"/>
          <w:color w:val="auto"/>
          <w:sz w:val="32"/>
          <w:szCs w:val="32"/>
          <w:highlight w:val="none"/>
          <w:lang w:eastAsia="zh-CN"/>
        </w:rPr>
        <w:t>预算</w:t>
      </w:r>
      <w:r>
        <w:rPr>
          <w:rFonts w:hint="eastAsia" w:ascii="仿宋_GB2312" w:hAnsi="仿宋_GB2312" w:eastAsia="仿宋_GB2312" w:cs="仿宋_GB2312"/>
          <w:color w:val="auto"/>
          <w:sz w:val="32"/>
          <w:szCs w:val="32"/>
          <w:highlight w:val="none"/>
        </w:rPr>
        <w:t>单位</w:t>
      </w:r>
      <w:r>
        <w:rPr>
          <w:rFonts w:hint="eastAsia" w:ascii="仿宋_GB2312" w:hAnsi="仿宋_GB2312" w:eastAsia="仿宋_GB2312" w:cs="仿宋_GB2312"/>
          <w:color w:val="auto"/>
          <w:sz w:val="32"/>
          <w:szCs w:val="32"/>
          <w:highlight w:val="none"/>
          <w:lang w:eastAsia="zh-CN"/>
        </w:rPr>
        <w:t>。</w:t>
      </w:r>
    </w:p>
    <w:p>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3"/>
        <w:jc w:val="center"/>
        <w:rPr>
          <w:rFonts w:hint="eastAsia" w:ascii="Times New Roman" w:hAnsi="Times New Roman" w:eastAsia="方正小标宋简体" w:cs="方正小标宋简体"/>
          <w:b w:val="0"/>
          <w:color w:val="auto"/>
          <w:highlight w:val="none"/>
        </w:rPr>
      </w:pPr>
      <w:bookmarkStart w:id="23" w:name="_Toc8363"/>
      <w:bookmarkStart w:id="24" w:name="_Toc15377204"/>
      <w:bookmarkStart w:id="25"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2025年度单位</w:t>
      </w:r>
      <w:r>
        <w:rPr>
          <w:rFonts w:hint="eastAsia" w:ascii="Times New Roman" w:hAnsi="Times New Roman" w:eastAsia="方正小标宋简体" w:cs="方正小标宋简体"/>
          <w:b w:val="0"/>
          <w:color w:val="auto"/>
          <w:highlight w:val="none"/>
        </w:rPr>
        <w:t>决算情况说明</w:t>
      </w:r>
      <w:bookmarkEnd w:id="23"/>
      <w:bookmarkEnd w:id="24"/>
      <w:bookmarkEnd w:id="25"/>
    </w:p>
    <w:p>
      <w:pPr>
        <w:rPr>
          <w:rFonts w:ascii="Times New Roman" w:hAnsi="Times New Roman"/>
          <w:color w:val="auto"/>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6" w:name="_Toc18810"/>
      <w:bookmarkStart w:id="27" w:name="_Toc15396603"/>
      <w:bookmarkStart w:id="28"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26"/>
      <w:bookmarkEnd w:id="27"/>
      <w:bookmarkEnd w:id="28"/>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 w:eastAsia="仿宋_GB2312"/>
          <w:color w:val="000000"/>
          <w:sz w:val="32"/>
          <w:szCs w:val="32"/>
          <w:highlight w:val="none"/>
          <w:lang w:eastAsia="zh-CN"/>
        </w:rPr>
      </w:pPr>
      <w:bookmarkStart w:id="29" w:name="_Toc10213"/>
      <w:bookmarkStart w:id="30" w:name="_Toc5286"/>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w:t>
      </w:r>
      <w:r>
        <w:rPr>
          <w:rFonts w:hint="eastAsia" w:eastAsia="仿宋_GB2312" w:cs="仿宋_GB2312"/>
          <w:color w:val="auto"/>
          <w:sz w:val="32"/>
          <w:szCs w:val="32"/>
          <w:highlight w:val="none"/>
          <w:lang w:eastAsia="zh-CN"/>
        </w:rPr>
        <w:t>计均为211.21万元。与上年度相比，收入、支出总计各减少</w:t>
      </w:r>
      <w:r>
        <w:rPr>
          <w:rFonts w:hint="eastAsia" w:eastAsia="仿宋_GB2312" w:cs="仿宋_GB2312"/>
          <w:color w:val="auto"/>
          <w:sz w:val="32"/>
          <w:szCs w:val="32"/>
          <w:highlight w:val="none"/>
          <w:lang w:val="en-US" w:eastAsia="zh-CN"/>
        </w:rPr>
        <w:t>12.09</w:t>
      </w:r>
      <w:r>
        <w:rPr>
          <w:rFonts w:hint="eastAsia" w:eastAsia="仿宋_GB2312" w:cs="仿宋_GB2312"/>
          <w:color w:val="auto"/>
          <w:sz w:val="32"/>
          <w:szCs w:val="32"/>
          <w:highlight w:val="none"/>
          <w:lang w:eastAsia="zh-CN"/>
        </w:rPr>
        <w:t>万元，下降</w:t>
      </w:r>
      <w:r>
        <w:rPr>
          <w:rFonts w:hint="eastAsia" w:eastAsia="仿宋_GB2312" w:cs="仿宋_GB2312"/>
          <w:color w:val="auto"/>
          <w:sz w:val="32"/>
          <w:szCs w:val="32"/>
          <w:highlight w:val="none"/>
          <w:lang w:val="en-US" w:eastAsia="zh-CN"/>
        </w:rPr>
        <w:t>5.4</w:t>
      </w:r>
      <w:r>
        <w:rPr>
          <w:rFonts w:hint="eastAsia" w:eastAsia="仿宋_GB2312" w:cs="仿宋_GB2312"/>
          <w:color w:val="auto"/>
          <w:sz w:val="32"/>
          <w:szCs w:val="32"/>
          <w:highlight w:val="none"/>
          <w:lang w:eastAsia="zh-CN"/>
        </w:rPr>
        <w:t>%。主要变动原因是</w:t>
      </w:r>
      <w:r>
        <w:rPr>
          <w:rFonts w:hint="eastAsia" w:eastAsia="仿宋_GB2312" w:cs="仿宋_GB2312"/>
          <w:color w:val="auto"/>
          <w:sz w:val="32"/>
          <w:szCs w:val="32"/>
          <w:highlight w:val="none"/>
          <w:lang w:val="en-US" w:eastAsia="zh-CN"/>
        </w:rPr>
        <w:t>2025年在职职工减少1人，相应经费减少</w:t>
      </w:r>
      <w:bookmarkEnd w:id="29"/>
      <w:bookmarkEnd w:id="30"/>
      <w:r>
        <w:rPr>
          <w:rFonts w:hint="eastAsia" w:eastAsia="仿宋_GB2312" w:cs="仿宋_GB2312"/>
          <w:color w:val="auto"/>
          <w:sz w:val="32"/>
          <w:szCs w:val="32"/>
          <w:highlight w:val="none"/>
          <w:lang w:val="en-US"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9"/>
        <w:rPr>
          <w:rFonts w:hint="eastAsia" w:ascii="仿宋_GB2312" w:hAnsi="仿宋" w:eastAsia="仿宋_GB2312"/>
          <w:color w:val="000000"/>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59264" behindDoc="1" locked="0" layoutInCell="1" allowOverlap="1">
            <wp:simplePos x="0" y="0"/>
            <wp:positionH relativeFrom="column">
              <wp:posOffset>-69850</wp:posOffset>
            </wp:positionH>
            <wp:positionV relativeFrom="page">
              <wp:posOffset>3547745</wp:posOffset>
            </wp:positionV>
            <wp:extent cx="5256530" cy="2917825"/>
            <wp:effectExtent l="4445" t="4445" r="15875" b="11430"/>
            <wp:wrapNone/>
            <wp:docPr id="2" name="图表 2" descr="7b0a202020202263686172745265734964223a20223530303533343239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9"/>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9"/>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1"/>
        <w:rPr>
          <w:rFonts w:hint="eastAsia" w:ascii="Times New Roman" w:hAnsi="Times New Roman" w:eastAsia="仿宋_GB2312" w:cs="仿宋_GB2312"/>
          <w:color w:val="auto"/>
          <w:sz w:val="32"/>
          <w:szCs w:val="32"/>
          <w:highlight w:val="none"/>
        </w:rPr>
      </w:pPr>
      <w:bookmarkStart w:id="31" w:name="_Toc19786"/>
      <w:bookmarkStart w:id="32" w:name="_Toc27876"/>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bookmarkEnd w:id="31"/>
      <w:bookmarkEnd w:id="32"/>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33" w:name="_Toc15396604"/>
      <w:bookmarkStart w:id="34" w:name="_Toc15377206"/>
      <w:bookmarkStart w:id="35" w:name="_Toc31134"/>
      <w:r>
        <w:rPr>
          <w:rFonts w:hint="eastAsia" w:ascii="Times New Roman" w:hAnsi="Times New Roman" w:eastAsia="黑体"/>
          <w:color w:val="auto"/>
          <w:sz w:val="32"/>
          <w:szCs w:val="32"/>
          <w:highlight w:val="none"/>
          <w:lang w:eastAsia="zh-CN"/>
        </w:rPr>
        <w:t>二、收入决算情况说明</w:t>
      </w:r>
      <w:bookmarkEnd w:id="33"/>
      <w:bookmarkEnd w:id="34"/>
      <w:bookmarkEnd w:id="35"/>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bookmarkStart w:id="36" w:name="_Toc17357"/>
      <w:bookmarkStart w:id="37" w:name="_Toc1015"/>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w:t>
      </w:r>
      <w:r>
        <w:rPr>
          <w:rFonts w:hint="eastAsia" w:eastAsia="仿宋_GB2312" w:cs="仿宋_GB2312"/>
          <w:color w:val="auto"/>
          <w:sz w:val="32"/>
          <w:szCs w:val="32"/>
          <w:highlight w:val="none"/>
          <w:lang w:eastAsia="zh-CN"/>
        </w:rPr>
        <w:t>计174.82万元，其中：一般公共预算财政拨款收入174.82万元，占100%。</w:t>
      </w:r>
      <w:bookmarkEnd w:id="36"/>
      <w:bookmarkEnd w:id="37"/>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9"/>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0288" behindDoc="1" locked="0" layoutInCell="1" allowOverlap="1">
            <wp:simplePos x="0" y="0"/>
            <wp:positionH relativeFrom="column">
              <wp:posOffset>-58420</wp:posOffset>
            </wp:positionH>
            <wp:positionV relativeFrom="page">
              <wp:posOffset>964565</wp:posOffset>
            </wp:positionV>
            <wp:extent cx="5256530" cy="2988310"/>
            <wp:effectExtent l="5080" t="4445" r="15240" b="55245"/>
            <wp:wrapNone/>
            <wp:docPr id="5" name="图表 5" descr="7b0a202020202263686172745265734964223a202235303037313330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outlineLvl w:val="9"/>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outlineLvl w:val="1"/>
        <w:rPr>
          <w:rFonts w:hint="eastAsia" w:ascii="Times New Roman" w:hAnsi="Times New Roman" w:eastAsia="仿宋_GB2312" w:cs="仿宋_GB2312"/>
          <w:color w:val="auto"/>
          <w:sz w:val="32"/>
          <w:szCs w:val="32"/>
          <w:highlight w:val="none"/>
          <w:lang w:eastAsia="zh-CN"/>
        </w:rPr>
      </w:pPr>
      <w:bookmarkStart w:id="38" w:name="_Toc18859"/>
      <w:bookmarkStart w:id="39" w:name="_Toc23581"/>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bookmarkEnd w:id="38"/>
      <w:bookmarkEnd w:id="39"/>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40" w:name="_Toc15377207"/>
      <w:bookmarkStart w:id="41" w:name="_Toc15396605"/>
      <w:bookmarkStart w:id="42" w:name="_Toc21756"/>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40"/>
      <w:bookmarkEnd w:id="41"/>
      <w:bookmarkEnd w:id="42"/>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bookmarkStart w:id="43" w:name="_Toc4638"/>
      <w:bookmarkStart w:id="44" w:name="_Toc15805"/>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w:t>
      </w:r>
      <w:r>
        <w:rPr>
          <w:rFonts w:hint="eastAsia" w:eastAsia="仿宋_GB2312" w:cs="仿宋_GB2312"/>
          <w:color w:val="auto"/>
          <w:sz w:val="32"/>
          <w:szCs w:val="32"/>
          <w:highlight w:val="none"/>
          <w:lang w:eastAsia="zh-CN"/>
        </w:rPr>
        <w:t>合计174.82万元，</w:t>
      </w:r>
      <w:r>
        <w:rPr>
          <w:rFonts w:hint="eastAsia" w:ascii="Times New Roman" w:hAnsi="Times New Roman" w:eastAsia="仿宋_GB2312" w:cs="仿宋_GB2312"/>
          <w:color w:val="auto"/>
          <w:sz w:val="32"/>
          <w:szCs w:val="32"/>
          <w:highlight w:val="none"/>
          <w:lang w:eastAsia="zh-CN"/>
        </w:rPr>
        <w:t>其中：</w:t>
      </w:r>
      <w:r>
        <w:rPr>
          <w:rFonts w:hint="eastAsia" w:eastAsia="仿宋_GB2312" w:cs="仿宋_GB2312"/>
          <w:color w:val="auto"/>
          <w:sz w:val="32"/>
          <w:szCs w:val="32"/>
          <w:highlight w:val="none"/>
          <w:lang w:eastAsia="zh-CN"/>
        </w:rPr>
        <w:t>基本支出161.93万元，占92.6%；项目支出12.88万元，占7.</w:t>
      </w:r>
      <w:r>
        <w:rPr>
          <w:rFonts w:hint="eastAsia" w:eastAsia="仿宋_GB2312" w:cs="仿宋_GB2312"/>
          <w:color w:val="auto"/>
          <w:sz w:val="32"/>
          <w:szCs w:val="32"/>
          <w:highlight w:val="none"/>
          <w:lang w:val="en-US" w:eastAsia="zh-CN"/>
        </w:rPr>
        <w:t>4</w:t>
      </w:r>
      <w:r>
        <w:rPr>
          <w:rFonts w:hint="eastAsia" w:eastAsia="仿宋_GB2312" w:cs="仿宋_GB2312"/>
          <w:color w:val="auto"/>
          <w:sz w:val="32"/>
          <w:szCs w:val="32"/>
          <w:highlight w:val="none"/>
          <w:lang w:eastAsia="zh-CN"/>
        </w:rPr>
        <w:t>%。</w:t>
      </w:r>
      <w:bookmarkEnd w:id="43"/>
      <w:bookmarkEnd w:id="44"/>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9"/>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drawing>
          <wp:anchor distT="0" distB="0" distL="114300" distR="114300" simplePos="0" relativeHeight="251661312" behindDoc="1" locked="0" layoutInCell="1" allowOverlap="1">
            <wp:simplePos x="0" y="0"/>
            <wp:positionH relativeFrom="column">
              <wp:posOffset>238125</wp:posOffset>
            </wp:positionH>
            <wp:positionV relativeFrom="paragraph">
              <wp:posOffset>110490</wp:posOffset>
            </wp:positionV>
            <wp:extent cx="5256530" cy="2988310"/>
            <wp:effectExtent l="5080" t="4445" r="15240" b="55245"/>
            <wp:wrapNone/>
            <wp:docPr id="7" name="图表 7" descr="7b0a202020202263686172745265734964223a202232303436383535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9"/>
        <w:rPr>
          <w:rFonts w:hint="eastAsia" w:ascii="Times New Roman" w:hAnsi="Times New Roman" w:eastAsia="仿宋_GB2312" w:cs="仿宋_GB2312"/>
          <w:b/>
          <w:bCs/>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9"/>
        <w:rPr>
          <w:rFonts w:hint="eastAsia" w:ascii="Times New Roman" w:hAnsi="Times New Roman" w:eastAsia="仿宋_GB2312" w:cs="仿宋_GB2312"/>
          <w:b/>
          <w:bCs/>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9"/>
        <w:rPr>
          <w:rFonts w:hint="eastAsia" w:ascii="Times New Roman" w:hAnsi="Times New Roman" w:eastAsia="仿宋_GB2312" w:cs="仿宋_GB2312"/>
          <w:b/>
          <w:bCs/>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9"/>
        <w:rPr>
          <w:rFonts w:hint="eastAsia" w:ascii="Times New Roman" w:hAnsi="Times New Roman" w:eastAsia="仿宋_GB2312" w:cs="仿宋_GB2312"/>
          <w:b/>
          <w:bCs/>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9"/>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1"/>
        <w:rPr>
          <w:rFonts w:hint="eastAsia" w:ascii="Times New Roman" w:hAnsi="Times New Roman" w:eastAsia="仿宋_GB2312" w:cs="仿宋_GB2312"/>
          <w:color w:val="auto"/>
          <w:sz w:val="32"/>
          <w:szCs w:val="32"/>
          <w:highlight w:val="none"/>
          <w:lang w:eastAsia="zh-CN"/>
        </w:rPr>
      </w:pPr>
      <w:bookmarkStart w:id="45" w:name="_Toc13832"/>
      <w:bookmarkStart w:id="46" w:name="_Toc32529"/>
      <w:r>
        <w:rPr>
          <w:rFonts w:hint="eastAsia" w:ascii="Times New Roman" w:hAnsi="Times New Roman" w:eastAsia="仿宋_GB2312" w:cs="仿宋_GB2312"/>
          <w:color w:val="auto"/>
          <w:sz w:val="32"/>
          <w:szCs w:val="32"/>
          <w:highlight w:val="none"/>
          <w:lang w:eastAsia="zh-CN"/>
        </w:rPr>
        <w:t>（图3：支出决算结构图）</w:t>
      </w:r>
      <w:bookmarkEnd w:id="45"/>
      <w:bookmarkEnd w:id="46"/>
    </w:p>
    <w:p>
      <w:pPr>
        <w:spacing w:line="600" w:lineRule="exact"/>
        <w:ind w:firstLine="640" w:firstLineChars="200"/>
        <w:outlineLvl w:val="1"/>
        <w:rPr>
          <w:rStyle w:val="29"/>
          <w:rFonts w:ascii="Times New Roman" w:hAnsi="Times New Roman" w:eastAsia="黑体"/>
          <w:b w:val="0"/>
          <w:color w:val="auto"/>
          <w:highlight w:val="none"/>
        </w:rPr>
      </w:pPr>
      <w:bookmarkStart w:id="47" w:name="_Toc13632"/>
      <w:bookmarkStart w:id="48" w:name="_Toc15377208"/>
      <w:bookmarkStart w:id="49"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47"/>
      <w:bookmarkEnd w:id="48"/>
      <w:bookmarkEnd w:id="49"/>
    </w:p>
    <w:p>
      <w:pPr>
        <w:spacing w:line="600" w:lineRule="exact"/>
        <w:ind w:firstLine="640"/>
        <w:rPr>
          <w:rFonts w:hint="eastAsia" w:ascii="仿宋_GB2312" w:hAnsi="仿宋" w:eastAsia="仿宋_GB2312"/>
          <w:color w:val="000000"/>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174.82</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12.09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6.5</w:t>
      </w:r>
      <w:r>
        <w:rPr>
          <w:rFonts w:hint="eastAsia" w:ascii="Times New Roman" w:hAnsi="Times New Roman" w:eastAsia="仿宋_GB2312" w:cs="仿宋_GB2312"/>
          <w:color w:val="auto"/>
          <w:kern w:val="2"/>
          <w:sz w:val="32"/>
          <w:szCs w:val="32"/>
          <w:highlight w:val="none"/>
          <w:lang w:val="en-US" w:eastAsia="zh-CN" w:bidi="ar-SA"/>
        </w:rPr>
        <w:t>%。主要变动原因是2025年职职工减少1人，相应经费减少。</w:t>
      </w:r>
    </w:p>
    <w:p>
      <w:pPr>
        <w:pStyle w:val="13"/>
        <w:rPr>
          <w:rFonts w:hint="eastAsia" w:ascii="仿宋_GB2312" w:hAnsi="仿宋" w:eastAsia="仿宋_GB2312"/>
          <w:color w:val="000000"/>
          <w:sz w:val="32"/>
          <w:szCs w:val="32"/>
          <w:highlight w:val="none"/>
          <w:lang w:val="en-US" w:eastAsia="zh-CN"/>
        </w:rPr>
      </w:pPr>
      <w:r>
        <w:rPr>
          <w:rFonts w:hint="eastAsia"/>
          <w:lang w:val="en-US" w:eastAsia="zh-CN"/>
        </w:rPr>
        <w:drawing>
          <wp:anchor distT="0" distB="0" distL="114300" distR="114300" simplePos="0" relativeHeight="251662336" behindDoc="1" locked="0" layoutInCell="1" allowOverlap="1">
            <wp:simplePos x="0" y="0"/>
            <wp:positionH relativeFrom="column">
              <wp:posOffset>5080</wp:posOffset>
            </wp:positionH>
            <wp:positionV relativeFrom="page">
              <wp:posOffset>2132965</wp:posOffset>
            </wp:positionV>
            <wp:extent cx="5256530" cy="2988310"/>
            <wp:effectExtent l="5080" t="4445" r="15240" b="17145"/>
            <wp:wrapNone/>
            <wp:docPr id="1" name="图表 1" descr="7b0a202020202263686172745265734964223a202235303037333237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pStyle w:val="7"/>
        <w:rPr>
          <w:rFonts w:hint="eastAsia" w:ascii="仿宋_GB2312" w:hAnsi="仿宋" w:eastAsia="仿宋_GB2312"/>
          <w:color w:val="000000"/>
          <w:sz w:val="32"/>
          <w:szCs w:val="32"/>
          <w:highlight w:val="none"/>
          <w:lang w:val="en-US" w:eastAsia="zh-CN"/>
        </w:rPr>
      </w:pPr>
    </w:p>
    <w:p>
      <w:pPr>
        <w:rPr>
          <w:rFonts w:hint="eastAsia" w:ascii="仿宋_GB2312" w:hAnsi="仿宋" w:eastAsia="仿宋_GB2312"/>
          <w:color w:val="000000"/>
          <w:sz w:val="32"/>
          <w:szCs w:val="32"/>
          <w:highlight w:val="none"/>
          <w:lang w:val="en-US" w:eastAsia="zh-CN"/>
        </w:rPr>
      </w:pPr>
    </w:p>
    <w:p>
      <w:pPr>
        <w:pStyle w:val="13"/>
        <w:rPr>
          <w:rFonts w:hint="eastAsia" w:ascii="仿宋_GB2312" w:hAnsi="仿宋" w:eastAsia="仿宋_GB2312"/>
          <w:color w:val="000000"/>
          <w:sz w:val="32"/>
          <w:szCs w:val="32"/>
          <w:highlight w:val="none"/>
          <w:lang w:val="en-US" w:eastAsia="zh-CN"/>
        </w:rPr>
      </w:pPr>
    </w:p>
    <w:p>
      <w:pPr>
        <w:pStyle w:val="7"/>
        <w:rPr>
          <w:rFonts w:hint="eastAsia" w:ascii="仿宋_GB2312" w:hAnsi="仿宋" w:eastAsia="仿宋_GB2312"/>
          <w:color w:val="000000"/>
          <w:sz w:val="32"/>
          <w:szCs w:val="32"/>
          <w:highlight w:val="none"/>
          <w:lang w:val="en-US" w:eastAsia="zh-CN"/>
        </w:rPr>
      </w:pPr>
    </w:p>
    <w:p>
      <w:pPr>
        <w:rPr>
          <w:rFonts w:hint="eastAsia" w:ascii="仿宋_GB2312" w:hAnsi="仿宋" w:eastAsia="仿宋_GB2312"/>
          <w:color w:val="000000"/>
          <w:sz w:val="32"/>
          <w:szCs w:val="32"/>
          <w:highlight w:val="none"/>
          <w:lang w:val="en-US" w:eastAsia="zh-CN"/>
        </w:rPr>
      </w:pPr>
    </w:p>
    <w:p>
      <w:pPr>
        <w:pStyle w:val="13"/>
        <w:rPr>
          <w:rFonts w:hint="eastAsia" w:ascii="仿宋_GB2312" w:hAnsi="仿宋" w:eastAsia="仿宋_GB2312"/>
          <w:color w:val="000000"/>
          <w:sz w:val="32"/>
          <w:szCs w:val="32"/>
          <w:highlight w:val="none"/>
          <w:lang w:val="en-US" w:eastAsia="zh-CN"/>
        </w:rPr>
      </w:pPr>
    </w:p>
    <w:p>
      <w:pPr>
        <w:pStyle w:val="7"/>
        <w:rPr>
          <w:rFonts w:hint="eastAsia" w:ascii="仿宋_GB2312" w:hAnsi="仿宋" w:eastAsia="仿宋_GB2312"/>
          <w:color w:val="000000"/>
          <w:sz w:val="32"/>
          <w:szCs w:val="32"/>
          <w:highlight w:val="none"/>
          <w:lang w:val="en-US" w:eastAsia="zh-CN"/>
        </w:rPr>
      </w:pPr>
    </w:p>
    <w:p>
      <w:pPr>
        <w:pStyle w:val="13"/>
        <w:rPr>
          <w:rFonts w:hint="eastAsia"/>
          <w:lang w:val="en-US" w:eastAsia="zh-CN"/>
        </w:rPr>
      </w:pPr>
    </w:p>
    <w:p>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pPr>
        <w:spacing w:line="600" w:lineRule="exact"/>
        <w:ind w:firstLine="640" w:firstLineChars="200"/>
        <w:outlineLvl w:val="1"/>
        <w:rPr>
          <w:rStyle w:val="29"/>
          <w:rFonts w:ascii="Times New Roman" w:hAnsi="Times New Roman" w:eastAsia="黑体"/>
          <w:b w:val="0"/>
          <w:color w:val="auto"/>
          <w:highlight w:val="none"/>
        </w:rPr>
      </w:pPr>
      <w:bookmarkStart w:id="50" w:name="_Toc15396607"/>
      <w:bookmarkStart w:id="51" w:name="_Toc15377209"/>
      <w:bookmarkStart w:id="52" w:name="_Toc7518"/>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50"/>
      <w:bookmarkEnd w:id="51"/>
      <w:bookmarkEnd w:id="52"/>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3"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53"/>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一般公共预算财政拨款支出174.82万元，占本年支出合计的100%。与上年度相比，一般公共预算财政拨款支出减少12.09万元，下降6.5%。主要变动原因是2025年在职职工减少1人，相应经费减少。</w:t>
      </w:r>
    </w:p>
    <w:p>
      <w:pPr>
        <w:pStyle w:val="13"/>
        <w:rPr>
          <w:rFonts w:hint="eastAsia" w:ascii="Times New Roman" w:hAnsi="Times New Roman" w:eastAsia="仿宋_GB2312" w:cs="仿宋_GB2312"/>
          <w:color w:val="auto"/>
          <w:kern w:val="2"/>
          <w:sz w:val="32"/>
          <w:szCs w:val="32"/>
          <w:highlight w:val="none"/>
          <w:lang w:val="en-US" w:eastAsia="zh-CN" w:bidi="ar-SA"/>
        </w:rPr>
      </w:pPr>
    </w:p>
    <w:p>
      <w:pPr>
        <w:pStyle w:val="7"/>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13"/>
        <w:rPr>
          <w:rFonts w:hint="eastAsia"/>
          <w:lang w:val="en-US" w:eastAsia="zh-CN"/>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3360" behindDoc="1" locked="0" layoutInCell="1" allowOverlap="1">
            <wp:simplePos x="0" y="0"/>
            <wp:positionH relativeFrom="column">
              <wp:posOffset>13335</wp:posOffset>
            </wp:positionH>
            <wp:positionV relativeFrom="paragraph">
              <wp:posOffset>52070</wp:posOffset>
            </wp:positionV>
            <wp:extent cx="5256530" cy="2988310"/>
            <wp:effectExtent l="5080" t="4445" r="15240" b="17145"/>
            <wp:wrapNone/>
            <wp:docPr id="3" name="图表 3" descr="7b0a202020202263686172745265734964223a20223530303533343239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rPr>
          <w:rFonts w:hint="eastAsia" w:ascii="Times New Roman" w:hAnsi="Times New Roman" w:eastAsia="仿宋_GB2312" w:cs="仿宋_GB2312"/>
          <w:color w:val="auto"/>
          <w:kern w:val="2"/>
          <w:sz w:val="32"/>
          <w:szCs w:val="32"/>
          <w:highlight w:val="none"/>
          <w:lang w:val="en-US" w:eastAsia="zh-CN" w:bidi="ar-SA"/>
        </w:rPr>
      </w:pPr>
    </w:p>
    <w:p>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p>
    <w:p>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4"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54"/>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2025年度一般公共预算财政拨款支出174.82万元，主要用于以下方面：社会保障和就业支出33.13万元，占19%；卫生健康支出8.63万元，占4.9%；城乡社区支出122.72万元，占70.2%；住房保障支出10.33万元，占5.9%。</w:t>
      </w:r>
    </w:p>
    <w:p>
      <w:pPr>
        <w:pStyle w:val="13"/>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drawing>
          <wp:anchor distT="0" distB="0" distL="114300" distR="114300" simplePos="0" relativeHeight="251664384" behindDoc="1" locked="0" layoutInCell="1" allowOverlap="1">
            <wp:simplePos x="0" y="0"/>
            <wp:positionH relativeFrom="column">
              <wp:posOffset>1905</wp:posOffset>
            </wp:positionH>
            <wp:positionV relativeFrom="paragraph">
              <wp:posOffset>74930</wp:posOffset>
            </wp:positionV>
            <wp:extent cx="5256530" cy="2988310"/>
            <wp:effectExtent l="5080" t="4445" r="15240" b="17145"/>
            <wp:wrapNone/>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pStyle w:val="7"/>
        <w:rPr>
          <w:rFonts w:hint="eastAsia" w:eastAsia="仿宋_GB2312" w:cs="仿宋_GB2312"/>
          <w:color w:val="auto"/>
          <w:kern w:val="2"/>
          <w:sz w:val="32"/>
          <w:szCs w:val="32"/>
          <w:highlight w:val="none"/>
          <w:lang w:val="en-US" w:eastAsia="zh-CN" w:bidi="ar-SA"/>
        </w:rPr>
      </w:pPr>
    </w:p>
    <w:p>
      <w:pPr>
        <w:rPr>
          <w:rFonts w:hint="eastAsia" w:eastAsia="仿宋_GB2312" w:cs="仿宋_GB2312"/>
          <w:color w:val="auto"/>
          <w:kern w:val="2"/>
          <w:sz w:val="32"/>
          <w:szCs w:val="32"/>
          <w:highlight w:val="none"/>
          <w:lang w:val="en-US" w:eastAsia="zh-CN" w:bidi="ar-SA"/>
        </w:rPr>
      </w:pPr>
    </w:p>
    <w:p>
      <w:pPr>
        <w:pStyle w:val="13"/>
        <w:rPr>
          <w:rFonts w:hint="eastAsia" w:eastAsia="仿宋_GB2312" w:cs="仿宋_GB2312"/>
          <w:color w:val="auto"/>
          <w:kern w:val="2"/>
          <w:sz w:val="32"/>
          <w:szCs w:val="32"/>
          <w:highlight w:val="none"/>
          <w:lang w:val="en-US" w:eastAsia="zh-CN" w:bidi="ar-SA"/>
        </w:rPr>
      </w:pPr>
    </w:p>
    <w:p>
      <w:pPr>
        <w:pStyle w:val="7"/>
        <w:rPr>
          <w:rFonts w:hint="eastAsia" w:eastAsia="仿宋_GB2312" w:cs="仿宋_GB2312"/>
          <w:color w:val="auto"/>
          <w:kern w:val="2"/>
          <w:sz w:val="32"/>
          <w:szCs w:val="32"/>
          <w:highlight w:val="none"/>
          <w:lang w:val="en-US" w:eastAsia="zh-CN" w:bidi="ar-SA"/>
        </w:rPr>
      </w:pPr>
    </w:p>
    <w:p>
      <w:pPr>
        <w:rPr>
          <w:rFonts w:hint="eastAsia" w:eastAsia="仿宋_GB2312" w:cs="仿宋_GB2312"/>
          <w:color w:val="auto"/>
          <w:kern w:val="2"/>
          <w:sz w:val="32"/>
          <w:szCs w:val="32"/>
          <w:highlight w:val="none"/>
          <w:lang w:val="en-US" w:eastAsia="zh-CN" w:bidi="ar-SA"/>
        </w:rPr>
      </w:pPr>
    </w:p>
    <w:p>
      <w:pPr>
        <w:pStyle w:val="13"/>
        <w:rPr>
          <w:rFonts w:hint="eastAsia" w:eastAsia="仿宋_GB2312" w:cs="仿宋_GB2312"/>
          <w:color w:val="auto"/>
          <w:kern w:val="2"/>
          <w:sz w:val="32"/>
          <w:szCs w:val="32"/>
          <w:highlight w:val="none"/>
          <w:lang w:val="en-US" w:eastAsia="zh-CN" w:bidi="ar-SA"/>
        </w:rPr>
      </w:pPr>
    </w:p>
    <w:p>
      <w:pPr>
        <w:pStyle w:val="7"/>
        <w:rPr>
          <w:rFonts w:hint="eastAsia"/>
          <w:lang w:val="en-US" w:eastAsia="zh-CN"/>
        </w:rPr>
      </w:pPr>
    </w:p>
    <w:p>
      <w:pPr>
        <w:spacing w:line="600" w:lineRule="exact"/>
        <w:rPr>
          <w:rFonts w:hint="eastAsia" w:ascii="Times New Roman" w:hAnsi="Times New Roman" w:eastAsia="仿宋_GB2312" w:cs="仿宋_GB2312"/>
          <w:color w:val="auto"/>
          <w:kern w:val="2"/>
          <w:sz w:val="32"/>
          <w:szCs w:val="32"/>
          <w:highlight w:val="none"/>
          <w:lang w:val="en-US" w:eastAsia="zh-CN" w:bidi="ar-SA"/>
        </w:rPr>
      </w:pPr>
    </w:p>
    <w:p>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5"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5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56" w:name="_Toc15377213"/>
      <w:bookmarkStart w:id="57" w:name="_Toc15378460"/>
      <w:bookmarkStart w:id="58"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一般公共预算支出决算数为174.82万</w:t>
      </w:r>
      <w:r>
        <w:rPr>
          <w:rFonts w:hint="eastAsia" w:ascii="仿宋_GB2312" w:hAnsi="仿宋_GB2312" w:eastAsia="仿宋_GB2312" w:cs="仿宋_GB2312"/>
          <w:sz w:val="32"/>
          <w:szCs w:val="32"/>
          <w:lang w:val="en-US" w:eastAsia="zh-CN"/>
        </w:rPr>
        <w:t>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56"/>
      <w:bookmarkEnd w:id="57"/>
      <w:bookmarkEnd w:id="58"/>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1.社会保障和就业支出（类</w:t>
      </w:r>
      <w:r>
        <w:rPr>
          <w:rFonts w:hint="eastAsia" w:ascii="Times New Roman" w:hAnsi="Times New Roman" w:eastAsia="仿宋_GB2312" w:cs="仿宋_GB2312"/>
          <w:color w:val="auto"/>
          <w:kern w:val="2"/>
          <w:sz w:val="32"/>
          <w:szCs w:val="32"/>
          <w:highlight w:val="none"/>
          <w:lang w:val="en-US" w:eastAsia="zh-CN" w:bidi="ar-SA"/>
        </w:rPr>
        <w:t>）行政事业单位养老支出（款）事业单位离退休（项）：支出决算为19.02万元，完成预算100%，决算数等于预算数。</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2.社会保障和就业支出（类）行</w:t>
      </w:r>
      <w:r>
        <w:rPr>
          <w:rFonts w:hint="eastAsia" w:ascii="Times New Roman" w:hAnsi="Times New Roman" w:eastAsia="仿宋_GB2312" w:cs="仿宋_GB2312"/>
          <w:color w:val="auto"/>
          <w:kern w:val="2"/>
          <w:sz w:val="32"/>
          <w:szCs w:val="32"/>
          <w:highlight w:val="none"/>
          <w:lang w:val="en-US" w:eastAsia="zh-CN" w:bidi="ar-SA"/>
        </w:rPr>
        <w:t>政事业单位养老支出（款）机关事业单位基本养老保险缴费支出（项）: 支出决算为14.11万元，完成预算100%，决算数等于预算数。</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3.卫生健康支出（类）行政事业</w:t>
      </w:r>
      <w:r>
        <w:rPr>
          <w:rFonts w:hint="eastAsia" w:ascii="Times New Roman" w:hAnsi="Times New Roman" w:eastAsia="仿宋_GB2312" w:cs="仿宋_GB2312"/>
          <w:color w:val="auto"/>
          <w:kern w:val="2"/>
          <w:sz w:val="32"/>
          <w:szCs w:val="32"/>
          <w:highlight w:val="none"/>
          <w:lang w:val="en-US" w:eastAsia="zh-CN" w:bidi="ar-SA"/>
        </w:rPr>
        <w:t>单位医疗（款）事业单位医疗（项）：支出决算为7.75万元，完成预算100%，决算数等于预算数。</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4.卫生健康支出（类）行政事</w:t>
      </w:r>
      <w:r>
        <w:rPr>
          <w:rFonts w:hint="eastAsia" w:ascii="Times New Roman" w:hAnsi="Times New Roman" w:eastAsia="仿宋_GB2312" w:cs="仿宋_GB2312"/>
          <w:color w:val="auto"/>
          <w:kern w:val="2"/>
          <w:sz w:val="32"/>
          <w:szCs w:val="32"/>
          <w:highlight w:val="none"/>
          <w:lang w:val="en-US" w:eastAsia="zh-CN" w:bidi="ar-SA"/>
        </w:rPr>
        <w:t>业单位医疗（款）公务员医疗补助（项）：支出决算为0.88万元，完成预算100%，决算数等于预算数。</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5.城乡社区支出（类）城乡社</w:t>
      </w:r>
      <w:r>
        <w:rPr>
          <w:rFonts w:hint="eastAsia" w:ascii="Times New Roman" w:hAnsi="Times New Roman" w:eastAsia="仿宋_GB2312" w:cs="仿宋_GB2312"/>
          <w:color w:val="auto"/>
          <w:kern w:val="2"/>
          <w:sz w:val="32"/>
          <w:szCs w:val="32"/>
          <w:highlight w:val="none"/>
          <w:lang w:val="en-US" w:eastAsia="zh-CN" w:bidi="ar-SA"/>
        </w:rPr>
        <w:t>区管理事务（款）其他城乡社区管理事务支出（项）：支出决算为122.72万元，完成预算100%，决算数等于预算数。</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rPr>
        <w:t>6.住房保障支出（类）住</w:t>
      </w:r>
      <w:r>
        <w:rPr>
          <w:rFonts w:hint="eastAsia" w:ascii="Times New Roman" w:hAnsi="Times New Roman" w:eastAsia="仿宋_GB2312" w:cs="仿宋_GB2312"/>
          <w:color w:val="auto"/>
          <w:kern w:val="2"/>
          <w:sz w:val="32"/>
          <w:szCs w:val="32"/>
          <w:highlight w:val="none"/>
          <w:lang w:val="en-US" w:eastAsia="zh-CN" w:bidi="ar-SA"/>
        </w:rPr>
        <w:t>房改革支出（款）住房公积金（项）：支出决算数为10.33万元，完成预算100%。决算数等于预算数。</w:t>
      </w:r>
    </w:p>
    <w:p>
      <w:pPr>
        <w:tabs>
          <w:tab w:val="right" w:pos="8306"/>
        </w:tabs>
        <w:spacing w:line="600" w:lineRule="exact"/>
        <w:ind w:firstLine="640"/>
        <w:outlineLvl w:val="1"/>
        <w:rPr>
          <w:rStyle w:val="29"/>
          <w:rFonts w:ascii="Times New Roman" w:hAnsi="Times New Roman"/>
          <w:color w:val="auto"/>
          <w:highlight w:val="none"/>
        </w:rPr>
      </w:pPr>
      <w:bookmarkStart w:id="59" w:name="_Toc6515"/>
      <w:bookmarkStart w:id="60" w:name="_Toc15396608"/>
      <w:bookmarkStart w:id="61"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59"/>
      <w:bookmarkEnd w:id="60"/>
      <w:bookmarkEnd w:id="61"/>
      <w:r>
        <w:rPr>
          <w:rStyle w:val="29"/>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一般公共预算财政拨款基本支出161.93万元，其中：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人员经费149.94万元，主要包括：基本工资、津贴补贴、绩效工资、机关事业单位基本养老保险缴费、</w:t>
      </w:r>
      <w:r>
        <w:rPr>
          <w:rFonts w:hint="eastAsia" w:ascii="仿宋_GB2312" w:hAnsi="仿宋_GB2312" w:eastAsia="仿宋_GB2312" w:cs="仿宋_GB2312"/>
          <w:color w:val="auto"/>
          <w:sz w:val="32"/>
          <w:szCs w:val="32"/>
          <w:highlight w:val="none"/>
          <w:lang w:val="en-US" w:eastAsia="zh-CN"/>
        </w:rPr>
        <w:t>职工基本医疗保险缴费、公务员医疗补助缴费、其他社会保障缴费、生活补助、医疗费补助、奖励金、住房公积金等</w:t>
      </w:r>
      <w:r>
        <w:rPr>
          <w:rFonts w:hint="eastAsia" w:eastAsia="仿宋_GB2312" w:cs="仿宋_GB2312"/>
          <w:color w:val="auto"/>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公用经费11.99万元，主要包括：办公费、电费、邮电费、物业管理费、差旅费、维修（护）费、培训费、工会经费、福利费、公务用车运行维护费、其他商品和服务支出等。</w:t>
      </w:r>
    </w:p>
    <w:p>
      <w:pPr>
        <w:spacing w:line="600" w:lineRule="exact"/>
        <w:ind w:firstLine="640"/>
        <w:outlineLvl w:val="1"/>
        <w:rPr>
          <w:rStyle w:val="29"/>
          <w:rFonts w:ascii="Times New Roman" w:hAnsi="Times New Roman" w:eastAsia="黑体"/>
          <w:b w:val="0"/>
          <w:color w:val="auto"/>
          <w:highlight w:val="none"/>
        </w:rPr>
      </w:pPr>
      <w:bookmarkStart w:id="62" w:name="_Toc15377215"/>
      <w:bookmarkStart w:id="63" w:name="_Toc15396609"/>
      <w:bookmarkStart w:id="64" w:name="_Toc19090"/>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62"/>
      <w:bookmarkEnd w:id="63"/>
      <w:bookmarkEnd w:id="64"/>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65"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65"/>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财政拨款“三公”经费支出决算为0.95万元，完成预算100%，较上年度增加0.25万元，增长35.7%。决算数等于预算数。</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66"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6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财政拨款“三公”经费支出决算中，因公出国（境）费支出决算0万元，占0%；公务用车购置及运行维护费支出决算0.95万元，占100%；公务接待费支出决算0万元，占0%。具体情况如下：</w:t>
      </w: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256530" cy="2988310"/>
            <wp:effectExtent l="5080" t="4445" r="15240" b="1714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1.因公出国（境）经费支出0万元，完成预算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全年安排因公出国（境）团组0次，出国（境）0人。因公出国（境）支出决算与上年度持平。两年均无因公出国（境）经费支出。</w:t>
      </w:r>
    </w:p>
    <w:p>
      <w:pPr>
        <w:spacing w:line="600" w:lineRule="exact"/>
        <w:ind w:firstLine="640"/>
        <w:rPr>
          <w:rFonts w:hint="eastAsia" w:ascii="Times New Roman" w:hAnsi="Times New Roman" w:eastAsia="仿宋_GB2312" w:cs="仿宋_GB2312"/>
          <w:color w:val="auto"/>
          <w:kern w:val="2"/>
          <w:sz w:val="32"/>
          <w:szCs w:val="32"/>
          <w:highlight w:val="yellow"/>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0.95</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年度增加0.25万元，增长35.7%。主要原因是公务用车已使用年限较长，业务需要经常现场查勘，当年维修费用增加。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0万元。全年按规定更新购置公务用车0辆，其中：轿车0辆、金额0万元，越野车0辆、金额0万元，载客汽车0辆、金额0万元。截至2025年12月31日，单位共有公务用车1辆，其中：轿车0辆、越野车1辆、载客汽车0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公务用车运行维护费支出0.95万元。主要用于征收、追缴城市基础设施配套费欠费及维修资金现场勘查等工作所需的公务用车燃料费、维修保养费、过路过桥费、保险费等支出。</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公务接待费支出决算与上年度持平，两年均无公务接待发生。其中：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国内公务接待支出0万元，国内公务接待0批次，0人次（不包括陪同人员），共计支出0万元。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万元。外事接待0批次，0人次（不包括陪同人员），共计支出0万元。</w:t>
      </w:r>
      <w:bookmarkStart w:id="67" w:name="_Toc15396610"/>
      <w:bookmarkStart w:id="68" w:name="_Toc15377218"/>
    </w:p>
    <w:p>
      <w:pPr>
        <w:spacing w:line="600" w:lineRule="exact"/>
        <w:ind w:firstLine="640"/>
        <w:outlineLvl w:val="1"/>
        <w:rPr>
          <w:rStyle w:val="29"/>
          <w:rFonts w:ascii="Times New Roman" w:hAnsi="Times New Roman" w:eastAsia="黑体"/>
          <w:color w:val="auto"/>
          <w:highlight w:val="none"/>
        </w:rPr>
      </w:pPr>
      <w:bookmarkStart w:id="69" w:name="_Toc16142"/>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67"/>
      <w:bookmarkEnd w:id="68"/>
      <w:bookmarkEnd w:id="6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政府性基金预算财政拨款支出0万元，占本年支出合计的0%。支出数与上年度持平。</w:t>
      </w:r>
    </w:p>
    <w:p>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70" w:name="_Toc15377219"/>
      <w:bookmarkStart w:id="71" w:name="_Toc8768"/>
      <w:bookmarkStart w:id="72"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70"/>
      <w:bookmarkEnd w:id="71"/>
      <w:bookmarkEnd w:id="7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国有资本经营预算财政拨款支出0万元，占本年支出合计的0%。支出数与上年度持平。</w:t>
      </w:r>
    </w:p>
    <w:p>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73" w:name="_Toc15396612"/>
      <w:bookmarkStart w:id="74" w:name="_Toc28197"/>
      <w:bookmarkStart w:id="75"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73"/>
      <w:bookmarkEnd w:id="74"/>
      <w:bookmarkEnd w:id="75"/>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76" w:name="_Toc15377222"/>
      <w:r>
        <w:rPr>
          <w:rFonts w:hint="eastAsia" w:ascii="Times New Roman" w:hAnsi="Times New Roman" w:eastAsia="楷体_GB2312" w:cs="楷体_GB2312"/>
          <w:b/>
          <w:color w:val="auto"/>
          <w:sz w:val="32"/>
          <w:szCs w:val="32"/>
          <w:highlight w:val="none"/>
        </w:rPr>
        <w:t>（一）机关运行经费支出情况</w:t>
      </w:r>
      <w:bookmarkEnd w:id="7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攀枝花市城市建设</w:t>
      </w:r>
      <w:r>
        <w:rPr>
          <w:rFonts w:hint="eastAsia" w:ascii="Times New Roman" w:hAnsi="Times New Roman" w:eastAsia="仿宋_GB2312" w:cs="仿宋_GB2312"/>
          <w:color w:val="auto"/>
          <w:kern w:val="2"/>
          <w:sz w:val="32"/>
          <w:szCs w:val="32"/>
          <w:highlight w:val="none"/>
          <w:lang w:val="en-US" w:eastAsia="zh-CN" w:bidi="ar-SA"/>
        </w:rPr>
        <w:t>资金中心机关运行经费支出0万元，支出数与上年度持平。</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77" w:name="_Toc15377223"/>
      <w:r>
        <w:rPr>
          <w:rFonts w:hint="eastAsia" w:ascii="Times New Roman" w:hAnsi="Times New Roman" w:eastAsia="楷体_GB2312" w:cs="楷体_GB2312"/>
          <w:b/>
          <w:color w:val="auto"/>
          <w:sz w:val="32"/>
          <w:szCs w:val="32"/>
          <w:highlight w:val="none"/>
        </w:rPr>
        <w:t>（二）政府采购支出情况</w:t>
      </w:r>
      <w:bookmarkEnd w:id="7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攀枝花市城市建设资金中心</w:t>
      </w:r>
      <w:r>
        <w:rPr>
          <w:rFonts w:hint="eastAsia" w:ascii="Times New Roman" w:hAnsi="Times New Roman" w:eastAsia="仿宋_GB2312" w:cs="仿宋_GB2312"/>
          <w:color w:val="auto"/>
          <w:kern w:val="2"/>
          <w:sz w:val="32"/>
          <w:szCs w:val="32"/>
          <w:highlight w:val="none"/>
          <w:lang w:val="en-US" w:eastAsia="zh-CN" w:bidi="ar-SA"/>
        </w:rPr>
        <w:t>政府采购支出总额3.01万元，其中：政府采购货物支出2.14万元、政府采购工程支出0万元、政府采购服务支出0.87万元。主要用于征收城市基础设施配套费、追缴欠费、房改房维修资金管理及现场勘查等业务工作。授予中小企业合同金额2.87万元，占政府采购支出总额的95.3%，其中：授予小微企业合同金额2.37万元，占政府采购支出总额的78.7%。</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78" w:name="_Toc15377224"/>
      <w:r>
        <w:rPr>
          <w:rFonts w:hint="eastAsia" w:ascii="Times New Roman" w:hAnsi="Times New Roman" w:eastAsia="楷体_GB2312" w:cs="楷体_GB2312"/>
          <w:b/>
          <w:color w:val="auto"/>
          <w:sz w:val="32"/>
          <w:szCs w:val="32"/>
          <w:highlight w:val="none"/>
        </w:rPr>
        <w:t>（三）国有资产占有使用情况</w:t>
      </w:r>
      <w:bookmarkEnd w:id="7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攀枝花市城市建设资金中心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0辆、主要负责人用车0辆、机要通信用车0辆、应急保障用车0辆、执法执勤用车0辆、特种专业技术用车0辆、离退休干部服务用车0辆、其他用车1辆，其他用车主要是用于城市基础设施配套费征收及房改房维修资金两项工作现场核查工作。单价100万元（含）以上设备（不含车辆）0台（套）。</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ascii="仿宋_GB2312" w:hAnsi="仿宋_GB2312" w:eastAsia="仿宋_GB2312" w:cs="仿宋_GB2312"/>
          <w:sz w:val="32"/>
          <w:szCs w:val="32"/>
        </w:rPr>
        <w:t>攀枝花市城市建设资金中心</w:t>
      </w:r>
      <w:r>
        <w:rPr>
          <w:rFonts w:hint="eastAsia" w:ascii="Times New Roman" w:hAnsi="Times New Roman" w:eastAsia="仿宋_GB2312" w:cs="仿宋_GB2312"/>
          <w:color w:val="auto"/>
          <w:kern w:val="2"/>
          <w:sz w:val="32"/>
          <w:szCs w:val="32"/>
          <w:highlight w:val="none"/>
          <w:lang w:val="en-US" w:eastAsia="zh-CN" w:bidi="ar-SA"/>
        </w:rPr>
        <w:t>在2025年度，组织对配套费征收成本（含房改房维修资金管理运行成本）等1个项目涉及金额12.88万元开展了事前绩效评估，对1个项目编制了绩效目标，预算执行过程中，选取1个项目开展绩效监控。</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79" w:name="_Toc15377225"/>
      <w:bookmarkStart w:id="80" w:name="_Toc15396613"/>
      <w:bookmarkStart w:id="81" w:name="_Toc17334"/>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79"/>
      <w:bookmarkEnd w:id="80"/>
      <w:bookmarkEnd w:id="81"/>
    </w:p>
    <w:p>
      <w:pPr>
        <w:spacing w:line="600" w:lineRule="exact"/>
        <w:jc w:val="left"/>
        <w:rPr>
          <w:rFonts w:ascii="Times New Roman" w:hAnsi="Times New Roman"/>
          <w:b/>
          <w:color w:val="auto"/>
          <w:sz w:val="44"/>
          <w:szCs w:val="44"/>
          <w:highlight w:val="none"/>
        </w:rPr>
      </w:pPr>
    </w:p>
    <w:p>
      <w:pPr>
        <w:pStyle w:val="26"/>
        <w:keepNext w:val="0"/>
        <w:keepLines w:val="0"/>
        <w:pageBreakBefore w:val="0"/>
        <w:widowControl w:val="0"/>
        <w:kinsoku/>
        <w:wordWrap/>
        <w:overflowPunct/>
        <w:topLinePunct w:val="0"/>
        <w:bidi w:val="0"/>
        <w:snapToGrid/>
        <w:spacing w:line="600" w:lineRule="exact"/>
        <w:ind w:firstLine="640" w:firstLineChars="200"/>
        <w:jc w:val="both"/>
        <w:textAlignment w:val="auto"/>
        <w:outlineLvl w:val="1"/>
        <w:rPr>
          <w:rFonts w:ascii="仿宋_GB2312" w:eastAsia="仿宋_GB2312" w:cs="黑体"/>
          <w:color w:val="auto"/>
          <w:sz w:val="32"/>
          <w:szCs w:val="32"/>
        </w:rPr>
      </w:pPr>
      <w:bookmarkStart w:id="82" w:name="_Toc7945"/>
      <w:bookmarkStart w:id="83" w:name="_Toc3116"/>
      <w:bookmarkStart w:id="84" w:name="_Toc2611"/>
      <w:bookmarkStart w:id="85" w:name="_Toc31302"/>
      <w:bookmarkStart w:id="86" w:name="_Toc15377226"/>
      <w:r>
        <w:rPr>
          <w:rFonts w:ascii="仿宋_GB2312" w:eastAsia="仿宋_GB2312" w:cs="黑体"/>
          <w:color w:val="auto"/>
          <w:sz w:val="32"/>
          <w:szCs w:val="32"/>
        </w:rPr>
        <w:t>1.</w:t>
      </w:r>
      <w:r>
        <w:rPr>
          <w:rFonts w:hint="eastAsia" w:ascii="仿宋_GB2312" w:eastAsia="仿宋_GB2312" w:cs="黑体"/>
          <w:color w:val="auto"/>
          <w:sz w:val="32"/>
          <w:szCs w:val="32"/>
        </w:rPr>
        <w:t>财政拨款收入：指单位从同级财政部门取得的财政预算资金。</w:t>
      </w:r>
      <w:bookmarkEnd w:id="82"/>
      <w:bookmarkEnd w:id="83"/>
      <w:bookmarkEnd w:id="84"/>
      <w:bookmarkEnd w:id="85"/>
    </w:p>
    <w:p>
      <w:pPr>
        <w:pStyle w:val="26"/>
        <w:keepNext w:val="0"/>
        <w:keepLines w:val="0"/>
        <w:pageBreakBefore w:val="0"/>
        <w:widowControl w:val="0"/>
        <w:kinsoku/>
        <w:wordWrap/>
        <w:overflowPunct/>
        <w:topLinePunct w:val="0"/>
        <w:bidi w:val="0"/>
        <w:snapToGrid/>
        <w:spacing w:line="600" w:lineRule="exact"/>
        <w:ind w:firstLine="640" w:firstLineChars="200"/>
        <w:jc w:val="both"/>
        <w:textAlignment w:val="auto"/>
        <w:rPr>
          <w:rFonts w:ascii="仿宋_GB2312" w:eastAsia="仿宋_GB2312" w:cs="黑体"/>
          <w:color w:val="auto"/>
          <w:sz w:val="32"/>
          <w:szCs w:val="32"/>
        </w:rPr>
      </w:pPr>
      <w:r>
        <w:rPr>
          <w:rFonts w:hint="eastAsia" w:ascii="仿宋_GB2312" w:eastAsia="仿宋_GB2312" w:cs="黑体"/>
          <w:color w:val="auto"/>
          <w:sz w:val="32"/>
          <w:szCs w:val="32"/>
        </w:rPr>
        <w:t>2</w:t>
      </w:r>
      <w:r>
        <w:rPr>
          <w:rFonts w:ascii="仿宋_GB2312" w:eastAsia="仿宋_GB2312" w:cs="黑体"/>
          <w:color w:val="auto"/>
          <w:sz w:val="32"/>
          <w:szCs w:val="32"/>
        </w:rPr>
        <w:t>.</w:t>
      </w:r>
      <w:r>
        <w:rPr>
          <w:rFonts w:hint="eastAsia" w:ascii="仿宋_GB2312" w:eastAsia="仿宋_GB2312" w:cs="黑体"/>
          <w:color w:val="auto"/>
          <w:sz w:val="32"/>
          <w:szCs w:val="32"/>
        </w:rPr>
        <w:t>年初结转和结余：指以前年度尚未完成、结转到本年按有关规定继续使用的资金。</w:t>
      </w:r>
    </w:p>
    <w:p>
      <w:pPr>
        <w:pStyle w:val="26"/>
        <w:keepNext w:val="0"/>
        <w:keepLines w:val="0"/>
        <w:pageBreakBefore w:val="0"/>
        <w:widowControl w:val="0"/>
        <w:kinsoku/>
        <w:wordWrap/>
        <w:overflowPunct/>
        <w:topLinePunct w:val="0"/>
        <w:bidi w:val="0"/>
        <w:snapToGrid/>
        <w:spacing w:line="600" w:lineRule="exact"/>
        <w:ind w:firstLine="640" w:firstLineChars="200"/>
        <w:jc w:val="both"/>
        <w:textAlignment w:val="auto"/>
        <w:rPr>
          <w:rFonts w:ascii="仿宋_GB2312" w:eastAsia="仿宋_GB2312" w:cs="黑体"/>
          <w:color w:val="auto"/>
          <w:sz w:val="32"/>
          <w:szCs w:val="32"/>
        </w:rPr>
      </w:pPr>
      <w:r>
        <w:rPr>
          <w:rFonts w:hint="eastAsia" w:ascii="仿宋_GB2312" w:eastAsia="仿宋_GB2312" w:cs="黑体"/>
          <w:color w:val="auto"/>
          <w:sz w:val="32"/>
          <w:szCs w:val="32"/>
        </w:rPr>
        <w:t>3、年末结转和结余：指单位按有关规定结转到下年或以后年度继续使用的资金。</w:t>
      </w:r>
    </w:p>
    <w:p>
      <w:pPr>
        <w:pStyle w:val="26"/>
        <w:keepNext w:val="0"/>
        <w:keepLines w:val="0"/>
        <w:pageBreakBefore w:val="0"/>
        <w:widowControl w:val="0"/>
        <w:kinsoku/>
        <w:wordWrap/>
        <w:overflowPunct/>
        <w:topLinePunct w:val="0"/>
        <w:bidi w:val="0"/>
        <w:snapToGrid/>
        <w:spacing w:line="600" w:lineRule="exact"/>
        <w:ind w:firstLine="640" w:firstLineChars="200"/>
        <w:jc w:val="both"/>
        <w:textAlignment w:val="auto"/>
        <w:rPr>
          <w:rFonts w:ascii="仿宋_GB2312" w:eastAsia="仿宋_GB2312" w:cs="黑体"/>
          <w:color w:val="auto"/>
          <w:sz w:val="32"/>
          <w:szCs w:val="32"/>
          <w:highlight w:val="none"/>
        </w:rPr>
      </w:pPr>
      <w:r>
        <w:rPr>
          <w:rFonts w:hint="eastAsia" w:ascii="仿宋_GB2312" w:eastAsia="仿宋_GB2312" w:cs="黑体"/>
          <w:color w:val="auto"/>
          <w:sz w:val="32"/>
          <w:szCs w:val="32"/>
        </w:rPr>
        <w:t>4</w:t>
      </w:r>
      <w:r>
        <w:rPr>
          <w:rFonts w:ascii="仿宋_GB2312" w:eastAsia="仿宋_GB2312" w:cs="黑体"/>
          <w:color w:val="auto"/>
          <w:sz w:val="32"/>
          <w:szCs w:val="32"/>
          <w:highlight w:val="none"/>
        </w:rPr>
        <w:t>.</w:t>
      </w:r>
      <w:r>
        <w:rPr>
          <w:rFonts w:hint="eastAsia" w:ascii="仿宋_GB2312" w:eastAsia="仿宋_GB2312" w:cs="黑体"/>
          <w:color w:val="auto"/>
          <w:sz w:val="32"/>
          <w:szCs w:val="32"/>
          <w:highlight w:val="none"/>
        </w:rPr>
        <w:t>社会保障和就业</w:t>
      </w:r>
      <w:r>
        <w:rPr>
          <w:rFonts w:hint="eastAsia" w:ascii="仿宋_GB2312" w:eastAsia="仿宋_GB2312" w:cs="黑体"/>
          <w:color w:val="auto"/>
          <w:sz w:val="32"/>
          <w:szCs w:val="32"/>
          <w:highlight w:val="none"/>
          <w:lang w:val="en-US" w:eastAsia="zh-CN"/>
        </w:rPr>
        <w:t>支出</w:t>
      </w:r>
      <w:r>
        <w:rPr>
          <w:rFonts w:hint="eastAsia" w:ascii="仿宋_GB2312" w:eastAsia="仿宋_GB2312" w:cs="黑体"/>
          <w:color w:val="auto"/>
          <w:sz w:val="32"/>
          <w:szCs w:val="32"/>
          <w:highlight w:val="none"/>
        </w:rPr>
        <w:t>（类）行政事业单位养老支出（款）事业单位离退休（项）：指反映事业单位开支的离退休经费。</w:t>
      </w:r>
    </w:p>
    <w:p>
      <w:pPr>
        <w:pStyle w:val="26"/>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_GB2312" w:eastAsia="仿宋_GB2312" w:cs="黑体"/>
          <w:color w:val="auto"/>
          <w:sz w:val="32"/>
          <w:szCs w:val="32"/>
          <w:highlight w:val="none"/>
        </w:rPr>
      </w:pPr>
      <w:r>
        <w:rPr>
          <w:rFonts w:hint="eastAsia" w:ascii="仿宋_GB2312" w:eastAsia="仿宋_GB2312" w:cs="黑体"/>
          <w:color w:val="auto"/>
          <w:sz w:val="32"/>
          <w:szCs w:val="32"/>
          <w:highlight w:val="none"/>
        </w:rPr>
        <w:t>5.社会保障和就业</w:t>
      </w:r>
      <w:r>
        <w:rPr>
          <w:rFonts w:hint="eastAsia" w:ascii="仿宋_GB2312" w:eastAsia="仿宋_GB2312" w:cs="黑体"/>
          <w:color w:val="auto"/>
          <w:sz w:val="32"/>
          <w:szCs w:val="32"/>
          <w:highlight w:val="none"/>
          <w:lang w:val="en-US" w:eastAsia="zh-CN"/>
        </w:rPr>
        <w:t>支出</w:t>
      </w:r>
      <w:r>
        <w:rPr>
          <w:rFonts w:hint="eastAsia" w:ascii="仿宋_GB2312" w:eastAsia="仿宋_GB2312" w:cs="黑体"/>
          <w:color w:val="auto"/>
          <w:sz w:val="32"/>
          <w:szCs w:val="32"/>
          <w:highlight w:val="none"/>
        </w:rPr>
        <w:t>（类）行政事业单位养老支出（款）机关事业单位基本养老保险缴费支出（项）：指反映机关事业单位实施养老保险制度由单位缴纳的基本养老保险费支出。</w:t>
      </w:r>
    </w:p>
    <w:p>
      <w:pPr>
        <w:pStyle w:val="26"/>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6.卫生健康支出（类）行政事业单位医疗（款）事业单位医疗（项）: 指</w:t>
      </w:r>
      <w:r>
        <w:rPr>
          <w:rFonts w:hint="eastAsia" w:ascii="仿宋_GB2312" w:eastAsia="仿宋_GB2312" w:cs="黑体"/>
          <w:color w:val="auto"/>
          <w:sz w:val="32"/>
          <w:szCs w:val="32"/>
          <w:highlight w:val="none"/>
        </w:rPr>
        <w:t>反映机关事业单位实施</w:t>
      </w:r>
      <w:r>
        <w:rPr>
          <w:rFonts w:hint="eastAsia" w:ascii="仿宋_GB2312" w:eastAsia="仿宋_GB2312" w:cs="黑体"/>
          <w:color w:val="auto"/>
          <w:sz w:val="32"/>
          <w:szCs w:val="32"/>
          <w:highlight w:val="none"/>
          <w:lang w:val="en-US" w:eastAsia="zh-CN"/>
        </w:rPr>
        <w:t>基本医疗</w:t>
      </w:r>
      <w:r>
        <w:rPr>
          <w:rFonts w:hint="eastAsia" w:ascii="仿宋_GB2312" w:eastAsia="仿宋_GB2312" w:cs="黑体"/>
          <w:color w:val="auto"/>
          <w:sz w:val="32"/>
          <w:szCs w:val="32"/>
          <w:highlight w:val="none"/>
        </w:rPr>
        <w:t>保险制度由单位缴纳的基本</w:t>
      </w:r>
      <w:r>
        <w:rPr>
          <w:rFonts w:hint="eastAsia" w:ascii="仿宋_GB2312" w:eastAsia="仿宋_GB2312" w:cs="黑体"/>
          <w:color w:val="auto"/>
          <w:sz w:val="32"/>
          <w:szCs w:val="32"/>
          <w:highlight w:val="none"/>
          <w:lang w:val="en-US" w:eastAsia="zh-CN"/>
        </w:rPr>
        <w:t>医疗</w:t>
      </w:r>
      <w:r>
        <w:rPr>
          <w:rFonts w:hint="eastAsia" w:ascii="仿宋_GB2312" w:eastAsia="仿宋_GB2312" w:cs="黑体"/>
          <w:color w:val="auto"/>
          <w:sz w:val="32"/>
          <w:szCs w:val="32"/>
          <w:highlight w:val="none"/>
        </w:rPr>
        <w:t>保险费支出。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eastAsia="仿宋_GB2312" w:cs="黑体"/>
          <w:color w:val="auto"/>
          <w:sz w:val="32"/>
          <w:szCs w:val="32"/>
        </w:rPr>
      </w:pPr>
      <w:r>
        <w:rPr>
          <w:rFonts w:hint="eastAsia" w:ascii="仿宋_GB2312" w:hAnsi="仿宋_GB2312" w:eastAsia="仿宋_GB2312" w:cs="仿宋_GB2312"/>
          <w:color w:val="auto"/>
          <w:sz w:val="32"/>
          <w:szCs w:val="32"/>
          <w:highlight w:val="none"/>
          <w:lang w:val="en-US" w:eastAsia="zh-CN"/>
        </w:rPr>
        <w:t>7.卫生健康支出（类）行政事业单位医疗（款）公务员医疗补助（项）: 指</w:t>
      </w:r>
      <w:r>
        <w:rPr>
          <w:rFonts w:hint="eastAsia" w:ascii="仿宋_GB2312" w:eastAsia="仿宋_GB2312" w:cs="黑体"/>
          <w:color w:val="auto"/>
          <w:sz w:val="32"/>
          <w:szCs w:val="32"/>
          <w:highlight w:val="none"/>
        </w:rPr>
        <w:t>反映机关事业单位实施</w:t>
      </w:r>
      <w:r>
        <w:rPr>
          <w:rFonts w:hint="eastAsia" w:ascii="仿宋_GB2312" w:eastAsia="仿宋_GB2312" w:cs="黑体"/>
          <w:color w:val="auto"/>
          <w:sz w:val="32"/>
          <w:szCs w:val="32"/>
          <w:highlight w:val="none"/>
          <w:lang w:val="en-US" w:eastAsia="zh-CN"/>
        </w:rPr>
        <w:t>医疗补助</w:t>
      </w:r>
      <w:r>
        <w:rPr>
          <w:rFonts w:hint="eastAsia" w:ascii="仿宋_GB2312" w:eastAsia="仿宋_GB2312" w:cs="黑体"/>
          <w:color w:val="auto"/>
          <w:sz w:val="32"/>
          <w:szCs w:val="32"/>
          <w:highlight w:val="none"/>
        </w:rPr>
        <w:t>制度由单位缴纳的</w:t>
      </w:r>
      <w:r>
        <w:rPr>
          <w:rFonts w:hint="eastAsia" w:ascii="仿宋_GB2312" w:eastAsia="仿宋_GB2312" w:cs="黑体"/>
          <w:color w:val="auto"/>
          <w:sz w:val="32"/>
          <w:szCs w:val="32"/>
          <w:highlight w:val="none"/>
          <w:lang w:val="en-US" w:eastAsia="zh-CN"/>
        </w:rPr>
        <w:t>医疗补助</w:t>
      </w:r>
      <w:r>
        <w:rPr>
          <w:rFonts w:hint="eastAsia" w:ascii="仿宋_GB2312" w:eastAsia="仿宋_GB2312" w:cs="黑体"/>
          <w:color w:val="auto"/>
          <w:sz w:val="32"/>
          <w:szCs w:val="32"/>
          <w:highlight w:val="none"/>
        </w:rPr>
        <w:t>费支出。</w:t>
      </w:r>
      <w:r>
        <w:rPr>
          <w:rFonts w:hint="eastAsia" w:ascii="仿宋_GB2312" w:eastAsia="仿宋_GB2312" w:cs="黑体"/>
          <w:color w:val="auto"/>
          <w:sz w:val="32"/>
          <w:szCs w:val="32"/>
          <w:lang w:val="en-US" w:eastAsia="zh-CN"/>
        </w:rPr>
        <w:t xml:space="preserve"> </w:t>
      </w:r>
    </w:p>
    <w:p>
      <w:pPr>
        <w:pStyle w:val="26"/>
        <w:keepNext w:val="0"/>
        <w:keepLines w:val="0"/>
        <w:pageBreakBefore w:val="0"/>
        <w:widowControl w:val="0"/>
        <w:kinsoku/>
        <w:wordWrap/>
        <w:overflowPunct/>
        <w:topLinePunct w:val="0"/>
        <w:bidi w:val="0"/>
        <w:snapToGrid/>
        <w:spacing w:line="600" w:lineRule="exact"/>
        <w:ind w:firstLine="640" w:firstLineChars="200"/>
        <w:jc w:val="both"/>
        <w:textAlignment w:val="auto"/>
        <w:rPr>
          <w:rFonts w:ascii="仿宋_GB2312" w:eastAsia="仿宋_GB2312" w:cs="黑体"/>
          <w:color w:val="auto"/>
          <w:sz w:val="32"/>
          <w:szCs w:val="32"/>
        </w:rPr>
      </w:pPr>
      <w:r>
        <w:rPr>
          <w:rFonts w:hint="eastAsia" w:ascii="仿宋_GB2312" w:eastAsia="仿宋_GB2312" w:cs="黑体"/>
          <w:color w:val="auto"/>
          <w:sz w:val="32"/>
          <w:szCs w:val="32"/>
          <w:lang w:val="en-US" w:eastAsia="zh-CN"/>
        </w:rPr>
        <w:t>8</w:t>
      </w:r>
      <w:r>
        <w:rPr>
          <w:rFonts w:ascii="仿宋_GB2312" w:eastAsia="仿宋_GB2312" w:cs="黑体"/>
          <w:color w:val="auto"/>
          <w:sz w:val="32"/>
          <w:szCs w:val="32"/>
        </w:rPr>
        <w:t>.</w:t>
      </w:r>
      <w:r>
        <w:rPr>
          <w:rFonts w:hint="eastAsia" w:ascii="仿宋_GB2312" w:eastAsia="仿宋_GB2312" w:cs="黑体"/>
          <w:color w:val="auto"/>
          <w:sz w:val="32"/>
          <w:szCs w:val="32"/>
        </w:rPr>
        <w:t>城乡社区支出（类）城乡社区管理事务（款）其他城乡社区管理事务支出（项）：指反映其他用于其他城乡社区管理事务方面的支出。</w:t>
      </w:r>
    </w:p>
    <w:p>
      <w:pPr>
        <w:pStyle w:val="26"/>
        <w:keepNext w:val="0"/>
        <w:keepLines w:val="0"/>
        <w:pageBreakBefore w:val="0"/>
        <w:widowControl w:val="0"/>
        <w:kinsoku/>
        <w:wordWrap/>
        <w:overflowPunct/>
        <w:topLinePunct w:val="0"/>
        <w:bidi w:val="0"/>
        <w:snapToGrid/>
        <w:spacing w:line="600" w:lineRule="exact"/>
        <w:ind w:firstLine="640" w:firstLineChars="200"/>
        <w:jc w:val="both"/>
        <w:textAlignment w:val="auto"/>
        <w:rPr>
          <w:rFonts w:ascii="仿宋_GB2312" w:eastAsia="仿宋_GB2312" w:cs="黑体"/>
          <w:color w:val="auto"/>
          <w:sz w:val="32"/>
          <w:szCs w:val="32"/>
        </w:rPr>
      </w:pPr>
      <w:r>
        <w:rPr>
          <w:rFonts w:hint="eastAsia" w:ascii="仿宋_GB2312" w:eastAsia="仿宋_GB2312" w:cs="黑体"/>
          <w:color w:val="auto"/>
          <w:sz w:val="32"/>
          <w:szCs w:val="32"/>
          <w:lang w:val="en-US" w:eastAsia="zh-CN"/>
        </w:rPr>
        <w:t>9</w:t>
      </w:r>
      <w:r>
        <w:rPr>
          <w:rFonts w:ascii="仿宋_GB2312" w:eastAsia="仿宋_GB2312" w:cs="黑体"/>
          <w:color w:val="auto"/>
          <w:sz w:val="32"/>
          <w:szCs w:val="32"/>
        </w:rPr>
        <w:t>.</w:t>
      </w:r>
      <w:r>
        <w:rPr>
          <w:rFonts w:hint="eastAsia" w:ascii="仿宋_GB2312" w:eastAsia="仿宋_GB2312" w:cs="黑体"/>
          <w:color w:val="auto"/>
          <w:sz w:val="32"/>
          <w:szCs w:val="32"/>
        </w:rPr>
        <w:t>住房保障</w:t>
      </w:r>
      <w:r>
        <w:rPr>
          <w:rFonts w:hint="eastAsia" w:ascii="仿宋_GB2312" w:eastAsia="仿宋_GB2312" w:cs="黑体"/>
          <w:color w:val="auto"/>
          <w:sz w:val="32"/>
          <w:szCs w:val="32"/>
          <w:lang w:val="en-US" w:eastAsia="zh-CN"/>
        </w:rPr>
        <w:t>支出</w:t>
      </w:r>
      <w:r>
        <w:rPr>
          <w:rFonts w:hint="eastAsia" w:ascii="仿宋_GB2312" w:eastAsia="仿宋_GB2312" w:cs="黑体"/>
          <w:color w:val="auto"/>
          <w:sz w:val="32"/>
          <w:szCs w:val="32"/>
        </w:rPr>
        <w:t>（类）住房改革支出（款）住房公积金（项）：指反映行政事业单位按照人力资源和社会保障部、财政部规定的基本工资和津补贴以及规定比例为职工缴纳的住房公积金。</w:t>
      </w:r>
    </w:p>
    <w:p>
      <w:pPr>
        <w:pStyle w:val="26"/>
        <w:keepNext w:val="0"/>
        <w:keepLines w:val="0"/>
        <w:pageBreakBefore w:val="0"/>
        <w:widowControl w:val="0"/>
        <w:kinsoku/>
        <w:wordWrap/>
        <w:overflowPunct/>
        <w:topLinePunct w:val="0"/>
        <w:bidi w:val="0"/>
        <w:snapToGrid/>
        <w:spacing w:line="600" w:lineRule="exact"/>
        <w:ind w:firstLine="640" w:firstLineChars="200"/>
        <w:jc w:val="both"/>
        <w:textAlignment w:val="auto"/>
        <w:rPr>
          <w:rFonts w:ascii="仿宋_GB2312" w:eastAsia="仿宋_GB2312" w:cs="黑体"/>
          <w:color w:val="auto"/>
          <w:sz w:val="32"/>
          <w:szCs w:val="32"/>
        </w:rPr>
      </w:pPr>
      <w:r>
        <w:rPr>
          <w:rFonts w:hint="eastAsia" w:ascii="仿宋_GB2312" w:eastAsia="仿宋_GB2312" w:cs="黑体"/>
          <w:color w:val="auto"/>
          <w:sz w:val="32"/>
          <w:szCs w:val="32"/>
          <w:lang w:val="en-US" w:eastAsia="zh-CN"/>
        </w:rPr>
        <w:t>10</w:t>
      </w:r>
      <w:r>
        <w:rPr>
          <w:rFonts w:ascii="仿宋_GB2312" w:eastAsia="仿宋_GB2312" w:cs="黑体"/>
          <w:color w:val="auto"/>
          <w:sz w:val="32"/>
          <w:szCs w:val="32"/>
        </w:rPr>
        <w:t>.</w:t>
      </w:r>
      <w:r>
        <w:rPr>
          <w:rFonts w:hint="eastAsia" w:ascii="仿宋_GB2312" w:eastAsia="仿宋_GB2312" w:cs="黑体"/>
          <w:color w:val="auto"/>
          <w:sz w:val="32"/>
          <w:szCs w:val="32"/>
        </w:rPr>
        <w:t>基本支出：指为保障机构正常运转、完成日常工作任务而发生的人员支出和公用支出。</w:t>
      </w:r>
    </w:p>
    <w:p>
      <w:pPr>
        <w:pStyle w:val="26"/>
        <w:keepNext w:val="0"/>
        <w:keepLines w:val="0"/>
        <w:pageBreakBefore w:val="0"/>
        <w:widowControl w:val="0"/>
        <w:kinsoku/>
        <w:wordWrap/>
        <w:overflowPunct/>
        <w:topLinePunct w:val="0"/>
        <w:bidi w:val="0"/>
        <w:snapToGrid/>
        <w:spacing w:line="600" w:lineRule="exact"/>
        <w:ind w:firstLine="640" w:firstLineChars="200"/>
        <w:jc w:val="both"/>
        <w:textAlignment w:val="auto"/>
        <w:rPr>
          <w:rFonts w:ascii="仿宋_GB2312" w:eastAsia="仿宋_GB2312" w:cs="黑体"/>
          <w:color w:val="auto"/>
          <w:sz w:val="32"/>
          <w:szCs w:val="32"/>
        </w:rPr>
      </w:pPr>
      <w:r>
        <w:rPr>
          <w:rFonts w:hint="eastAsia" w:ascii="仿宋_GB2312" w:eastAsia="仿宋_GB2312" w:cs="黑体"/>
          <w:color w:val="auto"/>
          <w:sz w:val="32"/>
          <w:szCs w:val="32"/>
          <w:lang w:val="en-US" w:eastAsia="zh-CN"/>
        </w:rPr>
        <w:t>11</w:t>
      </w:r>
      <w:r>
        <w:rPr>
          <w:rFonts w:hint="eastAsia" w:ascii="仿宋_GB2312" w:eastAsia="仿宋_GB2312" w:cs="黑体"/>
          <w:color w:val="auto"/>
          <w:sz w:val="32"/>
          <w:szCs w:val="32"/>
        </w:rPr>
        <w:t>.项目支出：指在基本支出之外为完成特定行政任务和事业发展目标所发生的支出。</w:t>
      </w:r>
    </w:p>
    <w:p>
      <w:pPr>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_GB2312" w:eastAsia="仿宋_GB2312" w:cs="黑体"/>
          <w:color w:val="auto"/>
          <w:sz w:val="32"/>
          <w:szCs w:val="32"/>
        </w:rPr>
      </w:pPr>
      <w:r>
        <w:rPr>
          <w:rFonts w:hint="eastAsia" w:ascii="仿宋_GB2312" w:eastAsia="仿宋_GB2312" w:cs="黑体"/>
          <w:color w:val="auto"/>
          <w:sz w:val="32"/>
          <w:szCs w:val="32"/>
        </w:rPr>
        <w:t>1</w:t>
      </w:r>
      <w:r>
        <w:rPr>
          <w:rFonts w:hint="eastAsia" w:ascii="仿宋_GB2312" w:eastAsia="仿宋_GB2312" w:cs="黑体"/>
          <w:color w:val="auto"/>
          <w:sz w:val="32"/>
          <w:szCs w:val="32"/>
          <w:lang w:val="en-US" w:eastAsia="zh-CN"/>
        </w:rPr>
        <w:t>2</w:t>
      </w:r>
      <w:r>
        <w:rPr>
          <w:rFonts w:ascii="仿宋_GB2312" w:eastAsia="仿宋_GB2312" w:cs="黑体"/>
          <w:color w:val="auto"/>
          <w:sz w:val="32"/>
          <w:szCs w:val="32"/>
        </w:rPr>
        <w:t>.</w:t>
      </w:r>
      <w:r>
        <w:rPr>
          <w:rFonts w:hint="eastAsia" w:ascii="仿宋_GB2312" w:eastAsia="仿宋_GB2312" w:cs="黑体"/>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_GB2312" w:hAnsi="Times New Roman" w:eastAsia="仿宋_GB2312" w:cs="黑体"/>
          <w:color w:val="auto"/>
          <w:sz w:val="32"/>
          <w:szCs w:val="32"/>
          <w:lang w:val="en-US" w:eastAsia="zh-CN"/>
        </w:rPr>
      </w:pPr>
      <w:r>
        <w:rPr>
          <w:rFonts w:hint="eastAsia" w:ascii="仿宋_GB2312" w:hAnsi="Times New Roman" w:eastAsia="仿宋_GB2312" w:cs="黑体"/>
          <w:color w:val="auto"/>
          <w:sz w:val="32"/>
          <w:szCs w:val="32"/>
          <w:lang w:val="en-US" w:eastAsia="zh-CN"/>
        </w:rPr>
        <w:t>1</w:t>
      </w:r>
      <w:r>
        <w:rPr>
          <w:rFonts w:hint="eastAsia" w:ascii="仿宋_GB2312" w:eastAsia="仿宋_GB2312" w:cs="黑体"/>
          <w:color w:val="auto"/>
          <w:sz w:val="32"/>
          <w:szCs w:val="32"/>
          <w:lang w:val="en-US" w:eastAsia="zh-CN"/>
        </w:rPr>
        <w:t>3</w:t>
      </w:r>
      <w:r>
        <w:rPr>
          <w:rFonts w:hint="eastAsia" w:ascii="仿宋_GB2312" w:hAnsi="Times New Roman" w:eastAsia="仿宋_GB2312" w:cs="黑体"/>
          <w:color w:val="auto"/>
          <w:sz w:val="32"/>
          <w:szCs w:val="32"/>
          <w:lang w:val="en-US" w:eastAsia="zh-CN"/>
        </w:rPr>
        <w:t>. 配套费征收成本（含房改房维修资金管理运行成本）支出：用于征收建设项目城市基础设施配套费过程中发生的成本支出及房改房维修资金缴存和支取过程中发生的成本支出。</w:t>
      </w:r>
    </w:p>
    <w:p>
      <w:pPr>
        <w:spacing w:line="600" w:lineRule="exact"/>
        <w:jc w:val="center"/>
        <w:outlineLvl w:val="0"/>
        <w:rPr>
          <w:rStyle w:val="28"/>
          <w:rFonts w:hint="eastAsia" w:ascii="Times New Roman" w:hAnsi="Times New Roman" w:eastAsia="黑体"/>
          <w:b w:val="0"/>
          <w:color w:val="auto"/>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br w:type="page"/>
      </w:r>
      <w:bookmarkStart w:id="87" w:name="_Toc15396614"/>
      <w:bookmarkStart w:id="88" w:name="_Toc18525"/>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87"/>
      <w:bookmarkEnd w:id="88"/>
    </w:p>
    <w:p>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黑体"/>
          <w:color w:val="FF0000"/>
          <w:sz w:val="32"/>
          <w:szCs w:val="32"/>
          <w:highlight w:val="none"/>
        </w:rPr>
      </w:pPr>
    </w:p>
    <w:p>
      <w:pPr>
        <w:pStyle w:val="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Times New Roman" w:hAnsi="Times New Roman" w:eastAsia="仿宋_GB2312" w:cs="Times New Roman"/>
          <w:kern w:val="2"/>
          <w:sz w:val="32"/>
          <w:szCs w:val="32"/>
          <w:u w:val="none"/>
          <w:lang w:val="zh-CN" w:eastAsia="zh-CN" w:bidi="ar"/>
        </w:rPr>
      </w:pPr>
      <w:bookmarkStart w:id="131" w:name="_GoBack"/>
      <w:bookmarkEnd w:id="131"/>
      <w:r>
        <w:rPr>
          <w:rFonts w:hint="eastAsia" w:ascii="Times New Roman" w:eastAsia="仿宋_GB2312" w:cs="Times New Roman"/>
          <w:kern w:val="2"/>
          <w:sz w:val="32"/>
          <w:szCs w:val="32"/>
          <w:u w:val="none"/>
          <w:lang w:val="en-US" w:eastAsia="zh-CN" w:bidi="ar"/>
        </w:rPr>
        <w:t>部门</w:t>
      </w:r>
      <w:r>
        <w:rPr>
          <w:rFonts w:hint="eastAsia" w:ascii="Times New Roman" w:hAnsi="Times New Roman" w:eastAsia="仿宋_GB2312" w:cs="Times New Roman"/>
          <w:kern w:val="2"/>
          <w:sz w:val="32"/>
          <w:szCs w:val="32"/>
          <w:u w:val="none"/>
          <w:lang w:val="en-US" w:eastAsia="zh-CN" w:bidi="ar"/>
        </w:rPr>
        <w:t>预算项目支出绩效自评表</w:t>
      </w:r>
      <w:r>
        <w:rPr>
          <w:rFonts w:hint="eastAsia" w:ascii="仿宋_GB2312" w:hAnsi="仿宋_GB2312" w:eastAsia="仿宋_GB2312" w:cs="仿宋_GB2312"/>
          <w:kern w:val="2"/>
          <w:sz w:val="32"/>
          <w:szCs w:val="32"/>
          <w:u w:val="none"/>
          <w:lang w:val="en-US" w:eastAsia="zh-CN" w:bidi="ar"/>
        </w:rPr>
        <w:t>（</w:t>
      </w:r>
      <w:r>
        <w:rPr>
          <w:rFonts w:hint="eastAsia" w:ascii="Times New Roman" w:hAnsi="Times New Roman" w:eastAsia="仿宋_GB2312" w:cs="仿宋_GB2312"/>
          <w:color w:val="auto"/>
          <w:kern w:val="2"/>
          <w:sz w:val="32"/>
          <w:szCs w:val="32"/>
          <w:highlight w:val="none"/>
          <w:lang w:val="en-US" w:eastAsia="zh-CN" w:bidi="ar-SA"/>
        </w:rPr>
        <w:t>2025年度）见附件3</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pPr>
        <w:pStyle w:val="2"/>
        <w:rPr>
          <w:rFonts w:hint="eastAsia" w:ascii="Times New Roman" w:hAnsi="Times New Roman" w:cs="宋体"/>
          <w:color w:val="FF0000"/>
          <w:kern w:val="0"/>
          <w:sz w:val="32"/>
          <w:szCs w:val="32"/>
          <w:highlight w:val="yellow"/>
          <w:shd w:val="clear" w:color="auto" w:fill="FFFFFF"/>
          <w:lang w:val="zh-CN"/>
        </w:rPr>
      </w:pPr>
    </w:p>
    <w:p>
      <w:pPr>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黑体" w:cs="黑体"/>
          <w:color w:val="auto"/>
          <w:kern w:val="0"/>
          <w:sz w:val="32"/>
          <w:szCs w:val="32"/>
          <w:highlight w:val="none"/>
          <w:shd w:val="clear" w:color="auto" w:fill="FFFFFF"/>
          <w:lang w:val="zh-CN"/>
        </w:rPr>
        <w:br w:type="page"/>
      </w:r>
      <w:bookmarkStart w:id="89" w:name="_Toc15396618"/>
    </w:p>
    <w:p>
      <w:pPr>
        <w:keepNext w:val="0"/>
        <w:keepLines w:val="0"/>
        <w:pageBreakBefore w:val="0"/>
        <w:widowControl/>
        <w:kinsoku/>
        <w:wordWrap/>
        <w:overflowPunct/>
        <w:topLinePunct w:val="0"/>
        <w:autoSpaceDE/>
        <w:autoSpaceDN/>
        <w:bidi w:val="0"/>
        <w:spacing w:line="640" w:lineRule="exact"/>
        <w:jc w:val="center"/>
        <w:textAlignment w:val="auto"/>
        <w:outlineLvl w:val="0"/>
        <w:rPr>
          <w:rFonts w:hint="eastAsia" w:ascii="Times New Roman" w:hAnsi="Times New Roman" w:eastAsia="仿宋"/>
          <w:b w:val="0"/>
          <w:color w:val="auto"/>
          <w:highlight w:val="none"/>
        </w:rPr>
      </w:pPr>
      <w:bookmarkStart w:id="90" w:name="_Toc25457"/>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w:t>
      </w:r>
      <w:r>
        <w:rPr>
          <w:rStyle w:val="28"/>
          <w:rFonts w:hint="eastAsia" w:eastAsia="黑体"/>
          <w:b w:val="0"/>
          <w:color w:val="auto"/>
          <w:highlight w:val="none"/>
          <w:lang w:val="en-US" w:eastAsia="zh-CN"/>
        </w:rPr>
        <w:t xml:space="preserve"> </w:t>
      </w:r>
      <w:r>
        <w:rPr>
          <w:rStyle w:val="28"/>
          <w:rFonts w:hint="eastAsia" w:ascii="Times New Roman" w:hAnsi="Times New Roman" w:eastAsia="黑体"/>
          <w:b w:val="0"/>
          <w:color w:val="auto"/>
          <w:highlight w:val="none"/>
        </w:rPr>
        <w:t xml:space="preserve"> 附表</w:t>
      </w:r>
      <w:bookmarkEnd w:id="86"/>
      <w:bookmarkEnd w:id="89"/>
      <w:bookmarkEnd w:id="90"/>
      <w:bookmarkStart w:id="91" w:name="_Toc15396619"/>
    </w:p>
    <w:p>
      <w:pPr>
        <w:pStyle w:val="14"/>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p>
    <w:bookmarkEnd w:id="91"/>
    <w:p>
      <w:pPr>
        <w:pStyle w:val="4"/>
        <w:keepNext/>
        <w:keepLines/>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rPr>
      </w:pPr>
      <w:bookmarkStart w:id="92" w:name="_Toc10402"/>
      <w:bookmarkStart w:id="93" w:name="_Toc12851"/>
      <w:bookmarkStart w:id="94" w:name="_Toc29402_WPSOffice_Level2"/>
      <w:r>
        <w:rPr>
          <w:rFonts w:hint="eastAsia" w:ascii="仿宋_GB2312" w:hAnsi="仿宋_GB2312" w:eastAsia="仿宋_GB2312" w:cs="仿宋_GB2312"/>
          <w:b w:val="0"/>
        </w:rPr>
        <w:t>一、收</w:t>
      </w:r>
      <w:r>
        <w:rPr>
          <w:rStyle w:val="29"/>
          <w:rFonts w:hint="eastAsia" w:ascii="仿宋_GB2312" w:hAnsi="仿宋_GB2312" w:eastAsia="仿宋_GB2312" w:cs="仿宋_GB2312"/>
          <w:b w:val="0"/>
          <w:bCs w:val="0"/>
        </w:rPr>
        <w:t>入支出决算总表</w:t>
      </w:r>
      <w:bookmarkEnd w:id="92"/>
      <w:bookmarkEnd w:id="93"/>
      <w:bookmarkEnd w:id="94"/>
    </w:p>
    <w:p>
      <w:pPr>
        <w:pStyle w:val="4"/>
        <w:keepNext/>
        <w:keepLines/>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rPr>
      </w:pPr>
      <w:bookmarkStart w:id="95" w:name="_Toc1222"/>
      <w:bookmarkStart w:id="96" w:name="_Toc17376"/>
      <w:bookmarkStart w:id="97" w:name="_Toc13920_WPSOffice_Level2"/>
      <w:r>
        <w:rPr>
          <w:rFonts w:hint="eastAsia" w:ascii="仿宋_GB2312" w:hAnsi="仿宋_GB2312" w:eastAsia="仿宋_GB2312" w:cs="仿宋_GB2312"/>
          <w:b w:val="0"/>
        </w:rPr>
        <w:t>二、收</w:t>
      </w:r>
      <w:r>
        <w:rPr>
          <w:rStyle w:val="29"/>
          <w:rFonts w:hint="eastAsia" w:ascii="仿宋_GB2312" w:hAnsi="仿宋_GB2312" w:eastAsia="仿宋_GB2312" w:cs="仿宋_GB2312"/>
          <w:b w:val="0"/>
          <w:bCs w:val="0"/>
        </w:rPr>
        <w:t>入决算表</w:t>
      </w:r>
      <w:bookmarkEnd w:id="95"/>
      <w:bookmarkEnd w:id="96"/>
      <w:bookmarkEnd w:id="97"/>
    </w:p>
    <w:p>
      <w:pPr>
        <w:pStyle w:val="4"/>
        <w:keepNext/>
        <w:keepLines/>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rPr>
      </w:pPr>
      <w:bookmarkStart w:id="98" w:name="_Toc6140"/>
      <w:bookmarkStart w:id="99" w:name="_Toc15151"/>
      <w:bookmarkStart w:id="100" w:name="_Toc25818_WPSOffice_Level2"/>
      <w:r>
        <w:rPr>
          <w:rStyle w:val="29"/>
          <w:rFonts w:hint="eastAsia" w:ascii="仿宋_GB2312" w:hAnsi="仿宋_GB2312" w:eastAsia="仿宋_GB2312" w:cs="仿宋_GB2312"/>
          <w:b w:val="0"/>
          <w:bCs w:val="0"/>
        </w:rPr>
        <w:t>三、</w:t>
      </w:r>
      <w:r>
        <w:rPr>
          <w:rFonts w:hint="eastAsia" w:ascii="仿宋_GB2312" w:hAnsi="仿宋_GB2312" w:eastAsia="仿宋_GB2312" w:cs="仿宋_GB2312"/>
          <w:b w:val="0"/>
        </w:rPr>
        <w:t>支</w:t>
      </w:r>
      <w:r>
        <w:rPr>
          <w:rStyle w:val="29"/>
          <w:rFonts w:hint="eastAsia" w:ascii="仿宋_GB2312" w:hAnsi="仿宋_GB2312" w:eastAsia="仿宋_GB2312" w:cs="仿宋_GB2312"/>
          <w:b w:val="0"/>
          <w:bCs w:val="0"/>
        </w:rPr>
        <w:t>出决算表</w:t>
      </w:r>
      <w:bookmarkEnd w:id="98"/>
      <w:bookmarkEnd w:id="99"/>
      <w:bookmarkEnd w:id="100"/>
    </w:p>
    <w:p>
      <w:pPr>
        <w:pStyle w:val="4"/>
        <w:keepNext/>
        <w:keepLines/>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b w:val="0"/>
        </w:rPr>
      </w:pPr>
      <w:bookmarkStart w:id="101" w:name="_Toc1123"/>
      <w:bookmarkStart w:id="102" w:name="_Toc7603"/>
      <w:bookmarkStart w:id="103" w:name="_Toc380_WPSOffice_Level2"/>
      <w:r>
        <w:rPr>
          <w:rStyle w:val="29"/>
          <w:rFonts w:hint="eastAsia" w:ascii="仿宋_GB2312" w:hAnsi="仿宋_GB2312" w:eastAsia="仿宋_GB2312" w:cs="仿宋_GB2312"/>
          <w:b w:val="0"/>
          <w:bCs w:val="0"/>
        </w:rPr>
        <w:t>四、</w:t>
      </w:r>
      <w:r>
        <w:rPr>
          <w:rFonts w:hint="eastAsia" w:ascii="仿宋_GB2312" w:hAnsi="仿宋_GB2312" w:eastAsia="仿宋_GB2312" w:cs="仿宋_GB2312"/>
          <w:b w:val="0"/>
        </w:rPr>
        <w:t>财</w:t>
      </w:r>
      <w:r>
        <w:rPr>
          <w:rStyle w:val="29"/>
          <w:rFonts w:hint="eastAsia" w:ascii="仿宋_GB2312" w:hAnsi="仿宋_GB2312" w:eastAsia="仿宋_GB2312" w:cs="仿宋_GB2312"/>
          <w:b w:val="0"/>
          <w:bCs w:val="0"/>
        </w:rPr>
        <w:t>政拨款收入支出决算总表</w:t>
      </w:r>
      <w:bookmarkEnd w:id="101"/>
      <w:bookmarkEnd w:id="102"/>
      <w:bookmarkEnd w:id="103"/>
    </w:p>
    <w:p>
      <w:pPr>
        <w:pStyle w:val="4"/>
        <w:keepNext/>
        <w:keepLines/>
        <w:pageBreakBefore w:val="0"/>
        <w:widowControl w:val="0"/>
        <w:kinsoku/>
        <w:wordWrap/>
        <w:overflowPunct/>
        <w:topLinePunct w:val="0"/>
        <w:autoSpaceDE/>
        <w:autoSpaceDN/>
        <w:bidi w:val="0"/>
        <w:adjustRightInd/>
        <w:snapToGrid/>
        <w:spacing w:line="600" w:lineRule="exact"/>
        <w:ind w:firstLine="640" w:firstLineChars="200"/>
        <w:jc w:val="left"/>
        <w:textAlignment w:val="auto"/>
        <w:rPr>
          <w:rStyle w:val="29"/>
          <w:rFonts w:hint="eastAsia" w:ascii="仿宋_GB2312" w:hAnsi="仿宋_GB2312" w:eastAsia="仿宋_GB2312" w:cs="仿宋_GB2312"/>
          <w:b w:val="0"/>
          <w:bCs w:val="0"/>
        </w:rPr>
      </w:pPr>
      <w:bookmarkStart w:id="104" w:name="_Toc29823"/>
      <w:bookmarkStart w:id="105" w:name="_Toc13893"/>
      <w:bookmarkStart w:id="106" w:name="_Toc14809_WPSOffice_Level2"/>
      <w:r>
        <w:rPr>
          <w:rStyle w:val="29"/>
          <w:rFonts w:hint="eastAsia" w:ascii="仿宋_GB2312" w:hAnsi="仿宋_GB2312" w:eastAsia="仿宋_GB2312" w:cs="仿宋_GB2312"/>
          <w:b w:val="0"/>
          <w:bCs w:val="0"/>
        </w:rPr>
        <w:t>五、</w:t>
      </w:r>
      <w:r>
        <w:rPr>
          <w:rFonts w:hint="eastAsia" w:ascii="仿宋_GB2312" w:hAnsi="仿宋_GB2312" w:eastAsia="仿宋_GB2312" w:cs="仿宋_GB2312"/>
          <w:b w:val="0"/>
        </w:rPr>
        <w:t>财</w:t>
      </w:r>
      <w:r>
        <w:rPr>
          <w:rStyle w:val="29"/>
          <w:rFonts w:hint="eastAsia" w:ascii="仿宋_GB2312" w:hAnsi="仿宋_GB2312" w:eastAsia="仿宋_GB2312" w:cs="仿宋_GB2312"/>
          <w:b w:val="0"/>
          <w:bCs w:val="0"/>
        </w:rPr>
        <w:t>政拨款支出决算明细表</w:t>
      </w:r>
      <w:bookmarkEnd w:id="104"/>
      <w:bookmarkEnd w:id="105"/>
      <w:bookmarkEnd w:id="106"/>
    </w:p>
    <w:p>
      <w:pPr>
        <w:pStyle w:val="4"/>
        <w:keepNext/>
        <w:keepLines/>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rPr>
      </w:pPr>
      <w:bookmarkStart w:id="107" w:name="_Toc16332"/>
      <w:bookmarkStart w:id="108" w:name="_Toc4775_WPSOffice_Level2"/>
      <w:bookmarkStart w:id="109" w:name="_Toc11774"/>
      <w:r>
        <w:rPr>
          <w:rStyle w:val="29"/>
          <w:rFonts w:hint="eastAsia" w:ascii="仿宋_GB2312" w:hAnsi="仿宋_GB2312" w:eastAsia="仿宋_GB2312" w:cs="仿宋_GB2312"/>
          <w:b w:val="0"/>
          <w:bCs w:val="0"/>
        </w:rPr>
        <w:t>六、</w:t>
      </w:r>
      <w:r>
        <w:rPr>
          <w:rFonts w:hint="eastAsia" w:ascii="仿宋_GB2312" w:hAnsi="仿宋_GB2312" w:eastAsia="仿宋_GB2312" w:cs="仿宋_GB2312"/>
          <w:b w:val="0"/>
        </w:rPr>
        <w:t>一</w:t>
      </w:r>
      <w:r>
        <w:rPr>
          <w:rStyle w:val="29"/>
          <w:rFonts w:hint="eastAsia" w:ascii="仿宋_GB2312" w:hAnsi="仿宋_GB2312" w:eastAsia="仿宋_GB2312" w:cs="仿宋_GB2312"/>
          <w:b w:val="0"/>
          <w:bCs w:val="0"/>
        </w:rPr>
        <w:t>般公共预算财政拨款支出决算表</w:t>
      </w:r>
      <w:bookmarkEnd w:id="107"/>
      <w:bookmarkEnd w:id="108"/>
      <w:bookmarkEnd w:id="109"/>
    </w:p>
    <w:p>
      <w:pPr>
        <w:pStyle w:val="4"/>
        <w:keepNext/>
        <w:keepLines/>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rPr>
      </w:pPr>
      <w:bookmarkStart w:id="110" w:name="_Toc23815"/>
      <w:bookmarkStart w:id="111" w:name="_Toc30818"/>
      <w:bookmarkStart w:id="112" w:name="_Toc15485_WPSOffice_Level2"/>
      <w:r>
        <w:rPr>
          <w:rStyle w:val="29"/>
          <w:rFonts w:hint="eastAsia" w:ascii="仿宋_GB2312" w:hAnsi="仿宋_GB2312" w:eastAsia="仿宋_GB2312" w:cs="仿宋_GB2312"/>
          <w:b w:val="0"/>
          <w:bCs w:val="0"/>
        </w:rPr>
        <w:t>七、</w:t>
      </w:r>
      <w:r>
        <w:rPr>
          <w:rFonts w:hint="eastAsia" w:ascii="仿宋_GB2312" w:hAnsi="仿宋_GB2312" w:eastAsia="仿宋_GB2312" w:cs="仿宋_GB2312"/>
          <w:b w:val="0"/>
        </w:rPr>
        <w:t>一</w:t>
      </w:r>
      <w:r>
        <w:rPr>
          <w:rStyle w:val="29"/>
          <w:rFonts w:hint="eastAsia" w:ascii="仿宋_GB2312" w:hAnsi="仿宋_GB2312" w:eastAsia="仿宋_GB2312" w:cs="仿宋_GB2312"/>
          <w:b w:val="0"/>
          <w:bCs w:val="0"/>
        </w:rPr>
        <w:t>般公共预算财政拨款支出决算明细表</w:t>
      </w:r>
      <w:bookmarkEnd w:id="110"/>
      <w:bookmarkEnd w:id="111"/>
      <w:bookmarkEnd w:id="112"/>
    </w:p>
    <w:p>
      <w:pPr>
        <w:pStyle w:val="4"/>
        <w:keepNext/>
        <w:keepLines/>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highlight w:val="green"/>
        </w:rPr>
      </w:pPr>
      <w:bookmarkStart w:id="113" w:name="_Toc13422_WPSOffice_Level2"/>
      <w:bookmarkStart w:id="114" w:name="_Toc30484"/>
      <w:bookmarkStart w:id="115" w:name="_Toc15822"/>
      <w:r>
        <w:rPr>
          <w:rStyle w:val="29"/>
          <w:rFonts w:hint="eastAsia" w:ascii="仿宋_GB2312" w:hAnsi="仿宋_GB2312" w:eastAsia="仿宋_GB2312" w:cs="仿宋_GB2312"/>
          <w:b w:val="0"/>
          <w:bCs w:val="0"/>
        </w:rPr>
        <w:t>八、</w:t>
      </w:r>
      <w:r>
        <w:rPr>
          <w:rFonts w:hint="eastAsia" w:ascii="仿宋_GB2312" w:hAnsi="仿宋_GB2312" w:eastAsia="仿宋_GB2312" w:cs="仿宋_GB2312"/>
          <w:b w:val="0"/>
        </w:rPr>
        <w:t>一</w:t>
      </w:r>
      <w:r>
        <w:rPr>
          <w:rStyle w:val="29"/>
          <w:rFonts w:hint="eastAsia" w:ascii="仿宋_GB2312" w:hAnsi="仿宋_GB2312" w:eastAsia="仿宋_GB2312" w:cs="仿宋_GB2312"/>
          <w:b w:val="0"/>
          <w:bCs w:val="0"/>
        </w:rPr>
        <w:t>般公共预算财政拨款基</w:t>
      </w:r>
      <w:r>
        <w:rPr>
          <w:rStyle w:val="29"/>
          <w:rFonts w:hint="eastAsia" w:ascii="仿宋_GB2312" w:hAnsi="仿宋_GB2312" w:eastAsia="仿宋_GB2312" w:cs="仿宋_GB2312"/>
          <w:b w:val="0"/>
          <w:bCs w:val="0"/>
          <w:highlight w:val="none"/>
        </w:rPr>
        <w:t>本支出决算</w:t>
      </w:r>
      <w:r>
        <w:rPr>
          <w:rStyle w:val="29"/>
          <w:rFonts w:hint="eastAsia" w:ascii="仿宋_GB2312" w:hAnsi="仿宋_GB2312" w:eastAsia="仿宋_GB2312" w:cs="仿宋_GB2312"/>
          <w:b w:val="0"/>
          <w:bCs w:val="0"/>
          <w:highlight w:val="none"/>
          <w:lang w:eastAsia="zh-CN"/>
        </w:rPr>
        <w:t>明细</w:t>
      </w:r>
      <w:r>
        <w:rPr>
          <w:rStyle w:val="29"/>
          <w:rFonts w:hint="eastAsia" w:ascii="仿宋_GB2312" w:hAnsi="仿宋_GB2312" w:eastAsia="仿宋_GB2312" w:cs="仿宋_GB2312"/>
          <w:b w:val="0"/>
          <w:bCs w:val="0"/>
          <w:highlight w:val="none"/>
        </w:rPr>
        <w:t>表</w:t>
      </w:r>
      <w:bookmarkEnd w:id="113"/>
      <w:bookmarkEnd w:id="114"/>
      <w:bookmarkEnd w:id="115"/>
    </w:p>
    <w:p>
      <w:pPr>
        <w:pStyle w:val="4"/>
        <w:keepNext/>
        <w:keepLines/>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rPr>
      </w:pPr>
      <w:bookmarkStart w:id="116" w:name="_Toc30128_WPSOffice_Level2"/>
      <w:bookmarkStart w:id="117" w:name="_Toc18897"/>
      <w:bookmarkStart w:id="118" w:name="_Toc4233"/>
      <w:r>
        <w:rPr>
          <w:rStyle w:val="29"/>
          <w:rFonts w:hint="eastAsia" w:ascii="仿宋_GB2312" w:hAnsi="仿宋_GB2312" w:eastAsia="仿宋_GB2312" w:cs="仿宋_GB2312"/>
          <w:b w:val="0"/>
          <w:bCs w:val="0"/>
        </w:rPr>
        <w:t>九、</w:t>
      </w:r>
      <w:r>
        <w:rPr>
          <w:rFonts w:hint="eastAsia" w:ascii="仿宋_GB2312" w:hAnsi="仿宋_GB2312" w:eastAsia="仿宋_GB2312" w:cs="仿宋_GB2312"/>
          <w:b w:val="0"/>
        </w:rPr>
        <w:t>一</w:t>
      </w:r>
      <w:r>
        <w:rPr>
          <w:rStyle w:val="29"/>
          <w:rFonts w:hint="eastAsia" w:ascii="仿宋_GB2312" w:hAnsi="仿宋_GB2312" w:eastAsia="仿宋_GB2312" w:cs="仿宋_GB2312"/>
          <w:b w:val="0"/>
          <w:bCs w:val="0"/>
        </w:rPr>
        <w:t>般公共预算财政拨款项目支出决算表</w:t>
      </w:r>
      <w:bookmarkEnd w:id="116"/>
      <w:bookmarkEnd w:id="117"/>
      <w:bookmarkEnd w:id="118"/>
    </w:p>
    <w:p>
      <w:pPr>
        <w:pStyle w:val="4"/>
        <w:keepNext/>
        <w:keepLines/>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rPr>
      </w:pPr>
      <w:bookmarkStart w:id="119" w:name="_Toc15640"/>
      <w:bookmarkStart w:id="120" w:name="_Toc19600"/>
      <w:bookmarkStart w:id="121" w:name="_Toc23130_WPSOffice_Level2"/>
      <w:r>
        <w:rPr>
          <w:rStyle w:val="29"/>
          <w:rFonts w:hint="eastAsia" w:ascii="仿宋_GB2312" w:hAnsi="仿宋_GB2312" w:eastAsia="仿宋_GB2312" w:cs="仿宋_GB2312"/>
          <w:b w:val="0"/>
          <w:bCs w:val="0"/>
        </w:rPr>
        <w:t>十、</w:t>
      </w:r>
      <w:r>
        <w:rPr>
          <w:rFonts w:hint="eastAsia" w:ascii="仿宋_GB2312" w:hAnsi="仿宋_GB2312" w:eastAsia="仿宋_GB2312" w:cs="仿宋_GB2312"/>
          <w:b w:val="0"/>
        </w:rPr>
        <w:t>政</w:t>
      </w:r>
      <w:r>
        <w:rPr>
          <w:rStyle w:val="29"/>
          <w:rFonts w:hint="eastAsia" w:ascii="仿宋_GB2312" w:hAnsi="仿宋_GB2312" w:eastAsia="仿宋_GB2312" w:cs="仿宋_GB2312"/>
          <w:b w:val="0"/>
          <w:bCs w:val="0"/>
        </w:rPr>
        <w:t>府性基金预算财政拨款收入支出决算表</w:t>
      </w:r>
      <w:bookmarkEnd w:id="119"/>
      <w:bookmarkEnd w:id="120"/>
      <w:bookmarkEnd w:id="121"/>
    </w:p>
    <w:p>
      <w:pPr>
        <w:pStyle w:val="4"/>
        <w:keepNext/>
        <w:keepLines/>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rPr>
      </w:pPr>
      <w:bookmarkStart w:id="122" w:name="_Toc23838"/>
      <w:bookmarkStart w:id="123" w:name="_Toc32092"/>
      <w:bookmarkStart w:id="124" w:name="_Toc2042_WPSOffice_Level2"/>
      <w:r>
        <w:rPr>
          <w:rStyle w:val="29"/>
          <w:rFonts w:hint="eastAsia" w:ascii="仿宋_GB2312" w:hAnsi="仿宋_GB2312" w:eastAsia="仿宋_GB2312" w:cs="仿宋_GB2312"/>
          <w:b w:val="0"/>
          <w:bCs w:val="0"/>
        </w:rPr>
        <w:t>十一、</w:t>
      </w:r>
      <w:r>
        <w:rPr>
          <w:rFonts w:hint="eastAsia" w:ascii="仿宋_GB2312" w:hAnsi="仿宋_GB2312" w:eastAsia="仿宋_GB2312" w:cs="仿宋_GB2312"/>
          <w:b w:val="0"/>
        </w:rPr>
        <w:t>国</w:t>
      </w:r>
      <w:r>
        <w:rPr>
          <w:rStyle w:val="29"/>
          <w:rFonts w:hint="eastAsia" w:ascii="仿宋_GB2312" w:hAnsi="仿宋_GB2312" w:eastAsia="仿宋_GB2312" w:cs="仿宋_GB2312"/>
          <w:b w:val="0"/>
          <w:bCs w:val="0"/>
        </w:rPr>
        <w:t>有资本经营预算财政拨款收入支出决算表</w:t>
      </w:r>
      <w:bookmarkEnd w:id="122"/>
      <w:bookmarkEnd w:id="123"/>
      <w:bookmarkEnd w:id="124"/>
    </w:p>
    <w:p>
      <w:pPr>
        <w:pStyle w:val="4"/>
        <w:keepNext/>
        <w:keepLines/>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rPr>
      </w:pPr>
      <w:bookmarkStart w:id="125" w:name="_Toc3625"/>
      <w:bookmarkStart w:id="126" w:name="_Toc11632_WPSOffice_Level2"/>
      <w:bookmarkStart w:id="127" w:name="_Toc1025"/>
      <w:r>
        <w:rPr>
          <w:rStyle w:val="29"/>
          <w:rFonts w:hint="eastAsia" w:ascii="仿宋_GB2312" w:hAnsi="仿宋_GB2312" w:eastAsia="仿宋_GB2312" w:cs="仿宋_GB2312"/>
          <w:b w:val="0"/>
          <w:bCs w:val="0"/>
        </w:rPr>
        <w:t>十二、国有资本经营预算财政拨款支出决算表</w:t>
      </w:r>
      <w:bookmarkEnd w:id="125"/>
      <w:bookmarkEnd w:id="126"/>
      <w:bookmarkEnd w:id="127"/>
    </w:p>
    <w:p>
      <w:pPr>
        <w:pStyle w:val="4"/>
        <w:keepNext/>
        <w:keepLines/>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rPr>
      </w:pPr>
      <w:bookmarkStart w:id="128" w:name="_Toc23780"/>
      <w:bookmarkStart w:id="129" w:name="_Toc15526"/>
      <w:bookmarkStart w:id="130" w:name="_Toc11905_WPSOffice_Level2"/>
      <w:r>
        <w:rPr>
          <w:rStyle w:val="29"/>
          <w:rFonts w:hint="eastAsia" w:ascii="仿宋_GB2312" w:hAnsi="仿宋_GB2312" w:eastAsia="仿宋_GB2312" w:cs="仿宋_GB2312"/>
          <w:b w:val="0"/>
          <w:bCs w:val="0"/>
        </w:rPr>
        <w:t>十三、财政拨款“三公”经费支出决算表</w:t>
      </w:r>
      <w:bookmarkEnd w:id="128"/>
      <w:bookmarkEnd w:id="129"/>
      <w:bookmarkEnd w:id="130"/>
    </w:p>
    <w:p>
      <w:pPr>
        <w:keepNext w:val="0"/>
        <w:keepLines w:val="0"/>
        <w:pageBreakBefore w:val="0"/>
        <w:widowControl w:val="0"/>
        <w:kinsoku/>
        <w:wordWrap/>
        <w:overflowPunct/>
        <w:topLinePunct w:val="0"/>
        <w:autoSpaceDE/>
        <w:autoSpaceDN/>
        <w:bidi w:val="0"/>
        <w:spacing w:line="600" w:lineRule="exact"/>
        <w:textAlignment w:val="auto"/>
        <w:rPr>
          <w:rFonts w:hint="eastAsia" w:ascii="Times New Roman" w:hAnsi="Times New Roman"/>
          <w:lang w:eastAsia="zh-CN"/>
        </w:rPr>
      </w:pPr>
    </w:p>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微软雅黑">
    <w:altName w:val="黑体"/>
    <w:panose1 w:val="020B0503020204020204"/>
    <w:charset w:val="86"/>
    <w:family w:val="auto"/>
    <w:pitch w:val="default"/>
    <w:sig w:usb0="00000000" w:usb1="00000000" w:usb2="00000000" w:usb3="00000000" w:csb0="00000000" w:csb1="00000000"/>
  </w:font>
  <w:font w:name="楷体_GB2312">
    <w:altName w:val="楷体"/>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楷体">
    <w:panose1 w:val="02010609060101010101"/>
    <w:charset w:val="86"/>
    <w:family w:val="auto"/>
    <w:pitch w:val="default"/>
    <w:sig w:usb0="800002BF" w:usb1="38CF7CFA" w:usb2="00000016" w:usb3="00000000" w:csb0="00040001" w:csb1="0000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both"/>
    </w:pPr>
  </w:p>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both"/>
    </w:pPr>
  </w:p>
  <w:p>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both"/>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GQA+L8aAgAAKwQAAA4AAAAAAAAAAQAgAAAANQEAAGRycy9lMm9Eb2MueG1sUEsFBgAA&#10;AAAGAAYAWQEAAMEFA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B09C03"/>
    <w:multiLevelType w:val="singleLevel"/>
    <w:tmpl w:val="D2B09C0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39C5442"/>
    <w:rsid w:val="05883ED0"/>
    <w:rsid w:val="061E35DE"/>
    <w:rsid w:val="0657245C"/>
    <w:rsid w:val="066E0107"/>
    <w:rsid w:val="06AF6A31"/>
    <w:rsid w:val="074F1149"/>
    <w:rsid w:val="07996F6E"/>
    <w:rsid w:val="07DFD8BA"/>
    <w:rsid w:val="08646B4D"/>
    <w:rsid w:val="08BB45BC"/>
    <w:rsid w:val="08DB07E4"/>
    <w:rsid w:val="09867E8F"/>
    <w:rsid w:val="0A2032A3"/>
    <w:rsid w:val="0ADD379E"/>
    <w:rsid w:val="0C6C4794"/>
    <w:rsid w:val="0CA8290A"/>
    <w:rsid w:val="0D35B1ED"/>
    <w:rsid w:val="0DE07E2B"/>
    <w:rsid w:val="0F98263C"/>
    <w:rsid w:val="101860EC"/>
    <w:rsid w:val="109C1AA6"/>
    <w:rsid w:val="10BE139A"/>
    <w:rsid w:val="10C055FF"/>
    <w:rsid w:val="11772AA4"/>
    <w:rsid w:val="118107EC"/>
    <w:rsid w:val="12DF680F"/>
    <w:rsid w:val="134639A2"/>
    <w:rsid w:val="13957196"/>
    <w:rsid w:val="13D50BC4"/>
    <w:rsid w:val="13F34867"/>
    <w:rsid w:val="14022904"/>
    <w:rsid w:val="149F2E67"/>
    <w:rsid w:val="151412DC"/>
    <w:rsid w:val="152F2A07"/>
    <w:rsid w:val="16056EFE"/>
    <w:rsid w:val="165E0673"/>
    <w:rsid w:val="16BB723D"/>
    <w:rsid w:val="16F13FCB"/>
    <w:rsid w:val="186504BB"/>
    <w:rsid w:val="192B3098"/>
    <w:rsid w:val="1938089F"/>
    <w:rsid w:val="19476259"/>
    <w:rsid w:val="19A445FC"/>
    <w:rsid w:val="1B7D550C"/>
    <w:rsid w:val="1BE8440E"/>
    <w:rsid w:val="1CAC2742"/>
    <w:rsid w:val="1D155CEE"/>
    <w:rsid w:val="1DE178F3"/>
    <w:rsid w:val="1E740ACF"/>
    <w:rsid w:val="1EBC3958"/>
    <w:rsid w:val="1FF35744"/>
    <w:rsid w:val="1FF6BC77"/>
    <w:rsid w:val="204D1B46"/>
    <w:rsid w:val="205F0ADF"/>
    <w:rsid w:val="20AC1472"/>
    <w:rsid w:val="21962A9E"/>
    <w:rsid w:val="21AE7C77"/>
    <w:rsid w:val="22BC3C41"/>
    <w:rsid w:val="23860B96"/>
    <w:rsid w:val="240371BF"/>
    <w:rsid w:val="260F557C"/>
    <w:rsid w:val="27FC4078"/>
    <w:rsid w:val="281408E2"/>
    <w:rsid w:val="28BF3505"/>
    <w:rsid w:val="29FD04D3"/>
    <w:rsid w:val="2A765DE2"/>
    <w:rsid w:val="2B6348E0"/>
    <w:rsid w:val="2B79423D"/>
    <w:rsid w:val="2BA80A1C"/>
    <w:rsid w:val="2BAD368B"/>
    <w:rsid w:val="2BFF7BC6"/>
    <w:rsid w:val="2C8A61B5"/>
    <w:rsid w:val="2CD31625"/>
    <w:rsid w:val="2D2E01CF"/>
    <w:rsid w:val="2DF04E50"/>
    <w:rsid w:val="2E9545B0"/>
    <w:rsid w:val="2F040D46"/>
    <w:rsid w:val="2FAE5751"/>
    <w:rsid w:val="2FB1A395"/>
    <w:rsid w:val="2FD9A7D8"/>
    <w:rsid w:val="319F7F4E"/>
    <w:rsid w:val="321B2544"/>
    <w:rsid w:val="32DA62AC"/>
    <w:rsid w:val="3304709D"/>
    <w:rsid w:val="34281836"/>
    <w:rsid w:val="3434094B"/>
    <w:rsid w:val="347B2CCE"/>
    <w:rsid w:val="349D6851"/>
    <w:rsid w:val="35BA6CAF"/>
    <w:rsid w:val="35D37231"/>
    <w:rsid w:val="364D14C1"/>
    <w:rsid w:val="36AA5135"/>
    <w:rsid w:val="36BE0DA7"/>
    <w:rsid w:val="36CF4430"/>
    <w:rsid w:val="36DD1A1E"/>
    <w:rsid w:val="36F079A3"/>
    <w:rsid w:val="376B6AA6"/>
    <w:rsid w:val="376D39B2"/>
    <w:rsid w:val="379A257B"/>
    <w:rsid w:val="37E16F03"/>
    <w:rsid w:val="37F53A3B"/>
    <w:rsid w:val="389B6C89"/>
    <w:rsid w:val="38D469F0"/>
    <w:rsid w:val="38D724D7"/>
    <w:rsid w:val="39627CCD"/>
    <w:rsid w:val="397BAF1F"/>
    <w:rsid w:val="39D709A6"/>
    <w:rsid w:val="3AB79AF3"/>
    <w:rsid w:val="3B7EF35A"/>
    <w:rsid w:val="3B9FDB6C"/>
    <w:rsid w:val="3BF5BC2F"/>
    <w:rsid w:val="3C5028F2"/>
    <w:rsid w:val="3C555E13"/>
    <w:rsid w:val="3CB26A2F"/>
    <w:rsid w:val="3CEBA265"/>
    <w:rsid w:val="3D98207C"/>
    <w:rsid w:val="3D9B0D99"/>
    <w:rsid w:val="3DCB6A74"/>
    <w:rsid w:val="3DEE7CF3"/>
    <w:rsid w:val="3DF02244"/>
    <w:rsid w:val="3E78745D"/>
    <w:rsid w:val="3FF4CAE0"/>
    <w:rsid w:val="3FF7B227"/>
    <w:rsid w:val="40E54C45"/>
    <w:rsid w:val="41105967"/>
    <w:rsid w:val="41313393"/>
    <w:rsid w:val="43A407DF"/>
    <w:rsid w:val="44515BEA"/>
    <w:rsid w:val="44E268DA"/>
    <w:rsid w:val="453F7E5B"/>
    <w:rsid w:val="486A6C7A"/>
    <w:rsid w:val="489C0DE2"/>
    <w:rsid w:val="49051D27"/>
    <w:rsid w:val="49176D9B"/>
    <w:rsid w:val="494006BD"/>
    <w:rsid w:val="498862BF"/>
    <w:rsid w:val="4A627F82"/>
    <w:rsid w:val="4B0E749A"/>
    <w:rsid w:val="4B4F25DA"/>
    <w:rsid w:val="4BDA0CFB"/>
    <w:rsid w:val="4BDC71BB"/>
    <w:rsid w:val="4BE068DB"/>
    <w:rsid w:val="4D3C0CCC"/>
    <w:rsid w:val="4D577224"/>
    <w:rsid w:val="4DBF1CEB"/>
    <w:rsid w:val="4EAB630A"/>
    <w:rsid w:val="4ECE2238"/>
    <w:rsid w:val="4F833267"/>
    <w:rsid w:val="4FE9BD67"/>
    <w:rsid w:val="4FFB052F"/>
    <w:rsid w:val="509017A9"/>
    <w:rsid w:val="51B51B83"/>
    <w:rsid w:val="53083A92"/>
    <w:rsid w:val="537E6D0A"/>
    <w:rsid w:val="53AF27A2"/>
    <w:rsid w:val="53F74C96"/>
    <w:rsid w:val="5426441A"/>
    <w:rsid w:val="56167F14"/>
    <w:rsid w:val="562B40FC"/>
    <w:rsid w:val="56E47B74"/>
    <w:rsid w:val="57BD3DD4"/>
    <w:rsid w:val="597E2795"/>
    <w:rsid w:val="5A382944"/>
    <w:rsid w:val="5AF92295"/>
    <w:rsid w:val="5BDD79E6"/>
    <w:rsid w:val="5BF561CA"/>
    <w:rsid w:val="5BFF5DFC"/>
    <w:rsid w:val="5C6B7E9B"/>
    <w:rsid w:val="5CD71FC4"/>
    <w:rsid w:val="5D1F11B5"/>
    <w:rsid w:val="5DAE1B18"/>
    <w:rsid w:val="5DE7D9E5"/>
    <w:rsid w:val="5ECEC941"/>
    <w:rsid w:val="5F493CB7"/>
    <w:rsid w:val="5FBF9FF3"/>
    <w:rsid w:val="5FCD4E2C"/>
    <w:rsid w:val="5FD15F49"/>
    <w:rsid w:val="5FEF394A"/>
    <w:rsid w:val="5FF67715"/>
    <w:rsid w:val="603D6F06"/>
    <w:rsid w:val="60944AF2"/>
    <w:rsid w:val="62560649"/>
    <w:rsid w:val="6293028B"/>
    <w:rsid w:val="62BF3928"/>
    <w:rsid w:val="647F5392"/>
    <w:rsid w:val="650D2BA2"/>
    <w:rsid w:val="65FB9A7C"/>
    <w:rsid w:val="664B1D71"/>
    <w:rsid w:val="67AA3209"/>
    <w:rsid w:val="681C4F0D"/>
    <w:rsid w:val="69046D0F"/>
    <w:rsid w:val="698D0931"/>
    <w:rsid w:val="6A993CED"/>
    <w:rsid w:val="6B053271"/>
    <w:rsid w:val="6BCE6674"/>
    <w:rsid w:val="6C4A05C8"/>
    <w:rsid w:val="6C8742B8"/>
    <w:rsid w:val="6C8A170F"/>
    <w:rsid w:val="6CB54609"/>
    <w:rsid w:val="6D4C69DA"/>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051095"/>
    <w:rsid w:val="72233669"/>
    <w:rsid w:val="72716CD3"/>
    <w:rsid w:val="72734D90"/>
    <w:rsid w:val="7332FE48"/>
    <w:rsid w:val="73AB61DA"/>
    <w:rsid w:val="73AD73D5"/>
    <w:rsid w:val="73B6EB34"/>
    <w:rsid w:val="73FA497D"/>
    <w:rsid w:val="744731E5"/>
    <w:rsid w:val="74527205"/>
    <w:rsid w:val="74BBD01D"/>
    <w:rsid w:val="74ED5379"/>
    <w:rsid w:val="74FC2395"/>
    <w:rsid w:val="75DEEEC2"/>
    <w:rsid w:val="76E3355F"/>
    <w:rsid w:val="76FF5125"/>
    <w:rsid w:val="774D612F"/>
    <w:rsid w:val="7750356B"/>
    <w:rsid w:val="776B365F"/>
    <w:rsid w:val="776F6FFA"/>
    <w:rsid w:val="778769C8"/>
    <w:rsid w:val="77DA1236"/>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DBFF5B1"/>
    <w:rsid w:val="7E8ADEBF"/>
    <w:rsid w:val="7EEF11D3"/>
    <w:rsid w:val="7F0971A6"/>
    <w:rsid w:val="7F392B3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7FF5521"/>
    <w:rsid w:val="FA5F1E70"/>
    <w:rsid w:val="FA5FDB97"/>
    <w:rsid w:val="FB7F486A"/>
    <w:rsid w:val="FBFF5B2E"/>
    <w:rsid w:val="FD7FFE2B"/>
    <w:rsid w:val="FDEE196B"/>
    <w:rsid w:val="FDFE6575"/>
    <w:rsid w:val="FEDFDDC2"/>
    <w:rsid w:val="FEE95DF4"/>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2"/>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WPSOffice手动目录 1"/>
    <w:qFormat/>
    <w:uiPriority w:val="0"/>
    <w:pPr>
      <w:ind w:leftChars="0"/>
    </w:pPr>
    <w:rPr>
      <w:rFonts w:ascii="Times New Roman" w:hAnsi="Times New Roman" w:eastAsia="宋体" w:cs="Times New Roman"/>
      <w:sz w:val="20"/>
      <w:szCs w:val="20"/>
    </w:rPr>
  </w:style>
  <w:style w:type="paragraph" w:customStyle="1" w:styleId="36">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themeOverride" Target="../theme/themeOverride5.xml"/><Relationship Id="rId1" Type="http://schemas.openxmlformats.org/officeDocument/2006/relationships/package" Target="../embeddings/Workbook7.xlsx"/></Relationships>
</file>

<file path=word/charts/_rels/chart2.xml.rels><?xml version="1.0" encoding="UTF-8" standalone="yes"?>
<Relationships xmlns="http://schemas.openxmlformats.org/package/2006/relationships"><Relationship Id="rId4" Type="http://schemas.microsoft.com/office/2011/relationships/chartColorStyle" Target="colors4.xml"/><Relationship Id="rId3" Type="http://schemas.microsoft.com/office/2011/relationships/chartStyle" Target="style4.xml"/><Relationship Id="rId2" Type="http://schemas.openxmlformats.org/officeDocument/2006/relationships/themeOverride" Target="../theme/themeOverride4.xml"/><Relationship Id="rId1" Type="http://schemas.openxmlformats.org/officeDocument/2006/relationships/package" Target="../embeddings/Workbook6.xlsx"/></Relationships>
</file>

<file path=word/charts/_rels/chart3.xml.rels><?xml version="1.0" encoding="UTF-8" standalone="yes"?>
<Relationships xmlns="http://schemas.openxmlformats.org/package/2006/relationships"><Relationship Id="rId4" Type="http://schemas.microsoft.com/office/2011/relationships/chartColorStyle" Target="colors3.xml"/><Relationship Id="rId3" Type="http://schemas.microsoft.com/office/2011/relationships/chartStyle" Target="style3.xml"/><Relationship Id="rId2" Type="http://schemas.openxmlformats.org/officeDocument/2006/relationships/themeOverride" Target="../theme/themeOverride3.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2.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7.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false"/>
      <c:spPr>
        <a:noFill/>
        <a:ln>
          <a:noFill/>
        </a:ln>
        <a:effectLst/>
      </c:spPr>
      <c:tx>
        <c:rich>
          <a:bodyPr/>
          <a:lstStyle/>
          <a:p>
            <a:pPr>
              <a:defRPr/>
            </a:pPr>
          </a:p>
        </c:rich>
      </c:tx>
    </c:title>
    <c:autoTitleDeleted val="false"/>
    <c:plotArea>
      <c:layout/>
      <c:barChart>
        <c:barDir val="col"/>
        <c:grouping val="clustered"/>
        <c:varyColors val="false"/>
        <c:ser>
          <c:idx val="0"/>
          <c:order val="0"/>
          <c:tx>
            <c:strRef>
              <c:f>Sheet1!$B$1</c:f>
              <c:strCache>
                <c:ptCount val="1"/>
                <c:pt idx="0">
                  <c:v>收入、支出总计</c:v>
                </c:pt>
              </c:strCache>
            </c:strRef>
          </c:tx>
          <c:spPr>
            <a:solidFill>
              <a:srgbClr val="1F497D">
                <a:lumMod val="40000"/>
                <a:lumOff val="60000"/>
                <a:alpha val="70000"/>
              </a:srgbClr>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211.21</c:v>
                </c:pt>
                <c:pt idx="1">
                  <c:v>223.3</c:v>
                </c:pt>
              </c:numCache>
            </c:numRef>
          </c:val>
        </c:ser>
        <c:dLbls>
          <c:showLegendKey val="false"/>
          <c:showVal val="true"/>
          <c:showCatName val="false"/>
          <c:showSerName val="false"/>
          <c:showPercent val="false"/>
          <c:showBubbleSize val="false"/>
        </c:dLbls>
        <c:gapWidth val="75"/>
        <c:overlap val="0"/>
        <c:axId val="348409528"/>
        <c:axId val="346395935"/>
      </c:barChart>
      <c:catAx>
        <c:axId val="348409528"/>
        <c:scaling>
          <c:orientation val="minMax"/>
        </c:scaling>
        <c:delete val="false"/>
        <c:axPos val="b"/>
        <c:numFmt formatCode="#,##0.00_);[Red]\(#,##0.00\)" sourceLinked="false"/>
        <c:majorTickMark val="none"/>
        <c:minorTickMark val="in"/>
        <c:tickLblPos val="nextTo"/>
        <c:spPr>
          <a:noFill/>
          <a:ln w="6350" cap="flat" cmpd="sng" algn="ctr">
            <a:solidFill>
              <a:schemeClr val="tx1">
                <a:lumMod val="50000"/>
                <a:lumOff val="50000"/>
                <a:alpha val="25000"/>
              </a:schemeClr>
            </a:solidFill>
            <a:prstDash val="solid"/>
            <a:round/>
          </a:ln>
          <a:effectLst/>
        </c:spPr>
        <c:txPr>
          <a:bodyPr rot="-6000000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346395935"/>
        <c:crosses val="autoZero"/>
        <c:auto val="true"/>
        <c:lblAlgn val="ctr"/>
        <c:lblOffset val="100"/>
        <c:noMultiLvlLbl val="false"/>
      </c:catAx>
      <c:valAx>
        <c:axId val="346395935"/>
        <c:scaling>
          <c:orientation val="minMax"/>
          <c:max val="230"/>
          <c:min val="195"/>
        </c:scaling>
        <c:delete val="false"/>
        <c:axPos val="l"/>
        <c:majorGridlines>
          <c:spPr>
            <a:ln w="6350" cap="flat" cmpd="sng" algn="ctr">
              <a:solidFill>
                <a:schemeClr val="tx1">
                  <a:lumMod val="50000"/>
                  <a:lumOff val="50000"/>
                  <a:alpha val="25000"/>
                </a:schemeClr>
              </a:solidFill>
              <a:prstDash val="solid"/>
              <a:round/>
            </a:ln>
            <a:effectLst/>
          </c:spPr>
        </c:majorGridlines>
        <c:numFmt formatCode="General" sourceLinked="true"/>
        <c:majorTickMark val="out"/>
        <c:minorTickMark val="none"/>
        <c:tickLblPos val="nextTo"/>
        <c:spPr>
          <a:noFill/>
          <a:ln w="12700" cap="flat" cmpd="sng" algn="ctr">
            <a:noFill/>
            <a:prstDash val="solid"/>
            <a:round/>
          </a:ln>
          <a:effectLst/>
        </c:spPr>
        <c:txPr>
          <a:bodyPr rot="-6000000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348409528"/>
        <c:crosses val="autoZero"/>
        <c:crossBetween val="between"/>
      </c:valAx>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true"/>
    <c:dispBlanksAs val="gap"/>
    <c:showDLblsOverMax val="false"/>
  </c:chart>
  <c:spPr>
    <a:solidFill>
      <a:schemeClr val="bg1"/>
    </a:solidFill>
    <a:ln w="6350" cap="flat" cmpd="sng" algn="ctr">
      <a:solidFill>
        <a:schemeClr val="tx1">
          <a:lumMod val="50000"/>
          <a:lumOff val="50000"/>
          <a:alpha val="25000"/>
        </a:schemeClr>
      </a:solidFill>
      <a:prstDash val="solid"/>
      <a:round/>
    </a:ln>
    <a:effectLst/>
  </c:spPr>
  <c:txPr>
    <a:bodyPr/>
    <a:lstStyle/>
    <a:p>
      <a:pPr>
        <a:defRPr lang="zh-CN">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manualLayout>
          <c:layoutTarget val="inner"/>
          <c:xMode val="edge"/>
          <c:yMode val="edge"/>
          <c:x val="0.27059676250302"/>
          <c:y val="0.0403739906502337"/>
          <c:w val="0.45880647499396"/>
          <c:h val="0.807054823629409"/>
        </c:manualLayout>
      </c:layout>
      <c:pieChart>
        <c:varyColors val="true"/>
        <c:ser>
          <c:idx val="0"/>
          <c:order val="0"/>
          <c:tx>
            <c:strRef>
              <c:f>Sheet1!$B$1</c:f>
              <c:strCache>
                <c:ptCount val="1"/>
                <c:pt idx="0">
                  <c:v>收入</c:v>
                </c:pt>
              </c:strCache>
            </c:strRef>
          </c:tx>
          <c:spPr>
            <a:solidFill>
              <a:srgbClr val="1F497D">
                <a:lumMod val="40000"/>
                <a:lumOff val="60000"/>
              </a:srgbClr>
            </a:solidFill>
            <a:ln w="15875">
              <a:noFill/>
            </a:ln>
            <a:effectLst>
              <a:outerShdw blurRad="63500" sx="102000" sy="102000" algn="ctr" rotWithShape="0">
                <a:schemeClr val="tx1">
                  <a:lumMod val="50000"/>
                  <a:lumOff val="50000"/>
                  <a:alpha val="40000"/>
                </a:schemeClr>
              </a:outerShdw>
            </a:effectLst>
          </c:spPr>
          <c:explosion val="0"/>
          <c:dPt>
            <c:idx val="0"/>
            <c:bubble3D val="false"/>
            <c:explosion val="10"/>
            <c:spPr>
              <a:solidFill>
                <a:srgbClr val="1F497D">
                  <a:lumMod val="40000"/>
                  <a:lumOff val="60000"/>
                </a:srgbClr>
              </a:solidFill>
              <a:ln w="15875">
                <a:noFill/>
              </a:ln>
              <a:effectLst>
                <a:outerShdw blurRad="63500" sx="102000" sy="102000" algn="ctr" rotWithShape="0">
                  <a:schemeClr val="tx1">
                    <a:lumMod val="50000"/>
                    <a:lumOff val="50000"/>
                    <a:alpha val="40000"/>
                  </a:schemeClr>
                </a:outerShdw>
              </a:effectLst>
            </c:spPr>
          </c:dPt>
          <c:dLbls>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mn-cs"/>
                  </a:defRPr>
                </a:pPr>
              </a:p>
            </c:txPr>
            <c:dLblPos val="ctr"/>
            <c:showLegendKey val="false"/>
            <c:showVal val="true"/>
            <c:showCatName val="tru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一般公共预算财政拨款收入</c:v>
                </c:pt>
              </c:strCache>
            </c:strRef>
          </c:cat>
          <c:val>
            <c:numRef>
              <c:f>Sheet1!$B$2</c:f>
              <c:numCache>
                <c:formatCode>General</c:formatCode>
                <c:ptCount val="1"/>
                <c:pt idx="0">
                  <c:v>174.82</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mn-cs"/>
            </a:defRPr>
          </a:pPr>
        </a:p>
      </c:txPr>
    </c:legend>
    <c:plotVisOnly val="true"/>
    <c:dispBlanksAs val="gap"/>
    <c:showDLblsOverMax val="false"/>
  </c:chart>
  <c:spPr>
    <a:solidFill>
      <a:schemeClr val="bg1"/>
    </a:solidFill>
    <a:ln w="6350" cap="flat" cmpd="sng" algn="ctr">
      <a:solidFill>
        <a:schemeClr val="tx1">
          <a:lumMod val="50000"/>
          <a:lumOff val="50000"/>
          <a:alpha val="25000"/>
        </a:schemeClr>
      </a:solidFill>
      <a:round/>
    </a:ln>
    <a:effectLst>
      <a:outerShdw blurRad="63500" dist="37357" dir="2700000" sx="0" sy="0" rotWithShape="0">
        <a:scrgbClr r="0" g="0" b="0"/>
      </a:outerShdw>
    </a:effectLst>
  </c:spPr>
  <c:txPr>
    <a:bodyPr/>
    <a:lstStyle/>
    <a:p>
      <a:pPr>
        <a:defRPr lang="zh-CN">
          <a:latin typeface="微软雅黑" panose="020B0503020204020204" charset="-122"/>
          <a:ea typeface="微软雅黑" panose="020B0503020204020204" charset="-122"/>
        </a:defRPr>
      </a:pPr>
    </a:p>
  </c:txPr>
  <c:externalData r:id="rId1">
    <c:autoUpdate val="false"/>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pieChart>
        <c:varyColors val="true"/>
        <c:ser>
          <c:idx val="0"/>
          <c:order val="0"/>
          <c:tx>
            <c:strRef>
              <c:f>Sheet1!$B$1</c:f>
              <c:strCache>
                <c:ptCount val="1"/>
                <c:pt idx="0">
                  <c:v>支出合计</c:v>
                </c:pt>
              </c:strCache>
            </c:strRef>
          </c:tx>
          <c:spPr>
            <a:solidFill>
              <a:srgbClr val="1F497D">
                <a:lumMod val="60000"/>
                <a:lumOff val="40000"/>
              </a:srgbClr>
            </a:solidFill>
            <a:ln w="25400">
              <a:solidFill>
                <a:schemeClr val="bg1"/>
              </a:solidFill>
            </a:ln>
            <a:effectLst>
              <a:outerShdw blurRad="63500" sx="104000" sy="104000" algn="ctr" rotWithShape="0">
                <a:schemeClr val="bg1">
                  <a:alpha val="33000"/>
                </a:schemeClr>
              </a:outerShdw>
            </a:effectLst>
            <a:sp3d contourW="25400"/>
          </c:spPr>
          <c:explosion val="0"/>
          <c:dPt>
            <c:idx val="0"/>
            <c:bubble3D val="false"/>
            <c:spPr>
              <a:solidFill>
                <a:srgbClr val="1F497D">
                  <a:lumMod val="60000"/>
                  <a:lumOff val="40000"/>
                </a:srgbClr>
              </a:solidFill>
              <a:ln w="25400">
                <a:solidFill>
                  <a:schemeClr val="bg1"/>
                </a:solidFill>
              </a:ln>
              <a:effectLst>
                <a:outerShdw blurRad="63500" sx="104000" sy="104000" algn="ctr" rotWithShape="0">
                  <a:schemeClr val="bg1">
                    <a:alpha val="33000"/>
                  </a:schemeClr>
                </a:outerShdw>
              </a:effectLst>
              <a:sp3d contourW="25400"/>
            </c:spPr>
          </c:dPt>
          <c:dPt>
            <c:idx val="1"/>
            <c:bubble3D val="false"/>
            <c:spPr>
              <a:solidFill>
                <a:srgbClr val="1F497D">
                  <a:lumMod val="40000"/>
                  <a:lumOff val="60000"/>
                </a:srgbClr>
              </a:solidFill>
              <a:ln w="25400">
                <a:solidFill>
                  <a:schemeClr val="bg1"/>
                </a:solidFill>
              </a:ln>
              <a:effectLst>
                <a:outerShdw blurRad="63500" sx="104000" sy="104000" algn="ctr" rotWithShape="0">
                  <a:schemeClr val="bg1">
                    <a:alpha val="33000"/>
                  </a:schemeClr>
                </a:outerShdw>
              </a:effectLst>
              <a:sp3d contourW="25400"/>
            </c:spPr>
          </c:dPt>
          <c:dPt>
            <c:idx val="2"/>
            <c:bubble3D val="false"/>
            <c:spPr>
              <a:solidFill>
                <a:srgbClr val="1F497D">
                  <a:lumMod val="60000"/>
                  <a:lumOff val="40000"/>
                </a:srgbClr>
              </a:solidFill>
              <a:ln w="25400">
                <a:solidFill>
                  <a:schemeClr val="bg1"/>
                </a:solidFill>
              </a:ln>
              <a:effectLst>
                <a:outerShdw blurRad="63500" sx="104000" sy="104000" algn="ctr" rotWithShape="0">
                  <a:schemeClr val="bg1">
                    <a:alpha val="33000"/>
                  </a:schemeClr>
                </a:outerShdw>
              </a:effectLst>
              <a:sp3d contourW="25400"/>
            </c:spPr>
          </c:dPt>
          <c:dPt>
            <c:idx val="3"/>
            <c:bubble3D val="false"/>
            <c:spPr>
              <a:solidFill>
                <a:srgbClr val="1F497D">
                  <a:lumMod val="60000"/>
                  <a:lumOff val="40000"/>
                </a:srgbClr>
              </a:solidFill>
              <a:ln w="25400">
                <a:solidFill>
                  <a:schemeClr val="bg1"/>
                </a:solidFill>
              </a:ln>
              <a:effectLst>
                <a:outerShdw blurRad="63500" sx="104000" sy="104000" algn="ctr" rotWithShape="0">
                  <a:schemeClr val="bg1">
                    <a:alpha val="33000"/>
                  </a:schemeClr>
                </a:outerShdw>
              </a:effectLst>
              <a:sp3d contourW="25400"/>
            </c:spPr>
          </c:dPt>
          <c:dLbls>
            <c:dLbl>
              <c:idx val="0"/>
              <c:layout>
                <c:manualLayout>
                  <c:x val="-0.0383826262696917"/>
                  <c:y val="-0.230144359763413"/>
                </c:manualLayout>
              </c:layout>
              <c:tx>
                <c:rich>
                  <a:bodyPr rot="0" spcFirstLastPara="0" vertOverflow="ellipsis" vert="horz" wrap="square" lIns="38100" tIns="19050" rIns="38100" bIns="19050" anchor="ctr" anchorCtr="true" forceAA="false"/>
                  <a:lstStyle/>
                  <a:p>
                    <a:pPr defTabSz="914400">
                      <a:defRPr lang="zh-CN" sz="9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a:solidFill>
                          <a:schemeClr val="tx1"/>
                        </a:solidFill>
                      </a:rPr>
                      <a:t>基本支出161.93</a:t>
                    </a:r>
                    <a:endParaRPr>
                      <a:solidFill>
                        <a:schemeClr val="tx1"/>
                      </a:solidFill>
                    </a:endParaRPr>
                  </a:p>
                  <a:p>
                    <a:pPr defTabSz="914400">
                      <a:defRPr lang="zh-CN" sz="9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lang="en-US" altLang="zh-CN">
                        <a:solidFill>
                          <a:schemeClr val="tx1"/>
                        </a:solidFill>
                      </a:rPr>
                      <a:t>92.6%</a:t>
                    </a:r>
                    <a:endParaRPr lang="en-US" altLang="zh-CN">
                      <a:solidFill>
                        <a:schemeClr val="tx1"/>
                      </a:solidFill>
                    </a:endParaRPr>
                  </a:p>
                </c:rich>
              </c:tx>
              <c:numFmt formatCode="General" sourceLinked="true"/>
              <c:spPr>
                <a:noFill/>
                <a:ln>
                  <a:noFill/>
                </a:ln>
                <a:effectLst/>
              </c:spPr>
              <c:txPr>
                <a:bodyPr rot="0" spcFirstLastPara="0" vertOverflow="ellipsis" vert="horz" wrap="square" lIns="38100" tIns="19050" rIns="38100" bIns="19050" anchor="ctr" anchorCtr="true" forceAA="false"/>
                <a:lstStyle/>
                <a:p>
                  <a:pPr>
                    <a:defRPr lang="zh-CN" sz="9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bestFit"/>
              <c:showLegendKey val="false"/>
              <c:showVal val="false"/>
              <c:showCatName val="true"/>
              <c:showSerName val="false"/>
              <c:showPercent val="true"/>
              <c:showBubbleSize val="false"/>
              <c:separator>
</c:separator>
              <c:extLst>
                <c:ext xmlns:c15="http://schemas.microsoft.com/office/drawing/2012/chart" uri="{CE6537A1-D6FC-4f65-9D91-7224C49458BB}">
                  <c15:layout/>
                </c:ext>
              </c:extLst>
            </c:dLbl>
            <c:dLbl>
              <c:idx val="1"/>
              <c:layout>
                <c:manualLayout>
                  <c:x val="0.0231615433323032"/>
                  <c:y val="0.0584232280053143"/>
                </c:manualLayout>
              </c:layout>
              <c:tx>
                <c:rich>
                  <a:bodyPr rot="0" spcFirstLastPara="0" vertOverflow="ellipsis" vert="horz" wrap="square" lIns="38100" tIns="19050" rIns="38100" bIns="19050" anchor="ctr" anchorCtr="true" forceAA="false"/>
                  <a:lstStyle/>
                  <a:p>
                    <a:pPr defTabSz="914400">
                      <a:defRPr lang="zh-CN" sz="9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a:solidFill>
                          <a:sysClr val="windowText" lastClr="000000"/>
                        </a:solidFill>
                      </a:rPr>
                      <a:t>项目支出</a:t>
                    </a:r>
                    <a:endParaRPr>
                      <a:solidFill>
                        <a:sysClr val="windowText" lastClr="000000"/>
                      </a:solidFill>
                    </a:endParaRPr>
                  </a:p>
                  <a:p>
                    <a:pPr defTabSz="914400">
                      <a:defRPr lang="zh-CN" sz="9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lang="en-US" altLang="zh-CN">
                        <a:solidFill>
                          <a:sysClr val="windowText" lastClr="000000"/>
                        </a:solidFill>
                      </a:rPr>
                      <a:t>12.88</a:t>
                    </a:r>
                    <a:endParaRPr lang="en-US" altLang="zh-CN">
                      <a:solidFill>
                        <a:sysClr val="windowText" lastClr="000000"/>
                      </a:solidFill>
                    </a:endParaRPr>
                  </a:p>
                  <a:p>
                    <a:pPr defTabSz="914400">
                      <a:defRPr lang="zh-CN" sz="9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a:solidFill>
                          <a:sysClr val="windowText" lastClr="000000"/>
                        </a:solidFill>
                      </a:rPr>
                      <a:t>7</a:t>
                    </a:r>
                    <a:r>
                      <a:rPr lang="en-US" altLang="zh-CN">
                        <a:solidFill>
                          <a:sysClr val="windowText" lastClr="000000"/>
                        </a:solidFill>
                      </a:rPr>
                      <a:t>.4</a:t>
                    </a:r>
                    <a:r>
                      <a:rPr>
                        <a:solidFill>
                          <a:sysClr val="windowText" lastClr="000000"/>
                        </a:solidFill>
                      </a:rPr>
                      <a:t>%</a:t>
                    </a:r>
                    <a:endParaRPr>
                      <a:solidFill>
                        <a:sysClr val="windowText" lastClr="000000"/>
                      </a:solidFill>
                    </a:endParaRPr>
                  </a:p>
                </c:rich>
              </c:tx>
              <c:numFmt formatCode="General" sourceLinked="true"/>
              <c:spPr>
                <a:noFill/>
                <a:ln>
                  <a:noFill/>
                </a:ln>
                <a:effectLst/>
              </c:spPr>
              <c:txPr>
                <a:bodyPr rot="0" spcFirstLastPara="0" vertOverflow="ellipsis" vert="horz" wrap="square" lIns="38100" tIns="19050" rIns="38100" bIns="19050" anchor="ctr" anchorCtr="true" forceAA="false"/>
                <a:lstStyle/>
                <a:p>
                  <a:pPr>
                    <a:defRPr lang="zh-CN" sz="9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bestFit"/>
              <c:showLegendKey val="false"/>
              <c:showVal val="false"/>
              <c:showCatName val="true"/>
              <c:showSerName val="false"/>
              <c:showPercent val="true"/>
              <c:showBubbleSize val="false"/>
              <c:separator>
</c:separator>
              <c:extLst>
                <c:ext xmlns:c15="http://schemas.microsoft.com/office/drawing/2012/chart" uri="{CE6537A1-D6FC-4f65-9D91-7224C49458BB}">
                  <c15:layout/>
                </c:ext>
              </c:extLst>
            </c:dLbl>
            <c:dLbl>
              <c:idx val="2"/>
              <c:layout/>
              <c:numFmt formatCode="General" sourceLinked="true"/>
              <c:spPr>
                <a:noFill/>
                <a:ln>
                  <a:noFill/>
                </a:ln>
                <a:effectLst/>
              </c:spPr>
              <c:txPr>
                <a:bodyPr rot="0" spcFirstLastPara="0" vertOverflow="ellipsis" vert="horz" wrap="square" lIns="38100" tIns="19050" rIns="38100" bIns="19050" anchor="ctr" anchorCtr="true" forceAA="false"/>
                <a:lstStyle/>
                <a:p>
                  <a:pPr>
                    <a:defRPr lang="zh-CN" sz="900" b="0" i="0" u="none" strike="noStrike" kern="1200" baseline="0">
                      <a:solidFill>
                        <a:schemeClr val="accent1">
                          <a:lumMod val="7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false"/>
              <c:showVal val="false"/>
              <c:showCatName val="true"/>
              <c:showSerName val="false"/>
              <c:showPercent val="true"/>
              <c:showBubbleSize val="false"/>
              <c:separator>
</c:separator>
              <c:extLst>
                <c:ext xmlns:c15="http://schemas.microsoft.com/office/drawing/2012/chart" uri="{CE6537A1-D6FC-4f65-9D91-7224C49458BB}"/>
              </c:extLst>
            </c:dLbl>
            <c:dLbl>
              <c:idx val="3"/>
              <c:layout/>
              <c:numFmt formatCode="General" sourceLinked="true"/>
              <c:spPr>
                <a:noFill/>
                <a:ln>
                  <a:noFill/>
                </a:ln>
                <a:effectLst/>
              </c:spPr>
              <c:txPr>
                <a:bodyPr rot="0" spcFirstLastPara="0" vertOverflow="ellipsis" vert="horz" wrap="square" lIns="38100" tIns="19050" rIns="38100" bIns="19050" anchor="ctr" anchorCtr="true" forceAA="false"/>
                <a:lstStyle/>
                <a:p>
                  <a:pPr>
                    <a:defRPr lang="zh-CN" sz="900" b="0" i="0" u="none" strike="noStrike" kern="1200" baseline="0">
                      <a:solidFill>
                        <a:schemeClr val="accent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false"/>
              <c:showVal val="false"/>
              <c:showCatName val="true"/>
              <c:showSerName val="false"/>
              <c:showPercent val="true"/>
              <c:showBubbleSize val="false"/>
              <c:separator>
</c:separator>
              <c:extLst>
                <c:ext xmlns:c15="http://schemas.microsoft.com/office/drawing/2012/chart" uri="{CE6537A1-D6FC-4f65-9D91-7224C49458BB}"/>
              </c:extLst>
            </c:dLbl>
            <c:numFmt formatCode="General" sourceLinked="true"/>
            <c:spPr>
              <a:noFill/>
              <a:ln>
                <a:noFill/>
              </a:ln>
              <a:effectLst/>
            </c:spPr>
            <c:txPr>
              <a:bodyPr rot="0" spcFirstLastPara="0" vertOverflow="ellipsis" vert="horz" wrap="square" lIns="38100" tIns="19050" rIns="38100" bIns="19050" anchor="ctr" anchorCtr="true" forceAA="false"/>
              <a:lstStyle/>
              <a:p>
                <a:pPr>
                  <a:defRPr lang="zh-CN" sz="9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false"/>
            <c:showVal val="false"/>
            <c:showCatName val="true"/>
            <c:showSerName val="false"/>
            <c:showPercent val="true"/>
            <c:showBubbleSize val="false"/>
            <c:separator>
</c:separator>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Sheet1!$A$2:$A$5</c:f>
              <c:strCache>
                <c:ptCount val="4"/>
                <c:pt idx="0">
                  <c:v>基本支出</c:v>
                </c:pt>
                <c:pt idx="1">
                  <c:v>项目支出</c:v>
                </c:pt>
              </c:strCache>
            </c:strRef>
          </c:cat>
          <c:val>
            <c:numRef>
              <c:f>Sheet1!$B$2:$B$5</c:f>
              <c:numCache>
                <c:formatCode>General</c:formatCode>
                <c:ptCount val="4"/>
                <c:pt idx="0">
                  <c:v>161.93</c:v>
                </c:pt>
                <c:pt idx="1">
                  <c:v>12.88</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b"/>
      <c:legendEntry>
        <c:idx val="2"/>
        <c:delete val="true"/>
      </c:legendEntry>
      <c:legendEntry>
        <c:idx val="3"/>
        <c:delete val="true"/>
      </c:legendEntry>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true"/>
    <c:dispBlanksAs val="gap"/>
    <c:showDLblsOverMax val="false"/>
  </c:chart>
  <c:spPr>
    <a:solidFill>
      <a:schemeClr val="bg1"/>
    </a:solidFill>
    <a:ln w="6350" cap="flat" cmpd="sng" algn="ctr">
      <a:solidFill>
        <a:schemeClr val="tx1">
          <a:lumMod val="50000"/>
          <a:lumOff val="50000"/>
          <a:alpha val="25000"/>
        </a:schemeClr>
      </a:solidFill>
      <a:round/>
    </a:ln>
    <a:effectLst>
      <a:outerShdw blurRad="63500" dist="37357" dir="2700000" sx="0" sy="0" rotWithShape="0">
        <a:scrgbClr r="0" g="0" b="0"/>
      </a:outerShdw>
    </a:effectLst>
  </c:spPr>
  <c:txPr>
    <a:bodyPr/>
    <a:lstStyle/>
    <a:p>
      <a:pPr>
        <a:defRPr lang="zh-CN">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false"/>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barChart>
        <c:barDir val="col"/>
        <c:grouping val="clustered"/>
        <c:varyColors val="false"/>
        <c:ser>
          <c:idx val="0"/>
          <c:order val="0"/>
          <c:tx>
            <c:strRef>
              <c:f>Sheet1!$B$1</c:f>
              <c:strCache>
                <c:ptCount val="1"/>
                <c:pt idx="0">
                  <c:v>财政拨款收入、支出总计</c:v>
                </c:pt>
              </c:strCache>
            </c:strRef>
          </c:tx>
          <c:spPr>
            <a:solidFill>
              <a:srgbClr val="1F497D">
                <a:lumMod val="40000"/>
                <a:lumOff val="60000"/>
              </a:srgbClr>
            </a:solidFill>
            <a:ln w="31750" cap="rnd">
              <a:noFill/>
              <a:round/>
            </a:ln>
            <a:effectLst/>
            <a:sp3d contourW="31750"/>
          </c:spPr>
          <c:invertIfNegative val="false"/>
          <c:dLbls>
            <c:numFmt formatCode="General" sourceLinked="true"/>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174.82</c:v>
                </c:pt>
                <c:pt idx="1">
                  <c:v>186.91</c:v>
                </c:pt>
              </c:numCache>
            </c:numRef>
          </c:val>
        </c:ser>
        <c:dLbls>
          <c:showLegendKey val="false"/>
          <c:showVal val="true"/>
          <c:showCatName val="false"/>
          <c:showSerName val="false"/>
          <c:showPercent val="false"/>
          <c:showBubbleSize val="false"/>
        </c:dLbls>
        <c:gapWidth val="183"/>
        <c:overlap val="-26"/>
        <c:axId val="799440662"/>
        <c:axId val="159065041"/>
      </c:barChart>
      <c:catAx>
        <c:axId val="799440662"/>
        <c:scaling>
          <c:orientation val="minMax"/>
        </c:scaling>
        <c:delete val="false"/>
        <c:axPos val="b"/>
        <c:numFmt formatCode="General" sourceLinked="true"/>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true" forceAA="false"/>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159065041"/>
        <c:crosses val="autoZero"/>
        <c:auto val="true"/>
        <c:lblAlgn val="ctr"/>
        <c:lblOffset val="100"/>
        <c:noMultiLvlLbl val="false"/>
      </c:catAx>
      <c:valAx>
        <c:axId val="159065041"/>
        <c:scaling>
          <c:orientation val="minMax"/>
        </c:scaling>
        <c:delete val="false"/>
        <c:axPos val="l"/>
        <c:majorGridlines>
          <c:spPr>
            <a:ln w="9525" cap="flat" cmpd="sng" algn="ctr">
              <a:solidFill>
                <a:schemeClr val="lt1">
                  <a:lumMod val="90200"/>
                </a:schemeClr>
              </a:solidFill>
              <a:round/>
            </a:ln>
            <a:effectLst/>
          </c:spPr>
        </c:majorGridlines>
        <c:numFmt formatCode="General" sourceLinked="true"/>
        <c:majorTickMark val="out"/>
        <c:minorTickMark val="none"/>
        <c:tickLblPos val="nextTo"/>
        <c:spPr>
          <a:noFill/>
          <a:ln>
            <a:noFill/>
          </a:ln>
          <a:effectLst/>
        </c:spPr>
        <c:txPr>
          <a:bodyPr rot="-60000000" spcFirstLastPara="0" vertOverflow="ellipsis" vert="horz" wrap="square" anchor="ctr" anchorCtr="true" forceAA="false"/>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799440662"/>
        <c:crosses val="autoZero"/>
        <c:crossBetween val="between"/>
      </c:valAx>
      <c:spPr>
        <a:noFill/>
        <a:ln>
          <a:noFill/>
        </a:ln>
        <a:effectLst/>
      </c:spPr>
    </c:plotArea>
    <c:legend>
      <c:legendPos val="b"/>
      <c:layout/>
      <c:overlay val="false"/>
      <c:spPr>
        <a:noFill/>
        <a:ln>
          <a:noFill/>
        </a:ln>
        <a:effectLst/>
      </c:spPr>
      <c:txPr>
        <a:bodyPr rot="0" spcFirstLastPara="0" vertOverflow="ellipsis" vert="horz" wrap="square" anchor="ctr" anchorCtr="true" forceAA="false"/>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true"/>
    <c:dispBlanksAs val="gap"/>
    <c:showDLblsOverMax val="false"/>
  </c:chart>
  <c:spPr>
    <a:solidFill>
      <a:schemeClr val="bg1"/>
    </a:solidFill>
    <a:ln w="6350"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false"/>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false"/>
      <c:spPr>
        <a:noFill/>
        <a:ln>
          <a:noFill/>
        </a:ln>
        <a:effectLst/>
      </c:spPr>
      <c:tx>
        <c:rich>
          <a:bodyPr/>
          <a:lstStyle/>
          <a:p>
            <a:pPr>
              <a:defRPr/>
            </a:pPr>
          </a:p>
        </c:rich>
      </c:tx>
    </c:title>
    <c:autoTitleDeleted val="false"/>
    <c:plotArea>
      <c:layout/>
      <c:barChart>
        <c:barDir val="col"/>
        <c:grouping val="clustered"/>
        <c:varyColors val="false"/>
        <c:ser>
          <c:idx val="0"/>
          <c:order val="0"/>
          <c:tx>
            <c:strRef>
              <c:f>Sheet1!$B$1</c:f>
              <c:strCache>
                <c:ptCount val="1"/>
                <c:pt idx="0">
                  <c:v>一般公共预算财政拨款支出</c:v>
                </c:pt>
              </c:strCache>
            </c:strRef>
          </c:tx>
          <c:spPr>
            <a:solidFill>
              <a:srgbClr val="1F497D">
                <a:lumMod val="60000"/>
                <a:lumOff val="40000"/>
                <a:alpha val="70000"/>
              </a:srgbClr>
            </a:solidFill>
            <a:ln>
              <a:noFill/>
            </a:ln>
            <a:effectLst/>
          </c:spPr>
          <c:invertIfNegative val="false"/>
          <c:dLbls>
            <c:numFmt formatCode="General" sourceLinked="true"/>
            <c:spPr>
              <a:noFill/>
              <a:ln>
                <a:noFill/>
              </a:ln>
              <a:effectLst/>
            </c:spPr>
            <c:txPr>
              <a:bodyPr rot="0" spcFirstLastPara="0" vertOverflow="ellipsis" vert="horz" wrap="square" lIns="38100" tIns="19050" rIns="38100" bIns="19050" anchor="ctr" anchorCtr="true" forceAA="false"/>
              <a:lstStyle/>
              <a:p>
                <a:pPr>
                  <a:defRPr lang="zh-CN" sz="1000" b="0" i="0" u="none" strike="noStrike" kern="1200" baseline="0">
                    <a:solidFill>
                      <a:srgbClr val="FFFFFF"/>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174.82</c:v>
                </c:pt>
                <c:pt idx="1">
                  <c:v>186.91</c:v>
                </c:pt>
              </c:numCache>
            </c:numRef>
          </c:val>
        </c:ser>
        <c:dLbls>
          <c:showLegendKey val="false"/>
          <c:showVal val="true"/>
          <c:showCatName val="false"/>
          <c:showSerName val="false"/>
          <c:showPercent val="false"/>
          <c:showBubbleSize val="false"/>
        </c:dLbls>
        <c:gapWidth val="130"/>
        <c:overlap val="30"/>
        <c:axId val="856453527"/>
        <c:axId val="577949566"/>
      </c:barChart>
      <c:catAx>
        <c:axId val="856453527"/>
        <c:scaling>
          <c:orientation val="minMax"/>
        </c:scaling>
        <c:delete val="false"/>
        <c:axPos val="b"/>
        <c:majorGridlines>
          <c:spPr>
            <a:ln w="6350" cap="flat" cmpd="sng" algn="ctr">
              <a:solidFill>
                <a:schemeClr val="tx1">
                  <a:lumMod val="50000"/>
                  <a:lumOff val="50000"/>
                  <a:alpha val="25000"/>
                </a:schemeClr>
              </a:solidFill>
              <a:prstDash val="solid"/>
              <a:round/>
            </a:ln>
            <a:effectLst/>
          </c:spPr>
        </c:majorGridlines>
        <c:numFmt formatCode="General" sourceLinked="true"/>
        <c:majorTickMark val="none"/>
        <c:minorTickMark val="none"/>
        <c:tickLblPos val="nextTo"/>
        <c:spPr>
          <a:noFill/>
          <a:ln w="6350" cap="flat" cmpd="sng" algn="ctr">
            <a:solidFill>
              <a:schemeClr val="tx1">
                <a:lumMod val="50000"/>
                <a:lumOff val="50000"/>
                <a:alpha val="25000"/>
              </a:schemeClr>
            </a:solidFill>
            <a:prstDash val="solid"/>
            <a:round/>
          </a:ln>
          <a:effectLst/>
        </c:spPr>
        <c:txPr>
          <a:bodyPr rot="-6000000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577949566"/>
        <c:crosses val="autoZero"/>
        <c:auto val="true"/>
        <c:lblAlgn val="ctr"/>
        <c:lblOffset val="100"/>
        <c:noMultiLvlLbl val="false"/>
      </c:catAx>
      <c:valAx>
        <c:axId val="577949566"/>
        <c:scaling>
          <c:orientation val="minMax"/>
        </c:scaling>
        <c:delete val="false"/>
        <c:axPos val="l"/>
        <c:majorGridlines>
          <c:spPr>
            <a:ln w="6350" cap="flat" cmpd="sng" algn="ctr">
              <a:solidFill>
                <a:schemeClr val="tx1">
                  <a:lumMod val="50000"/>
                  <a:lumOff val="50000"/>
                  <a:alpha val="25000"/>
                </a:schemeClr>
              </a:solidFill>
              <a:prstDash val="solid"/>
              <a:round/>
            </a:ln>
            <a:effectLst/>
          </c:spPr>
        </c:majorGridlines>
        <c:numFmt formatCode="General" sourceLinked="true"/>
        <c:majorTickMark val="out"/>
        <c:minorTickMark val="none"/>
        <c:tickLblPos val="nextTo"/>
        <c:spPr>
          <a:noFill/>
          <a:ln w="12700" cap="flat" cmpd="sng" algn="ctr">
            <a:noFill/>
            <a:prstDash val="solid"/>
            <a:round/>
          </a:ln>
          <a:effectLst/>
        </c:spPr>
        <c:txPr>
          <a:bodyPr rot="-6000000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856453527"/>
        <c:crosses val="autoZero"/>
        <c:crossBetween val="between"/>
      </c:valAx>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true"/>
    <c:dispBlanksAs val="gap"/>
    <c:showDLblsOverMax val="false"/>
  </c:chart>
  <c:spPr>
    <a:solidFill>
      <a:schemeClr val="bg1"/>
    </a:solidFill>
    <a:ln w="6350" cap="flat" cmpd="sng" algn="ctr">
      <a:solidFill>
        <a:schemeClr val="tx1">
          <a:lumMod val="50000"/>
          <a:lumOff val="50000"/>
          <a:alpha val="25000"/>
        </a:schemeClr>
      </a:solidFill>
      <a:prstDash val="solid"/>
      <a:round/>
    </a:ln>
    <a:effectLst/>
  </c:spPr>
  <c:txPr>
    <a:bodyPr/>
    <a:lstStyle/>
    <a:p>
      <a:pPr>
        <a:defRPr lang="zh-CN">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false"/>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layout/>
      <c:overlay val="false"/>
      <c:spPr>
        <a:noFill/>
        <a:ln>
          <a:noFill/>
        </a:ln>
        <a:effectLst/>
      </c:spPr>
      <c:tx>
        <c:rich>
          <a:bodyPr/>
          <a:lstStyle/>
          <a:p>
            <a:pPr>
              <a:defRPr/>
            </a:pPr>
          </a:p>
        </c:rich>
      </c:tx>
    </c:title>
    <c:autoTitleDeleted val="false"/>
    <c:plotArea>
      <c:layout/>
      <c:pieChart>
        <c:varyColors val="true"/>
        <c:ser>
          <c:idx val="0"/>
          <c:order val="0"/>
          <c:tx>
            <c:strRef>
              <c:f>Sheet1!$B$1</c:f>
              <c:strCache>
                <c:ptCount val="1"/>
                <c:pt idx="0">
                  <c:v>一般公共预算财政拨款支出</c:v>
                </c:pt>
              </c:strCache>
            </c:strRef>
          </c:tx>
          <c:spPr>
            <a:solidFill>
              <a:schemeClr val="tx2">
                <a:lumMod val="20000"/>
                <a:lumOff val="80000"/>
              </a:schemeClr>
            </a:solidFill>
          </c:spPr>
          <c:explosion val="0"/>
          <c:dPt>
            <c:idx val="0"/>
            <c:bubble3D val="false"/>
            <c:spPr>
              <a:solidFill>
                <a:schemeClr val="tx2">
                  <a:lumMod val="40000"/>
                  <a:lumOff val="60000"/>
                </a:schemeClr>
              </a:solidFill>
              <a:ln>
                <a:solidFill>
                  <a:schemeClr val="bg1"/>
                </a:solidFill>
              </a:ln>
              <a:effectLst/>
            </c:spPr>
          </c:dPt>
          <c:dPt>
            <c:idx val="1"/>
            <c:bubble3D val="false"/>
            <c:spPr>
              <a:solidFill>
                <a:schemeClr val="accent5">
                  <a:lumMod val="40000"/>
                  <a:lumOff val="60000"/>
                </a:schemeClr>
              </a:solidFill>
              <a:ln>
                <a:solidFill>
                  <a:schemeClr val="bg1"/>
                </a:solidFill>
              </a:ln>
              <a:effectLst/>
            </c:spPr>
          </c:dPt>
          <c:dPt>
            <c:idx val="2"/>
            <c:bubble3D val="false"/>
            <c:spPr>
              <a:solidFill>
                <a:schemeClr val="accent1"/>
              </a:solidFill>
              <a:ln>
                <a:solidFill>
                  <a:schemeClr val="bg1"/>
                </a:solidFill>
              </a:ln>
              <a:effectLst/>
            </c:spPr>
          </c:dPt>
          <c:dPt>
            <c:idx val="3"/>
            <c:bubble3D val="false"/>
            <c:spPr>
              <a:solidFill>
                <a:schemeClr val="tx2">
                  <a:lumMod val="20000"/>
                  <a:lumOff val="80000"/>
                </a:schemeClr>
              </a:solidFill>
              <a:ln>
                <a:solidFill>
                  <a:schemeClr val="bg1"/>
                </a:solidFill>
              </a:ln>
              <a:effectLst/>
            </c:spPr>
          </c:dPt>
          <c:dLbls>
            <c:dLbl>
              <c:idx val="0"/>
              <c:layout>
                <c:manualLayout>
                  <c:x val="0.0671964926716346"/>
                  <c:y val="0.0659181468981719"/>
                </c:manualLayout>
              </c:layout>
              <c:dLblPos val="bestFit"/>
              <c:showLegendKey val="false"/>
              <c:showVal val="true"/>
              <c:showCatName val="true"/>
              <c:showSerName val="false"/>
              <c:showPercent val="true"/>
              <c:showBubbleSize val="false"/>
              <c:extLst>
                <c:ext xmlns:c15="http://schemas.microsoft.com/office/drawing/2012/chart" uri="{CE6537A1-D6FC-4f65-9D91-7224C49458BB}">
                  <c15:layout/>
                </c:ext>
              </c:extLst>
            </c:dLbl>
            <c:dLbl>
              <c:idx val="1"/>
              <c:layout>
                <c:manualLayout>
                  <c:x val="0.0344496136747964"/>
                  <c:y val="-0.0129007088580399"/>
                </c:manualLayout>
              </c:layout>
              <c:tx>
                <c:rich>
                  <a:bodyPr rot="0" spcFirstLastPara="0" vertOverflow="ellipsis" vert="horz" wrap="square" lIns="38100" tIns="19050" rIns="38100" bIns="19050" anchor="ctr" anchorCtr="true"/>
                  <a:lstStyle/>
                  <a:p>
                    <a:pPr defTabSz="914400">
                      <a:defRPr lang="zh-CN" sz="1000" b="0" i="0" u="none" strike="noStrike" kern="1200" baseline="0">
                        <a:solidFill>
                          <a:schemeClr val="tx1">
                            <a:lumMod val="75000"/>
                            <a:lumOff val="25000"/>
                          </a:schemeClr>
                        </a:solidFill>
                        <a:latin typeface="+mn-lt"/>
                        <a:ea typeface="+mn-ea"/>
                        <a:cs typeface="+mn-cs"/>
                      </a:defRPr>
                    </a:pPr>
                    <a:r>
                      <a:t>卫生健康支出, 8.63, </a:t>
                    </a:r>
                    <a:r>
                      <a:rPr lang="en-US" altLang="zh-CN"/>
                      <a:t>4.9</a:t>
                    </a:r>
                    <a:r>
                      <a:t>%</a:t>
                    </a:r>
                  </a:p>
                </c:rich>
              </c:tx>
              <c:dLblPos val="bestFit"/>
              <c:showLegendKey val="false"/>
              <c:showVal val="true"/>
              <c:showCatName val="true"/>
              <c:showSerName val="false"/>
              <c:showPercent val="true"/>
              <c:showBubbleSize val="false"/>
              <c:extLst>
                <c:ext xmlns:c15="http://schemas.microsoft.com/office/drawing/2012/chart" uri="{CE6537A1-D6FC-4f65-9D91-7224C49458BB}">
                  <c15:layout/>
                </c:ext>
              </c:extLst>
            </c:dLbl>
            <c:dLbl>
              <c:idx val="2"/>
              <c:layout>
                <c:manualLayout>
                  <c:x val="0.154845616352943"/>
                  <c:y val="-0.161436012017918"/>
                </c:manualLayout>
              </c:layout>
              <c:tx>
                <c:rich>
                  <a:bodyPr rot="0" spcFirstLastPara="0" vertOverflow="ellipsis" vert="horz" wrap="square" lIns="38100" tIns="19050" rIns="38100" bIns="19050" anchor="ctr" anchorCtr="true"/>
                  <a:lstStyle/>
                  <a:p>
                    <a:pPr defTabSz="914400">
                      <a:defRPr lang="zh-CN" sz="1000" b="0" i="0" u="none" strike="noStrike" kern="1200" baseline="0">
                        <a:solidFill>
                          <a:schemeClr val="tx1">
                            <a:lumMod val="75000"/>
                            <a:lumOff val="25000"/>
                          </a:schemeClr>
                        </a:solidFill>
                        <a:latin typeface="+mn-lt"/>
                        <a:ea typeface="+mn-ea"/>
                        <a:cs typeface="+mn-cs"/>
                      </a:defRPr>
                    </a:pPr>
                    <a:r>
                      <a:t>城乡社区支出, 122.72, 70</a:t>
                    </a:r>
                    <a:r>
                      <a:rPr lang="en-US" altLang="zh-CN"/>
                      <a:t>.2</a:t>
                    </a:r>
                    <a:r>
                      <a:t>%</a:t>
                    </a:r>
                  </a:p>
                </c:rich>
              </c:tx>
              <c:dLblPos val="bestFit"/>
              <c:showLegendKey val="false"/>
              <c:showVal val="true"/>
              <c:showCatName val="true"/>
              <c:showSerName val="false"/>
              <c:showPercent val="true"/>
              <c:showBubbleSize val="false"/>
              <c:extLst>
                <c:ext xmlns:c15="http://schemas.microsoft.com/office/drawing/2012/chart" uri="{CE6537A1-D6FC-4f65-9D91-7224C49458BB}">
                  <c15:layout/>
                </c:ext>
              </c:extLst>
            </c:dLbl>
            <c:dLbl>
              <c:idx val="3"/>
              <c:layout>
                <c:manualLayout>
                  <c:x val="-0.0674279267346825"/>
                  <c:y val="-0.0120810212826859"/>
                </c:manualLayout>
              </c:layout>
              <c:tx>
                <c:rich>
                  <a:bodyPr rot="0" spcFirstLastPara="0" vertOverflow="ellipsis" vert="horz" wrap="square" lIns="38100" tIns="19050" rIns="38100" bIns="19050" anchor="ctr" anchorCtr="true"/>
                  <a:lstStyle/>
                  <a:p>
                    <a:pPr defTabSz="914400">
                      <a:defRPr lang="zh-CN" sz="1000" b="0" i="0" u="none" strike="noStrike" kern="1200" baseline="0">
                        <a:solidFill>
                          <a:schemeClr val="tx1">
                            <a:lumMod val="75000"/>
                            <a:lumOff val="25000"/>
                          </a:schemeClr>
                        </a:solidFill>
                        <a:latin typeface="+mn-lt"/>
                        <a:ea typeface="+mn-ea"/>
                        <a:cs typeface="+mn-cs"/>
                      </a:defRPr>
                    </a:pPr>
                    <a:r>
                      <a:t>住房保障支出, 10.33, </a:t>
                    </a:r>
                    <a:r>
                      <a:rPr lang="en-US" altLang="zh-CN"/>
                      <a:t>5.9</a:t>
                    </a:r>
                    <a:r>
                      <a:t>%</a:t>
                    </a:r>
                  </a:p>
                </c:rich>
              </c:tx>
              <c:dLblPos val="bestFit"/>
              <c:showLegendKey val="false"/>
              <c:showVal val="true"/>
              <c:showCatName val="true"/>
              <c:showSerName val="false"/>
              <c:showPercent val="true"/>
              <c:showBubbleSize val="false"/>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false"/>
            <c:showVal val="true"/>
            <c:showCatName val="tru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社会保障和就业支出</c:v>
                </c:pt>
                <c:pt idx="1">
                  <c:v>卫生健康支出</c:v>
                </c:pt>
                <c:pt idx="2">
                  <c:v>城乡社区支出</c:v>
                </c:pt>
                <c:pt idx="3">
                  <c:v>住房保障支出</c:v>
                </c:pt>
              </c:strCache>
            </c:strRef>
          </c:cat>
          <c:val>
            <c:numRef>
              <c:f>Sheet1!$B$2:$B$5</c:f>
              <c:numCache>
                <c:formatCode>General</c:formatCode>
                <c:ptCount val="4"/>
                <c:pt idx="0">
                  <c:v>33.13</c:v>
                </c:pt>
                <c:pt idx="1">
                  <c:v>8.63</c:v>
                </c:pt>
                <c:pt idx="2">
                  <c:v>122.72</c:v>
                </c:pt>
                <c:pt idx="3">
                  <c:v>10.33</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false"/>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pieChart>
        <c:varyColors val="true"/>
        <c:ser>
          <c:idx val="0"/>
          <c:order val="0"/>
          <c:tx>
            <c:strRef>
              <c:f>Sheet1!$B$1</c:f>
              <c:strCache>
                <c:ptCount val="1"/>
                <c:pt idx="0">
                  <c:v>“三公”经费财政拨款支出结构</c:v>
                </c:pt>
              </c:strCache>
            </c:strRef>
          </c:tx>
          <c:spPr>
            <a:solidFill>
              <a:schemeClr val="tx2">
                <a:lumMod val="40000"/>
                <a:lumOff val="60000"/>
              </a:schemeClr>
            </a:solidFill>
          </c:spPr>
          <c:explosion val="0"/>
          <c:dPt>
            <c:idx val="0"/>
            <c:bubble3D val="false"/>
            <c:spPr>
              <a:solidFill>
                <a:schemeClr val="tx2">
                  <a:lumMod val="40000"/>
                  <a:lumOff val="60000"/>
                </a:schemeClr>
              </a:solidFill>
              <a:ln>
                <a:solidFill>
                  <a:schemeClr val="bg1"/>
                </a:solidFill>
              </a:ln>
              <a:effectLst/>
            </c:spPr>
          </c:dPt>
          <c:dPt>
            <c:idx val="1"/>
            <c:bubble3D val="false"/>
            <c:spPr>
              <a:solidFill>
                <a:schemeClr val="tx2">
                  <a:lumMod val="40000"/>
                  <a:lumOff val="60000"/>
                </a:schemeClr>
              </a:solidFill>
              <a:ln>
                <a:solidFill>
                  <a:schemeClr val="bg1"/>
                </a:solidFill>
              </a:ln>
              <a:effectLst/>
            </c:spPr>
          </c:dPt>
          <c:dPt>
            <c:idx val="2"/>
            <c:bubble3D val="false"/>
            <c:spPr>
              <a:solidFill>
                <a:schemeClr val="tx2">
                  <a:lumMod val="40000"/>
                  <a:lumOff val="60000"/>
                </a:schemeClr>
              </a:solidFill>
              <a:ln>
                <a:solidFill>
                  <a:schemeClr val="bg1"/>
                </a:solidFill>
              </a:ln>
              <a:effectLst/>
            </c:spPr>
          </c:dPt>
          <c:dLbls>
            <c:dLbl>
              <c:idx val="0"/>
              <c:layout>
                <c:manualLayout>
                  <c:x val="-0.212612398363286"/>
                  <c:y val="0.0244921376981937"/>
                </c:manualLayout>
              </c:layout>
              <c:dLblPos val="bestFit"/>
              <c:showLegendKey val="false"/>
              <c:showVal val="true"/>
              <c:showCatName val="true"/>
              <c:showSerName val="false"/>
              <c:showPercent val="true"/>
              <c:showBubbleSize val="false"/>
              <c:extLst>
                <c:ext xmlns:c15="http://schemas.microsoft.com/office/drawing/2012/chart" uri="{CE6537A1-D6FC-4f65-9D91-7224C49458BB}">
                  <c15:layout/>
                </c:ext>
              </c:extLst>
            </c:dLbl>
            <c:dLbl>
              <c:idx val="1"/>
              <c:layout>
                <c:manualLayout>
                  <c:x val="-0.00169187432301772"/>
                  <c:y val="-0.277573310668607"/>
                </c:manualLayout>
              </c:layout>
              <c:dLblPos val="bestFit"/>
              <c:showLegendKey val="false"/>
              <c:showVal val="true"/>
              <c:showCatName val="true"/>
              <c:showSerName val="false"/>
              <c:showPercent val="true"/>
              <c:showBubbleSize val="false"/>
              <c:extLst>
                <c:ext xmlns:c15="http://schemas.microsoft.com/office/drawing/2012/chart" uri="{CE6537A1-D6FC-4f65-9D91-7224C49458BB}">
                  <c15:layout/>
                </c:ext>
              </c:extLst>
            </c:dLbl>
            <c:dLbl>
              <c:idx val="2"/>
              <c:layout>
                <c:manualLayout>
                  <c:x val="0.238825064909181"/>
                  <c:y val="0.0536039099042043"/>
                </c:manualLayout>
              </c:layout>
              <c:dLblPos val="bestFit"/>
              <c:showLegendKey val="false"/>
              <c:showVal val="true"/>
              <c:showCatName val="true"/>
              <c:showSerName val="false"/>
              <c:showPercent val="true"/>
              <c:showBubbleSize val="false"/>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false"/>
            <c:showVal val="true"/>
            <c:showCatName val="tru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0.95</c:v>
                </c:pt>
                <c:pt idx="2">
                  <c:v>0</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自定义 107">
    <a:dk1>
      <a:srgbClr val="000000"/>
    </a:dk1>
    <a:lt1>
      <a:srgbClr val="FFFFFF"/>
    </a:lt1>
    <a:dk2>
      <a:srgbClr val="44546A"/>
    </a:dk2>
    <a:lt2>
      <a:srgbClr val="E7E6E6"/>
    </a:lt2>
    <a:accent1>
      <a:srgbClr val="1D6FA9"/>
    </a:accent1>
    <a:accent2>
      <a:srgbClr val="39ADCE"/>
    </a:accent2>
    <a:accent3>
      <a:srgbClr val="8BC145"/>
    </a:accent3>
    <a:accent4>
      <a:srgbClr val="1D9A78"/>
    </a:accent4>
    <a:accent5>
      <a:srgbClr val="30C0B4"/>
    </a:accent5>
    <a:accent6>
      <a:srgbClr val="4874CB"/>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Override>
</file>

<file path=word/theme/themeOverride2.xml><?xml version="1.0" encoding="utf-8"?>
<a:themeOverride xmlns:a="http://schemas.openxmlformats.org/drawingml/2006/main">
  <a:clrScheme name="宝石蓝">
    <a:dk1>
      <a:srgbClr val="000000"/>
    </a:dk1>
    <a:lt1>
      <a:srgbClr val="FFFFFF"/>
    </a:lt1>
    <a:dk2>
      <a:srgbClr val="000000"/>
    </a:dk2>
    <a:lt2>
      <a:srgbClr val="F8F8F8"/>
    </a:lt2>
    <a:accent1>
      <a:srgbClr val="4367FD"/>
    </a:accent1>
    <a:accent2>
      <a:srgbClr val="748BF9"/>
    </a:accent2>
    <a:accent3>
      <a:srgbClr val="AEC7FF"/>
    </a:accent3>
    <a:accent4>
      <a:srgbClr val="578EF9"/>
    </a:accent4>
    <a:accent5>
      <a:srgbClr val="92BEFD"/>
    </a:accent5>
    <a:accent6>
      <a:srgbClr val="CDE4F9"/>
    </a:accent6>
    <a:hlink>
      <a:srgbClr val="5F5F5F"/>
    </a:hlink>
    <a:folHlink>
      <a:srgbClr val="919191"/>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Override>
</file>

<file path=word/theme/themeOverride3.xml><?xml version="1.0" encoding="utf-8"?>
<a:themeOverride xmlns:a="http://schemas.openxmlformats.org/drawingml/2006/main">
  <a:clrScheme name="自定义 27">
    <a:dk1>
      <a:srgbClr val="000000"/>
    </a:dk1>
    <a:lt1>
      <a:srgbClr val="FFFFFF"/>
    </a:lt1>
    <a:dk2>
      <a:srgbClr val="000000"/>
    </a:dk2>
    <a:lt2>
      <a:srgbClr val="FEFFFF"/>
    </a:lt2>
    <a:accent1>
      <a:srgbClr val="3B73FF"/>
    </a:accent1>
    <a:accent2>
      <a:srgbClr val="1DDC98"/>
    </a:accent2>
    <a:accent3>
      <a:srgbClr val="FFCC3E"/>
    </a:accent3>
    <a:accent4>
      <a:srgbClr val="FF7640"/>
    </a:accent4>
    <a:accent5>
      <a:srgbClr val="FC4242"/>
    </a:accent5>
    <a:accent6>
      <a:srgbClr val="A766FF"/>
    </a:accent6>
    <a:hlink>
      <a:srgbClr val="304FFE"/>
    </a:hlink>
    <a:folHlink>
      <a:srgbClr val="492067"/>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Override>
</file>

<file path=word/theme/themeOverride4.xml><?xml version="1.0" encoding="utf-8"?>
<a:themeOverride xmlns:a="http://schemas.openxmlformats.org/drawingml/2006/main">
  <a:clrScheme name="商务蓝">
    <a:dk1>
      <a:srgbClr val="000000"/>
    </a:dk1>
    <a:lt1>
      <a:srgbClr val="FFFFFF"/>
    </a:lt1>
    <a:dk2>
      <a:srgbClr val="44546A"/>
    </a:dk2>
    <a:lt2>
      <a:srgbClr val="E7E6E6"/>
    </a:lt2>
    <a:accent1>
      <a:srgbClr val="0D208B"/>
    </a:accent1>
    <a:accent2>
      <a:srgbClr val="0174CD"/>
    </a:accent2>
    <a:accent3>
      <a:srgbClr val="4499D9"/>
    </a:accent3>
    <a:accent4>
      <a:srgbClr val="63A8DE"/>
    </a:accent4>
    <a:accent5>
      <a:srgbClr val="A6CAE7"/>
    </a:accent5>
    <a:accent6>
      <a:srgbClr val="D1E1F5"/>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Override>
</file>

<file path=word/theme/themeOverride5.xml><?xml version="1.0" encoding="utf-8"?>
<a:themeOverride xmlns:a="http://schemas.openxmlformats.org/drawingml/2006/main">
  <a:clrScheme name="自定义 107">
    <a:dk1>
      <a:srgbClr val="000000"/>
    </a:dk1>
    <a:lt1>
      <a:srgbClr val="FFFFFF"/>
    </a:lt1>
    <a:dk2>
      <a:srgbClr val="44546A"/>
    </a:dk2>
    <a:lt2>
      <a:srgbClr val="E7E6E6"/>
    </a:lt2>
    <a:accent1>
      <a:srgbClr val="1D6FA9"/>
    </a:accent1>
    <a:accent2>
      <a:srgbClr val="39ADCE"/>
    </a:accent2>
    <a:accent3>
      <a:srgbClr val="8BC145"/>
    </a:accent3>
    <a:accent4>
      <a:srgbClr val="1D9A78"/>
    </a:accent4>
    <a:accent5>
      <a:srgbClr val="30C0B4"/>
    </a:accent5>
    <a:accent6>
      <a:srgbClr val="4874CB"/>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18</Pages>
  <Words>4525</Words>
  <Characters>4893</Characters>
  <Lines>61</Lines>
  <Paragraphs>17</Paragraphs>
  <TotalTime>19</TotalTime>
  <ScaleCrop>false</ScaleCrop>
  <LinksUpToDate>false</LinksUpToDate>
  <CharactersWithSpaces>5010</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2020-08-09T17:49:00Z</dcterms:created>
  <dc:creator>曹颖</dc:creator>
  <cp:lastModifiedBy>user</cp:lastModifiedBy>
  <cp:lastPrinted>2026-08-04T09:27:00Z</cp:lastPrinted>
  <dcterms:modified xsi:type="dcterms:W3CDTF">2026-09-15T10:53:53Z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400D301575C74348A5277D00A7902E06</vt:lpwstr>
  </property>
  <property fmtid="{D5CDD505-2E9C-101B-9397-08002B2CF9AE}" pid="4" name="KSOTemplateDocerSaveRecord">
    <vt:lpwstr>eyJoZGlkIjoiMWU0MjA2NjUyNGVkZmE0NmFlNzBiZDUyOWQzNDJhYzEiLCJ1c2VySWQiOiI5MTQ2MDk3NTIifQ==</vt:lpwstr>
  </property>
</Properties>
</file>