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93"/>
        <w:jc w:val="center"/>
        <w:rPr>
          <w:rFonts w:ascii="Times New Roman" w:eastAsia="方正小标宋简体"/>
          <w:kern w:val="2"/>
          <w:sz w:val="44"/>
          <w:szCs w:val="44"/>
        </w:rPr>
      </w:pPr>
    </w:p>
    <w:p>
      <w:pPr>
        <w:pStyle w:val="4"/>
        <w:spacing w:before="93"/>
        <w:jc w:val="center"/>
        <w:rPr>
          <w:rFonts w:ascii="Times New Roman" w:eastAsia="方正小标宋简体"/>
          <w:kern w:val="2"/>
          <w:sz w:val="44"/>
          <w:szCs w:val="44"/>
        </w:rPr>
      </w:pPr>
    </w:p>
    <w:p>
      <w:pPr>
        <w:pStyle w:val="4"/>
        <w:spacing w:before="93"/>
        <w:jc w:val="center"/>
        <w:rPr>
          <w:rFonts w:ascii="Times New Roman" w:eastAsia="方正小标宋简体"/>
          <w:kern w:val="2"/>
          <w:sz w:val="44"/>
          <w:szCs w:val="44"/>
        </w:rPr>
      </w:pPr>
    </w:p>
    <w:p>
      <w:pPr>
        <w:pStyle w:val="4"/>
        <w:spacing w:before="93"/>
        <w:jc w:val="center"/>
        <w:rPr>
          <w:rFonts w:ascii="Times New Roman" w:eastAsia="方正小标宋简体"/>
          <w:kern w:val="2"/>
          <w:sz w:val="44"/>
          <w:szCs w:val="44"/>
        </w:rPr>
      </w:pPr>
    </w:p>
    <w:p>
      <w:pPr>
        <w:pStyle w:val="4"/>
        <w:spacing w:before="93"/>
        <w:jc w:val="center"/>
        <w:rPr>
          <w:rFonts w:ascii="Times New Roman" w:eastAsia="方正小标宋简体"/>
          <w:kern w:val="2"/>
          <w:sz w:val="44"/>
          <w:szCs w:val="44"/>
        </w:rPr>
      </w:pPr>
    </w:p>
    <w:p>
      <w:pPr>
        <w:pStyle w:val="4"/>
        <w:spacing w:before="93"/>
        <w:jc w:val="center"/>
        <w:rPr>
          <w:rFonts w:ascii="Times New Roman" w:eastAsia="方正小标宋简体"/>
          <w:kern w:val="2"/>
          <w:sz w:val="44"/>
          <w:szCs w:val="44"/>
        </w:rPr>
      </w:pPr>
      <w:r>
        <w:rPr>
          <w:rFonts w:ascii="Times New Roman" w:eastAsia="方正小标宋简体"/>
          <w:kern w:val="2"/>
          <w:sz w:val="44"/>
          <w:szCs w:val="44"/>
        </w:rPr>
        <w:t>2025年度</w:t>
      </w:r>
    </w:p>
    <w:p>
      <w:pPr>
        <w:pStyle w:val="4"/>
        <w:spacing w:before="93"/>
        <w:jc w:val="center"/>
        <w:rPr>
          <w:rFonts w:ascii="Times New Roman" w:eastAsia="方正小标宋简体"/>
          <w:kern w:val="2"/>
          <w:sz w:val="44"/>
          <w:szCs w:val="44"/>
        </w:rPr>
      </w:pPr>
      <w:r>
        <w:rPr>
          <w:rFonts w:ascii="Times New Roman" w:eastAsia="方正小标宋简体"/>
          <w:kern w:val="2"/>
          <w:sz w:val="44"/>
          <w:szCs w:val="44"/>
        </w:rPr>
        <w:t>攀枝花市建设工程造价站</w:t>
      </w:r>
    </w:p>
    <w:p>
      <w:pPr>
        <w:pStyle w:val="4"/>
        <w:spacing w:before="93"/>
        <w:jc w:val="center"/>
        <w:rPr>
          <w:rFonts w:ascii="Times New Roman"/>
          <w:sz w:val="32"/>
          <w:szCs w:val="32"/>
        </w:rPr>
      </w:pPr>
      <w:r>
        <w:rPr>
          <w:rFonts w:ascii="Times New Roman" w:eastAsia="方正小标宋简体"/>
          <w:kern w:val="2"/>
          <w:sz w:val="44"/>
          <w:szCs w:val="44"/>
        </w:rPr>
        <w:t>单位决算</w:t>
      </w:r>
    </w:p>
    <w:p>
      <w:pPr>
        <w:widowControl/>
        <w:jc w:val="center"/>
        <w:rPr>
          <w:rFonts w:eastAsia="黑体"/>
          <w:sz w:val="48"/>
          <w:szCs w:val="48"/>
        </w:rPr>
      </w:pPr>
      <w:r>
        <w:rPr>
          <w:rFonts w:eastAsia="方正小标宋简体"/>
          <w:sz w:val="36"/>
          <w:szCs w:val="36"/>
        </w:rPr>
        <w:br w:type="page"/>
      </w:r>
      <w:r>
        <w:rPr>
          <w:rFonts w:eastAsia="黑体"/>
          <w:sz w:val="48"/>
          <w:szCs w:val="48"/>
        </w:rPr>
        <w:t>目录</w:t>
      </w:r>
    </w:p>
    <w:p>
      <w:pPr>
        <w:widowControl/>
        <w:jc w:val="center"/>
        <w:rPr>
          <w:rFonts w:eastAsia="黑体"/>
          <w:sz w:val="28"/>
          <w:szCs w:val="28"/>
        </w:rPr>
      </w:pPr>
    </w:p>
    <w:p>
      <w:pPr>
        <w:pStyle w:val="9"/>
        <w:jc w:val="center"/>
        <w:rPr>
          <w:rFonts w:eastAsia="仿宋_GB2312"/>
          <w:sz w:val="32"/>
          <w:szCs w:val="32"/>
        </w:rPr>
      </w:pPr>
      <w:r>
        <w:rPr>
          <w:rFonts w:eastAsia="仿宋_GB2312"/>
          <w:sz w:val="32"/>
          <w:szCs w:val="32"/>
        </w:rPr>
        <w:t>公开时间：2026年9月15日</w:t>
      </w:r>
    </w:p>
    <w:p>
      <w:pPr>
        <w:pStyle w:val="12"/>
        <w:adjustRightInd w:val="0"/>
        <w:snapToGrid w:val="0"/>
        <w:spacing w:line="440" w:lineRule="exact"/>
        <w:ind w:left="0" w:leftChars="0"/>
        <w:rPr>
          <w:rFonts w:eastAsia="仿宋_GB2312"/>
          <w:sz w:val="32"/>
          <w:szCs w:val="32"/>
        </w:rPr>
      </w:pPr>
      <w:r>
        <w:rPr>
          <w:rFonts w:eastAsia="仿宋_GB2312"/>
          <w:sz w:val="32"/>
          <w:szCs w:val="32"/>
        </w:rPr>
        <w:t>第一部分单位概况</w:t>
      </w:r>
      <w:r>
        <w:rPr>
          <w:rFonts w:eastAsia="仿宋_GB2312"/>
          <w:sz w:val="32"/>
          <w:szCs w:val="32"/>
        </w:rPr>
        <w:tab/>
      </w:r>
      <w:r>
        <w:rPr>
          <w:rFonts w:eastAsia="仿宋_GB2312"/>
          <w:sz w:val="32"/>
          <w:szCs w:val="32"/>
        </w:rPr>
        <w:t>4</w:t>
      </w:r>
    </w:p>
    <w:p>
      <w:pPr>
        <w:pStyle w:val="12"/>
        <w:adjustRightInd w:val="0"/>
        <w:snapToGrid w:val="0"/>
        <w:spacing w:line="440" w:lineRule="exact"/>
        <w:rPr>
          <w:rFonts w:eastAsia="仿宋_GB2312"/>
          <w:sz w:val="32"/>
          <w:szCs w:val="32"/>
        </w:rPr>
      </w:pPr>
      <w:r>
        <w:rPr>
          <w:rFonts w:eastAsia="仿宋_GB2312"/>
          <w:sz w:val="32"/>
          <w:szCs w:val="32"/>
        </w:rPr>
        <w:t>一、主要职责</w:t>
      </w:r>
      <w:r>
        <w:rPr>
          <w:rFonts w:eastAsia="仿宋_GB2312"/>
          <w:sz w:val="32"/>
          <w:szCs w:val="32"/>
        </w:rPr>
        <w:tab/>
      </w:r>
      <w:r>
        <w:rPr>
          <w:rFonts w:eastAsia="仿宋_GB2312"/>
          <w:sz w:val="32"/>
          <w:szCs w:val="32"/>
        </w:rPr>
        <w:t>4</w:t>
      </w:r>
    </w:p>
    <w:p>
      <w:pPr>
        <w:pStyle w:val="12"/>
        <w:adjustRightInd w:val="0"/>
        <w:snapToGrid w:val="0"/>
        <w:spacing w:line="440" w:lineRule="exact"/>
        <w:rPr>
          <w:rFonts w:eastAsia="仿宋_GB2312"/>
          <w:sz w:val="32"/>
          <w:szCs w:val="32"/>
        </w:rPr>
      </w:pPr>
      <w:r>
        <w:rPr>
          <w:rFonts w:eastAsia="仿宋_GB2312"/>
          <w:sz w:val="32"/>
          <w:szCs w:val="32"/>
        </w:rPr>
        <w:t>二、机构设置</w:t>
      </w:r>
      <w:r>
        <w:rPr>
          <w:rFonts w:eastAsia="仿宋_GB2312"/>
          <w:sz w:val="32"/>
          <w:szCs w:val="32"/>
        </w:rPr>
        <w:tab/>
      </w:r>
      <w:r>
        <w:rPr>
          <w:rFonts w:eastAsia="仿宋_GB2312"/>
          <w:sz w:val="32"/>
          <w:szCs w:val="32"/>
        </w:rPr>
        <w:t>4</w:t>
      </w:r>
    </w:p>
    <w:p>
      <w:pPr>
        <w:pStyle w:val="9"/>
        <w:tabs>
          <w:tab w:val="right" w:leader="dot" w:pos="8296"/>
        </w:tabs>
        <w:adjustRightInd w:val="0"/>
        <w:snapToGrid w:val="0"/>
        <w:spacing w:line="440" w:lineRule="exact"/>
        <w:rPr>
          <w:rFonts w:eastAsia="仿宋_GB2312"/>
          <w:sz w:val="32"/>
          <w:szCs w:val="32"/>
        </w:rPr>
      </w:pPr>
      <w:r>
        <w:rPr>
          <w:rFonts w:eastAsia="仿宋_GB2312"/>
          <w:sz w:val="32"/>
          <w:szCs w:val="32"/>
        </w:rPr>
        <w:t>第二部分2025年度单位决算情况说明</w:t>
      </w:r>
      <w:r>
        <w:rPr>
          <w:rFonts w:eastAsia="仿宋_GB2312"/>
          <w:sz w:val="32"/>
          <w:szCs w:val="32"/>
        </w:rPr>
        <w:tab/>
      </w:r>
      <w:r>
        <w:rPr>
          <w:rFonts w:eastAsia="仿宋_GB2312"/>
          <w:sz w:val="32"/>
          <w:szCs w:val="32"/>
        </w:rPr>
        <w:t>5</w:t>
      </w:r>
    </w:p>
    <w:p>
      <w:pPr>
        <w:pStyle w:val="12"/>
        <w:adjustRightInd w:val="0"/>
        <w:snapToGrid w:val="0"/>
        <w:spacing w:line="440" w:lineRule="exact"/>
        <w:rPr>
          <w:rFonts w:eastAsia="仿宋_GB2312"/>
          <w:sz w:val="32"/>
          <w:szCs w:val="32"/>
        </w:rPr>
      </w:pPr>
      <w:r>
        <w:rPr>
          <w:rFonts w:eastAsia="仿宋_GB2312"/>
          <w:sz w:val="32"/>
          <w:szCs w:val="32"/>
        </w:rPr>
        <w:t>一、收入支出决算总体情况说明</w:t>
      </w:r>
      <w:r>
        <w:rPr>
          <w:rFonts w:eastAsia="仿宋_GB2312"/>
          <w:sz w:val="32"/>
          <w:szCs w:val="32"/>
        </w:rPr>
        <w:tab/>
      </w:r>
      <w:r>
        <w:rPr>
          <w:rFonts w:eastAsia="仿宋_GB2312"/>
          <w:sz w:val="32"/>
          <w:szCs w:val="32"/>
        </w:rPr>
        <w:t>5</w:t>
      </w:r>
    </w:p>
    <w:p>
      <w:pPr>
        <w:pStyle w:val="12"/>
        <w:adjustRightInd w:val="0"/>
        <w:snapToGrid w:val="0"/>
        <w:spacing w:line="440" w:lineRule="exact"/>
        <w:rPr>
          <w:rFonts w:eastAsia="仿宋_GB2312"/>
          <w:sz w:val="32"/>
          <w:szCs w:val="32"/>
        </w:rPr>
      </w:pPr>
      <w:r>
        <w:rPr>
          <w:rFonts w:eastAsia="仿宋_GB2312"/>
          <w:sz w:val="32"/>
          <w:szCs w:val="32"/>
        </w:rPr>
        <w:t>二、收入决算情况说明</w:t>
      </w:r>
      <w:r>
        <w:rPr>
          <w:rFonts w:eastAsia="仿宋_GB2312"/>
          <w:sz w:val="32"/>
          <w:szCs w:val="32"/>
        </w:rPr>
        <w:tab/>
      </w:r>
      <w:r>
        <w:rPr>
          <w:rFonts w:eastAsia="仿宋_GB2312"/>
          <w:sz w:val="32"/>
          <w:szCs w:val="32"/>
        </w:rPr>
        <w:t>5</w:t>
      </w:r>
    </w:p>
    <w:p>
      <w:pPr>
        <w:pStyle w:val="12"/>
        <w:adjustRightInd w:val="0"/>
        <w:snapToGrid w:val="0"/>
        <w:spacing w:line="440" w:lineRule="exact"/>
        <w:rPr>
          <w:rFonts w:eastAsia="仿宋_GB2312"/>
          <w:sz w:val="32"/>
          <w:szCs w:val="32"/>
        </w:rPr>
      </w:pPr>
      <w:r>
        <w:rPr>
          <w:rFonts w:eastAsia="仿宋_GB2312"/>
          <w:sz w:val="32"/>
          <w:szCs w:val="32"/>
        </w:rPr>
        <w:t>三、支出决算情况说明</w:t>
      </w:r>
      <w:r>
        <w:rPr>
          <w:rFonts w:eastAsia="仿宋_GB2312"/>
          <w:sz w:val="32"/>
          <w:szCs w:val="32"/>
        </w:rPr>
        <w:tab/>
      </w:r>
      <w:r>
        <w:rPr>
          <w:rFonts w:eastAsia="仿宋_GB2312"/>
          <w:sz w:val="32"/>
          <w:szCs w:val="32"/>
        </w:rPr>
        <w:t>6</w:t>
      </w:r>
    </w:p>
    <w:p>
      <w:pPr>
        <w:pStyle w:val="12"/>
        <w:adjustRightInd w:val="0"/>
        <w:snapToGrid w:val="0"/>
        <w:spacing w:line="440" w:lineRule="exact"/>
        <w:rPr>
          <w:rFonts w:hint="eastAsia" w:eastAsia="仿宋_GB2312"/>
          <w:sz w:val="32"/>
          <w:szCs w:val="32"/>
          <w:lang w:eastAsia="zh-CN"/>
        </w:rPr>
      </w:pPr>
      <w:r>
        <w:rPr>
          <w:rFonts w:eastAsia="仿宋_GB2312"/>
          <w:sz w:val="32"/>
          <w:szCs w:val="32"/>
        </w:rPr>
        <w:t>四、财政拨款收入支出决算总体情况说明</w:t>
      </w:r>
      <w:r>
        <w:rPr>
          <w:rFonts w:eastAsia="仿宋_GB2312"/>
          <w:sz w:val="32"/>
          <w:szCs w:val="32"/>
        </w:rPr>
        <w:tab/>
      </w:r>
      <w:r>
        <w:rPr>
          <w:rFonts w:hint="eastAsia" w:eastAsia="仿宋_GB2312"/>
          <w:sz w:val="32"/>
          <w:szCs w:val="32"/>
          <w:lang w:val="en-US" w:eastAsia="zh-CN"/>
        </w:rPr>
        <w:t>6</w:t>
      </w:r>
    </w:p>
    <w:p>
      <w:pPr>
        <w:pStyle w:val="12"/>
        <w:adjustRightInd w:val="0"/>
        <w:snapToGrid w:val="0"/>
        <w:spacing w:line="440" w:lineRule="exact"/>
        <w:rPr>
          <w:rFonts w:eastAsia="仿宋_GB2312"/>
          <w:sz w:val="32"/>
          <w:szCs w:val="32"/>
        </w:rPr>
      </w:pPr>
      <w:r>
        <w:rPr>
          <w:rFonts w:eastAsia="仿宋_GB2312"/>
          <w:sz w:val="32"/>
          <w:szCs w:val="32"/>
        </w:rPr>
        <w:t>五、一般公共预算财政拨款支出决算情况说明</w:t>
      </w:r>
      <w:r>
        <w:rPr>
          <w:rFonts w:eastAsia="仿宋_GB2312"/>
          <w:sz w:val="32"/>
          <w:szCs w:val="32"/>
        </w:rPr>
        <w:tab/>
      </w:r>
      <w:r>
        <w:rPr>
          <w:rFonts w:eastAsia="仿宋_GB2312"/>
          <w:sz w:val="32"/>
          <w:szCs w:val="32"/>
        </w:rPr>
        <w:t>7</w:t>
      </w:r>
    </w:p>
    <w:p>
      <w:pPr>
        <w:pStyle w:val="12"/>
        <w:adjustRightInd w:val="0"/>
        <w:snapToGrid w:val="0"/>
        <w:spacing w:line="440" w:lineRule="exact"/>
        <w:rPr>
          <w:rFonts w:eastAsia="仿宋_GB2312"/>
          <w:sz w:val="32"/>
          <w:szCs w:val="32"/>
        </w:rPr>
      </w:pPr>
      <w:r>
        <w:rPr>
          <w:rFonts w:eastAsia="仿宋_GB2312"/>
          <w:sz w:val="32"/>
          <w:szCs w:val="32"/>
        </w:rPr>
        <w:t>六、一般公共预算财政拨款基本支出决算情况说明</w:t>
      </w:r>
      <w:r>
        <w:rPr>
          <w:rFonts w:eastAsia="仿宋_GB2312"/>
          <w:sz w:val="32"/>
          <w:szCs w:val="32"/>
        </w:rPr>
        <w:tab/>
      </w:r>
      <w:r>
        <w:rPr>
          <w:rFonts w:eastAsia="仿宋_GB2312"/>
          <w:sz w:val="32"/>
          <w:szCs w:val="32"/>
        </w:rPr>
        <w:t>9</w:t>
      </w:r>
    </w:p>
    <w:p>
      <w:pPr>
        <w:pStyle w:val="12"/>
        <w:adjustRightInd w:val="0"/>
        <w:snapToGrid w:val="0"/>
        <w:spacing w:line="440" w:lineRule="exact"/>
        <w:rPr>
          <w:rFonts w:eastAsia="仿宋_GB2312"/>
          <w:sz w:val="32"/>
          <w:szCs w:val="32"/>
        </w:rPr>
      </w:pPr>
      <w:r>
        <w:rPr>
          <w:rFonts w:eastAsia="仿宋_GB2312"/>
          <w:sz w:val="32"/>
          <w:szCs w:val="32"/>
        </w:rPr>
        <w:t>七、财政拨款“三公”经费支出决算情况说明</w:t>
      </w:r>
      <w:r>
        <w:rPr>
          <w:rFonts w:eastAsia="仿宋_GB2312"/>
          <w:sz w:val="32"/>
          <w:szCs w:val="32"/>
        </w:rPr>
        <w:tab/>
      </w:r>
      <w:r>
        <w:rPr>
          <w:rFonts w:eastAsia="仿宋_GB2312"/>
          <w:sz w:val="32"/>
          <w:szCs w:val="32"/>
        </w:rPr>
        <w:t>10</w:t>
      </w:r>
    </w:p>
    <w:p>
      <w:pPr>
        <w:pStyle w:val="12"/>
        <w:adjustRightInd w:val="0"/>
        <w:snapToGrid w:val="0"/>
        <w:spacing w:line="440" w:lineRule="exact"/>
        <w:rPr>
          <w:rFonts w:hint="default" w:eastAsia="仿宋_GB2312"/>
          <w:sz w:val="32"/>
          <w:szCs w:val="32"/>
          <w:lang w:val="en-US" w:eastAsia="zh-CN"/>
        </w:rPr>
      </w:pPr>
      <w:r>
        <w:rPr>
          <w:rFonts w:eastAsia="仿宋_GB2312"/>
          <w:sz w:val="32"/>
          <w:szCs w:val="32"/>
        </w:rPr>
        <w:t>八、政府性基金预算支出决算情况说明</w:t>
      </w:r>
      <w:r>
        <w:rPr>
          <w:rFonts w:eastAsia="仿宋_GB2312"/>
          <w:sz w:val="32"/>
          <w:szCs w:val="32"/>
        </w:rPr>
        <w:tab/>
      </w:r>
      <w:r>
        <w:rPr>
          <w:rFonts w:hint="eastAsia" w:eastAsia="仿宋_GB2312"/>
          <w:sz w:val="32"/>
          <w:szCs w:val="32"/>
          <w:lang w:val="en-US" w:eastAsia="zh-CN"/>
        </w:rPr>
        <w:t>11</w:t>
      </w:r>
    </w:p>
    <w:p>
      <w:pPr>
        <w:pStyle w:val="12"/>
        <w:adjustRightInd w:val="0"/>
        <w:snapToGrid w:val="0"/>
        <w:spacing w:line="440" w:lineRule="exact"/>
        <w:ind w:leftChars="0"/>
        <w:rPr>
          <w:rFonts w:eastAsia="仿宋_GB2312"/>
          <w:sz w:val="32"/>
          <w:szCs w:val="32"/>
        </w:rPr>
      </w:pPr>
      <w:r>
        <w:rPr>
          <w:rFonts w:eastAsia="仿宋_GB2312"/>
          <w:sz w:val="32"/>
          <w:szCs w:val="32"/>
        </w:rPr>
        <w:t>九、国有资本经营预算支出决算情况说明</w:t>
      </w:r>
      <w:r>
        <w:rPr>
          <w:rFonts w:eastAsia="仿宋_GB2312"/>
          <w:sz w:val="32"/>
          <w:szCs w:val="32"/>
        </w:rPr>
        <w:tab/>
      </w:r>
      <w:r>
        <w:rPr>
          <w:rFonts w:eastAsia="仿宋_GB2312"/>
          <w:sz w:val="32"/>
          <w:szCs w:val="32"/>
        </w:rPr>
        <w:t>12</w:t>
      </w:r>
    </w:p>
    <w:p>
      <w:pPr>
        <w:tabs>
          <w:tab w:val="right" w:leader="dot" w:pos="8306"/>
        </w:tabs>
        <w:adjustRightInd w:val="0"/>
        <w:snapToGrid w:val="0"/>
        <w:spacing w:line="440" w:lineRule="exact"/>
        <w:ind w:left="85" w:firstLine="320" w:firstLineChars="100"/>
        <w:rPr>
          <w:rFonts w:eastAsia="仿宋_GB2312"/>
          <w:sz w:val="32"/>
          <w:szCs w:val="32"/>
        </w:rPr>
      </w:pPr>
      <w:r>
        <w:rPr>
          <w:rStyle w:val="16"/>
          <w:rFonts w:eastAsia="仿宋_GB2312"/>
          <w:color w:val="000000"/>
          <w:sz w:val="32"/>
          <w:szCs w:val="32"/>
          <w:u w:val="none"/>
        </w:rPr>
        <w:t>十、</w:t>
      </w:r>
      <w:r>
        <w:rPr>
          <w:rFonts w:eastAsia="仿宋_GB2312"/>
          <w:sz w:val="32"/>
          <w:szCs w:val="32"/>
        </w:rPr>
        <w:t>其他重要事项的情况说明</w:t>
      </w:r>
      <w:r>
        <w:rPr>
          <w:rFonts w:hint="eastAsia" w:eastAsia="仿宋_GB2312"/>
          <w:sz w:val="32"/>
          <w:szCs w:val="32"/>
          <w:lang w:val="en-US" w:eastAsia="zh-CN"/>
        </w:rPr>
        <w:t>.......</w:t>
      </w:r>
      <w:r>
        <w:rPr>
          <w:rFonts w:eastAsia="仿宋_GB2312"/>
          <w:sz w:val="32"/>
          <w:szCs w:val="32"/>
        </w:rPr>
        <w:tab/>
      </w:r>
      <w:r>
        <w:rPr>
          <w:rFonts w:eastAsia="仿宋_GB2312"/>
          <w:sz w:val="32"/>
          <w:szCs w:val="32"/>
        </w:rPr>
        <w:t>12</w:t>
      </w:r>
    </w:p>
    <w:p>
      <w:pPr>
        <w:pStyle w:val="9"/>
        <w:tabs>
          <w:tab w:val="right" w:leader="dot" w:pos="8296"/>
        </w:tabs>
        <w:adjustRightInd w:val="0"/>
        <w:snapToGrid w:val="0"/>
        <w:spacing w:line="440" w:lineRule="exact"/>
        <w:rPr>
          <w:rFonts w:eastAsia="仿宋_GB2312"/>
          <w:sz w:val="32"/>
          <w:szCs w:val="32"/>
        </w:rPr>
      </w:pPr>
      <w:r>
        <w:rPr>
          <w:rFonts w:eastAsia="仿宋_GB2312"/>
          <w:sz w:val="32"/>
          <w:szCs w:val="32"/>
        </w:rPr>
        <w:t>第三部分名词解释</w:t>
      </w:r>
      <w:r>
        <w:rPr>
          <w:rFonts w:eastAsia="仿宋_GB2312"/>
          <w:sz w:val="32"/>
          <w:szCs w:val="32"/>
        </w:rPr>
        <w:tab/>
      </w:r>
      <w:r>
        <w:rPr>
          <w:rFonts w:eastAsia="仿宋_GB2312"/>
          <w:sz w:val="32"/>
          <w:szCs w:val="32"/>
        </w:rPr>
        <w:t>14</w:t>
      </w:r>
    </w:p>
    <w:p>
      <w:pPr>
        <w:pStyle w:val="9"/>
        <w:tabs>
          <w:tab w:val="right" w:leader="dot" w:pos="8296"/>
        </w:tabs>
        <w:adjustRightInd w:val="0"/>
        <w:snapToGrid w:val="0"/>
        <w:spacing w:line="440" w:lineRule="exact"/>
        <w:rPr>
          <w:rFonts w:eastAsia="仿宋_GB2312"/>
          <w:sz w:val="32"/>
          <w:szCs w:val="32"/>
        </w:rPr>
      </w:pPr>
      <w:r>
        <w:rPr>
          <w:rFonts w:eastAsia="仿宋_GB2312"/>
          <w:sz w:val="32"/>
          <w:szCs w:val="32"/>
        </w:rPr>
        <w:t>第四部分附件</w:t>
      </w:r>
      <w:r>
        <w:rPr>
          <w:rFonts w:eastAsia="仿宋_GB2312"/>
          <w:sz w:val="32"/>
          <w:szCs w:val="32"/>
        </w:rPr>
        <w:tab/>
      </w:r>
      <w:r>
        <w:rPr>
          <w:rFonts w:eastAsia="仿宋_GB2312"/>
          <w:sz w:val="32"/>
          <w:szCs w:val="32"/>
        </w:rPr>
        <w:t>16</w:t>
      </w:r>
    </w:p>
    <w:p>
      <w:pPr>
        <w:pStyle w:val="9"/>
        <w:tabs>
          <w:tab w:val="right" w:leader="dot" w:pos="8296"/>
        </w:tabs>
        <w:adjustRightInd w:val="0"/>
        <w:snapToGrid w:val="0"/>
        <w:spacing w:line="440" w:lineRule="exact"/>
        <w:rPr>
          <w:rFonts w:eastAsia="仿宋_GB2312"/>
          <w:sz w:val="32"/>
          <w:szCs w:val="32"/>
        </w:rPr>
      </w:pPr>
      <w:r>
        <w:rPr>
          <w:rFonts w:eastAsia="仿宋_GB2312"/>
          <w:sz w:val="32"/>
          <w:szCs w:val="32"/>
        </w:rPr>
        <w:t>第五部分附表</w:t>
      </w:r>
      <w:r>
        <w:rPr>
          <w:rFonts w:eastAsia="仿宋_GB2312"/>
          <w:sz w:val="32"/>
          <w:szCs w:val="32"/>
        </w:rPr>
        <w:tab/>
      </w:r>
      <w:bookmarkStart w:id="0" w:name="OLE_LINK8"/>
      <w:bookmarkStart w:id="1" w:name="OLE_LINK9"/>
      <w:r>
        <w:rPr>
          <w:rFonts w:eastAsia="仿宋_GB2312"/>
          <w:sz w:val="32"/>
          <w:szCs w:val="32"/>
        </w:rPr>
        <w:t>1</w:t>
      </w:r>
      <w:bookmarkEnd w:id="0"/>
      <w:bookmarkEnd w:id="1"/>
      <w:r>
        <w:rPr>
          <w:rFonts w:eastAsia="仿宋_GB2312"/>
          <w:sz w:val="32"/>
          <w:szCs w:val="32"/>
        </w:rPr>
        <w:t>7</w:t>
      </w:r>
    </w:p>
    <w:p>
      <w:pPr>
        <w:pStyle w:val="12"/>
        <w:adjustRightInd w:val="0"/>
        <w:snapToGrid w:val="0"/>
        <w:spacing w:line="440" w:lineRule="exact"/>
        <w:rPr>
          <w:rFonts w:eastAsia="仿宋_GB2312"/>
          <w:sz w:val="32"/>
          <w:szCs w:val="32"/>
        </w:rPr>
      </w:pPr>
      <w:r>
        <w:rPr>
          <w:rFonts w:eastAsia="仿宋_GB2312"/>
          <w:sz w:val="32"/>
          <w:szCs w:val="32"/>
        </w:rPr>
        <w:t>一、收入支出决算总表</w:t>
      </w:r>
      <w:r>
        <w:rPr>
          <w:rFonts w:eastAsia="仿宋_GB2312"/>
          <w:sz w:val="32"/>
          <w:szCs w:val="32"/>
        </w:rPr>
        <w:tab/>
      </w:r>
      <w:r>
        <w:rPr>
          <w:rFonts w:eastAsia="仿宋_GB2312"/>
          <w:sz w:val="32"/>
          <w:szCs w:val="32"/>
        </w:rPr>
        <w:t>17</w:t>
      </w:r>
    </w:p>
    <w:p>
      <w:pPr>
        <w:pStyle w:val="12"/>
        <w:adjustRightInd w:val="0"/>
        <w:snapToGrid w:val="0"/>
        <w:spacing w:line="440" w:lineRule="exact"/>
        <w:rPr>
          <w:rFonts w:eastAsia="仿宋_GB2312"/>
          <w:sz w:val="32"/>
          <w:szCs w:val="32"/>
        </w:rPr>
      </w:pPr>
      <w:r>
        <w:rPr>
          <w:rFonts w:eastAsia="仿宋_GB2312"/>
          <w:sz w:val="32"/>
          <w:szCs w:val="32"/>
        </w:rPr>
        <w:t>二、收入决算表</w:t>
      </w:r>
      <w:r>
        <w:rPr>
          <w:rFonts w:eastAsia="仿宋_GB2312"/>
          <w:sz w:val="32"/>
          <w:szCs w:val="32"/>
        </w:rPr>
        <w:tab/>
      </w:r>
      <w:r>
        <w:rPr>
          <w:rFonts w:eastAsia="仿宋_GB2312"/>
          <w:sz w:val="32"/>
          <w:szCs w:val="32"/>
        </w:rPr>
        <w:t>17</w:t>
      </w:r>
    </w:p>
    <w:p>
      <w:pPr>
        <w:pStyle w:val="12"/>
        <w:adjustRightInd w:val="0"/>
        <w:snapToGrid w:val="0"/>
        <w:spacing w:line="440" w:lineRule="exact"/>
        <w:rPr>
          <w:rFonts w:eastAsia="仿宋_GB2312"/>
          <w:sz w:val="32"/>
          <w:szCs w:val="32"/>
        </w:rPr>
      </w:pPr>
      <w:r>
        <w:rPr>
          <w:rFonts w:eastAsia="仿宋_GB2312"/>
          <w:sz w:val="32"/>
          <w:szCs w:val="32"/>
        </w:rPr>
        <w:t>三、支出决算表</w:t>
      </w:r>
      <w:r>
        <w:rPr>
          <w:rFonts w:eastAsia="仿宋_GB2312"/>
          <w:sz w:val="32"/>
          <w:szCs w:val="32"/>
        </w:rPr>
        <w:tab/>
      </w:r>
      <w:r>
        <w:rPr>
          <w:rFonts w:eastAsia="仿宋_GB2312"/>
          <w:sz w:val="32"/>
          <w:szCs w:val="32"/>
        </w:rPr>
        <w:t>17</w:t>
      </w:r>
    </w:p>
    <w:p>
      <w:pPr>
        <w:pStyle w:val="12"/>
        <w:adjustRightInd w:val="0"/>
        <w:snapToGrid w:val="0"/>
        <w:spacing w:line="440" w:lineRule="exact"/>
        <w:rPr>
          <w:rFonts w:eastAsia="仿宋_GB2312"/>
          <w:sz w:val="32"/>
          <w:szCs w:val="32"/>
        </w:rPr>
      </w:pPr>
      <w:r>
        <w:rPr>
          <w:rFonts w:eastAsia="仿宋_GB2312"/>
          <w:sz w:val="32"/>
          <w:szCs w:val="32"/>
        </w:rPr>
        <w:t>四、财政拨款收入支出决算总表</w:t>
      </w:r>
      <w:r>
        <w:rPr>
          <w:rFonts w:eastAsia="仿宋_GB2312"/>
          <w:sz w:val="32"/>
          <w:szCs w:val="32"/>
        </w:rPr>
        <w:tab/>
      </w:r>
      <w:r>
        <w:rPr>
          <w:rFonts w:eastAsia="仿宋_GB2312"/>
          <w:sz w:val="32"/>
          <w:szCs w:val="32"/>
        </w:rPr>
        <w:t>17</w:t>
      </w:r>
    </w:p>
    <w:p>
      <w:pPr>
        <w:pStyle w:val="12"/>
        <w:adjustRightInd w:val="0"/>
        <w:snapToGrid w:val="0"/>
        <w:spacing w:line="440" w:lineRule="exact"/>
        <w:rPr>
          <w:rFonts w:eastAsia="仿宋_GB2312"/>
          <w:sz w:val="32"/>
          <w:szCs w:val="32"/>
        </w:rPr>
      </w:pPr>
      <w:r>
        <w:rPr>
          <w:rFonts w:eastAsia="仿宋_GB2312"/>
          <w:sz w:val="32"/>
          <w:szCs w:val="32"/>
        </w:rPr>
        <w:t>五、财政拨款支出决算明细表</w:t>
      </w:r>
      <w:r>
        <w:rPr>
          <w:rFonts w:eastAsia="仿宋_GB2312"/>
          <w:sz w:val="32"/>
          <w:szCs w:val="32"/>
        </w:rPr>
        <w:tab/>
      </w:r>
      <w:r>
        <w:rPr>
          <w:rFonts w:eastAsia="仿宋_GB2312"/>
          <w:sz w:val="32"/>
          <w:szCs w:val="32"/>
        </w:rPr>
        <w:t>17</w:t>
      </w:r>
    </w:p>
    <w:p>
      <w:pPr>
        <w:pStyle w:val="12"/>
        <w:adjustRightInd w:val="0"/>
        <w:snapToGrid w:val="0"/>
        <w:spacing w:line="440" w:lineRule="exact"/>
        <w:rPr>
          <w:rFonts w:eastAsia="仿宋_GB2312"/>
          <w:sz w:val="32"/>
          <w:szCs w:val="32"/>
        </w:rPr>
      </w:pPr>
      <w:r>
        <w:rPr>
          <w:rFonts w:eastAsia="仿宋_GB2312"/>
          <w:sz w:val="32"/>
          <w:szCs w:val="32"/>
        </w:rPr>
        <w:t>六、一般公共预算财政拨款支出决算表</w:t>
      </w:r>
      <w:r>
        <w:rPr>
          <w:rFonts w:eastAsia="仿宋_GB2312"/>
          <w:sz w:val="32"/>
          <w:szCs w:val="32"/>
        </w:rPr>
        <w:tab/>
      </w:r>
      <w:r>
        <w:rPr>
          <w:rFonts w:eastAsia="仿宋_GB2312"/>
          <w:sz w:val="32"/>
          <w:szCs w:val="32"/>
        </w:rPr>
        <w:t>17</w:t>
      </w:r>
    </w:p>
    <w:p>
      <w:pPr>
        <w:pStyle w:val="12"/>
        <w:adjustRightInd w:val="0"/>
        <w:snapToGrid w:val="0"/>
        <w:spacing w:line="440" w:lineRule="exact"/>
        <w:rPr>
          <w:rFonts w:eastAsia="仿宋_GB2312"/>
          <w:sz w:val="32"/>
          <w:szCs w:val="32"/>
        </w:rPr>
      </w:pPr>
      <w:r>
        <w:rPr>
          <w:rFonts w:eastAsia="仿宋_GB2312"/>
          <w:sz w:val="32"/>
          <w:szCs w:val="32"/>
        </w:rPr>
        <w:t>七、一般公共预算财政拨款支出决算明细表</w:t>
      </w:r>
      <w:r>
        <w:rPr>
          <w:rFonts w:eastAsia="仿宋_GB2312"/>
          <w:sz w:val="32"/>
          <w:szCs w:val="32"/>
        </w:rPr>
        <w:tab/>
      </w:r>
      <w:r>
        <w:rPr>
          <w:rFonts w:eastAsia="仿宋_GB2312"/>
          <w:sz w:val="32"/>
          <w:szCs w:val="32"/>
        </w:rPr>
        <w:t>17</w:t>
      </w:r>
    </w:p>
    <w:p>
      <w:pPr>
        <w:pStyle w:val="12"/>
        <w:adjustRightInd w:val="0"/>
        <w:snapToGrid w:val="0"/>
        <w:spacing w:line="440" w:lineRule="exact"/>
        <w:rPr>
          <w:rFonts w:eastAsia="仿宋_GB2312"/>
          <w:sz w:val="32"/>
          <w:szCs w:val="32"/>
        </w:rPr>
      </w:pPr>
      <w:r>
        <w:rPr>
          <w:rFonts w:eastAsia="仿宋_GB2312"/>
          <w:sz w:val="32"/>
          <w:szCs w:val="32"/>
        </w:rPr>
        <w:t>八、一般公共预算财政拨款基本支出决算明细表</w:t>
      </w:r>
      <w:r>
        <w:rPr>
          <w:rFonts w:eastAsia="仿宋_GB2312"/>
          <w:sz w:val="32"/>
          <w:szCs w:val="32"/>
        </w:rPr>
        <w:tab/>
      </w:r>
      <w:r>
        <w:rPr>
          <w:rFonts w:eastAsia="仿宋_GB2312"/>
          <w:sz w:val="32"/>
          <w:szCs w:val="32"/>
        </w:rPr>
        <w:t>17</w:t>
      </w:r>
    </w:p>
    <w:p>
      <w:pPr>
        <w:pStyle w:val="12"/>
        <w:adjustRightInd w:val="0"/>
        <w:snapToGrid w:val="0"/>
        <w:spacing w:line="440" w:lineRule="exact"/>
        <w:rPr>
          <w:rFonts w:eastAsia="仿宋_GB2312"/>
          <w:sz w:val="32"/>
          <w:szCs w:val="32"/>
        </w:rPr>
      </w:pPr>
      <w:r>
        <w:rPr>
          <w:rFonts w:eastAsia="仿宋_GB2312"/>
          <w:sz w:val="32"/>
          <w:szCs w:val="32"/>
        </w:rPr>
        <w:t>九、一般公共预算财政拨款项目支出决算表</w:t>
      </w:r>
      <w:r>
        <w:rPr>
          <w:rFonts w:eastAsia="仿宋_GB2312"/>
          <w:sz w:val="32"/>
          <w:szCs w:val="32"/>
        </w:rPr>
        <w:tab/>
      </w:r>
      <w:r>
        <w:rPr>
          <w:rFonts w:eastAsia="仿宋_GB2312"/>
          <w:sz w:val="32"/>
          <w:szCs w:val="32"/>
        </w:rPr>
        <w:t>17</w:t>
      </w:r>
    </w:p>
    <w:p>
      <w:pPr>
        <w:pStyle w:val="12"/>
        <w:adjustRightInd w:val="0"/>
        <w:snapToGrid w:val="0"/>
        <w:spacing w:line="440" w:lineRule="exact"/>
        <w:rPr>
          <w:rFonts w:eastAsia="仿宋_GB2312"/>
          <w:sz w:val="32"/>
          <w:szCs w:val="32"/>
        </w:rPr>
      </w:pPr>
      <w:r>
        <w:rPr>
          <w:rFonts w:eastAsia="仿宋_GB2312"/>
          <w:sz w:val="32"/>
          <w:szCs w:val="32"/>
        </w:rPr>
        <w:t>十、政府性基金预算财政拨款收入支出决算表</w:t>
      </w:r>
      <w:r>
        <w:rPr>
          <w:rFonts w:eastAsia="仿宋_GB2312"/>
          <w:sz w:val="32"/>
          <w:szCs w:val="32"/>
        </w:rPr>
        <w:tab/>
      </w:r>
      <w:r>
        <w:rPr>
          <w:rFonts w:eastAsia="仿宋_GB2312"/>
          <w:sz w:val="32"/>
          <w:szCs w:val="32"/>
        </w:rPr>
        <w:t>17</w:t>
      </w:r>
    </w:p>
    <w:p>
      <w:pPr>
        <w:pStyle w:val="12"/>
        <w:adjustRightInd w:val="0"/>
        <w:snapToGrid w:val="0"/>
        <w:spacing w:line="440" w:lineRule="exact"/>
        <w:rPr>
          <w:rFonts w:eastAsia="仿宋_GB2312"/>
          <w:sz w:val="32"/>
          <w:szCs w:val="32"/>
        </w:rPr>
      </w:pPr>
      <w:r>
        <w:rPr>
          <w:rFonts w:eastAsia="仿宋_GB2312"/>
          <w:sz w:val="32"/>
          <w:szCs w:val="32"/>
        </w:rPr>
        <w:t>十一、国有资本经营预算财政拨款收入支出决算表</w:t>
      </w:r>
      <w:r>
        <w:rPr>
          <w:rFonts w:eastAsia="仿宋_GB2312"/>
          <w:sz w:val="32"/>
          <w:szCs w:val="32"/>
        </w:rPr>
        <w:tab/>
      </w:r>
      <w:r>
        <w:rPr>
          <w:rFonts w:eastAsia="仿宋_GB2312"/>
          <w:sz w:val="32"/>
          <w:szCs w:val="32"/>
        </w:rPr>
        <w:t>17</w:t>
      </w:r>
    </w:p>
    <w:p>
      <w:pPr>
        <w:pStyle w:val="12"/>
        <w:adjustRightInd w:val="0"/>
        <w:snapToGrid w:val="0"/>
        <w:spacing w:line="440" w:lineRule="exact"/>
        <w:rPr>
          <w:rFonts w:eastAsia="仿宋_GB2312"/>
          <w:sz w:val="32"/>
          <w:szCs w:val="32"/>
        </w:rPr>
      </w:pPr>
      <w:r>
        <w:rPr>
          <w:rFonts w:eastAsia="仿宋_GB2312"/>
          <w:sz w:val="32"/>
          <w:szCs w:val="32"/>
        </w:rPr>
        <w:t>十二、国有资本经营预算财政拨款支出决算表</w:t>
      </w:r>
      <w:r>
        <w:rPr>
          <w:rFonts w:eastAsia="仿宋_GB2312"/>
          <w:sz w:val="32"/>
          <w:szCs w:val="32"/>
        </w:rPr>
        <w:tab/>
      </w:r>
      <w:r>
        <w:rPr>
          <w:rFonts w:eastAsia="仿宋_GB2312"/>
          <w:sz w:val="32"/>
          <w:szCs w:val="32"/>
        </w:rPr>
        <w:t>17</w:t>
      </w:r>
    </w:p>
    <w:p>
      <w:pPr>
        <w:pStyle w:val="12"/>
        <w:adjustRightInd w:val="0"/>
        <w:snapToGrid w:val="0"/>
        <w:spacing w:line="440" w:lineRule="exact"/>
        <w:rPr>
          <w:rFonts w:eastAsia="仿宋_GB2312"/>
          <w:sz w:val="32"/>
          <w:szCs w:val="32"/>
        </w:rPr>
      </w:pPr>
      <w:r>
        <w:rPr>
          <w:rFonts w:eastAsia="仿宋_GB2312"/>
          <w:sz w:val="32"/>
          <w:szCs w:val="32"/>
        </w:rPr>
        <w:t>十三、财政拨款“三公”经费支出决算表</w:t>
      </w:r>
      <w:r>
        <w:rPr>
          <w:rFonts w:eastAsia="仿宋_GB2312"/>
          <w:sz w:val="32"/>
          <w:szCs w:val="32"/>
        </w:rPr>
        <w:tab/>
      </w:r>
      <w:r>
        <w:rPr>
          <w:rFonts w:eastAsia="仿宋_GB2312"/>
          <w:sz w:val="32"/>
          <w:szCs w:val="32"/>
        </w:rPr>
        <w:t>17</w:t>
      </w:r>
    </w:p>
    <w:p>
      <w:pPr>
        <w:widowControl/>
        <w:spacing w:line="440" w:lineRule="exact"/>
        <w:jc w:val="left"/>
        <w:rPr>
          <w:rFonts w:eastAsia="仿宋_GB2312"/>
          <w:bCs/>
          <w:kern w:val="44"/>
          <w:sz w:val="32"/>
          <w:szCs w:val="32"/>
        </w:rPr>
      </w:pPr>
      <w:r>
        <w:rPr>
          <w:rFonts w:eastAsia="仿宋_GB2312"/>
          <w:b/>
          <w:sz w:val="32"/>
          <w:szCs w:val="32"/>
        </w:rPr>
        <w:br w:type="page"/>
      </w:r>
    </w:p>
    <w:p>
      <w:pPr>
        <w:pStyle w:val="2"/>
        <w:jc w:val="center"/>
        <w:rPr>
          <w:rFonts w:eastAsia="方正小标宋简体"/>
          <w:b w:val="0"/>
          <w:bCs w:val="0"/>
        </w:rPr>
      </w:pPr>
      <w:bookmarkStart w:id="2" w:name="OLE_LINK1"/>
      <w:bookmarkStart w:id="3" w:name="OLE_LINK2"/>
      <w:r>
        <w:rPr>
          <w:rFonts w:eastAsia="方正小标宋简体"/>
          <w:b w:val="0"/>
        </w:rPr>
        <w:t>第一部分单位</w:t>
      </w:r>
      <w:r>
        <w:rPr>
          <w:rStyle w:val="19"/>
          <w:rFonts w:eastAsia="方正小标宋简体"/>
          <w:b w:val="0"/>
          <w:bCs w:val="0"/>
        </w:rPr>
        <w:t>概况</w:t>
      </w:r>
    </w:p>
    <w:p>
      <w:pPr>
        <w:pStyle w:val="3"/>
        <w:numPr>
          <w:ilvl w:val="0"/>
          <w:numId w:val="1"/>
        </w:numPr>
        <w:spacing w:line="600" w:lineRule="exact"/>
        <w:rPr>
          <w:rFonts w:ascii="Times New Roman" w:hAnsi="Times New Roman" w:eastAsia="黑体" w:cs="Times New Roman"/>
          <w:b w:val="0"/>
        </w:rPr>
      </w:pPr>
      <w:r>
        <w:rPr>
          <w:rFonts w:ascii="Times New Roman" w:hAnsi="Times New Roman" w:eastAsia="黑体" w:cs="Times New Roman"/>
          <w:b w:val="0"/>
        </w:rPr>
        <w:t>主要职责</w:t>
      </w:r>
    </w:p>
    <w:p>
      <w:pPr>
        <w:widowControl/>
        <w:spacing w:line="600" w:lineRule="exact"/>
        <w:ind w:firstLine="640" w:firstLineChars="200"/>
        <w:rPr>
          <w:rFonts w:eastAsia="仿宋_GB2312"/>
          <w:sz w:val="32"/>
          <w:szCs w:val="32"/>
        </w:rPr>
      </w:pPr>
      <w:r>
        <w:rPr>
          <w:rFonts w:eastAsia="仿宋_GB2312"/>
          <w:sz w:val="32"/>
          <w:szCs w:val="32"/>
        </w:rPr>
        <w:t>攀枝花市建设工程造价站是预算内全额拨款事业单位，主要职责是：负责全市建设工程发承包计价等相关事务性工作；负责全市建筑材料价格信息、定额人工费调整系数、工程造价指数等信息收集、整理、上报、发布工作；负责全市建设工程计价纠纷的协调工作；负责全市建设工程安全文明施工费费率测定工作；负责全市《四川省施工企业工程规费计取标准》证书的核发和定额缺项的补充收集工作。</w:t>
      </w:r>
    </w:p>
    <w:p>
      <w:pPr>
        <w:pStyle w:val="3"/>
        <w:ind w:firstLine="640" w:firstLineChars="200"/>
        <w:rPr>
          <w:rStyle w:val="20"/>
          <w:rFonts w:ascii="Times New Roman" w:hAnsi="Times New Roman" w:eastAsia="黑体" w:cs="Times New Roman"/>
          <w:b w:val="0"/>
          <w:bCs w:val="0"/>
        </w:rPr>
      </w:pPr>
      <w:r>
        <w:rPr>
          <w:rFonts w:ascii="Times New Roman" w:hAnsi="Times New Roman" w:eastAsia="黑体" w:cs="Times New Roman"/>
          <w:b w:val="0"/>
        </w:rPr>
        <w:t>二、机</w:t>
      </w:r>
      <w:r>
        <w:rPr>
          <w:rStyle w:val="20"/>
          <w:rFonts w:ascii="Times New Roman" w:hAnsi="Times New Roman" w:eastAsia="黑体" w:cs="Times New Roman"/>
          <w:b w:val="0"/>
          <w:bCs w:val="0"/>
        </w:rPr>
        <w:t>构设置</w:t>
      </w:r>
    </w:p>
    <w:p>
      <w:pPr>
        <w:autoSpaceDE w:val="0"/>
        <w:autoSpaceDN w:val="0"/>
        <w:adjustRightInd w:val="0"/>
        <w:ind w:firstLine="640" w:firstLineChars="200"/>
        <w:jc w:val="left"/>
        <w:rPr>
          <w:rFonts w:eastAsia="仿宋_GB2312"/>
          <w:color w:val="000000"/>
          <w:sz w:val="32"/>
          <w:szCs w:val="32"/>
        </w:rPr>
      </w:pPr>
      <w:r>
        <w:rPr>
          <w:rFonts w:hAnsi="仿宋_GB2312" w:eastAsia="仿宋_GB2312"/>
          <w:sz w:val="32"/>
          <w:szCs w:val="32"/>
        </w:rPr>
        <w:t>攀枝花市建设工程造价站</w:t>
      </w:r>
      <w:r>
        <w:rPr>
          <w:rFonts w:eastAsia="仿宋_GB2312"/>
          <w:kern w:val="0"/>
          <w:sz w:val="32"/>
          <w:szCs w:val="32"/>
        </w:rPr>
        <w:t>为攀枝花市住房和城乡建设局下属公益一类副县级事业单位，下设：办公室、造价科、定额科、价格信息科共四个科室。</w:t>
      </w:r>
    </w:p>
    <w:p>
      <w:pPr>
        <w:widowControl/>
        <w:jc w:val="left"/>
        <w:rPr>
          <w:rFonts w:eastAsia="仿宋"/>
          <w:kern w:val="0"/>
          <w:sz w:val="32"/>
          <w:szCs w:val="32"/>
        </w:rPr>
      </w:pPr>
      <w:r>
        <w:rPr>
          <w:rFonts w:eastAsia="仿宋"/>
          <w:sz w:val="32"/>
          <w:szCs w:val="32"/>
        </w:rPr>
        <w:br w:type="page"/>
      </w:r>
    </w:p>
    <w:p>
      <w:pPr>
        <w:pStyle w:val="2"/>
        <w:jc w:val="center"/>
        <w:rPr>
          <w:rFonts w:eastAsia="方正小标宋简体"/>
          <w:b w:val="0"/>
        </w:rPr>
      </w:pPr>
      <w:r>
        <w:rPr>
          <w:rFonts w:eastAsia="方正小标宋简体"/>
          <w:b w:val="0"/>
        </w:rPr>
        <w:t>第二部分2025年度单位情况说明</w:t>
      </w:r>
    </w:p>
    <w:p>
      <w:pPr>
        <w:pStyle w:val="26"/>
        <w:spacing w:line="600" w:lineRule="exact"/>
        <w:ind w:firstLine="640"/>
        <w:outlineLvl w:val="1"/>
        <w:rPr>
          <w:rStyle w:val="20"/>
          <w:rFonts w:ascii="Times New Roman" w:hAnsi="Times New Roman" w:eastAsia="黑体" w:cs="Times New Roman"/>
          <w:b w:val="0"/>
        </w:rPr>
      </w:pPr>
      <w:r>
        <w:rPr>
          <w:rFonts w:eastAsia="黑体"/>
          <w:sz w:val="32"/>
          <w:szCs w:val="32"/>
        </w:rPr>
        <w:t>一、收</w:t>
      </w:r>
      <w:r>
        <w:rPr>
          <w:rStyle w:val="20"/>
          <w:rFonts w:ascii="Times New Roman" w:eastAsia="黑体" w:cs="Times New Roman"/>
        </w:rPr>
        <w:t>入支出决算总体情况说明</w:t>
      </w:r>
    </w:p>
    <w:p>
      <w:pPr>
        <w:pStyle w:val="26"/>
        <w:spacing w:line="600" w:lineRule="exact"/>
        <w:ind w:firstLine="640"/>
        <w:outlineLvl w:val="1"/>
        <w:rPr>
          <w:rFonts w:eastAsia="仿宋_GB2312"/>
          <w:color w:val="000000" w:themeColor="text1"/>
          <w:sz w:val="32"/>
          <w:szCs w:val="32"/>
          <w14:textFill>
            <w14:solidFill>
              <w14:schemeClr w14:val="tx1"/>
            </w14:solidFill>
          </w14:textFill>
        </w:rPr>
      </w:pPr>
      <w:r>
        <w:rPr>
          <w:rFonts w:eastAsia="仿宋_GB2312"/>
          <w:color w:val="000000"/>
          <w:sz w:val="32"/>
          <w:szCs w:val="32"/>
        </w:rPr>
        <w:drawing>
          <wp:anchor distT="0" distB="0" distL="114300" distR="114300" simplePos="0" relativeHeight="251659264" behindDoc="0" locked="0" layoutInCell="1" allowOverlap="1">
            <wp:simplePos x="0" y="0"/>
            <wp:positionH relativeFrom="column">
              <wp:posOffset>927735</wp:posOffset>
            </wp:positionH>
            <wp:positionV relativeFrom="paragraph">
              <wp:posOffset>1898650</wp:posOffset>
            </wp:positionV>
            <wp:extent cx="3448050" cy="1886585"/>
            <wp:effectExtent l="4445" t="4445" r="14605" b="13970"/>
            <wp:wrapNone/>
            <wp:docPr id="105" name="对象 15"/>
            <wp:cNvGraphicFramePr>
              <a:graphicFrameLocks xmlns:a="http://schemas.openxmlformats.org/drawingml/2006/main" noChangeAspect="true"/>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r>
        <w:rPr>
          <w:rFonts w:eastAsia="仿宋_GB2312"/>
          <w:sz w:val="32"/>
          <w:szCs w:val="32"/>
        </w:rPr>
        <w:t>2025年度收入、支出均为411.21万元。与2024年度相比，收入、支出</w:t>
      </w:r>
      <w:r>
        <w:rPr>
          <w:rFonts w:hint="eastAsia" w:eastAsia="仿宋_GB2312"/>
          <w:sz w:val="32"/>
          <w:szCs w:val="32"/>
        </w:rPr>
        <w:t>各</w:t>
      </w:r>
      <w:r>
        <w:rPr>
          <w:rFonts w:eastAsia="仿宋_GB2312"/>
          <w:sz w:val="32"/>
          <w:szCs w:val="32"/>
        </w:rPr>
        <w:t>增加46.28万元，增加12.68%。</w:t>
      </w:r>
      <w:bookmarkStart w:id="4" w:name="OLE_LINK4"/>
      <w:r>
        <w:rPr>
          <w:rFonts w:eastAsia="仿宋_GB2312"/>
          <w:color w:val="000000" w:themeColor="text1"/>
          <w:sz w:val="32"/>
          <w:szCs w:val="32"/>
          <w14:textFill>
            <w14:solidFill>
              <w14:schemeClr w14:val="tx1"/>
            </w14:solidFill>
          </w14:textFill>
        </w:rPr>
        <w:t>主要原因是</w:t>
      </w:r>
      <w:r>
        <w:rPr>
          <w:rFonts w:hint="eastAsia" w:eastAsia="仿宋_GB2312"/>
          <w:color w:val="000000" w:themeColor="text1"/>
          <w:sz w:val="32"/>
          <w:szCs w:val="32"/>
          <w14:textFill>
            <w14:solidFill>
              <w14:schemeClr w14:val="tx1"/>
            </w14:solidFill>
          </w14:textFill>
        </w:rPr>
        <w:t>2024年中途新进2人，仅增加了人员工资，未增加公用经费；2025年增加了2024年新进两人的全年工资、公用经费以及2025年调入人员工资。</w:t>
      </w:r>
    </w:p>
    <w:bookmarkEnd w:id="4"/>
    <w:p>
      <w:pPr>
        <w:spacing w:line="600" w:lineRule="exact"/>
        <w:ind w:firstLine="640" w:firstLineChars="200"/>
        <w:rPr>
          <w:rFonts w:eastAsia="仿宋_GB2312"/>
          <w:color w:val="000000"/>
          <w:sz w:val="32"/>
          <w:szCs w:val="32"/>
        </w:rPr>
      </w:pPr>
    </w:p>
    <w:p>
      <w:pPr>
        <w:spacing w:line="600" w:lineRule="exact"/>
        <w:ind w:firstLine="640" w:firstLineChars="200"/>
        <w:rPr>
          <w:rFonts w:eastAsia="仿宋_GB2312"/>
          <w:color w:val="000000"/>
          <w:sz w:val="32"/>
          <w:szCs w:val="32"/>
        </w:rPr>
      </w:pPr>
    </w:p>
    <w:p>
      <w:pPr>
        <w:spacing w:line="600" w:lineRule="exact"/>
        <w:ind w:firstLine="640" w:firstLineChars="200"/>
        <w:rPr>
          <w:rFonts w:eastAsia="仿宋_GB2312"/>
          <w:color w:val="000000"/>
          <w:sz w:val="32"/>
          <w:szCs w:val="32"/>
        </w:rPr>
      </w:pPr>
    </w:p>
    <w:p>
      <w:pPr>
        <w:spacing w:line="600" w:lineRule="exact"/>
        <w:ind w:firstLine="640" w:firstLineChars="200"/>
        <w:rPr>
          <w:rFonts w:eastAsia="仿宋_GB2312"/>
          <w:color w:val="000000"/>
          <w:sz w:val="32"/>
          <w:szCs w:val="32"/>
        </w:rPr>
      </w:pPr>
    </w:p>
    <w:p>
      <w:pPr>
        <w:spacing w:line="600" w:lineRule="exact"/>
        <w:ind w:firstLine="320" w:firstLineChars="100"/>
        <w:rPr>
          <w:rFonts w:eastAsia="仿宋"/>
          <w:sz w:val="32"/>
          <w:szCs w:val="32"/>
        </w:rPr>
      </w:pPr>
    </w:p>
    <w:p>
      <w:pPr>
        <w:spacing w:line="600" w:lineRule="exact"/>
        <w:ind w:firstLine="1440" w:firstLineChars="450"/>
        <w:jc w:val="both"/>
        <w:rPr>
          <w:rFonts w:eastAsia="仿宋_GB2312"/>
          <w:sz w:val="32"/>
          <w:szCs w:val="32"/>
        </w:rPr>
      </w:pPr>
      <w:r>
        <w:rPr>
          <w:rFonts w:eastAsia="仿宋_GB2312"/>
          <w:sz w:val="32"/>
          <w:szCs w:val="32"/>
        </w:rPr>
        <w:t>（图1：收、支决算总计变动情况图）</w:t>
      </w:r>
    </w:p>
    <w:p>
      <w:pPr>
        <w:pStyle w:val="26"/>
        <w:spacing w:line="600" w:lineRule="exact"/>
        <w:ind w:firstLine="640"/>
        <w:outlineLvl w:val="1"/>
        <w:rPr>
          <w:rFonts w:eastAsia="黑体"/>
          <w:sz w:val="32"/>
          <w:szCs w:val="32"/>
        </w:rPr>
      </w:pPr>
      <w:r>
        <w:rPr>
          <w:rFonts w:eastAsia="黑体"/>
          <w:sz w:val="32"/>
          <w:szCs w:val="32"/>
        </w:rPr>
        <w:t>二、收入决算情况说明</w:t>
      </w:r>
    </w:p>
    <w:p>
      <w:pPr>
        <w:pStyle w:val="26"/>
        <w:spacing w:line="600" w:lineRule="exact"/>
        <w:ind w:firstLine="640"/>
        <w:jc w:val="left"/>
        <w:outlineLvl w:val="1"/>
        <w:rPr>
          <w:rFonts w:eastAsia="仿宋_GB2312"/>
          <w:sz w:val="32"/>
          <w:szCs w:val="32"/>
        </w:rPr>
      </w:pPr>
      <w:r>
        <w:rPr>
          <w:rFonts w:eastAsia="仿宋_GB2312"/>
          <w:sz w:val="32"/>
          <w:szCs w:val="32"/>
        </w:rPr>
        <w:t>2025</w:t>
      </w:r>
      <w:r>
        <w:rPr>
          <w:rFonts w:hAnsi="仿宋_GB2312" w:eastAsia="仿宋_GB2312"/>
          <w:sz w:val="32"/>
          <w:szCs w:val="32"/>
        </w:rPr>
        <w:t>年度本年收入合计</w:t>
      </w:r>
      <w:r>
        <w:rPr>
          <w:rFonts w:eastAsia="仿宋_GB2312"/>
          <w:sz w:val="32"/>
          <w:szCs w:val="32"/>
        </w:rPr>
        <w:t>411.21</w:t>
      </w:r>
      <w:r>
        <w:rPr>
          <w:rFonts w:hAnsi="仿宋_GB2312" w:eastAsia="仿宋_GB2312"/>
          <w:sz w:val="32"/>
          <w:szCs w:val="32"/>
        </w:rPr>
        <w:t>万元，其中：一般公共预算财政拨款收入</w:t>
      </w:r>
      <w:r>
        <w:rPr>
          <w:rFonts w:eastAsia="仿宋_GB2312"/>
          <w:sz w:val="32"/>
          <w:szCs w:val="32"/>
        </w:rPr>
        <w:t>411.21</w:t>
      </w:r>
      <w:r>
        <w:rPr>
          <w:rFonts w:hAnsi="仿宋_GB2312" w:eastAsia="仿宋_GB2312"/>
          <w:sz w:val="32"/>
          <w:szCs w:val="32"/>
        </w:rPr>
        <w:t>万元，占</w:t>
      </w:r>
      <w:r>
        <w:rPr>
          <w:rFonts w:eastAsia="仿宋_GB2312"/>
          <w:sz w:val="32"/>
          <w:szCs w:val="32"/>
        </w:rPr>
        <w:t>100%</w:t>
      </w:r>
      <w:r>
        <w:rPr>
          <w:rFonts w:hAnsi="仿宋_GB2312" w:eastAsia="仿宋_GB2312"/>
          <w:sz w:val="32"/>
          <w:szCs w:val="32"/>
        </w:rPr>
        <w:t>。</w:t>
      </w:r>
    </w:p>
    <w:p>
      <w:pPr>
        <w:pStyle w:val="4"/>
        <w:spacing w:before="93"/>
        <w:rPr>
          <w:rFonts w:ascii="Times New Roman"/>
        </w:rPr>
      </w:pPr>
      <w:r>
        <w:rPr>
          <w:rFonts w:eastAsia="仿宋_GB2312"/>
          <w:color w:val="000000"/>
          <w:sz w:val="32"/>
          <w:szCs w:val="32"/>
        </w:rPr>
        <w:drawing>
          <wp:anchor distT="0" distB="0" distL="114300" distR="114300" simplePos="0" relativeHeight="251661312" behindDoc="0" locked="0" layoutInCell="1" allowOverlap="1">
            <wp:simplePos x="0" y="0"/>
            <wp:positionH relativeFrom="column">
              <wp:posOffset>986155</wp:posOffset>
            </wp:positionH>
            <wp:positionV relativeFrom="paragraph">
              <wp:posOffset>97790</wp:posOffset>
            </wp:positionV>
            <wp:extent cx="3184525" cy="1675130"/>
            <wp:effectExtent l="4445" t="5080" r="11430" b="15240"/>
            <wp:wrapNone/>
            <wp:docPr id="106" name="对象 15"/>
            <wp:cNvGraphicFramePr>
              <a:graphicFrameLocks xmlns:a="http://schemas.openxmlformats.org/drawingml/2006/main" noChangeAspect="true"/>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pPr>
        <w:pStyle w:val="4"/>
        <w:spacing w:before="93"/>
        <w:rPr>
          <w:rFonts w:ascii="Times New Roman"/>
        </w:rPr>
      </w:pPr>
    </w:p>
    <w:p>
      <w:pPr>
        <w:pStyle w:val="4"/>
        <w:spacing w:before="93"/>
        <w:rPr>
          <w:rFonts w:ascii="Times New Roman"/>
        </w:rPr>
      </w:pPr>
    </w:p>
    <w:p>
      <w:pPr>
        <w:pStyle w:val="4"/>
        <w:spacing w:before="93"/>
        <w:rPr>
          <w:rFonts w:ascii="Times New Roman"/>
        </w:rPr>
      </w:pPr>
    </w:p>
    <w:p>
      <w:pPr>
        <w:pStyle w:val="26"/>
        <w:spacing w:line="600" w:lineRule="exact"/>
        <w:ind w:firstLine="2240" w:firstLineChars="700"/>
        <w:jc w:val="both"/>
        <w:outlineLvl w:val="1"/>
        <w:rPr>
          <w:rFonts w:eastAsia="仿宋_GB2312"/>
          <w:sz w:val="32"/>
          <w:szCs w:val="32"/>
        </w:rPr>
      </w:pPr>
      <w:r>
        <w:rPr>
          <w:rFonts w:eastAsia="仿宋_GB2312"/>
          <w:sz w:val="32"/>
          <w:szCs w:val="32"/>
        </w:rPr>
        <w:t>（图2：收入决算结构图）</w:t>
      </w:r>
    </w:p>
    <w:p>
      <w:pPr>
        <w:pStyle w:val="26"/>
        <w:spacing w:line="600" w:lineRule="exact"/>
        <w:ind w:firstLine="640"/>
        <w:outlineLvl w:val="1"/>
        <w:rPr>
          <w:rStyle w:val="20"/>
          <w:rFonts w:ascii="Times New Roman" w:hAnsi="Times New Roman" w:eastAsia="黑体" w:cs="Times New Roman"/>
          <w:b w:val="0"/>
        </w:rPr>
      </w:pPr>
      <w:r>
        <w:rPr>
          <w:rFonts w:eastAsia="黑体"/>
          <w:sz w:val="32"/>
          <w:szCs w:val="32"/>
        </w:rPr>
        <w:t>三、支</w:t>
      </w:r>
      <w:r>
        <w:rPr>
          <w:rStyle w:val="20"/>
          <w:rFonts w:ascii="Times New Roman" w:eastAsia="黑体" w:cs="Times New Roman"/>
        </w:rPr>
        <w:t>出决算情况说明</w:t>
      </w:r>
    </w:p>
    <w:p>
      <w:pPr>
        <w:pStyle w:val="26"/>
        <w:spacing w:line="600" w:lineRule="exact"/>
        <w:ind w:firstLine="640"/>
        <w:jc w:val="left"/>
        <w:outlineLvl w:val="1"/>
        <w:rPr>
          <w:rFonts w:eastAsia="仿宋_GB2312"/>
          <w:sz w:val="32"/>
          <w:szCs w:val="32"/>
        </w:rPr>
      </w:pPr>
      <w:r>
        <w:rPr>
          <w:rFonts w:eastAsia="仿宋_GB2312"/>
          <w:sz w:val="32"/>
          <w:szCs w:val="32"/>
        </w:rPr>
        <w:t>2025</w:t>
      </w:r>
      <w:r>
        <w:rPr>
          <w:rFonts w:hAnsi="仿宋_GB2312" w:eastAsia="仿宋_GB2312"/>
          <w:sz w:val="32"/>
          <w:szCs w:val="32"/>
        </w:rPr>
        <w:t>年度本年支出合计</w:t>
      </w:r>
      <w:r>
        <w:rPr>
          <w:rFonts w:eastAsia="仿宋_GB2312"/>
          <w:sz w:val="32"/>
          <w:szCs w:val="32"/>
        </w:rPr>
        <w:t>411.21</w:t>
      </w:r>
      <w:r>
        <w:rPr>
          <w:rFonts w:hAnsi="仿宋_GB2312" w:eastAsia="仿宋_GB2312"/>
          <w:sz w:val="32"/>
          <w:szCs w:val="32"/>
        </w:rPr>
        <w:t>万元，其中：基本支出</w:t>
      </w:r>
      <w:r>
        <w:rPr>
          <w:rFonts w:eastAsia="仿宋_GB2312"/>
          <w:sz w:val="32"/>
          <w:szCs w:val="32"/>
        </w:rPr>
        <w:t>400.84</w:t>
      </w:r>
      <w:r>
        <w:rPr>
          <w:rFonts w:hAnsi="仿宋_GB2312" w:eastAsia="仿宋_GB2312"/>
          <w:sz w:val="32"/>
          <w:szCs w:val="32"/>
        </w:rPr>
        <w:t>万元，占</w:t>
      </w:r>
      <w:r>
        <w:rPr>
          <w:rFonts w:eastAsia="仿宋_GB2312"/>
          <w:sz w:val="32"/>
          <w:szCs w:val="32"/>
        </w:rPr>
        <w:t>97.48%</w:t>
      </w:r>
      <w:r>
        <w:rPr>
          <w:rFonts w:hAnsi="仿宋_GB2312" w:eastAsia="仿宋_GB2312"/>
          <w:sz w:val="32"/>
          <w:szCs w:val="32"/>
        </w:rPr>
        <w:t>；项目支出</w:t>
      </w:r>
      <w:r>
        <w:rPr>
          <w:rFonts w:eastAsia="仿宋_GB2312"/>
          <w:sz w:val="32"/>
          <w:szCs w:val="32"/>
        </w:rPr>
        <w:t>10.37</w:t>
      </w:r>
      <w:r>
        <w:rPr>
          <w:rFonts w:hAnsi="仿宋_GB2312" w:eastAsia="仿宋_GB2312"/>
          <w:sz w:val="32"/>
          <w:szCs w:val="32"/>
        </w:rPr>
        <w:t>万元，占</w:t>
      </w:r>
      <w:r>
        <w:rPr>
          <w:rFonts w:eastAsia="仿宋_GB2312"/>
          <w:sz w:val="32"/>
          <w:szCs w:val="32"/>
        </w:rPr>
        <w:t>2.52%</w:t>
      </w:r>
      <w:r>
        <w:rPr>
          <w:rFonts w:hAnsi="仿宋_GB2312" w:eastAsia="仿宋_GB2312"/>
          <w:sz w:val="32"/>
          <w:szCs w:val="32"/>
        </w:rPr>
        <w:t>。</w:t>
      </w:r>
    </w:p>
    <w:p>
      <w:pPr>
        <w:pStyle w:val="4"/>
        <w:spacing w:before="93"/>
        <w:rPr>
          <w:rFonts w:ascii="Times New Roman"/>
        </w:rPr>
      </w:pPr>
      <w:r>
        <w:rPr>
          <w:rFonts w:ascii="Times New Roman"/>
        </w:rPr>
        <w:drawing>
          <wp:anchor distT="0" distB="0" distL="114300" distR="114300" simplePos="0" relativeHeight="251662336" behindDoc="0" locked="0" layoutInCell="1" allowOverlap="1">
            <wp:simplePos x="0" y="0"/>
            <wp:positionH relativeFrom="column">
              <wp:posOffset>360680</wp:posOffset>
            </wp:positionH>
            <wp:positionV relativeFrom="paragraph">
              <wp:posOffset>102870</wp:posOffset>
            </wp:positionV>
            <wp:extent cx="5055235" cy="2259330"/>
            <wp:effectExtent l="4445" t="4445" r="7620" b="22225"/>
            <wp:wrapNone/>
            <wp:docPr id="107" name="对象 17"/>
            <wp:cNvGraphicFramePr>
              <a:graphicFrameLocks xmlns:a="http://schemas.openxmlformats.org/drawingml/2006/main" noChangeAspect="tru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spacing w:line="600" w:lineRule="exact"/>
        <w:ind w:firstLine="640" w:firstLineChars="200"/>
        <w:rPr>
          <w:rFonts w:eastAsia="仿宋_GB2312"/>
          <w:color w:val="000000"/>
          <w:sz w:val="32"/>
          <w:szCs w:val="32"/>
        </w:rPr>
      </w:pPr>
    </w:p>
    <w:p>
      <w:pPr>
        <w:spacing w:line="600" w:lineRule="exact"/>
        <w:ind w:firstLine="640" w:firstLineChars="200"/>
        <w:rPr>
          <w:rFonts w:eastAsia="仿宋_GB2312"/>
          <w:color w:val="000000"/>
          <w:sz w:val="32"/>
          <w:szCs w:val="32"/>
        </w:rPr>
      </w:pPr>
    </w:p>
    <w:p>
      <w:pPr>
        <w:spacing w:line="600" w:lineRule="exact"/>
        <w:ind w:firstLine="640" w:firstLineChars="200"/>
        <w:rPr>
          <w:rFonts w:eastAsia="仿宋_GB2312"/>
          <w:color w:val="000000"/>
          <w:sz w:val="32"/>
          <w:szCs w:val="32"/>
        </w:rPr>
      </w:pPr>
    </w:p>
    <w:p>
      <w:pPr>
        <w:spacing w:line="600" w:lineRule="exact"/>
        <w:ind w:firstLine="640" w:firstLineChars="200"/>
        <w:outlineLvl w:val="1"/>
        <w:rPr>
          <w:rStyle w:val="20"/>
          <w:rFonts w:ascii="Times New Roman" w:hAnsi="Times New Roman" w:eastAsia="黑体" w:cs="Times New Roman"/>
          <w:b w:val="0"/>
        </w:rPr>
      </w:pPr>
      <w:r>
        <w:rPr>
          <w:rFonts w:hAnsi="黑体" w:eastAsia="黑体"/>
          <w:sz w:val="32"/>
          <w:szCs w:val="32"/>
        </w:rPr>
        <w:t>四、财</w:t>
      </w:r>
      <w:r>
        <w:rPr>
          <w:rStyle w:val="20"/>
          <w:rFonts w:ascii="Times New Roman" w:hAnsi="黑体" w:eastAsia="黑体" w:cs="Times New Roman"/>
        </w:rPr>
        <w:t>政拨款收入支出决算总体情况说明</w:t>
      </w:r>
    </w:p>
    <w:p>
      <w:pPr>
        <w:pStyle w:val="4"/>
        <w:spacing w:before="93"/>
        <w:rPr>
          <w:rFonts w:ascii="Times New Roman"/>
        </w:rPr>
      </w:pPr>
    </w:p>
    <w:p>
      <w:pPr>
        <w:spacing w:line="600" w:lineRule="exact"/>
        <w:ind w:firstLine="1120" w:firstLineChars="350"/>
        <w:jc w:val="center"/>
        <w:rPr>
          <w:rFonts w:eastAsia="仿宋_GB2312"/>
          <w:sz w:val="32"/>
          <w:szCs w:val="32"/>
        </w:rPr>
      </w:pPr>
      <w:r>
        <w:rPr>
          <w:rFonts w:eastAsia="仿宋_GB2312"/>
          <w:sz w:val="32"/>
          <w:szCs w:val="32"/>
        </w:rPr>
        <w:t>（图3：支出决算结构图）</w:t>
      </w:r>
    </w:p>
    <w:p>
      <w:pPr>
        <w:pStyle w:val="4"/>
        <w:spacing w:before="93"/>
        <w:ind w:firstLine="640" w:firstLineChars="200"/>
        <w:rPr>
          <w:rStyle w:val="20"/>
          <w:rFonts w:ascii="Times New Roman" w:hAnsi="Times New Roman" w:eastAsia="黑体" w:cs="Times New Roman"/>
          <w:b w:val="0"/>
        </w:rPr>
      </w:pPr>
      <w:r>
        <w:rPr>
          <w:rFonts w:ascii="Times New Roman" w:eastAsia="黑体"/>
          <w:sz w:val="32"/>
          <w:szCs w:val="32"/>
        </w:rPr>
        <w:t>四、财</w:t>
      </w:r>
      <w:r>
        <w:rPr>
          <w:rStyle w:val="20"/>
          <w:rFonts w:ascii="Times New Roman" w:hAnsi="Times New Roman" w:eastAsia="黑体" w:cs="Times New Roman"/>
        </w:rPr>
        <w:t>政拨款收入支出决算总体情况说明</w:t>
      </w:r>
    </w:p>
    <w:p>
      <w:pPr>
        <w:pStyle w:val="26"/>
        <w:spacing w:before="93" w:line="600" w:lineRule="exact"/>
        <w:ind w:firstLine="640"/>
        <w:outlineLvl w:val="1"/>
        <w:rPr>
          <w:rFonts w:eastAsia="仿宋_GB2312"/>
          <w:color w:val="000000" w:themeColor="text1"/>
          <w:sz w:val="32"/>
          <w:szCs w:val="32"/>
          <w14:textFill>
            <w14:solidFill>
              <w14:schemeClr w14:val="tx1"/>
            </w14:solidFill>
          </w14:textFill>
        </w:rPr>
      </w:pPr>
      <w:r>
        <w:rPr>
          <w:rFonts w:eastAsia="仿宋_GB2312"/>
          <w:sz w:val="32"/>
          <w:szCs w:val="32"/>
        </w:rPr>
        <w:t>2025年度财政拨款收入、支出均为411.21万元。与2024年度相比，财政拨款收入总计、支出各增加46.28万元，增加12.68%。</w:t>
      </w:r>
      <w:bookmarkStart w:id="5" w:name="OLE_LINK6"/>
      <w:bookmarkStart w:id="6" w:name="OLE_LINK5"/>
      <w:r>
        <w:rPr>
          <w:rFonts w:hint="eastAsia" w:eastAsia="仿宋_GB2312"/>
          <w:color w:val="000000" w:themeColor="text1"/>
          <w:sz w:val="32"/>
          <w:szCs w:val="32"/>
          <w14:textFill>
            <w14:solidFill>
              <w14:schemeClr w14:val="tx1"/>
            </w14:solidFill>
          </w14:textFill>
        </w:rPr>
        <w:t>主要原因是</w:t>
      </w:r>
      <w:r>
        <w:rPr>
          <w:rFonts w:eastAsia="仿宋_GB2312"/>
          <w:color w:val="000000" w:themeColor="text1"/>
          <w:sz w:val="32"/>
          <w:szCs w:val="32"/>
          <w14:textFill>
            <w14:solidFill>
              <w14:schemeClr w14:val="tx1"/>
            </w14:solidFill>
          </w14:textFill>
        </w:rPr>
        <w:t>2024</w:t>
      </w:r>
      <w:r>
        <w:rPr>
          <w:rFonts w:hint="eastAsia" w:eastAsia="仿宋_GB2312"/>
          <w:color w:val="000000" w:themeColor="text1"/>
          <w:sz w:val="32"/>
          <w:szCs w:val="32"/>
          <w14:textFill>
            <w14:solidFill>
              <w14:schemeClr w14:val="tx1"/>
            </w14:solidFill>
          </w14:textFill>
        </w:rPr>
        <w:t>年中途新进</w:t>
      </w:r>
      <w:r>
        <w:rPr>
          <w:rFonts w:eastAsia="仿宋_GB2312"/>
          <w:color w:val="000000" w:themeColor="text1"/>
          <w:sz w:val="32"/>
          <w:szCs w:val="32"/>
          <w14:textFill>
            <w14:solidFill>
              <w14:schemeClr w14:val="tx1"/>
            </w14:solidFill>
          </w14:textFill>
        </w:rPr>
        <w:t>2</w:t>
      </w:r>
      <w:r>
        <w:rPr>
          <w:rFonts w:hint="eastAsia" w:eastAsia="仿宋_GB2312"/>
          <w:color w:val="000000" w:themeColor="text1"/>
          <w:sz w:val="32"/>
          <w:szCs w:val="32"/>
          <w14:textFill>
            <w14:solidFill>
              <w14:schemeClr w14:val="tx1"/>
            </w14:solidFill>
          </w14:textFill>
        </w:rPr>
        <w:t>人，仅增加了人员工资，未增加公用经费；</w:t>
      </w:r>
      <w:r>
        <w:rPr>
          <w:rFonts w:eastAsia="仿宋_GB2312"/>
          <w:color w:val="000000" w:themeColor="text1"/>
          <w:sz w:val="32"/>
          <w:szCs w:val="32"/>
          <w14:textFill>
            <w14:solidFill>
              <w14:schemeClr w14:val="tx1"/>
            </w14:solidFill>
          </w14:textFill>
        </w:rPr>
        <w:t>2025</w:t>
      </w:r>
      <w:r>
        <w:rPr>
          <w:rFonts w:hint="eastAsia" w:eastAsia="仿宋_GB2312"/>
          <w:color w:val="000000" w:themeColor="text1"/>
          <w:sz w:val="32"/>
          <w:szCs w:val="32"/>
          <w14:textFill>
            <w14:solidFill>
              <w14:schemeClr w14:val="tx1"/>
            </w14:solidFill>
          </w14:textFill>
        </w:rPr>
        <w:t>年增加了</w:t>
      </w:r>
      <w:r>
        <w:rPr>
          <w:rFonts w:eastAsia="仿宋_GB2312"/>
          <w:color w:val="000000" w:themeColor="text1"/>
          <w:sz w:val="32"/>
          <w:szCs w:val="32"/>
          <w14:textFill>
            <w14:solidFill>
              <w14:schemeClr w14:val="tx1"/>
            </w14:solidFill>
          </w14:textFill>
        </w:rPr>
        <w:t>2024</w:t>
      </w:r>
      <w:r>
        <w:rPr>
          <w:rFonts w:hint="eastAsia" w:eastAsia="仿宋_GB2312"/>
          <w:color w:val="000000" w:themeColor="text1"/>
          <w:sz w:val="32"/>
          <w:szCs w:val="32"/>
          <w14:textFill>
            <w14:solidFill>
              <w14:schemeClr w14:val="tx1"/>
            </w14:solidFill>
          </w14:textFill>
        </w:rPr>
        <w:t>年新进两人的全年工资、公用经费以及</w:t>
      </w:r>
      <w:r>
        <w:rPr>
          <w:rFonts w:eastAsia="仿宋_GB2312"/>
          <w:color w:val="000000" w:themeColor="text1"/>
          <w:sz w:val="32"/>
          <w:szCs w:val="32"/>
          <w14:textFill>
            <w14:solidFill>
              <w14:schemeClr w14:val="tx1"/>
            </w14:solidFill>
          </w14:textFill>
        </w:rPr>
        <w:t>2025</w:t>
      </w:r>
      <w:r>
        <w:rPr>
          <w:rFonts w:hint="eastAsia" w:eastAsia="仿宋_GB2312"/>
          <w:color w:val="000000" w:themeColor="text1"/>
          <w:sz w:val="32"/>
          <w:szCs w:val="32"/>
          <w14:textFill>
            <w14:solidFill>
              <w14:schemeClr w14:val="tx1"/>
            </w14:solidFill>
          </w14:textFill>
        </w:rPr>
        <w:t>年调入人员工资。</w:t>
      </w:r>
    </w:p>
    <w:bookmarkEnd w:id="5"/>
    <w:bookmarkEnd w:id="6"/>
    <w:p>
      <w:pPr>
        <w:pStyle w:val="26"/>
        <w:spacing w:before="93" w:line="600" w:lineRule="exact"/>
        <w:outlineLvl w:val="1"/>
      </w:pPr>
      <w:r>
        <w:drawing>
          <wp:anchor distT="0" distB="0" distL="114300" distR="114300" simplePos="0" relativeHeight="251663360" behindDoc="0" locked="0" layoutInCell="1" allowOverlap="1">
            <wp:simplePos x="0" y="0"/>
            <wp:positionH relativeFrom="column">
              <wp:posOffset>202565</wp:posOffset>
            </wp:positionH>
            <wp:positionV relativeFrom="paragraph">
              <wp:posOffset>89535</wp:posOffset>
            </wp:positionV>
            <wp:extent cx="5078095" cy="1917065"/>
            <wp:effectExtent l="19050" t="0" r="27305" b="6985"/>
            <wp:wrapNone/>
            <wp:docPr id="19" name="对象 19"/>
            <wp:cNvGraphicFramePr>
              <a:graphicFrameLocks xmlns:a="http://schemas.openxmlformats.org/drawingml/2006/main" noChangeAspect="true"/>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Style w:val="4"/>
        <w:spacing w:before="93"/>
        <w:rPr>
          <w:rFonts w:ascii="Times New Roman"/>
        </w:rPr>
      </w:pPr>
    </w:p>
    <w:p>
      <w:pPr>
        <w:spacing w:line="600" w:lineRule="exact"/>
        <w:rPr>
          <w:rFonts w:eastAsia="仿宋_GB2312"/>
          <w:color w:val="000000"/>
          <w:sz w:val="32"/>
          <w:szCs w:val="32"/>
        </w:rPr>
      </w:pPr>
    </w:p>
    <w:p>
      <w:pPr>
        <w:spacing w:line="600" w:lineRule="exact"/>
        <w:rPr>
          <w:rFonts w:eastAsia="仿宋_GB2312"/>
          <w:color w:val="000000"/>
          <w:sz w:val="32"/>
          <w:szCs w:val="32"/>
        </w:rPr>
      </w:pPr>
    </w:p>
    <w:p>
      <w:pPr>
        <w:spacing w:line="600" w:lineRule="exact"/>
        <w:rPr>
          <w:rFonts w:eastAsia="仿宋_GB2312"/>
          <w:color w:val="000000"/>
          <w:sz w:val="32"/>
          <w:szCs w:val="32"/>
        </w:rPr>
      </w:pPr>
    </w:p>
    <w:p>
      <w:pPr>
        <w:pStyle w:val="4"/>
        <w:spacing w:before="93"/>
        <w:ind w:firstLine="640" w:firstLineChars="200"/>
        <w:rPr>
          <w:rFonts w:ascii="Times New Roman"/>
          <w:sz w:val="32"/>
          <w:szCs w:val="32"/>
        </w:rPr>
      </w:pPr>
      <w:r>
        <w:rPr>
          <w:rFonts w:ascii="Times New Roman"/>
          <w:sz w:val="32"/>
          <w:szCs w:val="32"/>
        </w:rPr>
        <w:t>（图4：财政拨款收、支决算总计变动情况）</w:t>
      </w:r>
    </w:p>
    <w:p>
      <w:pPr>
        <w:spacing w:line="580" w:lineRule="exact"/>
        <w:ind w:firstLine="640" w:firstLineChars="200"/>
        <w:outlineLvl w:val="1"/>
        <w:rPr>
          <w:rStyle w:val="20"/>
          <w:rFonts w:ascii="Times New Roman" w:hAnsi="Times New Roman" w:eastAsia="黑体" w:cs="Times New Roman"/>
          <w:b w:val="0"/>
        </w:rPr>
      </w:pPr>
      <w:r>
        <w:rPr>
          <w:rFonts w:eastAsia="黑体"/>
          <w:sz w:val="32"/>
          <w:szCs w:val="32"/>
        </w:rPr>
        <w:t>五、</w:t>
      </w:r>
      <w:r>
        <w:rPr>
          <w:rFonts w:eastAsia="黑体"/>
          <w:b/>
          <w:sz w:val="32"/>
          <w:szCs w:val="32"/>
        </w:rPr>
        <w:t>一</w:t>
      </w:r>
      <w:r>
        <w:rPr>
          <w:rStyle w:val="20"/>
          <w:rFonts w:ascii="Times New Roman" w:eastAsia="黑体" w:cs="Times New Roman"/>
        </w:rPr>
        <w:t>般公共预算财政拨款支出决算情况说明</w:t>
      </w:r>
    </w:p>
    <w:p>
      <w:pPr>
        <w:spacing w:line="580" w:lineRule="exact"/>
        <w:ind w:firstLine="642" w:firstLineChars="200"/>
        <w:outlineLvl w:val="2"/>
        <w:rPr>
          <w:rFonts w:eastAsia="楷体_GB2312"/>
          <w:b/>
          <w:sz w:val="32"/>
          <w:szCs w:val="32"/>
        </w:rPr>
      </w:pPr>
      <w:r>
        <w:rPr>
          <w:rFonts w:eastAsia="楷体_GB2312"/>
          <w:b/>
          <w:sz w:val="32"/>
          <w:szCs w:val="32"/>
        </w:rPr>
        <w:t>（一）一般公共预算财政拨款支出决算总体情况</w:t>
      </w:r>
    </w:p>
    <w:p>
      <w:pPr>
        <w:pStyle w:val="26"/>
        <w:spacing w:before="93" w:line="580" w:lineRule="exact"/>
        <w:ind w:firstLine="640"/>
        <w:outlineLvl w:val="1"/>
        <w:rPr>
          <w:rFonts w:hint="eastAsia" w:eastAsia="仿宋_GB2312"/>
          <w:color w:val="000000" w:themeColor="text1"/>
          <w:sz w:val="32"/>
          <w:szCs w:val="32"/>
          <w14:textFill>
            <w14:solidFill>
              <w14:schemeClr w14:val="tx1"/>
            </w14:solidFill>
          </w14:textFill>
        </w:rPr>
      </w:pPr>
      <w:r>
        <w:rPr>
          <w:rFonts w:eastAsia="仿宋_GB2312"/>
          <w:sz w:val="32"/>
          <w:szCs w:val="32"/>
        </w:rPr>
        <w:t>2025</w:t>
      </w:r>
      <w:r>
        <w:rPr>
          <w:rFonts w:hAnsi="仿宋_GB2312" w:eastAsia="仿宋_GB2312"/>
          <w:sz w:val="32"/>
          <w:szCs w:val="32"/>
        </w:rPr>
        <w:t>年度一般公共预算财政拨款支出</w:t>
      </w:r>
      <w:r>
        <w:rPr>
          <w:rFonts w:eastAsia="仿宋_GB2312"/>
          <w:sz w:val="32"/>
          <w:szCs w:val="32"/>
        </w:rPr>
        <w:t>411.21</w:t>
      </w:r>
      <w:r>
        <w:rPr>
          <w:rFonts w:hAnsi="仿宋_GB2312" w:eastAsia="仿宋_GB2312"/>
          <w:sz w:val="32"/>
          <w:szCs w:val="32"/>
        </w:rPr>
        <w:t>万元，占本年支出合计的</w:t>
      </w:r>
      <w:r>
        <w:rPr>
          <w:rFonts w:eastAsia="仿宋_GB2312"/>
          <w:sz w:val="32"/>
          <w:szCs w:val="32"/>
        </w:rPr>
        <w:t>100%</w:t>
      </w:r>
      <w:r>
        <w:rPr>
          <w:rFonts w:hAnsi="仿宋_GB2312" w:eastAsia="仿宋_GB2312"/>
          <w:sz w:val="32"/>
          <w:szCs w:val="32"/>
        </w:rPr>
        <w:t>。与</w:t>
      </w:r>
      <w:r>
        <w:rPr>
          <w:rFonts w:eastAsia="仿宋_GB2312"/>
          <w:sz w:val="32"/>
          <w:szCs w:val="32"/>
        </w:rPr>
        <w:t>2024</w:t>
      </w:r>
      <w:r>
        <w:rPr>
          <w:rFonts w:hAnsi="仿宋_GB2312" w:eastAsia="仿宋_GB2312"/>
          <w:sz w:val="32"/>
          <w:szCs w:val="32"/>
        </w:rPr>
        <w:t>年度相比，一般公共预算财政拨款支出增加</w:t>
      </w:r>
      <w:r>
        <w:rPr>
          <w:rFonts w:eastAsia="仿宋_GB2312"/>
          <w:sz w:val="32"/>
          <w:szCs w:val="32"/>
        </w:rPr>
        <w:t>46.28</w:t>
      </w:r>
      <w:r>
        <w:rPr>
          <w:rFonts w:hAnsi="仿宋_GB2312" w:eastAsia="仿宋_GB2312"/>
          <w:sz w:val="32"/>
          <w:szCs w:val="32"/>
        </w:rPr>
        <w:t>万元，增加</w:t>
      </w:r>
      <w:r>
        <w:rPr>
          <w:rFonts w:eastAsia="仿宋_GB2312"/>
          <w:sz w:val="32"/>
          <w:szCs w:val="32"/>
        </w:rPr>
        <w:t>12.68%</w:t>
      </w:r>
      <w:r>
        <w:rPr>
          <w:rFonts w:hAnsi="仿宋_GB2312" w:eastAsia="仿宋_GB2312"/>
          <w:sz w:val="32"/>
          <w:szCs w:val="32"/>
        </w:rPr>
        <w:t>。</w:t>
      </w:r>
      <w:r>
        <w:rPr>
          <w:rFonts w:hint="eastAsia" w:eastAsia="仿宋_GB2312"/>
          <w:color w:val="000000" w:themeColor="text1"/>
          <w:sz w:val="32"/>
          <w:szCs w:val="32"/>
          <w14:textFill>
            <w14:solidFill>
              <w14:schemeClr w14:val="tx1"/>
            </w14:solidFill>
          </w14:textFill>
        </w:rPr>
        <w:t>主要原因是</w:t>
      </w:r>
      <w:r>
        <w:rPr>
          <w:rFonts w:eastAsia="仿宋_GB2312"/>
          <w:color w:val="000000" w:themeColor="text1"/>
          <w:sz w:val="32"/>
          <w:szCs w:val="32"/>
          <w14:textFill>
            <w14:solidFill>
              <w14:schemeClr w14:val="tx1"/>
            </w14:solidFill>
          </w14:textFill>
        </w:rPr>
        <w:t>2024</w:t>
      </w:r>
      <w:r>
        <w:rPr>
          <w:rFonts w:hint="eastAsia" w:eastAsia="仿宋_GB2312"/>
          <w:color w:val="000000" w:themeColor="text1"/>
          <w:sz w:val="32"/>
          <w:szCs w:val="32"/>
          <w14:textFill>
            <w14:solidFill>
              <w14:schemeClr w14:val="tx1"/>
            </w14:solidFill>
          </w14:textFill>
        </w:rPr>
        <w:t>年中途新进</w:t>
      </w:r>
      <w:r>
        <w:rPr>
          <w:rFonts w:eastAsia="仿宋_GB2312"/>
          <w:color w:val="000000" w:themeColor="text1"/>
          <w:sz w:val="32"/>
          <w:szCs w:val="32"/>
          <w14:textFill>
            <w14:solidFill>
              <w14:schemeClr w14:val="tx1"/>
            </w14:solidFill>
          </w14:textFill>
        </w:rPr>
        <w:t>2</w:t>
      </w:r>
      <w:r>
        <w:rPr>
          <w:rFonts w:hint="eastAsia" w:eastAsia="仿宋_GB2312"/>
          <w:color w:val="000000" w:themeColor="text1"/>
          <w:sz w:val="32"/>
          <w:szCs w:val="32"/>
          <w14:textFill>
            <w14:solidFill>
              <w14:schemeClr w14:val="tx1"/>
            </w14:solidFill>
          </w14:textFill>
        </w:rPr>
        <w:t>人，仅增加了人员工资，未增加公用经费；</w:t>
      </w:r>
      <w:r>
        <w:rPr>
          <w:rFonts w:eastAsia="仿宋_GB2312"/>
          <w:color w:val="000000" w:themeColor="text1"/>
          <w:sz w:val="32"/>
          <w:szCs w:val="32"/>
          <w14:textFill>
            <w14:solidFill>
              <w14:schemeClr w14:val="tx1"/>
            </w14:solidFill>
          </w14:textFill>
        </w:rPr>
        <w:t>2025</w:t>
      </w:r>
      <w:r>
        <w:rPr>
          <w:rFonts w:hint="eastAsia" w:eastAsia="仿宋_GB2312"/>
          <w:color w:val="000000" w:themeColor="text1"/>
          <w:sz w:val="32"/>
          <w:szCs w:val="32"/>
          <w14:textFill>
            <w14:solidFill>
              <w14:schemeClr w14:val="tx1"/>
            </w14:solidFill>
          </w14:textFill>
        </w:rPr>
        <w:t>年增加了</w:t>
      </w:r>
      <w:r>
        <w:rPr>
          <w:rFonts w:eastAsia="仿宋_GB2312"/>
          <w:color w:val="000000" w:themeColor="text1"/>
          <w:sz w:val="32"/>
          <w:szCs w:val="32"/>
          <w14:textFill>
            <w14:solidFill>
              <w14:schemeClr w14:val="tx1"/>
            </w14:solidFill>
          </w14:textFill>
        </w:rPr>
        <w:t>2024</w:t>
      </w:r>
      <w:r>
        <w:rPr>
          <w:rFonts w:hint="eastAsia" w:eastAsia="仿宋_GB2312"/>
          <w:color w:val="000000" w:themeColor="text1"/>
          <w:sz w:val="32"/>
          <w:szCs w:val="32"/>
          <w14:textFill>
            <w14:solidFill>
              <w14:schemeClr w14:val="tx1"/>
            </w14:solidFill>
          </w14:textFill>
        </w:rPr>
        <w:t>年新进两人的全年工资、公用经费以及</w:t>
      </w:r>
      <w:r>
        <w:rPr>
          <w:rFonts w:eastAsia="仿宋_GB2312"/>
          <w:color w:val="000000" w:themeColor="text1"/>
          <w:sz w:val="32"/>
          <w:szCs w:val="32"/>
          <w14:textFill>
            <w14:solidFill>
              <w14:schemeClr w14:val="tx1"/>
            </w14:solidFill>
          </w14:textFill>
        </w:rPr>
        <w:t>2025</w:t>
      </w:r>
      <w:r>
        <w:rPr>
          <w:rFonts w:hint="eastAsia" w:eastAsia="仿宋_GB2312"/>
          <w:color w:val="000000" w:themeColor="text1"/>
          <w:sz w:val="32"/>
          <w:szCs w:val="32"/>
          <w14:textFill>
            <w14:solidFill>
              <w14:schemeClr w14:val="tx1"/>
            </w14:solidFill>
          </w14:textFill>
        </w:rPr>
        <w:t>年调入人员工资。</w:t>
      </w:r>
    </w:p>
    <w:p>
      <w:pPr>
        <w:pStyle w:val="26"/>
        <w:spacing w:line="600" w:lineRule="exact"/>
        <w:ind w:firstLine="640"/>
        <w:outlineLvl w:val="1"/>
        <w:rPr>
          <w:rFonts w:eastAsia="仿宋_GB2312"/>
          <w:sz w:val="32"/>
          <w:szCs w:val="32"/>
        </w:rPr>
      </w:pPr>
      <w:r>
        <w:rPr>
          <w:rFonts w:eastAsia="仿宋_GB2312"/>
          <w:sz w:val="32"/>
          <w:szCs w:val="32"/>
        </w:rPr>
        <w:drawing>
          <wp:anchor distT="0" distB="0" distL="114300" distR="114300" simplePos="0" relativeHeight="251660288" behindDoc="0" locked="0" layoutInCell="1" allowOverlap="1">
            <wp:simplePos x="0" y="0"/>
            <wp:positionH relativeFrom="column">
              <wp:posOffset>49530</wp:posOffset>
            </wp:positionH>
            <wp:positionV relativeFrom="paragraph">
              <wp:posOffset>173990</wp:posOffset>
            </wp:positionV>
            <wp:extent cx="5390515" cy="1517015"/>
            <wp:effectExtent l="4445" t="4445" r="15240" b="21590"/>
            <wp:wrapNone/>
            <wp:docPr id="109" name="对象 13"/>
            <wp:cNvGraphicFramePr>
              <a:graphicFrameLocks xmlns:a="http://schemas.openxmlformats.org/drawingml/2006/main" noChangeAspect="true"/>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spacing w:line="600" w:lineRule="exact"/>
        <w:rPr>
          <w:rFonts w:eastAsia="仿宋_GB2312"/>
          <w:color w:val="000000"/>
          <w:sz w:val="32"/>
          <w:szCs w:val="32"/>
        </w:rPr>
      </w:pPr>
    </w:p>
    <w:p>
      <w:pPr>
        <w:spacing w:line="600" w:lineRule="exact"/>
        <w:ind w:firstLine="640" w:firstLineChars="200"/>
        <w:rPr>
          <w:rFonts w:eastAsia="仿宋_GB2312"/>
          <w:sz w:val="32"/>
          <w:szCs w:val="32"/>
        </w:rPr>
      </w:pPr>
      <w:r>
        <w:rPr>
          <w:rFonts w:eastAsia="仿宋_GB2312"/>
          <w:sz w:val="32"/>
          <w:szCs w:val="32"/>
        </w:rPr>
        <w:t>（图5：一般公共预算财政拨款支出决算变动情况</w:t>
      </w:r>
    </w:p>
    <w:p>
      <w:pPr>
        <w:spacing w:line="600" w:lineRule="exact"/>
        <w:ind w:firstLine="640" w:firstLineChars="200"/>
        <w:rPr>
          <w:rFonts w:eastAsia="仿宋_GB2312"/>
          <w:sz w:val="32"/>
          <w:szCs w:val="32"/>
        </w:rPr>
      </w:pPr>
    </w:p>
    <w:p>
      <w:pPr>
        <w:spacing w:line="600" w:lineRule="exact"/>
        <w:ind w:firstLine="640" w:firstLineChars="200"/>
        <w:rPr>
          <w:rFonts w:eastAsia="仿宋_GB2312"/>
          <w:sz w:val="32"/>
          <w:szCs w:val="32"/>
        </w:rPr>
      </w:pPr>
    </w:p>
    <w:p>
      <w:pPr>
        <w:spacing w:line="600" w:lineRule="exact"/>
        <w:ind w:firstLine="640" w:firstLineChars="200"/>
        <w:rPr>
          <w:rFonts w:eastAsia="仿宋_GB2312"/>
          <w:sz w:val="32"/>
          <w:szCs w:val="32"/>
        </w:rPr>
      </w:pPr>
      <w:r>
        <w:rPr>
          <w:rFonts w:eastAsia="仿宋_GB2312"/>
          <w:sz w:val="32"/>
          <w:szCs w:val="32"/>
        </w:rPr>
        <w:t>（图5：一般公共预算财政拨款支出决算变动情况）</w:t>
      </w:r>
    </w:p>
    <w:p>
      <w:pPr>
        <w:spacing w:line="600" w:lineRule="exact"/>
        <w:ind w:firstLine="642" w:firstLineChars="200"/>
        <w:outlineLvl w:val="9"/>
        <w:rPr>
          <w:rFonts w:eastAsia="楷体_GB2312"/>
          <w:b/>
          <w:sz w:val="32"/>
          <w:szCs w:val="32"/>
        </w:rPr>
      </w:pPr>
    </w:p>
    <w:p>
      <w:pPr>
        <w:spacing w:line="600" w:lineRule="exact"/>
        <w:ind w:firstLine="642" w:firstLineChars="200"/>
        <w:outlineLvl w:val="9"/>
        <w:rPr>
          <w:rFonts w:eastAsia="楷体_GB2312"/>
          <w:b/>
          <w:sz w:val="32"/>
          <w:szCs w:val="32"/>
        </w:rPr>
      </w:pPr>
      <w:r>
        <w:rPr>
          <w:rFonts w:eastAsia="楷体_GB2312"/>
          <w:b/>
          <w:sz w:val="32"/>
          <w:szCs w:val="32"/>
        </w:rPr>
        <w:t>（二）一般公共预算财政拨款支出决算结构情况</w:t>
      </w:r>
    </w:p>
    <w:p>
      <w:pPr>
        <w:spacing w:line="600" w:lineRule="exact"/>
        <w:ind w:firstLine="640"/>
        <w:rPr>
          <w:rFonts w:eastAsia="仿宋_GB2312"/>
          <w:sz w:val="32"/>
          <w:szCs w:val="32"/>
        </w:rPr>
      </w:pPr>
      <w:r>
        <w:rPr>
          <w:rFonts w:eastAsia="仿宋_GB2312"/>
          <w:sz w:val="32"/>
          <w:szCs w:val="32"/>
        </w:rPr>
        <w:t>2025年度一般公共预算财政拨款支出411.21</w:t>
      </w:r>
      <w:r>
        <w:rPr>
          <w:rFonts w:hAnsi="仿宋_GB2312" w:eastAsia="仿宋_GB2312"/>
          <w:sz w:val="32"/>
          <w:szCs w:val="32"/>
        </w:rPr>
        <w:t>万元</w:t>
      </w:r>
      <w:r>
        <w:rPr>
          <w:rFonts w:eastAsia="仿宋_GB2312"/>
          <w:sz w:val="32"/>
          <w:szCs w:val="32"/>
        </w:rPr>
        <w:t>，主要用于以下方面：城乡社区（类）支出269.16万元，占65.46%；社会保障和就业（类）支出92.00万元，占22.37%；卫生健康（类）支出23.65万元，占5.75%；住房保障（类）支出26.40万元，占6.42%。</w:t>
      </w:r>
    </w:p>
    <w:p>
      <w:pPr>
        <w:pStyle w:val="10"/>
        <w:rPr>
          <w:rFonts w:eastAsia="方正仿宋_GB2312"/>
          <w:sz w:val="32"/>
          <w:szCs w:val="32"/>
        </w:rPr>
      </w:pPr>
    </w:p>
    <w:p>
      <w:pPr>
        <w:pStyle w:val="11"/>
        <w:ind w:left="420"/>
        <w:rPr>
          <w:rFonts w:ascii="Times New Roman"/>
        </w:rPr>
      </w:pPr>
      <w:r>
        <w:rPr>
          <w:rFonts w:ascii="Times New Roman"/>
        </w:rPr>
        <w:drawing>
          <wp:inline distT="0" distB="0" distL="0" distR="0">
            <wp:extent cx="4487545" cy="2139950"/>
            <wp:effectExtent l="4445" t="5080" r="22860" b="762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pacing w:line="600" w:lineRule="exact"/>
        <w:ind w:firstLine="1280" w:firstLineChars="400"/>
        <w:rPr>
          <w:rFonts w:eastAsia="仿宋_GB2312"/>
          <w:sz w:val="32"/>
          <w:szCs w:val="32"/>
        </w:rPr>
      </w:pPr>
      <w:r>
        <w:rPr>
          <w:rFonts w:eastAsia="仿宋_GB2312"/>
          <w:sz w:val="32"/>
          <w:szCs w:val="32"/>
        </w:rPr>
        <w:t>（图6：一般公共预算财政拨款支出决算结构）</w:t>
      </w:r>
    </w:p>
    <w:p>
      <w:pPr>
        <w:spacing w:line="600" w:lineRule="exact"/>
        <w:ind w:firstLine="642" w:firstLineChars="200"/>
        <w:outlineLvl w:val="2"/>
        <w:rPr>
          <w:rFonts w:eastAsia="楷体_GB2312"/>
          <w:b/>
          <w:sz w:val="32"/>
          <w:szCs w:val="32"/>
        </w:rPr>
      </w:pPr>
      <w:r>
        <w:rPr>
          <w:rFonts w:eastAsia="楷体_GB2312"/>
          <w:b/>
          <w:sz w:val="32"/>
          <w:szCs w:val="32"/>
        </w:rPr>
        <w:t>（三）一般公共预算财政拨款支出决算具体情况</w:t>
      </w:r>
    </w:p>
    <w:p>
      <w:pPr>
        <w:spacing w:line="640" w:lineRule="exact"/>
        <w:ind w:firstLine="640" w:firstLineChars="200"/>
        <w:rPr>
          <w:rFonts w:eastAsia="仿宋_GB2312"/>
          <w:sz w:val="32"/>
          <w:szCs w:val="32"/>
        </w:rPr>
      </w:pPr>
      <w:r>
        <w:rPr>
          <w:rFonts w:eastAsia="仿宋_GB2312"/>
          <w:sz w:val="32"/>
          <w:szCs w:val="32"/>
        </w:rPr>
        <w:t>2025年度一般公共预算财政拨款支出决算数为411.21</w:t>
      </w:r>
      <w:r>
        <w:rPr>
          <w:rFonts w:hAnsi="仿宋_GB2312" w:eastAsia="仿宋_GB2312"/>
          <w:sz w:val="32"/>
          <w:szCs w:val="32"/>
        </w:rPr>
        <w:t>万元完成预算</w:t>
      </w:r>
      <w:r>
        <w:rPr>
          <w:rFonts w:eastAsia="仿宋_GB2312"/>
          <w:sz w:val="32"/>
          <w:szCs w:val="32"/>
        </w:rPr>
        <w:t>100%。其中：</w:t>
      </w:r>
    </w:p>
    <w:p>
      <w:pPr>
        <w:spacing w:line="640" w:lineRule="exact"/>
        <w:ind w:firstLine="640" w:firstLineChars="200"/>
        <w:rPr>
          <w:rFonts w:eastAsia="仿宋_GB2312"/>
          <w:b/>
          <w:color w:val="000000"/>
          <w:sz w:val="32"/>
          <w:szCs w:val="32"/>
        </w:rPr>
      </w:pPr>
      <w:r>
        <w:rPr>
          <w:rStyle w:val="15"/>
          <w:rFonts w:eastAsia="仿宋_GB2312"/>
          <w:b w:val="0"/>
          <w:bCs/>
          <w:color w:val="000000"/>
          <w:sz w:val="32"/>
          <w:szCs w:val="32"/>
        </w:rPr>
        <w:t>1.社会保障和就业（类）人力资源和社会保障管理事务（款）其他人力资源和社会保障管理事务（项）:</w:t>
      </w:r>
      <w:r>
        <w:rPr>
          <w:rStyle w:val="15"/>
          <w:rFonts w:eastAsia="仿宋_GB2312"/>
          <w:b w:val="0"/>
          <w:color w:val="000000"/>
          <w:sz w:val="32"/>
          <w:szCs w:val="32"/>
        </w:rPr>
        <w:t>支出决算为4.00万元，完成预算100%。决算数等于预算数。</w:t>
      </w:r>
    </w:p>
    <w:p>
      <w:pPr>
        <w:spacing w:line="640" w:lineRule="exact"/>
        <w:ind w:firstLine="640" w:firstLineChars="200"/>
        <w:rPr>
          <w:rFonts w:eastAsia="仿宋_GB2312"/>
          <w:b/>
          <w:color w:val="000000"/>
          <w:sz w:val="32"/>
          <w:szCs w:val="32"/>
        </w:rPr>
      </w:pPr>
      <w:r>
        <w:rPr>
          <w:rStyle w:val="15"/>
          <w:rFonts w:eastAsia="仿宋_GB2312"/>
          <w:b w:val="0"/>
          <w:bCs/>
          <w:color w:val="000000"/>
          <w:sz w:val="32"/>
          <w:szCs w:val="32"/>
        </w:rPr>
        <w:t>2.社会保障和就业（类）行政事业单位养老（款）事业单位离退休（项）:</w:t>
      </w:r>
      <w:r>
        <w:rPr>
          <w:rStyle w:val="15"/>
          <w:rFonts w:eastAsia="仿宋_GB2312"/>
          <w:b w:val="0"/>
          <w:color w:val="000000"/>
          <w:sz w:val="32"/>
          <w:szCs w:val="32"/>
        </w:rPr>
        <w:t>支出决算为52.08万元，完成预算100%。决算数等于预算数。</w:t>
      </w:r>
    </w:p>
    <w:p>
      <w:pPr>
        <w:spacing w:line="640" w:lineRule="exact"/>
        <w:ind w:firstLine="640" w:firstLineChars="200"/>
        <w:rPr>
          <w:rStyle w:val="15"/>
          <w:rFonts w:eastAsia="仿宋_GB2312"/>
          <w:b w:val="0"/>
          <w:color w:val="000000"/>
          <w:sz w:val="32"/>
          <w:szCs w:val="32"/>
        </w:rPr>
      </w:pPr>
      <w:r>
        <w:rPr>
          <w:rStyle w:val="15"/>
          <w:rFonts w:eastAsia="仿宋_GB2312"/>
          <w:b w:val="0"/>
          <w:bCs/>
          <w:color w:val="000000"/>
          <w:sz w:val="32"/>
          <w:szCs w:val="32"/>
        </w:rPr>
        <w:t>3.社会保障和就业（类）行政事业单位养老（款）机关事业单位基本养老保险缴费（项）:</w:t>
      </w:r>
      <w:r>
        <w:rPr>
          <w:rStyle w:val="15"/>
          <w:rFonts w:eastAsia="仿宋_GB2312"/>
          <w:b w:val="0"/>
          <w:color w:val="000000"/>
          <w:sz w:val="32"/>
          <w:szCs w:val="32"/>
        </w:rPr>
        <w:t>支出决算为35.92万元，完成预算100%。决算数等于预算数。</w:t>
      </w:r>
    </w:p>
    <w:p>
      <w:pPr>
        <w:spacing w:line="600" w:lineRule="exact"/>
        <w:ind w:firstLine="640" w:firstLineChars="200"/>
        <w:rPr>
          <w:rStyle w:val="15"/>
          <w:rFonts w:eastAsia="仿宋_GB2312"/>
          <w:b w:val="0"/>
          <w:color w:val="000000"/>
          <w:sz w:val="32"/>
          <w:szCs w:val="32"/>
        </w:rPr>
      </w:pPr>
      <w:r>
        <w:rPr>
          <w:rStyle w:val="15"/>
          <w:rFonts w:eastAsia="仿宋_GB2312"/>
          <w:b w:val="0"/>
          <w:bCs/>
          <w:color w:val="000000"/>
          <w:sz w:val="32"/>
          <w:szCs w:val="32"/>
        </w:rPr>
        <w:t>4.</w:t>
      </w:r>
      <w:r>
        <w:rPr>
          <w:rFonts w:eastAsia="仿宋_GB2312"/>
          <w:bCs/>
          <w:sz w:val="32"/>
          <w:szCs w:val="32"/>
        </w:rPr>
        <w:t>卫生健康</w:t>
      </w:r>
      <w:r>
        <w:rPr>
          <w:rStyle w:val="15"/>
          <w:rFonts w:eastAsia="仿宋_GB2312"/>
          <w:bCs/>
          <w:sz w:val="32"/>
          <w:szCs w:val="32"/>
        </w:rPr>
        <w:t>（</w:t>
      </w:r>
      <w:r>
        <w:rPr>
          <w:rStyle w:val="15"/>
          <w:rFonts w:eastAsia="仿宋_GB2312"/>
          <w:b w:val="0"/>
          <w:bCs/>
          <w:sz w:val="32"/>
          <w:szCs w:val="32"/>
        </w:rPr>
        <w:t>类）行政事业单位医疗（款）事业单位医疗（项）:支出决算为17.56万元，</w:t>
      </w:r>
      <w:r>
        <w:rPr>
          <w:rStyle w:val="15"/>
          <w:rFonts w:eastAsia="仿宋_GB2312"/>
          <w:b w:val="0"/>
          <w:color w:val="000000"/>
          <w:sz w:val="32"/>
          <w:szCs w:val="32"/>
        </w:rPr>
        <w:t>完成预算100%。决算数等于预算数。</w:t>
      </w:r>
    </w:p>
    <w:p>
      <w:pPr>
        <w:spacing w:line="600" w:lineRule="exact"/>
        <w:ind w:firstLine="640" w:firstLineChars="200"/>
        <w:rPr>
          <w:rStyle w:val="15"/>
          <w:rFonts w:eastAsia="仿宋_GB2312"/>
          <w:b w:val="0"/>
          <w:color w:val="000000"/>
          <w:sz w:val="32"/>
          <w:szCs w:val="32"/>
        </w:rPr>
      </w:pPr>
      <w:r>
        <w:rPr>
          <w:rStyle w:val="15"/>
          <w:rFonts w:eastAsia="仿宋_GB2312"/>
          <w:b w:val="0"/>
          <w:bCs/>
          <w:color w:val="000000"/>
          <w:sz w:val="32"/>
          <w:szCs w:val="32"/>
        </w:rPr>
        <w:t>5.</w:t>
      </w:r>
      <w:r>
        <w:rPr>
          <w:rFonts w:eastAsia="仿宋_GB2312"/>
          <w:bCs/>
          <w:sz w:val="32"/>
          <w:szCs w:val="32"/>
        </w:rPr>
        <w:t>卫生健康</w:t>
      </w:r>
      <w:r>
        <w:rPr>
          <w:rStyle w:val="15"/>
          <w:rFonts w:eastAsia="仿宋_GB2312"/>
          <w:b w:val="0"/>
          <w:bCs/>
          <w:sz w:val="32"/>
          <w:szCs w:val="32"/>
        </w:rPr>
        <w:t>（类）行政事业单位医疗（款）公务员医疗补助（项）:支出决算为2.05万元，</w:t>
      </w:r>
      <w:r>
        <w:rPr>
          <w:rStyle w:val="15"/>
          <w:rFonts w:eastAsia="仿宋_GB2312"/>
          <w:b w:val="0"/>
          <w:color w:val="000000"/>
          <w:sz w:val="32"/>
          <w:szCs w:val="32"/>
        </w:rPr>
        <w:t>完成预算100%。决算数等于预算数。</w:t>
      </w:r>
    </w:p>
    <w:p>
      <w:pPr>
        <w:spacing w:line="600" w:lineRule="exact"/>
        <w:ind w:firstLine="640" w:firstLineChars="200"/>
        <w:rPr>
          <w:rStyle w:val="15"/>
          <w:rFonts w:eastAsia="仿宋_GB2312"/>
          <w:b w:val="0"/>
          <w:color w:val="000000"/>
          <w:sz w:val="32"/>
          <w:szCs w:val="32"/>
        </w:rPr>
      </w:pPr>
      <w:r>
        <w:rPr>
          <w:rStyle w:val="15"/>
          <w:rFonts w:eastAsia="仿宋_GB2312"/>
          <w:b w:val="0"/>
          <w:bCs/>
          <w:color w:val="000000"/>
          <w:sz w:val="32"/>
          <w:szCs w:val="32"/>
        </w:rPr>
        <w:t>6.</w:t>
      </w:r>
      <w:r>
        <w:rPr>
          <w:rFonts w:eastAsia="仿宋_GB2312"/>
          <w:bCs/>
          <w:sz w:val="32"/>
          <w:szCs w:val="32"/>
        </w:rPr>
        <w:t>卫生健康</w:t>
      </w:r>
      <w:r>
        <w:rPr>
          <w:rStyle w:val="15"/>
          <w:rFonts w:eastAsia="仿宋_GB2312"/>
          <w:b w:val="0"/>
          <w:bCs/>
          <w:sz w:val="32"/>
          <w:szCs w:val="32"/>
        </w:rPr>
        <w:t>（类）行政事业单位医疗（款）其他行政事业单位医疗（项）:支出决算为4.04万元，</w:t>
      </w:r>
      <w:r>
        <w:rPr>
          <w:rStyle w:val="15"/>
          <w:rFonts w:eastAsia="仿宋_GB2312"/>
          <w:b w:val="0"/>
          <w:color w:val="000000"/>
          <w:sz w:val="32"/>
          <w:szCs w:val="32"/>
        </w:rPr>
        <w:t>完成预算100%。决算数等于预算数。</w:t>
      </w:r>
    </w:p>
    <w:p>
      <w:pPr>
        <w:spacing w:line="600" w:lineRule="exact"/>
        <w:ind w:firstLine="640" w:firstLineChars="200"/>
        <w:rPr>
          <w:rStyle w:val="15"/>
          <w:rFonts w:eastAsia="仿宋_GB2312"/>
          <w:b w:val="0"/>
          <w:color w:val="000000"/>
          <w:sz w:val="32"/>
          <w:szCs w:val="32"/>
        </w:rPr>
      </w:pPr>
      <w:r>
        <w:rPr>
          <w:rStyle w:val="15"/>
          <w:rFonts w:eastAsia="仿宋_GB2312"/>
          <w:b w:val="0"/>
          <w:bCs/>
          <w:color w:val="000000"/>
          <w:sz w:val="32"/>
          <w:szCs w:val="32"/>
        </w:rPr>
        <w:t>7.城乡社区（类）城乡社区管理事务（款）工程建设标准规范编制与监管（项）:</w:t>
      </w:r>
      <w:r>
        <w:rPr>
          <w:rStyle w:val="15"/>
          <w:rFonts w:eastAsia="仿宋_GB2312"/>
          <w:b w:val="0"/>
          <w:color w:val="000000"/>
          <w:sz w:val="32"/>
          <w:szCs w:val="32"/>
        </w:rPr>
        <w:t>支出决算为268.98万元，完成预算100%。决算数等于预算数。</w:t>
      </w:r>
    </w:p>
    <w:p>
      <w:pPr>
        <w:spacing w:line="600" w:lineRule="exact"/>
        <w:ind w:firstLine="640" w:firstLineChars="200"/>
        <w:rPr>
          <w:rFonts w:eastAsia="仿宋_GB2312"/>
          <w:color w:val="000000"/>
          <w:sz w:val="32"/>
          <w:szCs w:val="32"/>
        </w:rPr>
      </w:pPr>
      <w:r>
        <w:rPr>
          <w:rStyle w:val="15"/>
          <w:rFonts w:eastAsia="仿宋_GB2312"/>
          <w:b w:val="0"/>
          <w:bCs/>
          <w:color w:val="000000"/>
          <w:sz w:val="32"/>
          <w:szCs w:val="32"/>
        </w:rPr>
        <w:t>8</w:t>
      </w:r>
      <w:r>
        <w:rPr>
          <w:rStyle w:val="15"/>
          <w:rFonts w:hint="eastAsia" w:eastAsia="仿宋_GB2312"/>
          <w:b w:val="0"/>
          <w:bCs/>
          <w:color w:val="000000"/>
          <w:sz w:val="32"/>
          <w:szCs w:val="32"/>
        </w:rPr>
        <w:t>.</w:t>
      </w:r>
      <w:r>
        <w:rPr>
          <w:rStyle w:val="15"/>
          <w:rFonts w:eastAsia="仿宋_GB2312"/>
          <w:b w:val="0"/>
          <w:bCs/>
          <w:color w:val="000000"/>
          <w:sz w:val="32"/>
          <w:szCs w:val="32"/>
        </w:rPr>
        <w:t>城乡社区（类）城乡社区管理事务（款）工程建设管理（项）:</w:t>
      </w:r>
      <w:r>
        <w:rPr>
          <w:rStyle w:val="15"/>
          <w:rFonts w:eastAsia="仿宋_GB2312"/>
          <w:b w:val="0"/>
          <w:color w:val="000000"/>
          <w:sz w:val="32"/>
          <w:szCs w:val="32"/>
        </w:rPr>
        <w:t>支出决算为0.18万元，完成预算100%。决算数等于预算数。</w:t>
      </w:r>
    </w:p>
    <w:p>
      <w:pPr>
        <w:spacing w:line="600" w:lineRule="exact"/>
        <w:ind w:firstLine="640" w:firstLineChars="200"/>
        <w:rPr>
          <w:rFonts w:eastAsia="仿宋_GB2312"/>
          <w:b/>
          <w:sz w:val="32"/>
          <w:szCs w:val="32"/>
        </w:rPr>
      </w:pPr>
      <w:r>
        <w:rPr>
          <w:rStyle w:val="15"/>
          <w:rFonts w:eastAsia="仿宋_GB2312"/>
          <w:b w:val="0"/>
          <w:bCs/>
          <w:color w:val="000000"/>
          <w:sz w:val="32"/>
          <w:szCs w:val="32"/>
        </w:rPr>
        <w:t>9.</w:t>
      </w:r>
      <w:r>
        <w:rPr>
          <w:rFonts w:eastAsia="仿宋_GB2312"/>
          <w:bCs/>
          <w:color w:val="000000"/>
          <w:sz w:val="32"/>
          <w:szCs w:val="32"/>
        </w:rPr>
        <w:t>住房保障</w:t>
      </w:r>
      <w:r>
        <w:rPr>
          <w:rStyle w:val="15"/>
          <w:rFonts w:eastAsia="仿宋_GB2312"/>
          <w:b w:val="0"/>
          <w:bCs/>
          <w:color w:val="000000"/>
          <w:sz w:val="32"/>
          <w:szCs w:val="32"/>
        </w:rPr>
        <w:t>（类）住房改革（款）住房公积金（项）:</w:t>
      </w:r>
      <w:r>
        <w:rPr>
          <w:rStyle w:val="15"/>
          <w:rFonts w:eastAsia="仿宋_GB2312"/>
          <w:b w:val="0"/>
          <w:color w:val="000000"/>
          <w:sz w:val="32"/>
          <w:szCs w:val="32"/>
        </w:rPr>
        <w:t>支出决算为26.40万元，完成预算100%。决算数等于预算数。</w:t>
      </w:r>
    </w:p>
    <w:p>
      <w:pPr>
        <w:pStyle w:val="10"/>
        <w:rPr>
          <w:rFonts w:eastAsia="仿宋_GB2312"/>
        </w:rPr>
      </w:pPr>
    </w:p>
    <w:p>
      <w:pPr>
        <w:tabs>
          <w:tab w:val="right" w:pos="8306"/>
        </w:tabs>
        <w:spacing w:line="600" w:lineRule="exact"/>
        <w:ind w:firstLine="640" w:firstLineChars="200"/>
        <w:outlineLvl w:val="1"/>
        <w:rPr>
          <w:rStyle w:val="20"/>
          <w:rFonts w:ascii="Times New Roman" w:hAnsi="Times New Roman" w:cs="Times New Roman"/>
        </w:rPr>
      </w:pPr>
      <w:r>
        <w:rPr>
          <w:rFonts w:eastAsia="黑体"/>
          <w:sz w:val="32"/>
          <w:szCs w:val="32"/>
        </w:rPr>
        <w:t>六</w:t>
      </w:r>
      <w:r>
        <w:rPr>
          <w:rFonts w:eastAsia="黑体"/>
          <w:b/>
          <w:sz w:val="32"/>
          <w:szCs w:val="32"/>
        </w:rPr>
        <w:t>、一</w:t>
      </w:r>
      <w:r>
        <w:rPr>
          <w:rStyle w:val="20"/>
          <w:rFonts w:ascii="Times New Roman" w:eastAsia="黑体" w:cs="Times New Roman"/>
        </w:rPr>
        <w:t>般公共预算财政拨款基本支出决算情况说明</w:t>
      </w:r>
      <w:r>
        <w:rPr>
          <w:rStyle w:val="20"/>
          <w:rFonts w:ascii="Times New Roman" w:hAnsi="Times New Roman" w:eastAsia="黑体" w:cs="Times New Roman"/>
        </w:rPr>
        <w:tab/>
      </w:r>
    </w:p>
    <w:p>
      <w:pPr>
        <w:spacing w:line="600" w:lineRule="exact"/>
        <w:ind w:firstLine="640"/>
        <w:rPr>
          <w:rFonts w:eastAsia="仿宋_GB2312"/>
          <w:sz w:val="32"/>
          <w:szCs w:val="32"/>
        </w:rPr>
      </w:pPr>
      <w:r>
        <w:rPr>
          <w:rFonts w:eastAsia="仿宋_GB2312"/>
          <w:sz w:val="32"/>
          <w:szCs w:val="32"/>
        </w:rPr>
        <w:t>2025年度一般公共预算财政拨款基本支出400.84</w:t>
      </w:r>
      <w:r>
        <w:rPr>
          <w:rFonts w:hAnsi="仿宋_GB2312" w:eastAsia="仿宋_GB2312"/>
          <w:sz w:val="32"/>
          <w:szCs w:val="32"/>
        </w:rPr>
        <w:t>万</w:t>
      </w:r>
      <w:r>
        <w:rPr>
          <w:rFonts w:eastAsia="仿宋_GB2312"/>
          <w:sz w:val="32"/>
          <w:szCs w:val="32"/>
        </w:rPr>
        <w:t>元，其中：</w:t>
      </w:r>
    </w:p>
    <w:p>
      <w:pPr>
        <w:spacing w:line="600" w:lineRule="exact"/>
        <w:ind w:firstLine="640"/>
        <w:rPr>
          <w:rFonts w:eastAsia="仿宋_GB2312"/>
          <w:sz w:val="32"/>
          <w:szCs w:val="32"/>
        </w:rPr>
      </w:pPr>
      <w:r>
        <w:rPr>
          <w:rFonts w:eastAsia="仿宋_GB2312"/>
          <w:sz w:val="32"/>
          <w:szCs w:val="32"/>
        </w:rPr>
        <w:t>人员经费383.45</w:t>
      </w:r>
      <w:r>
        <w:rPr>
          <w:rFonts w:hAnsi="仿宋_GB2312" w:eastAsia="仿宋_GB2312"/>
          <w:sz w:val="32"/>
          <w:szCs w:val="32"/>
        </w:rPr>
        <w:t>万</w:t>
      </w:r>
      <w:r>
        <w:rPr>
          <w:rFonts w:eastAsia="仿宋_GB2312"/>
          <w:sz w:val="32"/>
          <w:szCs w:val="32"/>
        </w:rPr>
        <w:t>元，主要包括：基本工资、津贴补贴、绩效工资、机关事业单位基本养老保险缴费、</w:t>
      </w:r>
      <w:r>
        <w:rPr>
          <w:rFonts w:hint="eastAsia" w:eastAsia="仿宋_GB2312"/>
          <w:sz w:val="32"/>
          <w:szCs w:val="32"/>
        </w:rPr>
        <w:t>职工基本医疗保险缴费、公务员医疗补助缴费</w:t>
      </w:r>
      <w:r>
        <w:rPr>
          <w:rFonts w:eastAsia="仿宋_GB2312"/>
          <w:sz w:val="32"/>
          <w:szCs w:val="32"/>
        </w:rPr>
        <w:t>、其他社会保障缴费、住房公积金、其他工资福利支出、生活补助、医疗费补助、奖励金</w:t>
      </w:r>
      <w:r>
        <w:rPr>
          <w:rFonts w:hint="eastAsia" w:eastAsia="仿宋_GB2312"/>
          <w:sz w:val="32"/>
          <w:szCs w:val="32"/>
        </w:rPr>
        <w:t>、其他对个人和家庭的补助</w:t>
      </w:r>
      <w:r>
        <w:rPr>
          <w:rFonts w:eastAsia="仿宋_GB2312"/>
          <w:sz w:val="32"/>
          <w:szCs w:val="32"/>
        </w:rPr>
        <w:t>等。</w:t>
      </w:r>
      <w:r>
        <w:rPr>
          <w:rFonts w:eastAsia="仿宋_GB2312"/>
          <w:sz w:val="32"/>
          <w:szCs w:val="32"/>
        </w:rPr>
        <w:br w:type="textWrapping"/>
      </w:r>
      <w:r>
        <w:rPr>
          <w:rFonts w:eastAsia="仿宋_GB2312"/>
          <w:sz w:val="32"/>
          <w:szCs w:val="32"/>
        </w:rPr>
        <w:t xml:space="preserve">    公用经费17.39</w:t>
      </w:r>
      <w:r>
        <w:rPr>
          <w:rFonts w:hAnsi="仿宋_GB2312" w:eastAsia="仿宋_GB2312"/>
          <w:sz w:val="32"/>
          <w:szCs w:val="32"/>
        </w:rPr>
        <w:t>万</w:t>
      </w:r>
      <w:r>
        <w:rPr>
          <w:rFonts w:eastAsia="仿宋_GB2312"/>
          <w:sz w:val="32"/>
          <w:szCs w:val="32"/>
        </w:rPr>
        <w:t>元，主要包括：办公费、水费、电费、邮电费、物业管理费、差旅费、劳务费、工会经费、福利费、公务用车运行维护费、其他交通费、其他商品和服务支出、等。</w:t>
      </w:r>
    </w:p>
    <w:p>
      <w:pPr>
        <w:numPr>
          <w:ilvl w:val="0"/>
          <w:numId w:val="2"/>
        </w:numPr>
        <w:spacing w:line="600" w:lineRule="exact"/>
        <w:ind w:firstLine="642" w:firstLineChars="200"/>
        <w:outlineLvl w:val="1"/>
        <w:rPr>
          <w:rFonts w:eastAsia="楷体_GB2312"/>
          <w:b/>
          <w:sz w:val="32"/>
          <w:szCs w:val="32"/>
        </w:rPr>
      </w:pPr>
      <w:r>
        <w:rPr>
          <w:rStyle w:val="20"/>
          <w:rFonts w:ascii="Times New Roman" w:eastAsia="黑体" w:cs="Times New Roman"/>
        </w:rPr>
        <w:t>财政拨款</w:t>
      </w:r>
      <w:r>
        <w:rPr>
          <w:rStyle w:val="20"/>
          <w:rFonts w:ascii="Times New Roman" w:hAnsi="Times New Roman" w:eastAsia="黑体" w:cs="Times New Roman"/>
        </w:rPr>
        <w:t>“</w:t>
      </w:r>
      <w:r>
        <w:rPr>
          <w:rStyle w:val="20"/>
          <w:rFonts w:ascii="Times New Roman" w:eastAsia="黑体" w:cs="Times New Roman"/>
        </w:rPr>
        <w:t>三公</w:t>
      </w:r>
      <w:r>
        <w:rPr>
          <w:rStyle w:val="20"/>
          <w:rFonts w:ascii="Times New Roman" w:hAnsi="Times New Roman" w:eastAsia="黑体" w:cs="Times New Roman"/>
        </w:rPr>
        <w:t>”</w:t>
      </w:r>
      <w:r>
        <w:rPr>
          <w:rStyle w:val="20"/>
          <w:rFonts w:ascii="Times New Roman" w:eastAsia="黑体" w:cs="Times New Roman"/>
        </w:rPr>
        <w:t>经费支出决算情况说明</w:t>
      </w:r>
    </w:p>
    <w:p>
      <w:pPr>
        <w:spacing w:line="600" w:lineRule="exact"/>
        <w:ind w:firstLine="642" w:firstLineChars="200"/>
        <w:outlineLvl w:val="1"/>
        <w:rPr>
          <w:rFonts w:eastAsia="楷体_GB2312"/>
          <w:b/>
          <w:sz w:val="32"/>
          <w:szCs w:val="32"/>
        </w:rPr>
      </w:pPr>
      <w:r>
        <w:rPr>
          <w:rFonts w:eastAsia="楷体_GB2312"/>
          <w:b/>
          <w:sz w:val="32"/>
          <w:szCs w:val="32"/>
        </w:rPr>
        <w:t>（一）“三公”经费财政拨款支出决算总体情况说明</w:t>
      </w:r>
    </w:p>
    <w:p>
      <w:pPr>
        <w:spacing w:line="600" w:lineRule="exact"/>
        <w:ind w:firstLine="640" w:firstLineChars="200"/>
        <w:rPr>
          <w:rFonts w:eastAsia="仿宋_GB2312"/>
          <w:sz w:val="32"/>
          <w:szCs w:val="32"/>
        </w:rPr>
      </w:pPr>
      <w:r>
        <w:rPr>
          <w:rFonts w:eastAsia="仿宋_GB2312"/>
          <w:sz w:val="32"/>
          <w:szCs w:val="32"/>
        </w:rPr>
        <w:t>2025年度“三公”经费财政拨款支出决算为0.29万元，完成预算100%，较上年度减少0.60万元，减少67.42%。决算数与预算数持平。主要原因是厉行节约，严格政府过</w:t>
      </w:r>
      <w:r>
        <w:rPr>
          <w:rFonts w:hint="eastAsia" w:eastAsia="仿宋_GB2312"/>
          <w:sz w:val="32"/>
          <w:szCs w:val="32"/>
          <w:lang w:eastAsia="zh-CN"/>
        </w:rPr>
        <w:t>“</w:t>
      </w:r>
      <w:r>
        <w:rPr>
          <w:rFonts w:eastAsia="仿宋_GB2312"/>
          <w:sz w:val="32"/>
          <w:szCs w:val="32"/>
        </w:rPr>
        <w:t>紧日子</w:t>
      </w:r>
      <w:r>
        <w:rPr>
          <w:rFonts w:hint="eastAsia" w:eastAsia="仿宋_GB2312"/>
          <w:sz w:val="32"/>
          <w:szCs w:val="32"/>
          <w:lang w:eastAsia="zh-CN"/>
        </w:rPr>
        <w:t>”</w:t>
      </w:r>
      <w:r>
        <w:rPr>
          <w:rFonts w:eastAsia="仿宋_GB2312"/>
          <w:sz w:val="32"/>
          <w:szCs w:val="32"/>
        </w:rPr>
        <w:t>要求，2025年度加油使用油卡原有余额，非必要不使用公务用车。</w:t>
      </w:r>
    </w:p>
    <w:p>
      <w:pPr>
        <w:spacing w:line="600" w:lineRule="exact"/>
        <w:ind w:firstLine="642" w:firstLineChars="200"/>
        <w:rPr>
          <w:rFonts w:eastAsia="楷体_GB2312"/>
          <w:b/>
          <w:sz w:val="32"/>
          <w:szCs w:val="32"/>
        </w:rPr>
      </w:pPr>
      <w:r>
        <w:rPr>
          <w:rFonts w:eastAsia="楷体_GB2312"/>
          <w:b/>
          <w:sz w:val="32"/>
          <w:szCs w:val="32"/>
        </w:rPr>
        <w:t>（二）“三公”经费财政拨款支出决算具体情况说明</w:t>
      </w:r>
    </w:p>
    <w:p>
      <w:pPr>
        <w:spacing w:line="600" w:lineRule="exact"/>
        <w:ind w:firstLine="640" w:firstLineChars="200"/>
        <w:rPr>
          <w:rFonts w:eastAsia="仿宋_GB2312"/>
          <w:sz w:val="32"/>
          <w:szCs w:val="32"/>
        </w:rPr>
      </w:pPr>
      <w:r>
        <w:rPr>
          <w:rFonts w:eastAsia="仿宋_GB2312"/>
          <w:sz w:val="32"/>
          <w:szCs w:val="32"/>
        </w:rPr>
        <w:t>2025年度“三公”经费财政拨款支出决算中，因公出国（境）费支出决算0万元，占0%；公务用车购置及运行维护费支出决算0.29万元，占100%；公务接待费支出决算0万元，占0%。具体情况如下：</w:t>
      </w:r>
    </w:p>
    <w:p>
      <w:pPr>
        <w:spacing w:line="600" w:lineRule="exact"/>
        <w:ind w:firstLine="640" w:firstLineChars="200"/>
        <w:rPr>
          <w:rFonts w:eastAsia="仿宋_GB2312"/>
          <w:sz w:val="32"/>
          <w:szCs w:val="32"/>
        </w:rPr>
      </w:pPr>
    </w:p>
    <w:p>
      <w:pPr>
        <w:pStyle w:val="10"/>
        <w:rPr>
          <w:rFonts w:eastAsia="仿宋_GB2312"/>
          <w:sz w:val="32"/>
          <w:szCs w:val="32"/>
        </w:rPr>
      </w:pPr>
      <w:r>
        <w:drawing>
          <wp:inline distT="0" distB="0" distL="0" distR="0">
            <wp:extent cx="4606925" cy="1658620"/>
            <wp:effectExtent l="4445" t="4445" r="17780" b="1333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spacing w:line="600" w:lineRule="exact"/>
        <w:ind w:firstLine="640" w:firstLineChars="200"/>
        <w:rPr>
          <w:rFonts w:eastAsia="仿宋_GB2312"/>
          <w:sz w:val="32"/>
          <w:szCs w:val="32"/>
        </w:rPr>
      </w:pPr>
      <w:r>
        <w:rPr>
          <w:rFonts w:eastAsia="仿宋_GB2312"/>
          <w:sz w:val="32"/>
          <w:szCs w:val="32"/>
        </w:rPr>
        <w:t>（图7：“三公”经费财政拨款支出结构）</w:t>
      </w:r>
    </w:p>
    <w:p>
      <w:pPr>
        <w:spacing w:line="600" w:lineRule="exact"/>
        <w:ind w:firstLine="640" w:firstLineChars="200"/>
        <w:rPr>
          <w:rFonts w:eastAsia="仿宋_GB2312"/>
          <w:sz w:val="32"/>
          <w:szCs w:val="32"/>
        </w:rPr>
      </w:pPr>
      <w:r>
        <w:rPr>
          <w:rFonts w:eastAsia="仿宋_GB2312"/>
          <w:bCs/>
          <w:sz w:val="32"/>
          <w:szCs w:val="32"/>
        </w:rPr>
        <w:t>1.因公出国（境）经费支出0万元，</w:t>
      </w:r>
      <w:r>
        <w:rPr>
          <w:rFonts w:eastAsia="仿宋_GB2312"/>
          <w:sz w:val="32"/>
          <w:szCs w:val="32"/>
        </w:rPr>
        <w:t>2025年无</w:t>
      </w:r>
      <w:r>
        <w:rPr>
          <w:rStyle w:val="15"/>
          <w:rFonts w:eastAsia="仿宋_GB2312"/>
          <w:b w:val="0"/>
          <w:bCs/>
          <w:sz w:val="32"/>
          <w:szCs w:val="32"/>
        </w:rPr>
        <w:t>预算安排</w:t>
      </w:r>
      <w:r>
        <w:rPr>
          <w:rStyle w:val="15"/>
          <w:rFonts w:eastAsia="仿宋_GB2312"/>
          <w:bCs/>
          <w:sz w:val="32"/>
          <w:szCs w:val="32"/>
        </w:rPr>
        <w:t>。</w:t>
      </w:r>
      <w:r>
        <w:rPr>
          <w:rFonts w:eastAsia="仿宋_GB2312"/>
          <w:sz w:val="32"/>
          <w:szCs w:val="32"/>
        </w:rPr>
        <w:t>全年安排因公出国（境）团组0次，出国（境）0人。因公出国（境）支出决算与2024年无变化。</w:t>
      </w:r>
    </w:p>
    <w:p>
      <w:pPr>
        <w:spacing w:line="600" w:lineRule="exact"/>
        <w:ind w:firstLine="640" w:firstLineChars="200"/>
        <w:rPr>
          <w:rFonts w:eastAsia="仿宋_GB2312"/>
          <w:sz w:val="32"/>
          <w:szCs w:val="32"/>
        </w:rPr>
      </w:pPr>
      <w:r>
        <w:rPr>
          <w:rFonts w:eastAsia="仿宋_GB2312"/>
          <w:bCs/>
          <w:sz w:val="32"/>
          <w:szCs w:val="32"/>
        </w:rPr>
        <w:t>2.公务用车购置及运行维护费支出0.29万元，完成预算100%。</w:t>
      </w:r>
      <w:r>
        <w:rPr>
          <w:rFonts w:eastAsia="仿宋_GB2312"/>
          <w:sz w:val="32"/>
          <w:szCs w:val="32"/>
        </w:rPr>
        <w:t>公务用车购置及运行维护费支出决算比2024年度减少0.60万元，减少67.42%。</w:t>
      </w:r>
      <w:bookmarkStart w:id="7" w:name="OLE_LINK3"/>
      <w:r>
        <w:rPr>
          <w:rFonts w:eastAsia="仿宋_GB2312"/>
          <w:sz w:val="32"/>
          <w:szCs w:val="32"/>
        </w:rPr>
        <w:t>主要原因是厉行节约，严格政府过“紧日子”要求，2025年度加油使用油卡原有余额，非必要不使用公务用车。</w:t>
      </w:r>
    </w:p>
    <w:bookmarkEnd w:id="7"/>
    <w:p>
      <w:pPr>
        <w:spacing w:line="600" w:lineRule="exact"/>
        <w:ind w:firstLine="640"/>
        <w:rPr>
          <w:rFonts w:eastAsia="仿宋_GB2312"/>
          <w:sz w:val="32"/>
          <w:szCs w:val="32"/>
        </w:rPr>
      </w:pPr>
      <w:r>
        <w:rPr>
          <w:rFonts w:eastAsia="仿宋_GB2312"/>
          <w:sz w:val="32"/>
          <w:szCs w:val="32"/>
        </w:rPr>
        <w:t>其中：公务用车购置支出0万元。全年按规定更新购置公务用车0辆，其中：轿车0辆、金额0万元，越野车0辆、金额0万元，载客汽车0辆、金额0万元。截至2025年12月31日，单位共有公务用车1辆，其中：轿车0辆、越野车1辆、载客汽车0辆。</w:t>
      </w:r>
    </w:p>
    <w:p>
      <w:pPr>
        <w:spacing w:line="600" w:lineRule="exact"/>
        <w:ind w:firstLine="640"/>
        <w:rPr>
          <w:rFonts w:eastAsia="仿宋_GB2312"/>
          <w:sz w:val="32"/>
          <w:szCs w:val="32"/>
        </w:rPr>
      </w:pPr>
      <w:r>
        <w:rPr>
          <w:rFonts w:eastAsia="仿宋_GB2312"/>
          <w:sz w:val="32"/>
          <w:szCs w:val="32"/>
        </w:rPr>
        <w:t>公务用车运行维护费支出0.29万元。主要用于单位日常工作及建筑业材料和人工费价格调查等工作所需的公务用车维修保养费、过路过桥费、保险费等支出。</w:t>
      </w:r>
    </w:p>
    <w:p>
      <w:pPr>
        <w:spacing w:line="600" w:lineRule="exact"/>
        <w:ind w:firstLine="640"/>
        <w:rPr>
          <w:rFonts w:eastAsia="仿宋_GB2312"/>
          <w:sz w:val="32"/>
          <w:szCs w:val="32"/>
        </w:rPr>
      </w:pPr>
      <w:r>
        <w:rPr>
          <w:rFonts w:eastAsia="仿宋_GB2312"/>
          <w:bCs/>
          <w:sz w:val="32"/>
          <w:szCs w:val="32"/>
        </w:rPr>
        <w:t>3.公务接待费支出0万元，完成预算100%。</w:t>
      </w:r>
      <w:r>
        <w:rPr>
          <w:rFonts w:eastAsia="仿宋_GB2312"/>
          <w:sz w:val="32"/>
          <w:szCs w:val="32"/>
        </w:rPr>
        <w:t>公务接待费支出决算与2024年无变化。其中：</w:t>
      </w:r>
    </w:p>
    <w:p>
      <w:pPr>
        <w:spacing w:line="600" w:lineRule="exact"/>
        <w:ind w:firstLine="640"/>
        <w:rPr>
          <w:rFonts w:eastAsia="仿宋_GB2312"/>
          <w:sz w:val="32"/>
          <w:szCs w:val="32"/>
        </w:rPr>
      </w:pPr>
      <w:r>
        <w:rPr>
          <w:rFonts w:eastAsia="仿宋_GB2312"/>
          <w:sz w:val="32"/>
          <w:szCs w:val="32"/>
        </w:rPr>
        <w:t>国内公务接待支出0万元。国内公务接待0批次，0人次（不包括陪同人员），共计支出0万元。</w:t>
      </w:r>
    </w:p>
    <w:p>
      <w:pPr>
        <w:spacing w:line="600" w:lineRule="exact"/>
        <w:ind w:firstLine="640"/>
        <w:rPr>
          <w:rFonts w:eastAsia="仿宋_GB2312"/>
          <w:sz w:val="32"/>
          <w:szCs w:val="32"/>
        </w:rPr>
      </w:pPr>
      <w:r>
        <w:rPr>
          <w:rFonts w:eastAsia="仿宋_GB2312"/>
          <w:sz w:val="32"/>
          <w:szCs w:val="32"/>
        </w:rPr>
        <w:t>外事接待支出0万元。外事接待0批次，0人次（不包括陪同人员），共计支出0万元。</w:t>
      </w:r>
    </w:p>
    <w:p>
      <w:pPr>
        <w:spacing w:line="600" w:lineRule="exact"/>
        <w:ind w:firstLine="640"/>
        <w:outlineLvl w:val="1"/>
        <w:rPr>
          <w:rStyle w:val="20"/>
          <w:rFonts w:ascii="Times New Roman" w:hAnsi="Times New Roman" w:eastAsia="黑体" w:cs="Times New Roman"/>
        </w:rPr>
      </w:pPr>
      <w:r>
        <w:rPr>
          <w:rFonts w:eastAsia="黑体"/>
          <w:sz w:val="32"/>
          <w:szCs w:val="32"/>
        </w:rPr>
        <w:t>八、</w:t>
      </w:r>
      <w:r>
        <w:rPr>
          <w:rStyle w:val="20"/>
          <w:rFonts w:ascii="Times New Roman" w:hAnsi="Times New Roman" w:eastAsia="黑体" w:cs="Times New Roman"/>
        </w:rPr>
        <w:t>政府性基金预算支出决算情况说明</w:t>
      </w:r>
    </w:p>
    <w:p>
      <w:pPr>
        <w:spacing w:line="600" w:lineRule="exact"/>
        <w:ind w:firstLine="640"/>
        <w:rPr>
          <w:rFonts w:eastAsia="仿宋_GB2312"/>
          <w:sz w:val="32"/>
          <w:szCs w:val="32"/>
        </w:rPr>
      </w:pPr>
      <w:r>
        <w:rPr>
          <w:rFonts w:eastAsia="仿宋_GB2312"/>
          <w:sz w:val="32"/>
          <w:szCs w:val="32"/>
        </w:rPr>
        <w:t>2025年度政府性基金预算财政拨款支出0万元，占本年支出合计的0%。与2024年度相比，政府性基金预算财政拨款支出一致。</w:t>
      </w:r>
    </w:p>
    <w:p>
      <w:pPr>
        <w:spacing w:line="600" w:lineRule="exact"/>
        <w:ind w:left="630"/>
        <w:outlineLvl w:val="1"/>
        <w:rPr>
          <w:rStyle w:val="20"/>
          <w:rFonts w:ascii="Times New Roman" w:hAnsi="Times New Roman" w:eastAsia="黑体" w:cs="Times New Roman"/>
          <w:b w:val="0"/>
        </w:rPr>
      </w:pPr>
      <w:r>
        <w:rPr>
          <w:rStyle w:val="20"/>
          <w:rFonts w:ascii="Times New Roman" w:hAnsi="Times New Roman" w:eastAsia="黑体" w:cs="Times New Roman"/>
        </w:rPr>
        <w:t>九、国有资本经营预算支出决算情况说明</w:t>
      </w:r>
    </w:p>
    <w:p>
      <w:pPr>
        <w:spacing w:line="600" w:lineRule="exact"/>
        <w:ind w:firstLine="640"/>
        <w:rPr>
          <w:rFonts w:eastAsia="仿宋_GB2312"/>
          <w:sz w:val="32"/>
          <w:szCs w:val="32"/>
        </w:rPr>
      </w:pPr>
      <w:r>
        <w:rPr>
          <w:rFonts w:eastAsia="仿宋_GB2312"/>
          <w:sz w:val="32"/>
          <w:szCs w:val="32"/>
        </w:rPr>
        <w:t>2025年度国有资本经营预算财政拨款支出0万元，占本年支出合计的0%。与2024年度相比，国有资本经营预算财政拨款支出一致。</w:t>
      </w:r>
    </w:p>
    <w:p>
      <w:pPr>
        <w:spacing w:line="600" w:lineRule="exact"/>
        <w:ind w:left="630"/>
        <w:outlineLvl w:val="1"/>
        <w:rPr>
          <w:rStyle w:val="20"/>
          <w:rFonts w:ascii="Times New Roman" w:hAnsi="Times New Roman" w:eastAsia="黑体" w:cs="Times New Roman"/>
          <w:b w:val="0"/>
        </w:rPr>
      </w:pPr>
      <w:r>
        <w:rPr>
          <w:rStyle w:val="20"/>
          <w:rFonts w:ascii="Times New Roman" w:hAnsi="Times New Roman" w:eastAsia="黑体" w:cs="Times New Roman"/>
        </w:rPr>
        <w:t>十、其他重要事项的情况说明</w:t>
      </w:r>
    </w:p>
    <w:p>
      <w:pPr>
        <w:spacing w:line="600" w:lineRule="exact"/>
        <w:ind w:firstLine="642" w:firstLineChars="200"/>
        <w:outlineLvl w:val="2"/>
        <w:rPr>
          <w:rFonts w:eastAsia="楷体_GB2312"/>
          <w:b/>
          <w:sz w:val="32"/>
          <w:szCs w:val="32"/>
        </w:rPr>
      </w:pPr>
      <w:r>
        <w:rPr>
          <w:rFonts w:eastAsia="楷体_GB2312"/>
          <w:b/>
          <w:sz w:val="32"/>
          <w:szCs w:val="32"/>
        </w:rPr>
        <w:t>（一）机关运行经费支出情况</w:t>
      </w:r>
    </w:p>
    <w:p>
      <w:pPr>
        <w:spacing w:line="600" w:lineRule="exact"/>
        <w:ind w:firstLine="640" w:firstLineChars="200"/>
        <w:rPr>
          <w:rFonts w:eastAsia="仿宋_GB2312"/>
          <w:sz w:val="32"/>
          <w:szCs w:val="32"/>
        </w:rPr>
      </w:pPr>
      <w:r>
        <w:rPr>
          <w:rFonts w:eastAsia="仿宋_GB2312"/>
          <w:sz w:val="32"/>
          <w:szCs w:val="32"/>
        </w:rPr>
        <w:t>2025年度，攀枝花市建设工程造价站机关运行经费支出0万元，与2024年度决算数持平。主要原因是攀枝花市建设工程造价站系市住建局下属全额拨款事业单位，无机关运行经费。</w:t>
      </w:r>
    </w:p>
    <w:p>
      <w:pPr>
        <w:spacing w:line="600" w:lineRule="exact"/>
        <w:ind w:firstLine="642" w:firstLineChars="200"/>
        <w:outlineLvl w:val="2"/>
        <w:rPr>
          <w:rFonts w:eastAsia="楷体_GB2312"/>
          <w:b/>
          <w:sz w:val="32"/>
          <w:szCs w:val="32"/>
        </w:rPr>
      </w:pPr>
      <w:r>
        <w:rPr>
          <w:rFonts w:eastAsia="楷体_GB2312"/>
          <w:b/>
          <w:sz w:val="32"/>
          <w:szCs w:val="32"/>
        </w:rPr>
        <w:t>（二）政府采购支出情况</w:t>
      </w:r>
    </w:p>
    <w:p>
      <w:pPr>
        <w:spacing w:line="600" w:lineRule="exact"/>
        <w:ind w:firstLine="640"/>
        <w:rPr>
          <w:rFonts w:eastAsia="仿宋_GB2312"/>
          <w:sz w:val="32"/>
          <w:szCs w:val="32"/>
        </w:rPr>
      </w:pPr>
      <w:r>
        <w:rPr>
          <w:rFonts w:eastAsia="仿宋_GB2312"/>
          <w:sz w:val="32"/>
          <w:szCs w:val="32"/>
        </w:rPr>
        <w:t>2025年度，攀枝花市建设工程造价站政府采购支出总额0.22万元，其中：政府采购货物支出0万元、政府采购工程支出0万元、政府采购服务支出</w:t>
      </w:r>
      <w:r>
        <w:rPr>
          <w:rFonts w:eastAsia="仿宋_GB2312"/>
          <w:color w:val="000000" w:themeColor="text1"/>
          <w:sz w:val="32"/>
          <w:szCs w:val="32"/>
          <w14:textFill>
            <w14:solidFill>
              <w14:schemeClr w14:val="tx1"/>
            </w14:solidFill>
          </w14:textFill>
        </w:rPr>
        <w:t>0.22万元。主要用于单位公务用车维修保养、车辆保险等服务。授予中小企业合同金额0.22万元，占政府采购支出总额的100%，其中：授予小微企业合同金额0.22万元</w:t>
      </w:r>
      <w:r>
        <w:rPr>
          <w:rFonts w:eastAsia="仿宋_GB2312"/>
          <w:sz w:val="32"/>
          <w:szCs w:val="32"/>
        </w:rPr>
        <w:t>，占政府采购支出总额的100%。</w:t>
      </w:r>
    </w:p>
    <w:p>
      <w:pPr>
        <w:spacing w:line="600" w:lineRule="exact"/>
        <w:ind w:firstLine="642" w:firstLineChars="200"/>
        <w:outlineLvl w:val="2"/>
        <w:rPr>
          <w:rFonts w:eastAsia="楷体_GB2312"/>
          <w:b/>
          <w:sz w:val="32"/>
          <w:szCs w:val="32"/>
        </w:rPr>
      </w:pPr>
      <w:r>
        <w:rPr>
          <w:rFonts w:eastAsia="楷体_GB2312"/>
          <w:b/>
          <w:sz w:val="32"/>
          <w:szCs w:val="32"/>
        </w:rPr>
        <w:t>（三）国有资产占有使用情况</w:t>
      </w:r>
    </w:p>
    <w:p>
      <w:pPr>
        <w:spacing w:line="600" w:lineRule="exact"/>
        <w:ind w:firstLine="640"/>
        <w:rPr>
          <w:rFonts w:eastAsia="仿宋_GB2312"/>
          <w:sz w:val="32"/>
          <w:szCs w:val="32"/>
        </w:rPr>
      </w:pPr>
      <w:r>
        <w:rPr>
          <w:rFonts w:eastAsia="仿宋_GB2312"/>
          <w:sz w:val="32"/>
          <w:szCs w:val="32"/>
        </w:rPr>
        <w:t>截至2025年12月31日，攀枝花市建设工程造价站共有车辆1辆，其中：主要负责人用车0辆、机要通信用车0辆、应急保障用车0辆、其他用车1辆，其他用车主要是用于单位日常工作及建筑业材料、人工费价格的采集工作。单价100万元（含）以上设备（不含车辆）0台（套）。</w:t>
      </w:r>
    </w:p>
    <w:p>
      <w:pPr>
        <w:spacing w:line="600" w:lineRule="exact"/>
        <w:ind w:firstLine="642" w:firstLineChars="200"/>
        <w:outlineLvl w:val="2"/>
        <w:rPr>
          <w:rFonts w:eastAsia="楷体_GB2312"/>
          <w:b/>
          <w:sz w:val="32"/>
          <w:szCs w:val="32"/>
        </w:rPr>
      </w:pPr>
      <w:r>
        <w:rPr>
          <w:rFonts w:eastAsia="楷体_GB2312"/>
          <w:b/>
          <w:sz w:val="32"/>
          <w:szCs w:val="32"/>
        </w:rPr>
        <w:t>（四）预算绩效管理情况</w:t>
      </w:r>
    </w:p>
    <w:p>
      <w:pPr>
        <w:spacing w:line="600" w:lineRule="exact"/>
        <w:ind w:firstLine="640"/>
        <w:rPr>
          <w:rFonts w:eastAsia="仿宋_GB2312"/>
          <w:sz w:val="32"/>
          <w:szCs w:val="32"/>
        </w:rPr>
      </w:pPr>
      <w:r>
        <w:rPr>
          <w:rFonts w:eastAsia="仿宋_GB2312"/>
          <w:sz w:val="32"/>
          <w:szCs w:val="32"/>
        </w:rPr>
        <w:t>根据预算绩效管理要求，攀枝花市建设工程造价站在2025年度预算编制阶段，组织对建筑业价格调查等1个项目开展了预算事前绩效评估，对1个项目编制了绩效目标，预算执行过程中，选取1个项目开展绩效监控。</w:t>
      </w:r>
    </w:p>
    <w:p/>
    <w:p>
      <w:pPr>
        <w:widowControl/>
        <w:jc w:val="left"/>
        <w:rPr>
          <w:rFonts w:eastAsia="方正小标宋简体"/>
          <w:bCs/>
          <w:kern w:val="44"/>
          <w:sz w:val="44"/>
          <w:szCs w:val="44"/>
        </w:rPr>
      </w:pPr>
      <w:r>
        <w:rPr>
          <w:rFonts w:eastAsia="方正小标宋简体"/>
          <w:b/>
        </w:rPr>
        <w:br w:type="page"/>
      </w:r>
    </w:p>
    <w:p>
      <w:pPr>
        <w:pStyle w:val="2"/>
        <w:jc w:val="center"/>
        <w:rPr>
          <w:rStyle w:val="19"/>
          <w:rFonts w:eastAsia="方正小标宋简体"/>
          <w:b w:val="0"/>
          <w:bCs/>
        </w:rPr>
      </w:pPr>
      <w:r>
        <w:rPr>
          <w:rFonts w:eastAsia="方正小标宋简体"/>
          <w:b w:val="0"/>
        </w:rPr>
        <w:t>第三部分</w:t>
      </w:r>
      <w:r>
        <w:rPr>
          <w:rFonts w:eastAsia="黑体"/>
          <w:b w:val="0"/>
          <w:bCs w:val="0"/>
        </w:rPr>
        <w:t>名</w:t>
      </w:r>
      <w:r>
        <w:rPr>
          <w:rStyle w:val="19"/>
          <w:rFonts w:eastAsia="黑体"/>
          <w:b w:val="0"/>
          <w:bCs w:val="0"/>
        </w:rPr>
        <w:t>词解释</w:t>
      </w:r>
    </w:p>
    <w:p>
      <w:pPr>
        <w:pStyle w:val="25"/>
        <w:spacing w:line="6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1.财政拨款收入：指单位从同级财政部门取得的财政预算资金。</w:t>
      </w:r>
    </w:p>
    <w:p>
      <w:pPr>
        <w:pStyle w:val="25"/>
        <w:spacing w:line="6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2.社会保障和就业（类）</w:t>
      </w:r>
      <w:r>
        <w:rPr>
          <w:rStyle w:val="15"/>
          <w:rFonts w:ascii="Times New Roman" w:hAnsi="Times New Roman" w:eastAsia="仿宋_GB2312" w:cs="Times New Roman"/>
          <w:b w:val="0"/>
          <w:bCs/>
          <w:sz w:val="32"/>
          <w:szCs w:val="32"/>
        </w:rPr>
        <w:t>人力资源和社会保障管理事务（款）其他人力资源和社会保障管理事务（项）：指事业单位开支的其他人力资源和社会保障管理事务经费。</w:t>
      </w:r>
    </w:p>
    <w:p>
      <w:pPr>
        <w:spacing w:line="640" w:lineRule="exact"/>
        <w:ind w:firstLine="640" w:firstLineChars="200"/>
        <w:rPr>
          <w:rStyle w:val="15"/>
          <w:b w:val="0"/>
          <w:bCs/>
          <w:color w:val="000000"/>
          <w:sz w:val="32"/>
          <w:szCs w:val="32"/>
        </w:rPr>
      </w:pPr>
      <w:r>
        <w:rPr>
          <w:rFonts w:eastAsia="仿宋_GB2312"/>
          <w:color w:val="000000"/>
          <w:sz w:val="32"/>
          <w:szCs w:val="32"/>
        </w:rPr>
        <w:t>3.社会保障和就业（类）</w:t>
      </w:r>
      <w:r>
        <w:rPr>
          <w:rStyle w:val="15"/>
          <w:rFonts w:eastAsia="仿宋_GB2312"/>
          <w:b w:val="0"/>
          <w:bCs/>
          <w:color w:val="000000"/>
          <w:sz w:val="32"/>
          <w:szCs w:val="32"/>
        </w:rPr>
        <w:t>行政事业单位养老（款）事业单位离退休（项）：指事业单位开支的离退休经费。</w:t>
      </w:r>
    </w:p>
    <w:p>
      <w:pPr>
        <w:spacing w:line="640" w:lineRule="exact"/>
        <w:ind w:firstLine="640" w:firstLineChars="200"/>
        <w:rPr>
          <w:sz w:val="32"/>
          <w:szCs w:val="32"/>
        </w:rPr>
      </w:pPr>
      <w:r>
        <w:rPr>
          <w:rFonts w:eastAsia="仿宋_GB2312"/>
          <w:color w:val="000000"/>
          <w:sz w:val="32"/>
          <w:szCs w:val="32"/>
        </w:rPr>
        <w:t>4.社会保障和就业（类）</w:t>
      </w:r>
      <w:r>
        <w:rPr>
          <w:rStyle w:val="15"/>
          <w:rFonts w:eastAsia="仿宋_GB2312"/>
          <w:b w:val="0"/>
          <w:bCs/>
          <w:color w:val="000000"/>
          <w:sz w:val="32"/>
          <w:szCs w:val="32"/>
        </w:rPr>
        <w:t>行政事业单位养老（款）</w:t>
      </w:r>
      <w:r>
        <w:rPr>
          <w:rFonts w:eastAsia="仿宋_GB2312"/>
          <w:color w:val="000000"/>
          <w:sz w:val="32"/>
          <w:szCs w:val="32"/>
        </w:rPr>
        <w:t>机关事业单位基本养老保险缴费支出（项）：指机关事业单位实施养老保险制度由单位缴纳的基本养老保险费支出。</w:t>
      </w:r>
    </w:p>
    <w:p>
      <w:pPr>
        <w:spacing w:line="600" w:lineRule="exact"/>
        <w:ind w:firstLine="640" w:firstLineChars="200"/>
        <w:rPr>
          <w:rStyle w:val="15"/>
          <w:rFonts w:eastAsia="仿宋_GB2312"/>
          <w:b w:val="0"/>
          <w:bCs/>
          <w:sz w:val="32"/>
          <w:szCs w:val="32"/>
        </w:rPr>
      </w:pPr>
      <w:r>
        <w:rPr>
          <w:rFonts w:eastAsia="仿宋_GB2312"/>
          <w:color w:val="000000"/>
          <w:sz w:val="32"/>
          <w:szCs w:val="32"/>
        </w:rPr>
        <w:t>5.</w:t>
      </w:r>
      <w:r>
        <w:rPr>
          <w:rFonts w:eastAsia="仿宋_GB2312"/>
          <w:bCs/>
          <w:sz w:val="32"/>
          <w:szCs w:val="32"/>
        </w:rPr>
        <w:t>卫生健康</w:t>
      </w:r>
      <w:r>
        <w:rPr>
          <w:rStyle w:val="15"/>
          <w:rFonts w:eastAsia="仿宋_GB2312"/>
          <w:b w:val="0"/>
          <w:sz w:val="32"/>
          <w:szCs w:val="32"/>
        </w:rPr>
        <w:t>（类）行政事业单位医疗（款）事业单位医疗（项）</w:t>
      </w:r>
      <w:r>
        <w:rPr>
          <w:rStyle w:val="15"/>
          <w:rFonts w:hint="eastAsia" w:eastAsia="仿宋_GB2312"/>
          <w:b w:val="0"/>
          <w:sz w:val="32"/>
          <w:szCs w:val="32"/>
          <w:lang w:eastAsia="zh-CN"/>
        </w:rPr>
        <w:t>：</w:t>
      </w:r>
      <w:r>
        <w:rPr>
          <w:rStyle w:val="15"/>
          <w:rFonts w:eastAsia="仿宋_GB2312"/>
          <w:b w:val="0"/>
          <w:color w:val="000000"/>
          <w:sz w:val="32"/>
          <w:szCs w:val="32"/>
        </w:rPr>
        <w:t>指事业单位基本医疗保险缴费经费</w:t>
      </w:r>
      <w:r>
        <w:rPr>
          <w:rStyle w:val="15"/>
          <w:rFonts w:eastAsia="仿宋_GB2312"/>
          <w:b w:val="0"/>
          <w:bCs/>
          <w:color w:val="000000"/>
          <w:sz w:val="32"/>
          <w:szCs w:val="32"/>
        </w:rPr>
        <w:t>。</w:t>
      </w:r>
    </w:p>
    <w:p>
      <w:pPr>
        <w:spacing w:line="600" w:lineRule="exact"/>
        <w:ind w:firstLine="640" w:firstLineChars="200"/>
        <w:rPr>
          <w:rStyle w:val="15"/>
          <w:rFonts w:eastAsia="仿宋_GB2312"/>
          <w:b w:val="0"/>
          <w:bCs/>
          <w:color w:val="000000"/>
          <w:sz w:val="32"/>
          <w:szCs w:val="32"/>
        </w:rPr>
      </w:pPr>
      <w:r>
        <w:rPr>
          <w:rStyle w:val="15"/>
          <w:rFonts w:eastAsia="仿宋_GB2312"/>
          <w:b w:val="0"/>
          <w:bCs/>
          <w:color w:val="000000"/>
          <w:sz w:val="32"/>
          <w:szCs w:val="32"/>
        </w:rPr>
        <w:t>6.</w:t>
      </w:r>
      <w:r>
        <w:rPr>
          <w:rFonts w:eastAsia="仿宋_GB2312"/>
          <w:bCs/>
          <w:sz w:val="32"/>
          <w:szCs w:val="32"/>
        </w:rPr>
        <w:t>卫生健康</w:t>
      </w:r>
      <w:r>
        <w:rPr>
          <w:rStyle w:val="15"/>
          <w:rFonts w:eastAsia="仿宋_GB2312"/>
          <w:b w:val="0"/>
          <w:sz w:val="32"/>
          <w:szCs w:val="32"/>
        </w:rPr>
        <w:t>（类）行政事业单位医疗（款）公务员医疗补助（项）</w:t>
      </w:r>
      <w:r>
        <w:rPr>
          <w:rStyle w:val="15"/>
          <w:rFonts w:hint="eastAsia" w:eastAsia="仿宋_GB2312"/>
          <w:b w:val="0"/>
          <w:sz w:val="32"/>
          <w:szCs w:val="32"/>
          <w:lang w:eastAsia="zh-CN"/>
        </w:rPr>
        <w:t>：</w:t>
      </w:r>
      <w:r>
        <w:rPr>
          <w:rStyle w:val="15"/>
          <w:rFonts w:eastAsia="仿宋_GB2312"/>
          <w:b w:val="0"/>
          <w:color w:val="000000"/>
          <w:sz w:val="32"/>
          <w:szCs w:val="32"/>
        </w:rPr>
        <w:t>指行政事业单位缴纳的公务员医疗补助经费。</w:t>
      </w:r>
    </w:p>
    <w:p>
      <w:pPr>
        <w:spacing w:line="600" w:lineRule="exact"/>
        <w:ind w:firstLine="640" w:firstLineChars="200"/>
        <w:rPr>
          <w:rStyle w:val="15"/>
          <w:rFonts w:eastAsia="仿宋_GB2312"/>
          <w:b w:val="0"/>
          <w:color w:val="000000"/>
          <w:sz w:val="32"/>
          <w:szCs w:val="32"/>
        </w:rPr>
      </w:pPr>
      <w:r>
        <w:rPr>
          <w:rStyle w:val="15"/>
          <w:rFonts w:eastAsia="仿宋_GB2312"/>
          <w:b w:val="0"/>
          <w:bCs/>
          <w:color w:val="000000"/>
          <w:sz w:val="32"/>
          <w:szCs w:val="32"/>
        </w:rPr>
        <w:t>7.</w:t>
      </w:r>
      <w:r>
        <w:rPr>
          <w:rFonts w:eastAsia="仿宋_GB2312"/>
          <w:bCs/>
          <w:sz w:val="32"/>
          <w:szCs w:val="32"/>
        </w:rPr>
        <w:t>卫生健康</w:t>
      </w:r>
      <w:r>
        <w:rPr>
          <w:rStyle w:val="15"/>
          <w:rFonts w:eastAsia="仿宋_GB2312"/>
          <w:b w:val="0"/>
          <w:sz w:val="32"/>
          <w:szCs w:val="32"/>
        </w:rPr>
        <w:t>（类）行政事业单位医疗（款）其他行政事业单位医疗（项）:</w:t>
      </w:r>
      <w:r>
        <w:rPr>
          <w:rStyle w:val="15"/>
          <w:rFonts w:eastAsia="仿宋_GB2312"/>
          <w:b w:val="0"/>
          <w:color w:val="000000"/>
          <w:sz w:val="32"/>
          <w:szCs w:val="32"/>
        </w:rPr>
        <w:t>指行政事业单位医疗方面的支出</w:t>
      </w:r>
      <w:r>
        <w:rPr>
          <w:rStyle w:val="15"/>
          <w:rFonts w:eastAsia="仿宋_GB2312"/>
          <w:b w:val="0"/>
          <w:bCs/>
          <w:color w:val="000000"/>
          <w:sz w:val="32"/>
          <w:szCs w:val="32"/>
        </w:rPr>
        <w:t>。</w:t>
      </w:r>
    </w:p>
    <w:p>
      <w:pPr>
        <w:spacing w:line="640" w:lineRule="exact"/>
        <w:ind w:firstLine="640" w:firstLineChars="200"/>
        <w:rPr>
          <w:rStyle w:val="15"/>
          <w:rFonts w:eastAsia="仿宋_GB2312"/>
          <w:b w:val="0"/>
          <w:sz w:val="32"/>
          <w:szCs w:val="32"/>
        </w:rPr>
      </w:pPr>
      <w:r>
        <w:rPr>
          <w:rFonts w:eastAsia="仿宋_GB2312"/>
          <w:color w:val="000000"/>
          <w:sz w:val="32"/>
          <w:szCs w:val="32"/>
        </w:rPr>
        <w:t>8.</w:t>
      </w:r>
      <w:r>
        <w:rPr>
          <w:rStyle w:val="15"/>
          <w:rFonts w:eastAsia="仿宋_GB2312"/>
          <w:b w:val="0"/>
          <w:bCs/>
          <w:color w:val="000000"/>
          <w:sz w:val="32"/>
          <w:szCs w:val="32"/>
        </w:rPr>
        <w:t>城乡社区支出（类）城乡社区管理事务（款）</w:t>
      </w:r>
      <w:r>
        <w:rPr>
          <w:rStyle w:val="15"/>
          <w:rFonts w:eastAsia="仿宋_GB2312"/>
          <w:b w:val="0"/>
          <w:color w:val="000000"/>
          <w:sz w:val="32"/>
          <w:szCs w:val="32"/>
        </w:rPr>
        <w:t>工程建设标准规范编制与监管</w:t>
      </w:r>
      <w:r>
        <w:rPr>
          <w:rStyle w:val="15"/>
          <w:rFonts w:eastAsia="仿宋_GB2312"/>
          <w:b w:val="0"/>
          <w:bCs/>
          <w:color w:val="000000"/>
          <w:sz w:val="32"/>
          <w:szCs w:val="32"/>
        </w:rPr>
        <w:t>（项）</w:t>
      </w:r>
      <w:r>
        <w:rPr>
          <w:rStyle w:val="15"/>
          <w:rFonts w:hint="eastAsia" w:eastAsia="仿宋_GB2312"/>
          <w:b w:val="0"/>
          <w:bCs/>
          <w:color w:val="000000"/>
          <w:sz w:val="32"/>
          <w:szCs w:val="32"/>
          <w:lang w:eastAsia="zh-CN"/>
        </w:rPr>
        <w:t>：</w:t>
      </w:r>
      <w:r>
        <w:rPr>
          <w:rFonts w:eastAsia="仿宋_GB2312"/>
          <w:sz w:val="32"/>
          <w:szCs w:val="32"/>
        </w:rPr>
        <w:t>指用于城乡社区管理事务中</w:t>
      </w:r>
      <w:r>
        <w:rPr>
          <w:rStyle w:val="15"/>
          <w:rFonts w:eastAsia="仿宋_GB2312"/>
          <w:b w:val="0"/>
          <w:color w:val="000000"/>
          <w:sz w:val="32"/>
          <w:szCs w:val="32"/>
        </w:rPr>
        <w:t>工程建设标准规范编制与监管</w:t>
      </w:r>
      <w:r>
        <w:rPr>
          <w:rFonts w:eastAsia="仿宋_GB2312"/>
          <w:sz w:val="32"/>
          <w:szCs w:val="32"/>
        </w:rPr>
        <w:t>方面的支出。</w:t>
      </w:r>
    </w:p>
    <w:p>
      <w:pPr>
        <w:spacing w:line="640" w:lineRule="exact"/>
        <w:ind w:firstLine="640" w:firstLineChars="200"/>
        <w:rPr>
          <w:rStyle w:val="15"/>
          <w:rFonts w:eastAsia="仿宋_GB2312"/>
          <w:b w:val="0"/>
          <w:sz w:val="32"/>
          <w:szCs w:val="32"/>
        </w:rPr>
      </w:pPr>
      <w:r>
        <w:rPr>
          <w:rFonts w:eastAsia="仿宋_GB2312"/>
          <w:color w:val="000000"/>
          <w:sz w:val="32"/>
          <w:szCs w:val="32"/>
        </w:rPr>
        <w:t>9.</w:t>
      </w:r>
      <w:r>
        <w:rPr>
          <w:rStyle w:val="15"/>
          <w:rFonts w:eastAsia="仿宋_GB2312"/>
          <w:b w:val="0"/>
          <w:bCs/>
          <w:color w:val="000000"/>
          <w:sz w:val="32"/>
          <w:szCs w:val="32"/>
        </w:rPr>
        <w:t>城乡社区支出（类）城乡社区管理事务（款）</w:t>
      </w:r>
      <w:r>
        <w:rPr>
          <w:rStyle w:val="15"/>
          <w:rFonts w:eastAsia="仿宋_GB2312"/>
          <w:b w:val="0"/>
          <w:color w:val="000000"/>
          <w:sz w:val="32"/>
          <w:szCs w:val="32"/>
        </w:rPr>
        <w:t>工程建设管理</w:t>
      </w:r>
      <w:r>
        <w:rPr>
          <w:rStyle w:val="15"/>
          <w:rFonts w:eastAsia="仿宋_GB2312"/>
          <w:b w:val="0"/>
          <w:bCs/>
          <w:color w:val="000000"/>
          <w:sz w:val="32"/>
          <w:szCs w:val="32"/>
        </w:rPr>
        <w:t>（项）</w:t>
      </w:r>
      <w:r>
        <w:rPr>
          <w:rStyle w:val="15"/>
          <w:rFonts w:hint="eastAsia" w:eastAsia="仿宋_GB2312"/>
          <w:b w:val="0"/>
          <w:bCs/>
          <w:color w:val="000000"/>
          <w:sz w:val="32"/>
          <w:szCs w:val="32"/>
          <w:lang w:eastAsia="zh-CN"/>
        </w:rPr>
        <w:t>：</w:t>
      </w:r>
      <w:r>
        <w:rPr>
          <w:rFonts w:eastAsia="仿宋_GB2312"/>
          <w:sz w:val="32"/>
          <w:szCs w:val="32"/>
        </w:rPr>
        <w:t>指用于城乡社区管理事务中</w:t>
      </w:r>
      <w:r>
        <w:rPr>
          <w:rStyle w:val="15"/>
          <w:rFonts w:eastAsia="仿宋_GB2312"/>
          <w:b w:val="0"/>
          <w:color w:val="000000"/>
          <w:sz w:val="32"/>
          <w:szCs w:val="32"/>
        </w:rPr>
        <w:t>工程建设管理</w:t>
      </w:r>
      <w:r>
        <w:rPr>
          <w:rFonts w:eastAsia="仿宋_GB2312"/>
          <w:sz w:val="32"/>
          <w:szCs w:val="32"/>
        </w:rPr>
        <w:t>方面的支出。</w:t>
      </w:r>
    </w:p>
    <w:p>
      <w:pPr>
        <w:spacing w:line="640" w:lineRule="exact"/>
        <w:ind w:firstLine="480" w:firstLineChars="150"/>
        <w:rPr>
          <w:bCs/>
          <w:color w:val="000000"/>
          <w:sz w:val="32"/>
          <w:szCs w:val="32"/>
        </w:rPr>
      </w:pPr>
      <w:r>
        <w:rPr>
          <w:rStyle w:val="15"/>
          <w:rFonts w:eastAsia="仿宋_GB2312"/>
          <w:b w:val="0"/>
          <w:bCs/>
          <w:color w:val="000000"/>
          <w:sz w:val="32"/>
          <w:szCs w:val="32"/>
        </w:rPr>
        <w:t>10.住房保障支出（类）住房改革（款）住房公积金（项）: 指</w:t>
      </w:r>
      <w:r>
        <w:rPr>
          <w:rFonts w:eastAsia="仿宋_GB2312"/>
          <w:sz w:val="32"/>
          <w:szCs w:val="32"/>
        </w:rPr>
        <w:t>行政事业单位按人力资源和社会保障部、财政部规定的基本工资和津贴补贴以及规定比例为职工缴纳的住房公积金。</w:t>
      </w:r>
    </w:p>
    <w:p>
      <w:pPr>
        <w:spacing w:line="640" w:lineRule="exact"/>
        <w:ind w:firstLine="640" w:firstLineChars="200"/>
        <w:rPr>
          <w:rFonts w:eastAsia="仿宋_GB2312"/>
          <w:color w:val="000000"/>
          <w:sz w:val="32"/>
          <w:szCs w:val="32"/>
        </w:rPr>
      </w:pPr>
      <w:r>
        <w:rPr>
          <w:rFonts w:eastAsia="仿宋_GB2312"/>
          <w:color w:val="000000"/>
          <w:sz w:val="32"/>
          <w:szCs w:val="32"/>
        </w:rPr>
        <w:t>11.基本支出：指为保障机构正常运转、完成日常工作任务而发生的人员支出和公用支出。</w:t>
      </w:r>
    </w:p>
    <w:p>
      <w:pPr>
        <w:spacing w:line="640" w:lineRule="exact"/>
        <w:ind w:firstLine="640" w:firstLineChars="200"/>
        <w:rPr>
          <w:rFonts w:eastAsia="仿宋_GB2312"/>
          <w:color w:val="000000"/>
          <w:sz w:val="32"/>
          <w:szCs w:val="32"/>
        </w:rPr>
      </w:pPr>
      <w:r>
        <w:rPr>
          <w:rFonts w:eastAsia="仿宋_GB2312"/>
          <w:color w:val="000000"/>
          <w:sz w:val="32"/>
          <w:szCs w:val="32"/>
        </w:rPr>
        <w:t>12.项目支出：指在基本支出之外为完成特定行政任务和事业发展目标所发生的支出。</w:t>
      </w:r>
    </w:p>
    <w:p>
      <w:pPr>
        <w:pStyle w:val="25"/>
        <w:spacing w:line="64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13.“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5"/>
        <w:spacing w:line="640" w:lineRule="exact"/>
        <w:ind w:firstLine="640" w:firstLineChars="200"/>
        <w:rPr>
          <w:rFonts w:ascii="Times New Roman" w:hAnsi="Times New Roman" w:eastAsia="仿宋_GB2312" w:cs="Times New Roman"/>
          <w:sz w:val="32"/>
          <w:szCs w:val="32"/>
        </w:rPr>
      </w:pPr>
    </w:p>
    <w:p>
      <w:pPr>
        <w:pStyle w:val="25"/>
        <w:spacing w:line="640" w:lineRule="exact"/>
        <w:ind w:firstLine="640" w:firstLineChars="200"/>
        <w:rPr>
          <w:rFonts w:ascii="Times New Roman" w:hAnsi="Times New Roman" w:eastAsia="仿宋_GB2312" w:cs="Times New Roman"/>
          <w:sz w:val="32"/>
          <w:szCs w:val="32"/>
        </w:rPr>
      </w:pPr>
    </w:p>
    <w:p>
      <w:pPr>
        <w:pStyle w:val="25"/>
        <w:spacing w:line="640" w:lineRule="exact"/>
        <w:ind w:firstLine="640" w:firstLineChars="200"/>
        <w:rPr>
          <w:rFonts w:ascii="Times New Roman" w:hAnsi="Times New Roman" w:eastAsia="仿宋_GB2312" w:cs="Times New Roman"/>
          <w:sz w:val="32"/>
          <w:szCs w:val="32"/>
        </w:rPr>
      </w:pPr>
    </w:p>
    <w:p>
      <w:pPr>
        <w:pStyle w:val="25"/>
        <w:spacing w:line="640" w:lineRule="exact"/>
        <w:ind w:firstLine="640" w:firstLineChars="200"/>
        <w:rPr>
          <w:rFonts w:ascii="Times New Roman" w:hAnsi="Times New Roman" w:eastAsia="仿宋_GB2312" w:cs="Times New Roman"/>
          <w:sz w:val="32"/>
          <w:szCs w:val="32"/>
        </w:rPr>
      </w:pPr>
    </w:p>
    <w:p>
      <w:pPr>
        <w:spacing w:line="600" w:lineRule="exact"/>
        <w:jc w:val="center"/>
        <w:rPr>
          <w:rStyle w:val="19"/>
          <w:rFonts w:eastAsia="黑体"/>
          <w:b w:val="0"/>
        </w:rPr>
      </w:pPr>
      <w:r>
        <w:rPr>
          <w:rFonts w:eastAsia="黑体"/>
          <w:sz w:val="44"/>
          <w:szCs w:val="44"/>
        </w:rPr>
        <w:t>第四部分附件</w:t>
      </w:r>
    </w:p>
    <w:p>
      <w:pPr>
        <w:spacing w:line="600" w:lineRule="exact"/>
        <w:jc w:val="left"/>
        <w:outlineLvl w:val="0"/>
        <w:rPr>
          <w:rFonts w:eastAsia="仿宋_GB2312"/>
          <w:kern w:val="44"/>
          <w:sz w:val="32"/>
          <w:szCs w:val="32"/>
        </w:rPr>
      </w:pPr>
    </w:p>
    <w:p>
      <w:pPr>
        <w:spacing w:line="600" w:lineRule="exact"/>
        <w:jc w:val="left"/>
        <w:outlineLvl w:val="0"/>
        <w:rPr>
          <w:rFonts w:eastAsia="仿宋_GB2312"/>
          <w:kern w:val="44"/>
          <w:sz w:val="32"/>
          <w:szCs w:val="32"/>
        </w:rPr>
      </w:pPr>
      <w:bookmarkStart w:id="8" w:name="_GoBack"/>
      <w:bookmarkEnd w:id="8"/>
      <w:r>
        <w:rPr>
          <w:rFonts w:eastAsia="仿宋_GB2312"/>
          <w:kern w:val="44"/>
          <w:sz w:val="32"/>
          <w:szCs w:val="32"/>
        </w:rPr>
        <w:t>部门预算项目支出绩效自评表（2025年度）见附件3</w:t>
      </w:r>
    </w:p>
    <w:p>
      <w:pPr>
        <w:spacing w:line="578" w:lineRule="exact"/>
        <w:ind w:firstLine="640"/>
        <w:rPr>
          <w:rFonts w:eastAsia="仿宋_GB2312"/>
          <w:kern w:val="0"/>
          <w:sz w:val="32"/>
          <w:szCs w:val="32"/>
        </w:rPr>
      </w:pPr>
    </w:p>
    <w:p>
      <w:pPr>
        <w:spacing w:line="578" w:lineRule="exact"/>
        <w:ind w:firstLine="640"/>
        <w:rPr>
          <w:rFonts w:eastAsia="仿宋_GB2312"/>
          <w:kern w:val="0"/>
          <w:sz w:val="32"/>
          <w:szCs w:val="32"/>
        </w:rPr>
      </w:pPr>
    </w:p>
    <w:p>
      <w:pPr>
        <w:spacing w:line="578" w:lineRule="exact"/>
        <w:ind w:firstLine="640"/>
        <w:rPr>
          <w:rFonts w:eastAsia="仿宋_GB2312"/>
          <w:kern w:val="0"/>
          <w:sz w:val="32"/>
          <w:szCs w:val="32"/>
        </w:rPr>
      </w:pPr>
      <w:r>
        <w:rPr>
          <w:rFonts w:eastAsia="仿宋_GB2312"/>
          <w:kern w:val="0"/>
          <w:sz w:val="32"/>
          <w:szCs w:val="32"/>
        </w:rPr>
        <w:br w:type="page"/>
      </w:r>
    </w:p>
    <w:p>
      <w:pPr>
        <w:widowControl/>
        <w:jc w:val="center"/>
        <w:rPr>
          <w:rFonts w:eastAsia="仿宋"/>
        </w:rPr>
      </w:pPr>
      <w:r>
        <w:rPr>
          <w:rFonts w:eastAsia="黑体"/>
          <w:sz w:val="44"/>
          <w:szCs w:val="44"/>
        </w:rPr>
        <w:t>第</w:t>
      </w:r>
      <w:r>
        <w:rPr>
          <w:rStyle w:val="19"/>
          <w:rFonts w:eastAsia="黑体"/>
          <w:b w:val="0"/>
          <w:bCs w:val="0"/>
        </w:rPr>
        <w:t>五部分附表</w:t>
      </w:r>
    </w:p>
    <w:p>
      <w:pPr>
        <w:pStyle w:val="12"/>
        <w:adjustRightInd w:val="0"/>
        <w:snapToGrid w:val="0"/>
        <w:spacing w:line="560" w:lineRule="exact"/>
        <w:jc w:val="left"/>
        <w:rPr>
          <w:rFonts w:eastAsia="仿宋_GB2312"/>
          <w:sz w:val="32"/>
          <w:szCs w:val="32"/>
        </w:rPr>
      </w:pPr>
    </w:p>
    <w:p>
      <w:pPr>
        <w:pStyle w:val="12"/>
        <w:adjustRightInd w:val="0"/>
        <w:snapToGrid w:val="0"/>
        <w:spacing w:line="560" w:lineRule="exact"/>
        <w:jc w:val="left"/>
        <w:rPr>
          <w:rFonts w:eastAsia="仿宋_GB2312"/>
          <w:sz w:val="32"/>
          <w:szCs w:val="32"/>
        </w:rPr>
      </w:pPr>
      <w:r>
        <w:rPr>
          <w:rFonts w:eastAsia="仿宋_GB2312"/>
          <w:sz w:val="32"/>
          <w:szCs w:val="32"/>
        </w:rPr>
        <w:t>一、收入支出决算总表</w:t>
      </w:r>
    </w:p>
    <w:p>
      <w:pPr>
        <w:pStyle w:val="12"/>
        <w:adjustRightInd w:val="0"/>
        <w:snapToGrid w:val="0"/>
        <w:spacing w:line="560" w:lineRule="exact"/>
        <w:jc w:val="left"/>
        <w:rPr>
          <w:rFonts w:eastAsia="仿宋_GB2312"/>
          <w:sz w:val="32"/>
          <w:szCs w:val="32"/>
        </w:rPr>
      </w:pPr>
      <w:r>
        <w:rPr>
          <w:rFonts w:eastAsia="仿宋_GB2312"/>
          <w:sz w:val="32"/>
          <w:szCs w:val="32"/>
        </w:rPr>
        <w:t>二、收入决算表</w:t>
      </w:r>
    </w:p>
    <w:p>
      <w:pPr>
        <w:pStyle w:val="12"/>
        <w:adjustRightInd w:val="0"/>
        <w:snapToGrid w:val="0"/>
        <w:spacing w:line="560" w:lineRule="exact"/>
        <w:jc w:val="left"/>
        <w:rPr>
          <w:rFonts w:eastAsia="仿宋_GB2312"/>
          <w:sz w:val="32"/>
          <w:szCs w:val="32"/>
        </w:rPr>
      </w:pPr>
      <w:r>
        <w:rPr>
          <w:rFonts w:eastAsia="仿宋_GB2312"/>
          <w:sz w:val="32"/>
          <w:szCs w:val="32"/>
        </w:rPr>
        <w:t>三、支出决算表</w:t>
      </w:r>
    </w:p>
    <w:p>
      <w:pPr>
        <w:pStyle w:val="12"/>
        <w:adjustRightInd w:val="0"/>
        <w:snapToGrid w:val="0"/>
        <w:spacing w:line="560" w:lineRule="exact"/>
        <w:jc w:val="left"/>
        <w:rPr>
          <w:rFonts w:eastAsia="仿宋_GB2312"/>
          <w:sz w:val="32"/>
          <w:szCs w:val="32"/>
        </w:rPr>
      </w:pPr>
      <w:r>
        <w:rPr>
          <w:rFonts w:eastAsia="仿宋_GB2312"/>
          <w:sz w:val="32"/>
          <w:szCs w:val="32"/>
        </w:rPr>
        <w:t>四、财政拨款收入支出决算总表</w:t>
      </w:r>
    </w:p>
    <w:p>
      <w:pPr>
        <w:pStyle w:val="12"/>
        <w:adjustRightInd w:val="0"/>
        <w:snapToGrid w:val="0"/>
        <w:spacing w:line="560" w:lineRule="exact"/>
        <w:jc w:val="left"/>
        <w:rPr>
          <w:rFonts w:eastAsia="仿宋_GB2312"/>
          <w:sz w:val="32"/>
          <w:szCs w:val="32"/>
        </w:rPr>
      </w:pPr>
      <w:r>
        <w:rPr>
          <w:rFonts w:eastAsia="仿宋_GB2312"/>
          <w:sz w:val="32"/>
          <w:szCs w:val="32"/>
        </w:rPr>
        <w:t>五、财政拨款支出决算明细表</w:t>
      </w:r>
    </w:p>
    <w:p>
      <w:pPr>
        <w:pStyle w:val="12"/>
        <w:adjustRightInd w:val="0"/>
        <w:snapToGrid w:val="0"/>
        <w:spacing w:line="560" w:lineRule="exact"/>
        <w:jc w:val="left"/>
        <w:rPr>
          <w:rFonts w:eastAsia="仿宋_GB2312"/>
          <w:sz w:val="32"/>
          <w:szCs w:val="32"/>
        </w:rPr>
      </w:pPr>
      <w:r>
        <w:rPr>
          <w:rFonts w:eastAsia="仿宋_GB2312"/>
          <w:sz w:val="32"/>
          <w:szCs w:val="32"/>
        </w:rPr>
        <w:t>六、一般公共预算财政拨款支出决算表</w:t>
      </w:r>
    </w:p>
    <w:p>
      <w:pPr>
        <w:pStyle w:val="12"/>
        <w:adjustRightInd w:val="0"/>
        <w:snapToGrid w:val="0"/>
        <w:spacing w:line="560" w:lineRule="exact"/>
        <w:jc w:val="left"/>
        <w:rPr>
          <w:rFonts w:eastAsia="仿宋_GB2312"/>
          <w:sz w:val="32"/>
          <w:szCs w:val="32"/>
        </w:rPr>
      </w:pPr>
      <w:r>
        <w:rPr>
          <w:rFonts w:eastAsia="仿宋_GB2312"/>
          <w:sz w:val="32"/>
          <w:szCs w:val="32"/>
        </w:rPr>
        <w:t>七、一般公共预算财政拨款支出决算明细表</w:t>
      </w:r>
    </w:p>
    <w:p>
      <w:pPr>
        <w:pStyle w:val="12"/>
        <w:adjustRightInd w:val="0"/>
        <w:snapToGrid w:val="0"/>
        <w:spacing w:line="560" w:lineRule="exact"/>
        <w:jc w:val="left"/>
        <w:rPr>
          <w:rFonts w:eastAsia="仿宋_GB2312"/>
          <w:sz w:val="32"/>
          <w:szCs w:val="32"/>
        </w:rPr>
      </w:pPr>
      <w:r>
        <w:rPr>
          <w:rFonts w:eastAsia="仿宋_GB2312"/>
          <w:sz w:val="32"/>
          <w:szCs w:val="32"/>
        </w:rPr>
        <w:t>八、一般公共预算财政拨款基本支出决算表</w:t>
      </w:r>
    </w:p>
    <w:p>
      <w:pPr>
        <w:pStyle w:val="12"/>
        <w:adjustRightInd w:val="0"/>
        <w:snapToGrid w:val="0"/>
        <w:spacing w:line="560" w:lineRule="exact"/>
        <w:jc w:val="left"/>
        <w:rPr>
          <w:rFonts w:eastAsia="仿宋_GB2312"/>
          <w:sz w:val="32"/>
          <w:szCs w:val="32"/>
        </w:rPr>
      </w:pPr>
      <w:r>
        <w:rPr>
          <w:rFonts w:eastAsia="仿宋_GB2312"/>
          <w:sz w:val="32"/>
          <w:szCs w:val="32"/>
        </w:rPr>
        <w:t>九、一般公共预算财政拨款项目支出决算表</w:t>
      </w:r>
    </w:p>
    <w:p>
      <w:pPr>
        <w:pStyle w:val="12"/>
        <w:adjustRightInd w:val="0"/>
        <w:snapToGrid w:val="0"/>
        <w:spacing w:line="560" w:lineRule="exact"/>
        <w:jc w:val="left"/>
        <w:rPr>
          <w:rFonts w:eastAsia="仿宋_GB2312"/>
          <w:sz w:val="32"/>
          <w:szCs w:val="32"/>
        </w:rPr>
      </w:pPr>
      <w:r>
        <w:rPr>
          <w:rFonts w:eastAsia="仿宋_GB2312"/>
          <w:sz w:val="32"/>
          <w:szCs w:val="32"/>
        </w:rPr>
        <w:t>十、政府性基金预算财政拨款收入支出决算表</w:t>
      </w:r>
    </w:p>
    <w:p>
      <w:pPr>
        <w:pStyle w:val="12"/>
        <w:adjustRightInd w:val="0"/>
        <w:snapToGrid w:val="0"/>
        <w:spacing w:line="560" w:lineRule="exact"/>
        <w:jc w:val="left"/>
        <w:rPr>
          <w:rFonts w:eastAsia="仿宋_GB2312"/>
          <w:sz w:val="32"/>
          <w:szCs w:val="32"/>
        </w:rPr>
      </w:pPr>
      <w:r>
        <w:rPr>
          <w:rFonts w:eastAsia="仿宋_GB2312"/>
          <w:sz w:val="32"/>
          <w:szCs w:val="32"/>
        </w:rPr>
        <w:t>十一、国有资本经营预算财政拨款收入支出决算表</w:t>
      </w:r>
    </w:p>
    <w:p>
      <w:pPr>
        <w:pStyle w:val="12"/>
        <w:adjustRightInd w:val="0"/>
        <w:snapToGrid w:val="0"/>
        <w:spacing w:line="560" w:lineRule="exact"/>
        <w:jc w:val="left"/>
        <w:rPr>
          <w:rFonts w:eastAsia="仿宋_GB2312"/>
          <w:sz w:val="32"/>
          <w:szCs w:val="32"/>
        </w:rPr>
      </w:pPr>
      <w:r>
        <w:rPr>
          <w:rFonts w:eastAsia="仿宋_GB2312"/>
          <w:sz w:val="32"/>
          <w:szCs w:val="32"/>
        </w:rPr>
        <w:t>十二、国有资本经营预算财政拨款支出决算表</w:t>
      </w:r>
    </w:p>
    <w:p>
      <w:pPr>
        <w:pStyle w:val="12"/>
        <w:adjustRightInd w:val="0"/>
        <w:snapToGrid w:val="0"/>
        <w:spacing w:line="560" w:lineRule="exact"/>
        <w:jc w:val="left"/>
        <w:rPr>
          <w:rFonts w:eastAsia="仿宋_GB2312"/>
          <w:sz w:val="32"/>
          <w:szCs w:val="32"/>
        </w:rPr>
      </w:pPr>
      <w:r>
        <w:rPr>
          <w:rFonts w:eastAsia="仿宋_GB2312"/>
          <w:sz w:val="32"/>
          <w:szCs w:val="32"/>
        </w:rPr>
        <w:t>十三、财政拨款“三公”经费支出决算表</w:t>
      </w:r>
    </w:p>
    <w:bookmarkEnd w:id="2"/>
    <w:bookmarkEnd w:id="3"/>
    <w:p>
      <w:pPr>
        <w:widowControl/>
        <w:spacing w:line="440" w:lineRule="exact"/>
        <w:jc w:val="left"/>
        <w:rPr>
          <w:rFonts w:eastAsia="仿宋_GB2312"/>
          <w:bCs/>
          <w:kern w:val="44"/>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仿宋_GB2312">
    <w:altName w:val="方正仿宋_GBK"/>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 w:name="FreeSerif">
    <w:panose1 w:val="02020603050405020304"/>
    <w:charset w:val="00"/>
    <w:family w:val="auto"/>
    <w:pitch w:val="default"/>
    <w:sig w:usb0="E59FAFFF" w:usb1="C200FDFF" w:usb2="43501B29" w:usb3="04000043" w:csb0="600101FF" w:csb1="FFFF0000"/>
  </w:font>
  <w:font w:name="Arial">
    <w:altName w:val="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4250488"/>
    </w:sdtPr>
    <w:sdtContent>
      <w:p>
        <w:pPr>
          <w:pStyle w:val="7"/>
          <w:jc w:val="center"/>
        </w:pPr>
        <w:r>
          <w:fldChar w:fldCharType="begin"/>
        </w:r>
        <w:r>
          <w:instrText xml:space="preserve"> PAGE   \* MERGEFORMAT </w:instrText>
        </w:r>
        <w:r>
          <w:fldChar w:fldCharType="separate"/>
        </w:r>
        <w:r>
          <w:rPr>
            <w:lang w:val="zh-CN"/>
          </w:rPr>
          <w:t>17</w:t>
        </w:r>
        <w:r>
          <w:rPr>
            <w:lang w:val="zh-CN"/>
          </w:rPr>
          <w:fldChar w:fldCharType="end"/>
        </w:r>
      </w:p>
    </w:sdtContent>
  </w:sdt>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B7F6B7"/>
    <w:multiLevelType w:val="singleLevel"/>
    <w:tmpl w:val="BFB7F6B7"/>
    <w:lvl w:ilvl="0" w:tentative="0">
      <w:start w:val="7"/>
      <w:numFmt w:val="chineseCounting"/>
      <w:suff w:val="nothing"/>
      <w:lvlText w:val="%1、"/>
      <w:lvlJc w:val="left"/>
      <w:rPr>
        <w:rFonts w:hint="eastAsia"/>
      </w:rPr>
    </w:lvl>
  </w:abstractNum>
  <w:abstractNum w:abstractNumId="1">
    <w:nsid w:val="18B34DF7"/>
    <w:multiLevelType w:val="multilevel"/>
    <w:tmpl w:val="18B34DF7"/>
    <w:lvl w:ilvl="0" w:tentative="0">
      <w:start w:val="1"/>
      <w:numFmt w:val="japaneseCounting"/>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trackRevisions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889"/>
    <w:rsid w:val="0001768B"/>
    <w:rsid w:val="00033FF4"/>
    <w:rsid w:val="00064A05"/>
    <w:rsid w:val="00067A17"/>
    <w:rsid w:val="00070F49"/>
    <w:rsid w:val="000860EE"/>
    <w:rsid w:val="000924FC"/>
    <w:rsid w:val="000A0093"/>
    <w:rsid w:val="000B32DD"/>
    <w:rsid w:val="000C6BE4"/>
    <w:rsid w:val="000E0F21"/>
    <w:rsid w:val="000F22D5"/>
    <w:rsid w:val="00143C7A"/>
    <w:rsid w:val="00180DEE"/>
    <w:rsid w:val="001A628F"/>
    <w:rsid w:val="001E1965"/>
    <w:rsid w:val="002115C8"/>
    <w:rsid w:val="00235FCB"/>
    <w:rsid w:val="0026410D"/>
    <w:rsid w:val="002D71AA"/>
    <w:rsid w:val="00311E9B"/>
    <w:rsid w:val="00320144"/>
    <w:rsid w:val="00321466"/>
    <w:rsid w:val="00332371"/>
    <w:rsid w:val="00342A2B"/>
    <w:rsid w:val="0036437F"/>
    <w:rsid w:val="003B2E60"/>
    <w:rsid w:val="003B6C85"/>
    <w:rsid w:val="004F3428"/>
    <w:rsid w:val="0056675B"/>
    <w:rsid w:val="00586636"/>
    <w:rsid w:val="005B723C"/>
    <w:rsid w:val="006420A8"/>
    <w:rsid w:val="00686A41"/>
    <w:rsid w:val="00697085"/>
    <w:rsid w:val="006C3DFC"/>
    <w:rsid w:val="006F1DCA"/>
    <w:rsid w:val="007164E5"/>
    <w:rsid w:val="007347CF"/>
    <w:rsid w:val="00747B31"/>
    <w:rsid w:val="00755D78"/>
    <w:rsid w:val="0076289B"/>
    <w:rsid w:val="007C39C6"/>
    <w:rsid w:val="00804DCD"/>
    <w:rsid w:val="009718B6"/>
    <w:rsid w:val="00983C1E"/>
    <w:rsid w:val="009E0ADE"/>
    <w:rsid w:val="00A67157"/>
    <w:rsid w:val="00AE31C7"/>
    <w:rsid w:val="00B01BBC"/>
    <w:rsid w:val="00B82DF2"/>
    <w:rsid w:val="00BB70AD"/>
    <w:rsid w:val="00BD3536"/>
    <w:rsid w:val="00BE6261"/>
    <w:rsid w:val="00BF4889"/>
    <w:rsid w:val="00C16975"/>
    <w:rsid w:val="00C43279"/>
    <w:rsid w:val="00CB3774"/>
    <w:rsid w:val="00CC1012"/>
    <w:rsid w:val="00D01B24"/>
    <w:rsid w:val="00D52155"/>
    <w:rsid w:val="00DB4E5E"/>
    <w:rsid w:val="00E61897"/>
    <w:rsid w:val="00EB0B57"/>
    <w:rsid w:val="00ED7190"/>
    <w:rsid w:val="00EE67B3"/>
    <w:rsid w:val="00EF2C70"/>
    <w:rsid w:val="00F0559F"/>
    <w:rsid w:val="00F151A0"/>
    <w:rsid w:val="00F407D7"/>
    <w:rsid w:val="00FD5743"/>
    <w:rsid w:val="0DA00854"/>
    <w:rsid w:val="10253DDC"/>
    <w:rsid w:val="13BB7B66"/>
    <w:rsid w:val="1B024DFA"/>
    <w:rsid w:val="23074BE8"/>
    <w:rsid w:val="3575D79F"/>
    <w:rsid w:val="3920549E"/>
    <w:rsid w:val="3C451ABB"/>
    <w:rsid w:val="3FFD135D"/>
    <w:rsid w:val="433554DF"/>
    <w:rsid w:val="44355990"/>
    <w:rsid w:val="47617B01"/>
    <w:rsid w:val="4B4645EC"/>
    <w:rsid w:val="55F61D5C"/>
    <w:rsid w:val="59585DCB"/>
    <w:rsid w:val="5EA677DA"/>
    <w:rsid w:val="6B8764AC"/>
    <w:rsid w:val="7EEF500F"/>
    <w:rsid w:val="7FEA1EC1"/>
    <w:rsid w:val="96FA0FFD"/>
    <w:rsid w:val="F7FEEFF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24"/>
    <w:qFormat/>
    <w:uiPriority w:val="99"/>
    <w:pPr>
      <w:spacing w:beforeLines="30"/>
    </w:pPr>
    <w:rPr>
      <w:rFonts w:ascii="仿宋_GB2312" w:eastAsia="仿宋_GB2312"/>
      <w:kern w:val="0"/>
      <w:sz w:val="30"/>
    </w:rPr>
  </w:style>
  <w:style w:type="paragraph" w:styleId="5">
    <w:name w:val="Body Text Indent"/>
    <w:basedOn w:val="1"/>
    <w:link w:val="22"/>
    <w:semiHidden/>
    <w:unhideWhenUsed/>
    <w:qFormat/>
    <w:uiPriority w:val="99"/>
    <w:pPr>
      <w:spacing w:after="120"/>
      <w:ind w:left="420" w:leftChars="200"/>
    </w:pPr>
  </w:style>
  <w:style w:type="paragraph" w:styleId="6">
    <w:name w:val="Balloon Text"/>
    <w:basedOn w:val="1"/>
    <w:link w:val="27"/>
    <w:semiHidden/>
    <w:unhideWhenUsed/>
    <w:qFormat/>
    <w:uiPriority w:val="99"/>
    <w:rPr>
      <w:sz w:val="18"/>
      <w:szCs w:val="18"/>
    </w:r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semiHidden/>
    <w:unhideWhenUsed/>
    <w:qFormat/>
    <w:uiPriority w:val="39"/>
  </w:style>
  <w:style w:type="paragraph" w:styleId="10">
    <w:name w:val="footnote text"/>
    <w:basedOn w:val="1"/>
    <w:next w:val="11"/>
    <w:link w:val="21"/>
    <w:semiHidden/>
    <w:qFormat/>
    <w:uiPriority w:val="0"/>
    <w:pPr>
      <w:snapToGrid w:val="0"/>
      <w:jc w:val="left"/>
    </w:pPr>
    <w:rPr>
      <w:sz w:val="18"/>
      <w:szCs w:val="18"/>
    </w:rPr>
  </w:style>
  <w:style w:type="paragraph" w:styleId="11">
    <w:name w:val="Body Text First Indent 2"/>
    <w:basedOn w:val="5"/>
    <w:link w:val="23"/>
    <w:unhideWhenUsed/>
    <w:qFormat/>
    <w:uiPriority w:val="99"/>
    <w:pPr>
      <w:ind w:left="200" w:firstLine="420" w:firstLineChars="200"/>
    </w:pPr>
    <w:rPr>
      <w:rFonts w:ascii="仿宋_GB2312"/>
      <w:szCs w:val="32"/>
    </w:rPr>
  </w:style>
  <w:style w:type="paragraph" w:styleId="12">
    <w:name w:val="toc 2"/>
    <w:basedOn w:val="1"/>
    <w:next w:val="1"/>
    <w:unhideWhenUsed/>
    <w:qFormat/>
    <w:uiPriority w:val="39"/>
    <w:pPr>
      <w:tabs>
        <w:tab w:val="right" w:leader="dot" w:pos="8296"/>
      </w:tabs>
      <w:ind w:left="420" w:leftChars="200"/>
    </w:pPr>
  </w:style>
  <w:style w:type="character" w:styleId="15">
    <w:name w:val="Strong"/>
    <w:basedOn w:val="14"/>
    <w:qFormat/>
    <w:uiPriority w:val="99"/>
    <w:rPr>
      <w:b/>
    </w:rPr>
  </w:style>
  <w:style w:type="character" w:styleId="16">
    <w:name w:val="Hyperlink"/>
    <w:basedOn w:val="14"/>
    <w:unhideWhenUsed/>
    <w:qFormat/>
    <w:uiPriority w:val="99"/>
    <w:rPr>
      <w:color w:val="0000FF" w:themeColor="hyperlink"/>
      <w:u w:val="single"/>
      <w14:textFill>
        <w14:solidFill>
          <w14:schemeClr w14:val="hlink"/>
        </w14:solidFill>
      </w14:textFill>
    </w:rPr>
  </w:style>
  <w:style w:type="character" w:customStyle="1" w:styleId="17">
    <w:name w:val="页眉 字符"/>
    <w:basedOn w:val="14"/>
    <w:link w:val="8"/>
    <w:qFormat/>
    <w:uiPriority w:val="99"/>
    <w:rPr>
      <w:sz w:val="18"/>
      <w:szCs w:val="18"/>
    </w:rPr>
  </w:style>
  <w:style w:type="character" w:customStyle="1" w:styleId="18">
    <w:name w:val="页脚 字符"/>
    <w:basedOn w:val="14"/>
    <w:link w:val="7"/>
    <w:qFormat/>
    <w:uiPriority w:val="99"/>
    <w:rPr>
      <w:sz w:val="18"/>
      <w:szCs w:val="18"/>
    </w:rPr>
  </w:style>
  <w:style w:type="character" w:customStyle="1" w:styleId="19">
    <w:name w:val="标题 1 字符"/>
    <w:basedOn w:val="14"/>
    <w:link w:val="2"/>
    <w:qFormat/>
    <w:uiPriority w:val="9"/>
    <w:rPr>
      <w:rFonts w:ascii="Times New Roman" w:hAnsi="Times New Roman" w:eastAsia="宋体" w:cs="Times New Roman"/>
      <w:b/>
      <w:bCs/>
      <w:kern w:val="44"/>
      <w:sz w:val="44"/>
      <w:szCs w:val="44"/>
    </w:rPr>
  </w:style>
  <w:style w:type="character" w:customStyle="1" w:styleId="20">
    <w:name w:val="标题 2 字符"/>
    <w:basedOn w:val="14"/>
    <w:link w:val="3"/>
    <w:qFormat/>
    <w:uiPriority w:val="9"/>
    <w:rPr>
      <w:rFonts w:asciiTheme="majorHAnsi" w:hAnsiTheme="majorHAnsi" w:eastAsiaTheme="majorEastAsia" w:cstheme="majorBidi"/>
      <w:b/>
      <w:bCs/>
      <w:sz w:val="32"/>
      <w:szCs w:val="32"/>
    </w:rPr>
  </w:style>
  <w:style w:type="character" w:customStyle="1" w:styleId="21">
    <w:name w:val="脚注文本 字符"/>
    <w:basedOn w:val="14"/>
    <w:link w:val="10"/>
    <w:semiHidden/>
    <w:qFormat/>
    <w:uiPriority w:val="0"/>
    <w:rPr>
      <w:rFonts w:ascii="Times New Roman" w:hAnsi="Times New Roman" w:eastAsia="宋体" w:cs="Times New Roman"/>
      <w:sz w:val="18"/>
      <w:szCs w:val="18"/>
    </w:rPr>
  </w:style>
  <w:style w:type="character" w:customStyle="1" w:styleId="22">
    <w:name w:val="正文文本缩进 字符"/>
    <w:basedOn w:val="14"/>
    <w:link w:val="5"/>
    <w:semiHidden/>
    <w:qFormat/>
    <w:uiPriority w:val="99"/>
    <w:rPr>
      <w:rFonts w:ascii="Times New Roman" w:hAnsi="Times New Roman" w:eastAsia="宋体" w:cs="Times New Roman"/>
      <w:szCs w:val="24"/>
    </w:rPr>
  </w:style>
  <w:style w:type="character" w:customStyle="1" w:styleId="23">
    <w:name w:val="正文首行缩进 2 字符"/>
    <w:basedOn w:val="22"/>
    <w:link w:val="11"/>
    <w:qFormat/>
    <w:uiPriority w:val="99"/>
    <w:rPr>
      <w:rFonts w:ascii="仿宋_GB2312" w:hAnsi="Times New Roman" w:eastAsia="宋体" w:cs="Times New Roman"/>
      <w:szCs w:val="32"/>
    </w:rPr>
  </w:style>
  <w:style w:type="character" w:customStyle="1" w:styleId="24">
    <w:name w:val="正文文本 字符"/>
    <w:basedOn w:val="14"/>
    <w:link w:val="4"/>
    <w:qFormat/>
    <w:uiPriority w:val="99"/>
    <w:rPr>
      <w:rFonts w:ascii="仿宋_GB2312" w:hAnsi="Times New Roman" w:eastAsia="仿宋_GB2312" w:cs="Times New Roman"/>
      <w:kern w:val="0"/>
      <w:sz w:val="30"/>
      <w:szCs w:val="24"/>
    </w:rPr>
  </w:style>
  <w:style w:type="paragraph" w:customStyle="1" w:styleId="25">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6">
    <w:name w:val="List Paragraph"/>
    <w:basedOn w:val="1"/>
    <w:qFormat/>
    <w:uiPriority w:val="34"/>
    <w:pPr>
      <w:ind w:firstLine="420" w:firstLineChars="200"/>
    </w:pPr>
  </w:style>
  <w:style w:type="character" w:customStyle="1" w:styleId="27">
    <w:name w:val="批注框文本 字符"/>
    <w:basedOn w:val="14"/>
    <w:link w:val="6"/>
    <w:semiHidden/>
    <w:qFormat/>
    <w:uiPriority w:val="99"/>
    <w:rPr>
      <w:rFonts w:ascii="Times New Roman" w:hAnsi="Times New Roman" w:eastAsia="宋体" w:cs="Times New Roman"/>
      <w:sz w:val="18"/>
      <w:szCs w:val="18"/>
    </w:rPr>
  </w:style>
  <w:style w:type="character" w:customStyle="1" w:styleId="28">
    <w:name w:val="15"/>
    <w:basedOn w:val="14"/>
    <w:qFormat/>
    <w:uiPriority w:val="0"/>
    <w:rPr>
      <w:rFonts w:hint="default" w:ascii="Times New Roman" w:hAnsi="Times New Roman" w:cs="Times New Roman"/>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chart" Target="charts/chart5.xml"/><Relationship Id="rId8" Type="http://schemas.openxmlformats.org/officeDocument/2006/relationships/chart" Target="charts/chart4.xml"/><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chart" Target="charts/chart7.xml"/><Relationship Id="rId10" Type="http://schemas.openxmlformats.org/officeDocument/2006/relationships/chart" Target="charts/chart6.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algn="l">
              <a:defRPr lang="zh-CN" sz="875" b="0" i="0" u="none" strike="noStrike" kern="1200" baseline="0">
                <a:solidFill>
                  <a:srgbClr val="000000"/>
                </a:solidFill>
                <a:latin typeface="宋体" charset="-122"/>
                <a:ea typeface="宋体" charset="-122"/>
                <a:cs typeface="宋体" charset="-122"/>
              </a:defRPr>
            </a:pPr>
            <a:r>
              <a:rPr lang="zh-CN" altLang="en-US"/>
              <a:t>收、支决算总计变动情况图（单位：万元）</a:t>
            </a:r>
            <a:endParaRPr lang="zh-CN" altLang="en-US"/>
          </a:p>
        </c:rich>
      </c:tx>
      <c:layout>
        <c:manualLayout>
          <c:xMode val="edge"/>
          <c:yMode val="edge"/>
          <c:x val="0.263621566143336"/>
          <c:y val="0.0285395963856857"/>
        </c:manualLayout>
      </c:layout>
      <c:overlay val="false"/>
      <c:spPr>
        <a:noFill/>
        <a:ln w="25400">
          <a:noFill/>
        </a:ln>
      </c:spPr>
    </c:title>
    <c:autoTitleDeleted val="false"/>
    <c:plotArea>
      <c:layout>
        <c:manualLayout>
          <c:layoutTarget val="inner"/>
          <c:xMode val="edge"/>
          <c:yMode val="edge"/>
          <c:x val="0.128289651293586"/>
          <c:y val="0.173668639053254"/>
          <c:w val="0.787272727272727"/>
          <c:h val="0.673076923076923"/>
        </c:manualLayout>
      </c:layout>
      <c:barChart>
        <c:barDir val="col"/>
        <c:grouping val="clustered"/>
        <c:varyColors val="false"/>
        <c:ser>
          <c:idx val="0"/>
          <c:order val="0"/>
          <c:invertIfNegative val="false"/>
          <c:dLbls>
            <c:spPr>
              <a:noFill/>
              <a:ln w="25400">
                <a:noFill/>
              </a:ln>
              <a:effectLst/>
            </c:spPr>
            <c:txPr>
              <a:bodyPr rot="0" spcFirstLastPara="0" vertOverflow="ellipsis" vert="horz" wrap="square" lIns="38100" tIns="19050" rIns="38100" bIns="19050" anchor="ctr" anchorCtr="true">
                <a:spAutoFit/>
              </a:bodyPr>
              <a:lstStyle/>
              <a:p>
                <a:pPr>
                  <a:defRPr lang="zh-CN" sz="875" b="0" i="0" u="none" strike="noStrike" kern="1200" baseline="0">
                    <a:solidFill>
                      <a:srgbClr val="000000"/>
                    </a:solidFill>
                    <a:latin typeface="宋体" charset="-122"/>
                    <a:ea typeface="宋体" charset="-122"/>
                    <a:cs typeface="宋体"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strRef>
              <c:f>Sheet2!$A$3:$A$4</c:f>
              <c:strCache>
                <c:ptCount val="2"/>
                <c:pt idx="0">
                  <c:v>2025年</c:v>
                </c:pt>
                <c:pt idx="1">
                  <c:v>2024年</c:v>
                </c:pt>
              </c:strCache>
            </c:strRef>
          </c:cat>
          <c:val>
            <c:numRef>
              <c:f>Sheet2!$B$3:$B$4</c:f>
              <c:numCache>
                <c:formatCode>General</c:formatCode>
                <c:ptCount val="2"/>
                <c:pt idx="0">
                  <c:v>411.21</c:v>
                </c:pt>
                <c:pt idx="1">
                  <c:v>364.93</c:v>
                </c:pt>
              </c:numCache>
            </c:numRef>
          </c:val>
        </c:ser>
        <c:dLbls>
          <c:showLegendKey val="false"/>
          <c:showVal val="true"/>
          <c:showCatName val="false"/>
          <c:showSerName val="false"/>
          <c:showPercent val="false"/>
          <c:showBubbleSize val="false"/>
        </c:dLbls>
        <c:gapWidth val="150"/>
        <c:axId val="140294016"/>
        <c:axId val="140353920"/>
      </c:barChart>
      <c:catAx>
        <c:axId val="140294016"/>
        <c:scaling>
          <c:orientation val="minMax"/>
        </c:scaling>
        <c:delete val="false"/>
        <c:axPos val="b"/>
        <c:numFmt formatCode="General" sourceLinked="true"/>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true"/>
          <a:lstStyle/>
          <a:p>
            <a:pPr>
              <a:defRPr lang="zh-CN" sz="875" b="0" i="0" u="none" strike="noStrike" kern="1200" baseline="0">
                <a:solidFill>
                  <a:srgbClr val="000000"/>
                </a:solidFill>
                <a:latin typeface="宋体" charset="-122"/>
                <a:ea typeface="宋体" charset="-122"/>
                <a:cs typeface="宋体" charset="-122"/>
              </a:defRPr>
            </a:pPr>
          </a:p>
        </c:txPr>
        <c:crossAx val="140353920"/>
        <c:crosses val="autoZero"/>
        <c:auto val="true"/>
        <c:lblAlgn val="ctr"/>
        <c:lblOffset val="100"/>
        <c:tickLblSkip val="1"/>
        <c:noMultiLvlLbl val="false"/>
      </c:catAx>
      <c:valAx>
        <c:axId val="140353920"/>
        <c:scaling>
          <c:orientation val="minMax"/>
        </c:scaling>
        <c:delete val="false"/>
        <c:axPos val="l"/>
        <c:majorGridlines>
          <c:spPr>
            <a:ln w="3175" cap="flat" cmpd="sng" algn="ctr">
              <a:solidFill>
                <a:srgbClr val="000000"/>
              </a:solidFill>
              <a:prstDash val="solid"/>
              <a:round/>
            </a:ln>
          </c:spPr>
        </c:majorGridlines>
        <c:numFmt formatCode="General" sourceLinked="true"/>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true"/>
          <a:lstStyle/>
          <a:p>
            <a:pPr>
              <a:defRPr lang="zh-CN" sz="875" b="0" i="0" u="none" strike="noStrike" kern="1200" baseline="0">
                <a:solidFill>
                  <a:srgbClr val="000000"/>
                </a:solidFill>
                <a:latin typeface="宋体" charset="-122"/>
                <a:ea typeface="宋体" charset="-122"/>
                <a:cs typeface="宋体" charset="-122"/>
              </a:defRPr>
            </a:pPr>
          </a:p>
        </c:txPr>
        <c:crossAx val="140294016"/>
        <c:crosses val="autoZero"/>
        <c:crossBetween val="between"/>
      </c:valAx>
      <c:spPr>
        <a:solidFill>
          <a:srgbClr val="C0C0C0"/>
        </a:solidFill>
        <a:ln w="12700">
          <a:solidFill>
            <a:srgbClr val="808080"/>
          </a:solidFill>
          <a:prstDash val="solid"/>
        </a:ln>
      </c:spPr>
    </c:plotArea>
    <c:plotVisOnly val="true"/>
    <c:dispBlanksAs val="gap"/>
    <c:showDLblsOverMax val="false"/>
  </c:chart>
  <c:spPr>
    <a:solidFill>
      <a:srgbClr val="FFFFFF"/>
    </a:solidFill>
    <a:ln w="3175" cap="flat" cmpd="sng" algn="ctr">
      <a:solidFill>
        <a:srgbClr val="000000"/>
      </a:solidFill>
      <a:prstDash val="solid"/>
      <a:round/>
    </a:ln>
  </c:spPr>
  <c:txPr>
    <a:bodyPr/>
    <a:lstStyle/>
    <a:p>
      <a:pPr>
        <a:defRPr lang="zh-CN" sz="875" b="0" i="0" u="none" strike="noStrike" baseline="0">
          <a:solidFill>
            <a:srgbClr val="000000"/>
          </a:solidFill>
          <a:latin typeface="宋体" charset="-122"/>
          <a:ea typeface="宋体" charset="-122"/>
          <a:cs typeface="宋体" charset="-122"/>
        </a:defRPr>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a:defRPr lang="zh-CN" sz="875" b="0" i="0" u="none" strike="noStrike" kern="1200" baseline="0">
                <a:solidFill>
                  <a:srgbClr val="000000"/>
                </a:solidFill>
                <a:latin typeface="宋体" charset="-122"/>
                <a:ea typeface="宋体" charset="-122"/>
                <a:cs typeface="宋体" charset="-122"/>
              </a:defRPr>
            </a:pPr>
            <a:r>
              <a:rPr lang="zh-CN" altLang="en-US"/>
              <a:t>收入决算情况图（单位：万元）</a:t>
            </a:r>
            <a:endParaRPr lang="zh-CN" altLang="en-US"/>
          </a:p>
        </c:rich>
      </c:tx>
      <c:layout>
        <c:manualLayout>
          <c:xMode val="edge"/>
          <c:yMode val="edge"/>
          <c:x val="0.327939692288708"/>
          <c:y val="0.00968366688185926"/>
        </c:manualLayout>
      </c:layout>
      <c:overlay val="false"/>
      <c:spPr>
        <a:noFill/>
        <a:ln w="25400">
          <a:noFill/>
        </a:ln>
      </c:spPr>
    </c:title>
    <c:autoTitleDeleted val="false"/>
    <c:plotArea>
      <c:layout>
        <c:manualLayout>
          <c:layoutTarget val="inner"/>
          <c:xMode val="edge"/>
          <c:yMode val="edge"/>
          <c:x val="0.0704907926535674"/>
          <c:y val="0.173668848864395"/>
          <c:w val="0.858703444762651"/>
          <c:h val="0.687966768306153"/>
        </c:manualLayout>
      </c:layout>
      <c:pieChart>
        <c:varyColors val="true"/>
        <c:ser>
          <c:idx val="0"/>
          <c:order val="0"/>
          <c:explosion val="0"/>
          <c:dPt>
            <c:idx val="0"/>
            <c:bubble3D val="false"/>
          </c:dPt>
          <c:dLbls>
            <c:spPr>
              <a:noFill/>
              <a:ln w="25400">
                <a:noFill/>
              </a:ln>
              <a:effectLst/>
            </c:spPr>
            <c:txPr>
              <a:bodyPr rot="0" spcFirstLastPara="0" vertOverflow="ellipsis" vert="horz" wrap="square" lIns="38100" tIns="19050" rIns="38100" bIns="19050" anchor="ctr" anchorCtr="true">
                <a:spAutoFit/>
              </a:bodyPr>
              <a:lstStyle/>
              <a:p>
                <a:pPr>
                  <a:defRPr lang="zh-CN" sz="875" b="0" i="0" u="none" strike="noStrike" kern="1200" baseline="0">
                    <a:solidFill>
                      <a:srgbClr val="000000"/>
                    </a:solidFill>
                    <a:latin typeface="宋体" charset="-122"/>
                    <a:ea typeface="宋体" charset="-122"/>
                    <a:cs typeface="宋体"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strRef>
              <c:f>Sheet2!$A$3:$A$3</c:f>
              <c:strCache>
                <c:ptCount val="1"/>
                <c:pt idx="0">
                  <c:v>一般公共预算财政拨款收入</c:v>
                </c:pt>
              </c:strCache>
            </c:strRef>
          </c:cat>
          <c:val>
            <c:numRef>
              <c:f>Sheet2!$B$3:$B$3</c:f>
              <c:numCache>
                <c:formatCode>General</c:formatCode>
                <c:ptCount val="1"/>
                <c:pt idx="0">
                  <c:v>411.21</c:v>
                </c:pt>
              </c:numCache>
            </c:numRef>
          </c:val>
        </c:ser>
        <c:dLbls>
          <c:showLegendKey val="false"/>
          <c:showVal val="true"/>
          <c:showCatName val="false"/>
          <c:showSerName val="false"/>
          <c:showPercent val="false"/>
          <c:showBubbleSize val="false"/>
          <c:showLeaderLines val="false"/>
        </c:dLbls>
        <c:firstSliceAng val="0"/>
      </c:pieChart>
      <c:spPr>
        <a:noFill/>
        <a:ln w="25400">
          <a:noFill/>
        </a:ln>
      </c:spPr>
    </c:plotArea>
    <c:legend>
      <c:legendPos val="r"/>
      <c:layout/>
      <c:overlay val="false"/>
      <c:spPr>
        <a:solidFill>
          <a:srgbClr val="FFFFFF"/>
        </a:solidFill>
        <a:ln w="3175">
          <a:solidFill>
            <a:srgbClr val="000000"/>
          </a:solidFill>
          <a:prstDash val="solid"/>
        </a:ln>
      </c:spPr>
      <c:txPr>
        <a:bodyPr rot="0" spcFirstLastPara="0" vertOverflow="ellipsis" vert="horz" wrap="square" anchor="ctr" anchorCtr="true"/>
        <a:lstStyle/>
        <a:p>
          <a:pPr>
            <a:defRPr lang="zh-CN" sz="805" b="0" i="0" u="none" strike="noStrike" kern="1200" baseline="0">
              <a:solidFill>
                <a:srgbClr val="000000"/>
              </a:solidFill>
              <a:latin typeface="宋体" charset="-122"/>
              <a:ea typeface="宋体" charset="-122"/>
              <a:cs typeface="宋体" charset="-122"/>
            </a:defRPr>
          </a:pPr>
        </a:p>
      </c:txPr>
    </c:legend>
    <c:plotVisOnly val="true"/>
    <c:dispBlanksAs val="zero"/>
    <c:showDLblsOverMax val="false"/>
  </c:chart>
  <c:spPr>
    <a:solidFill>
      <a:srgbClr val="FFFFFF"/>
    </a:solidFill>
    <a:ln w="3175" cap="flat" cmpd="sng" algn="ctr">
      <a:solidFill>
        <a:srgbClr val="000000"/>
      </a:solidFill>
      <a:prstDash val="solid"/>
      <a:round/>
    </a:ln>
  </c:spPr>
  <c:txPr>
    <a:bodyPr/>
    <a:lstStyle/>
    <a:p>
      <a:pPr>
        <a:defRPr lang="zh-CN" sz="875" b="0" i="0" u="none" strike="noStrike" baseline="0">
          <a:solidFill>
            <a:srgbClr val="000000"/>
          </a:solidFill>
          <a:latin typeface="宋体" charset="-122"/>
          <a:ea typeface="宋体" charset="-122"/>
          <a:cs typeface="宋体" charset="-122"/>
        </a:defRPr>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a:defRPr lang="zh-CN" sz="920" b="0" i="0" u="none" strike="noStrike" kern="1200" baseline="0">
                <a:solidFill>
                  <a:srgbClr val="000000"/>
                </a:solidFill>
                <a:latin typeface="宋体" charset="-122"/>
                <a:ea typeface="宋体" charset="-122"/>
                <a:cs typeface="宋体" charset="-122"/>
              </a:defRPr>
            </a:pPr>
            <a:r>
              <a:rPr lang="zh-CN" altLang="en-US"/>
              <a:t>支出决算结构图（单位：万元）</a:t>
            </a:r>
            <a:endParaRPr lang="zh-CN" altLang="en-US"/>
          </a:p>
        </c:rich>
      </c:tx>
      <c:layout>
        <c:manualLayout>
          <c:xMode val="edge"/>
          <c:yMode val="edge"/>
          <c:x val="0.302070032352601"/>
          <c:y val="0.0433177092323831"/>
        </c:manualLayout>
      </c:layout>
      <c:overlay val="false"/>
      <c:spPr>
        <a:noFill/>
        <a:ln w="25315">
          <a:noFill/>
        </a:ln>
      </c:spPr>
    </c:title>
    <c:autoTitleDeleted val="false"/>
    <c:plotArea>
      <c:layout>
        <c:manualLayout>
          <c:layoutTarget val="inner"/>
          <c:xMode val="edge"/>
          <c:yMode val="edge"/>
          <c:x val="0.123728583113745"/>
          <c:y val="0.219092490532413"/>
          <c:w val="0.689423448439057"/>
          <c:h val="0.5125"/>
        </c:manualLayout>
      </c:layout>
      <c:pieChart>
        <c:varyColors val="true"/>
        <c:ser>
          <c:idx val="0"/>
          <c:order val="0"/>
          <c:spPr>
            <a:solidFill>
              <a:srgbClr val="9999FF"/>
            </a:solidFill>
            <a:ln w="12658">
              <a:solidFill>
                <a:srgbClr val="000000"/>
              </a:solidFill>
              <a:prstDash val="solid"/>
            </a:ln>
          </c:spPr>
          <c:explosion val="0"/>
          <c:dPt>
            <c:idx val="0"/>
            <c:bubble3D val="false"/>
            <c:spPr>
              <a:solidFill>
                <a:srgbClr val="9999FF"/>
              </a:solidFill>
              <a:ln w="12658">
                <a:solidFill>
                  <a:srgbClr val="000000"/>
                </a:solidFill>
                <a:prstDash val="solid"/>
              </a:ln>
            </c:spPr>
          </c:dPt>
          <c:dPt>
            <c:idx val="1"/>
            <c:bubble3D val="false"/>
            <c:spPr>
              <a:solidFill>
                <a:srgbClr val="993366"/>
              </a:solidFill>
              <a:ln w="12658">
                <a:solidFill>
                  <a:srgbClr val="000000"/>
                </a:solidFill>
                <a:prstDash val="solid"/>
              </a:ln>
            </c:spPr>
          </c:dPt>
          <c:dLbls>
            <c:spPr>
              <a:noFill/>
              <a:ln w="25315">
                <a:noFill/>
              </a:ln>
              <a:effectLst/>
            </c:spPr>
            <c:txPr>
              <a:bodyPr rot="0" spcFirstLastPara="0" vertOverflow="ellipsis" vert="horz" wrap="square" lIns="38100" tIns="19050" rIns="38100" bIns="19050" anchor="ctr" anchorCtr="true">
                <a:spAutoFit/>
              </a:bodyPr>
              <a:lstStyle/>
              <a:p>
                <a:pPr>
                  <a:defRPr lang="zh-CN" sz="920" b="0" i="0" u="none" strike="noStrike" kern="1200" baseline="0">
                    <a:solidFill>
                      <a:srgbClr val="000000"/>
                    </a:solidFill>
                    <a:latin typeface="宋体" charset="-122"/>
                    <a:ea typeface="宋体" charset="-122"/>
                    <a:cs typeface="宋体" charset="-122"/>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ext>
            </c:extLst>
          </c:dLbls>
          <c:cat>
            <c:strRef>
              <c:f>Sheet2!$A$10:$A$11</c:f>
              <c:strCache>
                <c:ptCount val="2"/>
                <c:pt idx="0">
                  <c:v>基本支出</c:v>
                </c:pt>
                <c:pt idx="1">
                  <c:v>项目支出</c:v>
                </c:pt>
              </c:strCache>
            </c:strRef>
          </c:cat>
          <c:val>
            <c:numRef>
              <c:f>Sheet2!$B$10:$B$11</c:f>
              <c:numCache>
                <c:formatCode>General</c:formatCode>
                <c:ptCount val="2"/>
                <c:pt idx="0">
                  <c:v>400.84</c:v>
                </c:pt>
                <c:pt idx="1">
                  <c:v>10.37</c:v>
                </c:pt>
              </c:numCache>
            </c:numRef>
          </c:val>
        </c:ser>
        <c:dLbls>
          <c:showLegendKey val="false"/>
          <c:showVal val="true"/>
          <c:showCatName val="false"/>
          <c:showSerName val="false"/>
          <c:showPercent val="false"/>
          <c:showBubbleSize val="false"/>
          <c:showLeaderLines val="true"/>
        </c:dLbls>
        <c:firstSliceAng val="0"/>
      </c:pieChart>
      <c:spPr>
        <a:noFill/>
        <a:ln w="25315">
          <a:noFill/>
        </a:ln>
      </c:spPr>
    </c:plotArea>
    <c:legend>
      <c:legendPos val="r"/>
      <c:layout>
        <c:manualLayout>
          <c:xMode val="edge"/>
          <c:yMode val="edge"/>
          <c:x val="0.877551020408184"/>
          <c:y val="0.4875"/>
          <c:w val="0.11903498389979"/>
          <c:h val="0.172595056130454"/>
        </c:manualLayout>
      </c:layout>
      <c:overlay val="false"/>
      <c:spPr>
        <a:solidFill>
          <a:srgbClr val="FFFFFF"/>
        </a:solidFill>
        <a:ln w="3164">
          <a:solidFill>
            <a:srgbClr val="000000"/>
          </a:solidFill>
          <a:prstDash val="solid"/>
        </a:ln>
      </c:spPr>
      <c:txPr>
        <a:bodyPr rot="0" spcFirstLastPara="0" vertOverflow="ellipsis" vert="horz" wrap="square" anchor="ctr" anchorCtr="true"/>
        <a:lstStyle/>
        <a:p>
          <a:pPr>
            <a:defRPr lang="zh-CN" sz="845" b="0" i="0" u="none" strike="noStrike" kern="1200" baseline="0">
              <a:solidFill>
                <a:srgbClr val="000000"/>
              </a:solidFill>
              <a:latin typeface="宋体" charset="-122"/>
              <a:ea typeface="宋体" charset="-122"/>
              <a:cs typeface="宋体" charset="-122"/>
            </a:defRPr>
          </a:pPr>
        </a:p>
      </c:txPr>
    </c:legend>
    <c:plotVisOnly val="true"/>
    <c:dispBlanksAs val="zero"/>
    <c:showDLblsOverMax val="false"/>
  </c:chart>
  <c:spPr>
    <a:solidFill>
      <a:srgbClr val="FFFFFF"/>
    </a:solidFill>
    <a:ln w="3164" cap="flat" cmpd="sng" algn="ctr">
      <a:solidFill>
        <a:srgbClr val="000000"/>
      </a:solidFill>
      <a:prstDash val="solid"/>
      <a:round/>
    </a:ln>
  </c:spPr>
  <c:txPr>
    <a:bodyPr/>
    <a:lstStyle/>
    <a:p>
      <a:pPr>
        <a:defRPr lang="zh-CN" sz="920" b="0" i="0" u="none" strike="noStrike" baseline="0">
          <a:solidFill>
            <a:srgbClr val="000000"/>
          </a:solidFill>
          <a:latin typeface="宋体" charset="-122"/>
          <a:ea typeface="宋体" charset="-122"/>
          <a:cs typeface="宋体" charset="-122"/>
        </a:defRPr>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a:defRPr lang="zh-CN" sz="900" b="0" i="0" u="none" strike="noStrike" kern="1200" baseline="0">
                <a:solidFill>
                  <a:srgbClr val="000000"/>
                </a:solidFill>
                <a:latin typeface="宋体" charset="-122"/>
                <a:ea typeface="宋体" charset="-122"/>
                <a:cs typeface="宋体" charset="-122"/>
              </a:defRPr>
            </a:pPr>
            <a:r>
              <a:rPr lang="zh-CN" altLang="en-US"/>
              <a:t>财政拨款收、支决算总计变动情况</a:t>
            </a:r>
            <a:endParaRPr lang="zh-CN" altLang="en-US"/>
          </a:p>
        </c:rich>
      </c:tx>
      <c:layout>
        <c:manualLayout>
          <c:xMode val="edge"/>
          <c:yMode val="edge"/>
          <c:x val="0.340277777777783"/>
          <c:y val="0.0192307692307696"/>
        </c:manualLayout>
      </c:layout>
      <c:overlay val="false"/>
      <c:spPr>
        <a:noFill/>
        <a:ln w="25357">
          <a:noFill/>
        </a:ln>
      </c:spPr>
    </c:title>
    <c:autoTitleDeleted val="false"/>
    <c:plotArea>
      <c:layout>
        <c:manualLayout>
          <c:layoutTarget val="inner"/>
          <c:xMode val="edge"/>
          <c:yMode val="edge"/>
          <c:x val="0.0920138888888889"/>
          <c:y val="0.188461538461542"/>
          <c:w val="0.807291666666669"/>
          <c:h val="0.673076923076923"/>
        </c:manualLayout>
      </c:layout>
      <c:barChart>
        <c:barDir val="col"/>
        <c:grouping val="clustered"/>
        <c:varyColors val="false"/>
        <c:ser>
          <c:idx val="0"/>
          <c:order val="0"/>
          <c:tx>
            <c:strRef>
              <c:f>Sheet2!$A$10</c:f>
              <c:strCache>
                <c:ptCount val="1"/>
                <c:pt idx="0">
                  <c:v>收入</c:v>
                </c:pt>
              </c:strCache>
            </c:strRef>
          </c:tx>
          <c:spPr>
            <a:solidFill>
              <a:srgbClr val="9999FF"/>
            </a:solidFill>
            <a:ln w="12678">
              <a:solidFill>
                <a:srgbClr val="000000"/>
              </a:solidFill>
              <a:prstDash val="solid"/>
            </a:ln>
          </c:spPr>
          <c:invertIfNegative val="false"/>
          <c:dLbls>
            <c:spPr>
              <a:noFill/>
              <a:ln w="25357">
                <a:noFill/>
              </a:ln>
              <a:effectLst/>
            </c:spPr>
            <c:txPr>
              <a:bodyPr rot="0" spcFirstLastPara="0" vertOverflow="ellipsis" vert="horz" wrap="square" lIns="38100" tIns="19050" rIns="38100" bIns="19050" anchor="ctr" anchorCtr="true">
                <a:spAutoFit/>
              </a:bodyPr>
              <a:lstStyle/>
              <a:p>
                <a:pPr>
                  <a:defRPr lang="zh-CN" sz="900" b="0" i="0" u="none" strike="noStrike" kern="1200" baseline="0">
                    <a:solidFill>
                      <a:srgbClr val="000000"/>
                    </a:solidFill>
                    <a:latin typeface="宋体" charset="-122"/>
                    <a:ea typeface="宋体" charset="-122"/>
                    <a:cs typeface="宋体"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strRef>
              <c:f>Sheet2!$B$9:$C$9</c:f>
              <c:strCache>
                <c:ptCount val="2"/>
                <c:pt idx="0">
                  <c:v>2025年</c:v>
                </c:pt>
                <c:pt idx="1">
                  <c:v>2024年</c:v>
                </c:pt>
              </c:strCache>
            </c:strRef>
          </c:cat>
          <c:val>
            <c:numRef>
              <c:f>Sheet2!$B$10:$C$10</c:f>
              <c:numCache>
                <c:formatCode>General</c:formatCode>
                <c:ptCount val="2"/>
                <c:pt idx="0">
                  <c:v>411.21</c:v>
                </c:pt>
                <c:pt idx="1">
                  <c:v>364.93</c:v>
                </c:pt>
              </c:numCache>
            </c:numRef>
          </c:val>
        </c:ser>
        <c:ser>
          <c:idx val="1"/>
          <c:order val="1"/>
          <c:tx>
            <c:strRef>
              <c:f>Sheet2!$A$11</c:f>
              <c:strCache>
                <c:ptCount val="1"/>
                <c:pt idx="0">
                  <c:v>支出</c:v>
                </c:pt>
              </c:strCache>
            </c:strRef>
          </c:tx>
          <c:spPr>
            <a:solidFill>
              <a:srgbClr val="993366"/>
            </a:solidFill>
            <a:ln w="12678">
              <a:solidFill>
                <a:srgbClr val="000000"/>
              </a:solidFill>
              <a:prstDash val="solid"/>
            </a:ln>
          </c:spPr>
          <c:invertIfNegative val="false"/>
          <c:dLbls>
            <c:spPr>
              <a:noFill/>
              <a:ln w="25357">
                <a:noFill/>
              </a:ln>
              <a:effectLst/>
            </c:spPr>
            <c:txPr>
              <a:bodyPr rot="0" spcFirstLastPara="0" vertOverflow="ellipsis" vert="horz" wrap="square" lIns="38100" tIns="19050" rIns="38100" bIns="19050" anchor="ctr" anchorCtr="true">
                <a:spAutoFit/>
              </a:bodyPr>
              <a:lstStyle/>
              <a:p>
                <a:pPr>
                  <a:defRPr lang="zh-CN" sz="900" b="0" i="0" u="none" strike="noStrike" kern="1200" baseline="0">
                    <a:solidFill>
                      <a:srgbClr val="000000"/>
                    </a:solidFill>
                    <a:latin typeface="宋体" charset="-122"/>
                    <a:ea typeface="宋体" charset="-122"/>
                    <a:cs typeface="宋体" charset="-122"/>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strRef>
              <c:f>Sheet2!$B$9:$C$9</c:f>
              <c:strCache>
                <c:ptCount val="2"/>
                <c:pt idx="0">
                  <c:v>2025年</c:v>
                </c:pt>
                <c:pt idx="1">
                  <c:v>2024年</c:v>
                </c:pt>
              </c:strCache>
            </c:strRef>
          </c:cat>
          <c:val>
            <c:numRef>
              <c:f>Sheet2!$B$11:$C$11</c:f>
              <c:numCache>
                <c:formatCode>General</c:formatCode>
                <c:ptCount val="2"/>
                <c:pt idx="0">
                  <c:v>411.21</c:v>
                </c:pt>
                <c:pt idx="1">
                  <c:v>364.93</c:v>
                </c:pt>
              </c:numCache>
            </c:numRef>
          </c:val>
        </c:ser>
        <c:dLbls>
          <c:showLegendKey val="false"/>
          <c:showVal val="true"/>
          <c:showCatName val="false"/>
          <c:showSerName val="false"/>
          <c:showPercent val="false"/>
          <c:showBubbleSize val="false"/>
        </c:dLbls>
        <c:gapWidth val="150"/>
        <c:axId val="263645056"/>
        <c:axId val="267333632"/>
      </c:barChart>
      <c:catAx>
        <c:axId val="263645056"/>
        <c:scaling>
          <c:orientation val="minMax"/>
        </c:scaling>
        <c:delete val="false"/>
        <c:axPos val="b"/>
        <c:numFmt formatCode="General" sourceLinked="true"/>
        <c:majorTickMark val="in"/>
        <c:minorTickMark val="none"/>
        <c:tickLblPos val="nextTo"/>
        <c:spPr>
          <a:ln w="3170" cap="flat" cmpd="sng" algn="ctr">
            <a:solidFill>
              <a:srgbClr val="000000"/>
            </a:solidFill>
            <a:prstDash val="solid"/>
            <a:round/>
          </a:ln>
        </c:spPr>
        <c:txPr>
          <a:bodyPr rot="0" spcFirstLastPara="0" vertOverflow="ellipsis" vert="horz" wrap="square" anchor="ctr" anchorCtr="true"/>
          <a:lstStyle/>
          <a:p>
            <a:pPr>
              <a:defRPr lang="zh-CN" sz="900" b="0" i="0" u="none" strike="noStrike" kern="1200" baseline="0">
                <a:solidFill>
                  <a:srgbClr val="000000"/>
                </a:solidFill>
                <a:latin typeface="宋体" charset="-122"/>
                <a:ea typeface="宋体" charset="-122"/>
                <a:cs typeface="宋体" charset="-122"/>
              </a:defRPr>
            </a:pPr>
          </a:p>
        </c:txPr>
        <c:crossAx val="267333632"/>
        <c:crosses val="autoZero"/>
        <c:auto val="true"/>
        <c:lblAlgn val="ctr"/>
        <c:lblOffset val="100"/>
        <c:tickLblSkip val="1"/>
        <c:noMultiLvlLbl val="false"/>
      </c:catAx>
      <c:valAx>
        <c:axId val="267333632"/>
        <c:scaling>
          <c:orientation val="minMax"/>
        </c:scaling>
        <c:delete val="false"/>
        <c:axPos val="l"/>
        <c:majorGridlines>
          <c:spPr>
            <a:ln w="3170" cap="flat" cmpd="sng" algn="ctr">
              <a:solidFill>
                <a:srgbClr val="000000"/>
              </a:solidFill>
              <a:prstDash val="solid"/>
              <a:round/>
            </a:ln>
          </c:spPr>
        </c:majorGridlines>
        <c:numFmt formatCode="General" sourceLinked="true"/>
        <c:majorTickMark val="in"/>
        <c:minorTickMark val="none"/>
        <c:tickLblPos val="nextTo"/>
        <c:spPr>
          <a:ln w="3170" cap="flat" cmpd="sng" algn="ctr">
            <a:solidFill>
              <a:srgbClr val="000000"/>
            </a:solidFill>
            <a:prstDash val="solid"/>
            <a:round/>
          </a:ln>
        </c:spPr>
        <c:txPr>
          <a:bodyPr rot="0" spcFirstLastPara="0" vertOverflow="ellipsis" vert="horz" wrap="square" anchor="ctr" anchorCtr="true"/>
          <a:lstStyle/>
          <a:p>
            <a:pPr>
              <a:defRPr lang="zh-CN" sz="900" b="0" i="0" u="none" strike="noStrike" kern="1200" baseline="0">
                <a:solidFill>
                  <a:srgbClr val="000000"/>
                </a:solidFill>
                <a:latin typeface="宋体" charset="-122"/>
                <a:ea typeface="宋体" charset="-122"/>
                <a:cs typeface="宋体" charset="-122"/>
              </a:defRPr>
            </a:pPr>
          </a:p>
        </c:txPr>
        <c:crossAx val="263645056"/>
        <c:crosses val="autoZero"/>
        <c:crossBetween val="between"/>
      </c:valAx>
      <c:spPr>
        <a:solidFill>
          <a:srgbClr val="C0C0C0"/>
        </a:solidFill>
        <a:ln w="12678">
          <a:solidFill>
            <a:srgbClr val="808080"/>
          </a:solidFill>
          <a:prstDash val="solid"/>
        </a:ln>
      </c:spPr>
    </c:plotArea>
    <c:legend>
      <c:legendPos val="r"/>
      <c:layout>
        <c:manualLayout>
          <c:xMode val="edge"/>
          <c:yMode val="edge"/>
          <c:x val="0.916666666666667"/>
          <c:y val="0.453846153846154"/>
          <c:w val="0.0763888888888889"/>
          <c:h val="0.134615384615385"/>
        </c:manualLayout>
      </c:layout>
      <c:overlay val="false"/>
      <c:spPr>
        <a:solidFill>
          <a:srgbClr val="FFFFFF"/>
        </a:solidFill>
        <a:ln w="3170">
          <a:solidFill>
            <a:srgbClr val="000000"/>
          </a:solidFill>
          <a:prstDash val="solid"/>
        </a:ln>
      </c:spPr>
      <c:txPr>
        <a:bodyPr rot="0" spcFirstLastPara="0" vertOverflow="ellipsis" vert="horz" wrap="square" anchor="ctr" anchorCtr="true"/>
        <a:lstStyle/>
        <a:p>
          <a:pPr>
            <a:defRPr lang="zh-CN" sz="825" b="0" i="0" u="none" strike="noStrike" kern="1200" baseline="0">
              <a:solidFill>
                <a:srgbClr val="000000"/>
              </a:solidFill>
              <a:latin typeface="宋体" charset="-122"/>
              <a:ea typeface="宋体" charset="-122"/>
              <a:cs typeface="宋体" charset="-122"/>
            </a:defRPr>
          </a:pPr>
        </a:p>
      </c:txPr>
    </c:legend>
    <c:plotVisOnly val="true"/>
    <c:dispBlanksAs val="gap"/>
    <c:showDLblsOverMax val="false"/>
  </c:chart>
  <c:spPr>
    <a:solidFill>
      <a:srgbClr val="FFFFFF"/>
    </a:solidFill>
    <a:ln w="3170" cap="flat" cmpd="sng" algn="ctr">
      <a:solidFill>
        <a:srgbClr val="000000"/>
      </a:solidFill>
      <a:prstDash val="solid"/>
      <a:round/>
    </a:ln>
  </c:spPr>
  <c:txPr>
    <a:bodyPr/>
    <a:lstStyle/>
    <a:p>
      <a:pPr>
        <a:defRPr lang="zh-CN" sz="900" b="0" i="0" u="none" strike="noStrike" baseline="0">
          <a:solidFill>
            <a:srgbClr val="000000"/>
          </a:solidFill>
          <a:latin typeface="宋体" charset="-122"/>
          <a:ea typeface="宋体" charset="-122"/>
          <a:cs typeface="宋体" charset="-122"/>
        </a:defRPr>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0905982905982945"/>
          <c:y val="0.0766283524904214"/>
          <c:w val="0.8"/>
          <c:h val="0.78544061302683"/>
        </c:manualLayout>
      </c:layout>
      <c:barChart>
        <c:barDir val="col"/>
        <c:grouping val="stacked"/>
        <c:varyColors val="false"/>
        <c:ser>
          <c:idx val="0"/>
          <c:order val="0"/>
          <c:spPr>
            <a:solidFill>
              <a:srgbClr val="9999FF"/>
            </a:solidFill>
            <a:ln w="12700">
              <a:solidFill>
                <a:srgbClr val="000000"/>
              </a:solidFill>
              <a:prstDash val="solid"/>
            </a:ln>
          </c:spPr>
          <c:invertIfNegative val="false"/>
          <c:dLbls>
            <c:spPr>
              <a:noFill/>
              <a:ln w="25400">
                <a:noFill/>
              </a:ln>
              <a:effectLst/>
            </c:spPr>
            <c:txPr>
              <a:bodyPr rot="0" spcFirstLastPara="0" vertOverflow="ellipsis" vert="horz" wrap="square" lIns="38100" tIns="19050" rIns="38100" bIns="19050" anchor="ctr" anchorCtr="true">
                <a:spAutoFit/>
              </a:bodyPr>
              <a:lstStyle/>
              <a:p>
                <a:pPr>
                  <a:defRPr lang="zh-CN" sz="925" b="0" i="0" u="none" strike="noStrike" kern="1200" baseline="0">
                    <a:solidFill>
                      <a:srgbClr val="000000"/>
                    </a:solidFill>
                    <a:latin typeface="宋体" charset="-122"/>
                    <a:ea typeface="宋体" charset="-122"/>
                    <a:cs typeface="宋体" charset="-122"/>
                  </a:defRPr>
                </a:pPr>
              </a:p>
            </c:txPr>
            <c:dLblPos val="ctr"/>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false"/>
                <c15:leaderLines/>
              </c:ext>
            </c:extLst>
          </c:dLbls>
          <c:cat>
            <c:strRef>
              <c:f>Sheet2!$A$2:$A$3</c:f>
              <c:strCache>
                <c:ptCount val="2"/>
                <c:pt idx="1">
                  <c:v>一般公共预算财政拨款支出</c:v>
                </c:pt>
              </c:strCache>
            </c:strRef>
          </c:cat>
          <c:val>
            <c:numRef>
              <c:f>Sheet2!$B$2:$B$3</c:f>
              <c:numCache>
                <c:formatCode>General</c:formatCode>
                <c:ptCount val="2"/>
                <c:pt idx="1">
                  <c:v>411.21</c:v>
                </c:pt>
              </c:numCache>
            </c:numRef>
          </c:val>
        </c:ser>
        <c:dLbls>
          <c:showLegendKey val="false"/>
          <c:showVal val="true"/>
          <c:showCatName val="false"/>
          <c:showSerName val="false"/>
          <c:showPercent val="false"/>
          <c:showBubbleSize val="false"/>
        </c:dLbls>
        <c:gapWidth val="150"/>
        <c:overlap val="100"/>
        <c:axId val="319179776"/>
        <c:axId val="343266048"/>
      </c:barChart>
      <c:catAx>
        <c:axId val="319179776"/>
        <c:scaling>
          <c:orientation val="minMax"/>
        </c:scaling>
        <c:delete val="false"/>
        <c:axPos val="b"/>
        <c:numFmt formatCode="General" sourceLinked="true"/>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true"/>
          <a:lstStyle/>
          <a:p>
            <a:pPr>
              <a:defRPr lang="zh-CN" sz="925" b="0" i="0" u="none" strike="noStrike" kern="1200" baseline="0">
                <a:solidFill>
                  <a:srgbClr val="000000"/>
                </a:solidFill>
                <a:latin typeface="宋体" charset="-122"/>
                <a:ea typeface="宋体" charset="-122"/>
                <a:cs typeface="宋体" charset="-122"/>
              </a:defRPr>
            </a:pPr>
          </a:p>
        </c:txPr>
        <c:crossAx val="343266048"/>
        <c:crosses val="autoZero"/>
        <c:auto val="true"/>
        <c:lblAlgn val="ctr"/>
        <c:lblOffset val="100"/>
        <c:tickLblSkip val="1"/>
        <c:noMultiLvlLbl val="false"/>
      </c:catAx>
      <c:valAx>
        <c:axId val="343266048"/>
        <c:scaling>
          <c:orientation val="minMax"/>
        </c:scaling>
        <c:delete val="false"/>
        <c:axPos val="l"/>
        <c:majorGridlines>
          <c:spPr>
            <a:ln w="3175" cap="flat" cmpd="sng" algn="ctr">
              <a:solidFill>
                <a:srgbClr val="000000"/>
              </a:solidFill>
              <a:prstDash val="solid"/>
              <a:round/>
            </a:ln>
          </c:spPr>
        </c:majorGridlines>
        <c:numFmt formatCode="General" sourceLinked="true"/>
        <c:majorTickMark val="in"/>
        <c:minorTickMark val="none"/>
        <c:tickLblPos val="nextTo"/>
        <c:spPr>
          <a:ln w="3175" cap="flat" cmpd="sng" algn="ctr">
            <a:solidFill>
              <a:srgbClr val="000000"/>
            </a:solidFill>
            <a:prstDash val="solid"/>
            <a:round/>
          </a:ln>
        </c:spPr>
        <c:txPr>
          <a:bodyPr rot="0" spcFirstLastPara="0" vertOverflow="ellipsis" vert="horz" wrap="square" anchor="ctr" anchorCtr="true"/>
          <a:lstStyle/>
          <a:p>
            <a:pPr>
              <a:defRPr lang="zh-CN" sz="925" b="0" i="0" u="none" strike="noStrike" kern="1200" baseline="0">
                <a:solidFill>
                  <a:srgbClr val="000000"/>
                </a:solidFill>
                <a:latin typeface="宋体" charset="-122"/>
                <a:ea typeface="宋体" charset="-122"/>
                <a:cs typeface="宋体" charset="-122"/>
              </a:defRPr>
            </a:pPr>
          </a:p>
        </c:txPr>
        <c:crossAx val="319179776"/>
        <c:crosses val="autoZero"/>
        <c:crossBetween val="between"/>
      </c:valAx>
    </c:plotArea>
    <c:plotVisOnly val="true"/>
    <c:dispBlanksAs val="gap"/>
    <c:showDLblsOverMax val="false"/>
  </c:chart>
  <c:spPr>
    <a:solidFill>
      <a:srgbClr val="FFFFFF"/>
    </a:solidFill>
    <a:ln w="3175" cap="flat" cmpd="sng" algn="ctr">
      <a:solidFill>
        <a:srgbClr val="000000"/>
      </a:solidFill>
      <a:prstDash val="solid"/>
      <a:round/>
    </a:ln>
  </c:spPr>
  <c:txPr>
    <a:bodyPr/>
    <a:lstStyle/>
    <a:p>
      <a:pPr>
        <a:defRPr lang="zh-CN" sz="925" b="0" i="0" u="none" strike="noStrike" baseline="0">
          <a:solidFill>
            <a:srgbClr val="000000"/>
          </a:solidFill>
          <a:latin typeface="宋体" charset="-122"/>
          <a:ea typeface="宋体" charset="-122"/>
          <a:cs typeface="宋体" charset="-122"/>
        </a:defRPr>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53582956746288"/>
          <c:y val="0.0496160661547549"/>
        </c:manualLayout>
      </c:layout>
      <c:overlay val="false"/>
      <c:txPr>
        <a:bodyPr rot="0" spcFirstLastPara="0" vertOverflow="ellipsis" vert="horz" wrap="square" anchor="ctr" anchorCtr="true"/>
        <a:lstStyle/>
        <a:p>
          <a:pPr>
            <a:defRPr lang="zh-CN" sz="1800" b="1" i="0" u="none" strike="noStrike" kern="1200" baseline="0">
              <a:solidFill>
                <a:schemeClr val="tx1"/>
              </a:solidFill>
              <a:latin typeface="+mn-lt"/>
              <a:ea typeface="+mn-ea"/>
              <a:cs typeface="+mn-cs"/>
            </a:defRPr>
          </a:pPr>
        </a:p>
      </c:txPr>
    </c:title>
    <c:autoTitleDeleted val="false"/>
    <c:plotArea>
      <c:layout/>
      <c:pieChart>
        <c:varyColors val="true"/>
        <c:ser>
          <c:idx val="0"/>
          <c:order val="0"/>
          <c:tx>
            <c:strRef>
              <c:f>Sheet1!$B$1</c:f>
              <c:strCache>
                <c:ptCount val="1"/>
                <c:pt idx="0">
                  <c:v>一般公共预算财政拨款支出决算结构情况</c:v>
                </c:pt>
              </c:strCache>
            </c:strRef>
          </c:tx>
          <c:explosion val="0"/>
          <c:dPt>
            <c:idx val="0"/>
            <c:bubble3D val="false"/>
          </c:dPt>
          <c:dPt>
            <c:idx val="1"/>
            <c:bubble3D val="false"/>
          </c:dPt>
          <c:dPt>
            <c:idx val="2"/>
            <c:bubble3D val="false"/>
          </c:dPt>
          <c:dPt>
            <c:idx val="3"/>
            <c:bubble3D val="false"/>
          </c:dPt>
          <c:dLbls>
            <c:delete val="true"/>
          </c:dLbls>
          <c:cat>
            <c:strRef>
              <c:f>Sheet1!$A$2:$A$5</c:f>
              <c:strCache>
                <c:ptCount val="4"/>
                <c:pt idx="0">
                  <c:v>城乡社区支出</c:v>
                </c:pt>
                <c:pt idx="1">
                  <c:v>社会保障支出</c:v>
                </c:pt>
                <c:pt idx="2">
                  <c:v>卫生健康支出</c:v>
                </c:pt>
                <c:pt idx="3">
                  <c:v>住房保障支出</c:v>
                </c:pt>
              </c:strCache>
            </c:strRef>
          </c:cat>
          <c:val>
            <c:numRef>
              <c:f>Sheet1!$B$2:$B$5</c:f>
              <c:numCache>
                <c:formatCode>General</c:formatCode>
                <c:ptCount val="4"/>
                <c:pt idx="0">
                  <c:v>269.16</c:v>
                </c:pt>
                <c:pt idx="1">
                  <c:v>92</c:v>
                </c:pt>
                <c:pt idx="2">
                  <c:v>23.65</c:v>
                </c:pt>
                <c:pt idx="3">
                  <c:v>26.4</c:v>
                </c:pt>
              </c:numCache>
            </c:numRef>
          </c:val>
        </c:ser>
        <c:dLbls>
          <c:showLegendKey val="false"/>
          <c:showVal val="false"/>
          <c:showCatName val="false"/>
          <c:showSerName val="false"/>
          <c:showPercent val="false"/>
          <c:showBubbleSize val="false"/>
          <c:showLeaderLines val="true"/>
        </c:dLbls>
        <c:firstSliceAng val="0"/>
      </c:pieChart>
    </c:plotArea>
    <c:legend>
      <c:legendPos val="r"/>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zero"/>
    <c:showDLblsOverMax val="false"/>
  </c:chart>
  <c:txPr>
    <a:bodyPr/>
    <a:lstStyle/>
    <a:p>
      <a:pPr>
        <a:defRPr lang="zh-CN"/>
      </a:pPr>
    </a:p>
  </c:txPr>
  <c:externalData r:id="rId1">
    <c:autoUpdate val="false"/>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overlay val="false"/>
      <c:txPr>
        <a:bodyPr rot="0" spcFirstLastPara="0" vertOverflow="ellipsis" vert="horz" wrap="square" anchor="ctr" anchorCtr="true"/>
        <a:lstStyle/>
        <a:p>
          <a:pPr>
            <a:defRPr lang="zh-CN" sz="1800" b="1" i="0" u="none" strike="noStrike" kern="1200" baseline="0">
              <a:solidFill>
                <a:schemeClr val="tx1"/>
              </a:solidFill>
              <a:latin typeface="+mn-lt"/>
              <a:ea typeface="+mn-ea"/>
              <a:cs typeface="+mn-cs"/>
            </a:defRPr>
          </a:pPr>
        </a:p>
      </c:txPr>
    </c:title>
    <c:autoTitleDeleted val="false"/>
    <c:plotArea>
      <c:layout/>
      <c:pieChart>
        <c:varyColors val="true"/>
        <c:ser>
          <c:idx val="0"/>
          <c:order val="0"/>
          <c:tx>
            <c:strRef>
              <c:f>Sheet1!$B$1</c:f>
              <c:strCache>
                <c:ptCount val="1"/>
                <c:pt idx="0">
                  <c:v>“三公”经费财政拨款支出结构</c:v>
                </c:pt>
              </c:strCache>
            </c:strRef>
          </c:tx>
          <c:explosion val="0"/>
          <c:dPt>
            <c:idx val="0"/>
            <c:bubble3D val="false"/>
          </c:dPt>
          <c:dPt>
            <c:idx val="1"/>
            <c:bubble3D val="false"/>
          </c:dPt>
          <c:dPt>
            <c:idx val="2"/>
            <c:bubble3D val="false"/>
          </c:dPt>
          <c:dPt>
            <c:idx val="3"/>
            <c:bubble3D val="false"/>
          </c:dPt>
          <c:dLbls>
            <c:delete val="true"/>
          </c:dLbls>
          <c:cat>
            <c:strRef>
              <c:f>Sheet1!$A$2:$A$5</c:f>
              <c:strCache>
                <c:ptCount val="3"/>
                <c:pt idx="0">
                  <c:v>公务用车运行维护费</c:v>
                </c:pt>
                <c:pt idx="1">
                  <c:v>公务接待费</c:v>
                </c:pt>
                <c:pt idx="2">
                  <c:v>因公出国（境）经费</c:v>
                </c:pt>
              </c:strCache>
            </c:strRef>
          </c:cat>
          <c:val>
            <c:numRef>
              <c:f>Sheet1!$B$2:$B$5</c:f>
              <c:numCache>
                <c:formatCode>General</c:formatCode>
                <c:ptCount val="4"/>
                <c:pt idx="0">
                  <c:v>0.29</c:v>
                </c:pt>
                <c:pt idx="1">
                  <c:v>0</c:v>
                </c:pt>
                <c:pt idx="2">
                  <c:v>0</c:v>
                </c:pt>
              </c:numCache>
            </c:numRef>
          </c:val>
        </c:ser>
        <c:dLbls>
          <c:showLegendKey val="false"/>
          <c:showVal val="false"/>
          <c:showCatName val="false"/>
          <c:showSerName val="false"/>
          <c:showPercent val="false"/>
          <c:showBubbleSize val="false"/>
          <c:showLeaderLines val="true"/>
        </c:dLbls>
        <c:firstSliceAng val="0"/>
      </c:pieChart>
    </c:plotArea>
    <c:legend>
      <c:legendPos val="r"/>
      <c:legendEntry>
        <c:idx val="3"/>
        <c:delete val="true"/>
      </c:legendEntry>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zero"/>
    <c:showDLblsOverMax val="false"/>
  </c:chart>
  <c:txPr>
    <a:bodyPr/>
    <a:lstStyle/>
    <a:p>
      <a:pPr>
        <a:defRPr lang="zh-CN"/>
      </a:pPr>
    </a:p>
  </c:txPr>
  <c:externalData r:id="rId1">
    <c:autoUpdate val="false"/>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17</Pages>
  <Words>4797</Words>
  <Characters>5263</Characters>
  <Lines>40</Lines>
  <Paragraphs>11</Paragraphs>
  <TotalTime>24</TotalTime>
  <ScaleCrop>false</ScaleCrop>
  <LinksUpToDate>false</LinksUpToDate>
  <CharactersWithSpaces>5363</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2026-09-11T07:40:00Z</dcterms:created>
  <dc:creator>Windows User</dc:creator>
  <cp:lastModifiedBy>user</cp:lastModifiedBy>
  <cp:lastPrinted>2026-09-11T08:14:00Z</cp:lastPrinted>
  <dcterms:modified xsi:type="dcterms:W3CDTF">2026-09-15T10:56:16Z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eyJoZGlkIjoiYWNlMzViMzY2NDAyYTMyZTIwMmZmY2YzNmM4ZmJkZGIiLCJ1c2VySWQiOiI3NzM4MDM4NzAifQ==</vt:lpwstr>
  </property>
  <property fmtid="{D5CDD505-2E9C-101B-9397-08002B2CF9AE}" pid="3" name="KSOProductBuildVer">
    <vt:lpwstr>2052-11.8.2.9864</vt:lpwstr>
  </property>
  <property fmtid="{D5CDD505-2E9C-101B-9397-08002B2CF9AE}" pid="4" name="ICV">
    <vt:lpwstr>316EC2EF3E8541BD9BB4815229E8FC0D_12</vt:lpwstr>
  </property>
</Properties>
</file>