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bookmarkStart w:id="0" w:name="_Toc15378441"/>
      <w:bookmarkStart w:id="1" w:name="_Toc15377193"/>
      <w:bookmarkStart w:id="2" w:name="_Toc15377425"/>
      <w:bookmarkStart w:id="3" w:name="_Toc15396597"/>
      <w:bookmarkStart w:id="4" w:name="_Toc15306267"/>
      <w:bookmarkStart w:id="5" w:name="_Toc15396475"/>
    </w:p>
    <w:p>
      <w:pPr>
        <w:pStyle w:val="5"/>
        <w:spacing w:before="93"/>
        <w:jc w:val="center"/>
        <w:rPr>
          <w:rFonts w:ascii="Times New Roman" w:eastAsia="方正小标宋简体"/>
          <w:kern w:val="2"/>
          <w:sz w:val="44"/>
          <w:szCs w:val="44"/>
        </w:rPr>
      </w:pPr>
    </w:p>
    <w:p>
      <w:pPr>
        <w:pStyle w:val="5"/>
        <w:spacing w:before="93"/>
        <w:jc w:val="center"/>
        <w:rPr>
          <w:rFonts w:ascii="Times New Roman" w:eastAsia="方正小标宋简体"/>
          <w:kern w:val="2"/>
          <w:sz w:val="44"/>
          <w:szCs w:val="44"/>
        </w:rPr>
      </w:pPr>
    </w:p>
    <w:p>
      <w:pPr>
        <w:pStyle w:val="5"/>
        <w:spacing w:before="93"/>
        <w:jc w:val="center"/>
        <w:rPr>
          <w:rFonts w:ascii="Times New Roman" w:eastAsia="方正小标宋简体"/>
          <w:kern w:val="2"/>
          <w:sz w:val="44"/>
          <w:szCs w:val="44"/>
        </w:rPr>
      </w:pPr>
    </w:p>
    <w:p>
      <w:pPr>
        <w:pStyle w:val="5"/>
        <w:spacing w:before="93"/>
        <w:jc w:val="center"/>
        <w:rPr>
          <w:rFonts w:ascii="Times New Roman" w:eastAsia="方正小标宋简体"/>
          <w:kern w:val="2"/>
          <w:sz w:val="44"/>
          <w:szCs w:val="44"/>
        </w:rPr>
      </w:pPr>
    </w:p>
    <w:bookmarkEnd w:id="0"/>
    <w:bookmarkEnd w:id="1"/>
    <w:bookmarkEnd w:id="2"/>
    <w:bookmarkEnd w:id="3"/>
    <w:bookmarkEnd w:id="4"/>
    <w:bookmarkEnd w:id="5"/>
    <w:p>
      <w:pPr>
        <w:spacing w:before="93" w:beforeLines="30"/>
        <w:jc w:val="center"/>
        <w:rPr>
          <w:rFonts w:eastAsia="方正小标宋简体"/>
          <w:sz w:val="44"/>
          <w:szCs w:val="44"/>
        </w:rPr>
      </w:pPr>
      <w:bookmarkStart w:id="6" w:name="_Toc15396598"/>
      <w:bookmarkStart w:id="7" w:name="_Toc15378442"/>
      <w:bookmarkStart w:id="8" w:name="_Toc15396476"/>
      <w:bookmarkStart w:id="9" w:name="_Toc15377194"/>
      <w:bookmarkStart w:id="10" w:name="_Toc15377426"/>
      <w:r>
        <w:rPr>
          <w:rFonts w:hint="eastAsia" w:eastAsia="方正小标宋简体"/>
          <w:sz w:val="44"/>
          <w:szCs w:val="44"/>
        </w:rPr>
        <w:t>202</w:t>
      </w:r>
      <w:r>
        <w:rPr>
          <w:rFonts w:eastAsia="方正小标宋简体"/>
          <w:sz w:val="44"/>
          <w:szCs w:val="44"/>
        </w:rPr>
        <w:t>5</w:t>
      </w:r>
      <w:r>
        <w:rPr>
          <w:rFonts w:hint="eastAsia" w:eastAsia="方正小标宋简体"/>
          <w:sz w:val="44"/>
          <w:szCs w:val="44"/>
        </w:rPr>
        <w:t>年度四川省</w:t>
      </w:r>
      <w:bookmarkStart w:id="11" w:name="_Toc15306268"/>
      <w:r>
        <w:rPr>
          <w:rFonts w:hint="eastAsia" w:eastAsia="方正小标宋简体"/>
          <w:sz w:val="44"/>
          <w:szCs w:val="44"/>
        </w:rPr>
        <w:t>攀枝花市房地产</w:t>
      </w:r>
      <w:r>
        <w:rPr>
          <w:rFonts w:eastAsia="方正小标宋简体"/>
          <w:sz w:val="44"/>
          <w:szCs w:val="44"/>
        </w:rPr>
        <w:t>事务中心</w:t>
      </w:r>
      <w:r>
        <w:rPr>
          <w:rFonts w:hint="eastAsia" w:eastAsia="方正小标宋简体"/>
          <w:sz w:val="44"/>
          <w:szCs w:val="44"/>
        </w:rPr>
        <w:t>单位决算</w:t>
      </w:r>
      <w:bookmarkEnd w:id="6"/>
      <w:bookmarkEnd w:id="7"/>
      <w:bookmarkEnd w:id="8"/>
      <w:bookmarkEnd w:id="9"/>
      <w:bookmarkEnd w:id="10"/>
      <w:bookmarkEnd w:id="11"/>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Pr>
        <w:widowControl/>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ascii="Times New Roman" w:hAnsi="Times New Roman" w:eastAsia="仿宋_GB2312" w:cs="仿宋_GB2312"/>
          <w:sz w:val="32"/>
          <w:szCs w:val="32"/>
        </w:rPr>
        <w:t>9</w:t>
      </w:r>
      <w:r>
        <w:rPr>
          <w:rFonts w:hint="eastAsia" w:ascii="Times New Roman" w:hAnsi="Times New Roman" w:eastAsia="仿宋_GB2312" w:cs="仿宋_GB2312"/>
          <w:sz w:val="32"/>
          <w:szCs w:val="32"/>
        </w:rPr>
        <w:t xml:space="preserve"> 月 </w:t>
      </w:r>
      <w:r>
        <w:rPr>
          <w:rFonts w:ascii="Times New Roman" w:hAnsi="Times New Roman" w:eastAsia="仿宋_GB2312" w:cs="仿宋_GB2312"/>
          <w:sz w:val="32"/>
          <w:szCs w:val="32"/>
        </w:rPr>
        <w:t>1</w:t>
      </w: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 xml:space="preserve"> 日</w:t>
      </w:r>
    </w:p>
    <w:p/>
    <w:p>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 xml:space="preserve">第一部分 </w:t>
      </w:r>
      <w:r>
        <w:rPr>
          <w:rFonts w:hint="eastAsia" w:ascii="Times New Roman" w:hAnsi="Times New Roman" w:eastAsia="黑体" w:cs="黑体"/>
          <w:sz w:val="32"/>
          <w:szCs w:val="32"/>
          <w:lang w:eastAsia="zh-CN"/>
        </w:rPr>
        <w:t>单位</w:t>
      </w:r>
      <w:r>
        <w:rPr>
          <w:rFonts w:hint="eastAsia" w:ascii="Times New Roman" w:hAnsi="Times New Roman" w:eastAsia="黑体" w:cs="黑体"/>
          <w:sz w:val="32"/>
          <w:szCs w:val="32"/>
        </w:rPr>
        <w:t>概况</w:t>
      </w:r>
      <w:r>
        <w:rPr>
          <w:sz w:val="24"/>
        </w:rPr>
        <w:tab/>
      </w:r>
      <w:r>
        <w:rPr>
          <w:sz w:val="24"/>
        </w:rPr>
        <w:t>4</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w:t>
      </w:r>
      <w:r>
        <w:rPr>
          <w:rFonts w:hint="eastAsia" w:eastAsia="仿宋_GB2312" w:cs="仿宋_GB2312"/>
          <w:sz w:val="32"/>
          <w:szCs w:val="32"/>
          <w:lang w:eastAsia="zh-CN"/>
        </w:rPr>
        <w:t>单位</w:t>
      </w:r>
      <w:r>
        <w:rPr>
          <w:rFonts w:hint="eastAsia" w:eastAsia="仿宋_GB2312" w:cs="仿宋_GB2312"/>
          <w:sz w:val="32"/>
          <w:szCs w:val="32"/>
        </w:rPr>
        <w:t>职责</w:t>
      </w:r>
      <w:bookmarkStart w:id="12" w:name="OLE_LINK12"/>
      <w:bookmarkStart w:id="13" w:name="OLE_LINK11"/>
      <w:r>
        <w:rPr>
          <w:sz w:val="24"/>
        </w:rPr>
        <w:tab/>
      </w:r>
      <w:r>
        <w:rPr>
          <w:sz w:val="24"/>
        </w:rPr>
        <w:t>4</w:t>
      </w:r>
      <w:bookmarkEnd w:id="12"/>
      <w:bookmarkEnd w:id="13"/>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r>
        <w:rPr>
          <w:sz w:val="24"/>
        </w:rPr>
        <w:tab/>
      </w:r>
      <w:r>
        <w:rPr>
          <w:sz w:val="24"/>
        </w:rPr>
        <w:t>4</w:t>
      </w:r>
    </w:p>
    <w:p>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w:t>
      </w:r>
      <w:r>
        <w:rPr>
          <w:rFonts w:hint="eastAsia" w:ascii="Times New Roman" w:hAnsi="Times New Roman" w:eastAsia="黑体" w:cs="黑体"/>
          <w:sz w:val="32"/>
          <w:szCs w:val="32"/>
          <w:lang w:eastAsia="zh-CN"/>
        </w:rPr>
        <w:t>单位</w:t>
      </w:r>
      <w:r>
        <w:rPr>
          <w:rFonts w:hint="eastAsia" w:ascii="Times New Roman" w:hAnsi="Times New Roman" w:eastAsia="黑体" w:cs="黑体"/>
          <w:sz w:val="32"/>
          <w:szCs w:val="32"/>
        </w:rPr>
        <w:t>决算情况说明</w:t>
      </w:r>
      <w:r>
        <w:rPr>
          <w:sz w:val="24"/>
        </w:rPr>
        <w:tab/>
      </w:r>
      <w:r>
        <w:rPr>
          <w:sz w:val="24"/>
        </w:rPr>
        <w:t>5</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r>
        <w:rPr>
          <w:sz w:val="24"/>
        </w:rPr>
        <w:tab/>
      </w:r>
      <w:r>
        <w:rPr>
          <w:sz w:val="24"/>
        </w:rPr>
        <w:t>5</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r>
        <w:rPr>
          <w:sz w:val="24"/>
        </w:rPr>
        <w:tab/>
      </w:r>
      <w:r>
        <w:rPr>
          <w:sz w:val="24"/>
        </w:rPr>
        <w:t>5</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r>
        <w:rPr>
          <w:sz w:val="24"/>
        </w:rPr>
        <w:tab/>
      </w:r>
      <w:r>
        <w:rPr>
          <w:sz w:val="24"/>
        </w:rPr>
        <w:t>6</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r>
        <w:rPr>
          <w:sz w:val="24"/>
        </w:rPr>
        <w:tab/>
      </w:r>
      <w:r>
        <w:rPr>
          <w:sz w:val="24"/>
        </w:rPr>
        <w:t>7</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r>
        <w:rPr>
          <w:sz w:val="24"/>
        </w:rPr>
        <w:tab/>
      </w:r>
      <w:r>
        <w:rPr>
          <w:sz w:val="24"/>
        </w:rPr>
        <w:t>7</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r>
        <w:rPr>
          <w:sz w:val="24"/>
        </w:rPr>
        <w:tab/>
      </w:r>
      <w:r>
        <w:rPr>
          <w:sz w:val="24"/>
        </w:rPr>
        <w:t>10</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r>
        <w:rPr>
          <w:sz w:val="24"/>
        </w:rPr>
        <w:tab/>
      </w:r>
      <w:r>
        <w:rPr>
          <w:sz w:val="24"/>
        </w:rPr>
        <w:t>11</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r>
        <w:rPr>
          <w:sz w:val="24"/>
        </w:rPr>
        <w:tab/>
      </w:r>
      <w:r>
        <w:rPr>
          <w:sz w:val="24"/>
        </w:rPr>
        <w:t>13</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r>
        <w:rPr>
          <w:sz w:val="24"/>
        </w:rPr>
        <w:tab/>
      </w:r>
      <w:r>
        <w:rPr>
          <w:sz w:val="24"/>
        </w:rPr>
        <w:t>13</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r>
        <w:rPr>
          <w:sz w:val="24"/>
        </w:rPr>
        <w:tab/>
      </w:r>
      <w:r>
        <w:rPr>
          <w:sz w:val="24"/>
        </w:rPr>
        <w:t>14</w:t>
      </w:r>
    </w:p>
    <w:p>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r>
        <w:rPr>
          <w:sz w:val="24"/>
        </w:rPr>
        <w:tab/>
      </w:r>
      <w:r>
        <w:rPr>
          <w:sz w:val="24"/>
        </w:rPr>
        <w:t>16</w:t>
      </w:r>
    </w:p>
    <w:p>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r>
        <w:rPr>
          <w:sz w:val="24"/>
        </w:rPr>
        <w:tab/>
      </w:r>
      <w:r>
        <w:rPr>
          <w:sz w:val="24"/>
        </w:rPr>
        <w:t>18</w:t>
      </w:r>
    </w:p>
    <w:p>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r>
        <w:rPr>
          <w:sz w:val="24"/>
        </w:rPr>
        <w:tab/>
      </w:r>
      <w:r>
        <w:rPr>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r>
        <w:rPr>
          <w:sz w:val="24"/>
        </w:rPr>
        <w:tab/>
      </w:r>
      <w:r>
        <w:rPr>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r>
        <w:rPr>
          <w:sz w:val="24"/>
        </w:rPr>
        <w:tab/>
      </w:r>
      <w:r>
        <w:rPr>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r>
        <w:rPr>
          <w:sz w:val="24"/>
        </w:rPr>
        <w:tab/>
      </w:r>
      <w:r>
        <w:rPr>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r>
        <w:rPr>
          <w:sz w:val="24"/>
        </w:rPr>
        <w:tab/>
      </w:r>
      <w:r>
        <w:rPr>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r>
        <w:rPr>
          <w:sz w:val="24"/>
        </w:rPr>
        <w:tab/>
      </w:r>
      <w:r>
        <w:rPr>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r>
        <w:rPr>
          <w:sz w:val="24"/>
        </w:rPr>
        <w:tab/>
      </w:r>
      <w:r>
        <w:rPr>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r>
        <w:rPr>
          <w:sz w:val="24"/>
        </w:rPr>
        <w:tab/>
      </w:r>
      <w:r>
        <w:rPr>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r>
        <w:rPr>
          <w:sz w:val="24"/>
        </w:rPr>
        <w:tab/>
      </w:r>
      <w:r>
        <w:rPr>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r>
        <w:rPr>
          <w:sz w:val="24"/>
        </w:rPr>
        <w:tab/>
      </w:r>
      <w:r>
        <w:rPr>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r>
        <w:rPr>
          <w:sz w:val="24"/>
        </w:rPr>
        <w:tab/>
      </w:r>
      <w:r>
        <w:rPr>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r>
        <w:rPr>
          <w:sz w:val="24"/>
        </w:rPr>
        <w:tab/>
      </w:r>
      <w:r>
        <w:rPr>
          <w:sz w:val="24"/>
        </w:rPr>
        <w:t>19</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r>
        <w:rPr>
          <w:sz w:val="24"/>
        </w:rPr>
        <w:tab/>
      </w:r>
      <w:r>
        <w:rPr>
          <w:sz w:val="24"/>
        </w:rPr>
        <w:t>19</w:t>
      </w:r>
    </w:p>
    <w:p>
      <w:pPr>
        <w:pStyle w:val="14"/>
        <w:adjustRightInd w:val="0"/>
        <w:snapToGrid w:val="0"/>
        <w:spacing w:line="560" w:lineRule="exact"/>
        <w:ind w:left="0" w:leftChars="0" w:firstLine="640" w:firstLineChars="200"/>
        <w:jc w:val="left"/>
        <w:rPr>
          <w:sz w:val="24"/>
        </w:rPr>
      </w:pPr>
      <w:r>
        <w:rPr>
          <w:rFonts w:hint="eastAsia" w:eastAsia="仿宋_GB2312" w:cs="仿宋_GB2312"/>
          <w:sz w:val="32"/>
          <w:szCs w:val="32"/>
        </w:rPr>
        <w:t>十三、财政拨款“三公”经费支出决算表</w:t>
      </w:r>
      <w:r>
        <w:rPr>
          <w:sz w:val="24"/>
        </w:rPr>
        <w:tab/>
      </w:r>
      <w:r>
        <w:rPr>
          <w:sz w:val="24"/>
        </w:rPr>
        <w:t>19</w:t>
      </w: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Pr>
        <w:pStyle w:val="2"/>
        <w:jc w:val="center"/>
        <w:rPr>
          <w:rStyle w:val="28"/>
          <w:rFonts w:eastAsia="方正小标宋简体" w:cs="方正小标宋简体"/>
          <w:b/>
          <w:bCs w:val="0"/>
        </w:rPr>
      </w:pPr>
      <w:bookmarkStart w:id="14" w:name="_Toc15377196"/>
      <w:bookmarkStart w:id="15" w:name="_Toc15396599"/>
      <w:r>
        <w:rPr>
          <w:rFonts w:hint="eastAsia" w:eastAsia="方正小标宋简体" w:cs="方正小标宋简体"/>
          <w:b w:val="0"/>
        </w:rPr>
        <w:t xml:space="preserve">第一部分  </w:t>
      </w:r>
      <w:r>
        <w:rPr>
          <w:rStyle w:val="28"/>
          <w:rFonts w:hint="eastAsia" w:eastAsia="方正小标宋简体" w:cs="方正小标宋简体"/>
          <w:b w:val="0"/>
          <w:bCs w:val="0"/>
        </w:rPr>
        <w:t>单位概况</w:t>
      </w:r>
      <w:bookmarkEnd w:id="14"/>
      <w:bookmarkEnd w:id="15"/>
    </w:p>
    <w:p>
      <w:pPr>
        <w:widowControl/>
        <w:jc w:val="left"/>
        <w:rPr>
          <w:rFonts w:eastAsia="黑体"/>
          <w:sz w:val="32"/>
          <w:szCs w:val="32"/>
        </w:rPr>
      </w:pPr>
    </w:p>
    <w:p>
      <w:pPr>
        <w:pStyle w:val="3"/>
        <w:numPr>
          <w:ilvl w:val="0"/>
          <w:numId w:val="1"/>
        </w:numPr>
        <w:rPr>
          <w:rFonts w:ascii="Times New Roman" w:hAnsi="Times New Roman" w:eastAsia="黑体"/>
          <w:b w:val="0"/>
        </w:rPr>
      </w:pPr>
      <w:r>
        <w:rPr>
          <w:rFonts w:hint="eastAsia" w:ascii="Times New Roman" w:hAnsi="Times New Roman" w:eastAsia="黑体"/>
          <w:b w:val="0"/>
        </w:rPr>
        <w:t>单位职责</w:t>
      </w:r>
    </w:p>
    <w:p>
      <w:pPr>
        <w:pStyle w:val="5"/>
        <w:adjustRightInd w:val="0"/>
        <w:spacing w:before="130" w:beforeLines="0" w:line="600" w:lineRule="exact"/>
        <w:ind w:firstLine="672" w:firstLineChars="210"/>
        <w:rPr>
          <w:rFonts w:hAnsi="仿宋" w:cstheme="majorBidi"/>
          <w:kern w:val="2"/>
          <w:sz w:val="32"/>
          <w:szCs w:val="32"/>
        </w:rPr>
      </w:pPr>
      <w:r>
        <w:rPr>
          <w:rFonts w:hint="eastAsia" w:hAnsi="仿宋" w:cstheme="majorBidi"/>
          <w:kern w:val="2"/>
          <w:sz w:val="32"/>
          <w:szCs w:val="32"/>
        </w:rPr>
        <w:t>负责全市房地产相关事务性工作；参与规范房地产市场、物业服务和房地产中介服务等活动；承担房地产市场信息平台建设、运行和维护工作；负责国有土地上房屋征收与补偿的相关工作。</w:t>
      </w:r>
    </w:p>
    <w:p>
      <w:pPr>
        <w:pStyle w:val="3"/>
        <w:rPr>
          <w:rStyle w:val="29"/>
          <w:rFonts w:ascii="Times New Roman" w:hAnsi="Times New Roman"/>
          <w:b w:val="0"/>
          <w:bCs w:val="0"/>
        </w:rPr>
      </w:pPr>
      <w:bookmarkStart w:id="16" w:name="_Toc15396601"/>
      <w:bookmarkStart w:id="17" w:name="_Toc15377200"/>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6"/>
      <w:bookmarkEnd w:id="17"/>
    </w:p>
    <w:p>
      <w:pPr>
        <w:ind w:firstLine="800" w:firstLineChars="250"/>
        <w:rPr>
          <w:rFonts w:eastAsia="仿宋_GB2312" w:cs="仿宋_GB2312"/>
          <w:sz w:val="32"/>
          <w:szCs w:val="32"/>
        </w:rPr>
      </w:pPr>
      <w:r>
        <w:rPr>
          <w:rFonts w:hint="eastAsia" w:ascii="仿宋_GB2312" w:hAnsi="仿宋" w:eastAsia="仿宋_GB2312"/>
          <w:sz w:val="32"/>
          <w:szCs w:val="32"/>
        </w:rPr>
        <w:t>攀枝花市房地产事务中心</w:t>
      </w:r>
      <w:r>
        <w:rPr>
          <w:rFonts w:hint="eastAsia" w:eastAsia="仿宋_GB2312" w:cs="仿宋_GB2312"/>
          <w:sz w:val="32"/>
          <w:szCs w:val="32"/>
        </w:rPr>
        <w:t>下属二级预算单位</w:t>
      </w:r>
      <w:r>
        <w:rPr>
          <w:rFonts w:eastAsia="仿宋_GB2312" w:cs="仿宋_GB2312"/>
          <w:sz w:val="32"/>
          <w:szCs w:val="32"/>
        </w:rPr>
        <w:t>3</w:t>
      </w:r>
      <w:r>
        <w:rPr>
          <w:rFonts w:hint="eastAsia" w:eastAsia="仿宋_GB2312" w:cs="仿宋_GB2312"/>
          <w:sz w:val="32"/>
          <w:szCs w:val="32"/>
        </w:rPr>
        <w:t>个，其中行政单位</w:t>
      </w:r>
      <w:r>
        <w:rPr>
          <w:rFonts w:eastAsia="仿宋_GB2312" w:cs="仿宋_GB2312"/>
          <w:sz w:val="32"/>
          <w:szCs w:val="32"/>
        </w:rPr>
        <w:t>0</w:t>
      </w:r>
      <w:r>
        <w:rPr>
          <w:rFonts w:hint="eastAsia" w:eastAsia="仿宋_GB2312" w:cs="仿宋_GB2312"/>
          <w:sz w:val="32"/>
          <w:szCs w:val="32"/>
        </w:rPr>
        <w:t>个，参照公务员法管理的事业单位</w:t>
      </w:r>
      <w:r>
        <w:rPr>
          <w:rFonts w:eastAsia="仿宋_GB2312" w:cs="仿宋_GB2312"/>
          <w:bCs/>
          <w:sz w:val="32"/>
          <w:szCs w:val="32"/>
        </w:rPr>
        <w:t>0</w:t>
      </w:r>
      <w:r>
        <w:rPr>
          <w:rFonts w:hint="eastAsia" w:eastAsia="仿宋_GB2312" w:cs="仿宋_GB2312"/>
          <w:sz w:val="32"/>
          <w:szCs w:val="32"/>
        </w:rPr>
        <w:t>个，其他事业单位</w:t>
      </w:r>
      <w:r>
        <w:rPr>
          <w:rFonts w:eastAsia="仿宋_GB2312" w:cs="仿宋_GB2312"/>
          <w:sz w:val="32"/>
          <w:szCs w:val="32"/>
        </w:rPr>
        <w:t>3</w:t>
      </w:r>
      <w:r>
        <w:rPr>
          <w:rFonts w:hint="eastAsia" w:eastAsia="仿宋_GB2312" w:cs="仿宋_GB2312"/>
          <w:sz w:val="32"/>
          <w:szCs w:val="32"/>
        </w:rPr>
        <w:t>个。</w:t>
      </w:r>
    </w:p>
    <w:p>
      <w:pPr>
        <w:pStyle w:val="5"/>
        <w:adjustRightInd w:val="0"/>
        <w:snapToGrid w:val="0"/>
        <w:spacing w:before="93" w:line="600" w:lineRule="exact"/>
        <w:ind w:firstLine="672" w:firstLineChars="210"/>
        <w:rPr>
          <w:rFonts w:ascii="Times New Roman" w:cs="仿宋_GB2312"/>
          <w:sz w:val="32"/>
          <w:szCs w:val="32"/>
        </w:rPr>
      </w:pPr>
      <w:r>
        <w:rPr>
          <w:rFonts w:hint="eastAsia" w:ascii="Times New Roman" w:cs="仿宋_GB2312"/>
          <w:sz w:val="32"/>
          <w:szCs w:val="32"/>
        </w:rPr>
        <w:t>纳入攀枝花市房地产</w:t>
      </w:r>
      <w:r>
        <w:rPr>
          <w:rFonts w:ascii="Times New Roman" w:cs="仿宋_GB2312"/>
          <w:sz w:val="32"/>
          <w:szCs w:val="32"/>
        </w:rPr>
        <w:t>事务中心</w:t>
      </w:r>
      <w:r>
        <w:rPr>
          <w:rFonts w:hint="eastAsia" w:ascii="Times New Roman" w:cs="仿宋_GB2312"/>
          <w:sz w:val="32"/>
          <w:szCs w:val="32"/>
        </w:rPr>
        <w:t>2025年度部门决算编制范围的二级预算单位包括：</w:t>
      </w:r>
    </w:p>
    <w:p>
      <w:pPr>
        <w:pStyle w:val="5"/>
        <w:numPr>
          <w:ilvl w:val="0"/>
          <w:numId w:val="2"/>
        </w:numPr>
        <w:adjustRightInd w:val="0"/>
        <w:snapToGrid w:val="0"/>
        <w:spacing w:before="93" w:line="600" w:lineRule="exact"/>
        <w:outlineLvl w:val="2"/>
        <w:rPr>
          <w:rFonts w:ascii="Times New Roman" w:cs="仿宋_GB2312"/>
          <w:sz w:val="32"/>
          <w:szCs w:val="32"/>
        </w:rPr>
      </w:pPr>
      <w:r>
        <w:rPr>
          <w:rFonts w:hint="eastAsia" w:hAnsi="仿宋"/>
          <w:sz w:val="32"/>
          <w:szCs w:val="32"/>
        </w:rPr>
        <w:t>攀枝花</w:t>
      </w:r>
      <w:r>
        <w:rPr>
          <w:rFonts w:hAnsi="仿宋"/>
          <w:sz w:val="32"/>
          <w:szCs w:val="32"/>
        </w:rPr>
        <w:t>市房屋产权交易中心</w:t>
      </w:r>
    </w:p>
    <w:p>
      <w:pPr>
        <w:pStyle w:val="5"/>
        <w:numPr>
          <w:ilvl w:val="0"/>
          <w:numId w:val="2"/>
        </w:numPr>
        <w:adjustRightInd w:val="0"/>
        <w:snapToGrid w:val="0"/>
        <w:spacing w:before="93" w:line="600" w:lineRule="exact"/>
        <w:outlineLvl w:val="2"/>
        <w:rPr>
          <w:rFonts w:ascii="Times New Roman" w:cs="仿宋_GB2312"/>
          <w:sz w:val="32"/>
          <w:szCs w:val="32"/>
        </w:rPr>
      </w:pPr>
      <w:bookmarkStart w:id="18" w:name="_Toc15377433"/>
      <w:bookmarkStart w:id="19" w:name="_Toc15306276"/>
      <w:bookmarkStart w:id="20" w:name="_Toc15378449"/>
      <w:bookmarkStart w:id="21" w:name="_Toc15377202"/>
      <w:r>
        <w:rPr>
          <w:rFonts w:hint="eastAsia" w:hAnsi="仿宋"/>
          <w:sz w:val="32"/>
          <w:szCs w:val="32"/>
        </w:rPr>
        <w:t>攀枝花</w:t>
      </w:r>
      <w:r>
        <w:rPr>
          <w:rFonts w:hAnsi="仿宋"/>
          <w:sz w:val="32"/>
          <w:szCs w:val="32"/>
        </w:rPr>
        <w:t>市白蚁防治中心</w:t>
      </w:r>
      <w:bookmarkEnd w:id="18"/>
      <w:bookmarkEnd w:id="19"/>
      <w:bookmarkEnd w:id="20"/>
      <w:bookmarkEnd w:id="21"/>
    </w:p>
    <w:p>
      <w:pPr>
        <w:pStyle w:val="5"/>
        <w:numPr>
          <w:ilvl w:val="0"/>
          <w:numId w:val="2"/>
        </w:numPr>
        <w:adjustRightInd w:val="0"/>
        <w:snapToGrid w:val="0"/>
        <w:spacing w:before="93" w:line="600" w:lineRule="exact"/>
        <w:outlineLvl w:val="2"/>
        <w:rPr>
          <w:rFonts w:hAnsi="仿宋"/>
          <w:sz w:val="32"/>
          <w:szCs w:val="32"/>
        </w:rPr>
      </w:pPr>
      <w:bookmarkStart w:id="22" w:name="OLE_LINK1"/>
      <w:bookmarkStart w:id="23" w:name="OLE_LINK2"/>
      <w:r>
        <w:rPr>
          <w:rFonts w:hint="eastAsia" w:hAnsi="仿宋"/>
          <w:sz w:val="32"/>
          <w:szCs w:val="32"/>
        </w:rPr>
        <w:t>攀枝花</w:t>
      </w:r>
      <w:r>
        <w:rPr>
          <w:rFonts w:hAnsi="仿宋"/>
          <w:sz w:val="32"/>
          <w:szCs w:val="32"/>
        </w:rPr>
        <w:t>市</w:t>
      </w:r>
      <w:bookmarkEnd w:id="22"/>
      <w:bookmarkEnd w:id="23"/>
      <w:r>
        <w:rPr>
          <w:rFonts w:hint="eastAsia" w:hAnsi="仿宋"/>
          <w:sz w:val="32"/>
          <w:szCs w:val="32"/>
        </w:rPr>
        <w:t>房产</w:t>
      </w:r>
      <w:r>
        <w:rPr>
          <w:rFonts w:hAnsi="仿宋"/>
          <w:sz w:val="32"/>
          <w:szCs w:val="32"/>
        </w:rPr>
        <w:t>维修资金中心</w:t>
      </w:r>
    </w:p>
    <w:p>
      <w:pPr>
        <w:widowControl/>
        <w:jc w:val="left"/>
        <w:rPr>
          <w:rFonts w:eastAsia="仿宋"/>
          <w:kern w:val="0"/>
          <w:sz w:val="32"/>
          <w:szCs w:val="32"/>
        </w:rPr>
      </w:pPr>
    </w:p>
    <w:p>
      <w:pPr>
        <w:pStyle w:val="13"/>
      </w:pPr>
    </w:p>
    <w:p>
      <w:pPr>
        <w:pStyle w:val="2"/>
        <w:jc w:val="center"/>
        <w:rPr>
          <w:rFonts w:eastAsia="方正小标宋简体" w:cs="方正小标宋简体"/>
          <w:b w:val="0"/>
        </w:rPr>
      </w:pPr>
      <w:bookmarkStart w:id="24" w:name="_Toc15396602"/>
      <w:bookmarkStart w:id="25" w:name="_Toc15377204"/>
      <w:r>
        <w:rPr>
          <w:rFonts w:hint="eastAsia" w:eastAsia="方正小标宋简体" w:cs="方正小标宋简体"/>
          <w:b w:val="0"/>
        </w:rPr>
        <w:t>第二部分  2025年度</w:t>
      </w:r>
      <w:r>
        <w:rPr>
          <w:rFonts w:hint="eastAsia" w:eastAsia="方正小标宋简体" w:cs="方正小标宋简体"/>
          <w:b w:val="0"/>
          <w:lang w:eastAsia="zh-CN"/>
        </w:rPr>
        <w:t>单位</w:t>
      </w:r>
      <w:r>
        <w:rPr>
          <w:rFonts w:hint="eastAsia" w:eastAsia="方正小标宋简体" w:cs="方正小标宋简体"/>
          <w:b w:val="0"/>
        </w:rPr>
        <w:t>决算情况说明</w:t>
      </w:r>
      <w:bookmarkEnd w:id="24"/>
      <w:bookmarkEnd w:id="25"/>
    </w:p>
    <w:p/>
    <w:p>
      <w:pPr>
        <w:pStyle w:val="27"/>
        <w:spacing w:line="600" w:lineRule="exact"/>
        <w:ind w:firstLine="640"/>
        <w:outlineLvl w:val="1"/>
        <w:rPr>
          <w:rStyle w:val="29"/>
          <w:rFonts w:ascii="Times New Roman" w:hAnsi="Times New Roman" w:eastAsia="黑体"/>
          <w:b w:val="0"/>
        </w:rPr>
      </w:pPr>
      <w:bookmarkStart w:id="26" w:name="_Toc15377205"/>
      <w:bookmarkStart w:id="27"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26"/>
      <w:bookmarkEnd w:id="27"/>
    </w:p>
    <w:p>
      <w:pPr>
        <w:ind w:firstLine="709"/>
        <w:rPr>
          <w:rFonts w:ascii="仿宋_GB2312" w:hAnsi="仿宋" w:eastAsia="仿宋_GB2312" w:cs="仿宋"/>
          <w:color w:val="000000"/>
          <w:sz w:val="32"/>
          <w:szCs w:val="32"/>
        </w:rPr>
      </w:pPr>
      <w:r>
        <w:rPr>
          <w:rFonts w:hint="eastAsia" w:eastAsia="仿宋_GB2312" w:cs="仿宋_GB2312"/>
          <w:sz w:val="32"/>
          <w:szCs w:val="32"/>
        </w:rPr>
        <w:t>2025年度收入、支出总计均为</w:t>
      </w:r>
      <w:r>
        <w:rPr>
          <w:rFonts w:eastAsia="仿宋_GB2312" w:cs="仿宋_GB2312"/>
          <w:sz w:val="32"/>
          <w:szCs w:val="32"/>
        </w:rPr>
        <w:t>2215.92</w:t>
      </w:r>
      <w:r>
        <w:rPr>
          <w:rFonts w:hint="eastAsia" w:eastAsia="仿宋_GB2312" w:cs="仿宋_GB2312"/>
          <w:sz w:val="32"/>
          <w:szCs w:val="32"/>
        </w:rPr>
        <w:t>万元。与上年度相比，收入、支出总计各增加</w:t>
      </w:r>
      <w:r>
        <w:rPr>
          <w:rFonts w:eastAsia="仿宋_GB2312" w:cs="仿宋_GB2312"/>
          <w:sz w:val="32"/>
          <w:szCs w:val="32"/>
        </w:rPr>
        <w:t>126.58</w:t>
      </w:r>
      <w:r>
        <w:rPr>
          <w:rFonts w:hint="eastAsia" w:eastAsia="仿宋_GB2312" w:cs="仿宋_GB2312"/>
          <w:sz w:val="32"/>
          <w:szCs w:val="32"/>
        </w:rPr>
        <w:t>万元，增长</w:t>
      </w:r>
      <w:r>
        <w:rPr>
          <w:rFonts w:eastAsia="仿宋_GB2312" w:cs="仿宋_GB2312"/>
          <w:sz w:val="32"/>
          <w:szCs w:val="32"/>
        </w:rPr>
        <w:t>6.1</w:t>
      </w:r>
      <w:r>
        <w:rPr>
          <w:rFonts w:hint="eastAsia" w:eastAsia="仿宋_GB2312" w:cs="仿宋_GB2312"/>
          <w:sz w:val="32"/>
          <w:szCs w:val="32"/>
        </w:rPr>
        <w:t>%。主要变动原因是：人员增加</w:t>
      </w:r>
      <w:r>
        <w:rPr>
          <w:rFonts w:eastAsia="仿宋_GB2312" w:cs="仿宋_GB2312"/>
          <w:sz w:val="32"/>
          <w:szCs w:val="32"/>
        </w:rPr>
        <w:t>，相应的人员经费及公用经费有所增加，以及</w:t>
      </w:r>
      <w:r>
        <w:rPr>
          <w:rFonts w:hint="eastAsia" w:ascii="仿宋_GB2312" w:hAnsi="仿宋" w:eastAsia="仿宋_GB2312" w:cs="仿宋"/>
          <w:color w:val="000000"/>
          <w:sz w:val="32"/>
          <w:szCs w:val="32"/>
        </w:rPr>
        <w:t>白蚁防治管理经费、房地产市场</w:t>
      </w:r>
      <w:r>
        <w:rPr>
          <w:rFonts w:ascii="仿宋_GB2312" w:hAnsi="仿宋" w:eastAsia="仿宋_GB2312" w:cs="仿宋"/>
          <w:color w:val="000000"/>
          <w:sz w:val="32"/>
          <w:szCs w:val="32"/>
        </w:rPr>
        <w:t>管理经费</w:t>
      </w:r>
      <w:r>
        <w:rPr>
          <w:rFonts w:hint="eastAsia" w:ascii="仿宋_GB2312" w:hAnsi="仿宋" w:eastAsia="仿宋_GB2312" w:cs="仿宋"/>
          <w:color w:val="000000"/>
          <w:sz w:val="32"/>
          <w:szCs w:val="32"/>
        </w:rPr>
        <w:t>、商品房补助费等项目经费拨付增加。</w:t>
      </w:r>
    </w:p>
    <w:p>
      <w:pPr>
        <w:ind w:firstLine="420" w:firstLineChars="200"/>
        <w:rPr>
          <w:rFonts w:eastAsia="仿宋_GB2312" w:cs="仿宋_GB2312"/>
          <w:sz w:val="32"/>
          <w:szCs w:val="32"/>
        </w:rPr>
      </w:pPr>
      <w:r>
        <w:drawing>
          <wp:inline distT="0" distB="0" distL="0" distR="0">
            <wp:extent cx="4943475" cy="3228975"/>
            <wp:effectExtent l="0" t="0" r="9525" b="952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pStyle w:val="27"/>
        <w:spacing w:line="600" w:lineRule="exact"/>
        <w:ind w:firstLine="640"/>
        <w:jc w:val="center"/>
        <w:outlineLvl w:val="1"/>
        <w:rPr>
          <w:rFonts w:eastAsia="仿宋_GB2312" w:cs="仿宋_GB2312"/>
          <w:sz w:val="32"/>
          <w:szCs w:val="32"/>
        </w:rPr>
      </w:pPr>
      <w:r>
        <w:rPr>
          <w:rFonts w:hint="eastAsia" w:eastAsia="仿宋_GB2312" w:cs="仿宋_GB2312"/>
          <w:sz w:val="32"/>
          <w:szCs w:val="32"/>
        </w:rPr>
        <w:t>（图1：收入、支出决算总计变动情况图）</w:t>
      </w:r>
    </w:p>
    <w:p>
      <w:pPr>
        <w:pStyle w:val="27"/>
        <w:spacing w:line="600" w:lineRule="exact"/>
        <w:ind w:firstLine="640"/>
        <w:outlineLvl w:val="1"/>
        <w:rPr>
          <w:rFonts w:eastAsia="黑体"/>
          <w:sz w:val="32"/>
          <w:szCs w:val="32"/>
        </w:rPr>
      </w:pPr>
      <w:bookmarkStart w:id="28" w:name="_Toc15377206"/>
      <w:bookmarkStart w:id="29" w:name="_Toc15396604"/>
      <w:r>
        <w:rPr>
          <w:rFonts w:hint="eastAsia" w:eastAsia="黑体"/>
          <w:sz w:val="32"/>
          <w:szCs w:val="32"/>
        </w:rPr>
        <w:t>二、收入决算情况说明</w:t>
      </w:r>
      <w:bookmarkEnd w:id="28"/>
      <w:bookmarkEnd w:id="29"/>
    </w:p>
    <w:p>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2025年度本年收入合计</w:t>
      </w:r>
      <w:r>
        <w:rPr>
          <w:rFonts w:eastAsia="仿宋_GB2312" w:cs="仿宋_GB2312"/>
          <w:sz w:val="32"/>
          <w:szCs w:val="32"/>
        </w:rPr>
        <w:t>2215.92</w:t>
      </w:r>
      <w:r>
        <w:rPr>
          <w:rFonts w:hint="eastAsia" w:eastAsia="仿宋_GB2312" w:cs="仿宋_GB2312"/>
          <w:sz w:val="32"/>
          <w:szCs w:val="32"/>
        </w:rPr>
        <w:t>万元，其中：一般公共预算财政拨款收入</w:t>
      </w:r>
      <w:r>
        <w:rPr>
          <w:rFonts w:eastAsia="仿宋_GB2312" w:cs="仿宋_GB2312"/>
          <w:sz w:val="32"/>
          <w:szCs w:val="32"/>
        </w:rPr>
        <w:t>2083.92</w:t>
      </w:r>
      <w:r>
        <w:rPr>
          <w:rFonts w:hint="eastAsia" w:eastAsia="仿宋_GB2312" w:cs="仿宋_GB2312"/>
          <w:sz w:val="32"/>
          <w:szCs w:val="32"/>
        </w:rPr>
        <w:t>万元，占</w:t>
      </w:r>
      <w:r>
        <w:rPr>
          <w:rFonts w:eastAsia="仿宋_GB2312" w:cs="仿宋_GB2312"/>
          <w:sz w:val="32"/>
          <w:szCs w:val="32"/>
        </w:rPr>
        <w:t>94</w:t>
      </w:r>
      <w:r>
        <w:rPr>
          <w:rFonts w:hint="eastAsia" w:eastAsia="仿宋_GB2312" w:cs="仿宋_GB2312"/>
          <w:sz w:val="32"/>
          <w:szCs w:val="32"/>
        </w:rPr>
        <w:t>%；政府性基金预算财政拨款收入</w:t>
      </w:r>
      <w:r>
        <w:rPr>
          <w:rFonts w:eastAsia="仿宋_GB2312" w:cs="仿宋_GB2312"/>
          <w:sz w:val="32"/>
          <w:szCs w:val="32"/>
        </w:rPr>
        <w:t>132</w:t>
      </w:r>
      <w:r>
        <w:rPr>
          <w:rFonts w:hint="eastAsia" w:eastAsia="仿宋_GB2312" w:cs="仿宋_GB2312"/>
          <w:sz w:val="32"/>
          <w:szCs w:val="32"/>
        </w:rPr>
        <w:t>万元，占</w:t>
      </w:r>
      <w:r>
        <w:rPr>
          <w:rFonts w:eastAsia="仿宋_GB2312" w:cs="仿宋_GB2312"/>
          <w:sz w:val="32"/>
          <w:szCs w:val="32"/>
        </w:rPr>
        <w:t>6</w:t>
      </w:r>
      <w:r>
        <w:rPr>
          <w:rFonts w:hint="eastAsia" w:eastAsia="仿宋_GB2312" w:cs="仿宋_GB2312"/>
          <w:sz w:val="32"/>
          <w:szCs w:val="32"/>
        </w:rPr>
        <w:t>%；</w:t>
      </w:r>
    </w:p>
    <w:p>
      <w:pPr>
        <w:spacing w:line="600" w:lineRule="exact"/>
        <w:outlineLvl w:val="1"/>
        <w:rPr>
          <w:rFonts w:eastAsia="仿宋_GB2312" w:cs="仿宋_GB2312"/>
          <w:sz w:val="32"/>
          <w:szCs w:val="32"/>
        </w:rPr>
      </w:pPr>
      <w:r>
        <w:drawing>
          <wp:anchor distT="0" distB="0" distL="114300" distR="114300" simplePos="0" relativeHeight="251661312" behindDoc="0" locked="0" layoutInCell="1" allowOverlap="1">
            <wp:simplePos x="0" y="0"/>
            <wp:positionH relativeFrom="column">
              <wp:posOffset>113665</wp:posOffset>
            </wp:positionH>
            <wp:positionV relativeFrom="paragraph">
              <wp:posOffset>133350</wp:posOffset>
            </wp:positionV>
            <wp:extent cx="5095875" cy="2743200"/>
            <wp:effectExtent l="0" t="0" r="9525" b="0"/>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pStyle w:val="27"/>
        <w:spacing w:line="600" w:lineRule="exact"/>
        <w:ind w:firstLine="640"/>
        <w:jc w:val="center"/>
        <w:outlineLvl w:val="1"/>
        <w:rPr>
          <w:rFonts w:eastAsia="仿宋_GB2312" w:cs="仿宋_GB2312"/>
          <w:sz w:val="32"/>
          <w:szCs w:val="32"/>
        </w:rPr>
      </w:pPr>
      <w:r>
        <w:rPr>
          <w:rFonts w:hint="eastAsia" w:eastAsia="仿宋_GB2312" w:cs="仿宋_GB2312"/>
          <w:sz w:val="32"/>
          <w:szCs w:val="32"/>
        </w:rPr>
        <w:t>（图2：收入决算结构图）</w:t>
      </w:r>
    </w:p>
    <w:p>
      <w:pPr>
        <w:pStyle w:val="27"/>
        <w:spacing w:line="600" w:lineRule="exact"/>
        <w:ind w:firstLine="640"/>
        <w:outlineLvl w:val="1"/>
        <w:rPr>
          <w:rStyle w:val="29"/>
          <w:rFonts w:ascii="Times New Roman" w:hAnsi="Times New Roman" w:eastAsia="黑体"/>
          <w:b w:val="0"/>
        </w:rPr>
      </w:pPr>
      <w:bookmarkStart w:id="30" w:name="_Toc15396605"/>
      <w:bookmarkStart w:id="31" w:name="_Toc15377207"/>
      <w:r>
        <w:rPr>
          <w:rFonts w:hint="eastAsia" w:eastAsia="黑体"/>
          <w:sz w:val="32"/>
          <w:szCs w:val="32"/>
        </w:rPr>
        <w:t>三、支</w:t>
      </w:r>
      <w:r>
        <w:rPr>
          <w:rStyle w:val="29"/>
          <w:rFonts w:hint="eastAsia" w:ascii="Times New Roman" w:hAnsi="Times New Roman" w:eastAsia="黑体"/>
          <w:b w:val="0"/>
        </w:rPr>
        <w:t>出决算情况说明</w:t>
      </w:r>
      <w:bookmarkEnd w:id="30"/>
      <w:bookmarkEnd w:id="31"/>
    </w:p>
    <w:p>
      <w:pPr>
        <w:pStyle w:val="27"/>
        <w:spacing w:line="600" w:lineRule="exact"/>
        <w:ind w:firstLine="640"/>
        <w:outlineLvl w:val="1"/>
        <w:rPr>
          <w:rFonts w:eastAsia="仿宋_GB2312" w:cs="仿宋_GB2312"/>
          <w:b/>
          <w:bCs/>
          <w:sz w:val="32"/>
          <w:szCs w:val="32"/>
        </w:rPr>
      </w:pPr>
      <w:r>
        <w:rPr>
          <w:rFonts w:hint="eastAsia" w:eastAsia="仿宋_GB2312" w:cs="仿宋_GB2312"/>
          <w:sz w:val="32"/>
          <w:szCs w:val="32"/>
        </w:rPr>
        <w:t>2025年度本年支出合计</w:t>
      </w:r>
      <w:r>
        <w:rPr>
          <w:rFonts w:eastAsia="仿宋_GB2312" w:cs="仿宋_GB2312"/>
          <w:sz w:val="32"/>
          <w:szCs w:val="32"/>
        </w:rPr>
        <w:t>2215.92</w:t>
      </w:r>
      <w:r>
        <w:rPr>
          <w:rFonts w:hint="eastAsia" w:eastAsia="仿宋_GB2312" w:cs="仿宋_GB2312"/>
          <w:sz w:val="32"/>
          <w:szCs w:val="32"/>
        </w:rPr>
        <w:t>万元，其中：基本支出</w:t>
      </w:r>
      <w:r>
        <w:rPr>
          <w:rFonts w:eastAsia="仿宋_GB2312" w:cs="仿宋_GB2312"/>
          <w:sz w:val="32"/>
          <w:szCs w:val="32"/>
        </w:rPr>
        <w:t>1932.78</w:t>
      </w:r>
      <w:r>
        <w:rPr>
          <w:rFonts w:hint="eastAsia" w:eastAsia="仿宋_GB2312" w:cs="仿宋_GB2312"/>
          <w:sz w:val="32"/>
          <w:szCs w:val="32"/>
        </w:rPr>
        <w:t>万元，占</w:t>
      </w:r>
      <w:r>
        <w:rPr>
          <w:rFonts w:eastAsia="仿宋_GB2312" w:cs="仿宋_GB2312"/>
          <w:sz w:val="32"/>
          <w:szCs w:val="32"/>
        </w:rPr>
        <w:t>87.2</w:t>
      </w:r>
      <w:r>
        <w:rPr>
          <w:rFonts w:hint="eastAsia" w:eastAsia="仿宋_GB2312" w:cs="仿宋_GB2312"/>
          <w:sz w:val="32"/>
          <w:szCs w:val="32"/>
        </w:rPr>
        <w:t>%；项目支出</w:t>
      </w:r>
      <w:r>
        <w:rPr>
          <w:rFonts w:eastAsia="仿宋_GB2312" w:cs="仿宋_GB2312"/>
          <w:sz w:val="32"/>
          <w:szCs w:val="32"/>
        </w:rPr>
        <w:t>283.14</w:t>
      </w:r>
      <w:r>
        <w:rPr>
          <w:rFonts w:hint="eastAsia" w:eastAsia="仿宋_GB2312" w:cs="仿宋_GB2312"/>
          <w:sz w:val="32"/>
          <w:szCs w:val="32"/>
        </w:rPr>
        <w:t>万元，占</w:t>
      </w:r>
      <w:r>
        <w:rPr>
          <w:rFonts w:eastAsia="仿宋_GB2312" w:cs="仿宋_GB2312"/>
          <w:sz w:val="32"/>
          <w:szCs w:val="32"/>
        </w:rPr>
        <w:t>12.8</w:t>
      </w:r>
      <w:r>
        <w:rPr>
          <w:rFonts w:hint="eastAsia" w:eastAsia="仿宋_GB2312" w:cs="仿宋_GB2312"/>
          <w:sz w:val="32"/>
          <w:szCs w:val="32"/>
        </w:rPr>
        <w:t>%；</w:t>
      </w:r>
      <w:r>
        <w:rPr>
          <w:rFonts w:eastAsia="仿宋_GB2312" w:cs="仿宋_GB2312"/>
          <w:b/>
          <w:bCs/>
          <w:sz w:val="32"/>
          <w:szCs w:val="32"/>
        </w:rPr>
        <w:t xml:space="preserve"> </w:t>
      </w:r>
    </w:p>
    <w:p>
      <w:pPr>
        <w:pStyle w:val="27"/>
        <w:spacing w:line="600" w:lineRule="exact"/>
        <w:outlineLvl w:val="1"/>
        <w:rPr>
          <w:rFonts w:eastAsia="仿宋_GB2312" w:cs="仿宋_GB2312"/>
          <w:b/>
          <w:bCs/>
          <w:sz w:val="32"/>
          <w:szCs w:val="32"/>
        </w:rPr>
      </w:pPr>
      <w:r>
        <w:drawing>
          <wp:anchor distT="0" distB="0" distL="114300" distR="114300" simplePos="0" relativeHeight="251659264" behindDoc="0" locked="0" layoutInCell="1" allowOverlap="1">
            <wp:simplePos x="0" y="0"/>
            <wp:positionH relativeFrom="column">
              <wp:posOffset>266700</wp:posOffset>
            </wp:positionH>
            <wp:positionV relativeFrom="paragraph">
              <wp:posOffset>228600</wp:posOffset>
            </wp:positionV>
            <wp:extent cx="4572000" cy="2847975"/>
            <wp:effectExtent l="0" t="0" r="0" b="9525"/>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27"/>
        <w:spacing w:line="600" w:lineRule="exact"/>
        <w:ind w:firstLine="643"/>
        <w:outlineLvl w:val="1"/>
        <w:rPr>
          <w:rFonts w:eastAsia="仿宋_GB2312" w:cs="仿宋_GB2312"/>
          <w:b/>
          <w:bCs/>
          <w:sz w:val="32"/>
          <w:szCs w:val="32"/>
        </w:rPr>
      </w:pPr>
    </w:p>
    <w:p>
      <w:pPr>
        <w:pStyle w:val="27"/>
        <w:spacing w:line="600" w:lineRule="exact"/>
        <w:ind w:firstLine="643"/>
        <w:outlineLvl w:val="1"/>
        <w:rPr>
          <w:rFonts w:eastAsia="仿宋_GB2312" w:cs="仿宋_GB2312"/>
          <w:b/>
          <w:bCs/>
          <w:sz w:val="32"/>
          <w:szCs w:val="32"/>
        </w:rPr>
      </w:pPr>
    </w:p>
    <w:p>
      <w:pPr>
        <w:pStyle w:val="27"/>
        <w:spacing w:line="600" w:lineRule="exact"/>
        <w:ind w:firstLine="643"/>
        <w:outlineLvl w:val="1"/>
        <w:rPr>
          <w:rFonts w:eastAsia="仿宋_GB2312" w:cs="仿宋_GB2312"/>
          <w:b/>
          <w:bCs/>
          <w:sz w:val="32"/>
          <w:szCs w:val="32"/>
        </w:rPr>
      </w:pPr>
    </w:p>
    <w:p>
      <w:pPr>
        <w:pStyle w:val="27"/>
        <w:spacing w:line="600" w:lineRule="exact"/>
        <w:ind w:firstLine="643"/>
        <w:outlineLvl w:val="1"/>
        <w:rPr>
          <w:rFonts w:eastAsia="仿宋_GB2312" w:cs="仿宋_GB2312"/>
          <w:b/>
          <w:bCs/>
          <w:sz w:val="32"/>
          <w:szCs w:val="32"/>
        </w:rPr>
      </w:pPr>
    </w:p>
    <w:p>
      <w:pPr>
        <w:pStyle w:val="27"/>
        <w:spacing w:line="600" w:lineRule="exact"/>
        <w:ind w:firstLine="643"/>
        <w:outlineLvl w:val="1"/>
        <w:rPr>
          <w:rFonts w:eastAsia="仿宋_GB2312" w:cs="仿宋_GB2312"/>
          <w:b/>
          <w:bCs/>
          <w:sz w:val="32"/>
          <w:szCs w:val="32"/>
        </w:rPr>
      </w:pPr>
    </w:p>
    <w:p>
      <w:pPr>
        <w:pStyle w:val="27"/>
        <w:spacing w:line="600" w:lineRule="exact"/>
        <w:ind w:firstLine="643"/>
        <w:outlineLvl w:val="1"/>
        <w:rPr>
          <w:rFonts w:eastAsia="仿宋_GB2312" w:cs="仿宋_GB2312"/>
          <w:b/>
          <w:bCs/>
          <w:sz w:val="32"/>
          <w:szCs w:val="32"/>
        </w:rPr>
      </w:pPr>
    </w:p>
    <w:p>
      <w:pPr>
        <w:pStyle w:val="27"/>
        <w:spacing w:line="600" w:lineRule="exact"/>
        <w:ind w:firstLine="643"/>
        <w:outlineLvl w:val="1"/>
        <w:rPr>
          <w:rFonts w:eastAsia="仿宋_GB2312" w:cs="仿宋_GB2312"/>
          <w:b/>
          <w:bCs/>
          <w:sz w:val="32"/>
          <w:szCs w:val="32"/>
        </w:rPr>
      </w:pPr>
    </w:p>
    <w:p>
      <w:pPr>
        <w:pStyle w:val="27"/>
        <w:spacing w:line="600" w:lineRule="exact"/>
        <w:ind w:firstLine="640"/>
        <w:jc w:val="center"/>
        <w:outlineLvl w:val="1"/>
        <w:rPr>
          <w:rFonts w:eastAsia="仿宋_GB2312" w:cs="仿宋_GB2312"/>
          <w:sz w:val="32"/>
          <w:szCs w:val="32"/>
        </w:rPr>
      </w:pPr>
      <w:r>
        <w:rPr>
          <w:rFonts w:hint="eastAsia" w:eastAsia="仿宋_GB2312" w:cs="仿宋_GB2312"/>
          <w:sz w:val="32"/>
          <w:szCs w:val="32"/>
        </w:rPr>
        <w:t xml:space="preserve"> （图3：支出决算结构图）</w:t>
      </w:r>
    </w:p>
    <w:p>
      <w:pPr>
        <w:spacing w:line="600" w:lineRule="exact"/>
        <w:ind w:firstLine="640" w:firstLineChars="200"/>
        <w:outlineLvl w:val="1"/>
        <w:rPr>
          <w:rStyle w:val="29"/>
          <w:rFonts w:ascii="Times New Roman" w:hAnsi="Times New Roman" w:eastAsia="黑体"/>
          <w:b w:val="0"/>
        </w:rPr>
      </w:pPr>
      <w:bookmarkStart w:id="32" w:name="_Toc15396606"/>
      <w:bookmarkStart w:id="33" w:name="_Toc15377208"/>
      <w:r>
        <w:rPr>
          <w:rFonts w:hint="eastAsia" w:eastAsia="黑体"/>
          <w:sz w:val="32"/>
          <w:szCs w:val="32"/>
        </w:rPr>
        <w:t>四、财</w:t>
      </w:r>
      <w:r>
        <w:rPr>
          <w:rStyle w:val="29"/>
          <w:rFonts w:hint="eastAsia" w:ascii="Times New Roman" w:hAnsi="Times New Roman" w:eastAsia="黑体"/>
          <w:b w:val="0"/>
        </w:rPr>
        <w:t>政拨款收入支出决算总体情况说明</w:t>
      </w:r>
      <w:bookmarkEnd w:id="32"/>
      <w:bookmarkEnd w:id="33"/>
    </w:p>
    <w:p>
      <w:pPr>
        <w:ind w:firstLine="709"/>
        <w:rPr>
          <w:rFonts w:ascii="仿宋_GB2312" w:hAnsi="仿宋" w:eastAsia="仿宋_GB2312" w:cs="仿宋"/>
          <w:color w:val="000000"/>
          <w:sz w:val="32"/>
          <w:szCs w:val="32"/>
        </w:rPr>
      </w:pPr>
      <w:r>
        <w:rPr>
          <w:rFonts w:hint="eastAsia" w:eastAsia="仿宋_GB2312" w:cs="仿宋_GB2312"/>
          <w:sz w:val="32"/>
          <w:szCs w:val="32"/>
        </w:rPr>
        <w:t>2025年度财政拨款收入、支出总计均为</w:t>
      </w:r>
      <w:r>
        <w:rPr>
          <w:rFonts w:eastAsia="仿宋_GB2312" w:cs="仿宋_GB2312"/>
          <w:sz w:val="32"/>
          <w:szCs w:val="32"/>
        </w:rPr>
        <w:t>2215.92</w:t>
      </w:r>
      <w:r>
        <w:rPr>
          <w:rFonts w:hint="eastAsia" w:eastAsia="仿宋_GB2312" w:cs="仿宋_GB2312"/>
          <w:sz w:val="32"/>
          <w:szCs w:val="32"/>
        </w:rPr>
        <w:t>万元。与上年度相比，财政拨款收入、支出总计各增加</w:t>
      </w:r>
      <w:r>
        <w:rPr>
          <w:rFonts w:eastAsia="仿宋_GB2312" w:cs="仿宋_GB2312"/>
          <w:sz w:val="32"/>
          <w:szCs w:val="32"/>
        </w:rPr>
        <w:t>126.58</w:t>
      </w:r>
      <w:r>
        <w:rPr>
          <w:rFonts w:hint="eastAsia" w:eastAsia="仿宋_GB2312" w:cs="仿宋_GB2312"/>
          <w:sz w:val="32"/>
          <w:szCs w:val="32"/>
        </w:rPr>
        <w:t>万元，增长</w:t>
      </w:r>
      <w:r>
        <w:rPr>
          <w:rFonts w:eastAsia="仿宋_GB2312" w:cs="仿宋_GB2312"/>
          <w:sz w:val="32"/>
          <w:szCs w:val="32"/>
        </w:rPr>
        <w:t>6.1</w:t>
      </w:r>
      <w:r>
        <w:rPr>
          <w:rFonts w:hint="eastAsia" w:eastAsia="仿宋_GB2312" w:cs="仿宋_GB2312"/>
          <w:sz w:val="32"/>
          <w:szCs w:val="32"/>
        </w:rPr>
        <w:t>%。主要变动原因是：人员增加</w:t>
      </w:r>
      <w:r>
        <w:rPr>
          <w:rFonts w:eastAsia="仿宋_GB2312" w:cs="仿宋_GB2312"/>
          <w:sz w:val="32"/>
          <w:szCs w:val="32"/>
        </w:rPr>
        <w:t>，相应的人员经费及公用经费有所增加，以及</w:t>
      </w:r>
      <w:r>
        <w:rPr>
          <w:rFonts w:hint="eastAsia" w:ascii="仿宋_GB2312" w:hAnsi="仿宋" w:eastAsia="仿宋_GB2312" w:cs="仿宋"/>
          <w:color w:val="000000"/>
          <w:sz w:val="32"/>
          <w:szCs w:val="32"/>
        </w:rPr>
        <w:t>白蚁防治管理经费、房地产市场</w:t>
      </w:r>
      <w:r>
        <w:rPr>
          <w:rFonts w:ascii="仿宋_GB2312" w:hAnsi="仿宋" w:eastAsia="仿宋_GB2312" w:cs="仿宋"/>
          <w:color w:val="000000"/>
          <w:sz w:val="32"/>
          <w:szCs w:val="32"/>
        </w:rPr>
        <w:t>管理经费</w:t>
      </w:r>
      <w:r>
        <w:rPr>
          <w:rFonts w:hint="eastAsia" w:ascii="仿宋_GB2312" w:hAnsi="仿宋" w:eastAsia="仿宋_GB2312" w:cs="仿宋"/>
          <w:color w:val="000000"/>
          <w:sz w:val="32"/>
          <w:szCs w:val="32"/>
        </w:rPr>
        <w:t>、商品房补助费、</w:t>
      </w:r>
      <w:r>
        <w:rPr>
          <w:rFonts w:ascii="仿宋_GB2312" w:hAnsi="仿宋" w:eastAsia="仿宋_GB2312" w:cs="仿宋"/>
          <w:color w:val="000000"/>
          <w:sz w:val="32"/>
          <w:szCs w:val="32"/>
        </w:rPr>
        <w:t>房地产市场信息平台建设费</w:t>
      </w:r>
      <w:r>
        <w:rPr>
          <w:rFonts w:hint="eastAsia" w:ascii="仿宋_GB2312" w:hAnsi="仿宋" w:eastAsia="仿宋_GB2312" w:cs="仿宋"/>
          <w:color w:val="000000"/>
          <w:sz w:val="32"/>
          <w:szCs w:val="32"/>
        </w:rPr>
        <w:t>等项目经费拨付增加。</w:t>
      </w:r>
    </w:p>
    <w:p>
      <w:pPr>
        <w:pStyle w:val="7"/>
        <w:ind w:left="0" w:leftChars="0" w:firstLine="0" w:firstLineChars="0"/>
      </w:pPr>
      <w:r>
        <w:drawing>
          <wp:inline distT="0" distB="0" distL="0" distR="0">
            <wp:extent cx="5229225" cy="3209925"/>
            <wp:effectExtent l="0" t="0" r="9525" b="952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pacing w:line="600" w:lineRule="exact"/>
        <w:ind w:firstLine="640"/>
        <w:jc w:val="center"/>
        <w:rPr>
          <w:rFonts w:eastAsia="仿宋_GB2312" w:cs="仿宋_GB2312"/>
          <w:sz w:val="32"/>
          <w:szCs w:val="32"/>
        </w:rPr>
      </w:pPr>
      <w:r>
        <w:rPr>
          <w:rFonts w:hint="eastAsia" w:eastAsia="仿宋_GB2312" w:cs="仿宋_GB2312"/>
          <w:sz w:val="32"/>
          <w:szCs w:val="32"/>
        </w:rPr>
        <w:t>（图4：财政拨款收、支决算总计变动情况）</w:t>
      </w:r>
    </w:p>
    <w:p>
      <w:pPr>
        <w:spacing w:line="600" w:lineRule="exact"/>
        <w:ind w:firstLine="640" w:firstLineChars="200"/>
        <w:outlineLvl w:val="1"/>
        <w:rPr>
          <w:rStyle w:val="29"/>
          <w:rFonts w:ascii="Times New Roman" w:hAnsi="Times New Roman" w:eastAsia="黑体"/>
          <w:b w:val="0"/>
        </w:rPr>
      </w:pPr>
      <w:bookmarkStart w:id="34" w:name="_Toc15377209"/>
      <w:bookmarkStart w:id="35" w:name="_Toc15396607"/>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34"/>
      <w:bookmarkEnd w:id="35"/>
    </w:p>
    <w:p>
      <w:pPr>
        <w:spacing w:line="600" w:lineRule="exact"/>
        <w:ind w:firstLine="642" w:firstLineChars="200"/>
        <w:outlineLvl w:val="2"/>
        <w:rPr>
          <w:rFonts w:eastAsia="楷体_GB2312" w:cs="楷体_GB2312"/>
          <w:b/>
          <w:sz w:val="32"/>
          <w:szCs w:val="32"/>
        </w:rPr>
      </w:pPr>
      <w:bookmarkStart w:id="36" w:name="_Toc15377210"/>
      <w:r>
        <w:rPr>
          <w:rFonts w:hint="eastAsia" w:eastAsia="楷体_GB2312" w:cs="楷体_GB2312"/>
          <w:b/>
          <w:sz w:val="32"/>
          <w:szCs w:val="32"/>
        </w:rPr>
        <w:t>（一）一般公共预算财政拨款支出决算总体情况</w:t>
      </w:r>
      <w:bookmarkEnd w:id="36"/>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2025年度一般公共预算财政拨款支出</w:t>
      </w:r>
      <w:r>
        <w:rPr>
          <w:rFonts w:eastAsia="仿宋_GB2312" w:cs="仿宋_GB2312"/>
          <w:sz w:val="32"/>
          <w:szCs w:val="32"/>
        </w:rPr>
        <w:t>2083.92</w:t>
      </w:r>
      <w:r>
        <w:rPr>
          <w:rFonts w:hint="eastAsia" w:eastAsia="仿宋_GB2312" w:cs="仿宋_GB2312"/>
          <w:sz w:val="32"/>
          <w:szCs w:val="32"/>
        </w:rPr>
        <w:t>万元，占本年支出合计的</w:t>
      </w:r>
      <w:r>
        <w:rPr>
          <w:rFonts w:eastAsia="仿宋_GB2312" w:cs="仿宋_GB2312"/>
          <w:sz w:val="32"/>
          <w:szCs w:val="32"/>
        </w:rPr>
        <w:t>94</w:t>
      </w:r>
      <w:r>
        <w:rPr>
          <w:rFonts w:hint="eastAsia" w:eastAsia="仿宋_GB2312" w:cs="仿宋_GB2312"/>
          <w:sz w:val="32"/>
          <w:szCs w:val="32"/>
        </w:rPr>
        <w:t>%。与上年度相比，一般公共预算财政拨款支出增加</w:t>
      </w:r>
      <w:r>
        <w:rPr>
          <w:rFonts w:eastAsia="仿宋_GB2312" w:cs="仿宋_GB2312"/>
          <w:sz w:val="32"/>
          <w:szCs w:val="32"/>
        </w:rPr>
        <w:t>14.58</w:t>
      </w:r>
      <w:r>
        <w:rPr>
          <w:rFonts w:hint="eastAsia" w:eastAsia="仿宋_GB2312" w:cs="仿宋_GB2312"/>
          <w:sz w:val="32"/>
          <w:szCs w:val="32"/>
        </w:rPr>
        <w:t>万元，增加</w:t>
      </w:r>
      <w:r>
        <w:rPr>
          <w:rFonts w:eastAsia="仿宋_GB2312" w:cs="仿宋_GB2312"/>
          <w:sz w:val="32"/>
          <w:szCs w:val="32"/>
        </w:rPr>
        <w:t>0.7</w:t>
      </w:r>
      <w:r>
        <w:rPr>
          <w:rFonts w:hint="eastAsia" w:eastAsia="仿宋_GB2312" w:cs="仿宋_GB2312"/>
          <w:sz w:val="32"/>
          <w:szCs w:val="32"/>
        </w:rPr>
        <w:t>%。主要变动原因是白蚁防治</w:t>
      </w:r>
      <w:r>
        <w:rPr>
          <w:rFonts w:eastAsia="仿宋_GB2312" w:cs="仿宋_GB2312"/>
          <w:sz w:val="32"/>
          <w:szCs w:val="32"/>
        </w:rPr>
        <w:t>管理经费、</w:t>
      </w:r>
      <w:r>
        <w:rPr>
          <w:rFonts w:hint="eastAsia" w:eastAsia="仿宋_GB2312" w:cs="仿宋_GB2312"/>
          <w:sz w:val="32"/>
          <w:szCs w:val="32"/>
        </w:rPr>
        <w:t>商品房补助费</w:t>
      </w:r>
      <w:r>
        <w:rPr>
          <w:rFonts w:eastAsia="仿宋_GB2312" w:cs="仿宋_GB2312"/>
          <w:sz w:val="32"/>
          <w:szCs w:val="32"/>
        </w:rPr>
        <w:t>等项目</w:t>
      </w:r>
      <w:r>
        <w:rPr>
          <w:rFonts w:hint="eastAsia" w:eastAsia="仿宋_GB2312" w:cs="仿宋_GB2312"/>
          <w:sz w:val="32"/>
          <w:szCs w:val="32"/>
        </w:rPr>
        <w:t>经费</w:t>
      </w:r>
      <w:r>
        <w:rPr>
          <w:rFonts w:eastAsia="仿宋_GB2312" w:cs="仿宋_GB2312"/>
          <w:sz w:val="32"/>
          <w:szCs w:val="32"/>
        </w:rPr>
        <w:t>拨付</w:t>
      </w:r>
      <w:r>
        <w:rPr>
          <w:rFonts w:hint="eastAsia" w:eastAsia="仿宋_GB2312" w:cs="仿宋_GB2312"/>
          <w:sz w:val="32"/>
          <w:szCs w:val="32"/>
        </w:rPr>
        <w:t>增加</w:t>
      </w:r>
      <w:r>
        <w:rPr>
          <w:rFonts w:eastAsia="仿宋_GB2312" w:cs="仿宋_GB2312"/>
          <w:sz w:val="32"/>
          <w:szCs w:val="32"/>
        </w:rPr>
        <w:t>。</w:t>
      </w:r>
    </w:p>
    <w:p>
      <w:pPr>
        <w:jc w:val="center"/>
      </w:pPr>
      <w:r>
        <w:drawing>
          <wp:inline distT="0" distB="0" distL="0" distR="0">
            <wp:extent cx="5181600" cy="2428875"/>
            <wp:effectExtent l="0" t="0" r="0" b="952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rFonts w:hint="eastAsia" w:eastAsia="仿宋_GB2312" w:cs="仿宋_GB2312"/>
          <w:sz w:val="32"/>
          <w:szCs w:val="32"/>
        </w:rPr>
        <w:t>（图5：一般公共预算财政拨款支出决算变动情况）</w:t>
      </w:r>
    </w:p>
    <w:p>
      <w:pPr>
        <w:spacing w:line="600" w:lineRule="exact"/>
        <w:ind w:firstLine="642" w:firstLineChars="200"/>
        <w:outlineLvl w:val="2"/>
        <w:rPr>
          <w:rFonts w:eastAsia="楷体_GB2312" w:cs="楷体_GB2312"/>
          <w:b/>
          <w:sz w:val="32"/>
          <w:szCs w:val="32"/>
        </w:rPr>
      </w:pPr>
      <w:bookmarkStart w:id="37" w:name="_Toc15377211"/>
      <w:r>
        <w:rPr>
          <w:rFonts w:hint="eastAsia" w:eastAsia="楷体_GB2312" w:cs="楷体_GB2312"/>
          <w:b/>
          <w:sz w:val="32"/>
          <w:szCs w:val="32"/>
        </w:rPr>
        <w:t>（二）一般公共预算财政拨款支出决算结构情况</w:t>
      </w:r>
      <w:bookmarkEnd w:id="37"/>
    </w:p>
    <w:p>
      <w:pPr>
        <w:spacing w:line="600" w:lineRule="exact"/>
        <w:ind w:firstLine="640"/>
        <w:rPr>
          <w:rFonts w:ascii="仿宋_GB2312" w:hAnsi="仿宋" w:eastAsia="仿宋_GB2312" w:cs="仿宋"/>
          <w:color w:val="000000"/>
          <w:sz w:val="32"/>
          <w:szCs w:val="32"/>
        </w:rPr>
      </w:pPr>
      <w:r>
        <w:rPr>
          <w:rFonts w:hint="eastAsia" w:eastAsia="仿宋_GB2312" w:cs="仿宋_GB2312"/>
          <w:sz w:val="32"/>
          <w:szCs w:val="32"/>
        </w:rPr>
        <w:t>2025年度一般公共预算财政拨款支出</w:t>
      </w:r>
      <w:r>
        <w:rPr>
          <w:rFonts w:eastAsia="仿宋_GB2312" w:cs="仿宋_GB2312"/>
          <w:sz w:val="32"/>
          <w:szCs w:val="32"/>
        </w:rPr>
        <w:t>2083.92</w:t>
      </w:r>
      <w:r>
        <w:rPr>
          <w:rFonts w:hint="eastAsia" w:eastAsia="仿宋_GB2312" w:cs="仿宋_GB2312"/>
          <w:sz w:val="32"/>
          <w:szCs w:val="32"/>
        </w:rPr>
        <w:t>万元，主要用于以下方面：</w:t>
      </w:r>
      <w:r>
        <w:rPr>
          <w:rFonts w:hint="eastAsia" w:ascii="仿宋_GB2312" w:hAnsi="仿宋" w:eastAsia="仿宋_GB2312" w:cs="仿宋"/>
          <w:color w:val="000000"/>
          <w:sz w:val="32"/>
          <w:szCs w:val="32"/>
        </w:rPr>
        <w:t>社会保障和就业支出</w:t>
      </w:r>
      <w:r>
        <w:rPr>
          <w:rFonts w:ascii="仿宋_GB2312" w:hAnsi="仿宋" w:eastAsia="仿宋_GB2312" w:cs="仿宋"/>
          <w:color w:val="000000"/>
          <w:sz w:val="32"/>
          <w:szCs w:val="32"/>
        </w:rPr>
        <w:t>421.05</w:t>
      </w:r>
      <w:r>
        <w:rPr>
          <w:rFonts w:hint="eastAsia" w:ascii="仿宋_GB2312" w:hAnsi="仿宋" w:eastAsia="仿宋_GB2312" w:cs="仿宋"/>
          <w:color w:val="000000"/>
          <w:sz w:val="32"/>
          <w:szCs w:val="32"/>
        </w:rPr>
        <w:t>万元，占</w:t>
      </w:r>
      <w:r>
        <w:rPr>
          <w:rFonts w:ascii="仿宋_GB2312" w:hAnsi="仿宋" w:eastAsia="仿宋_GB2312" w:cs="仿宋"/>
          <w:color w:val="000000"/>
          <w:sz w:val="32"/>
          <w:szCs w:val="32"/>
        </w:rPr>
        <w:t>20.2</w:t>
      </w:r>
      <w:r>
        <w:rPr>
          <w:rFonts w:hint="eastAsia" w:ascii="仿宋_GB2312" w:hAnsi="仿宋" w:eastAsia="仿宋_GB2312" w:cs="仿宋"/>
          <w:color w:val="000000"/>
          <w:sz w:val="32"/>
          <w:szCs w:val="32"/>
        </w:rPr>
        <w:t>%；</w:t>
      </w:r>
      <w:bookmarkStart w:id="38" w:name="OLE_LINK5"/>
      <w:r>
        <w:rPr>
          <w:rFonts w:hint="eastAsia" w:ascii="仿宋_GB2312" w:hAnsi="仿宋" w:eastAsia="仿宋_GB2312" w:cs="仿宋"/>
          <w:color w:val="000000"/>
          <w:sz w:val="32"/>
          <w:szCs w:val="32"/>
        </w:rPr>
        <w:t>卫生健康支出</w:t>
      </w:r>
      <w:r>
        <w:rPr>
          <w:rFonts w:ascii="仿宋_GB2312" w:hAnsi="仿宋" w:eastAsia="仿宋_GB2312" w:cs="仿宋"/>
          <w:color w:val="000000"/>
          <w:sz w:val="32"/>
          <w:szCs w:val="32"/>
        </w:rPr>
        <w:t>56.29</w:t>
      </w:r>
      <w:r>
        <w:rPr>
          <w:rFonts w:hint="eastAsia" w:ascii="仿宋_GB2312" w:hAnsi="仿宋" w:eastAsia="仿宋_GB2312" w:cs="仿宋"/>
          <w:color w:val="000000"/>
          <w:sz w:val="32"/>
          <w:szCs w:val="32"/>
        </w:rPr>
        <w:t>万元，占</w:t>
      </w:r>
      <w:r>
        <w:rPr>
          <w:rFonts w:ascii="仿宋_GB2312" w:hAnsi="仿宋" w:eastAsia="仿宋_GB2312" w:cs="仿宋"/>
          <w:color w:val="000000"/>
          <w:sz w:val="32"/>
          <w:szCs w:val="32"/>
        </w:rPr>
        <w:t>2.7</w:t>
      </w:r>
      <w:r>
        <w:rPr>
          <w:rFonts w:hint="eastAsia" w:ascii="仿宋_GB2312" w:hAnsi="仿宋" w:eastAsia="仿宋_GB2312" w:cs="仿宋"/>
          <w:color w:val="000000"/>
          <w:sz w:val="32"/>
          <w:szCs w:val="32"/>
        </w:rPr>
        <w:t>%；</w:t>
      </w:r>
      <w:bookmarkEnd w:id="38"/>
      <w:r>
        <w:rPr>
          <w:rFonts w:hint="eastAsia" w:ascii="仿宋_GB2312" w:hAnsi="仿宋" w:eastAsia="仿宋_GB2312" w:cs="仿宋"/>
          <w:color w:val="000000"/>
          <w:sz w:val="32"/>
          <w:szCs w:val="32"/>
        </w:rPr>
        <w:t>城乡社区</w:t>
      </w:r>
      <w:r>
        <w:rPr>
          <w:rFonts w:ascii="仿宋_GB2312" w:hAnsi="仿宋" w:eastAsia="仿宋_GB2312" w:cs="仿宋"/>
          <w:color w:val="000000"/>
          <w:sz w:val="32"/>
          <w:szCs w:val="32"/>
        </w:rPr>
        <w:t>支出1494.07</w:t>
      </w:r>
      <w:r>
        <w:rPr>
          <w:rFonts w:hint="eastAsia" w:ascii="仿宋_GB2312" w:hAnsi="仿宋" w:eastAsia="仿宋_GB2312" w:cs="仿宋"/>
          <w:color w:val="000000"/>
          <w:sz w:val="32"/>
          <w:szCs w:val="32"/>
        </w:rPr>
        <w:t>万元，占</w:t>
      </w:r>
      <w:r>
        <w:rPr>
          <w:rFonts w:ascii="仿宋_GB2312" w:hAnsi="仿宋" w:eastAsia="仿宋_GB2312" w:cs="仿宋"/>
          <w:color w:val="000000"/>
          <w:sz w:val="32"/>
          <w:szCs w:val="32"/>
        </w:rPr>
        <w:t>71.7</w:t>
      </w:r>
      <w:r>
        <w:rPr>
          <w:rFonts w:hint="eastAsia" w:ascii="仿宋_GB2312" w:hAnsi="仿宋" w:eastAsia="仿宋_GB2312" w:cs="仿宋"/>
          <w:color w:val="000000"/>
          <w:sz w:val="32"/>
          <w:szCs w:val="32"/>
        </w:rPr>
        <w:t>%；住房保障支出</w:t>
      </w:r>
      <w:r>
        <w:rPr>
          <w:rFonts w:ascii="仿宋_GB2312" w:hAnsi="仿宋" w:eastAsia="仿宋_GB2312" w:cs="仿宋"/>
          <w:color w:val="000000"/>
          <w:sz w:val="32"/>
          <w:szCs w:val="32"/>
        </w:rPr>
        <w:t>112.51</w:t>
      </w:r>
      <w:r>
        <w:rPr>
          <w:rFonts w:hint="eastAsia" w:ascii="仿宋_GB2312" w:hAnsi="仿宋" w:eastAsia="仿宋_GB2312" w:cs="仿宋"/>
          <w:color w:val="000000"/>
          <w:sz w:val="32"/>
          <w:szCs w:val="32"/>
        </w:rPr>
        <w:t>万元，占</w:t>
      </w:r>
      <w:r>
        <w:rPr>
          <w:rFonts w:ascii="仿宋_GB2312" w:hAnsi="仿宋" w:eastAsia="仿宋_GB2312" w:cs="仿宋"/>
          <w:color w:val="000000"/>
          <w:sz w:val="32"/>
          <w:szCs w:val="32"/>
        </w:rPr>
        <w:t>5.4</w:t>
      </w:r>
      <w:r>
        <w:rPr>
          <w:rFonts w:hint="eastAsia" w:ascii="仿宋_GB2312" w:hAnsi="仿宋" w:eastAsia="仿宋_GB2312" w:cs="仿宋"/>
          <w:color w:val="000000"/>
          <w:sz w:val="32"/>
          <w:szCs w:val="32"/>
        </w:rPr>
        <w:t>%；</w:t>
      </w:r>
    </w:p>
    <w:p>
      <w:pPr>
        <w:pStyle w:val="13"/>
      </w:pPr>
    </w:p>
    <w:p>
      <w:pPr>
        <w:pStyle w:val="7"/>
        <w:ind w:left="0" w:leftChars="0" w:firstLine="0" w:firstLineChars="0"/>
      </w:pPr>
      <w:r>
        <w:drawing>
          <wp:inline distT="0" distB="0" distL="0" distR="0">
            <wp:extent cx="5238750" cy="2828925"/>
            <wp:effectExtent l="0" t="0" r="0" b="952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0"/>
        <w:jc w:val="center"/>
        <w:rPr>
          <w:rFonts w:eastAsia="仿宋_GB2312" w:cs="仿宋_GB2312"/>
          <w:sz w:val="32"/>
          <w:szCs w:val="32"/>
        </w:rPr>
      </w:pPr>
      <w:r>
        <w:rPr>
          <w:rFonts w:hint="eastAsia" w:eastAsia="仿宋_GB2312" w:cs="仿宋_GB2312"/>
          <w:sz w:val="32"/>
          <w:szCs w:val="32"/>
        </w:rPr>
        <w:t>（图6：一般公共预算财政拨款支出决算结构）</w:t>
      </w:r>
    </w:p>
    <w:p>
      <w:pPr>
        <w:spacing w:line="600" w:lineRule="exact"/>
        <w:ind w:firstLine="642" w:firstLineChars="200"/>
        <w:outlineLvl w:val="2"/>
        <w:rPr>
          <w:rFonts w:eastAsia="楷体_GB2312" w:cs="楷体_GB2312"/>
          <w:b/>
          <w:sz w:val="32"/>
          <w:szCs w:val="32"/>
        </w:rPr>
      </w:pPr>
      <w:bookmarkStart w:id="39" w:name="_Toc15377212"/>
      <w:r>
        <w:rPr>
          <w:rFonts w:hint="eastAsia" w:eastAsia="楷体_GB2312" w:cs="楷体_GB2312"/>
          <w:b/>
          <w:sz w:val="32"/>
          <w:szCs w:val="32"/>
        </w:rPr>
        <w:t>（三）一般公共预算财政拨款支出决算具体情况</w:t>
      </w:r>
      <w:bookmarkEnd w:id="39"/>
    </w:p>
    <w:p>
      <w:pPr>
        <w:spacing w:line="600" w:lineRule="exact"/>
        <w:ind w:firstLine="640"/>
        <w:rPr>
          <w:rFonts w:eastAsia="仿宋_GB2312" w:cs="仿宋_GB2312"/>
          <w:sz w:val="32"/>
          <w:szCs w:val="32"/>
        </w:rPr>
      </w:pPr>
      <w:bookmarkStart w:id="40" w:name="_Toc15377213"/>
      <w:bookmarkStart w:id="41" w:name="_Toc15377444"/>
      <w:bookmarkStart w:id="42" w:name="_Toc15378460"/>
      <w:r>
        <w:rPr>
          <w:rFonts w:hint="eastAsia" w:eastAsia="仿宋_GB2312" w:cs="仿宋_GB2312"/>
          <w:sz w:val="32"/>
          <w:szCs w:val="32"/>
        </w:rPr>
        <w:t>2025年度一般公共预算支出决算数为</w:t>
      </w:r>
      <w:r>
        <w:rPr>
          <w:rFonts w:eastAsia="仿宋_GB2312" w:cs="仿宋_GB2312"/>
          <w:sz w:val="32"/>
          <w:szCs w:val="32"/>
        </w:rPr>
        <w:t>2083.92</w:t>
      </w:r>
      <w:r>
        <w:rPr>
          <w:rFonts w:hint="eastAsia" w:eastAsia="仿宋_GB2312" w:cs="仿宋_GB2312"/>
          <w:sz w:val="32"/>
          <w:szCs w:val="32"/>
        </w:rPr>
        <w:t>，完成预算</w:t>
      </w:r>
      <w:r>
        <w:rPr>
          <w:rFonts w:eastAsia="仿宋_GB2312" w:cs="仿宋_GB2312"/>
          <w:sz w:val="32"/>
          <w:szCs w:val="32"/>
        </w:rPr>
        <w:t>100</w:t>
      </w:r>
      <w:r>
        <w:rPr>
          <w:rFonts w:hint="eastAsia" w:eastAsia="仿宋_GB2312" w:cs="仿宋_GB2312"/>
          <w:sz w:val="32"/>
          <w:szCs w:val="32"/>
        </w:rPr>
        <w:t>%。其中：</w:t>
      </w:r>
      <w:bookmarkEnd w:id="40"/>
      <w:bookmarkEnd w:id="41"/>
      <w:bookmarkEnd w:id="42"/>
    </w:p>
    <w:p>
      <w:pPr>
        <w:spacing w:line="600" w:lineRule="exact"/>
        <w:ind w:firstLine="642" w:firstLineChars="200"/>
        <w:rPr>
          <w:rFonts w:ascii="仿宋" w:hAnsi="仿宋" w:eastAsia="仿宋"/>
          <w:sz w:val="32"/>
          <w:szCs w:val="32"/>
        </w:rPr>
      </w:pPr>
      <w:r>
        <w:rPr>
          <w:rFonts w:ascii="仿宋" w:hAnsi="仿宋" w:eastAsia="仿宋"/>
          <w:b/>
          <w:bCs/>
          <w:sz w:val="32"/>
          <w:szCs w:val="32"/>
        </w:rPr>
        <w:t>1.</w:t>
      </w:r>
      <w:r>
        <w:rPr>
          <w:rFonts w:hint="eastAsia" w:ascii="仿宋" w:hAnsi="仿宋" w:eastAsia="仿宋"/>
          <w:b/>
          <w:bCs/>
          <w:sz w:val="32"/>
          <w:szCs w:val="32"/>
        </w:rPr>
        <w:t xml:space="preserve"> 社会保障和就业支出（类）人力资源和社会保障管理事务（款）其他人力资源和社会保障管理事务支出（项）</w:t>
      </w:r>
      <w:r>
        <w:rPr>
          <w:rFonts w:ascii="仿宋" w:hAnsi="仿宋" w:eastAsia="仿宋"/>
          <w:b/>
          <w:bCs/>
          <w:sz w:val="32"/>
          <w:szCs w:val="32"/>
        </w:rPr>
        <w:t xml:space="preserve">: </w:t>
      </w:r>
      <w:r>
        <w:rPr>
          <w:rFonts w:hint="eastAsia" w:ascii="仿宋" w:hAnsi="仿宋" w:eastAsia="仿宋"/>
          <w:sz w:val="32"/>
          <w:szCs w:val="32"/>
        </w:rPr>
        <w:t>支出决算为</w:t>
      </w:r>
      <w:r>
        <w:rPr>
          <w:rFonts w:ascii="仿宋" w:hAnsi="仿宋" w:eastAsia="仿宋"/>
          <w:sz w:val="32"/>
          <w:szCs w:val="32"/>
        </w:rPr>
        <w:t>4</w:t>
      </w:r>
      <w:r>
        <w:rPr>
          <w:rFonts w:hint="eastAsia" w:ascii="仿宋" w:hAnsi="仿宋" w:eastAsia="仿宋"/>
          <w:sz w:val="32"/>
          <w:szCs w:val="32"/>
        </w:rPr>
        <w:t>万元，完成预算</w:t>
      </w:r>
      <w:r>
        <w:rPr>
          <w:rFonts w:ascii="仿宋" w:hAnsi="仿宋" w:eastAsia="仿宋"/>
          <w:sz w:val="32"/>
          <w:szCs w:val="32"/>
        </w:rPr>
        <w:t>100%</w:t>
      </w:r>
      <w:r>
        <w:rPr>
          <w:rFonts w:hint="eastAsia" w:ascii="仿宋" w:hAnsi="仿宋" w:eastAsia="仿宋"/>
          <w:sz w:val="32"/>
          <w:szCs w:val="32"/>
        </w:rPr>
        <w:t>，决算数等于预算数。</w:t>
      </w:r>
    </w:p>
    <w:p>
      <w:pPr>
        <w:spacing w:line="600" w:lineRule="exact"/>
        <w:ind w:firstLine="642" w:firstLineChars="200"/>
        <w:rPr>
          <w:rFonts w:ascii="仿宋" w:hAnsi="仿宋" w:eastAsia="仿宋"/>
          <w:sz w:val="32"/>
          <w:szCs w:val="32"/>
        </w:rPr>
      </w:pPr>
      <w:r>
        <w:rPr>
          <w:rFonts w:ascii="仿宋" w:hAnsi="仿宋" w:eastAsia="仿宋"/>
          <w:b/>
          <w:bCs/>
          <w:sz w:val="32"/>
          <w:szCs w:val="32"/>
        </w:rPr>
        <w:t>2.</w:t>
      </w:r>
      <w:r>
        <w:rPr>
          <w:rFonts w:hint="eastAsia" w:ascii="仿宋" w:hAnsi="仿宋" w:eastAsia="仿宋"/>
          <w:b/>
          <w:bCs/>
          <w:sz w:val="32"/>
          <w:szCs w:val="32"/>
        </w:rPr>
        <w:t>社会保障和就业支出（类）行政事业单位养老</w:t>
      </w:r>
      <w:r>
        <w:rPr>
          <w:rFonts w:ascii="仿宋" w:hAnsi="仿宋" w:eastAsia="仿宋"/>
          <w:b/>
          <w:bCs/>
          <w:sz w:val="32"/>
          <w:szCs w:val="32"/>
        </w:rPr>
        <w:t>支出</w:t>
      </w:r>
      <w:r>
        <w:rPr>
          <w:rFonts w:hint="eastAsia" w:ascii="仿宋" w:hAnsi="仿宋" w:eastAsia="仿宋"/>
          <w:b/>
          <w:bCs/>
          <w:sz w:val="32"/>
          <w:szCs w:val="32"/>
        </w:rPr>
        <w:t>（款）行政单位离退休（项）</w:t>
      </w:r>
      <w:r>
        <w:rPr>
          <w:rFonts w:ascii="仿宋" w:hAnsi="仿宋" w:eastAsia="仿宋"/>
          <w:b/>
          <w:bCs/>
          <w:sz w:val="32"/>
          <w:szCs w:val="32"/>
        </w:rPr>
        <w:t xml:space="preserve">: </w:t>
      </w:r>
      <w:r>
        <w:rPr>
          <w:rFonts w:hint="eastAsia" w:ascii="仿宋" w:hAnsi="仿宋" w:eastAsia="仿宋"/>
          <w:sz w:val="32"/>
          <w:szCs w:val="32"/>
        </w:rPr>
        <w:t>支出决算为</w:t>
      </w:r>
      <w:r>
        <w:rPr>
          <w:rFonts w:ascii="仿宋" w:hAnsi="仿宋" w:eastAsia="仿宋"/>
          <w:sz w:val="32"/>
          <w:szCs w:val="32"/>
        </w:rPr>
        <w:t>56.04</w:t>
      </w:r>
      <w:r>
        <w:rPr>
          <w:rFonts w:hint="eastAsia" w:ascii="仿宋" w:hAnsi="仿宋" w:eastAsia="仿宋"/>
          <w:sz w:val="32"/>
          <w:szCs w:val="32"/>
        </w:rPr>
        <w:t>万元，完成预算</w:t>
      </w:r>
      <w:r>
        <w:rPr>
          <w:rFonts w:ascii="仿宋" w:hAnsi="仿宋" w:eastAsia="仿宋"/>
          <w:sz w:val="32"/>
          <w:szCs w:val="32"/>
        </w:rPr>
        <w:t>100%</w:t>
      </w:r>
      <w:r>
        <w:rPr>
          <w:rFonts w:hint="eastAsia" w:ascii="仿宋" w:hAnsi="仿宋" w:eastAsia="仿宋"/>
          <w:sz w:val="32"/>
          <w:szCs w:val="32"/>
        </w:rPr>
        <w:t>，决算数等于预算数。</w:t>
      </w:r>
    </w:p>
    <w:p>
      <w:pPr>
        <w:spacing w:line="600" w:lineRule="exact"/>
        <w:ind w:firstLine="642" w:firstLineChars="200"/>
        <w:rPr>
          <w:rFonts w:ascii="仿宋" w:hAnsi="仿宋" w:eastAsia="仿宋"/>
        </w:rPr>
      </w:pPr>
      <w:r>
        <w:rPr>
          <w:rFonts w:ascii="仿宋" w:hAnsi="仿宋" w:eastAsia="仿宋"/>
          <w:b/>
          <w:bCs/>
          <w:sz w:val="32"/>
          <w:szCs w:val="32"/>
        </w:rPr>
        <w:t>3.</w:t>
      </w:r>
      <w:r>
        <w:rPr>
          <w:rFonts w:hint="eastAsia" w:ascii="仿宋" w:hAnsi="仿宋" w:eastAsia="仿宋"/>
          <w:b/>
          <w:bCs/>
          <w:sz w:val="32"/>
          <w:szCs w:val="32"/>
        </w:rPr>
        <w:t>社会保障和就业支出（类）行政事业单位养老</w:t>
      </w:r>
      <w:r>
        <w:rPr>
          <w:rFonts w:ascii="仿宋" w:hAnsi="仿宋" w:eastAsia="仿宋"/>
          <w:b/>
          <w:bCs/>
          <w:sz w:val="32"/>
          <w:szCs w:val="32"/>
        </w:rPr>
        <w:t>支出</w:t>
      </w:r>
      <w:r>
        <w:rPr>
          <w:rFonts w:hint="eastAsia" w:ascii="仿宋" w:hAnsi="仿宋" w:eastAsia="仿宋"/>
          <w:b/>
          <w:bCs/>
          <w:sz w:val="32"/>
          <w:szCs w:val="32"/>
        </w:rPr>
        <w:t>（款）事业单位离退休（项）</w:t>
      </w:r>
      <w:r>
        <w:rPr>
          <w:rFonts w:ascii="仿宋" w:hAnsi="仿宋" w:eastAsia="仿宋"/>
          <w:b/>
          <w:bCs/>
          <w:sz w:val="32"/>
          <w:szCs w:val="32"/>
        </w:rPr>
        <w:t xml:space="preserve">: </w:t>
      </w:r>
      <w:r>
        <w:rPr>
          <w:rFonts w:hint="eastAsia" w:ascii="仿宋" w:hAnsi="仿宋" w:eastAsia="仿宋"/>
          <w:sz w:val="32"/>
          <w:szCs w:val="32"/>
        </w:rPr>
        <w:t>支出决算为</w:t>
      </w:r>
      <w:r>
        <w:rPr>
          <w:rFonts w:ascii="仿宋" w:hAnsi="仿宋" w:eastAsia="仿宋"/>
          <w:sz w:val="32"/>
          <w:szCs w:val="32"/>
        </w:rPr>
        <w:t>170.13</w:t>
      </w:r>
      <w:r>
        <w:rPr>
          <w:rFonts w:hint="eastAsia" w:ascii="仿宋" w:hAnsi="仿宋" w:eastAsia="仿宋"/>
          <w:sz w:val="32"/>
          <w:szCs w:val="32"/>
        </w:rPr>
        <w:t>万元，完成预算</w:t>
      </w:r>
      <w:r>
        <w:rPr>
          <w:rFonts w:ascii="仿宋" w:hAnsi="仿宋" w:eastAsia="仿宋"/>
          <w:sz w:val="32"/>
          <w:szCs w:val="32"/>
        </w:rPr>
        <w:t>100%</w:t>
      </w:r>
      <w:r>
        <w:rPr>
          <w:rFonts w:hint="eastAsia" w:ascii="仿宋" w:hAnsi="仿宋" w:eastAsia="仿宋"/>
          <w:sz w:val="32"/>
          <w:szCs w:val="32"/>
        </w:rPr>
        <w:t>，决算数等于预算数。</w:t>
      </w:r>
    </w:p>
    <w:p>
      <w:pPr>
        <w:spacing w:line="600" w:lineRule="exact"/>
        <w:ind w:firstLine="642" w:firstLineChars="200"/>
        <w:rPr>
          <w:rFonts w:ascii="仿宋" w:hAnsi="仿宋" w:eastAsia="仿宋"/>
          <w:sz w:val="32"/>
          <w:szCs w:val="32"/>
        </w:rPr>
      </w:pPr>
      <w:r>
        <w:rPr>
          <w:rFonts w:ascii="仿宋" w:hAnsi="仿宋" w:eastAsia="仿宋"/>
          <w:b/>
          <w:bCs/>
          <w:sz w:val="32"/>
          <w:szCs w:val="32"/>
        </w:rPr>
        <w:t>4.</w:t>
      </w:r>
      <w:r>
        <w:rPr>
          <w:rFonts w:hint="eastAsia" w:ascii="仿宋" w:hAnsi="仿宋" w:eastAsia="仿宋"/>
          <w:b/>
          <w:bCs/>
          <w:sz w:val="32"/>
          <w:szCs w:val="32"/>
        </w:rPr>
        <w:t>社会保障和就业支出（类）行政事业单位养老</w:t>
      </w:r>
      <w:r>
        <w:rPr>
          <w:rFonts w:ascii="仿宋" w:hAnsi="仿宋" w:eastAsia="仿宋"/>
          <w:b/>
          <w:bCs/>
          <w:sz w:val="32"/>
          <w:szCs w:val="32"/>
        </w:rPr>
        <w:t>支出</w:t>
      </w:r>
      <w:r>
        <w:rPr>
          <w:rFonts w:hint="eastAsia" w:ascii="仿宋" w:hAnsi="仿宋" w:eastAsia="仿宋"/>
          <w:b/>
          <w:bCs/>
          <w:sz w:val="32"/>
          <w:szCs w:val="32"/>
        </w:rPr>
        <w:t>（款）  机关事业单位基本养老保险缴费支出（项）</w:t>
      </w:r>
      <w:r>
        <w:rPr>
          <w:rFonts w:ascii="仿宋" w:hAnsi="仿宋" w:eastAsia="仿宋"/>
          <w:b/>
          <w:bCs/>
          <w:sz w:val="32"/>
          <w:szCs w:val="32"/>
        </w:rPr>
        <w:t xml:space="preserve">: </w:t>
      </w:r>
      <w:r>
        <w:rPr>
          <w:rFonts w:hint="eastAsia" w:ascii="仿宋" w:hAnsi="仿宋" w:eastAsia="仿宋"/>
          <w:sz w:val="32"/>
          <w:szCs w:val="32"/>
        </w:rPr>
        <w:t>支出决算为</w:t>
      </w:r>
      <w:r>
        <w:rPr>
          <w:rFonts w:ascii="仿宋" w:hAnsi="仿宋" w:eastAsia="仿宋"/>
          <w:sz w:val="32"/>
          <w:szCs w:val="32"/>
        </w:rPr>
        <w:t>145.96</w:t>
      </w:r>
      <w:r>
        <w:rPr>
          <w:rFonts w:hint="eastAsia" w:ascii="仿宋" w:hAnsi="仿宋" w:eastAsia="仿宋"/>
          <w:sz w:val="32"/>
          <w:szCs w:val="32"/>
        </w:rPr>
        <w:t>万元，完成预算</w:t>
      </w:r>
      <w:r>
        <w:rPr>
          <w:rFonts w:ascii="仿宋" w:hAnsi="仿宋" w:eastAsia="仿宋"/>
          <w:sz w:val="32"/>
          <w:szCs w:val="32"/>
        </w:rPr>
        <w:t>100%</w:t>
      </w:r>
      <w:r>
        <w:rPr>
          <w:rFonts w:hint="eastAsia" w:ascii="仿宋" w:hAnsi="仿宋" w:eastAsia="仿宋"/>
          <w:sz w:val="32"/>
          <w:szCs w:val="32"/>
        </w:rPr>
        <w:t>，决算数等于预算数。</w:t>
      </w:r>
    </w:p>
    <w:p>
      <w:pPr>
        <w:spacing w:line="600" w:lineRule="exact"/>
        <w:ind w:firstLine="642" w:firstLineChars="200"/>
        <w:rPr>
          <w:rFonts w:ascii="仿宋" w:hAnsi="仿宋" w:eastAsia="仿宋"/>
          <w:sz w:val="32"/>
          <w:szCs w:val="32"/>
        </w:rPr>
      </w:pPr>
      <w:r>
        <w:rPr>
          <w:rFonts w:ascii="仿宋" w:hAnsi="仿宋" w:eastAsia="仿宋"/>
          <w:b/>
          <w:bCs/>
          <w:sz w:val="32"/>
          <w:szCs w:val="32"/>
        </w:rPr>
        <w:t>5.</w:t>
      </w:r>
      <w:r>
        <w:rPr>
          <w:rFonts w:hint="eastAsia" w:ascii="仿宋" w:hAnsi="仿宋" w:eastAsia="仿宋"/>
          <w:b/>
          <w:bCs/>
          <w:sz w:val="32"/>
          <w:szCs w:val="32"/>
        </w:rPr>
        <w:t>社会保障和就业支出（类）行政事业单位养老支出（款）机关事业单位职业年金缴费支出（项）</w:t>
      </w:r>
      <w:r>
        <w:rPr>
          <w:rFonts w:ascii="仿宋" w:hAnsi="仿宋" w:eastAsia="仿宋"/>
          <w:b/>
          <w:bCs/>
          <w:sz w:val="32"/>
          <w:szCs w:val="32"/>
        </w:rPr>
        <w:t xml:space="preserve">: </w:t>
      </w:r>
      <w:r>
        <w:rPr>
          <w:rFonts w:hint="eastAsia" w:ascii="仿宋" w:hAnsi="仿宋" w:eastAsia="仿宋"/>
          <w:sz w:val="32"/>
          <w:szCs w:val="32"/>
        </w:rPr>
        <w:t>支出决算为</w:t>
      </w:r>
      <w:r>
        <w:rPr>
          <w:rFonts w:ascii="仿宋" w:hAnsi="仿宋" w:eastAsia="仿宋"/>
          <w:sz w:val="32"/>
          <w:szCs w:val="32"/>
        </w:rPr>
        <w:t>35.12</w:t>
      </w:r>
      <w:r>
        <w:rPr>
          <w:rFonts w:hint="eastAsia" w:ascii="仿宋" w:hAnsi="仿宋" w:eastAsia="仿宋"/>
          <w:sz w:val="32"/>
          <w:szCs w:val="32"/>
        </w:rPr>
        <w:t>万元，完成预算</w:t>
      </w:r>
      <w:r>
        <w:rPr>
          <w:rFonts w:ascii="仿宋" w:hAnsi="仿宋" w:eastAsia="仿宋"/>
          <w:sz w:val="32"/>
          <w:szCs w:val="32"/>
        </w:rPr>
        <w:t>100%</w:t>
      </w:r>
      <w:r>
        <w:rPr>
          <w:rFonts w:hint="eastAsia" w:ascii="仿宋" w:hAnsi="仿宋" w:eastAsia="仿宋"/>
          <w:sz w:val="32"/>
          <w:szCs w:val="32"/>
        </w:rPr>
        <w:t>，决算数等于预算数。</w:t>
      </w:r>
    </w:p>
    <w:p>
      <w:pPr>
        <w:spacing w:after="120"/>
        <w:ind w:firstLine="642" w:firstLineChars="200"/>
        <w:rPr>
          <w:rFonts w:ascii="仿宋" w:hAnsi="仿宋" w:eastAsia="仿宋"/>
          <w:b/>
          <w:szCs w:val="32"/>
        </w:rPr>
      </w:pPr>
      <w:r>
        <w:rPr>
          <w:rFonts w:ascii="仿宋" w:hAnsi="仿宋" w:eastAsia="仿宋"/>
          <w:b/>
          <w:bCs/>
          <w:sz w:val="32"/>
          <w:szCs w:val="32"/>
        </w:rPr>
        <w:t>6.</w:t>
      </w:r>
      <w:r>
        <w:rPr>
          <w:rFonts w:hint="eastAsia" w:ascii="仿宋" w:hAnsi="仿宋" w:eastAsia="仿宋"/>
          <w:b/>
          <w:bCs/>
          <w:sz w:val="32"/>
          <w:szCs w:val="32"/>
        </w:rPr>
        <w:t>社会保障和就业支出（类）抚恤（款）死亡抚恤（项）</w:t>
      </w:r>
      <w:r>
        <w:rPr>
          <w:rFonts w:ascii="仿宋" w:hAnsi="仿宋" w:eastAsia="仿宋"/>
          <w:b/>
          <w:bCs/>
          <w:sz w:val="32"/>
          <w:szCs w:val="32"/>
        </w:rPr>
        <w:t xml:space="preserve">: </w:t>
      </w:r>
      <w:r>
        <w:rPr>
          <w:rFonts w:hint="eastAsia" w:ascii="仿宋" w:hAnsi="仿宋" w:eastAsia="仿宋"/>
          <w:sz w:val="32"/>
          <w:szCs w:val="32"/>
        </w:rPr>
        <w:t>支出决算为</w:t>
      </w:r>
      <w:r>
        <w:rPr>
          <w:rFonts w:ascii="仿宋" w:hAnsi="仿宋" w:eastAsia="仿宋"/>
          <w:sz w:val="32"/>
          <w:szCs w:val="32"/>
        </w:rPr>
        <w:t>9.8</w:t>
      </w:r>
      <w:r>
        <w:rPr>
          <w:rFonts w:hint="eastAsia" w:ascii="仿宋" w:hAnsi="仿宋" w:eastAsia="仿宋"/>
          <w:sz w:val="32"/>
          <w:szCs w:val="32"/>
        </w:rPr>
        <w:t>万元，完成预算</w:t>
      </w:r>
      <w:r>
        <w:rPr>
          <w:rFonts w:ascii="仿宋" w:hAnsi="仿宋" w:eastAsia="仿宋"/>
          <w:sz w:val="32"/>
          <w:szCs w:val="32"/>
        </w:rPr>
        <w:t>100%</w:t>
      </w:r>
      <w:r>
        <w:rPr>
          <w:rFonts w:hint="eastAsia" w:ascii="仿宋" w:hAnsi="仿宋" w:eastAsia="仿宋"/>
          <w:sz w:val="32"/>
          <w:szCs w:val="32"/>
        </w:rPr>
        <w:t>，决算数等于预算数。</w:t>
      </w:r>
    </w:p>
    <w:p>
      <w:pPr>
        <w:spacing w:after="120"/>
        <w:ind w:firstLine="642" w:firstLineChars="200"/>
        <w:rPr>
          <w:rFonts w:ascii="仿宋" w:hAnsi="仿宋" w:eastAsia="仿宋"/>
          <w:sz w:val="32"/>
          <w:szCs w:val="32"/>
        </w:rPr>
      </w:pPr>
      <w:r>
        <w:rPr>
          <w:rFonts w:ascii="仿宋" w:hAnsi="仿宋" w:eastAsia="仿宋"/>
          <w:b/>
          <w:bCs/>
          <w:sz w:val="32"/>
          <w:szCs w:val="32"/>
        </w:rPr>
        <w:t>7.</w:t>
      </w:r>
      <w:r>
        <w:rPr>
          <w:rFonts w:hint="eastAsia" w:ascii="仿宋" w:hAnsi="仿宋" w:eastAsia="仿宋"/>
          <w:b/>
          <w:bCs/>
          <w:sz w:val="32"/>
          <w:szCs w:val="32"/>
        </w:rPr>
        <w:t>卫生健康支出（类）行政事业单位医疗（款）行政单位医疗（项）</w:t>
      </w:r>
      <w:r>
        <w:rPr>
          <w:rFonts w:ascii="仿宋" w:hAnsi="仿宋" w:eastAsia="仿宋"/>
          <w:b/>
          <w:bCs/>
          <w:sz w:val="32"/>
          <w:szCs w:val="32"/>
        </w:rPr>
        <w:t xml:space="preserve">: </w:t>
      </w:r>
      <w:r>
        <w:rPr>
          <w:rFonts w:hint="eastAsia" w:ascii="仿宋" w:hAnsi="仿宋" w:eastAsia="仿宋"/>
          <w:sz w:val="32"/>
          <w:szCs w:val="32"/>
        </w:rPr>
        <w:t>支出决算为</w:t>
      </w:r>
      <w:r>
        <w:rPr>
          <w:rFonts w:ascii="仿宋" w:hAnsi="仿宋" w:eastAsia="仿宋"/>
          <w:sz w:val="32"/>
          <w:szCs w:val="32"/>
        </w:rPr>
        <w:t>36.94</w:t>
      </w:r>
      <w:r>
        <w:rPr>
          <w:rFonts w:hint="eastAsia" w:ascii="仿宋" w:hAnsi="仿宋" w:eastAsia="仿宋"/>
          <w:sz w:val="32"/>
          <w:szCs w:val="32"/>
        </w:rPr>
        <w:t>万元，完成预算</w:t>
      </w:r>
      <w:r>
        <w:rPr>
          <w:rFonts w:ascii="仿宋" w:hAnsi="仿宋" w:eastAsia="仿宋"/>
          <w:sz w:val="32"/>
          <w:szCs w:val="32"/>
        </w:rPr>
        <w:t>100%</w:t>
      </w:r>
      <w:r>
        <w:rPr>
          <w:rFonts w:hint="eastAsia" w:ascii="仿宋" w:hAnsi="仿宋" w:eastAsia="仿宋"/>
          <w:sz w:val="32"/>
          <w:szCs w:val="32"/>
        </w:rPr>
        <w:t>，决算数等于预算数。</w:t>
      </w:r>
    </w:p>
    <w:p>
      <w:pPr>
        <w:spacing w:after="120"/>
        <w:ind w:firstLine="642" w:firstLineChars="200"/>
        <w:rPr>
          <w:rFonts w:ascii="仿宋" w:hAnsi="仿宋" w:eastAsia="仿宋"/>
          <w:b/>
          <w:szCs w:val="32"/>
        </w:rPr>
      </w:pPr>
      <w:r>
        <w:rPr>
          <w:rFonts w:ascii="仿宋" w:hAnsi="仿宋" w:eastAsia="仿宋"/>
          <w:b/>
          <w:bCs/>
          <w:sz w:val="32"/>
          <w:szCs w:val="32"/>
        </w:rPr>
        <w:t>8.</w:t>
      </w:r>
      <w:r>
        <w:rPr>
          <w:rFonts w:hint="eastAsia" w:ascii="仿宋" w:hAnsi="仿宋" w:eastAsia="仿宋"/>
          <w:b/>
          <w:bCs/>
          <w:sz w:val="32"/>
          <w:szCs w:val="32"/>
        </w:rPr>
        <w:t>卫生健康支出（类）行政事业单位医疗（款）事业单位医疗（项）</w:t>
      </w:r>
      <w:r>
        <w:rPr>
          <w:rFonts w:ascii="仿宋" w:hAnsi="仿宋" w:eastAsia="仿宋"/>
          <w:b/>
          <w:bCs/>
          <w:sz w:val="32"/>
          <w:szCs w:val="32"/>
        </w:rPr>
        <w:t xml:space="preserve">: </w:t>
      </w:r>
      <w:r>
        <w:rPr>
          <w:rFonts w:hint="eastAsia" w:ascii="仿宋" w:hAnsi="仿宋" w:eastAsia="仿宋"/>
          <w:sz w:val="32"/>
          <w:szCs w:val="32"/>
        </w:rPr>
        <w:t>支出决算为</w:t>
      </w:r>
      <w:r>
        <w:rPr>
          <w:rFonts w:ascii="仿宋" w:hAnsi="仿宋" w:eastAsia="仿宋"/>
          <w:sz w:val="32"/>
          <w:szCs w:val="32"/>
        </w:rPr>
        <w:t>0.97</w:t>
      </w:r>
      <w:r>
        <w:rPr>
          <w:rFonts w:hint="eastAsia" w:ascii="仿宋" w:hAnsi="仿宋" w:eastAsia="仿宋"/>
          <w:sz w:val="32"/>
          <w:szCs w:val="32"/>
        </w:rPr>
        <w:t>万元，完成预算</w:t>
      </w:r>
      <w:r>
        <w:rPr>
          <w:rFonts w:ascii="仿宋" w:hAnsi="仿宋" w:eastAsia="仿宋"/>
          <w:sz w:val="32"/>
          <w:szCs w:val="32"/>
        </w:rPr>
        <w:t>100%</w:t>
      </w:r>
      <w:r>
        <w:rPr>
          <w:rFonts w:hint="eastAsia" w:ascii="仿宋" w:hAnsi="仿宋" w:eastAsia="仿宋"/>
          <w:sz w:val="32"/>
          <w:szCs w:val="32"/>
        </w:rPr>
        <w:t>，决算数等于预算数。</w:t>
      </w:r>
    </w:p>
    <w:p>
      <w:pPr>
        <w:spacing w:after="120"/>
        <w:ind w:left="200" w:firstLine="321" w:firstLineChars="100"/>
        <w:rPr>
          <w:rFonts w:ascii="仿宋" w:hAnsi="仿宋" w:eastAsia="仿宋"/>
          <w:sz w:val="32"/>
          <w:szCs w:val="32"/>
        </w:rPr>
      </w:pPr>
      <w:r>
        <w:rPr>
          <w:rFonts w:ascii="仿宋" w:hAnsi="仿宋" w:eastAsia="仿宋"/>
          <w:b/>
          <w:bCs/>
          <w:sz w:val="32"/>
          <w:szCs w:val="32"/>
        </w:rPr>
        <w:t>9</w:t>
      </w:r>
      <w:r>
        <w:rPr>
          <w:rFonts w:hint="eastAsia" w:ascii="仿宋" w:hAnsi="仿宋" w:eastAsia="仿宋"/>
          <w:b/>
          <w:bCs/>
          <w:sz w:val="32"/>
          <w:szCs w:val="32"/>
        </w:rPr>
        <w:t>.卫生健康支出（类）行政事业单位医疗（款）公务员医疗补助（项）</w:t>
      </w:r>
      <w:r>
        <w:rPr>
          <w:rFonts w:ascii="仿宋" w:hAnsi="仿宋" w:eastAsia="仿宋"/>
          <w:b/>
          <w:bCs/>
          <w:sz w:val="32"/>
          <w:szCs w:val="32"/>
        </w:rPr>
        <w:t>:</w:t>
      </w:r>
      <w:r>
        <w:rPr>
          <w:rFonts w:hint="eastAsia" w:ascii="仿宋" w:hAnsi="仿宋" w:eastAsia="仿宋"/>
          <w:sz w:val="32"/>
          <w:szCs w:val="32"/>
        </w:rPr>
        <w:t>支出决算为</w:t>
      </w:r>
      <w:r>
        <w:rPr>
          <w:rFonts w:ascii="仿宋" w:hAnsi="仿宋" w:eastAsia="仿宋"/>
          <w:sz w:val="32"/>
          <w:szCs w:val="32"/>
        </w:rPr>
        <w:t>9.05</w:t>
      </w:r>
      <w:r>
        <w:rPr>
          <w:rFonts w:hint="eastAsia" w:ascii="仿宋" w:hAnsi="仿宋" w:eastAsia="仿宋"/>
          <w:sz w:val="32"/>
          <w:szCs w:val="32"/>
        </w:rPr>
        <w:t>万元，完成预算</w:t>
      </w:r>
      <w:r>
        <w:rPr>
          <w:rFonts w:ascii="仿宋" w:hAnsi="仿宋" w:eastAsia="仿宋"/>
          <w:sz w:val="32"/>
          <w:szCs w:val="32"/>
        </w:rPr>
        <w:t>100%</w:t>
      </w:r>
      <w:r>
        <w:rPr>
          <w:rFonts w:hint="eastAsia" w:ascii="仿宋" w:hAnsi="仿宋" w:eastAsia="仿宋"/>
          <w:sz w:val="32"/>
          <w:szCs w:val="32"/>
        </w:rPr>
        <w:t>，决算数等于预算数。</w:t>
      </w:r>
    </w:p>
    <w:p>
      <w:pPr>
        <w:spacing w:after="120"/>
        <w:ind w:left="200" w:firstLine="321" w:firstLineChars="100"/>
        <w:rPr>
          <w:rFonts w:ascii="仿宋" w:hAnsi="仿宋" w:eastAsia="仿宋"/>
          <w:sz w:val="32"/>
          <w:szCs w:val="32"/>
        </w:rPr>
      </w:pPr>
      <w:r>
        <w:rPr>
          <w:rFonts w:ascii="仿宋" w:hAnsi="仿宋" w:eastAsia="仿宋"/>
          <w:b/>
          <w:bCs/>
          <w:sz w:val="32"/>
          <w:szCs w:val="32"/>
        </w:rPr>
        <w:t>10</w:t>
      </w:r>
      <w:r>
        <w:rPr>
          <w:rFonts w:hint="eastAsia" w:ascii="仿宋" w:hAnsi="仿宋" w:eastAsia="仿宋"/>
          <w:b/>
          <w:bCs/>
          <w:sz w:val="32"/>
          <w:szCs w:val="32"/>
        </w:rPr>
        <w:t>.卫生健康支出（类）行政事业单位医疗（款）其他行政事业单位医疗支出（项）</w:t>
      </w:r>
      <w:r>
        <w:rPr>
          <w:rFonts w:ascii="仿宋" w:hAnsi="仿宋" w:eastAsia="仿宋"/>
          <w:b/>
          <w:bCs/>
          <w:sz w:val="32"/>
          <w:szCs w:val="32"/>
        </w:rPr>
        <w:t xml:space="preserve">: </w:t>
      </w:r>
      <w:r>
        <w:rPr>
          <w:rFonts w:hint="eastAsia" w:ascii="仿宋" w:hAnsi="仿宋" w:eastAsia="仿宋"/>
          <w:sz w:val="32"/>
          <w:szCs w:val="32"/>
        </w:rPr>
        <w:t>支出决算为</w:t>
      </w:r>
      <w:r>
        <w:rPr>
          <w:rFonts w:ascii="仿宋" w:hAnsi="仿宋" w:eastAsia="仿宋"/>
          <w:sz w:val="32"/>
          <w:szCs w:val="32"/>
        </w:rPr>
        <w:t>9.33</w:t>
      </w:r>
      <w:r>
        <w:rPr>
          <w:rFonts w:hint="eastAsia" w:ascii="仿宋" w:hAnsi="仿宋" w:eastAsia="仿宋"/>
          <w:sz w:val="32"/>
          <w:szCs w:val="32"/>
        </w:rPr>
        <w:t>万元，完成预算</w:t>
      </w:r>
      <w:r>
        <w:rPr>
          <w:rFonts w:ascii="仿宋" w:hAnsi="仿宋" w:eastAsia="仿宋"/>
          <w:sz w:val="32"/>
          <w:szCs w:val="32"/>
        </w:rPr>
        <w:t>100%</w:t>
      </w:r>
      <w:r>
        <w:rPr>
          <w:rFonts w:hint="eastAsia" w:ascii="仿宋" w:hAnsi="仿宋" w:eastAsia="仿宋"/>
          <w:sz w:val="32"/>
          <w:szCs w:val="32"/>
        </w:rPr>
        <w:t>，决算数等于预算数。</w:t>
      </w:r>
    </w:p>
    <w:p>
      <w:pPr>
        <w:spacing w:line="600" w:lineRule="exact"/>
        <w:ind w:firstLine="321" w:firstLineChars="100"/>
        <w:rPr>
          <w:rFonts w:ascii="仿宋" w:hAnsi="仿宋" w:eastAsia="仿宋"/>
          <w:sz w:val="32"/>
          <w:szCs w:val="32"/>
        </w:rPr>
      </w:pPr>
      <w:r>
        <w:rPr>
          <w:rFonts w:ascii="仿宋" w:hAnsi="仿宋" w:eastAsia="仿宋"/>
          <w:b/>
          <w:bCs/>
          <w:sz w:val="32"/>
          <w:szCs w:val="32"/>
        </w:rPr>
        <w:t>11.</w:t>
      </w:r>
      <w:r>
        <w:rPr>
          <w:rFonts w:hint="eastAsia" w:ascii="仿宋" w:hAnsi="仿宋" w:eastAsia="仿宋"/>
          <w:b/>
          <w:bCs/>
          <w:sz w:val="32"/>
          <w:szCs w:val="32"/>
        </w:rPr>
        <w:t>城乡社区支出（类）城乡社区管理事务（款）行政运行（项）</w:t>
      </w:r>
      <w:r>
        <w:rPr>
          <w:rFonts w:ascii="仿宋" w:hAnsi="仿宋" w:eastAsia="仿宋"/>
          <w:b/>
          <w:bCs/>
          <w:sz w:val="32"/>
          <w:szCs w:val="32"/>
        </w:rPr>
        <w:t xml:space="preserve">: </w:t>
      </w:r>
      <w:r>
        <w:rPr>
          <w:rFonts w:hint="eastAsia" w:ascii="仿宋" w:hAnsi="仿宋" w:eastAsia="仿宋"/>
          <w:sz w:val="32"/>
          <w:szCs w:val="32"/>
        </w:rPr>
        <w:t>支出决算为</w:t>
      </w:r>
      <w:r>
        <w:rPr>
          <w:rFonts w:ascii="仿宋" w:hAnsi="仿宋" w:eastAsia="仿宋"/>
          <w:sz w:val="32"/>
          <w:szCs w:val="32"/>
        </w:rPr>
        <w:t>712.91</w:t>
      </w:r>
      <w:r>
        <w:rPr>
          <w:rFonts w:hint="eastAsia" w:ascii="仿宋" w:hAnsi="仿宋" w:eastAsia="仿宋"/>
          <w:sz w:val="32"/>
          <w:szCs w:val="32"/>
        </w:rPr>
        <w:t>万元，完成预算</w:t>
      </w:r>
      <w:r>
        <w:rPr>
          <w:rFonts w:ascii="仿宋" w:hAnsi="仿宋" w:eastAsia="仿宋"/>
          <w:sz w:val="32"/>
          <w:szCs w:val="32"/>
        </w:rPr>
        <w:t>100%</w:t>
      </w:r>
      <w:r>
        <w:rPr>
          <w:rFonts w:hint="eastAsia" w:ascii="仿宋" w:hAnsi="仿宋" w:eastAsia="仿宋"/>
          <w:sz w:val="32"/>
          <w:szCs w:val="32"/>
        </w:rPr>
        <w:t>，决算数等于预算数。</w:t>
      </w:r>
    </w:p>
    <w:p>
      <w:pPr>
        <w:spacing w:line="600" w:lineRule="exact"/>
        <w:ind w:firstLine="321" w:firstLineChars="100"/>
        <w:rPr>
          <w:rFonts w:ascii="仿宋" w:hAnsi="仿宋" w:eastAsia="仿宋"/>
          <w:sz w:val="32"/>
          <w:szCs w:val="32"/>
        </w:rPr>
      </w:pPr>
      <w:r>
        <w:rPr>
          <w:rFonts w:ascii="仿宋" w:hAnsi="仿宋" w:eastAsia="仿宋"/>
          <w:b/>
          <w:bCs/>
          <w:sz w:val="32"/>
          <w:szCs w:val="32"/>
        </w:rPr>
        <w:t>12.</w:t>
      </w:r>
      <w:r>
        <w:rPr>
          <w:rFonts w:hint="eastAsia" w:ascii="仿宋" w:hAnsi="仿宋" w:eastAsia="仿宋"/>
          <w:b/>
          <w:bCs/>
          <w:sz w:val="32"/>
          <w:szCs w:val="32"/>
        </w:rPr>
        <w:t>城乡社区支出（类）城乡社区管理事务（款）其他城乡</w:t>
      </w:r>
      <w:r>
        <w:rPr>
          <w:rFonts w:ascii="仿宋" w:hAnsi="仿宋" w:eastAsia="仿宋"/>
          <w:b/>
          <w:bCs/>
          <w:sz w:val="32"/>
          <w:szCs w:val="32"/>
        </w:rPr>
        <w:t>社区管理事务支出</w:t>
      </w:r>
      <w:r>
        <w:rPr>
          <w:rFonts w:hint="eastAsia" w:ascii="仿宋" w:hAnsi="仿宋" w:eastAsia="仿宋"/>
          <w:b/>
          <w:bCs/>
          <w:sz w:val="32"/>
          <w:szCs w:val="32"/>
        </w:rPr>
        <w:t>（项）</w:t>
      </w:r>
      <w:r>
        <w:rPr>
          <w:rFonts w:ascii="仿宋" w:hAnsi="仿宋" w:eastAsia="仿宋"/>
          <w:b/>
          <w:bCs/>
          <w:sz w:val="32"/>
          <w:szCs w:val="32"/>
        </w:rPr>
        <w:t xml:space="preserve">: </w:t>
      </w:r>
      <w:r>
        <w:rPr>
          <w:rFonts w:hint="eastAsia" w:ascii="仿宋" w:hAnsi="仿宋" w:eastAsia="仿宋"/>
          <w:sz w:val="32"/>
          <w:szCs w:val="32"/>
        </w:rPr>
        <w:t>支出决算为</w:t>
      </w:r>
      <w:r>
        <w:rPr>
          <w:rFonts w:ascii="仿宋" w:hAnsi="仿宋" w:eastAsia="仿宋"/>
          <w:sz w:val="32"/>
          <w:szCs w:val="32"/>
        </w:rPr>
        <w:t>781.16</w:t>
      </w:r>
      <w:r>
        <w:rPr>
          <w:rFonts w:hint="eastAsia" w:ascii="仿宋" w:hAnsi="仿宋" w:eastAsia="仿宋"/>
          <w:sz w:val="32"/>
          <w:szCs w:val="32"/>
        </w:rPr>
        <w:t>万元，完成预算</w:t>
      </w:r>
      <w:r>
        <w:rPr>
          <w:rFonts w:ascii="仿宋" w:hAnsi="仿宋" w:eastAsia="仿宋"/>
          <w:sz w:val="32"/>
          <w:szCs w:val="32"/>
        </w:rPr>
        <w:t>100%</w:t>
      </w:r>
      <w:r>
        <w:rPr>
          <w:rFonts w:hint="eastAsia" w:ascii="仿宋" w:hAnsi="仿宋" w:eastAsia="仿宋"/>
          <w:sz w:val="32"/>
          <w:szCs w:val="32"/>
        </w:rPr>
        <w:t>，决算数等于预算数。</w:t>
      </w:r>
    </w:p>
    <w:p>
      <w:pPr>
        <w:spacing w:line="600" w:lineRule="exact"/>
        <w:ind w:firstLine="321" w:firstLineChars="100"/>
        <w:rPr>
          <w:rFonts w:ascii="仿宋" w:hAnsi="仿宋" w:eastAsia="仿宋"/>
          <w:sz w:val="32"/>
          <w:szCs w:val="32"/>
        </w:rPr>
      </w:pPr>
      <w:r>
        <w:rPr>
          <w:rFonts w:ascii="仿宋" w:hAnsi="仿宋" w:eastAsia="仿宋"/>
          <w:b/>
          <w:bCs/>
          <w:sz w:val="32"/>
          <w:szCs w:val="32"/>
        </w:rPr>
        <w:t>13.</w:t>
      </w:r>
      <w:r>
        <w:rPr>
          <w:rFonts w:hint="eastAsia" w:ascii="仿宋" w:hAnsi="仿宋" w:eastAsia="仿宋"/>
          <w:b/>
          <w:bCs/>
          <w:sz w:val="32"/>
          <w:szCs w:val="32"/>
        </w:rPr>
        <w:t>住房保障支出（类）住房改革支出（款）住房公积金（项）</w:t>
      </w:r>
      <w:r>
        <w:rPr>
          <w:rFonts w:ascii="仿宋" w:hAnsi="仿宋" w:eastAsia="仿宋"/>
          <w:b/>
          <w:bCs/>
          <w:sz w:val="32"/>
          <w:szCs w:val="32"/>
        </w:rPr>
        <w:t xml:space="preserve">: </w:t>
      </w:r>
      <w:r>
        <w:rPr>
          <w:rFonts w:hint="eastAsia" w:ascii="仿宋" w:hAnsi="仿宋" w:eastAsia="仿宋"/>
          <w:sz w:val="32"/>
          <w:szCs w:val="32"/>
        </w:rPr>
        <w:t>支出决算为</w:t>
      </w:r>
      <w:r>
        <w:rPr>
          <w:rFonts w:ascii="仿宋" w:hAnsi="仿宋" w:eastAsia="仿宋"/>
          <w:sz w:val="32"/>
          <w:szCs w:val="32"/>
        </w:rPr>
        <w:t>112.51</w:t>
      </w:r>
      <w:r>
        <w:rPr>
          <w:rFonts w:hint="eastAsia" w:ascii="仿宋" w:hAnsi="仿宋" w:eastAsia="仿宋"/>
          <w:sz w:val="32"/>
          <w:szCs w:val="32"/>
        </w:rPr>
        <w:t>万元，完成预算</w:t>
      </w:r>
      <w:r>
        <w:rPr>
          <w:rFonts w:ascii="仿宋" w:hAnsi="仿宋" w:eastAsia="仿宋"/>
          <w:sz w:val="32"/>
          <w:szCs w:val="32"/>
        </w:rPr>
        <w:t>100%</w:t>
      </w:r>
      <w:r>
        <w:rPr>
          <w:rFonts w:hint="eastAsia" w:ascii="仿宋" w:hAnsi="仿宋" w:eastAsia="仿宋"/>
          <w:sz w:val="32"/>
          <w:szCs w:val="32"/>
        </w:rPr>
        <w:t>，决算数等于预算数。</w:t>
      </w:r>
    </w:p>
    <w:p>
      <w:pPr>
        <w:tabs>
          <w:tab w:val="right" w:pos="8306"/>
        </w:tabs>
        <w:spacing w:line="600" w:lineRule="exact"/>
        <w:ind w:firstLine="640"/>
        <w:outlineLvl w:val="1"/>
        <w:rPr>
          <w:rStyle w:val="29"/>
          <w:rFonts w:ascii="Times New Roman" w:hAnsi="Times New Roman"/>
        </w:rPr>
      </w:pPr>
      <w:bookmarkStart w:id="43" w:name="_Toc15396608"/>
      <w:bookmarkStart w:id="44" w:name="_Toc15377214"/>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43"/>
      <w:bookmarkEnd w:id="44"/>
      <w:r>
        <w:rPr>
          <w:rStyle w:val="29"/>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eastAsia="仿宋_GB2312" w:cs="仿宋_GB2312"/>
          <w:sz w:val="32"/>
          <w:szCs w:val="32"/>
        </w:rPr>
        <w:t>1932.78</w:t>
      </w:r>
      <w:r>
        <w:rPr>
          <w:rFonts w:hint="eastAsia" w:eastAsia="仿宋_GB2312" w:cs="仿宋_GB2312"/>
          <w:sz w:val="32"/>
          <w:szCs w:val="32"/>
        </w:rPr>
        <w:t>万元，其中：</w:t>
      </w:r>
    </w:p>
    <w:p>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eastAsia="仿宋_GB2312" w:cs="仿宋_GB2312"/>
          <w:sz w:val="32"/>
          <w:szCs w:val="32"/>
        </w:rPr>
        <w:t>1787.41</w:t>
      </w:r>
      <w:r>
        <w:rPr>
          <w:rFonts w:hint="eastAsia" w:eastAsia="仿宋_GB2312" w:cs="仿宋_GB2312"/>
          <w:sz w:val="32"/>
          <w:szCs w:val="32"/>
        </w:rPr>
        <w:t>万元，主要包括：基本工资、津贴补贴、奖金、绩效工资、机关事业单位基本养老保险缴费、职业年金缴费、职工基本医疗保险缴费、公务员医疗补助缴费、其他社会保障缴费、住房公积金、其他工资福利支出、抚恤金、生活补助、医疗费补助、奖励金、其他对个人和家庭的补助等。</w:t>
      </w:r>
      <w:r>
        <w:rPr>
          <w:rFonts w:hint="eastAsia" w:eastAsia="仿宋_GB2312" w:cs="仿宋_GB2312"/>
          <w:sz w:val="32"/>
          <w:szCs w:val="32"/>
        </w:rPr>
        <w:br w:type="textWrapping"/>
      </w:r>
      <w:r>
        <w:rPr>
          <w:rFonts w:hint="eastAsia" w:eastAsia="仿宋_GB2312" w:cs="仿宋_GB2312"/>
          <w:sz w:val="32"/>
          <w:szCs w:val="32"/>
        </w:rPr>
        <w:t>　　公用经费</w:t>
      </w:r>
      <w:r>
        <w:rPr>
          <w:rFonts w:eastAsia="仿宋_GB2312" w:cs="仿宋_GB2312"/>
          <w:sz w:val="32"/>
          <w:szCs w:val="32"/>
        </w:rPr>
        <w:t>145.37</w:t>
      </w:r>
      <w:r>
        <w:rPr>
          <w:rFonts w:hint="eastAsia" w:eastAsia="仿宋_GB2312" w:cs="仿宋_GB2312"/>
          <w:sz w:val="32"/>
          <w:szCs w:val="32"/>
        </w:rPr>
        <w:t>万元，主要包括：办公费、水费、电费、邮电费、物业管理费、差旅费、会议费</w:t>
      </w:r>
      <w:r>
        <w:rPr>
          <w:rFonts w:eastAsia="仿宋_GB2312" w:cs="仿宋_GB2312"/>
          <w:sz w:val="32"/>
          <w:szCs w:val="32"/>
        </w:rPr>
        <w:t>、</w:t>
      </w:r>
      <w:r>
        <w:rPr>
          <w:rFonts w:hint="eastAsia" w:eastAsia="仿宋_GB2312" w:cs="仿宋_GB2312"/>
          <w:sz w:val="32"/>
          <w:szCs w:val="32"/>
        </w:rPr>
        <w:t>培训费、公务接待费、劳务费、工会经费、福利费、公务用车运行维护费、其他交通费、其他商品和服务支出等。</w:t>
      </w:r>
    </w:p>
    <w:p>
      <w:pPr>
        <w:spacing w:line="600" w:lineRule="exact"/>
        <w:ind w:firstLine="640"/>
        <w:outlineLvl w:val="1"/>
        <w:rPr>
          <w:rStyle w:val="29"/>
          <w:rFonts w:ascii="Times New Roman" w:hAnsi="Times New Roman" w:eastAsia="黑体"/>
          <w:b w:val="0"/>
        </w:rPr>
      </w:pPr>
      <w:bookmarkStart w:id="45" w:name="_Toc15377215"/>
      <w:bookmarkStart w:id="46" w:name="_Toc15396609"/>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45"/>
      <w:bookmarkEnd w:id="46"/>
    </w:p>
    <w:p>
      <w:pPr>
        <w:spacing w:line="600" w:lineRule="exact"/>
        <w:ind w:firstLine="642" w:firstLineChars="200"/>
        <w:outlineLvl w:val="2"/>
        <w:rPr>
          <w:rFonts w:eastAsia="楷体_GB2312" w:cs="楷体_GB2312"/>
          <w:b/>
          <w:sz w:val="32"/>
          <w:szCs w:val="32"/>
        </w:rPr>
      </w:pPr>
      <w:bookmarkStart w:id="47" w:name="_Toc15377216"/>
      <w:r>
        <w:rPr>
          <w:rFonts w:hint="eastAsia" w:eastAsia="楷体_GB2312" w:cs="楷体_GB2312"/>
          <w:b/>
          <w:sz w:val="32"/>
          <w:szCs w:val="32"/>
        </w:rPr>
        <w:t>（一）财政拨款“三公”经费支出决算总体情况说明</w:t>
      </w:r>
      <w:bookmarkEnd w:id="47"/>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2025年度财政拨款“三公”经费支出决算为</w:t>
      </w:r>
      <w:r>
        <w:rPr>
          <w:rFonts w:eastAsia="仿宋_GB2312" w:cs="仿宋_GB2312"/>
          <w:sz w:val="32"/>
          <w:szCs w:val="32"/>
        </w:rPr>
        <w:t>5.79</w:t>
      </w:r>
      <w:r>
        <w:rPr>
          <w:rFonts w:hint="eastAsia" w:eastAsia="仿宋_GB2312" w:cs="仿宋_GB2312"/>
          <w:sz w:val="32"/>
          <w:szCs w:val="32"/>
        </w:rPr>
        <w:t>万元，完成预算</w:t>
      </w:r>
      <w:r>
        <w:rPr>
          <w:rFonts w:eastAsia="仿宋_GB2312" w:cs="仿宋_GB2312"/>
          <w:sz w:val="32"/>
          <w:szCs w:val="32"/>
        </w:rPr>
        <w:t>100</w:t>
      </w:r>
      <w:r>
        <w:rPr>
          <w:rFonts w:hint="eastAsia" w:eastAsia="仿宋_GB2312" w:cs="仿宋_GB2312"/>
          <w:sz w:val="32"/>
          <w:szCs w:val="32"/>
        </w:rPr>
        <w:t>%，较上年度减少</w:t>
      </w:r>
      <w:r>
        <w:rPr>
          <w:rFonts w:eastAsia="仿宋_GB2312" w:cs="仿宋_GB2312"/>
          <w:sz w:val="32"/>
          <w:szCs w:val="32"/>
        </w:rPr>
        <w:t>0.48</w:t>
      </w:r>
      <w:r>
        <w:rPr>
          <w:rFonts w:hint="eastAsia" w:eastAsia="仿宋_GB2312" w:cs="仿宋_GB2312"/>
          <w:sz w:val="32"/>
          <w:szCs w:val="32"/>
        </w:rPr>
        <w:t>万元，下降</w:t>
      </w:r>
      <w:r>
        <w:rPr>
          <w:rFonts w:eastAsia="仿宋_GB2312" w:cs="仿宋_GB2312"/>
          <w:sz w:val="32"/>
          <w:szCs w:val="32"/>
        </w:rPr>
        <w:t>7.7</w:t>
      </w:r>
      <w:r>
        <w:rPr>
          <w:rFonts w:hint="eastAsia" w:eastAsia="仿宋_GB2312" w:cs="仿宋_GB2312"/>
          <w:sz w:val="32"/>
          <w:szCs w:val="32"/>
        </w:rPr>
        <w:t>%。与预算数持平。</w:t>
      </w:r>
    </w:p>
    <w:p>
      <w:pPr>
        <w:spacing w:line="600" w:lineRule="exact"/>
        <w:ind w:firstLine="642" w:firstLineChars="200"/>
        <w:outlineLvl w:val="2"/>
        <w:rPr>
          <w:rFonts w:eastAsia="楷体_GB2312" w:cs="楷体_GB2312"/>
          <w:b/>
          <w:sz w:val="32"/>
          <w:szCs w:val="32"/>
        </w:rPr>
      </w:pPr>
      <w:bookmarkStart w:id="48" w:name="_Toc15377217"/>
      <w:r>
        <w:rPr>
          <w:rFonts w:hint="eastAsia" w:eastAsia="楷体_GB2312" w:cs="楷体_GB2312"/>
          <w:b/>
          <w:sz w:val="32"/>
          <w:szCs w:val="32"/>
        </w:rPr>
        <w:t>（二）财政拨款“三公”经费支出决算具体情况说明</w:t>
      </w:r>
      <w:bookmarkEnd w:id="48"/>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eastAsia="仿宋_GB2312" w:cs="仿宋_GB2312"/>
          <w:sz w:val="32"/>
          <w:szCs w:val="32"/>
        </w:rPr>
        <w:t>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%；公务用车购置及运行维护费支出决算</w:t>
      </w:r>
      <w:r>
        <w:rPr>
          <w:rFonts w:eastAsia="仿宋_GB2312" w:cs="仿宋_GB2312"/>
          <w:sz w:val="32"/>
          <w:szCs w:val="32"/>
        </w:rPr>
        <w:t>5.65</w:t>
      </w:r>
      <w:r>
        <w:rPr>
          <w:rFonts w:hint="eastAsia" w:eastAsia="仿宋_GB2312" w:cs="仿宋_GB2312"/>
          <w:sz w:val="32"/>
          <w:szCs w:val="32"/>
        </w:rPr>
        <w:t>万元，占</w:t>
      </w:r>
      <w:r>
        <w:rPr>
          <w:rFonts w:eastAsia="仿宋_GB2312" w:cs="仿宋_GB2312"/>
          <w:sz w:val="32"/>
          <w:szCs w:val="32"/>
        </w:rPr>
        <w:t>97.6</w:t>
      </w:r>
      <w:r>
        <w:rPr>
          <w:rFonts w:hint="eastAsia" w:eastAsia="仿宋_GB2312" w:cs="仿宋_GB2312"/>
          <w:sz w:val="32"/>
          <w:szCs w:val="32"/>
        </w:rPr>
        <w:t>%；公务接待费支出决算</w:t>
      </w:r>
      <w:r>
        <w:rPr>
          <w:rFonts w:eastAsia="仿宋_GB2312" w:cs="仿宋_GB2312"/>
          <w:sz w:val="32"/>
          <w:szCs w:val="32"/>
        </w:rPr>
        <w:t>0.14</w:t>
      </w:r>
      <w:r>
        <w:rPr>
          <w:rFonts w:hint="eastAsia" w:eastAsia="仿宋_GB2312" w:cs="仿宋_GB2312"/>
          <w:sz w:val="32"/>
          <w:szCs w:val="32"/>
        </w:rPr>
        <w:t>万元，占</w:t>
      </w:r>
      <w:r>
        <w:rPr>
          <w:rFonts w:eastAsia="仿宋_GB2312" w:cs="仿宋_GB2312"/>
          <w:sz w:val="32"/>
          <w:szCs w:val="32"/>
        </w:rPr>
        <w:t>2.4</w:t>
      </w:r>
      <w:r>
        <w:rPr>
          <w:rFonts w:hint="eastAsia" w:eastAsia="仿宋_GB2312" w:cs="仿宋_GB2312"/>
          <w:sz w:val="32"/>
          <w:szCs w:val="32"/>
        </w:rPr>
        <w:t>%。具体情况如下：</w:t>
      </w:r>
    </w:p>
    <w:p>
      <w:pPr>
        <w:pStyle w:val="13"/>
      </w:pPr>
      <w:r>
        <w:drawing>
          <wp:inline distT="0" distB="0" distL="0" distR="0">
            <wp:extent cx="5191125" cy="3143250"/>
            <wp:effectExtent l="0" t="0" r="9525" b="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13"/>
      </w:pPr>
    </w:p>
    <w:p>
      <w:pPr>
        <w:spacing w:line="600" w:lineRule="exact"/>
        <w:ind w:firstLine="640"/>
        <w:jc w:val="center"/>
        <w:rPr>
          <w:rFonts w:eastAsia="仿宋_GB2312" w:cs="仿宋_GB2312"/>
          <w:sz w:val="32"/>
          <w:szCs w:val="32"/>
        </w:rPr>
      </w:pPr>
      <w:r>
        <w:rPr>
          <w:rFonts w:hint="eastAsia" w:eastAsia="仿宋_GB2312" w:cs="仿宋_GB2312"/>
          <w:sz w:val="32"/>
          <w:szCs w:val="32"/>
        </w:rPr>
        <w:t>（图7：财政拨款“三公”经费支出结构）</w:t>
      </w:r>
    </w:p>
    <w:p/>
    <w:p>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eastAsia="仿宋_GB2312" w:cs="仿宋_GB2312"/>
          <w:b/>
          <w:bCs/>
          <w:sz w:val="32"/>
          <w:szCs w:val="32"/>
        </w:rPr>
        <w:t>0</w:t>
      </w:r>
      <w:r>
        <w:rPr>
          <w:rFonts w:hint="eastAsia" w:eastAsia="仿宋_GB2312" w:cs="仿宋_GB2312"/>
          <w:b/>
          <w:bCs/>
          <w:sz w:val="32"/>
          <w:szCs w:val="32"/>
        </w:rPr>
        <w:t>万元，完成预算</w:t>
      </w:r>
      <w:r>
        <w:rPr>
          <w:rFonts w:eastAsia="仿宋_GB2312" w:cs="仿宋_GB2312"/>
          <w:b/>
          <w:bCs/>
          <w:sz w:val="32"/>
          <w:szCs w:val="32"/>
        </w:rPr>
        <w:t>100</w:t>
      </w:r>
      <w:r>
        <w:rPr>
          <w:rFonts w:hint="eastAsia" w:eastAsia="仿宋_GB2312" w:cs="仿宋_GB2312"/>
          <w:b/>
          <w:bCs/>
          <w:sz w:val="32"/>
          <w:szCs w:val="32"/>
        </w:rPr>
        <w:t>%。</w:t>
      </w:r>
      <w:r>
        <w:rPr>
          <w:rFonts w:hint="eastAsia" w:eastAsia="仿宋_GB2312" w:cs="仿宋_GB2312"/>
          <w:sz w:val="32"/>
          <w:szCs w:val="32"/>
        </w:rPr>
        <w:t>全年安排因公出国（境）团组</w:t>
      </w:r>
      <w:r>
        <w:rPr>
          <w:rFonts w:eastAsia="仿宋_GB2312" w:cs="仿宋_GB2312"/>
          <w:sz w:val="32"/>
          <w:szCs w:val="32"/>
        </w:rPr>
        <w:t>0</w:t>
      </w:r>
      <w:r>
        <w:rPr>
          <w:rFonts w:hint="eastAsia" w:eastAsia="仿宋_GB2312" w:cs="仿宋_GB2312"/>
          <w:sz w:val="32"/>
          <w:szCs w:val="32"/>
        </w:rPr>
        <w:t>次，出国（境）</w:t>
      </w:r>
      <w:r>
        <w:rPr>
          <w:rFonts w:eastAsia="仿宋_GB2312" w:cs="仿宋_GB2312"/>
          <w:sz w:val="32"/>
          <w:szCs w:val="32"/>
        </w:rPr>
        <w:t>0</w:t>
      </w:r>
      <w:r>
        <w:rPr>
          <w:rFonts w:hint="eastAsia" w:eastAsia="仿宋_GB2312" w:cs="仿宋_GB2312"/>
          <w:sz w:val="32"/>
          <w:szCs w:val="32"/>
        </w:rPr>
        <w:t>人。因公出国（境）支出决算比上年度增加</w:t>
      </w:r>
      <w:r>
        <w:rPr>
          <w:rFonts w:eastAsia="仿宋_GB2312" w:cs="仿宋_GB2312"/>
          <w:sz w:val="32"/>
          <w:szCs w:val="32"/>
        </w:rPr>
        <w:t>0</w:t>
      </w:r>
      <w:r>
        <w:rPr>
          <w:rFonts w:hint="eastAsia" w:eastAsia="仿宋_GB2312" w:cs="仿宋_GB2312"/>
          <w:sz w:val="32"/>
          <w:szCs w:val="32"/>
        </w:rPr>
        <w:t>万元，增长</w:t>
      </w:r>
      <w:r>
        <w:rPr>
          <w:rFonts w:eastAsia="仿宋_GB2312" w:cs="仿宋_GB2312"/>
          <w:sz w:val="32"/>
          <w:szCs w:val="32"/>
        </w:rPr>
        <w:t>0</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eastAsia="仿宋_GB2312" w:cs="仿宋_GB2312"/>
          <w:b/>
          <w:bCs/>
          <w:sz w:val="32"/>
          <w:szCs w:val="32"/>
        </w:rPr>
        <w:t>5.65</w:t>
      </w:r>
      <w:r>
        <w:rPr>
          <w:rFonts w:hint="eastAsia" w:eastAsia="仿宋_GB2312" w:cs="仿宋_GB2312"/>
          <w:b/>
          <w:bCs/>
          <w:sz w:val="32"/>
          <w:szCs w:val="32"/>
        </w:rPr>
        <w:t>万元，完成预算</w:t>
      </w:r>
      <w:r>
        <w:rPr>
          <w:rFonts w:eastAsia="仿宋_GB2312" w:cs="仿宋_GB2312"/>
          <w:b/>
          <w:bCs/>
          <w:sz w:val="32"/>
          <w:szCs w:val="32"/>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公务用车购置及运行维护费支出决算比上年度减少</w:t>
      </w:r>
      <w:r>
        <w:rPr>
          <w:rFonts w:eastAsia="仿宋_GB2312" w:cs="仿宋_GB2312"/>
          <w:sz w:val="32"/>
          <w:szCs w:val="32"/>
        </w:rPr>
        <w:t>0.1</w:t>
      </w:r>
      <w:r>
        <w:rPr>
          <w:rFonts w:hint="eastAsia" w:eastAsia="仿宋_GB2312" w:cs="仿宋_GB2312"/>
          <w:sz w:val="32"/>
          <w:szCs w:val="32"/>
        </w:rPr>
        <w:t>万元，下降</w:t>
      </w:r>
      <w:r>
        <w:rPr>
          <w:rFonts w:eastAsia="仿宋_GB2312" w:cs="仿宋_GB2312"/>
          <w:sz w:val="32"/>
          <w:szCs w:val="32"/>
        </w:rPr>
        <w:t>1.7</w:t>
      </w:r>
      <w:r>
        <w:rPr>
          <w:rFonts w:hint="eastAsia" w:eastAsia="仿宋_GB2312" w:cs="仿宋_GB2312"/>
          <w:sz w:val="32"/>
          <w:szCs w:val="32"/>
        </w:rPr>
        <w:t>%。主要原因是：本年度强化管理</w:t>
      </w:r>
      <w:r>
        <w:rPr>
          <w:rFonts w:eastAsia="仿宋_GB2312" w:cs="仿宋_GB2312"/>
          <w:sz w:val="32"/>
          <w:szCs w:val="32"/>
        </w:rPr>
        <w:t>，</w:t>
      </w:r>
      <w:r>
        <w:rPr>
          <w:rFonts w:hint="eastAsia" w:eastAsia="仿宋_GB2312" w:cs="仿宋_GB2312"/>
          <w:sz w:val="32"/>
          <w:szCs w:val="32"/>
        </w:rPr>
        <w:t>严格</w:t>
      </w:r>
      <w:r>
        <w:rPr>
          <w:rFonts w:eastAsia="仿宋_GB2312" w:cs="仿宋_GB2312"/>
          <w:sz w:val="32"/>
          <w:szCs w:val="32"/>
        </w:rPr>
        <w:t>控制公务</w:t>
      </w:r>
      <w:r>
        <w:rPr>
          <w:rFonts w:hint="eastAsia" w:eastAsia="仿宋_GB2312" w:cs="仿宋_GB2312"/>
          <w:sz w:val="32"/>
          <w:szCs w:val="32"/>
        </w:rPr>
        <w:t>车辆</w:t>
      </w:r>
      <w:r>
        <w:rPr>
          <w:rFonts w:eastAsia="仿宋_GB2312" w:cs="仿宋_GB2312"/>
          <w:sz w:val="32"/>
          <w:szCs w:val="32"/>
        </w:rPr>
        <w:t>使用。</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eastAsia="仿宋_GB2312" w:cs="仿宋_GB2312"/>
          <w:sz w:val="32"/>
          <w:szCs w:val="32"/>
        </w:rPr>
        <w:t>0</w:t>
      </w:r>
      <w:r>
        <w:rPr>
          <w:rFonts w:hint="eastAsia" w:eastAsia="仿宋_GB2312" w:cs="仿宋_GB2312"/>
          <w:sz w:val="32"/>
          <w:szCs w:val="32"/>
        </w:rPr>
        <w:t>万元。全年按规定更新购置公务用车</w:t>
      </w:r>
      <w:r>
        <w:rPr>
          <w:rFonts w:eastAsia="仿宋_GB2312" w:cs="仿宋_GB2312"/>
          <w:sz w:val="32"/>
          <w:szCs w:val="32"/>
        </w:rPr>
        <w:t>0</w:t>
      </w:r>
      <w:r>
        <w:rPr>
          <w:rFonts w:hint="eastAsia" w:eastAsia="仿宋_GB2312" w:cs="仿宋_GB2312"/>
          <w:sz w:val="32"/>
          <w:szCs w:val="32"/>
        </w:rPr>
        <w:t>辆，其中：轿车</w:t>
      </w:r>
      <w:r>
        <w:rPr>
          <w:rFonts w:eastAsia="仿宋_GB2312" w:cs="仿宋_GB2312"/>
          <w:sz w:val="32"/>
          <w:szCs w:val="32"/>
        </w:rPr>
        <w:t>0</w:t>
      </w:r>
      <w:r>
        <w:rPr>
          <w:rFonts w:hint="eastAsia" w:eastAsia="仿宋_GB2312" w:cs="仿宋_GB2312"/>
          <w:sz w:val="32"/>
          <w:szCs w:val="32"/>
        </w:rPr>
        <w:t>辆、金额</w:t>
      </w:r>
      <w:r>
        <w:rPr>
          <w:rFonts w:eastAsia="仿宋_GB2312" w:cs="仿宋_GB2312"/>
          <w:sz w:val="32"/>
          <w:szCs w:val="32"/>
        </w:rPr>
        <w:t>0</w:t>
      </w:r>
      <w:r>
        <w:rPr>
          <w:rFonts w:hint="eastAsia" w:eastAsia="仿宋_GB2312" w:cs="仿宋_GB2312"/>
          <w:sz w:val="32"/>
          <w:szCs w:val="32"/>
        </w:rPr>
        <w:t>万元，越野车</w:t>
      </w:r>
      <w:r>
        <w:rPr>
          <w:rFonts w:eastAsia="仿宋_GB2312" w:cs="仿宋_GB2312"/>
          <w:sz w:val="32"/>
          <w:szCs w:val="32"/>
        </w:rPr>
        <w:t>0</w:t>
      </w:r>
      <w:r>
        <w:rPr>
          <w:rFonts w:hint="eastAsia" w:eastAsia="仿宋_GB2312" w:cs="仿宋_GB2312"/>
          <w:sz w:val="32"/>
          <w:szCs w:val="32"/>
        </w:rPr>
        <w:t>辆、金额</w:t>
      </w:r>
      <w:r>
        <w:rPr>
          <w:rFonts w:eastAsia="仿宋_GB2312" w:cs="仿宋_GB2312"/>
          <w:sz w:val="32"/>
          <w:szCs w:val="32"/>
        </w:rPr>
        <w:t>0</w:t>
      </w:r>
      <w:r>
        <w:rPr>
          <w:rFonts w:hint="eastAsia" w:eastAsia="仿宋_GB2312" w:cs="仿宋_GB2312"/>
          <w:sz w:val="32"/>
          <w:szCs w:val="32"/>
        </w:rPr>
        <w:t>万元，载客汽车</w:t>
      </w:r>
      <w:r>
        <w:rPr>
          <w:rFonts w:eastAsia="仿宋_GB2312" w:cs="仿宋_GB2312"/>
          <w:sz w:val="32"/>
          <w:szCs w:val="32"/>
        </w:rPr>
        <w:t>0</w:t>
      </w:r>
      <w:r>
        <w:rPr>
          <w:rFonts w:hint="eastAsia" w:eastAsia="仿宋_GB2312" w:cs="仿宋_GB2312"/>
          <w:sz w:val="32"/>
          <w:szCs w:val="32"/>
        </w:rPr>
        <w:t>辆、金额</w:t>
      </w:r>
      <w:r>
        <w:rPr>
          <w:rFonts w:eastAsia="仿宋_GB2312" w:cs="仿宋_GB2312"/>
          <w:sz w:val="32"/>
          <w:szCs w:val="32"/>
        </w:rPr>
        <w:t>0</w:t>
      </w:r>
      <w:r>
        <w:rPr>
          <w:rFonts w:hint="eastAsia" w:eastAsia="仿宋_GB2312" w:cs="仿宋_GB2312"/>
          <w:sz w:val="32"/>
          <w:szCs w:val="32"/>
        </w:rPr>
        <w:t>万元。截至2025年12月31日，单位共有公务用车</w:t>
      </w:r>
      <w:r>
        <w:rPr>
          <w:rFonts w:eastAsia="仿宋_GB2312" w:cs="仿宋_GB2312"/>
          <w:sz w:val="32"/>
          <w:szCs w:val="32"/>
        </w:rPr>
        <w:t>4</w:t>
      </w:r>
      <w:r>
        <w:rPr>
          <w:rFonts w:hint="eastAsia" w:eastAsia="仿宋_GB2312" w:cs="仿宋_GB2312"/>
          <w:sz w:val="32"/>
          <w:szCs w:val="32"/>
        </w:rPr>
        <w:t>辆，其中：轿车2辆、越野车</w:t>
      </w:r>
      <w:r>
        <w:rPr>
          <w:rFonts w:eastAsia="仿宋_GB2312" w:cs="仿宋_GB2312"/>
          <w:sz w:val="32"/>
          <w:szCs w:val="32"/>
        </w:rPr>
        <w:t>1</w:t>
      </w:r>
      <w:r>
        <w:rPr>
          <w:rFonts w:hint="eastAsia" w:eastAsia="仿宋_GB2312" w:cs="仿宋_GB2312"/>
          <w:sz w:val="32"/>
          <w:szCs w:val="32"/>
        </w:rPr>
        <w:t>辆、越野车</w:t>
      </w:r>
      <w:r>
        <w:rPr>
          <w:rFonts w:eastAsia="仿宋_GB2312" w:cs="仿宋_GB2312"/>
          <w:sz w:val="32"/>
          <w:szCs w:val="32"/>
        </w:rPr>
        <w:t>0</w:t>
      </w:r>
      <w:r>
        <w:rPr>
          <w:rFonts w:hint="eastAsia" w:eastAsia="仿宋_GB2312" w:cs="仿宋_GB2312"/>
          <w:sz w:val="32"/>
          <w:szCs w:val="32"/>
        </w:rPr>
        <w:t>辆、载客汽车</w:t>
      </w:r>
      <w:r>
        <w:rPr>
          <w:rFonts w:eastAsia="仿宋_GB2312" w:cs="仿宋_GB2312"/>
          <w:sz w:val="32"/>
          <w:szCs w:val="32"/>
        </w:rPr>
        <w:t>0</w:t>
      </w:r>
      <w:r>
        <w:rPr>
          <w:rFonts w:hint="eastAsia" w:eastAsia="仿宋_GB2312" w:cs="仿宋_GB2312"/>
          <w:sz w:val="32"/>
          <w:szCs w:val="32"/>
        </w:rPr>
        <w:t>辆、</w:t>
      </w:r>
      <w:r>
        <w:rPr>
          <w:rFonts w:hint="eastAsia" w:eastAsia="仿宋_GB2312" w:cs="仿宋_GB2312"/>
          <w:sz w:val="32"/>
          <w:szCs w:val="32"/>
          <w:lang w:eastAsia="zh-CN"/>
        </w:rPr>
        <w:t>其他车辆</w:t>
      </w:r>
      <w:bookmarkStart w:id="76" w:name="_GoBack"/>
      <w:bookmarkEnd w:id="76"/>
      <w:r>
        <w:rPr>
          <w:rFonts w:hint="eastAsia" w:eastAsia="仿宋_GB2312" w:cs="仿宋_GB2312"/>
          <w:sz w:val="32"/>
          <w:szCs w:val="32"/>
        </w:rPr>
        <w:t>1辆。</w:t>
      </w:r>
    </w:p>
    <w:p>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eastAsia="仿宋_GB2312" w:cs="仿宋_GB2312"/>
          <w:sz w:val="32"/>
          <w:szCs w:val="32"/>
        </w:rPr>
        <w:t>5.65</w:t>
      </w:r>
      <w:r>
        <w:rPr>
          <w:rFonts w:hint="eastAsia" w:eastAsia="仿宋_GB2312" w:cs="仿宋_GB2312"/>
          <w:sz w:val="32"/>
          <w:szCs w:val="32"/>
        </w:rPr>
        <w:t>万元。主要用于白蚁防治施工、</w:t>
      </w:r>
      <w:r>
        <w:rPr>
          <w:rFonts w:eastAsia="仿宋_GB2312" w:cs="仿宋_GB2312"/>
          <w:sz w:val="32"/>
          <w:szCs w:val="32"/>
        </w:rPr>
        <w:t>公房维修、维修基金拨付现场勘查</w:t>
      </w:r>
      <w:r>
        <w:rPr>
          <w:rFonts w:hint="eastAsia" w:eastAsia="仿宋_GB2312" w:cs="仿宋_GB2312"/>
          <w:sz w:val="32"/>
          <w:szCs w:val="32"/>
        </w:rPr>
        <w:t>所需的公务用车燃料费、维修费、过路过桥费、保险费等支出。</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eastAsia="仿宋_GB2312" w:cs="仿宋_GB2312"/>
          <w:b/>
          <w:bCs/>
          <w:sz w:val="32"/>
          <w:szCs w:val="32"/>
        </w:rPr>
        <w:t>0.14</w:t>
      </w:r>
      <w:r>
        <w:rPr>
          <w:rFonts w:hint="eastAsia" w:eastAsia="仿宋_GB2312" w:cs="仿宋_GB2312"/>
          <w:b/>
          <w:bCs/>
          <w:sz w:val="32"/>
          <w:szCs w:val="32"/>
        </w:rPr>
        <w:t>万元，完成预算</w:t>
      </w:r>
      <w:r>
        <w:rPr>
          <w:rFonts w:eastAsia="仿宋_GB2312" w:cs="仿宋_GB2312"/>
          <w:b/>
          <w:bCs/>
          <w:sz w:val="32"/>
          <w:szCs w:val="32"/>
        </w:rPr>
        <w:t>100</w:t>
      </w:r>
      <w:r>
        <w:rPr>
          <w:rFonts w:hint="eastAsia" w:eastAsia="仿宋_GB2312" w:cs="仿宋_GB2312"/>
          <w:b/>
          <w:bCs/>
          <w:sz w:val="32"/>
          <w:szCs w:val="32"/>
        </w:rPr>
        <w:t>%。</w:t>
      </w:r>
      <w:r>
        <w:rPr>
          <w:rFonts w:hint="eastAsia" w:eastAsia="仿宋_GB2312" w:cs="仿宋_GB2312"/>
          <w:sz w:val="32"/>
          <w:szCs w:val="32"/>
        </w:rPr>
        <w:t>公务接待费支出决算比上年度减少</w:t>
      </w:r>
      <w:r>
        <w:rPr>
          <w:rFonts w:eastAsia="仿宋_GB2312" w:cs="仿宋_GB2312"/>
          <w:sz w:val="32"/>
          <w:szCs w:val="32"/>
        </w:rPr>
        <w:t>0.38</w:t>
      </w:r>
      <w:r>
        <w:rPr>
          <w:rFonts w:hint="eastAsia" w:eastAsia="仿宋_GB2312" w:cs="仿宋_GB2312"/>
          <w:sz w:val="32"/>
          <w:szCs w:val="32"/>
        </w:rPr>
        <w:t>万元，下降</w:t>
      </w:r>
      <w:r>
        <w:rPr>
          <w:rFonts w:eastAsia="仿宋_GB2312" w:cs="仿宋_GB2312"/>
          <w:sz w:val="32"/>
          <w:szCs w:val="32"/>
        </w:rPr>
        <w:t>73.1</w:t>
      </w:r>
      <w:r>
        <w:rPr>
          <w:rFonts w:hint="eastAsia" w:eastAsia="仿宋_GB2312" w:cs="仿宋_GB2312"/>
          <w:sz w:val="32"/>
          <w:szCs w:val="32"/>
        </w:rPr>
        <w:t>%。主要原因是：临时性的</w:t>
      </w:r>
      <w:r>
        <w:rPr>
          <w:rFonts w:eastAsia="仿宋_GB2312" w:cs="仿宋_GB2312"/>
          <w:sz w:val="32"/>
          <w:szCs w:val="32"/>
        </w:rPr>
        <w:t>接待任务</w:t>
      </w:r>
      <w:r>
        <w:rPr>
          <w:rFonts w:hint="eastAsia" w:eastAsia="仿宋_GB2312" w:cs="仿宋_GB2312"/>
          <w:sz w:val="32"/>
          <w:szCs w:val="32"/>
        </w:rPr>
        <w:t>减少。其中：</w:t>
      </w:r>
    </w:p>
    <w:p>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eastAsia="仿宋_GB2312" w:cs="仿宋_GB2312"/>
          <w:sz w:val="32"/>
          <w:szCs w:val="32"/>
        </w:rPr>
        <w:t>:0.14</w:t>
      </w:r>
      <w:r>
        <w:rPr>
          <w:rFonts w:hint="eastAsia" w:eastAsia="仿宋_GB2312" w:cs="仿宋_GB2312"/>
          <w:sz w:val="32"/>
          <w:szCs w:val="32"/>
        </w:rPr>
        <w:t>万元，主要用于临时性的接待</w:t>
      </w:r>
      <w:r>
        <w:rPr>
          <w:rFonts w:eastAsia="仿宋_GB2312" w:cs="仿宋_GB2312"/>
          <w:sz w:val="32"/>
          <w:szCs w:val="32"/>
        </w:rPr>
        <w:t>活动餐费</w:t>
      </w:r>
      <w:r>
        <w:rPr>
          <w:rFonts w:hint="eastAsia" w:eastAsia="仿宋_GB2312" w:cs="仿宋_GB2312"/>
          <w:sz w:val="32"/>
          <w:szCs w:val="32"/>
        </w:rPr>
        <w:t>。国内公务接待</w:t>
      </w:r>
      <w:r>
        <w:rPr>
          <w:rFonts w:eastAsia="仿宋_GB2312" w:cs="仿宋_GB2312"/>
          <w:sz w:val="32"/>
          <w:szCs w:val="32"/>
        </w:rPr>
        <w:t>2</w:t>
      </w:r>
      <w:r>
        <w:rPr>
          <w:rFonts w:hint="eastAsia" w:eastAsia="仿宋_GB2312" w:cs="仿宋_GB2312"/>
          <w:sz w:val="32"/>
          <w:szCs w:val="32"/>
        </w:rPr>
        <w:t>批次，</w:t>
      </w:r>
      <w:r>
        <w:rPr>
          <w:rFonts w:eastAsia="仿宋_GB2312" w:cs="仿宋_GB2312"/>
          <w:sz w:val="32"/>
          <w:szCs w:val="32"/>
        </w:rPr>
        <w:t>9</w:t>
      </w:r>
      <w:r>
        <w:rPr>
          <w:rFonts w:hint="eastAsia" w:eastAsia="仿宋_GB2312" w:cs="仿宋_GB2312"/>
          <w:sz w:val="32"/>
          <w:szCs w:val="32"/>
        </w:rPr>
        <w:t>人次（不包括陪同人员），共计支出</w:t>
      </w:r>
      <w:r>
        <w:rPr>
          <w:rFonts w:eastAsia="仿宋_GB2312" w:cs="仿宋_GB2312"/>
          <w:sz w:val="32"/>
          <w:szCs w:val="32"/>
        </w:rPr>
        <w:t>0.14</w:t>
      </w:r>
      <w:r>
        <w:rPr>
          <w:rFonts w:hint="eastAsia" w:eastAsia="仿宋_GB2312" w:cs="仿宋_GB2312"/>
          <w:sz w:val="32"/>
          <w:szCs w:val="32"/>
        </w:rPr>
        <w:t>万元，具体内容包括：接待省住建厅赴攀枝花市调研督导保交房工作的用餐费951元、接待达州市房地产事务中心赴我中心异地灾备房产交易电子数据安全校验工作的用餐费500元。</w:t>
      </w:r>
    </w:p>
    <w:p>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eastAsia="仿宋_GB2312" w:cs="仿宋_GB2312"/>
          <w:sz w:val="32"/>
          <w:szCs w:val="32"/>
        </w:rPr>
        <w:t>0</w:t>
      </w:r>
      <w:r>
        <w:rPr>
          <w:rFonts w:hint="eastAsia" w:eastAsia="仿宋_GB2312" w:cs="仿宋_GB2312"/>
          <w:sz w:val="32"/>
          <w:szCs w:val="32"/>
        </w:rPr>
        <w:t>万元。外事接待</w:t>
      </w:r>
      <w:r>
        <w:rPr>
          <w:rFonts w:eastAsia="仿宋_GB2312" w:cs="仿宋_GB2312"/>
          <w:sz w:val="32"/>
          <w:szCs w:val="32"/>
        </w:rPr>
        <w:t>0</w:t>
      </w:r>
      <w:r>
        <w:rPr>
          <w:rFonts w:hint="eastAsia" w:eastAsia="仿宋_GB2312" w:cs="仿宋_GB2312"/>
          <w:sz w:val="32"/>
          <w:szCs w:val="32"/>
        </w:rPr>
        <w:t>批次，</w:t>
      </w:r>
      <w:r>
        <w:rPr>
          <w:rFonts w:eastAsia="仿宋_GB2312" w:cs="仿宋_GB2312"/>
          <w:sz w:val="32"/>
          <w:szCs w:val="32"/>
        </w:rPr>
        <w:t>0</w:t>
      </w:r>
      <w:r>
        <w:rPr>
          <w:rFonts w:hint="eastAsia" w:eastAsia="仿宋_GB2312" w:cs="仿宋_GB2312"/>
          <w:sz w:val="32"/>
          <w:szCs w:val="32"/>
        </w:rPr>
        <w:t>人次，共计支出</w:t>
      </w:r>
      <w:r>
        <w:rPr>
          <w:rFonts w:eastAsia="仿宋_GB2312" w:cs="仿宋_GB2312"/>
          <w:sz w:val="32"/>
          <w:szCs w:val="32"/>
        </w:rPr>
        <w:t>0</w:t>
      </w:r>
      <w:r>
        <w:rPr>
          <w:rFonts w:hint="eastAsia" w:eastAsia="仿宋_GB2312" w:cs="仿宋_GB2312"/>
          <w:sz w:val="32"/>
          <w:szCs w:val="32"/>
        </w:rPr>
        <w:t>万元。</w:t>
      </w:r>
      <w:bookmarkStart w:id="49" w:name="_Toc15396610"/>
      <w:bookmarkStart w:id="50" w:name="_Toc15377218"/>
    </w:p>
    <w:p>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49"/>
      <w:bookmarkEnd w:id="50"/>
    </w:p>
    <w:p>
      <w:pPr>
        <w:spacing w:line="600" w:lineRule="exact"/>
        <w:ind w:firstLine="640"/>
        <w:rPr>
          <w:rFonts w:eastAsia="仿宋_GB2312" w:cs="仿宋_GB2312"/>
          <w:b/>
          <w:bCs/>
          <w:sz w:val="32"/>
          <w:szCs w:val="32"/>
        </w:rPr>
      </w:pPr>
      <w:r>
        <w:rPr>
          <w:rFonts w:hint="eastAsia" w:eastAsia="仿宋_GB2312" w:cs="仿宋_GB2312"/>
          <w:sz w:val="32"/>
          <w:szCs w:val="32"/>
        </w:rPr>
        <w:t>2025年度政府性基金预算财政拨款支出</w:t>
      </w:r>
      <w:r>
        <w:rPr>
          <w:rFonts w:eastAsia="仿宋_GB2312" w:cs="仿宋_GB2312"/>
          <w:sz w:val="32"/>
          <w:szCs w:val="32"/>
        </w:rPr>
        <w:t>132</w:t>
      </w:r>
      <w:r>
        <w:rPr>
          <w:rFonts w:hint="eastAsia" w:eastAsia="仿宋_GB2312" w:cs="仿宋_GB2312"/>
          <w:sz w:val="32"/>
          <w:szCs w:val="32"/>
        </w:rPr>
        <w:t>万元，占本年支出合计的</w:t>
      </w:r>
      <w:r>
        <w:rPr>
          <w:rFonts w:eastAsia="仿宋_GB2312" w:cs="仿宋_GB2312"/>
          <w:sz w:val="32"/>
          <w:szCs w:val="32"/>
        </w:rPr>
        <w:t>6</w:t>
      </w:r>
      <w:r>
        <w:rPr>
          <w:rFonts w:hint="eastAsia" w:eastAsia="仿宋_GB2312" w:cs="仿宋_GB2312"/>
          <w:sz w:val="32"/>
          <w:szCs w:val="32"/>
        </w:rPr>
        <w:t>%。与上年度相比，政府性基金预算财政拨款支出增加</w:t>
      </w:r>
      <w:r>
        <w:rPr>
          <w:rFonts w:eastAsia="仿宋_GB2312" w:cs="仿宋_GB2312"/>
          <w:sz w:val="32"/>
          <w:szCs w:val="32"/>
        </w:rPr>
        <w:t>112</w:t>
      </w:r>
      <w:r>
        <w:rPr>
          <w:rFonts w:hint="eastAsia" w:eastAsia="仿宋_GB2312" w:cs="仿宋_GB2312"/>
          <w:sz w:val="32"/>
          <w:szCs w:val="32"/>
        </w:rPr>
        <w:t>万元，增长</w:t>
      </w:r>
      <w:r>
        <w:rPr>
          <w:rFonts w:eastAsia="仿宋_GB2312" w:cs="仿宋_GB2312"/>
          <w:sz w:val="32"/>
          <w:szCs w:val="32"/>
        </w:rPr>
        <w:t>560</w:t>
      </w:r>
      <w:r>
        <w:rPr>
          <w:rFonts w:hint="eastAsia" w:eastAsia="仿宋_GB2312" w:cs="仿宋_GB2312"/>
          <w:sz w:val="32"/>
          <w:szCs w:val="32"/>
        </w:rPr>
        <w:t>%。主要变动原因是：房地产市场</w:t>
      </w:r>
      <w:r>
        <w:rPr>
          <w:rFonts w:eastAsia="仿宋_GB2312" w:cs="仿宋_GB2312"/>
          <w:sz w:val="32"/>
          <w:szCs w:val="32"/>
        </w:rPr>
        <w:t>信息平台建设</w:t>
      </w:r>
      <w:r>
        <w:rPr>
          <w:rFonts w:hint="eastAsia" w:eastAsia="仿宋_GB2312" w:cs="仿宋_GB2312"/>
          <w:sz w:val="32"/>
          <w:szCs w:val="32"/>
        </w:rPr>
        <w:t>费拨付增加</w:t>
      </w:r>
      <w:r>
        <w:rPr>
          <w:rFonts w:eastAsia="仿宋_GB2312" w:cs="仿宋_GB2312"/>
          <w:sz w:val="32"/>
          <w:szCs w:val="32"/>
        </w:rPr>
        <w:t>。</w:t>
      </w:r>
    </w:p>
    <w:p>
      <w:pPr>
        <w:spacing w:line="600" w:lineRule="exact"/>
        <w:ind w:left="630"/>
        <w:outlineLvl w:val="1"/>
        <w:rPr>
          <w:rStyle w:val="29"/>
          <w:rFonts w:ascii="Times New Roman" w:hAnsi="Times New Roman" w:eastAsia="黑体"/>
          <w:b w:val="0"/>
        </w:rPr>
      </w:pPr>
      <w:bookmarkStart w:id="51" w:name="_Toc15396611"/>
      <w:bookmarkStart w:id="52" w:name="_Toc15377219"/>
      <w:r>
        <w:rPr>
          <w:rStyle w:val="29"/>
          <w:rFonts w:hint="eastAsia" w:ascii="Times New Roman" w:hAnsi="Times New Roman" w:eastAsia="黑体"/>
          <w:b w:val="0"/>
        </w:rPr>
        <w:t>九、国有资本经营预算支出决算情况说明</w:t>
      </w:r>
      <w:bookmarkEnd w:id="51"/>
      <w:bookmarkEnd w:id="52"/>
    </w:p>
    <w:p>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eastAsia="仿宋_GB2312" w:cs="仿宋_GB2312"/>
          <w:sz w:val="32"/>
          <w:szCs w:val="32"/>
        </w:rPr>
        <w:t>0</w:t>
      </w:r>
      <w:r>
        <w:rPr>
          <w:rFonts w:hint="eastAsia" w:eastAsia="仿宋_GB2312" w:cs="仿宋_GB2312"/>
          <w:sz w:val="32"/>
          <w:szCs w:val="32"/>
        </w:rPr>
        <w:t>万元，占本年支出合计的</w:t>
      </w:r>
      <w:r>
        <w:rPr>
          <w:rFonts w:eastAsia="仿宋_GB2312" w:cs="仿宋_GB2312"/>
          <w:sz w:val="32"/>
          <w:szCs w:val="32"/>
        </w:rPr>
        <w:t>0</w:t>
      </w:r>
      <w:r>
        <w:rPr>
          <w:rFonts w:hint="eastAsia" w:eastAsia="仿宋_GB2312" w:cs="仿宋_GB2312"/>
          <w:sz w:val="32"/>
          <w:szCs w:val="32"/>
        </w:rPr>
        <w:t>%。与上年度相比，国有资本经营预算财政拨款支出增加</w:t>
      </w:r>
      <w:r>
        <w:rPr>
          <w:rFonts w:eastAsia="仿宋_GB2312" w:cs="仿宋_GB2312"/>
          <w:sz w:val="32"/>
          <w:szCs w:val="32"/>
        </w:rPr>
        <w:t>0</w:t>
      </w:r>
      <w:r>
        <w:rPr>
          <w:rFonts w:hint="eastAsia" w:eastAsia="仿宋_GB2312" w:cs="仿宋_GB2312"/>
          <w:sz w:val="32"/>
          <w:szCs w:val="32"/>
        </w:rPr>
        <w:t>万元，增长</w:t>
      </w:r>
      <w:r>
        <w:rPr>
          <w:rFonts w:eastAsia="仿宋_GB2312" w:cs="仿宋_GB2312"/>
          <w:sz w:val="32"/>
          <w:szCs w:val="32"/>
        </w:rPr>
        <w:t>0</w:t>
      </w:r>
      <w:r>
        <w:rPr>
          <w:rFonts w:hint="eastAsia" w:eastAsia="仿宋_GB2312" w:cs="仿宋_GB2312"/>
          <w:sz w:val="32"/>
          <w:szCs w:val="32"/>
        </w:rPr>
        <w:t>%。</w:t>
      </w:r>
    </w:p>
    <w:p>
      <w:pPr>
        <w:spacing w:line="600" w:lineRule="exact"/>
        <w:ind w:left="630"/>
        <w:outlineLvl w:val="1"/>
        <w:rPr>
          <w:rStyle w:val="29"/>
          <w:rFonts w:ascii="Times New Roman" w:hAnsi="Times New Roman" w:eastAsia="黑体"/>
          <w:b w:val="0"/>
        </w:rPr>
      </w:pPr>
      <w:bookmarkStart w:id="53" w:name="_Toc15396612"/>
      <w:bookmarkStart w:id="54" w:name="_Toc15377221"/>
      <w:r>
        <w:rPr>
          <w:rStyle w:val="29"/>
          <w:rFonts w:hint="eastAsia" w:ascii="Times New Roman" w:hAnsi="Times New Roman" w:eastAsia="黑体"/>
          <w:b w:val="0"/>
        </w:rPr>
        <w:t>十、其他重要事项的情况说明</w:t>
      </w:r>
      <w:bookmarkEnd w:id="53"/>
      <w:bookmarkEnd w:id="54"/>
    </w:p>
    <w:p>
      <w:pPr>
        <w:spacing w:line="600" w:lineRule="exact"/>
        <w:ind w:firstLine="642" w:firstLineChars="200"/>
        <w:outlineLvl w:val="2"/>
        <w:rPr>
          <w:rFonts w:eastAsia="楷体_GB2312" w:cs="楷体_GB2312"/>
          <w:b/>
          <w:sz w:val="32"/>
          <w:szCs w:val="32"/>
        </w:rPr>
      </w:pPr>
      <w:bookmarkStart w:id="55" w:name="_Toc15377222"/>
      <w:r>
        <w:rPr>
          <w:rFonts w:hint="eastAsia" w:eastAsia="楷体_GB2312" w:cs="楷体_GB2312"/>
          <w:b/>
          <w:sz w:val="32"/>
          <w:szCs w:val="32"/>
        </w:rPr>
        <w:t>（一）机关运行经费支出情况</w:t>
      </w:r>
      <w:bookmarkEnd w:id="55"/>
    </w:p>
    <w:p>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攀枝花市房地产事务中心</w:t>
      </w:r>
      <w:r>
        <w:rPr>
          <w:rFonts w:hint="eastAsia" w:eastAsia="仿宋_GB2312" w:cs="仿宋_GB2312"/>
          <w:sz w:val="32"/>
          <w:szCs w:val="32"/>
        </w:rPr>
        <w:t>机关运行经费支出</w:t>
      </w:r>
      <w:r>
        <w:rPr>
          <w:rFonts w:eastAsia="仿宋_GB2312" w:cs="仿宋_GB2312"/>
          <w:sz w:val="32"/>
          <w:szCs w:val="32"/>
        </w:rPr>
        <w:t>135.42</w:t>
      </w:r>
      <w:r>
        <w:rPr>
          <w:rFonts w:hint="eastAsia" w:eastAsia="仿宋_GB2312" w:cs="仿宋_GB2312"/>
          <w:sz w:val="32"/>
          <w:szCs w:val="32"/>
        </w:rPr>
        <w:t>万元，比上年度减少</w:t>
      </w:r>
      <w:r>
        <w:rPr>
          <w:rFonts w:eastAsia="仿宋_GB2312" w:cs="仿宋_GB2312"/>
          <w:sz w:val="32"/>
          <w:szCs w:val="32"/>
        </w:rPr>
        <w:t>5.98</w:t>
      </w:r>
      <w:r>
        <w:rPr>
          <w:rFonts w:hint="eastAsia" w:eastAsia="仿宋_GB2312" w:cs="仿宋_GB2312"/>
          <w:sz w:val="32"/>
          <w:szCs w:val="32"/>
        </w:rPr>
        <w:t>万元，下降</w:t>
      </w:r>
      <w:r>
        <w:rPr>
          <w:rFonts w:eastAsia="仿宋_GB2312" w:cs="仿宋_GB2312"/>
          <w:sz w:val="32"/>
          <w:szCs w:val="32"/>
        </w:rPr>
        <w:t>4.2</w:t>
      </w:r>
      <w:r>
        <w:rPr>
          <w:rFonts w:hint="eastAsia" w:eastAsia="仿宋_GB2312" w:cs="仿宋_GB2312"/>
          <w:sz w:val="32"/>
          <w:szCs w:val="32"/>
        </w:rPr>
        <w:t>%。主要原因是严格控制日常开支。</w:t>
      </w:r>
    </w:p>
    <w:p>
      <w:pPr>
        <w:spacing w:line="600" w:lineRule="exact"/>
        <w:ind w:firstLine="642" w:firstLineChars="200"/>
        <w:outlineLvl w:val="2"/>
        <w:rPr>
          <w:rFonts w:eastAsia="楷体_GB2312" w:cs="楷体_GB2312"/>
          <w:b/>
          <w:sz w:val="32"/>
          <w:szCs w:val="32"/>
        </w:rPr>
      </w:pPr>
      <w:bookmarkStart w:id="56" w:name="_Toc15377223"/>
      <w:r>
        <w:rPr>
          <w:rFonts w:hint="eastAsia" w:eastAsia="楷体_GB2312" w:cs="楷体_GB2312"/>
          <w:b/>
          <w:sz w:val="32"/>
          <w:szCs w:val="32"/>
        </w:rPr>
        <w:t>（二）政府采购支出情况</w:t>
      </w:r>
      <w:bookmarkEnd w:id="56"/>
    </w:p>
    <w:p>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攀枝花市房地产事务中心</w:t>
      </w:r>
      <w:r>
        <w:rPr>
          <w:rFonts w:hint="eastAsia" w:eastAsia="仿宋_GB2312" w:cs="仿宋_GB2312"/>
          <w:sz w:val="32"/>
          <w:szCs w:val="32"/>
        </w:rPr>
        <w:t>政府采购支出总额</w:t>
      </w:r>
      <w:r>
        <w:rPr>
          <w:rFonts w:eastAsia="仿宋_GB2312" w:cs="仿宋_GB2312"/>
          <w:sz w:val="32"/>
          <w:szCs w:val="32"/>
        </w:rPr>
        <w:t>40.09</w:t>
      </w:r>
      <w:r>
        <w:rPr>
          <w:rFonts w:hint="eastAsia" w:eastAsia="仿宋_GB2312" w:cs="仿宋_GB2312"/>
          <w:sz w:val="32"/>
          <w:szCs w:val="32"/>
        </w:rPr>
        <w:t>万元，其中：政府采购货物支出</w:t>
      </w:r>
      <w:r>
        <w:rPr>
          <w:rFonts w:eastAsia="仿宋_GB2312" w:cs="仿宋_GB2312"/>
          <w:sz w:val="32"/>
          <w:szCs w:val="32"/>
        </w:rPr>
        <w:t>0</w:t>
      </w:r>
      <w:r>
        <w:rPr>
          <w:rFonts w:hint="eastAsia" w:eastAsia="仿宋_GB2312" w:cs="仿宋_GB2312"/>
          <w:sz w:val="32"/>
          <w:szCs w:val="32"/>
        </w:rPr>
        <w:t>万元、政府采购工程支出</w:t>
      </w:r>
      <w:r>
        <w:rPr>
          <w:rFonts w:eastAsia="仿宋_GB2312" w:cs="仿宋_GB2312"/>
          <w:sz w:val="32"/>
          <w:szCs w:val="32"/>
        </w:rPr>
        <w:t>0</w:t>
      </w:r>
      <w:r>
        <w:rPr>
          <w:rFonts w:hint="eastAsia" w:eastAsia="仿宋_GB2312" w:cs="仿宋_GB2312"/>
          <w:sz w:val="32"/>
          <w:szCs w:val="32"/>
        </w:rPr>
        <w:t>万元、政府采购服务支出</w:t>
      </w:r>
      <w:r>
        <w:rPr>
          <w:rFonts w:eastAsia="仿宋_GB2312" w:cs="仿宋_GB2312"/>
          <w:sz w:val="32"/>
          <w:szCs w:val="32"/>
        </w:rPr>
        <w:t>40.09</w:t>
      </w:r>
      <w:r>
        <w:rPr>
          <w:rFonts w:hint="eastAsia" w:eastAsia="仿宋_GB2312" w:cs="仿宋_GB2312"/>
          <w:sz w:val="32"/>
          <w:szCs w:val="32"/>
        </w:rPr>
        <w:t>万元。主要用于房地产市场</w:t>
      </w:r>
      <w:r>
        <w:rPr>
          <w:rFonts w:eastAsia="仿宋_GB2312" w:cs="仿宋_GB2312"/>
          <w:sz w:val="32"/>
          <w:szCs w:val="32"/>
        </w:rPr>
        <w:t>信息平台运行维护</w:t>
      </w:r>
      <w:r>
        <w:rPr>
          <w:rFonts w:hint="eastAsia" w:eastAsia="仿宋_GB2312" w:cs="仿宋_GB2312"/>
          <w:sz w:val="32"/>
          <w:szCs w:val="32"/>
        </w:rPr>
        <w:t>。授予中小企业合同金额</w:t>
      </w:r>
      <w:r>
        <w:rPr>
          <w:rFonts w:eastAsia="仿宋_GB2312" w:cs="仿宋_GB2312"/>
          <w:sz w:val="32"/>
          <w:szCs w:val="32"/>
        </w:rPr>
        <w:t>36.42</w:t>
      </w:r>
      <w:r>
        <w:rPr>
          <w:rFonts w:hint="eastAsia" w:eastAsia="仿宋_GB2312" w:cs="仿宋_GB2312"/>
          <w:sz w:val="32"/>
          <w:szCs w:val="32"/>
        </w:rPr>
        <w:t>万元，占政府采购支出总额的</w:t>
      </w:r>
      <w:r>
        <w:rPr>
          <w:rFonts w:eastAsia="仿宋_GB2312" w:cs="仿宋_GB2312"/>
          <w:sz w:val="32"/>
          <w:szCs w:val="32"/>
        </w:rPr>
        <w:t>90.9</w:t>
      </w:r>
      <w:r>
        <w:rPr>
          <w:rFonts w:hint="eastAsia" w:eastAsia="仿宋_GB2312" w:cs="仿宋_GB2312"/>
          <w:sz w:val="32"/>
          <w:szCs w:val="32"/>
        </w:rPr>
        <w:t>%，其中：授予小微企业合同金额</w:t>
      </w:r>
      <w:r>
        <w:rPr>
          <w:rFonts w:eastAsia="仿宋_GB2312" w:cs="仿宋_GB2312"/>
          <w:sz w:val="32"/>
          <w:szCs w:val="32"/>
        </w:rPr>
        <w:t>36.42</w:t>
      </w:r>
      <w:r>
        <w:rPr>
          <w:rFonts w:hint="eastAsia" w:eastAsia="仿宋_GB2312" w:cs="仿宋_GB2312"/>
          <w:sz w:val="32"/>
          <w:szCs w:val="32"/>
        </w:rPr>
        <w:t>万元，占政府采购支出总额的</w:t>
      </w:r>
      <w:r>
        <w:rPr>
          <w:rFonts w:eastAsia="仿宋_GB2312" w:cs="仿宋_GB2312"/>
          <w:sz w:val="32"/>
          <w:szCs w:val="32"/>
        </w:rPr>
        <w:t>90.9</w:t>
      </w:r>
      <w:r>
        <w:rPr>
          <w:rFonts w:hint="eastAsia" w:eastAsia="仿宋_GB2312" w:cs="仿宋_GB2312"/>
          <w:sz w:val="32"/>
          <w:szCs w:val="32"/>
        </w:rPr>
        <w:t>%。</w:t>
      </w:r>
    </w:p>
    <w:p>
      <w:pPr>
        <w:spacing w:line="600" w:lineRule="exact"/>
        <w:ind w:firstLine="642" w:firstLineChars="200"/>
        <w:outlineLvl w:val="2"/>
        <w:rPr>
          <w:rFonts w:eastAsia="楷体_GB2312" w:cs="楷体_GB2312"/>
          <w:b/>
          <w:sz w:val="32"/>
          <w:szCs w:val="32"/>
        </w:rPr>
      </w:pPr>
      <w:bookmarkStart w:id="57" w:name="_Toc15377224"/>
      <w:r>
        <w:rPr>
          <w:rFonts w:hint="eastAsia" w:eastAsia="楷体_GB2312" w:cs="楷体_GB2312"/>
          <w:b/>
          <w:sz w:val="32"/>
          <w:szCs w:val="32"/>
        </w:rPr>
        <w:t>（三）国有资产占有使用情况</w:t>
      </w:r>
      <w:bookmarkEnd w:id="57"/>
    </w:p>
    <w:p>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攀枝花市房地产事务中心</w:t>
      </w:r>
      <w:r>
        <w:rPr>
          <w:rFonts w:hint="eastAsia" w:eastAsia="仿宋_GB2312" w:cs="仿宋_GB2312"/>
          <w:sz w:val="32"/>
          <w:szCs w:val="32"/>
        </w:rPr>
        <w:t>共有车辆</w:t>
      </w:r>
      <w:r>
        <w:rPr>
          <w:rFonts w:eastAsia="仿宋_GB2312" w:cs="仿宋_GB2312"/>
          <w:sz w:val="32"/>
          <w:szCs w:val="32"/>
        </w:rPr>
        <w:t>4</w:t>
      </w:r>
      <w:r>
        <w:rPr>
          <w:rFonts w:hint="eastAsia" w:eastAsia="仿宋_GB2312" w:cs="仿宋_GB2312"/>
          <w:sz w:val="32"/>
          <w:szCs w:val="32"/>
        </w:rPr>
        <w:t>辆，其中：副部（省）级及以上领导用车</w:t>
      </w:r>
      <w:r>
        <w:rPr>
          <w:rFonts w:eastAsia="仿宋_GB2312" w:cs="仿宋_GB2312"/>
          <w:sz w:val="32"/>
          <w:szCs w:val="32"/>
        </w:rPr>
        <w:t>0</w:t>
      </w:r>
      <w:r>
        <w:rPr>
          <w:rFonts w:hint="eastAsia" w:eastAsia="仿宋_GB2312" w:cs="仿宋_GB2312"/>
          <w:sz w:val="32"/>
          <w:szCs w:val="32"/>
        </w:rPr>
        <w:t>辆、主要负责人用车</w:t>
      </w:r>
      <w:r>
        <w:rPr>
          <w:rFonts w:eastAsia="仿宋_GB2312" w:cs="仿宋_GB2312"/>
          <w:sz w:val="32"/>
          <w:szCs w:val="32"/>
        </w:rPr>
        <w:t>0</w:t>
      </w:r>
      <w:r>
        <w:rPr>
          <w:rFonts w:hint="eastAsia" w:eastAsia="仿宋_GB2312" w:cs="仿宋_GB2312"/>
          <w:sz w:val="32"/>
          <w:szCs w:val="32"/>
        </w:rPr>
        <w:t>辆、机要通信用车</w:t>
      </w:r>
      <w:r>
        <w:rPr>
          <w:rFonts w:eastAsia="仿宋_GB2312" w:cs="仿宋_GB2312"/>
          <w:sz w:val="32"/>
          <w:szCs w:val="32"/>
        </w:rPr>
        <w:t>0</w:t>
      </w:r>
      <w:r>
        <w:rPr>
          <w:rFonts w:hint="eastAsia" w:eastAsia="仿宋_GB2312" w:cs="仿宋_GB2312"/>
          <w:sz w:val="32"/>
          <w:szCs w:val="32"/>
        </w:rPr>
        <w:t>辆、应急保障用车</w:t>
      </w:r>
      <w:r>
        <w:rPr>
          <w:rFonts w:eastAsia="仿宋_GB2312" w:cs="仿宋_GB2312"/>
          <w:sz w:val="32"/>
          <w:szCs w:val="32"/>
        </w:rPr>
        <w:t>0</w:t>
      </w:r>
      <w:r>
        <w:rPr>
          <w:rFonts w:hint="eastAsia" w:eastAsia="仿宋_GB2312" w:cs="仿宋_GB2312"/>
          <w:sz w:val="32"/>
          <w:szCs w:val="32"/>
        </w:rPr>
        <w:t>辆、执法执勤用车</w:t>
      </w:r>
      <w:r>
        <w:rPr>
          <w:rFonts w:eastAsia="仿宋_GB2312" w:cs="仿宋_GB2312"/>
          <w:sz w:val="32"/>
          <w:szCs w:val="32"/>
        </w:rPr>
        <w:t>0</w:t>
      </w:r>
      <w:r>
        <w:rPr>
          <w:rFonts w:hint="eastAsia" w:eastAsia="仿宋_GB2312" w:cs="仿宋_GB2312"/>
          <w:sz w:val="32"/>
          <w:szCs w:val="32"/>
        </w:rPr>
        <w:t>辆、特种专业技术用车</w:t>
      </w:r>
      <w:r>
        <w:rPr>
          <w:rFonts w:eastAsia="仿宋_GB2312" w:cs="仿宋_GB2312"/>
          <w:sz w:val="32"/>
          <w:szCs w:val="32"/>
        </w:rPr>
        <w:t>1</w:t>
      </w:r>
      <w:r>
        <w:rPr>
          <w:rFonts w:hint="eastAsia" w:eastAsia="仿宋_GB2312" w:cs="仿宋_GB2312"/>
          <w:sz w:val="32"/>
          <w:szCs w:val="32"/>
        </w:rPr>
        <w:t>辆、离退休干部服务用车</w:t>
      </w:r>
      <w:r>
        <w:rPr>
          <w:rFonts w:eastAsia="仿宋_GB2312" w:cs="仿宋_GB2312"/>
          <w:sz w:val="32"/>
          <w:szCs w:val="32"/>
        </w:rPr>
        <w:t>0</w:t>
      </w:r>
      <w:r>
        <w:rPr>
          <w:rFonts w:hint="eastAsia" w:eastAsia="仿宋_GB2312" w:cs="仿宋_GB2312"/>
          <w:sz w:val="32"/>
          <w:szCs w:val="32"/>
        </w:rPr>
        <w:t>辆、其他用车</w:t>
      </w:r>
      <w:r>
        <w:rPr>
          <w:rFonts w:eastAsia="仿宋_GB2312" w:cs="仿宋_GB2312"/>
          <w:sz w:val="32"/>
          <w:szCs w:val="32"/>
        </w:rPr>
        <w:t>3</w:t>
      </w:r>
      <w:r>
        <w:rPr>
          <w:rFonts w:hint="eastAsia" w:eastAsia="仿宋_GB2312" w:cs="仿宋_GB2312"/>
          <w:sz w:val="32"/>
          <w:szCs w:val="32"/>
        </w:rPr>
        <w:t>辆，其他用车主要是用于</w:t>
      </w:r>
      <w:r>
        <w:rPr>
          <w:rFonts w:hint="eastAsia" w:ascii="仿宋_GB2312" w:eastAsia="仿宋_GB2312"/>
          <w:sz w:val="32"/>
          <w:szCs w:val="32"/>
        </w:rPr>
        <w:t>白蚁防治施工、</w:t>
      </w:r>
      <w:r>
        <w:rPr>
          <w:rFonts w:ascii="仿宋_GB2312" w:eastAsia="仿宋_GB2312"/>
          <w:sz w:val="32"/>
          <w:szCs w:val="32"/>
        </w:rPr>
        <w:t>公房维修、维修基金拨付现场勘查</w:t>
      </w:r>
      <w:r>
        <w:rPr>
          <w:rFonts w:hint="eastAsia" w:ascii="仿宋_GB2312" w:eastAsia="仿宋_GB2312"/>
          <w:sz w:val="32"/>
          <w:szCs w:val="32"/>
        </w:rPr>
        <w:t>等</w:t>
      </w:r>
      <w:r>
        <w:rPr>
          <w:rFonts w:hint="eastAsia" w:eastAsia="仿宋_GB2312" w:cs="仿宋_GB2312"/>
          <w:sz w:val="32"/>
          <w:szCs w:val="32"/>
        </w:rPr>
        <w:t>。单价100万元（含）以上设备（不含车辆）</w:t>
      </w:r>
      <w:r>
        <w:rPr>
          <w:rFonts w:eastAsia="仿宋_GB2312" w:cs="仿宋_GB2312"/>
          <w:sz w:val="32"/>
          <w:szCs w:val="32"/>
        </w:rPr>
        <w:t>0</w:t>
      </w:r>
      <w:r>
        <w:rPr>
          <w:rFonts w:hint="eastAsia" w:eastAsia="仿宋_GB2312" w:cs="仿宋_GB2312"/>
          <w:sz w:val="32"/>
          <w:szCs w:val="32"/>
        </w:rPr>
        <w:t>台（套）。</w:t>
      </w: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ascii="仿宋_GB2312" w:hAnsi="仿宋_GB2312" w:eastAsia="仿宋_GB2312" w:cs="仿宋_GB2312"/>
          <w:sz w:val="32"/>
          <w:szCs w:val="32"/>
        </w:rPr>
        <w:t>攀枝花市房地产事务中心</w:t>
      </w:r>
      <w:r>
        <w:rPr>
          <w:rFonts w:hint="eastAsia" w:eastAsia="仿宋_GB2312" w:cs="仿宋_GB2312"/>
          <w:sz w:val="32"/>
          <w:szCs w:val="32"/>
        </w:rPr>
        <w:t>在2025年度，组织对白蚁防治管理资金等</w:t>
      </w:r>
      <w:r>
        <w:rPr>
          <w:rFonts w:eastAsia="仿宋_GB2312" w:cs="仿宋_GB2312"/>
          <w:sz w:val="32"/>
          <w:szCs w:val="32"/>
        </w:rPr>
        <w:t>9</w:t>
      </w:r>
      <w:r>
        <w:rPr>
          <w:rFonts w:hint="eastAsia" w:eastAsia="仿宋_GB2312" w:cs="仿宋_GB2312"/>
          <w:sz w:val="32"/>
          <w:szCs w:val="32"/>
        </w:rPr>
        <w:t>个项目涉及金额</w:t>
      </w:r>
      <w:r>
        <w:rPr>
          <w:rFonts w:eastAsia="仿宋_GB2312" w:cs="仿宋_GB2312"/>
          <w:sz w:val="32"/>
          <w:szCs w:val="32"/>
        </w:rPr>
        <w:t>283.14</w:t>
      </w:r>
      <w:r>
        <w:rPr>
          <w:rFonts w:hint="eastAsia" w:eastAsia="仿宋_GB2312" w:cs="仿宋_GB2312"/>
          <w:sz w:val="32"/>
          <w:szCs w:val="32"/>
        </w:rPr>
        <w:t>万元开展了事前绩效评估，对</w:t>
      </w:r>
      <w:r>
        <w:rPr>
          <w:rFonts w:eastAsia="仿宋_GB2312" w:cs="仿宋_GB2312"/>
          <w:sz w:val="32"/>
          <w:szCs w:val="32"/>
        </w:rPr>
        <w:t>9</w:t>
      </w:r>
      <w:r>
        <w:rPr>
          <w:rFonts w:hint="eastAsia" w:eastAsia="仿宋_GB2312" w:cs="仿宋_GB2312"/>
          <w:sz w:val="32"/>
          <w:szCs w:val="32"/>
        </w:rPr>
        <w:t>个项目编制了绩效目标，预算执行过程中，选取</w:t>
      </w:r>
      <w:r>
        <w:rPr>
          <w:rFonts w:eastAsia="仿宋_GB2312" w:cs="仿宋_GB2312"/>
          <w:sz w:val="32"/>
          <w:szCs w:val="32"/>
        </w:rPr>
        <w:t>9</w:t>
      </w:r>
      <w:r>
        <w:rPr>
          <w:rFonts w:hint="eastAsia" w:eastAsia="仿宋_GB2312" w:cs="仿宋_GB2312"/>
          <w:sz w:val="32"/>
          <w:szCs w:val="32"/>
        </w:rPr>
        <w:t>个项目开展绩效监控。</w:t>
      </w:r>
    </w:p>
    <w:p>
      <w:pPr>
        <w:spacing w:line="600" w:lineRule="exact"/>
        <w:ind w:firstLine="640"/>
        <w:rPr>
          <w:rFonts w:eastAsia="仿宋_GB2312" w:cs="仿宋_GB2312"/>
          <w:sz w:val="32"/>
          <w:szCs w:val="32"/>
        </w:rPr>
      </w:pPr>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
      <w:pPr>
        <w:pStyle w:val="13"/>
      </w:pPr>
    </w:p>
    <w:p>
      <w:pPr>
        <w:pStyle w:val="7"/>
        <w:ind w:left="420"/>
      </w:pPr>
    </w:p>
    <w:p>
      <w:pPr>
        <w:spacing w:line="600" w:lineRule="exact"/>
        <w:jc w:val="center"/>
        <w:outlineLvl w:val="0"/>
        <w:rPr>
          <w:rFonts w:hint="eastAsia" w:eastAsia="黑体"/>
          <w:sz w:val="44"/>
          <w:szCs w:val="44"/>
        </w:rPr>
      </w:pPr>
      <w:bookmarkStart w:id="58" w:name="_Toc15377225"/>
      <w:bookmarkStart w:id="59" w:name="_Toc15396613"/>
    </w:p>
    <w:p>
      <w:pPr>
        <w:spacing w:line="600" w:lineRule="exact"/>
        <w:jc w:val="center"/>
        <w:outlineLvl w:val="0"/>
        <w:rPr>
          <w:rFonts w:eastAsia="黑体"/>
          <w:sz w:val="44"/>
          <w:szCs w:val="44"/>
        </w:rPr>
      </w:pPr>
      <w:r>
        <w:rPr>
          <w:rFonts w:hint="eastAsia" w:eastAsia="黑体"/>
          <w:sz w:val="44"/>
          <w:szCs w:val="44"/>
        </w:rPr>
        <w:t>第三部分  名词解释</w:t>
      </w:r>
      <w:bookmarkEnd w:id="58"/>
      <w:bookmarkEnd w:id="59"/>
    </w:p>
    <w:p>
      <w:pPr>
        <w:spacing w:line="600" w:lineRule="exact"/>
        <w:jc w:val="left"/>
        <w:rPr>
          <w:b/>
          <w:sz w:val="44"/>
          <w:szCs w:val="44"/>
        </w:rPr>
      </w:pPr>
    </w:p>
    <w:p>
      <w:pPr>
        <w:autoSpaceDE w:val="0"/>
        <w:autoSpaceDN w:val="0"/>
        <w:adjustRightInd w:val="0"/>
        <w:spacing w:line="560" w:lineRule="exact"/>
        <w:ind w:firstLine="640" w:firstLineChars="200"/>
        <w:jc w:val="left"/>
        <w:rPr>
          <w:rFonts w:eastAsia="仿宋_GB2312" w:cs="仿宋_GB2312"/>
          <w:sz w:val="32"/>
          <w:szCs w:val="32"/>
        </w:rPr>
      </w:pPr>
      <w:bookmarkStart w:id="60" w:name="_Toc15396614"/>
      <w:bookmarkStart w:id="61" w:name="_Toc15377226"/>
      <w:r>
        <w:rPr>
          <w:rFonts w:eastAsia="仿宋_GB2312" w:cs="仿宋_GB2312"/>
          <w:sz w:val="32"/>
          <w:szCs w:val="32"/>
        </w:rPr>
        <w:t>1.</w:t>
      </w:r>
      <w:r>
        <w:rPr>
          <w:rFonts w:hint="eastAsia" w:eastAsia="仿宋_GB2312" w:cs="仿宋_GB2312"/>
          <w:sz w:val="32"/>
          <w:szCs w:val="32"/>
        </w:rPr>
        <w:t>财政拨款收入：指单位从同级财政部门取得的财政预算资金。</w:t>
      </w:r>
    </w:p>
    <w:p>
      <w:pPr>
        <w:spacing w:before="93" w:beforeLines="30"/>
        <w:ind w:firstLine="640" w:firstLineChars="200"/>
        <w:rPr>
          <w:rFonts w:eastAsia="仿宋_GB2312" w:cs="仿宋_GB2312"/>
          <w:sz w:val="32"/>
          <w:szCs w:val="32"/>
        </w:rPr>
      </w:pPr>
      <w:r>
        <w:rPr>
          <w:rFonts w:eastAsia="仿宋_GB2312" w:cs="仿宋_GB2312"/>
          <w:sz w:val="32"/>
          <w:szCs w:val="32"/>
        </w:rPr>
        <w:t>2.</w:t>
      </w:r>
      <w:r>
        <w:rPr>
          <w:rFonts w:hint="eastAsia" w:eastAsia="仿宋_GB2312" w:cs="仿宋_GB2312"/>
          <w:sz w:val="32"/>
          <w:szCs w:val="32"/>
        </w:rPr>
        <w:t>社会保障和就业（类）行政事业单位养老</w:t>
      </w:r>
      <w:r>
        <w:rPr>
          <w:rFonts w:eastAsia="仿宋_GB2312" w:cs="仿宋_GB2312"/>
          <w:sz w:val="32"/>
          <w:szCs w:val="32"/>
        </w:rPr>
        <w:t>支出</w:t>
      </w:r>
      <w:r>
        <w:rPr>
          <w:rFonts w:hint="eastAsia" w:eastAsia="仿宋_GB2312" w:cs="仿宋_GB2312"/>
          <w:sz w:val="32"/>
          <w:szCs w:val="32"/>
        </w:rPr>
        <w:t>（款）行政单位离退休（项）指行政单位</w:t>
      </w:r>
      <w:r>
        <w:rPr>
          <w:rFonts w:eastAsia="仿宋_GB2312" w:cs="仿宋_GB2312"/>
          <w:sz w:val="32"/>
          <w:szCs w:val="32"/>
        </w:rPr>
        <w:t>离退休人员支出</w:t>
      </w:r>
      <w:r>
        <w:rPr>
          <w:rFonts w:hint="eastAsia" w:eastAsia="仿宋_GB2312" w:cs="仿宋_GB2312"/>
          <w:sz w:val="32"/>
          <w:szCs w:val="32"/>
        </w:rPr>
        <w:t>。</w:t>
      </w:r>
    </w:p>
    <w:p>
      <w:pPr>
        <w:spacing w:before="93" w:beforeLines="30"/>
        <w:ind w:firstLine="640" w:firstLineChars="200"/>
        <w:rPr>
          <w:rFonts w:eastAsia="仿宋_GB2312" w:cs="仿宋_GB2312"/>
          <w:sz w:val="32"/>
          <w:szCs w:val="32"/>
        </w:rPr>
      </w:pPr>
      <w:r>
        <w:rPr>
          <w:rFonts w:eastAsia="仿宋_GB2312" w:cs="仿宋_GB2312"/>
          <w:sz w:val="32"/>
          <w:szCs w:val="32"/>
        </w:rPr>
        <w:t>3.</w:t>
      </w:r>
      <w:r>
        <w:rPr>
          <w:rFonts w:hint="eastAsia" w:eastAsia="仿宋_GB2312" w:cs="仿宋_GB2312"/>
          <w:sz w:val="32"/>
          <w:szCs w:val="32"/>
        </w:rPr>
        <w:t>社会保障和就业（类）行政事业单位养老</w:t>
      </w:r>
      <w:r>
        <w:rPr>
          <w:rFonts w:eastAsia="仿宋_GB2312" w:cs="仿宋_GB2312"/>
          <w:sz w:val="32"/>
          <w:szCs w:val="32"/>
        </w:rPr>
        <w:t>支出</w:t>
      </w:r>
      <w:r>
        <w:rPr>
          <w:rFonts w:hint="eastAsia" w:eastAsia="仿宋_GB2312" w:cs="仿宋_GB2312"/>
          <w:sz w:val="32"/>
          <w:szCs w:val="32"/>
        </w:rPr>
        <w:t>（款）事业单位离退休（项）指</w:t>
      </w:r>
      <w:r>
        <w:rPr>
          <w:rFonts w:eastAsia="仿宋_GB2312" w:cs="仿宋_GB2312"/>
          <w:sz w:val="32"/>
          <w:szCs w:val="32"/>
        </w:rPr>
        <w:t>事业单位离退休人员支出</w:t>
      </w:r>
      <w:r>
        <w:rPr>
          <w:rFonts w:hint="eastAsia" w:eastAsia="仿宋_GB2312" w:cs="仿宋_GB2312"/>
          <w:sz w:val="32"/>
          <w:szCs w:val="32"/>
        </w:rPr>
        <w:t>。</w:t>
      </w:r>
    </w:p>
    <w:p>
      <w:pPr>
        <w:spacing w:line="600" w:lineRule="exact"/>
        <w:ind w:firstLine="640" w:firstLineChars="200"/>
        <w:rPr>
          <w:rFonts w:eastAsia="仿宋_GB2312" w:cs="仿宋_GB2312"/>
          <w:sz w:val="32"/>
          <w:szCs w:val="32"/>
        </w:rPr>
      </w:pPr>
      <w:r>
        <w:rPr>
          <w:rFonts w:eastAsia="仿宋_GB2312" w:cs="仿宋_GB2312"/>
          <w:sz w:val="32"/>
          <w:szCs w:val="32"/>
        </w:rPr>
        <w:t>4.</w:t>
      </w:r>
      <w:r>
        <w:rPr>
          <w:rFonts w:hint="eastAsia" w:eastAsia="仿宋_GB2312" w:cs="仿宋_GB2312"/>
          <w:sz w:val="32"/>
          <w:szCs w:val="32"/>
        </w:rPr>
        <w:t>社会保障和就业（类）行政事业单位养老</w:t>
      </w:r>
      <w:r>
        <w:rPr>
          <w:rFonts w:eastAsia="仿宋_GB2312" w:cs="仿宋_GB2312"/>
          <w:sz w:val="32"/>
          <w:szCs w:val="32"/>
        </w:rPr>
        <w:t>支出</w:t>
      </w:r>
      <w:r>
        <w:rPr>
          <w:rFonts w:hint="eastAsia" w:eastAsia="仿宋_GB2312" w:cs="仿宋_GB2312"/>
          <w:sz w:val="32"/>
          <w:szCs w:val="32"/>
        </w:rPr>
        <w:t>（款）  机关事业单位基本养老保险缴费支出（项）指用于支付机关事业单位基本养老保险费用的支出。</w:t>
      </w:r>
    </w:p>
    <w:p>
      <w:pPr>
        <w:spacing w:line="600" w:lineRule="exact"/>
        <w:ind w:firstLine="640" w:firstLineChars="200"/>
        <w:rPr>
          <w:rFonts w:eastAsia="仿宋_GB2312" w:cs="仿宋_GB2312"/>
          <w:sz w:val="32"/>
          <w:szCs w:val="32"/>
        </w:rPr>
      </w:pPr>
      <w:r>
        <w:rPr>
          <w:rFonts w:eastAsia="仿宋_GB2312" w:cs="仿宋_GB2312"/>
          <w:sz w:val="32"/>
          <w:szCs w:val="32"/>
        </w:rPr>
        <w:t>5.</w:t>
      </w:r>
      <w:r>
        <w:rPr>
          <w:rFonts w:hint="eastAsia" w:eastAsia="仿宋_GB2312" w:cs="仿宋_GB2312"/>
          <w:sz w:val="32"/>
          <w:szCs w:val="32"/>
        </w:rPr>
        <w:t>城乡社区支出（类）城乡社区管理事务（款）行政运行（项）指用于支付行政人员的人员及基本公用的支出。</w:t>
      </w:r>
    </w:p>
    <w:p>
      <w:pPr>
        <w:spacing w:line="600" w:lineRule="exact"/>
        <w:ind w:firstLine="640" w:firstLineChars="200"/>
        <w:rPr>
          <w:rFonts w:eastAsia="仿宋_GB2312" w:cs="仿宋_GB2312"/>
          <w:sz w:val="32"/>
          <w:szCs w:val="32"/>
        </w:rPr>
      </w:pPr>
      <w:r>
        <w:rPr>
          <w:rFonts w:eastAsia="仿宋_GB2312" w:cs="仿宋_GB2312"/>
          <w:sz w:val="32"/>
          <w:szCs w:val="32"/>
        </w:rPr>
        <w:t>6.</w:t>
      </w:r>
      <w:r>
        <w:rPr>
          <w:rFonts w:hint="eastAsia" w:eastAsia="仿宋_GB2312" w:cs="仿宋_GB2312"/>
          <w:sz w:val="32"/>
          <w:szCs w:val="32"/>
        </w:rPr>
        <w:t>城乡社区支出（类）城乡社区管理事务（款）其他城乡</w:t>
      </w:r>
      <w:r>
        <w:rPr>
          <w:rFonts w:eastAsia="仿宋_GB2312" w:cs="仿宋_GB2312"/>
          <w:sz w:val="32"/>
          <w:szCs w:val="32"/>
        </w:rPr>
        <w:t>社区管理事务支出</w:t>
      </w:r>
      <w:r>
        <w:rPr>
          <w:rFonts w:hint="eastAsia" w:eastAsia="仿宋_GB2312" w:cs="仿宋_GB2312"/>
          <w:sz w:val="32"/>
          <w:szCs w:val="32"/>
        </w:rPr>
        <w:t>（项）指用于支付事业人员的人员及基本公用的支出。</w:t>
      </w:r>
    </w:p>
    <w:p>
      <w:pPr>
        <w:spacing w:line="600" w:lineRule="exact"/>
        <w:ind w:firstLine="640" w:firstLineChars="200"/>
        <w:rPr>
          <w:rFonts w:eastAsia="仿宋_GB2312" w:cs="仿宋_GB2312"/>
          <w:sz w:val="32"/>
          <w:szCs w:val="32"/>
        </w:rPr>
      </w:pPr>
      <w:r>
        <w:rPr>
          <w:rFonts w:eastAsia="仿宋_GB2312" w:cs="仿宋_GB2312"/>
          <w:sz w:val="32"/>
          <w:szCs w:val="32"/>
        </w:rPr>
        <w:t>7.</w:t>
      </w:r>
      <w:r>
        <w:rPr>
          <w:rFonts w:hint="eastAsia" w:eastAsia="仿宋_GB2312" w:cs="仿宋_GB2312"/>
          <w:sz w:val="32"/>
          <w:szCs w:val="32"/>
        </w:rPr>
        <w:t>住房保障支出（类）住房改革支出（款）住房公积金（项）</w:t>
      </w:r>
      <w:r>
        <w:rPr>
          <w:rFonts w:eastAsia="仿宋_GB2312" w:cs="仿宋_GB2312"/>
          <w:sz w:val="32"/>
          <w:szCs w:val="32"/>
        </w:rPr>
        <w:t xml:space="preserve">: </w:t>
      </w:r>
      <w:r>
        <w:rPr>
          <w:rFonts w:hint="eastAsia" w:eastAsia="仿宋_GB2312" w:cs="仿宋_GB2312"/>
          <w:sz w:val="32"/>
          <w:szCs w:val="32"/>
        </w:rPr>
        <w:t>指用于支付住房公积金的支出</w:t>
      </w:r>
    </w:p>
    <w:p>
      <w:pPr>
        <w:autoSpaceDE w:val="0"/>
        <w:autoSpaceDN w:val="0"/>
        <w:adjustRightInd w:val="0"/>
        <w:spacing w:line="560" w:lineRule="exact"/>
        <w:ind w:firstLine="640" w:firstLineChars="200"/>
        <w:jc w:val="left"/>
        <w:rPr>
          <w:rFonts w:eastAsia="仿宋_GB2312" w:cs="仿宋_GB2312"/>
          <w:sz w:val="32"/>
          <w:szCs w:val="32"/>
        </w:rPr>
      </w:pPr>
      <w:r>
        <w:rPr>
          <w:rFonts w:eastAsia="仿宋_GB2312" w:cs="仿宋_GB2312"/>
          <w:sz w:val="32"/>
          <w:szCs w:val="32"/>
        </w:rPr>
        <w:t>8.</w:t>
      </w:r>
      <w:r>
        <w:rPr>
          <w:rFonts w:hint="eastAsia" w:eastAsia="仿宋_GB2312" w:cs="仿宋_GB2312"/>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autoSpaceDE w:val="0"/>
        <w:autoSpaceDN w:val="0"/>
        <w:adjustRightInd w:val="0"/>
        <w:spacing w:line="560" w:lineRule="exact"/>
        <w:ind w:firstLine="640" w:firstLineChars="200"/>
        <w:jc w:val="left"/>
        <w:rPr>
          <w:rFonts w:eastAsia="仿宋_GB2312" w:cs="仿宋_GB2312"/>
          <w:sz w:val="32"/>
          <w:szCs w:val="32"/>
        </w:rPr>
      </w:pPr>
      <w:r>
        <w:rPr>
          <w:rFonts w:eastAsia="仿宋_GB2312" w:cs="仿宋_GB2312"/>
          <w:sz w:val="32"/>
          <w:szCs w:val="32"/>
        </w:rPr>
        <w:t>9.</w:t>
      </w:r>
      <w:r>
        <w:rPr>
          <w:rFonts w:hint="eastAsia" w:eastAsia="仿宋_GB2312" w:cs="仿宋_GB2312"/>
          <w:sz w:val="32"/>
          <w:szCs w:val="32"/>
        </w:rPr>
        <w:t>机关运行经费：为保障行政单位（含参照公务员法管理的事业单位）运行用于购买货物和服务的各项资金，包括办公及邮电费、差旅费、会议费、福利费、办公用房水电费、公务用车运行维护费以及其他费用。</w:t>
      </w:r>
    </w:p>
    <w:p>
      <w:pPr>
        <w:ind w:firstLine="640" w:firstLineChars="200"/>
        <w:rPr>
          <w:rFonts w:eastAsia="仿宋_GB2312" w:cs="仿宋_GB2312"/>
          <w:sz w:val="32"/>
          <w:szCs w:val="32"/>
        </w:rPr>
      </w:pPr>
      <w:r>
        <w:rPr>
          <w:rFonts w:eastAsia="仿宋_GB2312" w:cs="仿宋_GB2312"/>
          <w:sz w:val="32"/>
          <w:szCs w:val="32"/>
        </w:rPr>
        <w:t>10.</w:t>
      </w:r>
      <w:r>
        <w:rPr>
          <w:rFonts w:hint="eastAsia" w:eastAsia="仿宋_GB2312" w:cs="仿宋_GB2312"/>
          <w:sz w:val="32"/>
          <w:szCs w:val="32"/>
        </w:rPr>
        <w:t>基本支出：指为保障机构正常运转、完成日常工作任务而发生的人员支出和公用支出。</w:t>
      </w:r>
    </w:p>
    <w:p>
      <w:pPr>
        <w:ind w:firstLine="640" w:firstLineChars="200"/>
        <w:rPr>
          <w:rFonts w:eastAsia="仿宋_GB2312" w:cs="仿宋_GB2312"/>
          <w:sz w:val="32"/>
          <w:szCs w:val="32"/>
        </w:rPr>
      </w:pPr>
      <w:r>
        <w:rPr>
          <w:rFonts w:eastAsia="仿宋_GB2312" w:cs="仿宋_GB2312"/>
          <w:sz w:val="32"/>
          <w:szCs w:val="32"/>
        </w:rPr>
        <w:t>11.</w:t>
      </w:r>
      <w:r>
        <w:rPr>
          <w:rFonts w:hint="eastAsia" w:eastAsia="仿宋_GB2312" w:cs="仿宋_GB2312"/>
          <w:sz w:val="32"/>
          <w:szCs w:val="32"/>
        </w:rPr>
        <w:t>项目支出：指在基本支出之外为完成特定行政任务和事业发展目标所发生的支出。</w:t>
      </w:r>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
      <w:pPr>
        <w:pStyle w:val="13"/>
      </w:pPr>
    </w:p>
    <w:p>
      <w:pPr>
        <w:pStyle w:val="7"/>
        <w:ind w:left="420"/>
      </w:pPr>
    </w:p>
    <w:p>
      <w:pPr>
        <w:spacing w:line="600" w:lineRule="exact"/>
        <w:jc w:val="center"/>
        <w:rPr>
          <w:rFonts w:eastAsia="黑体"/>
          <w:bCs/>
          <w:kern w:val="44"/>
          <w:sz w:val="44"/>
          <w:szCs w:val="44"/>
        </w:rPr>
      </w:pPr>
      <w:r>
        <w:rPr>
          <w:rFonts w:hint="eastAsia" w:eastAsia="黑体"/>
          <w:sz w:val="44"/>
          <w:szCs w:val="44"/>
        </w:rPr>
        <w:t>第四部分  附件</w:t>
      </w:r>
      <w:bookmarkEnd w:id="60"/>
    </w:p>
    <w:p>
      <w:pPr>
        <w:spacing w:line="572" w:lineRule="exact"/>
        <w:jc w:val="left"/>
        <w:outlineLvl w:val="0"/>
        <w:rPr>
          <w:rFonts w:hint="eastAsia" w:eastAsia="仿宋_GB2312" w:cs="仿宋_GB2312"/>
          <w:sz w:val="32"/>
          <w:szCs w:val="32"/>
          <w:lang w:val="en-US" w:eastAsia="zh-CN"/>
        </w:rPr>
      </w:pPr>
      <w:bookmarkStart w:id="62" w:name="_Toc15396618"/>
      <w:r>
        <w:rPr>
          <w:rFonts w:hint="eastAsia" w:eastAsia="仿宋_GB2312" w:cs="仿宋_GB2312"/>
          <w:sz w:val="32"/>
          <w:szCs w:val="32"/>
        </w:rPr>
        <w:t>部门预算项目支出</w:t>
      </w:r>
      <w:r>
        <w:rPr>
          <w:rFonts w:eastAsia="仿宋_GB2312" w:cs="仿宋_GB2312"/>
          <w:sz w:val="32"/>
          <w:szCs w:val="32"/>
        </w:rPr>
        <w:t>绩效自评表（</w:t>
      </w:r>
      <w:r>
        <w:rPr>
          <w:rFonts w:hint="eastAsia" w:eastAsia="仿宋_GB2312" w:cs="仿宋_GB2312"/>
          <w:sz w:val="32"/>
          <w:szCs w:val="32"/>
        </w:rPr>
        <w:t>202</w:t>
      </w:r>
      <w:r>
        <w:rPr>
          <w:rFonts w:eastAsia="仿宋_GB2312" w:cs="仿宋_GB2312"/>
          <w:sz w:val="32"/>
          <w:szCs w:val="32"/>
        </w:rPr>
        <w:t>5</w:t>
      </w:r>
      <w:r>
        <w:rPr>
          <w:rFonts w:hint="eastAsia" w:eastAsia="仿宋_GB2312" w:cs="仿宋_GB2312"/>
          <w:sz w:val="32"/>
          <w:szCs w:val="32"/>
        </w:rPr>
        <w:t>年度</w:t>
      </w:r>
      <w:r>
        <w:rPr>
          <w:rFonts w:eastAsia="仿宋_GB2312" w:cs="仿宋_GB2312"/>
          <w:sz w:val="32"/>
          <w:szCs w:val="32"/>
        </w:rPr>
        <w:t>）</w:t>
      </w:r>
      <w:r>
        <w:rPr>
          <w:rFonts w:hint="eastAsia" w:eastAsia="仿宋_GB2312" w:cs="仿宋_GB2312"/>
          <w:sz w:val="32"/>
          <w:szCs w:val="32"/>
        </w:rPr>
        <w:t>见</w:t>
      </w:r>
      <w:r>
        <w:rPr>
          <w:rFonts w:eastAsia="仿宋_GB2312" w:cs="仿宋_GB2312"/>
          <w:sz w:val="32"/>
          <w:szCs w:val="32"/>
        </w:rPr>
        <w:t>附件</w:t>
      </w:r>
      <w:r>
        <w:rPr>
          <w:rFonts w:hint="eastAsia" w:eastAsia="仿宋_GB2312" w:cs="仿宋_GB2312"/>
          <w:sz w:val="32"/>
          <w:szCs w:val="32"/>
          <w:lang w:val="en-US" w:eastAsia="zh-CN"/>
        </w:rPr>
        <w:t>3</w:t>
      </w:r>
    </w:p>
    <w:p>
      <w:pPr>
        <w:spacing w:line="578" w:lineRule="exact"/>
        <w:ind w:firstLine="640"/>
        <w:rPr>
          <w:rFonts w:eastAsia="仿宋_GB2312" w:cs="仿宋_GB2312"/>
          <w:kern w:val="0"/>
          <w:sz w:val="32"/>
          <w:szCs w:val="32"/>
        </w:rPr>
      </w:pPr>
      <w:r>
        <w:rPr>
          <w:rFonts w:hint="eastAsia" w:eastAsia="仿宋_GB2312" w:cs="仿宋_GB2312"/>
          <w:kern w:val="0"/>
          <w:sz w:val="32"/>
          <w:szCs w:val="32"/>
        </w:rPr>
        <w:br w:type="page"/>
      </w:r>
    </w:p>
    <w:p>
      <w:pPr>
        <w:widowControl/>
        <w:jc w:val="center"/>
        <w:rPr>
          <w:rFonts w:eastAsia="仿宋"/>
        </w:rPr>
      </w:pPr>
      <w:r>
        <w:rPr>
          <w:rFonts w:hint="eastAsia" w:eastAsia="黑体"/>
          <w:sz w:val="44"/>
          <w:szCs w:val="44"/>
        </w:rPr>
        <w:t>第</w:t>
      </w:r>
      <w:r>
        <w:rPr>
          <w:rStyle w:val="28"/>
          <w:rFonts w:hint="eastAsia" w:eastAsia="黑体"/>
          <w:b w:val="0"/>
        </w:rPr>
        <w:t>五部分 附表</w:t>
      </w:r>
      <w:bookmarkEnd w:id="61"/>
      <w:bookmarkEnd w:id="62"/>
      <w:bookmarkStart w:id="63"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63"/>
    </w:p>
    <w:p>
      <w:pPr>
        <w:pStyle w:val="14"/>
        <w:adjustRightInd w:val="0"/>
        <w:snapToGrid w:val="0"/>
        <w:spacing w:line="560" w:lineRule="exact"/>
        <w:jc w:val="left"/>
        <w:rPr>
          <w:rFonts w:eastAsia="仿宋_GB2312" w:cs="仿宋_GB2312"/>
          <w:sz w:val="32"/>
          <w:szCs w:val="32"/>
        </w:rPr>
      </w:pPr>
      <w:bookmarkStart w:id="64" w:name="_Toc15396620"/>
      <w:r>
        <w:rPr>
          <w:rFonts w:hint="eastAsia" w:eastAsia="仿宋_GB2312" w:cs="仿宋_GB2312"/>
          <w:sz w:val="32"/>
          <w:szCs w:val="32"/>
        </w:rPr>
        <w:t>二、收入决算表</w:t>
      </w:r>
      <w:bookmarkEnd w:id="64"/>
    </w:p>
    <w:p>
      <w:pPr>
        <w:pStyle w:val="14"/>
        <w:adjustRightInd w:val="0"/>
        <w:snapToGrid w:val="0"/>
        <w:spacing w:line="560" w:lineRule="exact"/>
        <w:jc w:val="left"/>
        <w:rPr>
          <w:rFonts w:eastAsia="仿宋_GB2312" w:cs="仿宋_GB2312"/>
          <w:sz w:val="32"/>
          <w:szCs w:val="32"/>
        </w:rPr>
      </w:pPr>
      <w:bookmarkStart w:id="65" w:name="_Toc15396621"/>
      <w:r>
        <w:rPr>
          <w:rFonts w:hint="eastAsia" w:eastAsia="仿宋_GB2312" w:cs="仿宋_GB2312"/>
          <w:sz w:val="32"/>
          <w:szCs w:val="32"/>
        </w:rPr>
        <w:t>三、支出决算表</w:t>
      </w:r>
      <w:bookmarkEnd w:id="65"/>
    </w:p>
    <w:p>
      <w:pPr>
        <w:pStyle w:val="14"/>
        <w:adjustRightInd w:val="0"/>
        <w:snapToGrid w:val="0"/>
        <w:spacing w:line="560" w:lineRule="exact"/>
        <w:jc w:val="left"/>
        <w:rPr>
          <w:rFonts w:eastAsia="仿宋_GB2312" w:cs="仿宋_GB2312"/>
          <w:sz w:val="32"/>
          <w:szCs w:val="32"/>
        </w:rPr>
      </w:pPr>
      <w:bookmarkStart w:id="66" w:name="_Toc15396622"/>
      <w:r>
        <w:rPr>
          <w:rFonts w:hint="eastAsia" w:eastAsia="仿宋_GB2312" w:cs="仿宋_GB2312"/>
          <w:sz w:val="32"/>
          <w:szCs w:val="32"/>
        </w:rPr>
        <w:t>四、财政拨款收入支出决算总表</w:t>
      </w:r>
      <w:bookmarkEnd w:id="66"/>
    </w:p>
    <w:p>
      <w:pPr>
        <w:pStyle w:val="14"/>
        <w:adjustRightInd w:val="0"/>
        <w:snapToGrid w:val="0"/>
        <w:spacing w:line="560" w:lineRule="exact"/>
        <w:jc w:val="left"/>
        <w:rPr>
          <w:rFonts w:eastAsia="仿宋_GB2312" w:cs="仿宋_GB2312"/>
          <w:sz w:val="32"/>
          <w:szCs w:val="32"/>
        </w:rPr>
      </w:pPr>
      <w:bookmarkStart w:id="67" w:name="_Toc15396623"/>
      <w:r>
        <w:rPr>
          <w:rFonts w:hint="eastAsia" w:eastAsia="仿宋_GB2312" w:cs="仿宋_GB2312"/>
          <w:sz w:val="32"/>
          <w:szCs w:val="32"/>
        </w:rPr>
        <w:t>五、财政拨款支出决算明细表</w:t>
      </w:r>
      <w:bookmarkEnd w:id="67"/>
      <w:bookmarkStart w:id="68" w:name="_Toc15396624"/>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68"/>
    </w:p>
    <w:p>
      <w:pPr>
        <w:pStyle w:val="14"/>
        <w:adjustRightInd w:val="0"/>
        <w:snapToGrid w:val="0"/>
        <w:spacing w:line="560" w:lineRule="exact"/>
        <w:jc w:val="left"/>
        <w:rPr>
          <w:rFonts w:eastAsia="仿宋_GB2312" w:cs="仿宋_GB2312"/>
          <w:sz w:val="32"/>
          <w:szCs w:val="32"/>
        </w:rPr>
      </w:pPr>
      <w:bookmarkStart w:id="69" w:name="_Toc15396625"/>
      <w:r>
        <w:rPr>
          <w:rFonts w:hint="eastAsia" w:eastAsia="仿宋_GB2312" w:cs="仿宋_GB2312"/>
          <w:sz w:val="32"/>
          <w:szCs w:val="32"/>
        </w:rPr>
        <w:t>七、一般公共预算财政拨款支出决算明细表</w:t>
      </w:r>
      <w:bookmarkEnd w:id="69"/>
    </w:p>
    <w:p>
      <w:pPr>
        <w:pStyle w:val="14"/>
        <w:adjustRightInd w:val="0"/>
        <w:snapToGrid w:val="0"/>
        <w:spacing w:line="560" w:lineRule="exact"/>
        <w:jc w:val="left"/>
        <w:rPr>
          <w:rFonts w:eastAsia="仿宋_GB2312" w:cs="仿宋_GB2312"/>
          <w:sz w:val="32"/>
          <w:szCs w:val="32"/>
        </w:rPr>
      </w:pPr>
      <w:bookmarkStart w:id="70" w:name="_Toc15396626"/>
      <w:r>
        <w:rPr>
          <w:rFonts w:hint="eastAsia" w:eastAsia="仿宋_GB2312" w:cs="仿宋_GB2312"/>
          <w:sz w:val="32"/>
          <w:szCs w:val="32"/>
        </w:rPr>
        <w:t>八、一般公共预算财政拨款基本支出决算表</w:t>
      </w:r>
      <w:bookmarkEnd w:id="70"/>
    </w:p>
    <w:p>
      <w:pPr>
        <w:pStyle w:val="14"/>
        <w:adjustRightInd w:val="0"/>
        <w:snapToGrid w:val="0"/>
        <w:spacing w:line="560" w:lineRule="exact"/>
        <w:jc w:val="left"/>
        <w:rPr>
          <w:rFonts w:eastAsia="仿宋_GB2312" w:cs="仿宋_GB2312"/>
          <w:sz w:val="32"/>
          <w:szCs w:val="32"/>
        </w:rPr>
      </w:pPr>
      <w:bookmarkStart w:id="71" w:name="_Toc15396627"/>
      <w:r>
        <w:rPr>
          <w:rFonts w:hint="eastAsia" w:eastAsia="仿宋_GB2312" w:cs="仿宋_GB2312"/>
          <w:sz w:val="32"/>
          <w:szCs w:val="32"/>
        </w:rPr>
        <w:t>九、一般公共预算财政拨款项目支出决算表</w:t>
      </w:r>
      <w:bookmarkEnd w:id="71"/>
    </w:p>
    <w:p>
      <w:pPr>
        <w:pStyle w:val="14"/>
        <w:adjustRightInd w:val="0"/>
        <w:snapToGrid w:val="0"/>
        <w:spacing w:line="560" w:lineRule="exact"/>
        <w:jc w:val="left"/>
        <w:rPr>
          <w:rFonts w:eastAsia="仿宋_GB2312" w:cs="仿宋_GB2312"/>
          <w:sz w:val="32"/>
          <w:szCs w:val="32"/>
        </w:rPr>
      </w:pPr>
      <w:bookmarkStart w:id="72" w:name="_Toc15396628"/>
      <w:r>
        <w:rPr>
          <w:rFonts w:hint="eastAsia" w:eastAsia="仿宋_GB2312" w:cs="仿宋_GB2312"/>
          <w:sz w:val="32"/>
          <w:szCs w:val="32"/>
        </w:rPr>
        <w:t>十、</w:t>
      </w:r>
      <w:bookmarkEnd w:id="72"/>
      <w:r>
        <w:rPr>
          <w:rFonts w:hint="eastAsia" w:eastAsia="仿宋_GB2312" w:cs="仿宋_GB2312"/>
          <w:sz w:val="32"/>
          <w:szCs w:val="32"/>
        </w:rPr>
        <w:t>政府性基金预算财政拨款收入支出决算表</w:t>
      </w:r>
    </w:p>
    <w:p>
      <w:pPr>
        <w:pStyle w:val="14"/>
        <w:adjustRightInd w:val="0"/>
        <w:snapToGrid w:val="0"/>
        <w:spacing w:line="560" w:lineRule="exact"/>
        <w:jc w:val="left"/>
        <w:rPr>
          <w:rFonts w:eastAsia="仿宋_GB2312" w:cs="仿宋_GB2312"/>
          <w:sz w:val="32"/>
          <w:szCs w:val="32"/>
        </w:rPr>
      </w:pPr>
      <w:bookmarkStart w:id="73" w:name="_Toc15396629"/>
      <w:r>
        <w:rPr>
          <w:rFonts w:hint="eastAsia" w:eastAsia="仿宋_GB2312" w:cs="仿宋_GB2312"/>
          <w:sz w:val="32"/>
          <w:szCs w:val="32"/>
        </w:rPr>
        <w:t>十一、</w:t>
      </w:r>
      <w:bookmarkEnd w:id="73"/>
      <w:r>
        <w:rPr>
          <w:rFonts w:hint="eastAsia" w:eastAsia="仿宋_GB2312" w:cs="仿宋_GB2312"/>
          <w:sz w:val="32"/>
          <w:szCs w:val="32"/>
        </w:rPr>
        <w:t>国有资本经营预算财政拨款收入支出决算表（此表无数据）</w:t>
      </w:r>
    </w:p>
    <w:p>
      <w:pPr>
        <w:pStyle w:val="14"/>
        <w:adjustRightInd w:val="0"/>
        <w:snapToGrid w:val="0"/>
        <w:spacing w:line="560" w:lineRule="exact"/>
        <w:jc w:val="left"/>
        <w:rPr>
          <w:rFonts w:eastAsia="仿宋_GB2312" w:cs="仿宋_GB2312"/>
          <w:sz w:val="32"/>
          <w:szCs w:val="32"/>
        </w:rPr>
      </w:pPr>
      <w:bookmarkStart w:id="74" w:name="_Toc15396630"/>
      <w:r>
        <w:rPr>
          <w:rFonts w:hint="eastAsia" w:eastAsia="仿宋_GB2312" w:cs="仿宋_GB2312"/>
          <w:sz w:val="32"/>
          <w:szCs w:val="32"/>
        </w:rPr>
        <w:t>十二、</w:t>
      </w:r>
      <w:bookmarkEnd w:id="74"/>
      <w:r>
        <w:rPr>
          <w:rFonts w:hint="eastAsia" w:eastAsia="仿宋_GB2312" w:cs="仿宋_GB2312"/>
          <w:sz w:val="32"/>
          <w:szCs w:val="32"/>
        </w:rPr>
        <w:t>国有资本经营预算财政拨款支出决算表（此表无数据）</w:t>
      </w:r>
    </w:p>
    <w:p>
      <w:pPr>
        <w:pStyle w:val="14"/>
        <w:adjustRightInd w:val="0"/>
        <w:snapToGrid w:val="0"/>
        <w:spacing w:line="560" w:lineRule="exact"/>
        <w:jc w:val="left"/>
        <w:rPr>
          <w:rFonts w:eastAsia="仿宋_GB2312" w:cs="仿宋_GB2312"/>
          <w:sz w:val="32"/>
          <w:szCs w:val="32"/>
        </w:rPr>
      </w:pPr>
      <w:bookmarkStart w:id="75" w:name="_Toc15396631"/>
      <w:r>
        <w:rPr>
          <w:rFonts w:hint="eastAsia" w:eastAsia="仿宋_GB2312" w:cs="仿宋_GB2312"/>
          <w:sz w:val="32"/>
          <w:szCs w:val="32"/>
        </w:rPr>
        <w:t>十三、</w:t>
      </w:r>
      <w:bookmarkEnd w:id="75"/>
      <w:r>
        <w:rPr>
          <w:rFonts w:hint="eastAsia" w:eastAsia="仿宋_GB2312" w:cs="仿宋_GB2312"/>
          <w:sz w:val="32"/>
          <w:szCs w:val="32"/>
        </w:rPr>
        <w:t>财政拨款“三公”经费支出决算表</w:t>
      </w:r>
    </w:p>
    <w:p/>
    <w:sectPr>
      <w:footerReference r:id="rId4" w:type="first"/>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0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2145283"/>
      <w:docPartObj>
        <w:docPartGallery w:val="autotext"/>
      </w:docPartObj>
    </w:sdtPr>
    <w:sdtContent>
      <w:p>
        <w:pPr>
          <w:pStyle w:val="10"/>
          <w:jc w:val="center"/>
        </w:pPr>
        <w:r>
          <w:fldChar w:fldCharType="begin"/>
        </w:r>
        <w:r>
          <w:instrText xml:space="preserve">PAGE   \* MERGEFORMAT</w:instrText>
        </w:r>
        <w:r>
          <w:fldChar w:fldCharType="separate"/>
        </w:r>
        <w:r>
          <w:rPr>
            <w:lang w:val="zh-CN"/>
          </w:rPr>
          <w:t>11</w:t>
        </w:r>
        <w:r>
          <w:fldChar w:fldCharType="end"/>
        </w:r>
      </w:p>
    </w:sdtContent>
  </w:sdt>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q+O8FQIAABkEAAAOAAAAAAAAAAEAIAAAADUBAABkcnMvZTJvRG9jLnhtbFBLBQYAAAAABgAG&#10;AFkBAAC8BQAAAAA=&#10;">
              <v:fill on="f" focussize="0,0"/>
              <v:stroke on="f" weight="0.5pt"/>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5D421B"/>
    <w:multiLevelType w:val="multilevel"/>
    <w:tmpl w:val="2F5D421B"/>
    <w:lvl w:ilvl="0" w:tentative="0">
      <w:start w:val="1"/>
      <w:numFmt w:val="japaneseCounting"/>
      <w:lvlText w:val="%1、"/>
      <w:lvlJc w:val="left"/>
      <w:pPr>
        <w:ind w:left="630" w:hanging="63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13AFB"/>
    <w:rsid w:val="000205C6"/>
    <w:rsid w:val="000222C6"/>
    <w:rsid w:val="0002549F"/>
    <w:rsid w:val="000468DB"/>
    <w:rsid w:val="00047174"/>
    <w:rsid w:val="0006487A"/>
    <w:rsid w:val="00065F8F"/>
    <w:rsid w:val="00070A43"/>
    <w:rsid w:val="000768F2"/>
    <w:rsid w:val="0009184B"/>
    <w:rsid w:val="00094236"/>
    <w:rsid w:val="0009593C"/>
    <w:rsid w:val="00097322"/>
    <w:rsid w:val="000A6A92"/>
    <w:rsid w:val="000B047F"/>
    <w:rsid w:val="000B5923"/>
    <w:rsid w:val="000B5A48"/>
    <w:rsid w:val="000B6FF3"/>
    <w:rsid w:val="000C199B"/>
    <w:rsid w:val="000C3467"/>
    <w:rsid w:val="000C3CA6"/>
    <w:rsid w:val="000D1267"/>
    <w:rsid w:val="000D1D50"/>
    <w:rsid w:val="000D4075"/>
    <w:rsid w:val="000D5782"/>
    <w:rsid w:val="000E6613"/>
    <w:rsid w:val="000E7119"/>
    <w:rsid w:val="000F60F2"/>
    <w:rsid w:val="001039A4"/>
    <w:rsid w:val="001125E3"/>
    <w:rsid w:val="00114E9B"/>
    <w:rsid w:val="00126D82"/>
    <w:rsid w:val="00142216"/>
    <w:rsid w:val="00144D6A"/>
    <w:rsid w:val="0014729F"/>
    <w:rsid w:val="001528C2"/>
    <w:rsid w:val="00157BAB"/>
    <w:rsid w:val="00161ADD"/>
    <w:rsid w:val="00163351"/>
    <w:rsid w:val="001654D1"/>
    <w:rsid w:val="00174518"/>
    <w:rsid w:val="0018106D"/>
    <w:rsid w:val="001877A7"/>
    <w:rsid w:val="00191536"/>
    <w:rsid w:val="00196687"/>
    <w:rsid w:val="001A4397"/>
    <w:rsid w:val="001C0962"/>
    <w:rsid w:val="001D7531"/>
    <w:rsid w:val="001E737D"/>
    <w:rsid w:val="001F0592"/>
    <w:rsid w:val="001F7506"/>
    <w:rsid w:val="002006CD"/>
    <w:rsid w:val="00202B36"/>
    <w:rsid w:val="00204B7A"/>
    <w:rsid w:val="00204CDE"/>
    <w:rsid w:val="0021101A"/>
    <w:rsid w:val="002204D6"/>
    <w:rsid w:val="00220536"/>
    <w:rsid w:val="00232EBB"/>
    <w:rsid w:val="00235629"/>
    <w:rsid w:val="0025065C"/>
    <w:rsid w:val="00252453"/>
    <w:rsid w:val="0025755E"/>
    <w:rsid w:val="00260C38"/>
    <w:rsid w:val="002616C0"/>
    <w:rsid w:val="00263F59"/>
    <w:rsid w:val="00265372"/>
    <w:rsid w:val="002662AA"/>
    <w:rsid w:val="00270E55"/>
    <w:rsid w:val="00280496"/>
    <w:rsid w:val="00294DC9"/>
    <w:rsid w:val="00295495"/>
    <w:rsid w:val="002A03F3"/>
    <w:rsid w:val="002A31DE"/>
    <w:rsid w:val="002A4EDB"/>
    <w:rsid w:val="002B2613"/>
    <w:rsid w:val="002C1450"/>
    <w:rsid w:val="002C2EAB"/>
    <w:rsid w:val="002C3F4F"/>
    <w:rsid w:val="002C67F9"/>
    <w:rsid w:val="002D6D05"/>
    <w:rsid w:val="002F1818"/>
    <w:rsid w:val="002F567B"/>
    <w:rsid w:val="0031519B"/>
    <w:rsid w:val="003216A9"/>
    <w:rsid w:val="0032445F"/>
    <w:rsid w:val="0032631D"/>
    <w:rsid w:val="00333800"/>
    <w:rsid w:val="00335A74"/>
    <w:rsid w:val="00344CF8"/>
    <w:rsid w:val="003522D6"/>
    <w:rsid w:val="0036561B"/>
    <w:rsid w:val="00366425"/>
    <w:rsid w:val="0037013F"/>
    <w:rsid w:val="003757DB"/>
    <w:rsid w:val="0038022B"/>
    <w:rsid w:val="00380C92"/>
    <w:rsid w:val="00396DDE"/>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5B92"/>
    <w:rsid w:val="00406254"/>
    <w:rsid w:val="0042003A"/>
    <w:rsid w:val="004223DE"/>
    <w:rsid w:val="00431C18"/>
    <w:rsid w:val="00434489"/>
    <w:rsid w:val="00437085"/>
    <w:rsid w:val="00443880"/>
    <w:rsid w:val="004464F4"/>
    <w:rsid w:val="00471401"/>
    <w:rsid w:val="00473F31"/>
    <w:rsid w:val="0048263A"/>
    <w:rsid w:val="00487E5D"/>
    <w:rsid w:val="0049731B"/>
    <w:rsid w:val="004A711F"/>
    <w:rsid w:val="004B1621"/>
    <w:rsid w:val="004B199D"/>
    <w:rsid w:val="004B4690"/>
    <w:rsid w:val="004E0A2D"/>
    <w:rsid w:val="004E1F85"/>
    <w:rsid w:val="004E206B"/>
    <w:rsid w:val="004E40C4"/>
    <w:rsid w:val="004E6DF7"/>
    <w:rsid w:val="004F0FBD"/>
    <w:rsid w:val="004F166C"/>
    <w:rsid w:val="004F2E31"/>
    <w:rsid w:val="00505A47"/>
    <w:rsid w:val="00512FDA"/>
    <w:rsid w:val="00517614"/>
    <w:rsid w:val="00520DA0"/>
    <w:rsid w:val="005664BB"/>
    <w:rsid w:val="00566FFA"/>
    <w:rsid w:val="0057481D"/>
    <w:rsid w:val="00575C6A"/>
    <w:rsid w:val="00575F8F"/>
    <w:rsid w:val="005764F2"/>
    <w:rsid w:val="005774DB"/>
    <w:rsid w:val="0058486E"/>
    <w:rsid w:val="00584CC1"/>
    <w:rsid w:val="00585B33"/>
    <w:rsid w:val="0059014D"/>
    <w:rsid w:val="00592CCB"/>
    <w:rsid w:val="005B5C64"/>
    <w:rsid w:val="005C5337"/>
    <w:rsid w:val="005C6BD0"/>
    <w:rsid w:val="005D1C8B"/>
    <w:rsid w:val="005D468D"/>
    <w:rsid w:val="005D5CED"/>
    <w:rsid w:val="005E1B25"/>
    <w:rsid w:val="005E44FA"/>
    <w:rsid w:val="005E604D"/>
    <w:rsid w:val="005F1A4C"/>
    <w:rsid w:val="005F6819"/>
    <w:rsid w:val="00605688"/>
    <w:rsid w:val="006070AF"/>
    <w:rsid w:val="00607E6C"/>
    <w:rsid w:val="006101B1"/>
    <w:rsid w:val="00614E44"/>
    <w:rsid w:val="0062270A"/>
    <w:rsid w:val="00622830"/>
    <w:rsid w:val="00623DA0"/>
    <w:rsid w:val="00625B93"/>
    <w:rsid w:val="00630AEF"/>
    <w:rsid w:val="006321A8"/>
    <w:rsid w:val="006325F8"/>
    <w:rsid w:val="00633463"/>
    <w:rsid w:val="00634C9A"/>
    <w:rsid w:val="0063741F"/>
    <w:rsid w:val="006440E4"/>
    <w:rsid w:val="00662F35"/>
    <w:rsid w:val="0066343B"/>
    <w:rsid w:val="00664777"/>
    <w:rsid w:val="006650CB"/>
    <w:rsid w:val="006709C9"/>
    <w:rsid w:val="006748A4"/>
    <w:rsid w:val="00681A31"/>
    <w:rsid w:val="00683E73"/>
    <w:rsid w:val="006A3141"/>
    <w:rsid w:val="006A5E34"/>
    <w:rsid w:val="006B2422"/>
    <w:rsid w:val="006B2B9A"/>
    <w:rsid w:val="006C1937"/>
    <w:rsid w:val="006C65FD"/>
    <w:rsid w:val="006F020C"/>
    <w:rsid w:val="007127B7"/>
    <w:rsid w:val="0071798E"/>
    <w:rsid w:val="007326DC"/>
    <w:rsid w:val="007416B6"/>
    <w:rsid w:val="00746F48"/>
    <w:rsid w:val="007504C9"/>
    <w:rsid w:val="007507E7"/>
    <w:rsid w:val="0075404D"/>
    <w:rsid w:val="0076182A"/>
    <w:rsid w:val="00767B7E"/>
    <w:rsid w:val="007770C3"/>
    <w:rsid w:val="00784D24"/>
    <w:rsid w:val="00785FBA"/>
    <w:rsid w:val="00786E4A"/>
    <w:rsid w:val="007875EB"/>
    <w:rsid w:val="0079426B"/>
    <w:rsid w:val="0079441C"/>
    <w:rsid w:val="007A5DFF"/>
    <w:rsid w:val="007D1682"/>
    <w:rsid w:val="007D312A"/>
    <w:rsid w:val="007D3F19"/>
    <w:rsid w:val="007E23B0"/>
    <w:rsid w:val="007E23E5"/>
    <w:rsid w:val="007F1991"/>
    <w:rsid w:val="007F2C2F"/>
    <w:rsid w:val="007F55FC"/>
    <w:rsid w:val="007F5665"/>
    <w:rsid w:val="00800112"/>
    <w:rsid w:val="00812E51"/>
    <w:rsid w:val="00813348"/>
    <w:rsid w:val="008253BB"/>
    <w:rsid w:val="0083706E"/>
    <w:rsid w:val="008408F6"/>
    <w:rsid w:val="008423A5"/>
    <w:rsid w:val="0084652E"/>
    <w:rsid w:val="00850625"/>
    <w:rsid w:val="00853718"/>
    <w:rsid w:val="00855221"/>
    <w:rsid w:val="00857F3C"/>
    <w:rsid w:val="00860645"/>
    <w:rsid w:val="00871F71"/>
    <w:rsid w:val="00872FD8"/>
    <w:rsid w:val="00885AF4"/>
    <w:rsid w:val="008939CD"/>
    <w:rsid w:val="008B768C"/>
    <w:rsid w:val="008C4DB1"/>
    <w:rsid w:val="008C4EAF"/>
    <w:rsid w:val="008C5176"/>
    <w:rsid w:val="008C7FD0"/>
    <w:rsid w:val="008D3617"/>
    <w:rsid w:val="008E1DE7"/>
    <w:rsid w:val="008E707C"/>
    <w:rsid w:val="008F65D9"/>
    <w:rsid w:val="00900B08"/>
    <w:rsid w:val="00902155"/>
    <w:rsid w:val="00902FA3"/>
    <w:rsid w:val="00923564"/>
    <w:rsid w:val="0092392E"/>
    <w:rsid w:val="009315F9"/>
    <w:rsid w:val="00933499"/>
    <w:rsid w:val="00935C98"/>
    <w:rsid w:val="0094127E"/>
    <w:rsid w:val="009447A1"/>
    <w:rsid w:val="00946945"/>
    <w:rsid w:val="00951248"/>
    <w:rsid w:val="0095152F"/>
    <w:rsid w:val="00954C49"/>
    <w:rsid w:val="00955E37"/>
    <w:rsid w:val="00966A22"/>
    <w:rsid w:val="00967E8B"/>
    <w:rsid w:val="0097099F"/>
    <w:rsid w:val="00971997"/>
    <w:rsid w:val="00971FFC"/>
    <w:rsid w:val="0098660A"/>
    <w:rsid w:val="00987D95"/>
    <w:rsid w:val="009931C3"/>
    <w:rsid w:val="009A1776"/>
    <w:rsid w:val="009B2C43"/>
    <w:rsid w:val="009B4EAE"/>
    <w:rsid w:val="009B7573"/>
    <w:rsid w:val="009C22F4"/>
    <w:rsid w:val="009C2A4B"/>
    <w:rsid w:val="009C2E98"/>
    <w:rsid w:val="009C684E"/>
    <w:rsid w:val="009D3447"/>
    <w:rsid w:val="009D4711"/>
    <w:rsid w:val="009F1185"/>
    <w:rsid w:val="009F18CD"/>
    <w:rsid w:val="009F2A13"/>
    <w:rsid w:val="009F7527"/>
    <w:rsid w:val="00A047E2"/>
    <w:rsid w:val="00A04EB0"/>
    <w:rsid w:val="00A13CC1"/>
    <w:rsid w:val="00A16847"/>
    <w:rsid w:val="00A2256B"/>
    <w:rsid w:val="00A237D8"/>
    <w:rsid w:val="00A268C4"/>
    <w:rsid w:val="00A307CD"/>
    <w:rsid w:val="00A331C8"/>
    <w:rsid w:val="00A40A00"/>
    <w:rsid w:val="00A4142F"/>
    <w:rsid w:val="00A422EB"/>
    <w:rsid w:val="00A44084"/>
    <w:rsid w:val="00A45BB7"/>
    <w:rsid w:val="00A56DF2"/>
    <w:rsid w:val="00A56E6E"/>
    <w:rsid w:val="00A67AB5"/>
    <w:rsid w:val="00A733B2"/>
    <w:rsid w:val="00A741C2"/>
    <w:rsid w:val="00A74B04"/>
    <w:rsid w:val="00A91760"/>
    <w:rsid w:val="00A93B00"/>
    <w:rsid w:val="00A93C21"/>
    <w:rsid w:val="00AB64C9"/>
    <w:rsid w:val="00AC3C6A"/>
    <w:rsid w:val="00AD5620"/>
    <w:rsid w:val="00AD656B"/>
    <w:rsid w:val="00AD7C1B"/>
    <w:rsid w:val="00AE16BA"/>
    <w:rsid w:val="00AE1EBE"/>
    <w:rsid w:val="00B01A96"/>
    <w:rsid w:val="00B03C9D"/>
    <w:rsid w:val="00B05EA2"/>
    <w:rsid w:val="00B060AE"/>
    <w:rsid w:val="00B10517"/>
    <w:rsid w:val="00B149FF"/>
    <w:rsid w:val="00B14E76"/>
    <w:rsid w:val="00B161B8"/>
    <w:rsid w:val="00B2048C"/>
    <w:rsid w:val="00B310B9"/>
    <w:rsid w:val="00B34753"/>
    <w:rsid w:val="00B35F3F"/>
    <w:rsid w:val="00B36CBB"/>
    <w:rsid w:val="00B425E0"/>
    <w:rsid w:val="00B440AA"/>
    <w:rsid w:val="00B44B70"/>
    <w:rsid w:val="00B53C56"/>
    <w:rsid w:val="00B57DAF"/>
    <w:rsid w:val="00B63A0C"/>
    <w:rsid w:val="00B77EA6"/>
    <w:rsid w:val="00B81598"/>
    <w:rsid w:val="00B841F1"/>
    <w:rsid w:val="00B944D6"/>
    <w:rsid w:val="00BB4DF0"/>
    <w:rsid w:val="00BC289F"/>
    <w:rsid w:val="00BC2D50"/>
    <w:rsid w:val="00BC4FE6"/>
    <w:rsid w:val="00BC5361"/>
    <w:rsid w:val="00BC5460"/>
    <w:rsid w:val="00BC6B50"/>
    <w:rsid w:val="00BD0E25"/>
    <w:rsid w:val="00BF5BD6"/>
    <w:rsid w:val="00C03E31"/>
    <w:rsid w:val="00C14987"/>
    <w:rsid w:val="00C33E72"/>
    <w:rsid w:val="00C354B2"/>
    <w:rsid w:val="00C35554"/>
    <w:rsid w:val="00C42709"/>
    <w:rsid w:val="00C533CC"/>
    <w:rsid w:val="00C5751C"/>
    <w:rsid w:val="00C61BFC"/>
    <w:rsid w:val="00C62B85"/>
    <w:rsid w:val="00C65438"/>
    <w:rsid w:val="00C7059C"/>
    <w:rsid w:val="00C87FD8"/>
    <w:rsid w:val="00C91381"/>
    <w:rsid w:val="00C91CBB"/>
    <w:rsid w:val="00CB4E70"/>
    <w:rsid w:val="00CC09B6"/>
    <w:rsid w:val="00CC666F"/>
    <w:rsid w:val="00CD1E3F"/>
    <w:rsid w:val="00CD5FBF"/>
    <w:rsid w:val="00CE44F6"/>
    <w:rsid w:val="00CE49DA"/>
    <w:rsid w:val="00CE7B61"/>
    <w:rsid w:val="00D00095"/>
    <w:rsid w:val="00D114F0"/>
    <w:rsid w:val="00D20620"/>
    <w:rsid w:val="00D254F7"/>
    <w:rsid w:val="00D26091"/>
    <w:rsid w:val="00D2685C"/>
    <w:rsid w:val="00D34E7C"/>
    <w:rsid w:val="00D35489"/>
    <w:rsid w:val="00D36AFE"/>
    <w:rsid w:val="00D375F6"/>
    <w:rsid w:val="00D43BF5"/>
    <w:rsid w:val="00D4570F"/>
    <w:rsid w:val="00D51247"/>
    <w:rsid w:val="00D51276"/>
    <w:rsid w:val="00D7035F"/>
    <w:rsid w:val="00D82B1E"/>
    <w:rsid w:val="00D86207"/>
    <w:rsid w:val="00DA634F"/>
    <w:rsid w:val="00DA65AC"/>
    <w:rsid w:val="00DB1913"/>
    <w:rsid w:val="00DC410D"/>
    <w:rsid w:val="00DC5A81"/>
    <w:rsid w:val="00DC5A86"/>
    <w:rsid w:val="00DC68CA"/>
    <w:rsid w:val="00DC7CBA"/>
    <w:rsid w:val="00DD73B7"/>
    <w:rsid w:val="00DF28BC"/>
    <w:rsid w:val="00DF34B9"/>
    <w:rsid w:val="00E01053"/>
    <w:rsid w:val="00E03E6D"/>
    <w:rsid w:val="00E07ACF"/>
    <w:rsid w:val="00E331A1"/>
    <w:rsid w:val="00E33202"/>
    <w:rsid w:val="00E336A9"/>
    <w:rsid w:val="00E472B1"/>
    <w:rsid w:val="00E50624"/>
    <w:rsid w:val="00E52C63"/>
    <w:rsid w:val="00E54633"/>
    <w:rsid w:val="00E568DF"/>
    <w:rsid w:val="00E64181"/>
    <w:rsid w:val="00E64269"/>
    <w:rsid w:val="00E64780"/>
    <w:rsid w:val="00E66948"/>
    <w:rsid w:val="00E74C26"/>
    <w:rsid w:val="00E82267"/>
    <w:rsid w:val="00E853CE"/>
    <w:rsid w:val="00E867B6"/>
    <w:rsid w:val="00EA010F"/>
    <w:rsid w:val="00EB7437"/>
    <w:rsid w:val="00ED1B63"/>
    <w:rsid w:val="00ED3C1F"/>
    <w:rsid w:val="00ED4085"/>
    <w:rsid w:val="00ED420E"/>
    <w:rsid w:val="00ED6FBE"/>
    <w:rsid w:val="00EE2F57"/>
    <w:rsid w:val="00EE46CD"/>
    <w:rsid w:val="00EF4C34"/>
    <w:rsid w:val="00EF77C6"/>
    <w:rsid w:val="00F05438"/>
    <w:rsid w:val="00F1361C"/>
    <w:rsid w:val="00F156F0"/>
    <w:rsid w:val="00F160C7"/>
    <w:rsid w:val="00F2408F"/>
    <w:rsid w:val="00F240E9"/>
    <w:rsid w:val="00F31E49"/>
    <w:rsid w:val="00F36D8F"/>
    <w:rsid w:val="00F417B1"/>
    <w:rsid w:val="00F45853"/>
    <w:rsid w:val="00F602DF"/>
    <w:rsid w:val="00F754A1"/>
    <w:rsid w:val="00F81FD9"/>
    <w:rsid w:val="00F841AA"/>
    <w:rsid w:val="00F84A94"/>
    <w:rsid w:val="00F87E96"/>
    <w:rsid w:val="00FA12DA"/>
    <w:rsid w:val="00FA23E8"/>
    <w:rsid w:val="00FA44C0"/>
    <w:rsid w:val="00FD3CC1"/>
    <w:rsid w:val="00FF1E02"/>
    <w:rsid w:val="00FF30B4"/>
    <w:rsid w:val="015975B8"/>
    <w:rsid w:val="02317B1B"/>
    <w:rsid w:val="02D97086"/>
    <w:rsid w:val="02FEBE30"/>
    <w:rsid w:val="045B4C35"/>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097409"/>
    <w:rsid w:val="1B7D550C"/>
    <w:rsid w:val="1BE8440E"/>
    <w:rsid w:val="1D155CEE"/>
    <w:rsid w:val="1E740ACF"/>
    <w:rsid w:val="1FF35744"/>
    <w:rsid w:val="1FF6BC77"/>
    <w:rsid w:val="21962A9E"/>
    <w:rsid w:val="21AE7C77"/>
    <w:rsid w:val="22BC3C41"/>
    <w:rsid w:val="23860B96"/>
    <w:rsid w:val="240371BF"/>
    <w:rsid w:val="260F557C"/>
    <w:rsid w:val="27820CBD"/>
    <w:rsid w:val="281408E2"/>
    <w:rsid w:val="29FD04D3"/>
    <w:rsid w:val="2BFF7BC6"/>
    <w:rsid w:val="2C8A61B5"/>
    <w:rsid w:val="2D2E01CF"/>
    <w:rsid w:val="2DF04E50"/>
    <w:rsid w:val="2E9545B0"/>
    <w:rsid w:val="2EFE6198"/>
    <w:rsid w:val="2F040D46"/>
    <w:rsid w:val="2FAE5751"/>
    <w:rsid w:val="2FB1A395"/>
    <w:rsid w:val="2FD9A7D8"/>
    <w:rsid w:val="301E4E37"/>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DFF2372"/>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BFFD4987"/>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7F584D"/>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link w:val="35"/>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7"/>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6032;&#24314;%20Microsoft%20Excel%20&#24037;&#20316;&#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6032;&#24314;%20Microsoft%20Excel%20&#24037;&#20316;&#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true"/>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收入、支出决算总计变动情况图</a:t>
            </a:r>
            <a:endParaRPr lang="zh-CN" altLang="en-US"/>
          </a:p>
        </c:rich>
      </c:tx>
      <c:layout/>
      <c:overlay val="false"/>
      <c:spPr>
        <a:noFill/>
        <a:ln>
          <a:noFill/>
        </a:ln>
        <a:effectLst/>
      </c:spPr>
    </c:title>
    <c:autoTitleDeleted val="false"/>
    <c:plotArea>
      <c:layout/>
      <c:barChart>
        <c:barDir val="col"/>
        <c:grouping val="clustered"/>
        <c:varyColors val="false"/>
        <c:ser>
          <c:idx val="0"/>
          <c:order val="0"/>
          <c:tx>
            <c:strRef>
              <c:f>Sheet1!$C$2</c:f>
              <c:strCache>
                <c:ptCount val="1"/>
                <c:pt idx="0">
                  <c:v>2025年</c:v>
                </c:pt>
              </c:strCache>
            </c:strRef>
          </c:tx>
          <c:spPr>
            <a:solidFill>
              <a:schemeClr val="accent1"/>
            </a:solidFill>
            <a:ln>
              <a:noFill/>
            </a:ln>
            <a:effectLst/>
          </c:spPr>
          <c:invertIfNegative val="false"/>
          <c:dLbls>
            <c:delete val="true"/>
          </c:dLbls>
          <c:cat>
            <c:strRef>
              <c:f>Sheet1!$B$3:$B$4</c:f>
              <c:strCache>
                <c:ptCount val="2"/>
                <c:pt idx="0">
                  <c:v>收入</c:v>
                </c:pt>
                <c:pt idx="1">
                  <c:v>支出</c:v>
                </c:pt>
              </c:strCache>
            </c:strRef>
          </c:cat>
          <c:val>
            <c:numRef>
              <c:f>Sheet1!$C$3:$C$4</c:f>
              <c:numCache>
                <c:formatCode>General</c:formatCode>
                <c:ptCount val="2"/>
                <c:pt idx="0">
                  <c:v>2215.92</c:v>
                </c:pt>
                <c:pt idx="1">
                  <c:v>2215.92</c:v>
                </c:pt>
              </c:numCache>
            </c:numRef>
          </c:val>
        </c:ser>
        <c:ser>
          <c:idx val="1"/>
          <c:order val="1"/>
          <c:tx>
            <c:strRef>
              <c:f>Sheet1!$D$2</c:f>
              <c:strCache>
                <c:ptCount val="1"/>
                <c:pt idx="0">
                  <c:v>2024年</c:v>
                </c:pt>
              </c:strCache>
            </c:strRef>
          </c:tx>
          <c:spPr>
            <a:solidFill>
              <a:schemeClr val="accent2"/>
            </a:solidFill>
            <a:ln>
              <a:noFill/>
            </a:ln>
            <a:effectLst/>
          </c:spPr>
          <c:invertIfNegative val="false"/>
          <c:dLbls>
            <c:delete val="true"/>
          </c:dLbls>
          <c:cat>
            <c:strRef>
              <c:f>Sheet1!$B$3:$B$4</c:f>
              <c:strCache>
                <c:ptCount val="2"/>
                <c:pt idx="0">
                  <c:v>收入</c:v>
                </c:pt>
                <c:pt idx="1">
                  <c:v>支出</c:v>
                </c:pt>
              </c:strCache>
            </c:strRef>
          </c:cat>
          <c:val>
            <c:numRef>
              <c:f>Sheet1!$D$3:$D$4</c:f>
              <c:numCache>
                <c:formatCode>General</c:formatCode>
                <c:ptCount val="2"/>
                <c:pt idx="0">
                  <c:v>2089.34</c:v>
                </c:pt>
                <c:pt idx="1">
                  <c:v>2089.34</c:v>
                </c:pt>
              </c:numCache>
            </c:numRef>
          </c:val>
        </c:ser>
        <c:dLbls>
          <c:showLegendKey val="false"/>
          <c:showVal val="false"/>
          <c:showCatName val="false"/>
          <c:showSerName val="false"/>
          <c:showPercent val="false"/>
          <c:showBubbleSize val="false"/>
        </c:dLbls>
        <c:gapWidth val="219"/>
        <c:overlap val="-27"/>
        <c:axId val="444592256"/>
        <c:axId val="444587776"/>
      </c:barChart>
      <c:catAx>
        <c:axId val="444592256"/>
        <c:scaling>
          <c:orientation val="minMax"/>
        </c:scaling>
        <c:delete val="false"/>
        <c:axPos val="b"/>
        <c:numFmt formatCode="General" sourceLinked="tru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44587776"/>
        <c:crosses val="autoZero"/>
        <c:auto val="true"/>
        <c:lblAlgn val="ctr"/>
        <c:lblOffset val="100"/>
        <c:noMultiLvlLbl val="false"/>
      </c:catAx>
      <c:valAx>
        <c:axId val="444587776"/>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a:noFill/>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44592256"/>
        <c:crosses val="autoZero"/>
        <c:crossBetween val="between"/>
      </c:valAx>
      <c:spPr>
        <a:noFill/>
        <a:ln>
          <a:noFill/>
        </a:ln>
        <a:effectLst/>
      </c:spPr>
    </c:plotArea>
    <c:legend>
      <c:legendPos val="b"/>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true"/>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收入决算结构图</a:t>
            </a:r>
            <a:endParaRPr lang="zh-CN" altLang="en-US"/>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true">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Sheet1!$C$9:$C$10</c:f>
              <c:strCache>
                <c:ptCount val="2"/>
                <c:pt idx="0">
                  <c:v>一般公共预算财政拨款收入</c:v>
                </c:pt>
                <c:pt idx="1">
                  <c:v>政府性基金预算财政拨款收入</c:v>
                </c:pt>
              </c:strCache>
            </c:strRef>
          </c:cat>
          <c:val>
            <c:numRef>
              <c:f>Sheet1!$D$9:$D$10</c:f>
              <c:numCache>
                <c:formatCode>General</c:formatCode>
                <c:ptCount val="2"/>
                <c:pt idx="0">
                  <c:v>2083.92</c:v>
                </c:pt>
                <c:pt idx="1">
                  <c:v>132</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true"/>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支出决算结构图</a:t>
            </a:r>
            <a:endParaRPr lang="zh-CN" altLang="en-US"/>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true">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Sheet1!$G$3:$G$4</c:f>
              <c:strCache>
                <c:ptCount val="2"/>
                <c:pt idx="0">
                  <c:v>基本支出</c:v>
                </c:pt>
                <c:pt idx="1">
                  <c:v>项目支出</c:v>
                </c:pt>
              </c:strCache>
            </c:strRef>
          </c:cat>
          <c:val>
            <c:numRef>
              <c:f>Sheet1!$H$3:$H$4</c:f>
              <c:numCache>
                <c:formatCode>General</c:formatCode>
                <c:ptCount val="2"/>
                <c:pt idx="0">
                  <c:v>1932.78</c:v>
                </c:pt>
                <c:pt idx="1">
                  <c:v>283.14</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true"/>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财政拨款收、支决算总计变动情况</a:t>
            </a:r>
            <a:endParaRPr lang="zh-CN" altLang="en-US"/>
          </a:p>
        </c:rich>
      </c:tx>
      <c:layout/>
      <c:overlay val="false"/>
      <c:spPr>
        <a:noFill/>
        <a:ln>
          <a:noFill/>
        </a:ln>
        <a:effectLst/>
      </c:spPr>
    </c:title>
    <c:autoTitleDeleted val="false"/>
    <c:plotArea>
      <c:layout/>
      <c:barChart>
        <c:barDir val="col"/>
        <c:grouping val="clustered"/>
        <c:varyColors val="false"/>
        <c:ser>
          <c:idx val="0"/>
          <c:order val="0"/>
          <c:tx>
            <c:strRef>
              <c:f>Sheet1!$C$2</c:f>
              <c:strCache>
                <c:ptCount val="1"/>
                <c:pt idx="0">
                  <c:v>2025年</c:v>
                </c:pt>
              </c:strCache>
            </c:strRef>
          </c:tx>
          <c:spPr>
            <a:solidFill>
              <a:schemeClr val="accent1"/>
            </a:solidFill>
            <a:ln>
              <a:noFill/>
            </a:ln>
            <a:effectLst/>
          </c:spPr>
          <c:invertIfNegative val="false"/>
          <c:dLbls>
            <c:delete val="true"/>
          </c:dLbls>
          <c:cat>
            <c:strRef>
              <c:f>Sheet1!$B$3:$B$4</c:f>
              <c:strCache>
                <c:ptCount val="2"/>
                <c:pt idx="0">
                  <c:v>收入</c:v>
                </c:pt>
                <c:pt idx="1">
                  <c:v>支出</c:v>
                </c:pt>
              </c:strCache>
            </c:strRef>
          </c:cat>
          <c:val>
            <c:numRef>
              <c:f>Sheet1!$C$3:$C$4</c:f>
              <c:numCache>
                <c:formatCode>General</c:formatCode>
                <c:ptCount val="2"/>
                <c:pt idx="0">
                  <c:v>2215.92</c:v>
                </c:pt>
                <c:pt idx="1">
                  <c:v>2215.92</c:v>
                </c:pt>
              </c:numCache>
            </c:numRef>
          </c:val>
        </c:ser>
        <c:ser>
          <c:idx val="1"/>
          <c:order val="1"/>
          <c:tx>
            <c:strRef>
              <c:f>Sheet1!$D$2</c:f>
              <c:strCache>
                <c:ptCount val="1"/>
                <c:pt idx="0">
                  <c:v>2024年</c:v>
                </c:pt>
              </c:strCache>
            </c:strRef>
          </c:tx>
          <c:spPr>
            <a:solidFill>
              <a:schemeClr val="accent2"/>
            </a:solidFill>
            <a:ln>
              <a:noFill/>
            </a:ln>
            <a:effectLst/>
          </c:spPr>
          <c:invertIfNegative val="false"/>
          <c:dLbls>
            <c:delete val="true"/>
          </c:dLbls>
          <c:cat>
            <c:strRef>
              <c:f>Sheet1!$B$3:$B$4</c:f>
              <c:strCache>
                <c:ptCount val="2"/>
                <c:pt idx="0">
                  <c:v>收入</c:v>
                </c:pt>
                <c:pt idx="1">
                  <c:v>支出</c:v>
                </c:pt>
              </c:strCache>
            </c:strRef>
          </c:cat>
          <c:val>
            <c:numRef>
              <c:f>Sheet1!$D$3:$D$4</c:f>
              <c:numCache>
                <c:formatCode>General</c:formatCode>
                <c:ptCount val="2"/>
                <c:pt idx="0">
                  <c:v>2089.34</c:v>
                </c:pt>
                <c:pt idx="1">
                  <c:v>2089.34</c:v>
                </c:pt>
              </c:numCache>
            </c:numRef>
          </c:val>
        </c:ser>
        <c:dLbls>
          <c:showLegendKey val="false"/>
          <c:showVal val="false"/>
          <c:showCatName val="false"/>
          <c:showSerName val="false"/>
          <c:showPercent val="false"/>
          <c:showBubbleSize val="false"/>
        </c:dLbls>
        <c:gapWidth val="219"/>
        <c:overlap val="-27"/>
        <c:axId val="450764944"/>
        <c:axId val="450765504"/>
      </c:barChart>
      <c:catAx>
        <c:axId val="450764944"/>
        <c:scaling>
          <c:orientation val="minMax"/>
        </c:scaling>
        <c:delete val="false"/>
        <c:axPos val="b"/>
        <c:numFmt formatCode="General" sourceLinked="tru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50765504"/>
        <c:crosses val="autoZero"/>
        <c:auto val="true"/>
        <c:lblAlgn val="ctr"/>
        <c:lblOffset val="100"/>
        <c:noMultiLvlLbl val="false"/>
      </c:catAx>
      <c:valAx>
        <c:axId val="450765504"/>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a:noFill/>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50764944"/>
        <c:crosses val="autoZero"/>
        <c:crossBetween val="between"/>
      </c:valAx>
      <c:spPr>
        <a:noFill/>
        <a:ln>
          <a:noFill/>
        </a:ln>
        <a:effectLst/>
      </c:spPr>
    </c:plotArea>
    <c:legend>
      <c:legendPos val="b"/>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true"/>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一般公共预算财政拨款支出决算变动情况</a:t>
            </a:r>
            <a:endParaRPr lang="zh-CN" altLang="en-US"/>
          </a:p>
        </c:rich>
      </c:tx>
      <c:layout/>
      <c:overlay val="false"/>
      <c:spPr>
        <a:noFill/>
        <a:ln>
          <a:noFill/>
        </a:ln>
        <a:effectLst/>
      </c:spPr>
    </c:title>
    <c:autoTitleDeleted val="false"/>
    <c:plotArea>
      <c:layout/>
      <c:barChart>
        <c:barDir val="col"/>
        <c:grouping val="clustered"/>
        <c:varyColors val="false"/>
        <c:ser>
          <c:idx val="0"/>
          <c:order val="0"/>
          <c:tx>
            <c:strRef>
              <c:f>Sheet1!$K$2</c:f>
              <c:strCache>
                <c:ptCount val="1"/>
                <c:pt idx="0">
                  <c:v>一般公共预算财政拨款</c:v>
                </c:pt>
              </c:strCache>
            </c:strRef>
          </c:tx>
          <c:spPr>
            <a:solidFill>
              <a:schemeClr val="accent1"/>
            </a:solidFill>
            <a:ln>
              <a:noFill/>
            </a:ln>
            <a:effectLst/>
          </c:spPr>
          <c:invertIfNegative val="false"/>
          <c:dLbls>
            <c:spPr>
              <a:noFill/>
              <a:ln>
                <a:noFill/>
              </a:ln>
              <a:effectLst/>
            </c:spPr>
            <c:txPr>
              <a:bodyPr rot="0" spcFirstLastPara="1" vertOverflow="ellipsis" vert="horz" wrap="square" lIns="38100" tIns="19050" rIns="38100" bIns="19050" anchor="ctr" anchorCtr="true">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Sheet1!$J$3:$J$4</c:f>
              <c:strCache>
                <c:ptCount val="2"/>
                <c:pt idx="0">
                  <c:v>2024年</c:v>
                </c:pt>
                <c:pt idx="1">
                  <c:v>2025年</c:v>
                </c:pt>
              </c:strCache>
            </c:strRef>
          </c:cat>
          <c:val>
            <c:numRef>
              <c:f>Sheet1!$K$3:$K$4</c:f>
              <c:numCache>
                <c:formatCode>General</c:formatCode>
                <c:ptCount val="2"/>
                <c:pt idx="0">
                  <c:v>2069.34</c:v>
                </c:pt>
                <c:pt idx="1">
                  <c:v>2083.92</c:v>
                </c:pt>
              </c:numCache>
            </c:numRef>
          </c:val>
        </c:ser>
        <c:dLbls>
          <c:showLegendKey val="false"/>
          <c:showVal val="true"/>
          <c:showCatName val="false"/>
          <c:showSerName val="false"/>
          <c:showPercent val="false"/>
          <c:showBubbleSize val="false"/>
        </c:dLbls>
        <c:gapWidth val="219"/>
        <c:overlap val="-27"/>
        <c:axId val="450767744"/>
        <c:axId val="450768304"/>
      </c:barChart>
      <c:catAx>
        <c:axId val="450767744"/>
        <c:scaling>
          <c:orientation val="minMax"/>
        </c:scaling>
        <c:delete val="false"/>
        <c:axPos val="b"/>
        <c:numFmt formatCode="General" sourceLinked="true"/>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50768304"/>
        <c:crosses val="autoZero"/>
        <c:auto val="true"/>
        <c:lblAlgn val="ctr"/>
        <c:lblOffset val="100"/>
        <c:noMultiLvlLbl val="false"/>
      </c:catAx>
      <c:valAx>
        <c:axId val="450768304"/>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out"/>
        <c:minorTickMark val="none"/>
        <c:tickLblPos val="nextTo"/>
        <c:spPr>
          <a:noFill/>
          <a:ln>
            <a:noFill/>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50767744"/>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true"/>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一般公共预算财政拨款支出决算结构</a:t>
            </a:r>
            <a:endParaRPr lang="zh-CN" altLang="en-US"/>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Pt>
            <c:idx val="2"/>
            <c:bubble3D val="false"/>
            <c:spPr>
              <a:solidFill>
                <a:schemeClr val="accent3"/>
              </a:solidFill>
              <a:ln w="19050">
                <a:solidFill>
                  <a:schemeClr val="lt1"/>
                </a:solidFill>
              </a:ln>
              <a:effectLst/>
            </c:spPr>
          </c:dPt>
          <c:dPt>
            <c:idx val="3"/>
            <c:bubble3D val="false"/>
            <c:spPr>
              <a:solidFill>
                <a:schemeClr val="accent4"/>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true">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Sheet1!$C$15:$C$18</c:f>
              <c:strCache>
                <c:ptCount val="4"/>
                <c:pt idx="0">
                  <c:v>社会保障和就业支出</c:v>
                </c:pt>
                <c:pt idx="1">
                  <c:v>卫生健康支出</c:v>
                </c:pt>
                <c:pt idx="2">
                  <c:v>城乡社区支出</c:v>
                </c:pt>
                <c:pt idx="3">
                  <c:v>住房保障支出</c:v>
                </c:pt>
              </c:strCache>
            </c:strRef>
          </c:cat>
          <c:val>
            <c:numRef>
              <c:f>Sheet1!$D$15:$D$18</c:f>
              <c:numCache>
                <c:formatCode>General</c:formatCode>
                <c:ptCount val="4"/>
                <c:pt idx="0">
                  <c:v>421.05</c:v>
                </c:pt>
                <c:pt idx="1">
                  <c:v>56.29</c:v>
                </c:pt>
                <c:pt idx="2">
                  <c:v>1494.07</c:v>
                </c:pt>
                <c:pt idx="3">
                  <c:v>112.51</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true"/>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财政拨款“三公”经费支出结构</a:t>
            </a:r>
            <a:endParaRPr lang="zh-CN" altLang="en-US"/>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Pt>
            <c:idx val="2"/>
            <c:bubble3D val="false"/>
            <c:spPr>
              <a:solidFill>
                <a:schemeClr val="accent3"/>
              </a:solidFill>
              <a:ln w="19050">
                <a:solidFill>
                  <a:schemeClr val="lt1"/>
                </a:solidFill>
              </a:ln>
              <a:effectLst/>
            </c:spPr>
          </c:dPt>
          <c:dLbls>
            <c:dLbl>
              <c:idx val="0"/>
              <c:layout>
                <c:manualLayout>
                  <c:x val="0.0529043319126394"/>
                  <c:y val="-0.00621840451761712"/>
                </c:manualLayout>
              </c:layout>
              <c:dLblPos val="bestFit"/>
              <c:showLegendKey val="false"/>
              <c:showVal val="true"/>
              <c:showCatName val="false"/>
              <c:showSerName val="false"/>
              <c:showPercent val="false"/>
              <c:showBubbleSize val="false"/>
              <c:extLst>
                <c:ext xmlns:c15="http://schemas.microsoft.com/office/drawing/2012/chart" uri="{CE6537A1-D6FC-4f65-9D91-7224C49458BB}">
                  <c15:layout/>
                </c:ext>
              </c:extLst>
            </c:dLbl>
            <c:dLbl>
              <c:idx val="2"/>
              <c:layout>
                <c:manualLayout>
                  <c:x val="-0.0224677695104626"/>
                  <c:y val="-0.0182429014554999"/>
                </c:manualLayout>
              </c:layout>
              <c:dLblPos val="bestFit"/>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true">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Sheet1!$G$15:$G$17</c:f>
              <c:strCache>
                <c:ptCount val="3"/>
                <c:pt idx="0">
                  <c:v>因公出国（境）费支出</c:v>
                </c:pt>
                <c:pt idx="1">
                  <c:v>公务用车购置及运行维护费支出</c:v>
                </c:pt>
                <c:pt idx="2">
                  <c:v>公务接待费支出</c:v>
                </c:pt>
              </c:strCache>
            </c:strRef>
          </c:cat>
          <c:val>
            <c:numRef>
              <c:f>Sheet1!$H$15:$H$17</c:f>
              <c:numCache>
                <c:formatCode>General</c:formatCode>
                <c:ptCount val="3"/>
                <c:pt idx="0">
                  <c:v>0</c:v>
                </c:pt>
                <c:pt idx="1">
                  <c:v>5.65</c:v>
                </c:pt>
                <c:pt idx="2">
                  <c:v>0.14</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19</Pages>
  <Words>869</Words>
  <Characters>4959</Characters>
  <Lines>41</Lines>
  <Paragraphs>11</Paragraphs>
  <TotalTime>0</TotalTime>
  <ScaleCrop>false</ScaleCrop>
  <LinksUpToDate>false</LinksUpToDate>
  <CharactersWithSpaces>5817</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user</cp:lastModifiedBy>
  <cp:lastPrinted>2026-08-28T00:27:00Z</cp:lastPrinted>
  <dcterms:modified xsi:type="dcterms:W3CDTF">2026-09-15T11:44:39Z</dcterms:modified>
  <dc:title>四川省***</dc:title>
  <cp:revision>136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3BF536824C220DA3E40E8B68BA118B1C_42</vt:lpwstr>
  </property>
  <property fmtid="{D5CDD505-2E9C-101B-9397-08002B2CF9AE}" pid="4" name="KSOTemplateDocerSaveRecord">
    <vt:lpwstr>eyJoZGlkIjoiZWE0NGEzNGUxNTBhYjI0ZDA3MTEzZGQ2ZWFmMzE1ZjkifQ==</vt:lpwstr>
  </property>
</Properties>
</file>