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Toc15377425"/>
      <w:bookmarkStart w:id="1" w:name="_Toc15396475"/>
      <w:bookmarkStart w:id="2" w:name="_Toc15396597"/>
      <w:bookmarkStart w:id="3" w:name="_Toc15378441"/>
      <w:bookmarkStart w:id="4" w:name="_Toc15377193"/>
      <w:bookmarkStart w:id="5" w:name="_Toc15306267"/>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bookmarkEnd w:id="5"/>
    <w:p>
      <w:pPr>
        <w:pStyle w:val="8"/>
        <w:spacing w:before="93"/>
        <w:jc w:val="center"/>
        <w:rPr>
          <w:rFonts w:ascii="Times New Roman" w:eastAsia="方正小标宋简体"/>
          <w:kern w:val="2"/>
          <w:sz w:val="44"/>
          <w:szCs w:val="44"/>
        </w:rPr>
      </w:pPr>
      <w:bookmarkStart w:id="6" w:name="_Toc15377426"/>
      <w:bookmarkStart w:id="7" w:name="_Toc15378442"/>
      <w:bookmarkStart w:id="8" w:name="_Toc15377194"/>
      <w:bookmarkStart w:id="9" w:name="_Toc15396476"/>
      <w:bookmarkStart w:id="10" w:name="_Toc15396598"/>
      <w:r>
        <w:rPr>
          <w:rFonts w:hint="eastAsia" w:ascii="Times New Roman" w:eastAsia="方正小标宋简体"/>
          <w:kern w:val="2"/>
          <w:sz w:val="44"/>
          <w:szCs w:val="44"/>
        </w:rPr>
        <w:t>2025年度攀枝花市</w:t>
      </w:r>
      <w:bookmarkStart w:id="11" w:name="_Toc15306268"/>
      <w:r>
        <w:rPr>
          <w:rFonts w:hint="eastAsia" w:ascii="Times New Roman" w:eastAsia="方正小标宋简体"/>
          <w:kern w:val="2"/>
          <w:sz w:val="44"/>
          <w:szCs w:val="44"/>
        </w:rPr>
        <w:t>建设工程质量安全站</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单位决算</w:t>
      </w:r>
      <w:bookmarkEnd w:id="6"/>
      <w:bookmarkEnd w:id="7"/>
      <w:bookmarkEnd w:id="8"/>
      <w:bookmarkEnd w:id="9"/>
      <w:bookmarkEnd w:id="10"/>
      <w:bookmarkEnd w:id="11"/>
    </w:p>
    <w:p>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公开时间：2026年9月15日</w:t>
      </w:r>
    </w:p>
    <w:p/>
    <w:p>
      <w:pPr>
        <w:pStyle w:val="13"/>
        <w:adjustRightInd w:val="0"/>
        <w:snapToGrid w:val="0"/>
        <w:spacing w:before="0" w:line="560" w:lineRule="exact"/>
        <w:jc w:val="left"/>
        <w:rPr>
          <w:rFonts w:ascii="Times New Roman" w:hAnsi="Times New Roman" w:cs="黑体"/>
          <w:sz w:val="32"/>
          <w:szCs w:val="32"/>
        </w:rPr>
      </w:pPr>
      <w:r>
        <w:rPr>
          <w:rFonts w:hint="eastAsia" w:ascii="Times New Roman" w:hAnsi="Times New Roman" w:eastAsia="黑体" w:cs="黑体"/>
          <w:sz w:val="32"/>
          <w:szCs w:val="32"/>
        </w:rPr>
        <w:t>第一部分 单位概况</w:t>
      </w:r>
      <w:r>
        <w:rPr>
          <w:sz w:val="24"/>
          <w:szCs w:val="24"/>
        </w:rPr>
        <w:tab/>
      </w:r>
      <w:r>
        <w:rPr>
          <w:rFonts w:hint="eastAsia"/>
          <w:bCs/>
          <w:sz w:val="24"/>
          <w:szCs w:val="24"/>
        </w:rPr>
        <w:t>4</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一、单位职责</w:t>
      </w:r>
      <w:r>
        <w:rPr>
          <w:sz w:val="24"/>
        </w:rPr>
        <w:tab/>
      </w:r>
      <w:r>
        <w:rPr>
          <w:rFonts w:hint="eastAsia" w:ascii="仿宋" w:hAnsi="仿宋" w:eastAsia="仿宋"/>
          <w:sz w:val="24"/>
        </w:rPr>
        <w:t>4</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二、机构设置</w:t>
      </w:r>
      <w:r>
        <w:rPr>
          <w:sz w:val="24"/>
        </w:rPr>
        <w:tab/>
      </w:r>
      <w:r>
        <w:rPr>
          <w:rFonts w:hint="eastAsia" w:ascii="仿宋" w:hAnsi="仿宋" w:eastAsia="仿宋"/>
          <w:sz w:val="24"/>
        </w:rPr>
        <w:t>4</w:t>
      </w:r>
    </w:p>
    <w:p>
      <w:pPr>
        <w:pStyle w:val="13"/>
        <w:adjustRightInd w:val="0"/>
        <w:snapToGrid w:val="0"/>
        <w:spacing w:before="0" w:line="560" w:lineRule="exact"/>
        <w:jc w:val="left"/>
        <w:rPr>
          <w:rFonts w:ascii="Times New Roman" w:hAnsi="Times New Roman" w:cs="黑体"/>
          <w:sz w:val="32"/>
          <w:szCs w:val="32"/>
        </w:rPr>
      </w:pPr>
      <w:r>
        <w:rPr>
          <w:rFonts w:hint="eastAsia" w:ascii="Times New Roman" w:hAnsi="Times New Roman" w:eastAsia="黑体" w:cs="黑体"/>
          <w:sz w:val="32"/>
          <w:szCs w:val="32"/>
        </w:rPr>
        <w:t>第二部分 2025年度单位决算情况说明</w:t>
      </w:r>
      <w:r>
        <w:rPr>
          <w:sz w:val="24"/>
          <w:szCs w:val="24"/>
        </w:rPr>
        <w:tab/>
      </w:r>
      <w:r>
        <w:rPr>
          <w:rFonts w:hint="eastAsia"/>
          <w:bCs/>
          <w:sz w:val="24"/>
          <w:szCs w:val="24"/>
        </w:rPr>
        <w:t>5</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一、收入支出决算总体情况说明</w:t>
      </w:r>
      <w:r>
        <w:rPr>
          <w:sz w:val="24"/>
        </w:rPr>
        <w:tab/>
      </w:r>
      <w:r>
        <w:rPr>
          <w:rFonts w:hint="eastAsia" w:ascii="仿宋" w:hAnsi="仿宋" w:eastAsia="仿宋"/>
          <w:sz w:val="24"/>
        </w:rPr>
        <w:t>5</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二、收入决算情况说明</w:t>
      </w:r>
      <w:r>
        <w:rPr>
          <w:sz w:val="24"/>
        </w:rPr>
        <w:tab/>
      </w:r>
      <w:r>
        <w:rPr>
          <w:rFonts w:hint="eastAsia" w:ascii="仿宋" w:hAnsi="仿宋" w:eastAsia="仿宋"/>
          <w:sz w:val="24"/>
        </w:rPr>
        <w:t>5</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三、支出决算情况说明</w:t>
      </w:r>
      <w:r>
        <w:rPr>
          <w:sz w:val="24"/>
        </w:rPr>
        <w:tab/>
      </w:r>
      <w:r>
        <w:rPr>
          <w:rFonts w:hint="eastAsia" w:ascii="仿宋" w:hAnsi="仿宋" w:eastAsia="仿宋"/>
          <w:sz w:val="24"/>
        </w:rPr>
        <w:t>6</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四、财政拨款收入支出决算总体情况说明</w:t>
      </w:r>
      <w:r>
        <w:rPr>
          <w:sz w:val="24"/>
        </w:rPr>
        <w:tab/>
      </w:r>
      <w:r>
        <w:rPr>
          <w:rFonts w:hint="eastAsia" w:ascii="仿宋" w:hAnsi="仿宋" w:eastAsia="仿宋"/>
          <w:sz w:val="24"/>
        </w:rPr>
        <w:t>7</w:t>
      </w:r>
    </w:p>
    <w:p>
      <w:pPr>
        <w:pStyle w:val="14"/>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五、一般公共预算财政拨款支出决算情况说明</w:t>
      </w:r>
      <w:r>
        <w:rPr>
          <w:sz w:val="24"/>
        </w:rPr>
        <w:tab/>
      </w:r>
      <w:r>
        <w:rPr>
          <w:rFonts w:hint="eastAsia" w:ascii="仿宋" w:hAnsi="仿宋" w:eastAsia="仿宋"/>
          <w:sz w:val="24"/>
        </w:rPr>
        <w:t>7</w:t>
      </w:r>
    </w:p>
    <w:p>
      <w:pPr>
        <w:pStyle w:val="14"/>
        <w:adjustRightInd w:val="0"/>
        <w:snapToGrid w:val="0"/>
        <w:spacing w:line="560" w:lineRule="exact"/>
        <w:ind w:left="0" w:leftChars="0" w:firstLine="640" w:firstLineChars="200"/>
        <w:jc w:val="left"/>
        <w:rPr>
          <w:rFonts w:eastAsia="仿宋" w:cs="仿宋_GB2312"/>
          <w:sz w:val="32"/>
          <w:szCs w:val="32"/>
        </w:rPr>
      </w:pPr>
      <w:r>
        <w:rPr>
          <w:rFonts w:hint="eastAsia" w:eastAsia="仿宋_GB2312" w:cs="仿宋_GB2312"/>
          <w:sz w:val="32"/>
          <w:szCs w:val="32"/>
        </w:rPr>
        <w:t>六、一般公共预算财政拨款基本支出决算情况说明</w:t>
      </w:r>
      <w:r>
        <w:rPr>
          <w:sz w:val="24"/>
        </w:rPr>
        <w:tab/>
      </w:r>
      <w:r>
        <w:rPr>
          <w:rFonts w:hint="eastAsia" w:ascii="仿宋" w:hAnsi="仿宋" w:eastAsia="仿宋"/>
          <w:sz w:val="24"/>
        </w:rPr>
        <w:t>10</w:t>
      </w:r>
    </w:p>
    <w:p>
      <w:pPr>
        <w:pStyle w:val="14"/>
        <w:adjustRightInd w:val="0"/>
        <w:snapToGrid w:val="0"/>
        <w:spacing w:line="560" w:lineRule="exact"/>
        <w:ind w:left="0" w:leftChars="0" w:firstLine="640" w:firstLineChars="200"/>
        <w:jc w:val="left"/>
        <w:rPr>
          <w:rFonts w:eastAsia="仿宋" w:cs="仿宋_GB2312"/>
          <w:sz w:val="32"/>
          <w:szCs w:val="32"/>
        </w:rPr>
      </w:pPr>
      <w:r>
        <w:rPr>
          <w:rFonts w:hint="eastAsia" w:eastAsia="仿宋_GB2312" w:cs="仿宋_GB2312"/>
          <w:sz w:val="32"/>
          <w:szCs w:val="32"/>
        </w:rPr>
        <w:t>七、财政拨款“三公”经费支出决算情况说明</w:t>
      </w:r>
      <w:r>
        <w:rPr>
          <w:sz w:val="24"/>
        </w:rPr>
        <w:tab/>
      </w:r>
      <w:r>
        <w:rPr>
          <w:rFonts w:hint="eastAsia" w:ascii="仿宋" w:hAnsi="仿宋" w:eastAsia="仿宋"/>
          <w:sz w:val="24"/>
        </w:rPr>
        <w:t>10</w:t>
      </w:r>
    </w:p>
    <w:p>
      <w:pPr>
        <w:pStyle w:val="14"/>
        <w:adjustRightInd w:val="0"/>
        <w:snapToGrid w:val="0"/>
        <w:spacing w:line="560" w:lineRule="exact"/>
        <w:ind w:left="0" w:leftChars="0" w:firstLine="640" w:firstLineChars="200"/>
        <w:jc w:val="left"/>
        <w:rPr>
          <w:rFonts w:eastAsia="仿宋" w:cs="仿宋_GB2312"/>
          <w:sz w:val="32"/>
          <w:szCs w:val="32"/>
        </w:rPr>
      </w:pPr>
      <w:r>
        <w:rPr>
          <w:rFonts w:hint="eastAsia" w:eastAsia="仿宋_GB2312" w:cs="仿宋_GB2312"/>
          <w:sz w:val="32"/>
          <w:szCs w:val="32"/>
        </w:rPr>
        <w:t>八、政府性基金预算支出决算情况说明</w:t>
      </w:r>
      <w:r>
        <w:rPr>
          <w:sz w:val="24"/>
        </w:rPr>
        <w:tab/>
      </w:r>
      <w:r>
        <w:rPr>
          <w:rFonts w:hint="eastAsia" w:ascii="仿宋" w:hAnsi="仿宋" w:eastAsia="仿宋"/>
          <w:sz w:val="24"/>
        </w:rPr>
        <w:t>12</w:t>
      </w:r>
    </w:p>
    <w:p>
      <w:pPr>
        <w:pStyle w:val="14"/>
        <w:adjustRightInd w:val="0"/>
        <w:snapToGrid w:val="0"/>
        <w:spacing w:line="560" w:lineRule="exact"/>
        <w:ind w:left="0" w:leftChars="0" w:firstLine="640" w:firstLineChars="200"/>
        <w:jc w:val="left"/>
        <w:rPr>
          <w:rFonts w:eastAsia="仿宋" w:cs="仿宋_GB2312"/>
          <w:sz w:val="32"/>
          <w:szCs w:val="32"/>
        </w:rPr>
      </w:pPr>
      <w:r>
        <w:rPr>
          <w:rFonts w:hint="eastAsia" w:eastAsia="仿宋_GB2312" w:cs="仿宋_GB2312"/>
          <w:sz w:val="32"/>
          <w:szCs w:val="32"/>
        </w:rPr>
        <w:t>九、国有资本经营预算支出决算情况说明</w:t>
      </w:r>
      <w:r>
        <w:rPr>
          <w:sz w:val="24"/>
        </w:rPr>
        <w:tab/>
      </w:r>
      <w:r>
        <w:rPr>
          <w:rFonts w:hint="eastAsia" w:ascii="仿宋" w:hAnsi="仿宋" w:eastAsia="仿宋"/>
          <w:sz w:val="24"/>
        </w:rPr>
        <w:t>13</w:t>
      </w:r>
    </w:p>
    <w:p>
      <w:pPr>
        <w:pStyle w:val="14"/>
        <w:adjustRightInd w:val="0"/>
        <w:snapToGrid w:val="0"/>
        <w:spacing w:line="560" w:lineRule="exact"/>
        <w:ind w:left="0" w:leftChars="0" w:firstLine="640" w:firstLineChars="200"/>
        <w:jc w:val="left"/>
        <w:rPr>
          <w:rFonts w:eastAsia="仿宋" w:cs="仿宋_GB2312"/>
          <w:sz w:val="32"/>
          <w:szCs w:val="32"/>
        </w:rPr>
      </w:pPr>
      <w:r>
        <w:rPr>
          <w:rFonts w:hint="eastAsia" w:eastAsia="仿宋_GB2312" w:cs="仿宋_GB2312"/>
          <w:sz w:val="32"/>
          <w:szCs w:val="32"/>
        </w:rPr>
        <w:t>十、其他重要事项的情况说明</w:t>
      </w:r>
      <w:r>
        <w:rPr>
          <w:sz w:val="24"/>
        </w:rPr>
        <w:tab/>
      </w:r>
      <w:r>
        <w:rPr>
          <w:rFonts w:hint="eastAsia" w:ascii="仿宋" w:hAnsi="仿宋" w:eastAsia="仿宋"/>
          <w:sz w:val="24"/>
        </w:rPr>
        <w:t>13</w:t>
      </w:r>
    </w:p>
    <w:p>
      <w:pPr>
        <w:pStyle w:val="13"/>
        <w:adjustRightInd w:val="0"/>
        <w:snapToGrid w:val="0"/>
        <w:spacing w:before="0" w:line="560" w:lineRule="exact"/>
        <w:jc w:val="left"/>
        <w:rPr>
          <w:rFonts w:ascii="Times New Roman" w:hAnsi="Times New Roman" w:cs="黑体"/>
          <w:sz w:val="32"/>
          <w:szCs w:val="32"/>
        </w:rPr>
      </w:pPr>
      <w:r>
        <w:rPr>
          <w:rFonts w:hint="eastAsia" w:ascii="Times New Roman" w:hAnsi="Times New Roman" w:eastAsia="黑体" w:cs="黑体"/>
          <w:sz w:val="32"/>
          <w:szCs w:val="32"/>
        </w:rPr>
        <w:t>第三部分 名词解释</w:t>
      </w:r>
      <w:r>
        <w:rPr>
          <w:sz w:val="24"/>
          <w:szCs w:val="24"/>
        </w:rPr>
        <w:tab/>
      </w:r>
      <w:r>
        <w:rPr>
          <w:rFonts w:hint="eastAsia"/>
          <w:bCs/>
          <w:sz w:val="24"/>
          <w:szCs w:val="24"/>
        </w:rPr>
        <w:t>15</w:t>
      </w:r>
    </w:p>
    <w:p>
      <w:pPr>
        <w:pStyle w:val="13"/>
        <w:adjustRightInd w:val="0"/>
        <w:snapToGrid w:val="0"/>
        <w:spacing w:before="0" w:line="560" w:lineRule="exact"/>
        <w:jc w:val="left"/>
        <w:rPr>
          <w:rFonts w:ascii="Times New Roman" w:hAnsi="Times New Roman" w:cs="黑体"/>
          <w:sz w:val="32"/>
          <w:szCs w:val="32"/>
        </w:rPr>
      </w:pPr>
      <w:r>
        <w:rPr>
          <w:rFonts w:hint="eastAsia" w:ascii="Times New Roman" w:hAnsi="Times New Roman" w:eastAsia="黑体" w:cs="黑体"/>
          <w:sz w:val="32"/>
          <w:szCs w:val="32"/>
        </w:rPr>
        <w:t>第四部分 附件</w:t>
      </w:r>
      <w:r>
        <w:rPr>
          <w:sz w:val="24"/>
          <w:szCs w:val="24"/>
        </w:rPr>
        <w:tab/>
      </w:r>
      <w:r>
        <w:rPr>
          <w:rFonts w:hint="eastAsia"/>
          <w:bCs/>
          <w:sz w:val="24"/>
          <w:szCs w:val="24"/>
        </w:rPr>
        <w:t>18</w:t>
      </w:r>
    </w:p>
    <w:p>
      <w:pPr>
        <w:pStyle w:val="13"/>
        <w:adjustRightInd w:val="0"/>
        <w:snapToGrid w:val="0"/>
        <w:spacing w:before="0" w:line="560" w:lineRule="exact"/>
        <w:jc w:val="left"/>
        <w:rPr>
          <w:rFonts w:ascii="Times New Roman" w:hAnsi="Times New Roman" w:cs="黑体"/>
          <w:sz w:val="32"/>
          <w:szCs w:val="32"/>
        </w:rPr>
      </w:pPr>
      <w:r>
        <w:rPr>
          <w:rFonts w:hint="eastAsia" w:ascii="Times New Roman" w:hAnsi="Times New Roman" w:eastAsia="黑体" w:cs="黑体"/>
          <w:sz w:val="32"/>
          <w:szCs w:val="32"/>
        </w:rPr>
        <w:t>第五部分 附表</w:t>
      </w:r>
      <w:r>
        <w:rPr>
          <w:sz w:val="24"/>
          <w:szCs w:val="24"/>
        </w:rPr>
        <w:tab/>
      </w:r>
      <w:r>
        <w:rPr>
          <w:rFonts w:hint="eastAsia"/>
          <w:bCs/>
          <w:sz w:val="24"/>
          <w:szCs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sz w:val="24"/>
        </w:rPr>
        <w:tab/>
      </w:r>
      <w:r>
        <w:rPr>
          <w:rFonts w:hint="eastAsia"/>
          <w:bCs/>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sz w:val="24"/>
        </w:rPr>
        <w:tab/>
      </w:r>
      <w:r>
        <w:rPr>
          <w:rFonts w:hint="eastAsia"/>
          <w:bCs/>
          <w:sz w:val="24"/>
        </w:rPr>
        <w:t>19</w:t>
      </w:r>
    </w:p>
    <w:p>
      <w:pPr>
        <w:widowControl/>
        <w:spacing w:line="560" w:lineRule="exact"/>
        <w:jc w:val="left"/>
        <w:rPr>
          <w:rFonts w:eastAsia="仿宋_GB2312" w:cs="仿宋_GB2312"/>
          <w:bCs/>
          <w:kern w:val="44"/>
          <w:sz w:val="32"/>
          <w:szCs w:val="32"/>
        </w:rPr>
      </w:pPr>
      <w:bookmarkStart w:id="12" w:name="_Toc15396599"/>
      <w:bookmarkStart w:id="13" w:name="_Toc15377196"/>
      <w:r>
        <w:rPr>
          <w:rFonts w:hint="eastAsia" w:eastAsia="仿宋_GB2312" w:cs="仿宋_GB2312"/>
          <w:b/>
          <w:sz w:val="32"/>
          <w:szCs w:val="32"/>
        </w:rPr>
        <w:br w:type="page"/>
      </w:r>
    </w:p>
    <w:p>
      <w:pPr>
        <w:pStyle w:val="5"/>
        <w:jc w:val="center"/>
        <w:rPr>
          <w:rFonts w:eastAsia="方正小标宋简体" w:cs="方正小标宋简体"/>
          <w:bCs w:val="0"/>
        </w:rPr>
      </w:pPr>
      <w:r>
        <w:rPr>
          <w:rFonts w:hint="eastAsia" w:eastAsia="方正小标宋简体" w:cs="方正小标宋简体"/>
          <w:b w:val="0"/>
        </w:rPr>
        <w:t>第一部分</w:t>
      </w:r>
      <w:r>
        <w:rPr>
          <w:rStyle w:val="28"/>
          <w:rFonts w:hint="eastAsia" w:eastAsia="方正小标宋简体" w:cs="方正小标宋简体"/>
          <w:b w:val="0"/>
          <w:bCs w:val="0"/>
        </w:rPr>
        <w:t>单位概况</w:t>
      </w:r>
      <w:bookmarkEnd w:id="12"/>
      <w:bookmarkEnd w:id="13"/>
    </w:p>
    <w:p>
      <w:pPr>
        <w:pStyle w:val="6"/>
        <w:numPr>
          <w:ilvl w:val="0"/>
          <w:numId w:val="1"/>
        </w:numPr>
        <w:rPr>
          <w:rFonts w:ascii="Times New Roman" w:hAnsi="Times New Roman" w:eastAsia="黑体"/>
          <w:b w:val="0"/>
        </w:rPr>
      </w:pPr>
      <w:r>
        <w:rPr>
          <w:rFonts w:hint="eastAsia" w:ascii="Times New Roman" w:hAnsi="Times New Roman" w:eastAsia="黑体"/>
          <w:b w:val="0"/>
        </w:rPr>
        <w:t>单位职责</w:t>
      </w:r>
    </w:p>
    <w:p>
      <w:pPr>
        <w:snapToGrid w:val="0"/>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承担市住房和城乡建设局直接监管工程项目施工质量、消防、防雷、安全生产文明施工、扬尘防治等相关事务性、服务性工作；负责全市工程质量检测机构、施工企业安全生产、监理机构动态核查、考评具体事务的事务性、服务性工作；负责建筑工地质量安全标准化建设、建筑企业评优工作的业务指导；负责市住房和城乡建设局监管项目工程质量安全投诉处理协调工作；负责建筑工地远程视频监控、在线扬尘监测等信息化工作；负责对县（区）工程质量安全机构业务工作进行指导。工作内容包括日常工程质量安全监督检查、监督检测，建筑材料委托检测，日常质量安全监督巡查以及组织实施省、市各级要求进行的各类专项检查。</w:t>
      </w:r>
    </w:p>
    <w:p>
      <w:pPr>
        <w:pStyle w:val="6"/>
        <w:rPr>
          <w:rStyle w:val="29"/>
          <w:rFonts w:ascii="Times New Roman" w:hAnsi="Times New Roman"/>
          <w:b w:val="0"/>
          <w:bCs w:val="0"/>
        </w:rPr>
      </w:pPr>
      <w:bookmarkStart w:id="14" w:name="_Toc15377200"/>
      <w:bookmarkStart w:id="15"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p>
    <w:p>
      <w:pPr>
        <w:ind w:firstLine="640" w:firstLineChars="200"/>
        <w:rPr>
          <w:rFonts w:ascii="仿宋_GB2312" w:hAnsi="仿宋" w:eastAsia="仿宋_GB2312"/>
          <w:sz w:val="32"/>
          <w:szCs w:val="32"/>
        </w:rPr>
      </w:pPr>
      <w:r>
        <w:rPr>
          <w:rFonts w:hint="eastAsia" w:ascii="仿宋_GB2312" w:hAnsi="仿宋" w:eastAsia="仿宋_GB2312"/>
          <w:sz w:val="32"/>
          <w:szCs w:val="32"/>
        </w:rPr>
        <w:t>攀枝花市建设工程质量安全站属参照公务员管理的行</w:t>
      </w:r>
    </w:p>
    <w:p>
      <w:pPr>
        <w:rPr>
          <w:rFonts w:ascii="仿宋_GB2312" w:hAnsi="仿宋" w:eastAsia="仿宋_GB2312"/>
          <w:sz w:val="32"/>
          <w:szCs w:val="32"/>
        </w:rPr>
      </w:pPr>
      <w:r>
        <w:rPr>
          <w:rFonts w:hint="eastAsia" w:ascii="仿宋_GB2312" w:hAnsi="仿宋" w:eastAsia="仿宋_GB2312"/>
          <w:sz w:val="32"/>
          <w:szCs w:val="32"/>
        </w:rPr>
        <w:t>政事业单位、隶属于攀枝花市</w:t>
      </w:r>
      <w:r>
        <w:rPr>
          <w:rFonts w:hint="eastAsia" w:ascii="仿宋_GB2312" w:hAnsi="仿宋_GB2312" w:eastAsia="仿宋_GB2312" w:cs="仿宋_GB2312"/>
          <w:sz w:val="32"/>
          <w:szCs w:val="32"/>
        </w:rPr>
        <w:t>住房和城乡建设局</w:t>
      </w:r>
      <w:r>
        <w:rPr>
          <w:rFonts w:hint="eastAsia" w:ascii="仿宋_GB2312" w:hAnsi="仿宋" w:eastAsia="仿宋_GB2312"/>
          <w:sz w:val="32"/>
          <w:szCs w:val="32"/>
        </w:rPr>
        <w:t>系统的独立核算二级预算副县级单位。我单位共设有9个科室，分别是办公室、检测管理科、安全科、监督科、管理科、稽查科、钒钛高新技术产业开发区分站、工程安装科、工程消防科。经费来源由市财政全额拨款。</w:t>
      </w:r>
    </w:p>
    <w:p>
      <w:pPr>
        <w:pStyle w:val="5"/>
        <w:jc w:val="center"/>
        <w:rPr>
          <w:rFonts w:eastAsia="方正小标宋简体" w:cs="方正小标宋简体"/>
          <w:b w:val="0"/>
        </w:rPr>
      </w:pPr>
      <w:bookmarkStart w:id="16" w:name="_Toc15377204"/>
      <w:bookmarkStart w:id="17" w:name="_Toc15396602"/>
      <w:r>
        <w:rPr>
          <w:rFonts w:hint="eastAsia" w:eastAsia="方正小标宋简体" w:cs="方正小标宋简体"/>
          <w:b w:val="0"/>
        </w:rPr>
        <w:t>第二部分2025年度单位决算情况说明</w:t>
      </w:r>
      <w:bookmarkEnd w:id="16"/>
      <w:bookmarkEnd w:id="17"/>
    </w:p>
    <w:p/>
    <w:p>
      <w:pPr>
        <w:pStyle w:val="27"/>
        <w:spacing w:line="600" w:lineRule="exact"/>
        <w:ind w:firstLine="640"/>
        <w:outlineLvl w:val="1"/>
        <w:rPr>
          <w:rStyle w:val="29"/>
          <w:rFonts w:ascii="Times New Roman" w:hAnsi="Times New Roman" w:eastAsia="黑体"/>
          <w:b w:val="0"/>
        </w:rPr>
      </w:pPr>
      <w:bookmarkStart w:id="18" w:name="_Toc15377205"/>
      <w:bookmarkStart w:id="19"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8"/>
      <w:bookmarkEnd w:id="19"/>
    </w:p>
    <w:p>
      <w:pPr>
        <w:snapToGrid w:val="0"/>
        <w:spacing w:line="52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年度收入、支出总计均为</w:t>
      </w:r>
      <w:r>
        <w:rPr>
          <w:rFonts w:hint="eastAsia" w:ascii="仿宋_GB2312" w:hAnsi="仿宋_GB2312" w:eastAsia="仿宋_GB2312" w:cs="仿宋_GB2312"/>
          <w:sz w:val="32"/>
          <w:szCs w:val="32"/>
        </w:rPr>
        <w:t>909.24</w:t>
      </w:r>
      <w:r>
        <w:rPr>
          <w:rFonts w:hint="eastAsia" w:eastAsia="仿宋_GB2312" w:cs="仿宋_GB2312"/>
          <w:sz w:val="32"/>
          <w:szCs w:val="32"/>
        </w:rPr>
        <w:t>万元。与上年度相比，收入、支出总计各增加</w:t>
      </w:r>
      <w:r>
        <w:rPr>
          <w:rFonts w:hint="eastAsia" w:ascii="仿宋_GB2312" w:hAnsi="仿宋_GB2312" w:eastAsia="仿宋_GB2312" w:cs="仿宋_GB2312"/>
          <w:sz w:val="32"/>
          <w:szCs w:val="32"/>
        </w:rPr>
        <w:t>3.21</w:t>
      </w:r>
      <w:r>
        <w:rPr>
          <w:rFonts w:hint="eastAsia" w:eastAsia="仿宋_GB2312" w:cs="仿宋_GB2312"/>
          <w:sz w:val="32"/>
          <w:szCs w:val="32"/>
        </w:rPr>
        <w:t>万元，增长</w:t>
      </w:r>
      <w:r>
        <w:rPr>
          <w:rFonts w:hint="eastAsia" w:ascii="仿宋_GB2312" w:hAnsi="仿宋_GB2312" w:eastAsia="仿宋_GB2312" w:cs="仿宋_GB2312"/>
          <w:sz w:val="32"/>
          <w:szCs w:val="32"/>
        </w:rPr>
        <w:t>0.4%</w:t>
      </w:r>
      <w:r>
        <w:rPr>
          <w:rFonts w:hint="eastAsia" w:eastAsia="仿宋_GB2312" w:cs="仿宋_GB2312"/>
          <w:sz w:val="32"/>
          <w:szCs w:val="32"/>
        </w:rPr>
        <w:t>。主要变动原因是</w:t>
      </w:r>
      <w:r>
        <w:rPr>
          <w:rFonts w:hint="eastAsia" w:ascii="仿宋_GB2312" w:hAnsi="仿宋" w:eastAsia="仿宋_GB2312"/>
          <w:sz w:val="32"/>
          <w:szCs w:val="32"/>
        </w:rPr>
        <w:t>人员经费增加。</w:t>
      </w:r>
    </w:p>
    <w:p>
      <w:pPr>
        <w:pStyle w:val="2"/>
      </w:pPr>
    </w:p>
    <w:p>
      <w:pPr>
        <w:ind w:firstLine="525" w:firstLineChars="250"/>
        <w:rPr>
          <w:rFonts w:eastAsia="仿宋_GB2312" w:cs="仿宋_GB2312"/>
          <w:sz w:val="32"/>
          <w:szCs w:val="32"/>
        </w:rPr>
      </w:pPr>
      <w:r>
        <w:drawing>
          <wp:inline distT="0" distB="0" distL="0" distR="0">
            <wp:extent cx="4826000" cy="3150235"/>
            <wp:effectExtent l="19050" t="0" r="12641" b="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ind w:firstLine="1280" w:firstLineChars="400"/>
        <w:rPr>
          <w:rFonts w:eastAsia="仿宋_GB2312" w:cs="仿宋_GB2312"/>
          <w:sz w:val="32"/>
          <w:szCs w:val="32"/>
        </w:rPr>
      </w:pPr>
      <w:bookmarkStart w:id="20" w:name="_Toc15396604"/>
      <w:bookmarkStart w:id="21" w:name="_Toc15377206"/>
      <w:r>
        <w:rPr>
          <w:rFonts w:hint="eastAsia" w:eastAsia="仿宋_GB2312" w:cs="仿宋_GB2312"/>
          <w:sz w:val="32"/>
          <w:szCs w:val="32"/>
        </w:rPr>
        <w:t>（图1：收入、支出决算总计变动情况图）</w:t>
      </w:r>
    </w:p>
    <w:p>
      <w:pPr>
        <w:pStyle w:val="2"/>
      </w:pPr>
    </w:p>
    <w:p>
      <w:pPr>
        <w:pStyle w:val="3"/>
        <w:ind w:left="420"/>
      </w:pPr>
    </w:p>
    <w:p>
      <w:pPr>
        <w:pStyle w:val="27"/>
        <w:spacing w:line="600" w:lineRule="exact"/>
        <w:ind w:firstLine="640"/>
        <w:outlineLvl w:val="1"/>
        <w:rPr>
          <w:rFonts w:eastAsia="黑体"/>
          <w:sz w:val="32"/>
          <w:szCs w:val="32"/>
        </w:rPr>
      </w:pPr>
      <w:r>
        <w:rPr>
          <w:rFonts w:hint="eastAsia" w:eastAsia="黑体"/>
          <w:sz w:val="32"/>
          <w:szCs w:val="32"/>
        </w:rPr>
        <w:t>二、收入决算情况说明</w:t>
      </w:r>
      <w:bookmarkEnd w:id="20"/>
      <w:bookmarkEnd w:id="21"/>
    </w:p>
    <w:p>
      <w:pPr>
        <w:pStyle w:val="27"/>
        <w:spacing w:line="600" w:lineRule="exact"/>
        <w:ind w:firstLine="640"/>
        <w:outlineLvl w:val="1"/>
        <w:rPr>
          <w:rFonts w:eastAsia="仿宋_GB2312" w:cs="仿宋_GB2312"/>
          <w:b/>
          <w:bCs/>
          <w:sz w:val="32"/>
          <w:szCs w:val="32"/>
        </w:rPr>
      </w:pPr>
      <w:r>
        <w:rPr>
          <w:rFonts w:hint="eastAsia" w:ascii="仿宋_GB2312" w:hAnsi="仿宋_GB2312" w:eastAsia="仿宋_GB2312" w:cs="仿宋_GB2312"/>
          <w:sz w:val="32"/>
          <w:szCs w:val="32"/>
        </w:rPr>
        <w:t>2025年度本年收入合计909.24万元，其中：一般公共预算财政拨款收入909.24万元，占100%。</w:t>
      </w:r>
    </w:p>
    <w:p>
      <w:pPr>
        <w:ind w:firstLine="525" w:firstLineChars="250"/>
        <w:rPr>
          <w:rFonts w:eastAsia="仿宋_GB2312" w:cs="仿宋_GB2312"/>
          <w:sz w:val="32"/>
          <w:szCs w:val="32"/>
        </w:rPr>
      </w:pPr>
      <w:r>
        <w:drawing>
          <wp:inline distT="0" distB="0" distL="0" distR="0">
            <wp:extent cx="4824095" cy="3072765"/>
            <wp:effectExtent l="19050" t="0" r="14546" b="0"/>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
      </w:pPr>
    </w:p>
    <w:p>
      <w:pPr>
        <w:ind w:firstLine="2240" w:firstLineChars="700"/>
        <w:rPr>
          <w:rFonts w:eastAsia="仿宋_GB2312" w:cs="仿宋_GB2312"/>
          <w:sz w:val="32"/>
          <w:szCs w:val="32"/>
        </w:rPr>
      </w:pPr>
      <w:r>
        <w:rPr>
          <w:rFonts w:hint="eastAsia" w:eastAsia="仿宋_GB2312" w:cs="仿宋_GB2312"/>
          <w:sz w:val="32"/>
          <w:szCs w:val="32"/>
        </w:rPr>
        <w:t>（图2：收入决算结构图）</w:t>
      </w:r>
    </w:p>
    <w:p>
      <w:pPr>
        <w:pStyle w:val="3"/>
        <w:ind w:left="0" w:leftChars="0" w:firstLine="0" w:firstLineChars="0"/>
      </w:pPr>
    </w:p>
    <w:p>
      <w:pPr>
        <w:pStyle w:val="27"/>
        <w:spacing w:line="600" w:lineRule="exact"/>
        <w:ind w:firstLine="640"/>
        <w:outlineLvl w:val="1"/>
        <w:rPr>
          <w:rStyle w:val="29"/>
          <w:rFonts w:ascii="Times New Roman" w:hAnsi="Times New Roman" w:eastAsia="黑体"/>
          <w:b w:val="0"/>
        </w:rPr>
      </w:pPr>
      <w:bookmarkStart w:id="22" w:name="_Toc15377207"/>
      <w:bookmarkStart w:id="23" w:name="_Toc15396605"/>
      <w:r>
        <w:rPr>
          <w:rFonts w:hint="eastAsia" w:eastAsia="黑体"/>
          <w:sz w:val="32"/>
          <w:szCs w:val="32"/>
        </w:rPr>
        <w:t>三、支</w:t>
      </w:r>
      <w:r>
        <w:rPr>
          <w:rStyle w:val="29"/>
          <w:rFonts w:hint="eastAsia" w:ascii="Times New Roman" w:hAnsi="Times New Roman" w:eastAsia="黑体"/>
          <w:b w:val="0"/>
        </w:rPr>
        <w:t>出决算情况说明</w:t>
      </w:r>
      <w:bookmarkEnd w:id="22"/>
      <w:bookmarkEnd w:id="23"/>
    </w:p>
    <w:p>
      <w:pPr>
        <w:pStyle w:val="27"/>
        <w:spacing w:line="600" w:lineRule="exact"/>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2025年度本年支出合计909.24万元，其中：基本支出904.01万元，占99.42%；项目支出5.23万元，占0.58%。</w:t>
      </w:r>
    </w:p>
    <w:p>
      <w:pPr>
        <w:ind w:firstLine="2400" w:firstLineChars="750"/>
        <w:rPr>
          <w:rFonts w:eastAsia="仿宋_GB2312" w:cs="仿宋_GB2312"/>
          <w:sz w:val="32"/>
          <w:szCs w:val="32"/>
        </w:rPr>
      </w:pPr>
      <w:r>
        <w:rPr>
          <w:rFonts w:hint="eastAsia" w:eastAsia="仿宋_GB2312" w:cs="仿宋_GB2312"/>
          <w:sz w:val="32"/>
          <w:szCs w:val="32"/>
        </w:rPr>
        <w:drawing>
          <wp:anchor distT="0" distB="0" distL="114300" distR="114300" simplePos="0" relativeHeight="251660288" behindDoc="0" locked="0" layoutInCell="1" allowOverlap="1">
            <wp:simplePos x="0" y="0"/>
            <wp:positionH relativeFrom="column">
              <wp:posOffset>417195</wp:posOffset>
            </wp:positionH>
            <wp:positionV relativeFrom="paragraph">
              <wp:posOffset>126365</wp:posOffset>
            </wp:positionV>
            <wp:extent cx="4765040" cy="2923540"/>
            <wp:effectExtent l="19050" t="0" r="0" b="0"/>
            <wp:wrapSquare wrapText="bothSides"/>
            <wp:docPr id="21" name="图片 16" descr="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16" descr="1.png"/>
                    <pic:cNvPicPr>
                      <a:picLocks noChangeAspect="true"/>
                    </pic:cNvPicPr>
                  </pic:nvPicPr>
                  <pic:blipFill>
                    <a:blip r:embed="rId9"/>
                    <a:stretch>
                      <a:fillRect/>
                    </a:stretch>
                  </pic:blipFill>
                  <pic:spPr>
                    <a:xfrm>
                      <a:off x="0" y="0"/>
                      <a:ext cx="4765040" cy="2923540"/>
                    </a:xfrm>
                    <a:prstGeom prst="rect">
                      <a:avLst/>
                    </a:prstGeom>
                  </pic:spPr>
                </pic:pic>
              </a:graphicData>
            </a:graphic>
          </wp:anchor>
        </w:drawing>
      </w:r>
    </w:p>
    <w:p>
      <w:pPr>
        <w:ind w:firstLine="2400" w:firstLineChars="750"/>
        <w:rPr>
          <w:rFonts w:eastAsia="仿宋_GB2312" w:cs="仿宋_GB2312"/>
          <w:sz w:val="32"/>
          <w:szCs w:val="32"/>
        </w:rPr>
      </w:pPr>
    </w:p>
    <w:p>
      <w:pPr>
        <w:ind w:firstLine="2400" w:firstLineChars="750"/>
        <w:rPr>
          <w:rFonts w:eastAsia="仿宋_GB2312" w:cs="仿宋_GB2312"/>
          <w:sz w:val="32"/>
          <w:szCs w:val="32"/>
        </w:rPr>
      </w:pPr>
      <w:r>
        <w:rPr>
          <w:rFonts w:hint="eastAsia" w:eastAsia="仿宋_GB2312" w:cs="仿宋_GB2312"/>
          <w:sz w:val="32"/>
          <w:szCs w:val="32"/>
        </w:rPr>
        <w:t>（</w:t>
      </w:r>
    </w:p>
    <w:p>
      <w:pPr>
        <w:ind w:firstLine="2400" w:firstLineChars="750"/>
        <w:rPr>
          <w:rFonts w:eastAsia="仿宋_GB2312" w:cs="仿宋_GB2312"/>
          <w:sz w:val="32"/>
          <w:szCs w:val="32"/>
        </w:rPr>
      </w:pPr>
    </w:p>
    <w:p>
      <w:pPr>
        <w:ind w:firstLine="2400" w:firstLineChars="750"/>
        <w:rPr>
          <w:rFonts w:eastAsia="仿宋_GB2312" w:cs="仿宋_GB2312"/>
          <w:sz w:val="32"/>
          <w:szCs w:val="32"/>
        </w:rPr>
      </w:pPr>
    </w:p>
    <w:p>
      <w:pPr>
        <w:ind w:firstLine="2400" w:firstLineChars="750"/>
        <w:rPr>
          <w:rFonts w:eastAsia="仿宋_GB2312" w:cs="仿宋_GB2312"/>
          <w:sz w:val="32"/>
          <w:szCs w:val="32"/>
        </w:rPr>
      </w:pPr>
    </w:p>
    <w:p>
      <w:pPr>
        <w:ind w:firstLine="2400" w:firstLineChars="750"/>
        <w:rPr>
          <w:rFonts w:eastAsia="仿宋_GB2312" w:cs="仿宋_GB2312"/>
          <w:sz w:val="32"/>
          <w:szCs w:val="32"/>
        </w:rPr>
      </w:pPr>
    </w:p>
    <w:p>
      <w:pPr>
        <w:ind w:firstLine="2400" w:firstLineChars="750"/>
        <w:rPr>
          <w:rFonts w:eastAsia="仿宋_GB2312" w:cs="仿宋_GB2312"/>
          <w:sz w:val="32"/>
          <w:szCs w:val="32"/>
        </w:rPr>
      </w:pPr>
    </w:p>
    <w:p>
      <w:pPr>
        <w:ind w:firstLine="2240" w:firstLineChars="700"/>
        <w:rPr>
          <w:rFonts w:eastAsia="仿宋_GB2312" w:cs="仿宋_GB2312"/>
          <w:sz w:val="32"/>
          <w:szCs w:val="32"/>
        </w:rPr>
      </w:pPr>
      <w:r>
        <w:rPr>
          <w:rFonts w:hint="eastAsia" w:eastAsia="仿宋_GB2312" w:cs="仿宋_GB2312"/>
          <w:sz w:val="32"/>
          <w:szCs w:val="32"/>
        </w:rPr>
        <w:t>（图3：支出决算结构图）</w:t>
      </w:r>
    </w:p>
    <w:p>
      <w:pPr>
        <w:ind w:firstLine="800" w:firstLineChars="25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24" w:name="_Toc15377208"/>
      <w:bookmarkStart w:id="25"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24"/>
      <w:bookmarkEnd w:id="25"/>
    </w:p>
    <w:p>
      <w:pPr>
        <w:spacing w:line="600" w:lineRule="exact"/>
        <w:ind w:firstLine="640"/>
        <w:rPr>
          <w:rFonts w:ascii="仿宋_GB2312" w:hAnsi="仿宋" w:eastAsia="仿宋_GB2312"/>
          <w:sz w:val="32"/>
          <w:szCs w:val="32"/>
        </w:rPr>
      </w:pPr>
      <w:r>
        <w:rPr>
          <w:rFonts w:hint="eastAsia" w:ascii="仿宋_GB2312" w:hAnsi="仿宋_GB2312" w:eastAsia="仿宋_GB2312" w:cs="仿宋_GB2312"/>
          <w:sz w:val="32"/>
          <w:szCs w:val="32"/>
        </w:rPr>
        <w:drawing>
          <wp:anchor distT="0" distB="0" distL="114300" distR="114300" simplePos="0" relativeHeight="251661312" behindDoc="1" locked="0" layoutInCell="1" allowOverlap="1">
            <wp:simplePos x="0" y="0"/>
            <wp:positionH relativeFrom="column">
              <wp:posOffset>417195</wp:posOffset>
            </wp:positionH>
            <wp:positionV relativeFrom="paragraph">
              <wp:posOffset>1189355</wp:posOffset>
            </wp:positionV>
            <wp:extent cx="4765040" cy="3317240"/>
            <wp:effectExtent l="19050" t="0" r="0" b="0"/>
            <wp:wrapTight wrapText="bothSides">
              <wp:wrapPolygon>
                <wp:start x="-86" y="0"/>
                <wp:lineTo x="-86" y="21459"/>
                <wp:lineTo x="21588" y="21459"/>
                <wp:lineTo x="21588" y="0"/>
                <wp:lineTo x="-86" y="0"/>
              </wp:wrapPolygon>
            </wp:wrapTight>
            <wp:docPr id="5" name="图片 4" descr="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descr="1.png"/>
                    <pic:cNvPicPr>
                      <a:picLocks noChangeAspect="true"/>
                    </pic:cNvPicPr>
                  </pic:nvPicPr>
                  <pic:blipFill>
                    <a:blip r:embed="rId10"/>
                    <a:stretch>
                      <a:fillRect/>
                    </a:stretch>
                  </pic:blipFill>
                  <pic:spPr>
                    <a:xfrm>
                      <a:off x="0" y="0"/>
                      <a:ext cx="4765040" cy="3317240"/>
                    </a:xfrm>
                    <a:prstGeom prst="rect">
                      <a:avLst/>
                    </a:prstGeom>
                  </pic:spPr>
                </pic:pic>
              </a:graphicData>
            </a:graphic>
          </wp:anchor>
        </w:drawing>
      </w:r>
      <w:r>
        <w:rPr>
          <w:rFonts w:hint="eastAsia" w:ascii="仿宋_GB2312" w:hAnsi="仿宋_GB2312" w:eastAsia="仿宋_GB2312" w:cs="仿宋_GB2312"/>
          <w:sz w:val="32"/>
          <w:szCs w:val="32"/>
        </w:rPr>
        <w:t>2025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rPr>
        <w:t>909.24</w:t>
      </w:r>
      <w:r>
        <w:rPr>
          <w:rFonts w:hint="eastAsia" w:eastAsia="仿宋_GB2312" w:cs="仿宋_GB2312"/>
          <w:sz w:val="32"/>
          <w:szCs w:val="32"/>
        </w:rPr>
        <w:t>万元。与上年度相比，财政拨款收入总计、支出总计</w:t>
      </w:r>
      <w:r>
        <w:rPr>
          <w:rFonts w:hint="eastAsia" w:ascii="仿宋_GB2312" w:hAnsi="仿宋_GB2312" w:eastAsia="仿宋_GB2312" w:cs="仿宋_GB2312"/>
          <w:sz w:val="32"/>
          <w:szCs w:val="32"/>
        </w:rPr>
        <w:t>各增加3.21</w:t>
      </w:r>
      <w:r>
        <w:rPr>
          <w:rFonts w:hint="eastAsia" w:eastAsia="仿宋_GB2312" w:cs="仿宋_GB2312"/>
          <w:sz w:val="32"/>
          <w:szCs w:val="32"/>
        </w:rPr>
        <w:t>万元，增长</w:t>
      </w:r>
      <w:r>
        <w:rPr>
          <w:rFonts w:hint="eastAsia" w:ascii="仿宋_GB2312" w:hAnsi="仿宋_GB2312" w:eastAsia="仿宋_GB2312" w:cs="仿宋_GB2312"/>
          <w:sz w:val="32"/>
          <w:szCs w:val="32"/>
        </w:rPr>
        <w:t>0.4%。</w:t>
      </w:r>
      <w:r>
        <w:rPr>
          <w:rFonts w:hint="eastAsia" w:eastAsia="仿宋_GB2312" w:cs="仿宋_GB2312"/>
          <w:sz w:val="32"/>
          <w:szCs w:val="32"/>
        </w:rPr>
        <w:t>主要变动原因是</w:t>
      </w:r>
      <w:r>
        <w:rPr>
          <w:rFonts w:hint="eastAsia" w:ascii="仿宋_GB2312" w:hAnsi="仿宋" w:eastAsia="仿宋_GB2312"/>
          <w:sz w:val="32"/>
          <w:szCs w:val="32"/>
        </w:rPr>
        <w:t>人员经费增加。</w:t>
      </w:r>
    </w:p>
    <w:p>
      <w:pPr>
        <w:pStyle w:val="3"/>
        <w:ind w:left="199" w:leftChars="95" w:firstLine="896" w:firstLineChars="280"/>
      </w:pPr>
      <w:r>
        <w:rPr>
          <w:rFonts w:hint="eastAsia" w:eastAsia="仿宋_GB2312" w:cs="仿宋_GB2312"/>
          <w:sz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26" w:name="_Toc15396607"/>
      <w:bookmarkStart w:id="27"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6"/>
      <w:bookmarkEnd w:id="27"/>
    </w:p>
    <w:p>
      <w:pPr>
        <w:spacing w:line="600" w:lineRule="exact"/>
        <w:ind w:firstLine="642"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pPr>
        <w:spacing w:line="600" w:lineRule="exact"/>
        <w:ind w:firstLine="640"/>
        <w:rPr>
          <w:rFonts w:ascii="仿宋_GB2312" w:hAnsi="仿宋" w:eastAsia="仿宋_GB2312"/>
          <w:sz w:val="32"/>
          <w:szCs w:val="32"/>
        </w:rPr>
      </w:pPr>
      <w:r>
        <w:rPr>
          <w:rFonts w:hint="eastAsia" w:ascii="仿宋_GB2312" w:hAnsi="仿宋_GB2312" w:eastAsia="仿宋_GB2312" w:cs="仿宋_GB2312"/>
          <w:sz w:val="32"/>
          <w:szCs w:val="32"/>
        </w:rPr>
        <w:t>2025年度一般公共预算财政拨款支出909.24万元，占本年支出合计的100%。与上年度相比，一般公共预算财政拨款支出增加3.21万元，</w:t>
      </w:r>
      <w:r>
        <w:rPr>
          <w:rFonts w:hint="eastAsia" w:eastAsia="仿宋_GB2312" w:cs="仿宋_GB2312"/>
          <w:sz w:val="32"/>
          <w:szCs w:val="32"/>
        </w:rPr>
        <w:t>增长</w:t>
      </w:r>
      <w:r>
        <w:rPr>
          <w:rFonts w:hint="eastAsia" w:ascii="仿宋_GB2312" w:hAnsi="仿宋_GB2312" w:eastAsia="仿宋_GB2312" w:cs="仿宋_GB2312"/>
          <w:sz w:val="32"/>
          <w:szCs w:val="32"/>
        </w:rPr>
        <w:t>0.4%。</w:t>
      </w:r>
      <w:r>
        <w:rPr>
          <w:rFonts w:hint="eastAsia" w:eastAsia="仿宋_GB2312" w:cs="仿宋_GB2312"/>
          <w:sz w:val="32"/>
          <w:szCs w:val="32"/>
        </w:rPr>
        <w:t>主要变动原因是</w:t>
      </w:r>
      <w:r>
        <w:rPr>
          <w:rFonts w:hint="eastAsia" w:ascii="仿宋_GB2312" w:hAnsi="仿宋" w:eastAsia="仿宋_GB2312"/>
          <w:sz w:val="32"/>
          <w:szCs w:val="32"/>
        </w:rPr>
        <w:t>人员经费增加。</w:t>
      </w:r>
    </w:p>
    <w:p>
      <w:pPr>
        <w:spacing w:line="600" w:lineRule="exact"/>
        <w:ind w:firstLine="640"/>
        <w:rPr>
          <w:rFonts w:ascii="仿宋_GB2312" w:hAnsi="仿宋" w:eastAsia="仿宋_GB2312"/>
          <w:sz w:val="32"/>
          <w:szCs w:val="32"/>
        </w:rPr>
      </w:pPr>
    </w:p>
    <w:p>
      <w:pPr>
        <w:pStyle w:val="3"/>
        <w:ind w:left="0" w:leftChars="0" w:firstLine="0" w:firstLineChars="0"/>
      </w:pPr>
      <w:r>
        <w:drawing>
          <wp:anchor distT="0" distB="0" distL="114300" distR="114300" simplePos="0" relativeHeight="251662336" behindDoc="1" locked="0" layoutInCell="1" allowOverlap="1">
            <wp:simplePos x="0" y="0"/>
            <wp:positionH relativeFrom="column">
              <wp:posOffset>417195</wp:posOffset>
            </wp:positionH>
            <wp:positionV relativeFrom="paragraph">
              <wp:posOffset>22860</wp:posOffset>
            </wp:positionV>
            <wp:extent cx="4807585" cy="3134995"/>
            <wp:effectExtent l="19050" t="0" r="0" b="0"/>
            <wp:wrapTight wrapText="bothSides">
              <wp:wrapPolygon>
                <wp:start x="-86" y="0"/>
                <wp:lineTo x="-86" y="21526"/>
                <wp:lineTo x="21569" y="21526"/>
                <wp:lineTo x="21569" y="0"/>
                <wp:lineTo x="-86" y="0"/>
              </wp:wrapPolygon>
            </wp:wrapTight>
            <wp:docPr id="6" name="图片 5" descr="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5" descr="1.png"/>
                    <pic:cNvPicPr>
                      <a:picLocks noChangeAspect="true"/>
                    </pic:cNvPicPr>
                  </pic:nvPicPr>
                  <pic:blipFill>
                    <a:blip r:embed="rId11"/>
                    <a:stretch>
                      <a:fillRect/>
                    </a:stretch>
                  </pic:blipFill>
                  <pic:spPr>
                    <a:xfrm>
                      <a:off x="0" y="0"/>
                      <a:ext cx="4807585" cy="3134995"/>
                    </a:xfrm>
                    <a:prstGeom prst="rect">
                      <a:avLst/>
                    </a:prstGeom>
                  </pic:spPr>
                </pic:pic>
              </a:graphicData>
            </a:graphic>
          </wp:anchor>
        </w:drawing>
      </w:r>
    </w:p>
    <w:p>
      <w:pPr>
        <w:spacing w:line="600" w:lineRule="exact"/>
        <w:ind w:firstLine="800" w:firstLineChars="25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rPr>
        <w:t>909.24万元</w:t>
      </w:r>
      <w:r>
        <w:rPr>
          <w:rFonts w:hint="eastAsia" w:eastAsia="仿宋_GB2312" w:cs="仿宋_GB2312"/>
          <w:sz w:val="32"/>
          <w:szCs w:val="32"/>
        </w:rPr>
        <w:t>，主要用于以下方面：社会保障和就业</w:t>
      </w:r>
      <w:r>
        <w:rPr>
          <w:rFonts w:hint="eastAsia" w:ascii="仿宋_GB2312" w:hAnsi="仿宋_GB2312" w:eastAsia="仿宋_GB2312" w:cs="仿宋_GB2312"/>
          <w:sz w:val="32"/>
          <w:szCs w:val="32"/>
        </w:rPr>
        <w:t>支出167.42万元，占18.41%；</w:t>
      </w:r>
      <w:r>
        <w:rPr>
          <w:rFonts w:hint="eastAsia" w:eastAsia="仿宋_GB2312" w:cs="仿宋_GB2312"/>
          <w:sz w:val="32"/>
          <w:szCs w:val="32"/>
        </w:rPr>
        <w:t>卫生健康支出</w:t>
      </w:r>
      <w:r>
        <w:rPr>
          <w:rFonts w:hint="eastAsia" w:ascii="仿宋_GB2312" w:hAnsi="仿宋_GB2312" w:eastAsia="仿宋_GB2312" w:cs="仿宋_GB2312"/>
          <w:sz w:val="32"/>
          <w:szCs w:val="32"/>
        </w:rPr>
        <w:t>44.64万元，占4.91%；</w:t>
      </w:r>
      <w:r>
        <w:rPr>
          <w:rFonts w:hint="eastAsia" w:eastAsia="仿宋_GB2312" w:cs="仿宋_GB2312"/>
          <w:sz w:val="32"/>
          <w:szCs w:val="32"/>
        </w:rPr>
        <w:t>城乡社区支出</w:t>
      </w:r>
      <w:r>
        <w:rPr>
          <w:rFonts w:hint="eastAsia" w:ascii="仿宋_GB2312" w:hAnsi="仿宋_GB2312" w:eastAsia="仿宋_GB2312" w:cs="仿宋_GB2312"/>
          <w:sz w:val="32"/>
          <w:szCs w:val="32"/>
        </w:rPr>
        <w:t>642.42万元，占70.65%；住房保障支出54.76万元，占6.03%。</w:t>
      </w:r>
    </w:p>
    <w:p>
      <w:pPr>
        <w:pStyle w:val="2"/>
      </w:pPr>
    </w:p>
    <w:p>
      <w:pPr>
        <w:pStyle w:val="3"/>
        <w:ind w:left="420" w:firstLine="640"/>
        <w:rPr>
          <w:rFonts w:eastAsia="仿宋_GB2312" w:cs="仿宋_GB2312"/>
          <w:sz w:val="32"/>
        </w:rPr>
      </w:pPr>
    </w:p>
    <w:p>
      <w:pPr>
        <w:pStyle w:val="3"/>
        <w:ind w:left="420" w:firstLine="640"/>
        <w:rPr>
          <w:rFonts w:eastAsia="仿宋_GB2312" w:cs="仿宋_GB2312"/>
          <w:sz w:val="32"/>
        </w:rPr>
      </w:pPr>
    </w:p>
    <w:p>
      <w:pPr>
        <w:pStyle w:val="3"/>
        <w:ind w:left="420" w:firstLine="640"/>
        <w:rPr>
          <w:rFonts w:eastAsia="仿宋_GB2312" w:cs="仿宋_GB2312"/>
          <w:sz w:val="32"/>
        </w:rPr>
      </w:pPr>
    </w:p>
    <w:p>
      <w:pPr>
        <w:pStyle w:val="3"/>
        <w:ind w:left="0" w:leftChars="0" w:firstLine="0" w:firstLineChars="0"/>
        <w:rPr>
          <w:rFonts w:eastAsia="仿宋_GB2312" w:cs="仿宋_GB2312"/>
          <w:sz w:val="32"/>
        </w:rPr>
      </w:pPr>
      <w:r>
        <w:rPr>
          <w:rFonts w:hint="eastAsia" w:eastAsia="仿宋_GB2312" w:cs="仿宋_GB2312"/>
          <w:sz w:val="32"/>
        </w:rPr>
        <w:drawing>
          <wp:anchor distT="0" distB="0" distL="114300" distR="114300" simplePos="0" relativeHeight="251664384" behindDoc="1" locked="0" layoutInCell="1" allowOverlap="1">
            <wp:simplePos x="0" y="0"/>
            <wp:positionH relativeFrom="column">
              <wp:posOffset>407035</wp:posOffset>
            </wp:positionH>
            <wp:positionV relativeFrom="paragraph">
              <wp:posOffset>201930</wp:posOffset>
            </wp:positionV>
            <wp:extent cx="4850130" cy="3336925"/>
            <wp:effectExtent l="19050" t="0" r="7620" b="0"/>
            <wp:wrapTight wrapText="bothSides">
              <wp:wrapPolygon>
                <wp:start x="-85" y="0"/>
                <wp:lineTo x="-85" y="21456"/>
                <wp:lineTo x="21634" y="21456"/>
                <wp:lineTo x="21634" y="0"/>
                <wp:lineTo x="-85" y="0"/>
              </wp:wrapPolygon>
            </wp:wrapTight>
            <wp:docPr id="10" name="图片 8" descr="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8" descr="1.png"/>
                    <pic:cNvPicPr>
                      <a:picLocks noChangeAspect="true"/>
                    </pic:cNvPicPr>
                  </pic:nvPicPr>
                  <pic:blipFill>
                    <a:blip r:embed="rId12"/>
                    <a:stretch>
                      <a:fillRect/>
                    </a:stretch>
                  </pic:blipFill>
                  <pic:spPr>
                    <a:xfrm>
                      <a:off x="0" y="0"/>
                      <a:ext cx="4850130" cy="3336925"/>
                    </a:xfrm>
                    <a:prstGeom prst="rect">
                      <a:avLst/>
                    </a:prstGeom>
                  </pic:spPr>
                </pic:pic>
              </a:graphicData>
            </a:graphic>
          </wp:anchor>
        </w:drawing>
      </w:r>
    </w:p>
    <w:p>
      <w:pPr>
        <w:pStyle w:val="3"/>
        <w:ind w:left="199" w:leftChars="95" w:firstLine="896" w:firstLineChars="280"/>
      </w:pPr>
      <w:r>
        <w:rPr>
          <w:rFonts w:hint="eastAsia" w:eastAsia="仿宋_GB2312" w:cs="仿宋_GB2312"/>
          <w:sz w:val="32"/>
        </w:rPr>
        <w:t>（图6：一般公共预算财政拨款支出决算结构）</w:t>
      </w:r>
    </w:p>
    <w:p>
      <w:pPr>
        <w:spacing w:line="600" w:lineRule="exact"/>
        <w:ind w:firstLine="642"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pPr>
        <w:spacing w:line="600" w:lineRule="exact"/>
        <w:ind w:firstLine="640"/>
        <w:rPr>
          <w:rFonts w:eastAsia="仿宋_GB2312" w:cs="仿宋_GB2312"/>
          <w:sz w:val="32"/>
          <w:szCs w:val="32"/>
        </w:rPr>
      </w:pPr>
      <w:bookmarkStart w:id="31" w:name="_Toc15377444"/>
      <w:bookmarkStart w:id="32" w:name="_Toc15377213"/>
      <w:bookmarkStart w:id="33" w:name="_Toc15378460"/>
      <w:r>
        <w:rPr>
          <w:rFonts w:hint="eastAsia" w:ascii="仿宋_GB2312" w:hAnsi="仿宋_GB2312" w:eastAsia="仿宋_GB2312" w:cs="仿宋_GB2312"/>
          <w:sz w:val="32"/>
          <w:szCs w:val="32"/>
        </w:rPr>
        <w:t>2025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rPr>
        <w:t>909.24万元，</w:t>
      </w:r>
      <w:r>
        <w:rPr>
          <w:rFonts w:hint="eastAsia" w:eastAsia="仿宋_GB2312" w:cs="仿宋_GB2312"/>
          <w:sz w:val="32"/>
          <w:szCs w:val="32"/>
        </w:rPr>
        <w:t>完成预算</w:t>
      </w:r>
      <w:r>
        <w:rPr>
          <w:rFonts w:hint="eastAsia" w:ascii="仿宋_GB2312" w:hAnsi="仿宋_GB2312" w:eastAsia="仿宋_GB2312" w:cs="仿宋_GB2312"/>
          <w:sz w:val="32"/>
          <w:szCs w:val="32"/>
        </w:rPr>
        <w:t>100%。</w:t>
      </w:r>
      <w:r>
        <w:rPr>
          <w:rFonts w:hint="eastAsia" w:eastAsia="仿宋_GB2312" w:cs="仿宋_GB2312"/>
          <w:sz w:val="32"/>
          <w:szCs w:val="32"/>
        </w:rPr>
        <w:t>其中：</w:t>
      </w:r>
      <w:bookmarkEnd w:id="31"/>
      <w:bookmarkEnd w:id="32"/>
      <w:bookmarkEnd w:id="33"/>
    </w:p>
    <w:p>
      <w:pPr>
        <w:spacing w:line="600" w:lineRule="exact"/>
        <w:ind w:firstLine="640"/>
        <w:rPr>
          <w:rFonts w:eastAsia="仿宋_GB2312" w:cs="仿宋_GB2312"/>
          <w:sz w:val="32"/>
          <w:szCs w:val="32"/>
        </w:rPr>
      </w:pPr>
      <w:r>
        <w:rPr>
          <w:rFonts w:hint="eastAsia" w:eastAsia="仿宋_GB2312" w:cs="仿宋_GB2312"/>
          <w:sz w:val="32"/>
          <w:szCs w:val="32"/>
        </w:rPr>
        <w:t>1.社会保障和就业（类）行政事业单位养老支出（款）行政单位离退休（项）：支出决算为</w:t>
      </w:r>
      <w:r>
        <w:rPr>
          <w:rFonts w:hint="eastAsia" w:ascii="仿宋_GB2312" w:hAnsi="仿宋_GB2312" w:eastAsia="仿宋_GB2312" w:cs="仿宋_GB2312"/>
          <w:sz w:val="32"/>
          <w:szCs w:val="32"/>
        </w:rPr>
        <w:t>99.1万元</w:t>
      </w:r>
      <w:r>
        <w:rPr>
          <w:rFonts w:hint="eastAsia" w:eastAsia="仿宋_GB2312" w:cs="仿宋_GB2312"/>
          <w:sz w:val="32"/>
          <w:szCs w:val="32"/>
        </w:rPr>
        <w:t>，完成预算</w:t>
      </w:r>
      <w:r>
        <w:rPr>
          <w:rFonts w:hint="eastAsia" w:ascii="仿宋_GB2312" w:hAnsi="仿宋_GB2312" w:eastAsia="仿宋_GB2312" w:cs="仿宋_GB2312"/>
          <w:sz w:val="32"/>
          <w:szCs w:val="32"/>
        </w:rPr>
        <w:t>100%。</w:t>
      </w:r>
    </w:p>
    <w:p>
      <w:pPr>
        <w:spacing w:line="600" w:lineRule="exact"/>
        <w:ind w:firstLine="640"/>
        <w:rPr>
          <w:rFonts w:eastAsia="仿宋_GB2312" w:cs="仿宋_GB2312"/>
          <w:sz w:val="32"/>
          <w:szCs w:val="32"/>
        </w:rPr>
      </w:pPr>
      <w:r>
        <w:rPr>
          <w:rFonts w:hint="eastAsia" w:eastAsia="仿宋_GB2312" w:cs="仿宋_GB2312"/>
          <w:sz w:val="32"/>
          <w:szCs w:val="32"/>
        </w:rPr>
        <w:t>2.社会保障和就业（类）行政事业单位养老支出（款）机关事业单位基本养老保险缴费支出（项）：支出决算为</w:t>
      </w:r>
      <w:r>
        <w:rPr>
          <w:rFonts w:hint="eastAsia" w:ascii="仿宋_GB2312" w:hAnsi="仿宋_GB2312" w:eastAsia="仿宋_GB2312" w:cs="仿宋_GB2312"/>
          <w:sz w:val="32"/>
          <w:szCs w:val="32"/>
        </w:rPr>
        <w:t>68.31</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p>
    <w:p>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3.卫生健康（类）行政事业单位医疗（款）行政单位医疗（项）：支出决算</w:t>
      </w:r>
      <w:r>
        <w:rPr>
          <w:rFonts w:hint="eastAsia" w:ascii="仿宋_GB2312" w:hAnsi="仿宋_GB2312" w:eastAsia="仿宋_GB2312" w:cs="仿宋_GB2312"/>
          <w:sz w:val="32"/>
          <w:szCs w:val="32"/>
        </w:rPr>
        <w:t>为35.97万元，完成预算100%。</w:t>
      </w:r>
    </w:p>
    <w:p>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4.卫生健康（类）行政事业单位医疗（款）公务员医疗补助（项）：支出决</w:t>
      </w:r>
      <w:r>
        <w:rPr>
          <w:rFonts w:hint="eastAsia" w:ascii="仿宋_GB2312" w:hAnsi="仿宋_GB2312" w:eastAsia="仿宋_GB2312" w:cs="仿宋_GB2312"/>
          <w:sz w:val="32"/>
          <w:szCs w:val="32"/>
        </w:rPr>
        <w:t>算为4.11万元，完成预算100%。</w:t>
      </w:r>
    </w:p>
    <w:p>
      <w:pPr>
        <w:spacing w:line="600" w:lineRule="exact"/>
        <w:ind w:firstLine="640"/>
        <w:rPr>
          <w:rFonts w:eastAsia="仿宋_GB2312" w:cs="仿宋_GB2312"/>
          <w:sz w:val="32"/>
          <w:szCs w:val="32"/>
        </w:rPr>
      </w:pPr>
      <w:r>
        <w:rPr>
          <w:rFonts w:hint="eastAsia" w:eastAsia="仿宋_GB2312" w:cs="仿宋_GB2312"/>
          <w:sz w:val="32"/>
          <w:szCs w:val="32"/>
        </w:rPr>
        <w:t>5.卫生健康（类）行政事业单位医疗（款）其他行政事业单位医疗支出（项）：支出决算</w:t>
      </w:r>
      <w:r>
        <w:rPr>
          <w:rFonts w:hint="eastAsia" w:ascii="仿宋_GB2312" w:hAnsi="仿宋_GB2312" w:eastAsia="仿宋_GB2312" w:cs="仿宋_GB2312"/>
          <w:sz w:val="32"/>
          <w:szCs w:val="32"/>
        </w:rPr>
        <w:t>为4.56万元，完成预算100%。</w:t>
      </w:r>
    </w:p>
    <w:p>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6.城乡社区（类）城乡社区管理事务（款）行政运行（项）：支出决算为</w:t>
      </w:r>
      <w:r>
        <w:rPr>
          <w:rFonts w:hint="eastAsia" w:ascii="仿宋_GB2312" w:hAnsi="仿宋_GB2312" w:eastAsia="仿宋_GB2312" w:cs="仿宋_GB2312"/>
          <w:sz w:val="32"/>
          <w:szCs w:val="32"/>
        </w:rPr>
        <w:t>637.19万元，完成预算100%。</w:t>
      </w:r>
    </w:p>
    <w:p>
      <w:pPr>
        <w:spacing w:line="600" w:lineRule="exact"/>
        <w:ind w:firstLine="640"/>
        <w:rPr>
          <w:rFonts w:eastAsia="仿宋_GB2312" w:cs="仿宋_GB2312"/>
          <w:sz w:val="32"/>
          <w:szCs w:val="32"/>
        </w:rPr>
      </w:pPr>
      <w:r>
        <w:rPr>
          <w:rFonts w:hint="eastAsia" w:eastAsia="仿宋_GB2312" w:cs="仿宋_GB2312"/>
          <w:sz w:val="32"/>
          <w:szCs w:val="32"/>
        </w:rPr>
        <w:t>7.城乡社区（类）建设市场管理与监督（款）建设市场管理与监督（项）：支出决算为</w:t>
      </w:r>
      <w:r>
        <w:rPr>
          <w:rFonts w:hint="eastAsia" w:ascii="仿宋_GB2312" w:hAnsi="仿宋_GB2312" w:eastAsia="仿宋_GB2312" w:cs="仿宋_GB2312"/>
          <w:sz w:val="32"/>
          <w:szCs w:val="32"/>
        </w:rPr>
        <w:t>5.23万元，完成预算100%。</w:t>
      </w:r>
    </w:p>
    <w:p>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8.住房保障（类）住房改革支出（款）住房公积金（项）：支出决算</w:t>
      </w:r>
      <w:r>
        <w:rPr>
          <w:rFonts w:hint="eastAsia" w:ascii="仿宋_GB2312" w:hAnsi="仿宋_GB2312" w:eastAsia="仿宋_GB2312" w:cs="仿宋_GB2312"/>
          <w:sz w:val="32"/>
          <w:szCs w:val="32"/>
        </w:rPr>
        <w:t>为54.76万元，完成预算100%。</w:t>
      </w:r>
      <w:bookmarkStart w:id="34" w:name="_Toc15377214"/>
      <w:bookmarkStart w:id="35" w:name="_Toc15396608"/>
    </w:p>
    <w:p>
      <w:pPr>
        <w:spacing w:line="600" w:lineRule="exact"/>
        <w:ind w:firstLine="640"/>
        <w:rPr>
          <w:rFonts w:eastAsia="仿宋_GB2312" w:cs="仿宋_GB2312"/>
          <w:sz w:val="32"/>
          <w:szCs w:val="32"/>
        </w:rPr>
      </w:pPr>
    </w:p>
    <w:p>
      <w:pPr>
        <w:spacing w:line="600" w:lineRule="exact"/>
        <w:ind w:firstLine="640"/>
        <w:rPr>
          <w:rStyle w:val="29"/>
          <w:rFonts w:ascii="Times New Roman" w:hAnsi="Times New Roman"/>
        </w:rPr>
      </w:pPr>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4"/>
      <w:bookmarkEnd w:id="35"/>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w:t>
      </w:r>
      <w:r>
        <w:rPr>
          <w:rFonts w:hint="eastAsia" w:eastAsia="仿宋_GB2312" w:cs="仿宋_GB2312"/>
          <w:sz w:val="32"/>
          <w:szCs w:val="32"/>
        </w:rPr>
        <w:t>度一般公共预算财政拨款基本支出</w:t>
      </w:r>
      <w:r>
        <w:rPr>
          <w:rFonts w:hint="eastAsia" w:ascii="仿宋_GB2312" w:hAnsi="仿宋_GB2312" w:eastAsia="仿宋_GB2312" w:cs="仿宋_GB2312"/>
          <w:sz w:val="32"/>
          <w:szCs w:val="32"/>
        </w:rPr>
        <w:t>904.01万</w:t>
      </w:r>
      <w:r>
        <w:rPr>
          <w:rFonts w:hint="eastAsia" w:eastAsia="仿宋_GB2312" w:cs="仿宋_GB2312"/>
          <w:sz w:val="32"/>
          <w:szCs w:val="32"/>
        </w:rPr>
        <w:t>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832.76万</w:t>
      </w:r>
      <w:r>
        <w:rPr>
          <w:rFonts w:hint="eastAsia" w:eastAsia="仿宋_GB2312" w:cs="仿宋_GB2312"/>
          <w:sz w:val="32"/>
          <w:szCs w:val="32"/>
        </w:rPr>
        <w:t>元，主要包括：基本工资、津贴补贴、奖金、机关事业单位基本养老保险缴费、职工基本医疗保险缴费、公务员医疗补助缴费、其他社会保障缴费、其他工资福利支出、住房公积金、生活补助、医疗费补助、奖励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71.25万</w:t>
      </w:r>
      <w:r>
        <w:rPr>
          <w:rFonts w:hint="eastAsia" w:eastAsia="仿宋_GB2312" w:cs="仿宋_GB2312"/>
          <w:sz w:val="32"/>
          <w:szCs w:val="32"/>
        </w:rPr>
        <w:t>元，主要包括：办公费、水费、电费、邮电费、物业管理费、差旅费、工会经费、福利费、公务用车运行维护费、其他交通费、其他商品和服务支出等。</w:t>
      </w:r>
    </w:p>
    <w:p>
      <w:pPr>
        <w:spacing w:line="600" w:lineRule="exact"/>
        <w:ind w:firstLine="640"/>
        <w:rPr>
          <w:rFonts w:eastAsia="仿宋_GB2312" w:cs="仿宋_GB2312"/>
          <w:sz w:val="32"/>
          <w:szCs w:val="32"/>
        </w:rPr>
      </w:pPr>
    </w:p>
    <w:p>
      <w:pPr>
        <w:spacing w:line="600" w:lineRule="exact"/>
        <w:ind w:firstLine="640"/>
        <w:outlineLvl w:val="1"/>
        <w:rPr>
          <w:rStyle w:val="29"/>
          <w:rFonts w:ascii="Times New Roman" w:hAnsi="Times New Roman" w:eastAsia="黑体"/>
          <w:b w:val="0"/>
        </w:rPr>
      </w:pPr>
      <w:bookmarkStart w:id="36" w:name="_Toc15377215"/>
      <w:bookmarkStart w:id="37"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6"/>
      <w:bookmarkEnd w:id="37"/>
    </w:p>
    <w:p>
      <w:pPr>
        <w:spacing w:line="600" w:lineRule="exact"/>
        <w:ind w:firstLine="642" w:firstLineChars="200"/>
        <w:outlineLvl w:val="2"/>
        <w:rPr>
          <w:rFonts w:eastAsia="楷体_GB2312" w:cs="楷体_GB2312"/>
          <w:b/>
          <w:sz w:val="32"/>
          <w:szCs w:val="32"/>
        </w:rPr>
      </w:pPr>
      <w:bookmarkStart w:id="38" w:name="_Toc15377216"/>
      <w:r>
        <w:rPr>
          <w:rFonts w:hint="eastAsia" w:eastAsia="楷体_GB2312" w:cs="楷体_GB2312"/>
          <w:b/>
          <w:sz w:val="32"/>
          <w:szCs w:val="32"/>
        </w:rPr>
        <w:t>（一）“三公”经费财政拨款支出决算总体情况说明</w:t>
      </w:r>
      <w:bookmarkEnd w:id="38"/>
    </w:p>
    <w:p>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rPr>
        <w:t>5.73万元，完成预算100%，较上年度减少0.3万元，减少4.98%。</w:t>
      </w:r>
    </w:p>
    <w:p>
      <w:pPr>
        <w:spacing w:line="600" w:lineRule="exact"/>
        <w:ind w:firstLine="642" w:firstLineChars="200"/>
        <w:outlineLvl w:val="2"/>
        <w:rPr>
          <w:rFonts w:eastAsia="楷体_GB2312" w:cs="楷体_GB2312"/>
          <w:b/>
          <w:sz w:val="32"/>
          <w:szCs w:val="32"/>
        </w:rPr>
      </w:pPr>
      <w:bookmarkStart w:id="39" w:name="_Toc15377217"/>
      <w:r>
        <w:rPr>
          <w:rFonts w:hint="eastAsia" w:eastAsia="楷体_GB2312" w:cs="楷体_GB2312"/>
          <w:b/>
          <w:sz w:val="32"/>
          <w:szCs w:val="32"/>
        </w:rPr>
        <w:t>（二）“三公”经费财政拨款支出决算具体情况说明</w:t>
      </w:r>
      <w:bookmarkEnd w:id="39"/>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2025年度“三公”经费财政拨款支出决算中，因公出国（境）费支出决算0万元，占0%；公务用车购置及运行维护费支出决算5.73万元，占100%；公务接待费支出决算0万元，占0%。具体情况如下：</w:t>
      </w:r>
    </w:p>
    <w:p>
      <w:pPr>
        <w:pStyle w:val="2"/>
      </w:pPr>
    </w:p>
    <w:p>
      <w:pPr>
        <w:pStyle w:val="3"/>
        <w:ind w:left="420"/>
      </w:pPr>
      <w:r>
        <w:drawing>
          <wp:inline distT="0" distB="0" distL="0" distR="0">
            <wp:extent cx="4794885" cy="3312795"/>
            <wp:effectExtent l="19050" t="0" r="5316" b="0"/>
            <wp:docPr id="11" name="图片 10" descr="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0" descr="1.png"/>
                    <pic:cNvPicPr>
                      <a:picLocks noChangeAspect="true"/>
                    </pic:cNvPicPr>
                  </pic:nvPicPr>
                  <pic:blipFill>
                    <a:blip r:embed="rId13"/>
                    <a:stretch>
                      <a:fillRect/>
                    </a:stretch>
                  </pic:blipFill>
                  <pic:spPr>
                    <a:xfrm>
                      <a:off x="0" y="0"/>
                      <a:ext cx="4797792" cy="3314700"/>
                    </a:xfrm>
                    <a:prstGeom prst="rect">
                      <a:avLst/>
                    </a:prstGeom>
                  </pic:spPr>
                </pic:pic>
              </a:graphicData>
            </a:graphic>
          </wp:inline>
        </w:drawing>
      </w:r>
    </w:p>
    <w:p>
      <w:pPr>
        <w:spacing w:line="600" w:lineRule="exact"/>
        <w:ind w:firstLine="1600" w:firstLineChars="500"/>
        <w:rPr>
          <w:rFonts w:eastAsia="仿宋_GB2312" w:cs="仿宋_GB2312"/>
          <w:sz w:val="32"/>
          <w:szCs w:val="32"/>
        </w:rPr>
      </w:pPr>
      <w:r>
        <w:rPr>
          <w:rFonts w:hint="eastAsia" w:eastAsia="仿宋_GB2312" w:cs="仿宋_GB2312"/>
          <w:sz w:val="32"/>
          <w:szCs w:val="32"/>
        </w:rPr>
        <w:t>（图7：“三公”经费财政拨款支出结构）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1.因公出国（境）经费支出0万元，完成预算0%。</w:t>
      </w:r>
      <w:r>
        <w:rPr>
          <w:rFonts w:hint="eastAsia" w:ascii="仿宋_GB2312" w:hAnsi="仿宋" w:eastAsia="仿宋_GB2312" w:cs="仿宋"/>
          <w:color w:val="000000"/>
          <w:sz w:val="32"/>
          <w:szCs w:val="32"/>
        </w:rPr>
        <w:t>全年安排因公出国（境）团组0次，出国（境）0人。因公出国（境）支出决算比2024年增加/减少0万元，增长/下降0%。</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5.73万</w:t>
      </w:r>
      <w:r>
        <w:rPr>
          <w:rFonts w:hint="eastAsia" w:eastAsia="仿宋_GB2312" w:cs="仿宋_GB2312"/>
          <w:b/>
          <w:bCs/>
          <w:sz w:val="32"/>
          <w:szCs w:val="32"/>
        </w:rPr>
        <w:t>元，完成预算100%。</w:t>
      </w:r>
      <w:r>
        <w:rPr>
          <w:rFonts w:hint="eastAsia" w:eastAsia="仿宋_GB2312" w:cs="仿宋_GB2312"/>
          <w:sz w:val="32"/>
          <w:szCs w:val="32"/>
        </w:rPr>
        <w:t>公务用车购置及运行维护费支出决算比</w:t>
      </w:r>
      <w:r>
        <w:rPr>
          <w:rFonts w:hint="eastAsia" w:ascii="仿宋_GB2312" w:hAnsi="仿宋" w:eastAsia="仿宋_GB2312" w:cs="仿宋"/>
          <w:color w:val="000000"/>
          <w:sz w:val="32"/>
          <w:szCs w:val="32"/>
        </w:rPr>
        <w:t>2024年度减少0.22万元，下降3.7%。</w:t>
      </w:r>
      <w:r>
        <w:rPr>
          <w:rFonts w:hint="eastAsia" w:eastAsia="仿宋_GB2312" w:cs="仿宋_GB2312"/>
          <w:sz w:val="32"/>
          <w:szCs w:val="32"/>
        </w:rPr>
        <w:t>主要原因是</w:t>
      </w:r>
      <w:r>
        <w:rPr>
          <w:rFonts w:hint="eastAsia" w:ascii="仿宋_GB2312" w:hAnsi="仿宋" w:eastAsia="仿宋_GB2312" w:cs="仿宋"/>
          <w:color w:val="000000"/>
          <w:sz w:val="32"/>
          <w:szCs w:val="32"/>
        </w:rPr>
        <w:t>厉行节约，减少经费开支。</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w:t>
      </w:r>
      <w:r>
        <w:rPr>
          <w:rFonts w:hint="eastAsia" w:ascii="仿宋_GB2312" w:hAnsi="仿宋_GB2312" w:eastAsia="仿宋_GB2312" w:cs="仿宋_GB2312"/>
          <w:sz w:val="32"/>
          <w:szCs w:val="32"/>
        </w:rPr>
        <w:t>0</w:t>
      </w:r>
      <w:r>
        <w:rPr>
          <w:rFonts w:hint="eastAsia" w:eastAsia="仿宋_GB2312" w:cs="仿宋_GB2312"/>
          <w:sz w:val="32"/>
          <w:szCs w:val="32"/>
        </w:rPr>
        <w:t>辆，其中：轿车</w:t>
      </w:r>
      <w:r>
        <w:rPr>
          <w:rFonts w:hint="eastAsia" w:ascii="仿宋_GB2312" w:hAnsi="仿宋_GB2312" w:eastAsia="仿宋_GB2312" w:cs="仿宋_GB2312"/>
          <w:sz w:val="32"/>
          <w:szCs w:val="32"/>
        </w:rPr>
        <w:t>0</w:t>
      </w:r>
      <w:r>
        <w:rPr>
          <w:rFonts w:hint="eastAsia" w:eastAsia="仿宋_GB2312" w:cs="仿宋_GB2312"/>
          <w:sz w:val="32"/>
          <w:szCs w:val="32"/>
        </w:rPr>
        <w:t>辆、金额</w:t>
      </w:r>
      <w:r>
        <w:rPr>
          <w:rFonts w:hint="eastAsia" w:ascii="仿宋_GB2312" w:hAnsi="仿宋_GB2312" w:eastAsia="仿宋_GB2312" w:cs="仿宋_GB2312"/>
          <w:sz w:val="32"/>
          <w:szCs w:val="32"/>
        </w:rPr>
        <w:t>0</w:t>
      </w:r>
      <w:r>
        <w:rPr>
          <w:rFonts w:hint="eastAsia" w:eastAsia="仿宋_GB2312" w:cs="仿宋_GB2312"/>
          <w:sz w:val="32"/>
          <w:szCs w:val="32"/>
        </w:rPr>
        <w:t>万元，越野车</w:t>
      </w:r>
      <w:r>
        <w:rPr>
          <w:rFonts w:hint="eastAsia" w:ascii="仿宋_GB2312" w:hAnsi="仿宋_GB2312" w:eastAsia="仿宋_GB2312" w:cs="仿宋_GB2312"/>
          <w:sz w:val="32"/>
          <w:szCs w:val="32"/>
        </w:rPr>
        <w:t>0</w:t>
      </w:r>
      <w:r>
        <w:rPr>
          <w:rFonts w:hint="eastAsia" w:eastAsia="仿宋_GB2312" w:cs="仿宋_GB2312"/>
          <w:sz w:val="32"/>
          <w:szCs w:val="32"/>
        </w:rPr>
        <w:t>辆、金额</w:t>
      </w:r>
      <w:r>
        <w:rPr>
          <w:rFonts w:hint="eastAsia" w:ascii="仿宋_GB2312" w:hAnsi="仿宋_GB2312" w:eastAsia="仿宋_GB2312" w:cs="仿宋_GB2312"/>
          <w:sz w:val="32"/>
          <w:szCs w:val="32"/>
        </w:rPr>
        <w:t>0</w:t>
      </w:r>
      <w:r>
        <w:rPr>
          <w:rFonts w:hint="eastAsia" w:eastAsia="仿宋_GB2312" w:cs="仿宋_GB2312"/>
          <w:sz w:val="32"/>
          <w:szCs w:val="32"/>
        </w:rPr>
        <w:t>万元，载客汽车</w:t>
      </w:r>
      <w:r>
        <w:rPr>
          <w:rFonts w:hint="eastAsia" w:ascii="仿宋_GB2312" w:hAnsi="仿宋_GB2312" w:eastAsia="仿宋_GB2312" w:cs="仿宋_GB2312"/>
          <w:sz w:val="32"/>
          <w:szCs w:val="32"/>
        </w:rPr>
        <w:t>0</w:t>
      </w:r>
      <w:r>
        <w:rPr>
          <w:rFonts w:hint="eastAsia" w:eastAsia="仿宋_GB2312" w:cs="仿宋_GB2312"/>
          <w:sz w:val="32"/>
          <w:szCs w:val="32"/>
        </w:rPr>
        <w:t>辆、金额</w:t>
      </w:r>
      <w:r>
        <w:rPr>
          <w:rFonts w:hint="eastAsia" w:ascii="仿宋_GB2312" w:hAnsi="仿宋_GB2312" w:eastAsia="仿宋_GB2312" w:cs="仿宋_GB2312"/>
          <w:sz w:val="32"/>
          <w:szCs w:val="32"/>
        </w:rPr>
        <w:t>0</w:t>
      </w:r>
      <w:r>
        <w:rPr>
          <w:rFonts w:hint="eastAsia" w:eastAsia="仿宋_GB2312" w:cs="仿宋_GB2312"/>
          <w:sz w:val="32"/>
          <w:szCs w:val="32"/>
        </w:rPr>
        <w:t>万元。截至2025年12月31日，单位共有公务用车4辆，其中：轿车1辆、越野车3辆、载客汽车</w:t>
      </w:r>
      <w:r>
        <w:rPr>
          <w:rFonts w:hint="eastAsia" w:ascii="仿宋_GB2312" w:hAnsi="仿宋_GB2312" w:eastAsia="仿宋_GB2312" w:cs="仿宋_GB2312"/>
          <w:sz w:val="32"/>
          <w:szCs w:val="32"/>
        </w:rPr>
        <w:t>0</w:t>
      </w:r>
      <w:r>
        <w:rPr>
          <w:rFonts w:hint="eastAsia" w:eastAsia="仿宋_GB2312" w:cs="仿宋_GB2312"/>
          <w:sz w:val="32"/>
          <w:szCs w:val="32"/>
        </w:rPr>
        <w:t>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出5.73</w:t>
      </w:r>
      <w:r>
        <w:rPr>
          <w:rFonts w:hint="eastAsia" w:eastAsia="仿宋_GB2312" w:cs="仿宋_GB2312"/>
          <w:sz w:val="32"/>
          <w:szCs w:val="32"/>
        </w:rPr>
        <w:t>万元。主要用于</w:t>
      </w:r>
      <w:r>
        <w:rPr>
          <w:rFonts w:hint="eastAsia" w:ascii="仿宋_GB2312" w:eastAsia="仿宋_GB2312"/>
          <w:sz w:val="32"/>
          <w:szCs w:val="32"/>
        </w:rPr>
        <w:t>工程质量安全监督检查巡查等所需的公务用车燃料费、维修费、过路过桥费、保险费等支出</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元，完成预算0%。</w:t>
      </w:r>
      <w:r>
        <w:rPr>
          <w:rFonts w:hint="eastAsia" w:eastAsia="仿宋_GB2312" w:cs="仿宋_GB2312"/>
          <w:sz w:val="32"/>
          <w:szCs w:val="32"/>
        </w:rPr>
        <w:t>公务接待费支出决算</w:t>
      </w:r>
      <w:r>
        <w:rPr>
          <w:rFonts w:hint="eastAsia" w:ascii="仿宋_GB2312" w:hAnsi="仿宋_GB2312" w:eastAsia="仿宋_GB2312" w:cs="仿宋_GB2312"/>
          <w:sz w:val="32"/>
          <w:szCs w:val="32"/>
        </w:rPr>
        <w:t>比2024年度减少0.08万元，下降100%。</w:t>
      </w:r>
      <w:r>
        <w:rPr>
          <w:rFonts w:hint="eastAsia" w:eastAsia="仿宋_GB2312" w:cs="仿宋_GB2312"/>
          <w:sz w:val="32"/>
          <w:szCs w:val="32"/>
        </w:rPr>
        <w:t>主要原因是</w:t>
      </w:r>
      <w:r>
        <w:rPr>
          <w:rFonts w:hint="eastAsia" w:ascii="仿宋_GB2312" w:hAnsi="仿宋" w:eastAsia="仿宋_GB2312" w:cs="仿宋"/>
          <w:color w:val="000000"/>
          <w:sz w:val="32"/>
          <w:szCs w:val="32"/>
        </w:rPr>
        <w:t>未发生公务接待费</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w:t>
      </w:r>
      <w:r>
        <w:rPr>
          <w:rFonts w:hint="eastAsia" w:eastAsia="仿宋_GB2312" w:cs="仿宋_GB2312"/>
          <w:sz w:val="32"/>
          <w:szCs w:val="32"/>
        </w:rPr>
        <w:t>万元。国内公务接</w:t>
      </w:r>
      <w:r>
        <w:rPr>
          <w:rFonts w:hint="eastAsia" w:ascii="仿宋_GB2312" w:hAnsi="仿宋_GB2312" w:eastAsia="仿宋_GB2312" w:cs="仿宋_GB2312"/>
          <w:sz w:val="32"/>
          <w:szCs w:val="32"/>
        </w:rPr>
        <w:t>待0批次，0</w:t>
      </w:r>
      <w:r>
        <w:rPr>
          <w:rFonts w:hint="eastAsia" w:eastAsia="仿宋_GB2312" w:cs="仿宋_GB2312"/>
          <w:sz w:val="32"/>
          <w:szCs w:val="32"/>
        </w:rPr>
        <w:t>人次（不包括陪同人员）</w:t>
      </w:r>
      <w:r>
        <w:rPr>
          <w:rFonts w:hint="eastAsia" w:ascii="仿宋_GB2312" w:hAnsi="仿宋_GB2312" w:eastAsia="仿宋_GB2312" w:cs="仿宋_GB2312"/>
          <w:sz w:val="32"/>
          <w:szCs w:val="32"/>
        </w:rPr>
        <w:t>，共计支出0万</w:t>
      </w:r>
      <w:r>
        <w:rPr>
          <w:rFonts w:hint="eastAsia" w:eastAsia="仿宋_GB2312" w:cs="仿宋_GB2312"/>
          <w:sz w:val="32"/>
          <w:szCs w:val="32"/>
        </w:rPr>
        <w:t>元。</w:t>
      </w:r>
    </w:p>
    <w:p>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出0万元，外事接待0批次，0人次（不包括陪同人员），共计支出0万</w:t>
      </w:r>
      <w:r>
        <w:rPr>
          <w:rFonts w:hint="eastAsia" w:eastAsia="仿宋_GB2312" w:cs="仿宋_GB2312"/>
          <w:sz w:val="32"/>
          <w:szCs w:val="32"/>
        </w:rPr>
        <w:t>元。</w:t>
      </w:r>
    </w:p>
    <w:p>
      <w:pPr>
        <w:spacing w:line="600" w:lineRule="exact"/>
        <w:ind w:firstLine="640"/>
        <w:rPr>
          <w:rFonts w:eastAsia="仿宋_GB2312" w:cs="仿宋_GB2312"/>
          <w:sz w:val="32"/>
          <w:szCs w:val="32"/>
        </w:rPr>
      </w:pPr>
      <w:bookmarkStart w:id="40" w:name="_Toc15396610"/>
      <w:bookmarkStart w:id="41" w:name="_Toc15377218"/>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0"/>
      <w:bookmarkEnd w:id="41"/>
    </w:p>
    <w:p>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2025年度政府性基金预算财政拨款支出0万元，占本年支出合计的0%</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left="630"/>
        <w:outlineLvl w:val="1"/>
        <w:rPr>
          <w:rStyle w:val="29"/>
          <w:rFonts w:ascii="Times New Roman" w:hAnsi="Times New Roman" w:eastAsia="黑体"/>
          <w:b w:val="0"/>
        </w:rPr>
      </w:pPr>
      <w:bookmarkStart w:id="42" w:name="_Toc15396611"/>
      <w:bookmarkStart w:id="43" w:name="_Toc15377219"/>
      <w:r>
        <w:rPr>
          <w:rStyle w:val="29"/>
          <w:rFonts w:hint="eastAsia" w:ascii="Times New Roman" w:hAnsi="Times New Roman" w:eastAsia="黑体"/>
          <w:b w:val="0"/>
        </w:rPr>
        <w:t>九、国有资本经营预算支出决算情况说明</w:t>
      </w:r>
      <w:bookmarkEnd w:id="42"/>
      <w:bookmarkEnd w:id="43"/>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rPr>
        <w:t>0万元，占本年支出合计的0%</w:t>
      </w:r>
      <w:r>
        <w:rPr>
          <w:rFonts w:hint="eastAsia" w:eastAsia="仿宋_GB2312" w:cs="仿宋_GB2312"/>
          <w:sz w:val="32"/>
          <w:szCs w:val="32"/>
        </w:rPr>
        <w:t>。</w:t>
      </w:r>
    </w:p>
    <w:p>
      <w:pPr>
        <w:pStyle w:val="3"/>
        <w:ind w:left="420"/>
      </w:pPr>
    </w:p>
    <w:p>
      <w:pPr>
        <w:spacing w:line="600" w:lineRule="exact"/>
        <w:ind w:left="630"/>
        <w:outlineLvl w:val="1"/>
        <w:rPr>
          <w:rStyle w:val="29"/>
          <w:rFonts w:ascii="Times New Roman" w:hAnsi="Times New Roman" w:eastAsia="黑体"/>
          <w:b w:val="0"/>
        </w:rPr>
      </w:pPr>
      <w:bookmarkStart w:id="44" w:name="_Toc15396612"/>
      <w:bookmarkStart w:id="45" w:name="_Toc15377221"/>
      <w:r>
        <w:rPr>
          <w:rStyle w:val="29"/>
          <w:rFonts w:hint="eastAsia" w:ascii="Times New Roman" w:hAnsi="Times New Roman" w:eastAsia="黑体"/>
          <w:b w:val="0"/>
        </w:rPr>
        <w:t>十、其他重要事项的情况说明</w:t>
      </w:r>
      <w:bookmarkEnd w:id="44"/>
      <w:bookmarkEnd w:id="45"/>
    </w:p>
    <w:p>
      <w:pPr>
        <w:spacing w:line="600" w:lineRule="exact"/>
        <w:ind w:firstLine="642"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2025年度，四川省攀枝花市建设工程质量安全站机关运行经费支出71.25万元，比上年度减少5.14万元，下降6.73%。主要原因是厉行节约，减少经费开支。</w:t>
      </w:r>
    </w:p>
    <w:p>
      <w:pPr>
        <w:spacing w:line="600" w:lineRule="exact"/>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2025年度，攀枝花市建设工程质量安全站政府采购支出总额6.96万元，其中：政府采购货物支出1.59万元、政府采购工程支出0万元、政府采购服务支出5.37万元。主要用于采购打印机及空调，</w:t>
      </w:r>
      <w:r>
        <w:rPr>
          <w:rFonts w:ascii="仿宋_GB2312" w:hAnsi="仿宋_GB2312" w:eastAsia="仿宋_GB2312" w:cs="仿宋_GB2312"/>
          <w:sz w:val="32"/>
          <w:szCs w:val="32"/>
        </w:rPr>
        <w:t>采购公务用车财产保险服务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维修和保养服务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加油服务</w:t>
      </w:r>
      <w:r>
        <w:rPr>
          <w:rFonts w:hint="eastAsia" w:ascii="仿宋_GB2312" w:hAnsi="仿宋_GB2312" w:eastAsia="仿宋_GB2312" w:cs="仿宋_GB2312"/>
          <w:sz w:val="32"/>
          <w:szCs w:val="32"/>
        </w:rPr>
        <w:t>。授予中小企业合同金额4.96万元，占政府采购支出总额的71.24%，其中：授予小微企业合同金额3.09万元，占政府采购支出总额的44.47%。</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截至2025年12月31日，攀枝花市建设工程质量安全站共有车辆4辆，其中：</w:t>
      </w:r>
      <w:r>
        <w:rPr>
          <w:rFonts w:hint="eastAsia" w:eastAsia="仿宋_GB2312" w:cs="仿宋_GB2312"/>
          <w:sz w:val="32"/>
          <w:szCs w:val="32"/>
        </w:rPr>
        <w:t>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w:t>
      </w:r>
      <w:r>
        <w:rPr>
          <w:rFonts w:hint="eastAsia" w:ascii="仿宋_GB2312" w:hAnsi="仿宋_GB2312" w:eastAsia="仿宋_GB2312" w:cs="仿宋_GB2312"/>
          <w:sz w:val="32"/>
          <w:szCs w:val="32"/>
        </w:rPr>
        <w:t>主要负责人用车0辆、机要通信用车0辆、应急保障用车0辆、</w:t>
      </w:r>
      <w:r>
        <w:rPr>
          <w:rFonts w:hint="eastAsia" w:eastAsia="仿宋_GB2312" w:cs="仿宋_GB2312"/>
          <w:sz w:val="32"/>
          <w:szCs w:val="32"/>
        </w:rPr>
        <w:t>执法执勤用车</w:t>
      </w:r>
      <w:r>
        <w:rPr>
          <w:rFonts w:hint="eastAsia" w:ascii="仿宋_GB2312" w:hAnsi="仿宋_GB2312" w:eastAsia="仿宋_GB2312" w:cs="仿宋_GB2312"/>
          <w:sz w:val="32"/>
          <w:szCs w:val="32"/>
        </w:rPr>
        <w:t>0</w:t>
      </w:r>
      <w:r>
        <w:rPr>
          <w:rFonts w:hint="eastAsia" w:eastAsia="仿宋_GB2312" w:cs="仿宋_GB2312"/>
          <w:sz w:val="32"/>
          <w:szCs w:val="32"/>
        </w:rPr>
        <w:t>辆、</w:t>
      </w:r>
      <w:r>
        <w:rPr>
          <w:rFonts w:hint="eastAsia" w:ascii="仿宋_GB2312" w:eastAsia="仿宋_GB2312"/>
          <w:sz w:val="32"/>
          <w:szCs w:val="32"/>
        </w:rPr>
        <w:t>特种专业技术用车4辆、</w:t>
      </w:r>
      <w:r>
        <w:rPr>
          <w:rFonts w:hint="eastAsia" w:eastAsia="仿宋_GB2312" w:cs="仿宋_GB2312"/>
          <w:sz w:val="32"/>
          <w:szCs w:val="32"/>
        </w:rPr>
        <w:t>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w:t>
      </w:r>
      <w:r>
        <w:rPr>
          <w:rFonts w:hint="eastAsia" w:ascii="仿宋_GB2312" w:hAnsi="仿宋_GB2312" w:eastAsia="仿宋_GB2312" w:cs="仿宋_GB2312"/>
          <w:sz w:val="32"/>
          <w:szCs w:val="32"/>
        </w:rPr>
        <w:t>其他用车0辆，</w:t>
      </w:r>
      <w:r>
        <w:rPr>
          <w:rFonts w:hint="eastAsia" w:ascii="仿宋_GB2312" w:eastAsia="仿宋_GB2312"/>
          <w:sz w:val="32"/>
          <w:szCs w:val="32"/>
        </w:rPr>
        <w:t>主要是用于建筑工地安全监督工作</w:t>
      </w:r>
      <w:r>
        <w:rPr>
          <w:rFonts w:hint="eastAsia" w:ascii="仿宋_GB2312" w:hAnsi="仿宋_GB2312" w:eastAsia="仿宋_GB2312" w:cs="仿宋_GB2312"/>
          <w:sz w:val="32"/>
          <w:szCs w:val="32"/>
        </w:rPr>
        <w:t>。单价100万元（含）以上设备（不含车辆）0台（套）</w:t>
      </w:r>
      <w:r>
        <w:rPr>
          <w:rFonts w:hint="eastAsia" w:eastAsia="仿宋_GB2312" w:cs="仿宋_GB2312"/>
          <w:sz w:val="32"/>
          <w:szCs w:val="32"/>
        </w:rPr>
        <w:t>。</w:t>
      </w:r>
    </w:p>
    <w:p>
      <w:pPr>
        <w:spacing w:line="600" w:lineRule="exact"/>
        <w:ind w:firstLine="640"/>
        <w:rPr>
          <w:rFonts w:eastAsia="仿宋_GB2312" w:cs="仿宋_GB2312"/>
          <w:sz w:val="32"/>
          <w:szCs w:val="32"/>
        </w:rPr>
      </w:pPr>
    </w:p>
    <w:p>
      <w:pPr>
        <w:pStyle w:val="2"/>
        <w:jc w:val="both"/>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攀枝花市建设工程质量安全站</w:t>
      </w:r>
      <w:r>
        <w:rPr>
          <w:rFonts w:hint="eastAsia" w:eastAsia="仿宋_GB2312" w:cs="仿宋_GB2312"/>
          <w:sz w:val="32"/>
          <w:szCs w:val="32"/>
        </w:rPr>
        <w:t>在2025年度，组织对“抽检业务费及安全文明施工措施费”1个项目涉及金额5.23万元开展了预算事前绩效评估，对1个项目编制了绩效目标，预算执行过程中，选取1个项目开展绩效监控。</w:t>
      </w:r>
    </w:p>
    <w:p>
      <w:pPr>
        <w:spacing w:line="600" w:lineRule="exact"/>
        <w:rPr>
          <w:rFonts w:eastAsia="仿宋_GB2312" w:cs="仿宋_GB2312"/>
          <w:sz w:val="32"/>
          <w:szCs w:val="32"/>
        </w:rPr>
      </w:pPr>
    </w:p>
    <w:p>
      <w:pPr>
        <w:spacing w:line="600" w:lineRule="exact"/>
        <w:jc w:val="center"/>
        <w:outlineLvl w:val="0"/>
        <w:rPr>
          <w:rFonts w:eastAsia="黑体"/>
          <w:sz w:val="44"/>
          <w:szCs w:val="44"/>
        </w:rPr>
      </w:pPr>
      <w:bookmarkStart w:id="49" w:name="_Toc15377225"/>
      <w:bookmarkStart w:id="50" w:name="_Toc15396613"/>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pStyle w:val="3"/>
        <w:ind w:left="0" w:leftChars="0" w:firstLine="0" w:firstLineChars="0"/>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r>
        <w:rPr>
          <w:rFonts w:hint="eastAsia" w:eastAsia="黑体"/>
          <w:sz w:val="44"/>
          <w:szCs w:val="44"/>
        </w:rPr>
        <w:t>第三部分名词解释</w:t>
      </w:r>
      <w:bookmarkEnd w:id="49"/>
      <w:bookmarkEnd w:id="50"/>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ascii="仿宋_GB2312" w:eastAsia="仿宋_GB2312"/>
          <w:sz w:val="32"/>
          <w:szCs w:val="32"/>
        </w:rPr>
      </w:pPr>
      <w:r>
        <w:rPr>
          <w:rFonts w:hint="eastAsia" w:eastAsia="仿宋_GB2312" w:cs="仿宋_GB2312"/>
          <w:sz w:val="32"/>
          <w:szCs w:val="32"/>
        </w:rPr>
        <w:t>2.社会保障和就业（类）</w:t>
      </w:r>
      <w:r>
        <w:rPr>
          <w:rFonts w:hint="eastAsia" w:ascii="仿宋_GB2312" w:eastAsia="仿宋_GB2312"/>
          <w:sz w:val="32"/>
          <w:szCs w:val="32"/>
        </w:rPr>
        <w:t>行政事业单位养老支出</w:t>
      </w:r>
      <w:r>
        <w:rPr>
          <w:rFonts w:hint="eastAsia" w:eastAsia="仿宋_GB2312" w:cs="仿宋_GB2312"/>
          <w:sz w:val="32"/>
          <w:szCs w:val="32"/>
        </w:rPr>
        <w:t>（款）</w:t>
      </w:r>
      <w:r>
        <w:rPr>
          <w:rFonts w:hint="eastAsia" w:ascii="仿宋_GB2312" w:eastAsia="仿宋_GB2312"/>
          <w:sz w:val="32"/>
          <w:szCs w:val="32"/>
        </w:rPr>
        <w:t>行政单位离退休</w:t>
      </w:r>
      <w:r>
        <w:rPr>
          <w:rFonts w:hint="eastAsia" w:eastAsia="仿宋_GB2312" w:cs="仿宋_GB2312"/>
          <w:sz w:val="32"/>
          <w:szCs w:val="32"/>
        </w:rPr>
        <w:t>（项）：</w:t>
      </w:r>
      <w:r>
        <w:rPr>
          <w:rFonts w:hint="eastAsia" w:ascii="仿宋_GB2312" w:eastAsia="仿宋_GB2312"/>
          <w:sz w:val="32"/>
          <w:szCs w:val="32"/>
        </w:rPr>
        <w:t>指反映行政单位（包括实行公务员管理的事业单位）开支的离退休经费。</w:t>
      </w:r>
    </w:p>
    <w:p>
      <w:pPr>
        <w:ind w:firstLine="640" w:firstLineChars="200"/>
        <w:rPr>
          <w:rFonts w:ascii="仿宋_GB2312" w:eastAsia="仿宋_GB2312"/>
          <w:sz w:val="32"/>
          <w:szCs w:val="32"/>
        </w:rPr>
      </w:pPr>
      <w:r>
        <w:rPr>
          <w:rFonts w:hint="eastAsia" w:eastAsia="仿宋_GB2312" w:cs="仿宋_GB2312"/>
          <w:sz w:val="32"/>
          <w:szCs w:val="32"/>
        </w:rPr>
        <w:t>3.社会保障和就业（类）</w:t>
      </w:r>
      <w:r>
        <w:rPr>
          <w:rFonts w:hint="eastAsia" w:ascii="仿宋_GB2312" w:eastAsia="仿宋_GB2312"/>
          <w:sz w:val="32"/>
          <w:szCs w:val="32"/>
        </w:rPr>
        <w:t>行政事业单位养老支出</w:t>
      </w:r>
      <w:r>
        <w:rPr>
          <w:rFonts w:hint="eastAsia" w:eastAsia="仿宋_GB2312" w:cs="仿宋_GB2312"/>
          <w:sz w:val="32"/>
          <w:szCs w:val="32"/>
        </w:rPr>
        <w:t>（款）</w:t>
      </w:r>
      <w:r>
        <w:rPr>
          <w:rFonts w:hint="eastAsia" w:ascii="仿宋_GB2312" w:eastAsia="仿宋_GB2312"/>
          <w:sz w:val="32"/>
          <w:szCs w:val="32"/>
        </w:rPr>
        <w:t>机关事业单位基本养老保险缴费支出</w:t>
      </w:r>
      <w:r>
        <w:rPr>
          <w:rFonts w:hint="eastAsia" w:eastAsia="仿宋_GB2312" w:cs="仿宋_GB2312"/>
          <w:sz w:val="32"/>
          <w:szCs w:val="32"/>
        </w:rPr>
        <w:t>（项）：</w:t>
      </w:r>
      <w:r>
        <w:rPr>
          <w:rFonts w:hint="eastAsia" w:ascii="仿宋_GB2312" w:eastAsia="仿宋_GB2312"/>
          <w:sz w:val="32"/>
          <w:szCs w:val="32"/>
        </w:rPr>
        <w:t>指反映机关事业单位实施养老保险制度由单位缴纳的基本养老保险费支出。</w:t>
      </w:r>
    </w:p>
    <w:p>
      <w:pPr>
        <w:ind w:firstLine="640" w:firstLineChars="200"/>
        <w:rPr>
          <w:rFonts w:ascii="仿宋_GB2312" w:eastAsia="仿宋_GB2312"/>
          <w:sz w:val="32"/>
          <w:szCs w:val="32"/>
        </w:rPr>
      </w:pPr>
      <w:r>
        <w:rPr>
          <w:rFonts w:hint="eastAsia" w:eastAsia="仿宋_GB2312" w:cs="仿宋_GB2312"/>
          <w:sz w:val="32"/>
          <w:szCs w:val="32"/>
        </w:rPr>
        <w:t>4.卫生健康（类）</w:t>
      </w:r>
      <w:r>
        <w:rPr>
          <w:rFonts w:hint="eastAsia" w:ascii="仿宋_GB2312" w:eastAsia="仿宋_GB2312"/>
          <w:sz w:val="32"/>
          <w:szCs w:val="32"/>
        </w:rPr>
        <w:t>行政事业单位医疗</w:t>
      </w:r>
      <w:r>
        <w:rPr>
          <w:rFonts w:hint="eastAsia" w:eastAsia="仿宋_GB2312" w:cs="仿宋_GB2312"/>
          <w:sz w:val="32"/>
          <w:szCs w:val="32"/>
        </w:rPr>
        <w:t>（款）</w:t>
      </w:r>
      <w:r>
        <w:rPr>
          <w:rFonts w:hint="eastAsia" w:ascii="仿宋_GB2312" w:eastAsia="仿宋_GB2312"/>
          <w:sz w:val="32"/>
          <w:szCs w:val="32"/>
        </w:rPr>
        <w:t>行政单位医疗</w:t>
      </w:r>
      <w:r>
        <w:rPr>
          <w:rFonts w:hint="eastAsia" w:eastAsia="仿宋_GB2312" w:cs="仿宋_GB2312"/>
          <w:sz w:val="32"/>
          <w:szCs w:val="32"/>
        </w:rPr>
        <w:t>（项）：</w:t>
      </w:r>
      <w:r>
        <w:rPr>
          <w:rFonts w:hint="eastAsia" w:ascii="仿宋_GB2312" w:eastAsia="仿宋_GB2312"/>
          <w:sz w:val="32"/>
          <w:szCs w:val="32"/>
        </w:rPr>
        <w:t>指财政部门安排的行政单位基本医疗保险缴费经费。</w:t>
      </w:r>
    </w:p>
    <w:p>
      <w:pPr>
        <w:ind w:firstLine="640" w:firstLineChars="200"/>
        <w:rPr>
          <w:rFonts w:ascii="仿宋_GB2312" w:eastAsia="仿宋_GB2312"/>
          <w:sz w:val="32"/>
          <w:szCs w:val="32"/>
        </w:rPr>
      </w:pPr>
      <w:r>
        <w:rPr>
          <w:rFonts w:hint="eastAsia" w:eastAsia="仿宋_GB2312" w:cs="仿宋_GB2312"/>
          <w:sz w:val="32"/>
          <w:szCs w:val="32"/>
        </w:rPr>
        <w:t>5.</w:t>
      </w:r>
      <w:r>
        <w:rPr>
          <w:rFonts w:hint="eastAsia" w:ascii="仿宋_GB2312" w:eastAsia="仿宋_GB2312"/>
          <w:sz w:val="32"/>
          <w:szCs w:val="32"/>
        </w:rPr>
        <w:t>卫生健康（类）行政事业单位医疗（款）公务员医疗补助（项）：指财政部门安排的公务员医疗补助经费。</w:t>
      </w:r>
    </w:p>
    <w:p>
      <w:pPr>
        <w:ind w:firstLine="640" w:firstLineChars="200"/>
        <w:rPr>
          <w:rFonts w:ascii="仿宋_GB2312" w:eastAsia="仿宋_GB2312"/>
          <w:sz w:val="32"/>
          <w:szCs w:val="32"/>
        </w:rPr>
      </w:pPr>
      <w:r>
        <w:rPr>
          <w:rFonts w:hint="eastAsia" w:eastAsia="仿宋_GB2312" w:cs="仿宋_GB2312"/>
          <w:sz w:val="32"/>
          <w:szCs w:val="32"/>
        </w:rPr>
        <w:t>6.</w:t>
      </w:r>
      <w:r>
        <w:rPr>
          <w:rFonts w:hint="eastAsia" w:ascii="仿宋_GB2312" w:eastAsia="仿宋_GB2312"/>
          <w:sz w:val="32"/>
          <w:szCs w:val="32"/>
        </w:rPr>
        <w:t>卫生健康（类）行政事业单位医疗（款）其他行政事业单位医疗支出（项）：指其他用于行政事业单位医疗方面的支出。</w:t>
      </w:r>
    </w:p>
    <w:p>
      <w:pPr>
        <w:spacing w:line="600" w:lineRule="exact"/>
        <w:ind w:firstLine="640"/>
        <w:rPr>
          <w:rFonts w:eastAsia="仿宋_GB2312" w:cs="仿宋_GB2312"/>
          <w:sz w:val="32"/>
          <w:szCs w:val="32"/>
        </w:rPr>
      </w:pPr>
      <w:r>
        <w:rPr>
          <w:rFonts w:hint="eastAsia" w:eastAsia="仿宋_GB2312" w:cs="仿宋_GB2312"/>
          <w:sz w:val="32"/>
          <w:szCs w:val="32"/>
        </w:rPr>
        <w:t>7.</w:t>
      </w:r>
      <w:r>
        <w:rPr>
          <w:rFonts w:hint="eastAsia" w:ascii="仿宋_GB2312" w:eastAsia="仿宋_GB2312"/>
          <w:sz w:val="32"/>
          <w:szCs w:val="32"/>
        </w:rPr>
        <w:t xml:space="preserve"> 城乡社区（类）城乡社区管理事务（款）行政运行（项）：指反映行政单位（包括实行公务员管理的事业单位）的基本支出。</w:t>
      </w:r>
    </w:p>
    <w:p>
      <w:pPr>
        <w:spacing w:line="600" w:lineRule="exact"/>
        <w:ind w:firstLine="640"/>
        <w:rPr>
          <w:rFonts w:ascii="仿宋_GB2312" w:eastAsia="仿宋_GB2312"/>
          <w:sz w:val="32"/>
          <w:szCs w:val="32"/>
        </w:rPr>
      </w:pPr>
      <w:r>
        <w:rPr>
          <w:rFonts w:hint="eastAsia" w:eastAsia="仿宋_GB2312" w:cs="仿宋_GB2312"/>
          <w:sz w:val="32"/>
          <w:szCs w:val="32"/>
        </w:rPr>
        <w:t>8.</w:t>
      </w:r>
      <w:r>
        <w:rPr>
          <w:rFonts w:hint="eastAsia" w:ascii="仿宋_GB2312" w:eastAsia="仿宋_GB2312"/>
          <w:sz w:val="32"/>
          <w:szCs w:val="32"/>
        </w:rPr>
        <w:t xml:space="preserve"> 城乡社区（类）建设市场管理与监督（款）建设市场管理与监督（项）：指反映各类建筑工程强制性和推荐性标准及规定的制定与修改、建筑工程招投标等市场管理、建筑工程质量与安全监督等方面的支出。</w:t>
      </w:r>
    </w:p>
    <w:p>
      <w:pPr>
        <w:spacing w:line="600" w:lineRule="exact"/>
        <w:ind w:firstLine="640"/>
        <w:rPr>
          <w:rFonts w:eastAsia="仿宋_GB2312" w:cs="仿宋_GB2312"/>
          <w:sz w:val="32"/>
          <w:szCs w:val="32"/>
        </w:rPr>
      </w:pPr>
      <w:r>
        <w:rPr>
          <w:rFonts w:hint="eastAsia" w:eastAsia="仿宋_GB2312" w:cs="仿宋_GB2312"/>
          <w:sz w:val="32"/>
          <w:szCs w:val="32"/>
        </w:rPr>
        <w:t>9.</w:t>
      </w:r>
      <w:r>
        <w:rPr>
          <w:rFonts w:hint="eastAsia" w:ascii="仿宋_GB2312" w:eastAsia="仿宋_GB2312"/>
          <w:sz w:val="32"/>
          <w:szCs w:val="32"/>
        </w:rPr>
        <w:t xml:space="preserve"> 住房保障（类）住房改革支出（款）住房公积金（项）：指反映行政事业单位按人力资源和社会保障部、财政部规定的基本工资和津贴补贴以及规定比例为职工缴纳的住房公积金。</w:t>
      </w:r>
    </w:p>
    <w:p>
      <w:pPr>
        <w:spacing w:line="600" w:lineRule="exact"/>
        <w:ind w:firstLine="640"/>
        <w:rPr>
          <w:rFonts w:eastAsia="仿宋_GB2312" w:cs="仿宋_GB2312"/>
          <w:sz w:val="32"/>
          <w:szCs w:val="32"/>
        </w:rPr>
      </w:pPr>
      <w:r>
        <w:rPr>
          <w:rFonts w:hint="eastAsia" w:eastAsia="仿宋_GB2312" w:cs="仿宋_GB2312"/>
          <w:sz w:val="32"/>
          <w:szCs w:val="32"/>
        </w:rPr>
        <w:t>10.基本支出：指为保障机构正常运转、完成日常工作任务而发生的人员支出和公用支出。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rPr>
        <w:t xml:space="preserve">11.项目支出：指在基本支出之外为完成特定行政任务和事业发展目标所发生的支出。 </w:t>
      </w:r>
    </w:p>
    <w:p>
      <w:pPr>
        <w:spacing w:line="600" w:lineRule="exact"/>
        <w:ind w:firstLine="640"/>
        <w:rPr>
          <w:rFonts w:eastAsia="仿宋_GB2312" w:cs="仿宋_GB2312"/>
          <w:sz w:val="32"/>
          <w:szCs w:val="32"/>
        </w:rPr>
      </w:pPr>
      <w:r>
        <w:rPr>
          <w:rFonts w:hint="eastAsia" w:eastAsia="仿宋_GB2312" w:cs="仿宋_GB2312"/>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hint="eastAsia" w:eastAsia="仿宋_GB2312" w:cs="仿宋_GB2312"/>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eastAsia="黑体"/>
          <w:b w:val="0"/>
        </w:rPr>
      </w:pPr>
      <w:bookmarkStart w:id="51" w:name="_Toc15377226"/>
      <w:r>
        <w:rPr>
          <w:rFonts w:hint="eastAsia" w:eastAsia="仿宋_GB2312" w:cs="仿宋_GB2312"/>
          <w:sz w:val="32"/>
          <w:szCs w:val="32"/>
        </w:rPr>
        <w:br w:type="page"/>
      </w:r>
      <w:bookmarkStart w:id="52" w:name="_Toc15396614"/>
      <w:r>
        <w:rPr>
          <w:rFonts w:hint="eastAsia" w:eastAsia="黑体"/>
          <w:sz w:val="44"/>
          <w:szCs w:val="44"/>
        </w:rPr>
        <w:t>第四部分 附件</w:t>
      </w:r>
      <w:bookmarkEnd w:id="52"/>
    </w:p>
    <w:p>
      <w:pPr>
        <w:pStyle w:val="3"/>
        <w:spacing w:line="560" w:lineRule="exact"/>
        <w:ind w:left="0" w:leftChars="0" w:firstLine="0" w:firstLineChars="0"/>
        <w:rPr>
          <w:rFonts w:ascii="Times New Roman" w:eastAsia="仿宋_GB2312"/>
          <w:sz w:val="32"/>
          <w:lang w:val="zh-CN"/>
        </w:rPr>
      </w:pPr>
    </w:p>
    <w:p>
      <w:pPr>
        <w:pStyle w:val="3"/>
        <w:spacing w:line="560" w:lineRule="exact"/>
        <w:ind w:leftChars="0" w:firstLine="419" w:firstLineChars="131"/>
        <w:rPr>
          <w:rFonts w:hint="default" w:ascii="Times New Roman" w:eastAsia="仿宋_GB2312"/>
          <w:sz w:val="32"/>
          <w:lang w:val="en-US" w:eastAsia="zh-CN"/>
        </w:rPr>
      </w:pPr>
      <w:r>
        <w:rPr>
          <w:rFonts w:hint="eastAsia" w:ascii="Times New Roman" w:eastAsia="仿宋_GB2312"/>
          <w:sz w:val="32"/>
        </w:rPr>
        <w:t>部门预算项目支出绩效自评表（2025年度）</w:t>
      </w:r>
      <w:r>
        <w:rPr>
          <w:rFonts w:hint="eastAsia" w:ascii="Times New Roman" w:eastAsia="仿宋_GB2312"/>
          <w:sz w:val="32"/>
          <w:lang w:eastAsia="zh-CN"/>
        </w:rPr>
        <w:t>见附件</w:t>
      </w:r>
      <w:r>
        <w:rPr>
          <w:rFonts w:hint="eastAsia" w:ascii="Times New Roman" w:eastAsia="仿宋_GB2312"/>
          <w:sz w:val="32"/>
          <w:lang w:val="en-US" w:eastAsia="zh-CN"/>
        </w:rPr>
        <w:t>3</w:t>
      </w:r>
      <w:bookmarkStart w:id="67" w:name="_GoBack"/>
      <w:bookmarkEnd w:id="67"/>
    </w:p>
    <w:p>
      <w:pPr>
        <w:pStyle w:val="8"/>
        <w:spacing w:before="93"/>
        <w:rPr>
          <w:rFonts w:ascii="Times New Roman" w:cs="宋体"/>
          <w:color w:val="FF0000"/>
          <w:sz w:val="32"/>
          <w:szCs w:val="32"/>
          <w:highlight w:val="yellow"/>
          <w:shd w:val="clear" w:color="auto" w:fill="FFFFFF"/>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bookmarkStart w:id="53" w:name="_Toc15396618"/>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51"/>
      <w:bookmarkEnd w:id="53"/>
      <w:bookmarkStart w:id="54"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rPr>
          <w:rFonts w:eastAsia="仿宋_GB2312" w:cs="仿宋_GB2312"/>
          <w:sz w:val="32"/>
          <w:szCs w:val="32"/>
        </w:rPr>
      </w:pPr>
      <w:r>
        <w:rPr>
          <w:rFonts w:hint="eastAsia" w:eastAsia="仿宋_GB2312" w:cs="仿宋_GB2312"/>
          <w:sz w:val="32"/>
          <w:szCs w:val="32"/>
        </w:rPr>
        <w:t>一、收入支出决算总表</w:t>
      </w:r>
      <w:bookmarkEnd w:id="54"/>
    </w:p>
    <w:p>
      <w:pPr>
        <w:pStyle w:val="14"/>
        <w:adjustRightInd w:val="0"/>
        <w:snapToGrid w:val="0"/>
        <w:spacing w:line="560" w:lineRule="exact"/>
        <w:rPr>
          <w:rFonts w:eastAsia="仿宋_GB2312" w:cs="仿宋_GB2312"/>
          <w:sz w:val="32"/>
          <w:szCs w:val="32"/>
        </w:rPr>
      </w:pPr>
      <w:bookmarkStart w:id="55" w:name="_Toc15396620"/>
      <w:r>
        <w:rPr>
          <w:rFonts w:hint="eastAsia" w:eastAsia="仿宋_GB2312" w:cs="仿宋_GB2312"/>
          <w:sz w:val="32"/>
          <w:szCs w:val="32"/>
        </w:rPr>
        <w:t>二、收入决算表</w:t>
      </w:r>
      <w:bookmarkEnd w:id="55"/>
    </w:p>
    <w:p>
      <w:pPr>
        <w:pStyle w:val="14"/>
        <w:adjustRightInd w:val="0"/>
        <w:snapToGrid w:val="0"/>
        <w:spacing w:line="560" w:lineRule="exact"/>
        <w:rPr>
          <w:rFonts w:eastAsia="仿宋_GB2312" w:cs="仿宋_GB2312"/>
          <w:sz w:val="32"/>
          <w:szCs w:val="32"/>
        </w:rPr>
      </w:pPr>
      <w:bookmarkStart w:id="56" w:name="_Toc15396621"/>
      <w:r>
        <w:rPr>
          <w:rFonts w:hint="eastAsia" w:eastAsia="仿宋_GB2312" w:cs="仿宋_GB2312"/>
          <w:sz w:val="32"/>
          <w:szCs w:val="32"/>
        </w:rPr>
        <w:t>三、支出决算表</w:t>
      </w:r>
      <w:bookmarkEnd w:id="56"/>
    </w:p>
    <w:p>
      <w:pPr>
        <w:pStyle w:val="14"/>
        <w:adjustRightInd w:val="0"/>
        <w:snapToGrid w:val="0"/>
        <w:spacing w:line="560" w:lineRule="exact"/>
        <w:rPr>
          <w:rFonts w:eastAsia="仿宋_GB2312" w:cs="仿宋_GB2312"/>
          <w:sz w:val="32"/>
          <w:szCs w:val="32"/>
        </w:rPr>
      </w:pPr>
      <w:bookmarkStart w:id="57" w:name="_Toc15396622"/>
      <w:r>
        <w:rPr>
          <w:rFonts w:hint="eastAsia" w:eastAsia="仿宋_GB2312" w:cs="仿宋_GB2312"/>
          <w:sz w:val="32"/>
          <w:szCs w:val="32"/>
        </w:rPr>
        <w:t>四、财政拨款收入支出决算总表</w:t>
      </w:r>
      <w:bookmarkEnd w:id="57"/>
    </w:p>
    <w:p>
      <w:pPr>
        <w:pStyle w:val="14"/>
        <w:adjustRightInd w:val="0"/>
        <w:snapToGrid w:val="0"/>
        <w:spacing w:line="560" w:lineRule="exact"/>
        <w:rPr>
          <w:rFonts w:eastAsia="仿宋_GB2312" w:cs="仿宋_GB2312"/>
          <w:sz w:val="32"/>
          <w:szCs w:val="32"/>
        </w:rPr>
      </w:pPr>
      <w:bookmarkStart w:id="58" w:name="_Toc15396623"/>
      <w:r>
        <w:rPr>
          <w:rFonts w:hint="eastAsia" w:eastAsia="仿宋_GB2312" w:cs="仿宋_GB2312"/>
          <w:sz w:val="32"/>
          <w:szCs w:val="32"/>
        </w:rPr>
        <w:t>五、财政拨款支出决算明细表</w:t>
      </w:r>
      <w:bookmarkEnd w:id="58"/>
      <w:bookmarkStart w:id="59" w:name="_Toc15396624"/>
    </w:p>
    <w:p>
      <w:pPr>
        <w:pStyle w:val="14"/>
        <w:adjustRightInd w:val="0"/>
        <w:snapToGrid w:val="0"/>
        <w:spacing w:line="560" w:lineRule="exact"/>
        <w:rPr>
          <w:rFonts w:eastAsia="仿宋_GB2312" w:cs="仿宋_GB2312"/>
          <w:sz w:val="32"/>
          <w:szCs w:val="32"/>
        </w:rPr>
      </w:pPr>
      <w:r>
        <w:rPr>
          <w:rFonts w:hint="eastAsia" w:eastAsia="仿宋_GB2312" w:cs="仿宋_GB2312"/>
          <w:sz w:val="32"/>
          <w:szCs w:val="32"/>
        </w:rPr>
        <w:t>六、一般公共预算财政拨款支出决算表</w:t>
      </w:r>
      <w:bookmarkEnd w:id="59"/>
    </w:p>
    <w:p>
      <w:pPr>
        <w:pStyle w:val="14"/>
        <w:adjustRightInd w:val="0"/>
        <w:snapToGrid w:val="0"/>
        <w:spacing w:line="560" w:lineRule="exact"/>
        <w:rPr>
          <w:rFonts w:eastAsia="仿宋_GB2312" w:cs="仿宋_GB2312"/>
          <w:sz w:val="32"/>
          <w:szCs w:val="32"/>
        </w:rPr>
      </w:pPr>
      <w:bookmarkStart w:id="60" w:name="_Toc15396625"/>
      <w:r>
        <w:rPr>
          <w:rFonts w:hint="eastAsia" w:eastAsia="仿宋_GB2312" w:cs="仿宋_GB2312"/>
          <w:sz w:val="32"/>
          <w:szCs w:val="32"/>
        </w:rPr>
        <w:t>七、一般公共预算财政拨款支出决算明细表</w:t>
      </w:r>
      <w:bookmarkEnd w:id="60"/>
    </w:p>
    <w:p>
      <w:pPr>
        <w:pStyle w:val="14"/>
        <w:adjustRightInd w:val="0"/>
        <w:snapToGrid w:val="0"/>
        <w:spacing w:line="560" w:lineRule="exact"/>
        <w:rPr>
          <w:rFonts w:eastAsia="仿宋_GB2312" w:cs="仿宋_GB2312"/>
          <w:sz w:val="32"/>
          <w:szCs w:val="32"/>
        </w:rPr>
      </w:pPr>
      <w:bookmarkStart w:id="61" w:name="_Toc15396626"/>
      <w:r>
        <w:rPr>
          <w:rFonts w:hint="eastAsia" w:eastAsia="仿宋_GB2312" w:cs="仿宋_GB2312"/>
          <w:sz w:val="32"/>
          <w:szCs w:val="32"/>
        </w:rPr>
        <w:t>八、一般公共预算财政拨款基本支出决算表</w:t>
      </w:r>
      <w:bookmarkEnd w:id="61"/>
    </w:p>
    <w:p>
      <w:pPr>
        <w:pStyle w:val="14"/>
        <w:adjustRightInd w:val="0"/>
        <w:snapToGrid w:val="0"/>
        <w:spacing w:line="560" w:lineRule="exact"/>
        <w:rPr>
          <w:rFonts w:eastAsia="仿宋_GB2312" w:cs="仿宋_GB2312"/>
          <w:sz w:val="32"/>
          <w:szCs w:val="32"/>
        </w:rPr>
      </w:pPr>
      <w:bookmarkStart w:id="62" w:name="_Toc15396627"/>
      <w:r>
        <w:rPr>
          <w:rFonts w:hint="eastAsia" w:eastAsia="仿宋_GB2312" w:cs="仿宋_GB2312"/>
          <w:sz w:val="32"/>
          <w:szCs w:val="32"/>
        </w:rPr>
        <w:t>九、一般公共预算财政拨款项目支出决算表</w:t>
      </w:r>
      <w:bookmarkEnd w:id="62"/>
    </w:p>
    <w:p>
      <w:pPr>
        <w:pStyle w:val="14"/>
        <w:adjustRightInd w:val="0"/>
        <w:snapToGrid w:val="0"/>
        <w:spacing w:line="560" w:lineRule="exact"/>
        <w:rPr>
          <w:rFonts w:eastAsia="仿宋_GB2312" w:cs="仿宋_GB2312"/>
          <w:sz w:val="32"/>
          <w:szCs w:val="32"/>
        </w:rPr>
      </w:pPr>
      <w:bookmarkStart w:id="63" w:name="_Toc15396628"/>
      <w:r>
        <w:rPr>
          <w:rFonts w:hint="eastAsia" w:eastAsia="仿宋_GB2312" w:cs="仿宋_GB2312"/>
          <w:sz w:val="32"/>
          <w:szCs w:val="32"/>
        </w:rPr>
        <w:t>十、</w:t>
      </w:r>
      <w:bookmarkEnd w:id="63"/>
      <w:r>
        <w:rPr>
          <w:rFonts w:hint="eastAsia" w:eastAsia="仿宋_GB2312" w:cs="仿宋_GB2312"/>
          <w:sz w:val="32"/>
          <w:szCs w:val="32"/>
        </w:rPr>
        <w:t>政府性基金预算财政拨款收入支出决算表</w:t>
      </w:r>
    </w:p>
    <w:p>
      <w:pPr>
        <w:pStyle w:val="14"/>
        <w:adjustRightInd w:val="0"/>
        <w:snapToGrid w:val="0"/>
        <w:spacing w:line="560" w:lineRule="exact"/>
        <w:rPr>
          <w:rFonts w:eastAsia="仿宋_GB2312" w:cs="仿宋_GB2312"/>
          <w:sz w:val="32"/>
          <w:szCs w:val="32"/>
        </w:rPr>
      </w:pPr>
      <w:bookmarkStart w:id="64" w:name="_Toc15396629"/>
      <w:r>
        <w:rPr>
          <w:rFonts w:hint="eastAsia" w:eastAsia="仿宋_GB2312" w:cs="仿宋_GB2312"/>
          <w:sz w:val="32"/>
          <w:szCs w:val="32"/>
        </w:rPr>
        <w:t>十一、</w:t>
      </w:r>
      <w:bookmarkEnd w:id="64"/>
      <w:r>
        <w:rPr>
          <w:rFonts w:hint="eastAsia" w:eastAsia="仿宋_GB2312" w:cs="仿宋_GB2312"/>
          <w:sz w:val="32"/>
          <w:szCs w:val="32"/>
        </w:rPr>
        <w:t>国有资本经营预算财政拨款收入支出决算表</w:t>
      </w:r>
    </w:p>
    <w:p>
      <w:pPr>
        <w:pStyle w:val="14"/>
        <w:adjustRightInd w:val="0"/>
        <w:snapToGrid w:val="0"/>
        <w:spacing w:line="560" w:lineRule="exact"/>
        <w:rPr>
          <w:rFonts w:eastAsia="仿宋_GB2312" w:cs="仿宋_GB2312"/>
          <w:sz w:val="32"/>
          <w:szCs w:val="32"/>
        </w:rPr>
      </w:pPr>
      <w:bookmarkStart w:id="65" w:name="_Toc15396630"/>
      <w:r>
        <w:rPr>
          <w:rFonts w:hint="eastAsia" w:eastAsia="仿宋_GB2312" w:cs="仿宋_GB2312"/>
          <w:sz w:val="32"/>
          <w:szCs w:val="32"/>
        </w:rPr>
        <w:t>十二、</w:t>
      </w:r>
      <w:bookmarkEnd w:id="65"/>
      <w:r>
        <w:rPr>
          <w:rFonts w:hint="eastAsia" w:eastAsia="仿宋_GB2312" w:cs="仿宋_GB2312"/>
          <w:sz w:val="32"/>
          <w:szCs w:val="32"/>
        </w:rPr>
        <w:t>国有资本经营预算财政拨款支出决算表</w:t>
      </w:r>
    </w:p>
    <w:p>
      <w:pPr>
        <w:pStyle w:val="14"/>
        <w:adjustRightInd w:val="0"/>
        <w:snapToGrid w:val="0"/>
        <w:spacing w:line="560" w:lineRule="exact"/>
        <w:rPr>
          <w:rFonts w:eastAsia="仿宋_GB2312" w:cs="仿宋_GB2312"/>
          <w:sz w:val="32"/>
          <w:szCs w:val="32"/>
        </w:rPr>
      </w:pPr>
      <w:bookmarkStart w:id="66" w:name="_Toc15396631"/>
      <w:r>
        <w:rPr>
          <w:rFonts w:hint="eastAsia" w:eastAsia="仿宋_GB2312" w:cs="仿宋_GB2312"/>
          <w:sz w:val="32"/>
          <w:szCs w:val="32"/>
        </w:rPr>
        <w:t>十三、</w:t>
      </w:r>
      <w:bookmarkEnd w:id="66"/>
      <w:r>
        <w:rPr>
          <w:rFonts w:hint="eastAsia" w:eastAsia="仿宋_GB2312" w:cs="仿宋_GB2312"/>
          <w:sz w:val="32"/>
          <w:szCs w:val="32"/>
        </w:rPr>
        <w:t>财政拨款“三公”经费支出决算表</w:t>
      </w:r>
    </w:p>
    <w:p/>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2051"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2052"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816899"/>
    <w:multiLevelType w:val="multilevel"/>
    <w:tmpl w:val="5D816899"/>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0F0D"/>
    <w:rsid w:val="000D1267"/>
    <w:rsid w:val="000D1D50"/>
    <w:rsid w:val="000D5782"/>
    <w:rsid w:val="000E6613"/>
    <w:rsid w:val="000E6BF2"/>
    <w:rsid w:val="000E7119"/>
    <w:rsid w:val="00114E9B"/>
    <w:rsid w:val="00142216"/>
    <w:rsid w:val="00144D6A"/>
    <w:rsid w:val="0014729F"/>
    <w:rsid w:val="00153D25"/>
    <w:rsid w:val="00157BAB"/>
    <w:rsid w:val="001654D1"/>
    <w:rsid w:val="001667DC"/>
    <w:rsid w:val="00172C23"/>
    <w:rsid w:val="00174518"/>
    <w:rsid w:val="0018106D"/>
    <w:rsid w:val="001835D8"/>
    <w:rsid w:val="001877A7"/>
    <w:rsid w:val="00191536"/>
    <w:rsid w:val="00196687"/>
    <w:rsid w:val="001B315A"/>
    <w:rsid w:val="001B4CC4"/>
    <w:rsid w:val="001C0962"/>
    <w:rsid w:val="001C54E5"/>
    <w:rsid w:val="001D7531"/>
    <w:rsid w:val="001E737D"/>
    <w:rsid w:val="001F0592"/>
    <w:rsid w:val="001F7506"/>
    <w:rsid w:val="002006CD"/>
    <w:rsid w:val="00202B36"/>
    <w:rsid w:val="00204B7A"/>
    <w:rsid w:val="00204CDE"/>
    <w:rsid w:val="0021101A"/>
    <w:rsid w:val="00220536"/>
    <w:rsid w:val="00235629"/>
    <w:rsid w:val="00251612"/>
    <w:rsid w:val="00260C38"/>
    <w:rsid w:val="002616C0"/>
    <w:rsid w:val="00265372"/>
    <w:rsid w:val="002662AA"/>
    <w:rsid w:val="00267E5C"/>
    <w:rsid w:val="00280496"/>
    <w:rsid w:val="00284754"/>
    <w:rsid w:val="00294DC9"/>
    <w:rsid w:val="00295495"/>
    <w:rsid w:val="002A31DE"/>
    <w:rsid w:val="002A4C70"/>
    <w:rsid w:val="002B2613"/>
    <w:rsid w:val="002D57E1"/>
    <w:rsid w:val="002D6D05"/>
    <w:rsid w:val="002F1818"/>
    <w:rsid w:val="002F567B"/>
    <w:rsid w:val="003216A9"/>
    <w:rsid w:val="00335A74"/>
    <w:rsid w:val="00345B60"/>
    <w:rsid w:val="0035332B"/>
    <w:rsid w:val="0036561B"/>
    <w:rsid w:val="0037013F"/>
    <w:rsid w:val="00380C92"/>
    <w:rsid w:val="003A416D"/>
    <w:rsid w:val="003A484F"/>
    <w:rsid w:val="003A4883"/>
    <w:rsid w:val="003B0BE0"/>
    <w:rsid w:val="003B0C1B"/>
    <w:rsid w:val="003B688C"/>
    <w:rsid w:val="003C0291"/>
    <w:rsid w:val="003C39AE"/>
    <w:rsid w:val="003C7B60"/>
    <w:rsid w:val="003D0C0F"/>
    <w:rsid w:val="003D1FB2"/>
    <w:rsid w:val="003D66DA"/>
    <w:rsid w:val="003E1310"/>
    <w:rsid w:val="003E6F55"/>
    <w:rsid w:val="003F5458"/>
    <w:rsid w:val="00406254"/>
    <w:rsid w:val="0040792D"/>
    <w:rsid w:val="004223DE"/>
    <w:rsid w:val="004311B3"/>
    <w:rsid w:val="00434489"/>
    <w:rsid w:val="00434DB0"/>
    <w:rsid w:val="00437085"/>
    <w:rsid w:val="004428B6"/>
    <w:rsid w:val="00443880"/>
    <w:rsid w:val="004464F4"/>
    <w:rsid w:val="00447958"/>
    <w:rsid w:val="00451759"/>
    <w:rsid w:val="00471401"/>
    <w:rsid w:val="00473F31"/>
    <w:rsid w:val="00474F11"/>
    <w:rsid w:val="0048263A"/>
    <w:rsid w:val="00487E5D"/>
    <w:rsid w:val="004A711F"/>
    <w:rsid w:val="004B199D"/>
    <w:rsid w:val="004B4690"/>
    <w:rsid w:val="004C0BB8"/>
    <w:rsid w:val="004E0A2D"/>
    <w:rsid w:val="004E206B"/>
    <w:rsid w:val="004E6DF7"/>
    <w:rsid w:val="004F0FBD"/>
    <w:rsid w:val="00505A47"/>
    <w:rsid w:val="0050645D"/>
    <w:rsid w:val="00512FDA"/>
    <w:rsid w:val="00520DA0"/>
    <w:rsid w:val="005545AA"/>
    <w:rsid w:val="005664BB"/>
    <w:rsid w:val="00566FFA"/>
    <w:rsid w:val="0057481D"/>
    <w:rsid w:val="0058486E"/>
    <w:rsid w:val="00585B33"/>
    <w:rsid w:val="00586470"/>
    <w:rsid w:val="00586B7A"/>
    <w:rsid w:val="0059014D"/>
    <w:rsid w:val="0059209E"/>
    <w:rsid w:val="005B5C64"/>
    <w:rsid w:val="005C5337"/>
    <w:rsid w:val="005C6BD0"/>
    <w:rsid w:val="005C7CB8"/>
    <w:rsid w:val="005D1C8B"/>
    <w:rsid w:val="005D468D"/>
    <w:rsid w:val="005D5CED"/>
    <w:rsid w:val="005E57BA"/>
    <w:rsid w:val="005F1A4C"/>
    <w:rsid w:val="00605688"/>
    <w:rsid w:val="006070AF"/>
    <w:rsid w:val="00607E6C"/>
    <w:rsid w:val="006101B1"/>
    <w:rsid w:val="00610B9B"/>
    <w:rsid w:val="00614E44"/>
    <w:rsid w:val="0062270A"/>
    <w:rsid w:val="00622830"/>
    <w:rsid w:val="00623DA0"/>
    <w:rsid w:val="006264E3"/>
    <w:rsid w:val="00630AEF"/>
    <w:rsid w:val="006325F8"/>
    <w:rsid w:val="00633463"/>
    <w:rsid w:val="00634C9A"/>
    <w:rsid w:val="006440E4"/>
    <w:rsid w:val="0066343B"/>
    <w:rsid w:val="00664777"/>
    <w:rsid w:val="006748A4"/>
    <w:rsid w:val="00681A31"/>
    <w:rsid w:val="00683E73"/>
    <w:rsid w:val="00685E8C"/>
    <w:rsid w:val="006A3141"/>
    <w:rsid w:val="006A5E34"/>
    <w:rsid w:val="006B2422"/>
    <w:rsid w:val="006B2B9A"/>
    <w:rsid w:val="006C1937"/>
    <w:rsid w:val="006F020C"/>
    <w:rsid w:val="007003EE"/>
    <w:rsid w:val="00707517"/>
    <w:rsid w:val="007127B7"/>
    <w:rsid w:val="00713148"/>
    <w:rsid w:val="0071606E"/>
    <w:rsid w:val="0071798E"/>
    <w:rsid w:val="007416B6"/>
    <w:rsid w:val="00746F48"/>
    <w:rsid w:val="0075404D"/>
    <w:rsid w:val="0076182A"/>
    <w:rsid w:val="00767B7E"/>
    <w:rsid w:val="00767F38"/>
    <w:rsid w:val="007770C3"/>
    <w:rsid w:val="00784D24"/>
    <w:rsid w:val="00785FBA"/>
    <w:rsid w:val="00786E4A"/>
    <w:rsid w:val="007875EB"/>
    <w:rsid w:val="0079426B"/>
    <w:rsid w:val="007C3B3F"/>
    <w:rsid w:val="007D0EB4"/>
    <w:rsid w:val="007D1682"/>
    <w:rsid w:val="007D312A"/>
    <w:rsid w:val="007D3F19"/>
    <w:rsid w:val="007D7594"/>
    <w:rsid w:val="007E23B0"/>
    <w:rsid w:val="007E23E5"/>
    <w:rsid w:val="007E3E33"/>
    <w:rsid w:val="007F0AB0"/>
    <w:rsid w:val="007F1991"/>
    <w:rsid w:val="007F1F3E"/>
    <w:rsid w:val="007F2C2F"/>
    <w:rsid w:val="007F55FC"/>
    <w:rsid w:val="007F5665"/>
    <w:rsid w:val="00800112"/>
    <w:rsid w:val="00813348"/>
    <w:rsid w:val="008208F0"/>
    <w:rsid w:val="008247E9"/>
    <w:rsid w:val="008253BB"/>
    <w:rsid w:val="0083706E"/>
    <w:rsid w:val="008408F6"/>
    <w:rsid w:val="008423A5"/>
    <w:rsid w:val="00850625"/>
    <w:rsid w:val="00853718"/>
    <w:rsid w:val="00855221"/>
    <w:rsid w:val="00860645"/>
    <w:rsid w:val="00871F71"/>
    <w:rsid w:val="00872FD8"/>
    <w:rsid w:val="00885AF4"/>
    <w:rsid w:val="008939CD"/>
    <w:rsid w:val="008B768C"/>
    <w:rsid w:val="008C356B"/>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189F"/>
    <w:rsid w:val="00945006"/>
    <w:rsid w:val="00946945"/>
    <w:rsid w:val="00951248"/>
    <w:rsid w:val="0095152F"/>
    <w:rsid w:val="00954C49"/>
    <w:rsid w:val="00955E37"/>
    <w:rsid w:val="0097099F"/>
    <w:rsid w:val="00971997"/>
    <w:rsid w:val="00971FFC"/>
    <w:rsid w:val="0098636B"/>
    <w:rsid w:val="0098660A"/>
    <w:rsid w:val="009931C3"/>
    <w:rsid w:val="009B2C43"/>
    <w:rsid w:val="009B4EAE"/>
    <w:rsid w:val="009B7573"/>
    <w:rsid w:val="009C1BBC"/>
    <w:rsid w:val="009C22F4"/>
    <w:rsid w:val="009C2A4B"/>
    <w:rsid w:val="009C2E98"/>
    <w:rsid w:val="009D3447"/>
    <w:rsid w:val="009D4711"/>
    <w:rsid w:val="009E06CA"/>
    <w:rsid w:val="009F1185"/>
    <w:rsid w:val="009F18CD"/>
    <w:rsid w:val="009F2A13"/>
    <w:rsid w:val="009F7527"/>
    <w:rsid w:val="00A00A21"/>
    <w:rsid w:val="00A02721"/>
    <w:rsid w:val="00A03731"/>
    <w:rsid w:val="00A04EB0"/>
    <w:rsid w:val="00A06387"/>
    <w:rsid w:val="00A1136A"/>
    <w:rsid w:val="00A13CC1"/>
    <w:rsid w:val="00A16847"/>
    <w:rsid w:val="00A237D8"/>
    <w:rsid w:val="00A268C4"/>
    <w:rsid w:val="00A307CD"/>
    <w:rsid w:val="00A331C8"/>
    <w:rsid w:val="00A40A00"/>
    <w:rsid w:val="00A4142F"/>
    <w:rsid w:val="00A422EB"/>
    <w:rsid w:val="00A434A8"/>
    <w:rsid w:val="00A45BB7"/>
    <w:rsid w:val="00A56DF2"/>
    <w:rsid w:val="00A56E6E"/>
    <w:rsid w:val="00A67AB5"/>
    <w:rsid w:val="00A70E27"/>
    <w:rsid w:val="00A733B2"/>
    <w:rsid w:val="00A741C2"/>
    <w:rsid w:val="00A91760"/>
    <w:rsid w:val="00A93B00"/>
    <w:rsid w:val="00A93C21"/>
    <w:rsid w:val="00AA5665"/>
    <w:rsid w:val="00AB64C9"/>
    <w:rsid w:val="00AC3C6A"/>
    <w:rsid w:val="00AD5620"/>
    <w:rsid w:val="00AD656B"/>
    <w:rsid w:val="00AD7C1B"/>
    <w:rsid w:val="00AE16BA"/>
    <w:rsid w:val="00AE1EBE"/>
    <w:rsid w:val="00AE42FB"/>
    <w:rsid w:val="00AE7F1D"/>
    <w:rsid w:val="00AF5F6A"/>
    <w:rsid w:val="00AF6DC7"/>
    <w:rsid w:val="00B03C9D"/>
    <w:rsid w:val="00B060AE"/>
    <w:rsid w:val="00B10517"/>
    <w:rsid w:val="00B11E20"/>
    <w:rsid w:val="00B14E76"/>
    <w:rsid w:val="00B161B8"/>
    <w:rsid w:val="00B16C34"/>
    <w:rsid w:val="00B2048C"/>
    <w:rsid w:val="00B310B9"/>
    <w:rsid w:val="00B35F3F"/>
    <w:rsid w:val="00B36CBB"/>
    <w:rsid w:val="00B41473"/>
    <w:rsid w:val="00B41D51"/>
    <w:rsid w:val="00B425E0"/>
    <w:rsid w:val="00B440AA"/>
    <w:rsid w:val="00B44B70"/>
    <w:rsid w:val="00B472E6"/>
    <w:rsid w:val="00B53C56"/>
    <w:rsid w:val="00B57DAF"/>
    <w:rsid w:val="00B65780"/>
    <w:rsid w:val="00B76FD4"/>
    <w:rsid w:val="00B77EA6"/>
    <w:rsid w:val="00B81598"/>
    <w:rsid w:val="00B841F1"/>
    <w:rsid w:val="00B864DE"/>
    <w:rsid w:val="00B944D6"/>
    <w:rsid w:val="00BB4DF0"/>
    <w:rsid w:val="00BC155A"/>
    <w:rsid w:val="00BC289F"/>
    <w:rsid w:val="00BC2D50"/>
    <w:rsid w:val="00BC5361"/>
    <w:rsid w:val="00BC5460"/>
    <w:rsid w:val="00BC6B50"/>
    <w:rsid w:val="00BD0E25"/>
    <w:rsid w:val="00BF5BD6"/>
    <w:rsid w:val="00C03E31"/>
    <w:rsid w:val="00C13D75"/>
    <w:rsid w:val="00C23711"/>
    <w:rsid w:val="00C33E72"/>
    <w:rsid w:val="00C354B2"/>
    <w:rsid w:val="00C35554"/>
    <w:rsid w:val="00C42709"/>
    <w:rsid w:val="00C533CC"/>
    <w:rsid w:val="00C5751C"/>
    <w:rsid w:val="00C61BFC"/>
    <w:rsid w:val="00C62B85"/>
    <w:rsid w:val="00C65438"/>
    <w:rsid w:val="00C87FD8"/>
    <w:rsid w:val="00C91381"/>
    <w:rsid w:val="00C91CBB"/>
    <w:rsid w:val="00CA4D9F"/>
    <w:rsid w:val="00CB4E70"/>
    <w:rsid w:val="00CC09B6"/>
    <w:rsid w:val="00CC666F"/>
    <w:rsid w:val="00CD1E3F"/>
    <w:rsid w:val="00CE44F6"/>
    <w:rsid w:val="00CE49DA"/>
    <w:rsid w:val="00CE6657"/>
    <w:rsid w:val="00CE7B61"/>
    <w:rsid w:val="00D00095"/>
    <w:rsid w:val="00D02FE7"/>
    <w:rsid w:val="00D114F0"/>
    <w:rsid w:val="00D12AEF"/>
    <w:rsid w:val="00D20620"/>
    <w:rsid w:val="00D254F7"/>
    <w:rsid w:val="00D26091"/>
    <w:rsid w:val="00D2685C"/>
    <w:rsid w:val="00D34E7C"/>
    <w:rsid w:val="00D35489"/>
    <w:rsid w:val="00D3683D"/>
    <w:rsid w:val="00D36AFE"/>
    <w:rsid w:val="00D51276"/>
    <w:rsid w:val="00D7035F"/>
    <w:rsid w:val="00D7218E"/>
    <w:rsid w:val="00DA634F"/>
    <w:rsid w:val="00DA65AC"/>
    <w:rsid w:val="00DA66BA"/>
    <w:rsid w:val="00DB1913"/>
    <w:rsid w:val="00DB6607"/>
    <w:rsid w:val="00DC410D"/>
    <w:rsid w:val="00DC5A81"/>
    <w:rsid w:val="00DC68CA"/>
    <w:rsid w:val="00DC7CBA"/>
    <w:rsid w:val="00DD73B7"/>
    <w:rsid w:val="00DE0DD2"/>
    <w:rsid w:val="00DF0D34"/>
    <w:rsid w:val="00DF28BC"/>
    <w:rsid w:val="00DF34B9"/>
    <w:rsid w:val="00E01053"/>
    <w:rsid w:val="00E07ACF"/>
    <w:rsid w:val="00E218D2"/>
    <w:rsid w:val="00E331A1"/>
    <w:rsid w:val="00E33202"/>
    <w:rsid w:val="00E336A9"/>
    <w:rsid w:val="00E472B1"/>
    <w:rsid w:val="00E50624"/>
    <w:rsid w:val="00E54633"/>
    <w:rsid w:val="00E568DF"/>
    <w:rsid w:val="00E64269"/>
    <w:rsid w:val="00E82267"/>
    <w:rsid w:val="00E853CE"/>
    <w:rsid w:val="00E867B6"/>
    <w:rsid w:val="00EA010F"/>
    <w:rsid w:val="00EA5929"/>
    <w:rsid w:val="00ED1B63"/>
    <w:rsid w:val="00ED3C1F"/>
    <w:rsid w:val="00ED4085"/>
    <w:rsid w:val="00ED420E"/>
    <w:rsid w:val="00ED6FBE"/>
    <w:rsid w:val="00EE2F57"/>
    <w:rsid w:val="00EE38B7"/>
    <w:rsid w:val="00EF4C34"/>
    <w:rsid w:val="00EF77C6"/>
    <w:rsid w:val="00F05438"/>
    <w:rsid w:val="00F05A73"/>
    <w:rsid w:val="00F05F7D"/>
    <w:rsid w:val="00F1361C"/>
    <w:rsid w:val="00F156F0"/>
    <w:rsid w:val="00F160C7"/>
    <w:rsid w:val="00F2408F"/>
    <w:rsid w:val="00F240E9"/>
    <w:rsid w:val="00F36D8F"/>
    <w:rsid w:val="00F400E1"/>
    <w:rsid w:val="00F417B1"/>
    <w:rsid w:val="00F45853"/>
    <w:rsid w:val="00F602DF"/>
    <w:rsid w:val="00F754A1"/>
    <w:rsid w:val="00F81FD9"/>
    <w:rsid w:val="00F841AA"/>
    <w:rsid w:val="00F84A94"/>
    <w:rsid w:val="00F87E96"/>
    <w:rsid w:val="00FA23E8"/>
    <w:rsid w:val="00FD3CC1"/>
    <w:rsid w:val="00FD6D79"/>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BFDB21"/>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24B1E69"/>
    <w:rsid w:val="44AF0C8A"/>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EFF52F6C"/>
    <w:rsid w:val="F2BEBCB8"/>
    <w:rsid w:val="F36FB518"/>
    <w:rsid w:val="F3DE1A04"/>
    <w:rsid w:val="F3F722E5"/>
    <w:rsid w:val="F4FBCD07"/>
    <w:rsid w:val="F9A72BD3"/>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TOC 标题3"/>
    <w:basedOn w:val="5"/>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esktop\&#39044;&#31639;&#21644;&#20915;&#31639;&#36164;&#26009;\&#39044;&#20915;&#31639;&#25209;&#22797;&#21644;&#20844;&#24320;\&#30011;&#2227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esktop\&#39044;&#20915;&#31639;&#25209;&#22797;&#21644;&#20844;&#24320;\&#30011;&#2227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Sheet1!$A$53</c:f>
              <c:strCache>
                <c:ptCount val="1"/>
                <c:pt idx="0">
                  <c:v>收入（万元）</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Sheet1!$B$52:$C$52</c:f>
              <c:strCache>
                <c:ptCount val="2"/>
                <c:pt idx="0">
                  <c:v>2024年</c:v>
                </c:pt>
                <c:pt idx="1">
                  <c:v>2025年</c:v>
                </c:pt>
              </c:strCache>
            </c:strRef>
          </c:cat>
          <c:val>
            <c:numRef>
              <c:f>Sheet1!$B$53:$C$53</c:f>
              <c:numCache>
                <c:formatCode>0.00_ </c:formatCode>
                <c:ptCount val="2"/>
                <c:pt idx="0">
                  <c:v>906.03</c:v>
                </c:pt>
                <c:pt idx="1">
                  <c:v>909.24</c:v>
                </c:pt>
              </c:numCache>
            </c:numRef>
          </c:val>
        </c:ser>
        <c:ser>
          <c:idx val="1"/>
          <c:order val="1"/>
          <c:tx>
            <c:strRef>
              <c:f>Sheet1!$A$54</c:f>
              <c:strCache>
                <c:ptCount val="1"/>
                <c:pt idx="0">
                  <c:v>支出（万元）</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Sheet1!$B$52:$C$52</c:f>
              <c:strCache>
                <c:ptCount val="2"/>
                <c:pt idx="0">
                  <c:v>2024年</c:v>
                </c:pt>
                <c:pt idx="1">
                  <c:v>2025年</c:v>
                </c:pt>
              </c:strCache>
            </c:strRef>
          </c:cat>
          <c:val>
            <c:numRef>
              <c:f>Sheet1!$B$54:$C$54</c:f>
              <c:numCache>
                <c:formatCode>0.00_ </c:formatCode>
                <c:ptCount val="2"/>
                <c:pt idx="0">
                  <c:v>906.03</c:v>
                </c:pt>
                <c:pt idx="1">
                  <c:v>909.24</c:v>
                </c:pt>
              </c:numCache>
            </c:numRef>
          </c:val>
        </c:ser>
        <c:dLbls>
          <c:showLegendKey val="false"/>
          <c:showVal val="true"/>
          <c:showCatName val="false"/>
          <c:showSerName val="false"/>
          <c:showPercent val="false"/>
          <c:showBubbleSize val="false"/>
        </c:dLbls>
        <c:gapWidth val="150"/>
        <c:axId val="129575936"/>
        <c:axId val="129602688"/>
      </c:barChart>
      <c:catAx>
        <c:axId val="129575936"/>
        <c:scaling>
          <c:orientation val="minMax"/>
        </c:scaling>
        <c:delete val="false"/>
        <c:axPos val="b"/>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129602688"/>
        <c:crosses val="autoZero"/>
        <c:auto val="true"/>
        <c:lblAlgn val="ctr"/>
        <c:lblOffset val="100"/>
        <c:noMultiLvlLbl val="false"/>
      </c:catAx>
      <c:valAx>
        <c:axId val="129602688"/>
        <c:scaling>
          <c:orientation val="minMax"/>
        </c:scaling>
        <c:delete val="false"/>
        <c:axPos val="l"/>
        <c:majorGridlines/>
        <c:numFmt formatCode="0.00_ " sourceLinked="true"/>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129575936"/>
        <c:crosses val="autoZero"/>
        <c:crossBetween val="between"/>
      </c:valAx>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51565179352581"/>
          <c:y val="0.159722222222224"/>
          <c:w val="0.660801618547693"/>
          <c:h val="0.773148148148154"/>
        </c:manualLayout>
      </c:layout>
      <c:pieChart>
        <c:varyColors val="true"/>
        <c:ser>
          <c:idx val="1"/>
          <c:order val="1"/>
          <c:tx>
            <c:strRef>
              <c:f>支出决算情况</c:f>
              <c:strCache>
                <c:ptCount val="1"/>
                <c:pt idx="0">
                  <c:v>支出决算情况</c:v>
                </c:pt>
              </c:strCache>
            </c:strRef>
          </c:tx>
          <c:explosion val="0"/>
          <c:dPt>
            <c:idx val="0"/>
            <c:bubble3D val="false"/>
          </c:dPt>
          <c:dPt>
            <c:idx val="1"/>
            <c:bubble3D val="false"/>
          </c:dPt>
          <c:dLbls>
            <c:dLbl>
              <c:idx val="0"/>
              <c:layout>
                <c:manualLayout>
                  <c:x val="-0.00175874890638673"/>
                  <c:y val="-0.322197725284342"/>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en-US"/>
                      <a:t>909.24</a:t>
                    </a:r>
                    <a:endParaRPr altLang="en-US"/>
                  </a:p>
                </c:rich>
              </c:tx>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1"/>
              <c:delete val="true"/>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Sheet1!$A$10:$B$10</c:f>
              <c:strCache>
                <c:ptCount val="1"/>
                <c:pt idx="0">
                  <c:v>一般公共预算财政拨款收入单位：万元</c:v>
                </c:pt>
              </c:strCache>
            </c:strRef>
          </c:cat>
          <c:val>
            <c:numRef>
              <c:f>Sheet1!$A$11:$B$11</c:f>
              <c:numCache>
                <c:formatCode>General</c:formatCode>
                <c:ptCount val="2"/>
                <c:pt idx="0">
                  <c:v>913.87</c:v>
                </c:pt>
              </c:numCache>
            </c:numRef>
          </c:val>
        </c:ser>
        <c:ser>
          <c:idx val="0"/>
          <c:order val="0"/>
          <c:tx>
            <c:strRef>
              <c:f>支出决算情况</c:f>
              <c:strCache>
                <c:ptCount val="1"/>
                <c:pt idx="0">
                  <c:v>支出决算情况</c:v>
                </c:pt>
              </c:strCache>
            </c:strRef>
          </c:tx>
          <c:explosion val="25"/>
          <c:dPt>
            <c:idx val="0"/>
            <c:bubble3D val="false"/>
          </c:dPt>
          <c:dPt>
            <c:idx val="1"/>
            <c:bubble3D val="false"/>
          </c:dPt>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en-US"/>
                      <a:t>821.16</a:t>
                    </a:r>
                    <a:r>
                      <a:rPr lang="zh-CN" altLang="en-US"/>
                      <a:t>万元</a:t>
                    </a:r>
                    <a:endParaRPr lang="en-US" altLang="en-US"/>
                  </a:p>
                </c:rich>
              </c:tx>
              <c:dLblPos val="bestFit"/>
              <c:showLegendKey val="false"/>
              <c:showVal val="true"/>
              <c:showCatName val="false"/>
              <c:showSerName val="false"/>
              <c:showPercent val="true"/>
              <c:showBubbleSize val="false"/>
              <c:extLst>
                <c:ext xmlns:c15="http://schemas.microsoft.com/office/drawing/2012/chart" uri="{CE6537A1-D6FC-4f65-9D91-7224C49458BB}"/>
              </c:extLst>
            </c:dLbl>
            <c:dLbl>
              <c:idx val="1"/>
              <c:delete val="true"/>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Sheet1!$A$10:$B$10</c:f>
              <c:strCache>
                <c:ptCount val="1"/>
                <c:pt idx="0">
                  <c:v>一般公共预算财政拨款收入单位：万元</c:v>
                </c:pt>
              </c:strCache>
            </c:strRef>
          </c:cat>
          <c:val>
            <c:numRef>
              <c:f>Sheet1!$A$11:$B$11</c:f>
              <c:numCache>
                <c:formatCode>General</c:formatCode>
                <c:ptCount val="2"/>
                <c:pt idx="0">
                  <c:v>913.87</c:v>
                </c:pt>
              </c:numCache>
            </c:numRef>
          </c:val>
        </c:ser>
        <c:dLbls>
          <c:showLegendKey val="false"/>
          <c:showVal val="true"/>
          <c:showCatName val="false"/>
          <c:showSerName val="false"/>
          <c:showPercent val="true"/>
          <c:showBubbleSize val="false"/>
          <c:showLeaderLines val="true"/>
        </c:dLbls>
        <c:firstSliceAng val="15"/>
      </c:pieChart>
      <c:spPr>
        <a:noFill/>
        <a:ln>
          <a:noFill/>
        </a:ln>
        <a:effectLst/>
      </c:spPr>
    </c:plotArea>
    <c:legend>
      <c:legendPos val="r"/>
      <c:legendEntry>
        <c:idx val="1"/>
        <c:delete val="true"/>
      </c:legendEntry>
      <c:layout>
        <c:manualLayout>
          <c:xMode val="edge"/>
          <c:yMode val="edge"/>
          <c:x val="0.592764036586976"/>
          <c:y val="0.0452602799650044"/>
          <c:w val="0.404443131060164"/>
          <c:h val="0.140978054826481"/>
        </c:manualLayout>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zero"/>
    <c:showDLblsOverMax val="false"/>
  </c:chart>
  <c:txPr>
    <a:bodyPr/>
    <a:lstStyle/>
    <a:p>
      <a:pPr>
        <a:defRPr lang="zh-CN"/>
      </a:pPr>
    </a:p>
  </c:txPr>
  <c:externalData r:id="rId1">
    <c:autoUpdate val="false"/>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796</Words>
  <Characters>4540</Characters>
  <Lines>37</Lines>
  <Paragraphs>10</Paragraphs>
  <TotalTime>2</TotalTime>
  <ScaleCrop>false</ScaleCrop>
  <LinksUpToDate>false</LinksUpToDate>
  <CharactersWithSpaces>5326</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2026-09-14T18:38:00Z</dcterms:created>
  <dc:creator>曹颖</dc:creator>
  <cp:lastModifiedBy>user</cp:lastModifiedBy>
  <cp:lastPrinted>2025-09-09T07:09:00Z</cp:lastPrinted>
  <dcterms:modified xsi:type="dcterms:W3CDTF">2026-09-15T10:55:02Z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04787F2533EB45DC91BCDE4AB213247F</vt:lpwstr>
  </property>
  <property fmtid="{D5CDD505-2E9C-101B-9397-08002B2CF9AE}" pid="4" name="KSOTemplateDocerSaveRecord">
    <vt:lpwstr>eyJoZGlkIjoiYjdlNjlmZTJhZjBkNDY3YzkwMTliM2NlNzYxMDA5MzEiLCJ1c2VySWQiOiI0NDIyNTM3MzYifQ==</vt:lpwstr>
  </property>
</Properties>
</file>