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Times New Roman" w:hAnsi="Times New Roman" w:cs="宋体"/>
          <w:b/>
          <w:color w:val="auto"/>
          <w:sz w:val="72"/>
          <w:szCs w:val="72"/>
          <w:highlight w:val="none"/>
        </w:rPr>
      </w:pPr>
    </w:p>
    <w:p>
      <w:pPr>
        <w:spacing w:line="360" w:lineRule="auto"/>
        <w:jc w:val="center"/>
        <w:rPr>
          <w:rFonts w:hint="eastAsia" w:ascii="Times New Roman" w:hAnsi="Times New Roman" w:cs="宋体"/>
          <w:b/>
          <w:color w:val="auto"/>
          <w:sz w:val="72"/>
          <w:szCs w:val="72"/>
          <w:highlight w:val="none"/>
        </w:rPr>
      </w:pPr>
      <w:r>
        <w:rPr>
          <w:rFonts w:hint="eastAsia" w:ascii="Times New Roman" w:hAnsi="Times New Roman" w:cs="宋体"/>
          <w:b/>
          <w:color w:val="auto"/>
          <w:sz w:val="72"/>
          <w:szCs w:val="72"/>
          <w:highlight w:val="none"/>
          <w:lang w:eastAsia="zh-CN"/>
        </w:rPr>
        <w:t>攀枝花市</w:t>
      </w:r>
      <w:r>
        <w:rPr>
          <w:rFonts w:hint="eastAsia" w:ascii="Times New Roman" w:hAnsi="Times New Roman" w:cs="宋体"/>
          <w:b/>
          <w:color w:val="auto"/>
          <w:sz w:val="72"/>
          <w:szCs w:val="72"/>
          <w:highlight w:val="none"/>
        </w:rPr>
        <w:t>房屋建筑和市政工程标准设计施工总承包</w:t>
      </w:r>
    </w:p>
    <w:p>
      <w:pPr>
        <w:spacing w:line="360" w:lineRule="auto"/>
        <w:jc w:val="center"/>
        <w:rPr>
          <w:rFonts w:hint="eastAsia" w:ascii="Times New Roman" w:hAnsi="Times New Roman" w:cs="宋体"/>
          <w:b/>
          <w:color w:val="auto"/>
          <w:sz w:val="72"/>
          <w:szCs w:val="72"/>
          <w:highlight w:val="none"/>
        </w:rPr>
      </w:pPr>
      <w:r>
        <w:rPr>
          <w:rFonts w:hint="eastAsia" w:ascii="Times New Roman" w:hAnsi="Times New Roman" w:cs="宋体"/>
          <w:b/>
          <w:color w:val="auto"/>
          <w:sz w:val="72"/>
          <w:szCs w:val="72"/>
          <w:highlight w:val="none"/>
        </w:rPr>
        <w:t xml:space="preserve">招标文件 </w:t>
      </w:r>
    </w:p>
    <w:p>
      <w:pPr>
        <w:spacing w:line="360" w:lineRule="auto"/>
        <w:jc w:val="center"/>
        <w:rPr>
          <w:rFonts w:ascii="Times New Roman" w:hAnsi="Times New Roman" w:cs="宋体"/>
          <w:b/>
          <w:color w:val="auto"/>
          <w:sz w:val="72"/>
          <w:szCs w:val="72"/>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宋体"/>
          <w:b/>
          <w:color w:val="auto"/>
          <w:sz w:val="72"/>
          <w:szCs w:val="72"/>
          <w:highlight w:val="none"/>
        </w:rPr>
        <w:t>（202</w:t>
      </w:r>
      <w:r>
        <w:rPr>
          <w:rFonts w:hint="eastAsia" w:cs="宋体"/>
          <w:b/>
          <w:color w:val="auto"/>
          <w:sz w:val="72"/>
          <w:szCs w:val="72"/>
          <w:highlight w:val="none"/>
          <w:lang w:val="en-US" w:eastAsia="zh-CN"/>
        </w:rPr>
        <w:t>5</w:t>
      </w:r>
      <w:r>
        <w:rPr>
          <w:rFonts w:hint="eastAsia" w:ascii="Times New Roman" w:hAnsi="Times New Roman" w:cs="宋体"/>
          <w:b/>
          <w:color w:val="auto"/>
          <w:sz w:val="72"/>
          <w:szCs w:val="72"/>
          <w:highlight w:val="none"/>
        </w:rPr>
        <w:t>年版）</w:t>
      </w:r>
    </w:p>
    <w:p>
      <w:pPr>
        <w:spacing w:line="360" w:lineRule="auto"/>
        <w:ind w:firstLine="0" w:firstLineChars="0"/>
        <w:rPr>
          <w:color w:val="auto"/>
          <w:highlight w:val="none"/>
        </w:rPr>
      </w:pPr>
    </w:p>
    <w:p>
      <w:pPr>
        <w:spacing w:line="360" w:lineRule="auto"/>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使用说明</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一、《攀枝花市房屋建筑和市政工程标准设计施工总承包招标文件（2025年版）》是根据《</w:t>
      </w:r>
      <w:r>
        <w:rPr>
          <w:rFonts w:hint="eastAsia" w:ascii="Times New Roman" w:hAnsi="Times New Roman" w:cs="宋体"/>
          <w:color w:val="auto"/>
          <w:sz w:val="24"/>
          <w:highlight w:val="none"/>
          <w:lang w:eastAsia="zh-CN"/>
        </w:rPr>
        <w:t>四川省</w:t>
      </w:r>
      <w:r>
        <w:rPr>
          <w:rFonts w:hint="eastAsia" w:ascii="Times New Roman" w:hAnsi="Times New Roman" w:cs="宋体"/>
          <w:color w:val="auto"/>
          <w:sz w:val="24"/>
          <w:highlight w:val="none"/>
        </w:rPr>
        <w:t>房屋建筑和市政工程标准设计施工总承包招标文件》（2021年版），按照攀枝花市“暗标盲评”有关要求编制。</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lang w:eastAsia="zh-CN"/>
        </w:rPr>
        <w:t>二</w:t>
      </w:r>
      <w:r>
        <w:rPr>
          <w:rFonts w:hint="eastAsia" w:ascii="Times New Roman" w:hAnsi="Times New Roman" w:cs="宋体"/>
          <w:color w:val="auto"/>
          <w:sz w:val="24"/>
          <w:highlight w:val="none"/>
        </w:rPr>
        <w:t>、《攀枝花市房屋建筑和市政工程标准设计施工总承包招标文件》适用于四川省行政区域内依法必须招标的房屋建筑和市政工程设计施工总承包和设计采购施工总承包电子招标。根据《住房和城乡建设部 国家发展改革委关于印发房屋建筑和市政基础设施项目工程总承包管理办法的通知》（建市规〔2019〕12号）第三条和第九条第（五）项的规定，招标人应在完成勘察工作后进行工程总承包项目发包，不得将勘察纳入工程总承包招标范围一并发包。</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lang w:eastAsia="zh-CN"/>
        </w:rPr>
        <w:t>三</w:t>
      </w:r>
      <w:r>
        <w:rPr>
          <w:rFonts w:hint="eastAsia" w:ascii="Times New Roman" w:hAnsi="Times New Roman" w:cs="宋体"/>
          <w:color w:val="auto"/>
          <w:sz w:val="24"/>
          <w:highlight w:val="none"/>
        </w:rPr>
        <w:t>、《攀枝花市房屋建筑和市政工程标准设计施工总承包招标文件》用相同序号标示的章、节、条、款、项、目，供招标人选择使用；以空格标示的由招标人填写内容，招标人应根据招标项目具体特点和实际需要具体细化，确实没有需要填写的，在空格中用“/”标示。</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lang w:eastAsia="zh-CN"/>
        </w:rPr>
        <w:t>四</w:t>
      </w:r>
      <w:r>
        <w:rPr>
          <w:rFonts w:hint="eastAsia" w:ascii="Times New Roman" w:hAnsi="Times New Roman" w:cs="宋体"/>
          <w:color w:val="auto"/>
          <w:sz w:val="24"/>
          <w:highlight w:val="none"/>
        </w:rPr>
        <w:t>、招标人按照《攀枝花市房屋建筑和市政工程标准设计施工总承包招标文件》第一章的格式发布招标公告或发出投标邀请书后，将实际发布的招标公告或实际发出的投标邀请书编入发出的招标文件中。其中，招标公告应同时注明发布所在的所有媒介名称。</w:t>
      </w:r>
    </w:p>
    <w:p>
      <w:pPr>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lang w:eastAsia="zh-CN"/>
        </w:rPr>
        <w:t>五</w:t>
      </w:r>
      <w:r>
        <w:rPr>
          <w:rFonts w:hint="eastAsia" w:ascii="Times New Roman" w:hAnsi="Times New Roman" w:cs="宋体"/>
          <w:color w:val="auto"/>
          <w:sz w:val="24"/>
          <w:highlight w:val="none"/>
        </w:rPr>
        <w:t>、《攀枝花市房屋建筑和市政工程标准设计施工总承包招标文件》第三章“评标办法”采用综合评估法，各评审因素的分值由招标人在规定区间内自主确定。</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第三章“评标办法”前附表应列明全部评审因素和评审标准，并在本章前附表标明投标人不满足要求即否决其投标的全部条款。</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lang w:eastAsia="zh-CN"/>
        </w:rPr>
        <w:t>六</w:t>
      </w:r>
      <w:r>
        <w:rPr>
          <w:rFonts w:hint="eastAsia" w:ascii="Times New Roman" w:hAnsi="Times New Roman" w:cs="宋体"/>
          <w:color w:val="auto"/>
          <w:sz w:val="24"/>
          <w:highlight w:val="none"/>
        </w:rPr>
        <w:t>、《攀枝花市房屋建筑和市政工程标准设计施工总承包招标文件》第五章“发包人要求”由招标人根据招标项目具体特点和实际需要编制，并与“投标人须知”、“通用合同条款”、“专用合同条款”相衔接。</w:t>
      </w:r>
    </w:p>
    <w:p>
      <w:pPr>
        <w:spacing w:line="360" w:lineRule="auto"/>
        <w:ind w:firstLine="480" w:firstLineChars="200"/>
        <w:rPr>
          <w:rFonts w:hint="eastAsia" w:ascii="Times New Roman" w:hAnsi="Times New Roman" w:cs="宋体"/>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宋体"/>
          <w:color w:val="auto"/>
          <w:sz w:val="24"/>
          <w:highlight w:val="none"/>
          <w:lang w:eastAsia="zh-CN"/>
        </w:rPr>
        <w:t>七</w:t>
      </w:r>
      <w:r>
        <w:rPr>
          <w:rFonts w:hint="eastAsia" w:ascii="Times New Roman" w:hAnsi="Times New Roman" w:cs="宋体"/>
          <w:color w:val="auto"/>
          <w:sz w:val="24"/>
          <w:highlight w:val="none"/>
        </w:rPr>
        <w:t>、《攀枝花市房屋建筑和市政工程标准设计施工总承包招标文件》中，“□”表示可选择项，除注明为多项选择外，其余均为单项选择。多项选择招标人可以选，也可以都不选。勾选的内容为招标文件组成部分（如：</w:t>
      </w:r>
      <w:r>
        <w:rPr>
          <w:rFonts w:hint="eastAsia" w:ascii="Times New Roman" w:hAnsi="Times New Roman" w:cs="宋体"/>
          <w:color w:val="auto"/>
          <w:sz w:val="24"/>
          <w:highlight w:val="none"/>
        </w:rPr>
        <w:sym w:font="Wingdings 2" w:char="0052"/>
      </w:r>
      <w:r>
        <w:rPr>
          <w:rFonts w:hint="eastAsia" w:ascii="Times New Roman" w:hAnsi="Times New Roman" w:cs="宋体"/>
          <w:color w:val="auto"/>
          <w:sz w:val="24"/>
          <w:highlight w:val="none"/>
        </w:rPr>
        <w:t>），未勾选的内容不作为招标文件组成部分（如：□）。</w:t>
      </w:r>
    </w:p>
    <w:p>
      <w:pPr>
        <w:spacing w:line="360" w:lineRule="auto"/>
        <w:jc w:val="center"/>
        <w:rPr>
          <w:rFonts w:hint="eastAsia" w:ascii="Times New Roman" w:hAnsi="Times New Roman"/>
          <w:b/>
          <w:color w:val="auto"/>
          <w:sz w:val="28"/>
          <w:szCs w:val="28"/>
          <w:highlight w:val="none"/>
        </w:rPr>
      </w:pPr>
      <w:bookmarkStart w:id="0" w:name="_Toc152042286"/>
      <w:bookmarkStart w:id="1" w:name="_Toc144974478"/>
      <w:r>
        <w:rPr>
          <w:color w:val="auto"/>
          <w:sz w:val="28"/>
          <w:szCs w:val="28"/>
          <w:highlight w:val="none"/>
        </w:rPr>
        <w:t xml:space="preserve"> </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（项目名称）设计施工总承包 </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 标段</w:t>
      </w:r>
    </w:p>
    <w:p>
      <w:pPr>
        <w:spacing w:line="360" w:lineRule="auto"/>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t>（招标编码：</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w:t>
      </w:r>
    </w:p>
    <w:p>
      <w:pPr>
        <w:spacing w:line="360" w:lineRule="auto"/>
        <w:jc w:val="center"/>
        <w:rPr>
          <w:rFonts w:hint="eastAsia" w:ascii="Times New Roman" w:hAnsi="Times New Roman"/>
          <w:b/>
          <w:color w:val="auto"/>
          <w:sz w:val="28"/>
          <w:szCs w:val="28"/>
          <w:highlight w:val="none"/>
        </w:rPr>
      </w:pPr>
    </w:p>
    <w:p>
      <w:pPr>
        <w:spacing w:line="360" w:lineRule="auto"/>
        <w:rPr>
          <w:rFonts w:hint="eastAsia" w:ascii="Times New Roman" w:hAnsi="Times New Roman"/>
          <w:color w:val="auto"/>
          <w:sz w:val="28"/>
          <w:szCs w:val="28"/>
          <w:highlight w:val="none"/>
        </w:rPr>
      </w:pPr>
    </w:p>
    <w:p>
      <w:pPr>
        <w:widowControl/>
        <w:spacing w:line="360" w:lineRule="auto"/>
        <w:jc w:val="center"/>
        <w:rPr>
          <w:rFonts w:ascii="Times New Roman" w:hAnsi="Times New Roman" w:cs="Arial"/>
          <w:b/>
          <w:color w:val="auto"/>
          <w:kern w:val="0"/>
          <w:sz w:val="52"/>
          <w:szCs w:val="20"/>
          <w:highlight w:val="none"/>
        </w:rPr>
      </w:pPr>
      <w:r>
        <w:rPr>
          <w:rFonts w:hint="eastAsia" w:ascii="Times New Roman" w:hAnsi="Times New Roman" w:eastAsia="宋体" w:cs="Arial"/>
          <w:b/>
          <w:color w:val="auto"/>
          <w:kern w:val="0"/>
          <w:sz w:val="52"/>
          <w:szCs w:val="20"/>
          <w:highlight w:val="none"/>
          <w:lang w:val="en-US" w:eastAsia="zh-CN"/>
        </w:rPr>
        <w:t>暗标评审</w:t>
      </w:r>
      <w:r>
        <w:rPr>
          <w:rFonts w:hint="eastAsia" w:ascii="Times New Roman" w:hAnsi="Times New Roman" w:cs="Arial"/>
          <w:b/>
          <w:color w:val="auto"/>
          <w:kern w:val="0"/>
          <w:sz w:val="52"/>
          <w:szCs w:val="20"/>
          <w:highlight w:val="none"/>
        </w:rPr>
        <w:t>招标文件</w:t>
      </w:r>
    </w:p>
    <w:p>
      <w:pPr>
        <w:spacing w:line="360" w:lineRule="auto"/>
        <w:rPr>
          <w:rFonts w:hint="eastAsia" w:ascii="Times New Roman" w:hAnsi="Times New Roman"/>
          <w:color w:val="auto"/>
          <w:sz w:val="28"/>
          <w:szCs w:val="28"/>
          <w:highlight w:val="none"/>
        </w:rPr>
      </w:pPr>
    </w:p>
    <w:p>
      <w:pPr>
        <w:spacing w:line="360" w:lineRule="auto"/>
        <w:rPr>
          <w:rFonts w:hint="eastAsia" w:ascii="Times New Roman" w:hAnsi="Times New Roman"/>
          <w:color w:val="auto"/>
          <w:sz w:val="28"/>
          <w:szCs w:val="28"/>
          <w:highlight w:val="none"/>
        </w:rPr>
      </w:pPr>
    </w:p>
    <w:p>
      <w:pPr>
        <w:spacing w:line="360" w:lineRule="auto"/>
        <w:ind w:firstLine="280" w:firstLineChars="100"/>
        <w:rPr>
          <w:rFonts w:hint="eastAsia" w:ascii="Times New Roman" w:hAnsi="Times New Roman"/>
          <w:b/>
          <w:color w:val="auto"/>
          <w:sz w:val="28"/>
          <w:szCs w:val="28"/>
          <w:highlight w:val="none"/>
        </w:rPr>
      </w:pPr>
      <w:r>
        <w:rPr>
          <w:rFonts w:hint="eastAsia" w:ascii="Times New Roman" w:hAnsi="Times New Roman"/>
          <w:color w:val="auto"/>
          <w:sz w:val="28"/>
          <w:szCs w:val="28"/>
          <w:highlight w:val="none"/>
        </w:rPr>
        <w:t>招标人：</w:t>
      </w:r>
      <w:r>
        <w:rPr>
          <w:rFonts w:hint="eastAsia" w:ascii="Times New Roman" w:hAnsi="Times New Roman"/>
          <w:b/>
          <w:color w:val="auto"/>
          <w:sz w:val="24"/>
          <w:highlight w:val="none"/>
          <w:u w:val="single"/>
        </w:rPr>
        <w:t xml:space="preserve">         </w:t>
      </w:r>
      <w:r>
        <w:rPr>
          <w:rFonts w:hint="eastAsia" w:ascii="Times New Roman" w:hAnsi="Times New Roman"/>
          <w:b/>
          <w:color w:val="auto"/>
          <w:sz w:val="28"/>
          <w:szCs w:val="28"/>
          <w:highlight w:val="none"/>
        </w:rPr>
        <w:t>（盖单位章）</w:t>
      </w:r>
    </w:p>
    <w:p>
      <w:pPr>
        <w:spacing w:line="360" w:lineRule="auto"/>
        <w:rPr>
          <w:rFonts w:hint="eastAsia" w:ascii="Times New Roman" w:hAnsi="Times New Roman"/>
          <w:b/>
          <w:color w:val="auto"/>
          <w:sz w:val="28"/>
          <w:szCs w:val="28"/>
          <w:highlight w:val="none"/>
        </w:rPr>
      </w:pPr>
    </w:p>
    <w:p>
      <w:pPr>
        <w:spacing w:line="360" w:lineRule="auto"/>
        <w:rPr>
          <w:rFonts w:hint="eastAsia" w:ascii="Times New Roman" w:hAnsi="Times New Roman"/>
          <w:b/>
          <w:color w:val="auto"/>
          <w:sz w:val="28"/>
          <w:szCs w:val="28"/>
          <w:highlight w:val="none"/>
        </w:rPr>
      </w:pPr>
      <w:r>
        <w:rPr>
          <w:rFonts w:hint="eastAsia" w:ascii="Times New Roman" w:hAnsi="Times New Roman"/>
          <w:color w:val="auto"/>
          <w:sz w:val="27"/>
          <w:highlight w:val="none"/>
        </w:rPr>
        <w:t>□</w:t>
      </w:r>
      <w:r>
        <w:rPr>
          <w:rFonts w:hint="eastAsia" w:ascii="Times New Roman" w:hAnsi="Times New Roman"/>
          <w:color w:val="auto"/>
          <w:sz w:val="28"/>
          <w:szCs w:val="28"/>
          <w:highlight w:val="none"/>
        </w:rPr>
        <w:t>招标代理机构：</w:t>
      </w:r>
      <w:r>
        <w:rPr>
          <w:rFonts w:hint="eastAsia" w:ascii="Times New Roman" w:hAnsi="Times New Roman"/>
          <w:b/>
          <w:color w:val="auto"/>
          <w:sz w:val="24"/>
          <w:highlight w:val="none"/>
          <w:u w:val="single"/>
        </w:rPr>
        <w:t xml:space="preserve">   /    </w:t>
      </w:r>
    </w:p>
    <w:p>
      <w:pPr>
        <w:spacing w:line="360" w:lineRule="auto"/>
        <w:rPr>
          <w:color w:val="auto"/>
          <w:highlight w:val="none"/>
        </w:rPr>
      </w:pPr>
    </w:p>
    <w:p>
      <w:pPr>
        <w:spacing w:line="360" w:lineRule="auto"/>
        <w:rPr>
          <w:rFonts w:hint="eastAsia" w:ascii="Times New Roman" w:hAnsi="Times New Roman"/>
          <w:b/>
          <w:color w:val="auto"/>
          <w:sz w:val="28"/>
          <w:szCs w:val="28"/>
          <w:highlight w:val="none"/>
        </w:rPr>
      </w:pPr>
      <w:r>
        <w:rPr>
          <w:rFonts w:hint="eastAsia" w:ascii="Times New Roman" w:hAnsi="Times New Roman"/>
          <w:color w:val="auto"/>
          <w:sz w:val="27"/>
          <w:highlight w:val="none"/>
        </w:rPr>
        <w:t>□</w:t>
      </w:r>
      <w:r>
        <w:rPr>
          <w:rFonts w:hint="eastAsia" w:ascii="Times New Roman" w:hAnsi="Times New Roman"/>
          <w:color w:val="auto"/>
          <w:sz w:val="28"/>
          <w:szCs w:val="28"/>
          <w:highlight w:val="none"/>
        </w:rPr>
        <w:t>招标代理机构：</w:t>
      </w:r>
      <w:r>
        <w:rPr>
          <w:rFonts w:hint="eastAsia" w:ascii="Times New Roman" w:hAnsi="Times New Roman"/>
          <w:b/>
          <w:color w:val="auto"/>
          <w:sz w:val="24"/>
          <w:highlight w:val="none"/>
          <w:u w:val="single"/>
        </w:rPr>
        <w:t xml:space="preserve">         </w:t>
      </w:r>
      <w:r>
        <w:rPr>
          <w:rFonts w:hint="eastAsia" w:ascii="Times New Roman" w:hAnsi="Times New Roman"/>
          <w:b/>
          <w:color w:val="auto"/>
          <w:sz w:val="28"/>
          <w:szCs w:val="28"/>
          <w:highlight w:val="none"/>
        </w:rPr>
        <w:t>（盖单位章）</w:t>
      </w:r>
    </w:p>
    <w:p>
      <w:pPr>
        <w:spacing w:line="360" w:lineRule="auto"/>
        <w:rPr>
          <w:rFonts w:hint="eastAsia" w:ascii="Times New Roman" w:hAnsi="Times New Roman"/>
          <w:b/>
          <w:color w:val="auto"/>
          <w:sz w:val="28"/>
          <w:szCs w:val="28"/>
          <w:highlight w:val="none"/>
        </w:rPr>
      </w:pPr>
    </w:p>
    <w:p>
      <w:pPr>
        <w:spacing w:line="360" w:lineRule="auto"/>
        <w:ind w:firstLine="280" w:firstLineChars="100"/>
        <w:rPr>
          <w:rFonts w:hint="eastAsia" w:ascii="Times New Roman" w:hAnsi="Times New Roman"/>
          <w:b/>
          <w:color w:val="auto"/>
          <w:sz w:val="28"/>
          <w:szCs w:val="28"/>
          <w:highlight w:val="none"/>
        </w:rPr>
      </w:pPr>
      <w:r>
        <w:rPr>
          <w:rFonts w:hint="eastAsia" w:ascii="Times New Roman" w:hAnsi="Times New Roman"/>
          <w:color w:val="auto"/>
          <w:sz w:val="28"/>
          <w:szCs w:val="28"/>
          <w:highlight w:val="none"/>
        </w:rPr>
        <w:t>招标代理机构项目负责人：</w:t>
      </w:r>
      <w:r>
        <w:rPr>
          <w:rFonts w:hint="eastAsia" w:ascii="Times New Roman" w:hAnsi="Times New Roman"/>
          <w:b/>
          <w:color w:val="auto"/>
          <w:sz w:val="24"/>
          <w:highlight w:val="none"/>
          <w:u w:val="single"/>
        </w:rPr>
        <w:t xml:space="preserve">         </w:t>
      </w:r>
      <w:r>
        <w:rPr>
          <w:rFonts w:hint="eastAsia" w:ascii="Times New Roman" w:hAnsi="Times New Roman"/>
          <w:b/>
          <w:color w:val="auto"/>
          <w:sz w:val="28"/>
          <w:szCs w:val="28"/>
          <w:highlight w:val="none"/>
        </w:rPr>
        <w:t>（盖从业印章）</w:t>
      </w:r>
    </w:p>
    <w:p>
      <w:pPr>
        <w:spacing w:line="360" w:lineRule="auto"/>
        <w:rPr>
          <w:rFonts w:hint="eastAsia" w:ascii="Times New Roman" w:hAnsi="Times New Roman"/>
          <w:b/>
          <w:color w:val="auto"/>
          <w:sz w:val="28"/>
          <w:szCs w:val="28"/>
          <w:highlight w:val="none"/>
        </w:rPr>
      </w:pPr>
    </w:p>
    <w:p>
      <w:pPr>
        <w:spacing w:line="360" w:lineRule="auto"/>
        <w:ind w:firstLine="280" w:firstLineChars="1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招标文件编制人员：</w:t>
      </w:r>
      <w:r>
        <w:rPr>
          <w:rFonts w:hint="eastAsia" w:ascii="Times New Roman" w:hAnsi="Times New Roman"/>
          <w:b/>
          <w:color w:val="auto"/>
          <w:sz w:val="24"/>
          <w:highlight w:val="none"/>
          <w:u w:val="single"/>
        </w:rPr>
        <w:t xml:space="preserve">         </w:t>
      </w:r>
      <w:r>
        <w:rPr>
          <w:rFonts w:hint="eastAsia" w:ascii="Times New Roman" w:hAnsi="Times New Roman"/>
          <w:b/>
          <w:color w:val="auto"/>
          <w:sz w:val="28"/>
          <w:szCs w:val="28"/>
          <w:highlight w:val="none"/>
        </w:rPr>
        <w:t>（盖从业印章）</w:t>
      </w:r>
    </w:p>
    <w:p>
      <w:pPr>
        <w:spacing w:line="360" w:lineRule="auto"/>
        <w:rPr>
          <w:rFonts w:hint="eastAsia" w:ascii="Times New Roman" w:hAnsi="Times New Roman"/>
          <w:color w:val="auto"/>
          <w:sz w:val="28"/>
          <w:szCs w:val="28"/>
          <w:highlight w:val="none"/>
        </w:rPr>
      </w:pPr>
    </w:p>
    <w:p>
      <w:pPr>
        <w:spacing w:line="360" w:lineRule="auto"/>
        <w:ind w:firstLine="280" w:firstLineChars="100"/>
        <w:rPr>
          <w:rFonts w:hint="eastAsia" w:ascii="Times New Roman" w:hAnsi="Times New Roman"/>
          <w:color w:val="auto"/>
          <w:sz w:val="28"/>
          <w:szCs w:val="28"/>
          <w:highlight w:val="none"/>
        </w:rPr>
      </w:pPr>
      <w:r>
        <w:rPr>
          <w:rFonts w:hint="eastAsia" w:ascii="Times New Roman" w:hAnsi="Times New Roman"/>
          <w:color w:val="auto"/>
          <w:sz w:val="28"/>
          <w:szCs w:val="28"/>
          <w:highlight w:val="none"/>
        </w:rPr>
        <w:t>附件:</w:t>
      </w:r>
      <w:r>
        <w:rPr>
          <w:color w:val="auto"/>
          <w:sz w:val="28"/>
          <w:szCs w:val="28"/>
          <w:highlight w:val="none"/>
        </w:rPr>
        <w:drawing>
          <wp:inline distT="0" distB="0" distL="114300" distR="114300">
            <wp:extent cx="155575" cy="155575"/>
            <wp:effectExtent l="0" t="0" r="12065" b="12065"/>
            <wp:docPr id="2" name="图片 1" descr="Rf78e0900fee047b3"/>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 name="图片 1" descr="Rf78e0900fee047b3"/>
                    <pic:cNvPicPr>
                      <a:picLocks noChangeAspect="true"/>
                    </pic:cNvPicPr>
                  </pic:nvPicPr>
                  <pic:blipFill>
                    <a:blip r:embed="rId16"/>
                    <a:stretch>
                      <a:fillRect/>
                    </a:stretch>
                  </pic:blipFill>
                  <pic:spPr>
                    <a:xfrm>
                      <a:off x="0" y="0"/>
                      <a:ext cx="155575" cy="155575"/>
                    </a:xfrm>
                    <a:prstGeom prst="rect">
                      <a:avLst/>
                    </a:prstGeom>
                    <a:noFill/>
                    <a:ln>
                      <a:noFill/>
                    </a:ln>
                  </pic:spPr>
                </pic:pic>
              </a:graphicData>
            </a:graphic>
          </wp:inline>
        </w:drawing>
      </w:r>
    </w:p>
    <w:p>
      <w:pPr>
        <w:spacing w:line="360" w:lineRule="auto"/>
        <w:jc w:val="center"/>
        <w:rPr>
          <w:rFonts w:hint="eastAsia" w:ascii="Times New Roman" w:hAnsi="Times New Roman"/>
          <w:color w:val="auto"/>
          <w:sz w:val="28"/>
          <w:szCs w:val="28"/>
          <w:highlight w:val="none"/>
        </w:rPr>
      </w:pPr>
      <w:r>
        <w:rPr>
          <w:rFonts w:hint="eastAsia" w:ascii="Times New Roman" w:hAnsi="Times New Roman"/>
          <w:b/>
          <w:color w:val="auto"/>
          <w:sz w:val="28"/>
          <w:szCs w:val="28"/>
          <w:highlight w:val="none"/>
          <w:u w:val="single"/>
        </w:rPr>
        <w:t xml:space="preserve">   </w:t>
      </w:r>
      <w:r>
        <w:rPr>
          <w:rFonts w:hint="eastAsia" w:ascii="Times New Roman" w:hAnsi="Times New Roman"/>
          <w:color w:val="auto"/>
          <w:sz w:val="28"/>
          <w:szCs w:val="28"/>
          <w:highlight w:val="none"/>
        </w:rPr>
        <w:t>年</w:t>
      </w:r>
      <w:r>
        <w:rPr>
          <w:rFonts w:hint="eastAsia" w:ascii="Times New Roman" w:hAnsi="Times New Roman"/>
          <w:b/>
          <w:color w:val="auto"/>
          <w:sz w:val="28"/>
          <w:szCs w:val="28"/>
          <w:highlight w:val="none"/>
          <w:u w:val="single"/>
        </w:rPr>
        <w:t xml:space="preserve">   </w:t>
      </w:r>
      <w:r>
        <w:rPr>
          <w:rFonts w:hint="eastAsia" w:ascii="Times New Roman" w:hAnsi="Times New Roman"/>
          <w:color w:val="auto"/>
          <w:sz w:val="28"/>
          <w:szCs w:val="28"/>
          <w:highlight w:val="none"/>
        </w:rPr>
        <w:t>月</w:t>
      </w:r>
      <w:r>
        <w:rPr>
          <w:rFonts w:hint="eastAsia" w:ascii="Times New Roman" w:hAnsi="Times New Roman"/>
          <w:b/>
          <w:color w:val="auto"/>
          <w:sz w:val="28"/>
          <w:szCs w:val="28"/>
          <w:highlight w:val="none"/>
          <w:u w:val="single"/>
        </w:rPr>
        <w:t xml:space="preserve">   </w:t>
      </w:r>
      <w:r>
        <w:rPr>
          <w:rFonts w:hint="eastAsia" w:ascii="Times New Roman" w:hAnsi="Times New Roman"/>
          <w:color w:val="auto"/>
          <w:sz w:val="28"/>
          <w:szCs w:val="28"/>
          <w:highlight w:val="none"/>
        </w:rPr>
        <w:t>日</w:t>
      </w:r>
    </w:p>
    <w:p>
      <w:pPr>
        <w:spacing w:line="360" w:lineRule="auto"/>
        <w:jc w:val="center"/>
        <w:rPr>
          <w:rFonts w:hint="eastAsia" w:ascii="Times New Roman" w:hAnsi="Times New Roman"/>
          <w:color w:val="auto"/>
          <w:sz w:val="28"/>
          <w:szCs w:val="28"/>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 注：实行委托招标组织形式的，招标代理机构项目负责人和招标文件编制人员应是招标人和招标代理机构双方签订的委托招标代理合同载明的项目负责人和主要专职技术人员。</w:t>
      </w:r>
    </w:p>
    <w:p>
      <w:pPr>
        <w:spacing w:line="360" w:lineRule="auto"/>
        <w:jc w:val="center"/>
        <w:rPr>
          <w:rFonts w:hint="eastAsia" w:ascii="Times New Roman" w:hAnsi="Times New Roman"/>
          <w:color w:val="auto"/>
          <w:sz w:val="28"/>
          <w:szCs w:val="28"/>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bookmarkEnd w:id="0"/>
    <w:bookmarkEnd w:id="1"/>
    <w:p>
      <w:pPr>
        <w:pStyle w:val="2"/>
        <w:jc w:val="center"/>
        <w:rPr>
          <w:rFonts w:hint="eastAsia" w:ascii="Times New Roman" w:hAnsi="Times New Roman" w:cs="宋体"/>
          <w:color w:val="auto"/>
          <w:sz w:val="32"/>
          <w:szCs w:val="32"/>
          <w:highlight w:val="none"/>
        </w:rPr>
      </w:pPr>
      <w:bookmarkStart w:id="2" w:name="_Toc247527533"/>
      <w:bookmarkStart w:id="3" w:name="_Toc247513932"/>
      <w:bookmarkStart w:id="4" w:name="_Toc152042287"/>
      <w:bookmarkStart w:id="5" w:name="_Toc152045511"/>
      <w:bookmarkStart w:id="6" w:name="_Toc144974479"/>
      <w:r>
        <w:rPr>
          <w:rFonts w:hint="eastAsia" w:ascii="Times New Roman" w:hAnsi="Times New Roman" w:cs="宋体"/>
          <w:color w:val="auto"/>
          <w:sz w:val="32"/>
          <w:szCs w:val="32"/>
          <w:highlight w:val="none"/>
        </w:rPr>
        <w:t>目  录</w:t>
      </w:r>
    </w:p>
    <w:p>
      <w:pPr>
        <w:rPr>
          <w:rFonts w:hint="eastAsia"/>
          <w:color w:val="auto"/>
          <w:highlight w:val="none"/>
        </w:rPr>
      </w:pPr>
    </w:p>
    <w:p>
      <w:pPr>
        <w:pStyle w:val="53"/>
        <w:tabs>
          <w:tab w:val="right" w:leader="dot" w:pos="9072"/>
        </w:tabs>
        <w:spacing w:line="480" w:lineRule="auto"/>
        <w:rPr>
          <w:rFonts w:hint="eastAsia" w:ascii="Times New Roman" w:hAnsi="Times New Roman" w:cs="宋体"/>
          <w:color w:val="auto"/>
          <w:sz w:val="24"/>
          <w:szCs w:val="24"/>
          <w:highlight w:val="none"/>
        </w:rPr>
      </w:pPr>
      <w:bookmarkStart w:id="7" w:name="_Toc19433_WPSOffice_Type1"/>
      <w:r>
        <w:rPr>
          <w:rFonts w:hint="eastAsia" w:ascii="Times New Roman" w:hAnsi="Times New Roman" w:cs="宋体"/>
          <w:color w:val="auto"/>
          <w:sz w:val="24"/>
          <w:szCs w:val="24"/>
          <w:highlight w:val="none"/>
        </w:rPr>
        <w:fldChar w:fldCharType="begin"/>
      </w:r>
      <w:r>
        <w:rPr>
          <w:rFonts w:hint="eastAsia" w:ascii="Times New Roman" w:hAnsi="Times New Roman" w:cs="宋体"/>
          <w:color w:val="auto"/>
          <w:sz w:val="24"/>
          <w:szCs w:val="24"/>
          <w:highlight w:val="none"/>
        </w:rPr>
        <w:instrText xml:space="preserve"> HYPERLINK \l _Toc29583_WPSOffice_Level1 </w:instrText>
      </w:r>
      <w:r>
        <w:rPr>
          <w:rFonts w:hint="eastAsia" w:ascii="Times New Roman" w:hAnsi="Times New Roman" w:cs="宋体"/>
          <w:color w:val="auto"/>
          <w:sz w:val="24"/>
          <w:szCs w:val="24"/>
          <w:highlight w:val="none"/>
        </w:rPr>
        <w:fldChar w:fldCharType="separate"/>
      </w:r>
      <w:r>
        <w:rPr>
          <w:rFonts w:hint="eastAsia" w:ascii="Times New Roman" w:hAnsi="Times New Roman"/>
          <w:color w:val="auto"/>
          <w:sz w:val="27"/>
          <w:szCs w:val="22"/>
          <w:highlight w:val="none"/>
        </w:rPr>
        <w:t>□</w:t>
      </w:r>
      <w:r>
        <w:rPr>
          <w:rFonts w:hint="eastAsia" w:ascii="Times New Roman" w:hAnsi="Times New Roman" w:cs="宋体"/>
          <w:color w:val="auto"/>
          <w:sz w:val="24"/>
          <w:szCs w:val="24"/>
          <w:highlight w:val="none"/>
        </w:rPr>
        <w:t>第一章 招标公告（适用于公开招标）</w:t>
      </w:r>
      <w:r>
        <w:rPr>
          <w:rFonts w:hint="eastAsia" w:ascii="Times New Roman" w:hAnsi="Times New Roman" w:cs="宋体"/>
          <w:color w:val="auto"/>
          <w:sz w:val="24"/>
          <w:szCs w:val="24"/>
          <w:highlight w:val="none"/>
        </w:rPr>
        <w:fldChar w:fldCharType="end"/>
      </w:r>
    </w:p>
    <w:p>
      <w:pPr>
        <w:pStyle w:val="53"/>
        <w:tabs>
          <w:tab w:val="right" w:leader="dot" w:pos="9072"/>
        </w:tabs>
        <w:spacing w:line="480" w:lineRule="auto"/>
        <w:rPr>
          <w:rFonts w:hint="eastAsia" w:ascii="Times New Roman" w:hAnsi="Times New Roman"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"_Toc5226_WPSOffice_Level1" </w:instrText>
      </w:r>
      <w:r>
        <w:rPr>
          <w:rFonts w:ascii="Times New Roman" w:hAnsi="Times New Roman"/>
          <w:color w:val="auto"/>
          <w:highlight w:val="none"/>
        </w:rPr>
        <w:fldChar w:fldCharType="separate"/>
      </w:r>
      <w:r>
        <w:rPr>
          <w:rFonts w:hint="eastAsia" w:ascii="Times New Roman" w:hAnsi="Times New Roman"/>
          <w:color w:val="auto"/>
          <w:sz w:val="27"/>
          <w:szCs w:val="22"/>
          <w:highlight w:val="none"/>
        </w:rPr>
        <w:t>□</w:t>
      </w:r>
      <w:r>
        <w:rPr>
          <w:rFonts w:hint="eastAsia" w:ascii="Times New Roman" w:hAnsi="Times New Roman" w:cs="宋体"/>
          <w:color w:val="auto"/>
          <w:sz w:val="24"/>
          <w:szCs w:val="24"/>
          <w:highlight w:val="none"/>
        </w:rPr>
        <w:t>第一章 投标邀请书（适用于邀请招标）</w:t>
      </w:r>
      <w:r>
        <w:rPr>
          <w:rFonts w:hint="eastAsia" w:ascii="Times New Roman" w:hAnsi="Times New Roman" w:cs="宋体"/>
          <w:color w:val="auto"/>
          <w:sz w:val="24"/>
          <w:szCs w:val="24"/>
          <w:highlight w:val="none"/>
        </w:rPr>
        <w:fldChar w:fldCharType="end"/>
      </w:r>
    </w:p>
    <w:p>
      <w:pPr>
        <w:pStyle w:val="53"/>
        <w:tabs>
          <w:tab w:val="right" w:leader="dot" w:pos="9072"/>
        </w:tabs>
        <w:spacing w:line="480" w:lineRule="auto"/>
        <w:ind w:firstLine="240" w:firstLineChars="100"/>
        <w:rPr>
          <w:rFonts w:ascii="Times New Roman" w:hAnsi="Times New Roman" w:cs="宋体"/>
          <w:color w:val="auto"/>
          <w:sz w:val="24"/>
          <w:szCs w:val="24"/>
          <w:highlight w:val="none"/>
        </w:rPr>
      </w:pPr>
      <w:r>
        <w:rPr>
          <w:rFonts w:hint="eastAsia" w:ascii="Times New Roman" w:hAnsi="Times New Roman" w:cs="宋体"/>
          <w:color w:val="auto"/>
          <w:sz w:val="24"/>
          <w:szCs w:val="24"/>
          <w:highlight w:val="none"/>
        </w:rPr>
        <w:t>第二章 投标人须知</w:t>
      </w:r>
    </w:p>
    <w:p>
      <w:pPr>
        <w:pStyle w:val="53"/>
        <w:tabs>
          <w:tab w:val="right" w:leader="dot" w:pos="9072"/>
        </w:tabs>
        <w:spacing w:line="480" w:lineRule="auto"/>
        <w:ind w:firstLine="200" w:firstLineChars="100"/>
        <w:rPr>
          <w:rFonts w:hint="eastAsia" w:ascii="Times New Roman" w:hAnsi="Times New Roman" w:cs="宋体"/>
          <w:color w:val="auto"/>
          <w:sz w:val="24"/>
          <w:szCs w:val="24"/>
          <w:highlight w:val="none"/>
        </w:rPr>
      </w:pPr>
      <w:r>
        <w:rPr>
          <w:rFonts w:ascii="Times New Roman" w:hAnsi="Times New Roman"/>
          <w:color w:val="auto"/>
          <w:highlight w:val="none"/>
        </w:rPr>
        <w:fldChar w:fldCharType="begin"/>
      </w:r>
      <w:r>
        <w:rPr>
          <w:rFonts w:ascii="Times New Roman" w:hAnsi="Times New Roman"/>
          <w:color w:val="auto"/>
          <w:highlight w:val="none"/>
        </w:rPr>
        <w:instrText xml:space="preserve"> HYPERLINK \l "_Toc1561_WPSOffice_Level1" </w:instrText>
      </w:r>
      <w:r>
        <w:rPr>
          <w:rFonts w:ascii="Times New Roman" w:hAnsi="Times New Roman"/>
          <w:color w:val="auto"/>
          <w:highlight w:val="none"/>
        </w:rPr>
        <w:fldChar w:fldCharType="separate"/>
      </w:r>
      <w:r>
        <w:rPr>
          <w:rFonts w:hint="eastAsia" w:ascii="Times New Roman" w:hAnsi="Times New Roman" w:cs="宋体"/>
          <w:color w:val="auto"/>
          <w:sz w:val="24"/>
          <w:szCs w:val="24"/>
          <w:highlight w:val="none"/>
        </w:rPr>
        <w:t>第三章 评标办法（综合评估法）</w:t>
      </w:r>
      <w:r>
        <w:rPr>
          <w:rFonts w:hint="eastAsia" w:ascii="Times New Roman" w:hAnsi="Times New Roman" w:cs="宋体"/>
          <w:color w:val="auto"/>
          <w:sz w:val="24"/>
          <w:szCs w:val="24"/>
          <w:highlight w:val="none"/>
        </w:rPr>
        <w:fldChar w:fldCharType="end"/>
      </w:r>
      <w:r>
        <w:rPr>
          <w:rFonts w:hint="eastAsia" w:ascii="Times New Roman" w:hAnsi="Times New Roman" w:cs="宋体"/>
          <w:color w:val="auto"/>
          <w:sz w:val="24"/>
          <w:szCs w:val="24"/>
          <w:highlight w:val="none"/>
          <w:lang w:val="en-US" w:eastAsia="zh-CN"/>
        </w:rPr>
        <w:t>暗标评审</w:t>
      </w:r>
    </w:p>
    <w:p>
      <w:pPr>
        <w:pStyle w:val="53"/>
        <w:tabs>
          <w:tab w:val="right" w:leader="dot" w:pos="9072"/>
        </w:tabs>
        <w:spacing w:line="480" w:lineRule="auto"/>
        <w:ind w:firstLine="240" w:firstLineChars="1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第四章 合同条款及格式</w:t>
      </w:r>
      <w:bookmarkEnd w:id="7"/>
    </w:p>
    <w:p>
      <w:pPr>
        <w:pStyle w:val="53"/>
        <w:tabs>
          <w:tab w:val="right" w:leader="dot" w:pos="9072"/>
        </w:tabs>
        <w:spacing w:line="480" w:lineRule="auto"/>
        <w:ind w:firstLine="240" w:firstLineChars="1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第五章 发包人要求</w:t>
      </w:r>
    </w:p>
    <w:p>
      <w:pPr>
        <w:pStyle w:val="53"/>
        <w:tabs>
          <w:tab w:val="right" w:leader="dot" w:pos="9072"/>
        </w:tabs>
        <w:spacing w:line="480" w:lineRule="auto"/>
        <w:ind w:firstLine="240" w:firstLineChars="1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第六章 发包人提供的资料</w:t>
      </w:r>
    </w:p>
    <w:p>
      <w:pPr>
        <w:pStyle w:val="53"/>
        <w:tabs>
          <w:tab w:val="right" w:leader="dot" w:pos="9072"/>
        </w:tabs>
        <w:spacing w:line="480" w:lineRule="auto"/>
        <w:ind w:firstLine="240" w:firstLineChars="100"/>
        <w:rPr>
          <w:rFonts w:hint="eastAsia" w:ascii="Times New Roman" w:hAnsi="Times New Roman" w:cs="宋体"/>
          <w:color w:val="auto"/>
          <w:sz w:val="24"/>
          <w:szCs w:val="24"/>
          <w:highlight w:val="none"/>
        </w:rPr>
      </w:pPr>
      <w:r>
        <w:rPr>
          <w:rFonts w:hint="eastAsia" w:ascii="Times New Roman" w:hAnsi="Times New Roman" w:cs="宋体"/>
          <w:color w:val="auto"/>
          <w:sz w:val="24"/>
          <w:szCs w:val="24"/>
          <w:highlight w:val="none"/>
        </w:rPr>
        <w:t>第七章 投标文件格式</w:t>
      </w:r>
    </w:p>
    <w:p>
      <w:pPr>
        <w:pStyle w:val="53"/>
        <w:tabs>
          <w:tab w:val="right" w:leader="dot" w:pos="9072"/>
        </w:tabs>
        <w:spacing w:line="480" w:lineRule="auto"/>
        <w:ind w:firstLine="240" w:firstLineChars="100"/>
        <w:rPr>
          <w:rFonts w:hint="eastAsia" w:ascii="Times New Roman" w:hAnsi="Times New Roman" w:eastAsia="宋体" w:cs="宋体"/>
          <w:color w:val="auto"/>
          <w:sz w:val="24"/>
          <w:szCs w:val="24"/>
          <w:highlight w:val="none"/>
          <w:lang w:eastAsia="zh-CN"/>
        </w:rPr>
        <w:sectPr>
          <w:footerReference r:id="rId5" w:type="default"/>
          <w:pgSz w:w="11906" w:h="16838"/>
          <w:pgMar w:top="1417" w:right="1417" w:bottom="1417" w:left="1417" w:header="851" w:footer="850" w:gutter="0"/>
          <w:pgBorders>
            <w:top w:val="none" w:sz="0" w:space="0"/>
            <w:left w:val="none" w:sz="0" w:space="0"/>
            <w:bottom w:val="none" w:sz="0" w:space="0"/>
            <w:right w:val="none" w:sz="0" w:space="0"/>
          </w:pgBorders>
          <w:pgNumType w:start="1"/>
          <w:cols w:space="720" w:num="1"/>
          <w:docGrid w:type="lines" w:linePitch="312" w:charSpace="0"/>
        </w:sectPr>
      </w:pPr>
      <w:r>
        <w:rPr>
          <w:rFonts w:hint="eastAsia" w:ascii="Times New Roman" w:hAnsi="Times New Roman" w:cs="宋体"/>
          <w:color w:val="auto"/>
          <w:sz w:val="24"/>
          <w:szCs w:val="24"/>
          <w:highlight w:val="none"/>
          <w:lang w:eastAsia="zh-CN"/>
        </w:rPr>
        <w:t>第八章</w:t>
      </w:r>
      <w:r>
        <w:rPr>
          <w:rFonts w:hint="eastAsia" w:ascii="Times New Roman" w:hAnsi="Times New Roman" w:cs="宋体"/>
          <w:color w:val="auto"/>
          <w:sz w:val="24"/>
          <w:szCs w:val="24"/>
          <w:highlight w:val="none"/>
          <w:lang w:val="en-US" w:eastAsia="zh-CN"/>
        </w:rPr>
        <w:t xml:space="preserve"> 投</w:t>
      </w:r>
      <w:r>
        <w:rPr>
          <w:rFonts w:hint="eastAsia" w:ascii="Times New Roman" w:hAnsi="Times New Roman" w:cs="宋体"/>
          <w:color w:val="auto"/>
          <w:sz w:val="24"/>
          <w:szCs w:val="24"/>
          <w:highlight w:val="none"/>
          <w:lang w:eastAsia="zh-CN"/>
        </w:rPr>
        <w:t>标文件编制和暗标评审规范</w:t>
      </w:r>
    </w:p>
    <w:p>
      <w:pPr>
        <w:pStyle w:val="2"/>
        <w:widowControl/>
        <w:jc w:val="center"/>
        <w:rPr>
          <w:rFonts w:hint="eastAsia" w:ascii="Times New Roman" w:hAnsi="Times New Roman" w:cs="宋体"/>
          <w:bCs w:val="0"/>
          <w:color w:val="auto"/>
          <w:sz w:val="32"/>
          <w:szCs w:val="32"/>
          <w:highlight w:val="none"/>
        </w:rPr>
      </w:pPr>
      <w:bookmarkStart w:id="8" w:name="_Toc300834927"/>
      <w:r>
        <w:rPr>
          <w:rFonts w:hint="eastAsia" w:ascii="Times New Roman" w:hAnsi="Times New Roman" w:cs="宋体"/>
          <w:bCs w:val="0"/>
          <w:color w:val="auto"/>
          <w:sz w:val="32"/>
          <w:szCs w:val="32"/>
          <w:highlight w:val="none"/>
        </w:rPr>
        <w:t>第一卷</w:t>
      </w:r>
      <w:bookmarkEnd w:id="2"/>
      <w:bookmarkEnd w:id="3"/>
      <w:bookmarkEnd w:id="8"/>
    </w:p>
    <w:p>
      <w:pPr>
        <w:pStyle w:val="2"/>
        <w:jc w:val="center"/>
        <w:rPr>
          <w:rFonts w:hint="eastAsia" w:ascii="Times New Roman" w:hAnsi="Times New Roman" w:cs="宋体"/>
          <w:bCs w:val="0"/>
          <w:color w:val="auto"/>
          <w:sz w:val="32"/>
          <w:szCs w:val="32"/>
          <w:highlight w:val="none"/>
        </w:rPr>
      </w:pPr>
      <w:r>
        <w:rPr>
          <w:color w:val="auto"/>
          <w:highlight w:val="none"/>
        </w:rPr>
        <w:br w:type="page"/>
      </w:r>
      <w:bookmarkStart w:id="9" w:name="_Toc247513933"/>
      <w:bookmarkStart w:id="10" w:name="_Toc300834928"/>
      <w:bookmarkStart w:id="11" w:name="_Toc247527534"/>
      <w:r>
        <w:rPr>
          <w:rFonts w:hint="eastAsia" w:ascii="Times New Roman" w:hAnsi="Times New Roman" w:cs="宋体"/>
          <w:bCs w:val="0"/>
          <w:color w:val="auto"/>
          <w:sz w:val="32"/>
          <w:szCs w:val="32"/>
          <w:highlight w:val="none"/>
        </w:rPr>
        <w:t>第一章 招标公告（未进行资格预审，适用于公开招标）</w:t>
      </w:r>
      <w:bookmarkEnd w:id="4"/>
      <w:bookmarkEnd w:id="5"/>
      <w:bookmarkEnd w:id="6"/>
      <w:bookmarkEnd w:id="9"/>
      <w:bookmarkEnd w:id="10"/>
      <w:bookmarkEnd w:id="11"/>
    </w:p>
    <w:p>
      <w:pPr>
        <w:tabs>
          <w:tab w:val="center" w:pos="4153"/>
        </w:tabs>
        <w:spacing w:line="440" w:lineRule="exact"/>
        <w:rPr>
          <w:rFonts w:eastAsia="黑体"/>
          <w:color w:val="auto"/>
          <w:sz w:val="17"/>
          <w:szCs w:val="17"/>
          <w:highlight w:val="none"/>
        </w:rPr>
      </w:pPr>
    </w:p>
    <w:p>
      <w:pPr>
        <w:adjustRightInd w:val="0"/>
        <w:snapToGrid w:val="0"/>
        <w:spacing w:line="360" w:lineRule="auto"/>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(项目名称)设计施工总承包 </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 标段</w:t>
      </w:r>
    </w:p>
    <w:p>
      <w:pPr>
        <w:adjustRightInd w:val="0"/>
        <w:snapToGrid w:val="0"/>
        <w:spacing w:line="360" w:lineRule="auto"/>
        <w:jc w:val="center"/>
        <w:rPr>
          <w:rFonts w:hint="eastAsia" w:ascii="Times New Roman" w:hAnsi="Times New Roman"/>
          <w:b/>
          <w:color w:val="auto"/>
          <w:sz w:val="28"/>
          <w:szCs w:val="28"/>
          <w:highlight w:val="none"/>
        </w:rPr>
      </w:pPr>
      <w:r>
        <w:rPr>
          <w:rFonts w:hint="eastAsia" w:ascii="Times New Roman" w:hAnsi="Times New Roman"/>
          <w:b/>
          <w:color w:val="auto"/>
          <w:sz w:val="28"/>
          <w:szCs w:val="28"/>
          <w:highlight w:val="none"/>
        </w:rPr>
        <w:t>招标公告</w:t>
      </w:r>
    </w:p>
    <w:p>
      <w:pPr>
        <w:spacing w:line="440" w:lineRule="exact"/>
        <w:jc w:val="center"/>
        <w:rPr>
          <w:rFonts w:eastAsia="黑体"/>
          <w:color w:val="auto"/>
          <w:sz w:val="28"/>
          <w:szCs w:val="28"/>
          <w:highlight w:val="none"/>
        </w:rPr>
      </w:pPr>
    </w:p>
    <w:p>
      <w:pPr>
        <w:spacing w:line="440" w:lineRule="exact"/>
        <w:jc w:val="center"/>
        <w:rPr>
          <w:rFonts w:eastAsia="黑体"/>
          <w:color w:val="auto"/>
          <w:sz w:val="20"/>
          <w:szCs w:val="20"/>
          <w:highlight w:val="none"/>
        </w:rPr>
      </w:pPr>
      <w:r>
        <w:rPr>
          <w:rFonts w:eastAsia="黑体"/>
          <w:color w:val="auto"/>
          <w:sz w:val="29"/>
          <w:szCs w:val="29"/>
          <w:highlight w:val="none"/>
        </w:rPr>
        <w:t xml:space="preserve"> </w:t>
      </w:r>
      <w:r>
        <w:rPr>
          <w:rFonts w:eastAsia="黑体"/>
          <w:color w:val="auto"/>
          <w:sz w:val="20"/>
          <w:szCs w:val="20"/>
          <w:highlight w:val="none"/>
        </w:rPr>
        <w:t xml:space="preserve">               </w:t>
      </w:r>
    </w:p>
    <w:p>
      <w:pPr>
        <w:pStyle w:val="3"/>
        <w:rPr>
          <w:rFonts w:hint="eastAsia" w:ascii="Times New Roman" w:hAnsi="Times New Roman" w:eastAsia="宋体"/>
          <w:bCs w:val="0"/>
          <w:color w:val="auto"/>
          <w:kern w:val="0"/>
          <w:sz w:val="24"/>
          <w:szCs w:val="24"/>
          <w:highlight w:val="none"/>
        </w:rPr>
      </w:pPr>
      <w:bookmarkStart w:id="12" w:name="_Toc152045512"/>
      <w:bookmarkStart w:id="13" w:name="_Toc247513934"/>
      <w:bookmarkStart w:id="14" w:name="_Toc152042288"/>
      <w:bookmarkStart w:id="15" w:name="_Toc144974480"/>
      <w:bookmarkStart w:id="16" w:name="_Toc247527535"/>
      <w:bookmarkStart w:id="17" w:name="_Toc300834929"/>
      <w:r>
        <w:rPr>
          <w:rFonts w:hint="eastAsia" w:ascii="Times New Roman" w:hAnsi="Times New Roman" w:eastAsia="宋体"/>
          <w:bCs w:val="0"/>
          <w:color w:val="auto"/>
          <w:kern w:val="0"/>
          <w:sz w:val="24"/>
          <w:szCs w:val="24"/>
          <w:highlight w:val="none"/>
        </w:rPr>
        <w:t>1. 招标条件</w:t>
      </w:r>
      <w:bookmarkEnd w:id="12"/>
      <w:bookmarkEnd w:id="13"/>
      <w:bookmarkEnd w:id="14"/>
      <w:bookmarkEnd w:id="15"/>
      <w:bookmarkEnd w:id="16"/>
      <w:bookmarkEnd w:id="17"/>
    </w:p>
    <w:p>
      <w:pPr>
        <w:adjustRightInd w:val="0"/>
        <w:snapToGrid w:val="0"/>
        <w:spacing w:line="360" w:lineRule="auto"/>
        <w:rPr>
          <w:rFonts w:hint="eastAsia" w:ascii="Times New Roman" w:hAnsi="Times New Roman"/>
          <w:color w:val="auto"/>
          <w:sz w:val="24"/>
          <w:highlight w:val="none"/>
        </w:rPr>
      </w:pPr>
      <w:r>
        <w:rPr>
          <w:color w:val="auto"/>
          <w:szCs w:val="21"/>
          <w:highlight w:val="none"/>
        </w:rPr>
        <w:t>　　</w:t>
      </w:r>
      <w:r>
        <w:rPr>
          <w:color w:val="auto"/>
          <w:sz w:val="24"/>
          <w:highlight w:val="none"/>
        </w:rPr>
        <w:t xml:space="preserve"> </w:t>
      </w:r>
      <w:r>
        <w:rPr>
          <w:rFonts w:hint="eastAsia" w:ascii="Times New Roman" w:hAnsi="Times New Roman"/>
          <w:color w:val="auto"/>
          <w:sz w:val="24"/>
          <w:highlight w:val="none"/>
        </w:rPr>
        <w:t>1.1本招标项目</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(项目名称)已由</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(项目审批、核准或备案机关名称)以</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（批文名称及编号）批准建设，项目业主为</w:t>
      </w:r>
      <w:r>
        <w:rPr>
          <w:rFonts w:hint="eastAsia" w:ascii="Times New Roman" w:hAnsi="Times New Roman"/>
          <w:b/>
          <w:color w:val="auto"/>
          <w:sz w:val="24"/>
          <w:highlight w:val="none"/>
          <w:u w:val="single"/>
        </w:rPr>
        <w:t xml:space="preserve">           </w:t>
      </w:r>
      <w:r>
        <w:rPr>
          <w:rFonts w:hint="eastAsia" w:ascii="Times New Roman" w:hAnsi="Times New Roman"/>
          <w:b/>
          <w:color w:val="auto"/>
          <w:sz w:val="24"/>
          <w:highlight w:val="none"/>
        </w:rPr>
        <w:t>，</w:t>
      </w:r>
      <w:r>
        <w:rPr>
          <w:rFonts w:hint="eastAsia" w:ascii="Times New Roman" w:hAnsi="Times New Roman"/>
          <w:color w:val="auto"/>
          <w:sz w:val="24"/>
          <w:highlight w:val="none"/>
        </w:rPr>
        <w:t>建设资金来自</w:t>
      </w:r>
      <w:r>
        <w:rPr>
          <w:rFonts w:hint="eastAsia" w:ascii="Times New Roman" w:hAnsi="Times New Roman"/>
          <w:b/>
          <w:color w:val="auto"/>
          <w:sz w:val="24"/>
          <w:highlight w:val="none"/>
          <w:u w:val="single"/>
        </w:rPr>
        <w:t xml:space="preserve">        </w:t>
      </w:r>
      <w:r>
        <w:rPr>
          <w:rFonts w:ascii="Times New Roman" w:hAnsi="Times New Roman"/>
          <w:b/>
          <w:color w:val="auto"/>
          <w:sz w:val="24"/>
          <w:highlight w:val="none"/>
          <w:u w:val="single"/>
        </w:rPr>
        <w:t xml:space="preserve">   </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（资金来源），项目出资比例为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，招标人为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。项目已具备招标条件，现对该项目的设计施工总承包进行公开招标。</w:t>
      </w:r>
    </w:p>
    <w:p>
      <w:pPr>
        <w:adjustRightInd w:val="0"/>
        <w:snapToGrid w:val="0"/>
        <w:spacing w:line="360" w:lineRule="auto"/>
        <w:rPr>
          <w:color w:val="auto"/>
          <w:szCs w:val="21"/>
          <w:highlight w:val="none"/>
        </w:rPr>
      </w:pPr>
      <w:r>
        <w:rPr>
          <w:color w:val="auto"/>
          <w:sz w:val="24"/>
          <w:highlight w:val="none"/>
        </w:rPr>
        <w:t xml:space="preserve">    </w:t>
      </w:r>
      <w:r>
        <w:rPr>
          <w:rFonts w:hint="eastAsia" w:ascii="Times New Roman" w:hAnsi="Times New Roman"/>
          <w:color w:val="auto"/>
          <w:sz w:val="24"/>
          <w:highlight w:val="none"/>
        </w:rPr>
        <w:t>1.2本招标项目由</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（核准机关名称）核准（招标事项核准文号为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）的招标组织形式为</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自行招标 </w:t>
      </w:r>
      <w:r>
        <w:rPr>
          <w:rFonts w:hint="eastAsia" w:ascii="Times New Roman" w:hAnsi="Times New Roman"/>
          <w:color w:val="auto"/>
          <w:sz w:val="27"/>
          <w:highlight w:val="none"/>
        </w:rPr>
        <w:sym w:font="Wingdings 2" w:char="00A3"/>
      </w:r>
      <w:r>
        <w:rPr>
          <w:rFonts w:hint="eastAsia" w:ascii="Times New Roman" w:hAnsi="Times New Roman"/>
          <w:color w:val="auto"/>
          <w:sz w:val="24"/>
          <w:highlight w:val="none"/>
        </w:rPr>
        <w:t>委托招标</w:t>
      </w:r>
      <w:r>
        <w:rPr>
          <w:rFonts w:hint="eastAsia" w:ascii="Times New Roman" w:hAnsi="Times New Roman"/>
          <w:bCs/>
          <w:color w:val="auto"/>
          <w:sz w:val="24"/>
          <w:highlight w:val="none"/>
        </w:rPr>
        <w:t>）</w:t>
      </w:r>
      <w:r>
        <w:rPr>
          <w:rFonts w:hint="eastAsia" w:ascii="Times New Roman" w:hAnsi="Times New Roman"/>
          <w:color w:val="auto"/>
          <w:sz w:val="24"/>
          <w:highlight w:val="none"/>
        </w:rPr>
        <w:t>。招标人选择的招标代理机构是</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w:t>
      </w:r>
    </w:p>
    <w:p>
      <w:pPr>
        <w:pStyle w:val="3"/>
        <w:rPr>
          <w:rFonts w:hint="eastAsia" w:ascii="Times New Roman" w:hAnsi="Times New Roman" w:eastAsia="宋体"/>
          <w:bCs w:val="0"/>
          <w:color w:val="auto"/>
          <w:kern w:val="0"/>
          <w:sz w:val="24"/>
          <w:szCs w:val="24"/>
          <w:highlight w:val="none"/>
        </w:rPr>
      </w:pPr>
      <w:bookmarkStart w:id="18" w:name="_Toc300834930"/>
      <w:bookmarkStart w:id="19" w:name="_Toc152042289"/>
      <w:bookmarkStart w:id="20" w:name="_Toc247527536"/>
      <w:bookmarkStart w:id="21" w:name="_Toc144974481"/>
      <w:bookmarkStart w:id="22" w:name="_Toc152045513"/>
      <w:bookmarkStart w:id="23" w:name="_Toc247513935"/>
      <w:r>
        <w:rPr>
          <w:rFonts w:hint="eastAsia" w:ascii="Times New Roman" w:hAnsi="Times New Roman" w:eastAsia="宋体"/>
          <w:bCs w:val="0"/>
          <w:color w:val="auto"/>
          <w:kern w:val="0"/>
          <w:sz w:val="24"/>
          <w:szCs w:val="24"/>
          <w:highlight w:val="none"/>
        </w:rPr>
        <w:t>2. 项目概况与招标范围</w:t>
      </w:r>
      <w:bookmarkEnd w:id="18"/>
      <w:bookmarkEnd w:id="19"/>
      <w:bookmarkEnd w:id="20"/>
      <w:bookmarkEnd w:id="21"/>
      <w:bookmarkEnd w:id="22"/>
      <w:bookmarkEnd w:id="23"/>
    </w:p>
    <w:p>
      <w:pPr>
        <w:adjustRightInd w:val="0"/>
        <w:snapToGrid w:val="0"/>
        <w:spacing w:line="360" w:lineRule="auto"/>
        <w:rPr>
          <w:rFonts w:hint="eastAsia" w:ascii="Times New Roman" w:hAnsi="Times New Roman"/>
          <w:color w:val="auto"/>
          <w:sz w:val="24"/>
          <w:highlight w:val="none"/>
        </w:rPr>
      </w:pPr>
      <w:r>
        <w:rPr>
          <w:color w:val="auto"/>
          <w:szCs w:val="21"/>
          <w:highlight w:val="none"/>
        </w:rPr>
        <w:t>　　</w:t>
      </w:r>
      <w:r>
        <w:rPr>
          <w:rFonts w:hint="eastAsia" w:ascii="Times New Roman" w:hAnsi="Times New Roman"/>
          <w:color w:val="auto"/>
          <w:sz w:val="24"/>
          <w:highlight w:val="none"/>
        </w:rPr>
        <w:t xml:space="preserve"> </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hint="eastAsia" w:ascii="Times New Roman" w:hAnsi="Times New Roman"/>
          <w:color w:val="auto"/>
          <w:sz w:val="24"/>
          <w:highlight w:val="none"/>
        </w:rPr>
        <w:t>。</w:t>
      </w:r>
    </w:p>
    <w:p>
      <w:pPr>
        <w:adjustRightInd w:val="0"/>
        <w:snapToGrid w:val="0"/>
        <w:spacing w:line="360" w:lineRule="auto"/>
        <w:rPr>
          <w:color w:val="auto"/>
          <w:szCs w:val="21"/>
          <w:highlight w:val="none"/>
        </w:rPr>
      </w:pPr>
      <w:r>
        <w:rPr>
          <w:rFonts w:hint="eastAsia" w:ascii="Times New Roman" w:hAnsi="Times New Roman"/>
          <w:color w:val="auto"/>
          <w:sz w:val="24"/>
          <w:highlight w:val="none"/>
        </w:rPr>
        <w:t>（说明本次招标项目的建设地点、规模及投资额、计划工期、招标范围、标段划分及标段投资额等）。</w:t>
      </w:r>
    </w:p>
    <w:p>
      <w:pPr>
        <w:pStyle w:val="3"/>
        <w:rPr>
          <w:rFonts w:hint="eastAsia" w:ascii="Times New Roman" w:hAnsi="Times New Roman" w:eastAsia="宋体"/>
          <w:bCs w:val="0"/>
          <w:color w:val="auto"/>
          <w:kern w:val="0"/>
          <w:sz w:val="24"/>
          <w:szCs w:val="24"/>
          <w:highlight w:val="none"/>
        </w:rPr>
      </w:pPr>
      <w:bookmarkStart w:id="24" w:name="_Toc152045514"/>
      <w:bookmarkStart w:id="25" w:name="_Toc152042290"/>
      <w:bookmarkStart w:id="26" w:name="_Toc300834931"/>
      <w:bookmarkStart w:id="27" w:name="_Toc144974482"/>
      <w:bookmarkStart w:id="28" w:name="_Toc247527537"/>
      <w:bookmarkStart w:id="29" w:name="_Toc247513936"/>
      <w:r>
        <w:rPr>
          <w:rFonts w:hint="eastAsia" w:ascii="Times New Roman" w:hAnsi="Times New Roman" w:eastAsia="宋体"/>
          <w:bCs w:val="0"/>
          <w:color w:val="auto"/>
          <w:kern w:val="0"/>
          <w:sz w:val="24"/>
          <w:szCs w:val="24"/>
          <w:highlight w:val="none"/>
        </w:rPr>
        <w:t>3. 投标人资格要求</w:t>
      </w:r>
      <w:bookmarkEnd w:id="24"/>
      <w:bookmarkEnd w:id="25"/>
      <w:bookmarkEnd w:id="26"/>
      <w:bookmarkEnd w:id="27"/>
      <w:bookmarkEnd w:id="28"/>
      <w:bookmarkEnd w:id="29"/>
    </w:p>
    <w:p>
      <w:pPr>
        <w:adjustRightInd w:val="0"/>
        <w:snapToGrid w:val="0"/>
        <w:spacing w:line="360" w:lineRule="auto"/>
        <w:ind w:firstLine="480"/>
        <w:rPr>
          <w:rFonts w:hint="eastAsia" w:ascii="Times New Roman" w:hAnsi="Times New Roman"/>
          <w:color w:val="auto"/>
          <w:sz w:val="24"/>
          <w:highlight w:val="none"/>
        </w:rPr>
      </w:pPr>
      <w:bookmarkStart w:id="30" w:name="_Toc144974483"/>
      <w:bookmarkStart w:id="31" w:name="_Toc300834932"/>
      <w:bookmarkStart w:id="32" w:name="_Toc152042291"/>
      <w:bookmarkStart w:id="33" w:name="_Toc247513937"/>
      <w:bookmarkStart w:id="34" w:name="_Toc247527538"/>
      <w:bookmarkStart w:id="35" w:name="_Toc152045515"/>
      <w:r>
        <w:rPr>
          <w:rFonts w:hint="eastAsia" w:ascii="Times New Roman" w:hAnsi="Times New Roman"/>
          <w:color w:val="auto"/>
          <w:sz w:val="24"/>
          <w:highlight w:val="none"/>
        </w:rPr>
        <w:t>3.1本次招标要求投标人须具备</w:t>
      </w:r>
    </w:p>
    <w:p>
      <w:pPr>
        <w:adjustRightInd w:val="0"/>
        <w:snapToGrid w:val="0"/>
        <w:spacing w:line="360" w:lineRule="auto"/>
        <w:ind w:firstLine="816" w:firstLineChars="340"/>
        <w:rPr>
          <w:rFonts w:hint="eastAsia" w:ascii="Times New Roman" w:hAnsi="Times New Roman"/>
          <w:color w:val="auto"/>
          <w:sz w:val="24"/>
          <w:highlight w:val="none"/>
        </w:rPr>
      </w:pPr>
      <w:r>
        <w:rPr>
          <w:rFonts w:hint="eastAsia" w:ascii="Times New Roman" w:hAnsi="Times New Roman"/>
          <w:color w:val="auto"/>
          <w:sz w:val="24"/>
          <w:highlight w:val="none"/>
        </w:rPr>
        <w:t>3.1.1资质要求：</w:t>
      </w:r>
      <w:r>
        <w:rPr>
          <w:rFonts w:hint="eastAsia" w:ascii="Times New Roman" w:hAnsi="Times New Roman"/>
          <w:b/>
          <w:color w:val="auto"/>
          <w:sz w:val="24"/>
          <w:highlight w:val="none"/>
          <w:u w:val="single"/>
        </w:rPr>
        <w:t xml:space="preserve">               </w:t>
      </w:r>
      <w:r>
        <w:rPr>
          <w:rFonts w:ascii="Times New Roman" w:hAnsi="Times New Roman"/>
          <w:b/>
          <w:color w:val="auto"/>
          <w:sz w:val="24"/>
          <w:highlight w:val="none"/>
          <w:u w:val="single"/>
        </w:rPr>
        <w:t xml:space="preserve">    </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u w:val="single"/>
        </w:rPr>
        <w:t xml:space="preserve"> </w:t>
      </w:r>
      <w:r>
        <w:rPr>
          <w:rFonts w:hint="eastAsia" w:ascii="Times New Roman" w:hAnsi="Times New Roman"/>
          <w:bCs/>
          <w:color w:val="auto"/>
          <w:sz w:val="24"/>
          <w:highlight w:val="none"/>
        </w:rPr>
        <w:t>，施工单位须具备有效的安全生产许可证</w:t>
      </w:r>
      <w:r>
        <w:rPr>
          <w:rFonts w:hint="eastAsia" w:ascii="Times New Roman" w:hAnsi="Times New Roman"/>
          <w:color w:val="auto"/>
          <w:sz w:val="24"/>
          <w:highlight w:val="none"/>
        </w:rPr>
        <w:t>。</w:t>
      </w:r>
    </w:p>
    <w:p>
      <w:pPr>
        <w:adjustRightInd w:val="0"/>
        <w:snapToGrid w:val="0"/>
        <w:spacing w:line="360" w:lineRule="auto"/>
        <w:ind w:firstLine="816" w:firstLineChars="340"/>
        <w:rPr>
          <w:rFonts w:hint="eastAsia" w:ascii="Times New Roman" w:hAnsi="Times New Roman"/>
          <w:color w:val="auto"/>
          <w:sz w:val="24"/>
          <w:highlight w:val="none"/>
        </w:rPr>
      </w:pPr>
      <w:r>
        <w:rPr>
          <w:rFonts w:hint="eastAsia" w:ascii="Times New Roman" w:hAnsi="Times New Roman"/>
          <w:color w:val="auto"/>
          <w:sz w:val="24"/>
          <w:highlight w:val="none"/>
        </w:rPr>
        <w:t>3.1.2业绩要求：（本项为</w:t>
      </w:r>
      <w:r>
        <w:rPr>
          <w:rFonts w:ascii="Times New Roman" w:hAnsi="Times New Roman"/>
          <w:color w:val="auto"/>
          <w:sz w:val="24"/>
          <w:highlight w:val="none"/>
        </w:rPr>
        <w:t>多选</w:t>
      </w:r>
      <w:r>
        <w:rPr>
          <w:rFonts w:hint="eastAsia" w:ascii="Times New Roman" w:hAnsi="Times New Roman"/>
          <w:color w:val="auto"/>
          <w:sz w:val="24"/>
          <w:highlight w:val="none"/>
        </w:rPr>
        <w:t>）</w:t>
      </w:r>
    </w:p>
    <w:p>
      <w:pPr>
        <w:adjustRightInd w:val="0"/>
        <w:snapToGrid w:val="0"/>
        <w:spacing w:line="360" w:lineRule="auto"/>
        <w:ind w:firstLine="1296" w:firstLineChars="540"/>
        <w:rPr>
          <w:rFonts w:ascii="Times New Roman" w:hAnsi="Times New Roman"/>
          <w:bCs/>
          <w:color w:val="auto"/>
          <w:sz w:val="24"/>
          <w:highlight w:val="none"/>
        </w:rPr>
      </w:pPr>
      <w:r>
        <w:rPr>
          <w:rFonts w:hint="eastAsia" w:ascii="Times New Roman" w:hAnsi="Times New Roman"/>
          <w:color w:val="auto"/>
          <w:sz w:val="24"/>
          <w:highlight w:val="none"/>
        </w:rPr>
        <w:t>□设计</w:t>
      </w:r>
      <w:r>
        <w:rPr>
          <w:rFonts w:ascii="Times New Roman" w:hAnsi="Times New Roman"/>
          <w:color w:val="auto"/>
          <w:sz w:val="24"/>
          <w:highlight w:val="none"/>
        </w:rPr>
        <w:t>业绩要求：</w:t>
      </w:r>
      <w:r>
        <w:rPr>
          <w:rFonts w:hint="eastAsia" w:ascii="Times New Roman" w:hAnsi="Times New Roman"/>
          <w:color w:val="auto"/>
          <w:sz w:val="24"/>
          <w:highlight w:val="none"/>
        </w:rPr>
        <w:t>近年（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日至投标截止时间，不少于3年）（</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已完成  </w:t>
      </w:r>
      <w:r>
        <w:rPr>
          <w:rFonts w:hint="eastAsia" w:ascii="Times New Roman" w:hAnsi="Times New Roman"/>
          <w:color w:val="auto"/>
          <w:sz w:val="27"/>
          <w:highlight w:val="none"/>
        </w:rPr>
        <w:t>□</w:t>
      </w:r>
      <w:r>
        <w:rPr>
          <w:rFonts w:hint="eastAsia" w:ascii="Times New Roman" w:hAnsi="Times New Roman"/>
          <w:color w:val="auto"/>
          <w:sz w:val="24"/>
          <w:highlight w:val="none"/>
        </w:rPr>
        <w:t>已完成或新承接或正在设计）不少于</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（1 至3个）个类似项目。类似项目是指:</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p>
    <w:p>
      <w:pPr>
        <w:adjustRightInd w:val="0"/>
        <w:snapToGrid w:val="0"/>
        <w:spacing w:line="360" w:lineRule="auto"/>
        <w:ind w:firstLine="1296" w:firstLineChars="540"/>
        <w:rPr>
          <w:rFonts w:hint="eastAsia" w:ascii="Times New Roman" w:hAnsi="Times New Roman"/>
          <w:bCs/>
          <w:color w:val="auto"/>
          <w:sz w:val="24"/>
          <w:highlight w:val="none"/>
        </w:rPr>
      </w:pPr>
      <w:r>
        <w:rPr>
          <w:rFonts w:hint="eastAsia" w:ascii="Times New Roman" w:hAnsi="Times New Roman"/>
          <w:color w:val="auto"/>
          <w:sz w:val="24"/>
          <w:highlight w:val="none"/>
        </w:rPr>
        <w:t>□施工</w:t>
      </w:r>
      <w:r>
        <w:rPr>
          <w:rFonts w:ascii="Times New Roman" w:hAnsi="Times New Roman"/>
          <w:color w:val="auto"/>
          <w:sz w:val="24"/>
          <w:highlight w:val="none"/>
        </w:rPr>
        <w:t>业绩要求：</w:t>
      </w:r>
      <w:r>
        <w:rPr>
          <w:rFonts w:hint="eastAsia" w:ascii="Times New Roman" w:hAnsi="Times New Roman"/>
          <w:color w:val="auto"/>
          <w:sz w:val="24"/>
          <w:highlight w:val="none"/>
        </w:rPr>
        <w:t>近年（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日至投标截止时间，不少于3年）（</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已完成  </w:t>
      </w:r>
      <w:r>
        <w:rPr>
          <w:rFonts w:hint="eastAsia" w:ascii="Times New Roman" w:hAnsi="Times New Roman"/>
          <w:color w:val="auto"/>
          <w:sz w:val="27"/>
          <w:highlight w:val="none"/>
        </w:rPr>
        <w:t>□</w:t>
      </w:r>
      <w:r>
        <w:rPr>
          <w:rFonts w:hint="eastAsia" w:ascii="Times New Roman" w:hAnsi="Times New Roman"/>
          <w:color w:val="auto"/>
          <w:sz w:val="24"/>
          <w:highlight w:val="none"/>
        </w:rPr>
        <w:t>已完成或新承接</w:t>
      </w:r>
      <w:r>
        <w:rPr>
          <w:rFonts w:hint="eastAsia" w:ascii="Times New Roman" w:hAnsi="Times New Roman"/>
          <w:color w:val="auto"/>
          <w:sz w:val="27"/>
          <w:highlight w:val="none"/>
        </w:rPr>
        <w:t>或</w:t>
      </w:r>
      <w:r>
        <w:rPr>
          <w:rFonts w:hint="eastAsia" w:ascii="Times New Roman" w:hAnsi="Times New Roman"/>
          <w:color w:val="auto"/>
          <w:sz w:val="24"/>
          <w:highlight w:val="none"/>
        </w:rPr>
        <w:t>正在施工）不少于</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（1 至3个）个类似项目。类似项目是指:</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p>
    <w:p>
      <w:pPr>
        <w:adjustRightInd w:val="0"/>
        <w:snapToGrid w:val="0"/>
        <w:spacing w:line="360" w:lineRule="auto"/>
        <w:ind w:firstLine="1274" w:firstLineChars="472"/>
        <w:rPr>
          <w:rFonts w:hint="eastAsia" w:ascii="Times New Roman" w:hAnsi="Times New Roman"/>
          <w:color w:val="auto"/>
          <w:sz w:val="24"/>
          <w:highlight w:val="none"/>
        </w:rPr>
      </w:pP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无业绩要求。</w:t>
      </w:r>
    </w:p>
    <w:p>
      <w:pPr>
        <w:adjustRightInd w:val="0"/>
        <w:snapToGrid w:val="0"/>
        <w:spacing w:line="360" w:lineRule="auto"/>
        <w:ind w:firstLine="816" w:firstLineChars="340"/>
        <w:rPr>
          <w:rFonts w:ascii="Times New Roman" w:hAnsi="Times New Roman"/>
          <w:color w:val="auto"/>
          <w:sz w:val="24"/>
          <w:highlight w:val="none"/>
        </w:rPr>
      </w:pPr>
      <w:r>
        <w:rPr>
          <w:rFonts w:hint="eastAsia" w:ascii="Times New Roman" w:hAnsi="Times New Roman"/>
          <w:color w:val="auto"/>
          <w:sz w:val="24"/>
          <w:highlight w:val="none"/>
        </w:rPr>
        <w:t>3.1.3项目经理的资格要求：</w:t>
      </w:r>
      <w:r>
        <w:rPr>
          <w:rFonts w:hint="eastAsia" w:ascii="Times New Roman" w:hAnsi="Times New Roman"/>
          <w:color w:val="auto"/>
          <w:sz w:val="27"/>
          <w:szCs w:val="22"/>
          <w:highlight w:val="none"/>
        </w:rPr>
        <w:sym w:font="Wingdings 2" w:char="00A3"/>
      </w:r>
      <w:r>
        <w:rPr>
          <w:rFonts w:hint="eastAsia" w:ascii="Times New Roman" w:hAnsi="Times New Roman"/>
          <w:color w:val="auto"/>
          <w:sz w:val="27"/>
          <w:szCs w:val="22"/>
          <w:highlight w:val="none"/>
          <w:u w:val="single"/>
        </w:rPr>
        <w:t xml:space="preserve">          </w:t>
      </w: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由设计负责人兼任</w:t>
      </w:r>
      <w:r>
        <w:rPr>
          <w:rFonts w:hint="eastAsia" w:ascii="Times New Roman" w:hAnsi="Times New Roman"/>
          <w:color w:val="auto"/>
          <w:sz w:val="24"/>
          <w:highlight w:val="none"/>
        </w:rPr>
        <w:sym w:font="Wingdings 2" w:char="00A3"/>
      </w:r>
      <w:r>
        <w:rPr>
          <w:rFonts w:hint="eastAsia" w:ascii="Times New Roman" w:hAnsi="Times New Roman"/>
          <w:color w:val="auto"/>
          <w:sz w:val="24"/>
          <w:highlight w:val="none"/>
        </w:rPr>
        <w:t>由施工负责人兼任，</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u w:val="single"/>
        </w:rPr>
        <w:t>（业绩要求）</w:t>
      </w:r>
      <w:r>
        <w:rPr>
          <w:rFonts w:hint="eastAsia" w:ascii="Times New Roman" w:hAnsi="Times New Roman"/>
          <w:color w:val="auto"/>
          <w:sz w:val="24"/>
          <w:highlight w:val="none"/>
        </w:rPr>
        <w:t xml:space="preserve"> ，须为</w:t>
      </w:r>
      <w:r>
        <w:rPr>
          <w:rFonts w:hint="eastAsia" w:ascii="Times New Roman" w:hAnsi="Times New Roman"/>
          <w:bCs/>
          <w:color w:val="auto"/>
          <w:sz w:val="24"/>
          <w:highlight w:val="none"/>
        </w:rPr>
        <w:t>本单位人员（若为联合体投标，须为联合体牵头</w:t>
      </w:r>
      <w:r>
        <w:rPr>
          <w:rFonts w:hint="eastAsia" w:ascii="Times New Roman" w:hAnsi="Times New Roman"/>
          <w:color w:val="auto"/>
          <w:sz w:val="24"/>
          <w:highlight w:val="none"/>
        </w:rPr>
        <w:t>人人员）。</w:t>
      </w:r>
    </w:p>
    <w:p>
      <w:pPr>
        <w:adjustRightInd w:val="0"/>
        <w:snapToGrid w:val="0"/>
        <w:spacing w:line="360" w:lineRule="auto"/>
        <w:ind w:firstLine="840" w:firstLineChars="350"/>
        <w:rPr>
          <w:rFonts w:hint="eastAsia" w:ascii="Times New Roman" w:hAnsi="Times New Roman"/>
          <w:color w:val="auto"/>
          <w:sz w:val="24"/>
          <w:highlight w:val="none"/>
        </w:rPr>
      </w:pPr>
      <w:r>
        <w:rPr>
          <w:rFonts w:hint="eastAsia" w:ascii="Times New Roman" w:hAnsi="Times New Roman"/>
          <w:color w:val="auto"/>
          <w:sz w:val="24"/>
          <w:highlight w:val="none"/>
        </w:rPr>
        <w:t>3.1.4设计负责人的资格要求：</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，须为投标人</w:t>
      </w:r>
      <w:r>
        <w:rPr>
          <w:rFonts w:hint="eastAsia" w:ascii="Times New Roman" w:hAnsi="Times New Roman"/>
          <w:bCs/>
          <w:color w:val="auto"/>
          <w:sz w:val="24"/>
          <w:highlight w:val="none"/>
        </w:rPr>
        <w:t>本单位人员</w:t>
      </w:r>
      <w:r>
        <w:rPr>
          <w:rFonts w:hint="eastAsia" w:ascii="Times New Roman" w:hAnsi="Times New Roman"/>
          <w:color w:val="auto"/>
          <w:sz w:val="24"/>
          <w:highlight w:val="none"/>
        </w:rPr>
        <w:t>。</w:t>
      </w:r>
    </w:p>
    <w:p>
      <w:pPr>
        <w:adjustRightInd w:val="0"/>
        <w:snapToGrid w:val="0"/>
        <w:spacing w:line="360" w:lineRule="auto"/>
        <w:ind w:firstLine="840" w:firstLineChars="350"/>
        <w:rPr>
          <w:rFonts w:hint="eastAsia" w:ascii="Times New Roman" w:hAnsi="Times New Roman"/>
          <w:color w:val="auto"/>
          <w:sz w:val="24"/>
          <w:highlight w:val="none"/>
        </w:rPr>
      </w:pPr>
      <w:r>
        <w:rPr>
          <w:rFonts w:hint="eastAsia" w:ascii="Times New Roman" w:hAnsi="Times New Roman"/>
          <w:color w:val="auto"/>
          <w:sz w:val="24"/>
          <w:highlight w:val="none"/>
        </w:rPr>
        <w:t>3.1.5施工负责人（建造师，下同）的资格要求：</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hint="eastAsia" w:ascii="Times New Roman" w:hAnsi="Times New Roman"/>
          <w:color w:val="auto"/>
          <w:sz w:val="24"/>
          <w:highlight w:val="none"/>
          <w:u w:val="single"/>
        </w:rPr>
        <w:t xml:space="preserve"> (注册专业)（级别）</w:t>
      </w:r>
      <w:r>
        <w:rPr>
          <w:rFonts w:hint="eastAsia" w:ascii="Times New Roman" w:hAnsi="Times New Roman"/>
          <w:color w:val="auto"/>
          <w:sz w:val="24"/>
          <w:highlight w:val="none"/>
        </w:rPr>
        <w:t>建造师，具有省级及以上住房城乡建设主管部门颁发的安全生产考核合格证（B证），须为投标人</w:t>
      </w:r>
      <w:r>
        <w:rPr>
          <w:rFonts w:hint="eastAsia" w:ascii="Times New Roman" w:hAnsi="Times New Roman"/>
          <w:bCs/>
          <w:color w:val="auto"/>
          <w:sz w:val="24"/>
          <w:highlight w:val="none"/>
        </w:rPr>
        <w:t>本单位人员</w:t>
      </w:r>
      <w:r>
        <w:rPr>
          <w:rFonts w:hint="eastAsia" w:ascii="Times New Roman" w:hAnsi="Times New Roman"/>
          <w:color w:val="auto"/>
          <w:sz w:val="24"/>
          <w:highlight w:val="none"/>
        </w:rPr>
        <w:t>。</w:t>
      </w:r>
    </w:p>
    <w:p>
      <w:pPr>
        <w:adjustRightInd w:val="0"/>
        <w:snapToGrid w:val="0"/>
        <w:spacing w:line="360" w:lineRule="auto"/>
        <w:ind w:firstLine="480"/>
        <w:rPr>
          <w:rFonts w:ascii="Times New Roman" w:hAnsi="Times New Roman"/>
          <w:color w:val="auto"/>
          <w:sz w:val="24"/>
          <w:highlight w:val="none"/>
        </w:rPr>
      </w:pPr>
      <w:r>
        <w:rPr>
          <w:rFonts w:hint="eastAsia" w:ascii="Times New Roman" w:hAnsi="Times New Roman"/>
          <w:color w:val="auto"/>
          <w:sz w:val="24"/>
          <w:highlight w:val="none"/>
        </w:rPr>
        <w:t>3.2本次招标</w:t>
      </w:r>
      <w:r>
        <w:rPr>
          <w:rFonts w:hint="eastAsia" w:ascii="Times New Roman" w:hAnsi="Times New Roman"/>
          <w:bCs/>
          <w:color w:val="auto"/>
          <w:sz w:val="24"/>
          <w:highlight w:val="none"/>
        </w:rPr>
        <w:t>接受</w:t>
      </w:r>
      <w:r>
        <w:rPr>
          <w:rFonts w:hint="eastAsia" w:ascii="Times New Roman" w:hAnsi="Times New Roman"/>
          <w:color w:val="auto"/>
          <w:sz w:val="24"/>
          <w:highlight w:val="none"/>
        </w:rPr>
        <w:t>联合体投标。联合体投标的，联合体牵头人应为</w:t>
      </w: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设计单位</w:t>
      </w:r>
      <w:r>
        <w:rPr>
          <w:rFonts w:hint="eastAsia" w:ascii="Times New Roman" w:hAnsi="Times New Roman"/>
          <w:color w:val="auto"/>
          <w:sz w:val="24"/>
          <w:highlight w:val="none"/>
        </w:rPr>
        <w:sym w:font="Wingdings 2" w:char="00A3"/>
      </w:r>
      <w:r>
        <w:rPr>
          <w:rFonts w:hint="eastAsia" w:ascii="Times New Roman" w:hAnsi="Times New Roman"/>
          <w:color w:val="auto"/>
          <w:sz w:val="24"/>
          <w:highlight w:val="none"/>
        </w:rPr>
        <w:t>施工单位，同时满足下列要求：</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w:t>
      </w:r>
    </w:p>
    <w:p>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4. 招标文件的获取</w:t>
      </w:r>
      <w:bookmarkEnd w:id="30"/>
      <w:bookmarkEnd w:id="31"/>
      <w:bookmarkEnd w:id="32"/>
      <w:bookmarkEnd w:id="33"/>
      <w:bookmarkEnd w:id="34"/>
      <w:bookmarkEnd w:id="35"/>
    </w:p>
    <w:p>
      <w:pPr>
        <w:spacing w:line="360" w:lineRule="auto"/>
        <w:rPr>
          <w:rFonts w:ascii="Times New Roman" w:hAnsi="Times New Roman"/>
          <w:color w:val="auto"/>
          <w:sz w:val="24"/>
          <w:highlight w:val="none"/>
        </w:rPr>
      </w:pPr>
      <w:bookmarkStart w:id="36" w:name="_Toc247527539"/>
      <w:bookmarkStart w:id="37" w:name="_Toc152045516"/>
      <w:bookmarkStart w:id="38" w:name="_Toc152042292"/>
      <w:bookmarkStart w:id="39" w:name="_Toc144974484"/>
      <w:bookmarkStart w:id="40" w:name="_Toc300834933"/>
      <w:bookmarkStart w:id="41" w:name="_Toc247513938"/>
      <w:r>
        <w:rPr>
          <w:rFonts w:ascii="Times New Roman" w:hAnsi="Times New Roman"/>
          <w:color w:val="auto"/>
          <w:sz w:val="24"/>
          <w:highlight w:val="none"/>
        </w:rPr>
        <w:t xml:space="preserve"> </w:t>
      </w:r>
      <w:r>
        <w:rPr>
          <w:rFonts w:hint="eastAsia" w:ascii="Times New Roman" w:hAnsi="Times New Roman"/>
          <w:color w:val="auto"/>
          <w:sz w:val="24"/>
          <w:highlight w:val="none"/>
        </w:rPr>
        <w:t xml:space="preserve">   4.1 </w:t>
      </w:r>
      <w:r>
        <w:rPr>
          <w:rFonts w:hint="eastAsia" w:ascii="Times New Roman" w:hAnsi="Times New Roman" w:cs="宋体"/>
          <w:color w:val="auto"/>
          <w:sz w:val="24"/>
          <w:highlight w:val="none"/>
        </w:rPr>
        <w:t>凡有意参加投标者，请于</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市（州））（网址：</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）—“登录”—“</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”，通过数字证书免费下载招标资料（招标文件、技术资料等）。</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4.2 招标人不提供招标文件获取的其他方式。</w:t>
      </w:r>
    </w:p>
    <w:p>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5. 投标文件的递交</w:t>
      </w:r>
      <w:bookmarkEnd w:id="36"/>
      <w:bookmarkEnd w:id="37"/>
      <w:bookmarkEnd w:id="38"/>
      <w:bookmarkEnd w:id="39"/>
      <w:bookmarkEnd w:id="40"/>
      <w:bookmarkEnd w:id="41"/>
    </w:p>
    <w:p>
      <w:pPr>
        <w:adjustRightInd w:val="0"/>
        <w:snapToGrid w:val="0"/>
        <w:spacing w:line="360" w:lineRule="auto"/>
        <w:ind w:firstLine="480" w:firstLineChars="200"/>
        <w:rPr>
          <w:rFonts w:hint="eastAsia" w:ascii="Times New Roman" w:hAnsi="Times New Roman"/>
          <w:color w:val="auto"/>
          <w:sz w:val="24"/>
          <w:highlight w:val="none"/>
        </w:rPr>
      </w:pPr>
      <w:bookmarkStart w:id="42" w:name="_Toc247513939"/>
      <w:bookmarkStart w:id="43" w:name="_Toc300834934"/>
      <w:bookmarkStart w:id="44" w:name="_Toc157499355"/>
      <w:bookmarkStart w:id="45" w:name="_Toc247527540"/>
      <w:r>
        <w:rPr>
          <w:rFonts w:hint="eastAsia" w:ascii="Times New Roman" w:hAnsi="Times New Roman"/>
          <w:color w:val="auto"/>
          <w:sz w:val="24"/>
          <w:highlight w:val="none"/>
        </w:rPr>
        <w:t>投标文件递交的截止时间（投标截止时间，下同）为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日</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时</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分，投标人应在投标截止时间前在线递交经投标人数字证书加密的数据电文形式投标文件。</w:t>
      </w:r>
    </w:p>
    <w:p>
      <w:pPr>
        <w:adjustRightInd w:val="0"/>
        <w:snapToGrid w:val="0"/>
        <w:spacing w:line="360" w:lineRule="auto"/>
        <w:ind w:firstLine="480" w:firstLineChars="200"/>
        <w:rPr>
          <w:rFonts w:hint="eastAsia" w:ascii="Times New Roman" w:hAnsi="Times New Roman"/>
          <w:color w:val="auto"/>
          <w:sz w:val="24"/>
          <w:highlight w:val="none"/>
        </w:rPr>
      </w:pPr>
    </w:p>
    <w:p>
      <w:pPr>
        <w:adjustRightInd w:val="0"/>
        <w:snapToGrid w:val="0"/>
        <w:spacing w:line="360" w:lineRule="auto"/>
        <w:rPr>
          <w:rFonts w:hint="eastAsia" w:ascii="Times New Roman" w:hAnsi="Times New Roman"/>
          <w:b/>
          <w:color w:val="auto"/>
          <w:kern w:val="0"/>
          <w:sz w:val="24"/>
          <w:highlight w:val="none"/>
        </w:rPr>
      </w:pPr>
      <w:r>
        <w:rPr>
          <w:rFonts w:hint="eastAsia" w:ascii="Times New Roman" w:hAnsi="Times New Roman"/>
          <w:b/>
          <w:color w:val="auto"/>
          <w:kern w:val="0"/>
          <w:sz w:val="24"/>
          <w:highlight w:val="none"/>
        </w:rPr>
        <w:t>6.发布公告的媒介</w:t>
      </w:r>
      <w:bookmarkEnd w:id="42"/>
      <w:bookmarkEnd w:id="43"/>
      <w:bookmarkEnd w:id="44"/>
      <w:bookmarkEnd w:id="45"/>
      <w:bookmarkStart w:id="46" w:name="_Toc247513940"/>
      <w:bookmarkStart w:id="47" w:name="_Toc144974485"/>
      <w:bookmarkStart w:id="48" w:name="_Toc247527541"/>
      <w:bookmarkStart w:id="49" w:name="_Toc152042293"/>
      <w:bookmarkStart w:id="50" w:name="_Toc300834935"/>
      <w:bookmarkStart w:id="51" w:name="_Toc152045517"/>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本次招标公告在《全国公共资源交易平台（四川省）》和</w:t>
      </w:r>
      <w:r>
        <w:rPr>
          <w:rFonts w:hint="eastAsia" w:ascii="Times New Roman" w:hAnsi="Times New Roman" w:cs="宋体"/>
          <w:color w:val="auto"/>
          <w:sz w:val="24"/>
          <w:highlight w:val="none"/>
          <w:u w:val="single"/>
        </w:rPr>
        <w:t xml:space="preserve">          (公告发布的其它媒介名称）</w:t>
      </w:r>
      <w:r>
        <w:rPr>
          <w:rFonts w:hint="eastAsia" w:ascii="Times New Roman" w:hAnsi="Times New Roman" w:cs="宋体"/>
          <w:color w:val="auto"/>
          <w:sz w:val="24"/>
          <w:highlight w:val="none"/>
        </w:rPr>
        <w:t>上发布。</w:t>
      </w:r>
    </w:p>
    <w:p>
      <w:pPr>
        <w:adjustRightInd w:val="0"/>
        <w:snapToGrid w:val="0"/>
        <w:spacing w:line="360" w:lineRule="auto"/>
        <w:rPr>
          <w:rFonts w:hint="eastAsia" w:ascii="Times New Roman" w:hAnsi="Times New Roman"/>
          <w:b/>
          <w:color w:val="auto"/>
          <w:kern w:val="0"/>
          <w:sz w:val="24"/>
          <w:highlight w:val="none"/>
        </w:rPr>
      </w:pPr>
      <w:r>
        <w:rPr>
          <w:rFonts w:hint="eastAsia" w:ascii="Times New Roman" w:hAnsi="Times New Roman"/>
          <w:b/>
          <w:color w:val="auto"/>
          <w:kern w:val="0"/>
          <w:sz w:val="24"/>
          <w:highlight w:val="none"/>
        </w:rPr>
        <w:t>7. 联系方式</w:t>
      </w:r>
      <w:bookmarkEnd w:id="46"/>
      <w:bookmarkEnd w:id="47"/>
      <w:bookmarkEnd w:id="48"/>
      <w:bookmarkEnd w:id="49"/>
      <w:bookmarkEnd w:id="50"/>
      <w:bookmarkEnd w:id="51"/>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招 标 人：</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地    址：</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邮    编：</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联 系 人：</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    话：</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传    真：</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电子邮件：</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网    址：</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开户银行：</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账    号：</w:t>
      </w:r>
      <w:r>
        <w:rPr>
          <w:rFonts w:hint="eastAsia" w:ascii="Times New Roman" w:hAnsi="Times New Roman"/>
          <w:b/>
          <w:color w:val="auto"/>
          <w:sz w:val="24"/>
          <w:highlight w:val="none"/>
          <w:u w:val="single"/>
        </w:rPr>
        <w:t xml:space="preserve">         </w:t>
      </w:r>
    </w:p>
    <w:p>
      <w:pPr>
        <w:adjustRightInd w:val="0"/>
        <w:snapToGrid w:val="0"/>
        <w:spacing w:line="360" w:lineRule="auto"/>
        <w:rPr>
          <w:rFonts w:hint="eastAsia" w:ascii="Times New Roman" w:hAnsi="Times New Roman"/>
          <w:color w:val="auto"/>
          <w:sz w:val="24"/>
          <w:highlight w:val="none"/>
        </w:rPr>
      </w:pPr>
    </w:p>
    <w:p>
      <w:pPr>
        <w:adjustRightInd w:val="0"/>
        <w:snapToGrid w:val="0"/>
        <w:spacing w:line="360" w:lineRule="auto"/>
        <w:rPr>
          <w:rFonts w:hint="eastAsia" w:ascii="Times New Roman" w:hAnsi="Times New Roman"/>
          <w:color w:val="auto"/>
          <w:sz w:val="24"/>
          <w:highlight w:val="none"/>
        </w:rPr>
      </w:pPr>
      <w:r>
        <w:rPr>
          <w:rFonts w:hint="eastAsia" w:ascii="Times New Roman" w:hAnsi="Times New Roman"/>
          <w:color w:val="auto"/>
          <w:sz w:val="27"/>
          <w:highlight w:val="none"/>
        </w:rPr>
        <w:t xml:space="preserve">□ </w:t>
      </w:r>
      <w:r>
        <w:rPr>
          <w:rFonts w:hint="eastAsia" w:ascii="Times New Roman" w:hAnsi="Times New Roman"/>
          <w:color w:val="auto"/>
          <w:sz w:val="24"/>
          <w:highlight w:val="none"/>
        </w:rPr>
        <w:t>招标代理机构：</w:t>
      </w:r>
      <w:r>
        <w:rPr>
          <w:rFonts w:hint="eastAsia" w:ascii="Times New Roman" w:hAnsi="Times New Roman"/>
          <w:b/>
          <w:color w:val="auto"/>
          <w:sz w:val="24"/>
          <w:highlight w:val="none"/>
          <w:u w:val="single"/>
        </w:rPr>
        <w:t xml:space="preserve">    /     </w:t>
      </w:r>
    </w:p>
    <w:p>
      <w:pPr>
        <w:adjustRightInd w:val="0"/>
        <w:snapToGrid w:val="0"/>
        <w:spacing w:line="360" w:lineRule="auto"/>
        <w:jc w:val="center"/>
        <w:rPr>
          <w:rFonts w:hint="eastAsia" w:ascii="Times New Roman" w:hAnsi="Times New Roman"/>
          <w:color w:val="auto"/>
          <w:sz w:val="24"/>
          <w:highlight w:val="none"/>
        </w:rPr>
      </w:pPr>
    </w:p>
    <w:p>
      <w:pPr>
        <w:adjustRightInd w:val="0"/>
        <w:snapToGrid w:val="0"/>
        <w:spacing w:line="360" w:lineRule="auto"/>
        <w:rPr>
          <w:rFonts w:hint="eastAsia" w:ascii="Times New Roman" w:hAnsi="Times New Roman"/>
          <w:color w:val="auto"/>
          <w:sz w:val="24"/>
          <w:highlight w:val="none"/>
        </w:rPr>
      </w:pPr>
      <w:r>
        <w:rPr>
          <w:rFonts w:hint="eastAsia" w:ascii="Times New Roman" w:hAnsi="Times New Roman"/>
          <w:color w:val="auto"/>
          <w:sz w:val="27"/>
          <w:highlight w:val="none"/>
        </w:rPr>
        <w:t xml:space="preserve">□ </w:t>
      </w:r>
      <w:r>
        <w:rPr>
          <w:rFonts w:hint="eastAsia" w:ascii="Times New Roman" w:hAnsi="Times New Roman"/>
          <w:color w:val="auto"/>
          <w:sz w:val="24"/>
          <w:highlight w:val="none"/>
        </w:rPr>
        <w:t>招标代理机构：</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地    址：</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邮    编：</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联 系 人：</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    话：</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传    真：</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电子邮件：</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网    址：</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开户银行：</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账    号：</w:t>
      </w:r>
      <w:r>
        <w:rPr>
          <w:rFonts w:hint="eastAsia" w:ascii="Times New Roman" w:hAnsi="Times New Roman"/>
          <w:b/>
          <w:color w:val="auto"/>
          <w:sz w:val="24"/>
          <w:highlight w:val="none"/>
          <w:u w:val="single"/>
        </w:rPr>
        <w:t xml:space="preserve">         </w:t>
      </w:r>
    </w:p>
    <w:p>
      <w:pPr>
        <w:adjustRightInd w:val="0"/>
        <w:snapToGrid w:val="0"/>
        <w:spacing w:line="360" w:lineRule="auto"/>
        <w:jc w:val="center"/>
        <w:rPr>
          <w:rFonts w:hint="eastAsia" w:ascii="Times New Roman" w:hAnsi="Times New Roman"/>
          <w:color w:val="auto"/>
          <w:sz w:val="24"/>
          <w:highlight w:val="none"/>
        </w:rPr>
      </w:pPr>
      <w:r>
        <w:rPr>
          <w:rFonts w:hint="eastAsia" w:ascii="Times New Roman" w:hAnsi="Times New Roman"/>
          <w:b/>
          <w:color w:val="auto"/>
          <w:sz w:val="24"/>
          <w:highlight w:val="none"/>
        </w:rPr>
        <w:t xml:space="preserve">                                      </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日</w:t>
      </w:r>
    </w:p>
    <w:p>
      <w:pPr>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注：</w:t>
      </w:r>
    </w:p>
    <w:p>
      <w:pPr>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（1）若</w:t>
      </w:r>
      <w:r>
        <w:rPr>
          <w:rFonts w:ascii="Times New Roman" w:hAnsi="Times New Roman" w:cs="宋体"/>
          <w:color w:val="auto"/>
          <w:sz w:val="24"/>
          <w:highlight w:val="none"/>
        </w:rPr>
        <w:t>划分标段，则填写标段序号；</w:t>
      </w:r>
      <w:r>
        <w:rPr>
          <w:rFonts w:hint="eastAsia" w:ascii="Times New Roman" w:hAnsi="Times New Roman" w:cs="宋体"/>
          <w:color w:val="auto"/>
          <w:sz w:val="24"/>
          <w:highlight w:val="none"/>
        </w:rPr>
        <w:t>若</w:t>
      </w:r>
      <w:r>
        <w:rPr>
          <w:rFonts w:ascii="Times New Roman" w:hAnsi="Times New Roman" w:cs="宋体"/>
          <w:color w:val="auto"/>
          <w:sz w:val="24"/>
          <w:highlight w:val="none"/>
        </w:rPr>
        <w:t>划分为两个及以上标段，应分别明确各标段的具体内容、划分情况。</w:t>
      </w:r>
    </w:p>
    <w:p>
      <w:pPr>
        <w:spacing w:line="360" w:lineRule="auto"/>
        <w:ind w:firstLine="480" w:firstLineChars="200"/>
        <w:rPr>
          <w:rFonts w:hint="eastAsia" w:ascii="Times New Roman" w:hAnsi="Times New Roman" w:cs="宋体"/>
          <w:color w:val="auto"/>
          <w:sz w:val="24"/>
          <w:highlight w:val="none"/>
        </w:rPr>
      </w:pPr>
      <w:r>
        <w:rPr>
          <w:rFonts w:ascii="Times New Roman" w:hAnsi="Times New Roman" w:cs="宋体"/>
          <w:color w:val="auto"/>
          <w:sz w:val="24"/>
          <w:highlight w:val="none"/>
        </w:rPr>
        <w:t>（</w:t>
      </w:r>
      <w:r>
        <w:rPr>
          <w:rFonts w:hint="eastAsia" w:ascii="Times New Roman" w:hAnsi="Times New Roman" w:cs="宋体"/>
          <w:color w:val="auto"/>
          <w:sz w:val="24"/>
          <w:highlight w:val="none"/>
        </w:rPr>
        <w:t>2</w:t>
      </w:r>
      <w:r>
        <w:rPr>
          <w:rFonts w:ascii="Times New Roman" w:hAnsi="Times New Roman" w:cs="宋体"/>
          <w:color w:val="auto"/>
          <w:sz w:val="24"/>
          <w:highlight w:val="none"/>
        </w:rPr>
        <w:t>）招标人对投标人的资质要求，应是国家对投标人资质的强制性规定。不是国家规定必须具备的资质，不得作为</w:t>
      </w:r>
      <w:r>
        <w:rPr>
          <w:rFonts w:hint="eastAsia" w:ascii="Times New Roman" w:hAnsi="Times New Roman" w:cs="宋体"/>
          <w:color w:val="auto"/>
          <w:sz w:val="24"/>
          <w:highlight w:val="none"/>
        </w:rPr>
        <w:t>资质要求。</w:t>
      </w:r>
    </w:p>
    <w:p>
      <w:pPr>
        <w:spacing w:line="360" w:lineRule="auto"/>
        <w:ind w:firstLine="480" w:firstLineChars="200"/>
        <w:rPr>
          <w:rFonts w:ascii="Times New Roman" w:hAnsi="Times New Roman" w:cs="宋体"/>
          <w:color w:val="auto"/>
          <w:sz w:val="24"/>
          <w:highlight w:val="none"/>
        </w:rPr>
      </w:pPr>
      <w:r>
        <w:rPr>
          <w:rFonts w:ascii="Times New Roman" w:hAnsi="Times New Roman" w:cs="宋体"/>
          <w:color w:val="auto"/>
          <w:sz w:val="24"/>
          <w:highlight w:val="none"/>
        </w:rPr>
        <w:t>（</w:t>
      </w:r>
      <w:r>
        <w:rPr>
          <w:rFonts w:hint="eastAsia" w:ascii="Times New Roman" w:hAnsi="Times New Roman" w:cs="宋体"/>
          <w:color w:val="auto"/>
          <w:sz w:val="24"/>
          <w:highlight w:val="none"/>
        </w:rPr>
        <w:t>3</w:t>
      </w:r>
      <w:r>
        <w:rPr>
          <w:rFonts w:ascii="Times New Roman" w:hAnsi="Times New Roman" w:cs="宋体"/>
          <w:color w:val="auto"/>
          <w:sz w:val="24"/>
          <w:highlight w:val="none"/>
        </w:rPr>
        <w:t>）招标人对投标人的</w:t>
      </w:r>
      <w:r>
        <w:rPr>
          <w:rFonts w:hint="eastAsia" w:ascii="Times New Roman" w:hAnsi="Times New Roman" w:cs="宋体"/>
          <w:color w:val="auto"/>
          <w:sz w:val="24"/>
          <w:highlight w:val="none"/>
        </w:rPr>
        <w:t>类似项目业绩</w:t>
      </w:r>
      <w:r>
        <w:rPr>
          <w:rFonts w:ascii="Times New Roman" w:hAnsi="Times New Roman" w:cs="宋体"/>
          <w:color w:val="auto"/>
          <w:sz w:val="24"/>
          <w:highlight w:val="none"/>
        </w:rPr>
        <w:t>要求</w:t>
      </w:r>
      <w:r>
        <w:rPr>
          <w:rFonts w:hint="eastAsia" w:ascii="Times New Roman" w:hAnsi="Times New Roman" w:cs="宋体"/>
          <w:color w:val="auto"/>
          <w:sz w:val="24"/>
          <w:highlight w:val="none"/>
        </w:rPr>
        <w:t>，设置的投资额、面积、长度等规模量化指标不得高于本次招标工程相应指标，</w:t>
      </w:r>
      <w:r>
        <w:rPr>
          <w:rFonts w:ascii="Times New Roman" w:hAnsi="Times New Roman" w:cs="宋体"/>
          <w:color w:val="auto"/>
          <w:sz w:val="24"/>
          <w:highlight w:val="none"/>
        </w:rPr>
        <w:t>类似项目业绩的定义应明确，用语准确无歧义。</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（4）招标人限定的联合体成员数量不得少于设定的资质个数。</w:t>
      </w:r>
    </w:p>
    <w:p>
      <w:pPr>
        <w:spacing w:line="400" w:lineRule="exact"/>
        <w:rPr>
          <w:color w:val="auto"/>
          <w:highlight w:val="none"/>
        </w:rPr>
      </w:pPr>
      <w:r>
        <w:rPr>
          <w:color w:val="auto"/>
          <w:highlight w:val="none"/>
        </w:rPr>
        <w:br w:type="page"/>
      </w:r>
    </w:p>
    <w:p>
      <w:pPr>
        <w:pStyle w:val="2"/>
        <w:jc w:val="center"/>
        <w:rPr>
          <w:color w:val="auto"/>
          <w:highlight w:val="none"/>
        </w:rPr>
      </w:pPr>
      <w:bookmarkStart w:id="52" w:name="_Toc247513941"/>
      <w:bookmarkStart w:id="53" w:name="_Toc300834936"/>
      <w:bookmarkStart w:id="54" w:name="_Toc247527542"/>
      <w:bookmarkStart w:id="55" w:name="_Toc152042294"/>
      <w:bookmarkStart w:id="56" w:name="_Toc152045518"/>
      <w:bookmarkStart w:id="57" w:name="_Toc144974486"/>
      <w:r>
        <w:rPr>
          <w:rFonts w:hint="eastAsia" w:ascii="Times New Roman" w:hAnsi="Times New Roman" w:cs="宋体"/>
          <w:bCs w:val="0"/>
          <w:color w:val="auto"/>
          <w:sz w:val="32"/>
          <w:szCs w:val="32"/>
          <w:highlight w:val="none"/>
        </w:rPr>
        <w:t>第一章 投标邀请书（适用于邀请招标）</w:t>
      </w:r>
      <w:bookmarkEnd w:id="52"/>
      <w:bookmarkEnd w:id="53"/>
      <w:bookmarkEnd w:id="54"/>
      <w:bookmarkEnd w:id="55"/>
      <w:bookmarkEnd w:id="56"/>
      <w:bookmarkEnd w:id="57"/>
    </w:p>
    <w:p>
      <w:pPr>
        <w:spacing w:line="440" w:lineRule="exact"/>
        <w:jc w:val="center"/>
        <w:rPr>
          <w:rFonts w:eastAsia="黑体"/>
          <w:color w:val="auto"/>
          <w:sz w:val="20"/>
          <w:szCs w:val="20"/>
          <w:highlight w:val="none"/>
        </w:rPr>
      </w:pPr>
    </w:p>
    <w:p>
      <w:pPr>
        <w:spacing w:line="440" w:lineRule="exact"/>
        <w:jc w:val="center"/>
        <w:rPr>
          <w:rFonts w:hint="eastAsia" w:ascii="Times New Roman" w:hAnsi="Times New Roman"/>
          <w:b/>
          <w:color w:val="auto"/>
          <w:sz w:val="28"/>
          <w:szCs w:val="28"/>
          <w:highlight w:val="none"/>
        </w:rPr>
      </w:pPr>
      <w:r>
        <w:rPr>
          <w:rFonts w:hint="eastAsia" w:ascii="Times New Roman" w:hAnsi="Times New Roman" w:cs="宋体"/>
          <w:b/>
          <w:bCs/>
          <w:color w:val="auto"/>
          <w:sz w:val="28"/>
          <w:szCs w:val="28"/>
          <w:highlight w:val="none"/>
          <w:u w:val="single"/>
        </w:rPr>
        <w:t xml:space="preserve">      </w:t>
      </w:r>
      <w:r>
        <w:rPr>
          <w:rFonts w:hint="eastAsia" w:ascii="Times New Roman" w:hAnsi="Times New Roman" w:cs="宋体"/>
          <w:b/>
          <w:bCs/>
          <w:color w:val="auto"/>
          <w:sz w:val="28"/>
          <w:szCs w:val="28"/>
          <w:highlight w:val="none"/>
        </w:rPr>
        <w:t>（项目名称）</w:t>
      </w:r>
      <w:r>
        <w:rPr>
          <w:rFonts w:hint="eastAsia" w:ascii="Times New Roman" w:hAnsi="Times New Roman"/>
          <w:b/>
          <w:color w:val="auto"/>
          <w:sz w:val="28"/>
          <w:szCs w:val="28"/>
          <w:highlight w:val="none"/>
        </w:rPr>
        <w:t>设计施工总承包</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 标段</w:t>
      </w:r>
    </w:p>
    <w:p>
      <w:pPr>
        <w:spacing w:line="440" w:lineRule="exact"/>
        <w:jc w:val="center"/>
        <w:rPr>
          <w:rFonts w:hint="eastAsia" w:ascii="Times New Roman" w:hAnsi="Times New Roman" w:cs="宋体"/>
          <w:b/>
          <w:bCs/>
          <w:color w:val="auto"/>
          <w:sz w:val="28"/>
          <w:szCs w:val="28"/>
          <w:highlight w:val="none"/>
        </w:rPr>
      </w:pPr>
      <w:r>
        <w:rPr>
          <w:rFonts w:hint="eastAsia" w:ascii="Times New Roman" w:hAnsi="Times New Roman" w:cs="宋体"/>
          <w:b/>
          <w:bCs/>
          <w:color w:val="auto"/>
          <w:sz w:val="28"/>
          <w:szCs w:val="28"/>
          <w:highlight w:val="none"/>
        </w:rPr>
        <w:t>投标邀请书</w:t>
      </w:r>
    </w:p>
    <w:p>
      <w:pPr>
        <w:spacing w:line="440" w:lineRule="exact"/>
        <w:rPr>
          <w:rFonts w:eastAsia="黑体"/>
          <w:color w:val="auto"/>
          <w:sz w:val="27"/>
          <w:szCs w:val="27"/>
          <w:highlight w:val="none"/>
          <w:u w:val="single"/>
        </w:rPr>
      </w:pPr>
    </w:p>
    <w:p>
      <w:pPr>
        <w:spacing w:line="400" w:lineRule="exact"/>
        <w:rPr>
          <w:color w:val="auto"/>
          <w:sz w:val="24"/>
          <w:highlight w:val="none"/>
        </w:rPr>
      </w:pPr>
      <w:r>
        <w:rPr>
          <w:color w:val="auto"/>
          <w:sz w:val="24"/>
          <w:highlight w:val="none"/>
          <w:u w:val="single"/>
        </w:rPr>
        <w:t xml:space="preserve">               </w:t>
      </w:r>
      <w:r>
        <w:rPr>
          <w:color w:val="auto"/>
          <w:sz w:val="24"/>
          <w:highlight w:val="none"/>
        </w:rPr>
        <w:t>（被邀请单位名称）：</w:t>
      </w:r>
    </w:p>
    <w:p>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1. 招标条件</w:t>
      </w:r>
    </w:p>
    <w:p>
      <w:pPr>
        <w:adjustRightInd w:val="0"/>
        <w:snapToGrid w:val="0"/>
        <w:spacing w:line="360" w:lineRule="auto"/>
        <w:rPr>
          <w:rFonts w:hint="eastAsia" w:ascii="Times New Roman" w:hAnsi="Times New Roman"/>
          <w:color w:val="auto"/>
          <w:sz w:val="24"/>
          <w:highlight w:val="none"/>
        </w:rPr>
      </w:pPr>
      <w:r>
        <w:rPr>
          <w:color w:val="auto"/>
          <w:szCs w:val="21"/>
          <w:highlight w:val="none"/>
        </w:rPr>
        <w:t>　　</w:t>
      </w:r>
      <w:r>
        <w:rPr>
          <w:color w:val="auto"/>
          <w:sz w:val="24"/>
          <w:highlight w:val="none"/>
        </w:rPr>
        <w:t xml:space="preserve"> </w:t>
      </w:r>
      <w:r>
        <w:rPr>
          <w:rFonts w:hint="eastAsia" w:ascii="Times New Roman" w:hAnsi="Times New Roman"/>
          <w:color w:val="auto"/>
          <w:sz w:val="24"/>
          <w:highlight w:val="none"/>
        </w:rPr>
        <w:t>1.1本招标项目</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(项目名称)已由</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(项目审批、核准或备案机关名称)以</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（批文名称及编号）批准建设，项目业主为</w:t>
      </w:r>
      <w:r>
        <w:rPr>
          <w:rFonts w:hint="eastAsia" w:ascii="Times New Roman" w:hAnsi="Times New Roman"/>
          <w:b/>
          <w:color w:val="auto"/>
          <w:sz w:val="24"/>
          <w:highlight w:val="none"/>
          <w:u w:val="single"/>
        </w:rPr>
        <w:t xml:space="preserve">           </w:t>
      </w:r>
      <w:r>
        <w:rPr>
          <w:rFonts w:hint="eastAsia" w:ascii="Times New Roman" w:hAnsi="Times New Roman"/>
          <w:b/>
          <w:color w:val="auto"/>
          <w:sz w:val="24"/>
          <w:highlight w:val="none"/>
        </w:rPr>
        <w:t>，</w:t>
      </w:r>
      <w:r>
        <w:rPr>
          <w:rFonts w:hint="eastAsia" w:ascii="Times New Roman" w:hAnsi="Times New Roman"/>
          <w:color w:val="auto"/>
          <w:sz w:val="24"/>
          <w:highlight w:val="none"/>
        </w:rPr>
        <w:t>建设资金来自</w:t>
      </w:r>
      <w:r>
        <w:rPr>
          <w:rFonts w:hint="eastAsia" w:ascii="Times New Roman" w:hAnsi="Times New Roman"/>
          <w:b/>
          <w:color w:val="auto"/>
          <w:sz w:val="24"/>
          <w:highlight w:val="none"/>
          <w:u w:val="single"/>
        </w:rPr>
        <w:t xml:space="preserve">        </w:t>
      </w:r>
      <w:r>
        <w:rPr>
          <w:rFonts w:ascii="Times New Roman" w:hAnsi="Times New Roman"/>
          <w:b/>
          <w:color w:val="auto"/>
          <w:sz w:val="24"/>
          <w:highlight w:val="none"/>
          <w:u w:val="single"/>
        </w:rPr>
        <w:t xml:space="preserve">   </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（资金来源），项目出资比例为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，招标人为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。项目已具备招标条件，现邀请你单位参加该项目的设计施工总承包投标。</w:t>
      </w:r>
    </w:p>
    <w:p>
      <w:pPr>
        <w:adjustRightInd w:val="0"/>
        <w:snapToGrid w:val="0"/>
        <w:spacing w:line="360" w:lineRule="auto"/>
        <w:rPr>
          <w:color w:val="auto"/>
          <w:szCs w:val="21"/>
          <w:highlight w:val="none"/>
        </w:rPr>
      </w:pPr>
      <w:r>
        <w:rPr>
          <w:color w:val="auto"/>
          <w:sz w:val="24"/>
          <w:highlight w:val="none"/>
        </w:rPr>
        <w:t xml:space="preserve">    </w:t>
      </w:r>
      <w:r>
        <w:rPr>
          <w:rFonts w:hint="eastAsia" w:ascii="Times New Roman" w:hAnsi="Times New Roman"/>
          <w:color w:val="auto"/>
          <w:sz w:val="24"/>
          <w:highlight w:val="none"/>
        </w:rPr>
        <w:t>1.2本招标项目由</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（核准机关名称）核准（招标事项核准文号为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）的招标组织形式为</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自行招标 </w:t>
      </w:r>
      <w:r>
        <w:rPr>
          <w:rFonts w:hint="eastAsia" w:ascii="Times New Roman" w:hAnsi="Times New Roman"/>
          <w:color w:val="auto"/>
          <w:sz w:val="27"/>
          <w:highlight w:val="none"/>
        </w:rPr>
        <w:t>□</w:t>
      </w:r>
      <w:r>
        <w:rPr>
          <w:rFonts w:hint="eastAsia" w:ascii="Times New Roman" w:hAnsi="Times New Roman"/>
          <w:color w:val="auto"/>
          <w:sz w:val="24"/>
          <w:highlight w:val="none"/>
        </w:rPr>
        <w:t>委托招标</w:t>
      </w:r>
      <w:r>
        <w:rPr>
          <w:rFonts w:hint="eastAsia" w:ascii="Times New Roman" w:hAnsi="Times New Roman"/>
          <w:bCs/>
          <w:color w:val="auto"/>
          <w:sz w:val="24"/>
          <w:highlight w:val="none"/>
        </w:rPr>
        <w:t>）</w:t>
      </w:r>
      <w:r>
        <w:rPr>
          <w:rFonts w:hint="eastAsia" w:ascii="Times New Roman" w:hAnsi="Times New Roman"/>
          <w:color w:val="auto"/>
          <w:sz w:val="24"/>
          <w:highlight w:val="none"/>
        </w:rPr>
        <w:t>。招标人选择的招标代理机构是</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w:t>
      </w:r>
    </w:p>
    <w:p>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2. 项目概况与招标范围</w:t>
      </w:r>
    </w:p>
    <w:p>
      <w:pPr>
        <w:adjustRightInd w:val="0"/>
        <w:snapToGrid w:val="0"/>
        <w:spacing w:line="360" w:lineRule="auto"/>
        <w:rPr>
          <w:rFonts w:hint="eastAsia" w:ascii="Times New Roman" w:hAnsi="Times New Roman"/>
          <w:color w:val="auto"/>
          <w:sz w:val="24"/>
          <w:highlight w:val="none"/>
        </w:rPr>
      </w:pPr>
      <w:r>
        <w:rPr>
          <w:color w:val="auto"/>
          <w:szCs w:val="21"/>
          <w:highlight w:val="none"/>
        </w:rPr>
        <w:t>　　</w:t>
      </w:r>
      <w:r>
        <w:rPr>
          <w:rFonts w:hint="eastAsia" w:ascii="Times New Roman" w:hAnsi="Times New Roman"/>
          <w:color w:val="auto"/>
          <w:sz w:val="24"/>
          <w:highlight w:val="none"/>
        </w:rPr>
        <w:t xml:space="preserve"> </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hint="eastAsia" w:ascii="Times New Roman" w:hAnsi="Times New Roman"/>
          <w:color w:val="auto"/>
          <w:sz w:val="24"/>
          <w:highlight w:val="none"/>
        </w:rPr>
        <w:t>。</w:t>
      </w:r>
    </w:p>
    <w:p>
      <w:pPr>
        <w:adjustRightInd w:val="0"/>
        <w:snapToGrid w:val="0"/>
        <w:spacing w:line="360" w:lineRule="auto"/>
        <w:rPr>
          <w:color w:val="auto"/>
          <w:szCs w:val="21"/>
          <w:highlight w:val="none"/>
        </w:rPr>
      </w:pPr>
      <w:r>
        <w:rPr>
          <w:rFonts w:hint="eastAsia" w:ascii="Times New Roman" w:hAnsi="Times New Roman"/>
          <w:color w:val="auto"/>
          <w:sz w:val="24"/>
          <w:highlight w:val="none"/>
        </w:rPr>
        <w:t>（说明本次招标项目的建设地点、规模及投资额、计划工期、招标范围、标段划分及标段投资额等）。</w:t>
      </w:r>
    </w:p>
    <w:p>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3. 投标人资格要求</w:t>
      </w:r>
    </w:p>
    <w:p>
      <w:pPr>
        <w:adjustRightInd w:val="0"/>
        <w:snapToGrid w:val="0"/>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3.1本次招标要求投标人须具备</w:t>
      </w:r>
    </w:p>
    <w:p>
      <w:pPr>
        <w:adjustRightInd w:val="0"/>
        <w:snapToGrid w:val="0"/>
        <w:spacing w:line="360" w:lineRule="auto"/>
        <w:ind w:firstLine="816" w:firstLineChars="340"/>
        <w:rPr>
          <w:rFonts w:hint="eastAsia" w:ascii="Times New Roman" w:hAnsi="Times New Roman"/>
          <w:color w:val="auto"/>
          <w:sz w:val="24"/>
          <w:highlight w:val="none"/>
        </w:rPr>
      </w:pPr>
      <w:r>
        <w:rPr>
          <w:rFonts w:hint="eastAsia" w:ascii="Times New Roman" w:hAnsi="Times New Roman"/>
          <w:color w:val="auto"/>
          <w:sz w:val="24"/>
          <w:highlight w:val="none"/>
        </w:rPr>
        <w:t>3.1.1资质要求：</w:t>
      </w:r>
      <w:r>
        <w:rPr>
          <w:rFonts w:hint="eastAsia" w:ascii="Times New Roman" w:hAnsi="Times New Roman"/>
          <w:b/>
          <w:color w:val="auto"/>
          <w:sz w:val="24"/>
          <w:highlight w:val="none"/>
          <w:u w:val="single"/>
        </w:rPr>
        <w:t xml:space="preserve">               </w:t>
      </w:r>
      <w:r>
        <w:rPr>
          <w:rFonts w:ascii="Times New Roman" w:hAnsi="Times New Roman"/>
          <w:b/>
          <w:color w:val="auto"/>
          <w:sz w:val="24"/>
          <w:highlight w:val="none"/>
          <w:u w:val="single"/>
        </w:rPr>
        <w:t xml:space="preserve">    </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u w:val="single"/>
        </w:rPr>
        <w:t xml:space="preserve"> </w:t>
      </w:r>
      <w:r>
        <w:rPr>
          <w:rFonts w:hint="eastAsia" w:ascii="Times New Roman" w:hAnsi="Times New Roman"/>
          <w:bCs/>
          <w:color w:val="auto"/>
          <w:sz w:val="24"/>
          <w:highlight w:val="none"/>
        </w:rPr>
        <w:t>，施工单位须具备有效的安全生产许可证</w:t>
      </w:r>
      <w:r>
        <w:rPr>
          <w:rFonts w:hint="eastAsia" w:ascii="Times New Roman" w:hAnsi="Times New Roman"/>
          <w:color w:val="auto"/>
          <w:sz w:val="24"/>
          <w:highlight w:val="none"/>
        </w:rPr>
        <w:t>。</w:t>
      </w:r>
    </w:p>
    <w:p>
      <w:pPr>
        <w:adjustRightInd w:val="0"/>
        <w:snapToGrid w:val="0"/>
        <w:spacing w:line="360" w:lineRule="auto"/>
        <w:ind w:firstLine="816" w:firstLineChars="340"/>
        <w:rPr>
          <w:rFonts w:hint="eastAsia" w:ascii="Times New Roman" w:hAnsi="Times New Roman"/>
          <w:color w:val="auto"/>
          <w:sz w:val="24"/>
          <w:highlight w:val="none"/>
        </w:rPr>
      </w:pPr>
      <w:r>
        <w:rPr>
          <w:rFonts w:hint="eastAsia" w:ascii="Times New Roman" w:hAnsi="Times New Roman"/>
          <w:color w:val="auto"/>
          <w:sz w:val="24"/>
          <w:highlight w:val="none"/>
        </w:rPr>
        <w:t>3.1.2业绩要求：（本项为</w:t>
      </w:r>
      <w:r>
        <w:rPr>
          <w:rFonts w:ascii="Times New Roman" w:hAnsi="Times New Roman"/>
          <w:color w:val="auto"/>
          <w:sz w:val="24"/>
          <w:highlight w:val="none"/>
        </w:rPr>
        <w:t>多选</w:t>
      </w:r>
      <w:r>
        <w:rPr>
          <w:rFonts w:hint="eastAsia" w:ascii="Times New Roman" w:hAnsi="Times New Roman"/>
          <w:color w:val="auto"/>
          <w:sz w:val="24"/>
          <w:highlight w:val="none"/>
        </w:rPr>
        <w:t>）</w:t>
      </w:r>
    </w:p>
    <w:p>
      <w:pPr>
        <w:adjustRightInd w:val="0"/>
        <w:snapToGrid w:val="0"/>
        <w:spacing w:line="360" w:lineRule="auto"/>
        <w:ind w:firstLine="720" w:firstLineChars="300"/>
        <w:rPr>
          <w:rFonts w:ascii="Times New Roman" w:hAnsi="Times New Roman"/>
          <w:bCs/>
          <w:color w:val="auto"/>
          <w:sz w:val="24"/>
          <w:highlight w:val="none"/>
        </w:rPr>
      </w:pPr>
      <w:r>
        <w:rPr>
          <w:rFonts w:hint="eastAsia" w:ascii="Times New Roman" w:hAnsi="Times New Roman"/>
          <w:color w:val="auto"/>
          <w:sz w:val="24"/>
          <w:highlight w:val="none"/>
        </w:rPr>
        <w:t>□设计</w:t>
      </w:r>
      <w:r>
        <w:rPr>
          <w:rFonts w:ascii="Times New Roman" w:hAnsi="Times New Roman"/>
          <w:color w:val="auto"/>
          <w:sz w:val="24"/>
          <w:highlight w:val="none"/>
        </w:rPr>
        <w:t>业绩要求：</w:t>
      </w:r>
      <w:r>
        <w:rPr>
          <w:rFonts w:hint="eastAsia" w:ascii="Times New Roman" w:hAnsi="Times New Roman"/>
          <w:color w:val="auto"/>
          <w:sz w:val="24"/>
          <w:highlight w:val="none"/>
        </w:rPr>
        <w:t>近年（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日至投标截止时间，不少于3年）（</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已完成  </w:t>
      </w:r>
      <w:r>
        <w:rPr>
          <w:rFonts w:hint="eastAsia" w:ascii="Times New Roman" w:hAnsi="Times New Roman"/>
          <w:color w:val="auto"/>
          <w:sz w:val="27"/>
          <w:highlight w:val="none"/>
        </w:rPr>
        <w:t>□</w:t>
      </w:r>
      <w:r>
        <w:rPr>
          <w:rFonts w:hint="eastAsia" w:ascii="Times New Roman" w:hAnsi="Times New Roman"/>
          <w:color w:val="auto"/>
          <w:sz w:val="24"/>
          <w:highlight w:val="none"/>
        </w:rPr>
        <w:t>已完成或新承接</w:t>
      </w:r>
      <w:r>
        <w:rPr>
          <w:rFonts w:hint="eastAsia" w:ascii="Times New Roman" w:hAnsi="Times New Roman"/>
          <w:color w:val="auto"/>
          <w:sz w:val="27"/>
          <w:highlight w:val="none"/>
        </w:rPr>
        <w:t>或</w:t>
      </w:r>
      <w:r>
        <w:rPr>
          <w:rFonts w:hint="eastAsia" w:ascii="Times New Roman" w:hAnsi="Times New Roman"/>
          <w:color w:val="auto"/>
          <w:sz w:val="24"/>
          <w:highlight w:val="none"/>
        </w:rPr>
        <w:t>正在设计）不少于</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（1 至3个）个类似项目。类似项目是指:</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p>
    <w:p>
      <w:pPr>
        <w:adjustRightInd w:val="0"/>
        <w:snapToGrid w:val="0"/>
        <w:spacing w:line="360" w:lineRule="auto"/>
        <w:ind w:firstLine="720" w:firstLineChars="300"/>
        <w:rPr>
          <w:rFonts w:hint="eastAsia" w:ascii="Times New Roman" w:hAnsi="Times New Roman"/>
          <w:bCs/>
          <w:color w:val="auto"/>
          <w:sz w:val="24"/>
          <w:highlight w:val="none"/>
        </w:rPr>
      </w:pPr>
      <w:r>
        <w:rPr>
          <w:rFonts w:hint="eastAsia" w:ascii="Times New Roman" w:hAnsi="Times New Roman"/>
          <w:color w:val="auto"/>
          <w:sz w:val="24"/>
          <w:highlight w:val="none"/>
        </w:rPr>
        <w:t>□施工</w:t>
      </w:r>
      <w:r>
        <w:rPr>
          <w:rFonts w:ascii="Times New Roman" w:hAnsi="Times New Roman"/>
          <w:color w:val="auto"/>
          <w:sz w:val="24"/>
          <w:highlight w:val="none"/>
        </w:rPr>
        <w:t>业绩要求：</w:t>
      </w:r>
      <w:r>
        <w:rPr>
          <w:rFonts w:hint="eastAsia" w:ascii="Times New Roman" w:hAnsi="Times New Roman"/>
          <w:color w:val="auto"/>
          <w:sz w:val="24"/>
          <w:highlight w:val="none"/>
        </w:rPr>
        <w:t>近年（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日至投标截止时间，不少于3年）（</w:t>
      </w:r>
      <w:r>
        <w:rPr>
          <w:rFonts w:hint="eastAsia" w:ascii="Times New Roman" w:hAnsi="Times New Roman"/>
          <w:color w:val="auto"/>
          <w:sz w:val="27"/>
          <w:highlight w:val="none"/>
        </w:rPr>
        <w:t>□</w:t>
      </w:r>
      <w:r>
        <w:rPr>
          <w:rFonts w:hint="eastAsia" w:ascii="Times New Roman" w:hAnsi="Times New Roman"/>
          <w:color w:val="auto"/>
          <w:sz w:val="24"/>
          <w:highlight w:val="none"/>
        </w:rPr>
        <w:t xml:space="preserve">已完成  </w:t>
      </w:r>
      <w:r>
        <w:rPr>
          <w:rFonts w:hint="eastAsia" w:ascii="Times New Roman" w:hAnsi="Times New Roman"/>
          <w:color w:val="auto"/>
          <w:sz w:val="27"/>
          <w:highlight w:val="none"/>
        </w:rPr>
        <w:t>□</w:t>
      </w:r>
      <w:r>
        <w:rPr>
          <w:rFonts w:hint="eastAsia" w:ascii="Times New Roman" w:hAnsi="Times New Roman"/>
          <w:color w:val="auto"/>
          <w:sz w:val="24"/>
          <w:highlight w:val="none"/>
        </w:rPr>
        <w:t>已完成或新承接</w:t>
      </w:r>
      <w:r>
        <w:rPr>
          <w:rFonts w:hint="eastAsia" w:ascii="Times New Roman" w:hAnsi="Times New Roman"/>
          <w:color w:val="auto"/>
          <w:sz w:val="27"/>
          <w:highlight w:val="none"/>
        </w:rPr>
        <w:t>或</w:t>
      </w:r>
      <w:r>
        <w:rPr>
          <w:rFonts w:hint="eastAsia" w:ascii="Times New Roman" w:hAnsi="Times New Roman"/>
          <w:color w:val="auto"/>
          <w:sz w:val="24"/>
          <w:highlight w:val="none"/>
        </w:rPr>
        <w:t>正在施工）不少于</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（1 至3个）个类似项目。类似项目是指:</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rPr>
        <w:t>。</w:t>
      </w:r>
    </w:p>
    <w:p>
      <w:pPr>
        <w:adjustRightInd w:val="0"/>
        <w:snapToGrid w:val="0"/>
        <w:spacing w:line="360" w:lineRule="auto"/>
        <w:ind w:firstLine="810" w:firstLineChars="300"/>
        <w:rPr>
          <w:rFonts w:hint="eastAsia" w:ascii="Times New Roman" w:hAnsi="Times New Roman"/>
          <w:color w:val="auto"/>
          <w:sz w:val="24"/>
          <w:highlight w:val="none"/>
        </w:rPr>
      </w:pP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无业绩要求。</w:t>
      </w:r>
    </w:p>
    <w:p>
      <w:pPr>
        <w:adjustRightInd w:val="0"/>
        <w:snapToGrid w:val="0"/>
        <w:spacing w:line="360" w:lineRule="auto"/>
        <w:ind w:firstLine="816" w:firstLineChars="340"/>
        <w:rPr>
          <w:rFonts w:hint="eastAsia" w:ascii="Times New Roman" w:hAnsi="Times New Roman"/>
          <w:color w:val="auto"/>
          <w:sz w:val="24"/>
          <w:highlight w:val="none"/>
        </w:rPr>
      </w:pPr>
      <w:r>
        <w:rPr>
          <w:rFonts w:hint="eastAsia" w:ascii="Times New Roman" w:hAnsi="Times New Roman"/>
          <w:color w:val="auto"/>
          <w:sz w:val="24"/>
          <w:highlight w:val="none"/>
        </w:rPr>
        <w:t>3.1.3项目经理的资格要求：</w:t>
      </w:r>
      <w:r>
        <w:rPr>
          <w:rFonts w:hint="eastAsia" w:ascii="Times New Roman" w:hAnsi="Times New Roman"/>
          <w:color w:val="auto"/>
          <w:sz w:val="27"/>
          <w:szCs w:val="22"/>
          <w:highlight w:val="none"/>
        </w:rPr>
        <w:sym w:font="Wingdings 2" w:char="00A3"/>
      </w:r>
      <w:r>
        <w:rPr>
          <w:rFonts w:hint="eastAsia" w:ascii="Times New Roman" w:hAnsi="Times New Roman"/>
          <w:color w:val="auto"/>
          <w:sz w:val="27"/>
          <w:szCs w:val="22"/>
          <w:highlight w:val="none"/>
          <w:u w:val="single"/>
        </w:rPr>
        <w:t xml:space="preserve">          </w:t>
      </w: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由设计负责人兼任</w:t>
      </w:r>
      <w:r>
        <w:rPr>
          <w:rFonts w:hint="eastAsia" w:ascii="Times New Roman" w:hAnsi="Times New Roman"/>
          <w:color w:val="auto"/>
          <w:sz w:val="24"/>
          <w:highlight w:val="none"/>
        </w:rPr>
        <w:sym w:font="Wingdings 2" w:char="00A3"/>
      </w:r>
      <w:r>
        <w:rPr>
          <w:rFonts w:hint="eastAsia" w:ascii="Times New Roman" w:hAnsi="Times New Roman"/>
          <w:color w:val="auto"/>
          <w:sz w:val="24"/>
          <w:highlight w:val="none"/>
        </w:rPr>
        <w:t>由施工负责人兼任，</w:t>
      </w:r>
      <w:r>
        <w:rPr>
          <w:rFonts w:hint="eastAsia" w:ascii="Times New Roman" w:hAnsi="Times New Roman"/>
          <w:b/>
          <w:color w:val="auto"/>
          <w:sz w:val="24"/>
          <w:highlight w:val="none"/>
          <w:u w:val="single"/>
        </w:rPr>
        <w:t xml:space="preserve">     </w:t>
      </w:r>
      <w:r>
        <w:rPr>
          <w:rFonts w:hint="eastAsia" w:ascii="Times New Roman" w:hAnsi="Times New Roman"/>
          <w:bCs/>
          <w:color w:val="auto"/>
          <w:sz w:val="24"/>
          <w:highlight w:val="none"/>
          <w:u w:val="single"/>
        </w:rPr>
        <w:t>（业绩要求）</w:t>
      </w:r>
      <w:r>
        <w:rPr>
          <w:rFonts w:hint="eastAsia" w:ascii="Times New Roman" w:hAnsi="Times New Roman"/>
          <w:color w:val="auto"/>
          <w:sz w:val="24"/>
          <w:highlight w:val="none"/>
        </w:rPr>
        <w:t xml:space="preserve"> ，须为</w:t>
      </w:r>
      <w:r>
        <w:rPr>
          <w:rFonts w:hint="eastAsia" w:ascii="Times New Roman" w:hAnsi="Times New Roman"/>
          <w:bCs/>
          <w:color w:val="auto"/>
          <w:sz w:val="24"/>
          <w:highlight w:val="none"/>
        </w:rPr>
        <w:t>本单位人员（若为联合体投标，须为联合体牵头</w:t>
      </w:r>
      <w:r>
        <w:rPr>
          <w:rFonts w:hint="eastAsia" w:ascii="Times New Roman" w:hAnsi="Times New Roman"/>
          <w:color w:val="auto"/>
          <w:sz w:val="24"/>
          <w:highlight w:val="none"/>
        </w:rPr>
        <w:t>人人员）。</w:t>
      </w:r>
    </w:p>
    <w:p>
      <w:pPr>
        <w:adjustRightInd w:val="0"/>
        <w:snapToGrid w:val="0"/>
        <w:spacing w:line="360" w:lineRule="auto"/>
        <w:ind w:firstLine="720" w:firstLineChars="300"/>
        <w:rPr>
          <w:rFonts w:hint="eastAsia" w:ascii="Times New Roman" w:hAnsi="Times New Roman"/>
          <w:color w:val="auto"/>
          <w:sz w:val="24"/>
          <w:highlight w:val="none"/>
        </w:rPr>
      </w:pPr>
      <w:r>
        <w:rPr>
          <w:rFonts w:hint="eastAsia" w:ascii="Times New Roman" w:hAnsi="Times New Roman"/>
          <w:color w:val="auto"/>
          <w:sz w:val="24"/>
          <w:highlight w:val="none"/>
        </w:rPr>
        <w:t>3.1.4设计负责人的资格要求：</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，须为投标人</w:t>
      </w:r>
      <w:r>
        <w:rPr>
          <w:rFonts w:hint="eastAsia" w:ascii="Times New Roman" w:hAnsi="Times New Roman"/>
          <w:bCs/>
          <w:color w:val="auto"/>
          <w:sz w:val="24"/>
          <w:highlight w:val="none"/>
        </w:rPr>
        <w:t>本单位人员</w:t>
      </w:r>
      <w:r>
        <w:rPr>
          <w:rFonts w:hint="eastAsia" w:ascii="Times New Roman" w:hAnsi="Times New Roman"/>
          <w:color w:val="auto"/>
          <w:sz w:val="24"/>
          <w:highlight w:val="none"/>
        </w:rPr>
        <w:t>。</w:t>
      </w:r>
    </w:p>
    <w:p>
      <w:pPr>
        <w:adjustRightInd w:val="0"/>
        <w:snapToGrid w:val="0"/>
        <w:spacing w:line="360" w:lineRule="auto"/>
        <w:ind w:firstLine="720" w:firstLineChars="300"/>
        <w:rPr>
          <w:rFonts w:hint="eastAsia" w:ascii="Times New Roman" w:hAnsi="Times New Roman"/>
          <w:color w:val="auto"/>
          <w:sz w:val="24"/>
          <w:highlight w:val="none"/>
        </w:rPr>
      </w:pPr>
      <w:r>
        <w:rPr>
          <w:rFonts w:hint="eastAsia" w:ascii="Times New Roman" w:hAnsi="Times New Roman"/>
          <w:color w:val="auto"/>
          <w:sz w:val="24"/>
          <w:highlight w:val="none"/>
        </w:rPr>
        <w:t>3.1.5施工负责人（建造师，下同）的资格要求：</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hint="eastAsia" w:ascii="Times New Roman" w:hAnsi="Times New Roman"/>
          <w:color w:val="auto"/>
          <w:sz w:val="24"/>
          <w:highlight w:val="none"/>
          <w:u w:val="single"/>
        </w:rPr>
        <w:t xml:space="preserve"> (注册专业)（级别）</w:t>
      </w:r>
      <w:r>
        <w:rPr>
          <w:rFonts w:hint="eastAsia" w:ascii="Times New Roman" w:hAnsi="Times New Roman"/>
          <w:color w:val="auto"/>
          <w:sz w:val="24"/>
          <w:highlight w:val="none"/>
        </w:rPr>
        <w:t>建造师，具有省级及以上住房城乡建设主管部门颁发的安全生产考核合格证（B证），须为投标人</w:t>
      </w:r>
      <w:r>
        <w:rPr>
          <w:rFonts w:hint="eastAsia" w:ascii="Times New Roman" w:hAnsi="Times New Roman"/>
          <w:bCs/>
          <w:color w:val="auto"/>
          <w:sz w:val="24"/>
          <w:highlight w:val="none"/>
        </w:rPr>
        <w:t>本单位人员</w:t>
      </w:r>
      <w:r>
        <w:rPr>
          <w:rFonts w:hint="eastAsia" w:ascii="Times New Roman" w:hAnsi="Times New Roman"/>
          <w:color w:val="auto"/>
          <w:sz w:val="24"/>
          <w:highlight w:val="none"/>
        </w:rPr>
        <w:t>。</w:t>
      </w:r>
    </w:p>
    <w:p>
      <w:pPr>
        <w:adjustRightInd w:val="0"/>
        <w:snapToGrid w:val="0"/>
        <w:spacing w:line="360" w:lineRule="auto"/>
        <w:ind w:firstLine="480"/>
        <w:rPr>
          <w:rFonts w:hint="eastAsia" w:ascii="Times New Roman" w:hAnsi="Times New Roman"/>
          <w:color w:val="auto"/>
          <w:sz w:val="24"/>
          <w:highlight w:val="none"/>
        </w:rPr>
      </w:pPr>
      <w:r>
        <w:rPr>
          <w:rFonts w:hint="eastAsia" w:ascii="Times New Roman" w:hAnsi="Times New Roman"/>
          <w:color w:val="auto"/>
          <w:sz w:val="24"/>
          <w:highlight w:val="none"/>
        </w:rPr>
        <w:t>3.2本次招标</w:t>
      </w:r>
      <w:r>
        <w:rPr>
          <w:rFonts w:hint="eastAsia" w:ascii="Times New Roman" w:hAnsi="Times New Roman"/>
          <w:bCs/>
          <w:color w:val="auto"/>
          <w:sz w:val="24"/>
          <w:highlight w:val="none"/>
        </w:rPr>
        <w:t>接受</w:t>
      </w:r>
      <w:r>
        <w:rPr>
          <w:rFonts w:hint="eastAsia" w:ascii="Times New Roman" w:hAnsi="Times New Roman"/>
          <w:color w:val="auto"/>
          <w:sz w:val="24"/>
          <w:highlight w:val="none"/>
        </w:rPr>
        <w:t>联合体投标。联合体投标的，联合体牵头人应为</w:t>
      </w:r>
      <w:r>
        <w:rPr>
          <w:rFonts w:hint="eastAsia" w:ascii="Times New Roman" w:hAnsi="Times New Roman"/>
          <w:color w:val="auto"/>
          <w:sz w:val="27"/>
          <w:szCs w:val="22"/>
          <w:highlight w:val="none"/>
        </w:rPr>
        <w:sym w:font="Wingdings 2" w:char="00A3"/>
      </w:r>
      <w:r>
        <w:rPr>
          <w:rFonts w:hint="eastAsia" w:ascii="Times New Roman" w:hAnsi="Times New Roman"/>
          <w:color w:val="auto"/>
          <w:sz w:val="24"/>
          <w:highlight w:val="none"/>
        </w:rPr>
        <w:t>设计单位</w:t>
      </w:r>
      <w:r>
        <w:rPr>
          <w:rFonts w:hint="eastAsia" w:ascii="Times New Roman" w:hAnsi="Times New Roman"/>
          <w:color w:val="auto"/>
          <w:sz w:val="27"/>
          <w:szCs w:val="22"/>
          <w:highlight w:val="none"/>
        </w:rPr>
        <w:sym w:font="Wingdings 2" w:char="00A3"/>
      </w:r>
      <w:r>
        <w:rPr>
          <w:rFonts w:hint="eastAsia" w:ascii="Times New Roman" w:hAnsi="Times New Roman"/>
          <w:color w:val="auto"/>
          <w:sz w:val="27"/>
          <w:szCs w:val="22"/>
          <w:highlight w:val="none"/>
        </w:rPr>
        <w:t>施工单位</w:t>
      </w:r>
      <w:r>
        <w:rPr>
          <w:rFonts w:hint="eastAsia" w:ascii="Times New Roman" w:hAnsi="Times New Roman"/>
          <w:color w:val="auto"/>
          <w:sz w:val="24"/>
          <w:highlight w:val="none"/>
        </w:rPr>
        <w:t>，同时满足下列要求：</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w:t>
      </w:r>
    </w:p>
    <w:p>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4. 招标文件的获取</w:t>
      </w:r>
    </w:p>
    <w:p>
      <w:pPr>
        <w:spacing w:line="360" w:lineRule="auto"/>
        <w:rPr>
          <w:rFonts w:ascii="Times New Roman" w:hAnsi="Times New Roman"/>
          <w:color w:val="auto"/>
          <w:sz w:val="24"/>
          <w:highlight w:val="none"/>
        </w:rPr>
      </w:pPr>
      <w:r>
        <w:rPr>
          <w:rFonts w:ascii="Times New Roman" w:hAnsi="Times New Roman"/>
          <w:color w:val="auto"/>
          <w:sz w:val="24"/>
          <w:highlight w:val="none"/>
        </w:rPr>
        <w:t xml:space="preserve"> </w:t>
      </w:r>
      <w:r>
        <w:rPr>
          <w:rFonts w:hint="eastAsia" w:ascii="Times New Roman" w:hAnsi="Times New Roman"/>
          <w:color w:val="auto"/>
          <w:sz w:val="24"/>
          <w:highlight w:val="none"/>
        </w:rPr>
        <w:t xml:space="preserve">   4.1 </w:t>
      </w:r>
      <w:r>
        <w:rPr>
          <w:rFonts w:hint="eastAsia" w:ascii="Times New Roman" w:hAnsi="Times New Roman" w:cs="宋体"/>
          <w:color w:val="auto"/>
          <w:sz w:val="24"/>
          <w:highlight w:val="none"/>
        </w:rPr>
        <w:t>凡有意参加投标者，请于</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开始登陆：□全国公共资源交易平台（四川省）（网址：http://ggzyjy.sc.gov.cn）—“登录”——“交易主体”—“建设工程”，通过数字证书免费下载招标资料（招标文件、技术资料等）。□全国公共资源交易平台（四川省·</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市（州））（网址：</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）—“登录”—“</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”，通过数字证书免费下载招标资料（招标文件、技术资料等）。</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4.2 招标人不提供招标文件获取的其他方式。</w:t>
      </w:r>
    </w:p>
    <w:p>
      <w:pPr>
        <w:pStyle w:val="3"/>
        <w:rPr>
          <w:rFonts w:hint="eastAsia" w:ascii="Times New Roman" w:hAnsi="Times New Roman" w:eastAsia="宋体"/>
          <w:bCs w:val="0"/>
          <w:color w:val="auto"/>
          <w:kern w:val="0"/>
          <w:sz w:val="24"/>
          <w:szCs w:val="24"/>
          <w:highlight w:val="none"/>
        </w:rPr>
      </w:pPr>
      <w:r>
        <w:rPr>
          <w:rFonts w:hint="eastAsia" w:ascii="Times New Roman" w:hAnsi="Times New Roman" w:eastAsia="宋体"/>
          <w:bCs w:val="0"/>
          <w:color w:val="auto"/>
          <w:kern w:val="0"/>
          <w:sz w:val="24"/>
          <w:szCs w:val="24"/>
          <w:highlight w:val="none"/>
        </w:rPr>
        <w:t>5. 投标文件的递交</w:t>
      </w:r>
    </w:p>
    <w:p>
      <w:pPr>
        <w:adjustRightInd w:val="0"/>
        <w:snapToGrid w:val="0"/>
        <w:spacing w:line="360" w:lineRule="auto"/>
        <w:ind w:firstLine="520" w:firstLineChars="217"/>
        <w:rPr>
          <w:rFonts w:hint="eastAsia" w:ascii="Times New Roman" w:hAnsi="Times New Roman"/>
          <w:color w:val="auto"/>
          <w:sz w:val="24"/>
          <w:highlight w:val="none"/>
        </w:rPr>
      </w:pPr>
      <w:r>
        <w:rPr>
          <w:rFonts w:hint="eastAsia" w:ascii="Times New Roman" w:hAnsi="Times New Roman"/>
          <w:color w:val="auto"/>
          <w:sz w:val="24"/>
          <w:highlight w:val="none"/>
        </w:rPr>
        <w:t>投标文件递交的截止时间（投标截止时间，下同）为</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日</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时</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分，投标人应在投标截止时间前在线递交经投标人数字证书加密的数据电文形式投标文件。</w:t>
      </w:r>
    </w:p>
    <w:p>
      <w:pPr>
        <w:adjustRightInd w:val="0"/>
        <w:snapToGrid w:val="0"/>
        <w:spacing w:line="360" w:lineRule="auto"/>
        <w:rPr>
          <w:rFonts w:hint="eastAsia" w:ascii="Times New Roman" w:hAnsi="Times New Roman"/>
          <w:b/>
          <w:color w:val="auto"/>
          <w:sz w:val="24"/>
          <w:highlight w:val="none"/>
        </w:rPr>
      </w:pPr>
      <w:r>
        <w:rPr>
          <w:rFonts w:hint="eastAsia" w:ascii="Times New Roman" w:hAnsi="Times New Roman"/>
          <w:b/>
          <w:color w:val="auto"/>
          <w:sz w:val="24"/>
          <w:highlight w:val="none"/>
        </w:rPr>
        <w:t>6</w:t>
      </w:r>
      <w:r>
        <w:rPr>
          <w:rFonts w:ascii="Times New Roman" w:hAnsi="Times New Roman"/>
          <w:b/>
          <w:color w:val="auto"/>
          <w:sz w:val="24"/>
          <w:highlight w:val="none"/>
        </w:rPr>
        <w:t>.</w:t>
      </w:r>
      <w:r>
        <w:rPr>
          <w:rFonts w:hint="eastAsia" w:ascii="Times New Roman" w:hAnsi="Times New Roman"/>
          <w:b/>
          <w:color w:val="auto"/>
          <w:sz w:val="24"/>
          <w:highlight w:val="none"/>
        </w:rPr>
        <w:t>确认</w:t>
      </w:r>
    </w:p>
    <w:p>
      <w:pPr>
        <w:adjustRightInd w:val="0"/>
        <w:snapToGrid w:val="0"/>
        <w:spacing w:line="360" w:lineRule="auto"/>
        <w:rPr>
          <w:rFonts w:hint="eastAsia" w:ascii="Times New Roman" w:hAnsi="Times New Roman"/>
          <w:color w:val="auto"/>
          <w:sz w:val="24"/>
          <w:highlight w:val="none"/>
        </w:rPr>
      </w:pPr>
      <w:r>
        <w:rPr>
          <w:color w:val="auto"/>
          <w:sz w:val="24"/>
          <w:highlight w:val="none"/>
        </w:rPr>
        <w:t xml:space="preserve">    </w:t>
      </w:r>
      <w:r>
        <w:rPr>
          <w:rFonts w:hint="eastAsia" w:ascii="Times New Roman" w:hAnsi="Times New Roman"/>
          <w:color w:val="auto"/>
          <w:sz w:val="24"/>
          <w:highlight w:val="none"/>
        </w:rPr>
        <w:t>你单位收到本邀请书后，请于</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日</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时前，以书面形式确认是否参加投标。在本邀请书规定的时间内未表示是否参加投标或明确表示不参加投标的，不得再参加投标。</w:t>
      </w:r>
    </w:p>
    <w:p>
      <w:pPr>
        <w:adjustRightInd w:val="0"/>
        <w:snapToGrid w:val="0"/>
        <w:spacing w:line="360" w:lineRule="auto"/>
        <w:rPr>
          <w:rFonts w:hint="eastAsia" w:ascii="Times New Roman" w:hAnsi="Times New Roman"/>
          <w:b/>
          <w:color w:val="auto"/>
          <w:kern w:val="0"/>
          <w:sz w:val="24"/>
          <w:highlight w:val="none"/>
        </w:rPr>
      </w:pPr>
    </w:p>
    <w:p>
      <w:pPr>
        <w:adjustRightInd w:val="0"/>
        <w:snapToGrid w:val="0"/>
        <w:spacing w:line="360" w:lineRule="auto"/>
        <w:rPr>
          <w:rFonts w:hint="eastAsia" w:ascii="Times New Roman" w:hAnsi="Times New Roman"/>
          <w:b/>
          <w:color w:val="auto"/>
          <w:kern w:val="0"/>
          <w:sz w:val="24"/>
          <w:highlight w:val="none"/>
        </w:rPr>
      </w:pPr>
      <w:r>
        <w:rPr>
          <w:rFonts w:hint="eastAsia" w:ascii="Times New Roman" w:hAnsi="Times New Roman"/>
          <w:b/>
          <w:color w:val="auto"/>
          <w:kern w:val="0"/>
          <w:sz w:val="24"/>
          <w:highlight w:val="none"/>
        </w:rPr>
        <w:t>7. 联系方式</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招 标 人：</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地    址：</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邮    编：</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联 系 人：</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    话：</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传    真：</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电子邮件：</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网    址：</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开户银行：</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账    号：</w:t>
      </w:r>
      <w:r>
        <w:rPr>
          <w:rFonts w:hint="eastAsia" w:ascii="Times New Roman" w:hAnsi="Times New Roman"/>
          <w:b/>
          <w:color w:val="auto"/>
          <w:sz w:val="24"/>
          <w:highlight w:val="none"/>
          <w:u w:val="single"/>
        </w:rPr>
        <w:t xml:space="preserve">         </w:t>
      </w:r>
    </w:p>
    <w:p>
      <w:pPr>
        <w:adjustRightInd w:val="0"/>
        <w:snapToGrid w:val="0"/>
        <w:spacing w:line="360" w:lineRule="auto"/>
        <w:rPr>
          <w:rFonts w:hint="eastAsia" w:ascii="Times New Roman" w:hAnsi="Times New Roman"/>
          <w:color w:val="auto"/>
          <w:sz w:val="24"/>
          <w:highlight w:val="none"/>
        </w:rPr>
      </w:pPr>
    </w:p>
    <w:p>
      <w:pPr>
        <w:adjustRightInd w:val="0"/>
        <w:snapToGrid w:val="0"/>
        <w:spacing w:line="360" w:lineRule="auto"/>
        <w:rPr>
          <w:rFonts w:hint="eastAsia" w:ascii="Times New Roman" w:hAnsi="Times New Roman"/>
          <w:color w:val="auto"/>
          <w:sz w:val="24"/>
          <w:highlight w:val="none"/>
        </w:rPr>
      </w:pPr>
      <w:r>
        <w:rPr>
          <w:rFonts w:hint="eastAsia" w:ascii="Times New Roman" w:hAnsi="Times New Roman"/>
          <w:color w:val="auto"/>
          <w:sz w:val="27"/>
          <w:highlight w:val="none"/>
        </w:rPr>
        <w:t xml:space="preserve">□ </w:t>
      </w:r>
      <w:r>
        <w:rPr>
          <w:rFonts w:hint="eastAsia" w:ascii="Times New Roman" w:hAnsi="Times New Roman"/>
          <w:color w:val="auto"/>
          <w:sz w:val="24"/>
          <w:highlight w:val="none"/>
        </w:rPr>
        <w:t>招标代理机构：</w:t>
      </w:r>
      <w:r>
        <w:rPr>
          <w:rFonts w:hint="eastAsia" w:ascii="Times New Roman" w:hAnsi="Times New Roman"/>
          <w:b/>
          <w:color w:val="auto"/>
          <w:sz w:val="24"/>
          <w:highlight w:val="none"/>
          <w:u w:val="single"/>
        </w:rPr>
        <w:t xml:space="preserve">    /     </w:t>
      </w:r>
    </w:p>
    <w:p>
      <w:pPr>
        <w:adjustRightInd w:val="0"/>
        <w:snapToGrid w:val="0"/>
        <w:spacing w:line="360" w:lineRule="auto"/>
        <w:jc w:val="center"/>
        <w:rPr>
          <w:rFonts w:hint="eastAsia" w:ascii="Times New Roman" w:hAnsi="Times New Roman"/>
          <w:color w:val="auto"/>
          <w:sz w:val="24"/>
          <w:highlight w:val="none"/>
        </w:rPr>
      </w:pPr>
    </w:p>
    <w:p>
      <w:pPr>
        <w:adjustRightInd w:val="0"/>
        <w:snapToGrid w:val="0"/>
        <w:spacing w:line="360" w:lineRule="auto"/>
        <w:rPr>
          <w:rFonts w:hint="eastAsia" w:ascii="Times New Roman" w:hAnsi="Times New Roman"/>
          <w:color w:val="auto"/>
          <w:sz w:val="24"/>
          <w:highlight w:val="none"/>
        </w:rPr>
      </w:pPr>
      <w:r>
        <w:rPr>
          <w:rFonts w:hint="eastAsia" w:ascii="Times New Roman" w:hAnsi="Times New Roman"/>
          <w:color w:val="auto"/>
          <w:sz w:val="27"/>
          <w:highlight w:val="none"/>
        </w:rPr>
        <w:t xml:space="preserve">□ </w:t>
      </w:r>
      <w:r>
        <w:rPr>
          <w:rFonts w:hint="eastAsia" w:ascii="Times New Roman" w:hAnsi="Times New Roman"/>
          <w:color w:val="auto"/>
          <w:sz w:val="24"/>
          <w:highlight w:val="none"/>
        </w:rPr>
        <w:t>招标代理机构：</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地    址：</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邮    编：</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联 系 人：</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    话：</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传    真：</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电子邮件：</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网    址：</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开户银行：</w:t>
      </w:r>
      <w:r>
        <w:rPr>
          <w:rFonts w:hint="eastAsia" w:ascii="Times New Roman" w:hAnsi="Times New Roman"/>
          <w:b/>
          <w:color w:val="auto"/>
          <w:sz w:val="24"/>
          <w:highlight w:val="none"/>
          <w:u w:val="single"/>
        </w:rPr>
        <w:t xml:space="preserve">         </w:t>
      </w:r>
    </w:p>
    <w:p>
      <w:pPr>
        <w:adjustRightInd w:val="0"/>
        <w:snapToGrid w:val="0"/>
        <w:spacing w:line="360" w:lineRule="auto"/>
        <w:ind w:firstLine="240" w:firstLineChars="100"/>
        <w:rPr>
          <w:rFonts w:hint="eastAsia" w:ascii="Times New Roman" w:hAnsi="Times New Roman"/>
          <w:color w:val="auto"/>
          <w:sz w:val="24"/>
          <w:highlight w:val="none"/>
        </w:rPr>
      </w:pPr>
      <w:r>
        <w:rPr>
          <w:rFonts w:hint="eastAsia" w:ascii="Times New Roman" w:hAnsi="Times New Roman"/>
          <w:color w:val="auto"/>
          <w:sz w:val="24"/>
          <w:highlight w:val="none"/>
        </w:rPr>
        <w:t>账    号：</w:t>
      </w:r>
      <w:r>
        <w:rPr>
          <w:rFonts w:hint="eastAsia" w:ascii="Times New Roman" w:hAnsi="Times New Roman"/>
          <w:b/>
          <w:color w:val="auto"/>
          <w:sz w:val="24"/>
          <w:highlight w:val="none"/>
          <w:u w:val="single"/>
        </w:rPr>
        <w:t xml:space="preserve">         </w:t>
      </w:r>
    </w:p>
    <w:p>
      <w:pPr>
        <w:adjustRightInd w:val="0"/>
        <w:snapToGrid w:val="0"/>
        <w:spacing w:line="360" w:lineRule="auto"/>
        <w:jc w:val="center"/>
        <w:rPr>
          <w:rFonts w:hint="eastAsia" w:ascii="Times New Roman" w:hAnsi="Times New Roman"/>
          <w:color w:val="auto"/>
          <w:sz w:val="24"/>
          <w:highlight w:val="none"/>
        </w:rPr>
      </w:pPr>
      <w:r>
        <w:rPr>
          <w:rFonts w:hint="eastAsia" w:ascii="Times New Roman" w:hAnsi="Times New Roman"/>
          <w:b/>
          <w:color w:val="auto"/>
          <w:sz w:val="24"/>
          <w:highlight w:val="none"/>
        </w:rPr>
        <w:t xml:space="preserve">                                      </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b/>
          <w:color w:val="auto"/>
          <w:sz w:val="24"/>
          <w:highlight w:val="none"/>
          <w:u w:val="single"/>
        </w:rPr>
        <w:t xml:space="preserve">   </w:t>
      </w:r>
      <w:r>
        <w:rPr>
          <w:rFonts w:hint="eastAsia" w:ascii="Times New Roman" w:hAnsi="Times New Roman"/>
          <w:color w:val="auto"/>
          <w:sz w:val="24"/>
          <w:highlight w:val="none"/>
        </w:rPr>
        <w:t>日</w:t>
      </w:r>
    </w:p>
    <w:p>
      <w:pPr>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注：</w:t>
      </w:r>
    </w:p>
    <w:p>
      <w:pPr>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（1）若</w:t>
      </w:r>
      <w:r>
        <w:rPr>
          <w:rFonts w:ascii="Times New Roman" w:hAnsi="Times New Roman" w:cs="宋体"/>
          <w:color w:val="auto"/>
          <w:sz w:val="24"/>
          <w:highlight w:val="none"/>
        </w:rPr>
        <w:t>划分标段，则填写标段序号；</w:t>
      </w:r>
      <w:r>
        <w:rPr>
          <w:rFonts w:hint="eastAsia" w:ascii="Times New Roman" w:hAnsi="Times New Roman" w:cs="宋体"/>
          <w:color w:val="auto"/>
          <w:sz w:val="24"/>
          <w:highlight w:val="none"/>
        </w:rPr>
        <w:t>若</w:t>
      </w:r>
      <w:r>
        <w:rPr>
          <w:rFonts w:ascii="Times New Roman" w:hAnsi="Times New Roman" w:cs="宋体"/>
          <w:color w:val="auto"/>
          <w:sz w:val="24"/>
          <w:highlight w:val="none"/>
        </w:rPr>
        <w:t>划分为两个及以上标段，应分别明确各标段的具体内容、划分情况。</w:t>
      </w:r>
    </w:p>
    <w:p>
      <w:pPr>
        <w:spacing w:line="360" w:lineRule="auto"/>
        <w:ind w:firstLine="480" w:firstLineChars="200"/>
        <w:rPr>
          <w:rFonts w:hint="eastAsia" w:ascii="Times New Roman" w:hAnsi="Times New Roman" w:cs="宋体"/>
          <w:color w:val="auto"/>
          <w:sz w:val="24"/>
          <w:highlight w:val="none"/>
        </w:rPr>
      </w:pPr>
      <w:r>
        <w:rPr>
          <w:rFonts w:ascii="Times New Roman" w:hAnsi="Times New Roman" w:cs="宋体"/>
          <w:color w:val="auto"/>
          <w:sz w:val="24"/>
          <w:highlight w:val="none"/>
        </w:rPr>
        <w:t>（</w:t>
      </w:r>
      <w:r>
        <w:rPr>
          <w:rFonts w:hint="eastAsia" w:ascii="Times New Roman" w:hAnsi="Times New Roman" w:cs="宋体"/>
          <w:color w:val="auto"/>
          <w:sz w:val="24"/>
          <w:highlight w:val="none"/>
        </w:rPr>
        <w:t>2</w:t>
      </w:r>
      <w:r>
        <w:rPr>
          <w:rFonts w:ascii="Times New Roman" w:hAnsi="Times New Roman" w:cs="宋体"/>
          <w:color w:val="auto"/>
          <w:sz w:val="24"/>
          <w:highlight w:val="none"/>
        </w:rPr>
        <w:t>）招标人对投标人的资质要求，应是国家对投标人资质的强制性规定。不是国家规定必须具备的资质，不得作为</w:t>
      </w:r>
      <w:r>
        <w:rPr>
          <w:rFonts w:hint="eastAsia" w:ascii="Times New Roman" w:hAnsi="Times New Roman" w:cs="宋体"/>
          <w:color w:val="auto"/>
          <w:sz w:val="24"/>
          <w:highlight w:val="none"/>
        </w:rPr>
        <w:t>资质要求。</w:t>
      </w:r>
    </w:p>
    <w:p>
      <w:pPr>
        <w:spacing w:line="360" w:lineRule="auto"/>
        <w:ind w:firstLine="480" w:firstLineChars="200"/>
        <w:rPr>
          <w:rFonts w:ascii="Times New Roman" w:hAnsi="Times New Roman" w:cs="宋体"/>
          <w:color w:val="auto"/>
          <w:sz w:val="24"/>
          <w:highlight w:val="none"/>
        </w:rPr>
      </w:pPr>
      <w:r>
        <w:rPr>
          <w:rFonts w:ascii="Times New Roman" w:hAnsi="Times New Roman" w:cs="宋体"/>
          <w:color w:val="auto"/>
          <w:sz w:val="24"/>
          <w:highlight w:val="none"/>
        </w:rPr>
        <w:t>（</w:t>
      </w:r>
      <w:r>
        <w:rPr>
          <w:rFonts w:hint="eastAsia" w:ascii="Times New Roman" w:hAnsi="Times New Roman" w:cs="宋体"/>
          <w:color w:val="auto"/>
          <w:sz w:val="24"/>
          <w:highlight w:val="none"/>
        </w:rPr>
        <w:t>3</w:t>
      </w:r>
      <w:r>
        <w:rPr>
          <w:rFonts w:ascii="Times New Roman" w:hAnsi="Times New Roman" w:cs="宋体"/>
          <w:color w:val="auto"/>
          <w:sz w:val="24"/>
          <w:highlight w:val="none"/>
        </w:rPr>
        <w:t>）招标人对投标人的</w:t>
      </w:r>
      <w:r>
        <w:rPr>
          <w:rFonts w:hint="eastAsia" w:ascii="Times New Roman" w:hAnsi="Times New Roman" w:cs="宋体"/>
          <w:color w:val="auto"/>
          <w:sz w:val="24"/>
          <w:highlight w:val="none"/>
        </w:rPr>
        <w:t>类似项目业绩</w:t>
      </w:r>
      <w:r>
        <w:rPr>
          <w:rFonts w:ascii="Times New Roman" w:hAnsi="Times New Roman" w:cs="宋体"/>
          <w:color w:val="auto"/>
          <w:sz w:val="24"/>
          <w:highlight w:val="none"/>
        </w:rPr>
        <w:t>要求</w:t>
      </w:r>
      <w:r>
        <w:rPr>
          <w:rFonts w:hint="eastAsia" w:ascii="Times New Roman" w:hAnsi="Times New Roman" w:cs="宋体"/>
          <w:color w:val="auto"/>
          <w:sz w:val="24"/>
          <w:highlight w:val="none"/>
        </w:rPr>
        <w:t>，设置的投资额、面积、长度等规模量化指标不得高于本次招标工程相应指标，</w:t>
      </w:r>
      <w:r>
        <w:rPr>
          <w:rFonts w:ascii="Times New Roman" w:hAnsi="Times New Roman" w:cs="宋体"/>
          <w:color w:val="auto"/>
          <w:sz w:val="24"/>
          <w:highlight w:val="none"/>
        </w:rPr>
        <w:t>类似项目业绩的定义应明确，用语准确无歧义。</w:t>
      </w:r>
    </w:p>
    <w:p>
      <w:pPr>
        <w:spacing w:line="360" w:lineRule="auto"/>
        <w:ind w:firstLine="480" w:firstLineChars="200"/>
        <w:rPr>
          <w:rFonts w:hint="eastAsia" w:ascii="Times New Roman" w:hAnsi="Times New Roman" w:cs="宋体"/>
          <w:color w:val="auto"/>
          <w:sz w:val="24"/>
          <w:highlight w:val="none"/>
        </w:rPr>
      </w:pPr>
      <w:bookmarkStart w:id="58" w:name="_Toc300834946"/>
      <w:r>
        <w:rPr>
          <w:rFonts w:hint="eastAsia" w:ascii="Times New Roman" w:hAnsi="Times New Roman" w:cs="宋体"/>
          <w:color w:val="auto"/>
          <w:sz w:val="24"/>
          <w:highlight w:val="none"/>
        </w:rPr>
        <w:t>（4）招标人限定的联合体成员数量不得少于设定的资质个数。</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br w:type="page"/>
      </w:r>
      <w:r>
        <w:rPr>
          <w:rFonts w:hint="eastAsia" w:ascii="Times New Roman" w:hAnsi="Times New Roman" w:cs="宋体"/>
          <w:color w:val="auto"/>
          <w:sz w:val="24"/>
          <w:highlight w:val="none"/>
        </w:rPr>
        <w:t>附件：确认通知</w:t>
      </w:r>
      <w:bookmarkEnd w:id="58"/>
    </w:p>
    <w:p>
      <w:pPr>
        <w:spacing w:line="360" w:lineRule="auto"/>
        <w:rPr>
          <w:rFonts w:hint="eastAsia" w:ascii="Times New Roman" w:hAnsi="Times New Roman" w:cs="宋体"/>
          <w:color w:val="auto"/>
          <w:sz w:val="24"/>
          <w:highlight w:val="none"/>
        </w:rPr>
      </w:pPr>
    </w:p>
    <w:p>
      <w:pPr>
        <w:spacing w:line="360" w:lineRule="auto"/>
        <w:jc w:val="center"/>
        <w:rPr>
          <w:rFonts w:hint="eastAsia" w:ascii="Times New Roman" w:hAnsi="Times New Roman" w:cs="宋体"/>
          <w:color w:val="auto"/>
          <w:sz w:val="24"/>
          <w:highlight w:val="none"/>
        </w:rPr>
      </w:pPr>
      <w:r>
        <w:rPr>
          <w:rFonts w:hint="eastAsia" w:ascii="Times New Roman" w:hAnsi="Times New Roman" w:cs="宋体"/>
          <w:b/>
          <w:bCs/>
          <w:color w:val="auto"/>
          <w:sz w:val="28"/>
          <w:szCs w:val="28"/>
          <w:highlight w:val="none"/>
        </w:rPr>
        <w:t>确认通知</w:t>
      </w:r>
    </w:p>
    <w:p>
      <w:pPr>
        <w:spacing w:line="360" w:lineRule="auto"/>
        <w:rPr>
          <w:rFonts w:hint="eastAsia" w:ascii="Times New Roman" w:hAnsi="Times New Roman" w:cs="宋体"/>
          <w:color w:val="auto"/>
          <w:sz w:val="24"/>
          <w:highlight w:val="none"/>
        </w:rPr>
      </w:pP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（招标人名称）：</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w:t>
      </w:r>
    </w:p>
    <w:p>
      <w:pPr>
        <w:spacing w:line="360" w:lineRule="auto"/>
        <w:ind w:firstLine="960" w:firstLineChars="4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我方已于</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日收到你方</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日发出的</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（项目名称）</w:t>
      </w:r>
      <w:r>
        <w:rPr>
          <w:rFonts w:hint="eastAsia" w:ascii="Times New Roman" w:hAnsi="Times New Roman"/>
          <w:color w:val="auto"/>
          <w:sz w:val="24"/>
          <w:highlight w:val="none"/>
        </w:rPr>
        <w:t>设计施工总承包</w:t>
      </w:r>
      <w:r>
        <w:rPr>
          <w:rFonts w:hint="eastAsia" w:ascii="Times New Roman" w:hAnsi="Times New Roman"/>
          <w:b/>
          <w:color w:val="auto"/>
          <w:sz w:val="24"/>
          <w:highlight w:val="none"/>
          <w:u w:val="single"/>
        </w:rPr>
        <w:t xml:space="preserve">     </w:t>
      </w:r>
      <w:r>
        <w:rPr>
          <w:rFonts w:hint="eastAsia" w:ascii="Times New Roman" w:hAnsi="Times New Roman" w:cs="宋体"/>
          <w:color w:val="auto"/>
          <w:sz w:val="24"/>
          <w:highlight w:val="none"/>
        </w:rPr>
        <w:t>标段招标的投标邀请书，并确认</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（参加/不参加）投标。</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特此确认。</w:t>
      </w: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                                         被邀请单位名称：</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（盖单位章）</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                                         法定代表人：</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签   字）</w:t>
      </w: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日 </w:t>
      </w: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p>
    <w:p>
      <w:pPr>
        <w:pStyle w:val="2"/>
        <w:jc w:val="center"/>
        <w:rPr>
          <w:rFonts w:hint="eastAsia" w:ascii="Times New Roman" w:hAnsi="Times New Roman" w:cs="宋体"/>
          <w:bCs w:val="0"/>
          <w:color w:val="auto"/>
          <w:sz w:val="32"/>
          <w:szCs w:val="32"/>
          <w:highlight w:val="none"/>
        </w:rPr>
        <w:sectPr>
          <w:footerReference r:id="rId6" w:type="default"/>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bookmarkStart w:id="59" w:name="_Toc144974495"/>
      <w:bookmarkStart w:id="60" w:name="_Toc300834947"/>
      <w:bookmarkStart w:id="61" w:name="_Toc152042303"/>
      <w:bookmarkStart w:id="62" w:name="_Toc247527551"/>
      <w:bookmarkStart w:id="63" w:name="_Toc247513950"/>
      <w:bookmarkStart w:id="64" w:name="_Toc152045527"/>
    </w:p>
    <w:p>
      <w:pPr>
        <w:pStyle w:val="2"/>
        <w:jc w:val="center"/>
        <w:rPr>
          <w:color w:val="auto"/>
          <w:highlight w:val="none"/>
        </w:rPr>
      </w:pPr>
      <w:r>
        <w:rPr>
          <w:rFonts w:hint="eastAsia" w:ascii="Times New Roman" w:hAnsi="Times New Roman" w:cs="宋体"/>
          <w:bCs w:val="0"/>
          <w:color w:val="auto"/>
          <w:sz w:val="32"/>
          <w:szCs w:val="32"/>
          <w:highlight w:val="none"/>
        </w:rPr>
        <w:t>第二章 投标人须知</w:t>
      </w:r>
      <w:bookmarkEnd w:id="59"/>
      <w:bookmarkEnd w:id="60"/>
      <w:bookmarkEnd w:id="61"/>
      <w:bookmarkEnd w:id="62"/>
      <w:bookmarkEnd w:id="63"/>
      <w:bookmarkEnd w:id="64"/>
    </w:p>
    <w:p>
      <w:pPr>
        <w:pStyle w:val="2"/>
        <w:widowControl/>
        <w:adjustRightInd w:val="0"/>
        <w:snapToGrid w:val="0"/>
        <w:spacing w:line="360" w:lineRule="auto"/>
        <w:jc w:val="center"/>
        <w:rPr>
          <w:color w:val="auto"/>
          <w:highlight w:val="none"/>
        </w:rPr>
      </w:pPr>
      <w:bookmarkStart w:id="65" w:name="_Toc300834948"/>
      <w:bookmarkStart w:id="66" w:name="_Toc152045528"/>
      <w:bookmarkStart w:id="67" w:name="_Toc247527552"/>
      <w:bookmarkStart w:id="68" w:name="_Toc152042304"/>
      <w:bookmarkStart w:id="69" w:name="_Toc247513951"/>
      <w:bookmarkStart w:id="70" w:name="_Toc144974496"/>
      <w:r>
        <w:rPr>
          <w:rFonts w:hint="eastAsia" w:ascii="Times New Roman" w:hAnsi="Times New Roman"/>
          <w:bCs w:val="0"/>
          <w:color w:val="auto"/>
          <w:sz w:val="28"/>
          <w:szCs w:val="28"/>
          <w:highlight w:val="none"/>
        </w:rPr>
        <w:t>投标人须知前附表</w:t>
      </w:r>
      <w:bookmarkEnd w:id="65"/>
      <w:bookmarkEnd w:id="66"/>
      <w:bookmarkEnd w:id="67"/>
      <w:bookmarkEnd w:id="68"/>
      <w:bookmarkEnd w:id="69"/>
      <w:bookmarkEnd w:id="70"/>
    </w:p>
    <w:tbl>
      <w:tblPr>
        <w:tblStyle w:val="20"/>
        <w:tblW w:w="9854" w:type="dxa"/>
        <w:tblInd w:w="0" w:type="dxa"/>
        <w:tblLayout w:type="fixed"/>
        <w:tblCellMar>
          <w:top w:w="0" w:type="dxa"/>
          <w:left w:w="108" w:type="dxa"/>
          <w:bottom w:w="0" w:type="dxa"/>
          <w:right w:w="108" w:type="dxa"/>
        </w:tblCellMar>
      </w:tblPr>
      <w:tblGrid>
        <w:gridCol w:w="1165"/>
        <w:gridCol w:w="2252"/>
        <w:gridCol w:w="6437"/>
      </w:tblGrid>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条款号</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条  款  名  称</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编  列  内  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1.1.</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招标人</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名  称：</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 xml:space="preserve"> ；</w:t>
            </w:r>
          </w:p>
          <w:p>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地  址：</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w:t>
            </w:r>
          </w:p>
          <w:p>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联系人：</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w:t>
            </w:r>
          </w:p>
          <w:p>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电  话：</w:t>
            </w: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1.1.</w:t>
            </w:r>
            <w:r>
              <w:rPr>
                <w:rFonts w:hint="eastAsia" w:ascii="Times New Roman" w:hAnsi="Times New Roman" w:cs="宋体"/>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招标代理机构</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color w:val="auto"/>
                <w:sz w:val="27"/>
                <w:highlight w:val="none"/>
              </w:rPr>
            </w:pPr>
            <w:r>
              <w:rPr>
                <w:rFonts w:hint="eastAsia" w:ascii="Times New Roman" w:hAnsi="Times New Roman"/>
                <w:color w:val="auto"/>
                <w:sz w:val="27"/>
                <w:highlight w:val="none"/>
              </w:rPr>
              <w:t>□</w:t>
            </w:r>
            <w:r>
              <w:rPr>
                <w:rFonts w:hint="eastAsia" w:ascii="Times New Roman" w:hAnsi="Times New Roman" w:cs="宋体"/>
                <w:bCs/>
                <w:color w:val="auto"/>
                <w:sz w:val="24"/>
                <w:highlight w:val="none"/>
                <w:u w:val="single"/>
              </w:rPr>
              <w:t xml:space="preserve">        /           </w:t>
            </w:r>
            <w:r>
              <w:rPr>
                <w:rFonts w:hint="eastAsia" w:ascii="Times New Roman" w:hAnsi="Times New Roman" w:cs="宋体"/>
                <w:color w:val="auto"/>
                <w:sz w:val="24"/>
                <w:highlight w:val="none"/>
              </w:rPr>
              <w:t>。</w:t>
            </w:r>
          </w:p>
          <w:p>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olor w:val="auto"/>
                <w:sz w:val="27"/>
                <w:highlight w:val="none"/>
              </w:rPr>
              <w:t>□</w:t>
            </w:r>
            <w:r>
              <w:rPr>
                <w:rFonts w:hint="eastAsia" w:ascii="Times New Roman" w:hAnsi="Times New Roman" w:cs="宋体"/>
                <w:color w:val="auto"/>
                <w:sz w:val="24"/>
                <w:highlight w:val="none"/>
              </w:rPr>
              <w:t>名  称：</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w:t>
            </w:r>
          </w:p>
          <w:p>
            <w:pPr>
              <w:adjustRightInd w:val="0"/>
              <w:snapToGrid w:val="0"/>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地  址：</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w:t>
            </w:r>
          </w:p>
          <w:p>
            <w:pPr>
              <w:adjustRightInd w:val="0"/>
              <w:snapToGrid w:val="0"/>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联系人：</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w:t>
            </w:r>
          </w:p>
          <w:p>
            <w:pPr>
              <w:adjustRightInd w:val="0"/>
              <w:snapToGrid w:val="0"/>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电  话：</w:t>
            </w: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1.1.</w:t>
            </w:r>
            <w:r>
              <w:rPr>
                <w:rFonts w:hint="eastAsia" w:ascii="Times New Roman" w:hAnsi="Times New Roman" w:cs="宋体"/>
                <w:color w:val="auto"/>
                <w:sz w:val="24"/>
                <w:highlight w:val="none"/>
                <w:lang w:val="en-US" w:eastAsia="zh-CN"/>
              </w:rPr>
              <w:t>3</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项目名称</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(项目名称）</w:t>
            </w:r>
            <w:r>
              <w:rPr>
                <w:rFonts w:hint="eastAsia" w:ascii="Times New Roman" w:hAnsi="Times New Roman"/>
                <w:color w:val="auto"/>
                <w:sz w:val="24"/>
                <w:highlight w:val="none"/>
              </w:rPr>
              <w:t>设计施工总承包</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标段</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1.1.</w:t>
            </w:r>
            <w:r>
              <w:rPr>
                <w:rFonts w:hint="eastAsia" w:ascii="Times New Roman" w:hAnsi="Times New Roman" w:cs="宋体"/>
                <w:color w:val="auto"/>
                <w:sz w:val="24"/>
                <w:highlight w:val="none"/>
                <w:lang w:val="en-US" w:eastAsia="zh-CN"/>
              </w:rPr>
              <w:t>4</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建设地点</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1.2.1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资金来源及比例</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1.2.2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资金落实情况</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1.3.1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招标范围</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1.3.2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计划工期</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1.3.3</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质量标准</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设计要求的质量标准：</w:t>
            </w: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p>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施工要求的质量标准：</w:t>
            </w:r>
            <w:r>
              <w:rPr>
                <w:rFonts w:hint="eastAsia" w:ascii="Times New Roman" w:hAnsi="Times New Roman" w:cs="宋体"/>
                <w:bCs/>
                <w:color w:val="auto"/>
                <w:sz w:val="24"/>
                <w:highlight w:val="none"/>
                <w:u w:val="single"/>
              </w:rPr>
              <w:t xml:space="preserve">                   </w:t>
            </w:r>
            <w:r>
              <w:rPr>
                <w:rFonts w:hint="eastAsia" w:ascii="Times New Roman" w:hAnsi="Times New Roman" w:cs="宋体"/>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1.4.1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投标人资质条件、能力和信誉</w:t>
            </w:r>
          </w:p>
          <w:p>
            <w:pPr>
              <w:spacing w:line="440" w:lineRule="exact"/>
              <w:rPr>
                <w:rFonts w:hint="eastAsia" w:ascii="Times New Roman" w:hAnsi="Times New Roman" w:cs="宋体"/>
                <w:color w:val="auto"/>
                <w:sz w:val="24"/>
                <w:highlight w:val="none"/>
              </w:rPr>
            </w:pP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（1）资质条件：同招标公告或投标邀请书；</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（2）财务要求：</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rPr>
              <w:t>近</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年（限定在3年以内）无亏损；</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rPr>
              <w:t>无财务要求；</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（3）设计业绩要求：同招标公告或投标邀请书；</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（4）施工业绩要求：同招标公告或投标邀请书；</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（5）信誉要求：不存在投标人须知第1.4.3项规定</w:t>
            </w:r>
            <w:del w:id="0" w:author="user" w:date="2025-06-30T11:12:33Z">
              <w:r>
                <w:rPr>
                  <w:rFonts w:hint="eastAsia" w:ascii="Times New Roman" w:hAnsi="Times New Roman" w:cs="宋体"/>
                  <w:color w:val="auto"/>
                  <w:sz w:val="24"/>
                  <w:highlight w:val="none"/>
                </w:rPr>
                <w:delText>的的</w:delText>
              </w:r>
            </w:del>
            <w:ins w:id="1" w:author="user" w:date="2025-06-30T11:12:33Z">
              <w:r>
                <w:rPr>
                  <w:rFonts w:hint="eastAsia" w:cs="宋体"/>
                  <w:color w:val="auto"/>
                  <w:sz w:val="24"/>
                  <w:highlight w:val="none"/>
                  <w:lang w:eastAsia="zh-CN"/>
                </w:rPr>
                <w:t>的</w:t>
              </w:r>
            </w:ins>
            <w:r>
              <w:rPr>
                <w:rFonts w:hint="eastAsia" w:ascii="Times New Roman" w:hAnsi="Times New Roman" w:cs="宋体"/>
                <w:color w:val="auto"/>
                <w:sz w:val="24"/>
                <w:highlight w:val="none"/>
              </w:rPr>
              <w:t>限制投标的情形</w:t>
            </w:r>
            <w:r>
              <w:rPr>
                <w:rFonts w:hint="eastAsia" w:ascii="Times New Roman" w:hAnsi="Times New Roman"/>
                <w:color w:val="auto"/>
                <w:sz w:val="24"/>
                <w:highlight w:val="none"/>
              </w:rPr>
              <w:t>；</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（6）项目经理的资格要求：同招标公告或投标邀请书；</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（7）设计负责人的资格要求：同招标公告或投标邀请书；</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（8）施工负责人的资格要求：同招标公告或投标邀请书；</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（9）具备有效的安全生产许可证（园林绿化、电梯安装等不实行安全生产许可的除外）；</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（10）其他要求（多项选择）：</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rPr>
              <w:t>企业注册地不在四川省行政区域内的省外企业须提供在有效期内的四川省住房和城乡建设厅官网已公开的入川信息网页截图。</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p>
            <w:pPr>
              <w:spacing w:line="360" w:lineRule="auto"/>
              <w:ind w:firstLine="480" w:firstLineChars="200"/>
              <w:rPr>
                <w:rFonts w:hint="eastAsia" w:ascii="Times New Roman" w:hAnsi="Times New Roman" w:cs="宋体"/>
                <w:color w:val="auto"/>
                <w:sz w:val="24"/>
                <w:highlight w:val="none"/>
              </w:rPr>
            </w:pP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注：</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（1）招标人在“投标人资质条件、能力和信誉”要求中，除 1.4.1 已列入的外，招标人不得脱离招标项目的具体特点和实际需要，随意和盲目地设定投标人要求，不得设定与招标项目具体特点和实际需要不相适应的资质资格、技术、商务条件或者业绩、奖项要求，不得设定企业股东背景、年平均承接项目数量或者金额、从业人员、纳税额、营业场所面积等规模条件，不得设定超过项目实际需要的企业注册资本、资产总额、净资产规模、营业收入、利润、授信额度等财务指标，不得设定与招标项目实际需要不相适应或者与合同履行无关的资质、人员资格等，不得设定特定行政区域或者特定行业的业绩、奖项，不得设定投标人在本地注册设立子公司、分公司、分支机构，在本地拥有一定办公面积，在本地缴纳社会保险等，不得限定或者指定特定的专利、商标、品牌、原产地或者供应商，不得限定潜在投标人或者投标人所有制形式或者组织形式，不得设定国家已经明令取消的资质资格、非国家法定的资格，不得设定政府部门、行业协会商会或者其他机构对投标人作出的荣誉奖励和慈善公益证明等，不得设定国家职业资格目录中准入类职业资格以外的人员资格，不得设定要求投标人提供材料供应商授权书等，不得将施工员、质量员、安全员等现场专业管理人员配备情况列入招标文件中投标人响应承诺事项，否则属于以不合理条件限制、排斥潜在投标人或者投标人。</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（2）招标人应该按照住房城乡建设部关于印发《建筑业企业资质标准》的通知（建市〔2014〕159 号）和《住房城乡建设部关于简化建筑业企业资质标准部分指标的通知》（建市〔2016〕226 号）及其配套规定确定对投标人的施工资质等级要求。</w:t>
            </w:r>
          </w:p>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（3）不具备相应资质或超越资质等级取得的业绩，不作为有效业绩认定。</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olor w:val="auto"/>
                <w:sz w:val="24"/>
                <w:highlight w:val="none"/>
              </w:rPr>
              <w:t>（4）</w:t>
            </w:r>
            <w:r>
              <w:rPr>
                <w:rFonts w:hint="eastAsia" w:ascii="Times New Roman" w:hAnsi="Times New Roman" w:cs="宋体"/>
                <w:color w:val="auto"/>
                <w:sz w:val="24"/>
                <w:highlight w:val="none"/>
              </w:rPr>
              <w:t>重组、分立后的企业，其重组、分立前承接的工程项目不作为有效业绩认定；合并后的新企业，原企业在合并前承接的工程项目，提供了企业合并相关证明材料的，作为有效业绩认定</w:t>
            </w:r>
            <w:r>
              <w:rPr>
                <w:rFonts w:hint="eastAsia" w:ascii="Times New Roman" w:hAnsi="Times New Roman"/>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1.4.2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是否接受联合体投标</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接受，</w:t>
            </w:r>
            <w:r>
              <w:rPr>
                <w:rFonts w:hint="eastAsia" w:ascii="Times New Roman" w:hAnsi="Times New Roman"/>
                <w:color w:val="auto"/>
                <w:sz w:val="24"/>
                <w:highlight w:val="none"/>
              </w:rPr>
              <w:t>联合体投标的，联合体牵头人应为</w:t>
            </w:r>
            <w:r>
              <w:rPr>
                <w:rFonts w:hint="eastAsia" w:ascii="Times New Roman" w:hAnsi="Times New Roman" w:cs="宋体"/>
                <w:color w:val="auto"/>
                <w:sz w:val="24"/>
                <w:highlight w:val="none"/>
              </w:rPr>
              <w:sym w:font="Wingdings 2" w:char="00A3"/>
            </w:r>
            <w:r>
              <w:rPr>
                <w:rFonts w:hint="eastAsia" w:ascii="Times New Roman" w:hAnsi="Times New Roman"/>
                <w:color w:val="auto"/>
                <w:sz w:val="24"/>
                <w:highlight w:val="none"/>
              </w:rPr>
              <w:t>设计单位</w:t>
            </w: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rPr>
              <w:t>施工单位</w:t>
            </w:r>
            <w:r>
              <w:rPr>
                <w:rFonts w:hint="eastAsia" w:ascii="Times New Roman" w:hAnsi="Times New Roman"/>
                <w:color w:val="auto"/>
                <w:sz w:val="24"/>
                <w:highlight w:val="none"/>
              </w:rPr>
              <w:t>，同时满足下列要求：</w:t>
            </w:r>
            <w:r>
              <w:rPr>
                <w:rFonts w:hint="eastAsia" w:ascii="Times New Roman" w:hAnsi="Times New Roman" w:cs="宋体"/>
                <w:b/>
                <w:color w:val="auto"/>
                <w:sz w:val="24"/>
                <w:highlight w:val="none"/>
                <w:u w:val="single"/>
              </w:rPr>
              <w:t xml:space="preserve">        </w:t>
            </w:r>
            <w:r>
              <w:rPr>
                <w:rFonts w:ascii="Times New Roman" w:hAnsi="Times New Roman" w:cs="宋体"/>
                <w:b/>
                <w:color w:val="auto"/>
                <w:sz w:val="24"/>
                <w:highlight w:val="none"/>
                <w:u w:val="single"/>
              </w:rPr>
              <w:t xml:space="preserve">  </w:t>
            </w:r>
            <w:r>
              <w:rPr>
                <w:rFonts w:hint="eastAsia" w:ascii="Times New Roman" w:hAnsi="Times New Roman" w:cs="宋体"/>
                <w:b/>
                <w:color w:val="auto"/>
                <w:sz w:val="24"/>
                <w:highlight w:val="none"/>
                <w:u w:val="single"/>
              </w:rPr>
              <w:t xml:space="preserve">          </w:t>
            </w:r>
            <w:r>
              <w:rPr>
                <w:rFonts w:hint="eastAsia" w:ascii="Times New Roman" w:hAnsi="Times New Roman" w:cs="宋体"/>
                <w:color w:val="auto"/>
                <w:sz w:val="24"/>
                <w:highlight w:val="none"/>
              </w:rPr>
              <w:t>。</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（1）联合体资质应符合法律法规的规定，并按照联合体协议约定的职责分工予以认定。</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2）联合体投标，应由联合体牵头人获取招标文件和提交投标保证金，在制作数据电文形式投标文件时，投标人名称应填写联合体牵头人名称。如未按要求进行投标，导致投标文件无法读取，由投标人自行负责。</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1.4.3</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olor w:val="auto"/>
                <w:sz w:val="24"/>
                <w:highlight w:val="none"/>
              </w:rPr>
              <w:t>限制投标的情形</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除投标人不得存在的1</w:t>
            </w:r>
            <w:r>
              <w:rPr>
                <w:rFonts w:ascii="Times New Roman" w:hAnsi="Times New Roman" w:cs="宋体"/>
                <w:color w:val="auto"/>
                <w:sz w:val="24"/>
                <w:highlight w:val="none"/>
              </w:rPr>
              <w:t>2</w:t>
            </w:r>
            <w:r>
              <w:rPr>
                <w:rFonts w:hint="eastAsia" w:ascii="Times New Roman" w:hAnsi="Times New Roman" w:cs="宋体"/>
                <w:color w:val="auto"/>
                <w:sz w:val="24"/>
                <w:highlight w:val="none"/>
              </w:rPr>
              <w:t>种情形之一外，投标人也不得存在下列情形：</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（13）为本项目项目管理单位、造价咨询单位的；</w:t>
            </w:r>
          </w:p>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（14）与招标人存在利害关系且可能影响招标公正性的；</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ascii="Times New Roman" w:hAnsi="Times New Roman" w:cs="宋体"/>
                <w:color w:val="auto"/>
                <w:sz w:val="24"/>
                <w:highlight w:val="none"/>
              </w:rPr>
              <w:t>1</w:t>
            </w:r>
            <w:r>
              <w:rPr>
                <w:rFonts w:hint="eastAsia" w:ascii="Times New Roman" w:hAnsi="Times New Roman" w:cs="宋体"/>
                <w:color w:val="auto"/>
                <w:sz w:val="24"/>
                <w:highlight w:val="none"/>
              </w:rPr>
              <w:t>5</w:t>
            </w:r>
            <w:r>
              <w:rPr>
                <w:rFonts w:ascii="Times New Roman" w:hAnsi="Times New Roman" w:cs="宋体"/>
                <w:color w:val="auto"/>
                <w:sz w:val="24"/>
                <w:highlight w:val="none"/>
              </w:rPr>
              <w:t>）在</w:t>
            </w:r>
            <w:r>
              <w:rPr>
                <w:rFonts w:hint="eastAsia" w:ascii="Times New Roman" w:hAnsi="Times New Roman" w:cs="宋体"/>
                <w:color w:val="auto"/>
                <w:sz w:val="24"/>
                <w:highlight w:val="none"/>
              </w:rPr>
              <w:t>最</w:t>
            </w:r>
            <w:r>
              <w:rPr>
                <w:rFonts w:ascii="Times New Roman" w:hAnsi="Times New Roman" w:cs="宋体"/>
                <w:color w:val="auto"/>
                <w:sz w:val="24"/>
                <w:highlight w:val="none"/>
              </w:rPr>
              <w:t>近三年内投标人或其法定代表人、</w:t>
            </w:r>
            <w:r>
              <w:rPr>
                <w:rFonts w:hint="eastAsia" w:ascii="Times New Roman" w:hAnsi="Times New Roman" w:cs="宋体"/>
                <w:color w:val="auto"/>
                <w:sz w:val="24"/>
                <w:highlight w:val="none"/>
              </w:rPr>
              <w:t>拟委任的项目经理有行贿犯罪行为的；</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（16）</w:t>
            </w:r>
            <w:r>
              <w:rPr>
                <w:rFonts w:ascii="Times New Roman" w:hAnsi="Times New Roman" w:cs="宋体"/>
                <w:color w:val="auto"/>
                <w:sz w:val="24"/>
                <w:highlight w:val="none"/>
              </w:rPr>
              <w:t>在</w:t>
            </w:r>
            <w:r>
              <w:rPr>
                <w:rFonts w:hint="eastAsia" w:ascii="Times New Roman" w:hAnsi="Times New Roman" w:cs="宋体"/>
                <w:color w:val="auto"/>
                <w:sz w:val="24"/>
                <w:highlight w:val="none"/>
              </w:rPr>
              <w:t>最</w:t>
            </w:r>
            <w:r>
              <w:rPr>
                <w:rFonts w:ascii="Times New Roman" w:hAnsi="Times New Roman" w:cs="宋体"/>
                <w:color w:val="auto"/>
                <w:sz w:val="24"/>
                <w:highlight w:val="none"/>
              </w:rPr>
              <w:t>近</w:t>
            </w:r>
            <w:r>
              <w:rPr>
                <w:rFonts w:hint="eastAsia" w:ascii="Times New Roman" w:hAnsi="Times New Roman" w:cs="宋体"/>
                <w:color w:val="auto"/>
                <w:sz w:val="24"/>
                <w:highlight w:val="none"/>
              </w:rPr>
              <w:t>一</w:t>
            </w:r>
            <w:r>
              <w:rPr>
                <w:rFonts w:ascii="Times New Roman" w:hAnsi="Times New Roman" w:cs="宋体"/>
                <w:color w:val="auto"/>
                <w:sz w:val="24"/>
                <w:highlight w:val="none"/>
              </w:rPr>
              <w:t>年内</w:t>
            </w:r>
            <w:r>
              <w:rPr>
                <w:rFonts w:hint="eastAsia" w:ascii="Times New Roman" w:hAnsi="Times New Roman" w:cs="宋体"/>
                <w:color w:val="auto"/>
                <w:sz w:val="24"/>
                <w:highlight w:val="none"/>
              </w:rPr>
              <w:t>投标人拟委任的施工负责人因违反《</w:t>
            </w:r>
            <w:r>
              <w:rPr>
                <w:rFonts w:ascii="Times New Roman" w:hAnsi="Times New Roman" w:cs="宋体"/>
                <w:color w:val="auto"/>
                <w:sz w:val="24"/>
                <w:highlight w:val="none"/>
              </w:rPr>
              <w:t>注册建造师管理规定</w:t>
            </w:r>
            <w:r>
              <w:rPr>
                <w:rFonts w:hint="eastAsia" w:ascii="Times New Roman" w:hAnsi="Times New Roman" w:cs="宋体"/>
                <w:color w:val="auto"/>
                <w:sz w:val="24"/>
                <w:highlight w:val="none"/>
              </w:rPr>
              <w:t>》被</w:t>
            </w:r>
            <w:r>
              <w:rPr>
                <w:rFonts w:ascii="Times New Roman" w:hAnsi="Times New Roman" w:cs="宋体"/>
                <w:color w:val="auto"/>
                <w:sz w:val="24"/>
                <w:highlight w:val="none"/>
              </w:rPr>
              <w:t>建设主管部门或者其他有关部门</w:t>
            </w:r>
            <w:r>
              <w:rPr>
                <w:rFonts w:hint="eastAsia" w:ascii="Times New Roman" w:hAnsi="Times New Roman" w:cs="宋体"/>
                <w:color w:val="auto"/>
                <w:sz w:val="24"/>
                <w:highlight w:val="none"/>
              </w:rPr>
              <w:t>行政处罚的；</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17）拟任项目经理在参加本项目投标时（指提交投标文件截止时间），在其他合同履行期间（合同履行期间是指从工程项目签订承包合同之日起至工程项目验收合格之日止的时间)的工程项目中担任项目经理或施工负责人的（</w:t>
            </w:r>
            <w:r>
              <w:rPr>
                <w:rFonts w:hint="eastAsia" w:ascii="Times New Roman" w:hAnsi="Times New Roman" w:cs="宋体"/>
                <w:color w:val="auto"/>
                <w:sz w:val="24"/>
                <w:highlight w:val="none"/>
              </w:rPr>
              <w:sym w:font="Wingdings" w:char="00A8"/>
            </w:r>
            <w:r>
              <w:rPr>
                <w:rFonts w:hint="eastAsia" w:ascii="Times New Roman" w:hAnsi="Times New Roman" w:cs="宋体"/>
                <w:color w:val="auto"/>
                <w:sz w:val="24"/>
                <w:highlight w:val="none"/>
              </w:rPr>
              <w:t>在本项目其他标段担任项目经理的除外）。</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olor w:val="auto"/>
                <w:sz w:val="24"/>
                <w:highlight w:val="none"/>
              </w:rPr>
              <w:sym w:font="Wingdings 2" w:char="00A3"/>
            </w:r>
            <w:r>
              <w:rPr>
                <w:rFonts w:hint="eastAsia" w:ascii="Times New Roman" w:hAnsi="Times New Roman"/>
                <w:color w:val="auto"/>
                <w:sz w:val="24"/>
                <w:highlight w:val="none"/>
              </w:rPr>
              <w:t>（18）</w:t>
            </w:r>
            <w:r>
              <w:rPr>
                <w:rFonts w:hint="eastAsia" w:ascii="Times New Roman" w:hAnsi="Times New Roman" w:cs="宋体"/>
                <w:color w:val="auto"/>
                <w:sz w:val="24"/>
                <w:highlight w:val="none"/>
              </w:rPr>
              <w:t>根据国家或四川省有关部门制定的其他联合惩戒措施规范性文件（联合惩戒措施包括限制参与工程招投标或限制参与政府采购活动），被列为联合惩戒对象的；</w:t>
            </w:r>
          </w:p>
          <w:p>
            <w:pPr>
              <w:spacing w:line="360" w:lineRule="auto"/>
              <w:ind w:firstLine="480" w:firstLineChars="200"/>
              <w:rPr>
                <w:rFonts w:hint="eastAsia" w:ascii="Times New Roman" w:hAnsi="Times New Roman" w:eastAsia="宋体" w:cs="宋体"/>
                <w:color w:val="auto"/>
                <w:sz w:val="24"/>
                <w:szCs w:val="24"/>
                <w:highlight w:val="none"/>
                <w:lang w:eastAsia="zh-CN"/>
              </w:rPr>
            </w:pPr>
            <w:r>
              <w:rPr>
                <w:rFonts w:hint="eastAsia" w:ascii="Times New Roman" w:hAnsi="Times New Roman" w:eastAsia="宋体" w:cs="宋体"/>
                <w:color w:val="auto"/>
                <w:sz w:val="24"/>
                <w:szCs w:val="24"/>
                <w:highlight w:val="none"/>
              </w:rPr>
              <w:t>注：除此之外招标人不得另行增加其他限制投标情形</w:t>
            </w:r>
            <w:r>
              <w:rPr>
                <w:rFonts w:hint="eastAsia" w:ascii="Times New Roman" w:hAnsi="Times New Roman" w:eastAsia="宋体" w:cs="宋体"/>
                <w:color w:val="auto"/>
                <w:sz w:val="24"/>
                <w:szCs w:val="24"/>
                <w:highlight w:val="none"/>
                <w:lang w:eastAsia="zh-CN"/>
              </w:rPr>
              <w:t>。</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olor w:val="auto"/>
                <w:sz w:val="24"/>
                <w:highlight w:val="none"/>
              </w:rPr>
              <w:sym w:font="Wingdings 2" w:char="00A3"/>
            </w:r>
            <w:r>
              <w:rPr>
                <w:rFonts w:hint="eastAsia" w:ascii="Times New Roman" w:hAnsi="Times New Roman"/>
                <w:color w:val="auto"/>
                <w:sz w:val="24"/>
                <w:highlight w:val="none"/>
              </w:rPr>
              <w:t xml:space="preserve"> 本项目</w:t>
            </w:r>
            <w:r>
              <w:rPr>
                <w:rFonts w:hint="eastAsia" w:ascii="Times New Roman" w:hAnsi="Times New Roman" w:cs="宋体"/>
                <w:color w:val="auto"/>
                <w:sz w:val="24"/>
                <w:highlight w:val="none"/>
              </w:rPr>
              <w:t>已公开项目建议书、可行性研究报告、初步设计文件，编制项目可行性研究报告、工程方案设计、初步设计且具备工程设计资质、工程总承包条件的单位可以参与本项目的投标。</w:t>
            </w:r>
          </w:p>
          <w:p>
            <w:pPr>
              <w:spacing w:line="360" w:lineRule="auto"/>
              <w:ind w:firstLine="480" w:firstLineChars="200"/>
              <w:rPr>
                <w:rFonts w:hint="eastAsia" w:ascii="Times New Roman" w:hAnsi="Times New Roman" w:cs="宋体"/>
                <w:color w:val="auto"/>
                <w:sz w:val="24"/>
                <w:highlight w:val="none"/>
              </w:rPr>
            </w:pP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olor w:val="auto"/>
                <w:sz w:val="24"/>
                <w:highlight w:val="none"/>
              </w:rPr>
              <w:t>本条（9）、（16）规定的事项，</w:t>
            </w:r>
            <w:r>
              <w:rPr>
                <w:rFonts w:hint="eastAsia" w:ascii="Times New Roman" w:hAnsi="Times New Roman" w:cs="宋体"/>
                <w:color w:val="auto"/>
                <w:sz w:val="24"/>
                <w:highlight w:val="none"/>
              </w:rPr>
              <w:t>应以有关行政主管部门出具的已生效的行政处罚决定书为依据，“近三年”“近一年”应以行政处罚决定书的出具时间起算。</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被暂停或取消投标资格的”是指：投标人存在被行政主管部门依据法律、法规、规章作出暂停或取消一定时期投标资格的已生效行政处罚，其限制投标范围与所依据的法律、法规、规章适用范围相同，与行政处罚规定的限制投标行政区域无关。</w:t>
            </w:r>
          </w:p>
          <w:p>
            <w:pPr>
              <w:spacing w:line="440" w:lineRule="exact"/>
              <w:rPr>
                <w:rFonts w:hint="eastAsia" w:ascii="Times New Roman" w:hAnsi="Times New Roman" w:cs="宋体"/>
                <w:color w:val="auto"/>
                <w:sz w:val="24"/>
                <w:highlight w:val="none"/>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1.5</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费用承担和设计成果补偿</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□不补偿</w:t>
            </w:r>
          </w:p>
          <w:p>
            <w:pPr>
              <w:spacing w:line="440" w:lineRule="exact"/>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□补偿，补偿标准：</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r>
              <w:rPr>
                <w:rFonts w:hint="eastAsia" w:ascii="Times New Roman" w:hAnsi="Times New Roman" w:cs="宋体"/>
                <w:color w:val="auto"/>
                <w:sz w:val="24"/>
                <w:highlight w:val="none"/>
                <w:lang w:val="en-US" w:eastAsia="zh-CN"/>
              </w:rPr>
              <w:t>6</w:t>
            </w:r>
            <w:r>
              <w:rPr>
                <w:rFonts w:hint="eastAsia" w:ascii="Times New Roman" w:hAnsi="Times New Roman" w:cs="宋体"/>
                <w:color w:val="auto"/>
                <w:sz w:val="24"/>
                <w:highlight w:val="none"/>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踏勘</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tabs>
                <w:tab w:val="left" w:pos="1430"/>
              </w:tabs>
              <w:adjustRightInd w:val="0"/>
              <w:snapToGrid w:val="0"/>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w:t>
            </w:r>
            <w:r>
              <w:rPr>
                <w:rFonts w:hint="eastAsia" w:ascii="Times New Roman" w:hAnsi="Times New Roman" w:cs="宋体"/>
                <w:color w:val="auto"/>
                <w:sz w:val="24"/>
                <w:highlight w:val="none"/>
              </w:rPr>
              <w:t>不组织</w:t>
            </w:r>
          </w:p>
          <w:p>
            <w:pPr>
              <w:tabs>
                <w:tab w:val="left" w:pos="1430"/>
              </w:tabs>
              <w:adjustRightInd w:val="0"/>
              <w:snapToGrid w:val="0"/>
              <w:spacing w:line="360" w:lineRule="auto"/>
              <w:rPr>
                <w:rFonts w:ascii="Times New Roman" w:hAnsi="Times New Roman" w:cs="宋体"/>
                <w:color w:val="auto"/>
                <w:sz w:val="24"/>
                <w:highlight w:val="none"/>
                <w:u w:val="single"/>
              </w:rPr>
            </w:pPr>
            <w:r>
              <w:rPr>
                <w:rFonts w:hint="eastAsia" w:ascii="Times New Roman" w:hAnsi="Times New Roman"/>
                <w:color w:val="auto"/>
                <w:sz w:val="24"/>
                <w:highlight w:val="none"/>
              </w:rPr>
              <w:sym w:font="Wingdings 2" w:char="00A3"/>
            </w:r>
            <w:r>
              <w:rPr>
                <w:rFonts w:hint="eastAsia" w:ascii="Times New Roman" w:hAnsi="Times New Roman" w:cs="宋体"/>
                <w:color w:val="auto"/>
                <w:sz w:val="24"/>
                <w:highlight w:val="none"/>
              </w:rPr>
              <w:t>组织，时  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地    点</w:t>
            </w:r>
            <w:r>
              <w:rPr>
                <w:rFonts w:hint="eastAsia" w:ascii="Times New Roman" w:hAnsi="Times New Roman" w:cs="宋体"/>
                <w:color w:val="auto"/>
                <w:sz w:val="24"/>
                <w:highlight w:val="none"/>
                <w:u w:val="single"/>
              </w:rPr>
              <w:t xml:space="preserve">           </w:t>
            </w:r>
          </w:p>
          <w:p>
            <w:pPr>
              <w:tabs>
                <w:tab w:val="left" w:pos="1430"/>
              </w:tabs>
              <w:adjustRightInd w:val="0"/>
              <w:snapToGrid w:val="0"/>
              <w:spacing w:line="360" w:lineRule="auto"/>
              <w:ind w:firstLine="960" w:firstLineChars="400"/>
              <w:rPr>
                <w:rFonts w:ascii="Times New Roman" w:hAnsi="Times New Roman" w:cs="宋体"/>
                <w:color w:val="auto"/>
                <w:sz w:val="24"/>
                <w:highlight w:val="none"/>
                <w:u w:val="single"/>
              </w:rPr>
            </w:pPr>
            <w:r>
              <w:rPr>
                <w:rFonts w:hint="eastAsia" w:ascii="Times New Roman" w:hAnsi="Times New Roman" w:cs="宋体"/>
                <w:color w:val="auto"/>
                <w:sz w:val="24"/>
                <w:highlight w:val="none"/>
              </w:rPr>
              <w:t>联系人</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联系电话</w:t>
            </w:r>
            <w:r>
              <w:rPr>
                <w:rFonts w:hint="eastAsia" w:ascii="Times New Roman" w:hAnsi="Times New Roman" w:cs="宋体"/>
                <w:color w:val="auto"/>
                <w:sz w:val="24"/>
                <w:highlight w:val="none"/>
                <w:u w:val="single"/>
              </w:rPr>
              <w:t xml:space="preserve">           </w:t>
            </w:r>
          </w:p>
          <w:p>
            <w:pPr>
              <w:tabs>
                <w:tab w:val="left" w:pos="1430"/>
              </w:tabs>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招标人不组织潜在投标人签到、点名，不出具回执。</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r>
              <w:rPr>
                <w:rFonts w:hint="eastAsia" w:ascii="Times New Roman" w:hAnsi="Times New Roman" w:cs="宋体"/>
                <w:color w:val="auto"/>
                <w:sz w:val="24"/>
                <w:highlight w:val="none"/>
                <w:lang w:val="en-US" w:eastAsia="zh-CN"/>
              </w:rPr>
              <w:t>7</w:t>
            </w:r>
            <w:r>
              <w:rPr>
                <w:rFonts w:hint="eastAsia" w:ascii="Times New Roman" w:hAnsi="Times New Roman" w:cs="宋体"/>
                <w:color w:val="auto"/>
                <w:sz w:val="24"/>
                <w:highlight w:val="none"/>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投标预备会</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pStyle w:val="10"/>
              <w:topLinePunct/>
              <w:spacing w:line="400" w:lineRule="exact"/>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不召开</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r>
              <w:rPr>
                <w:rFonts w:hint="eastAsia" w:ascii="Times New Roman" w:hAnsi="Times New Roman" w:cs="宋体"/>
                <w:color w:val="auto"/>
                <w:sz w:val="24"/>
                <w:highlight w:val="none"/>
                <w:lang w:val="en-US" w:eastAsia="zh-CN"/>
              </w:rPr>
              <w:t>8</w:t>
            </w:r>
            <w:r>
              <w:rPr>
                <w:rFonts w:hint="eastAsia" w:ascii="Times New Roman" w:hAnsi="Times New Roman" w:cs="宋体"/>
                <w:color w:val="auto"/>
                <w:sz w:val="24"/>
                <w:highlight w:val="none"/>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招标人规定由分包人承担的工作</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分包内容要求：</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p>
            <w:pPr>
              <w:spacing w:line="440" w:lineRule="exact"/>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对分包人的资质要求：</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p>
            <w:pPr>
              <w:spacing w:line="440" w:lineRule="exact"/>
              <w:ind w:firstLine="480" w:firstLineChars="200"/>
              <w:rPr>
                <w:rFonts w:hint="eastAsia" w:ascii="Times New Roman" w:hAnsi="Times New Roman" w:cs="宋体"/>
                <w:color w:val="auto"/>
                <w:sz w:val="24"/>
                <w:highlight w:val="none"/>
                <w:u w:val="single"/>
              </w:rPr>
            </w:pPr>
            <w:r>
              <w:rPr>
                <w:rFonts w:hint="eastAsia" w:ascii="Times New Roman" w:hAnsi="Times New Roman"/>
                <w:color w:val="auto"/>
                <w:sz w:val="24"/>
                <w:highlight w:val="none"/>
              </w:rPr>
              <w:t>注：不得要求投标人在投标文件中提供拟分包人的营业执照、资质证书、分包协议等证明文件。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r>
              <w:rPr>
                <w:rFonts w:hint="eastAsia" w:ascii="Times New Roman" w:hAnsi="Times New Roman" w:cs="宋体"/>
                <w:color w:val="auto"/>
                <w:sz w:val="24"/>
                <w:highlight w:val="none"/>
                <w:lang w:val="en-US" w:eastAsia="zh-CN"/>
              </w:rPr>
              <w:t>8</w:t>
            </w:r>
            <w:r>
              <w:rPr>
                <w:rFonts w:hint="eastAsia" w:ascii="Times New Roman" w:hAnsi="Times New Roman" w:cs="宋体"/>
                <w:color w:val="auto"/>
                <w:sz w:val="24"/>
                <w:highlight w:val="none"/>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投标人拟分包的工作</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pStyle w:val="10"/>
              <w:topLinePunct/>
              <w:spacing w:line="400" w:lineRule="exact"/>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□不允许</w:t>
            </w:r>
          </w:p>
          <w:p>
            <w:pPr>
              <w:spacing w:line="440" w:lineRule="exact"/>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□允许，分包内容要求：</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p>
            <w:pPr>
              <w:spacing w:line="440" w:lineRule="exact"/>
              <w:ind w:firstLine="960" w:firstLineChars="400"/>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对分包人的资质要求：</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p>
            <w:pPr>
              <w:spacing w:line="440" w:lineRule="exact"/>
              <w:ind w:firstLine="480" w:firstLineChars="200"/>
              <w:rPr>
                <w:rFonts w:hint="eastAsia" w:ascii="Times New Roman" w:hAnsi="Times New Roman" w:cs="宋体"/>
                <w:color w:val="auto"/>
                <w:sz w:val="24"/>
                <w:highlight w:val="none"/>
                <w:u w:val="single"/>
              </w:rPr>
            </w:pPr>
            <w:r>
              <w:rPr>
                <w:rFonts w:hint="eastAsia" w:ascii="Times New Roman" w:hAnsi="Times New Roman"/>
                <w:color w:val="auto"/>
                <w:sz w:val="24"/>
                <w:highlight w:val="none"/>
              </w:rPr>
              <w:t>注：不得要求投标人在投标文件中提供拟分包人的营业执照、资质证书、分包协议等证明文件。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1.</w:t>
            </w:r>
            <w:r>
              <w:rPr>
                <w:rFonts w:hint="eastAsia" w:ascii="Times New Roman" w:hAnsi="Times New Roman" w:cs="宋体"/>
                <w:color w:val="auto"/>
                <w:sz w:val="24"/>
                <w:highlight w:val="none"/>
                <w:lang w:val="en-US" w:eastAsia="zh-CN"/>
              </w:rPr>
              <w:t>9.1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偏离</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pStyle w:val="10"/>
              <w:topLinePunct/>
              <w:spacing w:line="400" w:lineRule="exact"/>
              <w:rPr>
                <w:rFonts w:hint="eastAsia" w:ascii="Times New Roman" w:hAnsi="Times New Roman" w:cs="宋体"/>
                <w:color w:val="auto"/>
                <w:szCs w:val="24"/>
                <w:highlight w:val="none"/>
              </w:rPr>
            </w:pPr>
            <w:r>
              <w:rPr>
                <w:rFonts w:hint="eastAsia" w:ascii="Times New Roman" w:hAnsi="Times New Roman" w:cs="宋体"/>
                <w:color w:val="auto"/>
                <w:szCs w:val="24"/>
                <w:highlight w:val="none"/>
              </w:rPr>
              <w:t>□不允许</w:t>
            </w:r>
          </w:p>
          <w:p>
            <w:pPr>
              <w:pStyle w:val="10"/>
              <w:topLinePunct/>
              <w:spacing w:line="400" w:lineRule="exact"/>
              <w:rPr>
                <w:rFonts w:hint="eastAsia" w:ascii="Times New Roman" w:hAnsi="Times New Roman" w:cs="宋体"/>
                <w:color w:val="auto"/>
                <w:szCs w:val="24"/>
                <w:highlight w:val="none"/>
                <w:u w:val="single"/>
              </w:rPr>
            </w:pPr>
            <w:r>
              <w:rPr>
                <w:rFonts w:hint="eastAsia" w:ascii="Times New Roman" w:hAnsi="Times New Roman" w:cs="宋体"/>
                <w:color w:val="auto"/>
                <w:szCs w:val="24"/>
                <w:highlight w:val="none"/>
              </w:rPr>
              <w:t>□允许，允许偏离的内容、偏离范围和幅度</w:t>
            </w:r>
            <w:r>
              <w:rPr>
                <w:rFonts w:hint="eastAsia" w:ascii="Times New Roman" w:hAnsi="Times New Roman" w:cs="宋体"/>
                <w:color w:val="auto"/>
                <w:szCs w:val="24"/>
                <w:highlight w:val="none"/>
                <w:u w:val="single"/>
              </w:rPr>
              <w:t xml:space="preserve">           </w:t>
            </w:r>
            <w:r>
              <w:rPr>
                <w:rFonts w:hint="eastAsia" w:ascii="Times New Roman" w:hAnsi="Times New Roman" w:cs="宋体"/>
                <w:color w:val="auto"/>
                <w:szCs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2.1</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构成招标文件的其他资料</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2.2.1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投标人要求澄清招标文件的截止时间</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时间：投标截止时间10日前。</w:t>
            </w:r>
          </w:p>
          <w:p>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形式：通过□《全国公共资源交易平台（四川省）》□《全国公共资源交易平台（四川省·</w:t>
            </w:r>
            <w:r>
              <w:rPr>
                <w:rFonts w:hint="eastAsia" w:ascii="Times New Roman" w:hAnsi="Times New Roman"/>
                <w:b/>
                <w:color w:val="auto"/>
                <w:sz w:val="24"/>
                <w:highlight w:val="none"/>
                <w:u w:val="single"/>
              </w:rPr>
              <w:t xml:space="preserve">    </w:t>
            </w:r>
            <w:r>
              <w:rPr>
                <w:rFonts w:hint="eastAsia" w:ascii="Times New Roman" w:hAnsi="Times New Roman" w:cs="宋体"/>
                <w:color w:val="auto"/>
                <w:sz w:val="24"/>
                <w:highlight w:val="none"/>
              </w:rPr>
              <w:t>市（州））》向招标人提出。如有疑问，应在规定的时间前通过□《全国公共资源交易平台（四川省）》□《全国公共资源交易平台（四川省·</w:t>
            </w:r>
            <w:r>
              <w:rPr>
                <w:rFonts w:hint="eastAsia" w:ascii="Times New Roman" w:hAnsi="Times New Roman"/>
                <w:b/>
                <w:color w:val="auto"/>
                <w:sz w:val="24"/>
                <w:highlight w:val="none"/>
                <w:u w:val="single"/>
              </w:rPr>
              <w:t xml:space="preserve">    </w:t>
            </w:r>
            <w:r>
              <w:rPr>
                <w:rFonts w:hint="eastAsia" w:ascii="Times New Roman" w:hAnsi="Times New Roman" w:cs="宋体"/>
                <w:color w:val="auto"/>
                <w:sz w:val="24"/>
                <w:highlight w:val="none"/>
              </w:rPr>
              <w:t>市（州））》向招标人提出需澄清的问题，要求招标人对招标文件予以澄清。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2.2.2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cs="宋体"/>
                <w:color w:val="auto"/>
                <w:sz w:val="24"/>
                <w:highlight w:val="none"/>
              </w:rPr>
            </w:pPr>
            <w:r>
              <w:rPr>
                <w:rFonts w:hint="eastAsia" w:ascii="Times New Roman" w:hAnsi="Times New Roman" w:cs="宋体"/>
                <w:color w:val="auto"/>
                <w:sz w:val="24"/>
                <w:highlight w:val="none"/>
              </w:rPr>
              <w:t>招标文件的澄清</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投标截止时间：</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月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时</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分</w:t>
            </w:r>
          </w:p>
          <w:p>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招标文件的澄清应于投标截止时间15日前，在《全国公共资源交易平台（四川省）》发布，</w:t>
            </w:r>
            <w:del w:id="2" w:author="user" w:date="2025-06-30T11:11:45Z">
              <w:r>
                <w:rPr>
                  <w:rFonts w:hint="eastAsia" w:ascii="Times New Roman" w:hAnsi="Times New Roman" w:eastAsia="宋体" w:cs="宋体"/>
                  <w:b/>
                  <w:bCs/>
                  <w:color w:val="auto"/>
                  <w:sz w:val="24"/>
                  <w:szCs w:val="24"/>
                  <w:highlight w:val="none"/>
                </w:rPr>
                <w:delText>涉及到</w:delText>
              </w:r>
            </w:del>
            <w:ins w:id="3" w:author="user" w:date="2025-06-30T11:11:45Z">
              <w:r>
                <w:rPr>
                  <w:rFonts w:hint="eastAsia" w:cs="宋体"/>
                  <w:b/>
                  <w:bCs/>
                  <w:color w:val="auto"/>
                  <w:sz w:val="24"/>
                  <w:szCs w:val="24"/>
                  <w:highlight w:val="none"/>
                  <w:lang w:eastAsia="zh-CN"/>
                </w:rPr>
                <w:t>涉及</w:t>
              </w:r>
            </w:ins>
            <w:r>
              <w:rPr>
                <w:rFonts w:hint="eastAsia" w:ascii="Times New Roman" w:hAnsi="Times New Roman" w:eastAsia="宋体" w:cs="宋体"/>
                <w:b/>
                <w:bCs/>
                <w:color w:val="auto"/>
                <w:sz w:val="24"/>
                <w:szCs w:val="24"/>
                <w:highlight w:val="none"/>
              </w:rPr>
              <w:t>评标办法修改的，应将修改后的招标文件作为附件上传，对招标文件的所有修改内容应在澄清文件正文中全部列出，新上传的招标文件中修改内容与澄清文件正文不一致的，以澄清文件正文为准</w:t>
            </w:r>
            <w:r>
              <w:rPr>
                <w:rFonts w:hint="eastAsia" w:ascii="Times New Roman" w:hAnsi="Times New Roman" w:eastAsia="宋体" w:cs="宋体"/>
                <w:b/>
                <w:bCs/>
                <w:color w:val="auto"/>
                <w:sz w:val="24"/>
                <w:highlight w:val="none"/>
              </w:rPr>
              <w:t>。</w:t>
            </w:r>
            <w:r>
              <w:rPr>
                <w:rFonts w:hint="eastAsia" w:ascii="Times New Roman" w:hAnsi="Times New Roman" w:cs="宋体"/>
                <w:color w:val="auto"/>
                <w:sz w:val="24"/>
                <w:highlight w:val="none"/>
              </w:rPr>
              <w:t xml:space="preserve">若澄清文件发出的时间距投标截止时间不足15日，则应延长投标截止时间（不影响投标文件编制的情形除外）。投标人应实时在□《全国公共资源交易平台（四川省）》□《全国公共资源交易平台（四川省·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市（州））》上查询澄清文件，投标人未下载澄清文件的，其后果由投标人承担。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2.2.3</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投标人确认收到招标文件澄清的时间</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自行查询，无需确认。</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cs="宋体"/>
                <w:color w:val="auto"/>
                <w:sz w:val="24"/>
                <w:highlight w:val="none"/>
              </w:rPr>
            </w:pPr>
            <w:r>
              <w:rPr>
                <w:rFonts w:hint="eastAsia" w:ascii="Times New Roman" w:hAnsi="Times New Roman" w:cs="宋体"/>
                <w:color w:val="auto"/>
                <w:sz w:val="24"/>
                <w:highlight w:val="none"/>
              </w:rPr>
              <w:t>2.3.1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ascii="Times New Roman" w:hAnsi="Times New Roman" w:cs="宋体"/>
                <w:color w:val="auto"/>
                <w:sz w:val="24"/>
                <w:highlight w:val="none"/>
              </w:rPr>
            </w:pPr>
            <w:r>
              <w:rPr>
                <w:rFonts w:hint="eastAsia" w:ascii="Times New Roman" w:hAnsi="Times New Roman" w:cs="宋体"/>
                <w:color w:val="auto"/>
                <w:sz w:val="24"/>
                <w:highlight w:val="none"/>
              </w:rPr>
              <w:t>招标文件的修改</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招标文件的修改应于投标截止时间15日前，在《全国公共资源交易平台（四川省）》发布</w:t>
            </w:r>
            <w:r>
              <w:rPr>
                <w:rFonts w:hint="eastAsia" w:ascii="Times New Roman" w:hAnsi="Times New Roman" w:cs="宋体"/>
                <w:b/>
                <w:bCs/>
                <w:color w:val="auto"/>
                <w:sz w:val="28"/>
                <w:szCs w:val="28"/>
                <w:highlight w:val="none"/>
              </w:rPr>
              <w:t>，</w:t>
            </w:r>
            <w:del w:id="4" w:author="user" w:date="2025-06-30T11:11:47Z">
              <w:r>
                <w:rPr>
                  <w:rFonts w:hint="eastAsia" w:ascii="Times New Roman" w:hAnsi="Times New Roman" w:eastAsia="宋体" w:cs="宋体"/>
                  <w:b/>
                  <w:bCs/>
                  <w:color w:val="auto"/>
                  <w:sz w:val="24"/>
                  <w:szCs w:val="24"/>
                  <w:highlight w:val="none"/>
                </w:rPr>
                <w:delText>涉及到</w:delText>
              </w:r>
            </w:del>
            <w:ins w:id="5" w:author="user" w:date="2025-06-30T11:11:47Z">
              <w:r>
                <w:rPr>
                  <w:rFonts w:hint="eastAsia" w:cs="宋体"/>
                  <w:b/>
                  <w:bCs/>
                  <w:color w:val="auto"/>
                  <w:sz w:val="24"/>
                  <w:szCs w:val="24"/>
                  <w:highlight w:val="none"/>
                  <w:lang w:eastAsia="zh-CN"/>
                </w:rPr>
                <w:t>涉及</w:t>
              </w:r>
            </w:ins>
            <w:r>
              <w:rPr>
                <w:rFonts w:hint="eastAsia" w:ascii="Times New Roman" w:hAnsi="Times New Roman" w:eastAsia="宋体" w:cs="宋体"/>
                <w:b/>
                <w:bCs/>
                <w:color w:val="auto"/>
                <w:sz w:val="24"/>
                <w:szCs w:val="24"/>
                <w:highlight w:val="none"/>
              </w:rPr>
              <w:t>评标办法修改的，应将修改后的招标文件作为附件上传，对招标文件的所有修改内容应在修改文件正文中全部列出，新上传的招标文件中修改内容与修改文件正文不一致的，以修改文件正文为准</w:t>
            </w:r>
            <w:r>
              <w:rPr>
                <w:rFonts w:hint="eastAsia" w:ascii="Times New Roman" w:hAnsi="Times New Roman" w:eastAsia="宋体" w:cs="宋体"/>
                <w:b/>
                <w:bCs/>
                <w:color w:val="auto"/>
                <w:sz w:val="24"/>
                <w:highlight w:val="none"/>
              </w:rPr>
              <w:t>。</w:t>
            </w:r>
            <w:r>
              <w:rPr>
                <w:rFonts w:hint="eastAsia" w:ascii="Times New Roman" w:hAnsi="Times New Roman" w:cs="宋体"/>
                <w:color w:val="auto"/>
                <w:sz w:val="24"/>
                <w:highlight w:val="none"/>
              </w:rPr>
              <w:t>若修改文件发出的时间距投标截止时间不足15日，则应延长投标截止时间（不影响投标文件编制的情形除外）。投标人应实时在□《全国公共资源交易平台（四川省）》□《全国公共资源交易平台（四川省·</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市（州））》上查询修改文件，投标人未下载修改文件的，其后果由投标人承担。</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2.3.2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投标人确认收到招标文件修改的时间</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自行查询，无需确认。</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3.1.1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构成投标文件的其他资料</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3.2.</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最高投标限价或其计算方法</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rPr>
            </w:pPr>
            <w:r>
              <w:rPr>
                <w:rFonts w:hint="eastAsia" w:ascii="Times New Roman" w:hAnsi="Times New Roman" w:eastAsia="宋体" w:cs="宋体"/>
                <w:color w:val="auto"/>
                <w:kern w:val="0"/>
                <w:sz w:val="24"/>
                <w:highlight w:val="none"/>
                <w:vertAlign w:val="baseline"/>
              </w:rPr>
              <w:t>总价合同</w:t>
            </w:r>
          </w:p>
          <w:p>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lang w:val="en-US" w:eastAsia="zh-CN"/>
              </w:rPr>
            </w:pPr>
            <w:r>
              <w:rPr>
                <w:rFonts w:hint="eastAsia" w:ascii="Times New Roman" w:hAnsi="Times New Roman" w:eastAsia="宋体" w:cs="宋体"/>
                <w:color w:val="auto"/>
                <w:kern w:val="0"/>
                <w:sz w:val="24"/>
                <w:highlight w:val="none"/>
                <w:vertAlign w:val="baseline"/>
              </w:rPr>
              <w:t>招标控制价:</w:t>
            </w:r>
            <w:r>
              <w:rPr>
                <w:rFonts w:hint="eastAsia" w:ascii="Times New Roman" w:hAnsi="Times New Roman" w:eastAsia="宋体" w:cs="宋体"/>
                <w:color w:val="auto"/>
                <w:kern w:val="0"/>
                <w:sz w:val="24"/>
                <w:highlight w:val="none"/>
                <w:vertAlign w:val="baseline"/>
                <w:lang w:val="en-US" w:eastAsia="zh-CN"/>
              </w:rPr>
              <w:t>____________元</w:t>
            </w:r>
          </w:p>
          <w:p>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rPr>
            </w:pPr>
            <w:r>
              <w:rPr>
                <w:rFonts w:hint="eastAsia" w:ascii="Times New Roman" w:hAnsi="Times New Roman" w:eastAsia="宋体" w:cs="宋体"/>
                <w:color w:val="auto"/>
                <w:kern w:val="0"/>
                <w:sz w:val="24"/>
                <w:highlight w:val="none"/>
                <w:vertAlign w:val="baseline"/>
              </w:rPr>
              <w:t>总价与单价组合式合同</w:t>
            </w:r>
          </w:p>
          <w:p>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lang w:val="en-US" w:eastAsia="zh-CN"/>
              </w:rPr>
            </w:pPr>
            <w:r>
              <w:rPr>
                <w:rFonts w:hint="eastAsia" w:ascii="Times New Roman" w:hAnsi="Times New Roman" w:eastAsia="宋体" w:cs="宋体"/>
                <w:color w:val="auto"/>
                <w:kern w:val="0"/>
                <w:sz w:val="24"/>
                <w:highlight w:val="none"/>
                <w:vertAlign w:val="baseline"/>
              </w:rPr>
              <w:t>招标控制价:</w:t>
            </w:r>
            <w:r>
              <w:rPr>
                <w:rFonts w:hint="eastAsia" w:ascii="Times New Roman" w:hAnsi="Times New Roman" w:eastAsia="宋体" w:cs="宋体"/>
                <w:color w:val="auto"/>
                <w:kern w:val="0"/>
                <w:sz w:val="24"/>
                <w:highlight w:val="none"/>
                <w:vertAlign w:val="baseline"/>
                <w:lang w:val="en-US" w:eastAsia="zh-CN"/>
              </w:rPr>
              <w:t>____________元</w:t>
            </w:r>
          </w:p>
          <w:p>
            <w:pPr>
              <w:numPr>
                <w:ilvl w:val="-1"/>
                <w:numId w:val="0"/>
              </w:numPr>
              <w:spacing w:line="360" w:lineRule="auto"/>
              <w:ind w:firstLine="480" w:firstLineChars="200"/>
              <w:rPr>
                <w:rFonts w:ascii="Times New Roman" w:hAnsi="Times New Roman" w:cs="宋体"/>
                <w:color w:val="auto"/>
                <w:sz w:val="24"/>
                <w:highlight w:val="none"/>
              </w:rPr>
            </w:pPr>
            <w:r>
              <w:rPr>
                <w:rFonts w:hint="eastAsia" w:ascii="Times New Roman" w:hAnsi="Times New Roman" w:eastAsia="宋体" w:cs="宋体"/>
                <w:color w:val="auto"/>
                <w:kern w:val="0"/>
                <w:sz w:val="24"/>
                <w:highlight w:val="none"/>
                <w:vertAlign w:val="baseline"/>
              </w:rPr>
              <w:t>其中，总价部分招标控制价:</w:t>
            </w:r>
            <w:r>
              <w:rPr>
                <w:rFonts w:hint="eastAsia" w:ascii="Times New Roman" w:hAnsi="Times New Roman" w:eastAsia="宋体" w:cs="宋体"/>
                <w:color w:val="auto"/>
                <w:kern w:val="0"/>
                <w:sz w:val="24"/>
                <w:highlight w:val="none"/>
                <w:vertAlign w:val="baseline"/>
                <w:lang w:val="en-US" w:eastAsia="zh-CN"/>
              </w:rPr>
              <w:t>_________元</w:t>
            </w:r>
            <w:r>
              <w:rPr>
                <w:rFonts w:hint="eastAsia" w:ascii="Times New Roman" w:hAnsi="Times New Roman" w:eastAsia="宋体" w:cs="宋体"/>
                <w:color w:val="auto"/>
                <w:kern w:val="0"/>
                <w:sz w:val="24"/>
                <w:highlight w:val="none"/>
                <w:vertAlign w:val="baseline"/>
              </w:rPr>
              <w:t>，单价部分招标控制价:</w:t>
            </w:r>
            <w:r>
              <w:rPr>
                <w:rFonts w:hint="eastAsia" w:ascii="Times New Roman" w:hAnsi="Times New Roman" w:eastAsia="宋体" w:cs="宋体"/>
                <w:color w:val="auto"/>
                <w:kern w:val="0"/>
                <w:sz w:val="24"/>
                <w:highlight w:val="none"/>
                <w:vertAlign w:val="baseline"/>
                <w:lang w:val="en-US" w:eastAsia="zh-CN"/>
              </w:rPr>
              <w:t>___________</w:t>
            </w:r>
            <w:r>
              <w:rPr>
                <w:rFonts w:hint="eastAsia" w:ascii="Times New Roman" w:hAnsi="Times New Roman" w:eastAsia="宋体" w:cs="宋体"/>
                <w:color w:val="auto"/>
                <w:kern w:val="0"/>
                <w:sz w:val="24"/>
                <w:highlight w:val="none"/>
                <w:vertAlign w:val="baseline"/>
              </w:rPr>
              <w:t>元</w:t>
            </w:r>
            <w:r>
              <w:rPr>
                <w:rFonts w:hint="eastAsia" w:ascii="Times New Roman" w:hAnsi="Times New Roman" w:eastAsia="宋体" w:cs="宋体"/>
                <w:color w:val="auto"/>
                <w:kern w:val="0"/>
                <w:sz w:val="24"/>
                <w:highlight w:val="none"/>
                <w:vertAlign w:val="baseline"/>
                <w:lang w:eastAsia="zh-CN"/>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3.2.</w:t>
            </w:r>
            <w:r>
              <w:rPr>
                <w:rFonts w:hint="eastAsia" w:ascii="Times New Roman" w:hAnsi="Times New Roman" w:cs="宋体"/>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投标报价的</w:t>
            </w:r>
          </w:p>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其他要求</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rPr>
            </w:pPr>
            <w:r>
              <w:rPr>
                <w:rFonts w:hint="eastAsia" w:ascii="Times New Roman" w:hAnsi="Times New Roman" w:eastAsia="宋体" w:cs="宋体"/>
                <w:color w:val="auto"/>
                <w:kern w:val="0"/>
                <w:sz w:val="24"/>
                <w:highlight w:val="none"/>
                <w:vertAlign w:val="baseline"/>
              </w:rPr>
              <w:t>投标总价扉页应按规定签字、盖章，投标报价实质性表格应完整</w:t>
            </w:r>
            <w:r>
              <w:rPr>
                <w:rFonts w:hint="eastAsia" w:ascii="Times New Roman" w:hAnsi="Times New Roman" w:eastAsia="宋体" w:cs="宋体"/>
                <w:color w:val="auto"/>
                <w:kern w:val="0"/>
                <w:sz w:val="24"/>
                <w:highlight w:val="none"/>
                <w:vertAlign w:val="baseline"/>
                <w:lang w:eastAsia="zh-CN"/>
              </w:rPr>
              <w:t>，</w:t>
            </w:r>
            <w:r>
              <w:rPr>
                <w:rFonts w:hint="eastAsia" w:ascii="Times New Roman" w:hAnsi="Times New Roman" w:eastAsia="宋体" w:cs="宋体"/>
                <w:color w:val="auto"/>
                <w:kern w:val="0"/>
                <w:sz w:val="24"/>
                <w:highlight w:val="none"/>
                <w:vertAlign w:val="baseline"/>
              </w:rPr>
              <w:t>安全文明施工费、暂列金额、暂估费用应按招标清单公布的金额填报。(上述要求不适用于总价与单价组合式合同中的单价部分不要求投标人对项目清单的各项费用进行报价的)。</w:t>
            </w:r>
          </w:p>
          <w:p>
            <w:pPr>
              <w:numPr>
                <w:ilvl w:val="-1"/>
                <w:numId w:val="0"/>
              </w:numPr>
              <w:spacing w:line="360" w:lineRule="auto"/>
              <w:ind w:firstLine="480" w:firstLineChars="200"/>
              <w:rPr>
                <w:rFonts w:hint="eastAsia" w:ascii="Times New Roman" w:hAnsi="Times New Roman" w:eastAsia="宋体" w:cs="宋体"/>
                <w:color w:val="auto"/>
                <w:kern w:val="0"/>
                <w:sz w:val="24"/>
                <w:highlight w:val="none"/>
                <w:vertAlign w:val="baseline"/>
              </w:rPr>
            </w:pPr>
            <w:r>
              <w:rPr>
                <w:rFonts w:hint="eastAsia" w:ascii="Times New Roman" w:hAnsi="Times New Roman" w:eastAsia="宋体" w:cs="宋体"/>
                <w:color w:val="auto"/>
                <w:kern w:val="0"/>
                <w:sz w:val="24"/>
                <w:highlight w:val="none"/>
                <w:vertAlign w:val="baseline"/>
              </w:rPr>
              <w:t>总价与单价组合式合同中的单价部分不要求投标人对项目清单的各项费用进行报价，投标人仅需填报单价部分的投标总价。项目实施过程中按投标总价 (扣除安全文明施工费、暂列金额和暂估费用等)与招标控制价相应价格的下浮率，对项目清单价格同比下浮并结合合同约定确定价格。</w:t>
            </w:r>
          </w:p>
          <w:p>
            <w:pPr>
              <w:numPr>
                <w:ilvl w:val="0"/>
                <w:numId w:val="0"/>
              </w:num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eastAsia="宋体" w:cs="宋体"/>
                <w:color w:val="auto"/>
                <w:kern w:val="0"/>
                <w:sz w:val="24"/>
                <w:highlight w:val="none"/>
                <w:vertAlign w:val="baseline"/>
              </w:rPr>
              <w:t>其他:</w:t>
            </w:r>
            <w:r>
              <w:rPr>
                <w:rFonts w:hint="eastAsia" w:ascii="Times New Roman" w:hAnsi="Times New Roman" w:eastAsia="宋体" w:cs="宋体"/>
                <w:color w:val="auto"/>
                <w:kern w:val="0"/>
                <w:sz w:val="24"/>
                <w:highlight w:val="none"/>
                <w:vertAlign w:val="baseline"/>
                <w:lang w:val="en-US" w:eastAsia="zh-CN"/>
              </w:rPr>
              <w:t>___________。</w:t>
            </w:r>
          </w:p>
        </w:tc>
      </w:tr>
      <w:tr>
        <w:tblPrEx>
          <w:tblCellMar>
            <w:top w:w="0" w:type="dxa"/>
            <w:left w:w="108" w:type="dxa"/>
            <w:bottom w:w="0" w:type="dxa"/>
            <w:right w:w="108" w:type="dxa"/>
          </w:tblCellMar>
        </w:tblPrEx>
        <w:trPr>
          <w:trHeight w:val="3166"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3.3.1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投标有效期</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日历天（从投标截止之日起计算）</w:t>
            </w:r>
          </w:p>
          <w:p>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eastAsia="宋体" w:cs="宋体"/>
                <w:color w:val="auto"/>
                <w:sz w:val="24"/>
                <w:highlight w:val="none"/>
              </w:rPr>
              <w:t>注</w:t>
            </w:r>
            <w:r>
              <w:rPr>
                <w:rFonts w:hint="eastAsia" w:ascii="Times New Roman" w:hAnsi="Times New Roman" w:eastAsia="宋体" w:cs="宋体"/>
                <w:color w:val="auto"/>
                <w:sz w:val="24"/>
                <w:highlight w:val="none"/>
                <w:lang w:eastAsia="zh-CN"/>
              </w:rPr>
              <w:t>：</w:t>
            </w:r>
            <w:r>
              <w:rPr>
                <w:rFonts w:hint="eastAsia" w:ascii="Times New Roman" w:hAnsi="Times New Roman" w:eastAsia="宋体" w:cs="宋体"/>
                <w:color w:val="auto"/>
                <w:sz w:val="24"/>
                <w:highlight w:val="none"/>
              </w:rPr>
              <w:t>在原投标有效期内未完成评标和签订合同的,招标人应当通知所有投标人延长投标有效期;拒绝延长投标有效期的投标人有权收回投标保证金;没有拒绝延长投标有效期的投标人自动延长其投标担保的有效期,但不得修改投标文件的实质性内容。因延长投标有效期造成投标人损失的,招标人应当给予补偿,但因不可抗力需延长投标有效期的除外。</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3.4.1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投标保证金</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snapToGrid/>
              <w:spacing w:line="360" w:lineRule="auto"/>
              <w:ind w:firstLine="480" w:firstLineChars="200"/>
              <w:jc w:val="both"/>
              <w:rPr>
                <w:ins w:id="6" w:author="user" w:date="2026-03-18T10:04:07Z"/>
                <w:rFonts w:hint="eastAsia" w:ascii="Times New Roman" w:hAnsi="Times New Roman" w:cs="宋体"/>
                <w:sz w:val="24"/>
                <w:szCs w:val="24"/>
                <w:highlight w:val="none"/>
              </w:rPr>
            </w:pPr>
            <w:ins w:id="7" w:author="user" w:date="2026-03-18T10:04:07Z">
              <w:commentRangeStart w:id="0"/>
              <w:r>
                <w:rPr>
                  <w:rFonts w:hint="eastAsia" w:ascii="Times New Roman" w:hAnsi="Times New Roman" w:cs="宋体"/>
                  <w:sz w:val="24"/>
                  <w:szCs w:val="24"/>
                  <w:highlight w:val="none"/>
                </w:rPr>
                <w:t>本项目投标保证金截止时间为  年  月  日  时，金额：</w:t>
              </w:r>
            </w:ins>
            <w:ins w:id="8" w:author="user" w:date="2026-03-18T10:04:07Z">
              <w:r>
                <w:rPr>
                  <w:rFonts w:hint="eastAsia" w:ascii="Times New Roman" w:hAnsi="Times New Roman" w:cs="宋体"/>
                  <w:kern w:val="2"/>
                  <w:sz w:val="24"/>
                  <w:szCs w:val="24"/>
                  <w:highlight w:val="none"/>
                  <w:u w:val="single"/>
                  <w:lang w:val="en-US" w:eastAsia="zh-CN"/>
                </w:rPr>
                <w:t xml:space="preserve">        </w:t>
              </w:r>
            </w:ins>
            <w:ins w:id="9" w:author="user" w:date="2026-03-18T10:04:07Z">
              <w:r>
                <w:rPr>
                  <w:rFonts w:hint="eastAsia" w:ascii="Times New Roman" w:hAnsi="Times New Roman" w:cs="宋体"/>
                  <w:sz w:val="24"/>
                  <w:szCs w:val="24"/>
                  <w:highlight w:val="none"/>
                </w:rPr>
                <w:t>元，采用如下方式提交：</w:t>
              </w:r>
            </w:ins>
          </w:p>
          <w:p>
            <w:pPr>
              <w:adjustRightInd/>
              <w:snapToGrid/>
              <w:spacing w:line="360" w:lineRule="auto"/>
              <w:ind w:firstLine="480" w:firstLineChars="200"/>
              <w:jc w:val="both"/>
              <w:rPr>
                <w:ins w:id="10" w:author="user" w:date="2026-03-18T10:04:07Z"/>
                <w:rFonts w:hint="eastAsia" w:ascii="Times New Roman" w:hAnsi="Times New Roman" w:cs="宋体"/>
                <w:sz w:val="24"/>
                <w:szCs w:val="24"/>
                <w:highlight w:val="none"/>
              </w:rPr>
            </w:pPr>
            <w:ins w:id="11" w:author="user" w:date="2026-03-18T10:04:07Z">
              <w:r>
                <w:rPr>
                  <w:rFonts w:hint="eastAsia" w:ascii="Times New Roman" w:hAnsi="Times New Roman" w:cs="宋体"/>
                  <w:sz w:val="24"/>
                  <w:szCs w:val="24"/>
                  <w:highlight w:val="none"/>
                </w:rPr>
                <w:t>1.现金□</w:t>
              </w:r>
            </w:ins>
          </w:p>
          <w:p>
            <w:pPr>
              <w:adjustRightInd/>
              <w:snapToGrid/>
              <w:spacing w:line="360" w:lineRule="auto"/>
              <w:ind w:firstLine="480" w:firstLineChars="200"/>
              <w:jc w:val="both"/>
              <w:rPr>
                <w:ins w:id="12" w:author="user" w:date="2026-03-18T10:04:07Z"/>
                <w:rFonts w:hint="eastAsia" w:ascii="Times New Roman" w:hAnsi="Times New Roman" w:cs="宋体"/>
                <w:sz w:val="24"/>
                <w:szCs w:val="24"/>
                <w:highlight w:val="none"/>
              </w:rPr>
            </w:pPr>
            <w:ins w:id="13" w:author="user" w:date="2026-03-18T10:04:07Z">
              <w:r>
                <w:rPr>
                  <w:rFonts w:hint="eastAsia" w:ascii="Times New Roman" w:hAnsi="Times New Roman" w:cs="宋体"/>
                  <w:sz w:val="24"/>
                  <w:szCs w:val="24"/>
                  <w:highlight w:val="none"/>
                </w:rPr>
                <w:t>2.银行保函 □</w:t>
              </w:r>
            </w:ins>
          </w:p>
          <w:p>
            <w:pPr>
              <w:adjustRightInd/>
              <w:snapToGrid/>
              <w:spacing w:line="360" w:lineRule="auto"/>
              <w:ind w:firstLine="480" w:firstLineChars="200"/>
              <w:jc w:val="both"/>
              <w:rPr>
                <w:ins w:id="14" w:author="user" w:date="2026-03-18T10:04:07Z"/>
                <w:rFonts w:hint="eastAsia" w:ascii="Times New Roman" w:hAnsi="Times New Roman" w:cs="宋体"/>
                <w:sz w:val="24"/>
                <w:szCs w:val="24"/>
                <w:highlight w:val="none"/>
              </w:rPr>
            </w:pPr>
            <w:ins w:id="15" w:author="user" w:date="2026-03-18T10:04:07Z">
              <w:r>
                <w:rPr>
                  <w:rFonts w:hint="eastAsia" w:ascii="Times New Roman" w:hAnsi="Times New Roman" w:cs="宋体"/>
                  <w:sz w:val="24"/>
                  <w:szCs w:val="24"/>
                  <w:highlight w:val="none"/>
                </w:rPr>
                <w:t>3.保险保函 □</w:t>
              </w:r>
            </w:ins>
          </w:p>
          <w:p>
            <w:pPr>
              <w:adjustRightInd/>
              <w:snapToGrid/>
              <w:spacing w:line="360" w:lineRule="auto"/>
              <w:ind w:firstLine="480" w:firstLineChars="200"/>
              <w:jc w:val="both"/>
              <w:rPr>
                <w:ins w:id="16" w:author="user" w:date="2026-03-18T10:04:07Z"/>
                <w:rFonts w:hint="eastAsia" w:ascii="Times New Roman" w:hAnsi="Times New Roman" w:cs="宋体"/>
                <w:sz w:val="24"/>
                <w:szCs w:val="24"/>
                <w:highlight w:val="none"/>
              </w:rPr>
            </w:pPr>
            <w:ins w:id="17" w:author="user" w:date="2026-03-18T10:04:07Z">
              <w:r>
                <w:rPr>
                  <w:rFonts w:hint="eastAsia" w:ascii="Times New Roman" w:hAnsi="Times New Roman" w:cs="宋体"/>
                  <w:sz w:val="24"/>
                  <w:szCs w:val="24"/>
                  <w:highlight w:val="none"/>
                </w:rPr>
                <w:t>4.专业担保保函 □</w:t>
              </w:r>
            </w:ins>
          </w:p>
          <w:p>
            <w:pPr>
              <w:adjustRightInd/>
              <w:snapToGrid/>
              <w:spacing w:line="360" w:lineRule="auto"/>
              <w:ind w:firstLine="480" w:firstLineChars="200"/>
              <w:jc w:val="both"/>
              <w:rPr>
                <w:ins w:id="18" w:author="user" w:date="2026-03-18T10:04:07Z"/>
                <w:rFonts w:hint="eastAsia" w:ascii="Times New Roman" w:hAnsi="Times New Roman" w:cs="宋体"/>
                <w:sz w:val="24"/>
                <w:szCs w:val="24"/>
                <w:highlight w:val="none"/>
              </w:rPr>
            </w:pPr>
            <w:ins w:id="19" w:author="user" w:date="2026-03-18T10:04:07Z">
              <w:r>
                <w:rPr>
                  <w:rFonts w:hint="eastAsia" w:ascii="Times New Roman" w:hAnsi="Times New Roman" w:cs="宋体"/>
                  <w:sz w:val="24"/>
                  <w:szCs w:val="24"/>
                  <w:highlight w:val="none"/>
                </w:rPr>
                <w:t>备注：</w:t>
              </w:r>
            </w:ins>
          </w:p>
          <w:p>
            <w:pPr>
              <w:adjustRightInd/>
              <w:snapToGrid/>
              <w:spacing w:line="360" w:lineRule="auto"/>
              <w:ind w:firstLine="480" w:firstLineChars="200"/>
              <w:jc w:val="both"/>
              <w:rPr>
                <w:ins w:id="20" w:author="user" w:date="2026-03-18T10:04:07Z"/>
                <w:rFonts w:hint="eastAsia" w:ascii="Times New Roman" w:hAnsi="Times New Roman" w:cs="宋体"/>
                <w:sz w:val="24"/>
                <w:szCs w:val="24"/>
                <w:highlight w:val="none"/>
              </w:rPr>
            </w:pPr>
            <w:ins w:id="21" w:author="user" w:date="2026-03-18T10:04:07Z">
              <w:r>
                <w:rPr>
                  <w:rFonts w:hint="eastAsia" w:ascii="Times New Roman" w:hAnsi="Times New Roman" w:cs="宋体"/>
                  <w:sz w:val="24"/>
                  <w:szCs w:val="24"/>
                  <w:highlight w:val="none"/>
                </w:rPr>
                <w:t>1.现金形式。投标人以现金形式缴纳投标保证金的，必须从基本账户转出。投标人登录全国公共资源交易平台（四川省·攀枝花市）（http://ggzy.panzhihua.gov.cn/）按“投标保证金—确认投标保证金”的步骤，依据系统提示缴纳投标保证金。银行转账凭证、企业基本账户开户许可证（加盖企业鲜章）需由投标人自行扫描件至电子投标文件中，由于资金没有及时到账而造成的后果，由投标人自行负责。</w:t>
              </w:r>
            </w:ins>
          </w:p>
          <w:p>
            <w:pPr>
              <w:wordWrap w:val="0"/>
              <w:adjustRightInd/>
              <w:snapToGrid/>
              <w:spacing w:line="360" w:lineRule="auto"/>
              <w:ind w:firstLine="480" w:firstLineChars="200"/>
              <w:jc w:val="both"/>
              <w:rPr>
                <w:ins w:id="22" w:author="user" w:date="2026-03-18T10:04:07Z"/>
                <w:rFonts w:hint="eastAsia" w:ascii="Times New Roman" w:hAnsi="Times New Roman" w:cs="宋体"/>
                <w:sz w:val="24"/>
                <w:szCs w:val="24"/>
                <w:highlight w:val="none"/>
              </w:rPr>
            </w:pPr>
            <w:ins w:id="23" w:author="user" w:date="2026-03-18T10:04:07Z">
              <w:r>
                <w:rPr>
                  <w:rFonts w:hint="eastAsia" w:ascii="Times New Roman" w:hAnsi="Times New Roman" w:cs="宋体"/>
                  <w:sz w:val="24"/>
                  <w:szCs w:val="24"/>
                  <w:highlight w:val="none"/>
                </w:rPr>
                <w:t>2.电子保函保险。投标人以招标人在招标文件中确认的形式为准，登录全国公共资源交易平台（四川省·攀枝花市）（http://ggzy.panzhihua.gov.cn/），依据系统提示，选择银行或保险公司或专业担保公司申办电子保函保险。</w:t>
              </w:r>
            </w:ins>
          </w:p>
          <w:p>
            <w:pPr>
              <w:adjustRightInd/>
              <w:snapToGrid/>
              <w:spacing w:line="360" w:lineRule="auto"/>
              <w:ind w:firstLine="480" w:firstLineChars="200"/>
              <w:jc w:val="both"/>
              <w:rPr>
                <w:ins w:id="24" w:author="user" w:date="2026-03-18T10:04:07Z"/>
                <w:rFonts w:hint="eastAsia" w:ascii="Times New Roman" w:hAnsi="Times New Roman" w:cs="宋体"/>
                <w:sz w:val="24"/>
                <w:szCs w:val="24"/>
                <w:highlight w:val="none"/>
              </w:rPr>
            </w:pPr>
            <w:ins w:id="25" w:author="user" w:date="2026-03-18T10:04:07Z">
              <w:r>
                <w:rPr>
                  <w:rFonts w:hint="eastAsia" w:ascii="Times New Roman" w:hAnsi="Times New Roman" w:cs="宋体"/>
                  <w:sz w:val="24"/>
                  <w:szCs w:val="24"/>
                  <w:highlight w:val="none"/>
                </w:rPr>
                <w:t>电子保函保险的生效时间最迟不晚于投标截止时间，在投标有效期内保持有效。</w:t>
              </w:r>
            </w:ins>
          </w:p>
          <w:p>
            <w:pPr>
              <w:tabs>
                <w:tab w:val="left" w:pos="3210"/>
              </w:tabs>
              <w:adjustRightInd w:val="0"/>
              <w:snapToGrid w:val="0"/>
              <w:spacing w:line="360" w:lineRule="exact"/>
              <w:ind w:firstLine="480" w:firstLineChars="200"/>
              <w:jc w:val="left"/>
              <w:rPr>
                <w:del w:id="26" w:author="user" w:date="2026-03-18T10:04:07Z"/>
                <w:rFonts w:ascii="Times New Roman" w:hAnsi="Times New Roman"/>
                <w:color w:val="auto"/>
                <w:kern w:val="0"/>
                <w:szCs w:val="21"/>
                <w:highlight w:val="none"/>
              </w:rPr>
            </w:pPr>
            <w:ins w:id="27" w:author="user" w:date="2026-03-18T10:04:07Z">
              <w:r>
                <w:rPr>
                  <w:rFonts w:hint="eastAsia" w:ascii="Times New Roman" w:hAnsi="Times New Roman" w:cs="宋体"/>
                  <w:sz w:val="24"/>
                  <w:szCs w:val="24"/>
                  <w:highlight w:val="none"/>
                </w:rPr>
                <w:t>攀枝花市公共资源交易服务中心仅为各方交易主体搭建金融机构、专业担保公司服务的平台，不会为金融机构、专业担保公司的服务提供任何形式的担保，无法对各金融机构、专业担保公司的实力作出保证，请投标人参考各金融机构、专业担保公司的偿付能力，谨慎选择。</w:t>
              </w:r>
              <w:commentRangeEnd w:id="0"/>
            </w:ins>
            <w:ins w:id="28" w:author="user" w:date="2026-03-18T10:04:07Z">
              <w:r>
                <w:rPr/>
                <w:commentReference w:id="0"/>
              </w:r>
            </w:ins>
            <w:del w:id="29" w:author="user" w:date="2026-03-18T10:04:07Z">
              <w:r>
                <w:rPr>
                  <w:rFonts w:hint="eastAsia" w:ascii="Times New Roman" w:hAnsi="Times New Roman"/>
                  <w:color w:val="auto"/>
                  <w:kern w:val="0"/>
                  <w:szCs w:val="21"/>
                  <w:highlight w:val="none"/>
                </w:rPr>
                <w:delText>本项目投标保证金提交方式如下：</w:delText>
              </w:r>
            </w:del>
          </w:p>
          <w:p>
            <w:pPr>
              <w:tabs>
                <w:tab w:val="left" w:pos="3210"/>
              </w:tabs>
              <w:adjustRightInd w:val="0"/>
              <w:snapToGrid w:val="0"/>
              <w:spacing w:line="360" w:lineRule="exact"/>
              <w:ind w:firstLine="420" w:firstLineChars="200"/>
              <w:jc w:val="left"/>
              <w:rPr>
                <w:del w:id="30" w:author="user" w:date="2026-03-18T10:04:07Z"/>
                <w:rFonts w:ascii="Times New Roman" w:hAnsi="Times New Roman"/>
                <w:color w:val="auto"/>
                <w:kern w:val="0"/>
                <w:szCs w:val="21"/>
                <w:highlight w:val="none"/>
              </w:rPr>
            </w:pPr>
            <w:del w:id="31" w:author="user" w:date="2026-03-18T10:04:07Z">
              <w:r>
                <w:rPr>
                  <w:rFonts w:ascii="Times New Roman" w:hAnsi="Times New Roman"/>
                  <w:color w:val="auto"/>
                  <w:kern w:val="0"/>
                  <w:szCs w:val="21"/>
                  <w:highlight w:val="none"/>
                </w:rPr>
                <w:delText>1.</w:delText>
              </w:r>
            </w:del>
            <w:del w:id="32" w:author="user" w:date="2026-03-18T10:04:07Z">
              <w:r>
                <w:rPr>
                  <w:rFonts w:hint="eastAsia" w:ascii="Times New Roman" w:hAnsi="Times New Roman"/>
                  <w:color w:val="auto"/>
                  <w:kern w:val="0"/>
                  <w:szCs w:val="21"/>
                  <w:highlight w:val="none"/>
                </w:rPr>
                <w:delText>现金□</w:delText>
              </w:r>
            </w:del>
          </w:p>
          <w:p>
            <w:pPr>
              <w:tabs>
                <w:tab w:val="left" w:pos="3210"/>
              </w:tabs>
              <w:adjustRightInd w:val="0"/>
              <w:snapToGrid w:val="0"/>
              <w:spacing w:line="360" w:lineRule="exact"/>
              <w:ind w:firstLine="420" w:firstLineChars="200"/>
              <w:jc w:val="left"/>
              <w:rPr>
                <w:del w:id="33" w:author="user" w:date="2026-03-18T10:04:07Z"/>
                <w:rFonts w:ascii="Times New Roman" w:hAnsi="Times New Roman"/>
                <w:color w:val="auto"/>
                <w:kern w:val="0"/>
                <w:szCs w:val="21"/>
                <w:highlight w:val="none"/>
              </w:rPr>
            </w:pPr>
            <w:del w:id="34" w:author="user" w:date="2026-03-18T10:04:07Z">
              <w:r>
                <w:rPr>
                  <w:rFonts w:ascii="Times New Roman" w:hAnsi="Times New Roman"/>
                  <w:color w:val="auto"/>
                  <w:kern w:val="0"/>
                  <w:szCs w:val="21"/>
                  <w:highlight w:val="none"/>
                </w:rPr>
                <w:delText>2.</w:delText>
              </w:r>
            </w:del>
            <w:del w:id="35" w:author="user" w:date="2026-03-18T10:04:07Z">
              <w:r>
                <w:rPr>
                  <w:rFonts w:hint="eastAsia" w:ascii="Times New Roman" w:hAnsi="Times New Roman"/>
                  <w:color w:val="auto"/>
                  <w:kern w:val="0"/>
                  <w:szCs w:val="21"/>
                  <w:highlight w:val="none"/>
                </w:rPr>
                <w:delText>银行保函□</w:delText>
              </w:r>
            </w:del>
          </w:p>
          <w:p>
            <w:pPr>
              <w:tabs>
                <w:tab w:val="left" w:pos="3210"/>
              </w:tabs>
              <w:adjustRightInd w:val="0"/>
              <w:snapToGrid w:val="0"/>
              <w:spacing w:line="360" w:lineRule="exact"/>
              <w:ind w:firstLine="420" w:firstLineChars="200"/>
              <w:jc w:val="left"/>
              <w:rPr>
                <w:del w:id="36" w:author="user" w:date="2026-03-18T10:04:07Z"/>
                <w:rFonts w:ascii="Times New Roman" w:hAnsi="Times New Roman"/>
                <w:color w:val="auto"/>
                <w:kern w:val="0"/>
                <w:szCs w:val="21"/>
                <w:highlight w:val="none"/>
              </w:rPr>
            </w:pPr>
            <w:del w:id="37" w:author="user" w:date="2026-03-18T10:04:07Z">
              <w:r>
                <w:rPr>
                  <w:rFonts w:ascii="Times New Roman" w:hAnsi="Times New Roman"/>
                  <w:color w:val="auto"/>
                  <w:kern w:val="0"/>
                  <w:szCs w:val="21"/>
                  <w:highlight w:val="none"/>
                </w:rPr>
                <w:delText>3.</w:delText>
              </w:r>
            </w:del>
            <w:del w:id="38" w:author="user" w:date="2026-03-18T10:04:07Z">
              <w:r>
                <w:rPr>
                  <w:rFonts w:hint="eastAsia" w:ascii="Times New Roman" w:hAnsi="Times New Roman"/>
                  <w:color w:val="auto"/>
                  <w:kern w:val="0"/>
                  <w:szCs w:val="21"/>
                  <w:highlight w:val="none"/>
                </w:rPr>
                <w:delText>保险保函□</w:delText>
              </w:r>
            </w:del>
          </w:p>
          <w:p>
            <w:pPr>
              <w:tabs>
                <w:tab w:val="left" w:pos="3210"/>
              </w:tabs>
              <w:adjustRightInd w:val="0"/>
              <w:snapToGrid w:val="0"/>
              <w:spacing w:line="360" w:lineRule="exact"/>
              <w:ind w:firstLine="420" w:firstLineChars="200"/>
              <w:jc w:val="left"/>
              <w:rPr>
                <w:del w:id="39" w:author="user" w:date="2026-03-18T10:04:07Z"/>
                <w:rFonts w:hint="eastAsia" w:ascii="Times New Roman" w:hAnsi="Times New Roman"/>
                <w:color w:val="auto"/>
                <w:kern w:val="0"/>
                <w:szCs w:val="21"/>
                <w:highlight w:val="none"/>
              </w:rPr>
            </w:pPr>
          </w:p>
          <w:p>
            <w:pPr>
              <w:tabs>
                <w:tab w:val="left" w:pos="3210"/>
              </w:tabs>
              <w:adjustRightInd w:val="0"/>
              <w:snapToGrid w:val="0"/>
              <w:spacing w:line="360" w:lineRule="exact"/>
              <w:ind w:firstLine="420" w:firstLineChars="200"/>
              <w:jc w:val="left"/>
              <w:rPr>
                <w:del w:id="40" w:author="user" w:date="2026-03-18T10:04:07Z"/>
                <w:rFonts w:ascii="Times New Roman" w:hAnsi="Times New Roman"/>
                <w:color w:val="auto"/>
                <w:kern w:val="0"/>
                <w:szCs w:val="21"/>
                <w:highlight w:val="none"/>
              </w:rPr>
            </w:pPr>
            <w:del w:id="41" w:author="user" w:date="2026-03-18T10:04:07Z">
              <w:r>
                <w:rPr>
                  <w:rFonts w:hint="eastAsia" w:ascii="Times New Roman" w:hAnsi="Times New Roman"/>
                  <w:color w:val="auto"/>
                  <w:kern w:val="0"/>
                  <w:szCs w:val="21"/>
                  <w:highlight w:val="none"/>
                </w:rPr>
                <w:delText>备注：</w:delText>
              </w:r>
            </w:del>
          </w:p>
          <w:p>
            <w:pPr>
              <w:tabs>
                <w:tab w:val="left" w:pos="3210"/>
              </w:tabs>
              <w:adjustRightInd w:val="0"/>
              <w:snapToGrid w:val="0"/>
              <w:spacing w:line="360" w:lineRule="exact"/>
              <w:ind w:firstLine="420" w:firstLineChars="200"/>
              <w:jc w:val="left"/>
              <w:rPr>
                <w:del w:id="42" w:author="user" w:date="2026-03-18T10:04:07Z"/>
                <w:rFonts w:ascii="Times New Roman" w:hAnsi="Times New Roman"/>
                <w:color w:val="auto"/>
                <w:kern w:val="0"/>
                <w:szCs w:val="21"/>
                <w:highlight w:val="none"/>
              </w:rPr>
            </w:pPr>
            <w:del w:id="43" w:author="user" w:date="2026-03-18T10:04:07Z">
              <w:r>
                <w:rPr>
                  <w:rFonts w:hint="eastAsia" w:ascii="Times New Roman" w:hAnsi="Times New Roman"/>
                  <w:color w:val="auto"/>
                  <w:kern w:val="0"/>
                  <w:szCs w:val="21"/>
                  <w:highlight w:val="none"/>
                </w:rPr>
                <w:delText>1. 现金方式为必选项，招标人不得拒绝现金缴纳方式。由投标人自行通过其基本账户将投标保证金转账至攀枝花市公共资源交易服务中心保证金专户</w:delText>
              </w:r>
            </w:del>
            <w:del w:id="44" w:author="user" w:date="2026-03-18T10:04:07Z">
              <w:r>
                <w:rPr>
                  <w:rFonts w:hint="eastAsia" w:ascii="Times New Roman"/>
                  <w:color w:val="auto"/>
                  <w:kern w:val="0"/>
                  <w:szCs w:val="21"/>
                  <w:highlight w:val="none"/>
                </w:rPr>
                <w:delText>。</w:delText>
              </w:r>
            </w:del>
            <w:del w:id="45" w:author="user" w:date="2026-03-18T10:04:07Z">
              <w:r>
                <w:rPr>
                  <w:rFonts w:hint="eastAsia" w:ascii="Times New Roman" w:hAnsi="Times New Roman"/>
                  <w:color w:val="auto"/>
                  <w:kern w:val="0"/>
                  <w:szCs w:val="21"/>
                  <w:highlight w:val="none"/>
                </w:rPr>
                <w:delText>由于资金没有及时到账而造成的后果，由投标人自行负责。</w:delText>
              </w:r>
            </w:del>
          </w:p>
          <w:p>
            <w:pPr>
              <w:tabs>
                <w:tab w:val="left" w:pos="3210"/>
              </w:tabs>
              <w:adjustRightInd w:val="0"/>
              <w:snapToGrid w:val="0"/>
              <w:spacing w:line="360" w:lineRule="exact"/>
              <w:ind w:firstLine="420" w:firstLineChars="200"/>
              <w:jc w:val="left"/>
              <w:rPr>
                <w:del w:id="46" w:author="user" w:date="2026-03-18T10:04:07Z"/>
                <w:rFonts w:ascii="Times New Roman"/>
                <w:color w:val="auto"/>
                <w:kern w:val="0"/>
                <w:szCs w:val="21"/>
                <w:highlight w:val="none"/>
              </w:rPr>
            </w:pPr>
            <w:del w:id="47" w:author="user" w:date="2026-03-18T10:04:07Z">
              <w:r>
                <w:rPr>
                  <w:rFonts w:hint="eastAsia" w:ascii="Times New Roman" w:hAnsi="Times New Roman"/>
                  <w:color w:val="auto"/>
                  <w:kern w:val="0"/>
                  <w:szCs w:val="21"/>
                  <w:highlight w:val="none"/>
                </w:rPr>
                <w:delText>投标保证金缴纳到账截止时间为  年  月   日  时；投标保证金的金额为：   元。</w:delText>
              </w:r>
            </w:del>
          </w:p>
          <w:p>
            <w:pPr>
              <w:adjustRightInd w:val="0"/>
              <w:snapToGrid w:val="0"/>
              <w:spacing w:line="360" w:lineRule="exact"/>
              <w:jc w:val="left"/>
              <w:rPr>
                <w:del w:id="48" w:author="user" w:date="2026-03-18T10:04:07Z"/>
                <w:rFonts w:ascii="Times New Roman"/>
                <w:color w:val="auto"/>
                <w:kern w:val="0"/>
                <w:szCs w:val="21"/>
                <w:highlight w:val="none"/>
              </w:rPr>
            </w:pPr>
            <w:del w:id="49" w:author="user" w:date="2026-03-18T10:04:07Z">
              <w:r>
                <w:rPr>
                  <w:rFonts w:hint="eastAsia" w:ascii="Times New Roman" w:hAnsi="Times New Roman"/>
                  <w:color w:val="auto"/>
                  <w:kern w:val="0"/>
                  <w:szCs w:val="21"/>
                  <w:highlight w:val="none"/>
                </w:rPr>
                <w:delText xml:space="preserve">    收款账户为：</w:delText>
              </w:r>
            </w:del>
          </w:p>
          <w:p>
            <w:pPr>
              <w:adjustRightInd w:val="0"/>
              <w:snapToGrid w:val="0"/>
              <w:spacing w:line="360" w:lineRule="exact"/>
              <w:jc w:val="left"/>
              <w:rPr>
                <w:del w:id="50" w:author="user" w:date="2026-03-18T10:04:07Z"/>
                <w:rFonts w:ascii="Times New Roman"/>
                <w:color w:val="auto"/>
                <w:kern w:val="0"/>
                <w:szCs w:val="21"/>
                <w:highlight w:val="none"/>
              </w:rPr>
            </w:pPr>
            <w:del w:id="51" w:author="user" w:date="2026-03-18T10:04:07Z">
              <w:r>
                <w:rPr>
                  <w:rFonts w:hint="eastAsia" w:ascii="Times New Roman" w:hAnsi="Times New Roman"/>
                  <w:color w:val="auto"/>
                  <w:kern w:val="0"/>
                  <w:szCs w:val="21"/>
                  <w:highlight w:val="none"/>
                </w:rPr>
                <w:delText xml:space="preserve">    账户名称：攀枝花市公共资源交易服务中心</w:delText>
              </w:r>
            </w:del>
          </w:p>
          <w:p>
            <w:pPr>
              <w:adjustRightInd w:val="0"/>
              <w:snapToGrid w:val="0"/>
              <w:spacing w:line="360" w:lineRule="exact"/>
              <w:jc w:val="left"/>
              <w:rPr>
                <w:del w:id="52" w:author="user" w:date="2026-03-18T10:04:07Z"/>
                <w:rFonts w:ascii="Times New Roman" w:hAnsi="Times New Roman"/>
                <w:color w:val="auto"/>
                <w:kern w:val="0"/>
                <w:szCs w:val="21"/>
                <w:highlight w:val="none"/>
              </w:rPr>
            </w:pPr>
            <w:del w:id="53" w:author="user" w:date="2026-03-18T10:04:07Z">
              <w:r>
                <w:rPr>
                  <w:rFonts w:hint="eastAsia" w:ascii="Times New Roman" w:hAnsi="Times New Roman"/>
                  <w:color w:val="auto"/>
                  <w:kern w:val="0"/>
                  <w:szCs w:val="21"/>
                  <w:highlight w:val="none"/>
                </w:rPr>
                <w:delText xml:space="preserve">    开户银行：工行攀枝花分行</w:delText>
              </w:r>
            </w:del>
          </w:p>
          <w:p>
            <w:pPr>
              <w:adjustRightInd w:val="0"/>
              <w:snapToGrid w:val="0"/>
              <w:spacing w:line="360" w:lineRule="exact"/>
              <w:jc w:val="left"/>
              <w:rPr>
                <w:del w:id="54" w:author="user" w:date="2026-03-18T10:04:07Z"/>
                <w:rFonts w:ascii="Times New Roman" w:hAnsi="Times New Roman"/>
                <w:color w:val="auto"/>
                <w:kern w:val="0"/>
                <w:szCs w:val="21"/>
                <w:highlight w:val="none"/>
              </w:rPr>
            </w:pPr>
            <w:del w:id="55" w:author="user" w:date="2026-03-18T10:04:07Z">
              <w:r>
                <w:rPr>
                  <w:rFonts w:hint="eastAsia" w:ascii="Times New Roman" w:hAnsi="Times New Roman"/>
                  <w:color w:val="auto"/>
                  <w:kern w:val="0"/>
                  <w:szCs w:val="21"/>
                  <w:highlight w:val="none"/>
                </w:rPr>
                <w:delText xml:space="preserve">    账    号：</w:delText>
              </w:r>
            </w:del>
            <w:del w:id="56" w:author="user" w:date="2026-03-18T10:04:07Z">
              <w:r>
                <w:rPr>
                  <w:rFonts w:ascii="Times New Roman" w:hAnsi="Times New Roman"/>
                  <w:color w:val="auto"/>
                  <w:kern w:val="0"/>
                  <w:szCs w:val="21"/>
                  <w:highlight w:val="none"/>
                </w:rPr>
                <w:delText>2302332119100116196</w:delText>
              </w:r>
            </w:del>
          </w:p>
          <w:p>
            <w:pPr>
              <w:adjustRightInd w:val="0"/>
              <w:snapToGrid w:val="0"/>
              <w:spacing w:line="360" w:lineRule="exact"/>
              <w:ind w:firstLine="420" w:firstLineChars="200"/>
              <w:jc w:val="left"/>
              <w:rPr>
                <w:del w:id="57" w:author="user" w:date="2026-03-18T10:04:07Z"/>
                <w:rFonts w:ascii="Times New Roman"/>
                <w:color w:val="auto"/>
                <w:kern w:val="0"/>
                <w:szCs w:val="21"/>
                <w:highlight w:val="none"/>
              </w:rPr>
            </w:pPr>
            <w:del w:id="58" w:author="user" w:date="2026-03-18T10:04:07Z">
              <w:r>
                <w:rPr>
                  <w:rFonts w:hint="eastAsia" w:ascii="Times New Roman" w:hAnsi="Times New Roman"/>
                  <w:color w:val="auto"/>
                  <w:kern w:val="0"/>
                  <w:szCs w:val="21"/>
                  <w:highlight w:val="none"/>
                </w:rPr>
                <w:delText>投标保证金从投标人的基本账户转入的银行凭证、企业基本账户开户许可证（加盖企业鲜章）需由投标人自行扫描件至电子投标文件中。</w:delText>
              </w:r>
            </w:del>
          </w:p>
          <w:p>
            <w:pPr>
              <w:adjustRightInd w:val="0"/>
              <w:snapToGrid w:val="0"/>
              <w:spacing w:line="360" w:lineRule="exact"/>
              <w:ind w:firstLine="420" w:firstLineChars="200"/>
              <w:jc w:val="left"/>
              <w:rPr>
                <w:del w:id="59" w:author="user" w:date="2026-03-18T10:04:07Z"/>
                <w:rFonts w:hint="eastAsia" w:ascii="Times New Roman" w:hAnsi="Times New Roman"/>
                <w:color w:val="auto"/>
                <w:kern w:val="0"/>
                <w:szCs w:val="21"/>
                <w:highlight w:val="none"/>
              </w:rPr>
            </w:pPr>
            <w:del w:id="60" w:author="user" w:date="2026-03-18T10:04:07Z">
              <w:r>
                <w:rPr>
                  <w:rFonts w:hint="eastAsia" w:ascii="Times New Roman" w:hAnsi="Times New Roman"/>
                  <w:color w:val="auto"/>
                  <w:kern w:val="0"/>
                  <w:szCs w:val="21"/>
                  <w:highlight w:val="none"/>
                </w:rPr>
                <w:delText>2.银行保函、保险保函为非必选项，具体以招标人在招标文件中勾选确认的为准。银行保函需由投标人向中国工商银行股份有限公司攀枝花分行及下属支行申请开具，保险保函由投标人向接入全国公共资源交易平台（四川省·攀枝花市）的保险公司申请开具，保险公司名单以平台上显示可用的保险公司为准。</w:delText>
              </w:r>
            </w:del>
          </w:p>
          <w:p>
            <w:pPr>
              <w:adjustRightInd w:val="0"/>
              <w:snapToGrid w:val="0"/>
              <w:spacing w:line="360" w:lineRule="exact"/>
              <w:ind w:firstLine="420" w:firstLineChars="200"/>
              <w:jc w:val="left"/>
              <w:rPr>
                <w:del w:id="61" w:author="user" w:date="2026-03-18T10:04:07Z"/>
                <w:rFonts w:hint="eastAsia" w:ascii="Times New Roman" w:hAnsi="Times New Roman"/>
                <w:color w:val="auto"/>
                <w:kern w:val="0"/>
                <w:szCs w:val="21"/>
                <w:highlight w:val="none"/>
              </w:rPr>
            </w:pPr>
            <w:del w:id="62" w:author="user" w:date="2026-03-18T10:04:07Z">
              <w:r>
                <w:rPr>
                  <w:rFonts w:hint="eastAsia" w:ascii="Times New Roman" w:hAnsi="Times New Roman"/>
                  <w:color w:val="auto"/>
                  <w:kern w:val="0"/>
                  <w:szCs w:val="21"/>
                  <w:highlight w:val="none"/>
                </w:rPr>
                <w:delText>攀枝花市公共资源交易服务中心为各方交易主体提供对接金融机构服务，但不为保函(保险)服务涉及的任何用户提供任何形式的担保，不保证各金融机构的实力，请投标人参考各金融机构的偿付能力谨慎选择。</w:delText>
              </w:r>
            </w:del>
          </w:p>
          <w:p>
            <w:pPr>
              <w:adjustRightInd w:val="0"/>
              <w:snapToGrid w:val="0"/>
              <w:spacing w:line="360" w:lineRule="exact"/>
              <w:ind w:firstLine="420" w:firstLineChars="200"/>
              <w:jc w:val="left"/>
              <w:rPr>
                <w:del w:id="63" w:author="user" w:date="2026-03-18T10:04:07Z"/>
                <w:rFonts w:ascii="Times New Roman" w:hAnsi="Times New Roman"/>
                <w:color w:val="auto"/>
                <w:kern w:val="0"/>
                <w:szCs w:val="21"/>
                <w:highlight w:val="none"/>
              </w:rPr>
            </w:pPr>
            <w:del w:id="64" w:author="user" w:date="2026-03-18T10:04:07Z">
              <w:r>
                <w:rPr>
                  <w:rFonts w:hint="eastAsia" w:ascii="Times New Roman" w:hAnsi="Times New Roman"/>
                  <w:color w:val="auto"/>
                  <w:kern w:val="0"/>
                  <w:szCs w:val="21"/>
                  <w:highlight w:val="none"/>
                </w:rPr>
                <w:delText>投标人应在投标保证金缴纳截止时间前获得银行保函或保险保函。银行保函、保险保函的生效时间最迟不晚于投标截止时间，在投标有效期内保持有效。</w:delText>
              </w:r>
            </w:del>
          </w:p>
          <w:p>
            <w:pPr>
              <w:spacing w:line="360" w:lineRule="exact"/>
              <w:ind w:firstLine="420" w:firstLineChars="200"/>
              <w:rPr>
                <w:del w:id="65" w:author="user" w:date="2026-03-18T10:04:07Z"/>
                <w:rFonts w:ascii="Times New Roman" w:hAnsi="Times New Roman"/>
                <w:color w:val="auto"/>
                <w:kern w:val="0"/>
                <w:szCs w:val="21"/>
                <w:highlight w:val="none"/>
              </w:rPr>
            </w:pPr>
            <w:del w:id="66" w:author="user" w:date="2026-03-18T10:04:07Z">
              <w:r>
                <w:rPr>
                  <w:rFonts w:hint="eastAsia" w:ascii="Times New Roman" w:hAnsi="Times New Roman"/>
                  <w:color w:val="auto"/>
                  <w:kern w:val="0"/>
                  <w:szCs w:val="21"/>
                  <w:highlight w:val="none"/>
                </w:rPr>
                <w:delText>3.投标保证金缴纳完成后，投标人需在投标截止时间前自行在全国公共资源交易平台（四川省·攀枝花市）（网址：</w:delText>
              </w:r>
            </w:del>
            <w:del w:id="67" w:author="user" w:date="2026-03-18T10:04:07Z">
              <w:r>
                <w:rPr>
                  <w:rFonts w:ascii="Times New Roman" w:hAnsi="Times New Roman"/>
                  <w:color w:val="auto"/>
                  <w:kern w:val="0"/>
                  <w:szCs w:val="21"/>
                  <w:highlight w:val="none"/>
                </w:rPr>
                <w:delText>www.pzhggzy.cn</w:delText>
              </w:r>
            </w:del>
            <w:del w:id="68" w:author="user" w:date="2026-03-18T10:04:07Z">
              <w:r>
                <w:rPr>
                  <w:rFonts w:hint="eastAsia" w:ascii="Times New Roman" w:hAnsi="Times New Roman"/>
                  <w:color w:val="auto"/>
                  <w:kern w:val="0"/>
                  <w:szCs w:val="21"/>
                  <w:highlight w:val="none"/>
                </w:rPr>
                <w:delText>）上进行项目分配并上传电子投标文件，在规定时间内未能完成项目分配的，将视为无效投标。银行将投标保函数据上传至攀枝花市公共资源电子化交易系统，再由投标人在投标截止时间前自行分配。保险公司将投标保函数据上传至攀枝花市公共资源电子化交易系统，再由投标人在投标截止时间前自行分配。</w:delText>
              </w:r>
            </w:del>
          </w:p>
          <w:p>
            <w:pPr>
              <w:spacing w:line="360" w:lineRule="auto"/>
              <w:ind w:firstLine="420" w:firstLineChars="200"/>
              <w:rPr>
                <w:rFonts w:hint="eastAsia" w:ascii="Times New Roman" w:hAnsi="Times New Roman" w:cs="宋体"/>
                <w:color w:val="auto"/>
                <w:sz w:val="24"/>
                <w:highlight w:val="none"/>
              </w:rPr>
            </w:pPr>
            <w:del w:id="69" w:author="user" w:date="2026-03-18T10:04:07Z">
              <w:r>
                <w:rPr>
                  <w:rFonts w:hint="eastAsia" w:ascii="Times New Roman" w:hAnsi="Times New Roman"/>
                  <w:color w:val="auto"/>
                  <w:kern w:val="0"/>
                  <w:szCs w:val="21"/>
                  <w:highlight w:val="none"/>
                </w:rPr>
                <w:delText>4.投标人缴纳投标保证金名单以攀枝花市公共资源交易服务中心在开标时通过电子化招标平台打印的名单为准。未按规定缴纳投标保证金的将视为无效投标。</w:delText>
              </w:r>
            </w:del>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3.4.</w:t>
            </w:r>
            <w:r>
              <w:rPr>
                <w:rFonts w:hint="eastAsia" w:ascii="Times New Roman" w:hAnsi="Times New Roman" w:cs="宋体"/>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投标保证金</w:t>
            </w:r>
          </w:p>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的退还</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kern w:val="0"/>
                <w:sz w:val="24"/>
                <w:highlight w:val="none"/>
              </w:rPr>
              <w:t>招标人最迟应当在书面合同签订后5日内向中标人和未中标的投标人退还投标保证金到投标人的基本账户，退还投标保证金时通过</w:t>
            </w:r>
            <w:r>
              <w:rPr>
                <w:rFonts w:hint="eastAsia" w:ascii="Times New Roman" w:hAnsi="Times New Roman" w:cs="宋体"/>
                <w:color w:val="auto"/>
                <w:kern w:val="0"/>
                <w:sz w:val="24"/>
                <w:highlight w:val="none"/>
                <w:u w:val="single"/>
              </w:rPr>
              <w:t>攀枝花市公共资源交易服务中心电子化招标平台</w:t>
            </w:r>
            <w:r>
              <w:rPr>
                <w:rFonts w:hint="eastAsia" w:ascii="Times New Roman" w:hAnsi="Times New Roman" w:cs="宋体"/>
                <w:color w:val="auto"/>
                <w:kern w:val="0"/>
                <w:sz w:val="24"/>
                <w:highlight w:val="none"/>
              </w:rPr>
              <w:t>原路径退还。</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3.4.</w:t>
            </w:r>
            <w:r>
              <w:rPr>
                <w:rFonts w:hint="eastAsia" w:ascii="Times New Roman" w:hAnsi="Times New Roman" w:cs="宋体"/>
                <w:color w:val="auto"/>
                <w:sz w:val="24"/>
                <w:highlight w:val="none"/>
                <w:lang w:val="en-US" w:eastAsia="zh-CN"/>
              </w:rPr>
              <w:t>3</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olor w:val="auto"/>
                <w:sz w:val="24"/>
                <w:highlight w:val="none"/>
              </w:rPr>
              <w:t>投标保证金不予退还的情形</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在投标活动中，投标人串通投标、弄虚作假，</w:t>
            </w:r>
            <w:r>
              <w:rPr>
                <w:rFonts w:hint="eastAsia" w:ascii="Times New Roman" w:hAnsi="Times New Roman"/>
                <w:color w:val="auto"/>
                <w:sz w:val="24"/>
                <w:highlight w:val="none"/>
              </w:rPr>
              <w:t>中标人在收到中标通知书后，无正当理由拒签合同协议书的</w:t>
            </w:r>
            <w:r>
              <w:rPr>
                <w:rFonts w:ascii="Times New Roman" w:hAnsi="Times New Roman"/>
                <w:color w:val="auto"/>
                <w:sz w:val="24"/>
                <w:highlight w:val="none"/>
              </w:rPr>
              <w:t>，</w:t>
            </w:r>
            <w:r>
              <w:rPr>
                <w:rFonts w:hint="eastAsia" w:ascii="Times New Roman" w:hAnsi="Times New Roman" w:cs="宋体"/>
                <w:color w:val="auto"/>
                <w:sz w:val="24"/>
                <w:highlight w:val="none"/>
              </w:rPr>
              <w:t>投标保证金也不予退还。</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其他情形：</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3.5.</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近年财务状况</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Times New Roman" w:hAnsi="Times New Roman" w:cs="宋体"/>
                <w:color w:val="auto"/>
                <w:sz w:val="24"/>
                <w:highlight w:val="none"/>
              </w:rPr>
            </w:pPr>
            <w:r>
              <w:rPr>
                <w:rFonts w:hint="eastAsia" w:ascii="Times New Roman" w:hAnsi="Times New Roman"/>
                <w:color w:val="auto"/>
                <w:sz w:val="28"/>
                <w:szCs w:val="28"/>
                <w:highlight w:val="none"/>
              </w:rPr>
              <w:sym w:font="Wingdings 2" w:char="00A3"/>
            </w:r>
            <w:r>
              <w:rPr>
                <w:rFonts w:hint="eastAsia" w:ascii="Times New Roman" w:hAnsi="Times New Roman" w:cs="宋体"/>
                <w:color w:val="auto"/>
                <w:sz w:val="24"/>
                <w:highlight w:val="none"/>
              </w:rPr>
              <w:t>无</w:t>
            </w:r>
          </w:p>
          <w:p>
            <w:pPr>
              <w:spacing w:line="440" w:lineRule="exact"/>
              <w:rPr>
                <w:rFonts w:hint="eastAsia" w:ascii="Times New Roman" w:hAnsi="Times New Roman" w:cs="宋体"/>
                <w:color w:val="auto"/>
                <w:sz w:val="24"/>
                <w:highlight w:val="none"/>
              </w:rPr>
            </w:pPr>
            <w:r>
              <w:rPr>
                <w:rFonts w:hint="eastAsia" w:ascii="Times New Roman" w:hAnsi="Times New Roman"/>
                <w:color w:val="auto"/>
                <w:sz w:val="28"/>
                <w:szCs w:val="28"/>
                <w:highlight w:val="none"/>
              </w:rPr>
              <w:t>□</w:t>
            </w:r>
            <w:r>
              <w:rPr>
                <w:rFonts w:hint="eastAsia" w:ascii="Times New Roman" w:hAnsi="Times New Roman" w:cs="宋体"/>
                <w:color w:val="auto"/>
                <w:sz w:val="24"/>
                <w:highlight w:val="none"/>
              </w:rPr>
              <w:t>有，具体要求：近</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3.5.</w:t>
            </w:r>
            <w:r>
              <w:rPr>
                <w:rFonts w:hint="eastAsia" w:ascii="Times New Roman" w:hAnsi="Times New Roman" w:cs="宋体"/>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近年完成的类似项目</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60" w:lineRule="auto"/>
              <w:jc w:val="left"/>
              <w:rPr>
                <w:rFonts w:ascii="Times New Roman" w:hAnsi="Times New Roman" w:cs="Arial"/>
                <w:color w:val="auto"/>
                <w:kern w:val="0"/>
                <w:sz w:val="24"/>
                <w:highlight w:val="none"/>
              </w:rPr>
            </w:pPr>
            <w:r>
              <w:rPr>
                <w:rFonts w:hint="eastAsia" w:ascii="Times New Roman" w:hAnsi="Times New Roman" w:cs="Arial"/>
                <w:color w:val="auto"/>
                <w:kern w:val="0"/>
                <w:sz w:val="28"/>
                <w:szCs w:val="28"/>
                <w:highlight w:val="none"/>
              </w:rPr>
              <w:t>□</w:t>
            </w:r>
            <w:r>
              <w:rPr>
                <w:rFonts w:hint="eastAsia" w:ascii="Times New Roman" w:hAnsi="Times New Roman" w:cs="Arial"/>
                <w:color w:val="auto"/>
                <w:kern w:val="0"/>
                <w:sz w:val="24"/>
                <w:highlight w:val="none"/>
              </w:rPr>
              <w:t>无</w:t>
            </w:r>
          </w:p>
          <w:p>
            <w:pPr>
              <w:spacing w:line="440" w:lineRule="exact"/>
              <w:rPr>
                <w:rFonts w:hint="eastAsia" w:ascii="Times New Roman" w:hAnsi="Times New Roman" w:cs="宋体"/>
                <w:color w:val="auto"/>
                <w:sz w:val="24"/>
                <w:highlight w:val="none"/>
              </w:rPr>
            </w:pPr>
            <w:r>
              <w:rPr>
                <w:rFonts w:hint="eastAsia" w:ascii="Times New Roman" w:hAnsi="Times New Roman" w:cs="Arial"/>
                <w:color w:val="auto"/>
                <w:kern w:val="0"/>
                <w:sz w:val="28"/>
                <w:szCs w:val="28"/>
                <w:highlight w:val="none"/>
              </w:rPr>
              <w:t>□</w:t>
            </w:r>
            <w:r>
              <w:rPr>
                <w:rFonts w:hint="eastAsia" w:ascii="Times New Roman" w:hAnsi="Times New Roman" w:cs="Arial"/>
                <w:color w:val="auto"/>
                <w:kern w:val="0"/>
                <w:sz w:val="24"/>
                <w:highlight w:val="none"/>
              </w:rPr>
              <w:t>有</w:t>
            </w:r>
            <w:r>
              <w:rPr>
                <w:rFonts w:hint="eastAsia" w:ascii="Times New Roman" w:hAnsi="Times New Roman" w:cs="宋体"/>
                <w:color w:val="auto"/>
                <w:kern w:val="0"/>
                <w:sz w:val="24"/>
                <w:highlight w:val="none"/>
              </w:rPr>
              <w:t>，具体要求：</w:t>
            </w:r>
            <w:r>
              <w:rPr>
                <w:rFonts w:hint="eastAsia" w:ascii="Times New Roman" w:hAnsi="Times New Roman" w:cs="宋体"/>
                <w:color w:val="auto"/>
                <w:kern w:val="0"/>
                <w:sz w:val="24"/>
                <w:highlight w:val="none"/>
                <w:u w:val="single"/>
              </w:rPr>
              <w:t xml:space="preserve">   </w:t>
            </w:r>
            <w:r>
              <w:rPr>
                <w:rFonts w:hint="eastAsia" w:ascii="Times New Roman" w:hAnsi="Times New Roman" w:cs="宋体"/>
                <w:color w:val="auto"/>
                <w:kern w:val="0"/>
                <w:sz w:val="24"/>
                <w:highlight w:val="none"/>
              </w:rPr>
              <w:t>年</w:t>
            </w:r>
            <w:r>
              <w:rPr>
                <w:rFonts w:hint="eastAsia" w:ascii="Times New Roman" w:hAnsi="Times New Roman" w:cs="宋体"/>
                <w:color w:val="auto"/>
                <w:kern w:val="0"/>
                <w:sz w:val="24"/>
                <w:highlight w:val="none"/>
                <w:u w:val="single"/>
              </w:rPr>
              <w:t xml:space="preserve">  </w:t>
            </w:r>
            <w:r>
              <w:rPr>
                <w:rFonts w:hint="eastAsia" w:ascii="Times New Roman" w:hAnsi="Times New Roman" w:cs="宋体"/>
                <w:color w:val="auto"/>
                <w:kern w:val="0"/>
                <w:sz w:val="24"/>
                <w:highlight w:val="none"/>
              </w:rPr>
              <w:t>月</w:t>
            </w:r>
            <w:r>
              <w:rPr>
                <w:rFonts w:hint="eastAsia" w:ascii="Times New Roman" w:hAnsi="Times New Roman" w:cs="宋体"/>
                <w:color w:val="auto"/>
                <w:kern w:val="0"/>
                <w:sz w:val="24"/>
                <w:highlight w:val="none"/>
                <w:u w:val="single"/>
              </w:rPr>
              <w:t xml:space="preserve">  </w:t>
            </w:r>
            <w:r>
              <w:rPr>
                <w:rFonts w:hint="eastAsia" w:ascii="Times New Roman" w:hAnsi="Times New Roman" w:cs="宋体"/>
                <w:color w:val="auto"/>
                <w:kern w:val="0"/>
                <w:sz w:val="24"/>
                <w:highlight w:val="none"/>
              </w:rPr>
              <w:t>日至投标截止时间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3.5.</w:t>
            </w:r>
            <w:r>
              <w:rPr>
                <w:rFonts w:hint="eastAsia" w:ascii="Times New Roman" w:hAnsi="Times New Roman" w:cs="宋体"/>
                <w:color w:val="auto"/>
                <w:sz w:val="24"/>
                <w:highlight w:val="none"/>
                <w:lang w:val="en-US" w:eastAsia="zh-CN"/>
              </w:rPr>
              <w:t>3</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近年发生的重大诉讼及仲裁情况</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cs="Arial"/>
                <w:color w:val="auto"/>
                <w:kern w:val="0"/>
                <w:sz w:val="28"/>
                <w:szCs w:val="28"/>
                <w:highlight w:val="none"/>
              </w:rPr>
            </w:pPr>
            <w:r>
              <w:rPr>
                <w:rFonts w:hint="eastAsia" w:ascii="Times New Roman" w:hAnsi="Times New Roman" w:cs="Arial"/>
                <w:color w:val="auto"/>
                <w:kern w:val="0"/>
                <w:sz w:val="28"/>
                <w:szCs w:val="28"/>
                <w:highlight w:val="none"/>
              </w:rPr>
              <w:t>□</w:t>
            </w:r>
            <w:r>
              <w:rPr>
                <w:rFonts w:hint="eastAsia" w:ascii="Times New Roman" w:hAnsi="Times New Roman" w:cs="Arial"/>
                <w:color w:val="auto"/>
                <w:kern w:val="0"/>
                <w:sz w:val="24"/>
                <w:highlight w:val="none"/>
              </w:rPr>
              <w:t>本次投标不提供</w:t>
            </w:r>
          </w:p>
          <w:p>
            <w:pPr>
              <w:spacing w:line="440" w:lineRule="exact"/>
              <w:rPr>
                <w:rFonts w:hint="eastAsia" w:ascii="Times New Roman" w:hAnsi="Times New Roman" w:cs="宋体"/>
                <w:color w:val="auto"/>
                <w:sz w:val="24"/>
                <w:highlight w:val="none"/>
              </w:rPr>
            </w:pPr>
            <w:r>
              <w:rPr>
                <w:rFonts w:hint="eastAsia" w:ascii="Times New Roman" w:hAnsi="Times New Roman" w:cs="Arial"/>
                <w:color w:val="auto"/>
                <w:kern w:val="0"/>
                <w:sz w:val="28"/>
                <w:szCs w:val="28"/>
                <w:highlight w:val="none"/>
              </w:rPr>
              <w:sym w:font="Wingdings 2" w:char="00A3"/>
            </w:r>
            <w:r>
              <w:rPr>
                <w:rFonts w:hint="eastAsia" w:ascii="Times New Roman" w:hAnsi="Times New Roman" w:cs="宋体"/>
                <w:color w:val="auto"/>
                <w:sz w:val="24"/>
                <w:highlight w:val="none"/>
              </w:rPr>
              <w:t>具体要求：</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日至投标截止时间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3.6</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是否允许递交备选投标方案</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□不允许</w:t>
            </w:r>
          </w:p>
          <w:p>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□允许</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olor w:val="auto"/>
                <w:sz w:val="24"/>
                <w:highlight w:val="none"/>
              </w:rPr>
              <w:t>3.7.1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olor w:val="auto"/>
                <w:sz w:val="24"/>
                <w:highlight w:val="none"/>
              </w:rPr>
              <w:t>投标文件格式</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ind w:firstLine="480" w:firstLineChars="200"/>
              <w:rPr>
                <w:rFonts w:hint="eastAsia"/>
                <w:color w:val="auto"/>
                <w:sz w:val="24"/>
                <w:highlight w:val="none"/>
                <w:lang w:eastAsia="zh-CN"/>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1</w:t>
            </w: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rPr>
              <w:t>投标文件包含商务文件、技术文件和报价文件，其中</w:t>
            </w:r>
            <w:r>
              <w:rPr>
                <w:rFonts w:hint="eastAsia" w:ascii="Times New Roman" w:hAnsi="Times New Roman" w:cs="宋体"/>
                <w:color w:val="auto"/>
                <w:sz w:val="24"/>
                <w:szCs w:val="24"/>
                <w:highlight w:val="none"/>
                <w:lang w:eastAsia="zh-CN"/>
              </w:rPr>
              <w:t>，</w:t>
            </w:r>
            <w:r>
              <w:rPr>
                <w:rFonts w:hint="eastAsia" w:ascii="Times New Roman" w:hAnsi="Times New Roman" w:eastAsia="宋体" w:cs="宋体"/>
                <w:color w:val="auto"/>
                <w:sz w:val="24"/>
                <w:szCs w:val="24"/>
                <w:highlight w:val="none"/>
              </w:rPr>
              <w:t>技术文件</w:t>
            </w:r>
            <w:r>
              <w:rPr>
                <w:rFonts w:hint="eastAsia" w:ascii="Times New Roman" w:hAnsi="Times New Roman" w:eastAsia="宋体" w:cs="宋体"/>
                <w:color w:val="auto"/>
                <w:sz w:val="24"/>
                <w:szCs w:val="24"/>
                <w:highlight w:val="none"/>
                <w:lang w:val="en-US" w:eastAsia="zh-CN"/>
              </w:rPr>
              <w:t>包含</w:t>
            </w:r>
            <w:r>
              <w:rPr>
                <w:rFonts w:hint="eastAsia"/>
                <w:color w:val="auto"/>
                <w:sz w:val="24"/>
                <w:highlight w:val="none"/>
              </w:rPr>
              <w:t>承包人建议书</w:t>
            </w:r>
            <w:r>
              <w:rPr>
                <w:rFonts w:hint="eastAsia"/>
                <w:color w:val="auto"/>
                <w:sz w:val="24"/>
                <w:highlight w:val="none"/>
                <w:lang w:eastAsia="zh-CN"/>
              </w:rPr>
              <w:t>、</w:t>
            </w:r>
            <w:r>
              <w:rPr>
                <w:rFonts w:hint="eastAsia"/>
                <w:color w:val="auto"/>
                <w:sz w:val="24"/>
                <w:highlight w:val="none"/>
              </w:rPr>
              <w:t>承包人实施方案</w:t>
            </w:r>
            <w:r>
              <w:rPr>
                <w:rFonts w:hint="eastAsia"/>
                <w:color w:val="auto"/>
                <w:sz w:val="24"/>
                <w:highlight w:val="none"/>
                <w:lang w:eastAsia="zh-CN"/>
              </w:rPr>
              <w:t>。</w:t>
            </w:r>
          </w:p>
          <w:p>
            <w:pPr>
              <w:adjustRightInd w:val="0"/>
              <w:snapToGrid w:val="0"/>
              <w:spacing w:line="360" w:lineRule="auto"/>
              <w:ind w:firstLine="480" w:firstLineChars="200"/>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szCs w:val="24"/>
                <w:highlight w:val="none"/>
                <w:lang w:eastAsia="zh-CN"/>
              </w:rPr>
              <w:t>（</w:t>
            </w:r>
            <w:r>
              <w:rPr>
                <w:rFonts w:hint="eastAsia" w:ascii="Times New Roman" w:hAnsi="Times New Roman" w:cs="宋体"/>
                <w:color w:val="auto"/>
                <w:sz w:val="24"/>
                <w:szCs w:val="24"/>
                <w:highlight w:val="none"/>
                <w:lang w:val="en-US" w:eastAsia="zh-CN"/>
              </w:rPr>
              <w:t>2</w:t>
            </w:r>
            <w:r>
              <w:rPr>
                <w:rFonts w:hint="eastAsia" w:ascii="Times New Roman" w:hAnsi="Times New Roman" w:cs="宋体"/>
                <w:color w:val="auto"/>
                <w:sz w:val="24"/>
                <w:szCs w:val="24"/>
                <w:highlight w:val="none"/>
                <w:lang w:eastAsia="zh-CN"/>
              </w:rPr>
              <w:t>）</w:t>
            </w:r>
            <w:r>
              <w:rPr>
                <w:rFonts w:hint="eastAsia"/>
                <w:color w:val="auto"/>
                <w:sz w:val="24"/>
                <w:highlight w:val="none"/>
              </w:rPr>
              <w:t>承包人建议书</w:t>
            </w:r>
            <w:r>
              <w:rPr>
                <w:rFonts w:hint="eastAsia"/>
                <w:color w:val="auto"/>
                <w:sz w:val="24"/>
                <w:highlight w:val="none"/>
                <w:lang w:eastAsia="zh-CN"/>
              </w:rPr>
              <w:t>、</w:t>
            </w:r>
            <w:r>
              <w:rPr>
                <w:rFonts w:hint="eastAsia"/>
                <w:color w:val="auto"/>
                <w:sz w:val="24"/>
                <w:highlight w:val="none"/>
              </w:rPr>
              <w:t>承包人实施方案</w:t>
            </w:r>
            <w:r>
              <w:rPr>
                <w:rFonts w:hint="eastAsia" w:ascii="Times New Roman" w:hAnsi="Times New Roman" w:eastAsia="宋体" w:cs="宋体"/>
                <w:color w:val="auto"/>
                <w:sz w:val="24"/>
                <w:szCs w:val="24"/>
                <w:highlight w:val="none"/>
              </w:rPr>
              <w:t>为“暗标”</w:t>
            </w:r>
            <w:r>
              <w:rPr>
                <w:rFonts w:hint="eastAsia" w:ascii="Times New Roman" w:hAnsi="Times New Roman" w:cs="宋体"/>
                <w:color w:val="auto"/>
                <w:sz w:val="24"/>
                <w:szCs w:val="24"/>
                <w:highlight w:val="none"/>
                <w:lang w:val="en-US" w:eastAsia="zh-CN"/>
              </w:rPr>
              <w:t>,</w:t>
            </w:r>
            <w:r>
              <w:rPr>
                <w:rFonts w:hint="eastAsia" w:ascii="Times New Roman" w:hAnsi="Times New Roman" w:eastAsia="宋体" w:cs="宋体"/>
                <w:color w:val="auto"/>
                <w:sz w:val="24"/>
                <w:szCs w:val="24"/>
                <w:highlight w:val="none"/>
              </w:rPr>
              <w:t>统一文件格式和规范，不得出现</w:t>
            </w:r>
            <w:r>
              <w:rPr>
                <w:rFonts w:hint="eastAsia" w:ascii="Times New Roman" w:hAnsi="Times New Roman" w:eastAsia="宋体" w:cs="宋体"/>
                <w:color w:val="auto"/>
                <w:sz w:val="24"/>
                <w:szCs w:val="24"/>
                <w:highlight w:val="none"/>
                <w:lang w:eastAsia="zh-CN"/>
              </w:rPr>
              <w:t>与</w:t>
            </w:r>
            <w:r>
              <w:rPr>
                <w:rFonts w:hint="eastAsia" w:ascii="Times New Roman" w:hAnsi="Times New Roman" w:eastAsia="宋体" w:cs="宋体"/>
                <w:color w:val="auto"/>
                <w:sz w:val="24"/>
                <w:szCs w:val="24"/>
                <w:highlight w:val="none"/>
              </w:rPr>
              <w:t>投标人相关的词句、语言或任何标识、暗示、不得出现投标人的名称和其它可识别投标人身份的字符、徽标、人员名称以及其他特殊标记等</w:t>
            </w:r>
            <w:r>
              <w:rPr>
                <w:rFonts w:hint="eastAsia" w:ascii="Times New Roman" w:hAnsi="Times New Roman" w:cs="宋体"/>
                <w:color w:val="auto"/>
                <w:sz w:val="24"/>
                <w:szCs w:val="24"/>
                <w:highlight w:val="none"/>
                <w:lang w:eastAsia="zh-CN"/>
              </w:rPr>
              <w:t>。</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3</w:t>
            </w:r>
            <w:r>
              <w:rPr>
                <w:rFonts w:hint="eastAsia" w:ascii="Times New Roman" w:hAnsi="Times New Roman" w:cs="宋体"/>
                <w:color w:val="auto"/>
                <w:sz w:val="24"/>
                <w:highlight w:val="none"/>
              </w:rPr>
              <w:t>）不得对招标文件规定的投标文件格式的内容进行改变原意或影响投标实质性的删减或修改。</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4</w:t>
            </w:r>
            <w:r>
              <w:rPr>
                <w:rFonts w:hint="eastAsia" w:ascii="Times New Roman" w:hAnsi="Times New Roman" w:cs="宋体"/>
                <w:color w:val="auto"/>
                <w:sz w:val="24"/>
                <w:highlight w:val="none"/>
              </w:rPr>
              <w:t>）投标人可以在投标文件格式内容之外另行说明和增加相关内容，作为投标文件的组成部分。另行说明或自行增加的内容</w:t>
            </w:r>
            <w:del w:id="70" w:author="user" w:date="2025-06-30T11:12:08Z">
              <w:r>
                <w:rPr>
                  <w:rFonts w:hint="eastAsia" w:ascii="Times New Roman" w:hAnsi="Times New Roman" w:cs="宋体"/>
                  <w:color w:val="auto"/>
                  <w:sz w:val="24"/>
                  <w:highlight w:val="none"/>
                </w:rPr>
                <w:delText>、以及</w:delText>
              </w:r>
            </w:del>
            <w:ins w:id="71" w:author="user" w:date="2025-06-30T11:12:08Z">
              <w:r>
                <w:rPr>
                  <w:rFonts w:hint="eastAsia" w:cs="宋体"/>
                  <w:color w:val="auto"/>
                  <w:sz w:val="24"/>
                  <w:highlight w:val="none"/>
                  <w:lang w:eastAsia="zh-CN"/>
                </w:rPr>
                <w:t>以及</w:t>
              </w:r>
            </w:ins>
            <w:r>
              <w:rPr>
                <w:rFonts w:hint="eastAsia" w:ascii="Times New Roman" w:hAnsi="Times New Roman" w:cs="宋体"/>
                <w:color w:val="auto"/>
                <w:sz w:val="24"/>
                <w:highlight w:val="none"/>
              </w:rPr>
              <w:t>按投标文件格式在空格（下划线）由投标人填写的内容，不得与招标文件的强制性审查标准和禁止性规定相抵触。</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5</w:t>
            </w:r>
            <w:r>
              <w:rPr>
                <w:rFonts w:hint="eastAsia" w:ascii="Times New Roman" w:hAnsi="Times New Roman" w:cs="宋体"/>
                <w:color w:val="auto"/>
                <w:sz w:val="24"/>
                <w:highlight w:val="none"/>
              </w:rPr>
              <w:t>）按投标文件格式在空格（下划线）由投标人填写的内容，不需要填写的，可以在空格中用“/”标示，也可以不填（空白）。</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6</w:t>
            </w:r>
            <w:r>
              <w:rPr>
                <w:rFonts w:hint="eastAsia" w:ascii="Times New Roman" w:hAnsi="Times New Roman" w:cs="宋体"/>
                <w:color w:val="auto"/>
                <w:sz w:val="24"/>
                <w:highlight w:val="none"/>
              </w:rPr>
              <w:t>）投标文件应对招标文件提出的所有实质性要求和条件作出实质性响应，并且实质性响应的内容不得互相矛盾。</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7</w:t>
            </w:r>
            <w:r>
              <w:rPr>
                <w:rFonts w:hint="eastAsia" w:ascii="Times New Roman" w:hAnsi="Times New Roman" w:cs="宋体"/>
                <w:color w:val="auto"/>
                <w:sz w:val="24"/>
                <w:highlight w:val="none"/>
              </w:rPr>
              <w:t>）投标文件所附证明材料应清晰可辨。</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8</w:t>
            </w:r>
            <w:r>
              <w:rPr>
                <w:rFonts w:hint="eastAsia" w:ascii="Times New Roman" w:hAnsi="Times New Roman" w:cs="宋体"/>
                <w:color w:val="auto"/>
                <w:sz w:val="24"/>
                <w:highlight w:val="none"/>
              </w:rPr>
              <w:t>）投标文件应为使用符合系统要求的投标文件制作工具制作生成的</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格式文件。</w:t>
            </w:r>
          </w:p>
          <w:p>
            <w:pPr>
              <w:adjustRightInd w:val="0"/>
              <w:snapToGrid w:val="0"/>
              <w:spacing w:line="360" w:lineRule="auto"/>
              <w:ind w:firstLine="480" w:firstLineChars="200"/>
              <w:rPr>
                <w:rFonts w:hint="eastAsia" w:ascii="Times New Roman" w:hAnsi="Times New Roman" w:cs="宋体"/>
                <w:color w:val="auto"/>
                <w:sz w:val="24"/>
                <w:szCs w:val="24"/>
                <w:highlight w:val="none"/>
                <w:lang w:val="en-US" w:eastAsia="zh-CN"/>
              </w:rPr>
            </w:pPr>
            <w:r>
              <w:rPr>
                <w:rFonts w:hint="eastAsia" w:ascii="Times New Roman" w:hAnsi="Times New Roman" w:cs="宋体"/>
                <w:color w:val="auto"/>
                <w:sz w:val="24"/>
                <w:szCs w:val="24"/>
                <w:highlight w:val="none"/>
                <w:lang w:val="en-US" w:eastAsia="zh-CN"/>
              </w:rPr>
              <w:t>（9）技术文件</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szCs w:val="24"/>
                <w:highlight w:val="none"/>
                <w:lang w:val="en-US" w:eastAsia="zh-CN"/>
              </w:rPr>
              <w:t>技术文件，即“</w:t>
            </w:r>
            <w:r>
              <w:rPr>
                <w:rFonts w:hint="eastAsia"/>
                <w:color w:val="auto"/>
                <w:sz w:val="24"/>
                <w:highlight w:val="none"/>
              </w:rPr>
              <w:t>承包人建议书</w:t>
            </w:r>
            <w:r>
              <w:rPr>
                <w:rFonts w:hint="eastAsia" w:ascii="Times New Roman" w:hAnsi="Times New Roman" w:cs="宋体"/>
                <w:color w:val="auto"/>
                <w:sz w:val="24"/>
                <w:szCs w:val="24"/>
                <w:highlight w:val="none"/>
                <w:lang w:val="en-US" w:eastAsia="zh-CN"/>
              </w:rPr>
              <w:t>”和“</w:t>
            </w:r>
            <w:r>
              <w:rPr>
                <w:rFonts w:hint="eastAsia"/>
                <w:color w:val="auto"/>
                <w:sz w:val="24"/>
                <w:highlight w:val="none"/>
              </w:rPr>
              <w:t>承包人实施方案</w:t>
            </w:r>
            <w:r>
              <w:rPr>
                <w:rFonts w:hint="eastAsia" w:ascii="Times New Roman" w:hAnsi="Times New Roman" w:cs="宋体"/>
                <w:color w:val="auto"/>
                <w:sz w:val="24"/>
                <w:szCs w:val="24"/>
                <w:highlight w:val="none"/>
                <w:lang w:val="en-US" w:eastAsia="zh-CN"/>
              </w:rPr>
              <w:t>”</w:t>
            </w:r>
            <w:r>
              <w:rPr>
                <w:rFonts w:hint="eastAsia" w:ascii="Times New Roman" w:hAnsi="Times New Roman" w:eastAsia="宋体" w:cs="宋体"/>
                <w:color w:val="auto"/>
                <w:sz w:val="24"/>
                <w:szCs w:val="24"/>
                <w:highlight w:val="none"/>
                <w:lang w:val="en-US" w:eastAsia="zh-CN"/>
              </w:rPr>
              <w:t>必须符合</w:t>
            </w:r>
            <w:r>
              <w:rPr>
                <w:rFonts w:hint="eastAsia" w:ascii="Times New Roman" w:hAnsi="Times New Roman" w:cs="宋体"/>
                <w:color w:val="auto"/>
                <w:sz w:val="24"/>
                <w:szCs w:val="24"/>
                <w:highlight w:val="none"/>
                <w:lang w:val="en-US" w:eastAsia="zh-CN"/>
              </w:rPr>
              <w:t>第八章“投标文件编制和暗标评审规范”有关</w:t>
            </w:r>
            <w:r>
              <w:rPr>
                <w:rFonts w:hint="eastAsia" w:ascii="Times New Roman" w:hAnsi="Times New Roman" w:eastAsia="宋体" w:cs="宋体"/>
                <w:color w:val="auto"/>
                <w:sz w:val="24"/>
                <w:szCs w:val="24"/>
                <w:highlight w:val="none"/>
                <w:lang w:val="en-US" w:eastAsia="zh-CN"/>
              </w:rPr>
              <w:t>要求</w:t>
            </w:r>
            <w:r>
              <w:rPr>
                <w:rFonts w:hint="eastAsia" w:ascii="Times New Roman" w:hAnsi="Times New Roman" w:cs="宋体"/>
                <w:color w:val="auto"/>
                <w:sz w:val="24"/>
                <w:szCs w:val="24"/>
                <w:highlight w:val="none"/>
                <w:lang w:val="en-US" w:eastAsia="zh-CN"/>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eastAsia="宋体" w:cs="宋体"/>
                <w:color w:val="auto"/>
                <w:sz w:val="24"/>
                <w:highlight w:val="none"/>
                <w:lang w:eastAsia="zh-CN"/>
              </w:rPr>
            </w:pPr>
            <w:r>
              <w:rPr>
                <w:rFonts w:hint="eastAsia" w:ascii="Times New Roman" w:hAnsi="Times New Roman" w:cs="宋体"/>
                <w:color w:val="auto"/>
                <w:sz w:val="24"/>
                <w:highlight w:val="none"/>
              </w:rPr>
              <w:t>3.7.</w:t>
            </w:r>
            <w:r>
              <w:rPr>
                <w:rFonts w:hint="eastAsia" w:ascii="Times New Roman" w:hAnsi="Times New Roman" w:cs="宋体"/>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签字或盖章要求</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（1）数据电文形式投标文件中所有要求签字的地方应使用电子签章。过渡期内（指未全面实行电子签章期间），可以使用直接录入内容并上传用不褪色的墨水（签字笔）由本人亲笔手写签字 (包括姓和名)的扫描件，不得用盖章（如签名章、签字章等）代替，也不得由他人代签。由法定代表人签字的，应附法定代表人身份证明，由代理人签字的，应附授权委托书。身份证明或授权委托书应符合招标文件中“投标文件格式”的规定。  </w:t>
            </w:r>
          </w:p>
          <w:p>
            <w:pPr>
              <w:numPr>
                <w:ilvl w:val="-1"/>
                <w:numId w:val="0"/>
              </w:numPr>
              <w:adjustRightInd w:val="0"/>
              <w:snapToGrid w:val="0"/>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cs="宋体"/>
                <w:color w:val="auto"/>
                <w:sz w:val="24"/>
                <w:highlight w:val="none"/>
              </w:rPr>
              <w:t>（2）投标文件所有要求盖章的地方均应使用单位法定名称印章,不得使用专用印章（如经济合同章、投标专用章等）或直</w:t>
            </w:r>
            <w:r>
              <w:rPr>
                <w:rFonts w:hint="eastAsia" w:ascii="Times New Roman" w:hAnsi="Times New Roman" w:eastAsia="宋体" w:cs="宋体"/>
                <w:color w:val="auto"/>
                <w:sz w:val="24"/>
                <w:highlight w:val="none"/>
              </w:rPr>
              <w:t xml:space="preserve">属（下属）单位印章代替。 </w:t>
            </w:r>
          </w:p>
          <w:p>
            <w:pPr>
              <w:numPr>
                <w:ilvl w:val="-1"/>
                <w:numId w:val="0"/>
              </w:num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eastAsia="宋体" w:cs="宋体"/>
                <w:color w:val="auto"/>
                <w:sz w:val="24"/>
                <w:highlight w:val="none"/>
              </w:rPr>
              <w:t>（3）</w:t>
            </w:r>
            <w:r>
              <w:rPr>
                <w:rFonts w:hint="eastAsia" w:ascii="Times New Roman" w:hAnsi="Times New Roman" w:eastAsia="宋体" w:cs="宋体"/>
                <w:color w:val="auto"/>
                <w:sz w:val="24"/>
                <w:highlight w:val="none"/>
                <w:vertAlign w:val="baseline"/>
              </w:rPr>
              <w:t>数据电文形式投标文件所有要求盖章的地方，除投标总价扉页和联合体协议书外，均应加盖投标人(联合体投标的，为联合体牵头人)电子印章，投标总价扉页和联合体协议书上传签字、盖章的扫描件。</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olor w:val="auto"/>
                <w:sz w:val="24"/>
                <w:highlight w:val="none"/>
                <w:lang w:val="en-US" w:eastAsia="zh-CN"/>
              </w:rPr>
            </w:pPr>
            <w:r>
              <w:rPr>
                <w:rFonts w:hint="eastAsia" w:ascii="Times New Roman" w:hAnsi="Times New Roman"/>
                <w:color w:val="auto"/>
                <w:sz w:val="24"/>
                <w:highlight w:val="none"/>
              </w:rPr>
              <w:t>4.1</w:t>
            </w:r>
            <w:r>
              <w:rPr>
                <w:rFonts w:hint="eastAsia" w:ascii="Times New Roman" w:hAnsi="Times New Roman"/>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olor w:val="auto"/>
                <w:sz w:val="24"/>
                <w:highlight w:val="none"/>
              </w:rPr>
            </w:pPr>
            <w:r>
              <w:rPr>
                <w:rFonts w:hint="eastAsia" w:ascii="Times New Roman" w:hAnsi="Times New Roman"/>
                <w:color w:val="auto"/>
                <w:sz w:val="24"/>
                <w:highlight w:val="none"/>
              </w:rPr>
              <w:t>投标文件</w:t>
            </w:r>
            <w:r>
              <w:rPr>
                <w:rFonts w:ascii="Times New Roman" w:hAnsi="Times New Roman"/>
                <w:color w:val="auto"/>
                <w:sz w:val="24"/>
                <w:highlight w:val="none"/>
              </w:rPr>
              <w:t>加密</w:t>
            </w:r>
          </w:p>
          <w:p>
            <w:pPr>
              <w:spacing w:line="360" w:lineRule="auto"/>
              <w:jc w:val="center"/>
              <w:rPr>
                <w:rFonts w:hint="eastAsia" w:ascii="Times New Roman" w:hAnsi="Times New Roman"/>
                <w:color w:val="auto"/>
                <w:sz w:val="24"/>
                <w:highlight w:val="none"/>
              </w:rPr>
            </w:pPr>
            <w:r>
              <w:rPr>
                <w:rFonts w:ascii="Times New Roman" w:hAnsi="Times New Roman"/>
                <w:color w:val="auto"/>
                <w:sz w:val="24"/>
                <w:highlight w:val="none"/>
              </w:rPr>
              <w:t>要求</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在线递交的</w:t>
            </w:r>
            <w:r>
              <w:rPr>
                <w:rFonts w:hint="eastAsia" w:ascii="Times New Roman" w:hAnsi="Times New Roman" w:cs="宋体"/>
                <w:color w:val="auto"/>
                <w:sz w:val="24"/>
                <w:highlight w:val="none"/>
                <w:lang w:val="zh-CN"/>
              </w:rPr>
              <w:t>数据电文形式投标文件</w:t>
            </w: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zh-CN"/>
              </w:rPr>
              <w:t>须经投标人数字证书签名加密</w:t>
            </w:r>
            <w:r>
              <w:rPr>
                <w:rFonts w:hint="eastAsia" w:ascii="Times New Roman" w:hAnsi="Times New Roman" w:cs="宋体"/>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r>
              <w:rPr>
                <w:rFonts w:hint="eastAsia" w:ascii="Times New Roman" w:hAnsi="Times New Roman" w:cs="宋体"/>
                <w:color w:val="auto"/>
                <w:sz w:val="24"/>
                <w:highlight w:val="none"/>
                <w:lang w:val="en-US" w:eastAsia="zh-CN"/>
              </w:rPr>
              <w:t>1</w:t>
            </w:r>
            <w:r>
              <w:rPr>
                <w:rFonts w:hint="eastAsia" w:ascii="Times New Roman" w:hAnsi="Times New Roman" w:cs="宋体"/>
                <w:color w:val="auto"/>
                <w:sz w:val="24"/>
                <w:highlight w:val="none"/>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递交投标文件地点</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olor w:val="auto"/>
                <w:sz w:val="24"/>
                <w:highlight w:val="none"/>
              </w:rPr>
              <w:t>投标人应在投标截止时间前在线递交经投标人数字证书加密制作的数据电文形式投标文件，不接受现场递交。</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5.1</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开标时间和地点</w:t>
            </w:r>
          </w:p>
        </w:tc>
        <w:tc>
          <w:tcPr>
            <w:tcW w:w="6437" w:type="dxa"/>
            <w:tcBorders>
              <w:top w:val="single" w:color="auto" w:sz="4" w:space="0"/>
              <w:left w:val="single" w:color="auto" w:sz="4" w:space="0"/>
              <w:right w:val="single" w:color="auto" w:sz="4" w:space="0"/>
            </w:tcBorders>
            <w:noWrap w:val="0"/>
            <w:vAlign w:val="center"/>
          </w:tcPr>
          <w:p>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开标时间：同投标截止时间</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开标地点：投标时间截止后，招标人或其委托代理机构在开标系统中进入线上开标环节。投标人登录□《全国公共资源交易平台（四川省）》□《全国公共资源交易平台（四川省·</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市（州））》电子交易系统，参与在线开标。</w:t>
            </w:r>
          </w:p>
        </w:tc>
      </w:tr>
      <w:tr>
        <w:tblPrEx>
          <w:tblCellMar>
            <w:top w:w="0" w:type="dxa"/>
            <w:left w:w="108" w:type="dxa"/>
            <w:bottom w:w="0" w:type="dxa"/>
            <w:right w:w="108" w:type="dxa"/>
          </w:tblCellMar>
        </w:tblPrEx>
        <w:trPr>
          <w:trHeight w:val="381" w:hRule="atLeast"/>
        </w:trPr>
        <w:tc>
          <w:tcPr>
            <w:tcW w:w="1165" w:type="dxa"/>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5.2</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开标程序</w:t>
            </w:r>
          </w:p>
        </w:tc>
        <w:tc>
          <w:tcPr>
            <w:tcW w:w="6437" w:type="dxa"/>
            <w:tcBorders>
              <w:top w:val="single" w:color="auto" w:sz="4" w:space="0"/>
              <w:left w:val="single" w:color="auto" w:sz="4" w:space="0"/>
              <w:right w:val="single" w:color="auto" w:sz="4" w:space="0"/>
            </w:tcBorders>
            <w:noWrap w:val="0"/>
            <w:vAlign w:val="center"/>
          </w:tcPr>
          <w:p>
            <w:pPr>
              <w:widowControl/>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（1）投标截止时间前，投标人登录□《全国公共资源交易平台（四川省）》□《全国公共资源交易平台（四川省·</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市（州））》电子交易系统。</w:t>
            </w:r>
          </w:p>
          <w:p>
            <w:pPr>
              <w:widowControl/>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（2）投标截止时间后，招标人或其委托招标代理机构在开标系统中组织线上开标，系统将自动展示所有参与项目的投标人名单、投标保证金递交情况等相关信息。</w:t>
            </w:r>
          </w:p>
          <w:p>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（3）投标文件解密。</w:t>
            </w:r>
          </w:p>
          <w:p>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（4）系统展示各投标人名称、投标报价等内容。</w:t>
            </w:r>
          </w:p>
          <w:p>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olor w:val="auto"/>
                <w:sz w:val="24"/>
                <w:highlight w:val="none"/>
              </w:rPr>
              <w:t>（5）</w:t>
            </w:r>
            <w:r>
              <w:rPr>
                <w:rFonts w:hint="eastAsia" w:ascii="Times New Roman" w:hAnsi="Times New Roman" w:cs="宋体"/>
                <w:color w:val="auto"/>
                <w:sz w:val="24"/>
                <w:highlight w:val="none"/>
              </w:rPr>
              <w:t>将招标文件、投标文件导入电子辅助评标系统。</w:t>
            </w:r>
          </w:p>
          <w:p>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（6）提出异议，处理异议。</w:t>
            </w:r>
          </w:p>
          <w:p>
            <w:pPr>
              <w:adjustRightInd w:val="0"/>
              <w:snapToGrid w:val="0"/>
              <w:spacing w:line="360" w:lineRule="auto"/>
              <w:ind w:firstLine="480" w:firstLineChars="200"/>
              <w:rPr>
                <w:rFonts w:ascii="Times New Roman" w:hAnsi="Times New Roman" w:cs="宋体"/>
                <w:color w:val="auto"/>
                <w:sz w:val="24"/>
                <w:highlight w:val="none"/>
              </w:rPr>
            </w:pPr>
            <w:r>
              <w:rPr>
                <w:rFonts w:hint="eastAsia" w:ascii="Times New Roman" w:hAnsi="Times New Roman" w:cs="宋体"/>
                <w:color w:val="auto"/>
                <w:sz w:val="24"/>
                <w:highlight w:val="none"/>
              </w:rPr>
              <w:t>（7）生成开标记录表，开标结束。</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投标人最迟应在完成上述第（5）项程序后10分钟内在线提出异议，招标人或其委托代理机构在线即时答复处理。如投标人未提出异议的，视为其认可开标过程、开标内容和开标结果。</w:t>
            </w:r>
          </w:p>
          <w:p>
            <w:pPr>
              <w:adjustRightInd w:val="0"/>
              <w:snapToGrid w:val="0"/>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投标文件无法导入开标系统或未解密的，视为撤回其投标文件。已导入电子开标系统但无法导入电子评标系统的，招标人（或招标代理机构）做好开标记录，其投标文件由评标委员会作否决处理。</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6.1.1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评标委员会的组建</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评标委员会构成：</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人</w:t>
            </w:r>
          </w:p>
          <w:p>
            <w:pPr>
              <w:adjustRightInd w:val="0"/>
              <w:snapToGrid w:val="0"/>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其中：招标人代表</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人，评标专家</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人。</w:t>
            </w:r>
          </w:p>
          <w:p>
            <w:pPr>
              <w:adjustRightInd w:val="0"/>
              <w:snapToGrid w:val="0"/>
              <w:spacing w:line="360" w:lineRule="auto"/>
              <w:rPr>
                <w:rFonts w:ascii="Times New Roman" w:hAnsi="Times New Roman" w:cs="宋体"/>
                <w:color w:val="auto"/>
                <w:sz w:val="24"/>
                <w:highlight w:val="none"/>
                <w:u w:val="single"/>
              </w:rPr>
            </w:pPr>
            <w:r>
              <w:rPr>
                <w:rFonts w:hint="eastAsia" w:ascii="Times New Roman" w:hAnsi="Times New Roman" w:cs="宋体"/>
                <w:color w:val="auto"/>
                <w:sz w:val="24"/>
                <w:highlight w:val="none"/>
              </w:rPr>
              <w:t>评标专家确定方式：</w:t>
            </w:r>
            <w:r>
              <w:rPr>
                <w:rFonts w:hint="eastAsia" w:ascii="Times New Roman" w:hAnsi="Times New Roman" w:cs="宋体"/>
                <w:color w:val="auto"/>
                <w:sz w:val="24"/>
                <w:highlight w:val="none"/>
                <w:u w:val="single"/>
              </w:rPr>
              <w:t xml:space="preserve">              </w:t>
            </w:r>
          </w:p>
          <w:p>
            <w:pPr>
              <w:spacing w:line="440" w:lineRule="exact"/>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注：评标委员会组建时，可增加评标委员会人数，但招标人代表人数不能增加。</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lang w:val="en-US" w:eastAsia="zh-CN"/>
              </w:rPr>
              <w:t>7.1.1</w:t>
            </w:r>
          </w:p>
        </w:tc>
        <w:tc>
          <w:tcPr>
            <w:tcW w:w="2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szCs w:val="24"/>
                <w:highlight w:val="none"/>
              </w:rPr>
              <w:t>评标办法</w:t>
            </w:r>
          </w:p>
        </w:tc>
        <w:tc>
          <w:tcPr>
            <w:tcW w:w="64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rPr>
              <w:t>综合评估法</w:t>
            </w:r>
            <w:r>
              <w:rPr>
                <w:rFonts w:hint="eastAsia" w:ascii="Times New Roman" w:hAnsi="Times New Roman"/>
                <w:color w:val="auto"/>
                <w:sz w:val="24"/>
                <w:szCs w:val="24"/>
                <w:highlight w:val="none"/>
                <w:lang w:eastAsia="zh-CN"/>
              </w:rPr>
              <w:t>）</w:t>
            </w:r>
            <w:r>
              <w:rPr>
                <w:rFonts w:hint="eastAsia" w:ascii="Times New Roman" w:hAnsi="Times New Roman"/>
                <w:color w:val="auto"/>
                <w:sz w:val="24"/>
                <w:szCs w:val="24"/>
                <w:highlight w:val="none"/>
                <w:lang w:val="en-US" w:eastAsia="zh-CN"/>
              </w:rPr>
              <w:t>暗标评审</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7.</w:t>
            </w:r>
            <w:r>
              <w:rPr>
                <w:rFonts w:hint="eastAsia" w:ascii="Times New Roman" w:hAnsi="Times New Roman" w:cs="宋体"/>
                <w:color w:val="auto"/>
                <w:sz w:val="24"/>
                <w:highlight w:val="none"/>
                <w:lang w:val="en-US" w:eastAsia="zh-CN"/>
              </w:rPr>
              <w:t>2.1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是否授权评标委员会确定中标人</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color w:val="auto"/>
                <w:sz w:val="24"/>
                <w:highlight w:val="none"/>
              </w:rPr>
            </w:pPr>
            <w:r>
              <w:rPr>
                <w:rFonts w:hint="eastAsia" w:ascii="Times New Roman" w:hAnsi="Times New Roman"/>
                <w:color w:val="auto"/>
                <w:sz w:val="24"/>
                <w:highlight w:val="none"/>
              </w:rPr>
              <w:t>□是</w:t>
            </w:r>
          </w:p>
          <w:p>
            <w:pPr>
              <w:spacing w:line="440" w:lineRule="exact"/>
              <w:rPr>
                <w:rFonts w:hint="eastAsia" w:ascii="Times New Roman" w:hAnsi="Times New Roman" w:cs="宋体"/>
                <w:color w:val="auto"/>
                <w:sz w:val="24"/>
                <w:highlight w:val="none"/>
              </w:rPr>
            </w:pPr>
            <w:r>
              <w:rPr>
                <w:rFonts w:hint="eastAsia" w:ascii="Times New Roman" w:hAnsi="Times New Roman"/>
                <w:color w:val="auto"/>
                <w:sz w:val="24"/>
                <w:highlight w:val="none"/>
              </w:rPr>
              <w:t>□否，推荐的中标候选人数：</w:t>
            </w:r>
            <w:r>
              <w:rPr>
                <w:rFonts w:ascii="Times New Roman" w:hAnsi="Times New Roman"/>
                <w:color w:val="auto"/>
                <w:sz w:val="24"/>
                <w:highlight w:val="none"/>
              </w:rPr>
              <w:t>3</w:t>
            </w:r>
            <w:r>
              <w:rPr>
                <w:rFonts w:hint="eastAsia" w:ascii="Times New Roman" w:hAnsi="Times New Roman"/>
                <w:color w:val="auto"/>
                <w:sz w:val="24"/>
                <w:highlight w:val="none"/>
              </w:rPr>
              <w:t>人，当符合要求的投标人少于需推荐的人数，评标委员会推荐的人数可少于需推荐的人数。</w:t>
            </w:r>
          </w:p>
        </w:tc>
      </w:tr>
      <w:tr>
        <w:tblPrEx>
          <w:tblCellMar>
            <w:top w:w="0" w:type="dxa"/>
            <w:left w:w="108" w:type="dxa"/>
            <w:bottom w:w="0" w:type="dxa"/>
            <w:right w:w="108" w:type="dxa"/>
          </w:tblCellMar>
        </w:tblPrEx>
        <w:trPr>
          <w:trHeight w:val="880" w:hRule="atLeast"/>
        </w:trPr>
        <w:tc>
          <w:tcPr>
            <w:tcW w:w="1165" w:type="dxa"/>
            <w:tcBorders>
              <w:top w:val="single" w:color="auto" w:sz="4" w:space="0"/>
              <w:left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7.</w:t>
            </w:r>
            <w:r>
              <w:rPr>
                <w:rFonts w:hint="eastAsia" w:ascii="Times New Roman" w:hAnsi="Times New Roman" w:cs="宋体"/>
                <w:color w:val="auto"/>
                <w:sz w:val="24"/>
                <w:highlight w:val="none"/>
                <w:lang w:val="en-US" w:eastAsia="zh-CN"/>
              </w:rPr>
              <w:t>3.1</w:t>
            </w:r>
          </w:p>
        </w:tc>
        <w:tc>
          <w:tcPr>
            <w:tcW w:w="2252" w:type="dxa"/>
            <w:tcBorders>
              <w:top w:val="single" w:color="auto" w:sz="4" w:space="0"/>
              <w:left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中标候选人公示媒介及期限</w:t>
            </w:r>
          </w:p>
        </w:tc>
        <w:tc>
          <w:tcPr>
            <w:tcW w:w="6437" w:type="dxa"/>
            <w:tcBorders>
              <w:top w:val="single" w:color="auto" w:sz="4" w:space="0"/>
              <w:left w:val="single" w:color="auto" w:sz="4" w:space="0"/>
              <w:right w:val="single" w:color="auto" w:sz="4" w:space="0"/>
            </w:tcBorders>
            <w:noWrap w:val="0"/>
            <w:vAlign w:val="center"/>
          </w:tcPr>
          <w:p>
            <w:pPr>
              <w:adjustRightInd w:val="0"/>
              <w:snapToGrid w:val="0"/>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公示媒介：同招标公告发布媒介</w:t>
            </w:r>
          </w:p>
          <w:p>
            <w:pPr>
              <w:spacing w:line="440" w:lineRule="exact"/>
              <w:rPr>
                <w:rFonts w:hint="eastAsia" w:ascii="Times New Roman" w:hAnsi="Times New Roman" w:cs="宋体"/>
                <w:color w:val="auto"/>
                <w:sz w:val="24"/>
                <w:highlight w:val="none"/>
              </w:rPr>
            </w:pPr>
            <w:r>
              <w:rPr>
                <w:rFonts w:hint="eastAsia" w:ascii="Times New Roman" w:hAnsi="Times New Roman" w:cs="宋体"/>
                <w:color w:val="auto"/>
                <w:sz w:val="24"/>
                <w:highlight w:val="none"/>
              </w:rPr>
              <w:t>公示期限：5个工作日</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color w:val="auto"/>
                <w:sz w:val="24"/>
                <w:highlight w:val="none"/>
                <w:lang w:val="en-US" w:eastAsia="zh-CN"/>
              </w:rPr>
            </w:pPr>
            <w:r>
              <w:rPr>
                <w:rFonts w:hint="eastAsia" w:ascii="Times New Roman" w:hAnsi="Times New Roman" w:cs="宋体"/>
                <w:color w:val="auto"/>
                <w:sz w:val="24"/>
                <w:highlight w:val="none"/>
              </w:rPr>
              <w:t>7.4</w:t>
            </w:r>
            <w:r>
              <w:rPr>
                <w:rFonts w:hint="eastAsia" w:ascii="Times New Roman" w:hAnsi="Times New Roman" w:cs="宋体"/>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履约担保</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wordWrap w:val="0"/>
              <w:adjustRightInd/>
              <w:snapToGrid/>
              <w:spacing w:line="360" w:lineRule="auto"/>
              <w:jc w:val="both"/>
              <w:rPr>
                <w:ins w:id="72" w:author="user" w:date="2026-03-18T10:08:42Z"/>
                <w:rFonts w:hint="eastAsia" w:ascii="宋体" w:hAnsi="宋体"/>
                <w:color w:val="000000" w:themeColor="text1"/>
                <w:sz w:val="24"/>
                <w:szCs w:val="24"/>
                <w:highlight w:val="none"/>
                <w14:textFill>
                  <w14:solidFill>
                    <w14:schemeClr w14:val="tx1"/>
                  </w14:solidFill>
                </w14:textFill>
              </w:rPr>
            </w:pPr>
            <w:r>
              <w:rPr>
                <w:rFonts w:hint="eastAsia" w:ascii="Times New Roman" w:hAnsi="Times New Roman"/>
                <w:color w:val="auto"/>
                <w:kern w:val="0"/>
                <w:szCs w:val="21"/>
                <w:highlight w:val="none"/>
              </w:rPr>
              <w:t xml:space="preserve"> </w:t>
            </w:r>
            <w:ins w:id="73" w:author="user" w:date="2026-03-18T10:08:42Z">
              <w:r>
                <w:rPr>
                  <w:rFonts w:hint="eastAsia" w:ascii="宋体" w:hAnsi="宋体"/>
                  <w:color w:val="000000" w:themeColor="text1"/>
                  <w:sz w:val="24"/>
                  <w:szCs w:val="24"/>
                  <w:highlight w:val="none"/>
                  <w14:textFill>
                    <w14:solidFill>
                      <w14:schemeClr w14:val="tx1"/>
                    </w14:solidFill>
                  </w14:textFill>
                </w:rPr>
                <w:t>本项目履约担保金额：</w:t>
              </w:r>
            </w:ins>
            <w:ins w:id="74" w:author="user" w:date="2026-03-18T10:08:42Z">
              <w:r>
                <w:rPr>
                  <w:rFonts w:hint="eastAsia" w:ascii="宋体" w:hAnsi="宋体"/>
                  <w:color w:val="000000" w:themeColor="text1"/>
                  <w:sz w:val="24"/>
                  <w:szCs w:val="24"/>
                  <w:highlight w:val="none"/>
                  <w:u w:val="single"/>
                  <w14:textFill>
                    <w14:solidFill>
                      <w14:schemeClr w14:val="tx1"/>
                    </w14:solidFill>
                  </w14:textFill>
                </w:rPr>
                <w:t xml:space="preserve">  </w:t>
              </w:r>
            </w:ins>
            <w:ins w:id="75" w:author="user" w:date="2026-03-18T10:08:42Z">
              <w:r>
                <w:rPr>
                  <w:rFonts w:hint="eastAsia" w:ascii="宋体" w:hAnsi="宋体"/>
                  <w:color w:val="000000" w:themeColor="text1"/>
                  <w:sz w:val="24"/>
                  <w:szCs w:val="24"/>
                  <w:highlight w:val="none"/>
                  <w:u w:val="single"/>
                  <w:lang w:val="en-US" w:eastAsia="zh-CN"/>
                  <w14:textFill>
                    <w14:solidFill>
                      <w14:schemeClr w14:val="tx1"/>
                    </w14:solidFill>
                  </w14:textFill>
                </w:rPr>
                <w:t xml:space="preserve">      </w:t>
              </w:r>
            </w:ins>
            <w:ins w:id="76" w:author="user" w:date="2026-03-18T10:08:42Z">
              <w:r>
                <w:rPr>
                  <w:rFonts w:hint="eastAsia" w:ascii="宋体" w:hAnsi="宋体"/>
                  <w:color w:val="000000" w:themeColor="text1"/>
                  <w:sz w:val="24"/>
                  <w:szCs w:val="24"/>
                  <w:highlight w:val="none"/>
                  <w14:textFill>
                    <w14:solidFill>
                      <w14:schemeClr w14:val="tx1"/>
                    </w14:solidFill>
                  </w14:textFill>
                </w:rPr>
                <w:t>元，采用如下方式提交：</w:t>
              </w:r>
            </w:ins>
          </w:p>
          <w:p>
            <w:pPr>
              <w:wordWrap w:val="0"/>
              <w:adjustRightInd/>
              <w:snapToGrid/>
              <w:spacing w:line="360" w:lineRule="auto"/>
              <w:ind w:firstLine="480" w:firstLineChars="200"/>
              <w:jc w:val="both"/>
              <w:rPr>
                <w:ins w:id="77" w:author="user" w:date="2026-03-18T10:08:42Z"/>
                <w:rFonts w:hint="eastAsia" w:ascii="宋体" w:hAnsi="宋体"/>
                <w:color w:val="000000" w:themeColor="text1"/>
                <w:sz w:val="24"/>
                <w:szCs w:val="24"/>
                <w:highlight w:val="none"/>
                <w14:textFill>
                  <w14:solidFill>
                    <w14:schemeClr w14:val="tx1"/>
                  </w14:solidFill>
                </w14:textFill>
              </w:rPr>
            </w:pPr>
            <w:ins w:id="78" w:author="user" w:date="2026-03-18T10:08:42Z">
              <w:r>
                <w:rPr>
                  <w:rFonts w:hint="eastAsia" w:ascii="宋体" w:hAnsi="宋体"/>
                  <w:color w:val="000000" w:themeColor="text1"/>
                  <w:sz w:val="24"/>
                  <w:szCs w:val="24"/>
                  <w:highlight w:val="none"/>
                  <w14:textFill>
                    <w14:solidFill>
                      <w14:schemeClr w14:val="tx1"/>
                    </w14:solidFill>
                  </w14:textFill>
                </w:rPr>
                <w:t>1.现金□</w:t>
              </w:r>
            </w:ins>
          </w:p>
          <w:p>
            <w:pPr>
              <w:wordWrap w:val="0"/>
              <w:adjustRightInd/>
              <w:snapToGrid/>
              <w:spacing w:line="360" w:lineRule="auto"/>
              <w:ind w:firstLine="480" w:firstLineChars="200"/>
              <w:jc w:val="both"/>
              <w:rPr>
                <w:ins w:id="79" w:author="user" w:date="2026-03-18T10:08:42Z"/>
                <w:rFonts w:hint="eastAsia" w:ascii="宋体" w:hAnsi="宋体"/>
                <w:color w:val="000000" w:themeColor="text1"/>
                <w:sz w:val="24"/>
                <w:szCs w:val="24"/>
                <w:highlight w:val="none"/>
                <w14:textFill>
                  <w14:solidFill>
                    <w14:schemeClr w14:val="tx1"/>
                  </w14:solidFill>
                </w14:textFill>
              </w:rPr>
            </w:pPr>
            <w:ins w:id="80" w:author="user" w:date="2026-03-18T10:08:42Z">
              <w:r>
                <w:rPr>
                  <w:rFonts w:hint="eastAsia" w:ascii="宋体" w:hAnsi="宋体"/>
                  <w:color w:val="000000" w:themeColor="text1"/>
                  <w:sz w:val="24"/>
                  <w:szCs w:val="24"/>
                  <w:highlight w:val="none"/>
                  <w14:textFill>
                    <w14:solidFill>
                      <w14:schemeClr w14:val="tx1"/>
                    </w14:solidFill>
                  </w14:textFill>
                </w:rPr>
                <w:t>2.银行保函 □</w:t>
              </w:r>
            </w:ins>
          </w:p>
          <w:p>
            <w:pPr>
              <w:wordWrap w:val="0"/>
              <w:adjustRightInd/>
              <w:snapToGrid/>
              <w:spacing w:line="360" w:lineRule="auto"/>
              <w:ind w:firstLine="480" w:firstLineChars="200"/>
              <w:jc w:val="both"/>
              <w:rPr>
                <w:ins w:id="81" w:author="user" w:date="2026-03-18T10:08:42Z"/>
                <w:rFonts w:hint="eastAsia" w:ascii="宋体" w:hAnsi="宋体"/>
                <w:color w:val="000000" w:themeColor="text1"/>
                <w:sz w:val="24"/>
                <w:szCs w:val="24"/>
                <w:highlight w:val="none"/>
                <w14:textFill>
                  <w14:solidFill>
                    <w14:schemeClr w14:val="tx1"/>
                  </w14:solidFill>
                </w14:textFill>
              </w:rPr>
            </w:pPr>
            <w:ins w:id="82" w:author="user" w:date="2026-03-18T10:08:42Z">
              <w:r>
                <w:rPr>
                  <w:rFonts w:hint="eastAsia" w:ascii="宋体" w:hAnsi="宋体"/>
                  <w:color w:val="000000" w:themeColor="text1"/>
                  <w:sz w:val="24"/>
                  <w:szCs w:val="24"/>
                  <w:highlight w:val="none"/>
                  <w14:textFill>
                    <w14:solidFill>
                      <w14:schemeClr w14:val="tx1"/>
                    </w14:solidFill>
                  </w14:textFill>
                </w:rPr>
                <w:t>3.保险保函 □</w:t>
              </w:r>
            </w:ins>
          </w:p>
          <w:p>
            <w:pPr>
              <w:wordWrap w:val="0"/>
              <w:adjustRightInd/>
              <w:snapToGrid/>
              <w:spacing w:line="360" w:lineRule="auto"/>
              <w:ind w:firstLine="480" w:firstLineChars="200"/>
              <w:jc w:val="both"/>
              <w:rPr>
                <w:ins w:id="83" w:author="user" w:date="2026-03-18T10:08:42Z"/>
                <w:rFonts w:hint="eastAsia" w:ascii="宋体" w:hAnsi="宋体"/>
                <w:color w:val="000000" w:themeColor="text1"/>
                <w:sz w:val="24"/>
                <w:szCs w:val="24"/>
                <w:highlight w:val="none"/>
                <w14:textFill>
                  <w14:solidFill>
                    <w14:schemeClr w14:val="tx1"/>
                  </w14:solidFill>
                </w14:textFill>
              </w:rPr>
            </w:pPr>
            <w:ins w:id="84" w:author="user" w:date="2026-03-18T10:08:42Z">
              <w:r>
                <w:rPr>
                  <w:rFonts w:hint="eastAsia" w:ascii="宋体" w:hAnsi="宋体"/>
                  <w:color w:val="000000" w:themeColor="text1"/>
                  <w:sz w:val="24"/>
                  <w:szCs w:val="24"/>
                  <w:highlight w:val="none"/>
                  <w14:textFill>
                    <w14:solidFill>
                      <w14:schemeClr w14:val="tx1"/>
                    </w14:solidFill>
                  </w14:textFill>
                </w:rPr>
                <w:t>4.专业担保保函 □</w:t>
              </w:r>
            </w:ins>
          </w:p>
          <w:p>
            <w:pPr>
              <w:wordWrap w:val="0"/>
              <w:adjustRightInd/>
              <w:snapToGrid/>
              <w:spacing w:line="360" w:lineRule="auto"/>
              <w:ind w:firstLine="480" w:firstLineChars="200"/>
              <w:jc w:val="both"/>
              <w:rPr>
                <w:ins w:id="86" w:author="user" w:date="2026-03-18T10:08:42Z"/>
                <w:rFonts w:hint="eastAsia" w:ascii="宋体" w:hAnsi="宋体"/>
                <w:color w:val="000000" w:themeColor="text1"/>
                <w:kern w:val="2"/>
                <w:sz w:val="24"/>
                <w:szCs w:val="24"/>
                <w:highlight w:val="none"/>
                <w14:textFill>
                  <w14:solidFill>
                    <w14:schemeClr w14:val="tx1"/>
                  </w14:solidFill>
                </w14:textFill>
              </w:rPr>
              <w:pPrChange w:id="85" w:author="user" w:date="2026-03-18T10:42:32Z">
                <w:pPr>
                  <w:wordWrap w:val="0"/>
                  <w:adjustRightInd/>
                  <w:snapToGrid/>
                  <w:spacing w:line="360" w:lineRule="auto"/>
                  <w:jc w:val="both"/>
                </w:pPr>
              </w:pPrChange>
            </w:pPr>
            <w:ins w:id="87" w:author="user" w:date="2026-03-18T10:08:42Z">
              <w:r>
                <w:rPr>
                  <w:rFonts w:hint="eastAsia" w:ascii="宋体" w:hAnsi="宋体"/>
                  <w:color w:val="000000" w:themeColor="text1"/>
                  <w:sz w:val="24"/>
                  <w:szCs w:val="24"/>
                  <w:highlight w:val="none"/>
                  <w14:textFill>
                    <w14:solidFill>
                      <w14:schemeClr w14:val="tx1"/>
                    </w14:solidFill>
                  </w14:textFill>
                </w:rPr>
                <w:t>5.以现金和保函组合形式提交，其中现金占</w:t>
              </w:r>
            </w:ins>
            <w:ins w:id="88" w:author="user" w:date="2026-03-18T10:08:42Z">
              <w:r>
                <w:rPr>
                  <w:rFonts w:hint="eastAsia" w:ascii="宋体" w:hAnsi="宋体"/>
                  <w:color w:val="000000" w:themeColor="text1"/>
                  <w:sz w:val="24"/>
                  <w:szCs w:val="24"/>
                  <w:highlight w:val="none"/>
                  <w:lang w:val="en-US" w:eastAsia="zh-CN"/>
                  <w14:textFill>
                    <w14:solidFill>
                      <w14:schemeClr w14:val="tx1"/>
                    </w14:solidFill>
                  </w14:textFill>
                </w:rPr>
                <w:t xml:space="preserve">  </w:t>
              </w:r>
            </w:ins>
            <w:ins w:id="89" w:author="user" w:date="2026-03-18T10:08:42Z">
              <w:r>
                <w:rPr>
                  <w:rFonts w:hint="eastAsia" w:ascii="宋体" w:hAnsi="宋体"/>
                  <w:color w:val="000000" w:themeColor="text1"/>
                  <w:sz w:val="24"/>
                  <w:szCs w:val="24"/>
                  <w:highlight w:val="none"/>
                  <w14:textFill>
                    <w14:solidFill>
                      <w14:schemeClr w14:val="tx1"/>
                    </w14:solidFill>
                  </w14:textFill>
                </w:rPr>
                <w:t>%，保函（银行保函□保险保函□专业担保保函□)占</w:t>
              </w:r>
            </w:ins>
            <w:ins w:id="90" w:author="user" w:date="2026-03-18T10:08:42Z">
              <w:r>
                <w:rPr>
                  <w:rFonts w:hint="eastAsia" w:ascii="宋体" w:hAnsi="宋体"/>
                  <w:color w:val="000000" w:themeColor="text1"/>
                  <w:sz w:val="24"/>
                  <w:szCs w:val="24"/>
                  <w:highlight w:val="none"/>
                  <w:lang w:val="en-US" w:eastAsia="zh-CN"/>
                  <w14:textFill>
                    <w14:solidFill>
                      <w14:schemeClr w14:val="tx1"/>
                    </w14:solidFill>
                  </w14:textFill>
                </w:rPr>
                <w:t xml:space="preserve">  </w:t>
              </w:r>
            </w:ins>
            <w:ins w:id="91" w:author="user" w:date="2026-03-18T10:08:42Z">
              <w:r>
                <w:rPr>
                  <w:rFonts w:hint="eastAsia" w:ascii="宋体" w:hAnsi="宋体"/>
                  <w:color w:val="000000" w:themeColor="text1"/>
                  <w:sz w:val="24"/>
                  <w:szCs w:val="24"/>
                  <w:highlight w:val="none"/>
                  <w14:textFill>
                    <w14:solidFill>
                      <w14:schemeClr w14:val="tx1"/>
                    </w14:solidFill>
                  </w14:textFill>
                </w:rPr>
                <w:t>%</w:t>
              </w:r>
            </w:ins>
          </w:p>
          <w:p>
            <w:pPr>
              <w:wordWrap w:val="0"/>
              <w:adjustRightInd/>
              <w:snapToGrid/>
              <w:spacing w:line="360" w:lineRule="auto"/>
              <w:ind w:firstLine="481" w:firstLineChars="200"/>
              <w:jc w:val="both"/>
              <w:rPr>
                <w:ins w:id="92" w:author="user" w:date="2026-03-18T10:08:42Z"/>
                <w:rFonts w:hint="eastAsia" w:ascii="宋体" w:hAnsi="宋体"/>
                <w:b/>
                <w:bCs/>
                <w:color w:val="000000" w:themeColor="text1"/>
                <w:sz w:val="24"/>
                <w:szCs w:val="24"/>
                <w:highlight w:val="none"/>
                <w14:textFill>
                  <w14:solidFill>
                    <w14:schemeClr w14:val="tx1"/>
                  </w14:solidFill>
                </w14:textFill>
              </w:rPr>
            </w:pPr>
            <w:ins w:id="93" w:author="user" w:date="2026-03-18T10:08:42Z">
              <w:r>
                <w:rPr>
                  <w:rFonts w:hint="eastAsia" w:ascii="宋体" w:hAnsi="宋体"/>
                  <w:b/>
                  <w:bCs/>
                  <w:color w:val="000000" w:themeColor="text1"/>
                  <w:sz w:val="24"/>
                  <w:szCs w:val="24"/>
                  <w:highlight w:val="none"/>
                  <w14:textFill>
                    <w14:solidFill>
                      <w14:schemeClr w14:val="tx1"/>
                    </w14:solidFill>
                  </w14:textFill>
                </w:rPr>
                <w:t>备注：</w:t>
              </w:r>
            </w:ins>
          </w:p>
          <w:p>
            <w:pPr>
              <w:wordWrap w:val="0"/>
              <w:adjustRightInd/>
              <w:snapToGrid/>
              <w:spacing w:line="360" w:lineRule="auto"/>
              <w:ind w:firstLine="480" w:firstLineChars="200"/>
              <w:jc w:val="both"/>
              <w:rPr>
                <w:ins w:id="94" w:author="user" w:date="2026-03-18T10:08:42Z"/>
                <w:rFonts w:hint="eastAsia" w:ascii="宋体" w:hAnsi="宋体"/>
                <w:color w:val="000000" w:themeColor="text1"/>
                <w:sz w:val="24"/>
                <w:szCs w:val="24"/>
                <w:highlight w:val="none"/>
                <w14:textFill>
                  <w14:solidFill>
                    <w14:schemeClr w14:val="tx1"/>
                  </w14:solidFill>
                </w14:textFill>
              </w:rPr>
            </w:pPr>
            <w:ins w:id="95" w:author="user" w:date="2026-03-18T10:08:42Z">
              <w:r>
                <w:rPr>
                  <w:rFonts w:hint="eastAsia" w:ascii="宋体" w:hAnsi="宋体"/>
                  <w:color w:val="000000" w:themeColor="text1"/>
                  <w:sz w:val="24"/>
                  <w:szCs w:val="24"/>
                  <w:highlight w:val="none"/>
                  <w14:textFill>
                    <w14:solidFill>
                      <w14:schemeClr w14:val="tx1"/>
                    </w14:solidFill>
                  </w14:textFill>
                </w:rPr>
                <w:t>1.银行转账。中标人以银行转账形式缴纳履约担保的，必须从基本账户转出。中标人登录全国公共资源交易平台（四川省·攀枝花市）（http://ggzy.panzhihua.gov.cn/），按“履约保证金—履约保证金缴纳申请—确认履约保证金（现金）”的步骤，依据系统提示缴纳履约保证金。</w:t>
              </w:r>
            </w:ins>
          </w:p>
          <w:p>
            <w:pPr>
              <w:wordWrap w:val="0"/>
              <w:adjustRightInd/>
              <w:snapToGrid/>
              <w:spacing w:line="360" w:lineRule="auto"/>
              <w:ind w:firstLine="480" w:firstLineChars="200"/>
              <w:jc w:val="both"/>
              <w:rPr>
                <w:ins w:id="96" w:author="user" w:date="2026-03-18T10:08:42Z"/>
                <w:rFonts w:hint="eastAsia" w:ascii="宋体" w:hAnsi="宋体"/>
                <w:color w:val="000000" w:themeColor="text1"/>
                <w:sz w:val="24"/>
                <w:szCs w:val="24"/>
                <w:highlight w:val="none"/>
                <w14:textFill>
                  <w14:solidFill>
                    <w14:schemeClr w14:val="tx1"/>
                  </w14:solidFill>
                </w14:textFill>
              </w:rPr>
            </w:pPr>
            <w:ins w:id="97" w:author="user" w:date="2026-03-18T10:08:42Z">
              <w:r>
                <w:rPr>
                  <w:rFonts w:hint="eastAsia" w:ascii="宋体" w:hAnsi="宋体"/>
                  <w:color w:val="000000" w:themeColor="text1"/>
                  <w:sz w:val="24"/>
                  <w:szCs w:val="24"/>
                  <w:highlight w:val="none"/>
                  <w14:textFill>
                    <w14:solidFill>
                      <w14:schemeClr w14:val="tx1"/>
                    </w14:solidFill>
                  </w14:textFill>
                </w:rPr>
                <w:t>2.电子保函保险。中标人以招标人在招标文件中确认的形式为准，登录全国公共资源交易平台（四川省·攀枝花市）（http://ggzy.panzhihua.gov.cn/），依据系统提示，选择银行或保险公司或专业担保公司申办电子保函保险。</w:t>
              </w:r>
            </w:ins>
          </w:p>
          <w:p>
            <w:pPr>
              <w:wordWrap w:val="0"/>
              <w:adjustRightInd/>
              <w:snapToGrid/>
              <w:spacing w:line="360" w:lineRule="auto"/>
              <w:ind w:firstLine="480" w:firstLineChars="200"/>
              <w:jc w:val="both"/>
              <w:rPr>
                <w:ins w:id="98" w:author="user" w:date="2026-03-18T10:08:42Z"/>
                <w:rFonts w:hint="eastAsia" w:ascii="宋体" w:hAnsi="宋体"/>
                <w:color w:val="000000" w:themeColor="text1"/>
                <w:kern w:val="2"/>
                <w:sz w:val="24"/>
                <w:szCs w:val="24"/>
                <w:highlight w:val="none"/>
                <w14:textFill>
                  <w14:solidFill>
                    <w14:schemeClr w14:val="tx1"/>
                  </w14:solidFill>
                </w14:textFill>
              </w:rPr>
            </w:pPr>
            <w:ins w:id="99" w:author="user" w:date="2026-03-18T10:08:42Z">
              <w:r>
                <w:rPr>
                  <w:rFonts w:hint="eastAsia" w:ascii="宋体" w:hAnsi="宋体"/>
                  <w:color w:val="000000" w:themeColor="text1"/>
                  <w:sz w:val="24"/>
                  <w:szCs w:val="24"/>
                  <w:highlight w:val="none"/>
                  <w14:textFill>
                    <w14:solidFill>
                      <w14:schemeClr w14:val="tx1"/>
                    </w14:solidFill>
                  </w14:textFill>
                </w:rPr>
                <w:t>采用现金和电子保函保险组合形式提交的，现金部分需由中标人通过其基本账户将现金部分转账至攀枝花市公共资源交易服务中心保证金专户，电子保函保险部分由中标人根据招标人勾选确认的形式提交。</w:t>
              </w:r>
            </w:ins>
          </w:p>
          <w:p>
            <w:pPr>
              <w:adjustRightInd w:val="0"/>
              <w:snapToGrid w:val="0"/>
              <w:spacing w:line="360" w:lineRule="exact"/>
              <w:jc w:val="left"/>
              <w:rPr>
                <w:del w:id="100" w:author="user" w:date="2026-03-18T10:08:42Z"/>
                <w:rFonts w:ascii="Times New Roman"/>
                <w:color w:val="auto"/>
                <w:kern w:val="0"/>
                <w:szCs w:val="21"/>
                <w:highlight w:val="none"/>
              </w:rPr>
            </w:pPr>
            <w:ins w:id="101" w:author="user" w:date="2026-03-18T10:08:42Z">
              <w:r>
                <w:rPr>
                  <w:rFonts w:hint="eastAsia" w:ascii="宋体" w:hAnsi="宋体"/>
                  <w:color w:val="000000" w:themeColor="text1"/>
                  <w:sz w:val="24"/>
                  <w:szCs w:val="24"/>
                  <w:highlight w:val="none"/>
                  <w14:textFill>
                    <w14:solidFill>
                      <w14:schemeClr w14:val="tx1"/>
                    </w14:solidFill>
                  </w14:textFill>
                </w:rPr>
                <w:t>攀枝花市公共资源交易服务中心仅为各方交易主体搭建金融机构、专业担保公司服务的平台，不会为金融机构、专业担保公司的服务提供任何形式的担保，无法对各金融机构、专业担保公司的实力作出保证，请中标人参考各金融机构、专业担保公司担保公司的偿</w:t>
              </w:r>
              <w:bookmarkStart w:id="1322" w:name="_GoBack"/>
              <w:bookmarkEnd w:id="1322"/>
              <w:r>
                <w:rPr>
                  <w:rFonts w:hint="eastAsia" w:ascii="宋体" w:hAnsi="宋体"/>
                  <w:color w:val="000000" w:themeColor="text1"/>
                  <w:sz w:val="24"/>
                  <w:szCs w:val="24"/>
                  <w:highlight w:val="none"/>
                  <w14:textFill>
                    <w14:solidFill>
                      <w14:schemeClr w14:val="tx1"/>
                    </w14:solidFill>
                  </w14:textFill>
                </w:rPr>
                <w:t>付能力，谨慎选择。</w:t>
              </w:r>
            </w:ins>
            <w:del w:id="102" w:author="user" w:date="2026-03-18T10:08:42Z">
              <w:r>
                <w:rPr>
                  <w:rFonts w:hint="eastAsia" w:ascii="Times New Roman" w:hAnsi="Times New Roman"/>
                  <w:color w:val="auto"/>
                  <w:kern w:val="0"/>
                  <w:szCs w:val="21"/>
                  <w:highlight w:val="none"/>
                </w:rPr>
                <w:delText>履约保证金＝暂定合同价（扣除招标暂定部分）的</w:delText>
              </w:r>
            </w:del>
            <w:del w:id="103" w:author="user" w:date="2026-03-18T10:08:42Z">
              <w:r>
                <w:rPr>
                  <w:rFonts w:ascii="Times New Roman" w:hAnsi="Times New Roman"/>
                  <w:color w:val="auto"/>
                  <w:kern w:val="0"/>
                  <w:szCs w:val="21"/>
                  <w:highlight w:val="none"/>
                  <w:u w:val="single"/>
                </w:rPr>
                <w:delText xml:space="preserve">    </w:delText>
              </w:r>
            </w:del>
            <w:del w:id="104" w:author="user" w:date="2026-03-18T10:08:42Z">
              <w:r>
                <w:rPr>
                  <w:rFonts w:ascii="Times New Roman" w:hAnsi="Times New Roman"/>
                  <w:color w:val="auto"/>
                  <w:kern w:val="0"/>
                  <w:szCs w:val="21"/>
                  <w:highlight w:val="none"/>
                </w:rPr>
                <w:delText>%</w:delText>
              </w:r>
            </w:del>
            <w:del w:id="105" w:author="user" w:date="2026-03-18T10:08:42Z">
              <w:r>
                <w:rPr>
                  <w:rFonts w:hint="eastAsia" w:ascii="Times New Roman" w:hAnsi="Times New Roman"/>
                  <w:color w:val="auto"/>
                  <w:kern w:val="0"/>
                  <w:szCs w:val="21"/>
                  <w:highlight w:val="none"/>
                </w:rPr>
                <w:delText>。</w:delText>
              </w:r>
            </w:del>
          </w:p>
          <w:p>
            <w:pPr>
              <w:adjustRightInd w:val="0"/>
              <w:snapToGrid w:val="0"/>
              <w:spacing w:line="360" w:lineRule="exact"/>
              <w:jc w:val="left"/>
              <w:rPr>
                <w:del w:id="106" w:author="user" w:date="2026-03-18T10:08:42Z"/>
                <w:rFonts w:ascii="Times New Roman"/>
                <w:color w:val="auto"/>
                <w:kern w:val="0"/>
                <w:szCs w:val="21"/>
                <w:highlight w:val="none"/>
              </w:rPr>
            </w:pPr>
            <w:del w:id="107" w:author="user" w:date="2026-03-18T10:08:42Z">
              <w:r>
                <w:rPr>
                  <w:rFonts w:hint="eastAsia" w:ascii="Times New Roman" w:hAnsi="Times New Roman"/>
                  <w:color w:val="auto"/>
                  <w:kern w:val="0"/>
                  <w:szCs w:val="21"/>
                  <w:highlight w:val="none"/>
                </w:rPr>
                <w:delText xml:space="preserve">    履约担保采用如下方式提交：</w:delText>
              </w:r>
            </w:del>
          </w:p>
          <w:p>
            <w:pPr>
              <w:adjustRightInd w:val="0"/>
              <w:snapToGrid w:val="0"/>
              <w:spacing w:line="360" w:lineRule="exact"/>
              <w:ind w:firstLine="411" w:firstLineChars="196"/>
              <w:jc w:val="left"/>
              <w:rPr>
                <w:del w:id="108" w:author="user" w:date="2026-03-18T10:08:42Z"/>
                <w:rFonts w:ascii="Times New Roman"/>
                <w:color w:val="auto"/>
                <w:kern w:val="0"/>
                <w:szCs w:val="21"/>
                <w:highlight w:val="none"/>
              </w:rPr>
            </w:pPr>
            <w:del w:id="109" w:author="user" w:date="2026-03-18T10:08:42Z">
              <w:r>
                <w:rPr>
                  <w:rFonts w:ascii="Times New Roman" w:hAnsi="Times New Roman"/>
                  <w:color w:val="auto"/>
                  <w:kern w:val="0"/>
                  <w:szCs w:val="21"/>
                  <w:highlight w:val="none"/>
                </w:rPr>
                <w:delText>1.</w:delText>
              </w:r>
            </w:del>
            <w:del w:id="110" w:author="user" w:date="2026-03-18T10:08:42Z">
              <w:r>
                <w:rPr>
                  <w:rFonts w:hint="eastAsia" w:ascii="Times New Roman" w:hAnsi="Times New Roman"/>
                  <w:color w:val="auto"/>
                  <w:kern w:val="0"/>
                  <w:szCs w:val="21"/>
                  <w:highlight w:val="none"/>
                </w:rPr>
                <w:delText>现金□</w:delText>
              </w:r>
            </w:del>
          </w:p>
          <w:p>
            <w:pPr>
              <w:adjustRightInd w:val="0"/>
              <w:snapToGrid w:val="0"/>
              <w:spacing w:line="360" w:lineRule="exact"/>
              <w:ind w:firstLine="411" w:firstLineChars="196"/>
              <w:jc w:val="left"/>
              <w:rPr>
                <w:del w:id="111" w:author="user" w:date="2026-03-18T10:08:42Z"/>
                <w:rFonts w:ascii="Times New Roman"/>
                <w:color w:val="auto"/>
                <w:kern w:val="0"/>
                <w:szCs w:val="21"/>
                <w:highlight w:val="none"/>
              </w:rPr>
            </w:pPr>
            <w:del w:id="112" w:author="user" w:date="2026-03-18T10:08:42Z">
              <w:r>
                <w:rPr>
                  <w:rFonts w:hint="eastAsia" w:ascii="Times New Roman" w:hAnsi="Times New Roman"/>
                  <w:color w:val="auto"/>
                  <w:kern w:val="0"/>
                  <w:szCs w:val="21"/>
                  <w:highlight w:val="none"/>
                </w:rPr>
                <w:delText xml:space="preserve">   2.银行保函□</w:delText>
              </w:r>
            </w:del>
          </w:p>
          <w:p>
            <w:pPr>
              <w:adjustRightInd w:val="0"/>
              <w:snapToGrid w:val="0"/>
              <w:spacing w:line="360" w:lineRule="exact"/>
              <w:ind w:firstLine="411" w:firstLineChars="196"/>
              <w:jc w:val="left"/>
              <w:rPr>
                <w:del w:id="113" w:author="user" w:date="2026-03-18T10:08:42Z"/>
                <w:rFonts w:ascii="Times New Roman"/>
                <w:color w:val="auto"/>
                <w:kern w:val="0"/>
                <w:szCs w:val="21"/>
                <w:highlight w:val="none"/>
              </w:rPr>
            </w:pPr>
            <w:del w:id="114" w:author="user" w:date="2026-03-18T10:08:42Z">
              <w:r>
                <w:rPr>
                  <w:rFonts w:hint="eastAsia" w:ascii="Times New Roman" w:hAnsi="Times New Roman"/>
                  <w:color w:val="auto"/>
                  <w:kern w:val="0"/>
                  <w:szCs w:val="21"/>
                  <w:highlight w:val="none"/>
                </w:rPr>
                <w:delText xml:space="preserve">   3.保险保函□</w:delText>
              </w:r>
            </w:del>
          </w:p>
          <w:p>
            <w:pPr>
              <w:adjustRightInd w:val="0"/>
              <w:snapToGrid w:val="0"/>
              <w:spacing w:line="360" w:lineRule="exact"/>
              <w:ind w:firstLine="411" w:firstLineChars="196"/>
              <w:jc w:val="left"/>
              <w:rPr>
                <w:del w:id="115" w:author="user" w:date="2026-03-18T10:08:42Z"/>
                <w:rFonts w:ascii="Times New Roman" w:hAnsi="Times New Roman"/>
                <w:color w:val="auto"/>
                <w:kern w:val="0"/>
                <w:szCs w:val="21"/>
                <w:highlight w:val="none"/>
              </w:rPr>
            </w:pPr>
            <w:del w:id="116" w:author="user" w:date="2026-03-18T10:08:42Z">
              <w:r>
                <w:rPr>
                  <w:rFonts w:hint="eastAsia" w:ascii="Times New Roman" w:hAnsi="Times New Roman"/>
                  <w:color w:val="auto"/>
                  <w:kern w:val="0"/>
                  <w:szCs w:val="21"/>
                  <w:highlight w:val="none"/>
                </w:rPr>
                <w:delText xml:space="preserve">   4.专业担保保函□  </w:delText>
              </w:r>
            </w:del>
          </w:p>
          <w:p>
            <w:pPr>
              <w:adjustRightInd w:val="0"/>
              <w:snapToGrid w:val="0"/>
              <w:spacing w:line="360" w:lineRule="exact"/>
              <w:jc w:val="left"/>
              <w:rPr>
                <w:del w:id="117" w:author="user" w:date="2026-03-18T10:08:42Z"/>
                <w:rFonts w:ascii="Times New Roman" w:hAnsi="Times New Roman"/>
                <w:color w:val="auto"/>
                <w:kern w:val="0"/>
                <w:szCs w:val="21"/>
                <w:highlight w:val="none"/>
              </w:rPr>
            </w:pPr>
            <w:del w:id="118" w:author="user" w:date="2026-03-18T10:08:42Z">
              <w:r>
                <w:rPr>
                  <w:rFonts w:hint="eastAsia" w:ascii="Times New Roman" w:hAnsi="Times New Roman"/>
                  <w:color w:val="auto"/>
                  <w:kern w:val="0"/>
                  <w:szCs w:val="21"/>
                  <w:highlight w:val="none"/>
                </w:rPr>
                <w:delText xml:space="preserve">       5.以现金和保函组合形式提交，其中现金占</w:delText>
              </w:r>
            </w:del>
            <w:del w:id="119" w:author="user" w:date="2026-03-18T10:08:42Z">
              <w:r>
                <w:rPr>
                  <w:rFonts w:ascii="Times New Roman" w:hAnsi="Times New Roman"/>
                  <w:color w:val="auto"/>
                  <w:kern w:val="0"/>
                  <w:szCs w:val="21"/>
                  <w:highlight w:val="none"/>
                  <w:u w:val="single"/>
                </w:rPr>
                <w:delText xml:space="preserve">   </w:delText>
              </w:r>
            </w:del>
            <w:del w:id="120" w:author="user" w:date="2026-03-18T10:08:42Z">
              <w:r>
                <w:rPr>
                  <w:rFonts w:ascii="Times New Roman" w:hAnsi="Times New Roman"/>
                  <w:color w:val="auto"/>
                  <w:kern w:val="0"/>
                  <w:szCs w:val="21"/>
                  <w:highlight w:val="none"/>
                </w:rPr>
                <w:delText>%</w:delText>
              </w:r>
            </w:del>
            <w:del w:id="121" w:author="user" w:date="2026-03-18T10:08:42Z">
              <w:r>
                <w:rPr>
                  <w:rFonts w:hint="eastAsia" w:ascii="Times New Roman" w:hAnsi="Times New Roman"/>
                  <w:color w:val="auto"/>
                  <w:kern w:val="0"/>
                  <w:szCs w:val="21"/>
                  <w:highlight w:val="none"/>
                </w:rPr>
                <w:delText>，保函（银行保函□保险保函□专业担保保函□）占</w:delText>
              </w:r>
            </w:del>
            <w:del w:id="122" w:author="user" w:date="2026-03-18T10:08:42Z">
              <w:r>
                <w:rPr>
                  <w:rFonts w:ascii="Times New Roman" w:hAnsi="Times New Roman"/>
                  <w:color w:val="auto"/>
                  <w:kern w:val="0"/>
                  <w:szCs w:val="21"/>
                  <w:highlight w:val="none"/>
                  <w:u w:val="single"/>
                </w:rPr>
                <w:delText xml:space="preserve">   </w:delText>
              </w:r>
            </w:del>
            <w:del w:id="123" w:author="user" w:date="2026-03-18T10:08:42Z">
              <w:r>
                <w:rPr>
                  <w:rFonts w:ascii="Times New Roman" w:hAnsi="Times New Roman"/>
                  <w:color w:val="auto"/>
                  <w:kern w:val="0"/>
                  <w:szCs w:val="21"/>
                  <w:highlight w:val="none"/>
                </w:rPr>
                <w:delText>%</w:delText>
              </w:r>
            </w:del>
            <w:del w:id="124" w:author="user" w:date="2026-03-18T10:08:42Z">
              <w:r>
                <w:rPr>
                  <w:rFonts w:hint="eastAsia" w:ascii="Times New Roman" w:hAnsi="Times New Roman"/>
                  <w:color w:val="auto"/>
                  <w:kern w:val="0"/>
                  <w:szCs w:val="21"/>
                  <w:highlight w:val="none"/>
                </w:rPr>
                <w:delText>□</w:delText>
              </w:r>
            </w:del>
          </w:p>
          <w:p>
            <w:pPr>
              <w:adjustRightInd w:val="0"/>
              <w:snapToGrid w:val="0"/>
              <w:spacing w:line="360" w:lineRule="exact"/>
              <w:jc w:val="left"/>
              <w:rPr>
                <w:del w:id="125" w:author="user" w:date="2026-03-18T10:08:42Z"/>
                <w:rFonts w:hint="eastAsia" w:ascii="Times New Roman"/>
                <w:color w:val="auto"/>
                <w:kern w:val="0"/>
                <w:szCs w:val="21"/>
                <w:highlight w:val="none"/>
              </w:rPr>
            </w:pPr>
            <w:del w:id="126" w:author="user" w:date="2026-03-18T10:08:42Z">
              <w:r>
                <w:rPr>
                  <w:rFonts w:hint="eastAsia" w:ascii="Times New Roman"/>
                  <w:color w:val="auto"/>
                  <w:kern w:val="0"/>
                  <w:szCs w:val="21"/>
                  <w:highlight w:val="none"/>
                </w:rPr>
                <w:delText xml:space="preserve">    </w:delText>
              </w:r>
            </w:del>
          </w:p>
          <w:p>
            <w:pPr>
              <w:adjustRightInd w:val="0"/>
              <w:snapToGrid w:val="0"/>
              <w:spacing w:line="360" w:lineRule="exact"/>
              <w:ind w:firstLine="420" w:firstLineChars="200"/>
              <w:jc w:val="left"/>
              <w:rPr>
                <w:del w:id="127" w:author="user" w:date="2026-03-18T10:08:42Z"/>
                <w:rFonts w:ascii="Times New Roman"/>
                <w:color w:val="auto"/>
                <w:kern w:val="0"/>
                <w:szCs w:val="21"/>
                <w:highlight w:val="none"/>
              </w:rPr>
            </w:pPr>
            <w:del w:id="128" w:author="user" w:date="2026-03-18T10:08:42Z">
              <w:r>
                <w:rPr>
                  <w:rFonts w:hint="eastAsia" w:ascii="Times New Roman"/>
                  <w:color w:val="auto"/>
                  <w:kern w:val="0"/>
                  <w:szCs w:val="21"/>
                  <w:highlight w:val="none"/>
                </w:rPr>
                <w:delText>备注：</w:delText>
              </w:r>
            </w:del>
          </w:p>
          <w:p>
            <w:pPr>
              <w:adjustRightInd w:val="0"/>
              <w:snapToGrid w:val="0"/>
              <w:spacing w:line="360" w:lineRule="exact"/>
              <w:jc w:val="left"/>
              <w:rPr>
                <w:del w:id="129" w:author="user" w:date="2026-03-18T10:08:42Z"/>
                <w:rFonts w:ascii="Times New Roman"/>
                <w:color w:val="auto"/>
                <w:kern w:val="0"/>
                <w:szCs w:val="21"/>
                <w:highlight w:val="none"/>
              </w:rPr>
            </w:pPr>
            <w:del w:id="130" w:author="user" w:date="2026-03-18T10:08:42Z">
              <w:r>
                <w:rPr>
                  <w:rFonts w:hint="eastAsia" w:ascii="Times New Roman"/>
                  <w:color w:val="auto"/>
                  <w:kern w:val="0"/>
                  <w:szCs w:val="21"/>
                  <w:highlight w:val="none"/>
                </w:rPr>
                <w:delText xml:space="preserve">    1.</w:delText>
              </w:r>
            </w:del>
            <w:del w:id="131" w:author="user" w:date="2026-03-18T10:08:42Z">
              <w:r>
                <w:rPr>
                  <w:rFonts w:hint="eastAsia" w:ascii="Times New Roman" w:hAnsi="Times New Roman"/>
                  <w:color w:val="auto"/>
                  <w:kern w:val="0"/>
                  <w:szCs w:val="21"/>
                  <w:highlight w:val="none"/>
                </w:rPr>
                <w:delText xml:space="preserve"> 现金方式为必选项，招标人不得拒绝现金缴纳方式。由中标人通过其基本账户将履约保证金转账至攀枝花市公共资源交易服务中心保证金专户。收款账户为：</w:delText>
              </w:r>
            </w:del>
          </w:p>
          <w:p>
            <w:pPr>
              <w:adjustRightInd w:val="0"/>
              <w:snapToGrid w:val="0"/>
              <w:spacing w:line="360" w:lineRule="exact"/>
              <w:jc w:val="left"/>
              <w:rPr>
                <w:del w:id="132" w:author="user" w:date="2026-03-18T10:08:42Z"/>
                <w:rFonts w:ascii="Times New Roman"/>
                <w:color w:val="auto"/>
                <w:kern w:val="0"/>
                <w:szCs w:val="21"/>
                <w:highlight w:val="none"/>
              </w:rPr>
            </w:pPr>
            <w:del w:id="133" w:author="user" w:date="2026-03-18T10:08:42Z">
              <w:r>
                <w:rPr>
                  <w:rFonts w:hint="eastAsia" w:ascii="Times New Roman" w:hAnsi="Times New Roman"/>
                  <w:color w:val="auto"/>
                  <w:kern w:val="0"/>
                  <w:szCs w:val="21"/>
                  <w:highlight w:val="none"/>
                </w:rPr>
                <w:delText xml:space="preserve">    账户名称：攀枝花市公共资源交易服务中心</w:delText>
              </w:r>
            </w:del>
          </w:p>
          <w:p>
            <w:pPr>
              <w:adjustRightInd w:val="0"/>
              <w:snapToGrid w:val="0"/>
              <w:spacing w:line="360" w:lineRule="exact"/>
              <w:jc w:val="left"/>
              <w:rPr>
                <w:del w:id="134" w:author="user" w:date="2026-03-18T10:08:42Z"/>
                <w:rFonts w:ascii="Times New Roman" w:hAnsi="Times New Roman"/>
                <w:color w:val="auto"/>
                <w:kern w:val="0"/>
                <w:szCs w:val="21"/>
                <w:highlight w:val="none"/>
              </w:rPr>
            </w:pPr>
            <w:del w:id="135" w:author="user" w:date="2026-03-18T10:08:42Z">
              <w:r>
                <w:rPr>
                  <w:rFonts w:hint="eastAsia" w:ascii="Times New Roman" w:hAnsi="Times New Roman"/>
                  <w:color w:val="auto"/>
                  <w:kern w:val="0"/>
                  <w:szCs w:val="21"/>
                  <w:highlight w:val="none"/>
                </w:rPr>
                <w:delText xml:space="preserve">    开户银行：工行攀枝花分行</w:delText>
              </w:r>
            </w:del>
          </w:p>
          <w:p>
            <w:pPr>
              <w:adjustRightInd w:val="0"/>
              <w:snapToGrid w:val="0"/>
              <w:spacing w:line="360" w:lineRule="exact"/>
              <w:jc w:val="left"/>
              <w:rPr>
                <w:del w:id="136" w:author="user" w:date="2026-03-18T10:08:42Z"/>
                <w:rFonts w:ascii="Times New Roman" w:hAnsi="Times New Roman"/>
                <w:color w:val="auto"/>
                <w:kern w:val="0"/>
                <w:szCs w:val="21"/>
                <w:highlight w:val="none"/>
              </w:rPr>
            </w:pPr>
            <w:del w:id="137" w:author="user" w:date="2026-03-18T10:08:42Z">
              <w:r>
                <w:rPr>
                  <w:rFonts w:hint="eastAsia" w:ascii="Times New Roman" w:hAnsi="Times New Roman"/>
                  <w:color w:val="auto"/>
                  <w:kern w:val="0"/>
                  <w:szCs w:val="21"/>
                  <w:highlight w:val="none"/>
                </w:rPr>
                <w:delText xml:space="preserve">    账    号：</w:delText>
              </w:r>
            </w:del>
            <w:del w:id="138" w:author="user" w:date="2026-03-18T10:08:42Z">
              <w:r>
                <w:rPr>
                  <w:rFonts w:ascii="Times New Roman" w:hAnsi="Times New Roman"/>
                  <w:color w:val="auto"/>
                  <w:kern w:val="0"/>
                  <w:szCs w:val="21"/>
                  <w:highlight w:val="none"/>
                </w:rPr>
                <w:delText>2302332119100116196</w:delText>
              </w:r>
            </w:del>
          </w:p>
          <w:p>
            <w:pPr>
              <w:spacing w:line="440" w:lineRule="exact"/>
              <w:ind w:firstLine="420" w:firstLineChars="200"/>
              <w:rPr>
                <w:del w:id="139" w:author="user" w:date="2026-03-18T10:08:42Z"/>
                <w:rFonts w:hint="eastAsia" w:ascii="Times New Roman" w:hAnsi="Times New Roman"/>
                <w:color w:val="auto"/>
                <w:kern w:val="0"/>
                <w:szCs w:val="21"/>
                <w:highlight w:val="none"/>
              </w:rPr>
            </w:pPr>
            <w:del w:id="140" w:author="user" w:date="2026-03-18T10:08:42Z">
              <w:r>
                <w:rPr>
                  <w:rFonts w:hint="eastAsia" w:ascii="Times New Roman" w:hAnsi="Times New Roman"/>
                  <w:color w:val="auto"/>
                  <w:kern w:val="0"/>
                  <w:szCs w:val="21"/>
                  <w:highlight w:val="none"/>
                </w:rPr>
                <w:delText>2. 银行保函、保险保函、专业担保保函、以现金和保函组合形式提交均为非必选项，具体以招标人在招标文件中勾选确认的为准。银行保函由中标人向全国所有工商银行（含中国工商银行攀枝花分行及下属支行）申请开具；保险保函由中标人向接入全国公共资源交易平台（四川省·攀枝花市）的保险公司申请开具，保险公司名单以平台上显示可用的保险公司为准；专业担保保函由中标人向我市已入围的攀枝花市金鼎融资担保有限责任公司申请开具。采用现金和保函组合形式提交的，现金部分需由中标人通过其基本账户将履约保证金转账至攀枝花市公共资源交易服务中心保证金专户，保函部分由中标人根据招标人勾选确认的保函形式提交。</w:delText>
              </w:r>
            </w:del>
          </w:p>
          <w:p>
            <w:pPr>
              <w:spacing w:line="440" w:lineRule="exact"/>
              <w:ind w:firstLine="420" w:firstLineChars="200"/>
              <w:rPr>
                <w:rFonts w:hint="eastAsia" w:ascii="Times New Roman" w:hAnsi="Times New Roman" w:cs="宋体"/>
                <w:color w:val="auto"/>
                <w:sz w:val="24"/>
                <w:highlight w:val="none"/>
              </w:rPr>
            </w:pPr>
            <w:del w:id="141" w:author="user" w:date="2026-03-18T10:08:42Z">
              <w:r>
                <w:rPr>
                  <w:rFonts w:hint="eastAsia" w:ascii="Times New Roman" w:hAnsi="Times New Roman"/>
                  <w:color w:val="auto"/>
                  <w:kern w:val="0"/>
                  <w:szCs w:val="21"/>
                  <w:highlight w:val="none"/>
                </w:rPr>
                <w:delText>攀枝花市公共资源交易服务中心为各方交易主体提供对接金融机构服务，但不为保函(保险)服务涉及的任何用户提供任何形式的担保，不保证各金融机构的实力，请中标人参考各金融机构的偿付能力谨慎选择。</w:delText>
              </w:r>
            </w:del>
          </w:p>
        </w:tc>
      </w:tr>
      <w:tr>
        <w:tblPrEx>
          <w:tblCellMar>
            <w:top w:w="0" w:type="dxa"/>
            <w:left w:w="108" w:type="dxa"/>
            <w:bottom w:w="0" w:type="dxa"/>
            <w:right w:w="108" w:type="dxa"/>
          </w:tblCellMar>
        </w:tblPrEx>
        <w:tc>
          <w:tcPr>
            <w:tcW w:w="9854"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b/>
                <w:color w:val="auto"/>
                <w:sz w:val="24"/>
                <w:highlight w:val="none"/>
              </w:rPr>
            </w:pP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default" w:ascii="Times New Roman" w:hAnsi="Times New Roman" w:eastAsia="宋体" w:cs="宋体"/>
                <w:b/>
                <w:color w:val="auto"/>
                <w:sz w:val="24"/>
                <w:highlight w:val="none"/>
                <w:lang w:val="en-US" w:eastAsia="zh-CN"/>
              </w:rPr>
            </w:pPr>
            <w:r>
              <w:rPr>
                <w:rFonts w:hint="eastAsia" w:ascii="Times New Roman" w:hAnsi="Times New Roman" w:cs="宋体"/>
                <w:b/>
                <w:color w:val="auto"/>
                <w:sz w:val="24"/>
                <w:highlight w:val="none"/>
                <w:lang w:val="en-US" w:eastAsia="zh-CN"/>
              </w:rPr>
              <w:t>8.1.1</w:t>
            </w:r>
          </w:p>
        </w:tc>
        <w:tc>
          <w:tcPr>
            <w:tcW w:w="8689" w:type="dxa"/>
            <w:gridSpan w:val="2"/>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需要补充的其他内容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.1</w:t>
            </w:r>
            <w:r>
              <w:rPr>
                <w:rFonts w:hint="eastAsia" w:ascii="Times New Roman" w:hAnsi="Times New Roman"/>
                <w:color w:val="auto"/>
                <w:sz w:val="24"/>
                <w:highlight w:val="none"/>
                <w:lang w:val="en-US" w:eastAsia="zh-CN"/>
              </w:rPr>
              <w:t>.2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编页码</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imes New Roman" w:hAnsi="Times New Roman" w:cs="宋体"/>
                <w:b/>
                <w:color w:val="auto"/>
                <w:sz w:val="24"/>
                <w:highlight w:val="none"/>
              </w:rPr>
            </w:pPr>
            <w:r>
              <w:rPr>
                <w:rFonts w:hint="eastAsia" w:ascii="Times New Roman" w:hAnsi="Times New Roman"/>
                <w:color w:val="auto"/>
                <w:sz w:val="24"/>
                <w:highlight w:val="none"/>
              </w:rPr>
              <w:t>不需要。</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1.3</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招标代理服务费</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adjustRightInd w:val="0"/>
              <w:snapToGrid w:val="0"/>
              <w:spacing w:line="360" w:lineRule="auto"/>
              <w:rPr>
                <w:rFonts w:ascii="Times New Roman" w:hAnsi="Times New Roman" w:cs="宋体"/>
                <w:color w:val="auto"/>
                <w:sz w:val="24"/>
                <w:highlight w:val="none"/>
              </w:rPr>
            </w:pPr>
            <w:r>
              <w:rPr>
                <w:rFonts w:hint="eastAsia" w:ascii="Times New Roman" w:hAnsi="Times New Roman"/>
                <w:color w:val="auto"/>
                <w:sz w:val="24"/>
                <w:highlight w:val="none"/>
              </w:rPr>
              <w:t>□</w:t>
            </w:r>
            <w:r>
              <w:rPr>
                <w:rFonts w:hint="eastAsia" w:ascii="Times New Roman" w:hAnsi="Times New Roman" w:cs="宋体"/>
                <w:color w:val="auto"/>
                <w:sz w:val="24"/>
                <w:highlight w:val="none"/>
              </w:rPr>
              <w:t>不适合(自行招标)。</w:t>
            </w:r>
          </w:p>
          <w:p>
            <w:pPr>
              <w:adjustRightInd w:val="0"/>
              <w:snapToGrid w:val="0"/>
              <w:spacing w:line="360" w:lineRule="auto"/>
              <w:rPr>
                <w:rFonts w:ascii="Times New Roman" w:hAnsi="Times New Roman" w:cs="宋体"/>
                <w:color w:val="auto"/>
                <w:sz w:val="24"/>
                <w:highlight w:val="none"/>
              </w:rPr>
            </w:pPr>
            <w:r>
              <w:rPr>
                <w:rFonts w:hint="eastAsia" w:ascii="Times New Roman" w:hAnsi="Times New Roman"/>
                <w:color w:val="auto"/>
                <w:sz w:val="24"/>
                <w:highlight w:val="none"/>
              </w:rPr>
              <w:t>□</w:t>
            </w:r>
            <w:r>
              <w:rPr>
                <w:rFonts w:hint="eastAsia" w:ascii="Times New Roman" w:hAnsi="Times New Roman" w:cs="宋体"/>
                <w:color w:val="auto"/>
                <w:sz w:val="24"/>
                <w:highlight w:val="none"/>
              </w:rPr>
              <w:t>招标人支付。</w:t>
            </w:r>
          </w:p>
          <w:p>
            <w:pPr>
              <w:spacing w:line="360" w:lineRule="auto"/>
              <w:rPr>
                <w:rFonts w:hint="eastAsia" w:ascii="Times New Roman" w:hAnsi="Times New Roman" w:cs="宋体"/>
                <w:b/>
                <w:color w:val="auto"/>
                <w:sz w:val="24"/>
                <w:highlight w:val="none"/>
              </w:rPr>
            </w:pPr>
            <w:r>
              <w:rPr>
                <w:rFonts w:hint="eastAsia" w:ascii="Times New Roman" w:hAnsi="Times New Roman"/>
                <w:color w:val="auto"/>
                <w:sz w:val="24"/>
                <w:highlight w:val="none"/>
              </w:rPr>
              <w:t>□</w:t>
            </w:r>
            <w:r>
              <w:rPr>
                <w:rFonts w:hint="eastAsia" w:ascii="Times New Roman" w:hAnsi="Times New Roman" w:cs="宋体"/>
                <w:color w:val="auto"/>
                <w:sz w:val="24"/>
                <w:highlight w:val="none"/>
              </w:rPr>
              <w:t>中标的投标人支付，支付标准：</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（按照招标代理合同约定填写）。</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1.4</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报价唯一</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imes New Roman" w:hAnsi="Times New Roman" w:cs="宋体"/>
                <w:b/>
                <w:color w:val="auto"/>
                <w:sz w:val="24"/>
                <w:highlight w:val="none"/>
              </w:rPr>
            </w:pPr>
            <w:r>
              <w:rPr>
                <w:rFonts w:hint="eastAsia" w:ascii="Times New Roman" w:hAnsi="Times New Roman" w:cs="宋体"/>
                <w:color w:val="auto"/>
                <w:sz w:val="24"/>
                <w:highlight w:val="none"/>
              </w:rPr>
              <w:t>只能有一个报价，任何有选择和保留的报价将不予接受。</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1.5</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低于成本报价</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在评标过程中，评标委员会发现投标人的报价明显低于其他投标报价，使得其投标报价可能低于其个别成本的，应当要求该投标人作出书面说明,评标委员会应从发包人要求和投标报价构成等方面综合考虑对投标人是否低于其个别成本进行认定，评标委员会经评审认为其不低于成本的，应当书面说明理由。投标人不能说明或者评标委员会认为说明不合理的，由评标委员会认定该投标人以低于成本报价竞标，其投标应作否决处理。</w:t>
            </w:r>
          </w:p>
          <w:p>
            <w:pPr>
              <w:adjustRightInd/>
              <w:snapToGrid/>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启动低于成本评审的具体标准：</w:t>
            </w:r>
            <w:r>
              <w:rPr>
                <w:rFonts w:hint="eastAsia" w:ascii="Times New Roman" w:hAnsi="Times New Roman" w:cs="宋体"/>
                <w:color w:val="auto"/>
                <w:sz w:val="24"/>
                <w:highlight w:val="none"/>
                <w:u w:val="single"/>
              </w:rPr>
              <w:t xml:space="preserve">           （招标人应根据最高投标限价的水平，结合市场情况合理设定，例如：低于最高投标限价的**%时。但不得设定或变相设定最低投标限价）</w:t>
            </w:r>
            <w:r>
              <w:rPr>
                <w:rFonts w:hint="eastAsia" w:ascii="Times New Roman" w:hAnsi="Times New Roman" w:cs="宋体"/>
                <w:color w:val="auto"/>
                <w:sz w:val="24"/>
                <w:highlight w:val="none"/>
              </w:rPr>
              <w:t>。</w:t>
            </w:r>
          </w:p>
          <w:p>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s="宋体"/>
                <w:color w:val="auto"/>
                <w:sz w:val="24"/>
                <w:highlight w:val="none"/>
              </w:rPr>
              <w:t>评标委员会全体成员半数以上认为该投标人不能合理说明的，认定该投标人以低于成本报价竞标，其投标应作否决处理。持有异议的评标委员会成员可以书面方式阐述其不同意见和理由，拒绝签字且不陈述其不同意见和理由的，视为同意。</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1.6</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中标价</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以中标的投标人在投标函中的投标报价为准。按第三章“评标办法”3.1.3对投标报价进行修正的，以投标人接受的修正价格为中标价。</w:t>
            </w:r>
          </w:p>
          <w:p>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olor w:val="auto"/>
                <w:sz w:val="24"/>
                <w:highlight w:val="none"/>
              </w:rPr>
              <w:t>无论是采用综合评估法还是经评审的最低投标价法，都不保证报价最低的投标人中标，也不解释原因。</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1.7</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确定中标人</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如投标人被推荐为第一中标候选人的多个标段配置了相同的项目经理或施工负责人，则按如下方式选择其中一个标段作为中标人：</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□由投标人选择中标的合同段，选择原则为：</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w:t>
            </w:r>
          </w:p>
          <w:p>
            <w:pPr>
              <w:spacing w:line="360" w:lineRule="auto"/>
              <w:ind w:firstLine="480" w:firstLineChars="200"/>
              <w:rPr>
                <w:rFonts w:ascii="Times New Roman" w:hAnsi="Times New Roman"/>
                <w:color w:val="auto"/>
                <w:sz w:val="24"/>
                <w:highlight w:val="none"/>
              </w:rPr>
            </w:pPr>
            <w:r>
              <w:rPr>
                <w:rFonts w:hint="eastAsia" w:ascii="Times New Roman" w:hAnsi="Times New Roman"/>
                <w:color w:val="auto"/>
                <w:sz w:val="24"/>
                <w:highlight w:val="none"/>
              </w:rPr>
              <w:t>□由招标人选择中标的合同段，选择原则为：</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w:t>
            </w:r>
          </w:p>
          <w:p>
            <w:pPr>
              <w:spacing w:line="360" w:lineRule="auto"/>
              <w:ind w:firstLine="480" w:firstLineChars="200"/>
              <w:rPr>
                <w:rFonts w:ascii="Times New Roman" w:hAnsi="Times New Roman"/>
                <w:color w:val="auto"/>
                <w:sz w:val="24"/>
                <w:highlight w:val="none"/>
              </w:rPr>
            </w:pPr>
          </w:p>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注：（1）根据《中华人民共和国招标投标法实施条例》第五十五条，国有资金占控股或者主导地位的依法必须进行招标的项目，招标人应当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numPr>
                <w:ilvl w:val="-1"/>
                <w:numId w:val="0"/>
              </w:num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lang w:eastAsia="zh-CN"/>
              </w:rPr>
              <w:t>（</w:t>
            </w:r>
            <w:r>
              <w:rPr>
                <w:rFonts w:hint="eastAsia" w:ascii="Times New Roman" w:hAnsi="Times New Roman"/>
                <w:color w:val="auto"/>
                <w:sz w:val="24"/>
                <w:highlight w:val="none"/>
                <w:lang w:val="en-US" w:eastAsia="zh-CN"/>
              </w:rPr>
              <w:t>2</w:t>
            </w:r>
            <w:r>
              <w:rPr>
                <w:rFonts w:hint="eastAsia" w:ascii="Times New Roman" w:hAnsi="Times New Roman"/>
                <w:color w:val="auto"/>
                <w:sz w:val="24"/>
                <w:highlight w:val="none"/>
                <w:lang w:eastAsia="zh-CN"/>
              </w:rPr>
              <w:t>）</w:t>
            </w:r>
            <w:r>
              <w:rPr>
                <w:rFonts w:hint="eastAsia" w:ascii="Times New Roman" w:hAnsi="Times New Roman"/>
                <w:color w:val="auto"/>
                <w:sz w:val="24"/>
                <w:highlight w:val="none"/>
              </w:rPr>
              <w:t>根据《工程建设项目施工招标投标办法》（七部委30号令）第五十八条，国有资金占控股或者主导地位的依法必须进行招标的项目，招标人应当确定排名第一的中标候选人为中标人。排名第一的中标候选人放弃中标、因不可抗力提出不能履行合同、不按照招标文件的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p>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olor w:val="auto"/>
                <w:sz w:val="24"/>
                <w:highlight w:val="none"/>
              </w:rPr>
              <w:t>（3）根据《工程建设项目勘察设计招标投标办法》（八部委2号令）</w:t>
            </w:r>
            <w:r>
              <w:rPr>
                <w:rFonts w:ascii="Times New Roman" w:hAnsi="Times New Roman"/>
                <w:color w:val="auto"/>
                <w:sz w:val="24"/>
                <w:highlight w:val="none"/>
              </w:rPr>
              <w:t>第四十条</w:t>
            </w:r>
            <w:r>
              <w:rPr>
                <w:rFonts w:hint="eastAsia" w:ascii="Times New Roman" w:hAnsi="Times New Roman"/>
                <w:color w:val="auto"/>
                <w:sz w:val="24"/>
                <w:highlight w:val="none"/>
              </w:rPr>
              <w:t>，</w:t>
            </w:r>
            <w:r>
              <w:rPr>
                <w:rFonts w:ascii="Times New Roman" w:hAnsi="Times New Roman"/>
                <w:color w:val="auto"/>
                <w:sz w:val="24"/>
                <w:highlight w:val="none"/>
              </w:rPr>
              <w:t>国有资金占控股或者主导地位的依法必须招标的项目，招标人应当确定排名第一的中标候选人为中标人。排名第一的中标候选人放弃中标、因不可抗力提出不能履行合同，不按照招标文件要求提交履约保证金，或者被查实存在影响中标结果的违法行为等情形，不符合中标条件的，招标人可以按照评标委员会提出的中标候选人名单排序依次确定其他中标候选人为中标人。依次确定其他中标候选人与招标人预期差距较大，或者对招标人明显不利的，招标人可以重新招标。</w:t>
            </w:r>
          </w:p>
        </w:tc>
      </w:tr>
      <w:tr>
        <w:tblPrEx>
          <w:tblCellMar>
            <w:top w:w="0" w:type="dxa"/>
            <w:left w:w="108" w:type="dxa"/>
            <w:bottom w:w="0" w:type="dxa"/>
            <w:right w:w="108" w:type="dxa"/>
          </w:tblCellMar>
        </w:tblPrEx>
        <w:trPr>
          <w:trHeight w:val="1249" w:hRule="atLeast"/>
        </w:trPr>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1.8</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合同履行过程中物价波动引起的价格调整</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color w:val="auto"/>
                <w:sz w:val="24"/>
                <w:highlight w:val="none"/>
              </w:rPr>
            </w:pPr>
            <w:r>
              <w:rPr>
                <w:rFonts w:hint="eastAsia" w:ascii="Times New Roman" w:hAnsi="Times New Roman"/>
                <w:color w:val="auto"/>
                <w:sz w:val="24"/>
                <w:highlight w:val="none"/>
              </w:rPr>
              <w:t>□可以调整。按第四章“合同条款及格式”处理。</w:t>
            </w:r>
          </w:p>
          <w:p>
            <w:pPr>
              <w:spacing w:line="360" w:lineRule="auto"/>
              <w:rPr>
                <w:rFonts w:hint="eastAsia" w:ascii="Times New Roman" w:hAnsi="Times New Roman" w:cs="宋体"/>
                <w:b/>
                <w:color w:val="auto"/>
                <w:sz w:val="24"/>
                <w:highlight w:val="none"/>
              </w:rPr>
            </w:pPr>
            <w:r>
              <w:rPr>
                <w:rFonts w:hint="eastAsia" w:ascii="Times New Roman" w:hAnsi="Times New Roman"/>
                <w:color w:val="auto"/>
                <w:sz w:val="24"/>
                <w:highlight w:val="none"/>
              </w:rPr>
              <w:t>□不可以调整。</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1.9</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压证施工制度</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olor w:val="auto"/>
                <w:sz w:val="24"/>
                <w:highlight w:val="none"/>
              </w:rPr>
              <w:t>实行施工负责人压证施工制度。投标文件承诺的施工负责人的执业资格证书原件，须在签订合同前由中标人提供给项目业主，合同标</w:t>
            </w:r>
            <w:del w:id="142" w:author="user" w:date="2025-06-30T11:12:36Z">
              <w:r>
                <w:rPr>
                  <w:rFonts w:hint="eastAsia" w:ascii="Times New Roman" w:hAnsi="Times New Roman"/>
                  <w:color w:val="auto"/>
                  <w:sz w:val="24"/>
                  <w:highlight w:val="none"/>
                </w:rPr>
                <w:delText>的的</w:delText>
              </w:r>
            </w:del>
            <w:ins w:id="143" w:author="user" w:date="2025-06-30T11:12:36Z">
              <w:r>
                <w:rPr>
                  <w:rFonts w:hint="eastAsia"/>
                  <w:color w:val="auto"/>
                  <w:sz w:val="24"/>
                  <w:highlight w:val="none"/>
                  <w:lang w:eastAsia="zh-CN"/>
                </w:rPr>
                <w:t>的</w:t>
              </w:r>
            </w:ins>
            <w:r>
              <w:rPr>
                <w:rFonts w:hint="eastAsia" w:ascii="Times New Roman" w:hAnsi="Times New Roman"/>
                <w:color w:val="auto"/>
                <w:sz w:val="24"/>
                <w:highlight w:val="none"/>
              </w:rPr>
              <w:t>主体工程完工后方予退还。</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1.10</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严禁转包和违法分包</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olor w:val="auto"/>
                <w:sz w:val="24"/>
                <w:highlight w:val="none"/>
              </w:rPr>
              <w:t>中标人在合同履行中，不得存在《建筑工程施工发包与承包违法行为认定查处管理办法》（建市规〔2019〕1号）规定的转包和违法分包的情形。</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eastAsia="宋体" w:cs="宋体"/>
                <w:b/>
                <w:color w:val="auto"/>
                <w:sz w:val="24"/>
                <w:highlight w:val="none"/>
                <w:lang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w:t>
            </w:r>
            <w:r>
              <w:rPr>
                <w:rFonts w:hint="eastAsia" w:ascii="Times New Roman" w:hAnsi="Times New Roman"/>
                <w:color w:val="auto"/>
                <w:sz w:val="24"/>
                <w:highlight w:val="none"/>
              </w:rPr>
              <w:t>1</w:t>
            </w:r>
            <w:r>
              <w:rPr>
                <w:rFonts w:hint="eastAsia" w:ascii="Times New Roman" w:hAnsi="Times New Roman"/>
                <w:color w:val="auto"/>
                <w:sz w:val="24"/>
                <w:highlight w:val="none"/>
                <w:lang w:val="en-US" w:eastAsia="zh-CN"/>
              </w:rPr>
              <w:t>1</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招标文件内容冲突的解决及优先适用次序</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招标文件中招标人编制的内容前后有矛盾或不一致，有时间先后顺序的，以时间在后的修改、澄清或补正文件为准；没有时间先后顺序的，以公平的原则进行处理。投标人须知前附表和招标文件中“注”的内容与正文不一致时，以投标人须知前附表和招标文件中“注”的内容为准。</w:t>
            </w:r>
          </w:p>
          <w:p>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s="宋体"/>
                <w:color w:val="auto"/>
                <w:sz w:val="24"/>
                <w:highlight w:val="none"/>
              </w:rPr>
              <w:t>对招标文件的内容理解有争议的，由招标人按照招标文件所使用的词句、招标文件的有关条款、招标的目的、习惯以及诚实信用原则，确定该条款的真实意思，有两种以上解释的，作出不利于招标人一方的解释。</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.1</w:t>
            </w:r>
            <w:r>
              <w:rPr>
                <w:rFonts w:hint="eastAsia" w:ascii="Times New Roman" w:hAnsi="Times New Roman"/>
                <w:color w:val="auto"/>
                <w:sz w:val="24"/>
                <w:highlight w:val="none"/>
                <w:lang w:val="en-US" w:eastAsia="zh-CN"/>
              </w:rPr>
              <w:t>.12</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投标文件的真实性要求</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numPr>
                <w:ilvl w:val="-1"/>
                <w:numId w:val="0"/>
              </w:num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投标人所递交的投标文件（包括有关资料、澄清）应不存在弄虚作假或隐瞒。</w:t>
            </w:r>
          </w:p>
          <w:p>
            <w:pPr>
              <w:numPr>
                <w:ilvl w:val="-1"/>
                <w:numId w:val="0"/>
              </w:num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声明不存在限制投标情形但被发现存在限制投标情形的，属于隐瞒情形（单位负责人为同一人或者存在控股、管理关系的不同单位，在同一标段投标或者未划分标段的同一招标项目投标，若投标人在投标文件中已填报上述信息的，不属于隐瞒情形）。</w:t>
            </w:r>
          </w:p>
          <w:p>
            <w:pPr>
              <w:numPr>
                <w:ilvl w:val="-1"/>
                <w:numId w:val="0"/>
              </w:num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eastAsia="宋体" w:cs="宋体"/>
                <w:color w:val="auto"/>
                <w:sz w:val="24"/>
                <w:highlight w:val="none"/>
                <w:vertAlign w:val="baseline"/>
              </w:rPr>
              <w:t>如投标文件存在弄虚作假或隐瞒，在评标阶段发现的，评标委员会应将该投标文件作否决投标处理;中标候选人确定后发现的,招标人依照《中华人民共和国招标投标法实施条例》第五十五条的规定处理。</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.1</w:t>
            </w:r>
            <w:r>
              <w:rPr>
                <w:rFonts w:hint="eastAsia" w:ascii="Times New Roman" w:hAnsi="Times New Roman"/>
                <w:color w:val="auto"/>
                <w:sz w:val="24"/>
                <w:highlight w:val="none"/>
                <w:lang w:val="en-US" w:eastAsia="zh-CN"/>
              </w:rPr>
              <w:t>.13</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知识产权</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s="宋体"/>
                <w:color w:val="auto"/>
                <w:sz w:val="24"/>
                <w:highlight w:val="none"/>
              </w:rPr>
              <w:t>构成本招标文件的各组成部分，未经招标人书面同意，投标人不得擅自复印和用于非本招标项目所需的其他目的。招标人全部或者部分使用未中标人投标文件中的技术成果或技术方案时，需征得其书面同意，并不得擅自复印或提供给第三人。</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default" w:ascii="Times New Roman" w:hAnsi="Times New Roman" w:eastAsia="宋体" w:cs="宋体"/>
                <w:b/>
                <w:color w:val="auto"/>
                <w:sz w:val="24"/>
                <w:highlight w:val="none"/>
                <w:lang w:val="en-US" w:eastAsia="zh-CN"/>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ascii="Times New Roman" w:hAnsi="Times New Roman"/>
                <w:color w:val="auto"/>
                <w:sz w:val="24"/>
                <w:highlight w:val="none"/>
              </w:rPr>
              <w:t>1</w:t>
            </w:r>
            <w:r>
              <w:rPr>
                <w:rFonts w:hint="eastAsia" w:ascii="Times New Roman" w:hAnsi="Times New Roman"/>
                <w:color w:val="auto"/>
                <w:sz w:val="24"/>
                <w:highlight w:val="none"/>
                <w:lang w:val="en-US" w:eastAsia="zh-CN"/>
              </w:rPr>
              <w:t>.14</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b/>
                <w:color w:val="auto"/>
                <w:sz w:val="24"/>
                <w:highlight w:val="none"/>
              </w:rPr>
            </w:pPr>
            <w:r>
              <w:rPr>
                <w:rFonts w:hint="eastAsia" w:ascii="Times New Roman" w:hAnsi="Times New Roman"/>
                <w:color w:val="auto"/>
                <w:sz w:val="24"/>
                <w:highlight w:val="none"/>
              </w:rPr>
              <w:t>计算机辅助评标</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ind w:firstLine="480" w:firstLineChars="200"/>
              <w:rPr>
                <w:rFonts w:hint="eastAsia" w:ascii="Times New Roman" w:hAnsi="Times New Roman" w:cs="宋体"/>
                <w:b/>
                <w:color w:val="auto"/>
                <w:sz w:val="24"/>
                <w:highlight w:val="none"/>
              </w:rPr>
            </w:pPr>
            <w:r>
              <w:rPr>
                <w:rFonts w:hint="eastAsia" w:ascii="Times New Roman" w:hAnsi="Times New Roman"/>
                <w:color w:val="auto"/>
                <w:sz w:val="24"/>
                <w:highlight w:val="none"/>
              </w:rPr>
              <w:t>本次招标采用计算机辅助评标系统进行评标，投标人应保证其所递交的</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格式数据电文投标文件能够为计算机辅助评标系统正确读取。</w:t>
            </w:r>
          </w:p>
        </w:tc>
      </w:tr>
      <w:tr>
        <w:tblPrEx>
          <w:tblCellMar>
            <w:top w:w="0" w:type="dxa"/>
            <w:left w:w="108" w:type="dxa"/>
            <w:bottom w:w="0" w:type="dxa"/>
            <w:right w:w="108" w:type="dxa"/>
          </w:tblCellMar>
        </w:tblPrEx>
        <w:trPr>
          <w:trHeight w:val="4061" w:hRule="atLeast"/>
        </w:trPr>
        <w:tc>
          <w:tcPr>
            <w:tcW w:w="1165"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4"/>
                <w:highlight w:val="none"/>
                <w:lang w:val="en-US" w:eastAsia="zh-CN"/>
              </w:rPr>
              <w:t>8</w:t>
            </w:r>
            <w:r>
              <w:rPr>
                <w:rFonts w:hint="eastAsia" w:ascii="Times New Roman" w:hAnsi="Times New Roman"/>
                <w:color w:val="auto"/>
                <w:sz w:val="24"/>
                <w:highlight w:val="none"/>
              </w:rPr>
              <w:t>.</w:t>
            </w:r>
            <w:r>
              <w:rPr>
                <w:rFonts w:hint="eastAsia" w:ascii="Times New Roman" w:hAnsi="Times New Roman"/>
                <w:color w:val="auto"/>
                <w:sz w:val="24"/>
                <w:highlight w:val="none"/>
                <w:lang w:val="en-US" w:eastAsia="zh-CN"/>
              </w:rPr>
              <w:t>1.15</w:t>
            </w:r>
          </w:p>
        </w:tc>
        <w:tc>
          <w:tcPr>
            <w:tcW w:w="2252"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spacing w:line="360" w:lineRule="auto"/>
              <w:jc w:val="center"/>
              <w:rPr>
                <w:rFonts w:hint="eastAsia" w:ascii="Times New Roman" w:hAnsi="Times New Roman" w:eastAsia="宋体" w:cs="Times New Roman"/>
                <w:color w:val="auto"/>
                <w:kern w:val="2"/>
                <w:sz w:val="24"/>
                <w:szCs w:val="24"/>
                <w:highlight w:val="none"/>
                <w:lang w:val="en-US" w:eastAsia="zh-CN" w:bidi="ar-SA"/>
              </w:rPr>
            </w:pPr>
            <w:r>
              <w:rPr>
                <w:rFonts w:hint="eastAsia" w:ascii="Times New Roman" w:hAnsi="Times New Roman"/>
                <w:color w:val="auto"/>
                <w:sz w:val="27"/>
                <w:highlight w:val="none"/>
              </w:rPr>
              <w:t>暗标盲评</w:t>
            </w:r>
          </w:p>
        </w:tc>
        <w:tc>
          <w:tcPr>
            <w:tcW w:w="6437"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adjustRightInd w:val="0"/>
              <w:snapToGrid w:val="0"/>
              <w:spacing w:line="360" w:lineRule="auto"/>
              <w:ind w:firstLine="480" w:firstLineChars="200"/>
              <w:rPr>
                <w:rFonts w:hint="eastAsia" w:ascii="Times New Roman" w:hAnsi="Times New Roman" w:eastAsia="宋体" w:cs="宋体"/>
                <w:color w:val="auto"/>
                <w:sz w:val="24"/>
                <w:szCs w:val="24"/>
                <w:highlight w:val="none"/>
              </w:rPr>
            </w:pPr>
          </w:p>
          <w:p>
            <w:pPr>
              <w:adjustRightInd w:val="0"/>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（1）投标文件暗标部分编制应符合招标文件第</w:t>
            </w:r>
            <w:r>
              <w:rPr>
                <w:rFonts w:hint="eastAsia" w:ascii="Times New Roman" w:hAnsi="Times New Roman" w:eastAsia="宋体" w:cs="宋体"/>
                <w:color w:val="auto"/>
                <w:sz w:val="24"/>
                <w:szCs w:val="24"/>
                <w:highlight w:val="none"/>
                <w:lang w:val="en-US" w:eastAsia="zh-CN"/>
              </w:rPr>
              <w:t>八</w:t>
            </w:r>
            <w:r>
              <w:rPr>
                <w:rFonts w:hint="eastAsia" w:ascii="Times New Roman" w:hAnsi="Times New Roman" w:eastAsia="宋体" w:cs="宋体"/>
                <w:color w:val="auto"/>
                <w:sz w:val="24"/>
                <w:szCs w:val="24"/>
                <w:highlight w:val="none"/>
              </w:rPr>
              <w:t>章“</w:t>
            </w:r>
            <w:r>
              <w:rPr>
                <w:rFonts w:hint="eastAsia" w:ascii="Times New Roman" w:hAnsi="Times New Roman" w:eastAsia="宋体" w:cs="宋体"/>
                <w:b w:val="0"/>
                <w:bCs w:val="0"/>
                <w:color w:val="auto"/>
                <w:kern w:val="2"/>
                <w:sz w:val="24"/>
                <w:szCs w:val="24"/>
                <w:highlight w:val="none"/>
                <w:lang w:val="en-US" w:eastAsia="zh-CN"/>
              </w:rPr>
              <w:t>投</w:t>
            </w:r>
            <w:r>
              <w:rPr>
                <w:rFonts w:hint="eastAsia" w:ascii="Times New Roman" w:hAnsi="Times New Roman" w:eastAsia="宋体" w:cs="宋体"/>
                <w:b w:val="0"/>
                <w:bCs w:val="0"/>
                <w:color w:val="auto"/>
                <w:kern w:val="2"/>
                <w:sz w:val="24"/>
                <w:szCs w:val="24"/>
                <w:highlight w:val="none"/>
                <w:lang w:eastAsia="zh-CN"/>
              </w:rPr>
              <w:t>标文件编制和暗标评审规范</w:t>
            </w:r>
            <w:r>
              <w:rPr>
                <w:rFonts w:hint="eastAsia" w:ascii="Times New Roman" w:hAnsi="Times New Roman" w:eastAsia="宋体" w:cs="宋体"/>
                <w:color w:val="auto"/>
                <w:sz w:val="24"/>
                <w:szCs w:val="24"/>
                <w:highlight w:val="none"/>
              </w:rPr>
              <w:t>”。</w:t>
            </w:r>
          </w:p>
          <w:p>
            <w:pPr>
              <w:adjustRightInd w:val="0"/>
              <w:snapToGrid w:val="0"/>
              <w:spacing w:line="360" w:lineRule="auto"/>
              <w:ind w:firstLine="480" w:firstLineChars="200"/>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（2）投标文件暗标部分未实质性响应招标文件第</w:t>
            </w:r>
            <w:r>
              <w:rPr>
                <w:rFonts w:hint="eastAsia" w:ascii="Times New Roman" w:hAnsi="Times New Roman" w:eastAsia="宋体" w:cs="宋体"/>
                <w:color w:val="auto"/>
                <w:sz w:val="24"/>
                <w:szCs w:val="24"/>
                <w:highlight w:val="none"/>
                <w:lang w:val="en-US" w:eastAsia="zh-CN"/>
              </w:rPr>
              <w:t>八</w:t>
            </w:r>
            <w:r>
              <w:rPr>
                <w:rFonts w:hint="eastAsia" w:ascii="Times New Roman" w:hAnsi="Times New Roman" w:eastAsia="宋体" w:cs="宋体"/>
                <w:color w:val="auto"/>
                <w:sz w:val="24"/>
                <w:szCs w:val="24"/>
                <w:highlight w:val="none"/>
              </w:rPr>
              <w:t>章“</w:t>
            </w:r>
            <w:r>
              <w:rPr>
                <w:rFonts w:hint="eastAsia" w:ascii="Times New Roman" w:hAnsi="Times New Roman" w:eastAsia="宋体" w:cs="宋体"/>
                <w:b w:val="0"/>
                <w:bCs w:val="0"/>
                <w:color w:val="auto"/>
                <w:kern w:val="2"/>
                <w:sz w:val="24"/>
                <w:szCs w:val="24"/>
                <w:highlight w:val="none"/>
                <w:lang w:val="en-US" w:eastAsia="zh-CN"/>
              </w:rPr>
              <w:t>投</w:t>
            </w:r>
            <w:r>
              <w:rPr>
                <w:rFonts w:hint="eastAsia" w:ascii="Times New Roman" w:hAnsi="Times New Roman" w:eastAsia="宋体" w:cs="宋体"/>
                <w:b w:val="0"/>
                <w:bCs w:val="0"/>
                <w:color w:val="auto"/>
                <w:kern w:val="2"/>
                <w:sz w:val="24"/>
                <w:szCs w:val="24"/>
                <w:highlight w:val="none"/>
                <w:lang w:eastAsia="zh-CN"/>
              </w:rPr>
              <w:t>标文件编制和暗标评审规范</w:t>
            </w:r>
            <w:r>
              <w:rPr>
                <w:rFonts w:hint="eastAsia" w:ascii="Times New Roman" w:hAnsi="Times New Roman" w:eastAsia="宋体" w:cs="宋体"/>
                <w:color w:val="auto"/>
                <w:sz w:val="24"/>
                <w:szCs w:val="24"/>
                <w:highlight w:val="none"/>
              </w:rPr>
              <w:t>”的，评标委员会应对</w:t>
            </w:r>
            <w:r>
              <w:rPr>
                <w:rFonts w:hint="eastAsia" w:ascii="Times New Roman" w:hAnsi="Times New Roman" w:eastAsia="宋体" w:cs="宋体"/>
                <w:caps w:val="0"/>
                <w:color w:val="auto"/>
                <w:sz w:val="24"/>
                <w:szCs w:val="24"/>
                <w:highlight w:val="none"/>
                <w:vertAlign w:val="baseline"/>
                <w:lang w:val="en-US" w:eastAsia="zh-CN"/>
              </w:rPr>
              <w:t>投标文件按否决投标处理</w:t>
            </w:r>
            <w:r>
              <w:rPr>
                <w:rFonts w:hint="eastAsia" w:ascii="Times New Roman" w:hAnsi="Times New Roman" w:eastAsia="宋体" w:cs="宋体"/>
                <w:color w:val="auto"/>
                <w:sz w:val="24"/>
                <w:szCs w:val="24"/>
                <w:highlight w:val="none"/>
              </w:rPr>
              <w:t>。</w:t>
            </w:r>
          </w:p>
          <w:p>
            <w:pPr>
              <w:adjustRightInd w:val="0"/>
              <w:snapToGrid w:val="0"/>
              <w:spacing w:line="360" w:lineRule="auto"/>
              <w:ind w:firstLine="480" w:firstLineChars="200"/>
              <w:rPr>
                <w:rFonts w:hint="eastAsia" w:ascii="Times New Roman" w:hAnsi="Times New Roman" w:eastAsia="宋体" w:cs="宋体"/>
                <w:color w:val="auto"/>
                <w:sz w:val="24"/>
                <w:highlight w:val="none"/>
              </w:rPr>
            </w:pPr>
            <w:r>
              <w:rPr>
                <w:rFonts w:hint="eastAsia" w:ascii="Times New Roman" w:hAnsi="Times New Roman" w:eastAsia="宋体" w:cs="宋体"/>
                <w:color w:val="auto"/>
                <w:sz w:val="24"/>
                <w:szCs w:val="24"/>
                <w:highlight w:val="none"/>
              </w:rPr>
              <w:t>（3）评审过程中，投标人在回复或澄清评标委员会对暗标部分提出的质疑时违反招标文件第</w:t>
            </w:r>
            <w:r>
              <w:rPr>
                <w:rFonts w:hint="eastAsia" w:ascii="Times New Roman" w:hAnsi="Times New Roman" w:eastAsia="宋体" w:cs="宋体"/>
                <w:color w:val="auto"/>
                <w:sz w:val="24"/>
                <w:szCs w:val="24"/>
                <w:highlight w:val="none"/>
                <w:lang w:val="en-US" w:eastAsia="zh-CN"/>
              </w:rPr>
              <w:t>八</w:t>
            </w:r>
            <w:r>
              <w:rPr>
                <w:rFonts w:hint="eastAsia" w:ascii="Times New Roman" w:hAnsi="Times New Roman" w:eastAsia="宋体" w:cs="宋体"/>
                <w:color w:val="auto"/>
                <w:sz w:val="24"/>
                <w:szCs w:val="24"/>
                <w:highlight w:val="none"/>
              </w:rPr>
              <w:t>章“</w:t>
            </w:r>
            <w:r>
              <w:rPr>
                <w:rFonts w:hint="eastAsia" w:ascii="Times New Roman" w:hAnsi="Times New Roman" w:eastAsia="宋体" w:cs="宋体"/>
                <w:b w:val="0"/>
                <w:bCs w:val="0"/>
                <w:color w:val="auto"/>
                <w:kern w:val="2"/>
                <w:sz w:val="24"/>
                <w:szCs w:val="24"/>
                <w:highlight w:val="none"/>
                <w:lang w:val="en-US" w:eastAsia="zh-CN"/>
              </w:rPr>
              <w:t>投</w:t>
            </w:r>
            <w:r>
              <w:rPr>
                <w:rFonts w:hint="eastAsia" w:ascii="Times New Roman" w:hAnsi="Times New Roman" w:eastAsia="宋体" w:cs="宋体"/>
                <w:b w:val="0"/>
                <w:bCs w:val="0"/>
                <w:color w:val="auto"/>
                <w:kern w:val="2"/>
                <w:sz w:val="24"/>
                <w:szCs w:val="24"/>
                <w:highlight w:val="none"/>
                <w:lang w:eastAsia="zh-CN"/>
              </w:rPr>
              <w:t>标文件编制和暗标评审规范</w:t>
            </w:r>
            <w:r>
              <w:rPr>
                <w:rFonts w:hint="eastAsia" w:ascii="Times New Roman" w:hAnsi="Times New Roman" w:eastAsia="宋体" w:cs="宋体"/>
                <w:color w:val="auto"/>
                <w:sz w:val="24"/>
                <w:szCs w:val="24"/>
                <w:highlight w:val="none"/>
              </w:rPr>
              <w:t>”的，评标委员会应对</w:t>
            </w:r>
            <w:r>
              <w:rPr>
                <w:rFonts w:hint="eastAsia" w:ascii="Times New Roman" w:hAnsi="Times New Roman" w:eastAsia="宋体" w:cs="宋体"/>
                <w:caps w:val="0"/>
                <w:color w:val="auto"/>
                <w:sz w:val="24"/>
                <w:szCs w:val="24"/>
                <w:highlight w:val="none"/>
                <w:vertAlign w:val="baseline"/>
                <w:lang w:val="en-US" w:eastAsia="zh-CN"/>
              </w:rPr>
              <w:t>投标文件按否决投标处理</w:t>
            </w:r>
            <w:r>
              <w:rPr>
                <w:rFonts w:hint="eastAsia" w:ascii="Times New Roman" w:hAnsi="Times New Roman" w:eastAsia="宋体" w:cs="宋体"/>
                <w:color w:val="auto"/>
                <w:sz w:val="24"/>
                <w:szCs w:val="24"/>
                <w:highlight w:val="none"/>
              </w:rPr>
              <w:t>。</w:t>
            </w:r>
          </w:p>
          <w:p>
            <w:pPr>
              <w:tabs>
                <w:tab w:val="left" w:pos="1530"/>
              </w:tabs>
              <w:spacing w:line="360" w:lineRule="auto"/>
              <w:ind w:firstLine="480" w:firstLineChars="200"/>
              <w:rPr>
                <w:rFonts w:hint="eastAsia" w:ascii="Times New Roman" w:hAnsi="Times New Roman" w:eastAsia="宋体" w:cs="Times New Roman"/>
                <w:color w:val="auto"/>
                <w:kern w:val="2"/>
                <w:sz w:val="24"/>
                <w:szCs w:val="24"/>
                <w:highlight w:val="none"/>
                <w:lang w:val="en-US" w:eastAsia="zh-CN" w:bidi="ar-SA"/>
              </w:rPr>
            </w:pPr>
          </w:p>
        </w:tc>
      </w:tr>
      <w:tr>
        <w:tblPrEx>
          <w:tblCellMar>
            <w:top w:w="0" w:type="dxa"/>
            <w:left w:w="108" w:type="dxa"/>
            <w:bottom w:w="0" w:type="dxa"/>
            <w:right w:w="108" w:type="dxa"/>
          </w:tblCellMar>
        </w:tblPrEx>
        <w:tc>
          <w:tcPr>
            <w:tcW w:w="9854" w:type="dxa"/>
            <w:gridSpan w:val="3"/>
            <w:tcBorders>
              <w:top w:val="single" w:color="auto" w:sz="4" w:space="0"/>
              <w:left w:val="single" w:color="auto" w:sz="4" w:space="0"/>
              <w:bottom w:val="single" w:color="auto" w:sz="4" w:space="0"/>
              <w:right w:val="single" w:color="auto" w:sz="4" w:space="0"/>
            </w:tcBorders>
            <w:noWrap w:val="0"/>
            <w:vAlign w:val="center"/>
          </w:tcPr>
          <w:p>
            <w:pPr>
              <w:spacing w:line="440" w:lineRule="exact"/>
              <w:ind w:firstLine="3360" w:firstLineChars="14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投标人须知前附表增加条款表</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条款号</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条款名称</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编列内容</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r>
      <w:tr>
        <w:tblPrEx>
          <w:tblCellMar>
            <w:top w:w="0" w:type="dxa"/>
            <w:left w:w="108" w:type="dxa"/>
            <w:bottom w:w="0" w:type="dxa"/>
            <w:right w:w="108" w:type="dxa"/>
          </w:tblCellMar>
        </w:tblPrEx>
        <w:tc>
          <w:tcPr>
            <w:tcW w:w="116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252"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437"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r>
    </w:tbl>
    <w:p>
      <w:pPr>
        <w:spacing w:line="400" w:lineRule="exact"/>
        <w:rPr>
          <w:color w:val="auto"/>
          <w:highlight w:val="none"/>
        </w:rPr>
      </w:pPr>
    </w:p>
    <w:p>
      <w:pPr>
        <w:spacing w:line="400" w:lineRule="exact"/>
        <w:rPr>
          <w:color w:val="auto"/>
          <w:highlight w:val="none"/>
        </w:rPr>
      </w:pPr>
      <w:r>
        <w:rPr>
          <w:color w:val="auto"/>
          <w:highlight w:val="none"/>
        </w:rPr>
        <w:br w:type="page"/>
      </w:r>
    </w:p>
    <w:p>
      <w:pPr>
        <w:pStyle w:val="3"/>
        <w:spacing w:line="360" w:lineRule="auto"/>
        <w:rPr>
          <w:rFonts w:hint="eastAsia" w:ascii="Times New Roman" w:hAnsi="Times New Roman" w:eastAsia="宋体"/>
          <w:color w:val="auto"/>
          <w:sz w:val="24"/>
          <w:szCs w:val="24"/>
          <w:highlight w:val="none"/>
        </w:rPr>
      </w:pPr>
      <w:bookmarkStart w:id="71" w:name="_Toc144974497"/>
      <w:bookmarkStart w:id="72" w:name="_Toc300834949"/>
      <w:bookmarkStart w:id="73" w:name="_Toc152042305"/>
      <w:bookmarkStart w:id="74" w:name="_Toc152045529"/>
      <w:bookmarkStart w:id="75" w:name="_Toc247513952"/>
      <w:bookmarkStart w:id="76" w:name="_Toc247527553"/>
      <w:r>
        <w:rPr>
          <w:rFonts w:hint="eastAsia" w:ascii="Times New Roman" w:hAnsi="Times New Roman" w:eastAsia="宋体"/>
          <w:color w:val="auto"/>
          <w:sz w:val="24"/>
          <w:szCs w:val="24"/>
          <w:highlight w:val="none"/>
        </w:rPr>
        <w:t>1. 总则</w:t>
      </w:r>
      <w:bookmarkEnd w:id="71"/>
      <w:bookmarkEnd w:id="72"/>
      <w:bookmarkEnd w:id="73"/>
      <w:bookmarkEnd w:id="74"/>
      <w:bookmarkEnd w:id="75"/>
      <w:bookmarkEnd w:id="76"/>
    </w:p>
    <w:p>
      <w:pPr>
        <w:pStyle w:val="4"/>
        <w:spacing w:line="360" w:lineRule="auto"/>
        <w:ind w:firstLine="118"/>
        <w:rPr>
          <w:rFonts w:ascii="Times New Roman" w:hAnsi="Times New Roman"/>
          <w:color w:val="auto"/>
          <w:sz w:val="24"/>
          <w:szCs w:val="24"/>
          <w:highlight w:val="none"/>
        </w:rPr>
      </w:pPr>
      <w:bookmarkStart w:id="77" w:name="_Toc247527554"/>
      <w:bookmarkStart w:id="78" w:name="_Toc300834950"/>
      <w:bookmarkStart w:id="79" w:name="_Toc152045530"/>
      <w:bookmarkStart w:id="80" w:name="_Toc247513953"/>
      <w:bookmarkStart w:id="81" w:name="_Toc152042306"/>
      <w:bookmarkStart w:id="82" w:name="_Toc144974498"/>
      <w:r>
        <w:rPr>
          <w:rFonts w:hint="eastAsia" w:ascii="Times New Roman" w:hAnsi="Times New Roman"/>
          <w:color w:val="auto"/>
          <w:sz w:val="24"/>
          <w:szCs w:val="24"/>
          <w:highlight w:val="none"/>
        </w:rPr>
        <w:t>1.1 项目概况</w:t>
      </w:r>
      <w:bookmarkEnd w:id="77"/>
      <w:bookmarkEnd w:id="78"/>
      <w:bookmarkEnd w:id="79"/>
      <w:bookmarkEnd w:id="80"/>
      <w:bookmarkEnd w:id="81"/>
      <w:bookmarkEnd w:id="82"/>
    </w:p>
    <w:p>
      <w:pPr>
        <w:spacing w:line="360" w:lineRule="auto"/>
        <w:ind w:firstLine="480" w:firstLineChars="200"/>
        <w:rPr>
          <w:color w:val="auto"/>
          <w:sz w:val="24"/>
          <w:highlight w:val="none"/>
        </w:rPr>
      </w:pPr>
      <w:r>
        <w:rPr>
          <w:rFonts w:hint="eastAsia"/>
          <w:color w:val="auto"/>
          <w:sz w:val="24"/>
          <w:highlight w:val="none"/>
        </w:rPr>
        <w:t>1.1.1根据《中华人民共和国招标投标法》等有关法律、法规和规章的规定，本招标项目已具备招标条件，现对该项目设计施工进行总承包招标。</w:t>
      </w:r>
    </w:p>
    <w:p>
      <w:pPr>
        <w:spacing w:line="360" w:lineRule="auto"/>
        <w:ind w:firstLine="480" w:firstLineChars="200"/>
        <w:rPr>
          <w:color w:val="auto"/>
          <w:sz w:val="24"/>
          <w:highlight w:val="none"/>
        </w:rPr>
      </w:pPr>
      <w:r>
        <w:rPr>
          <w:rFonts w:hint="eastAsia"/>
          <w:color w:val="auto"/>
          <w:sz w:val="24"/>
          <w:highlight w:val="none"/>
        </w:rPr>
        <w:t>1.1.2 招标人：见投标人须知前附表。</w:t>
      </w:r>
    </w:p>
    <w:p>
      <w:pPr>
        <w:spacing w:line="360" w:lineRule="auto"/>
        <w:ind w:firstLine="480" w:firstLineChars="200"/>
        <w:rPr>
          <w:color w:val="auto"/>
          <w:sz w:val="24"/>
          <w:highlight w:val="none"/>
        </w:rPr>
      </w:pPr>
      <w:r>
        <w:rPr>
          <w:rFonts w:hint="eastAsia"/>
          <w:color w:val="auto"/>
          <w:sz w:val="24"/>
          <w:highlight w:val="none"/>
        </w:rPr>
        <w:t>1.1.3 招标代理机构：见投标人须知前附表。</w:t>
      </w:r>
    </w:p>
    <w:p>
      <w:pPr>
        <w:spacing w:line="360" w:lineRule="auto"/>
        <w:ind w:firstLine="480" w:firstLineChars="200"/>
        <w:rPr>
          <w:color w:val="auto"/>
          <w:sz w:val="24"/>
          <w:highlight w:val="none"/>
        </w:rPr>
      </w:pPr>
      <w:r>
        <w:rPr>
          <w:rFonts w:hint="eastAsia"/>
          <w:color w:val="auto"/>
          <w:sz w:val="24"/>
          <w:highlight w:val="none"/>
        </w:rPr>
        <w:t>1.1.4 招标项目名称：见投标人须知前附表。</w:t>
      </w:r>
    </w:p>
    <w:p>
      <w:pPr>
        <w:spacing w:line="360" w:lineRule="auto"/>
        <w:ind w:firstLine="480" w:firstLineChars="200"/>
        <w:rPr>
          <w:color w:val="auto"/>
          <w:sz w:val="24"/>
          <w:highlight w:val="none"/>
        </w:rPr>
      </w:pPr>
      <w:r>
        <w:rPr>
          <w:rFonts w:hint="eastAsia"/>
          <w:color w:val="auto"/>
          <w:sz w:val="24"/>
          <w:highlight w:val="none"/>
        </w:rPr>
        <w:t>1.1.5 项目建设地点：见投标人须知前附表。</w:t>
      </w:r>
    </w:p>
    <w:p>
      <w:pPr>
        <w:pStyle w:val="4"/>
        <w:spacing w:line="360" w:lineRule="auto"/>
        <w:ind w:firstLine="118"/>
        <w:rPr>
          <w:rFonts w:ascii="Times New Roman" w:hAnsi="Times New Roman"/>
          <w:color w:val="auto"/>
          <w:sz w:val="24"/>
          <w:szCs w:val="24"/>
          <w:highlight w:val="none"/>
        </w:rPr>
      </w:pPr>
      <w:bookmarkStart w:id="83" w:name="_Toc152045531"/>
      <w:bookmarkStart w:id="84" w:name="_Toc247513954"/>
      <w:bookmarkStart w:id="85" w:name="_Toc300834951"/>
      <w:bookmarkStart w:id="86" w:name="_Toc144974499"/>
      <w:bookmarkStart w:id="87" w:name="_Toc152042307"/>
      <w:bookmarkStart w:id="88" w:name="_Toc247527555"/>
      <w:r>
        <w:rPr>
          <w:rFonts w:hint="eastAsia" w:ascii="Times New Roman" w:hAnsi="Times New Roman"/>
          <w:color w:val="auto"/>
          <w:sz w:val="24"/>
          <w:szCs w:val="24"/>
          <w:highlight w:val="none"/>
        </w:rPr>
        <w:t>1.2 项目的资金来源和落实情况</w:t>
      </w:r>
      <w:bookmarkEnd w:id="83"/>
      <w:bookmarkEnd w:id="84"/>
      <w:bookmarkEnd w:id="85"/>
      <w:bookmarkEnd w:id="86"/>
      <w:bookmarkEnd w:id="87"/>
      <w:bookmarkEnd w:id="88"/>
    </w:p>
    <w:p>
      <w:pPr>
        <w:spacing w:line="360" w:lineRule="auto"/>
        <w:ind w:firstLine="480" w:firstLineChars="200"/>
        <w:rPr>
          <w:color w:val="auto"/>
          <w:sz w:val="24"/>
          <w:highlight w:val="none"/>
        </w:rPr>
      </w:pPr>
      <w:r>
        <w:rPr>
          <w:rFonts w:hint="eastAsia"/>
          <w:color w:val="auto"/>
          <w:sz w:val="24"/>
          <w:highlight w:val="none"/>
        </w:rPr>
        <w:t>1.2.1 资金来源及比例：见投标人须知前附表。</w:t>
      </w:r>
    </w:p>
    <w:p>
      <w:pPr>
        <w:spacing w:line="360" w:lineRule="auto"/>
        <w:ind w:firstLine="480" w:firstLineChars="200"/>
        <w:rPr>
          <w:color w:val="auto"/>
          <w:sz w:val="24"/>
          <w:highlight w:val="none"/>
        </w:rPr>
      </w:pPr>
      <w:r>
        <w:rPr>
          <w:rFonts w:hint="eastAsia"/>
          <w:color w:val="auto"/>
          <w:sz w:val="24"/>
          <w:highlight w:val="none"/>
        </w:rPr>
        <w:t>1.2.2 资金落实情况：见投标人须知前附表。</w:t>
      </w:r>
    </w:p>
    <w:p>
      <w:pPr>
        <w:pStyle w:val="4"/>
        <w:spacing w:line="360" w:lineRule="auto"/>
        <w:ind w:firstLine="118"/>
        <w:rPr>
          <w:rFonts w:ascii="Times New Roman" w:hAnsi="Times New Roman"/>
          <w:color w:val="auto"/>
          <w:sz w:val="24"/>
          <w:szCs w:val="24"/>
          <w:highlight w:val="none"/>
        </w:rPr>
      </w:pPr>
      <w:bookmarkStart w:id="89" w:name="_Toc152042308"/>
      <w:bookmarkStart w:id="90" w:name="_Toc152045532"/>
      <w:bookmarkStart w:id="91" w:name="_Toc247513955"/>
      <w:bookmarkStart w:id="92" w:name="_Toc144974500"/>
      <w:bookmarkStart w:id="93" w:name="_Toc247527556"/>
      <w:bookmarkStart w:id="94" w:name="_Toc300834952"/>
      <w:r>
        <w:rPr>
          <w:rFonts w:hint="eastAsia" w:ascii="Times New Roman" w:hAnsi="Times New Roman"/>
          <w:color w:val="auto"/>
          <w:sz w:val="24"/>
          <w:szCs w:val="24"/>
          <w:highlight w:val="none"/>
        </w:rPr>
        <w:t>1.3 招标范围、计划工期和</w:t>
      </w:r>
      <w:bookmarkEnd w:id="89"/>
      <w:bookmarkEnd w:id="90"/>
      <w:bookmarkEnd w:id="91"/>
      <w:bookmarkEnd w:id="92"/>
      <w:bookmarkEnd w:id="93"/>
      <w:r>
        <w:rPr>
          <w:rFonts w:hint="eastAsia" w:ascii="Times New Roman" w:hAnsi="Times New Roman"/>
          <w:color w:val="auto"/>
          <w:sz w:val="24"/>
          <w:szCs w:val="24"/>
          <w:highlight w:val="none"/>
        </w:rPr>
        <w:t>质量标准</w:t>
      </w:r>
      <w:bookmarkEnd w:id="94"/>
    </w:p>
    <w:p>
      <w:pPr>
        <w:spacing w:line="360" w:lineRule="auto"/>
        <w:ind w:firstLine="480" w:firstLineChars="200"/>
        <w:rPr>
          <w:color w:val="auto"/>
          <w:sz w:val="24"/>
          <w:highlight w:val="none"/>
        </w:rPr>
      </w:pPr>
      <w:r>
        <w:rPr>
          <w:rFonts w:hint="eastAsia"/>
          <w:color w:val="auto"/>
          <w:sz w:val="24"/>
          <w:highlight w:val="none"/>
        </w:rPr>
        <w:t>1.3.1 招标范围：见投标人须知前附表。</w:t>
      </w:r>
    </w:p>
    <w:p>
      <w:pPr>
        <w:spacing w:line="360" w:lineRule="auto"/>
        <w:ind w:firstLine="480" w:firstLineChars="200"/>
        <w:rPr>
          <w:rFonts w:hint="eastAsia"/>
          <w:color w:val="auto"/>
          <w:sz w:val="24"/>
          <w:highlight w:val="none"/>
        </w:rPr>
      </w:pPr>
      <w:r>
        <w:rPr>
          <w:rFonts w:hint="eastAsia"/>
          <w:color w:val="auto"/>
          <w:sz w:val="24"/>
          <w:highlight w:val="none"/>
        </w:rPr>
        <w:t>1.3.2 计划工期：见投标人须知前附表。</w:t>
      </w:r>
    </w:p>
    <w:p>
      <w:pPr>
        <w:spacing w:line="360" w:lineRule="auto"/>
        <w:ind w:firstLine="480" w:firstLineChars="200"/>
        <w:rPr>
          <w:color w:val="auto"/>
          <w:sz w:val="24"/>
          <w:highlight w:val="none"/>
        </w:rPr>
      </w:pPr>
      <w:r>
        <w:rPr>
          <w:rFonts w:hint="eastAsia"/>
          <w:color w:val="auto"/>
          <w:sz w:val="24"/>
          <w:highlight w:val="none"/>
        </w:rPr>
        <w:t>1.3.3 质量标准：见投标人须知前附表。</w:t>
      </w:r>
    </w:p>
    <w:p>
      <w:pPr>
        <w:pStyle w:val="4"/>
        <w:spacing w:line="360" w:lineRule="auto"/>
        <w:ind w:firstLine="118"/>
        <w:rPr>
          <w:rFonts w:ascii="Times New Roman" w:hAnsi="Times New Roman"/>
          <w:color w:val="auto"/>
          <w:sz w:val="24"/>
          <w:szCs w:val="24"/>
          <w:highlight w:val="none"/>
        </w:rPr>
      </w:pPr>
      <w:bookmarkStart w:id="95" w:name="_Toc144974501"/>
      <w:bookmarkStart w:id="96" w:name="_Toc247527557"/>
      <w:bookmarkStart w:id="97" w:name="_Toc152042309"/>
      <w:bookmarkStart w:id="98" w:name="_Toc152045533"/>
      <w:bookmarkStart w:id="99" w:name="_Toc300834953"/>
      <w:bookmarkStart w:id="100" w:name="_Toc247513956"/>
      <w:r>
        <w:rPr>
          <w:rFonts w:hint="eastAsia" w:ascii="Times New Roman" w:hAnsi="Times New Roman"/>
          <w:color w:val="auto"/>
          <w:sz w:val="24"/>
          <w:szCs w:val="24"/>
          <w:highlight w:val="none"/>
        </w:rPr>
        <w:t>1.4 投标人资格要求（适用于已进行资格预审的）</w:t>
      </w:r>
      <w:bookmarkEnd w:id="95"/>
      <w:bookmarkEnd w:id="96"/>
      <w:bookmarkEnd w:id="97"/>
      <w:bookmarkEnd w:id="98"/>
      <w:bookmarkEnd w:id="99"/>
      <w:bookmarkEnd w:id="100"/>
    </w:p>
    <w:p>
      <w:pPr>
        <w:spacing w:line="360" w:lineRule="auto"/>
        <w:ind w:firstLine="480" w:firstLineChars="200"/>
        <w:rPr>
          <w:color w:val="auto"/>
          <w:sz w:val="24"/>
          <w:highlight w:val="none"/>
        </w:rPr>
      </w:pPr>
      <w:r>
        <w:rPr>
          <w:rFonts w:hint="eastAsia"/>
          <w:color w:val="auto"/>
          <w:sz w:val="24"/>
          <w:highlight w:val="none"/>
        </w:rPr>
        <w:t>投标人应是收到招标人发出投标邀请书的单位。</w:t>
      </w:r>
    </w:p>
    <w:p>
      <w:pPr>
        <w:pStyle w:val="4"/>
        <w:spacing w:line="360" w:lineRule="auto"/>
        <w:ind w:firstLine="118"/>
        <w:rPr>
          <w:rFonts w:ascii="Times New Roman" w:hAnsi="Times New Roman"/>
          <w:color w:val="auto"/>
          <w:sz w:val="24"/>
          <w:szCs w:val="24"/>
          <w:highlight w:val="none"/>
        </w:rPr>
      </w:pPr>
      <w:bookmarkStart w:id="101" w:name="_Toc300834954"/>
      <w:bookmarkStart w:id="102" w:name="_Toc152042310"/>
      <w:bookmarkStart w:id="103" w:name="_Toc247513957"/>
      <w:bookmarkStart w:id="104" w:name="_Toc144974502"/>
      <w:bookmarkStart w:id="105" w:name="_Toc152045534"/>
      <w:bookmarkStart w:id="106" w:name="_Toc247527558"/>
      <w:r>
        <w:rPr>
          <w:rFonts w:hint="eastAsia" w:ascii="Times New Roman" w:hAnsi="Times New Roman"/>
          <w:color w:val="auto"/>
          <w:sz w:val="24"/>
          <w:szCs w:val="24"/>
          <w:highlight w:val="none"/>
        </w:rPr>
        <w:t>1.4 投标人资格要求（适用于未进行资格预审的）</w:t>
      </w:r>
      <w:bookmarkEnd w:id="101"/>
      <w:bookmarkEnd w:id="102"/>
      <w:bookmarkEnd w:id="103"/>
      <w:bookmarkEnd w:id="104"/>
      <w:bookmarkEnd w:id="105"/>
      <w:bookmarkEnd w:id="106"/>
    </w:p>
    <w:p>
      <w:pPr>
        <w:spacing w:line="360" w:lineRule="auto"/>
        <w:ind w:firstLine="480" w:firstLineChars="200"/>
        <w:rPr>
          <w:color w:val="auto"/>
          <w:sz w:val="24"/>
          <w:highlight w:val="none"/>
        </w:rPr>
      </w:pPr>
      <w:r>
        <w:rPr>
          <w:rFonts w:hint="eastAsia"/>
          <w:color w:val="auto"/>
          <w:sz w:val="24"/>
          <w:highlight w:val="none"/>
        </w:rPr>
        <w:t>1.4.1 投标人应具备承担本招标项目资质条件、能力和信誉。</w:t>
      </w:r>
    </w:p>
    <w:p>
      <w:pPr>
        <w:spacing w:line="360" w:lineRule="auto"/>
        <w:ind w:firstLine="360" w:firstLineChars="150"/>
        <w:rPr>
          <w:color w:val="auto"/>
          <w:sz w:val="24"/>
          <w:highlight w:val="none"/>
        </w:rPr>
      </w:pPr>
      <w:r>
        <w:rPr>
          <w:rFonts w:hint="eastAsia"/>
          <w:color w:val="auto"/>
          <w:sz w:val="24"/>
          <w:highlight w:val="none"/>
        </w:rPr>
        <w:t>（1）资质条件：见投标人须知前附表；</w:t>
      </w:r>
    </w:p>
    <w:p>
      <w:pPr>
        <w:spacing w:line="360" w:lineRule="auto"/>
        <w:ind w:firstLine="360" w:firstLineChars="150"/>
        <w:rPr>
          <w:color w:val="auto"/>
          <w:sz w:val="24"/>
          <w:highlight w:val="none"/>
        </w:rPr>
      </w:pPr>
      <w:r>
        <w:rPr>
          <w:rFonts w:hint="eastAsia"/>
          <w:color w:val="auto"/>
          <w:sz w:val="24"/>
          <w:highlight w:val="none"/>
        </w:rPr>
        <w:t>（2）财务要求：见投标人须知前附表；</w:t>
      </w:r>
    </w:p>
    <w:p>
      <w:pPr>
        <w:spacing w:line="360" w:lineRule="auto"/>
        <w:ind w:firstLine="360" w:firstLineChars="150"/>
        <w:rPr>
          <w:rFonts w:hint="eastAsia"/>
          <w:color w:val="auto"/>
          <w:sz w:val="24"/>
          <w:highlight w:val="none"/>
        </w:rPr>
      </w:pPr>
      <w:r>
        <w:rPr>
          <w:rFonts w:hint="eastAsia"/>
          <w:color w:val="auto"/>
          <w:sz w:val="24"/>
          <w:highlight w:val="none"/>
        </w:rPr>
        <w:t>（3）设计业绩要求：见投标人须知前附表；</w:t>
      </w:r>
    </w:p>
    <w:p>
      <w:pPr>
        <w:spacing w:line="360" w:lineRule="auto"/>
        <w:ind w:firstLine="360" w:firstLineChars="150"/>
        <w:rPr>
          <w:rFonts w:hint="eastAsia"/>
          <w:color w:val="auto"/>
          <w:sz w:val="24"/>
          <w:highlight w:val="none"/>
        </w:rPr>
      </w:pPr>
      <w:r>
        <w:rPr>
          <w:rFonts w:hint="eastAsia"/>
          <w:color w:val="auto"/>
          <w:sz w:val="24"/>
          <w:highlight w:val="none"/>
        </w:rPr>
        <w:t>（4）施工业绩要求：见投标人须知前附表；</w:t>
      </w:r>
    </w:p>
    <w:p>
      <w:pPr>
        <w:spacing w:line="360" w:lineRule="auto"/>
        <w:ind w:firstLine="360" w:firstLineChars="150"/>
        <w:rPr>
          <w:rFonts w:hint="eastAsia"/>
          <w:color w:val="auto"/>
          <w:sz w:val="24"/>
          <w:highlight w:val="none"/>
        </w:rPr>
      </w:pPr>
      <w:r>
        <w:rPr>
          <w:rFonts w:hint="eastAsia"/>
          <w:color w:val="auto"/>
          <w:sz w:val="24"/>
          <w:highlight w:val="none"/>
        </w:rPr>
        <w:t>（5）信誉要求：见投标人须知前附表；</w:t>
      </w:r>
    </w:p>
    <w:p>
      <w:pPr>
        <w:spacing w:line="360" w:lineRule="auto"/>
        <w:ind w:firstLine="360" w:firstLineChars="150"/>
        <w:rPr>
          <w:color w:val="auto"/>
          <w:sz w:val="24"/>
          <w:highlight w:val="none"/>
        </w:rPr>
      </w:pPr>
      <w:r>
        <w:rPr>
          <w:rFonts w:hint="eastAsia"/>
          <w:color w:val="auto"/>
          <w:sz w:val="24"/>
          <w:highlight w:val="none"/>
        </w:rPr>
        <w:t>（6）项目经理的资格要求：应当具备相应工程建设类注册执业资格，包括注册建筑师、勘察设计注册工程师、注册建造师或者注册监理工程师等；未实施注册执业资格的，取得高级专业技术职称，具体要求见投标人须知前附表；</w:t>
      </w:r>
    </w:p>
    <w:p>
      <w:pPr>
        <w:spacing w:line="360" w:lineRule="auto"/>
        <w:ind w:firstLine="360" w:firstLineChars="150"/>
        <w:rPr>
          <w:rFonts w:hint="eastAsia"/>
          <w:color w:val="auto"/>
          <w:sz w:val="24"/>
          <w:highlight w:val="none"/>
        </w:rPr>
      </w:pPr>
      <w:r>
        <w:rPr>
          <w:rFonts w:hint="eastAsia"/>
          <w:color w:val="auto"/>
          <w:sz w:val="24"/>
          <w:highlight w:val="none"/>
        </w:rPr>
        <w:t>（7）设计负责人的资格要求：应当具备工程设计类注册执业资格，具体要求见投标人须知前附表；</w:t>
      </w:r>
    </w:p>
    <w:p>
      <w:pPr>
        <w:spacing w:line="360" w:lineRule="auto"/>
        <w:ind w:firstLine="360" w:firstLineChars="150"/>
        <w:rPr>
          <w:rFonts w:hint="eastAsia"/>
          <w:color w:val="auto"/>
          <w:sz w:val="24"/>
          <w:highlight w:val="none"/>
        </w:rPr>
      </w:pPr>
      <w:r>
        <w:rPr>
          <w:rFonts w:hint="eastAsia"/>
          <w:color w:val="auto"/>
          <w:sz w:val="24"/>
          <w:highlight w:val="none"/>
        </w:rPr>
        <w:t>（8）施工负责人的资格要求：应当具备工程施工类注册执业资格，具体要求见投标人须知前附表；</w:t>
      </w:r>
    </w:p>
    <w:p>
      <w:pPr>
        <w:spacing w:line="360" w:lineRule="auto"/>
        <w:ind w:firstLine="360" w:firstLineChars="150"/>
        <w:rPr>
          <w:rFonts w:hint="eastAsia"/>
          <w:color w:val="auto"/>
          <w:sz w:val="24"/>
          <w:highlight w:val="none"/>
        </w:rPr>
      </w:pPr>
      <w:r>
        <w:rPr>
          <w:rFonts w:hint="eastAsia"/>
          <w:color w:val="auto"/>
          <w:sz w:val="24"/>
          <w:highlight w:val="none"/>
        </w:rPr>
        <w:t>（9）具备有效的安全生产许可证（园林绿化、电梯安装等不实行安全生产许可的除外）；</w:t>
      </w:r>
    </w:p>
    <w:p>
      <w:pPr>
        <w:spacing w:line="360" w:lineRule="auto"/>
        <w:ind w:firstLine="360" w:firstLineChars="150"/>
        <w:rPr>
          <w:color w:val="auto"/>
          <w:sz w:val="24"/>
          <w:highlight w:val="none"/>
        </w:rPr>
      </w:pPr>
      <w:r>
        <w:rPr>
          <w:rFonts w:hint="eastAsia"/>
          <w:color w:val="auto"/>
          <w:sz w:val="24"/>
          <w:highlight w:val="none"/>
        </w:rPr>
        <w:t>（10）其他要求：见投标人须知前附表。</w:t>
      </w:r>
    </w:p>
    <w:p>
      <w:pPr>
        <w:spacing w:line="360" w:lineRule="auto"/>
        <w:ind w:firstLine="480" w:firstLineChars="200"/>
        <w:rPr>
          <w:color w:val="auto"/>
          <w:sz w:val="24"/>
          <w:highlight w:val="none"/>
        </w:rPr>
      </w:pPr>
      <w:r>
        <w:rPr>
          <w:rFonts w:hint="eastAsia"/>
          <w:color w:val="auto"/>
          <w:sz w:val="24"/>
          <w:highlight w:val="none"/>
        </w:rPr>
        <w:t xml:space="preserve">1.4.2 投标人须知前附表规定接受联合体投标的，除应符合本章第1.4.1项和投标人须知前附表的要求外，还应遵守以下规定： </w:t>
      </w:r>
    </w:p>
    <w:p>
      <w:pPr>
        <w:spacing w:line="360" w:lineRule="auto"/>
        <w:ind w:firstLine="360" w:firstLineChars="150"/>
        <w:rPr>
          <w:color w:val="auto"/>
          <w:sz w:val="24"/>
          <w:highlight w:val="none"/>
        </w:rPr>
      </w:pPr>
      <w:r>
        <w:rPr>
          <w:rFonts w:hint="eastAsia"/>
          <w:color w:val="auto"/>
          <w:sz w:val="24"/>
          <w:highlight w:val="none"/>
        </w:rPr>
        <w:t>（1）联合体各方应按招标文件提供的格式签订联合体协议书，明确联合体牵头人和各方权利义务；</w:t>
      </w:r>
    </w:p>
    <w:p>
      <w:pPr>
        <w:spacing w:line="360" w:lineRule="auto"/>
        <w:ind w:firstLine="360" w:firstLineChars="150"/>
        <w:rPr>
          <w:color w:val="auto"/>
          <w:sz w:val="24"/>
          <w:highlight w:val="none"/>
        </w:rPr>
      </w:pPr>
      <w:r>
        <w:rPr>
          <w:rFonts w:hint="eastAsia"/>
          <w:color w:val="auto"/>
          <w:sz w:val="24"/>
          <w:highlight w:val="none"/>
        </w:rPr>
        <w:t>（2）由同一专业的单位组成的联合体，按照资质等级较低的单位确定资质等级；</w:t>
      </w:r>
    </w:p>
    <w:p>
      <w:pPr>
        <w:spacing w:line="360" w:lineRule="auto"/>
        <w:ind w:firstLine="360" w:firstLineChars="150"/>
        <w:rPr>
          <w:color w:val="auto"/>
          <w:sz w:val="24"/>
          <w:highlight w:val="none"/>
        </w:rPr>
      </w:pPr>
      <w:r>
        <w:rPr>
          <w:rFonts w:hint="eastAsia"/>
          <w:color w:val="auto"/>
          <w:sz w:val="24"/>
          <w:highlight w:val="none"/>
        </w:rPr>
        <w:t>（3）联合体各方不得再以自己名义单独或参加其他联合体在本招标项目中投标。</w:t>
      </w:r>
    </w:p>
    <w:p>
      <w:pPr>
        <w:spacing w:line="360" w:lineRule="auto"/>
        <w:ind w:firstLine="480" w:firstLineChars="200"/>
        <w:rPr>
          <w:color w:val="auto"/>
          <w:sz w:val="24"/>
          <w:highlight w:val="none"/>
        </w:rPr>
      </w:pPr>
      <w:r>
        <w:rPr>
          <w:rFonts w:hint="eastAsia"/>
          <w:color w:val="auto"/>
          <w:sz w:val="24"/>
          <w:highlight w:val="none"/>
        </w:rPr>
        <w:t>1.4.3 投标人不得存在下列情形之一：</w:t>
      </w:r>
    </w:p>
    <w:p>
      <w:pPr>
        <w:spacing w:line="360" w:lineRule="auto"/>
        <w:ind w:firstLine="360" w:firstLineChars="150"/>
        <w:rPr>
          <w:rFonts w:hint="eastAsia"/>
          <w:color w:val="auto"/>
          <w:sz w:val="24"/>
          <w:highlight w:val="none"/>
        </w:rPr>
      </w:pPr>
      <w:r>
        <w:rPr>
          <w:rFonts w:hint="eastAsia"/>
          <w:color w:val="auto"/>
          <w:sz w:val="24"/>
          <w:highlight w:val="none"/>
        </w:rPr>
        <w:t xml:space="preserve">（1）为招标人不具有独立法人资格的附属机构（单位）； </w:t>
      </w:r>
    </w:p>
    <w:p>
      <w:pPr>
        <w:spacing w:line="360" w:lineRule="auto"/>
        <w:ind w:firstLine="360" w:firstLineChars="150"/>
        <w:rPr>
          <w:color w:val="auto"/>
          <w:sz w:val="24"/>
          <w:highlight w:val="none"/>
        </w:rPr>
      </w:pPr>
      <w:r>
        <w:rPr>
          <w:rFonts w:hint="eastAsia"/>
          <w:color w:val="auto"/>
          <w:sz w:val="24"/>
          <w:highlight w:val="none"/>
        </w:rPr>
        <w:t>（2）为招标项目前期工作提供咨询服务的；</w:t>
      </w:r>
    </w:p>
    <w:p>
      <w:pPr>
        <w:spacing w:line="360" w:lineRule="auto"/>
        <w:ind w:firstLine="360" w:firstLineChars="150"/>
        <w:rPr>
          <w:color w:val="auto"/>
          <w:sz w:val="24"/>
          <w:highlight w:val="none"/>
        </w:rPr>
      </w:pPr>
      <w:r>
        <w:rPr>
          <w:rFonts w:hint="eastAsia"/>
          <w:color w:val="auto"/>
          <w:sz w:val="24"/>
          <w:highlight w:val="none"/>
        </w:rPr>
        <w:t>（3）为本招标项目的监理人；</w:t>
      </w:r>
    </w:p>
    <w:p>
      <w:pPr>
        <w:spacing w:line="360" w:lineRule="auto"/>
        <w:ind w:firstLine="360" w:firstLineChars="150"/>
        <w:rPr>
          <w:color w:val="auto"/>
          <w:sz w:val="24"/>
          <w:highlight w:val="none"/>
        </w:rPr>
      </w:pPr>
      <w:r>
        <w:rPr>
          <w:rFonts w:hint="eastAsia"/>
          <w:color w:val="auto"/>
          <w:sz w:val="24"/>
          <w:highlight w:val="none"/>
        </w:rPr>
        <w:t xml:space="preserve">（4）为本招标项目的代建人； </w:t>
      </w:r>
    </w:p>
    <w:p>
      <w:pPr>
        <w:spacing w:line="360" w:lineRule="auto"/>
        <w:ind w:firstLine="360" w:firstLineChars="150"/>
        <w:rPr>
          <w:color w:val="auto"/>
          <w:sz w:val="24"/>
          <w:highlight w:val="none"/>
        </w:rPr>
      </w:pPr>
      <w:r>
        <w:rPr>
          <w:rFonts w:hint="eastAsia"/>
          <w:color w:val="auto"/>
          <w:sz w:val="24"/>
          <w:highlight w:val="none"/>
        </w:rPr>
        <w:t xml:space="preserve">（5）为本招标项目提供招标代理服务的； </w:t>
      </w:r>
    </w:p>
    <w:p>
      <w:pPr>
        <w:spacing w:line="360" w:lineRule="auto"/>
        <w:ind w:firstLine="360" w:firstLineChars="150"/>
        <w:rPr>
          <w:color w:val="auto"/>
          <w:sz w:val="24"/>
          <w:highlight w:val="none"/>
        </w:rPr>
      </w:pPr>
      <w:r>
        <w:rPr>
          <w:rFonts w:hint="eastAsia"/>
          <w:color w:val="auto"/>
          <w:sz w:val="24"/>
          <w:highlight w:val="none"/>
        </w:rPr>
        <w:t xml:space="preserve">（6）被责令停业的； </w:t>
      </w:r>
    </w:p>
    <w:p>
      <w:pPr>
        <w:spacing w:line="360" w:lineRule="auto"/>
        <w:ind w:firstLine="360" w:firstLineChars="150"/>
        <w:rPr>
          <w:color w:val="auto"/>
          <w:sz w:val="24"/>
          <w:highlight w:val="none"/>
        </w:rPr>
      </w:pPr>
      <w:r>
        <w:rPr>
          <w:rFonts w:hint="eastAsia"/>
          <w:color w:val="auto"/>
          <w:sz w:val="24"/>
          <w:highlight w:val="none"/>
        </w:rPr>
        <w:t xml:space="preserve">（7）被暂停或取消投标资格的； </w:t>
      </w:r>
    </w:p>
    <w:p>
      <w:pPr>
        <w:spacing w:line="360" w:lineRule="auto"/>
        <w:ind w:firstLine="360" w:firstLineChars="150"/>
        <w:rPr>
          <w:color w:val="auto"/>
          <w:sz w:val="24"/>
          <w:highlight w:val="none"/>
        </w:rPr>
      </w:pPr>
      <w:r>
        <w:rPr>
          <w:rFonts w:hint="eastAsia"/>
          <w:color w:val="auto"/>
          <w:sz w:val="24"/>
          <w:highlight w:val="none"/>
        </w:rPr>
        <w:t>（8）进入清算程序，或被宣告破产，或其他丧失履约能力的情形;</w:t>
      </w:r>
    </w:p>
    <w:p>
      <w:pPr>
        <w:spacing w:line="360" w:lineRule="auto"/>
        <w:ind w:firstLine="360" w:firstLineChars="150"/>
        <w:rPr>
          <w:rFonts w:hint="eastAsia"/>
          <w:color w:val="auto"/>
          <w:sz w:val="24"/>
          <w:highlight w:val="none"/>
        </w:rPr>
      </w:pPr>
      <w:r>
        <w:rPr>
          <w:rFonts w:hint="eastAsia"/>
          <w:color w:val="auto"/>
          <w:sz w:val="24"/>
          <w:highlight w:val="none"/>
        </w:rPr>
        <w:t>（9）在近三年内由于设计单位或施工单位违反工程质量有关法律法规和工程建设标准，使工程产生结构安全、重要使用功能等方面的质量缺陷，造成重大或者特别重大工程质量事故的。</w:t>
      </w:r>
    </w:p>
    <w:p>
      <w:pPr>
        <w:spacing w:line="360" w:lineRule="auto"/>
        <w:ind w:firstLine="360" w:firstLineChars="150"/>
        <w:rPr>
          <w:rFonts w:hint="eastAsia"/>
          <w:color w:val="auto"/>
          <w:sz w:val="24"/>
          <w:highlight w:val="none"/>
        </w:rPr>
      </w:pPr>
      <w:r>
        <w:rPr>
          <w:rFonts w:hint="eastAsia"/>
          <w:color w:val="auto"/>
          <w:sz w:val="24"/>
          <w:highlight w:val="none"/>
        </w:rPr>
        <w:t>（10）与本招标项目的监理人或代建人或招标代理机构同为一个法定代表人的；</w:t>
      </w:r>
    </w:p>
    <w:p>
      <w:pPr>
        <w:spacing w:line="360" w:lineRule="auto"/>
        <w:ind w:firstLine="360" w:firstLineChars="150"/>
        <w:rPr>
          <w:rFonts w:hint="eastAsia"/>
          <w:color w:val="auto"/>
          <w:sz w:val="24"/>
          <w:highlight w:val="none"/>
        </w:rPr>
      </w:pPr>
      <w:r>
        <w:rPr>
          <w:rFonts w:hint="eastAsia"/>
          <w:color w:val="auto"/>
          <w:sz w:val="24"/>
          <w:highlight w:val="none"/>
        </w:rPr>
        <w:t>（11）与本招标项目的监理人或代建人或招标代理机构相互控股或参股的；</w:t>
      </w:r>
    </w:p>
    <w:p>
      <w:pPr>
        <w:spacing w:line="360" w:lineRule="auto"/>
        <w:ind w:firstLine="360" w:firstLineChars="150"/>
        <w:rPr>
          <w:rFonts w:hint="eastAsia"/>
          <w:color w:val="auto"/>
          <w:sz w:val="24"/>
          <w:highlight w:val="none"/>
        </w:rPr>
      </w:pPr>
      <w:r>
        <w:rPr>
          <w:rFonts w:hint="eastAsia"/>
          <w:color w:val="auto"/>
          <w:sz w:val="24"/>
          <w:highlight w:val="none"/>
        </w:rPr>
        <w:t>（12）与本招标项目的监理人或代建人或招标代理机构相互任职或工作的。</w:t>
      </w:r>
    </w:p>
    <w:p>
      <w:pPr>
        <w:spacing w:line="360" w:lineRule="auto"/>
        <w:ind w:firstLine="480" w:firstLineChars="200"/>
        <w:rPr>
          <w:rFonts w:hint="eastAsia"/>
          <w:color w:val="auto"/>
          <w:sz w:val="24"/>
          <w:highlight w:val="none"/>
        </w:rPr>
      </w:pPr>
      <w:r>
        <w:rPr>
          <w:rFonts w:hint="eastAsia"/>
          <w:color w:val="auto"/>
          <w:sz w:val="24"/>
          <w:highlight w:val="none"/>
        </w:rPr>
        <w:t>1.4.4 单位负责人为同一人或者存在控股、管理关系的不同单位，不得同时参加本招标项目投标。</w:t>
      </w:r>
    </w:p>
    <w:p>
      <w:pPr>
        <w:pStyle w:val="4"/>
        <w:spacing w:line="360" w:lineRule="auto"/>
        <w:ind w:firstLine="118"/>
        <w:rPr>
          <w:rFonts w:ascii="Times New Roman" w:hAnsi="Times New Roman"/>
          <w:color w:val="auto"/>
          <w:sz w:val="24"/>
          <w:szCs w:val="24"/>
          <w:highlight w:val="none"/>
        </w:rPr>
      </w:pPr>
      <w:bookmarkStart w:id="107" w:name="_Toc152045535"/>
      <w:bookmarkStart w:id="108" w:name="_Toc247513958"/>
      <w:bookmarkStart w:id="109" w:name="_Toc144974503"/>
      <w:bookmarkStart w:id="110" w:name="_Toc247527559"/>
      <w:bookmarkStart w:id="111" w:name="_Toc152042311"/>
      <w:bookmarkStart w:id="112" w:name="_Toc300834955"/>
      <w:r>
        <w:rPr>
          <w:rFonts w:hint="eastAsia" w:ascii="Times New Roman" w:hAnsi="Times New Roman"/>
          <w:color w:val="auto"/>
          <w:sz w:val="24"/>
          <w:szCs w:val="24"/>
          <w:highlight w:val="none"/>
        </w:rPr>
        <w:t>1.5 费用承担</w:t>
      </w:r>
      <w:bookmarkEnd w:id="107"/>
      <w:bookmarkEnd w:id="108"/>
      <w:bookmarkEnd w:id="109"/>
      <w:bookmarkEnd w:id="110"/>
      <w:bookmarkEnd w:id="111"/>
      <w:r>
        <w:rPr>
          <w:rFonts w:hint="eastAsia" w:ascii="Times New Roman" w:hAnsi="Times New Roman"/>
          <w:color w:val="auto"/>
          <w:sz w:val="24"/>
          <w:szCs w:val="24"/>
          <w:highlight w:val="none"/>
        </w:rPr>
        <w:t>和设计成果补偿</w:t>
      </w:r>
      <w:bookmarkEnd w:id="112"/>
    </w:p>
    <w:p>
      <w:pPr>
        <w:spacing w:line="360" w:lineRule="auto"/>
        <w:ind w:firstLine="480" w:firstLineChars="200"/>
        <w:rPr>
          <w:rFonts w:hint="eastAsia"/>
          <w:color w:val="auto"/>
          <w:sz w:val="24"/>
          <w:highlight w:val="none"/>
        </w:rPr>
      </w:pPr>
      <w:r>
        <w:rPr>
          <w:rFonts w:hint="eastAsia"/>
          <w:color w:val="auto"/>
          <w:sz w:val="24"/>
          <w:highlight w:val="none"/>
        </w:rPr>
        <w:t>1.5.1 投标人准备和参加投标活动发生的费用自理。</w:t>
      </w:r>
    </w:p>
    <w:p>
      <w:pPr>
        <w:spacing w:line="360" w:lineRule="auto"/>
        <w:ind w:firstLine="480" w:firstLineChars="200"/>
        <w:rPr>
          <w:color w:val="auto"/>
          <w:sz w:val="24"/>
          <w:highlight w:val="none"/>
        </w:rPr>
      </w:pPr>
      <w:r>
        <w:rPr>
          <w:rFonts w:hint="eastAsia"/>
          <w:color w:val="auto"/>
          <w:sz w:val="24"/>
          <w:highlight w:val="none"/>
        </w:rPr>
        <w:t>1.5.2 招标人对符合招标文件规定的未中标人的设计成果进行补偿的，按投标人须知前附表规定给予补偿，并有权免费使用未中标人设计成果。</w:t>
      </w:r>
    </w:p>
    <w:p>
      <w:pPr>
        <w:pStyle w:val="4"/>
        <w:spacing w:line="360" w:lineRule="auto"/>
        <w:ind w:firstLine="118"/>
        <w:rPr>
          <w:rFonts w:ascii="Times New Roman" w:hAnsi="Times New Roman"/>
          <w:color w:val="auto"/>
          <w:sz w:val="24"/>
          <w:szCs w:val="24"/>
          <w:highlight w:val="none"/>
        </w:rPr>
      </w:pPr>
      <w:bookmarkStart w:id="113" w:name="_Toc247513959"/>
      <w:bookmarkStart w:id="114" w:name="_Toc152045536"/>
      <w:bookmarkStart w:id="115" w:name="_Toc152042312"/>
      <w:bookmarkStart w:id="116" w:name="_Toc144974504"/>
      <w:bookmarkStart w:id="117" w:name="_Toc247527560"/>
      <w:bookmarkStart w:id="118" w:name="_Toc300834956"/>
      <w:r>
        <w:rPr>
          <w:rFonts w:hint="eastAsia" w:ascii="Times New Roman" w:hAnsi="Times New Roman"/>
          <w:color w:val="auto"/>
          <w:sz w:val="24"/>
          <w:szCs w:val="24"/>
          <w:highlight w:val="none"/>
        </w:rPr>
        <w:t>1.6 保密</w:t>
      </w:r>
      <w:bookmarkEnd w:id="113"/>
      <w:bookmarkEnd w:id="114"/>
      <w:bookmarkEnd w:id="115"/>
      <w:bookmarkEnd w:id="116"/>
      <w:bookmarkEnd w:id="117"/>
      <w:bookmarkEnd w:id="118"/>
    </w:p>
    <w:p>
      <w:pPr>
        <w:spacing w:line="360" w:lineRule="auto"/>
        <w:ind w:firstLine="480" w:firstLineChars="200"/>
        <w:rPr>
          <w:color w:val="auto"/>
          <w:sz w:val="24"/>
          <w:highlight w:val="none"/>
        </w:rPr>
      </w:pPr>
      <w:r>
        <w:rPr>
          <w:rFonts w:hint="eastAsia"/>
          <w:color w:val="auto"/>
          <w:sz w:val="24"/>
          <w:highlight w:val="none"/>
        </w:rPr>
        <w:t xml:space="preserve">参与招标投标活动的各方应对招标文件和投标文件中的商业和技术等秘密保密，否则应承担相应的法律责任。 </w:t>
      </w:r>
    </w:p>
    <w:p>
      <w:pPr>
        <w:pStyle w:val="4"/>
        <w:spacing w:line="360" w:lineRule="auto"/>
        <w:ind w:firstLine="118"/>
        <w:rPr>
          <w:rFonts w:ascii="Times New Roman" w:hAnsi="Times New Roman"/>
          <w:color w:val="auto"/>
          <w:sz w:val="24"/>
          <w:szCs w:val="24"/>
          <w:highlight w:val="none"/>
        </w:rPr>
      </w:pPr>
      <w:bookmarkStart w:id="119" w:name="_Toc144974505"/>
      <w:bookmarkStart w:id="120" w:name="_Toc247527561"/>
      <w:bookmarkStart w:id="121" w:name="_Toc152042313"/>
      <w:bookmarkStart w:id="122" w:name="_Toc300834957"/>
      <w:bookmarkStart w:id="123" w:name="_Toc152045537"/>
      <w:bookmarkStart w:id="124" w:name="_Toc247513960"/>
      <w:r>
        <w:rPr>
          <w:rFonts w:hint="eastAsia" w:ascii="Times New Roman" w:hAnsi="Times New Roman"/>
          <w:color w:val="auto"/>
          <w:sz w:val="24"/>
          <w:szCs w:val="24"/>
          <w:highlight w:val="none"/>
        </w:rPr>
        <w:t>1.7 语言</w:t>
      </w:r>
      <w:bookmarkEnd w:id="119"/>
      <w:r>
        <w:rPr>
          <w:rFonts w:hint="eastAsia" w:ascii="Times New Roman" w:hAnsi="Times New Roman"/>
          <w:color w:val="auto"/>
          <w:sz w:val="24"/>
          <w:szCs w:val="24"/>
          <w:highlight w:val="none"/>
        </w:rPr>
        <w:t>文字</w:t>
      </w:r>
      <w:bookmarkEnd w:id="120"/>
      <w:bookmarkEnd w:id="121"/>
      <w:bookmarkEnd w:id="122"/>
      <w:bookmarkEnd w:id="123"/>
      <w:bookmarkEnd w:id="124"/>
    </w:p>
    <w:p>
      <w:pPr>
        <w:spacing w:line="360" w:lineRule="auto"/>
        <w:ind w:firstLine="480" w:firstLineChars="200"/>
        <w:rPr>
          <w:color w:val="auto"/>
          <w:sz w:val="24"/>
          <w:highlight w:val="none"/>
        </w:rPr>
      </w:pPr>
      <w:r>
        <w:rPr>
          <w:rFonts w:hint="eastAsia"/>
          <w:color w:val="auto"/>
          <w:sz w:val="24"/>
          <w:highlight w:val="none"/>
        </w:rPr>
        <w:t>招标投标文件使用的语言文字为中文。专用术语使用外文的，应附有中文注释。</w:t>
      </w:r>
    </w:p>
    <w:p>
      <w:pPr>
        <w:pStyle w:val="4"/>
        <w:spacing w:line="360" w:lineRule="auto"/>
        <w:ind w:firstLine="118"/>
        <w:rPr>
          <w:rFonts w:ascii="Times New Roman" w:hAnsi="Times New Roman"/>
          <w:color w:val="auto"/>
          <w:sz w:val="24"/>
          <w:szCs w:val="24"/>
          <w:highlight w:val="none"/>
        </w:rPr>
      </w:pPr>
      <w:bookmarkStart w:id="125" w:name="_Toc152042314"/>
      <w:bookmarkStart w:id="126" w:name="_Toc247513961"/>
      <w:bookmarkStart w:id="127" w:name="_Toc300834958"/>
      <w:bookmarkStart w:id="128" w:name="_Toc144974506"/>
      <w:bookmarkStart w:id="129" w:name="_Toc152045538"/>
      <w:bookmarkStart w:id="130" w:name="_Toc247527562"/>
      <w:r>
        <w:rPr>
          <w:rFonts w:hint="eastAsia" w:ascii="Times New Roman" w:hAnsi="Times New Roman"/>
          <w:color w:val="auto"/>
          <w:sz w:val="24"/>
          <w:szCs w:val="24"/>
          <w:highlight w:val="none"/>
        </w:rPr>
        <w:t>1.8 计量单位</w:t>
      </w:r>
      <w:bookmarkEnd w:id="125"/>
      <w:bookmarkEnd w:id="126"/>
      <w:bookmarkEnd w:id="127"/>
      <w:bookmarkEnd w:id="128"/>
      <w:bookmarkEnd w:id="129"/>
      <w:bookmarkEnd w:id="130"/>
    </w:p>
    <w:p>
      <w:pPr>
        <w:spacing w:line="360" w:lineRule="auto"/>
        <w:ind w:firstLine="480" w:firstLineChars="200"/>
        <w:rPr>
          <w:color w:val="auto"/>
          <w:sz w:val="24"/>
          <w:highlight w:val="none"/>
        </w:rPr>
      </w:pPr>
      <w:r>
        <w:rPr>
          <w:rFonts w:hint="eastAsia"/>
          <w:color w:val="auto"/>
          <w:sz w:val="24"/>
          <w:highlight w:val="none"/>
        </w:rPr>
        <w:t>所有计量均采用中华人民共和国法定计量单位。</w:t>
      </w:r>
    </w:p>
    <w:p>
      <w:pPr>
        <w:pStyle w:val="4"/>
        <w:spacing w:line="360" w:lineRule="auto"/>
        <w:ind w:firstLine="118"/>
        <w:rPr>
          <w:rFonts w:ascii="Times New Roman" w:hAnsi="Times New Roman"/>
          <w:color w:val="auto"/>
          <w:sz w:val="24"/>
          <w:szCs w:val="24"/>
          <w:highlight w:val="none"/>
        </w:rPr>
      </w:pPr>
      <w:bookmarkStart w:id="131" w:name="_Toc152045539"/>
      <w:bookmarkStart w:id="132" w:name="_Toc152042315"/>
      <w:bookmarkStart w:id="133" w:name="_Toc144974507"/>
      <w:bookmarkStart w:id="134" w:name="_Toc247513962"/>
      <w:bookmarkStart w:id="135" w:name="_Toc247527563"/>
      <w:bookmarkStart w:id="136" w:name="_Toc300834959"/>
      <w:r>
        <w:rPr>
          <w:rFonts w:hint="eastAsia" w:ascii="Times New Roman" w:hAnsi="Times New Roman"/>
          <w:color w:val="auto"/>
          <w:sz w:val="24"/>
          <w:szCs w:val="24"/>
          <w:highlight w:val="none"/>
        </w:rPr>
        <w:t>1.9 踏勘现场</w:t>
      </w:r>
      <w:bookmarkEnd w:id="131"/>
      <w:bookmarkEnd w:id="132"/>
      <w:bookmarkEnd w:id="133"/>
      <w:bookmarkEnd w:id="134"/>
      <w:bookmarkEnd w:id="135"/>
      <w:bookmarkEnd w:id="136"/>
    </w:p>
    <w:p>
      <w:pPr>
        <w:spacing w:line="360" w:lineRule="auto"/>
        <w:ind w:firstLine="480" w:firstLineChars="200"/>
        <w:rPr>
          <w:color w:val="auto"/>
          <w:sz w:val="24"/>
          <w:highlight w:val="none"/>
        </w:rPr>
      </w:pPr>
      <w:r>
        <w:rPr>
          <w:rFonts w:hint="eastAsia"/>
          <w:color w:val="auto"/>
          <w:sz w:val="24"/>
          <w:highlight w:val="none"/>
        </w:rPr>
        <w:t xml:space="preserve">1.9.1 投标人须知前附表规定组织踏勘现场的，招标人按投标人须知前附表规定的时间、地点组织投标人踏勘项目现场。 </w:t>
      </w:r>
    </w:p>
    <w:p>
      <w:pPr>
        <w:spacing w:line="360" w:lineRule="auto"/>
        <w:ind w:firstLine="480" w:firstLineChars="200"/>
        <w:rPr>
          <w:color w:val="auto"/>
          <w:sz w:val="24"/>
          <w:highlight w:val="none"/>
        </w:rPr>
      </w:pPr>
      <w:r>
        <w:rPr>
          <w:rFonts w:hint="eastAsia"/>
          <w:color w:val="auto"/>
          <w:sz w:val="24"/>
          <w:highlight w:val="none"/>
        </w:rPr>
        <w:t>1.9.2 投标人踏勘现场发生的费用自理。</w:t>
      </w:r>
    </w:p>
    <w:p>
      <w:pPr>
        <w:spacing w:line="360" w:lineRule="auto"/>
        <w:ind w:firstLine="480" w:firstLineChars="200"/>
        <w:rPr>
          <w:color w:val="auto"/>
          <w:sz w:val="24"/>
          <w:highlight w:val="none"/>
        </w:rPr>
      </w:pPr>
      <w:r>
        <w:rPr>
          <w:rFonts w:hint="eastAsia"/>
          <w:color w:val="auto"/>
          <w:sz w:val="24"/>
          <w:highlight w:val="none"/>
        </w:rPr>
        <w:t>1.9.3 除招标人的原因外，投标人自行负责在踏勘现场中所发生的人员伤亡和财产损失。</w:t>
      </w:r>
    </w:p>
    <w:p>
      <w:pPr>
        <w:spacing w:line="360" w:lineRule="auto"/>
        <w:ind w:firstLine="480" w:firstLineChars="200"/>
        <w:rPr>
          <w:color w:val="auto"/>
          <w:sz w:val="24"/>
          <w:highlight w:val="none"/>
        </w:rPr>
      </w:pPr>
      <w:r>
        <w:rPr>
          <w:rFonts w:hint="eastAsia"/>
          <w:color w:val="auto"/>
          <w:sz w:val="24"/>
          <w:highlight w:val="none"/>
        </w:rPr>
        <w:t>1.9.4 招标人在踏勘现场中介绍的工程场地和相关的周边环境情况，供投标人在编制投标文件时参考，招标人不对投标人据此作出的判断和决策负责。</w:t>
      </w:r>
    </w:p>
    <w:p>
      <w:pPr>
        <w:pStyle w:val="4"/>
        <w:spacing w:line="360" w:lineRule="auto"/>
        <w:ind w:firstLine="118"/>
        <w:rPr>
          <w:rFonts w:ascii="Times New Roman" w:hAnsi="Times New Roman"/>
          <w:color w:val="auto"/>
          <w:sz w:val="24"/>
          <w:szCs w:val="24"/>
          <w:highlight w:val="none"/>
        </w:rPr>
      </w:pPr>
      <w:bookmarkStart w:id="137" w:name="_Toc247527564"/>
      <w:bookmarkStart w:id="138" w:name="_Toc144974508"/>
      <w:bookmarkStart w:id="139" w:name="_Toc152042316"/>
      <w:bookmarkStart w:id="140" w:name="_Toc300834960"/>
      <w:bookmarkStart w:id="141" w:name="_Toc247513963"/>
      <w:bookmarkStart w:id="142" w:name="_Toc152045540"/>
      <w:r>
        <w:rPr>
          <w:rFonts w:hint="eastAsia" w:ascii="Times New Roman" w:hAnsi="Times New Roman"/>
          <w:color w:val="auto"/>
          <w:sz w:val="24"/>
          <w:szCs w:val="24"/>
          <w:highlight w:val="none"/>
        </w:rPr>
        <w:t>1.10 投标预备会</w:t>
      </w:r>
      <w:bookmarkEnd w:id="137"/>
      <w:bookmarkEnd w:id="138"/>
      <w:bookmarkEnd w:id="139"/>
      <w:bookmarkEnd w:id="140"/>
      <w:bookmarkEnd w:id="141"/>
      <w:bookmarkEnd w:id="142"/>
    </w:p>
    <w:p>
      <w:pPr>
        <w:spacing w:line="360" w:lineRule="auto"/>
        <w:ind w:firstLine="480" w:firstLineChars="200"/>
        <w:rPr>
          <w:color w:val="auto"/>
          <w:sz w:val="24"/>
          <w:highlight w:val="none"/>
        </w:rPr>
      </w:pPr>
      <w:r>
        <w:rPr>
          <w:rFonts w:hint="eastAsia"/>
          <w:color w:val="auto"/>
          <w:sz w:val="24"/>
          <w:highlight w:val="none"/>
        </w:rPr>
        <w:t>1.10.1 投标人须知前附表规定召开投标预备会的，招标人按投标人须知前附表规定的时间和地点召开投标预备会，澄清投标人提出的问题。</w:t>
      </w:r>
    </w:p>
    <w:p>
      <w:pPr>
        <w:spacing w:line="360" w:lineRule="auto"/>
        <w:ind w:firstLine="480" w:firstLineChars="200"/>
        <w:rPr>
          <w:color w:val="auto"/>
          <w:sz w:val="24"/>
          <w:highlight w:val="none"/>
        </w:rPr>
      </w:pPr>
      <w:r>
        <w:rPr>
          <w:rFonts w:hint="eastAsia"/>
          <w:color w:val="auto"/>
          <w:sz w:val="24"/>
          <w:highlight w:val="none"/>
        </w:rPr>
        <w:t>1.10.2 投标人应在投标人须知前附表规定的时间前，以书面形式将提出的问题送达招标人，以便招标人在会议期间澄清。</w:t>
      </w:r>
    </w:p>
    <w:p>
      <w:pPr>
        <w:spacing w:line="360" w:lineRule="auto"/>
        <w:ind w:firstLine="480" w:firstLineChars="200"/>
        <w:rPr>
          <w:color w:val="auto"/>
          <w:sz w:val="24"/>
          <w:highlight w:val="none"/>
        </w:rPr>
      </w:pPr>
      <w:r>
        <w:rPr>
          <w:rFonts w:hint="eastAsia"/>
          <w:color w:val="auto"/>
          <w:sz w:val="24"/>
          <w:highlight w:val="none"/>
        </w:rPr>
        <w:t>1.10.3 投标预备会后，招标人在投标人须知前附表规定的时间内，将对投标人所提问题的澄清，以书面形式通知所有购买招标文件的投标人。该澄清内容为招标文件的组成部分。</w:t>
      </w:r>
    </w:p>
    <w:p>
      <w:pPr>
        <w:pStyle w:val="4"/>
        <w:spacing w:line="360" w:lineRule="auto"/>
        <w:ind w:firstLine="118"/>
        <w:rPr>
          <w:rFonts w:ascii="Times New Roman" w:hAnsi="Times New Roman"/>
          <w:color w:val="auto"/>
          <w:sz w:val="24"/>
          <w:szCs w:val="24"/>
          <w:highlight w:val="none"/>
        </w:rPr>
      </w:pPr>
      <w:bookmarkStart w:id="143" w:name="_Toc144974509"/>
      <w:bookmarkStart w:id="144" w:name="_Toc247513964"/>
      <w:bookmarkStart w:id="145" w:name="_Toc247527565"/>
      <w:bookmarkStart w:id="146" w:name="_Toc152045541"/>
      <w:bookmarkStart w:id="147" w:name="_Toc300834961"/>
      <w:bookmarkStart w:id="148" w:name="_Toc152042317"/>
      <w:r>
        <w:rPr>
          <w:rFonts w:hint="eastAsia" w:ascii="Times New Roman" w:hAnsi="Times New Roman"/>
          <w:color w:val="auto"/>
          <w:sz w:val="24"/>
          <w:szCs w:val="24"/>
          <w:highlight w:val="none"/>
        </w:rPr>
        <w:t>1.11 分包</w:t>
      </w:r>
      <w:bookmarkEnd w:id="143"/>
      <w:bookmarkEnd w:id="144"/>
      <w:bookmarkEnd w:id="145"/>
      <w:bookmarkEnd w:id="146"/>
      <w:bookmarkEnd w:id="147"/>
      <w:bookmarkEnd w:id="148"/>
    </w:p>
    <w:p>
      <w:pPr>
        <w:spacing w:line="360" w:lineRule="auto"/>
        <w:ind w:firstLine="648" w:firstLineChars="270"/>
        <w:rPr>
          <w:rFonts w:hint="eastAsia"/>
          <w:color w:val="auto"/>
          <w:sz w:val="24"/>
          <w:highlight w:val="none"/>
        </w:rPr>
      </w:pPr>
      <w:r>
        <w:rPr>
          <w:rFonts w:hint="eastAsia"/>
          <w:color w:val="auto"/>
          <w:sz w:val="24"/>
          <w:highlight w:val="none"/>
        </w:rPr>
        <w:t>1.11.1 投标人须知前附表规定应当由分包人实施的非主体、非关键性工作，应符合投标人须知前附表规定的分包内容、分包金额和资质要求等限制性条件。</w:t>
      </w:r>
    </w:p>
    <w:p>
      <w:pPr>
        <w:spacing w:line="360" w:lineRule="auto"/>
        <w:ind w:firstLine="648" w:firstLineChars="270"/>
        <w:rPr>
          <w:color w:val="auto"/>
          <w:sz w:val="24"/>
          <w:highlight w:val="none"/>
        </w:rPr>
      </w:pPr>
      <w:r>
        <w:rPr>
          <w:rFonts w:hint="eastAsia"/>
          <w:color w:val="auto"/>
          <w:sz w:val="24"/>
          <w:highlight w:val="none"/>
        </w:rPr>
        <w:t>1.11.2 投标人拟在中标后将中标项目的部分非主体、非关键性工作进行分包的，应符合投标人须知前附表规定的分包内容、分包金额和资质要求等限制性条件。</w:t>
      </w:r>
    </w:p>
    <w:p>
      <w:pPr>
        <w:pStyle w:val="4"/>
        <w:spacing w:line="360" w:lineRule="auto"/>
        <w:ind w:firstLine="118"/>
        <w:rPr>
          <w:rFonts w:ascii="Times New Roman" w:hAnsi="Times New Roman"/>
          <w:color w:val="auto"/>
          <w:sz w:val="24"/>
          <w:szCs w:val="24"/>
          <w:highlight w:val="none"/>
        </w:rPr>
      </w:pPr>
      <w:bookmarkStart w:id="149" w:name="_Toc247513965"/>
      <w:bookmarkStart w:id="150" w:name="_Toc300834962"/>
      <w:bookmarkStart w:id="151" w:name="_Toc247527566"/>
      <w:r>
        <w:rPr>
          <w:rFonts w:hint="eastAsia" w:ascii="Times New Roman" w:hAnsi="Times New Roman"/>
          <w:color w:val="auto"/>
          <w:sz w:val="24"/>
          <w:szCs w:val="24"/>
          <w:highlight w:val="none"/>
        </w:rPr>
        <w:t>1.12 偏离</w:t>
      </w:r>
      <w:bookmarkEnd w:id="149"/>
      <w:bookmarkEnd w:id="150"/>
      <w:bookmarkEnd w:id="151"/>
    </w:p>
    <w:p>
      <w:pPr>
        <w:spacing w:line="360" w:lineRule="auto"/>
        <w:ind w:firstLine="410" w:firstLineChars="171"/>
        <w:rPr>
          <w:color w:val="auto"/>
          <w:sz w:val="24"/>
          <w:highlight w:val="none"/>
        </w:rPr>
      </w:pPr>
      <w:r>
        <w:rPr>
          <w:rFonts w:hint="eastAsia"/>
          <w:color w:val="auto"/>
          <w:sz w:val="24"/>
          <w:highlight w:val="none"/>
        </w:rPr>
        <w:t>投标人须知前附表允许投标文件偏离招标文件某些要求的，偏离应当符合招标文件规定的偏离范围和幅度。</w:t>
      </w:r>
    </w:p>
    <w:p>
      <w:pPr>
        <w:pStyle w:val="3"/>
        <w:spacing w:line="360" w:lineRule="auto"/>
        <w:rPr>
          <w:rFonts w:ascii="Times New Roman" w:hAnsi="Times New Roman"/>
          <w:color w:val="auto"/>
          <w:sz w:val="24"/>
          <w:szCs w:val="24"/>
          <w:highlight w:val="none"/>
        </w:rPr>
      </w:pPr>
      <w:bookmarkStart w:id="152" w:name="_Toc300834963"/>
      <w:bookmarkStart w:id="153" w:name="_Toc152042318"/>
      <w:bookmarkStart w:id="154" w:name="_Toc247527567"/>
      <w:bookmarkStart w:id="155" w:name="_Toc152045542"/>
      <w:bookmarkStart w:id="156" w:name="_Toc144974510"/>
      <w:bookmarkStart w:id="157" w:name="_Toc247513966"/>
      <w:r>
        <w:rPr>
          <w:rFonts w:hint="eastAsia" w:ascii="Times New Roman" w:hAnsi="Times New Roman"/>
          <w:color w:val="auto"/>
          <w:sz w:val="24"/>
          <w:szCs w:val="24"/>
          <w:highlight w:val="none"/>
        </w:rPr>
        <w:t>2. 招标文件</w:t>
      </w:r>
      <w:bookmarkEnd w:id="152"/>
      <w:bookmarkEnd w:id="153"/>
      <w:bookmarkEnd w:id="154"/>
      <w:bookmarkEnd w:id="155"/>
      <w:bookmarkEnd w:id="156"/>
      <w:bookmarkEnd w:id="157"/>
    </w:p>
    <w:p>
      <w:pPr>
        <w:pStyle w:val="4"/>
        <w:spacing w:line="360" w:lineRule="auto"/>
        <w:ind w:firstLine="118"/>
        <w:rPr>
          <w:rFonts w:ascii="Times New Roman" w:hAnsi="Times New Roman"/>
          <w:color w:val="auto"/>
          <w:sz w:val="24"/>
          <w:szCs w:val="24"/>
          <w:highlight w:val="none"/>
        </w:rPr>
      </w:pPr>
      <w:bookmarkStart w:id="158" w:name="_Toc247513967"/>
      <w:bookmarkStart w:id="159" w:name="_Toc152042319"/>
      <w:bookmarkStart w:id="160" w:name="_Toc144974511"/>
      <w:bookmarkStart w:id="161" w:name="_Toc300834964"/>
      <w:bookmarkStart w:id="162" w:name="_Toc247527568"/>
      <w:bookmarkStart w:id="163" w:name="_Toc152045543"/>
      <w:r>
        <w:rPr>
          <w:rFonts w:hint="eastAsia" w:ascii="Times New Roman" w:hAnsi="Times New Roman"/>
          <w:color w:val="auto"/>
          <w:sz w:val="24"/>
          <w:szCs w:val="24"/>
          <w:highlight w:val="none"/>
        </w:rPr>
        <w:t>2.1 招标文件的组成</w:t>
      </w:r>
      <w:bookmarkEnd w:id="158"/>
      <w:bookmarkEnd w:id="159"/>
      <w:bookmarkEnd w:id="160"/>
      <w:bookmarkEnd w:id="161"/>
      <w:bookmarkEnd w:id="162"/>
      <w:bookmarkEnd w:id="163"/>
    </w:p>
    <w:p>
      <w:pPr>
        <w:spacing w:line="360" w:lineRule="auto"/>
        <w:rPr>
          <w:color w:val="auto"/>
          <w:sz w:val="24"/>
          <w:highlight w:val="none"/>
        </w:rPr>
      </w:pPr>
      <w:r>
        <w:rPr>
          <w:rFonts w:hint="eastAsia"/>
          <w:color w:val="auto"/>
          <w:sz w:val="24"/>
          <w:highlight w:val="none"/>
        </w:rPr>
        <w:t>　　本招标文件包括：</w:t>
      </w:r>
    </w:p>
    <w:p>
      <w:pPr>
        <w:spacing w:line="360" w:lineRule="auto"/>
        <w:ind w:firstLine="410" w:firstLineChars="171"/>
        <w:rPr>
          <w:color w:val="auto"/>
          <w:sz w:val="24"/>
          <w:highlight w:val="none"/>
        </w:rPr>
      </w:pPr>
      <w:r>
        <w:rPr>
          <w:rFonts w:hint="eastAsia"/>
          <w:color w:val="auto"/>
          <w:sz w:val="24"/>
          <w:highlight w:val="none"/>
        </w:rPr>
        <w:t>（1）招标公告（或投标邀请书）；</w:t>
      </w:r>
    </w:p>
    <w:p>
      <w:pPr>
        <w:spacing w:line="360" w:lineRule="auto"/>
        <w:ind w:firstLine="410" w:firstLineChars="171"/>
        <w:rPr>
          <w:color w:val="auto"/>
          <w:sz w:val="24"/>
          <w:highlight w:val="none"/>
        </w:rPr>
      </w:pPr>
      <w:r>
        <w:rPr>
          <w:rFonts w:hint="eastAsia"/>
          <w:color w:val="auto"/>
          <w:sz w:val="24"/>
          <w:highlight w:val="none"/>
        </w:rPr>
        <w:t>（2）投标人须知；</w:t>
      </w:r>
    </w:p>
    <w:p>
      <w:pPr>
        <w:spacing w:line="360" w:lineRule="auto"/>
        <w:ind w:firstLine="410" w:firstLineChars="171"/>
        <w:rPr>
          <w:color w:val="auto"/>
          <w:sz w:val="24"/>
          <w:highlight w:val="none"/>
        </w:rPr>
      </w:pPr>
      <w:r>
        <w:rPr>
          <w:rFonts w:hint="eastAsia"/>
          <w:color w:val="auto"/>
          <w:sz w:val="24"/>
          <w:highlight w:val="none"/>
        </w:rPr>
        <w:t>（3）评标办法；</w:t>
      </w:r>
    </w:p>
    <w:p>
      <w:pPr>
        <w:spacing w:line="360" w:lineRule="auto"/>
        <w:ind w:firstLine="410" w:firstLineChars="171"/>
        <w:rPr>
          <w:rFonts w:hint="eastAsia"/>
          <w:color w:val="auto"/>
          <w:sz w:val="24"/>
          <w:highlight w:val="none"/>
        </w:rPr>
      </w:pPr>
      <w:r>
        <w:rPr>
          <w:rFonts w:hint="eastAsia"/>
          <w:color w:val="auto"/>
          <w:sz w:val="24"/>
          <w:highlight w:val="none"/>
        </w:rPr>
        <w:t>（4）合同条款及格式；</w:t>
      </w:r>
    </w:p>
    <w:p>
      <w:pPr>
        <w:spacing w:line="360" w:lineRule="auto"/>
        <w:ind w:firstLine="410" w:firstLineChars="171"/>
        <w:rPr>
          <w:rFonts w:hint="eastAsia"/>
          <w:color w:val="auto"/>
          <w:sz w:val="24"/>
          <w:highlight w:val="none"/>
        </w:rPr>
      </w:pPr>
      <w:r>
        <w:rPr>
          <w:rFonts w:hint="eastAsia"/>
          <w:color w:val="auto"/>
          <w:sz w:val="24"/>
          <w:highlight w:val="none"/>
        </w:rPr>
        <w:t>（5）发包人要求；</w:t>
      </w:r>
    </w:p>
    <w:p>
      <w:pPr>
        <w:spacing w:line="360" w:lineRule="auto"/>
        <w:ind w:firstLine="410" w:firstLineChars="171"/>
        <w:rPr>
          <w:color w:val="auto"/>
          <w:sz w:val="24"/>
          <w:highlight w:val="none"/>
        </w:rPr>
      </w:pPr>
      <w:r>
        <w:rPr>
          <w:rFonts w:hint="eastAsia"/>
          <w:color w:val="auto"/>
          <w:sz w:val="24"/>
          <w:highlight w:val="none"/>
        </w:rPr>
        <w:t>（6）发包人提供的资料和条件；</w:t>
      </w:r>
    </w:p>
    <w:p>
      <w:pPr>
        <w:spacing w:line="360" w:lineRule="auto"/>
        <w:ind w:firstLine="410" w:firstLineChars="171"/>
        <w:rPr>
          <w:color w:val="auto"/>
          <w:sz w:val="24"/>
          <w:highlight w:val="none"/>
        </w:rPr>
      </w:pPr>
      <w:r>
        <w:rPr>
          <w:rFonts w:hint="eastAsia"/>
          <w:color w:val="auto"/>
          <w:sz w:val="24"/>
          <w:highlight w:val="none"/>
        </w:rPr>
        <w:t>（7）投标文件格式；</w:t>
      </w:r>
    </w:p>
    <w:p>
      <w:pPr>
        <w:spacing w:line="360" w:lineRule="auto"/>
        <w:ind w:firstLine="410" w:firstLineChars="171"/>
        <w:rPr>
          <w:rFonts w:hint="eastAsia" w:eastAsia="宋体"/>
          <w:color w:val="auto"/>
          <w:sz w:val="24"/>
          <w:highlight w:val="none"/>
          <w:lang w:eastAsia="zh-CN"/>
        </w:rPr>
      </w:pPr>
      <w:r>
        <w:rPr>
          <w:rFonts w:hint="eastAsia"/>
          <w:color w:val="auto"/>
          <w:sz w:val="24"/>
          <w:highlight w:val="none"/>
        </w:rPr>
        <w:t>（8）投标人须知前附表规定的其他资料</w:t>
      </w:r>
      <w:r>
        <w:rPr>
          <w:rFonts w:hint="eastAsia"/>
          <w:color w:val="auto"/>
          <w:sz w:val="24"/>
          <w:highlight w:val="none"/>
          <w:lang w:eastAsia="zh-CN"/>
        </w:rPr>
        <w:t>；</w:t>
      </w:r>
    </w:p>
    <w:p>
      <w:pPr>
        <w:spacing w:line="360" w:lineRule="auto"/>
        <w:ind w:firstLine="410" w:firstLineChars="171"/>
        <w:rPr>
          <w:rFonts w:hint="eastAsia" w:eastAsia="宋体"/>
          <w:color w:val="auto"/>
          <w:sz w:val="24"/>
          <w:highlight w:val="none"/>
          <w:lang w:eastAsia="zh-CN"/>
        </w:rPr>
      </w:pPr>
      <w:r>
        <w:rPr>
          <w:rFonts w:hint="eastAsia"/>
          <w:color w:val="auto"/>
          <w:sz w:val="24"/>
          <w:highlight w:val="none"/>
          <w:lang w:eastAsia="zh-CN"/>
        </w:rPr>
        <w:t>（</w:t>
      </w:r>
      <w:r>
        <w:rPr>
          <w:rFonts w:hint="eastAsia"/>
          <w:color w:val="auto"/>
          <w:sz w:val="24"/>
          <w:highlight w:val="none"/>
          <w:lang w:val="en-US" w:eastAsia="zh-CN"/>
        </w:rPr>
        <w:t>9</w:t>
      </w:r>
      <w:r>
        <w:rPr>
          <w:rFonts w:hint="eastAsia"/>
          <w:color w:val="auto"/>
          <w:sz w:val="24"/>
          <w:highlight w:val="none"/>
          <w:lang w:eastAsia="zh-CN"/>
        </w:rPr>
        <w:t>）</w:t>
      </w:r>
      <w:r>
        <w:rPr>
          <w:rFonts w:hint="eastAsia" w:ascii="Times New Roman" w:hAnsi="Times New Roman" w:eastAsia="宋体" w:cs="宋体"/>
          <w:b w:val="0"/>
          <w:bCs w:val="0"/>
          <w:color w:val="auto"/>
          <w:kern w:val="2"/>
          <w:sz w:val="24"/>
          <w:szCs w:val="24"/>
          <w:highlight w:val="none"/>
          <w:lang w:val="en-US" w:eastAsia="zh-CN"/>
        </w:rPr>
        <w:t>投</w:t>
      </w:r>
      <w:r>
        <w:rPr>
          <w:rFonts w:hint="eastAsia" w:ascii="Times New Roman" w:hAnsi="Times New Roman" w:eastAsia="宋体" w:cs="宋体"/>
          <w:b w:val="0"/>
          <w:bCs w:val="0"/>
          <w:color w:val="auto"/>
          <w:kern w:val="2"/>
          <w:sz w:val="24"/>
          <w:szCs w:val="24"/>
          <w:highlight w:val="none"/>
          <w:lang w:eastAsia="zh-CN"/>
        </w:rPr>
        <w:t>标文件编制和暗标评审规范</w:t>
      </w:r>
      <w:r>
        <w:rPr>
          <w:rFonts w:hint="eastAsia"/>
          <w:color w:val="auto"/>
          <w:highlight w:val="none"/>
          <w:lang w:eastAsia="zh-CN"/>
        </w:rPr>
        <w:t>。</w:t>
      </w:r>
    </w:p>
    <w:p>
      <w:pPr>
        <w:spacing w:line="360" w:lineRule="auto"/>
        <w:ind w:firstLine="480" w:firstLineChars="200"/>
        <w:rPr>
          <w:color w:val="auto"/>
          <w:sz w:val="24"/>
          <w:highlight w:val="none"/>
        </w:rPr>
      </w:pPr>
      <w:r>
        <w:rPr>
          <w:rFonts w:hint="eastAsia"/>
          <w:color w:val="auto"/>
          <w:sz w:val="24"/>
          <w:highlight w:val="none"/>
        </w:rPr>
        <w:t>根据本章第2.2款和第2.3款对招标文件所作的澄清、修改，构成招标文件的组成部分。</w:t>
      </w:r>
    </w:p>
    <w:p>
      <w:pPr>
        <w:pStyle w:val="4"/>
        <w:spacing w:line="360" w:lineRule="auto"/>
        <w:ind w:firstLine="118"/>
        <w:rPr>
          <w:rFonts w:ascii="Times New Roman" w:hAnsi="Times New Roman"/>
          <w:color w:val="auto"/>
          <w:sz w:val="24"/>
          <w:szCs w:val="24"/>
          <w:highlight w:val="none"/>
        </w:rPr>
      </w:pPr>
      <w:bookmarkStart w:id="164" w:name="_Toc247527569"/>
      <w:bookmarkStart w:id="165" w:name="_Toc144974512"/>
      <w:bookmarkStart w:id="166" w:name="_Toc152045544"/>
      <w:bookmarkStart w:id="167" w:name="_Toc247513968"/>
      <w:bookmarkStart w:id="168" w:name="_Toc300834965"/>
      <w:bookmarkStart w:id="169" w:name="_Toc152042320"/>
      <w:r>
        <w:rPr>
          <w:rFonts w:hint="eastAsia" w:ascii="Times New Roman" w:hAnsi="Times New Roman"/>
          <w:color w:val="auto"/>
          <w:sz w:val="24"/>
          <w:szCs w:val="24"/>
          <w:highlight w:val="none"/>
        </w:rPr>
        <w:t>2.2 招标文件的澄清</w:t>
      </w:r>
      <w:bookmarkEnd w:id="164"/>
      <w:bookmarkEnd w:id="165"/>
      <w:bookmarkEnd w:id="166"/>
      <w:bookmarkEnd w:id="167"/>
      <w:bookmarkEnd w:id="168"/>
      <w:bookmarkEnd w:id="169"/>
    </w:p>
    <w:p>
      <w:pPr>
        <w:spacing w:line="360" w:lineRule="auto"/>
        <w:ind w:firstLine="480" w:firstLineChars="200"/>
        <w:rPr>
          <w:color w:val="auto"/>
          <w:sz w:val="24"/>
          <w:highlight w:val="none"/>
        </w:rPr>
      </w:pPr>
      <w:r>
        <w:rPr>
          <w:rFonts w:hint="eastAsia"/>
          <w:color w:val="auto"/>
          <w:sz w:val="24"/>
          <w:highlight w:val="none"/>
        </w:rPr>
        <w:t>2.2.1 投标人</w:t>
      </w:r>
      <w:r>
        <w:rPr>
          <w:rFonts w:hint="eastAsia" w:ascii="Times New Roman" w:hAnsi="Times New Roman"/>
          <w:color w:val="auto"/>
          <w:sz w:val="24"/>
          <w:highlight w:val="none"/>
        </w:rPr>
        <w:t>如有疑问，应在投标人须知前附表规定的时间前通过公共资源交易平台向招标人提出需澄清的问题，要求招标人对招标文件予以澄清</w:t>
      </w:r>
      <w:r>
        <w:rPr>
          <w:rFonts w:hint="eastAsia"/>
          <w:color w:val="auto"/>
          <w:sz w:val="24"/>
          <w:highlight w:val="none"/>
        </w:rPr>
        <w:t>。</w:t>
      </w:r>
    </w:p>
    <w:p>
      <w:pPr>
        <w:spacing w:line="360" w:lineRule="auto"/>
        <w:ind w:firstLine="480" w:firstLineChars="200"/>
        <w:rPr>
          <w:color w:val="auto"/>
          <w:sz w:val="24"/>
          <w:highlight w:val="none"/>
        </w:rPr>
      </w:pPr>
      <w:r>
        <w:rPr>
          <w:rFonts w:hint="eastAsia"/>
          <w:color w:val="auto"/>
          <w:sz w:val="24"/>
          <w:highlight w:val="none"/>
        </w:rPr>
        <w:t xml:space="preserve">2.2.2 </w:t>
      </w:r>
      <w:r>
        <w:rPr>
          <w:rFonts w:hint="eastAsia" w:ascii="Times New Roman" w:hAnsi="Times New Roman"/>
          <w:color w:val="auto"/>
          <w:sz w:val="24"/>
          <w:highlight w:val="none"/>
        </w:rPr>
        <w:t>招标文件的澄清将在投标人须知前附表规定的投标截止时间15天前在公共资源交易平台中发布</w:t>
      </w:r>
      <w:r>
        <w:rPr>
          <w:rFonts w:hint="eastAsia"/>
          <w:color w:val="auto"/>
          <w:sz w:val="24"/>
          <w:highlight w:val="none"/>
        </w:rPr>
        <w:t>。澄清文件发出的时间距投标人须知前附表规定的投标截止时间不足15天的，并且澄清内容影响投标文件编制的，将相应延长投标截止时间。</w:t>
      </w:r>
    </w:p>
    <w:p>
      <w:pPr>
        <w:spacing w:line="360" w:lineRule="auto"/>
        <w:ind w:firstLine="480" w:firstLineChars="200"/>
        <w:rPr>
          <w:color w:val="auto"/>
          <w:sz w:val="24"/>
          <w:highlight w:val="none"/>
        </w:rPr>
      </w:pPr>
      <w:r>
        <w:rPr>
          <w:rFonts w:hint="eastAsia"/>
          <w:color w:val="auto"/>
          <w:sz w:val="24"/>
          <w:highlight w:val="none"/>
        </w:rPr>
        <w:t>2.2.3 投标人收到澄清后的确认：见投标人须知前附表。</w:t>
      </w:r>
    </w:p>
    <w:p>
      <w:pPr>
        <w:pStyle w:val="4"/>
        <w:spacing w:line="360" w:lineRule="auto"/>
        <w:ind w:firstLine="118"/>
        <w:rPr>
          <w:rFonts w:ascii="Times New Roman" w:hAnsi="Times New Roman"/>
          <w:color w:val="auto"/>
          <w:sz w:val="24"/>
          <w:szCs w:val="24"/>
          <w:highlight w:val="none"/>
        </w:rPr>
      </w:pPr>
      <w:bookmarkStart w:id="170" w:name="_Toc144974513"/>
      <w:bookmarkStart w:id="171" w:name="_Toc247513969"/>
      <w:bookmarkStart w:id="172" w:name="_Toc152045545"/>
      <w:bookmarkStart w:id="173" w:name="_Toc247527570"/>
      <w:bookmarkStart w:id="174" w:name="_Toc152042321"/>
      <w:bookmarkStart w:id="175" w:name="_Toc300834966"/>
      <w:r>
        <w:rPr>
          <w:rFonts w:hint="eastAsia" w:ascii="Times New Roman" w:hAnsi="Times New Roman"/>
          <w:color w:val="auto"/>
          <w:sz w:val="24"/>
          <w:szCs w:val="24"/>
          <w:highlight w:val="none"/>
        </w:rPr>
        <w:t>2.3 招标文件的修改</w:t>
      </w:r>
      <w:bookmarkEnd w:id="170"/>
      <w:bookmarkEnd w:id="171"/>
      <w:bookmarkEnd w:id="172"/>
      <w:bookmarkEnd w:id="173"/>
      <w:bookmarkEnd w:id="174"/>
      <w:bookmarkEnd w:id="175"/>
    </w:p>
    <w:p>
      <w:pPr>
        <w:spacing w:line="360" w:lineRule="auto"/>
        <w:ind w:firstLine="480" w:firstLineChars="200"/>
        <w:rPr>
          <w:color w:val="auto"/>
          <w:sz w:val="24"/>
          <w:highlight w:val="none"/>
        </w:rPr>
      </w:pPr>
      <w:r>
        <w:rPr>
          <w:rFonts w:hint="eastAsia"/>
          <w:color w:val="auto"/>
          <w:sz w:val="24"/>
          <w:highlight w:val="none"/>
        </w:rPr>
        <w:t xml:space="preserve">2.3.1 </w:t>
      </w:r>
      <w:r>
        <w:rPr>
          <w:rFonts w:hint="eastAsia" w:ascii="Times New Roman" w:hAnsi="Times New Roman"/>
          <w:color w:val="auto"/>
          <w:sz w:val="24"/>
          <w:highlight w:val="none"/>
        </w:rPr>
        <w:t>在投标截止时间15天前，招标人可以修改招标文件，并在公共资源交易平台中发布。如果修改招标文件的时间距投标截止时间不足 15 天，相应延长投标截止时间</w:t>
      </w:r>
      <w:r>
        <w:rPr>
          <w:rFonts w:hint="eastAsia"/>
          <w:color w:val="auto"/>
          <w:sz w:val="24"/>
          <w:highlight w:val="none"/>
        </w:rPr>
        <w:t xml:space="preserve">。 </w:t>
      </w:r>
    </w:p>
    <w:p>
      <w:pPr>
        <w:spacing w:line="360" w:lineRule="auto"/>
        <w:ind w:firstLine="480" w:firstLineChars="200"/>
        <w:rPr>
          <w:color w:val="auto"/>
          <w:sz w:val="24"/>
          <w:highlight w:val="none"/>
        </w:rPr>
      </w:pPr>
      <w:r>
        <w:rPr>
          <w:rFonts w:hint="eastAsia"/>
          <w:color w:val="auto"/>
          <w:sz w:val="24"/>
          <w:highlight w:val="none"/>
        </w:rPr>
        <w:t>2.3.2 投标人收到修改的确认：见投标人须知前附表。</w:t>
      </w:r>
    </w:p>
    <w:p>
      <w:pPr>
        <w:pStyle w:val="3"/>
        <w:spacing w:line="360" w:lineRule="auto"/>
        <w:rPr>
          <w:rFonts w:ascii="Times New Roman" w:hAnsi="Times New Roman"/>
          <w:color w:val="auto"/>
          <w:sz w:val="24"/>
          <w:szCs w:val="24"/>
          <w:highlight w:val="none"/>
        </w:rPr>
      </w:pPr>
      <w:bookmarkStart w:id="176" w:name="_Toc247513970"/>
      <w:bookmarkStart w:id="177" w:name="_Toc152042322"/>
      <w:bookmarkStart w:id="178" w:name="_Toc300834967"/>
      <w:bookmarkStart w:id="179" w:name="_Toc247527571"/>
      <w:bookmarkStart w:id="180" w:name="_Toc152045546"/>
      <w:bookmarkStart w:id="181" w:name="_Toc144974514"/>
      <w:r>
        <w:rPr>
          <w:rFonts w:hint="eastAsia" w:ascii="Times New Roman" w:hAnsi="Times New Roman"/>
          <w:color w:val="auto"/>
          <w:sz w:val="24"/>
          <w:szCs w:val="24"/>
          <w:highlight w:val="none"/>
        </w:rPr>
        <w:t>3. 投标文件</w:t>
      </w:r>
      <w:bookmarkEnd w:id="176"/>
      <w:bookmarkEnd w:id="177"/>
      <w:bookmarkEnd w:id="178"/>
      <w:bookmarkEnd w:id="179"/>
      <w:bookmarkEnd w:id="180"/>
      <w:bookmarkEnd w:id="181"/>
    </w:p>
    <w:p>
      <w:pPr>
        <w:pStyle w:val="4"/>
        <w:spacing w:line="360" w:lineRule="auto"/>
        <w:ind w:firstLine="118"/>
        <w:rPr>
          <w:rFonts w:ascii="Times New Roman" w:hAnsi="Times New Roman"/>
          <w:color w:val="auto"/>
          <w:sz w:val="24"/>
          <w:szCs w:val="24"/>
          <w:highlight w:val="none"/>
        </w:rPr>
      </w:pPr>
      <w:bookmarkStart w:id="182" w:name="_Toc144974515"/>
      <w:bookmarkStart w:id="183" w:name="_Toc152045547"/>
      <w:bookmarkStart w:id="184" w:name="_Toc300834968"/>
      <w:bookmarkStart w:id="185" w:name="_Toc247513971"/>
      <w:bookmarkStart w:id="186" w:name="_Toc247527572"/>
      <w:bookmarkStart w:id="187" w:name="_Toc152042323"/>
      <w:r>
        <w:rPr>
          <w:rFonts w:hint="eastAsia" w:ascii="Times New Roman" w:hAnsi="Times New Roman"/>
          <w:color w:val="auto"/>
          <w:sz w:val="24"/>
          <w:szCs w:val="24"/>
          <w:highlight w:val="none"/>
        </w:rPr>
        <w:t>3.1 投标文件的组成</w:t>
      </w:r>
      <w:bookmarkEnd w:id="182"/>
      <w:bookmarkEnd w:id="183"/>
      <w:bookmarkEnd w:id="184"/>
      <w:bookmarkEnd w:id="185"/>
      <w:bookmarkEnd w:id="186"/>
      <w:bookmarkEnd w:id="187"/>
    </w:p>
    <w:p>
      <w:pPr>
        <w:spacing w:line="360" w:lineRule="auto"/>
        <w:rPr>
          <w:color w:val="auto"/>
          <w:sz w:val="24"/>
          <w:highlight w:val="none"/>
        </w:rPr>
      </w:pPr>
      <w:r>
        <w:rPr>
          <w:rFonts w:hint="eastAsia"/>
          <w:color w:val="auto"/>
          <w:sz w:val="24"/>
          <w:highlight w:val="none"/>
        </w:rPr>
        <w:t>　　3.1.1 投标文件应包括下列内容：</w:t>
      </w:r>
    </w:p>
    <w:p>
      <w:pPr>
        <w:spacing w:line="360" w:lineRule="auto"/>
        <w:ind w:firstLine="410" w:firstLineChars="171"/>
        <w:rPr>
          <w:color w:val="auto"/>
          <w:sz w:val="24"/>
          <w:highlight w:val="none"/>
        </w:rPr>
      </w:pPr>
      <w:r>
        <w:rPr>
          <w:rFonts w:hint="eastAsia"/>
          <w:color w:val="auto"/>
          <w:sz w:val="24"/>
          <w:highlight w:val="none"/>
        </w:rPr>
        <w:t>（1）投标函及投标函附录；</w:t>
      </w:r>
    </w:p>
    <w:p>
      <w:pPr>
        <w:spacing w:line="360" w:lineRule="auto"/>
        <w:ind w:firstLine="410" w:firstLineChars="171"/>
        <w:rPr>
          <w:color w:val="auto"/>
          <w:sz w:val="24"/>
          <w:highlight w:val="none"/>
        </w:rPr>
      </w:pPr>
      <w:r>
        <w:rPr>
          <w:rFonts w:hint="eastAsia"/>
          <w:color w:val="auto"/>
          <w:sz w:val="24"/>
          <w:highlight w:val="none"/>
        </w:rPr>
        <w:t>（2）法定代表人身份证明或附有法定代表人身份证明的授权委托书；</w:t>
      </w:r>
    </w:p>
    <w:p>
      <w:pPr>
        <w:spacing w:line="360" w:lineRule="auto"/>
        <w:ind w:firstLine="410" w:firstLineChars="171"/>
        <w:rPr>
          <w:color w:val="auto"/>
          <w:sz w:val="24"/>
          <w:highlight w:val="none"/>
        </w:rPr>
      </w:pPr>
      <w:r>
        <w:rPr>
          <w:rFonts w:hint="eastAsia"/>
          <w:color w:val="auto"/>
          <w:sz w:val="24"/>
          <w:highlight w:val="none"/>
        </w:rPr>
        <w:t>（3）联合体协议书；</w:t>
      </w:r>
    </w:p>
    <w:p>
      <w:pPr>
        <w:spacing w:line="360" w:lineRule="auto"/>
        <w:ind w:firstLine="410" w:firstLineChars="171"/>
        <w:rPr>
          <w:rFonts w:hint="eastAsia"/>
          <w:color w:val="auto"/>
          <w:sz w:val="24"/>
          <w:highlight w:val="none"/>
        </w:rPr>
      </w:pPr>
      <w:r>
        <w:rPr>
          <w:rFonts w:hint="eastAsia"/>
          <w:color w:val="auto"/>
          <w:sz w:val="24"/>
          <w:highlight w:val="none"/>
        </w:rPr>
        <w:t>（4）投标保证金；</w:t>
      </w:r>
    </w:p>
    <w:p>
      <w:pPr>
        <w:spacing w:line="360" w:lineRule="auto"/>
        <w:ind w:firstLine="410" w:firstLineChars="171"/>
        <w:rPr>
          <w:color w:val="auto"/>
          <w:sz w:val="24"/>
          <w:highlight w:val="none"/>
        </w:rPr>
      </w:pPr>
      <w:r>
        <w:rPr>
          <w:rFonts w:hint="eastAsia"/>
          <w:color w:val="auto"/>
          <w:sz w:val="24"/>
          <w:highlight w:val="none"/>
        </w:rPr>
        <w:t>（5）价格清单；</w:t>
      </w:r>
    </w:p>
    <w:p>
      <w:pPr>
        <w:spacing w:line="360" w:lineRule="auto"/>
        <w:ind w:firstLine="410" w:firstLineChars="171"/>
        <w:rPr>
          <w:rFonts w:hint="eastAsia"/>
          <w:color w:val="auto"/>
          <w:sz w:val="24"/>
          <w:highlight w:val="none"/>
        </w:rPr>
      </w:pPr>
      <w:r>
        <w:rPr>
          <w:rFonts w:hint="eastAsia"/>
          <w:color w:val="auto"/>
          <w:sz w:val="24"/>
          <w:highlight w:val="none"/>
        </w:rPr>
        <w:t>（6）承包人建议书；</w:t>
      </w:r>
    </w:p>
    <w:p>
      <w:pPr>
        <w:spacing w:line="360" w:lineRule="auto"/>
        <w:ind w:firstLine="410" w:firstLineChars="171"/>
        <w:rPr>
          <w:rFonts w:hint="eastAsia"/>
          <w:color w:val="auto"/>
          <w:sz w:val="24"/>
          <w:highlight w:val="none"/>
        </w:rPr>
      </w:pPr>
      <w:r>
        <w:rPr>
          <w:rFonts w:hint="eastAsia"/>
          <w:color w:val="auto"/>
          <w:sz w:val="24"/>
          <w:highlight w:val="none"/>
        </w:rPr>
        <w:t>（7）承包人实施</w:t>
      </w:r>
      <w:r>
        <w:rPr>
          <w:rFonts w:hint="eastAsia"/>
          <w:color w:val="auto"/>
          <w:sz w:val="24"/>
          <w:highlight w:val="none"/>
          <w:lang w:eastAsia="zh-CN"/>
        </w:rPr>
        <w:t>方案</w:t>
      </w:r>
      <w:r>
        <w:rPr>
          <w:rFonts w:hint="eastAsia"/>
          <w:color w:val="auto"/>
          <w:sz w:val="24"/>
          <w:highlight w:val="none"/>
        </w:rPr>
        <w:t>；</w:t>
      </w:r>
    </w:p>
    <w:p>
      <w:pPr>
        <w:spacing w:line="360" w:lineRule="auto"/>
        <w:ind w:firstLine="410" w:firstLineChars="171"/>
        <w:rPr>
          <w:color w:val="auto"/>
          <w:sz w:val="24"/>
          <w:highlight w:val="none"/>
        </w:rPr>
      </w:pPr>
      <w:r>
        <w:rPr>
          <w:rFonts w:hint="eastAsia"/>
          <w:color w:val="auto"/>
          <w:sz w:val="24"/>
          <w:highlight w:val="none"/>
        </w:rPr>
        <w:t>（8）资格审查资料；</w:t>
      </w:r>
    </w:p>
    <w:p>
      <w:pPr>
        <w:spacing w:line="360" w:lineRule="auto"/>
        <w:ind w:firstLine="410" w:firstLineChars="171"/>
        <w:rPr>
          <w:color w:val="auto"/>
          <w:sz w:val="24"/>
          <w:highlight w:val="none"/>
        </w:rPr>
      </w:pPr>
      <w:r>
        <w:rPr>
          <w:rFonts w:hint="eastAsia"/>
          <w:color w:val="auto"/>
          <w:sz w:val="24"/>
          <w:highlight w:val="none"/>
        </w:rPr>
        <w:t>（9）投标人须知前附表规定的其他资料。</w:t>
      </w:r>
    </w:p>
    <w:p>
      <w:pPr>
        <w:spacing w:line="360" w:lineRule="auto"/>
        <w:ind w:firstLine="410" w:firstLineChars="171"/>
        <w:rPr>
          <w:color w:val="auto"/>
          <w:sz w:val="24"/>
          <w:highlight w:val="none"/>
        </w:rPr>
      </w:pPr>
      <w:r>
        <w:rPr>
          <w:rFonts w:hint="eastAsia"/>
          <w:color w:val="auto"/>
          <w:sz w:val="24"/>
          <w:highlight w:val="none"/>
        </w:rPr>
        <w:t xml:space="preserve">3.1.2 投标人须知前附表规定不接受联合体投标的，或投标人没有组成联合体的，投标文件不包括本章第3.1.1（3）目所指的联合体协议书。 </w:t>
      </w:r>
    </w:p>
    <w:p>
      <w:pPr>
        <w:pStyle w:val="4"/>
        <w:spacing w:line="360" w:lineRule="auto"/>
        <w:ind w:firstLine="118"/>
        <w:rPr>
          <w:rFonts w:ascii="Times New Roman" w:hAnsi="Times New Roman"/>
          <w:color w:val="auto"/>
          <w:sz w:val="24"/>
          <w:szCs w:val="24"/>
          <w:highlight w:val="none"/>
        </w:rPr>
      </w:pPr>
      <w:bookmarkStart w:id="188" w:name="_Toc247527573"/>
      <w:bookmarkStart w:id="189" w:name="_Toc152042324"/>
      <w:bookmarkStart w:id="190" w:name="_Toc144974516"/>
      <w:bookmarkStart w:id="191" w:name="_Toc247513972"/>
      <w:bookmarkStart w:id="192" w:name="_Toc152045548"/>
      <w:bookmarkStart w:id="193" w:name="_Toc300834969"/>
      <w:r>
        <w:rPr>
          <w:rFonts w:hint="eastAsia" w:ascii="Times New Roman" w:hAnsi="Times New Roman"/>
          <w:color w:val="auto"/>
          <w:sz w:val="24"/>
          <w:szCs w:val="24"/>
          <w:highlight w:val="none"/>
        </w:rPr>
        <w:t>3.2 投标报价</w:t>
      </w:r>
      <w:bookmarkEnd w:id="188"/>
      <w:bookmarkEnd w:id="189"/>
      <w:bookmarkEnd w:id="190"/>
      <w:bookmarkEnd w:id="191"/>
      <w:bookmarkEnd w:id="192"/>
      <w:bookmarkEnd w:id="193"/>
      <w:r>
        <w:rPr>
          <w:rFonts w:hint="eastAsia" w:ascii="Times New Roman" w:hAnsi="Times New Roman"/>
          <w:color w:val="auto"/>
          <w:sz w:val="24"/>
          <w:szCs w:val="24"/>
          <w:highlight w:val="none"/>
        </w:rPr>
        <w:t xml:space="preserve"> </w:t>
      </w:r>
    </w:p>
    <w:p>
      <w:pPr>
        <w:spacing w:line="360" w:lineRule="auto"/>
        <w:ind w:firstLine="480" w:firstLineChars="200"/>
        <w:rPr>
          <w:rFonts w:hint="eastAsia"/>
          <w:color w:val="auto"/>
          <w:sz w:val="24"/>
          <w:highlight w:val="none"/>
        </w:rPr>
      </w:pPr>
      <w:r>
        <w:rPr>
          <w:rFonts w:hint="eastAsia"/>
          <w:color w:val="auto"/>
          <w:sz w:val="24"/>
          <w:highlight w:val="none"/>
        </w:rPr>
        <w:t>3.2.1 投标人应按第七章“投标文件格式”的要求填写价格清单。</w:t>
      </w:r>
    </w:p>
    <w:p>
      <w:pPr>
        <w:spacing w:line="360" w:lineRule="auto"/>
        <w:ind w:firstLine="480" w:firstLineChars="200"/>
        <w:rPr>
          <w:rFonts w:hint="eastAsia"/>
          <w:color w:val="auto"/>
          <w:sz w:val="24"/>
          <w:highlight w:val="none"/>
        </w:rPr>
      </w:pPr>
      <w:r>
        <w:rPr>
          <w:rFonts w:hint="eastAsia"/>
          <w:color w:val="auto"/>
          <w:sz w:val="24"/>
          <w:highlight w:val="none"/>
        </w:rPr>
        <w:t>3.2.2 投标人应充分了解施工场地的</w:t>
      </w:r>
      <w:r>
        <w:rPr>
          <w:color w:val="auto"/>
          <w:sz w:val="24"/>
          <w:highlight w:val="none"/>
        </w:rPr>
        <w:t>位置、周边</w:t>
      </w:r>
      <w:r>
        <w:rPr>
          <w:rFonts w:hint="eastAsia"/>
          <w:color w:val="auto"/>
          <w:sz w:val="24"/>
          <w:highlight w:val="none"/>
        </w:rPr>
        <w:t>环境</w:t>
      </w:r>
      <w:r>
        <w:rPr>
          <w:color w:val="auto"/>
          <w:sz w:val="24"/>
          <w:highlight w:val="none"/>
        </w:rPr>
        <w:t>、道路、装卸、保管、安装限制</w:t>
      </w:r>
      <w:r>
        <w:rPr>
          <w:rFonts w:hint="eastAsia"/>
          <w:color w:val="auto"/>
          <w:sz w:val="24"/>
          <w:highlight w:val="none"/>
        </w:rPr>
        <w:t>以</w:t>
      </w:r>
      <w:r>
        <w:rPr>
          <w:color w:val="auto"/>
          <w:sz w:val="24"/>
          <w:highlight w:val="none"/>
        </w:rPr>
        <w:t>及影响</w:t>
      </w:r>
      <w:r>
        <w:rPr>
          <w:rFonts w:hint="eastAsia"/>
          <w:color w:val="auto"/>
          <w:sz w:val="24"/>
          <w:highlight w:val="none"/>
        </w:rPr>
        <w:t>投标报价的其他要素。投标人</w:t>
      </w:r>
      <w:r>
        <w:rPr>
          <w:color w:val="auto"/>
          <w:sz w:val="24"/>
          <w:highlight w:val="none"/>
        </w:rPr>
        <w:t>根据</w:t>
      </w:r>
      <w:r>
        <w:rPr>
          <w:rFonts w:hint="eastAsia"/>
          <w:color w:val="auto"/>
          <w:sz w:val="24"/>
          <w:highlight w:val="none"/>
        </w:rPr>
        <w:t>投标</w:t>
      </w:r>
      <w:r>
        <w:rPr>
          <w:color w:val="auto"/>
          <w:sz w:val="24"/>
          <w:highlight w:val="none"/>
        </w:rPr>
        <w:t>设计</w:t>
      </w:r>
      <w:r>
        <w:rPr>
          <w:rFonts w:hint="eastAsia"/>
          <w:color w:val="auto"/>
          <w:sz w:val="24"/>
          <w:highlight w:val="none"/>
        </w:rPr>
        <w:t>，结合</w:t>
      </w:r>
      <w:r>
        <w:rPr>
          <w:color w:val="auto"/>
          <w:sz w:val="24"/>
          <w:highlight w:val="none"/>
        </w:rPr>
        <w:t>市场情况进行投标报价。</w:t>
      </w:r>
    </w:p>
    <w:p>
      <w:pPr>
        <w:spacing w:line="360" w:lineRule="auto"/>
        <w:ind w:firstLine="480" w:firstLineChars="200"/>
        <w:rPr>
          <w:rFonts w:hint="eastAsia"/>
          <w:color w:val="auto"/>
          <w:sz w:val="24"/>
          <w:highlight w:val="none"/>
        </w:rPr>
      </w:pPr>
      <w:r>
        <w:rPr>
          <w:rFonts w:hint="eastAsia"/>
          <w:color w:val="auto"/>
          <w:sz w:val="24"/>
          <w:highlight w:val="none"/>
        </w:rPr>
        <w:t>3.2.3 投标人在投标截止时间前修改投标函中的投标报价总额，应同时修改投标文件“价格清单”中的相应报价，投标报价总额为各分项金额之和。此修改须符合本章第4.3款的有关要求。</w:t>
      </w:r>
    </w:p>
    <w:p>
      <w:pPr>
        <w:spacing w:line="360" w:lineRule="auto"/>
        <w:ind w:firstLine="480" w:firstLineChars="200"/>
        <w:rPr>
          <w:rFonts w:hint="eastAsia"/>
          <w:color w:val="auto"/>
          <w:sz w:val="24"/>
          <w:highlight w:val="none"/>
        </w:rPr>
      </w:pPr>
      <w:r>
        <w:rPr>
          <w:rFonts w:hint="eastAsia"/>
          <w:color w:val="auto"/>
          <w:sz w:val="24"/>
          <w:highlight w:val="none"/>
        </w:rPr>
        <w:t>3.2.4 招标人设有最高投标限价的，投标人的投标报价不得超过最高投标限价，最高投标限价或其计算方法在投标人须知前附表中载明。</w:t>
      </w:r>
    </w:p>
    <w:p>
      <w:pPr>
        <w:spacing w:line="360" w:lineRule="auto"/>
        <w:ind w:firstLine="480" w:firstLineChars="200"/>
        <w:rPr>
          <w:color w:val="auto"/>
          <w:sz w:val="24"/>
          <w:highlight w:val="none"/>
        </w:rPr>
      </w:pPr>
      <w:r>
        <w:rPr>
          <w:rFonts w:hint="eastAsia"/>
          <w:color w:val="auto"/>
          <w:sz w:val="24"/>
          <w:highlight w:val="none"/>
        </w:rPr>
        <w:t>3.2.5 投标报价的其他要求见投标人须知前附表。</w:t>
      </w:r>
    </w:p>
    <w:p>
      <w:pPr>
        <w:pStyle w:val="4"/>
        <w:spacing w:line="360" w:lineRule="auto"/>
        <w:ind w:firstLine="118"/>
        <w:rPr>
          <w:rFonts w:ascii="Times New Roman" w:hAnsi="Times New Roman"/>
          <w:color w:val="auto"/>
          <w:sz w:val="24"/>
          <w:szCs w:val="24"/>
          <w:highlight w:val="none"/>
        </w:rPr>
      </w:pPr>
      <w:bookmarkStart w:id="194" w:name="_Toc247527574"/>
      <w:bookmarkStart w:id="195" w:name="_Toc144974517"/>
      <w:bookmarkStart w:id="196" w:name="_Toc300834970"/>
      <w:bookmarkStart w:id="197" w:name="_Toc152045549"/>
      <w:bookmarkStart w:id="198" w:name="_Toc247513973"/>
      <w:bookmarkStart w:id="199" w:name="_Toc152042325"/>
      <w:r>
        <w:rPr>
          <w:rFonts w:hint="eastAsia" w:ascii="Times New Roman" w:hAnsi="Times New Roman"/>
          <w:color w:val="auto"/>
          <w:sz w:val="24"/>
          <w:szCs w:val="24"/>
          <w:highlight w:val="none"/>
        </w:rPr>
        <w:t>3.3 投标有效期</w:t>
      </w:r>
      <w:bookmarkEnd w:id="194"/>
      <w:bookmarkEnd w:id="195"/>
      <w:bookmarkEnd w:id="196"/>
      <w:bookmarkEnd w:id="197"/>
      <w:bookmarkEnd w:id="198"/>
      <w:bookmarkEnd w:id="199"/>
    </w:p>
    <w:p>
      <w:pPr>
        <w:spacing w:line="360" w:lineRule="auto"/>
        <w:ind w:firstLine="480" w:firstLineChars="200"/>
        <w:rPr>
          <w:rFonts w:hint="eastAsia"/>
          <w:color w:val="auto"/>
          <w:sz w:val="24"/>
          <w:highlight w:val="none"/>
        </w:rPr>
      </w:pPr>
      <w:r>
        <w:rPr>
          <w:rFonts w:hint="eastAsia"/>
          <w:color w:val="auto"/>
          <w:sz w:val="24"/>
          <w:highlight w:val="none"/>
        </w:rPr>
        <w:t>3.3.1 除投标人须知前附表另有规定外，投标有效期为120天。</w:t>
      </w:r>
    </w:p>
    <w:p>
      <w:pPr>
        <w:spacing w:line="360" w:lineRule="auto"/>
        <w:ind w:firstLine="480" w:firstLineChars="200"/>
        <w:rPr>
          <w:color w:val="auto"/>
          <w:sz w:val="24"/>
          <w:highlight w:val="none"/>
        </w:rPr>
      </w:pPr>
      <w:r>
        <w:rPr>
          <w:rFonts w:hint="eastAsia"/>
          <w:color w:val="auto"/>
          <w:sz w:val="24"/>
          <w:highlight w:val="none"/>
        </w:rPr>
        <w:t>3.3.2 在投标有效期内，投标人撤销或修改其投标文件的，应承担招标文件和法律规定的责任。</w:t>
      </w:r>
    </w:p>
    <w:p>
      <w:pPr>
        <w:spacing w:line="360" w:lineRule="auto"/>
        <w:ind w:firstLine="480" w:firstLineChars="200"/>
        <w:rPr>
          <w:color w:val="auto"/>
          <w:sz w:val="24"/>
          <w:highlight w:val="none"/>
        </w:rPr>
      </w:pPr>
      <w:r>
        <w:rPr>
          <w:rFonts w:hint="eastAsia"/>
          <w:color w:val="auto"/>
          <w:sz w:val="24"/>
          <w:highlight w:val="none"/>
        </w:rPr>
        <w:t xml:space="preserve">3.3.3 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 </w:t>
      </w:r>
    </w:p>
    <w:p>
      <w:pPr>
        <w:pStyle w:val="4"/>
        <w:spacing w:line="360" w:lineRule="auto"/>
        <w:ind w:firstLine="118"/>
        <w:rPr>
          <w:rFonts w:ascii="Times New Roman" w:hAnsi="Times New Roman"/>
          <w:color w:val="auto"/>
          <w:sz w:val="24"/>
          <w:szCs w:val="24"/>
          <w:highlight w:val="none"/>
        </w:rPr>
      </w:pPr>
      <w:bookmarkStart w:id="200" w:name="_Toc247527575"/>
      <w:bookmarkStart w:id="201" w:name="_Toc300834971"/>
      <w:bookmarkStart w:id="202" w:name="_Toc152045550"/>
      <w:bookmarkStart w:id="203" w:name="_Toc144974518"/>
      <w:bookmarkStart w:id="204" w:name="_Toc247513974"/>
      <w:bookmarkStart w:id="205" w:name="_Toc152042326"/>
      <w:r>
        <w:rPr>
          <w:rFonts w:hint="eastAsia" w:ascii="Times New Roman" w:hAnsi="Times New Roman"/>
          <w:color w:val="auto"/>
          <w:sz w:val="24"/>
          <w:szCs w:val="24"/>
          <w:highlight w:val="none"/>
        </w:rPr>
        <w:t>3.4 投标保证金</w:t>
      </w:r>
      <w:bookmarkEnd w:id="200"/>
      <w:bookmarkEnd w:id="201"/>
      <w:bookmarkEnd w:id="202"/>
      <w:bookmarkEnd w:id="203"/>
      <w:bookmarkEnd w:id="204"/>
      <w:bookmarkEnd w:id="205"/>
    </w:p>
    <w:p>
      <w:pPr>
        <w:spacing w:line="360" w:lineRule="auto"/>
        <w:ind w:firstLine="480" w:firstLineChars="200"/>
        <w:rPr>
          <w:color w:val="auto"/>
          <w:sz w:val="24"/>
          <w:highlight w:val="none"/>
        </w:rPr>
      </w:pPr>
      <w:r>
        <w:rPr>
          <w:rFonts w:hint="eastAsia"/>
          <w:color w:val="auto"/>
          <w:sz w:val="24"/>
          <w:highlight w:val="none"/>
        </w:rPr>
        <w:t>3.4.1 投标人在递交投标文件的同时，应按投标人须知前附表规定的金额、担保形式和第七章“投标文件格式”规定的投标保证金格式递交投标保证金，并作为其投标文件的组成部分。联合体投标的，其投标保证金由联合体牵头人递交，并应符合投标人须知前附表的规定。</w:t>
      </w:r>
    </w:p>
    <w:p>
      <w:pPr>
        <w:spacing w:line="360" w:lineRule="auto"/>
        <w:ind w:firstLine="480" w:firstLineChars="200"/>
        <w:rPr>
          <w:color w:val="auto"/>
          <w:sz w:val="24"/>
          <w:highlight w:val="none"/>
        </w:rPr>
      </w:pPr>
      <w:r>
        <w:rPr>
          <w:rFonts w:hint="eastAsia"/>
          <w:color w:val="auto"/>
          <w:sz w:val="24"/>
          <w:highlight w:val="none"/>
        </w:rPr>
        <w:t>3.4.2 投标人不按本章第3.4.1项要求提交投标保证金的，评标委员会将否决其投标。</w:t>
      </w:r>
    </w:p>
    <w:p>
      <w:pPr>
        <w:spacing w:line="360" w:lineRule="auto"/>
        <w:ind w:firstLine="480" w:firstLineChars="200"/>
        <w:rPr>
          <w:color w:val="auto"/>
          <w:sz w:val="24"/>
          <w:highlight w:val="none"/>
        </w:rPr>
      </w:pPr>
      <w:r>
        <w:rPr>
          <w:rFonts w:hint="eastAsia"/>
          <w:color w:val="auto"/>
          <w:sz w:val="24"/>
          <w:highlight w:val="none"/>
        </w:rPr>
        <w:t>3.4.3 招标人最迟应在与中标人签订合同后5日内，向未中标的投标人和中标人退还投标保证金。</w:t>
      </w:r>
    </w:p>
    <w:p>
      <w:pPr>
        <w:spacing w:line="360" w:lineRule="auto"/>
        <w:ind w:firstLine="480" w:firstLineChars="200"/>
        <w:rPr>
          <w:color w:val="auto"/>
          <w:sz w:val="24"/>
          <w:highlight w:val="none"/>
        </w:rPr>
      </w:pPr>
      <w:r>
        <w:rPr>
          <w:rFonts w:hint="eastAsia"/>
          <w:color w:val="auto"/>
          <w:sz w:val="24"/>
          <w:highlight w:val="none"/>
        </w:rPr>
        <w:t xml:space="preserve">3.4.4 有下列情形之一的，投标保证金将不予退还： </w:t>
      </w:r>
    </w:p>
    <w:p>
      <w:pPr>
        <w:spacing w:line="360" w:lineRule="auto"/>
        <w:ind w:firstLine="360" w:firstLineChars="150"/>
        <w:rPr>
          <w:color w:val="auto"/>
          <w:sz w:val="24"/>
          <w:highlight w:val="none"/>
        </w:rPr>
      </w:pPr>
      <w:r>
        <w:rPr>
          <w:rFonts w:hint="eastAsia"/>
          <w:color w:val="auto"/>
          <w:sz w:val="24"/>
          <w:highlight w:val="none"/>
        </w:rPr>
        <w:t>（1）投标人在规定的投标有效期内撤销投标文件；</w:t>
      </w:r>
    </w:p>
    <w:p>
      <w:pPr>
        <w:spacing w:line="360" w:lineRule="auto"/>
        <w:ind w:firstLine="360" w:firstLineChars="150"/>
        <w:rPr>
          <w:color w:val="auto"/>
          <w:sz w:val="24"/>
          <w:highlight w:val="none"/>
        </w:rPr>
      </w:pPr>
      <w:r>
        <w:rPr>
          <w:rFonts w:hint="eastAsia"/>
          <w:color w:val="auto"/>
          <w:sz w:val="24"/>
          <w:highlight w:val="none"/>
        </w:rPr>
        <w:t>（2）中标人在收到中标通知书后，无正当理由拒签合同或未按招标文件规定提交履约担保。</w:t>
      </w:r>
    </w:p>
    <w:p>
      <w:pPr>
        <w:pStyle w:val="4"/>
        <w:spacing w:line="360" w:lineRule="auto"/>
        <w:ind w:firstLine="118"/>
        <w:rPr>
          <w:rFonts w:ascii="Times New Roman" w:hAnsi="Times New Roman"/>
          <w:color w:val="auto"/>
          <w:sz w:val="24"/>
          <w:szCs w:val="24"/>
          <w:highlight w:val="none"/>
        </w:rPr>
      </w:pPr>
      <w:bookmarkStart w:id="206" w:name="_Toc152042327"/>
      <w:bookmarkStart w:id="207" w:name="_Toc247513975"/>
      <w:bookmarkStart w:id="208" w:name="_Toc144974519"/>
      <w:bookmarkStart w:id="209" w:name="_Toc152045551"/>
      <w:bookmarkStart w:id="210" w:name="_Toc247527576"/>
      <w:bookmarkStart w:id="211" w:name="_Toc300834972"/>
      <w:r>
        <w:rPr>
          <w:rFonts w:hint="eastAsia" w:ascii="Times New Roman" w:hAnsi="Times New Roman"/>
          <w:color w:val="auto"/>
          <w:sz w:val="24"/>
          <w:szCs w:val="24"/>
          <w:highlight w:val="none"/>
        </w:rPr>
        <w:t>3.5 资格审查资料（适用于已进行资格预审的）</w:t>
      </w:r>
      <w:bookmarkEnd w:id="206"/>
      <w:bookmarkEnd w:id="207"/>
      <w:bookmarkEnd w:id="208"/>
      <w:bookmarkEnd w:id="209"/>
      <w:bookmarkEnd w:id="210"/>
      <w:bookmarkEnd w:id="211"/>
    </w:p>
    <w:p>
      <w:pPr>
        <w:spacing w:line="360" w:lineRule="auto"/>
        <w:ind w:firstLine="480" w:firstLineChars="200"/>
        <w:rPr>
          <w:color w:val="auto"/>
          <w:sz w:val="24"/>
          <w:highlight w:val="none"/>
        </w:rPr>
      </w:pPr>
      <w:r>
        <w:rPr>
          <w:rFonts w:hint="eastAsia"/>
          <w:color w:val="auto"/>
          <w:sz w:val="24"/>
          <w:highlight w:val="none"/>
        </w:rPr>
        <w:t>投标人在递交投标文件前，发生可能影响其投标资格的新情况的，应更新或补充其在申请资格预审时提供的资料，以证实其各项资格条件仍能继续满足资格预审文件的要求，且没有实质性降低。</w:t>
      </w:r>
    </w:p>
    <w:p>
      <w:pPr>
        <w:pStyle w:val="4"/>
        <w:spacing w:line="360" w:lineRule="auto"/>
        <w:ind w:firstLine="118"/>
        <w:rPr>
          <w:rFonts w:ascii="Times New Roman" w:hAnsi="Times New Roman"/>
          <w:color w:val="auto"/>
          <w:sz w:val="24"/>
          <w:szCs w:val="24"/>
          <w:highlight w:val="none"/>
        </w:rPr>
      </w:pPr>
      <w:bookmarkStart w:id="212" w:name="_Toc247513976"/>
      <w:bookmarkStart w:id="213" w:name="_Toc152042328"/>
      <w:bookmarkStart w:id="214" w:name="_Toc152045552"/>
      <w:bookmarkStart w:id="215" w:name="_Toc300834973"/>
      <w:bookmarkStart w:id="216" w:name="_Toc247527577"/>
      <w:bookmarkStart w:id="217" w:name="_Toc144974520"/>
      <w:r>
        <w:rPr>
          <w:rFonts w:hint="eastAsia" w:ascii="Times New Roman" w:hAnsi="Times New Roman"/>
          <w:color w:val="auto"/>
          <w:sz w:val="24"/>
          <w:szCs w:val="24"/>
          <w:highlight w:val="none"/>
        </w:rPr>
        <w:t>3.5 资格审查资料（适用于未进行资格预审的）</w:t>
      </w:r>
      <w:bookmarkEnd w:id="212"/>
      <w:bookmarkEnd w:id="213"/>
      <w:bookmarkEnd w:id="214"/>
      <w:bookmarkEnd w:id="215"/>
      <w:bookmarkEnd w:id="216"/>
      <w:bookmarkEnd w:id="217"/>
    </w:p>
    <w:p>
      <w:pPr>
        <w:spacing w:line="360" w:lineRule="auto"/>
        <w:ind w:firstLine="480" w:firstLineChars="200"/>
        <w:rPr>
          <w:color w:val="auto"/>
          <w:sz w:val="24"/>
          <w:highlight w:val="none"/>
        </w:rPr>
      </w:pPr>
      <w:r>
        <w:rPr>
          <w:rFonts w:hint="eastAsia"/>
          <w:color w:val="auto"/>
          <w:sz w:val="24"/>
          <w:highlight w:val="none"/>
        </w:rPr>
        <w:t>3.5.1 “投标人基本情况表”应附投标人营业执照副本、资质证书副本和施工单位的安全生产许可证等材料的扫描件。</w:t>
      </w:r>
    </w:p>
    <w:p>
      <w:pPr>
        <w:spacing w:line="360" w:lineRule="auto"/>
        <w:ind w:firstLine="480" w:firstLineChars="200"/>
        <w:rPr>
          <w:color w:val="auto"/>
          <w:sz w:val="24"/>
          <w:highlight w:val="none"/>
        </w:rPr>
      </w:pPr>
      <w:r>
        <w:rPr>
          <w:rFonts w:hint="eastAsia"/>
          <w:color w:val="auto"/>
          <w:sz w:val="24"/>
          <w:highlight w:val="none"/>
        </w:rPr>
        <w:t>3.5.2 “近年财务状况表”应附经会计师事务所或审计机构审计的财务会计报表，包括资产负债表、现金流量表、利润表和财务情况说明书等扫描件，具体年份要求见投标人须知前附表。</w:t>
      </w:r>
    </w:p>
    <w:p>
      <w:pPr>
        <w:spacing w:line="360" w:lineRule="auto"/>
        <w:ind w:firstLine="480" w:firstLineChars="200"/>
        <w:rPr>
          <w:color w:val="auto"/>
          <w:sz w:val="24"/>
          <w:highlight w:val="none"/>
        </w:rPr>
      </w:pPr>
      <w:r>
        <w:rPr>
          <w:rFonts w:hint="eastAsia"/>
          <w:color w:val="auto"/>
          <w:sz w:val="24"/>
          <w:highlight w:val="none"/>
        </w:rPr>
        <w:t xml:space="preserve">3.5.3 </w:t>
      </w:r>
      <w:r>
        <w:rPr>
          <w:rFonts w:hint="eastAsia"/>
          <w:color w:val="auto"/>
          <w:highlight w:val="none"/>
        </w:rPr>
        <w:t>“</w:t>
      </w:r>
      <w:r>
        <w:rPr>
          <w:rFonts w:hint="eastAsia" w:ascii="Times New Roman" w:hAnsi="Times New Roman" w:cs="宋体"/>
          <w:color w:val="auto"/>
          <w:sz w:val="24"/>
          <w:highlight w:val="none"/>
        </w:rPr>
        <w:t>近年完成的类似设计施工总承包项目”应附合同协议书、工程接收证书（工程竣工验收证书）扫描件；或“近年完成的类似工程设计项目”应附合同协议书、发包人出具的证明文件扫描件；或“近年完成的类似施工项目”应附合同协议书、工程接收证书（工程竣工验收证书）扫描件；或“近年完成的类似工程总承包项目”应附合同协议书、工程接收证书（工程竣工验收证书）扫描件。</w:t>
      </w:r>
      <w:r>
        <w:rPr>
          <w:rFonts w:hint="eastAsia"/>
          <w:color w:val="auto"/>
          <w:sz w:val="24"/>
          <w:highlight w:val="none"/>
        </w:rPr>
        <w:t>具体年份要求见投标人须知前附表，每张表格只填写一个项目，并标明序号。</w:t>
      </w:r>
    </w:p>
    <w:p>
      <w:pPr>
        <w:spacing w:line="360" w:lineRule="auto"/>
        <w:ind w:firstLine="480" w:firstLineChars="200"/>
        <w:rPr>
          <w:color w:val="auto"/>
          <w:sz w:val="24"/>
          <w:highlight w:val="none"/>
        </w:rPr>
      </w:pPr>
      <w:r>
        <w:rPr>
          <w:rFonts w:hint="eastAsia"/>
          <w:color w:val="auto"/>
          <w:sz w:val="24"/>
          <w:highlight w:val="none"/>
        </w:rPr>
        <w:t>3.5.4 “正在设计（施工、实施工程总承包）和新承接的项目情况表”应附合同协议书扫描件。每张表格只填写一个项目，并标明序号。</w:t>
      </w:r>
    </w:p>
    <w:p>
      <w:pPr>
        <w:spacing w:line="360" w:lineRule="auto"/>
        <w:ind w:firstLine="480" w:firstLineChars="200"/>
        <w:rPr>
          <w:color w:val="auto"/>
          <w:sz w:val="24"/>
          <w:highlight w:val="none"/>
        </w:rPr>
      </w:pPr>
      <w:r>
        <w:rPr>
          <w:rFonts w:hint="eastAsia"/>
          <w:color w:val="auto"/>
          <w:sz w:val="24"/>
          <w:highlight w:val="none"/>
        </w:rPr>
        <w:t>3.5.5 “近年发生的重大诉讼及仲裁情况”应说明相关情况，并附法院或仲裁机构作出的判决、裁决等有关法律文书扫描件，具体年份要求见投标人须知前附表。</w:t>
      </w:r>
    </w:p>
    <w:p>
      <w:pPr>
        <w:spacing w:line="360" w:lineRule="auto"/>
        <w:ind w:firstLine="480" w:firstLineChars="200"/>
        <w:rPr>
          <w:color w:val="auto"/>
          <w:sz w:val="24"/>
          <w:highlight w:val="none"/>
        </w:rPr>
      </w:pPr>
      <w:r>
        <w:rPr>
          <w:rFonts w:hint="eastAsia"/>
          <w:color w:val="auto"/>
          <w:sz w:val="24"/>
          <w:highlight w:val="none"/>
        </w:rPr>
        <w:t>3.5.6 投标人须知前附表规定接受联合体投标的，本章第3.5.1项至第3.5.5项规定的表格和资料应包括联合体各方相关情况。</w:t>
      </w:r>
    </w:p>
    <w:p>
      <w:pPr>
        <w:pStyle w:val="4"/>
        <w:spacing w:line="360" w:lineRule="auto"/>
        <w:ind w:firstLine="118"/>
        <w:rPr>
          <w:rFonts w:ascii="Times New Roman" w:hAnsi="Times New Roman"/>
          <w:color w:val="auto"/>
          <w:sz w:val="24"/>
          <w:szCs w:val="24"/>
          <w:highlight w:val="none"/>
        </w:rPr>
      </w:pPr>
      <w:bookmarkStart w:id="218" w:name="_Toc247527578"/>
      <w:bookmarkStart w:id="219" w:name="_Toc152045553"/>
      <w:bookmarkStart w:id="220" w:name="_Toc152042329"/>
      <w:bookmarkStart w:id="221" w:name="_Toc144974521"/>
      <w:bookmarkStart w:id="222" w:name="_Toc300834974"/>
      <w:bookmarkStart w:id="223" w:name="_Toc247513977"/>
      <w:r>
        <w:rPr>
          <w:rFonts w:hint="eastAsia" w:ascii="Times New Roman" w:hAnsi="Times New Roman"/>
          <w:color w:val="auto"/>
          <w:sz w:val="24"/>
          <w:szCs w:val="24"/>
          <w:highlight w:val="none"/>
        </w:rPr>
        <w:t>3.6 备选投标方案</w:t>
      </w:r>
      <w:bookmarkEnd w:id="218"/>
      <w:bookmarkEnd w:id="219"/>
      <w:bookmarkEnd w:id="220"/>
      <w:bookmarkEnd w:id="221"/>
      <w:bookmarkEnd w:id="222"/>
      <w:bookmarkEnd w:id="223"/>
    </w:p>
    <w:p>
      <w:pPr>
        <w:spacing w:line="360" w:lineRule="auto"/>
        <w:ind w:firstLine="480" w:firstLineChars="200"/>
        <w:rPr>
          <w:color w:val="auto"/>
          <w:sz w:val="24"/>
          <w:highlight w:val="none"/>
        </w:rPr>
      </w:pPr>
      <w:r>
        <w:rPr>
          <w:rFonts w:hint="eastAsia"/>
          <w:color w:val="auto"/>
          <w:sz w:val="24"/>
          <w:highlight w:val="none"/>
        </w:rPr>
        <w:t>除投标人须知前附表另有规定外，投标人不得递交备选投标方案。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4"/>
        <w:spacing w:line="360" w:lineRule="auto"/>
        <w:ind w:firstLine="118"/>
        <w:rPr>
          <w:rFonts w:ascii="Times New Roman" w:hAnsi="Times New Roman"/>
          <w:color w:val="auto"/>
          <w:sz w:val="24"/>
          <w:szCs w:val="24"/>
          <w:highlight w:val="none"/>
        </w:rPr>
      </w:pPr>
      <w:bookmarkStart w:id="224" w:name="_Toc247513978"/>
      <w:bookmarkStart w:id="225" w:name="_Toc152045554"/>
      <w:bookmarkStart w:id="226" w:name="_Toc300834975"/>
      <w:bookmarkStart w:id="227" w:name="_Toc247527579"/>
      <w:bookmarkStart w:id="228" w:name="_Toc144974522"/>
      <w:bookmarkStart w:id="229" w:name="_Toc152042330"/>
      <w:r>
        <w:rPr>
          <w:rFonts w:hint="eastAsia" w:ascii="Times New Roman" w:hAnsi="Times New Roman"/>
          <w:color w:val="auto"/>
          <w:sz w:val="24"/>
          <w:szCs w:val="24"/>
          <w:highlight w:val="none"/>
        </w:rPr>
        <w:t>3.7 投标文件的编制</w:t>
      </w:r>
      <w:bookmarkEnd w:id="224"/>
      <w:bookmarkEnd w:id="225"/>
      <w:bookmarkEnd w:id="226"/>
      <w:bookmarkEnd w:id="227"/>
      <w:bookmarkEnd w:id="228"/>
      <w:bookmarkEnd w:id="229"/>
    </w:p>
    <w:p>
      <w:pPr>
        <w:spacing w:line="360" w:lineRule="auto"/>
        <w:ind w:firstLine="424" w:firstLineChars="177"/>
        <w:rPr>
          <w:rFonts w:ascii="Times New Roman" w:hAnsi="Times New Roman"/>
          <w:color w:val="auto"/>
          <w:sz w:val="24"/>
          <w:highlight w:val="none"/>
        </w:rPr>
      </w:pPr>
      <w:bookmarkStart w:id="230" w:name="_Toc247513979"/>
      <w:bookmarkStart w:id="231" w:name="_Toc247527580"/>
      <w:bookmarkStart w:id="232" w:name="_Toc152045555"/>
      <w:bookmarkStart w:id="233" w:name="_Toc300834976"/>
      <w:bookmarkStart w:id="234" w:name="_Toc152042331"/>
      <w:bookmarkStart w:id="235" w:name="_Toc144974523"/>
      <w:r>
        <w:rPr>
          <w:rFonts w:hint="eastAsia" w:ascii="Times New Roman" w:hAnsi="Times New Roman"/>
          <w:color w:val="auto"/>
          <w:sz w:val="24"/>
          <w:highlight w:val="none"/>
        </w:rPr>
        <w:t>3.7.1 投标文件</w:t>
      </w:r>
      <w:r>
        <w:rPr>
          <w:rFonts w:ascii="Times New Roman" w:hAnsi="Times New Roman"/>
          <w:color w:val="auto"/>
          <w:sz w:val="24"/>
          <w:highlight w:val="none"/>
        </w:rPr>
        <w:t>格式的具体要求见投标人须知前附表</w:t>
      </w:r>
      <w:r>
        <w:rPr>
          <w:rFonts w:hint="eastAsia" w:ascii="Times New Roman" w:hAnsi="Times New Roman"/>
          <w:color w:val="auto"/>
          <w:sz w:val="24"/>
          <w:highlight w:val="none"/>
        </w:rPr>
        <w:t>。</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3.7.2 投标文件应当对招标文件有关工期、投标有效期、质量要求、技术标准和要求、招标范围等实质性内容作出响应。</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3.7.3 签字或盖章的具体要求见投标人须知前附表。</w:t>
      </w:r>
    </w:p>
    <w:p>
      <w:pPr>
        <w:pStyle w:val="3"/>
        <w:spacing w:line="360" w:lineRule="auto"/>
        <w:rPr>
          <w:rFonts w:hint="eastAsia" w:ascii="Times New Roman" w:hAnsi="Times New Roman"/>
          <w:color w:val="auto"/>
          <w:sz w:val="24"/>
          <w:szCs w:val="24"/>
          <w:highlight w:val="none"/>
        </w:rPr>
      </w:pPr>
      <w:r>
        <w:rPr>
          <w:rFonts w:hint="eastAsia" w:ascii="Times New Roman" w:hAnsi="Times New Roman"/>
          <w:color w:val="auto"/>
          <w:sz w:val="24"/>
          <w:szCs w:val="24"/>
          <w:highlight w:val="none"/>
        </w:rPr>
        <w:t>4. 投标</w:t>
      </w:r>
      <w:bookmarkEnd w:id="230"/>
      <w:bookmarkEnd w:id="231"/>
      <w:bookmarkEnd w:id="232"/>
      <w:bookmarkEnd w:id="233"/>
      <w:bookmarkEnd w:id="234"/>
      <w:bookmarkEnd w:id="235"/>
    </w:p>
    <w:p>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4.1 投标文件加密要求：见投标人须知前附表。</w:t>
      </w:r>
    </w:p>
    <w:p>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4.2  投标文件的递交</w:t>
      </w:r>
    </w:p>
    <w:p>
      <w:pPr>
        <w:pStyle w:val="48"/>
        <w:spacing w:line="360" w:lineRule="auto"/>
        <w:ind w:firstLine="480" w:firstLineChars="200"/>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4.2.1 投标人应在投标人须知前附表规定的投标截止时间前在线递交经投标人数字证书加密的数据电文形式投标文件。</w:t>
      </w:r>
    </w:p>
    <w:p>
      <w:pPr>
        <w:pStyle w:val="48"/>
        <w:spacing w:line="360" w:lineRule="auto"/>
        <w:ind w:firstLine="480" w:firstLineChars="200"/>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4.2.2 投标人递交投标文件的地点：见投标人须知前附表。</w:t>
      </w:r>
    </w:p>
    <w:p>
      <w:pPr>
        <w:pStyle w:val="48"/>
        <w:spacing w:line="360" w:lineRule="auto"/>
        <w:ind w:firstLine="480" w:firstLineChars="200"/>
        <w:rPr>
          <w:rFonts w:hint="eastAsia" w:ascii="Times New Roman" w:hAnsi="Times New Roman"/>
          <w:color w:val="auto"/>
          <w:highlight w:val="none"/>
        </w:rPr>
      </w:pPr>
      <w:r>
        <w:rPr>
          <w:rFonts w:hint="eastAsia" w:ascii="Times New Roman" w:hAnsi="Times New Roman" w:cs="Arial"/>
          <w:color w:val="auto"/>
          <w:sz w:val="24"/>
          <w:szCs w:val="24"/>
          <w:highlight w:val="none"/>
        </w:rPr>
        <w:t>4.2.3 投标人所递交的投标文件不予退还。</w:t>
      </w:r>
    </w:p>
    <w:p>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4.3  投标文件的修改与撤回</w:t>
      </w:r>
    </w:p>
    <w:p>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在投标人须知前附表规定的投标截止时间前，投标人可以修改或撤回已递交的数据电文形式投标文件。</w:t>
      </w:r>
    </w:p>
    <w:p>
      <w:pPr>
        <w:pStyle w:val="3"/>
        <w:numPr>
          <w:ilvl w:val="0"/>
          <w:numId w:val="6"/>
        </w:numPr>
        <w:spacing w:line="360" w:lineRule="auto"/>
        <w:rPr>
          <w:rFonts w:hint="eastAsia" w:ascii="Times New Roman" w:hAnsi="Times New Roman"/>
          <w:color w:val="auto"/>
          <w:sz w:val="24"/>
          <w:szCs w:val="24"/>
          <w:highlight w:val="none"/>
        </w:rPr>
      </w:pPr>
      <w:bookmarkStart w:id="236" w:name="_Toc300834980"/>
      <w:bookmarkStart w:id="237" w:name="_Toc247527584"/>
      <w:bookmarkStart w:id="238" w:name="_Toc247513983"/>
      <w:bookmarkStart w:id="239" w:name="_Toc152042335"/>
      <w:bookmarkStart w:id="240" w:name="_Toc152045559"/>
      <w:bookmarkStart w:id="241" w:name="_Toc144974527"/>
      <w:r>
        <w:rPr>
          <w:rFonts w:hint="eastAsia" w:ascii="Times New Roman" w:hAnsi="Times New Roman"/>
          <w:color w:val="auto"/>
          <w:sz w:val="24"/>
          <w:szCs w:val="24"/>
          <w:highlight w:val="none"/>
        </w:rPr>
        <w:t>开标</w:t>
      </w:r>
      <w:bookmarkEnd w:id="236"/>
      <w:bookmarkEnd w:id="237"/>
      <w:bookmarkEnd w:id="238"/>
      <w:bookmarkEnd w:id="239"/>
      <w:bookmarkEnd w:id="240"/>
      <w:bookmarkEnd w:id="241"/>
    </w:p>
    <w:p>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5.1  开标时间和地点</w:t>
      </w:r>
    </w:p>
    <w:p>
      <w:pPr>
        <w:pStyle w:val="48"/>
        <w:spacing w:line="360" w:lineRule="auto"/>
        <w:ind w:firstLine="480" w:firstLineChars="200"/>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招标人在投标人须知前附表规定的投标截止时间（开标时间）和投标人须知前附表规定的地点公开开标。</w:t>
      </w:r>
    </w:p>
    <w:p>
      <w:pPr>
        <w:pStyle w:val="48"/>
        <w:spacing w:line="360" w:lineRule="auto"/>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5.2  开标程序</w:t>
      </w:r>
    </w:p>
    <w:p>
      <w:pPr>
        <w:pStyle w:val="48"/>
        <w:spacing w:line="360" w:lineRule="auto"/>
        <w:ind w:firstLine="480" w:firstLineChars="200"/>
        <w:rPr>
          <w:rFonts w:hint="eastAsia" w:ascii="Times New Roman" w:hAnsi="Times New Roman" w:cs="Arial"/>
          <w:color w:val="auto"/>
          <w:sz w:val="24"/>
          <w:szCs w:val="24"/>
          <w:highlight w:val="none"/>
        </w:rPr>
      </w:pPr>
      <w:r>
        <w:rPr>
          <w:rFonts w:hint="eastAsia" w:ascii="Times New Roman" w:hAnsi="Times New Roman" w:cs="Arial"/>
          <w:color w:val="auto"/>
          <w:sz w:val="24"/>
          <w:szCs w:val="24"/>
          <w:highlight w:val="none"/>
        </w:rPr>
        <w:t>按投标人须知前附表规定的程序进行开标。</w:t>
      </w:r>
    </w:p>
    <w:p>
      <w:pPr>
        <w:pStyle w:val="3"/>
        <w:spacing w:line="360" w:lineRule="auto"/>
        <w:rPr>
          <w:rFonts w:ascii="Times New Roman" w:hAnsi="Times New Roman"/>
          <w:color w:val="auto"/>
          <w:sz w:val="24"/>
          <w:szCs w:val="24"/>
          <w:highlight w:val="none"/>
        </w:rPr>
      </w:pPr>
      <w:bookmarkStart w:id="242" w:name="_Toc300834984"/>
      <w:bookmarkStart w:id="243" w:name="_Toc152045562"/>
      <w:bookmarkStart w:id="244" w:name="_Toc247527587"/>
      <w:bookmarkStart w:id="245" w:name="_Toc152042338"/>
      <w:bookmarkStart w:id="246" w:name="_Toc144974530"/>
      <w:bookmarkStart w:id="247" w:name="_Toc247513986"/>
      <w:r>
        <w:rPr>
          <w:rFonts w:hint="eastAsia" w:ascii="Times New Roman" w:hAnsi="Times New Roman"/>
          <w:color w:val="auto"/>
          <w:sz w:val="24"/>
          <w:szCs w:val="24"/>
          <w:highlight w:val="none"/>
        </w:rPr>
        <w:t>6. 评标</w:t>
      </w:r>
      <w:bookmarkEnd w:id="242"/>
      <w:bookmarkEnd w:id="243"/>
      <w:bookmarkEnd w:id="244"/>
      <w:bookmarkEnd w:id="245"/>
      <w:bookmarkEnd w:id="246"/>
      <w:bookmarkEnd w:id="247"/>
    </w:p>
    <w:p>
      <w:pPr>
        <w:pStyle w:val="4"/>
        <w:spacing w:line="360" w:lineRule="auto"/>
        <w:ind w:firstLine="118"/>
        <w:rPr>
          <w:rFonts w:ascii="Times New Roman" w:hAnsi="Times New Roman"/>
          <w:color w:val="auto"/>
          <w:sz w:val="24"/>
          <w:szCs w:val="24"/>
          <w:highlight w:val="none"/>
        </w:rPr>
      </w:pPr>
      <w:bookmarkStart w:id="248" w:name="_Toc300834985"/>
      <w:bookmarkStart w:id="249" w:name="_Toc247513987"/>
      <w:bookmarkStart w:id="250" w:name="_Toc144974531"/>
      <w:bookmarkStart w:id="251" w:name="_Toc247527588"/>
      <w:bookmarkStart w:id="252" w:name="_Toc152042339"/>
      <w:bookmarkStart w:id="253" w:name="_Toc152045563"/>
      <w:r>
        <w:rPr>
          <w:rFonts w:hint="eastAsia" w:ascii="Times New Roman" w:hAnsi="Times New Roman"/>
          <w:color w:val="auto"/>
          <w:sz w:val="24"/>
          <w:szCs w:val="24"/>
          <w:highlight w:val="none"/>
        </w:rPr>
        <w:t>6.1 评标委员会</w:t>
      </w:r>
      <w:bookmarkEnd w:id="248"/>
      <w:bookmarkEnd w:id="249"/>
      <w:bookmarkEnd w:id="250"/>
      <w:bookmarkEnd w:id="251"/>
      <w:bookmarkEnd w:id="252"/>
      <w:bookmarkEnd w:id="253"/>
    </w:p>
    <w:p>
      <w:pPr>
        <w:spacing w:line="360" w:lineRule="auto"/>
        <w:ind w:firstLine="480" w:firstLineChars="200"/>
        <w:rPr>
          <w:color w:val="auto"/>
          <w:sz w:val="24"/>
          <w:highlight w:val="none"/>
        </w:rPr>
      </w:pPr>
      <w:r>
        <w:rPr>
          <w:rFonts w:hint="eastAsia"/>
          <w:color w:val="auto"/>
          <w:sz w:val="24"/>
          <w:highlight w:val="none"/>
        </w:rPr>
        <w:t>6.1.1 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spacing w:line="360" w:lineRule="auto"/>
        <w:ind w:firstLine="480" w:firstLineChars="200"/>
        <w:rPr>
          <w:color w:val="auto"/>
          <w:sz w:val="24"/>
          <w:highlight w:val="none"/>
        </w:rPr>
      </w:pPr>
      <w:r>
        <w:rPr>
          <w:rFonts w:hint="eastAsia"/>
          <w:color w:val="auto"/>
          <w:sz w:val="24"/>
          <w:highlight w:val="none"/>
        </w:rPr>
        <w:t>6.1.2 评标委员会成员有下列情形之一的，应当回避：</w:t>
      </w:r>
    </w:p>
    <w:p>
      <w:pPr>
        <w:spacing w:line="360" w:lineRule="auto"/>
        <w:ind w:firstLine="820" w:firstLineChars="342"/>
        <w:rPr>
          <w:color w:val="auto"/>
          <w:sz w:val="24"/>
          <w:highlight w:val="none"/>
        </w:rPr>
      </w:pPr>
      <w:r>
        <w:rPr>
          <w:rFonts w:hint="eastAsia"/>
          <w:color w:val="auto"/>
          <w:sz w:val="24"/>
          <w:highlight w:val="none"/>
        </w:rPr>
        <w:t>（1）投标人或投标人主要负责人的近亲属；</w:t>
      </w:r>
    </w:p>
    <w:p>
      <w:pPr>
        <w:spacing w:line="360" w:lineRule="auto"/>
        <w:ind w:firstLine="820" w:firstLineChars="342"/>
        <w:rPr>
          <w:color w:val="auto"/>
          <w:sz w:val="24"/>
          <w:highlight w:val="none"/>
        </w:rPr>
      </w:pPr>
      <w:r>
        <w:rPr>
          <w:rFonts w:hint="eastAsia"/>
          <w:color w:val="auto"/>
          <w:sz w:val="24"/>
          <w:highlight w:val="none"/>
        </w:rPr>
        <w:t>（2）项目主管部门或者行政监督部门的人员；</w:t>
      </w:r>
    </w:p>
    <w:p>
      <w:pPr>
        <w:spacing w:line="360" w:lineRule="auto"/>
        <w:ind w:firstLine="820" w:firstLineChars="342"/>
        <w:rPr>
          <w:color w:val="auto"/>
          <w:sz w:val="24"/>
          <w:highlight w:val="none"/>
        </w:rPr>
      </w:pPr>
      <w:r>
        <w:rPr>
          <w:rFonts w:hint="eastAsia"/>
          <w:color w:val="auto"/>
          <w:sz w:val="24"/>
          <w:highlight w:val="none"/>
        </w:rPr>
        <w:t>（3）与投标人有经济利益关系，可能影响对投标公正评审的；</w:t>
      </w:r>
    </w:p>
    <w:p>
      <w:pPr>
        <w:spacing w:line="360" w:lineRule="auto"/>
        <w:ind w:firstLine="820" w:firstLineChars="342"/>
        <w:rPr>
          <w:rFonts w:hint="eastAsia"/>
          <w:color w:val="auto"/>
          <w:sz w:val="24"/>
          <w:highlight w:val="none"/>
        </w:rPr>
      </w:pPr>
      <w:r>
        <w:rPr>
          <w:rFonts w:hint="eastAsia"/>
          <w:color w:val="auto"/>
          <w:sz w:val="24"/>
          <w:highlight w:val="none"/>
        </w:rPr>
        <w:t>（4）曾因在招标、评标以及其他与招标投标有关活动中从事违法行为而受过行政处罚或刑事处罚的；</w:t>
      </w:r>
    </w:p>
    <w:p>
      <w:pPr>
        <w:spacing w:line="360" w:lineRule="auto"/>
        <w:ind w:firstLine="820" w:firstLineChars="342"/>
        <w:rPr>
          <w:color w:val="auto"/>
          <w:sz w:val="24"/>
          <w:highlight w:val="none"/>
        </w:rPr>
      </w:pPr>
      <w:r>
        <w:rPr>
          <w:rFonts w:hint="eastAsia"/>
          <w:color w:val="auto"/>
          <w:sz w:val="24"/>
          <w:highlight w:val="none"/>
        </w:rPr>
        <w:t>（5）与投标人有其他利害关系。</w:t>
      </w:r>
    </w:p>
    <w:p>
      <w:pPr>
        <w:pStyle w:val="4"/>
        <w:spacing w:line="360" w:lineRule="auto"/>
        <w:ind w:firstLine="118"/>
        <w:rPr>
          <w:rFonts w:ascii="Times New Roman" w:hAnsi="Times New Roman"/>
          <w:color w:val="auto"/>
          <w:sz w:val="24"/>
          <w:szCs w:val="24"/>
          <w:highlight w:val="none"/>
        </w:rPr>
      </w:pPr>
      <w:bookmarkStart w:id="254" w:name="_Toc152045564"/>
      <w:bookmarkStart w:id="255" w:name="_Toc247513988"/>
      <w:bookmarkStart w:id="256" w:name="_Toc152042340"/>
      <w:bookmarkStart w:id="257" w:name="_Toc144974532"/>
      <w:bookmarkStart w:id="258" w:name="_Toc300834986"/>
      <w:bookmarkStart w:id="259" w:name="_Toc247527589"/>
      <w:r>
        <w:rPr>
          <w:rFonts w:hint="eastAsia" w:ascii="Times New Roman" w:hAnsi="Times New Roman"/>
          <w:color w:val="auto"/>
          <w:sz w:val="24"/>
          <w:szCs w:val="24"/>
          <w:highlight w:val="none"/>
        </w:rPr>
        <w:t>6.2 评标原则</w:t>
      </w:r>
      <w:bookmarkEnd w:id="254"/>
      <w:bookmarkEnd w:id="255"/>
      <w:bookmarkEnd w:id="256"/>
      <w:bookmarkEnd w:id="257"/>
      <w:bookmarkEnd w:id="258"/>
      <w:bookmarkEnd w:id="259"/>
      <w:r>
        <w:rPr>
          <w:rFonts w:ascii="Times New Roman" w:hAnsi="Times New Roman"/>
          <w:color w:val="auto"/>
          <w:sz w:val="24"/>
          <w:szCs w:val="24"/>
          <w:highlight w:val="none"/>
        </w:rPr>
        <w:tab/>
      </w:r>
    </w:p>
    <w:p>
      <w:pPr>
        <w:spacing w:line="360" w:lineRule="auto"/>
        <w:ind w:firstLine="480" w:firstLineChars="200"/>
        <w:rPr>
          <w:color w:val="auto"/>
          <w:sz w:val="24"/>
          <w:highlight w:val="none"/>
        </w:rPr>
      </w:pPr>
      <w:r>
        <w:rPr>
          <w:rFonts w:hint="eastAsia"/>
          <w:color w:val="auto"/>
          <w:sz w:val="24"/>
          <w:highlight w:val="none"/>
        </w:rPr>
        <w:t>评标活动遵循公平、公正、科学和择优的原则。</w:t>
      </w:r>
    </w:p>
    <w:p>
      <w:pPr>
        <w:pStyle w:val="4"/>
        <w:spacing w:line="360" w:lineRule="auto"/>
        <w:ind w:firstLine="118"/>
        <w:rPr>
          <w:rFonts w:ascii="Times New Roman" w:hAnsi="Times New Roman"/>
          <w:color w:val="auto"/>
          <w:sz w:val="24"/>
          <w:szCs w:val="24"/>
          <w:highlight w:val="none"/>
        </w:rPr>
      </w:pPr>
      <w:bookmarkStart w:id="260" w:name="_Toc247527590"/>
      <w:bookmarkStart w:id="261" w:name="_Toc300834987"/>
      <w:bookmarkStart w:id="262" w:name="_Toc152042341"/>
      <w:bookmarkStart w:id="263" w:name="_Toc152045565"/>
      <w:bookmarkStart w:id="264" w:name="_Toc247513989"/>
      <w:bookmarkStart w:id="265" w:name="_Toc144974533"/>
      <w:r>
        <w:rPr>
          <w:rFonts w:hint="eastAsia" w:ascii="Times New Roman" w:hAnsi="Times New Roman"/>
          <w:color w:val="auto"/>
          <w:sz w:val="24"/>
          <w:szCs w:val="24"/>
          <w:highlight w:val="none"/>
        </w:rPr>
        <w:t>6.3 评标</w:t>
      </w:r>
      <w:bookmarkEnd w:id="260"/>
      <w:bookmarkEnd w:id="261"/>
      <w:bookmarkEnd w:id="262"/>
      <w:bookmarkEnd w:id="263"/>
      <w:bookmarkEnd w:id="264"/>
      <w:bookmarkEnd w:id="265"/>
    </w:p>
    <w:p>
      <w:pPr>
        <w:spacing w:line="360" w:lineRule="auto"/>
        <w:ind w:firstLine="480" w:firstLineChars="200"/>
        <w:rPr>
          <w:color w:val="auto"/>
          <w:sz w:val="24"/>
          <w:highlight w:val="none"/>
        </w:rPr>
      </w:pPr>
      <w:r>
        <w:rPr>
          <w:rFonts w:hint="eastAsia"/>
          <w:color w:val="auto"/>
          <w:sz w:val="24"/>
          <w:highlight w:val="none"/>
        </w:rPr>
        <w:t>评标委员会按照第三章“评标办法”规定的方法、评审因素、标准和程序对投标文件进行评审。第三章“评标办法”没有规定的方法、评审因素和标准，不作为评标依据。</w:t>
      </w:r>
    </w:p>
    <w:p>
      <w:pPr>
        <w:pStyle w:val="3"/>
        <w:spacing w:line="360" w:lineRule="auto"/>
        <w:rPr>
          <w:rFonts w:ascii="Times New Roman" w:hAnsi="Times New Roman"/>
          <w:color w:val="auto"/>
          <w:sz w:val="24"/>
          <w:szCs w:val="24"/>
          <w:highlight w:val="none"/>
        </w:rPr>
      </w:pPr>
      <w:bookmarkStart w:id="266" w:name="_Toc300834988"/>
      <w:bookmarkStart w:id="267" w:name="_Toc152045566"/>
      <w:bookmarkStart w:id="268" w:name="_Toc247513990"/>
      <w:bookmarkStart w:id="269" w:name="_Toc144974534"/>
      <w:bookmarkStart w:id="270" w:name="_Toc152042342"/>
      <w:bookmarkStart w:id="271" w:name="_Toc247527591"/>
      <w:r>
        <w:rPr>
          <w:rFonts w:hint="eastAsia" w:ascii="Times New Roman" w:hAnsi="Times New Roman"/>
          <w:color w:val="auto"/>
          <w:sz w:val="24"/>
          <w:szCs w:val="24"/>
          <w:highlight w:val="none"/>
        </w:rPr>
        <w:t>7. 合同授予</w:t>
      </w:r>
      <w:bookmarkEnd w:id="266"/>
      <w:bookmarkEnd w:id="267"/>
      <w:bookmarkEnd w:id="268"/>
      <w:bookmarkEnd w:id="269"/>
      <w:bookmarkEnd w:id="270"/>
      <w:bookmarkEnd w:id="271"/>
    </w:p>
    <w:p>
      <w:pPr>
        <w:pStyle w:val="4"/>
        <w:spacing w:line="360" w:lineRule="auto"/>
        <w:ind w:firstLine="118"/>
        <w:rPr>
          <w:rFonts w:ascii="Times New Roman" w:hAnsi="Times New Roman"/>
          <w:color w:val="auto"/>
          <w:sz w:val="24"/>
          <w:szCs w:val="24"/>
          <w:highlight w:val="none"/>
        </w:rPr>
      </w:pPr>
      <w:bookmarkStart w:id="272" w:name="_Toc144974535"/>
      <w:bookmarkStart w:id="273" w:name="_Toc247527592"/>
      <w:bookmarkStart w:id="274" w:name="_Toc300834989"/>
      <w:bookmarkStart w:id="275" w:name="_Toc152042343"/>
      <w:bookmarkStart w:id="276" w:name="_Toc247513991"/>
      <w:bookmarkStart w:id="277" w:name="_Toc152045567"/>
      <w:r>
        <w:rPr>
          <w:rFonts w:hint="eastAsia" w:ascii="Times New Roman" w:hAnsi="Times New Roman"/>
          <w:color w:val="auto"/>
          <w:sz w:val="24"/>
          <w:szCs w:val="24"/>
          <w:highlight w:val="none"/>
        </w:rPr>
        <w:t>7.1 定标方式</w:t>
      </w:r>
      <w:bookmarkEnd w:id="272"/>
      <w:bookmarkEnd w:id="273"/>
      <w:bookmarkEnd w:id="274"/>
      <w:bookmarkEnd w:id="275"/>
      <w:bookmarkEnd w:id="276"/>
      <w:bookmarkEnd w:id="277"/>
    </w:p>
    <w:p>
      <w:pPr>
        <w:spacing w:line="360" w:lineRule="auto"/>
        <w:ind w:firstLine="480" w:firstLineChars="200"/>
        <w:rPr>
          <w:rFonts w:hint="eastAsia"/>
          <w:color w:val="auto"/>
          <w:sz w:val="24"/>
          <w:highlight w:val="none"/>
        </w:rPr>
      </w:pPr>
      <w:r>
        <w:rPr>
          <w:rFonts w:hint="eastAsia"/>
          <w:color w:val="auto"/>
          <w:sz w:val="24"/>
          <w:highlight w:val="none"/>
        </w:rPr>
        <w:t>除投标人须知前附表规定评标委员会直接确定中标人外，招标人依据评标委员会推荐的中标候选人确定中标人，评标委员会推荐中标候选人的人数见投标人须知前附表。</w:t>
      </w:r>
    </w:p>
    <w:p>
      <w:pPr>
        <w:pStyle w:val="4"/>
        <w:spacing w:line="360" w:lineRule="auto"/>
        <w:ind w:firstLine="118"/>
        <w:rPr>
          <w:rFonts w:hint="eastAsia" w:ascii="Times New Roman" w:hAnsi="Times New Roman"/>
          <w:color w:val="auto"/>
          <w:sz w:val="24"/>
          <w:szCs w:val="24"/>
          <w:highlight w:val="none"/>
        </w:rPr>
      </w:pPr>
      <w:bookmarkStart w:id="278" w:name="_Toc300834990"/>
      <w:r>
        <w:rPr>
          <w:rFonts w:hint="eastAsia" w:ascii="Times New Roman" w:hAnsi="Times New Roman"/>
          <w:color w:val="auto"/>
          <w:sz w:val="24"/>
          <w:szCs w:val="24"/>
          <w:highlight w:val="none"/>
        </w:rPr>
        <w:t>7.2 中标候选人公示</w:t>
      </w:r>
      <w:bookmarkEnd w:id="278"/>
    </w:p>
    <w:p>
      <w:pPr>
        <w:spacing w:line="360" w:lineRule="auto"/>
        <w:ind w:firstLine="480" w:firstLineChars="200"/>
        <w:rPr>
          <w:rFonts w:hint="eastAsia"/>
          <w:color w:val="auto"/>
          <w:sz w:val="24"/>
          <w:highlight w:val="none"/>
        </w:rPr>
      </w:pPr>
      <w:r>
        <w:rPr>
          <w:rFonts w:hint="eastAsia"/>
          <w:color w:val="auto"/>
          <w:sz w:val="24"/>
          <w:highlight w:val="none"/>
        </w:rPr>
        <w:t>招标人在投标人须知前附表规定的媒介公示中标候选人。</w:t>
      </w:r>
    </w:p>
    <w:p>
      <w:pPr>
        <w:pStyle w:val="4"/>
        <w:spacing w:line="360" w:lineRule="auto"/>
        <w:ind w:firstLine="118"/>
        <w:rPr>
          <w:rFonts w:ascii="Times New Roman" w:hAnsi="Times New Roman"/>
          <w:color w:val="auto"/>
          <w:sz w:val="24"/>
          <w:szCs w:val="24"/>
          <w:highlight w:val="none"/>
        </w:rPr>
      </w:pPr>
      <w:bookmarkStart w:id="279" w:name="_Toc152042344"/>
      <w:bookmarkStart w:id="280" w:name="_Toc152045568"/>
      <w:bookmarkStart w:id="281" w:name="_Toc247513992"/>
      <w:bookmarkStart w:id="282" w:name="_Toc300834991"/>
      <w:bookmarkStart w:id="283" w:name="_Toc247527593"/>
      <w:bookmarkStart w:id="284" w:name="_Toc144974536"/>
      <w:r>
        <w:rPr>
          <w:rFonts w:hint="eastAsia" w:ascii="Times New Roman" w:hAnsi="Times New Roman"/>
          <w:color w:val="auto"/>
          <w:sz w:val="24"/>
          <w:szCs w:val="24"/>
          <w:highlight w:val="none"/>
        </w:rPr>
        <w:t>7.3 中标通知</w:t>
      </w:r>
      <w:bookmarkEnd w:id="279"/>
      <w:bookmarkEnd w:id="280"/>
      <w:bookmarkEnd w:id="281"/>
      <w:bookmarkEnd w:id="282"/>
      <w:bookmarkEnd w:id="283"/>
      <w:bookmarkEnd w:id="284"/>
    </w:p>
    <w:p>
      <w:pPr>
        <w:spacing w:line="360" w:lineRule="auto"/>
        <w:ind w:firstLine="480" w:firstLineChars="200"/>
        <w:rPr>
          <w:color w:val="auto"/>
          <w:sz w:val="24"/>
          <w:highlight w:val="none"/>
        </w:rPr>
      </w:pPr>
      <w:r>
        <w:rPr>
          <w:rFonts w:hint="eastAsia"/>
          <w:color w:val="auto"/>
          <w:sz w:val="24"/>
          <w:highlight w:val="none"/>
        </w:rPr>
        <w:t>在本章第3.3款规定的投标有效期内，招标人以书面形式向中标人发出中标通知书，同时将中标结果通知未中标的投标人。中标通知书按本章附表格式填写。</w:t>
      </w:r>
    </w:p>
    <w:p>
      <w:pPr>
        <w:pStyle w:val="4"/>
        <w:spacing w:line="360" w:lineRule="auto"/>
        <w:ind w:firstLine="118"/>
        <w:rPr>
          <w:rFonts w:ascii="Times New Roman" w:hAnsi="Times New Roman"/>
          <w:color w:val="auto"/>
          <w:sz w:val="24"/>
          <w:szCs w:val="24"/>
          <w:highlight w:val="none"/>
        </w:rPr>
      </w:pPr>
      <w:bookmarkStart w:id="285" w:name="_Toc300834992"/>
      <w:bookmarkStart w:id="286" w:name="_Toc247527594"/>
      <w:bookmarkStart w:id="287" w:name="_Toc247513993"/>
      <w:bookmarkStart w:id="288" w:name="_Toc152045569"/>
      <w:bookmarkStart w:id="289" w:name="_Toc152042345"/>
      <w:bookmarkStart w:id="290" w:name="_Toc144974537"/>
      <w:r>
        <w:rPr>
          <w:rFonts w:hint="eastAsia" w:ascii="Times New Roman" w:hAnsi="Times New Roman"/>
          <w:color w:val="auto"/>
          <w:sz w:val="24"/>
          <w:szCs w:val="24"/>
          <w:highlight w:val="none"/>
        </w:rPr>
        <w:t>7.4 履约担保</w:t>
      </w:r>
      <w:bookmarkEnd w:id="285"/>
      <w:bookmarkEnd w:id="286"/>
      <w:bookmarkEnd w:id="287"/>
      <w:bookmarkEnd w:id="288"/>
      <w:bookmarkEnd w:id="289"/>
      <w:bookmarkEnd w:id="290"/>
    </w:p>
    <w:p>
      <w:pPr>
        <w:spacing w:line="360" w:lineRule="auto"/>
        <w:ind w:firstLine="480" w:firstLineChars="200"/>
        <w:rPr>
          <w:color w:val="auto"/>
          <w:sz w:val="24"/>
          <w:highlight w:val="none"/>
        </w:rPr>
      </w:pPr>
      <w:r>
        <w:rPr>
          <w:rFonts w:hint="eastAsia"/>
          <w:color w:val="auto"/>
          <w:sz w:val="24"/>
          <w:highlight w:val="none"/>
        </w:rPr>
        <w:t>7.4.1 在签订合同前，中标人应按投标人须知前附表规定的担保形式和招标文件第四章“合同条款及格式”规定的履约担保格式提交履约担保。除投标人须知前附表另有规定外，履约担保金额为中标合同金额的10%。联合体中标的，其履约担保由联合体各方或者联合体中牵头人的名义提交。</w:t>
      </w:r>
    </w:p>
    <w:p>
      <w:pPr>
        <w:spacing w:line="360" w:lineRule="auto"/>
        <w:ind w:firstLine="480" w:firstLineChars="200"/>
        <w:rPr>
          <w:color w:val="auto"/>
          <w:sz w:val="24"/>
          <w:highlight w:val="none"/>
        </w:rPr>
      </w:pPr>
      <w:r>
        <w:rPr>
          <w:rFonts w:hint="eastAsia"/>
          <w:color w:val="auto"/>
          <w:sz w:val="24"/>
          <w:highlight w:val="none"/>
        </w:rPr>
        <w:t>7.4.2 中标人不能按本章第7.4.1项要求提交履约担保的，视为放弃中标，其投标保证金不予退还，给招标人造成的损失超过投标保证金数额的，中标人还应当对超过部分予以赔偿。</w:t>
      </w:r>
    </w:p>
    <w:p>
      <w:pPr>
        <w:pStyle w:val="4"/>
        <w:spacing w:line="360" w:lineRule="auto"/>
        <w:ind w:firstLine="118"/>
        <w:rPr>
          <w:rFonts w:ascii="Times New Roman" w:hAnsi="Times New Roman"/>
          <w:color w:val="auto"/>
          <w:sz w:val="24"/>
          <w:szCs w:val="24"/>
          <w:highlight w:val="none"/>
        </w:rPr>
      </w:pPr>
      <w:bookmarkStart w:id="291" w:name="_Toc144974538"/>
      <w:bookmarkStart w:id="292" w:name="_Toc152042346"/>
      <w:bookmarkStart w:id="293" w:name="_Toc247513994"/>
      <w:bookmarkStart w:id="294" w:name="_Toc152045570"/>
      <w:bookmarkStart w:id="295" w:name="_Toc247527595"/>
      <w:bookmarkStart w:id="296" w:name="_Toc300834993"/>
      <w:r>
        <w:rPr>
          <w:rFonts w:hint="eastAsia" w:ascii="Times New Roman" w:hAnsi="Times New Roman"/>
          <w:color w:val="auto"/>
          <w:sz w:val="24"/>
          <w:szCs w:val="24"/>
          <w:highlight w:val="none"/>
        </w:rPr>
        <w:t>7.5 签订合同</w:t>
      </w:r>
      <w:bookmarkEnd w:id="291"/>
      <w:bookmarkEnd w:id="292"/>
      <w:bookmarkEnd w:id="293"/>
      <w:bookmarkEnd w:id="294"/>
      <w:bookmarkEnd w:id="295"/>
      <w:bookmarkEnd w:id="296"/>
    </w:p>
    <w:p>
      <w:pPr>
        <w:spacing w:line="360" w:lineRule="auto"/>
        <w:ind w:firstLine="480" w:firstLineChars="200"/>
        <w:rPr>
          <w:color w:val="auto"/>
          <w:sz w:val="24"/>
          <w:highlight w:val="none"/>
        </w:rPr>
      </w:pPr>
      <w:r>
        <w:rPr>
          <w:rFonts w:hint="eastAsia"/>
          <w:color w:val="auto"/>
          <w:sz w:val="24"/>
          <w:highlight w:val="none"/>
        </w:rPr>
        <w:t xml:space="preserve">7.5.1 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pacing w:line="360" w:lineRule="auto"/>
        <w:ind w:firstLine="480" w:firstLineChars="200"/>
        <w:rPr>
          <w:color w:val="auto"/>
          <w:sz w:val="24"/>
          <w:highlight w:val="none"/>
        </w:rPr>
      </w:pPr>
      <w:r>
        <w:rPr>
          <w:rFonts w:hint="eastAsia"/>
          <w:color w:val="auto"/>
          <w:sz w:val="24"/>
          <w:highlight w:val="none"/>
        </w:rPr>
        <w:t xml:space="preserve">7.5.2 发出中标通知书后，招标人无正当理由拒签合同的，招标人向中标人退还投标保证金；给中标人造成损失的，还应当赔偿损失。 </w:t>
      </w:r>
    </w:p>
    <w:p>
      <w:pPr>
        <w:pStyle w:val="3"/>
        <w:spacing w:line="360" w:lineRule="auto"/>
        <w:rPr>
          <w:rFonts w:ascii="Times New Roman" w:hAnsi="Times New Roman"/>
          <w:color w:val="auto"/>
          <w:sz w:val="24"/>
          <w:szCs w:val="24"/>
          <w:highlight w:val="none"/>
        </w:rPr>
      </w:pPr>
      <w:bookmarkStart w:id="297" w:name="_Toc152042347"/>
      <w:bookmarkStart w:id="298" w:name="_Toc144974539"/>
      <w:bookmarkStart w:id="299" w:name="_Toc247527596"/>
      <w:bookmarkStart w:id="300" w:name="_Toc247513995"/>
      <w:bookmarkStart w:id="301" w:name="_Toc152045571"/>
      <w:bookmarkStart w:id="302" w:name="_Toc300834994"/>
      <w:r>
        <w:rPr>
          <w:rFonts w:hint="eastAsia" w:ascii="Times New Roman" w:hAnsi="Times New Roman"/>
          <w:color w:val="auto"/>
          <w:sz w:val="24"/>
          <w:szCs w:val="24"/>
          <w:highlight w:val="none"/>
        </w:rPr>
        <w:t>8.</w:t>
      </w:r>
      <w:bookmarkEnd w:id="297"/>
      <w:bookmarkEnd w:id="298"/>
      <w:bookmarkEnd w:id="299"/>
      <w:bookmarkEnd w:id="300"/>
      <w:bookmarkEnd w:id="301"/>
      <w:bookmarkStart w:id="303" w:name="_Toc152042350"/>
      <w:bookmarkStart w:id="304" w:name="_Toc247513998"/>
      <w:bookmarkStart w:id="305" w:name="_Toc247527599"/>
      <w:bookmarkStart w:id="306" w:name="_Toc152045574"/>
      <w:bookmarkStart w:id="307" w:name="_Toc144974542"/>
      <w:r>
        <w:rPr>
          <w:rFonts w:hint="eastAsia" w:ascii="Times New Roman" w:hAnsi="Times New Roman"/>
          <w:color w:val="auto"/>
          <w:sz w:val="24"/>
          <w:szCs w:val="24"/>
          <w:highlight w:val="none"/>
        </w:rPr>
        <w:t xml:space="preserve"> 纪律和监督</w:t>
      </w:r>
      <w:bookmarkEnd w:id="302"/>
      <w:bookmarkEnd w:id="303"/>
      <w:bookmarkEnd w:id="304"/>
      <w:bookmarkEnd w:id="305"/>
      <w:bookmarkEnd w:id="306"/>
      <w:bookmarkEnd w:id="307"/>
    </w:p>
    <w:p>
      <w:pPr>
        <w:pStyle w:val="4"/>
        <w:spacing w:line="360" w:lineRule="auto"/>
        <w:ind w:firstLine="118"/>
        <w:rPr>
          <w:rFonts w:ascii="Times New Roman" w:hAnsi="Times New Roman"/>
          <w:color w:val="auto"/>
          <w:sz w:val="24"/>
          <w:szCs w:val="24"/>
          <w:highlight w:val="none"/>
        </w:rPr>
      </w:pPr>
      <w:bookmarkStart w:id="308" w:name="_Toc247527600"/>
      <w:bookmarkStart w:id="309" w:name="_Toc152042351"/>
      <w:bookmarkStart w:id="310" w:name="_Toc144974543"/>
      <w:bookmarkStart w:id="311" w:name="_Toc300834995"/>
      <w:bookmarkStart w:id="312" w:name="_Toc152045575"/>
      <w:bookmarkStart w:id="313" w:name="_Toc247513999"/>
      <w:r>
        <w:rPr>
          <w:rFonts w:hint="eastAsia" w:ascii="Times New Roman" w:hAnsi="Times New Roman"/>
          <w:color w:val="auto"/>
          <w:sz w:val="24"/>
          <w:szCs w:val="24"/>
          <w:highlight w:val="none"/>
        </w:rPr>
        <w:t>8.1 对招标人的纪律要求</w:t>
      </w:r>
      <w:bookmarkEnd w:id="308"/>
      <w:bookmarkEnd w:id="309"/>
      <w:bookmarkEnd w:id="310"/>
      <w:bookmarkEnd w:id="311"/>
      <w:bookmarkEnd w:id="312"/>
      <w:bookmarkEnd w:id="313"/>
    </w:p>
    <w:p>
      <w:pPr>
        <w:spacing w:line="360" w:lineRule="auto"/>
        <w:ind w:firstLine="480" w:firstLineChars="200"/>
        <w:rPr>
          <w:color w:val="auto"/>
          <w:sz w:val="24"/>
          <w:highlight w:val="none"/>
        </w:rPr>
      </w:pPr>
      <w:r>
        <w:rPr>
          <w:rFonts w:hint="eastAsia"/>
          <w:color w:val="auto"/>
          <w:sz w:val="24"/>
          <w:highlight w:val="none"/>
        </w:rPr>
        <w:t>招标人不得泄漏招标投标活动中应当保密的情况和资料，不得与投标人串通损害国家利益、社会公共利益或者他人合法权益。</w:t>
      </w:r>
    </w:p>
    <w:p>
      <w:pPr>
        <w:pStyle w:val="4"/>
        <w:spacing w:line="360" w:lineRule="auto"/>
        <w:ind w:firstLine="118"/>
        <w:rPr>
          <w:rFonts w:ascii="Times New Roman" w:hAnsi="Times New Roman"/>
          <w:color w:val="auto"/>
          <w:sz w:val="24"/>
          <w:szCs w:val="24"/>
          <w:highlight w:val="none"/>
        </w:rPr>
      </w:pPr>
      <w:bookmarkStart w:id="314" w:name="_Toc152045576"/>
      <w:bookmarkStart w:id="315" w:name="_Toc247514000"/>
      <w:bookmarkStart w:id="316" w:name="_Toc144974544"/>
      <w:bookmarkStart w:id="317" w:name="_Toc300834996"/>
      <w:bookmarkStart w:id="318" w:name="_Toc247527601"/>
      <w:bookmarkStart w:id="319" w:name="_Toc152042352"/>
      <w:r>
        <w:rPr>
          <w:rFonts w:hint="eastAsia" w:ascii="Times New Roman" w:hAnsi="Times New Roman"/>
          <w:color w:val="auto"/>
          <w:sz w:val="24"/>
          <w:szCs w:val="24"/>
          <w:highlight w:val="none"/>
        </w:rPr>
        <w:t>8.2 对投标人的纪律要求</w:t>
      </w:r>
      <w:bookmarkEnd w:id="314"/>
      <w:bookmarkEnd w:id="315"/>
      <w:bookmarkEnd w:id="316"/>
      <w:bookmarkEnd w:id="317"/>
      <w:bookmarkEnd w:id="318"/>
      <w:bookmarkEnd w:id="319"/>
    </w:p>
    <w:p>
      <w:pPr>
        <w:spacing w:line="360" w:lineRule="auto"/>
        <w:ind w:firstLine="480" w:firstLineChars="200"/>
        <w:rPr>
          <w:color w:val="auto"/>
          <w:sz w:val="24"/>
          <w:highlight w:val="none"/>
        </w:rPr>
      </w:pPr>
      <w:r>
        <w:rPr>
          <w:rFonts w:hint="eastAsia"/>
          <w:color w:val="auto"/>
          <w:sz w:val="24"/>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4"/>
        <w:spacing w:line="360" w:lineRule="auto"/>
        <w:ind w:firstLine="118"/>
        <w:rPr>
          <w:rFonts w:ascii="Times New Roman" w:hAnsi="Times New Roman"/>
          <w:color w:val="auto"/>
          <w:sz w:val="24"/>
          <w:szCs w:val="24"/>
          <w:highlight w:val="none"/>
        </w:rPr>
      </w:pPr>
      <w:bookmarkStart w:id="320" w:name="_Toc144974545"/>
      <w:bookmarkStart w:id="321" w:name="_Toc247514001"/>
      <w:bookmarkStart w:id="322" w:name="_Toc152042353"/>
      <w:bookmarkStart w:id="323" w:name="_Toc300834997"/>
      <w:bookmarkStart w:id="324" w:name="_Toc247527602"/>
      <w:bookmarkStart w:id="325" w:name="_Toc152045577"/>
      <w:r>
        <w:rPr>
          <w:rFonts w:hint="eastAsia" w:ascii="Times New Roman" w:hAnsi="Times New Roman"/>
          <w:color w:val="auto"/>
          <w:sz w:val="24"/>
          <w:szCs w:val="24"/>
          <w:highlight w:val="none"/>
        </w:rPr>
        <w:t>8.3 对评标委员会成员的纪律要求</w:t>
      </w:r>
      <w:bookmarkEnd w:id="320"/>
      <w:bookmarkEnd w:id="321"/>
      <w:bookmarkEnd w:id="322"/>
      <w:bookmarkEnd w:id="323"/>
      <w:bookmarkEnd w:id="324"/>
      <w:bookmarkEnd w:id="325"/>
    </w:p>
    <w:p>
      <w:pPr>
        <w:spacing w:line="360" w:lineRule="auto"/>
        <w:ind w:firstLine="480" w:firstLineChars="200"/>
        <w:rPr>
          <w:color w:val="auto"/>
          <w:sz w:val="24"/>
          <w:highlight w:val="none"/>
        </w:rPr>
      </w:pPr>
      <w:r>
        <w:rPr>
          <w:rFonts w:hint="eastAsia"/>
          <w:color w:val="auto"/>
          <w:sz w:val="24"/>
          <w:highlight w:val="none"/>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4"/>
        <w:spacing w:line="360" w:lineRule="auto"/>
        <w:ind w:firstLine="118"/>
        <w:rPr>
          <w:rFonts w:ascii="Times New Roman" w:hAnsi="Times New Roman"/>
          <w:color w:val="auto"/>
          <w:sz w:val="24"/>
          <w:szCs w:val="24"/>
          <w:highlight w:val="none"/>
        </w:rPr>
      </w:pPr>
      <w:bookmarkStart w:id="326" w:name="_Toc247527603"/>
      <w:bookmarkStart w:id="327" w:name="_Toc152045578"/>
      <w:bookmarkStart w:id="328" w:name="_Toc300834998"/>
      <w:bookmarkStart w:id="329" w:name="_Toc152042354"/>
      <w:bookmarkStart w:id="330" w:name="_Toc247514002"/>
      <w:bookmarkStart w:id="331" w:name="_Toc144974546"/>
      <w:r>
        <w:rPr>
          <w:rFonts w:hint="eastAsia" w:ascii="Times New Roman" w:hAnsi="Times New Roman"/>
          <w:color w:val="auto"/>
          <w:sz w:val="24"/>
          <w:szCs w:val="24"/>
          <w:highlight w:val="none"/>
        </w:rPr>
        <w:t>8.4 对与评标活动有关的工作人员的纪律要求</w:t>
      </w:r>
      <w:bookmarkEnd w:id="326"/>
      <w:bookmarkEnd w:id="327"/>
      <w:bookmarkEnd w:id="328"/>
      <w:bookmarkEnd w:id="329"/>
      <w:bookmarkEnd w:id="330"/>
    </w:p>
    <w:p>
      <w:pPr>
        <w:spacing w:line="360" w:lineRule="auto"/>
        <w:ind w:firstLine="480" w:firstLineChars="200"/>
        <w:rPr>
          <w:color w:val="auto"/>
          <w:sz w:val="24"/>
          <w:highlight w:val="none"/>
        </w:rPr>
      </w:pPr>
      <w:bookmarkStart w:id="332" w:name="_Toc152042355"/>
      <w:r>
        <w:rPr>
          <w:rFonts w:hint="eastAsia"/>
          <w:color w:val="auto"/>
          <w:sz w:val="24"/>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332"/>
    </w:p>
    <w:p>
      <w:pPr>
        <w:pStyle w:val="4"/>
        <w:spacing w:line="360" w:lineRule="auto"/>
        <w:ind w:firstLine="118"/>
        <w:rPr>
          <w:rFonts w:ascii="Times New Roman" w:hAnsi="Times New Roman"/>
          <w:color w:val="auto"/>
          <w:sz w:val="24"/>
          <w:szCs w:val="24"/>
          <w:highlight w:val="none"/>
        </w:rPr>
      </w:pPr>
      <w:bookmarkStart w:id="333" w:name="_Toc300834999"/>
      <w:bookmarkStart w:id="334" w:name="_Toc152045579"/>
      <w:bookmarkStart w:id="335" w:name="_Toc247514003"/>
      <w:bookmarkStart w:id="336" w:name="_Toc247527604"/>
      <w:bookmarkStart w:id="337" w:name="_Toc152042356"/>
      <w:r>
        <w:rPr>
          <w:rFonts w:hint="eastAsia" w:ascii="Times New Roman" w:hAnsi="Times New Roman"/>
          <w:color w:val="auto"/>
          <w:sz w:val="24"/>
          <w:szCs w:val="24"/>
          <w:highlight w:val="none"/>
        </w:rPr>
        <w:t>8.5 投诉</w:t>
      </w:r>
      <w:bookmarkEnd w:id="331"/>
      <w:bookmarkEnd w:id="333"/>
      <w:bookmarkEnd w:id="334"/>
      <w:bookmarkEnd w:id="335"/>
      <w:bookmarkEnd w:id="336"/>
      <w:bookmarkEnd w:id="337"/>
    </w:p>
    <w:p>
      <w:pPr>
        <w:spacing w:line="360" w:lineRule="auto"/>
        <w:ind w:firstLine="480" w:firstLineChars="200"/>
        <w:rPr>
          <w:color w:val="auto"/>
          <w:sz w:val="24"/>
          <w:highlight w:val="none"/>
        </w:rPr>
      </w:pPr>
      <w:r>
        <w:rPr>
          <w:rFonts w:hint="eastAsia"/>
          <w:color w:val="auto"/>
          <w:sz w:val="24"/>
          <w:highlight w:val="none"/>
        </w:rPr>
        <w:t>投标人和其他利害关系人认为本次招标活动违反法律、法规和规章规定的，有权向有关行政监督部门投诉。</w:t>
      </w:r>
    </w:p>
    <w:p>
      <w:pPr>
        <w:pStyle w:val="3"/>
        <w:spacing w:line="360" w:lineRule="auto"/>
        <w:rPr>
          <w:rFonts w:ascii="Times New Roman" w:hAnsi="Times New Roman"/>
          <w:color w:val="auto"/>
          <w:sz w:val="24"/>
          <w:szCs w:val="24"/>
          <w:highlight w:val="none"/>
        </w:rPr>
      </w:pPr>
      <w:bookmarkStart w:id="338" w:name="_Toc247514004"/>
      <w:bookmarkStart w:id="339" w:name="_Toc300835000"/>
      <w:bookmarkStart w:id="340" w:name="_Toc152042357"/>
      <w:bookmarkStart w:id="341" w:name="_Toc247527605"/>
      <w:bookmarkStart w:id="342" w:name="_Toc152045580"/>
      <w:bookmarkStart w:id="343" w:name="_Toc144974547"/>
      <w:r>
        <w:rPr>
          <w:rFonts w:hint="eastAsia" w:ascii="Times New Roman" w:hAnsi="Times New Roman"/>
          <w:color w:val="auto"/>
          <w:sz w:val="24"/>
          <w:szCs w:val="24"/>
          <w:highlight w:val="none"/>
        </w:rPr>
        <w:t>9. 需要补充的其他内容</w:t>
      </w:r>
      <w:bookmarkEnd w:id="338"/>
      <w:bookmarkEnd w:id="339"/>
      <w:bookmarkEnd w:id="340"/>
      <w:bookmarkEnd w:id="341"/>
      <w:bookmarkEnd w:id="342"/>
      <w:bookmarkEnd w:id="343"/>
    </w:p>
    <w:p>
      <w:pPr>
        <w:spacing w:line="360" w:lineRule="auto"/>
        <w:ind w:firstLine="480" w:firstLineChars="200"/>
        <w:rPr>
          <w:rFonts w:hint="eastAsia"/>
          <w:color w:val="auto"/>
          <w:sz w:val="24"/>
          <w:highlight w:val="none"/>
        </w:rPr>
      </w:pPr>
      <w:r>
        <w:rPr>
          <w:rFonts w:hint="eastAsia"/>
          <w:color w:val="auto"/>
          <w:sz w:val="24"/>
          <w:highlight w:val="none"/>
        </w:rPr>
        <w:t>需要补充的其他内容：见投标人须知前附表。</w:t>
      </w:r>
    </w:p>
    <w:p>
      <w:pPr>
        <w:spacing w:line="360" w:lineRule="auto"/>
        <w:ind w:firstLine="480" w:firstLineChars="200"/>
        <w:rPr>
          <w:color w:val="auto"/>
          <w:highlight w:val="none"/>
        </w:rPr>
      </w:pPr>
      <w:r>
        <w:rPr>
          <w:color w:val="auto"/>
          <w:sz w:val="24"/>
          <w:highlight w:val="none"/>
        </w:rPr>
        <w:br w:type="page"/>
      </w:r>
    </w:p>
    <w:p>
      <w:pPr>
        <w:pStyle w:val="3"/>
        <w:spacing w:line="360" w:lineRule="auto"/>
        <w:rPr>
          <w:rFonts w:hint="eastAsia" w:ascii="Times New Roman" w:hAnsi="Times New Roman" w:eastAsia="宋体"/>
          <w:color w:val="auto"/>
          <w:sz w:val="24"/>
          <w:szCs w:val="24"/>
          <w:highlight w:val="none"/>
        </w:rPr>
      </w:pPr>
      <w:bookmarkStart w:id="344" w:name="_Toc247527606"/>
      <w:bookmarkStart w:id="345" w:name="_Toc247514005"/>
      <w:bookmarkStart w:id="346" w:name="_Toc152042358"/>
      <w:bookmarkStart w:id="347" w:name="_Toc144974548"/>
      <w:bookmarkStart w:id="348" w:name="_Toc152045581"/>
      <w:bookmarkStart w:id="349" w:name="_Toc300835002"/>
      <w:r>
        <w:rPr>
          <w:rFonts w:hint="eastAsia" w:ascii="Times New Roman" w:hAnsi="Times New Roman" w:eastAsia="宋体"/>
          <w:color w:val="auto"/>
          <w:sz w:val="24"/>
          <w:szCs w:val="24"/>
          <w:highlight w:val="none"/>
        </w:rPr>
        <w:t>附件一：开标记录表</w:t>
      </w:r>
      <w:bookmarkEnd w:id="344"/>
      <w:bookmarkEnd w:id="345"/>
      <w:bookmarkEnd w:id="346"/>
      <w:bookmarkEnd w:id="347"/>
      <w:bookmarkEnd w:id="348"/>
      <w:bookmarkEnd w:id="349"/>
    </w:p>
    <w:p>
      <w:pPr>
        <w:spacing w:line="400" w:lineRule="exact"/>
        <w:rPr>
          <w:color w:val="auto"/>
          <w:highlight w:val="none"/>
        </w:rPr>
      </w:pPr>
      <w:r>
        <w:rPr>
          <w:color w:val="auto"/>
          <w:highlight w:val="none"/>
        </w:rPr>
        <w:t xml:space="preserve">              </w:t>
      </w:r>
    </w:p>
    <w:p>
      <w:pPr>
        <w:spacing w:line="360" w:lineRule="auto"/>
        <w:jc w:val="center"/>
        <w:rPr>
          <w:rFonts w:hint="eastAsia" w:ascii="Times New Roman" w:hAnsi="Times New Roman"/>
          <w:b/>
          <w:color w:val="auto"/>
          <w:sz w:val="24"/>
          <w:highlight w:val="none"/>
        </w:rPr>
      </w:pPr>
      <w:r>
        <w:rPr>
          <w:rFonts w:hint="eastAsia" w:ascii="Times New Roman" w:hAnsi="Times New Roman"/>
          <w:b/>
          <w:color w:val="auto"/>
          <w:sz w:val="24"/>
          <w:highlight w:val="none"/>
          <w:u w:val="single"/>
        </w:rPr>
        <w:t xml:space="preserve">     （项目名称）</w:t>
      </w:r>
      <w:r>
        <w:rPr>
          <w:rFonts w:hint="eastAsia" w:ascii="Times New Roman" w:hAnsi="Times New Roman"/>
          <w:b/>
          <w:color w:val="auto"/>
          <w:sz w:val="24"/>
          <w:highlight w:val="none"/>
        </w:rPr>
        <w:t>设计施工总承包</w:t>
      </w:r>
      <w:r>
        <w:rPr>
          <w:rFonts w:hint="eastAsia" w:ascii="Times New Roman" w:hAnsi="Times New Roman"/>
          <w:b/>
          <w:color w:val="auto"/>
          <w:sz w:val="24"/>
          <w:highlight w:val="none"/>
          <w:u w:val="single"/>
        </w:rPr>
        <w:t xml:space="preserve">    </w:t>
      </w:r>
      <w:r>
        <w:rPr>
          <w:rFonts w:hint="eastAsia" w:ascii="Times New Roman" w:hAnsi="Times New Roman"/>
          <w:b/>
          <w:color w:val="auto"/>
          <w:sz w:val="24"/>
          <w:highlight w:val="none"/>
        </w:rPr>
        <w:t>标段招标开标记录表</w:t>
      </w:r>
    </w:p>
    <w:p>
      <w:pPr>
        <w:spacing w:line="400" w:lineRule="exact"/>
        <w:rPr>
          <w:color w:val="auto"/>
          <w:highlight w:val="none"/>
        </w:rPr>
      </w:pPr>
    </w:p>
    <w:p>
      <w:pPr>
        <w:spacing w:line="400" w:lineRule="exact"/>
        <w:ind w:right="420" w:firstLine="3600" w:firstLineChars="15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开标时间：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日</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时</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分</w:t>
      </w:r>
    </w:p>
    <w:p>
      <w:pPr>
        <w:spacing w:line="400" w:lineRule="exact"/>
        <w:ind w:right="420" w:firstLine="5160" w:firstLineChars="2150"/>
        <w:rPr>
          <w:rFonts w:hint="eastAsia" w:ascii="Times New Roman" w:hAnsi="Times New Roman" w:cs="宋体"/>
          <w:color w:val="auto"/>
          <w:sz w:val="24"/>
          <w:highlight w:val="none"/>
        </w:rPr>
      </w:pPr>
    </w:p>
    <w:tbl>
      <w:tblPr>
        <w:tblStyle w:val="20"/>
        <w:tblW w:w="0" w:type="auto"/>
        <w:tblInd w:w="0" w:type="dxa"/>
        <w:tblLayout w:type="fixed"/>
        <w:tblCellMar>
          <w:top w:w="0" w:type="dxa"/>
          <w:left w:w="108" w:type="dxa"/>
          <w:bottom w:w="0" w:type="dxa"/>
          <w:right w:w="108" w:type="dxa"/>
        </w:tblCellMar>
      </w:tblPr>
      <w:tblGrid>
        <w:gridCol w:w="649"/>
        <w:gridCol w:w="945"/>
        <w:gridCol w:w="1419"/>
        <w:gridCol w:w="1206"/>
        <w:gridCol w:w="1667"/>
        <w:gridCol w:w="1758"/>
        <w:gridCol w:w="700"/>
        <w:gridCol w:w="763"/>
      </w:tblGrid>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945"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w:t>
            </w:r>
          </w:p>
        </w:tc>
        <w:tc>
          <w:tcPr>
            <w:tcW w:w="1419"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是否提交投标保证金</w:t>
            </w:r>
          </w:p>
        </w:tc>
        <w:tc>
          <w:tcPr>
            <w:tcW w:w="1206"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w:t>
            </w:r>
          </w:p>
        </w:tc>
        <w:tc>
          <w:tcPr>
            <w:tcW w:w="1667"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设计质量标准</w:t>
            </w:r>
          </w:p>
        </w:tc>
        <w:tc>
          <w:tcPr>
            <w:tcW w:w="1758"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施工质量标准</w:t>
            </w:r>
          </w:p>
        </w:tc>
        <w:tc>
          <w:tcPr>
            <w:tcW w:w="700"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工期</w:t>
            </w:r>
          </w:p>
        </w:tc>
        <w:tc>
          <w:tcPr>
            <w:tcW w:w="763" w:type="dxa"/>
            <w:tcBorders>
              <w:top w:val="single" w:color="auto" w:sz="4" w:space="0"/>
              <w:left w:val="single" w:color="auto" w:sz="4" w:space="0"/>
              <w:bottom w:val="single" w:color="auto" w:sz="4" w:space="0"/>
              <w:right w:val="single" w:color="auto" w:sz="4" w:space="0"/>
            </w:tcBorders>
            <w:noWrap w:val="0"/>
            <w:vAlign w:val="center"/>
          </w:tcPr>
          <w:p>
            <w:pPr>
              <w:spacing w:line="500" w:lineRule="exact"/>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备注</w:t>
            </w: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r>
      <w:tr>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r>
      <w:tr>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r>
      <w:tr>
        <w:tblPrEx>
          <w:tblCellMar>
            <w:top w:w="0" w:type="dxa"/>
            <w:left w:w="108" w:type="dxa"/>
            <w:bottom w:w="0" w:type="dxa"/>
            <w:right w:w="108" w:type="dxa"/>
          </w:tblCellMar>
        </w:tblPrEx>
        <w:tc>
          <w:tcPr>
            <w:tcW w:w="64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945"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419"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206"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667"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1758"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00"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c>
          <w:tcPr>
            <w:tcW w:w="763" w:type="dxa"/>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r>
      <w:tr>
        <w:tblPrEx>
          <w:tblCellMar>
            <w:top w:w="0" w:type="dxa"/>
            <w:left w:w="108" w:type="dxa"/>
            <w:bottom w:w="0" w:type="dxa"/>
            <w:right w:w="108" w:type="dxa"/>
          </w:tblCellMar>
        </w:tblPrEx>
        <w:tc>
          <w:tcPr>
            <w:tcW w:w="3013" w:type="dxa"/>
            <w:gridSpan w:val="3"/>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最高限价</w:t>
            </w:r>
          </w:p>
        </w:tc>
        <w:tc>
          <w:tcPr>
            <w:tcW w:w="6094" w:type="dxa"/>
            <w:gridSpan w:val="5"/>
            <w:tcBorders>
              <w:top w:val="single" w:color="auto" w:sz="4" w:space="0"/>
              <w:left w:val="single" w:color="auto" w:sz="4" w:space="0"/>
              <w:bottom w:val="single" w:color="auto" w:sz="4" w:space="0"/>
              <w:right w:val="single" w:color="auto" w:sz="4" w:space="0"/>
            </w:tcBorders>
            <w:noWrap w:val="0"/>
            <w:vAlign w:val="top"/>
          </w:tcPr>
          <w:p>
            <w:pPr>
              <w:spacing w:line="500" w:lineRule="exact"/>
              <w:jc w:val="left"/>
              <w:rPr>
                <w:rFonts w:hint="eastAsia" w:ascii="Times New Roman" w:hAnsi="Times New Roman" w:cs="宋体"/>
                <w:color w:val="auto"/>
                <w:szCs w:val="21"/>
                <w:highlight w:val="none"/>
              </w:rPr>
            </w:pPr>
          </w:p>
        </w:tc>
      </w:tr>
    </w:tbl>
    <w:p>
      <w:pPr>
        <w:spacing w:line="440" w:lineRule="exact"/>
        <w:rPr>
          <w:rFonts w:hint="eastAsia" w:ascii="Times New Roman" w:hAnsi="Times New Roman" w:cs="宋体"/>
          <w:color w:val="auto"/>
          <w:szCs w:val="21"/>
          <w:highlight w:val="none"/>
        </w:rPr>
      </w:pPr>
      <w:r>
        <w:rPr>
          <w:rFonts w:hint="eastAsia" w:ascii="Times New Roman" w:hAnsi="Times New Roman" w:cs="宋体"/>
          <w:color w:val="auto"/>
          <w:highlight w:val="none"/>
        </w:rPr>
        <w:t>　　</w:t>
      </w:r>
      <w:r>
        <w:rPr>
          <w:rFonts w:hint="eastAsia" w:ascii="Times New Roman" w:hAnsi="Times New Roman" w:cs="宋体"/>
          <w:color w:val="auto"/>
          <w:szCs w:val="21"/>
          <w:highlight w:val="none"/>
        </w:rPr>
        <w:t>　</w:t>
      </w:r>
    </w:p>
    <w:p>
      <w:pPr>
        <w:spacing w:line="360" w:lineRule="auto"/>
        <w:rPr>
          <w:rFonts w:ascii="Times New Roman" w:hAnsi="Times New Roman"/>
          <w:color w:val="auto"/>
          <w:sz w:val="24"/>
          <w:highlight w:val="none"/>
          <w:u w:val="single"/>
        </w:rPr>
      </w:pPr>
      <w:r>
        <w:rPr>
          <w:rFonts w:hint="eastAsia" w:ascii="Times New Roman" w:hAnsi="Times New Roman"/>
          <w:color w:val="auto"/>
          <w:sz w:val="24"/>
          <w:highlight w:val="none"/>
        </w:rPr>
        <w:t>招标人代表：</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ascii="Times New Roman" w:hAnsi="Times New Roman"/>
          <w:color w:val="auto"/>
          <w:sz w:val="24"/>
          <w:highlight w:val="none"/>
        </w:rPr>
        <w:t xml:space="preserve">                </w:t>
      </w:r>
      <w:r>
        <w:rPr>
          <w:rFonts w:hint="eastAsia" w:ascii="Times New Roman" w:hAnsi="Times New Roman"/>
          <w:color w:val="auto"/>
          <w:sz w:val="24"/>
          <w:highlight w:val="none"/>
        </w:rPr>
        <w:t>监督</w:t>
      </w:r>
      <w:r>
        <w:rPr>
          <w:rFonts w:ascii="Times New Roman" w:hAnsi="Times New Roman"/>
          <w:color w:val="auto"/>
          <w:sz w:val="24"/>
          <w:highlight w:val="none"/>
        </w:rPr>
        <w:t>人：</w:t>
      </w:r>
      <w:r>
        <w:rPr>
          <w:rFonts w:hint="eastAsia" w:ascii="Times New Roman" w:hAnsi="Times New Roman"/>
          <w:color w:val="auto"/>
          <w:sz w:val="24"/>
          <w:highlight w:val="none"/>
          <w:u w:val="single"/>
        </w:rPr>
        <w:t xml:space="preserve">              </w:t>
      </w:r>
    </w:p>
    <w:p>
      <w:pPr>
        <w:spacing w:line="360" w:lineRule="auto"/>
        <w:rPr>
          <w:rFonts w:ascii="Times New Roman" w:hAnsi="Times New Roman"/>
          <w:color w:val="auto"/>
          <w:sz w:val="24"/>
          <w:highlight w:val="none"/>
          <w:u w:val="single"/>
        </w:rPr>
      </w:pPr>
      <w:r>
        <w:rPr>
          <w:rFonts w:hint="eastAsia" w:ascii="Times New Roman" w:hAnsi="Times New Roman"/>
          <w:color w:val="auto"/>
          <w:sz w:val="24"/>
          <w:highlight w:val="none"/>
        </w:rPr>
        <w:t>招标代理机构代表：</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 xml:space="preserve">               </w:t>
      </w:r>
      <w:r>
        <w:rPr>
          <w:rFonts w:hint="eastAsia" w:ascii="Times New Roman" w:hAnsi="Times New Roman"/>
          <w:color w:val="auto"/>
          <w:sz w:val="24"/>
          <w:highlight w:val="none"/>
        </w:rPr>
        <w:t xml:space="preserve"> 记录人</w:t>
      </w:r>
      <w:r>
        <w:rPr>
          <w:rFonts w:ascii="Times New Roman" w:hAnsi="Times New Roman"/>
          <w:color w:val="auto"/>
          <w:sz w:val="24"/>
          <w:highlight w:val="none"/>
        </w:rPr>
        <w:t>：</w:t>
      </w:r>
      <w:r>
        <w:rPr>
          <w:rFonts w:hint="eastAsia" w:ascii="Times New Roman" w:hAnsi="Times New Roman"/>
          <w:color w:val="auto"/>
          <w:sz w:val="24"/>
          <w:highlight w:val="none"/>
          <w:u w:val="single"/>
        </w:rPr>
        <w:t xml:space="preserve">              </w:t>
      </w:r>
    </w:p>
    <w:p>
      <w:pPr>
        <w:spacing w:line="360" w:lineRule="auto"/>
        <w:rPr>
          <w:rFonts w:ascii="Times New Roman" w:hAnsi="Times New Roman"/>
          <w:color w:val="auto"/>
          <w:sz w:val="24"/>
          <w:highlight w:val="none"/>
        </w:rPr>
      </w:pPr>
    </w:p>
    <w:p>
      <w:pPr>
        <w:spacing w:line="360" w:lineRule="auto"/>
        <w:jc w:val="center"/>
        <w:rPr>
          <w:rFonts w:ascii="Times New Roman" w:hAnsi="Times New Roman"/>
          <w:color w:val="auto"/>
          <w:sz w:val="24"/>
          <w:highlight w:val="none"/>
        </w:rPr>
      </w:pPr>
      <w:r>
        <w:rPr>
          <w:rFonts w:hint="eastAsia" w:ascii="Times New Roman" w:hAnsi="Times New Roman"/>
          <w:color w:val="auto"/>
          <w:sz w:val="24"/>
          <w:highlight w:val="none"/>
        </w:rPr>
        <w:t xml:space="preserve">                                        年  月  日</w:t>
      </w:r>
    </w:p>
    <w:p>
      <w:pPr>
        <w:pStyle w:val="3"/>
        <w:spacing w:line="360" w:lineRule="auto"/>
        <w:rPr>
          <w:rFonts w:hint="eastAsia" w:ascii="Times New Roman" w:hAnsi="Times New Roman" w:eastAsia="宋体"/>
          <w:color w:val="auto"/>
          <w:sz w:val="24"/>
          <w:szCs w:val="24"/>
          <w:highlight w:val="none"/>
        </w:rPr>
      </w:pPr>
      <w:bookmarkStart w:id="350" w:name="_Toc247527607"/>
      <w:bookmarkStart w:id="351" w:name="_Toc152045582"/>
      <w:bookmarkStart w:id="352" w:name="_Toc300835003"/>
      <w:bookmarkStart w:id="353" w:name="_Toc247514006"/>
      <w:bookmarkStart w:id="354" w:name="_Toc144974549"/>
      <w:bookmarkStart w:id="355" w:name="_Toc152042359"/>
      <w:r>
        <w:rPr>
          <w:rFonts w:hint="eastAsia" w:ascii="Times New Roman" w:hAnsi="Times New Roman" w:eastAsia="宋体"/>
          <w:color w:val="auto"/>
          <w:sz w:val="24"/>
          <w:szCs w:val="24"/>
          <w:highlight w:val="none"/>
        </w:rPr>
        <w:br w:type="page"/>
      </w:r>
      <w:r>
        <w:rPr>
          <w:rFonts w:hint="eastAsia" w:ascii="Times New Roman" w:hAnsi="Times New Roman" w:eastAsia="宋体"/>
          <w:color w:val="auto"/>
          <w:sz w:val="24"/>
          <w:szCs w:val="24"/>
          <w:highlight w:val="none"/>
        </w:rPr>
        <w:t>附件二：问题澄清通知</w:t>
      </w:r>
      <w:bookmarkEnd w:id="350"/>
      <w:bookmarkEnd w:id="351"/>
      <w:bookmarkEnd w:id="352"/>
      <w:bookmarkEnd w:id="353"/>
      <w:bookmarkEnd w:id="354"/>
      <w:bookmarkEnd w:id="355"/>
    </w:p>
    <w:p>
      <w:pPr>
        <w:spacing w:line="440" w:lineRule="exact"/>
        <w:jc w:val="center"/>
        <w:rPr>
          <w:color w:val="auto"/>
          <w:szCs w:val="21"/>
          <w:highlight w:val="none"/>
        </w:rPr>
      </w:pPr>
    </w:p>
    <w:p>
      <w:pPr>
        <w:spacing w:line="360" w:lineRule="auto"/>
        <w:jc w:val="center"/>
        <w:rPr>
          <w:rFonts w:hint="eastAsia" w:ascii="Times New Roman" w:hAnsi="Times New Roman"/>
          <w:b/>
          <w:color w:val="auto"/>
          <w:sz w:val="24"/>
          <w:highlight w:val="none"/>
        </w:rPr>
      </w:pPr>
      <w:r>
        <w:rPr>
          <w:rFonts w:hint="eastAsia" w:ascii="Times New Roman" w:hAnsi="Times New Roman"/>
          <w:b/>
          <w:color w:val="auto"/>
          <w:sz w:val="24"/>
          <w:highlight w:val="none"/>
        </w:rPr>
        <w:t>问题澄清通知</w:t>
      </w:r>
    </w:p>
    <w:p>
      <w:pPr>
        <w:spacing w:line="440" w:lineRule="exact"/>
        <w:rPr>
          <w:color w:val="auto"/>
          <w:szCs w:val="21"/>
          <w:highlight w:val="none"/>
        </w:rPr>
      </w:pPr>
      <w:r>
        <w:rPr>
          <w:color w:val="auto"/>
          <w:szCs w:val="21"/>
          <w:highlight w:val="none"/>
        </w:rPr>
        <w:t xml:space="preserve">                               </w:t>
      </w:r>
      <w:r>
        <w:rPr>
          <w:rFonts w:hint="eastAsia"/>
          <w:color w:val="auto"/>
          <w:szCs w:val="21"/>
          <w:highlight w:val="none"/>
        </w:rPr>
        <w:t xml:space="preserve">                                         </w:t>
      </w:r>
      <w:r>
        <w:rPr>
          <w:color w:val="auto"/>
          <w:szCs w:val="21"/>
          <w:highlight w:val="none"/>
        </w:rPr>
        <w:t>编号：</w:t>
      </w:r>
    </w:p>
    <w:p>
      <w:pPr>
        <w:spacing w:line="440" w:lineRule="exact"/>
        <w:rPr>
          <w:color w:val="auto"/>
          <w:szCs w:val="21"/>
          <w:highlight w:val="none"/>
        </w:rPr>
      </w:pPr>
    </w:p>
    <w:p>
      <w:pPr>
        <w:widowControl/>
        <w:spacing w:line="360" w:lineRule="auto"/>
        <w:jc w:val="left"/>
        <w:rPr>
          <w:rFonts w:ascii="Times New Roman" w:hAnsi="Times New Roman" w:cs="Arial"/>
          <w:color w:val="auto"/>
          <w:kern w:val="0"/>
          <w:sz w:val="24"/>
          <w:highlight w:val="none"/>
        </w:rPr>
      </w:pPr>
      <w:r>
        <w:rPr>
          <w:color w:val="auto"/>
          <w:szCs w:val="21"/>
          <w:highlight w:val="none"/>
        </w:rPr>
        <w:t xml:space="preserve">  </w:t>
      </w:r>
      <w:r>
        <w:rPr>
          <w:rFonts w:hint="eastAsia" w:ascii="Times New Roman" w:hAnsi="Times New Roman" w:cs="Arial"/>
          <w:color w:val="auto"/>
          <w:kern w:val="0"/>
          <w:sz w:val="24"/>
          <w:highlight w:val="none"/>
          <w:u w:val="single"/>
        </w:rPr>
        <w:t xml:space="preserve">                    </w:t>
      </w:r>
      <w:r>
        <w:rPr>
          <w:rFonts w:hint="eastAsia" w:ascii="Times New Roman" w:hAnsi="Times New Roman" w:cs="Arial"/>
          <w:color w:val="auto"/>
          <w:kern w:val="0"/>
          <w:sz w:val="24"/>
          <w:highlight w:val="none"/>
        </w:rPr>
        <w:t>（投标人名称）：</w:t>
      </w:r>
    </w:p>
    <w:p>
      <w:pPr>
        <w:widowControl/>
        <w:spacing w:line="360" w:lineRule="auto"/>
        <w:jc w:val="left"/>
        <w:rPr>
          <w:rFonts w:ascii="Times New Roman" w:hAnsi="Times New Roman" w:cs="Arial"/>
          <w:color w:val="auto"/>
          <w:kern w:val="0"/>
          <w:sz w:val="24"/>
          <w:highlight w:val="none"/>
          <w:u w:val="single"/>
        </w:rPr>
      </w:pPr>
      <w:r>
        <w:rPr>
          <w:rFonts w:ascii="Times New Roman" w:hAnsi="Times New Roman" w:eastAsia="Calibri" w:cs="Arial"/>
          <w:color w:val="auto"/>
          <w:kern w:val="0"/>
          <w:sz w:val="24"/>
          <w:highlight w:val="none"/>
        </w:rPr>
        <w:t xml:space="preserve">   </w:t>
      </w:r>
      <w:r>
        <w:rPr>
          <w:rFonts w:hint="eastAsia" w:ascii="Times New Roman" w:hAnsi="Times New Roman" w:cs="Arial"/>
          <w:color w:val="auto"/>
          <w:kern w:val="0"/>
          <w:sz w:val="24"/>
          <w:highlight w:val="none"/>
        </w:rPr>
        <w:t xml:space="preserve">  </w:t>
      </w:r>
      <w:r>
        <w:rPr>
          <w:rFonts w:hint="eastAsia" w:ascii="Times New Roman" w:hAnsi="Times New Roman" w:cs="Arial"/>
          <w:color w:val="auto"/>
          <w:kern w:val="0"/>
          <w:sz w:val="24"/>
          <w:highlight w:val="none"/>
          <w:u w:val="single"/>
        </w:rPr>
        <w:t xml:space="preserve">          （项目名称）</w:t>
      </w:r>
      <w:r>
        <w:rPr>
          <w:rFonts w:hint="eastAsia" w:ascii="Times New Roman" w:hAnsi="Times New Roman" w:cs="Arial"/>
          <w:color w:val="auto"/>
          <w:kern w:val="0"/>
          <w:sz w:val="24"/>
          <w:highlight w:val="none"/>
        </w:rPr>
        <w:t>设计施工总承包_______标段招标的评标委员会，对你方的投标文件进行了仔细的审查，现需你方对下列问题以书面形式予以澄清、说明或补正：</w:t>
      </w:r>
      <w:r>
        <w:rPr>
          <w:rFonts w:hint="eastAsia" w:ascii="Times New Roman" w:hAnsi="Times New Roman" w:cs="Arial"/>
          <w:color w:val="auto"/>
          <w:kern w:val="0"/>
          <w:sz w:val="24"/>
          <w:highlight w:val="none"/>
          <w:u w:val="single"/>
        </w:rPr>
        <w:t xml:space="preserve">                                                </w:t>
      </w:r>
    </w:p>
    <w:p>
      <w:pPr>
        <w:widowControl/>
        <w:spacing w:line="360" w:lineRule="auto"/>
        <w:jc w:val="left"/>
        <w:rPr>
          <w:rFonts w:ascii="Times New Roman" w:hAnsi="Times New Roman" w:cs="Arial"/>
          <w:color w:val="auto"/>
          <w:kern w:val="0"/>
          <w:sz w:val="24"/>
          <w:highlight w:val="none"/>
          <w:u w:val="single"/>
        </w:rPr>
      </w:pPr>
    </w:p>
    <w:p>
      <w:pPr>
        <w:widowControl/>
        <w:spacing w:line="360" w:lineRule="auto"/>
        <w:jc w:val="left"/>
        <w:rPr>
          <w:rFonts w:ascii="Times New Roman" w:hAnsi="Times New Roman" w:cs="Arial"/>
          <w:color w:val="auto"/>
          <w:kern w:val="0"/>
          <w:sz w:val="24"/>
          <w:highlight w:val="none"/>
        </w:rPr>
      </w:pPr>
    </w:p>
    <w:p>
      <w:pPr>
        <w:widowControl/>
        <w:spacing w:line="360" w:lineRule="auto"/>
        <w:jc w:val="left"/>
        <w:rPr>
          <w:rFonts w:ascii="Times New Roman" w:hAnsi="Times New Roman" w:cs="Arial"/>
          <w:color w:val="auto"/>
          <w:kern w:val="0"/>
          <w:sz w:val="24"/>
          <w:highlight w:val="none"/>
        </w:rPr>
      </w:pPr>
    </w:p>
    <w:p>
      <w:pPr>
        <w:widowControl/>
        <w:spacing w:line="360" w:lineRule="auto"/>
        <w:jc w:val="left"/>
        <w:rPr>
          <w:rFonts w:ascii="Times New Roman" w:hAnsi="Times New Roman" w:eastAsia="Calibri" w:cs="Arial"/>
          <w:color w:val="auto"/>
          <w:kern w:val="0"/>
          <w:sz w:val="24"/>
          <w:highlight w:val="none"/>
        </w:rPr>
      </w:pPr>
    </w:p>
    <w:p>
      <w:pPr>
        <w:widowControl/>
        <w:spacing w:line="360" w:lineRule="auto"/>
        <w:jc w:val="left"/>
        <w:rPr>
          <w:rFonts w:ascii="Times New Roman" w:hAnsi="Times New Roman" w:cs="Arial"/>
          <w:color w:val="auto"/>
          <w:kern w:val="0"/>
          <w:sz w:val="24"/>
          <w:highlight w:val="none"/>
        </w:rPr>
      </w:pPr>
    </w:p>
    <w:p>
      <w:pPr>
        <w:widowControl/>
        <w:spacing w:line="360" w:lineRule="auto"/>
        <w:jc w:val="left"/>
        <w:rPr>
          <w:rFonts w:ascii="Times New Roman" w:hAnsi="Times New Roman" w:cs="Arial"/>
          <w:color w:val="auto"/>
          <w:kern w:val="0"/>
          <w:sz w:val="24"/>
          <w:highlight w:val="none"/>
        </w:rPr>
      </w:pPr>
    </w:p>
    <w:p>
      <w:pPr>
        <w:widowControl/>
        <w:spacing w:line="360" w:lineRule="auto"/>
        <w:ind w:firstLine="480"/>
        <w:jc w:val="left"/>
        <w:rPr>
          <w:rFonts w:ascii="Times New Roman" w:hAnsi="Times New Roman" w:cs="Arial"/>
          <w:color w:val="auto"/>
          <w:kern w:val="0"/>
          <w:sz w:val="24"/>
          <w:highlight w:val="none"/>
        </w:rPr>
      </w:pPr>
      <w:r>
        <w:rPr>
          <w:rFonts w:hint="eastAsia" w:ascii="Times New Roman" w:hAnsi="Times New Roman" w:cs="Arial"/>
          <w:color w:val="auto"/>
          <w:kern w:val="0"/>
          <w:sz w:val="24"/>
          <w:highlight w:val="none"/>
        </w:rPr>
        <w:t>请将上述问题的澄清、说明或补正于接到通知</w:t>
      </w:r>
      <w:r>
        <w:rPr>
          <w:rFonts w:hint="eastAsia" w:ascii="Times New Roman" w:hAnsi="Times New Roman" w:cs="Arial"/>
          <w:color w:val="auto"/>
          <w:kern w:val="0"/>
          <w:sz w:val="24"/>
          <w:highlight w:val="none"/>
          <w:u w:val="single"/>
        </w:rPr>
        <w:t xml:space="preserve">    </w:t>
      </w:r>
      <w:r>
        <w:rPr>
          <w:rFonts w:hint="eastAsia" w:ascii="Times New Roman" w:hAnsi="Times New Roman" w:cs="Arial"/>
          <w:color w:val="auto"/>
          <w:kern w:val="0"/>
          <w:sz w:val="24"/>
          <w:highlight w:val="none"/>
        </w:rPr>
        <w:t>分钟内通过在线形式递交至评标委员会。</w:t>
      </w:r>
    </w:p>
    <w:p>
      <w:pPr>
        <w:widowControl/>
        <w:spacing w:line="360" w:lineRule="auto"/>
        <w:jc w:val="left"/>
        <w:rPr>
          <w:rFonts w:ascii="Times New Roman" w:hAnsi="Times New Roman" w:cs="Arial"/>
          <w:color w:val="auto"/>
          <w:kern w:val="0"/>
          <w:sz w:val="24"/>
          <w:highlight w:val="none"/>
        </w:rPr>
      </w:pPr>
      <w:r>
        <w:rPr>
          <w:rFonts w:hint="eastAsia" w:ascii="Times New Roman" w:hAnsi="Times New Roman" w:cs="Arial"/>
          <w:color w:val="auto"/>
          <w:kern w:val="0"/>
          <w:sz w:val="24"/>
          <w:highlight w:val="none"/>
        </w:rPr>
        <w:t>评标委员会成员签字：</w:t>
      </w:r>
      <w:r>
        <w:rPr>
          <w:rFonts w:hint="eastAsia" w:ascii="Times New Roman" w:hAnsi="Times New Roman" w:cs="Arial"/>
          <w:color w:val="auto"/>
          <w:kern w:val="0"/>
          <w:sz w:val="24"/>
          <w:highlight w:val="none"/>
          <w:u w:val="single"/>
        </w:rPr>
        <w:t xml:space="preserve">                         </w:t>
      </w:r>
    </w:p>
    <w:p>
      <w:pPr>
        <w:widowControl/>
        <w:spacing w:line="360" w:lineRule="auto"/>
        <w:jc w:val="center"/>
        <w:rPr>
          <w:rFonts w:ascii="Times New Roman" w:hAnsi="Times New Roman" w:eastAsia="Calibri" w:cs="Arial"/>
          <w:color w:val="auto"/>
          <w:kern w:val="0"/>
          <w:sz w:val="24"/>
          <w:highlight w:val="none"/>
        </w:rPr>
      </w:pPr>
    </w:p>
    <w:p>
      <w:pPr>
        <w:widowControl/>
        <w:spacing w:line="360" w:lineRule="auto"/>
        <w:jc w:val="center"/>
        <w:rPr>
          <w:rFonts w:ascii="Times New Roman" w:hAnsi="Times New Roman" w:cs="Arial"/>
          <w:color w:val="auto"/>
          <w:kern w:val="0"/>
          <w:sz w:val="24"/>
          <w:highlight w:val="none"/>
        </w:rPr>
      </w:pPr>
      <w:r>
        <w:rPr>
          <w:rFonts w:ascii="Times New Roman" w:hAnsi="Times New Roman" w:eastAsia="Calibri" w:cs="Arial"/>
          <w:color w:val="auto"/>
          <w:kern w:val="0"/>
          <w:sz w:val="24"/>
          <w:highlight w:val="none"/>
        </w:rPr>
        <w:t xml:space="preserve">  </w:t>
      </w:r>
      <w:r>
        <w:rPr>
          <w:rFonts w:hint="eastAsia" w:ascii="Times New Roman" w:hAnsi="Times New Roman" w:cs="Arial"/>
          <w:color w:val="auto"/>
          <w:kern w:val="0"/>
          <w:sz w:val="24"/>
          <w:highlight w:val="none"/>
        </w:rPr>
        <w:t xml:space="preserve">          </w:t>
      </w:r>
      <w:r>
        <w:rPr>
          <w:rFonts w:ascii="Times New Roman" w:hAnsi="Times New Roman" w:eastAsia="Calibri" w:cs="Arial"/>
          <w:color w:val="auto"/>
          <w:kern w:val="0"/>
          <w:sz w:val="24"/>
          <w:highlight w:val="none"/>
        </w:rPr>
        <w:t xml:space="preserve">     </w:t>
      </w:r>
      <w:r>
        <w:rPr>
          <w:rFonts w:hint="eastAsia" w:ascii="Times New Roman" w:hAnsi="Times New Roman" w:cs="Arial"/>
          <w:color w:val="auto"/>
          <w:kern w:val="0"/>
          <w:sz w:val="24"/>
          <w:highlight w:val="none"/>
        </w:rPr>
        <w:t>_______年_______月_______日</w:t>
      </w:r>
    </w:p>
    <w:p>
      <w:pPr>
        <w:spacing w:line="400" w:lineRule="exact"/>
        <w:rPr>
          <w:color w:val="auto"/>
          <w:highlight w:val="none"/>
        </w:rPr>
      </w:pPr>
    </w:p>
    <w:p>
      <w:pPr>
        <w:spacing w:line="360" w:lineRule="auto"/>
        <w:rPr>
          <w:rFonts w:ascii="Times New Roman" w:hAnsi="Times New Roman"/>
          <w:color w:val="auto"/>
          <w:sz w:val="24"/>
          <w:highlight w:val="none"/>
        </w:rPr>
      </w:pPr>
      <w:r>
        <w:rPr>
          <w:rFonts w:hint="eastAsia"/>
          <w:color w:val="auto"/>
          <w:highlight w:val="none"/>
        </w:rPr>
        <w:t>注：</w:t>
      </w:r>
      <w:r>
        <w:rPr>
          <w:rFonts w:hint="eastAsia" w:ascii="Times New Roman" w:hAnsi="Times New Roman"/>
          <w:color w:val="auto"/>
          <w:sz w:val="24"/>
          <w:highlight w:val="none"/>
        </w:rPr>
        <w:t>评标委员会在评标过程中，如要求投标人澄清或说明的，评标委员会要求投标人在线澄清或说明的时间距投标人收到评标委员会通知的时间不得少于 60分钟。</w:t>
      </w:r>
    </w:p>
    <w:p>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400" w:lineRule="exact"/>
        <w:rPr>
          <w:color w:val="auto"/>
          <w:highlight w:val="none"/>
        </w:rPr>
      </w:pPr>
      <w:r>
        <w:rPr>
          <w:color w:val="auto"/>
          <w:highlight w:val="none"/>
        </w:rPr>
        <w:t xml:space="preserve">    </w:t>
      </w:r>
      <w:r>
        <w:rPr>
          <w:rFonts w:hint="eastAsia" w:ascii="Times New Roman" w:hAnsi="Times New Roman"/>
          <w:color w:val="auto"/>
          <w:sz w:val="24"/>
          <w:highlight w:val="none"/>
        </w:rPr>
        <w:t>投标人未在规定时间内作出澄清或说明的，或者评标委员会成员认为该投标人的两次澄清或说明都不符合评标委员会要求的，作否决投标处理。</w:t>
      </w:r>
      <w:r>
        <w:rPr>
          <w:color w:val="auto"/>
          <w:highlight w:val="none"/>
        </w:rPr>
        <w:br w:type="page"/>
      </w:r>
    </w:p>
    <w:p>
      <w:pPr>
        <w:pStyle w:val="3"/>
        <w:spacing w:line="360" w:lineRule="auto"/>
        <w:rPr>
          <w:rFonts w:ascii="Times New Roman" w:hAnsi="Times New Roman" w:eastAsia="黑体"/>
          <w:color w:val="auto"/>
          <w:sz w:val="28"/>
          <w:szCs w:val="28"/>
          <w:highlight w:val="none"/>
        </w:rPr>
      </w:pPr>
      <w:bookmarkStart w:id="356" w:name="_Toc152042360"/>
      <w:bookmarkStart w:id="357" w:name="_Toc152045583"/>
      <w:bookmarkStart w:id="358" w:name="_Toc144974550"/>
      <w:bookmarkStart w:id="359" w:name="_Toc247514007"/>
      <w:bookmarkStart w:id="360" w:name="_Toc247527608"/>
      <w:bookmarkStart w:id="361" w:name="_Toc300835004"/>
      <w:r>
        <w:rPr>
          <w:rFonts w:hint="eastAsia" w:ascii="Times New Roman" w:hAnsi="Times New Roman" w:eastAsia="宋体"/>
          <w:color w:val="auto"/>
          <w:sz w:val="24"/>
          <w:szCs w:val="24"/>
          <w:highlight w:val="none"/>
        </w:rPr>
        <w:t>附件三：问题的澄清</w:t>
      </w:r>
      <w:bookmarkEnd w:id="356"/>
      <w:bookmarkEnd w:id="357"/>
      <w:bookmarkEnd w:id="358"/>
      <w:bookmarkEnd w:id="359"/>
      <w:bookmarkEnd w:id="360"/>
      <w:bookmarkEnd w:id="361"/>
    </w:p>
    <w:p>
      <w:pPr>
        <w:spacing w:line="360" w:lineRule="auto"/>
        <w:jc w:val="center"/>
        <w:rPr>
          <w:rFonts w:hint="eastAsia" w:ascii="Times New Roman" w:hAnsi="Times New Roman"/>
          <w:b/>
          <w:color w:val="auto"/>
          <w:sz w:val="24"/>
          <w:highlight w:val="none"/>
        </w:rPr>
      </w:pPr>
      <w:r>
        <w:rPr>
          <w:rFonts w:hint="eastAsia" w:ascii="Times New Roman" w:hAnsi="Times New Roman"/>
          <w:b/>
          <w:color w:val="auto"/>
          <w:sz w:val="24"/>
          <w:highlight w:val="none"/>
        </w:rPr>
        <w:t>问题的澄清</w:t>
      </w:r>
    </w:p>
    <w:p>
      <w:pPr>
        <w:spacing w:line="440" w:lineRule="exact"/>
        <w:ind w:firstLine="7140" w:firstLineChars="3400"/>
        <w:rPr>
          <w:rFonts w:hint="eastAsia"/>
          <w:color w:val="auto"/>
          <w:szCs w:val="21"/>
          <w:highlight w:val="none"/>
        </w:rPr>
      </w:pPr>
      <w:r>
        <w:rPr>
          <w:rFonts w:hint="eastAsia"/>
          <w:color w:val="auto"/>
          <w:szCs w:val="21"/>
          <w:highlight w:val="none"/>
        </w:rPr>
        <w:t xml:space="preserve">编号： </w:t>
      </w:r>
    </w:p>
    <w:p>
      <w:pPr>
        <w:spacing w:line="400" w:lineRule="exact"/>
        <w:rPr>
          <w:color w:val="auto"/>
          <w:szCs w:val="21"/>
          <w:highlight w:val="none"/>
        </w:rPr>
      </w:pPr>
    </w:p>
    <w:p>
      <w:pPr>
        <w:spacing w:line="360" w:lineRule="auto"/>
        <w:rPr>
          <w:rFonts w:ascii="Times New Roman" w:hAnsi="Times New Roman"/>
          <w:color w:val="auto"/>
          <w:sz w:val="24"/>
          <w:highlight w:val="none"/>
        </w:rPr>
      </w:pPr>
      <w:r>
        <w:rPr>
          <w:rFonts w:hint="eastAsia" w:ascii="Times New Roman" w:hAnsi="Times New Roman"/>
          <w:color w:val="auto"/>
          <w:sz w:val="24"/>
          <w:highlight w:val="none"/>
        </w:rPr>
        <w:t>评标委员会：</w:t>
      </w:r>
    </w:p>
    <w:p>
      <w:pPr>
        <w:spacing w:line="360" w:lineRule="auto"/>
        <w:rPr>
          <w:color w:val="auto"/>
          <w:sz w:val="24"/>
          <w:highlight w:val="none"/>
        </w:rPr>
      </w:pPr>
      <w:r>
        <w:rPr>
          <w:color w:val="auto"/>
          <w:sz w:val="24"/>
          <w:highlight w:val="none"/>
        </w:rPr>
        <w:t xml:space="preserve">    </w:t>
      </w:r>
      <w:r>
        <w:rPr>
          <w:rFonts w:hint="eastAsia" w:ascii="Times New Roman" w:hAnsi="Times New Roman"/>
          <w:color w:val="auto"/>
          <w:sz w:val="24"/>
          <w:highlight w:val="none"/>
        </w:rPr>
        <w:t>问题澄清通知（编号：_______）已收悉，现澄清、说明或补正如下：</w:t>
      </w:r>
      <w:r>
        <w:rPr>
          <w:color w:val="auto"/>
          <w:sz w:val="24"/>
          <w:highlight w:val="none"/>
          <w:u w:val="single"/>
        </w:rPr>
        <w:t xml:space="preserve"> </w:t>
      </w:r>
      <w:r>
        <w:rPr>
          <w:rFonts w:hint="eastAsia"/>
          <w:color w:val="auto"/>
          <w:sz w:val="24"/>
          <w:highlight w:val="none"/>
          <w:u w:val="single"/>
        </w:rPr>
        <w:t xml:space="preserve">                          </w:t>
      </w: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color w:val="auto"/>
          <w:sz w:val="24"/>
          <w:highlight w:val="none"/>
        </w:rPr>
      </w:pPr>
    </w:p>
    <w:p>
      <w:pPr>
        <w:spacing w:line="360" w:lineRule="auto"/>
        <w:rPr>
          <w:rFonts w:ascii="Times New Roman" w:hAnsi="Times New Roman"/>
          <w:color w:val="auto"/>
          <w:sz w:val="24"/>
          <w:highlight w:val="none"/>
        </w:rPr>
      </w:pPr>
      <w:r>
        <w:rPr>
          <w:color w:val="auto"/>
          <w:sz w:val="24"/>
          <w:highlight w:val="none"/>
        </w:rPr>
        <w:t xml:space="preserve">    </w:t>
      </w:r>
      <w:r>
        <w:rPr>
          <w:rFonts w:hint="eastAsia"/>
          <w:color w:val="auto"/>
          <w:sz w:val="24"/>
          <w:highlight w:val="none"/>
        </w:rPr>
        <w:t>（投标人可另行附页）</w:t>
      </w:r>
    </w:p>
    <w:p>
      <w:pPr>
        <w:spacing w:line="360" w:lineRule="auto"/>
        <w:ind w:firstLine="480"/>
        <w:rPr>
          <w:rFonts w:ascii="Times New Roman" w:hAnsi="Times New Roman"/>
          <w:color w:val="auto"/>
          <w:sz w:val="24"/>
          <w:highlight w:val="none"/>
        </w:rPr>
      </w:pPr>
      <w:r>
        <w:rPr>
          <w:rFonts w:hint="eastAsia"/>
          <w:color w:val="auto"/>
          <w:sz w:val="24"/>
          <w:highlight w:val="none"/>
        </w:rPr>
        <w:t>上述问题</w:t>
      </w:r>
      <w:r>
        <w:rPr>
          <w:rFonts w:hint="eastAsia" w:ascii="Times New Roman" w:hAnsi="Times New Roman"/>
          <w:color w:val="auto"/>
          <w:sz w:val="24"/>
          <w:highlight w:val="none"/>
        </w:rPr>
        <w:t>澄清、说明或补正，不改变我方投标文件的实质性内容，构成我方投标文件的组成部分</w:t>
      </w:r>
    </w:p>
    <w:p>
      <w:pPr>
        <w:spacing w:line="360" w:lineRule="auto"/>
        <w:ind w:firstLine="480"/>
        <w:rPr>
          <w:rFonts w:ascii="Times New Roman" w:hAnsi="Times New Roman"/>
          <w:color w:val="auto"/>
          <w:sz w:val="24"/>
          <w:highlight w:val="none"/>
        </w:rPr>
      </w:pPr>
    </w:p>
    <w:p>
      <w:pPr>
        <w:spacing w:line="360" w:lineRule="auto"/>
        <w:ind w:firstLine="480"/>
        <w:jc w:val="center"/>
        <w:rPr>
          <w:rFonts w:hint="eastAsia" w:ascii="Times New Roman" w:hAnsi="Times New Roman"/>
          <w:color w:val="auto"/>
          <w:sz w:val="24"/>
          <w:highlight w:val="none"/>
          <w:u w:val="single"/>
        </w:rPr>
      </w:pPr>
      <w:r>
        <w:rPr>
          <w:rFonts w:hint="eastAsia" w:ascii="Times New Roman" w:hAnsi="Times New Roman"/>
          <w:color w:val="auto"/>
          <w:sz w:val="24"/>
          <w:highlight w:val="none"/>
        </w:rPr>
        <w:t xml:space="preserve">  投标人名称：</w:t>
      </w:r>
      <w:r>
        <w:rPr>
          <w:rFonts w:hint="eastAsia" w:ascii="Times New Roman" w:hAnsi="Times New Roman"/>
          <w:color w:val="auto"/>
          <w:sz w:val="24"/>
          <w:highlight w:val="none"/>
          <w:u w:val="single"/>
        </w:rPr>
        <w:t xml:space="preserve">                         </w:t>
      </w:r>
    </w:p>
    <w:p>
      <w:pPr>
        <w:spacing w:line="360" w:lineRule="auto"/>
        <w:jc w:val="right"/>
        <w:rPr>
          <w:rFonts w:ascii="Times New Roman" w:hAnsi="Times New Roman"/>
          <w:color w:val="auto"/>
          <w:sz w:val="24"/>
          <w:highlight w:val="none"/>
        </w:rPr>
      </w:pPr>
      <w:r>
        <w:rPr>
          <w:color w:val="auto"/>
          <w:sz w:val="24"/>
          <w:highlight w:val="none"/>
        </w:rPr>
        <w:t xml:space="preserve">    </w:t>
      </w:r>
    </w:p>
    <w:p>
      <w:pPr>
        <w:wordWrap w:val="0"/>
        <w:spacing w:line="360" w:lineRule="auto"/>
        <w:jc w:val="right"/>
        <w:rPr>
          <w:rFonts w:ascii="Times New Roman" w:hAnsi="Times New Roman"/>
          <w:color w:val="auto"/>
          <w:sz w:val="24"/>
          <w:highlight w:val="none"/>
        </w:rPr>
      </w:pPr>
      <w:r>
        <w:rPr>
          <w:color w:val="auto"/>
          <w:sz w:val="24"/>
          <w:highlight w:val="none"/>
        </w:rPr>
        <w:t xml:space="preserve">                          </w:t>
      </w:r>
      <w:r>
        <w:rPr>
          <w:rFonts w:hint="eastAsia" w:ascii="Times New Roman" w:hAnsi="Times New Roman"/>
          <w:color w:val="auto"/>
          <w:sz w:val="24"/>
          <w:highlight w:val="none"/>
        </w:rPr>
        <w:t>_______年_______月_______日</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时</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分</w:t>
      </w:r>
    </w:p>
    <w:p>
      <w:pPr>
        <w:spacing w:line="360" w:lineRule="auto"/>
        <w:ind w:firstLine="480"/>
        <w:rPr>
          <w:color w:val="auto"/>
          <w:sz w:val="24"/>
          <w:highlight w:val="none"/>
        </w:rPr>
      </w:pPr>
    </w:p>
    <w:p>
      <w:pPr>
        <w:spacing w:line="360" w:lineRule="auto"/>
        <w:ind w:firstLine="480"/>
        <w:rPr>
          <w:color w:val="auto"/>
          <w:sz w:val="24"/>
          <w:highlight w:val="none"/>
        </w:rPr>
      </w:pPr>
    </w:p>
    <w:p>
      <w:pPr>
        <w:spacing w:line="360" w:lineRule="auto"/>
        <w:ind w:firstLine="480"/>
        <w:rPr>
          <w:color w:val="auto"/>
          <w:sz w:val="24"/>
          <w:highlight w:val="none"/>
        </w:rPr>
      </w:pPr>
      <w:r>
        <w:rPr>
          <w:rFonts w:hint="eastAsia"/>
          <w:color w:val="auto"/>
          <w:sz w:val="24"/>
          <w:highlight w:val="none"/>
        </w:rPr>
        <w:t>评标委员会意见：</w:t>
      </w:r>
      <w:r>
        <w:rPr>
          <w:rFonts w:hint="eastAsia" w:ascii="Times New Roman" w:hAnsi="Times New Roman"/>
          <w:color w:val="auto"/>
          <w:sz w:val="24"/>
          <w:highlight w:val="none"/>
        </w:rPr>
        <w:t>___________________________________</w:t>
      </w:r>
    </w:p>
    <w:p>
      <w:pPr>
        <w:spacing w:line="360" w:lineRule="auto"/>
        <w:ind w:firstLine="480"/>
        <w:rPr>
          <w:color w:val="auto"/>
          <w:sz w:val="24"/>
          <w:highlight w:val="none"/>
        </w:rPr>
      </w:pPr>
    </w:p>
    <w:p>
      <w:pPr>
        <w:spacing w:line="360" w:lineRule="auto"/>
        <w:ind w:firstLine="480"/>
        <w:rPr>
          <w:color w:val="auto"/>
          <w:sz w:val="24"/>
          <w:highlight w:val="none"/>
        </w:rPr>
      </w:pPr>
      <w:r>
        <w:rPr>
          <w:rFonts w:hint="eastAsia"/>
          <w:color w:val="auto"/>
          <w:sz w:val="24"/>
          <w:highlight w:val="none"/>
        </w:rPr>
        <w:t>评标委员会成员签字：</w:t>
      </w:r>
      <w:r>
        <w:rPr>
          <w:rFonts w:hint="eastAsia" w:ascii="Times New Roman" w:hAnsi="Times New Roman"/>
          <w:color w:val="auto"/>
          <w:sz w:val="24"/>
          <w:highlight w:val="none"/>
        </w:rPr>
        <w:t>_________________________</w:t>
      </w:r>
    </w:p>
    <w:p>
      <w:pPr>
        <w:spacing w:line="360" w:lineRule="auto"/>
        <w:rPr>
          <w:rFonts w:ascii="Times New Roman" w:hAnsi="Times New Roman"/>
          <w:color w:val="auto"/>
          <w:sz w:val="24"/>
          <w:highlight w:val="none"/>
        </w:rPr>
      </w:pPr>
      <w:r>
        <w:rPr>
          <w:color w:val="auto"/>
          <w:sz w:val="24"/>
          <w:highlight w:val="none"/>
        </w:rPr>
        <w:t xml:space="preserve">   </w:t>
      </w:r>
    </w:p>
    <w:p>
      <w:pPr>
        <w:spacing w:line="360" w:lineRule="auto"/>
        <w:jc w:val="right"/>
        <w:rPr>
          <w:rFonts w:ascii="Times New Roman" w:hAnsi="Times New Roman"/>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color w:val="auto"/>
          <w:sz w:val="24"/>
          <w:highlight w:val="none"/>
        </w:rPr>
        <w:t xml:space="preserve">     </w:t>
      </w:r>
      <w:r>
        <w:rPr>
          <w:rFonts w:hint="eastAsia" w:ascii="Times New Roman" w:hAnsi="Times New Roman"/>
          <w:color w:val="auto"/>
          <w:sz w:val="24"/>
          <w:highlight w:val="none"/>
        </w:rPr>
        <w:t>_______年_______月_______日</w:t>
      </w:r>
    </w:p>
    <w:p>
      <w:pPr>
        <w:spacing w:line="400" w:lineRule="exact"/>
        <w:rPr>
          <w:color w:val="auto"/>
          <w:highlight w:val="none"/>
        </w:rPr>
      </w:pPr>
    </w:p>
    <w:p>
      <w:pPr>
        <w:pStyle w:val="3"/>
        <w:spacing w:line="360" w:lineRule="auto"/>
        <w:rPr>
          <w:rFonts w:hint="eastAsia" w:ascii="Times New Roman" w:hAnsi="Times New Roman" w:eastAsia="宋体"/>
          <w:color w:val="auto"/>
          <w:sz w:val="24"/>
          <w:szCs w:val="24"/>
          <w:highlight w:val="none"/>
        </w:rPr>
      </w:pPr>
      <w:bookmarkStart w:id="362" w:name="_Toc152042361"/>
      <w:bookmarkStart w:id="363" w:name="_Toc152045584"/>
      <w:bookmarkStart w:id="364" w:name="_Toc300835005"/>
      <w:bookmarkStart w:id="365" w:name="_Toc247527609"/>
      <w:bookmarkStart w:id="366" w:name="_Toc144974551"/>
      <w:bookmarkStart w:id="367" w:name="_Toc247514008"/>
      <w:r>
        <w:rPr>
          <w:rFonts w:hint="eastAsia" w:ascii="Times New Roman" w:hAnsi="Times New Roman" w:eastAsia="宋体"/>
          <w:color w:val="auto"/>
          <w:sz w:val="24"/>
          <w:szCs w:val="24"/>
          <w:highlight w:val="none"/>
        </w:rPr>
        <w:t>附件四：中标通知书</w:t>
      </w:r>
      <w:bookmarkEnd w:id="362"/>
      <w:bookmarkEnd w:id="363"/>
      <w:bookmarkEnd w:id="364"/>
      <w:bookmarkEnd w:id="365"/>
      <w:bookmarkEnd w:id="366"/>
      <w:bookmarkEnd w:id="367"/>
    </w:p>
    <w:p>
      <w:pPr>
        <w:spacing w:line="400" w:lineRule="exact"/>
        <w:rPr>
          <w:color w:val="auto"/>
          <w:highlight w:val="none"/>
        </w:rPr>
      </w:pPr>
    </w:p>
    <w:p>
      <w:pPr>
        <w:spacing w:line="360" w:lineRule="auto"/>
        <w:jc w:val="center"/>
        <w:rPr>
          <w:rFonts w:hint="eastAsia" w:ascii="Times New Roman" w:hAnsi="Times New Roman"/>
          <w:b/>
          <w:color w:val="auto"/>
          <w:sz w:val="24"/>
          <w:highlight w:val="none"/>
        </w:rPr>
      </w:pPr>
      <w:r>
        <w:rPr>
          <w:rFonts w:hint="eastAsia" w:ascii="Times New Roman" w:hAnsi="Times New Roman"/>
          <w:b/>
          <w:color w:val="auto"/>
          <w:sz w:val="24"/>
          <w:highlight w:val="none"/>
        </w:rPr>
        <w:t>中标通知书</w:t>
      </w:r>
    </w:p>
    <w:p>
      <w:pPr>
        <w:spacing w:line="400" w:lineRule="exact"/>
        <w:rPr>
          <w:color w:val="auto"/>
          <w:highlight w:val="none"/>
        </w:rPr>
      </w:pPr>
      <w:r>
        <w:rPr>
          <w:color w:val="auto"/>
          <w:highlight w:val="none"/>
        </w:rPr>
        <w:t xml:space="preserve">                              </w:t>
      </w:r>
    </w:p>
    <w:p>
      <w:pPr>
        <w:spacing w:line="440" w:lineRule="exact"/>
        <w:rPr>
          <w:color w:val="auto"/>
          <w:sz w:val="24"/>
          <w:highlight w:val="none"/>
        </w:rPr>
      </w:pPr>
      <w:r>
        <w:rPr>
          <w:color w:val="auto"/>
          <w:szCs w:val="21"/>
          <w:highlight w:val="none"/>
          <w:u w:val="single"/>
        </w:rPr>
        <w:t xml:space="preserve"> </w:t>
      </w:r>
      <w:r>
        <w:rPr>
          <w:color w:val="auto"/>
          <w:sz w:val="24"/>
          <w:highlight w:val="none"/>
          <w:u w:val="single"/>
        </w:rPr>
        <w:t xml:space="preserve">                  </w:t>
      </w:r>
      <w:r>
        <w:rPr>
          <w:color w:val="auto"/>
          <w:sz w:val="24"/>
          <w:highlight w:val="none"/>
        </w:rPr>
        <w:t>（中标人名称）：</w:t>
      </w:r>
    </w:p>
    <w:p>
      <w:pPr>
        <w:spacing w:line="440" w:lineRule="exact"/>
        <w:rPr>
          <w:color w:val="auto"/>
          <w:sz w:val="24"/>
          <w:highlight w:val="none"/>
        </w:rPr>
      </w:pPr>
    </w:p>
    <w:p>
      <w:pPr>
        <w:spacing w:line="440" w:lineRule="exact"/>
        <w:rPr>
          <w:color w:val="auto"/>
          <w:sz w:val="24"/>
          <w:highlight w:val="none"/>
        </w:rPr>
      </w:pPr>
      <w:r>
        <w:rPr>
          <w:color w:val="auto"/>
          <w:sz w:val="24"/>
          <w:highlight w:val="none"/>
        </w:rPr>
        <w:t>　　你方于</w:t>
      </w:r>
      <w:r>
        <w:rPr>
          <w:color w:val="auto"/>
          <w:sz w:val="24"/>
          <w:highlight w:val="none"/>
          <w:u w:val="single"/>
        </w:rPr>
        <w:t xml:space="preserve">         </w:t>
      </w:r>
      <w:r>
        <w:rPr>
          <w:color w:val="auto"/>
          <w:sz w:val="24"/>
          <w:highlight w:val="none"/>
        </w:rPr>
        <w:t>（投标日期）所递交的</w:t>
      </w:r>
      <w:r>
        <w:rPr>
          <w:color w:val="auto"/>
          <w:sz w:val="24"/>
          <w:highlight w:val="none"/>
          <w:u w:val="single"/>
        </w:rPr>
        <w:t xml:space="preserve">              </w:t>
      </w:r>
      <w:r>
        <w:rPr>
          <w:color w:val="auto"/>
          <w:sz w:val="24"/>
          <w:highlight w:val="none"/>
        </w:rPr>
        <w:t>（项目名称）</w:t>
      </w:r>
      <w:r>
        <w:rPr>
          <w:rFonts w:hint="eastAsia"/>
          <w:color w:val="auto"/>
          <w:sz w:val="24"/>
          <w:highlight w:val="none"/>
        </w:rPr>
        <w:t>设计施工总承包</w:t>
      </w:r>
      <w:r>
        <w:rPr>
          <w:rFonts w:hint="eastAsia"/>
          <w:color w:val="auto"/>
          <w:sz w:val="24"/>
          <w:highlight w:val="none"/>
          <w:u w:val="single"/>
        </w:rPr>
        <w:t xml:space="preserve">   </w:t>
      </w:r>
      <w:r>
        <w:rPr>
          <w:rFonts w:hint="eastAsia"/>
          <w:color w:val="auto"/>
          <w:sz w:val="24"/>
          <w:highlight w:val="none"/>
        </w:rPr>
        <w:t>标段招标的</w:t>
      </w:r>
      <w:r>
        <w:rPr>
          <w:color w:val="auto"/>
          <w:sz w:val="24"/>
          <w:highlight w:val="none"/>
        </w:rPr>
        <w:t>投标文件已被我方接受，被确定为中标人。</w:t>
      </w:r>
    </w:p>
    <w:p>
      <w:pPr>
        <w:spacing w:line="440" w:lineRule="exact"/>
        <w:rPr>
          <w:color w:val="auto"/>
          <w:sz w:val="24"/>
          <w:highlight w:val="none"/>
        </w:rPr>
      </w:pPr>
      <w:r>
        <w:rPr>
          <w:color w:val="auto"/>
          <w:sz w:val="24"/>
          <w:highlight w:val="none"/>
        </w:rPr>
        <w:t>　　中标价：</w:t>
      </w:r>
      <w:r>
        <w:rPr>
          <w:color w:val="auto"/>
          <w:sz w:val="24"/>
          <w:highlight w:val="none"/>
          <w:u w:val="single"/>
        </w:rPr>
        <w:t xml:space="preserve">                   </w:t>
      </w:r>
      <w:r>
        <w:rPr>
          <w:color w:val="auto"/>
          <w:sz w:val="24"/>
          <w:highlight w:val="none"/>
        </w:rPr>
        <w:t>。</w:t>
      </w:r>
    </w:p>
    <w:p>
      <w:pPr>
        <w:spacing w:line="440" w:lineRule="exact"/>
        <w:rPr>
          <w:color w:val="auto"/>
          <w:sz w:val="24"/>
          <w:highlight w:val="none"/>
        </w:rPr>
      </w:pPr>
      <w:r>
        <w:rPr>
          <w:color w:val="auto"/>
          <w:sz w:val="24"/>
          <w:highlight w:val="none"/>
        </w:rPr>
        <w:t>　　工期：</w:t>
      </w:r>
      <w:r>
        <w:rPr>
          <w:color w:val="auto"/>
          <w:sz w:val="24"/>
          <w:highlight w:val="none"/>
          <w:u w:val="single"/>
        </w:rPr>
        <w:t xml:space="preserve">      </w:t>
      </w:r>
      <w:r>
        <w:rPr>
          <w:color w:val="auto"/>
          <w:sz w:val="24"/>
          <w:highlight w:val="none"/>
        </w:rPr>
        <w:t>日历天。</w:t>
      </w:r>
    </w:p>
    <w:p>
      <w:pPr>
        <w:spacing w:line="440" w:lineRule="exact"/>
        <w:rPr>
          <w:color w:val="auto"/>
          <w:sz w:val="24"/>
          <w:highlight w:val="none"/>
        </w:rPr>
      </w:pPr>
      <w:r>
        <w:rPr>
          <w:color w:val="auto"/>
          <w:sz w:val="24"/>
          <w:highlight w:val="none"/>
        </w:rPr>
        <w:t>　  质量标准：</w:t>
      </w:r>
      <w:r>
        <w:rPr>
          <w:color w:val="auto"/>
          <w:sz w:val="24"/>
          <w:highlight w:val="none"/>
          <w:u w:val="single"/>
        </w:rPr>
        <w:t xml:space="preserve">                      </w:t>
      </w:r>
      <w:r>
        <w:rPr>
          <w:color w:val="auto"/>
          <w:sz w:val="24"/>
          <w:highlight w:val="none"/>
        </w:rPr>
        <w:t>。</w:t>
      </w:r>
    </w:p>
    <w:p>
      <w:pPr>
        <w:spacing w:line="440" w:lineRule="exact"/>
        <w:ind w:firstLine="420"/>
        <w:rPr>
          <w:color w:val="auto"/>
          <w:sz w:val="24"/>
          <w:highlight w:val="none"/>
        </w:rPr>
      </w:pPr>
      <w:r>
        <w:rPr>
          <w:color w:val="auto"/>
          <w:sz w:val="24"/>
          <w:highlight w:val="none"/>
        </w:rPr>
        <w:t>项目经理：</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（姓名）。</w:t>
      </w:r>
    </w:p>
    <w:p>
      <w:pPr>
        <w:spacing w:line="440" w:lineRule="exact"/>
        <w:ind w:firstLine="420"/>
        <w:rPr>
          <w:rFonts w:hint="eastAsia"/>
          <w:color w:val="auto"/>
          <w:sz w:val="24"/>
          <w:highlight w:val="none"/>
        </w:rPr>
      </w:pPr>
      <w:r>
        <w:rPr>
          <w:rFonts w:hint="eastAsia"/>
          <w:color w:val="auto"/>
          <w:sz w:val="24"/>
          <w:highlight w:val="none"/>
        </w:rPr>
        <w:t>设计负责人：</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（姓名）。</w:t>
      </w:r>
    </w:p>
    <w:p>
      <w:pPr>
        <w:spacing w:line="440" w:lineRule="exact"/>
        <w:ind w:firstLine="420"/>
        <w:rPr>
          <w:rFonts w:hint="eastAsia"/>
          <w:color w:val="auto"/>
          <w:sz w:val="24"/>
          <w:highlight w:val="none"/>
        </w:rPr>
      </w:pPr>
      <w:r>
        <w:rPr>
          <w:rFonts w:hint="eastAsia"/>
          <w:color w:val="auto"/>
          <w:sz w:val="24"/>
          <w:highlight w:val="none"/>
        </w:rPr>
        <w:t>施工负责人：</w:t>
      </w:r>
      <w:r>
        <w:rPr>
          <w:rFonts w:hint="eastAsia"/>
          <w:color w:val="auto"/>
          <w:sz w:val="24"/>
          <w:highlight w:val="none"/>
          <w:u w:val="single"/>
        </w:rPr>
        <w:t xml:space="preserve">                 </w:t>
      </w:r>
      <w:r>
        <w:rPr>
          <w:rFonts w:hint="eastAsia"/>
          <w:color w:val="auto"/>
          <w:sz w:val="24"/>
          <w:highlight w:val="none"/>
        </w:rPr>
        <w:t>（姓名）。</w:t>
      </w:r>
    </w:p>
    <w:p>
      <w:pPr>
        <w:spacing w:line="440" w:lineRule="exact"/>
        <w:ind w:firstLine="420"/>
        <w:rPr>
          <w:rFonts w:hint="eastAsia"/>
          <w:color w:val="auto"/>
          <w:sz w:val="24"/>
          <w:highlight w:val="none"/>
        </w:rPr>
      </w:pPr>
      <w:r>
        <w:rPr>
          <w:color w:val="auto"/>
          <w:sz w:val="24"/>
          <w:highlight w:val="none"/>
        </w:rPr>
        <w:t>请你方在接到本通知书后的</w:t>
      </w:r>
      <w:r>
        <w:rPr>
          <w:color w:val="auto"/>
          <w:sz w:val="24"/>
          <w:highlight w:val="none"/>
          <w:u w:val="single"/>
        </w:rPr>
        <w:t xml:space="preserve">     </w:t>
      </w:r>
      <w:r>
        <w:rPr>
          <w:color w:val="auto"/>
          <w:sz w:val="24"/>
          <w:highlight w:val="none"/>
        </w:rPr>
        <w:t>日内到</w:t>
      </w:r>
      <w:r>
        <w:rPr>
          <w:color w:val="auto"/>
          <w:sz w:val="24"/>
          <w:highlight w:val="none"/>
          <w:u w:val="single"/>
        </w:rPr>
        <w:t xml:space="preserve">                      </w:t>
      </w:r>
      <w:r>
        <w:rPr>
          <w:color w:val="auto"/>
          <w:sz w:val="24"/>
          <w:highlight w:val="none"/>
        </w:rPr>
        <w:t>（指定地点）与我方签订</w:t>
      </w:r>
      <w:r>
        <w:rPr>
          <w:rFonts w:hint="eastAsia"/>
          <w:color w:val="auto"/>
          <w:sz w:val="24"/>
          <w:highlight w:val="none"/>
        </w:rPr>
        <w:t>设计施工总承包</w:t>
      </w:r>
      <w:r>
        <w:rPr>
          <w:color w:val="auto"/>
          <w:sz w:val="24"/>
          <w:highlight w:val="none"/>
        </w:rPr>
        <w:t>合同，在此之前按招标文件第二章“投标人须知”第7.</w:t>
      </w:r>
      <w:r>
        <w:rPr>
          <w:rFonts w:hint="eastAsia"/>
          <w:color w:val="auto"/>
          <w:sz w:val="24"/>
          <w:highlight w:val="none"/>
        </w:rPr>
        <w:t>4</w:t>
      </w:r>
      <w:r>
        <w:rPr>
          <w:color w:val="auto"/>
          <w:sz w:val="24"/>
          <w:highlight w:val="none"/>
        </w:rPr>
        <w:t>款规定向我方提交履约担保。</w:t>
      </w:r>
    </w:p>
    <w:p>
      <w:pPr>
        <w:spacing w:line="440" w:lineRule="exact"/>
        <w:ind w:firstLine="420"/>
        <w:rPr>
          <w:rFonts w:hint="eastAsia"/>
          <w:color w:val="auto"/>
          <w:sz w:val="24"/>
          <w:highlight w:val="none"/>
        </w:rPr>
      </w:pPr>
      <w:r>
        <w:rPr>
          <w:rFonts w:hint="eastAsia"/>
          <w:color w:val="auto"/>
          <w:sz w:val="24"/>
          <w:highlight w:val="none"/>
        </w:rPr>
        <w:t>随附的澄清、说明、补正事项纪要，是本中标通知书的组成部分。</w:t>
      </w:r>
    </w:p>
    <w:p>
      <w:pPr>
        <w:spacing w:line="440" w:lineRule="exact"/>
        <w:rPr>
          <w:color w:val="auto"/>
          <w:sz w:val="24"/>
          <w:highlight w:val="none"/>
        </w:rPr>
      </w:pPr>
      <w:r>
        <w:rPr>
          <w:color w:val="auto"/>
          <w:sz w:val="24"/>
          <w:highlight w:val="none"/>
        </w:rPr>
        <w:t>　　特此通知。</w:t>
      </w:r>
    </w:p>
    <w:p>
      <w:pPr>
        <w:spacing w:line="440" w:lineRule="exact"/>
        <w:ind w:firstLine="480" w:firstLineChars="200"/>
        <w:rPr>
          <w:rFonts w:hint="eastAsia"/>
          <w:color w:val="auto"/>
          <w:sz w:val="24"/>
          <w:highlight w:val="none"/>
        </w:rPr>
      </w:pPr>
      <w:r>
        <w:rPr>
          <w:rFonts w:hint="eastAsia"/>
          <w:color w:val="auto"/>
          <w:sz w:val="24"/>
          <w:highlight w:val="none"/>
        </w:rPr>
        <w:t>附：澄清、说明、补正事项纪要</w:t>
      </w:r>
    </w:p>
    <w:p>
      <w:pPr>
        <w:spacing w:line="440" w:lineRule="exact"/>
        <w:rPr>
          <w:color w:val="auto"/>
          <w:sz w:val="24"/>
          <w:highlight w:val="none"/>
        </w:rPr>
      </w:pPr>
    </w:p>
    <w:p>
      <w:pPr>
        <w:spacing w:line="440" w:lineRule="exact"/>
        <w:rPr>
          <w:color w:val="auto"/>
          <w:sz w:val="24"/>
          <w:highlight w:val="none"/>
        </w:rPr>
      </w:pPr>
    </w:p>
    <w:p>
      <w:pPr>
        <w:spacing w:line="540" w:lineRule="exact"/>
        <w:ind w:firstLine="3700" w:firstLineChars="1542"/>
        <w:rPr>
          <w:color w:val="auto"/>
          <w:sz w:val="24"/>
          <w:highlight w:val="none"/>
        </w:rPr>
      </w:pPr>
      <w:r>
        <w:rPr>
          <w:color w:val="auto"/>
          <w:sz w:val="24"/>
          <w:highlight w:val="none"/>
        </w:rPr>
        <w:t>招标人：</w:t>
      </w:r>
      <w:r>
        <w:rPr>
          <w:color w:val="auto"/>
          <w:sz w:val="24"/>
          <w:highlight w:val="none"/>
          <w:u w:val="single"/>
        </w:rPr>
        <w:t xml:space="preserve">              </w:t>
      </w:r>
      <w:r>
        <w:rPr>
          <w:color w:val="auto"/>
          <w:sz w:val="24"/>
          <w:highlight w:val="none"/>
        </w:rPr>
        <w:t xml:space="preserve">（盖单位章）            </w:t>
      </w:r>
    </w:p>
    <w:p>
      <w:pPr>
        <w:spacing w:line="540" w:lineRule="exact"/>
        <w:ind w:firstLine="3700" w:firstLineChars="1542"/>
        <w:rPr>
          <w:color w:val="auto"/>
          <w:sz w:val="24"/>
          <w:highlight w:val="none"/>
        </w:rPr>
      </w:pPr>
      <w:r>
        <w:rPr>
          <w:color w:val="auto"/>
          <w:sz w:val="24"/>
          <w:highlight w:val="none"/>
        </w:rPr>
        <w:t>法定代表人：</w:t>
      </w:r>
      <w:r>
        <w:rPr>
          <w:color w:val="auto"/>
          <w:sz w:val="24"/>
          <w:highlight w:val="none"/>
          <w:u w:val="single"/>
        </w:rPr>
        <w:t xml:space="preserve">            </w:t>
      </w:r>
      <w:r>
        <w:rPr>
          <w:color w:val="auto"/>
          <w:sz w:val="24"/>
          <w:highlight w:val="none"/>
        </w:rPr>
        <w:t>（</w:t>
      </w:r>
      <w:r>
        <w:rPr>
          <w:rFonts w:hint="eastAsia"/>
          <w:color w:val="auto"/>
          <w:sz w:val="24"/>
          <w:highlight w:val="none"/>
        </w:rPr>
        <w:t>签字或</w:t>
      </w:r>
      <w:r>
        <w:rPr>
          <w:color w:val="auto"/>
          <w:sz w:val="24"/>
          <w:highlight w:val="none"/>
        </w:rPr>
        <w:t>盖章）</w:t>
      </w:r>
    </w:p>
    <w:p>
      <w:pPr>
        <w:spacing w:line="540" w:lineRule="exact"/>
        <w:ind w:firstLine="4416" w:firstLineChars="1840"/>
        <w:rPr>
          <w:color w:val="auto"/>
          <w:sz w:val="24"/>
          <w:highlight w:val="none"/>
        </w:rPr>
      </w:pPr>
      <w:r>
        <w:rPr>
          <w:color w:val="auto"/>
          <w:sz w:val="24"/>
          <w:highlight w:val="none"/>
        </w:rPr>
        <w:t xml:space="preserve"> </w:t>
      </w:r>
      <w:r>
        <w:rPr>
          <w:rFonts w:ascii="Times New Roman" w:hAnsi="Times New Roman"/>
          <w:color w:val="auto"/>
          <w:sz w:val="24"/>
          <w:highlight w:val="none"/>
          <w:u w:val="single"/>
        </w:rPr>
        <w:t xml:space="preserve">     </w:t>
      </w:r>
      <w:r>
        <w:rPr>
          <w:color w:val="auto"/>
          <w:sz w:val="24"/>
          <w:highlight w:val="none"/>
        </w:rPr>
        <w:t>年</w:t>
      </w:r>
      <w:r>
        <w:rPr>
          <w:rFonts w:ascii="Times New Roman" w:hAnsi="Times New Roman"/>
          <w:color w:val="auto"/>
          <w:sz w:val="24"/>
          <w:highlight w:val="none"/>
          <w:u w:val="single"/>
        </w:rPr>
        <w:t xml:space="preserve">     </w:t>
      </w:r>
      <w:r>
        <w:rPr>
          <w:color w:val="auto"/>
          <w:sz w:val="24"/>
          <w:highlight w:val="none"/>
        </w:rPr>
        <w:t>月</w:t>
      </w:r>
      <w:r>
        <w:rPr>
          <w:rFonts w:ascii="Times New Roman" w:hAnsi="Times New Roman"/>
          <w:color w:val="auto"/>
          <w:sz w:val="24"/>
          <w:highlight w:val="none"/>
          <w:u w:val="single"/>
        </w:rPr>
        <w:t xml:space="preserve">     </w:t>
      </w:r>
      <w:r>
        <w:rPr>
          <w:color w:val="auto"/>
          <w:sz w:val="24"/>
          <w:highlight w:val="none"/>
        </w:rPr>
        <w:t>日</w:t>
      </w:r>
    </w:p>
    <w:p>
      <w:pPr>
        <w:spacing w:line="400" w:lineRule="exact"/>
        <w:rPr>
          <w:color w:val="auto"/>
          <w:highlight w:val="none"/>
        </w:rPr>
      </w:pPr>
    </w:p>
    <w:p>
      <w:pPr>
        <w:spacing w:line="400" w:lineRule="exact"/>
        <w:rPr>
          <w:color w:val="auto"/>
          <w:highlight w:val="none"/>
        </w:rPr>
      </w:pPr>
      <w:r>
        <w:rPr>
          <w:color w:val="auto"/>
          <w:highlight w:val="none"/>
        </w:rPr>
        <w:br w:type="page"/>
      </w:r>
    </w:p>
    <w:p>
      <w:pPr>
        <w:rPr>
          <w:rFonts w:hint="eastAsia"/>
          <w:color w:val="auto"/>
          <w:highlight w:val="none"/>
          <w:lang w:eastAsia="zh-CN"/>
        </w:rPr>
      </w:pPr>
      <w:bookmarkStart w:id="368" w:name="_Toc144974565"/>
      <w:bookmarkStart w:id="369" w:name="_Toc247514022"/>
      <w:bookmarkStart w:id="370" w:name="_Toc300835008"/>
      <w:bookmarkStart w:id="371" w:name="_Toc152045598"/>
      <w:bookmarkStart w:id="372" w:name="_Toc152042375"/>
      <w:bookmarkStart w:id="373" w:name="_Toc247527623"/>
      <w:r>
        <w:rPr>
          <w:rFonts w:hint="eastAsia"/>
          <w:color w:val="auto"/>
          <w:highlight w:val="none"/>
          <w:lang w:eastAsia="zh-CN"/>
        </w:rPr>
        <w:tab/>
      </w:r>
    </w:p>
    <w:p>
      <w:pPr>
        <w:pStyle w:val="2"/>
        <w:tabs>
          <w:tab w:val="left" w:pos="1452"/>
        </w:tabs>
        <w:jc w:val="center"/>
        <w:rPr>
          <w:rFonts w:hint="eastAsia"/>
          <w:color w:val="auto"/>
          <w:highlight w:val="none"/>
        </w:rPr>
      </w:pPr>
      <w:r>
        <w:rPr>
          <w:rFonts w:hint="eastAsia" w:ascii="Times New Roman" w:hAnsi="Times New Roman" w:cs="宋体"/>
          <w:bCs w:val="0"/>
          <w:color w:val="auto"/>
          <w:sz w:val="32"/>
          <w:szCs w:val="32"/>
          <w:highlight w:val="none"/>
        </w:rPr>
        <w:t>第三章 评标办法（综合评估法</w:t>
      </w:r>
      <w:r>
        <w:rPr>
          <w:rFonts w:hint="eastAsia" w:ascii="Times New Roman" w:hAnsi="Times New Roman" w:eastAsia="宋体" w:cs="宋体"/>
          <w:bCs w:val="0"/>
          <w:color w:val="auto"/>
          <w:sz w:val="32"/>
          <w:szCs w:val="32"/>
          <w:highlight w:val="none"/>
        </w:rPr>
        <w:t>）</w:t>
      </w:r>
      <w:bookmarkEnd w:id="368"/>
      <w:bookmarkEnd w:id="369"/>
      <w:bookmarkEnd w:id="370"/>
      <w:bookmarkEnd w:id="371"/>
      <w:bookmarkEnd w:id="372"/>
      <w:bookmarkEnd w:id="373"/>
      <w:bookmarkStart w:id="374" w:name="_Toc152042376"/>
      <w:bookmarkStart w:id="375" w:name="_Toc247527624"/>
      <w:bookmarkStart w:id="376" w:name="_Toc144974566"/>
      <w:bookmarkStart w:id="377" w:name="_Toc152045599"/>
      <w:bookmarkStart w:id="378" w:name="_Toc247514023"/>
      <w:r>
        <w:rPr>
          <w:rFonts w:hint="eastAsia" w:ascii="Times New Roman" w:hAnsi="Times New Roman" w:eastAsia="宋体" w:cs="宋体"/>
          <w:bCs w:val="0"/>
          <w:color w:val="auto"/>
          <w:sz w:val="32"/>
          <w:szCs w:val="32"/>
          <w:highlight w:val="none"/>
          <w:lang w:val="en-US" w:eastAsia="zh-CN"/>
        </w:rPr>
        <w:t>暗标评审</w:t>
      </w:r>
    </w:p>
    <w:p>
      <w:pPr>
        <w:pStyle w:val="2"/>
        <w:widowControl/>
        <w:adjustRightInd w:val="0"/>
        <w:snapToGrid w:val="0"/>
        <w:spacing w:line="360" w:lineRule="auto"/>
        <w:jc w:val="center"/>
        <w:rPr>
          <w:rFonts w:hint="eastAsia"/>
          <w:color w:val="auto"/>
          <w:highlight w:val="none"/>
        </w:rPr>
      </w:pPr>
      <w:bookmarkStart w:id="379" w:name="_Toc300835009"/>
      <w:r>
        <w:rPr>
          <w:rFonts w:hint="eastAsia" w:ascii="Times New Roman" w:hAnsi="Times New Roman"/>
          <w:bCs w:val="0"/>
          <w:color w:val="auto"/>
          <w:sz w:val="28"/>
          <w:szCs w:val="28"/>
          <w:highlight w:val="none"/>
        </w:rPr>
        <w:t>评标办法前附表</w:t>
      </w:r>
      <w:bookmarkEnd w:id="374"/>
      <w:bookmarkEnd w:id="375"/>
      <w:bookmarkEnd w:id="376"/>
      <w:bookmarkEnd w:id="377"/>
      <w:bookmarkEnd w:id="378"/>
      <w:bookmarkEnd w:id="379"/>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1124"/>
        <w:gridCol w:w="2383"/>
        <w:gridCol w:w="477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single" w:color="auto" w:sz="4" w:space="0"/>
              <w:bottom w:val="single" w:color="auto" w:sz="4" w:space="0"/>
              <w:right w:val="single" w:color="auto" w:sz="4" w:space="0"/>
            </w:tcBorders>
            <w:noWrap w:val="0"/>
            <w:vAlign w:val="center"/>
          </w:tcPr>
          <w:p>
            <w:pPr>
              <w:spacing w:line="440" w:lineRule="exact"/>
              <w:jc w:val="center"/>
              <w:rPr>
                <w:b/>
                <w:color w:val="auto"/>
                <w:sz w:val="24"/>
                <w:highlight w:val="none"/>
              </w:rPr>
            </w:pPr>
            <w:r>
              <w:rPr>
                <w:b/>
                <w:color w:val="auto"/>
                <w:sz w:val="24"/>
                <w:highlight w:val="none"/>
              </w:rPr>
              <w:t>条款号</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color w:val="auto"/>
                <w:sz w:val="24"/>
                <w:highlight w:val="none"/>
              </w:rPr>
            </w:pPr>
            <w:r>
              <w:rPr>
                <w:b/>
                <w:color w:val="auto"/>
                <w:sz w:val="24"/>
                <w:highlight w:val="none"/>
              </w:rPr>
              <w:t>评审因素</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color w:val="auto"/>
                <w:sz w:val="24"/>
                <w:highlight w:val="none"/>
              </w:rPr>
            </w:pPr>
            <w:r>
              <w:rPr>
                <w:b/>
                <w:color w:val="auto"/>
                <w:sz w:val="24"/>
                <w:highlight w:val="none"/>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2.1.1</w:t>
            </w:r>
          </w:p>
        </w:tc>
        <w:tc>
          <w:tcPr>
            <w:tcW w:w="1124" w:type="dxa"/>
            <w:vMerge w:val="restart"/>
            <w:tcBorders>
              <w:top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形式评审标准</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投标人名称</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与营业执照、资质证书</w:t>
            </w:r>
            <w:r>
              <w:rPr>
                <w:rFonts w:hint="eastAsia"/>
                <w:color w:val="auto"/>
                <w:sz w:val="24"/>
                <w:highlight w:val="none"/>
              </w:rPr>
              <w:t>、安全生产许可证</w:t>
            </w:r>
            <w:r>
              <w:rPr>
                <w:color w:val="auto"/>
                <w:sz w:val="24"/>
                <w:highlight w:val="none"/>
              </w:rPr>
              <w:t>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签字</w:t>
            </w:r>
            <w:r>
              <w:rPr>
                <w:rFonts w:hint="eastAsia"/>
                <w:color w:val="auto"/>
                <w:sz w:val="24"/>
                <w:highlight w:val="none"/>
              </w:rPr>
              <w:t>、</w:t>
            </w:r>
            <w:r>
              <w:rPr>
                <w:color w:val="auto"/>
                <w:sz w:val="24"/>
                <w:highlight w:val="none"/>
              </w:rPr>
              <w:t>盖章</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rFonts w:hint="eastAsia" w:ascii="Times New Roman" w:hAnsi="Times New Roman"/>
                <w:color w:val="auto"/>
                <w:sz w:val="24"/>
                <w:highlight w:val="none"/>
              </w:rPr>
              <w:t>符合第二章“投标人须知”第 3.7.</w:t>
            </w:r>
            <w:r>
              <w:rPr>
                <w:rFonts w:hint="eastAsia" w:ascii="Times New Roman" w:hAnsi="Times New Roman"/>
                <w:color w:val="auto"/>
                <w:sz w:val="24"/>
                <w:highlight w:val="none"/>
                <w:lang w:val="en-US" w:eastAsia="zh-CN"/>
              </w:rPr>
              <w:t>2</w:t>
            </w:r>
            <w:r>
              <w:rPr>
                <w:rFonts w:hint="eastAsia" w:ascii="Times New Roman" w:hAnsi="Times New Roman"/>
                <w:color w:val="auto"/>
                <w:sz w:val="24"/>
                <w:highlight w:val="none"/>
              </w:rPr>
              <w:t xml:space="preserve"> 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投标文件格式</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pStyle w:val="53"/>
              <w:tabs>
                <w:tab w:val="right" w:leader="dot" w:pos="9072"/>
              </w:tabs>
              <w:spacing w:line="360" w:lineRule="auto"/>
              <w:rPr>
                <w:rFonts w:ascii="Times New Roman" w:hAnsi="Times New Roman"/>
                <w:color w:val="auto"/>
                <w:sz w:val="24"/>
                <w:highlight w:val="none"/>
              </w:rPr>
            </w:pPr>
            <w:r>
              <w:rPr>
                <w:rFonts w:ascii="Times New Roman" w:hAnsi="Times New Roman"/>
                <w:color w:val="auto"/>
                <w:sz w:val="24"/>
                <w:highlight w:val="none"/>
              </w:rPr>
              <w:t>符合第</w:t>
            </w:r>
            <w:r>
              <w:rPr>
                <w:rFonts w:hint="eastAsia" w:ascii="Times New Roman" w:hAnsi="Times New Roman"/>
                <w:color w:val="auto"/>
                <w:sz w:val="24"/>
                <w:highlight w:val="none"/>
              </w:rPr>
              <w:t>七</w:t>
            </w:r>
            <w:r>
              <w:rPr>
                <w:rFonts w:ascii="Times New Roman" w:hAnsi="Times New Roman"/>
                <w:color w:val="auto"/>
                <w:sz w:val="24"/>
                <w:highlight w:val="none"/>
              </w:rPr>
              <w:t>章“投标文件格式”的要求</w:t>
            </w:r>
            <w:r>
              <w:rPr>
                <w:rFonts w:hint="eastAsia" w:ascii="Times New Roman" w:hAnsi="Times New Roman"/>
                <w:color w:val="auto"/>
                <w:sz w:val="24"/>
                <w:highlight w:val="none"/>
              </w:rPr>
              <w:t>和符合第二章“投标人须知”第 3.7.1 项和第5.2</w:t>
            </w:r>
            <w:r>
              <w:rPr>
                <w:rFonts w:hint="eastAsia" w:ascii="Times New Roman" w:hAnsi="Times New Roman"/>
                <w:color w:val="auto"/>
                <w:sz w:val="24"/>
                <w:highlight w:val="none"/>
                <w:lang w:val="en-US" w:eastAsia="zh-CN"/>
              </w:rPr>
              <w:t>.1</w:t>
            </w:r>
            <w:r>
              <w:rPr>
                <w:rFonts w:hint="eastAsia" w:ascii="Times New Roman" w:hAnsi="Times New Roman"/>
                <w:color w:val="auto"/>
                <w:sz w:val="24"/>
                <w:highlight w:val="none"/>
              </w:rPr>
              <w:t>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联合体投标人</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提交联合体协议书，并明确联合体牵头人</w:t>
            </w:r>
            <w:r>
              <w:rPr>
                <w:rFonts w:hint="eastAsia" w:ascii="Times New Roman" w:hAnsi="Times New Roman"/>
                <w:color w:val="auto"/>
                <w:sz w:val="24"/>
                <w:highlight w:val="none"/>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报价唯一</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rFonts w:hint="eastAsia"/>
                <w:color w:val="auto"/>
                <w:sz w:val="24"/>
                <w:highlight w:val="none"/>
              </w:rPr>
              <w:t>只能有一个报价，即符合第二章“投标人须知”第</w:t>
            </w:r>
            <w:r>
              <w:rPr>
                <w:rFonts w:hint="eastAsia"/>
                <w:color w:val="auto"/>
                <w:sz w:val="24"/>
                <w:highlight w:val="none"/>
                <w:lang w:val="en-US" w:eastAsia="zh-CN"/>
              </w:rPr>
              <w:t>8.1.4</w:t>
            </w:r>
            <w:r>
              <w:rPr>
                <w:rFonts w:hint="eastAsia"/>
                <w:color w:val="auto"/>
                <w:sz w:val="24"/>
                <w:highlight w:val="none"/>
              </w:rPr>
              <w:t>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1" w:hRule="atLeast"/>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2.1.2</w:t>
            </w:r>
          </w:p>
        </w:tc>
        <w:tc>
          <w:tcPr>
            <w:tcW w:w="1124" w:type="dxa"/>
            <w:vMerge w:val="restart"/>
            <w:tcBorders>
              <w:top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资格评审标准</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营业执照</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资质等级</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财务状况</w:t>
            </w:r>
          </w:p>
        </w:tc>
        <w:tc>
          <w:tcPr>
            <w:tcW w:w="4773" w:type="dxa"/>
            <w:tcBorders>
              <w:top w:val="single" w:color="auto" w:sz="4" w:space="0"/>
              <w:left w:val="single" w:color="auto" w:sz="4" w:space="0"/>
              <w:bottom w:val="single" w:color="auto" w:sz="4" w:space="0"/>
              <w:right w:val="single" w:color="auto" w:sz="4" w:space="0"/>
            </w:tcBorders>
            <w:noWrap w:val="0"/>
            <w:vAlign w:val="top"/>
          </w:tcPr>
          <w:p>
            <w:pPr>
              <w:rPr>
                <w:color w:val="auto"/>
                <w:sz w:val="24"/>
                <w:highlight w:val="none"/>
              </w:rPr>
            </w:pPr>
            <w:r>
              <w:rPr>
                <w:color w:val="auto"/>
                <w:sz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类似项目业绩</w:t>
            </w:r>
          </w:p>
        </w:tc>
        <w:tc>
          <w:tcPr>
            <w:tcW w:w="4773" w:type="dxa"/>
            <w:tcBorders>
              <w:top w:val="single" w:color="auto" w:sz="4" w:space="0"/>
              <w:left w:val="single" w:color="auto" w:sz="4" w:space="0"/>
              <w:bottom w:val="single" w:color="auto" w:sz="4" w:space="0"/>
              <w:right w:val="single" w:color="auto" w:sz="4" w:space="0"/>
            </w:tcBorders>
            <w:noWrap w:val="0"/>
            <w:vAlign w:val="top"/>
          </w:tcPr>
          <w:p>
            <w:pPr>
              <w:rPr>
                <w:color w:val="auto"/>
                <w:sz w:val="24"/>
                <w:highlight w:val="none"/>
              </w:rPr>
            </w:pPr>
            <w:r>
              <w:rPr>
                <w:color w:val="auto"/>
                <w:sz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5" w:hRule="atLeast"/>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信誉</w:t>
            </w:r>
          </w:p>
        </w:tc>
        <w:tc>
          <w:tcPr>
            <w:tcW w:w="4773" w:type="dxa"/>
            <w:tcBorders>
              <w:top w:val="single" w:color="auto" w:sz="4" w:space="0"/>
              <w:left w:val="single" w:color="auto" w:sz="4" w:space="0"/>
              <w:bottom w:val="single" w:color="auto" w:sz="4" w:space="0"/>
              <w:right w:val="single" w:color="auto" w:sz="4" w:space="0"/>
            </w:tcBorders>
            <w:noWrap w:val="0"/>
            <w:vAlign w:val="top"/>
          </w:tcPr>
          <w:p>
            <w:pPr>
              <w:rPr>
                <w:color w:val="auto"/>
                <w:sz w:val="24"/>
                <w:highlight w:val="none"/>
              </w:rPr>
            </w:pPr>
            <w:r>
              <w:rPr>
                <w:color w:val="auto"/>
                <w:sz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项目经理</w:t>
            </w:r>
            <w:r>
              <w:rPr>
                <w:rFonts w:hint="eastAsia"/>
                <w:color w:val="auto"/>
                <w:sz w:val="24"/>
                <w:highlight w:val="none"/>
              </w:rPr>
              <w:t xml:space="preserve"> </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符合第二章“投标人须知”第1.4.1</w:t>
            </w:r>
            <w:r>
              <w:rPr>
                <w:rFonts w:hint="eastAsia"/>
                <w:color w:val="auto"/>
                <w:sz w:val="24"/>
                <w:highlight w:val="none"/>
              </w:rPr>
              <w:t>项</w:t>
            </w:r>
            <w:r>
              <w:rPr>
                <w:color w:val="auto"/>
                <w:sz w:val="24"/>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设计负责人</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符合第二章“投标人须知”第1.4.1</w:t>
            </w:r>
            <w:r>
              <w:rPr>
                <w:rFonts w:hint="eastAsia"/>
                <w:color w:val="auto"/>
                <w:sz w:val="24"/>
                <w:highlight w:val="none"/>
              </w:rPr>
              <w:t>项</w:t>
            </w:r>
            <w:r>
              <w:rPr>
                <w:color w:val="auto"/>
                <w:sz w:val="24"/>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施工负责人</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符合第二章“投标人须知”第1.4.1</w:t>
            </w:r>
            <w:r>
              <w:rPr>
                <w:rFonts w:hint="eastAsia"/>
                <w:color w:val="auto"/>
                <w:sz w:val="24"/>
                <w:highlight w:val="none"/>
              </w:rPr>
              <w:t>项</w:t>
            </w:r>
            <w:r>
              <w:rPr>
                <w:color w:val="auto"/>
                <w:sz w:val="24"/>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sz w:val="24"/>
                <w:highlight w:val="none"/>
              </w:rPr>
            </w:pPr>
            <w:r>
              <w:rPr>
                <w:rFonts w:hint="eastAsia"/>
                <w:color w:val="auto"/>
                <w:sz w:val="24"/>
                <w:highlight w:val="none"/>
              </w:rPr>
              <w:t>安全生产许可证</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符合第二章“投标人须知”第1.4.1</w:t>
            </w:r>
            <w:r>
              <w:rPr>
                <w:rFonts w:hint="eastAsia"/>
                <w:color w:val="auto"/>
                <w:sz w:val="24"/>
                <w:highlight w:val="none"/>
              </w:rPr>
              <w:t>项</w:t>
            </w:r>
            <w:r>
              <w:rPr>
                <w:color w:val="auto"/>
                <w:sz w:val="24"/>
                <w:highlight w:val="none"/>
              </w:rPr>
              <w:t>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其他要求</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5" w:hRule="atLeast"/>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联合体投标人</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符合第二章“投标人须知”第1.4.2项规定</w:t>
            </w:r>
            <w:r>
              <w:rPr>
                <w:rFonts w:hint="eastAsia" w:ascii="Times New Roman" w:hAnsi="Times New Roman"/>
                <w:color w:val="auto"/>
                <w:sz w:val="24"/>
                <w:highlight w:val="none"/>
              </w:rPr>
              <w:t>（如有）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投标要求</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rFonts w:hint="eastAsia"/>
                <w:color w:val="auto"/>
                <w:sz w:val="24"/>
                <w:highlight w:val="none"/>
              </w:rPr>
              <w:t xml:space="preserve">不存在本章第 </w:t>
            </w:r>
            <w:r>
              <w:rPr>
                <w:rFonts w:hint="eastAsia" w:ascii="Times New Roman" w:hAnsi="Times New Roman" w:eastAsia="宋体"/>
                <w:color w:val="auto"/>
                <w:sz w:val="24"/>
                <w:highlight w:val="none"/>
              </w:rPr>
              <w:t>3.</w:t>
            </w:r>
            <w:r>
              <w:rPr>
                <w:rFonts w:hint="eastAsia" w:ascii="Times New Roman" w:hAnsi="Times New Roman" w:eastAsia="宋体"/>
                <w:color w:val="auto"/>
                <w:sz w:val="24"/>
                <w:highlight w:val="none"/>
                <w:lang w:val="en-US" w:eastAsia="zh-CN"/>
              </w:rPr>
              <w:t>2</w:t>
            </w:r>
            <w:r>
              <w:rPr>
                <w:rFonts w:hint="eastAsia" w:ascii="Times New Roman" w:hAnsi="Times New Roman" w:eastAsia="宋体"/>
                <w:color w:val="auto"/>
                <w:sz w:val="24"/>
                <w:highlight w:val="none"/>
              </w:rPr>
              <w:t>.</w:t>
            </w:r>
            <w:r>
              <w:rPr>
                <w:rFonts w:hint="eastAsia" w:ascii="Times New Roman" w:hAnsi="Times New Roman" w:eastAsia="宋体"/>
                <w:color w:val="auto"/>
                <w:sz w:val="24"/>
                <w:highlight w:val="none"/>
                <w:lang w:val="en-US" w:eastAsia="zh-CN"/>
              </w:rPr>
              <w:t>3</w:t>
            </w:r>
            <w:r>
              <w:rPr>
                <w:rFonts w:hint="eastAsia"/>
                <w:color w:val="auto"/>
                <w:sz w:val="24"/>
                <w:highlight w:val="none"/>
              </w:rPr>
              <w:t xml:space="preserve"> 项任何一种情形之一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nil"/>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right w:val="single" w:color="auto" w:sz="4" w:space="0"/>
            </w:tcBorders>
            <w:noWrap w:val="0"/>
            <w:vAlign w:val="center"/>
          </w:tcPr>
          <w:p>
            <w:pPr>
              <w:spacing w:line="440" w:lineRule="exact"/>
              <w:jc w:val="center"/>
              <w:rPr>
                <w:rFonts w:hint="eastAsia"/>
                <w:color w:val="auto"/>
                <w:sz w:val="24"/>
                <w:highlight w:val="none"/>
              </w:rPr>
            </w:pPr>
          </w:p>
          <w:p>
            <w:pPr>
              <w:spacing w:line="440" w:lineRule="exact"/>
              <w:jc w:val="center"/>
              <w:rPr>
                <w:color w:val="auto"/>
                <w:sz w:val="24"/>
                <w:highlight w:val="none"/>
              </w:rPr>
            </w:pPr>
            <w:r>
              <w:rPr>
                <w:color w:val="auto"/>
                <w:sz w:val="24"/>
                <w:highlight w:val="none"/>
              </w:rPr>
              <w:t>2.1.3</w:t>
            </w:r>
          </w:p>
        </w:tc>
        <w:tc>
          <w:tcPr>
            <w:tcW w:w="1124" w:type="dxa"/>
            <w:vMerge w:val="restart"/>
            <w:tcBorders>
              <w:top w:val="single" w:color="auto" w:sz="4" w:space="0"/>
              <w:right w:val="single" w:color="auto" w:sz="4" w:space="0"/>
            </w:tcBorders>
            <w:noWrap w:val="0"/>
            <w:vAlign w:val="center"/>
          </w:tcPr>
          <w:p>
            <w:pPr>
              <w:spacing w:line="440" w:lineRule="exact"/>
              <w:jc w:val="center"/>
              <w:rPr>
                <w:rFonts w:hint="eastAsia"/>
                <w:color w:val="auto"/>
                <w:sz w:val="24"/>
                <w:highlight w:val="none"/>
              </w:rPr>
            </w:pPr>
          </w:p>
          <w:p>
            <w:pPr>
              <w:spacing w:line="440" w:lineRule="exact"/>
              <w:jc w:val="center"/>
              <w:rPr>
                <w:color w:val="auto"/>
                <w:sz w:val="24"/>
                <w:highlight w:val="none"/>
              </w:rPr>
            </w:pPr>
            <w:r>
              <w:rPr>
                <w:color w:val="auto"/>
                <w:sz w:val="24"/>
                <w:highlight w:val="none"/>
              </w:rPr>
              <w:t>响应性评审标准</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投标报价</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rFonts w:hint="eastAsia"/>
                <w:color w:val="auto"/>
                <w:highlight w:val="none"/>
                <w:vertAlign w:val="baseline"/>
              </w:rPr>
              <w:t>符合第二章“投标人须知”第 3.2.</w:t>
            </w:r>
            <w:r>
              <w:rPr>
                <w:rFonts w:hint="eastAsia"/>
                <w:color w:val="auto"/>
                <w:highlight w:val="none"/>
                <w:vertAlign w:val="baseline"/>
                <w:lang w:val="en-US" w:eastAsia="zh-CN"/>
              </w:rPr>
              <w:t>1</w:t>
            </w:r>
            <w:r>
              <w:rPr>
                <w:rFonts w:hint="eastAsia"/>
                <w:color w:val="auto"/>
                <w:highlight w:val="none"/>
                <w:vertAlign w:val="baseline"/>
              </w:rPr>
              <w:t>项和第 3.2.</w:t>
            </w:r>
            <w:r>
              <w:rPr>
                <w:rFonts w:hint="eastAsia"/>
                <w:color w:val="auto"/>
                <w:highlight w:val="none"/>
                <w:vertAlign w:val="baseline"/>
                <w:lang w:val="en-US" w:eastAsia="zh-CN"/>
              </w:rPr>
              <w:t>2</w:t>
            </w:r>
            <w:r>
              <w:rPr>
                <w:rFonts w:hint="eastAsia"/>
                <w:color w:val="auto"/>
                <w:highlight w:val="none"/>
                <w:vertAlign w:val="baseline"/>
              </w:rPr>
              <w:t xml:space="preserve"> 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top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top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投标内容</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符合第二章“投标人须知”第1.3.1项规定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工期</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质量标准</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符合第二章“投标人须知”第1.3.</w:t>
            </w:r>
            <w:r>
              <w:rPr>
                <w:rFonts w:hint="eastAsia"/>
                <w:color w:val="auto"/>
                <w:sz w:val="24"/>
                <w:highlight w:val="none"/>
              </w:rPr>
              <w:t>3</w:t>
            </w:r>
            <w:r>
              <w:rPr>
                <w:color w:val="auto"/>
                <w:sz w:val="24"/>
                <w:highlight w:val="none"/>
              </w:rPr>
              <w:t>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投标有效期</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w:t>
            </w:r>
            <w:r>
              <w:rPr>
                <w:rFonts w:hint="eastAsia"/>
                <w:color w:val="auto"/>
                <w:sz w:val="24"/>
                <w:highlight w:val="none"/>
              </w:rPr>
              <w:t>3</w:t>
            </w:r>
            <w:r>
              <w:rPr>
                <w:color w:val="auto"/>
                <w:sz w:val="24"/>
                <w:highlight w:val="none"/>
              </w:rPr>
              <w:t>.3.</w:t>
            </w:r>
            <w:r>
              <w:rPr>
                <w:rFonts w:hint="eastAsia"/>
                <w:color w:val="auto"/>
                <w:sz w:val="24"/>
                <w:highlight w:val="none"/>
              </w:rPr>
              <w:t>1</w:t>
            </w:r>
            <w:r>
              <w:rPr>
                <w:color w:val="auto"/>
                <w:sz w:val="24"/>
                <w:highlight w:val="none"/>
              </w:rPr>
              <w:t>项规</w:t>
            </w:r>
            <w:r>
              <w:rPr>
                <w:rFonts w:hint="eastAsia"/>
                <w:color w:val="auto"/>
                <w:sz w:val="24"/>
                <w:highlight w:val="none"/>
              </w:rPr>
              <w:t>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投标保证金</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符合第二章“投标人须知”第3.4</w:t>
            </w:r>
            <w:r>
              <w:rPr>
                <w:rFonts w:hint="eastAsia"/>
                <w:color w:val="auto"/>
                <w:sz w:val="24"/>
                <w:highlight w:val="none"/>
                <w:lang w:val="en-US" w:eastAsia="zh-CN"/>
              </w:rPr>
              <w:t>.1</w:t>
            </w:r>
            <w:r>
              <w:rPr>
                <w:color w:val="auto"/>
                <w:sz w:val="24"/>
                <w:highlight w:val="none"/>
              </w:rPr>
              <w:t>款规定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权利义务</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color w:val="auto"/>
                <w:sz w:val="24"/>
                <w:highlight w:val="none"/>
              </w:rPr>
              <w:t>符合第四章“合同条款及格式”规定的权利义务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承包人建议</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rFonts w:hint="eastAsia"/>
                <w:color w:val="auto"/>
                <w:sz w:val="24"/>
                <w:highlight w:val="none"/>
              </w:rPr>
              <w:t>符合第五章“发包人要求”的规定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bottom w:val="single" w:color="auto" w:sz="4" w:space="0"/>
              <w:right w:val="single" w:color="auto" w:sz="4" w:space="0"/>
            </w:tcBorders>
            <w:noWrap w:val="0"/>
            <w:vAlign w:val="center"/>
          </w:tcPr>
          <w:p>
            <w:pPr>
              <w:spacing w:line="440" w:lineRule="exact"/>
              <w:rPr>
                <w:color w:val="auto"/>
                <w:sz w:val="24"/>
                <w:highlight w:val="none"/>
              </w:rPr>
            </w:pPr>
          </w:p>
        </w:tc>
        <w:tc>
          <w:tcPr>
            <w:tcW w:w="1124" w:type="dxa"/>
            <w:vMerge w:val="continue"/>
            <w:tcBorders>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bottom w:val="single" w:color="auto" w:sz="4" w:space="0"/>
              <w:right w:val="single" w:color="auto" w:sz="4" w:space="0"/>
            </w:tcBorders>
            <w:noWrap w:val="0"/>
            <w:vAlign w:val="center"/>
          </w:tcPr>
          <w:p>
            <w:pPr>
              <w:spacing w:line="440" w:lineRule="exact"/>
              <w:jc w:val="center"/>
              <w:rPr>
                <w:b/>
                <w:color w:val="auto"/>
                <w:sz w:val="24"/>
                <w:highlight w:val="none"/>
              </w:rPr>
            </w:pPr>
            <w:r>
              <w:rPr>
                <w:b/>
                <w:color w:val="auto"/>
                <w:sz w:val="24"/>
                <w:highlight w:val="none"/>
              </w:rPr>
              <w:t>条款号</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条款内容</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b/>
                <w:color w:val="auto"/>
                <w:sz w:val="24"/>
                <w:highlight w:val="none"/>
              </w:rPr>
            </w:pPr>
            <w:r>
              <w:rPr>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2.2.1</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分值构成</w:t>
            </w:r>
          </w:p>
          <w:p>
            <w:pPr>
              <w:spacing w:line="440" w:lineRule="exact"/>
              <w:jc w:val="center"/>
              <w:rPr>
                <w:color w:val="auto"/>
                <w:sz w:val="24"/>
                <w:highlight w:val="none"/>
              </w:rPr>
            </w:pPr>
            <w:r>
              <w:rPr>
                <w:color w:val="auto"/>
                <w:sz w:val="24"/>
                <w:highlight w:val="none"/>
              </w:rPr>
              <w:t>(总分100分)</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rPr>
                <w:color w:val="auto"/>
                <w:sz w:val="24"/>
                <w:highlight w:val="none"/>
              </w:rPr>
            </w:pPr>
            <w:r>
              <w:rPr>
                <w:rFonts w:hint="eastAsia"/>
                <w:color w:val="auto"/>
                <w:sz w:val="24"/>
                <w:highlight w:val="none"/>
              </w:rPr>
              <w:t>承包人建议书：</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分</w:t>
            </w:r>
            <w:r>
              <w:rPr>
                <w:rFonts w:hint="eastAsia" w:ascii="Times New Roman" w:hAnsi="Times New Roman"/>
                <w:color w:val="auto"/>
                <w:sz w:val="27"/>
                <w:highlight w:val="none"/>
              </w:rPr>
              <w:t>（暗标）</w:t>
            </w:r>
          </w:p>
          <w:p>
            <w:pPr>
              <w:spacing w:line="440" w:lineRule="exact"/>
              <w:rPr>
                <w:rFonts w:hint="eastAsia"/>
                <w:color w:val="auto"/>
                <w:sz w:val="24"/>
                <w:highlight w:val="none"/>
              </w:rPr>
            </w:pPr>
            <w:r>
              <w:rPr>
                <w:rFonts w:hint="eastAsia"/>
                <w:color w:val="auto"/>
                <w:sz w:val="24"/>
                <w:highlight w:val="none"/>
              </w:rPr>
              <w:t>资信业绩部分</w:t>
            </w:r>
            <w:r>
              <w:rPr>
                <w:color w:val="auto"/>
                <w:sz w:val="24"/>
                <w:highlight w:val="none"/>
              </w:rPr>
              <w:t>：</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分</w:t>
            </w:r>
          </w:p>
          <w:p>
            <w:pPr>
              <w:spacing w:line="440" w:lineRule="exact"/>
              <w:rPr>
                <w:color w:val="auto"/>
                <w:sz w:val="24"/>
                <w:highlight w:val="none"/>
              </w:rPr>
            </w:pPr>
            <w:r>
              <w:rPr>
                <w:rFonts w:hint="eastAsia"/>
                <w:color w:val="auto"/>
                <w:sz w:val="24"/>
                <w:highlight w:val="none"/>
              </w:rPr>
              <w:t>承包人实施方案：</w:t>
            </w:r>
            <w:r>
              <w:rPr>
                <w:color w:val="auto"/>
                <w:sz w:val="24"/>
                <w:highlight w:val="none"/>
                <w:u w:val="single"/>
              </w:rPr>
              <w:t xml:space="preserve">       </w:t>
            </w:r>
            <w:r>
              <w:rPr>
                <w:color w:val="auto"/>
                <w:sz w:val="24"/>
                <w:highlight w:val="none"/>
              </w:rPr>
              <w:t>分</w:t>
            </w:r>
            <w:r>
              <w:rPr>
                <w:rFonts w:hint="eastAsia" w:ascii="Times New Roman" w:hAnsi="Times New Roman"/>
                <w:color w:val="auto"/>
                <w:sz w:val="27"/>
                <w:highlight w:val="none"/>
              </w:rPr>
              <w:t>（暗标）</w:t>
            </w:r>
          </w:p>
          <w:p>
            <w:pPr>
              <w:spacing w:line="440" w:lineRule="exact"/>
              <w:rPr>
                <w:color w:val="auto"/>
                <w:sz w:val="24"/>
                <w:highlight w:val="none"/>
              </w:rPr>
            </w:pPr>
            <w:r>
              <w:rPr>
                <w:rFonts w:hint="eastAsia"/>
                <w:color w:val="auto"/>
                <w:sz w:val="24"/>
                <w:highlight w:val="none"/>
              </w:rPr>
              <w:t>投标报价：</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分</w:t>
            </w:r>
            <w:r>
              <w:rPr>
                <w:rFonts w:hint="eastAsia"/>
                <w:color w:val="auto"/>
                <w:sz w:val="24"/>
                <w:highlight w:val="none"/>
              </w:rPr>
              <w:t>（不低于60分）</w:t>
            </w:r>
          </w:p>
          <w:p>
            <w:pPr>
              <w:spacing w:line="440" w:lineRule="exact"/>
              <w:rPr>
                <w:color w:val="auto"/>
                <w:sz w:val="24"/>
                <w:highlight w:val="none"/>
              </w:rPr>
            </w:pPr>
            <w:r>
              <w:rPr>
                <w:color w:val="auto"/>
                <w:sz w:val="24"/>
                <w:highlight w:val="none"/>
              </w:rPr>
              <w:t>其他评分因素：</w:t>
            </w:r>
            <w:r>
              <w:rPr>
                <w:color w:val="auto"/>
                <w:sz w:val="24"/>
                <w:highlight w:val="none"/>
                <w:u w:val="single"/>
              </w:rPr>
              <w:t xml:space="preserve">   </w:t>
            </w:r>
            <w:r>
              <w:rPr>
                <w:rFonts w:hint="eastAsia"/>
                <w:color w:val="auto"/>
                <w:sz w:val="24"/>
                <w:highlight w:val="none"/>
                <w:u w:val="single"/>
              </w:rPr>
              <w:t xml:space="preserve">  </w:t>
            </w:r>
            <w:r>
              <w:rPr>
                <w:color w:val="auto"/>
                <w:sz w:val="24"/>
                <w:highlight w:val="none"/>
                <w:u w:val="single"/>
              </w:rPr>
              <w:t xml:space="preserve">    </w:t>
            </w:r>
            <w:r>
              <w:rPr>
                <w:color w:val="auto"/>
                <w:sz w:val="24"/>
                <w:highlight w:val="none"/>
              </w:rPr>
              <w:t>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bottom w:val="single" w:color="auto" w:sz="4" w:space="0"/>
              <w:right w:val="single" w:color="auto" w:sz="4" w:space="0"/>
            </w:tcBorders>
            <w:noWrap w:val="0"/>
            <w:vAlign w:val="center"/>
          </w:tcPr>
          <w:p>
            <w:pPr>
              <w:spacing w:line="440" w:lineRule="exact"/>
              <w:jc w:val="center"/>
              <w:rPr>
                <w:rFonts w:hint="eastAsia"/>
                <w:color w:val="auto"/>
                <w:sz w:val="24"/>
                <w:highlight w:val="none"/>
              </w:rPr>
            </w:pPr>
            <w:r>
              <w:rPr>
                <w:rFonts w:hint="eastAsia"/>
                <w:color w:val="auto"/>
                <w:sz w:val="24"/>
                <w:highlight w:val="none"/>
              </w:rPr>
              <w:t>3.2.4</w:t>
            </w:r>
          </w:p>
        </w:tc>
        <w:tc>
          <w:tcPr>
            <w:tcW w:w="2383" w:type="dxa"/>
            <w:tcBorders>
              <w:top w:val="single" w:color="auto" w:sz="4" w:space="0"/>
              <w:left w:val="single" w:color="auto" w:sz="4" w:space="0"/>
              <w:bottom w:val="single" w:color="auto" w:sz="4" w:space="0"/>
              <w:right w:val="single" w:color="auto" w:sz="4" w:space="0"/>
            </w:tcBorders>
            <w:noWrap w:val="0"/>
            <w:vAlign w:val="bottom"/>
          </w:tcPr>
          <w:p>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低于成本</w:t>
            </w:r>
          </w:p>
          <w:p>
            <w:pPr>
              <w:spacing w:line="360" w:lineRule="auto"/>
              <w:jc w:val="center"/>
              <w:rPr>
                <w:color w:val="auto"/>
                <w:sz w:val="24"/>
                <w:highlight w:val="none"/>
              </w:rPr>
            </w:pPr>
            <w:r>
              <w:rPr>
                <w:rFonts w:hint="eastAsia" w:ascii="Times New Roman" w:hAnsi="Times New Roman" w:cs="宋体"/>
                <w:color w:val="auto"/>
                <w:sz w:val="24"/>
                <w:highlight w:val="none"/>
              </w:rPr>
              <w:t>评审</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color w:val="auto"/>
                <w:sz w:val="24"/>
                <w:highlight w:val="none"/>
              </w:rPr>
            </w:pPr>
            <w:r>
              <w:rPr>
                <w:rFonts w:hint="eastAsia" w:ascii="Times New Roman" w:hAnsi="Times New Roman" w:cs="宋体"/>
                <w:color w:val="auto"/>
                <w:sz w:val="24"/>
                <w:highlight w:val="none"/>
              </w:rPr>
              <w:t>按照第二章“投标人须知”第</w:t>
            </w:r>
            <w:r>
              <w:rPr>
                <w:rFonts w:hint="eastAsia" w:ascii="Times New Roman" w:hAnsi="Times New Roman" w:cs="宋体"/>
                <w:color w:val="auto"/>
                <w:sz w:val="24"/>
                <w:highlight w:val="none"/>
                <w:lang w:val="en-US" w:eastAsia="zh-CN"/>
              </w:rPr>
              <w:t>8.1.5</w:t>
            </w:r>
            <w:r>
              <w:rPr>
                <w:rFonts w:hint="eastAsia" w:ascii="Times New Roman" w:hAnsi="Times New Roman" w:cs="宋体"/>
                <w:color w:val="auto"/>
                <w:sz w:val="24"/>
                <w:highlight w:val="none"/>
              </w:rPr>
              <w:t>项规定进行评审。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2.2.2</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评标基准价计算</w:t>
            </w:r>
            <w:r>
              <w:rPr>
                <w:rFonts w:hint="eastAsia"/>
                <w:color w:val="auto"/>
                <w:sz w:val="24"/>
                <w:highlight w:val="none"/>
              </w:rPr>
              <w:t>方法</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采用下列方式：</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□A方式：采用有效投标报价（经初步评审合格且不低于成本的投标报价；报价有修正的，以修正后的价格为准）中最低报价为评标基准价，计算公式为：</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S（评标基准价）=amin，amin为有效的最低投标报价。</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□B方式：采用有效投标报价（经初步评审合格且不低于成本的投标报价；报价有修正的，以修正后的价格为准）的算术平均值为评标基准价，计算公式为：</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S（评标基准价）=（a1 +……+an）/n，a为有效的投标报价。</w:t>
            </w:r>
          </w:p>
          <w:p>
            <w:pPr>
              <w:spacing w:line="440" w:lineRule="exact"/>
              <w:rPr>
                <w:rFonts w:hint="eastAsia"/>
                <w:color w:val="auto"/>
                <w:sz w:val="24"/>
                <w:highlight w:val="none"/>
              </w:rPr>
            </w:pPr>
            <w:r>
              <w:rPr>
                <w:rFonts w:hint="eastAsia" w:ascii="Times New Roman" w:hAnsi="Times New Roman" w:cs="宋体"/>
                <w:color w:val="auto"/>
                <w:sz w:val="24"/>
                <w:highlight w:val="none"/>
              </w:rPr>
              <w:t>注：评标基准价小数点后保留两位。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2" w:hRule="atLeast"/>
          <w:jc w:val="center"/>
        </w:trPr>
        <w:tc>
          <w:tcPr>
            <w:tcW w:w="2024" w:type="dxa"/>
            <w:gridSpan w:val="2"/>
            <w:tcBorders>
              <w:top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2.2.3</w:t>
            </w:r>
          </w:p>
        </w:tc>
        <w:tc>
          <w:tcPr>
            <w:tcW w:w="2383" w:type="dxa"/>
            <w:tcBorders>
              <w:top w:val="single" w:color="auto" w:sz="4" w:space="0"/>
              <w:left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投标报价的偏差率</w:t>
            </w:r>
          </w:p>
          <w:p>
            <w:pPr>
              <w:spacing w:line="440" w:lineRule="exact"/>
              <w:jc w:val="center"/>
              <w:rPr>
                <w:color w:val="auto"/>
                <w:sz w:val="24"/>
                <w:highlight w:val="none"/>
              </w:rPr>
            </w:pPr>
            <w:r>
              <w:rPr>
                <w:rFonts w:hint="eastAsia"/>
                <w:color w:val="auto"/>
                <w:sz w:val="24"/>
                <w:highlight w:val="none"/>
              </w:rPr>
              <w:t>计算公式</w:t>
            </w:r>
          </w:p>
        </w:tc>
        <w:tc>
          <w:tcPr>
            <w:tcW w:w="4773" w:type="dxa"/>
            <w:tcBorders>
              <w:top w:val="single" w:color="auto" w:sz="4" w:space="0"/>
              <w:left w:val="single" w:color="auto" w:sz="4" w:space="0"/>
              <w:right w:val="single" w:color="auto" w:sz="4" w:space="0"/>
            </w:tcBorders>
            <w:noWrap w:val="0"/>
            <w:vAlign w:val="center"/>
          </w:tcPr>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偏差率=100% ×︱（投标人报价 -评标基准价）︱/评标基准价</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施工投标报价为下浮比例报价时，施工投标报价偏差率=︱投标人报价－评标基准价︱。例：某投标人施工投标报价为95%，评标基准价为90%，则施工投标报价偏差率为95%－90%=5%。</w:t>
            </w:r>
          </w:p>
          <w:p>
            <w:pPr>
              <w:spacing w:line="360" w:lineRule="auto"/>
              <w:rPr>
                <w:color w:val="auto"/>
                <w:sz w:val="24"/>
                <w:highlight w:val="none"/>
              </w:rPr>
            </w:pPr>
            <w:r>
              <w:rPr>
                <w:rFonts w:hint="eastAsia" w:ascii="Times New Roman" w:hAnsi="Times New Roman" w:cs="宋体"/>
                <w:color w:val="auto"/>
                <w:sz w:val="24"/>
                <w:highlight w:val="none"/>
              </w:rPr>
              <w:t>注：偏差率百分数小数点后保留两位。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024" w:type="dxa"/>
            <w:gridSpan w:val="2"/>
            <w:tcBorders>
              <w:top w:val="nil"/>
              <w:bottom w:val="single" w:color="auto" w:sz="4" w:space="0"/>
              <w:right w:val="single" w:color="auto" w:sz="4" w:space="0"/>
            </w:tcBorders>
            <w:noWrap w:val="0"/>
            <w:vAlign w:val="center"/>
          </w:tcPr>
          <w:p>
            <w:pPr>
              <w:spacing w:line="440" w:lineRule="exact"/>
              <w:jc w:val="center"/>
              <w:rPr>
                <w:color w:val="auto"/>
                <w:sz w:val="24"/>
                <w:highlight w:val="none"/>
              </w:rPr>
            </w:pPr>
            <w:r>
              <w:rPr>
                <w:b/>
                <w:color w:val="auto"/>
                <w:sz w:val="24"/>
                <w:highlight w:val="none"/>
              </w:rPr>
              <w:t>条款号</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评分因素（偏差率）</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b/>
                <w:color w:val="auto"/>
                <w:sz w:val="24"/>
                <w:highlight w:val="none"/>
              </w:rPr>
              <w:t>评分标准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restart"/>
            <w:tcBorders>
              <w:top w:val="single" w:color="auto" w:sz="4" w:space="0"/>
              <w:right w:val="single" w:color="auto" w:sz="4" w:space="0"/>
            </w:tcBorders>
            <w:noWrap w:val="0"/>
            <w:vAlign w:val="center"/>
          </w:tcPr>
          <w:p>
            <w:pPr>
              <w:spacing w:line="440" w:lineRule="exact"/>
              <w:jc w:val="center"/>
              <w:rPr>
                <w:rFonts w:hint="eastAsia"/>
                <w:color w:val="auto"/>
                <w:sz w:val="24"/>
                <w:highlight w:val="none"/>
              </w:rPr>
            </w:pPr>
            <w:r>
              <w:rPr>
                <w:color w:val="auto"/>
                <w:sz w:val="24"/>
                <w:highlight w:val="none"/>
              </w:rPr>
              <w:t>2.2.4</w:t>
            </w:r>
            <w:r>
              <w:rPr>
                <w:rFonts w:hint="eastAsia"/>
                <w:color w:val="auto"/>
                <w:sz w:val="24"/>
                <w:highlight w:val="none"/>
              </w:rPr>
              <w:t>（</w:t>
            </w:r>
            <w:r>
              <w:rPr>
                <w:color w:val="auto"/>
                <w:sz w:val="24"/>
                <w:highlight w:val="none"/>
              </w:rPr>
              <w:t>1</w:t>
            </w:r>
            <w:r>
              <w:rPr>
                <w:rFonts w:hint="eastAsia"/>
                <w:color w:val="auto"/>
                <w:sz w:val="24"/>
                <w:highlight w:val="none"/>
              </w:rPr>
              <w:t>）</w:t>
            </w:r>
          </w:p>
        </w:tc>
        <w:tc>
          <w:tcPr>
            <w:tcW w:w="1124" w:type="dxa"/>
            <w:vMerge w:val="restart"/>
            <w:tcBorders>
              <w:top w:val="single" w:color="auto" w:sz="4" w:space="0"/>
              <w:right w:val="single" w:color="auto" w:sz="4" w:space="0"/>
            </w:tcBorders>
            <w:noWrap w:val="0"/>
            <w:vAlign w:val="center"/>
          </w:tcPr>
          <w:p>
            <w:pPr>
              <w:spacing w:line="440" w:lineRule="exact"/>
              <w:jc w:val="center"/>
              <w:rPr>
                <w:rFonts w:hint="eastAsia" w:eastAsia="宋体"/>
                <w:color w:val="auto"/>
                <w:sz w:val="24"/>
                <w:highlight w:val="none"/>
                <w:lang w:eastAsia="zh-CN"/>
              </w:rPr>
            </w:pPr>
            <w:r>
              <w:rPr>
                <w:rFonts w:hint="eastAsia"/>
                <w:color w:val="auto"/>
                <w:sz w:val="24"/>
                <w:highlight w:val="none"/>
              </w:rPr>
              <w:t>承包人建议书评分标准</w:t>
            </w:r>
            <w:r>
              <w:rPr>
                <w:rFonts w:hint="eastAsia"/>
                <w:color w:val="auto"/>
                <w:sz w:val="24"/>
                <w:highlight w:val="none"/>
                <w:lang w:eastAsia="zh-CN"/>
              </w:rPr>
              <w:t>（暗标）</w:t>
            </w:r>
          </w:p>
        </w:tc>
        <w:tc>
          <w:tcPr>
            <w:tcW w:w="23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00" w:type="dxa"/>
            <w:vMerge w:val="continue"/>
            <w:tcBorders>
              <w:bottom w:val="single" w:color="auto" w:sz="4" w:space="0"/>
              <w:right w:val="single" w:color="auto" w:sz="4" w:space="0"/>
            </w:tcBorders>
            <w:noWrap w:val="0"/>
            <w:vAlign w:val="top"/>
          </w:tcPr>
          <w:p>
            <w:pPr>
              <w:spacing w:line="440" w:lineRule="exact"/>
              <w:jc w:val="center"/>
              <w:rPr>
                <w:color w:val="auto"/>
                <w:sz w:val="24"/>
                <w:highlight w:val="none"/>
              </w:rPr>
            </w:pPr>
          </w:p>
        </w:tc>
        <w:tc>
          <w:tcPr>
            <w:tcW w:w="1124" w:type="dxa"/>
            <w:vMerge w:val="continue"/>
            <w:tcBorders>
              <w:bottom w:val="single" w:color="auto" w:sz="4" w:space="0"/>
              <w:right w:val="single" w:color="auto" w:sz="4" w:space="0"/>
            </w:tcBorders>
            <w:noWrap w:val="0"/>
            <w:vAlign w:val="top"/>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180" w:type="dxa"/>
            <w:gridSpan w:val="4"/>
            <w:tcBorders>
              <w:bottom w:val="single" w:color="auto" w:sz="4" w:space="0"/>
              <w:right w:val="single" w:color="auto" w:sz="4" w:space="0"/>
            </w:tcBorders>
            <w:noWrap w:val="0"/>
            <w:vAlign w:val="top"/>
          </w:tcPr>
          <w:p>
            <w:pPr>
              <w:spacing w:line="440" w:lineRule="exact"/>
              <w:jc w:val="left"/>
              <w:rPr>
                <w:rFonts w:hint="eastAsia"/>
                <w:color w:val="auto"/>
                <w:sz w:val="24"/>
                <w:highlight w:val="none"/>
              </w:rPr>
            </w:pPr>
            <w:r>
              <w:rPr>
                <w:rFonts w:hint="eastAsia" w:ascii="Times New Roman" w:hAnsi="Times New Roman" w:cs="宋体"/>
                <w:color w:val="auto"/>
                <w:sz w:val="24"/>
                <w:highlight w:val="none"/>
              </w:rPr>
              <w:t>注：承包人建议书评分因素可从图纸、工程详细说明、设备方案等方面设置。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6" w:hRule="atLeast"/>
          <w:jc w:val="center"/>
        </w:trPr>
        <w:tc>
          <w:tcPr>
            <w:tcW w:w="900" w:type="dxa"/>
            <w:vMerge w:val="restart"/>
            <w:tcBorders>
              <w:right w:val="single" w:color="auto" w:sz="4" w:space="0"/>
            </w:tcBorders>
            <w:noWrap w:val="0"/>
            <w:vAlign w:val="center"/>
          </w:tcPr>
          <w:p>
            <w:pPr>
              <w:spacing w:line="440" w:lineRule="exact"/>
              <w:jc w:val="center"/>
              <w:rPr>
                <w:color w:val="auto"/>
                <w:sz w:val="24"/>
                <w:highlight w:val="none"/>
              </w:rPr>
            </w:pPr>
            <w:r>
              <w:rPr>
                <w:color w:val="auto"/>
                <w:sz w:val="24"/>
                <w:highlight w:val="none"/>
              </w:rPr>
              <w:t>2.2.4</w:t>
            </w:r>
            <w:r>
              <w:rPr>
                <w:rFonts w:hint="eastAsia"/>
                <w:color w:val="auto"/>
                <w:sz w:val="24"/>
                <w:highlight w:val="none"/>
              </w:rPr>
              <w:t>（</w:t>
            </w:r>
            <w:r>
              <w:rPr>
                <w:color w:val="auto"/>
                <w:sz w:val="24"/>
                <w:highlight w:val="none"/>
              </w:rPr>
              <w:t>2</w:t>
            </w:r>
            <w:r>
              <w:rPr>
                <w:rFonts w:hint="eastAsia"/>
                <w:color w:val="auto"/>
                <w:sz w:val="24"/>
                <w:highlight w:val="none"/>
              </w:rPr>
              <w:t>）</w:t>
            </w:r>
          </w:p>
        </w:tc>
        <w:tc>
          <w:tcPr>
            <w:tcW w:w="1124" w:type="dxa"/>
            <w:vMerge w:val="restart"/>
            <w:tcBorders>
              <w:right w:val="single" w:color="auto" w:sz="4" w:space="0"/>
            </w:tcBorders>
            <w:noWrap w:val="0"/>
            <w:vAlign w:val="top"/>
          </w:tcPr>
          <w:p>
            <w:pPr>
              <w:spacing w:line="440" w:lineRule="exact"/>
              <w:rPr>
                <w:rFonts w:hint="eastAsia"/>
                <w:color w:val="auto"/>
                <w:sz w:val="24"/>
                <w:highlight w:val="none"/>
              </w:rPr>
            </w:pPr>
            <w:r>
              <w:rPr>
                <w:rFonts w:hint="eastAsia"/>
                <w:color w:val="auto"/>
                <w:sz w:val="24"/>
                <w:highlight w:val="none"/>
              </w:rPr>
              <w:t>资信业绩评分标准</w:t>
            </w:r>
          </w:p>
        </w:tc>
        <w:tc>
          <w:tcPr>
            <w:tcW w:w="23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00" w:type="dxa"/>
            <w:vMerge w:val="continue"/>
            <w:tcBorders>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bottom w:val="single" w:color="auto" w:sz="4" w:space="0"/>
              <w:right w:val="single" w:color="auto" w:sz="4" w:space="0"/>
            </w:tcBorders>
            <w:noWrap w:val="0"/>
            <w:vAlign w:val="center"/>
          </w:tcPr>
          <w:p>
            <w:pPr>
              <w:spacing w:line="440" w:lineRule="exact"/>
              <w:jc w:val="center"/>
              <w:rPr>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9" w:hRule="atLeast"/>
          <w:jc w:val="center"/>
        </w:trPr>
        <w:tc>
          <w:tcPr>
            <w:tcW w:w="9180" w:type="dxa"/>
            <w:gridSpan w:val="4"/>
            <w:tcBorders>
              <w:bottom w:val="single" w:color="auto" w:sz="4" w:space="0"/>
              <w:right w:val="single" w:color="auto" w:sz="4" w:space="0"/>
            </w:tcBorders>
            <w:noWrap w:val="0"/>
            <w:vAlign w:val="center"/>
          </w:tcPr>
          <w:p>
            <w:pPr>
              <w:spacing w:line="440" w:lineRule="exact"/>
              <w:rPr>
                <w:rFonts w:hint="eastAsia"/>
                <w:color w:val="auto"/>
                <w:sz w:val="24"/>
                <w:highlight w:val="none"/>
              </w:rPr>
            </w:pPr>
            <w:r>
              <w:rPr>
                <w:rFonts w:hint="eastAsia" w:ascii="Times New Roman" w:hAnsi="Times New Roman" w:cs="宋体"/>
                <w:color w:val="auto"/>
                <w:sz w:val="24"/>
                <w:highlight w:val="none"/>
              </w:rPr>
              <w:t>注：</w:t>
            </w:r>
            <w:r>
              <w:rPr>
                <w:rFonts w:hint="eastAsia"/>
                <w:color w:val="auto"/>
                <w:sz w:val="24"/>
                <w:highlight w:val="none"/>
              </w:rPr>
              <w:t>资信业绩评分</w:t>
            </w:r>
            <w:r>
              <w:rPr>
                <w:rFonts w:hint="eastAsia" w:ascii="Times New Roman" w:hAnsi="Times New Roman" w:cs="宋体"/>
                <w:color w:val="auto"/>
                <w:sz w:val="24"/>
                <w:highlight w:val="none"/>
              </w:rPr>
              <w:t>因素可从</w:t>
            </w:r>
            <w:r>
              <w:rPr>
                <w:rFonts w:hint="eastAsia"/>
                <w:color w:val="auto"/>
                <w:sz w:val="24"/>
                <w:highlight w:val="none"/>
              </w:rPr>
              <w:t>信誉</w:t>
            </w:r>
            <w:r>
              <w:rPr>
                <w:rFonts w:hint="eastAsia" w:ascii="Times New Roman" w:hAnsi="Times New Roman" w:cs="宋体"/>
                <w:color w:val="auto"/>
                <w:sz w:val="24"/>
                <w:highlight w:val="none"/>
              </w:rPr>
              <w:t>、</w:t>
            </w:r>
            <w:r>
              <w:rPr>
                <w:rFonts w:hint="eastAsia"/>
                <w:color w:val="auto"/>
                <w:sz w:val="24"/>
                <w:highlight w:val="none"/>
              </w:rPr>
              <w:t>类似项目业绩、</w:t>
            </w:r>
            <w:r>
              <w:rPr>
                <w:color w:val="auto"/>
                <w:sz w:val="24"/>
                <w:highlight w:val="none"/>
              </w:rPr>
              <w:t>项目</w:t>
            </w:r>
            <w:r>
              <w:rPr>
                <w:rFonts w:hint="eastAsia"/>
                <w:color w:val="auto"/>
                <w:sz w:val="24"/>
                <w:highlight w:val="none"/>
              </w:rPr>
              <w:t>经理</w:t>
            </w:r>
            <w:r>
              <w:rPr>
                <w:color w:val="auto"/>
                <w:sz w:val="24"/>
                <w:highlight w:val="none"/>
              </w:rPr>
              <w:t>业绩</w:t>
            </w:r>
            <w:r>
              <w:rPr>
                <w:rFonts w:hint="eastAsia" w:ascii="Times New Roman" w:hAnsi="Times New Roman" w:cs="宋体"/>
                <w:color w:val="auto"/>
                <w:sz w:val="24"/>
                <w:highlight w:val="none"/>
              </w:rPr>
              <w:t>、</w:t>
            </w:r>
            <w:r>
              <w:rPr>
                <w:rFonts w:hint="eastAsia"/>
                <w:color w:val="auto"/>
                <w:sz w:val="24"/>
                <w:highlight w:val="none"/>
              </w:rPr>
              <w:t>设计</w:t>
            </w:r>
            <w:r>
              <w:rPr>
                <w:color w:val="auto"/>
                <w:sz w:val="24"/>
                <w:highlight w:val="none"/>
              </w:rPr>
              <w:t>负责人业绩</w:t>
            </w:r>
            <w:r>
              <w:rPr>
                <w:rFonts w:hint="eastAsia"/>
                <w:color w:val="auto"/>
                <w:sz w:val="24"/>
                <w:highlight w:val="none"/>
              </w:rPr>
              <w:t>、施工</w:t>
            </w:r>
            <w:r>
              <w:rPr>
                <w:color w:val="auto"/>
                <w:sz w:val="24"/>
                <w:highlight w:val="none"/>
              </w:rPr>
              <w:t>负责人业绩</w:t>
            </w:r>
            <w:r>
              <w:rPr>
                <w:rFonts w:hint="eastAsia" w:ascii="Times New Roman" w:hAnsi="Times New Roman" w:cs="宋体"/>
                <w:color w:val="auto"/>
                <w:sz w:val="24"/>
                <w:highlight w:val="none"/>
              </w:rPr>
              <w:t>等方面设置。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900" w:type="dxa"/>
            <w:vMerge w:val="restart"/>
            <w:tcBorders>
              <w:right w:val="single" w:color="auto" w:sz="4" w:space="0"/>
            </w:tcBorders>
            <w:noWrap w:val="0"/>
            <w:vAlign w:val="center"/>
          </w:tcPr>
          <w:p>
            <w:pPr>
              <w:spacing w:line="440" w:lineRule="exact"/>
              <w:jc w:val="center"/>
              <w:rPr>
                <w:color w:val="auto"/>
                <w:sz w:val="24"/>
                <w:highlight w:val="none"/>
              </w:rPr>
            </w:pPr>
            <w:r>
              <w:rPr>
                <w:color w:val="auto"/>
                <w:sz w:val="24"/>
                <w:highlight w:val="none"/>
              </w:rPr>
              <w:t>2.2.4</w:t>
            </w:r>
            <w:r>
              <w:rPr>
                <w:rFonts w:hint="eastAsia"/>
                <w:color w:val="auto"/>
                <w:sz w:val="24"/>
                <w:highlight w:val="none"/>
              </w:rPr>
              <w:t>（3）</w:t>
            </w:r>
          </w:p>
        </w:tc>
        <w:tc>
          <w:tcPr>
            <w:tcW w:w="1124" w:type="dxa"/>
            <w:vMerge w:val="restart"/>
            <w:tcBorders>
              <w:right w:val="single" w:color="auto" w:sz="4" w:space="0"/>
            </w:tcBorders>
            <w:noWrap w:val="0"/>
            <w:vAlign w:val="center"/>
          </w:tcPr>
          <w:p>
            <w:pPr>
              <w:spacing w:line="440" w:lineRule="exact"/>
              <w:jc w:val="center"/>
              <w:rPr>
                <w:rFonts w:hint="eastAsia" w:eastAsia="宋体"/>
                <w:color w:val="auto"/>
                <w:sz w:val="24"/>
                <w:highlight w:val="none"/>
                <w:lang w:eastAsia="zh-CN"/>
              </w:rPr>
            </w:pPr>
            <w:r>
              <w:rPr>
                <w:rFonts w:hint="eastAsia"/>
                <w:color w:val="auto"/>
                <w:sz w:val="24"/>
                <w:highlight w:val="none"/>
              </w:rPr>
              <w:t>承包人实施方案评分标准</w:t>
            </w:r>
            <w:r>
              <w:rPr>
                <w:rFonts w:hint="eastAsia"/>
                <w:color w:val="auto"/>
                <w:sz w:val="24"/>
                <w:highlight w:val="none"/>
                <w:lang w:eastAsia="zh-CN"/>
              </w:rPr>
              <w:t>（暗标）</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sz w:val="24"/>
                <w:highlight w:val="none"/>
              </w:rPr>
            </w:pP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900" w:type="dxa"/>
            <w:vMerge w:val="continue"/>
            <w:tcBorders>
              <w:bottom w:val="single" w:color="auto" w:sz="4" w:space="0"/>
              <w:right w:val="single" w:color="auto" w:sz="4" w:space="0"/>
            </w:tcBorders>
            <w:noWrap w:val="0"/>
            <w:vAlign w:val="center"/>
          </w:tcPr>
          <w:p>
            <w:pPr>
              <w:spacing w:line="440" w:lineRule="exact"/>
              <w:jc w:val="center"/>
              <w:rPr>
                <w:color w:val="auto"/>
                <w:sz w:val="24"/>
                <w:highlight w:val="none"/>
              </w:rPr>
            </w:pPr>
          </w:p>
        </w:tc>
        <w:tc>
          <w:tcPr>
            <w:tcW w:w="1124" w:type="dxa"/>
            <w:vMerge w:val="continue"/>
            <w:tcBorders>
              <w:bottom w:val="single" w:color="auto" w:sz="4" w:space="0"/>
              <w:right w:val="single" w:color="auto" w:sz="4" w:space="0"/>
            </w:tcBorders>
            <w:noWrap w:val="0"/>
            <w:vAlign w:val="center"/>
          </w:tcPr>
          <w:p>
            <w:pPr>
              <w:spacing w:line="440" w:lineRule="exact"/>
              <w:jc w:val="center"/>
              <w:rPr>
                <w:rFonts w:hint="eastAsia"/>
                <w:color w:val="auto"/>
                <w:sz w:val="24"/>
                <w:highlight w:val="none"/>
              </w:rPr>
            </w:pP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sz w:val="24"/>
                <w:highlight w:val="none"/>
              </w:rPr>
            </w:pPr>
            <w:r>
              <w:rPr>
                <w:rFonts w:hint="eastAsia"/>
                <w:color w:val="auto"/>
                <w:sz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5" w:hRule="atLeast"/>
          <w:jc w:val="center"/>
        </w:trPr>
        <w:tc>
          <w:tcPr>
            <w:tcW w:w="9180" w:type="dxa"/>
            <w:gridSpan w:val="4"/>
            <w:tcBorders>
              <w:bottom w:val="single" w:color="auto" w:sz="4" w:space="0"/>
              <w:right w:val="single" w:color="auto" w:sz="4" w:space="0"/>
            </w:tcBorders>
            <w:noWrap w:val="0"/>
            <w:vAlign w:val="center"/>
          </w:tcPr>
          <w:p>
            <w:pPr>
              <w:spacing w:line="440" w:lineRule="exact"/>
              <w:jc w:val="left"/>
              <w:rPr>
                <w:rFonts w:hint="eastAsia"/>
                <w:color w:val="auto"/>
                <w:sz w:val="24"/>
                <w:highlight w:val="none"/>
              </w:rPr>
            </w:pPr>
            <w:r>
              <w:rPr>
                <w:rFonts w:hint="eastAsia" w:ascii="Times New Roman" w:hAnsi="Times New Roman" w:cs="宋体"/>
                <w:color w:val="auto"/>
                <w:sz w:val="24"/>
                <w:highlight w:val="none"/>
              </w:rPr>
              <w:t>注：</w:t>
            </w:r>
            <w:r>
              <w:rPr>
                <w:rFonts w:hint="eastAsia"/>
                <w:color w:val="auto"/>
                <w:sz w:val="24"/>
                <w:highlight w:val="none"/>
              </w:rPr>
              <w:t>承包人实施方案评分</w:t>
            </w:r>
            <w:r>
              <w:rPr>
                <w:rFonts w:hint="eastAsia" w:ascii="Times New Roman" w:hAnsi="Times New Roman" w:cs="宋体"/>
                <w:color w:val="auto"/>
                <w:sz w:val="24"/>
                <w:highlight w:val="none"/>
              </w:rPr>
              <w:t>因素可从</w:t>
            </w:r>
            <w:r>
              <w:rPr>
                <w:rFonts w:hint="eastAsia"/>
                <w:color w:val="auto"/>
                <w:sz w:val="24"/>
                <w:highlight w:val="none"/>
              </w:rPr>
              <w:t>总体实施方案</w:t>
            </w:r>
            <w:r>
              <w:rPr>
                <w:rFonts w:hint="eastAsia" w:ascii="Times New Roman" w:hAnsi="Times New Roman" w:cs="宋体"/>
                <w:color w:val="auto"/>
                <w:sz w:val="24"/>
                <w:highlight w:val="none"/>
              </w:rPr>
              <w:t>、</w:t>
            </w:r>
            <w:r>
              <w:rPr>
                <w:rFonts w:hint="eastAsia"/>
                <w:color w:val="auto"/>
                <w:sz w:val="24"/>
                <w:highlight w:val="none"/>
              </w:rPr>
              <w:t>项目实施要点、项目管理要点</w:t>
            </w:r>
            <w:r>
              <w:rPr>
                <w:rFonts w:hint="eastAsia" w:ascii="Times New Roman" w:hAnsi="Times New Roman" w:cs="宋体"/>
                <w:color w:val="auto"/>
                <w:sz w:val="24"/>
                <w:highlight w:val="none"/>
              </w:rPr>
              <w:t>等方面设置。</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6768" w:hRule="atLeast"/>
          <w:jc w:val="center"/>
        </w:trPr>
        <w:tc>
          <w:tcPr>
            <w:tcW w:w="900"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p>
          <w:p>
            <w:pPr>
              <w:spacing w:line="440" w:lineRule="exact"/>
              <w:jc w:val="center"/>
              <w:rPr>
                <w:color w:val="auto"/>
                <w:sz w:val="24"/>
                <w:highlight w:val="none"/>
              </w:rPr>
            </w:pPr>
          </w:p>
          <w:p>
            <w:pPr>
              <w:spacing w:line="440" w:lineRule="exact"/>
              <w:jc w:val="center"/>
              <w:rPr>
                <w:color w:val="auto"/>
                <w:sz w:val="24"/>
                <w:highlight w:val="none"/>
              </w:rPr>
            </w:pPr>
          </w:p>
          <w:p>
            <w:pPr>
              <w:spacing w:line="440" w:lineRule="exact"/>
              <w:jc w:val="center"/>
              <w:rPr>
                <w:color w:val="auto"/>
                <w:sz w:val="24"/>
                <w:highlight w:val="none"/>
              </w:rPr>
            </w:pPr>
          </w:p>
          <w:p>
            <w:pPr>
              <w:spacing w:line="440" w:lineRule="exact"/>
              <w:jc w:val="center"/>
              <w:rPr>
                <w:color w:val="auto"/>
                <w:sz w:val="24"/>
                <w:highlight w:val="none"/>
              </w:rPr>
            </w:pPr>
          </w:p>
          <w:p>
            <w:pPr>
              <w:spacing w:line="440" w:lineRule="exact"/>
              <w:jc w:val="center"/>
              <w:rPr>
                <w:rFonts w:hint="eastAsia"/>
                <w:color w:val="auto"/>
                <w:sz w:val="24"/>
                <w:highlight w:val="none"/>
              </w:rPr>
            </w:pPr>
            <w:r>
              <w:rPr>
                <w:color w:val="auto"/>
                <w:sz w:val="24"/>
                <w:highlight w:val="none"/>
              </w:rPr>
              <w:t>2.2.4</w:t>
            </w:r>
            <w:r>
              <w:rPr>
                <w:rFonts w:hint="eastAsia"/>
                <w:color w:val="auto"/>
                <w:sz w:val="24"/>
                <w:highlight w:val="none"/>
              </w:rPr>
              <w:t>（4）</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color w:val="auto"/>
                <w:sz w:val="24"/>
                <w:highlight w:val="none"/>
              </w:rPr>
            </w:pPr>
            <w:r>
              <w:rPr>
                <w:rFonts w:hint="eastAsia"/>
                <w:color w:val="auto"/>
                <w:sz w:val="24"/>
                <w:highlight w:val="none"/>
              </w:rPr>
              <w:t>投标</w:t>
            </w:r>
            <w:r>
              <w:rPr>
                <w:color w:val="auto"/>
                <w:sz w:val="24"/>
                <w:highlight w:val="none"/>
              </w:rPr>
              <w:t>报价评分标准</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20" w:lineRule="atLeast"/>
              <w:jc w:val="center"/>
              <w:rPr>
                <w:rFonts w:hint="eastAsia"/>
                <w:color w:val="auto"/>
                <w:sz w:val="24"/>
                <w:highlight w:val="none"/>
              </w:rPr>
            </w:pPr>
            <w:r>
              <w:rPr>
                <w:rFonts w:hint="eastAsia"/>
                <w:color w:val="auto"/>
                <w:sz w:val="24"/>
                <w:highlight w:val="none"/>
              </w:rPr>
              <w:t>偏差率</w:t>
            </w:r>
          </w:p>
        </w:tc>
        <w:tc>
          <w:tcPr>
            <w:tcW w:w="4773" w:type="dxa"/>
            <w:tcBorders>
              <w:top w:val="single" w:color="auto" w:sz="4" w:space="0"/>
              <w:left w:val="single" w:color="auto" w:sz="4" w:space="0"/>
              <w:bottom w:val="single" w:color="auto" w:sz="4" w:space="0"/>
              <w:right w:val="single" w:color="auto" w:sz="4" w:space="0"/>
            </w:tcBorders>
            <w:noWrap w:val="0"/>
            <w:vAlign w:val="top"/>
          </w:tcPr>
          <w:p>
            <w:pPr>
              <w:spacing w:line="380" w:lineRule="exact"/>
              <w:rPr>
                <w:rFonts w:hint="eastAsia" w:ascii="Times New Roman" w:hAnsi="Times New Roman"/>
                <w:color w:val="auto"/>
                <w:sz w:val="27"/>
                <w:highlight w:val="none"/>
              </w:rPr>
            </w:pPr>
          </w:p>
          <w:p>
            <w:pPr>
              <w:spacing w:line="380" w:lineRule="exact"/>
              <w:rPr>
                <w:rFonts w:hint="eastAsia" w:ascii="Times New Roman" w:hAnsi="Times New Roman"/>
                <w:color w:val="auto"/>
                <w:sz w:val="27"/>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□有效投标报价等于评标基准价的得满分，其他有效投标报价与评标基准价相比，每高1%扣</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（不少于0.5）分。</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sym w:font="Wingdings 2" w:char="00A3"/>
            </w:r>
            <w:r>
              <w:rPr>
                <w:rFonts w:hint="eastAsia" w:ascii="Times New Roman" w:hAnsi="Times New Roman" w:cs="宋体"/>
                <w:color w:val="auto"/>
                <w:sz w:val="24"/>
                <w:highlight w:val="none"/>
              </w:rPr>
              <w:t>有效投标报价等于评标基准价的得满分，其他有效投标报价与评标基准价相比，每高1%扣</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（不少于1分），每低1%扣</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（不少于0.5分）。</w:t>
            </w: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注：中间值采用插入法计算，小数点后保留两位。每低1%所扣分值不得高于每高1%所扣分值。</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9" w:hRule="atLeast"/>
          <w:jc w:val="center"/>
        </w:trPr>
        <w:tc>
          <w:tcPr>
            <w:tcW w:w="900" w:type="dxa"/>
            <w:vMerge w:val="restart"/>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rFonts w:hint="eastAsia"/>
                <w:color w:val="auto"/>
                <w:sz w:val="24"/>
                <w:highlight w:val="none"/>
              </w:rPr>
            </w:pPr>
            <w:r>
              <w:rPr>
                <w:color w:val="auto"/>
                <w:sz w:val="24"/>
                <w:highlight w:val="none"/>
              </w:rPr>
              <w:t>2.2.4</w:t>
            </w:r>
            <w:r>
              <w:rPr>
                <w:rFonts w:hint="eastAsia"/>
                <w:color w:val="auto"/>
                <w:sz w:val="24"/>
                <w:highlight w:val="none"/>
              </w:rPr>
              <w:t>（5）</w:t>
            </w:r>
          </w:p>
        </w:tc>
        <w:tc>
          <w:tcPr>
            <w:tcW w:w="1124"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color w:val="auto"/>
                <w:sz w:val="24"/>
                <w:highlight w:val="none"/>
              </w:rPr>
              <w:t>其他因素评分标准</w:t>
            </w:r>
          </w:p>
        </w:tc>
        <w:tc>
          <w:tcPr>
            <w:tcW w:w="238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color w:val="auto"/>
                <w:sz w:val="24"/>
                <w:highlight w:val="none"/>
              </w:rPr>
            </w:pPr>
            <w:r>
              <w:rPr>
                <w:rFonts w:hint="eastAsia"/>
                <w:color w:val="auto"/>
                <w:sz w:val="24"/>
                <w:highlight w:val="none"/>
              </w:rPr>
              <w:t>……</w:t>
            </w: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806" w:hRule="atLeast"/>
          <w:jc w:val="center"/>
        </w:trPr>
        <w:tc>
          <w:tcPr>
            <w:tcW w:w="900" w:type="dxa"/>
            <w:vMerge w:val="continue"/>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auto"/>
                <w:sz w:val="24"/>
                <w:highlight w:val="none"/>
              </w:rPr>
            </w:pPr>
          </w:p>
        </w:tc>
        <w:tc>
          <w:tcPr>
            <w:tcW w:w="1124"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auto"/>
                <w:sz w:val="24"/>
                <w:highlight w:val="none"/>
              </w:rPr>
            </w:pPr>
            <w:r>
              <w:rPr>
                <w:rFonts w:hint="eastAsia"/>
                <w:color w:val="auto"/>
                <w:sz w:val="24"/>
                <w:highlight w:val="none"/>
              </w:rPr>
              <w:t>……</w:t>
            </w:r>
          </w:p>
        </w:tc>
        <w:tc>
          <w:tcPr>
            <w:tcW w:w="238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auto"/>
                <w:sz w:val="24"/>
                <w:highlight w:val="none"/>
              </w:rPr>
            </w:pPr>
            <w:r>
              <w:rPr>
                <w:rFonts w:hint="eastAsia"/>
                <w:color w:val="auto"/>
                <w:sz w:val="24"/>
                <w:highlight w:val="none"/>
              </w:rPr>
              <w:t>……</w:t>
            </w:r>
          </w:p>
        </w:tc>
        <w:tc>
          <w:tcPr>
            <w:tcW w:w="4773" w:type="dxa"/>
            <w:tcBorders>
              <w:top w:val="single" w:color="auto" w:sz="4" w:space="0"/>
              <w:left w:val="single" w:color="auto" w:sz="4" w:space="0"/>
              <w:bottom w:val="single" w:color="auto" w:sz="4" w:space="0"/>
              <w:right w:val="single" w:color="auto" w:sz="4" w:space="0"/>
            </w:tcBorders>
            <w:noWrap w:val="0"/>
            <w:vAlign w:val="top"/>
          </w:tcPr>
          <w:p>
            <w:pPr>
              <w:spacing w:line="440" w:lineRule="exact"/>
              <w:jc w:val="center"/>
              <w:rPr>
                <w:color w:val="auto"/>
                <w:sz w:val="24"/>
                <w:highlight w:val="none"/>
              </w:rPr>
            </w:pPr>
            <w:r>
              <w:rPr>
                <w:rFonts w:hint="eastAsia"/>
                <w:color w:val="auto"/>
                <w:sz w:val="24"/>
                <w:highlight w:val="none"/>
              </w:rPr>
              <w:t>……</w:t>
            </w:r>
          </w:p>
        </w:tc>
      </w:tr>
    </w:tbl>
    <w:p>
      <w:pPr>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注：</w:t>
      </w:r>
    </w:p>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（1）招标人应科学合理地设定评标办法，以保证足够的竞争性。</w:t>
      </w:r>
    </w:p>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不得设定特定行政区域或者特定行业的奖项作为加分条件，不得设定与招标项目的具体特点不相适应的奖项作为加分条件，不得设定全国评比达标表彰工作协调小组办公室按照《评比达标表彰活动管理办法》公布的目录以外的奖项作为加分条件；招标项目的技术指标达到相应奖项申报条件的，方可设置相应奖项作为加分条件；设定奖项年限为近3年的，个数不得超过1个，设定奖项年限为近5年及以上的，个数不得超过2个；评标办法中各类奖项加分总分值不得超过3分。</w:t>
      </w:r>
    </w:p>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（3）不得设定特定行政区域或者特定行业的业绩作为加分条件；不得设定与招标项目的具体特点不相适应的业绩作为加分条件；设定的业绩每类别个数不得超过3个（含资格条件个数）。</w:t>
      </w:r>
    </w:p>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4）按照《国务院办公厅关于加快推进社会信用体系建设构建以信用为基础的新型监管机制的指导意见》（国办发〔2019〕35号）精神，不得设定不属于国家有关部门或其授权的行业协会商会开展的信用评价作为加分条件。</w:t>
      </w:r>
    </w:p>
    <w:p>
      <w:pPr>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 xml:space="preserve">    （5）不得将施工员、质量员、安全员等现场管理人员岗位证书设定为加分条件，也不得将其他未列入国家职业资格目录的人员资格设定为加分条件。</w:t>
      </w:r>
    </w:p>
    <w:p>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（6）评标委员会在评标过程中，如要求投标人澄清或说明的，评标委员会要求投标人在线澄清或说明的时间距投标人收到评标委员会通知的时间不得少于 60分钟。</w:t>
      </w:r>
    </w:p>
    <w:p>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评标委员会认为投标人的澄清或说明不够明确，应再次要求投标人对不明确的内容进行澄清或说明，评标委员会要求投标人再次在线澄清或说明的时间距投标人收到评标委员会通知的时间不得少于 30 分钟。</w:t>
      </w:r>
    </w:p>
    <w:p>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投标人未在规定时间内作出澄清或说明的，或者评标委员会成员认为该投标人的两次澄清或说明都不符合评标委员会要求的，作否决投标处理。</w:t>
      </w:r>
    </w:p>
    <w:p>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7）投标人串通投标或弄虚作假或有其他违法行为，评标委员会在评标过程中发现，证据确凿的，经评标委员会成员三分之二以上同意，其投标作否决投标处理；证据不够确凿的，其投标不能作否决投标处理，但评标委员会在向招标人提交书面评标报告时，应予说明。</w:t>
      </w:r>
    </w:p>
    <w:p>
      <w:pPr>
        <w:spacing w:line="360" w:lineRule="auto"/>
        <w:rPr>
          <w:rFonts w:ascii="Times New Roman" w:hAnsi="Times New Roman"/>
          <w:color w:val="auto"/>
          <w:sz w:val="24"/>
          <w:highlight w:val="none"/>
        </w:rPr>
      </w:pPr>
      <w:r>
        <w:rPr>
          <w:color w:val="auto"/>
          <w:highlight w:val="none"/>
        </w:rPr>
        <w:t xml:space="preserve">    </w:t>
      </w:r>
      <w:r>
        <w:rPr>
          <w:rFonts w:hint="eastAsia" w:ascii="Times New Roman" w:hAnsi="Times New Roman"/>
          <w:color w:val="auto"/>
          <w:sz w:val="24"/>
          <w:highlight w:val="none"/>
        </w:rPr>
        <w:t>在评标结束后发现投标人串通投标或弄虚作假或有其他违法行为，查证属实的，取消其中标资格。</w:t>
      </w:r>
    </w:p>
    <w:p>
      <w:pPr>
        <w:spacing w:line="400" w:lineRule="exact"/>
        <w:rPr>
          <w:color w:val="auto"/>
          <w:highlight w:val="none"/>
        </w:rPr>
      </w:pPr>
      <w:r>
        <w:rPr>
          <w:color w:val="auto"/>
          <w:highlight w:val="none"/>
        </w:rPr>
        <w:br w:type="page"/>
      </w:r>
    </w:p>
    <w:p>
      <w:pPr>
        <w:pStyle w:val="3"/>
        <w:rPr>
          <w:rFonts w:ascii="Times New Roman" w:hAnsi="Times New Roman"/>
          <w:color w:val="auto"/>
          <w:highlight w:val="none"/>
        </w:rPr>
      </w:pPr>
      <w:bookmarkStart w:id="380" w:name="_Toc300835010"/>
      <w:bookmarkStart w:id="381" w:name="_Toc144974567"/>
      <w:bookmarkStart w:id="382" w:name="_Toc152042377"/>
      <w:bookmarkStart w:id="383" w:name="_Toc152045600"/>
      <w:bookmarkStart w:id="384" w:name="_Toc247514024"/>
      <w:bookmarkStart w:id="385" w:name="_Toc247527625"/>
      <w:r>
        <w:rPr>
          <w:rFonts w:hint="eastAsia" w:ascii="Times New Roman" w:hAnsi="Times New Roman"/>
          <w:color w:val="auto"/>
          <w:highlight w:val="none"/>
        </w:rPr>
        <w:t>1. 评标方法</w:t>
      </w:r>
      <w:bookmarkEnd w:id="380"/>
      <w:bookmarkEnd w:id="381"/>
      <w:bookmarkEnd w:id="382"/>
      <w:bookmarkEnd w:id="383"/>
      <w:bookmarkEnd w:id="384"/>
      <w:bookmarkEnd w:id="385"/>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或者经招标人授权评标委员会自行确定。</w:t>
      </w:r>
    </w:p>
    <w:p>
      <w:pPr>
        <w:pStyle w:val="3"/>
        <w:rPr>
          <w:rFonts w:ascii="Times New Roman" w:hAnsi="Times New Roman"/>
          <w:color w:val="auto"/>
          <w:highlight w:val="none"/>
        </w:rPr>
      </w:pPr>
      <w:bookmarkStart w:id="386" w:name="_Toc300835011"/>
      <w:bookmarkStart w:id="387" w:name="_Toc247514025"/>
      <w:bookmarkStart w:id="388" w:name="_Toc144974568"/>
      <w:bookmarkStart w:id="389" w:name="_Toc152042378"/>
      <w:bookmarkStart w:id="390" w:name="_Toc152045601"/>
      <w:bookmarkStart w:id="391" w:name="_Toc247527626"/>
      <w:r>
        <w:rPr>
          <w:rFonts w:hint="eastAsia" w:ascii="Times New Roman" w:hAnsi="Times New Roman"/>
          <w:color w:val="auto"/>
          <w:highlight w:val="none"/>
        </w:rPr>
        <w:t>2. 评审标准</w:t>
      </w:r>
      <w:bookmarkEnd w:id="386"/>
      <w:bookmarkEnd w:id="387"/>
      <w:bookmarkEnd w:id="388"/>
      <w:bookmarkEnd w:id="389"/>
      <w:bookmarkEnd w:id="390"/>
      <w:bookmarkEnd w:id="391"/>
    </w:p>
    <w:p>
      <w:pPr>
        <w:pStyle w:val="4"/>
        <w:rPr>
          <w:rFonts w:ascii="Times New Roman" w:hAnsi="Times New Roman"/>
          <w:color w:val="auto"/>
          <w:highlight w:val="none"/>
        </w:rPr>
      </w:pPr>
      <w:bookmarkStart w:id="392" w:name="_Toc152042379"/>
      <w:bookmarkStart w:id="393" w:name="_Toc152045602"/>
      <w:bookmarkStart w:id="394" w:name="_Toc247527627"/>
      <w:bookmarkStart w:id="395" w:name="_Toc144974569"/>
      <w:bookmarkStart w:id="396" w:name="_Toc247514026"/>
      <w:bookmarkStart w:id="397" w:name="_Toc300835012"/>
      <w:r>
        <w:rPr>
          <w:rFonts w:hint="eastAsia" w:ascii="Times New Roman" w:hAnsi="Times New Roman"/>
          <w:color w:val="auto"/>
          <w:highlight w:val="none"/>
        </w:rPr>
        <w:t>2.1 初步评审标准</w:t>
      </w:r>
      <w:bookmarkEnd w:id="392"/>
      <w:bookmarkEnd w:id="393"/>
      <w:bookmarkEnd w:id="394"/>
      <w:bookmarkEnd w:id="395"/>
      <w:bookmarkEnd w:id="396"/>
      <w:bookmarkEnd w:id="397"/>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2.1.1 形式评审标准：见评标办法前附表。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2.1.2 资格评审标准：见评标办法前附表。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2.1.3 响应性评审标准：见评标办法前附表。</w:t>
      </w:r>
    </w:p>
    <w:p>
      <w:pPr>
        <w:pStyle w:val="4"/>
        <w:rPr>
          <w:rFonts w:ascii="Times New Roman" w:hAnsi="Times New Roman"/>
          <w:color w:val="auto"/>
          <w:highlight w:val="none"/>
        </w:rPr>
      </w:pPr>
      <w:bookmarkStart w:id="398" w:name="_Toc152045603"/>
      <w:bookmarkStart w:id="399" w:name="_Toc247527628"/>
      <w:bookmarkStart w:id="400" w:name="_Toc144974570"/>
      <w:bookmarkStart w:id="401" w:name="_Toc300835013"/>
      <w:bookmarkStart w:id="402" w:name="_Toc247514027"/>
      <w:bookmarkStart w:id="403" w:name="_Toc152042380"/>
      <w:r>
        <w:rPr>
          <w:rFonts w:hint="eastAsia" w:ascii="Times New Roman" w:hAnsi="Times New Roman"/>
          <w:color w:val="auto"/>
          <w:highlight w:val="none"/>
        </w:rPr>
        <w:t>2.2 分值构成与评分标准</w:t>
      </w:r>
      <w:bookmarkEnd w:id="398"/>
      <w:bookmarkEnd w:id="399"/>
      <w:bookmarkEnd w:id="400"/>
      <w:bookmarkEnd w:id="401"/>
      <w:bookmarkEnd w:id="402"/>
      <w:bookmarkEnd w:id="403"/>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2.2.1 分值构成</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（1）承包人建议书：见评标办法前附表；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（2）资信业绩部分：见评标办法前附表；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（3）承包人实施方案：见评标办法前附表；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（4）投标报价：见评标办法前附表；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（5）其他评分因素：见评标办法前附表。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2.2.2 评标基准价计算</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评标基准价计算方法：见评标办法前附表。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2.2.3 投标报价的偏差率计算</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投标报价的偏差率计算公式：见评标办法前附表。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2.2.4 评分标准</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（1）承包人建议书评分标准：见评标办法前附表；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（2）资信业绩评分标准：见评标办法前附表；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（3）承包人实施方案评分标准：见评标办法前附表；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（4）投标报价评分标准：见评标办法前附表；</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（5）其他因素评分标准：见评标办法前附表。</w:t>
      </w:r>
    </w:p>
    <w:p>
      <w:pPr>
        <w:pStyle w:val="3"/>
        <w:rPr>
          <w:rFonts w:ascii="Times New Roman" w:hAnsi="Times New Roman"/>
          <w:color w:val="auto"/>
          <w:highlight w:val="none"/>
        </w:rPr>
      </w:pPr>
      <w:bookmarkStart w:id="404" w:name="_Toc152045604"/>
      <w:bookmarkStart w:id="405" w:name="_Toc247527629"/>
      <w:bookmarkStart w:id="406" w:name="_Toc247514028"/>
      <w:bookmarkStart w:id="407" w:name="_Toc152042381"/>
      <w:bookmarkStart w:id="408" w:name="_Toc144974571"/>
      <w:bookmarkStart w:id="409" w:name="_Toc300835014"/>
      <w:r>
        <w:rPr>
          <w:rFonts w:hint="eastAsia" w:ascii="Times New Roman" w:hAnsi="Times New Roman"/>
          <w:color w:val="auto"/>
          <w:highlight w:val="none"/>
        </w:rPr>
        <w:t>3. 评标程序</w:t>
      </w:r>
      <w:bookmarkEnd w:id="404"/>
      <w:bookmarkEnd w:id="405"/>
      <w:bookmarkEnd w:id="406"/>
      <w:bookmarkEnd w:id="407"/>
      <w:bookmarkEnd w:id="408"/>
      <w:bookmarkEnd w:id="409"/>
    </w:p>
    <w:p>
      <w:pPr>
        <w:pStyle w:val="4"/>
        <w:rPr>
          <w:rFonts w:ascii="Times New Roman" w:hAnsi="Times New Roman"/>
          <w:color w:val="auto"/>
          <w:highlight w:val="none"/>
        </w:rPr>
      </w:pPr>
      <w:bookmarkStart w:id="410" w:name="_Toc144974572"/>
      <w:bookmarkStart w:id="411" w:name="_Toc247527630"/>
      <w:bookmarkStart w:id="412" w:name="_Toc300835015"/>
      <w:bookmarkStart w:id="413" w:name="_Toc152042382"/>
      <w:bookmarkStart w:id="414" w:name="_Toc247514029"/>
      <w:bookmarkStart w:id="415" w:name="_Toc152045605"/>
      <w:r>
        <w:rPr>
          <w:rFonts w:hint="eastAsia" w:ascii="Times New Roman" w:hAnsi="Times New Roman"/>
          <w:color w:val="auto"/>
          <w:highlight w:val="none"/>
        </w:rPr>
        <w:t>3.1 初步评审</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3.1.1 评标委员会依据本章第2.1款规定的标准对投标文件进行初步评审。有一项不符合评审标准的，评标委员会应当否决其投标。（适用于未进行资格预审的）</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3.1.</w:t>
      </w:r>
      <w:r>
        <w:rPr>
          <w:rFonts w:hint="eastAsia" w:ascii="Times New Roman" w:hAnsi="Times New Roman"/>
          <w:color w:val="auto"/>
          <w:sz w:val="24"/>
          <w:highlight w:val="none"/>
          <w:lang w:val="en-US" w:eastAsia="zh-CN"/>
        </w:rPr>
        <w:t>2</w:t>
      </w:r>
      <w:r>
        <w:rPr>
          <w:rFonts w:hint="eastAsia" w:ascii="Times New Roman" w:hAnsi="Times New Roman"/>
          <w:color w:val="auto"/>
          <w:sz w:val="24"/>
          <w:highlight w:val="none"/>
        </w:rPr>
        <w:t xml:space="preserve"> 评标委员会依据本章第2.1.1项、第2.1.3项规定的评审标准对投标文件进行初步评审。有一项不符合评审标准的，评标委员会应当否决其投标。当投标人资格预审申请文件的内容发生重大变化时，评标委员会依据本章第2.1.2项规定的标准对其更新资料进行评审。（适用于已进行资格预审的）</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3.1.</w:t>
      </w:r>
      <w:r>
        <w:rPr>
          <w:rFonts w:hint="eastAsia" w:ascii="Times New Roman" w:hAnsi="Times New Roman"/>
          <w:color w:val="auto"/>
          <w:sz w:val="24"/>
          <w:highlight w:val="none"/>
          <w:lang w:val="en-US" w:eastAsia="zh-CN"/>
        </w:rPr>
        <w:t>3</w:t>
      </w:r>
      <w:r>
        <w:rPr>
          <w:rFonts w:hint="eastAsia" w:ascii="Times New Roman" w:hAnsi="Times New Roman"/>
          <w:color w:val="auto"/>
          <w:sz w:val="24"/>
          <w:highlight w:val="none"/>
        </w:rPr>
        <w:t xml:space="preserve"> 投标人有以下情形之一的，评标委员会应当否决其投标：</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（1）第二章“投标人须知</w:t>
      </w:r>
      <w:r>
        <w:rPr>
          <w:rFonts w:hint="eastAsia" w:ascii="Times New Roman" w:hAnsi="Times New Roman"/>
          <w:color w:val="auto"/>
          <w:sz w:val="24"/>
          <w:highlight w:val="none"/>
          <w:lang w:eastAsia="zh-CN"/>
        </w:rPr>
        <w:t>前附表</w:t>
      </w:r>
      <w:r>
        <w:rPr>
          <w:rFonts w:hint="eastAsia" w:ascii="Times New Roman" w:hAnsi="Times New Roman"/>
          <w:color w:val="auto"/>
          <w:sz w:val="24"/>
          <w:highlight w:val="none"/>
        </w:rPr>
        <w:t>”第1.4.</w:t>
      </w:r>
      <w:r>
        <w:rPr>
          <w:rFonts w:hint="eastAsia" w:ascii="Times New Roman" w:hAnsi="Times New Roman"/>
          <w:color w:val="auto"/>
          <w:sz w:val="24"/>
          <w:highlight w:val="none"/>
          <w:lang w:val="en-US" w:eastAsia="zh-CN"/>
        </w:rPr>
        <w:t>3</w:t>
      </w:r>
      <w:r>
        <w:rPr>
          <w:rFonts w:hint="eastAsia" w:ascii="Times New Roman" w:hAnsi="Times New Roman"/>
          <w:color w:val="auto"/>
          <w:sz w:val="24"/>
          <w:highlight w:val="none"/>
        </w:rPr>
        <w:t>项规定的任何一种情形的；</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（2）串通投标或弄虚作假或有其他违法行为的；</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（3）不按评标委员会要求澄清、说明或补正的。</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3.1.</w:t>
      </w:r>
      <w:r>
        <w:rPr>
          <w:rFonts w:hint="eastAsia" w:ascii="Times New Roman" w:hAnsi="Times New Roman"/>
          <w:color w:val="auto"/>
          <w:sz w:val="24"/>
          <w:highlight w:val="none"/>
          <w:lang w:val="en-US" w:eastAsia="zh-CN"/>
        </w:rPr>
        <w:t>4</w:t>
      </w:r>
      <w:r>
        <w:rPr>
          <w:rFonts w:hint="eastAsia" w:ascii="Times New Roman" w:hAnsi="Times New Roman"/>
          <w:color w:val="auto"/>
          <w:sz w:val="24"/>
          <w:highlight w:val="none"/>
        </w:rPr>
        <w:t>投标报价有算术错误的，评标委员会按以下原则对投标报价进行修正，修正的价格经投标人书面确认后具有约束力。投标人不接受修正价格的，评标委员会应当否决其投标。</w:t>
      </w:r>
    </w:p>
    <w:p>
      <w:pPr>
        <w:numPr>
          <w:ilvl w:val="0"/>
          <w:numId w:val="0"/>
        </w:numPr>
        <w:spacing w:line="578" w:lineRule="exact"/>
        <w:ind w:firstLine="480" w:firstLineChars="200"/>
        <w:rPr>
          <w:rFonts w:hint="eastAsia" w:ascii="Times New Roman" w:hAnsi="Times New Roman"/>
          <w:color w:val="auto"/>
          <w:sz w:val="24"/>
          <w:highlight w:val="none"/>
        </w:rPr>
      </w:pPr>
      <w:bookmarkStart w:id="416" w:name="_Toc152042383"/>
      <w:r>
        <w:rPr>
          <w:rFonts w:hint="eastAsia" w:ascii="Times New Roman" w:hAnsi="Times New Roman"/>
          <w:color w:val="auto"/>
          <w:sz w:val="24"/>
          <w:highlight w:val="none"/>
        </w:rPr>
        <w:t>（1）投标文件中的大写金额与小写金额不一致的，以大写金额为准；</w:t>
      </w:r>
      <w:bookmarkEnd w:id="416"/>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（2）总价金额与依据单价计算出的结果不一致的，以单价金额为准修正总价，但单价金额小数点有明显错误的除外。</w:t>
      </w:r>
    </w:p>
    <w:p>
      <w:pPr>
        <w:pStyle w:val="4"/>
        <w:rPr>
          <w:rFonts w:ascii="Times New Roman" w:hAnsi="Times New Roman"/>
          <w:color w:val="auto"/>
          <w:highlight w:val="none"/>
        </w:rPr>
      </w:pPr>
      <w:r>
        <w:rPr>
          <w:rFonts w:hint="eastAsia" w:ascii="Times New Roman" w:hAnsi="Times New Roman"/>
          <w:color w:val="auto"/>
          <w:highlight w:val="none"/>
        </w:rPr>
        <w:t>3.2 详细评审</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3.2.1 评标委员会按本章第2.2款规定的量化因素和分值进行打分，并计算出综合评估得分。评标办法前附表对承包人建议书中的设计文件评审有特殊规定的，从其规定。</w:t>
      </w:r>
    </w:p>
    <w:p>
      <w:pPr>
        <w:numPr>
          <w:ilvl w:val="0"/>
          <w:numId w:val="0"/>
        </w:numPr>
        <w:spacing w:line="578" w:lineRule="exact"/>
        <w:ind w:firstLine="474" w:firstLineChars="200"/>
        <w:jc w:val="both"/>
        <w:rPr>
          <w:rFonts w:hint="eastAsia" w:ascii="Times New Roman" w:hAnsi="Times New Roman"/>
          <w:color w:val="auto"/>
          <w:w w:val="99"/>
          <w:sz w:val="24"/>
          <w:highlight w:val="none"/>
        </w:rPr>
      </w:pPr>
      <w:r>
        <w:rPr>
          <w:rFonts w:hint="eastAsia" w:ascii="Times New Roman" w:hAnsi="Times New Roman"/>
          <w:color w:val="auto"/>
          <w:w w:val="99"/>
          <w:sz w:val="24"/>
          <w:highlight w:val="none"/>
        </w:rPr>
        <w:t xml:space="preserve">（1）按本章第2.2.4（1）目规定的评审因素和分值对承包人建议书计算出得分A； </w:t>
      </w:r>
    </w:p>
    <w:p>
      <w:pPr>
        <w:numPr>
          <w:ilvl w:val="0"/>
          <w:numId w:val="0"/>
        </w:numPr>
        <w:spacing w:line="578" w:lineRule="exact"/>
        <w:ind w:firstLine="474" w:firstLineChars="200"/>
        <w:jc w:val="both"/>
        <w:rPr>
          <w:rFonts w:hint="eastAsia" w:ascii="Times New Roman" w:hAnsi="Times New Roman"/>
          <w:color w:val="auto"/>
          <w:w w:val="99"/>
          <w:sz w:val="24"/>
          <w:highlight w:val="none"/>
        </w:rPr>
      </w:pPr>
      <w:r>
        <w:rPr>
          <w:rFonts w:hint="eastAsia" w:ascii="Times New Roman" w:hAnsi="Times New Roman"/>
          <w:color w:val="auto"/>
          <w:w w:val="99"/>
          <w:sz w:val="24"/>
          <w:highlight w:val="none"/>
        </w:rPr>
        <w:t>（2）按本章第2.2.4（2）目规定的评审因素和分值对资信业绩部分计算出得分B；</w:t>
      </w:r>
    </w:p>
    <w:p>
      <w:pPr>
        <w:numPr>
          <w:ilvl w:val="0"/>
          <w:numId w:val="0"/>
        </w:numPr>
        <w:spacing w:line="578" w:lineRule="exact"/>
        <w:ind w:firstLine="474" w:firstLineChars="200"/>
        <w:jc w:val="both"/>
        <w:rPr>
          <w:rFonts w:hint="eastAsia" w:ascii="Times New Roman" w:hAnsi="Times New Roman"/>
          <w:color w:val="auto"/>
          <w:w w:val="99"/>
          <w:sz w:val="24"/>
          <w:highlight w:val="none"/>
        </w:rPr>
      </w:pPr>
      <w:r>
        <w:rPr>
          <w:rFonts w:hint="eastAsia" w:ascii="Times New Roman" w:hAnsi="Times New Roman"/>
          <w:color w:val="auto"/>
          <w:w w:val="99"/>
          <w:sz w:val="24"/>
          <w:highlight w:val="none"/>
        </w:rPr>
        <w:t>（</w:t>
      </w:r>
      <w:r>
        <w:rPr>
          <w:rFonts w:hint="eastAsia" w:ascii="Times New Roman" w:hAnsi="Times New Roman"/>
          <w:color w:val="auto"/>
          <w:w w:val="99"/>
          <w:sz w:val="24"/>
          <w:highlight w:val="none"/>
          <w:lang w:val="en-US" w:eastAsia="zh-CN"/>
        </w:rPr>
        <w:t>3</w:t>
      </w:r>
      <w:r>
        <w:rPr>
          <w:rFonts w:hint="eastAsia" w:ascii="Times New Roman" w:hAnsi="Times New Roman"/>
          <w:color w:val="auto"/>
          <w:w w:val="99"/>
          <w:sz w:val="24"/>
          <w:highlight w:val="none"/>
        </w:rPr>
        <w:t>）按本章第2.2.4（3）目规定的评审因素和分值对承包人实施方案计算出得分C</w:t>
      </w:r>
      <w:r>
        <w:rPr>
          <w:rFonts w:hint="eastAsia" w:ascii="Times New Roman" w:hAnsi="Times New Roman"/>
          <w:color w:val="auto"/>
          <w:w w:val="99"/>
          <w:sz w:val="24"/>
          <w:highlight w:val="none"/>
          <w:lang w:eastAsia="zh-CN"/>
        </w:rPr>
        <w:t>；</w:t>
      </w:r>
    </w:p>
    <w:p>
      <w:pPr>
        <w:numPr>
          <w:ilvl w:val="0"/>
          <w:numId w:val="0"/>
        </w:numPr>
        <w:spacing w:line="578" w:lineRule="exact"/>
        <w:ind w:firstLine="474" w:firstLineChars="200"/>
        <w:jc w:val="both"/>
        <w:rPr>
          <w:rFonts w:hint="eastAsia" w:ascii="Times New Roman" w:hAnsi="Times New Roman"/>
          <w:color w:val="auto"/>
          <w:w w:val="99"/>
          <w:sz w:val="24"/>
          <w:highlight w:val="none"/>
        </w:rPr>
      </w:pPr>
      <w:r>
        <w:rPr>
          <w:rFonts w:hint="eastAsia" w:ascii="Times New Roman" w:hAnsi="Times New Roman"/>
          <w:color w:val="auto"/>
          <w:w w:val="99"/>
          <w:sz w:val="24"/>
          <w:highlight w:val="none"/>
        </w:rPr>
        <w:t>（4）按本章第2.2.4（</w:t>
      </w:r>
      <w:r>
        <w:rPr>
          <w:rFonts w:hint="eastAsia" w:ascii="Times New Roman" w:hAnsi="Times New Roman"/>
          <w:color w:val="auto"/>
          <w:w w:val="99"/>
          <w:sz w:val="24"/>
          <w:highlight w:val="none"/>
          <w:lang w:val="en-US" w:eastAsia="zh-CN"/>
        </w:rPr>
        <w:t>4</w:t>
      </w:r>
      <w:r>
        <w:rPr>
          <w:rFonts w:hint="eastAsia" w:ascii="Times New Roman" w:hAnsi="Times New Roman"/>
          <w:color w:val="auto"/>
          <w:w w:val="99"/>
          <w:sz w:val="24"/>
          <w:highlight w:val="none"/>
        </w:rPr>
        <w:t>）目规定的评审因素和分值对投标报价计算出得分D；</w:t>
      </w:r>
    </w:p>
    <w:p>
      <w:pPr>
        <w:numPr>
          <w:ilvl w:val="0"/>
          <w:numId w:val="0"/>
        </w:numPr>
        <w:spacing w:line="578" w:lineRule="exact"/>
        <w:ind w:firstLine="474" w:firstLineChars="200"/>
        <w:jc w:val="both"/>
        <w:rPr>
          <w:rFonts w:hint="eastAsia" w:ascii="Times New Roman" w:hAnsi="Times New Roman"/>
          <w:color w:val="auto"/>
          <w:w w:val="99"/>
          <w:sz w:val="24"/>
          <w:highlight w:val="none"/>
        </w:rPr>
      </w:pPr>
      <w:r>
        <w:rPr>
          <w:rFonts w:hint="eastAsia" w:ascii="Times New Roman" w:hAnsi="Times New Roman"/>
          <w:color w:val="auto"/>
          <w:w w:val="99"/>
          <w:sz w:val="24"/>
          <w:highlight w:val="none"/>
        </w:rPr>
        <w:t>（5）按本章第2.2.4（5）目规定的评审因素和分值对其他部分计算出得分E。</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3.2.2 评分分值计算保留小数点后两位，小数点后第三位“四舍五入”。</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3.2.3 投标人得分=A+B+C+D+E。</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3.2.4 评标委员会发现投标人的报价明显低于其他投标报价，或者在设有标底时明显低于标底，使得其投标报价可能低于其个别成本的，应当要求该投标人作出书面说明并提供相应的证明材料。投标人不能合理说明或者不能提供相应证明材料的，评标委员会应当认定该投标人以低于成本报价竞标，应当否决其投标。</w:t>
      </w:r>
    </w:p>
    <w:p>
      <w:pPr>
        <w:pStyle w:val="4"/>
        <w:rPr>
          <w:rFonts w:ascii="Times New Roman" w:hAnsi="Times New Roman"/>
          <w:color w:val="auto"/>
          <w:highlight w:val="none"/>
        </w:rPr>
      </w:pPr>
      <w:r>
        <w:rPr>
          <w:rFonts w:hint="eastAsia" w:ascii="Times New Roman" w:hAnsi="Times New Roman"/>
          <w:color w:val="auto"/>
          <w:highlight w:val="none"/>
        </w:rPr>
        <w:t>3.3 投标文件的澄清和补正</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3.3.2 澄清、说明和补正不得改变投标文件的实质性内容。投标人的书面澄清、说明和补正属于投标文件的组成部分。</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3.3.3 评标委员会对投标人提交的澄清、说明或补正有疑问的，可以要求投标人进一步澄清、说明或补正，直至满足评标委员会的要求。</w:t>
      </w:r>
    </w:p>
    <w:p>
      <w:pPr>
        <w:pStyle w:val="4"/>
        <w:rPr>
          <w:rFonts w:ascii="Times New Roman" w:hAnsi="Times New Roman"/>
          <w:color w:val="auto"/>
          <w:highlight w:val="none"/>
        </w:rPr>
      </w:pPr>
      <w:r>
        <w:rPr>
          <w:rFonts w:hint="eastAsia" w:ascii="Times New Roman" w:hAnsi="Times New Roman"/>
          <w:color w:val="auto"/>
          <w:highlight w:val="none"/>
        </w:rPr>
        <w:t>3.4 评标结果</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3.4.1 除第二章“投标人须知”前附表授权直接确定中标人外，评标委员会按照得分由高到低的顺序推荐中标候选人。</w:t>
      </w:r>
    </w:p>
    <w:p>
      <w:pPr>
        <w:numPr>
          <w:ilvl w:val="0"/>
          <w:numId w:val="0"/>
        </w:numPr>
        <w:spacing w:line="578" w:lineRule="exact"/>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3.4.2 评标委员会完成评标后，应当向招标人提交书面评标报告。</w:t>
      </w:r>
    </w:p>
    <w:bookmarkEnd w:id="410"/>
    <w:bookmarkEnd w:id="411"/>
    <w:bookmarkEnd w:id="412"/>
    <w:bookmarkEnd w:id="413"/>
    <w:bookmarkEnd w:id="414"/>
    <w:bookmarkEnd w:id="415"/>
    <w:p>
      <w:pPr>
        <w:numPr>
          <w:ilvl w:val="0"/>
          <w:numId w:val="0"/>
        </w:numPr>
        <w:spacing w:line="578" w:lineRule="exact"/>
        <w:ind w:firstLine="480" w:firstLineChars="200"/>
        <w:rPr>
          <w:rFonts w:hint="eastAsia" w:ascii="Times New Roman" w:hAnsi="Times New Roman" w:eastAsia="宋体"/>
          <w:color w:val="auto"/>
          <w:sz w:val="24"/>
          <w:szCs w:val="24"/>
          <w:highlight w:val="none"/>
        </w:rPr>
      </w:pPr>
      <w:r>
        <w:rPr>
          <w:rFonts w:hint="eastAsia" w:ascii="Times New Roman" w:hAnsi="Times New Roman"/>
          <w:color w:val="auto"/>
          <w:sz w:val="24"/>
          <w:highlight w:val="none"/>
        </w:rPr>
        <w:br w:type="page"/>
      </w:r>
      <w:r>
        <w:rPr>
          <w:rFonts w:hint="eastAsia" w:ascii="Times New Roman" w:hAnsi="Times New Roman" w:eastAsia="宋体"/>
          <w:color w:val="auto"/>
          <w:sz w:val="24"/>
          <w:szCs w:val="24"/>
          <w:highlight w:val="none"/>
        </w:rPr>
        <w:t>附表1：评标委员会签到表</w:t>
      </w:r>
    </w:p>
    <w:p>
      <w:pPr>
        <w:spacing w:line="360" w:lineRule="auto"/>
        <w:jc w:val="center"/>
        <w:rPr>
          <w:rFonts w:hint="eastAsia" w:ascii="Times New Roman" w:hAnsi="Times New Roman"/>
          <w:b/>
          <w:color w:val="auto"/>
          <w:sz w:val="24"/>
          <w:highlight w:val="none"/>
        </w:rPr>
      </w:pPr>
      <w:bookmarkStart w:id="417" w:name="_Toc17078_WPSOffice_Level1"/>
      <w:r>
        <w:rPr>
          <w:rFonts w:hint="eastAsia" w:ascii="Times New Roman" w:hAnsi="Times New Roman"/>
          <w:b/>
          <w:color w:val="auto"/>
          <w:sz w:val="24"/>
          <w:highlight w:val="none"/>
        </w:rPr>
        <w:t>评标委员会</w:t>
      </w:r>
      <w:bookmarkEnd w:id="417"/>
      <w:r>
        <w:rPr>
          <w:rFonts w:hint="eastAsia" w:ascii="Times New Roman" w:hAnsi="Times New Roman"/>
          <w:b/>
          <w:color w:val="auto"/>
          <w:sz w:val="24"/>
          <w:highlight w:val="none"/>
        </w:rPr>
        <w:t>名单</w:t>
      </w:r>
    </w:p>
    <w:p>
      <w:pPr>
        <w:spacing w:line="360" w:lineRule="auto"/>
        <w:rPr>
          <w:rFonts w:hint="eastAsia" w:ascii="Times New Roman" w:hAnsi="Times New Roman" w:cs="宋体"/>
          <w:color w:val="auto"/>
          <w:sz w:val="24"/>
          <w:highlight w:val="none"/>
        </w:rPr>
      </w:pPr>
    </w:p>
    <w:p>
      <w:pPr>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工程名称：______（项目名称）</w:t>
      </w:r>
      <w:r>
        <w:rPr>
          <w:rFonts w:hint="eastAsia" w:ascii="Times New Roman" w:hAnsi="Times New Roman"/>
          <w:color w:val="auto"/>
          <w:sz w:val="24"/>
          <w:highlight w:val="none"/>
        </w:rPr>
        <w:t>设计施工总承包</w:t>
      </w:r>
      <w:r>
        <w:rPr>
          <w:rFonts w:hint="eastAsia" w:ascii="Times New Roman" w:hAnsi="Times New Roman" w:cs="宋体"/>
          <w:color w:val="auto"/>
          <w:sz w:val="24"/>
          <w:highlight w:val="none"/>
        </w:rPr>
        <w:t>_______标段</w:t>
      </w:r>
    </w:p>
    <w:p>
      <w:pPr>
        <w:spacing w:line="360" w:lineRule="auto"/>
        <w:ind w:firstLine="240" w:firstLineChars="100"/>
        <w:rPr>
          <w:rFonts w:hint="eastAsia" w:ascii="Times New Roman" w:hAnsi="Times New Roman" w:cs="宋体"/>
          <w:color w:val="auto"/>
          <w:sz w:val="24"/>
          <w:highlight w:val="none"/>
        </w:rPr>
      </w:pP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29"/>
        <w:gridCol w:w="2206"/>
        <w:gridCol w:w="514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206"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姓名</w:t>
            </w:r>
          </w:p>
        </w:tc>
        <w:tc>
          <w:tcPr>
            <w:tcW w:w="514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工作单位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206" w:type="dxa"/>
            <w:noWrap w:val="0"/>
            <w:vAlign w:val="center"/>
          </w:tcPr>
          <w:p>
            <w:pPr>
              <w:spacing w:line="360" w:lineRule="auto"/>
              <w:jc w:val="center"/>
              <w:rPr>
                <w:rFonts w:hint="eastAsia" w:ascii="Times New Roman" w:hAnsi="Times New Roman" w:cs="宋体"/>
                <w:color w:val="auto"/>
                <w:sz w:val="24"/>
                <w:highlight w:val="none"/>
              </w:rPr>
            </w:pPr>
          </w:p>
        </w:tc>
        <w:tc>
          <w:tcPr>
            <w:tcW w:w="5145"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206" w:type="dxa"/>
            <w:noWrap w:val="0"/>
            <w:vAlign w:val="center"/>
          </w:tcPr>
          <w:p>
            <w:pPr>
              <w:spacing w:line="360" w:lineRule="auto"/>
              <w:jc w:val="center"/>
              <w:rPr>
                <w:rFonts w:hint="eastAsia" w:ascii="Times New Roman" w:hAnsi="Times New Roman" w:cs="宋体"/>
                <w:color w:val="auto"/>
                <w:sz w:val="24"/>
                <w:highlight w:val="none"/>
              </w:rPr>
            </w:pPr>
          </w:p>
        </w:tc>
        <w:tc>
          <w:tcPr>
            <w:tcW w:w="5145"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206" w:type="dxa"/>
            <w:noWrap w:val="0"/>
            <w:vAlign w:val="center"/>
          </w:tcPr>
          <w:p>
            <w:pPr>
              <w:spacing w:line="360" w:lineRule="auto"/>
              <w:jc w:val="center"/>
              <w:rPr>
                <w:rFonts w:hint="eastAsia" w:ascii="Times New Roman" w:hAnsi="Times New Roman" w:cs="宋体"/>
                <w:color w:val="auto"/>
                <w:sz w:val="24"/>
                <w:highlight w:val="none"/>
              </w:rPr>
            </w:pPr>
          </w:p>
        </w:tc>
        <w:tc>
          <w:tcPr>
            <w:tcW w:w="5145"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p>
        </w:tc>
        <w:tc>
          <w:tcPr>
            <w:tcW w:w="2206" w:type="dxa"/>
            <w:noWrap w:val="0"/>
            <w:vAlign w:val="center"/>
          </w:tcPr>
          <w:p>
            <w:pPr>
              <w:spacing w:line="360" w:lineRule="auto"/>
              <w:jc w:val="center"/>
              <w:rPr>
                <w:rFonts w:hint="eastAsia" w:ascii="Times New Roman" w:hAnsi="Times New Roman" w:cs="宋体"/>
                <w:color w:val="auto"/>
                <w:sz w:val="24"/>
                <w:highlight w:val="none"/>
              </w:rPr>
            </w:pPr>
          </w:p>
        </w:tc>
        <w:tc>
          <w:tcPr>
            <w:tcW w:w="5145"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4" w:hRule="atLeast"/>
          <w:jc w:val="center"/>
        </w:trPr>
        <w:tc>
          <w:tcPr>
            <w:tcW w:w="92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5</w:t>
            </w:r>
          </w:p>
        </w:tc>
        <w:tc>
          <w:tcPr>
            <w:tcW w:w="2206" w:type="dxa"/>
            <w:noWrap w:val="0"/>
            <w:vAlign w:val="center"/>
          </w:tcPr>
          <w:p>
            <w:pPr>
              <w:spacing w:line="360" w:lineRule="auto"/>
              <w:jc w:val="center"/>
              <w:rPr>
                <w:rFonts w:hint="eastAsia" w:ascii="Times New Roman" w:hAnsi="Times New Roman" w:cs="宋体"/>
                <w:color w:val="auto"/>
                <w:sz w:val="24"/>
                <w:highlight w:val="none"/>
              </w:rPr>
            </w:pPr>
          </w:p>
        </w:tc>
        <w:tc>
          <w:tcPr>
            <w:tcW w:w="5145"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29" w:hRule="atLeast"/>
          <w:jc w:val="center"/>
        </w:trPr>
        <w:tc>
          <w:tcPr>
            <w:tcW w:w="92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206"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514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r>
    </w:tbl>
    <w:p>
      <w:pPr>
        <w:rPr>
          <w:rFonts w:hint="eastAsia"/>
          <w:color w:val="auto"/>
          <w:highlight w:val="none"/>
        </w:rPr>
      </w:pP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b/>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pPr>
        <w:pStyle w:val="3"/>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附表2：形式评审记录表</w:t>
      </w:r>
    </w:p>
    <w:p>
      <w:pPr>
        <w:spacing w:line="360" w:lineRule="auto"/>
        <w:jc w:val="center"/>
        <w:rPr>
          <w:rFonts w:hint="eastAsia" w:ascii="Times New Roman" w:hAnsi="Times New Roman" w:cs="宋体"/>
          <w:b/>
          <w:color w:val="auto"/>
          <w:sz w:val="24"/>
          <w:highlight w:val="none"/>
        </w:rPr>
      </w:pPr>
      <w:bookmarkStart w:id="418" w:name="_Toc1910_WPSOffice_Level1"/>
      <w:r>
        <w:rPr>
          <w:rFonts w:hint="eastAsia" w:ascii="Times New Roman" w:hAnsi="Times New Roman" w:cs="宋体"/>
          <w:b/>
          <w:color w:val="auto"/>
          <w:sz w:val="24"/>
          <w:highlight w:val="none"/>
        </w:rPr>
        <w:t>形式评审记录表</w:t>
      </w:r>
      <w:bookmarkEnd w:id="418"/>
    </w:p>
    <w:p>
      <w:pPr>
        <w:spacing w:line="360" w:lineRule="auto"/>
        <w:jc w:val="center"/>
        <w:rPr>
          <w:rFonts w:hint="eastAsia" w:ascii="Times New Roman" w:hAnsi="Times New Roman" w:cs="宋体"/>
          <w:b/>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工程名称：______（项目名称）</w:t>
      </w:r>
      <w:r>
        <w:rPr>
          <w:rFonts w:hint="eastAsia" w:ascii="Times New Roman" w:hAnsi="Times New Roman"/>
          <w:color w:val="auto"/>
          <w:sz w:val="24"/>
          <w:highlight w:val="none"/>
        </w:rPr>
        <w:t>设计施工总承包</w:t>
      </w:r>
      <w:r>
        <w:rPr>
          <w:rFonts w:hint="eastAsia" w:ascii="Times New Roman" w:hAnsi="Times New Roman" w:cs="宋体"/>
          <w:color w:val="auto"/>
          <w:sz w:val="24"/>
          <w:highlight w:val="none"/>
        </w:rPr>
        <w:t>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55"/>
        <w:gridCol w:w="2160"/>
        <w:gridCol w:w="704"/>
        <w:gridCol w:w="704"/>
        <w:gridCol w:w="704"/>
        <w:gridCol w:w="704"/>
        <w:gridCol w:w="704"/>
        <w:gridCol w:w="704"/>
        <w:gridCol w:w="704"/>
        <w:gridCol w:w="704"/>
        <w:gridCol w:w="70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160"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评审因素</w:t>
            </w:r>
          </w:p>
        </w:tc>
        <w:tc>
          <w:tcPr>
            <w:tcW w:w="6333" w:type="dxa"/>
            <w:gridSpan w:val="9"/>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vMerge w:val="continue"/>
            <w:noWrap w:val="0"/>
            <w:vAlign w:val="center"/>
          </w:tcPr>
          <w:p>
            <w:pPr>
              <w:spacing w:line="360" w:lineRule="auto"/>
              <w:rPr>
                <w:rFonts w:hint="eastAsia" w:ascii="Times New Roman" w:hAnsi="Times New Roman" w:cs="宋体"/>
                <w:color w:val="auto"/>
                <w:sz w:val="24"/>
                <w:highlight w:val="none"/>
              </w:rPr>
            </w:pPr>
          </w:p>
        </w:tc>
        <w:tc>
          <w:tcPr>
            <w:tcW w:w="2160" w:type="dxa"/>
            <w:vMerge w:val="continue"/>
            <w:noWrap w:val="0"/>
            <w:vAlign w:val="center"/>
          </w:tcPr>
          <w:p>
            <w:pPr>
              <w:spacing w:line="360" w:lineRule="auto"/>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1"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16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w:t>
            </w: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1"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16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签字盖章</w:t>
            </w: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1"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16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投标文件格式</w:t>
            </w: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1"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p>
        </w:tc>
        <w:tc>
          <w:tcPr>
            <w:tcW w:w="216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联合体投标人</w:t>
            </w: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1"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5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5</w:t>
            </w:r>
          </w:p>
        </w:tc>
        <w:tc>
          <w:tcPr>
            <w:tcW w:w="216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报价唯一</w:t>
            </w: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1"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5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6</w:t>
            </w:r>
          </w:p>
        </w:tc>
        <w:tc>
          <w:tcPr>
            <w:tcW w:w="216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1"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15" w:type="dxa"/>
            <w:gridSpan w:val="2"/>
            <w:noWrap w:val="0"/>
            <w:vAlign w:val="center"/>
          </w:tcPr>
          <w:p>
            <w:pPr>
              <w:spacing w:line="360" w:lineRule="auto"/>
              <w:jc w:val="center"/>
              <w:rPr>
                <w:rFonts w:ascii="Times New Roman" w:hAnsi="Times New Roman" w:cs="宋体"/>
                <w:color w:val="auto"/>
                <w:sz w:val="24"/>
                <w:highlight w:val="none"/>
              </w:rPr>
            </w:pPr>
            <w:r>
              <w:rPr>
                <w:rFonts w:hint="eastAsia" w:ascii="Times New Roman" w:hAnsi="Times New Roman"/>
                <w:color w:val="auto"/>
                <w:sz w:val="24"/>
                <w:highlight w:val="none"/>
              </w:rPr>
              <w:t>评审结论：符合/不符合</w:t>
            </w: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4" w:type="dxa"/>
            <w:noWrap w:val="0"/>
            <w:vAlign w:val="center"/>
          </w:tcPr>
          <w:p>
            <w:pPr>
              <w:spacing w:line="360" w:lineRule="auto"/>
              <w:jc w:val="center"/>
              <w:rPr>
                <w:rFonts w:hint="eastAsia" w:ascii="Times New Roman" w:hAnsi="Times New Roman" w:cs="宋体"/>
                <w:color w:val="auto"/>
                <w:sz w:val="24"/>
                <w:highlight w:val="none"/>
              </w:rPr>
            </w:pPr>
          </w:p>
        </w:tc>
        <w:tc>
          <w:tcPr>
            <w:tcW w:w="701" w:type="dxa"/>
            <w:noWrap w:val="0"/>
            <w:vAlign w:val="center"/>
          </w:tcPr>
          <w:p>
            <w:pPr>
              <w:spacing w:line="360" w:lineRule="auto"/>
              <w:jc w:val="center"/>
              <w:rPr>
                <w:rFonts w:hint="eastAsia" w:ascii="Times New Roman" w:hAnsi="Times New Roman" w:cs="宋体"/>
                <w:color w:val="auto"/>
                <w:sz w:val="24"/>
                <w:highlight w:val="none"/>
              </w:rPr>
            </w:pPr>
          </w:p>
        </w:tc>
      </w:tr>
    </w:tbl>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评标委员会全体成员签名：</w:t>
      </w:r>
    </w:p>
    <w:p>
      <w:pPr>
        <w:spacing w:line="360" w:lineRule="auto"/>
        <w:rPr>
          <w:rFonts w:hint="eastAsia" w:ascii="Times New Roman" w:hAnsi="Times New Roman" w:cs="宋体"/>
          <w:b/>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pPr>
        <w:pStyle w:val="3"/>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附表3：资格评审记录表</w:t>
      </w:r>
    </w:p>
    <w:p>
      <w:pPr>
        <w:spacing w:line="360" w:lineRule="auto"/>
        <w:jc w:val="center"/>
        <w:rPr>
          <w:rFonts w:hint="eastAsia" w:ascii="Times New Roman" w:hAnsi="Times New Roman" w:cs="宋体"/>
          <w:b/>
          <w:color w:val="auto"/>
          <w:sz w:val="24"/>
          <w:highlight w:val="none"/>
        </w:rPr>
      </w:pPr>
      <w:bookmarkStart w:id="419" w:name="_Toc8651_WPSOffice_Level1"/>
      <w:r>
        <w:rPr>
          <w:rFonts w:hint="eastAsia" w:ascii="Times New Roman" w:hAnsi="Times New Roman" w:cs="宋体"/>
          <w:b/>
          <w:color w:val="auto"/>
          <w:sz w:val="24"/>
          <w:highlight w:val="none"/>
        </w:rPr>
        <w:t>资格评审记录表</w:t>
      </w:r>
      <w:bookmarkEnd w:id="419"/>
    </w:p>
    <w:p>
      <w:pPr>
        <w:spacing w:line="360" w:lineRule="auto"/>
        <w:jc w:val="center"/>
        <w:rPr>
          <w:rFonts w:hint="eastAsia" w:ascii="Times New Roman" w:hAnsi="Times New Roman" w:cs="宋体"/>
          <w:b/>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工程名称：______（项目名称）</w:t>
      </w:r>
      <w:r>
        <w:rPr>
          <w:rFonts w:hint="eastAsia" w:ascii="Times New Roman" w:hAnsi="Times New Roman"/>
          <w:color w:val="auto"/>
          <w:sz w:val="24"/>
          <w:highlight w:val="none"/>
        </w:rPr>
        <w:t>设计施工总承包</w:t>
      </w:r>
      <w:r>
        <w:rPr>
          <w:rFonts w:hint="eastAsia" w:ascii="Times New Roman" w:hAnsi="Times New Roman" w:cs="宋体"/>
          <w:color w:val="auto"/>
          <w:sz w:val="24"/>
          <w:highlight w:val="none"/>
        </w:rPr>
        <w:t>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08"/>
        <w:gridCol w:w="1912"/>
        <w:gridCol w:w="722"/>
        <w:gridCol w:w="724"/>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1912"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评审因素</w:t>
            </w:r>
          </w:p>
        </w:tc>
        <w:tc>
          <w:tcPr>
            <w:tcW w:w="6517" w:type="dxa"/>
            <w:gridSpan w:val="9"/>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vMerge w:val="continue"/>
            <w:noWrap w:val="0"/>
            <w:vAlign w:val="center"/>
          </w:tcPr>
          <w:p>
            <w:pPr>
              <w:spacing w:line="360" w:lineRule="auto"/>
              <w:rPr>
                <w:rFonts w:hint="eastAsia" w:ascii="Times New Roman" w:hAnsi="Times New Roman" w:cs="宋体"/>
                <w:color w:val="auto"/>
                <w:sz w:val="24"/>
                <w:highlight w:val="none"/>
              </w:rPr>
            </w:pPr>
          </w:p>
        </w:tc>
        <w:tc>
          <w:tcPr>
            <w:tcW w:w="1912" w:type="dxa"/>
            <w:vMerge w:val="continue"/>
            <w:noWrap w:val="0"/>
            <w:vAlign w:val="center"/>
          </w:tcPr>
          <w:p>
            <w:pPr>
              <w:spacing w:line="360" w:lineRule="auto"/>
              <w:rPr>
                <w:rFonts w:hint="eastAsia" w:ascii="Times New Roman" w:hAnsi="Times New Roman" w:cs="宋体"/>
                <w:color w:val="auto"/>
                <w:sz w:val="24"/>
                <w:highlight w:val="none"/>
              </w:rPr>
            </w:pP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1912"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营业执照</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1912"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资质等级</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1912"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财务状况</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p>
        </w:tc>
        <w:tc>
          <w:tcPr>
            <w:tcW w:w="1912"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类似项目业绩</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5</w:t>
            </w:r>
          </w:p>
        </w:tc>
        <w:tc>
          <w:tcPr>
            <w:tcW w:w="1912"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信誉</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6</w:t>
            </w:r>
          </w:p>
        </w:tc>
        <w:tc>
          <w:tcPr>
            <w:tcW w:w="1912"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项目经理</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7</w:t>
            </w:r>
          </w:p>
        </w:tc>
        <w:tc>
          <w:tcPr>
            <w:tcW w:w="1912"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设计负责人</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ascii="Times New Roman" w:hAnsi="Times New Roman" w:cs="宋体"/>
                <w:color w:val="auto"/>
                <w:sz w:val="24"/>
                <w:highlight w:val="none"/>
              </w:rPr>
              <w:t>8</w:t>
            </w:r>
          </w:p>
        </w:tc>
        <w:tc>
          <w:tcPr>
            <w:tcW w:w="1912"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施工负责人</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ascii="Times New Roman" w:hAnsi="Times New Roman" w:cs="宋体"/>
                <w:color w:val="auto"/>
                <w:sz w:val="24"/>
                <w:highlight w:val="none"/>
              </w:rPr>
              <w:t>9</w:t>
            </w:r>
          </w:p>
        </w:tc>
        <w:tc>
          <w:tcPr>
            <w:tcW w:w="1912"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安全生产许可证</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10</w:t>
            </w:r>
          </w:p>
        </w:tc>
        <w:tc>
          <w:tcPr>
            <w:tcW w:w="1912"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其他要求</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11</w:t>
            </w:r>
          </w:p>
        </w:tc>
        <w:tc>
          <w:tcPr>
            <w:tcW w:w="1912"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联合体投标人</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12</w:t>
            </w:r>
          </w:p>
        </w:tc>
        <w:tc>
          <w:tcPr>
            <w:tcW w:w="1912"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投标要求</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708" w:type="dxa"/>
            <w:noWrap w:val="0"/>
            <w:vAlign w:val="center"/>
          </w:tcPr>
          <w:p>
            <w:pPr>
              <w:spacing w:line="360" w:lineRule="auto"/>
              <w:jc w:val="center"/>
              <w:rPr>
                <w:rFonts w:ascii="Times New Roman" w:hAnsi="Times New Roman" w:cs="宋体"/>
                <w:color w:val="auto"/>
                <w:sz w:val="24"/>
                <w:highlight w:val="none"/>
              </w:rPr>
            </w:pPr>
            <w:r>
              <w:rPr>
                <w:rFonts w:hint="eastAsia" w:ascii="Times New Roman" w:hAnsi="Times New Roman" w:cs="宋体"/>
                <w:color w:val="auto"/>
                <w:w w:val="99"/>
                <w:sz w:val="24"/>
                <w:highlight w:val="none"/>
              </w:rPr>
              <w:t>…</w:t>
            </w:r>
          </w:p>
        </w:tc>
        <w:tc>
          <w:tcPr>
            <w:tcW w:w="1912"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w w:val="99"/>
                <w:sz w:val="24"/>
                <w:highlight w:val="none"/>
              </w:rPr>
              <w:t>……</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620" w:type="dxa"/>
            <w:gridSpan w:val="2"/>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olor w:val="auto"/>
                <w:sz w:val="24"/>
                <w:highlight w:val="none"/>
              </w:rPr>
              <w:t>评审结论：符合/不符合</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bl>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评标委员会全体成员签名：</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 xml:space="preserve">    </w:t>
      </w:r>
    </w:p>
    <w:p>
      <w:pPr>
        <w:spacing w:line="360" w:lineRule="auto"/>
        <w:rPr>
          <w:rFonts w:hint="eastAsia" w:ascii="Times New Roman" w:hAnsi="Times New Roman" w:cs="宋体"/>
          <w:b/>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pPr>
        <w:pStyle w:val="3"/>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附表4：响应性评审记录表</w:t>
      </w:r>
    </w:p>
    <w:p>
      <w:pPr>
        <w:spacing w:line="360" w:lineRule="auto"/>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响应性评审记录表</w:t>
      </w:r>
    </w:p>
    <w:p>
      <w:pPr>
        <w:spacing w:line="360" w:lineRule="auto"/>
        <w:jc w:val="center"/>
        <w:rPr>
          <w:rFonts w:hint="eastAsia" w:ascii="Times New Roman" w:hAnsi="Times New Roman" w:cs="宋体"/>
          <w:b/>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7"/>
        <w:gridCol w:w="2033"/>
        <w:gridCol w:w="722"/>
        <w:gridCol w:w="724"/>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033"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评审因素</w:t>
            </w:r>
          </w:p>
        </w:tc>
        <w:tc>
          <w:tcPr>
            <w:tcW w:w="6517" w:type="dxa"/>
            <w:gridSpan w:val="9"/>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vMerge w:val="continue"/>
            <w:noWrap w:val="0"/>
            <w:vAlign w:val="center"/>
          </w:tcPr>
          <w:p>
            <w:pPr>
              <w:spacing w:line="360" w:lineRule="auto"/>
              <w:rPr>
                <w:rFonts w:hint="eastAsia" w:ascii="Times New Roman" w:hAnsi="Times New Roman" w:cs="宋体"/>
                <w:color w:val="auto"/>
                <w:sz w:val="24"/>
                <w:highlight w:val="none"/>
              </w:rPr>
            </w:pPr>
          </w:p>
        </w:tc>
        <w:tc>
          <w:tcPr>
            <w:tcW w:w="2033" w:type="dxa"/>
            <w:vMerge w:val="continue"/>
            <w:noWrap w:val="0"/>
            <w:vAlign w:val="center"/>
          </w:tcPr>
          <w:p>
            <w:pPr>
              <w:spacing w:line="360" w:lineRule="auto"/>
              <w:rPr>
                <w:rFonts w:hint="eastAsia" w:ascii="Times New Roman" w:hAnsi="Times New Roman" w:cs="宋体"/>
                <w:color w:val="auto"/>
                <w:sz w:val="24"/>
                <w:highlight w:val="none"/>
              </w:rPr>
            </w:pP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033"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033"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投标内容</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033"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工期</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p>
        </w:tc>
        <w:tc>
          <w:tcPr>
            <w:tcW w:w="2033"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质量标准</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5</w:t>
            </w:r>
          </w:p>
        </w:tc>
        <w:tc>
          <w:tcPr>
            <w:tcW w:w="2033"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投标有效期</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6</w:t>
            </w:r>
          </w:p>
        </w:tc>
        <w:tc>
          <w:tcPr>
            <w:tcW w:w="2033"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投标保证金</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7</w:t>
            </w:r>
          </w:p>
        </w:tc>
        <w:tc>
          <w:tcPr>
            <w:tcW w:w="2033"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权利义务</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8</w:t>
            </w:r>
          </w:p>
        </w:tc>
        <w:tc>
          <w:tcPr>
            <w:tcW w:w="2033" w:type="dxa"/>
            <w:noWrap w:val="0"/>
            <w:vAlign w:val="bottom"/>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承包人建议</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9</w:t>
            </w:r>
          </w:p>
        </w:tc>
        <w:tc>
          <w:tcPr>
            <w:tcW w:w="2033"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650" w:type="dxa"/>
            <w:gridSpan w:val="2"/>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评审结论：符合/不符合</w:t>
            </w:r>
          </w:p>
        </w:tc>
        <w:tc>
          <w:tcPr>
            <w:tcW w:w="722"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4" w:type="dxa"/>
            <w:noWrap w:val="0"/>
            <w:vAlign w:val="center"/>
          </w:tcPr>
          <w:p>
            <w:pPr>
              <w:spacing w:line="360" w:lineRule="auto"/>
              <w:jc w:val="center"/>
              <w:rPr>
                <w:rFonts w:hint="eastAsia" w:ascii="Times New Roman" w:hAnsi="Times New Roman" w:cs="宋体"/>
                <w:color w:val="auto"/>
                <w:sz w:val="24"/>
                <w:highlight w:val="none"/>
              </w:rPr>
            </w:pPr>
          </w:p>
        </w:tc>
        <w:tc>
          <w:tcPr>
            <w:tcW w:w="727" w:type="dxa"/>
            <w:noWrap w:val="0"/>
            <w:vAlign w:val="center"/>
          </w:tcPr>
          <w:p>
            <w:pPr>
              <w:spacing w:line="360" w:lineRule="auto"/>
              <w:jc w:val="center"/>
              <w:rPr>
                <w:rFonts w:hint="eastAsia" w:ascii="Times New Roman" w:hAnsi="Times New Roman" w:cs="宋体"/>
                <w:color w:val="auto"/>
                <w:sz w:val="24"/>
                <w:highlight w:val="none"/>
              </w:rPr>
            </w:pPr>
          </w:p>
        </w:tc>
      </w:tr>
    </w:tbl>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评标委员会全体成员签名：</w:t>
      </w:r>
    </w:p>
    <w:p>
      <w:pPr>
        <w:spacing w:line="360" w:lineRule="auto"/>
        <w:rPr>
          <w:rFonts w:hint="eastAsia" w:ascii="Times New Roman" w:hAnsi="Times New Roman" w:cs="宋体"/>
          <w:color w:val="auto"/>
          <w:sz w:val="24"/>
          <w:highlight w:val="none"/>
        </w:rPr>
      </w:pPr>
    </w:p>
    <w:p>
      <w:pPr>
        <w:pStyle w:val="3"/>
        <w:rPr>
          <w:rFonts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br w:type="page"/>
      </w:r>
      <w:r>
        <w:rPr>
          <w:rFonts w:hint="eastAsia" w:ascii="Times New Roman" w:hAnsi="Times New Roman" w:eastAsia="宋体"/>
          <w:color w:val="auto"/>
          <w:sz w:val="24"/>
          <w:szCs w:val="24"/>
          <w:highlight w:val="none"/>
        </w:rPr>
        <w:t>附表5：低于</w:t>
      </w:r>
      <w:r>
        <w:rPr>
          <w:rFonts w:ascii="Times New Roman" w:hAnsi="Times New Roman" w:eastAsia="宋体"/>
          <w:color w:val="auto"/>
          <w:sz w:val="24"/>
          <w:szCs w:val="24"/>
          <w:highlight w:val="none"/>
        </w:rPr>
        <w:t>成本评审</w:t>
      </w:r>
      <w:r>
        <w:rPr>
          <w:rFonts w:hint="eastAsia" w:ascii="Times New Roman" w:hAnsi="Times New Roman" w:eastAsia="宋体"/>
          <w:color w:val="auto"/>
          <w:sz w:val="24"/>
          <w:szCs w:val="24"/>
          <w:highlight w:val="none"/>
        </w:rPr>
        <w:t>记录表</w:t>
      </w:r>
    </w:p>
    <w:p>
      <w:pPr>
        <w:spacing w:line="360" w:lineRule="auto"/>
        <w:jc w:val="center"/>
        <w:rPr>
          <w:rFonts w:ascii="Times New Roman" w:hAnsi="Times New Roman" w:cs="宋体"/>
          <w:b/>
          <w:color w:val="auto"/>
          <w:sz w:val="24"/>
          <w:highlight w:val="none"/>
        </w:rPr>
      </w:pPr>
      <w:r>
        <w:rPr>
          <w:rFonts w:hint="eastAsia" w:ascii="Times New Roman" w:hAnsi="Times New Roman" w:cs="宋体"/>
          <w:b/>
          <w:color w:val="auto"/>
          <w:sz w:val="24"/>
          <w:highlight w:val="none"/>
        </w:rPr>
        <w:t>低于成本评审记录表</w:t>
      </w:r>
    </w:p>
    <w:p>
      <w:pPr>
        <w:spacing w:line="360" w:lineRule="auto"/>
        <w:jc w:val="center"/>
        <w:rPr>
          <w:rFonts w:ascii="Times New Roman" w:hAnsi="Times New Roman" w:cs="宋体"/>
          <w:b/>
          <w:color w:val="auto"/>
          <w:sz w:val="24"/>
          <w:highlight w:val="none"/>
        </w:rPr>
      </w:pPr>
    </w:p>
    <w:p>
      <w:pPr>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835"/>
        <w:gridCol w:w="709"/>
        <w:gridCol w:w="552"/>
        <w:gridCol w:w="724"/>
        <w:gridCol w:w="724"/>
        <w:gridCol w:w="724"/>
        <w:gridCol w:w="724"/>
        <w:gridCol w:w="724"/>
        <w:gridCol w:w="724"/>
        <w:gridCol w:w="72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833" w:hRule="atLeast"/>
        </w:trPr>
        <w:tc>
          <w:tcPr>
            <w:tcW w:w="2835" w:type="dxa"/>
            <w:vMerge w:val="restart"/>
            <w:noWrap w:val="0"/>
            <w:vAlign w:val="center"/>
          </w:tcPr>
          <w:p>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评审因素</w:t>
            </w:r>
          </w:p>
        </w:tc>
        <w:tc>
          <w:tcPr>
            <w:tcW w:w="6332" w:type="dxa"/>
            <w:gridSpan w:val="9"/>
            <w:noWrap w:val="0"/>
            <w:vAlign w:val="center"/>
          </w:tcPr>
          <w:p>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798" w:hRule="atLeast"/>
        </w:trPr>
        <w:tc>
          <w:tcPr>
            <w:tcW w:w="2835" w:type="dxa"/>
            <w:vMerge w:val="continue"/>
            <w:noWrap w:val="0"/>
            <w:vAlign w:val="center"/>
          </w:tcPr>
          <w:p>
            <w:pPr>
              <w:spacing w:line="360" w:lineRule="auto"/>
              <w:rPr>
                <w:rFonts w:ascii="Times New Roman" w:hAnsi="Times New Roman" w:cs="宋体"/>
                <w:color w:val="auto"/>
                <w:sz w:val="24"/>
                <w:highlight w:val="none"/>
              </w:rPr>
            </w:pPr>
          </w:p>
        </w:tc>
        <w:tc>
          <w:tcPr>
            <w:tcW w:w="709" w:type="dxa"/>
            <w:noWrap w:val="0"/>
            <w:vAlign w:val="center"/>
          </w:tcPr>
          <w:p>
            <w:pPr>
              <w:spacing w:line="360" w:lineRule="auto"/>
              <w:jc w:val="center"/>
              <w:rPr>
                <w:rFonts w:ascii="Times New Roman" w:hAnsi="Times New Roman" w:cs="宋体"/>
                <w:color w:val="auto"/>
                <w:sz w:val="24"/>
                <w:highlight w:val="none"/>
              </w:rPr>
            </w:pPr>
          </w:p>
        </w:tc>
        <w:tc>
          <w:tcPr>
            <w:tcW w:w="552"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7" w:type="dxa"/>
            <w:noWrap w:val="0"/>
            <w:vAlign w:val="center"/>
          </w:tcPr>
          <w:p>
            <w:pPr>
              <w:spacing w:line="360" w:lineRule="auto"/>
              <w:jc w:val="center"/>
              <w:rPr>
                <w:rFonts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10" w:hRule="atLeast"/>
        </w:trPr>
        <w:tc>
          <w:tcPr>
            <w:tcW w:w="2835" w:type="dxa"/>
            <w:noWrap w:val="0"/>
            <w:vAlign w:val="center"/>
          </w:tcPr>
          <w:p>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低于成本</w:t>
            </w:r>
          </w:p>
        </w:tc>
        <w:tc>
          <w:tcPr>
            <w:tcW w:w="709" w:type="dxa"/>
            <w:noWrap w:val="0"/>
            <w:vAlign w:val="center"/>
          </w:tcPr>
          <w:p>
            <w:pPr>
              <w:spacing w:line="360" w:lineRule="auto"/>
              <w:jc w:val="center"/>
              <w:rPr>
                <w:rFonts w:ascii="Times New Roman" w:hAnsi="Times New Roman" w:cs="宋体"/>
                <w:color w:val="auto"/>
                <w:sz w:val="24"/>
                <w:highlight w:val="none"/>
              </w:rPr>
            </w:pPr>
          </w:p>
        </w:tc>
        <w:tc>
          <w:tcPr>
            <w:tcW w:w="552"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7" w:type="dxa"/>
            <w:noWrap w:val="0"/>
            <w:vAlign w:val="center"/>
          </w:tcPr>
          <w:p>
            <w:pPr>
              <w:spacing w:line="360" w:lineRule="auto"/>
              <w:jc w:val="center"/>
              <w:rPr>
                <w:rFonts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85" w:hRule="atLeast"/>
        </w:trPr>
        <w:tc>
          <w:tcPr>
            <w:tcW w:w="2835" w:type="dxa"/>
            <w:noWrap w:val="0"/>
            <w:vAlign w:val="center"/>
          </w:tcPr>
          <w:p>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评审结论：符合/不符合</w:t>
            </w:r>
          </w:p>
        </w:tc>
        <w:tc>
          <w:tcPr>
            <w:tcW w:w="709" w:type="dxa"/>
            <w:noWrap w:val="0"/>
            <w:vAlign w:val="center"/>
          </w:tcPr>
          <w:p>
            <w:pPr>
              <w:spacing w:line="360" w:lineRule="auto"/>
              <w:jc w:val="center"/>
              <w:rPr>
                <w:rFonts w:ascii="Times New Roman" w:hAnsi="Times New Roman" w:cs="宋体"/>
                <w:color w:val="auto"/>
                <w:sz w:val="24"/>
                <w:highlight w:val="none"/>
              </w:rPr>
            </w:pPr>
          </w:p>
        </w:tc>
        <w:tc>
          <w:tcPr>
            <w:tcW w:w="552"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4" w:type="dxa"/>
            <w:noWrap w:val="0"/>
            <w:vAlign w:val="center"/>
          </w:tcPr>
          <w:p>
            <w:pPr>
              <w:spacing w:line="360" w:lineRule="auto"/>
              <w:jc w:val="center"/>
              <w:rPr>
                <w:rFonts w:ascii="Times New Roman" w:hAnsi="Times New Roman" w:cs="宋体"/>
                <w:color w:val="auto"/>
                <w:sz w:val="24"/>
                <w:highlight w:val="none"/>
              </w:rPr>
            </w:pPr>
          </w:p>
        </w:tc>
        <w:tc>
          <w:tcPr>
            <w:tcW w:w="727" w:type="dxa"/>
            <w:noWrap w:val="0"/>
            <w:vAlign w:val="center"/>
          </w:tcPr>
          <w:p>
            <w:pPr>
              <w:spacing w:line="360" w:lineRule="auto"/>
              <w:jc w:val="center"/>
              <w:rPr>
                <w:rFonts w:ascii="Times New Roman" w:hAnsi="Times New Roman" w:cs="宋体"/>
                <w:color w:val="auto"/>
                <w:sz w:val="24"/>
                <w:highlight w:val="none"/>
              </w:rPr>
            </w:pPr>
          </w:p>
        </w:tc>
      </w:tr>
    </w:tbl>
    <w:p>
      <w:pPr>
        <w:pStyle w:val="3"/>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br w:type="page"/>
      </w:r>
      <w:r>
        <w:rPr>
          <w:rFonts w:hint="eastAsia" w:ascii="Times New Roman" w:hAnsi="Times New Roman" w:eastAsia="宋体"/>
          <w:color w:val="auto"/>
          <w:sz w:val="24"/>
          <w:szCs w:val="24"/>
          <w:highlight w:val="none"/>
        </w:rPr>
        <w:t>附表6：承包人建议书评审记录表</w:t>
      </w:r>
    </w:p>
    <w:p>
      <w:pPr>
        <w:spacing w:line="360" w:lineRule="auto"/>
        <w:jc w:val="center"/>
        <w:rPr>
          <w:rFonts w:hint="eastAsia" w:ascii="Times New Roman" w:hAnsi="Times New Roman" w:cs="宋体"/>
          <w:b/>
          <w:color w:val="auto"/>
          <w:sz w:val="24"/>
          <w:highlight w:val="none"/>
        </w:rPr>
      </w:pPr>
      <w:r>
        <w:rPr>
          <w:rFonts w:hint="eastAsia" w:ascii="Times New Roman" w:hAnsi="Times New Roman"/>
          <w:b/>
          <w:color w:val="auto"/>
          <w:sz w:val="24"/>
          <w:highlight w:val="none"/>
        </w:rPr>
        <w:t>承包人建议书</w:t>
      </w:r>
      <w:r>
        <w:rPr>
          <w:rFonts w:hint="eastAsia" w:ascii="Times New Roman" w:hAnsi="Times New Roman" w:cs="宋体"/>
          <w:b/>
          <w:color w:val="auto"/>
          <w:sz w:val="24"/>
          <w:highlight w:val="none"/>
        </w:rPr>
        <w:t>评审记录表</w:t>
      </w:r>
    </w:p>
    <w:p>
      <w:pPr>
        <w:spacing w:line="360" w:lineRule="auto"/>
        <w:jc w:val="center"/>
        <w:rPr>
          <w:rFonts w:hint="eastAsia" w:ascii="Times New Roman" w:hAnsi="Times New Roman" w:cs="宋体"/>
          <w:b/>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工程名称：______（项目名称）</w:t>
      </w:r>
      <w:r>
        <w:rPr>
          <w:rFonts w:hint="eastAsia" w:ascii="Times New Roman" w:hAnsi="Times New Roman"/>
          <w:color w:val="auto"/>
          <w:sz w:val="24"/>
          <w:highlight w:val="none"/>
        </w:rPr>
        <w:t>设计施工总承包</w:t>
      </w:r>
      <w:r>
        <w:rPr>
          <w:rFonts w:hint="eastAsia" w:ascii="Times New Roman" w:hAnsi="Times New Roman" w:cs="宋体"/>
          <w:color w:val="auto"/>
          <w:sz w:val="24"/>
          <w:highlight w:val="none"/>
        </w:rPr>
        <w:t>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279"/>
        <w:gridCol w:w="867"/>
        <w:gridCol w:w="691"/>
        <w:gridCol w:w="691"/>
        <w:gridCol w:w="691"/>
        <w:gridCol w:w="691"/>
        <w:gridCol w:w="691"/>
        <w:gridCol w:w="691"/>
        <w:gridCol w:w="691"/>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614"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279" w:type="dxa"/>
            <w:vMerge w:val="restart"/>
            <w:noWrap w:val="0"/>
            <w:vAlign w:val="center"/>
          </w:tcPr>
          <w:p>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评分因素</w:t>
            </w:r>
          </w:p>
        </w:tc>
        <w:tc>
          <w:tcPr>
            <w:tcW w:w="867"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tc>
        <w:tc>
          <w:tcPr>
            <w:tcW w:w="5525" w:type="dxa"/>
            <w:gridSpan w:val="8"/>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noWrap w:val="0"/>
            <w:vAlign w:val="center"/>
          </w:tcPr>
          <w:p>
            <w:pPr>
              <w:spacing w:line="360" w:lineRule="auto"/>
              <w:rPr>
                <w:rFonts w:hint="eastAsia" w:ascii="Times New Roman" w:hAnsi="Times New Roman" w:cs="宋体"/>
                <w:color w:val="auto"/>
                <w:sz w:val="24"/>
                <w:highlight w:val="none"/>
              </w:rPr>
            </w:pPr>
          </w:p>
        </w:tc>
        <w:tc>
          <w:tcPr>
            <w:tcW w:w="2279" w:type="dxa"/>
            <w:vMerge w:val="continue"/>
            <w:noWrap w:val="0"/>
            <w:vAlign w:val="center"/>
          </w:tcPr>
          <w:p>
            <w:pPr>
              <w:spacing w:line="360" w:lineRule="auto"/>
              <w:rPr>
                <w:rFonts w:hint="eastAsia" w:ascii="Times New Roman" w:hAnsi="Times New Roman" w:cs="宋体"/>
                <w:color w:val="auto"/>
                <w:sz w:val="24"/>
                <w:highlight w:val="none"/>
              </w:rPr>
            </w:pPr>
          </w:p>
        </w:tc>
        <w:tc>
          <w:tcPr>
            <w:tcW w:w="867" w:type="dxa"/>
            <w:vMerge w:val="continue"/>
            <w:noWrap w:val="0"/>
            <w:vAlign w:val="center"/>
          </w:tcPr>
          <w:p>
            <w:pPr>
              <w:spacing w:line="360" w:lineRule="auto"/>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27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6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27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6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27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6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27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67"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893" w:type="dxa"/>
            <w:gridSpan w:val="2"/>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bCs/>
                <w:color w:val="auto"/>
                <w:sz w:val="24"/>
                <w:highlight w:val="none"/>
              </w:rPr>
              <w:t>承包人建议书</w:t>
            </w:r>
            <w:r>
              <w:rPr>
                <w:rFonts w:hint="eastAsia" w:ascii="Times New Roman" w:hAnsi="Times New Roman" w:cs="宋体"/>
                <w:bCs/>
                <w:color w:val="auto"/>
                <w:sz w:val="24"/>
                <w:highlight w:val="none"/>
              </w:rPr>
              <w:t>得分</w:t>
            </w:r>
            <w:r>
              <w:rPr>
                <w:rFonts w:hint="eastAsia" w:ascii="Times New Roman" w:hAnsi="Times New Roman" w:cs="宋体"/>
                <w:color w:val="auto"/>
                <w:sz w:val="24"/>
                <w:highlight w:val="none"/>
              </w:rPr>
              <w:t>合计A</w:t>
            </w:r>
          </w:p>
        </w:tc>
        <w:tc>
          <w:tcPr>
            <w:tcW w:w="867"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bl>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评标委员会成员签名：</w:t>
      </w:r>
    </w:p>
    <w:p>
      <w:pPr>
        <w:pStyle w:val="3"/>
        <w:rPr>
          <w:rFonts w:hint="eastAsia" w:ascii="Times New Roman" w:hAnsi="Times New Roman" w:eastAsia="宋体"/>
          <w:color w:val="auto"/>
          <w:sz w:val="24"/>
          <w:szCs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pPr>
        <w:pStyle w:val="3"/>
        <w:rPr>
          <w:rFonts w:hint="eastAsia" w:ascii="Times New Roman" w:hAnsi="Times New Roman" w:eastAsia="宋体"/>
          <w:color w:val="auto"/>
          <w:sz w:val="24"/>
          <w:szCs w:val="24"/>
          <w:highlight w:val="none"/>
        </w:rPr>
      </w:pPr>
      <w:r>
        <w:rPr>
          <w:rFonts w:hint="eastAsia" w:ascii="Times New Roman" w:hAnsi="Times New Roman" w:eastAsia="宋体"/>
          <w:color w:val="auto"/>
          <w:sz w:val="24"/>
          <w:szCs w:val="24"/>
          <w:highlight w:val="none"/>
        </w:rPr>
        <w:t>附表7：资信业绩评审记录表</w:t>
      </w:r>
    </w:p>
    <w:p>
      <w:pPr>
        <w:spacing w:line="360" w:lineRule="auto"/>
        <w:jc w:val="center"/>
        <w:rPr>
          <w:rFonts w:hint="eastAsia" w:ascii="Times New Roman" w:hAnsi="Times New Roman" w:cs="宋体"/>
          <w:b/>
          <w:color w:val="auto"/>
          <w:sz w:val="24"/>
          <w:highlight w:val="none"/>
        </w:rPr>
      </w:pPr>
      <w:r>
        <w:rPr>
          <w:rFonts w:hint="eastAsia" w:ascii="Times New Roman" w:hAnsi="Times New Roman"/>
          <w:b/>
          <w:bCs/>
          <w:color w:val="auto"/>
          <w:sz w:val="24"/>
          <w:highlight w:val="none"/>
        </w:rPr>
        <w:t>资信业绩</w:t>
      </w:r>
      <w:r>
        <w:rPr>
          <w:rFonts w:hint="eastAsia" w:ascii="Times New Roman" w:hAnsi="Times New Roman" w:cs="宋体"/>
          <w:b/>
          <w:color w:val="auto"/>
          <w:sz w:val="24"/>
          <w:highlight w:val="none"/>
        </w:rPr>
        <w:t>评审记录表</w:t>
      </w:r>
    </w:p>
    <w:p>
      <w:pPr>
        <w:spacing w:line="360" w:lineRule="auto"/>
        <w:jc w:val="center"/>
        <w:rPr>
          <w:rFonts w:hint="eastAsia" w:ascii="Times New Roman" w:hAnsi="Times New Roman" w:cs="宋体"/>
          <w:b/>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668"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评分因素</w:t>
            </w:r>
          </w:p>
        </w:tc>
        <w:tc>
          <w:tcPr>
            <w:tcW w:w="875"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tc>
        <w:tc>
          <w:tcPr>
            <w:tcW w:w="5525" w:type="dxa"/>
            <w:gridSpan w:val="8"/>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noWrap w:val="0"/>
            <w:vAlign w:val="center"/>
          </w:tcPr>
          <w:p>
            <w:pPr>
              <w:spacing w:line="360" w:lineRule="auto"/>
              <w:rPr>
                <w:rFonts w:hint="eastAsia" w:ascii="Times New Roman" w:hAnsi="Times New Roman" w:cs="宋体"/>
                <w:color w:val="auto"/>
                <w:sz w:val="24"/>
                <w:highlight w:val="none"/>
              </w:rPr>
            </w:pPr>
          </w:p>
        </w:tc>
        <w:tc>
          <w:tcPr>
            <w:tcW w:w="2668" w:type="dxa"/>
            <w:vMerge w:val="continue"/>
            <w:noWrap w:val="0"/>
            <w:vAlign w:val="center"/>
          </w:tcPr>
          <w:p>
            <w:pPr>
              <w:spacing w:line="360" w:lineRule="auto"/>
              <w:rPr>
                <w:rFonts w:hint="eastAsia" w:ascii="Times New Roman" w:hAnsi="Times New Roman" w:cs="宋体"/>
                <w:color w:val="auto"/>
                <w:sz w:val="24"/>
                <w:highlight w:val="none"/>
              </w:rPr>
            </w:pPr>
          </w:p>
        </w:tc>
        <w:tc>
          <w:tcPr>
            <w:tcW w:w="875" w:type="dxa"/>
            <w:vMerge w:val="continue"/>
            <w:noWrap w:val="0"/>
            <w:vAlign w:val="center"/>
          </w:tcPr>
          <w:p>
            <w:pPr>
              <w:spacing w:line="360" w:lineRule="auto"/>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668" w:type="dxa"/>
            <w:noWrap w:val="0"/>
            <w:vAlign w:val="center"/>
          </w:tcPr>
          <w:p>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4"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668" w:type="dxa"/>
            <w:noWrap w:val="0"/>
            <w:vAlign w:val="center"/>
          </w:tcPr>
          <w:p>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614"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668" w:type="dxa"/>
            <w:noWrap w:val="0"/>
            <w:vAlign w:val="center"/>
          </w:tcPr>
          <w:p>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66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82" w:type="dxa"/>
            <w:gridSpan w:val="2"/>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资信业绩</w:t>
            </w:r>
            <w:r>
              <w:rPr>
                <w:rFonts w:hint="eastAsia" w:ascii="Times New Roman" w:hAnsi="Times New Roman" w:cs="宋体"/>
                <w:bCs/>
                <w:color w:val="auto"/>
                <w:sz w:val="24"/>
                <w:highlight w:val="none"/>
              </w:rPr>
              <w:t>得分</w:t>
            </w:r>
            <w:r>
              <w:rPr>
                <w:rFonts w:hint="eastAsia" w:ascii="Times New Roman" w:hAnsi="Times New Roman" w:cs="宋体"/>
                <w:color w:val="auto"/>
                <w:sz w:val="24"/>
                <w:highlight w:val="none"/>
              </w:rPr>
              <w:t>合计B</w:t>
            </w:r>
          </w:p>
        </w:tc>
        <w:tc>
          <w:tcPr>
            <w:tcW w:w="875"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bl>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评标委员会成员签名：</w:t>
      </w:r>
    </w:p>
    <w:p>
      <w:pPr>
        <w:pStyle w:val="3"/>
        <w:rPr>
          <w:rFonts w:hint="eastAsia" w:ascii="Times New Roman" w:hAnsi="Times New Roman" w:eastAsia="宋体"/>
          <w:color w:val="auto"/>
          <w:sz w:val="24"/>
          <w:szCs w:val="24"/>
          <w:highlight w:val="none"/>
        </w:rPr>
      </w:pPr>
      <w:r>
        <w:rPr>
          <w:rFonts w:hint="eastAsia" w:ascii="Times New Roman" w:hAnsi="Times New Roman" w:eastAsia="宋体" w:cs="宋体"/>
          <w:color w:val="auto"/>
          <w:sz w:val="24"/>
          <w:szCs w:val="24"/>
          <w:highlight w:val="none"/>
        </w:rPr>
        <w:br w:type="page"/>
      </w:r>
      <w:r>
        <w:rPr>
          <w:rFonts w:hint="eastAsia" w:ascii="Times New Roman" w:hAnsi="Times New Roman" w:eastAsia="宋体"/>
          <w:color w:val="auto"/>
          <w:sz w:val="24"/>
          <w:szCs w:val="24"/>
          <w:highlight w:val="none"/>
        </w:rPr>
        <w:t>附表8：承包人实施方案评审记录表</w:t>
      </w:r>
    </w:p>
    <w:p>
      <w:pPr>
        <w:spacing w:line="360" w:lineRule="auto"/>
        <w:jc w:val="center"/>
        <w:rPr>
          <w:rFonts w:hint="eastAsia" w:ascii="Times New Roman" w:hAnsi="Times New Roman" w:cs="宋体"/>
          <w:b/>
          <w:color w:val="auto"/>
          <w:sz w:val="24"/>
          <w:highlight w:val="none"/>
        </w:rPr>
      </w:pPr>
      <w:r>
        <w:rPr>
          <w:rFonts w:hint="eastAsia" w:ascii="Times New Roman" w:hAnsi="Times New Roman"/>
          <w:b/>
          <w:bCs/>
          <w:color w:val="auto"/>
          <w:sz w:val="24"/>
          <w:highlight w:val="none"/>
        </w:rPr>
        <w:t>承包人实施方案</w:t>
      </w:r>
      <w:r>
        <w:rPr>
          <w:rFonts w:hint="eastAsia" w:ascii="Times New Roman" w:hAnsi="Times New Roman" w:cs="宋体"/>
          <w:b/>
          <w:color w:val="auto"/>
          <w:sz w:val="24"/>
          <w:highlight w:val="none"/>
        </w:rPr>
        <w:t>评审记录表</w:t>
      </w:r>
    </w:p>
    <w:p>
      <w:pPr>
        <w:spacing w:line="360" w:lineRule="auto"/>
        <w:jc w:val="center"/>
        <w:rPr>
          <w:rFonts w:hint="eastAsia" w:ascii="Times New Roman" w:hAnsi="Times New Roman" w:cs="宋体"/>
          <w:b/>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14"/>
        <w:gridCol w:w="2668"/>
        <w:gridCol w:w="875"/>
        <w:gridCol w:w="691"/>
        <w:gridCol w:w="691"/>
        <w:gridCol w:w="691"/>
        <w:gridCol w:w="691"/>
        <w:gridCol w:w="691"/>
        <w:gridCol w:w="691"/>
        <w:gridCol w:w="691"/>
        <w:gridCol w:w="68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2668"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评分因素</w:t>
            </w:r>
          </w:p>
        </w:tc>
        <w:tc>
          <w:tcPr>
            <w:tcW w:w="875"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tc>
        <w:tc>
          <w:tcPr>
            <w:tcW w:w="5525" w:type="dxa"/>
            <w:gridSpan w:val="8"/>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vMerge w:val="continue"/>
            <w:noWrap w:val="0"/>
            <w:vAlign w:val="center"/>
          </w:tcPr>
          <w:p>
            <w:pPr>
              <w:spacing w:line="360" w:lineRule="auto"/>
              <w:rPr>
                <w:rFonts w:hint="eastAsia" w:ascii="Times New Roman" w:hAnsi="Times New Roman" w:cs="宋体"/>
                <w:color w:val="auto"/>
                <w:sz w:val="24"/>
                <w:highlight w:val="none"/>
              </w:rPr>
            </w:pPr>
          </w:p>
        </w:tc>
        <w:tc>
          <w:tcPr>
            <w:tcW w:w="2668" w:type="dxa"/>
            <w:vMerge w:val="continue"/>
            <w:noWrap w:val="0"/>
            <w:vAlign w:val="center"/>
          </w:tcPr>
          <w:p>
            <w:pPr>
              <w:spacing w:line="360" w:lineRule="auto"/>
              <w:rPr>
                <w:rFonts w:hint="eastAsia" w:ascii="Times New Roman" w:hAnsi="Times New Roman" w:cs="宋体"/>
                <w:color w:val="auto"/>
                <w:sz w:val="24"/>
                <w:highlight w:val="none"/>
              </w:rPr>
            </w:pPr>
          </w:p>
        </w:tc>
        <w:tc>
          <w:tcPr>
            <w:tcW w:w="875" w:type="dxa"/>
            <w:vMerge w:val="continue"/>
            <w:noWrap w:val="0"/>
            <w:vAlign w:val="center"/>
          </w:tcPr>
          <w:p>
            <w:pPr>
              <w:spacing w:line="360" w:lineRule="auto"/>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2668" w:type="dxa"/>
            <w:noWrap w:val="0"/>
            <w:vAlign w:val="center"/>
          </w:tcPr>
          <w:p>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14"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2668" w:type="dxa"/>
            <w:noWrap w:val="0"/>
            <w:vAlign w:val="center"/>
          </w:tcPr>
          <w:p>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80" w:hRule="atLeast"/>
          <w:jc w:val="center"/>
        </w:trPr>
        <w:tc>
          <w:tcPr>
            <w:tcW w:w="614"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2668" w:type="dxa"/>
            <w:noWrap w:val="0"/>
            <w:vAlign w:val="center"/>
          </w:tcPr>
          <w:p>
            <w:pPr>
              <w:spacing w:line="360" w:lineRule="auto"/>
              <w:jc w:val="center"/>
              <w:rPr>
                <w:rFonts w:hint="eastAsia" w:ascii="Times New Roman" w:hAnsi="Times New Roman"/>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14"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2668"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7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3282" w:type="dxa"/>
            <w:gridSpan w:val="2"/>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承包人实施方案</w:t>
            </w:r>
            <w:r>
              <w:rPr>
                <w:rFonts w:hint="eastAsia" w:ascii="Times New Roman" w:hAnsi="Times New Roman" w:cs="宋体"/>
                <w:bCs/>
                <w:color w:val="auto"/>
                <w:sz w:val="24"/>
                <w:highlight w:val="none"/>
              </w:rPr>
              <w:t>得分</w:t>
            </w:r>
            <w:r>
              <w:rPr>
                <w:rFonts w:hint="eastAsia" w:ascii="Times New Roman" w:hAnsi="Times New Roman" w:cs="宋体"/>
                <w:color w:val="auto"/>
                <w:sz w:val="24"/>
                <w:highlight w:val="none"/>
              </w:rPr>
              <w:t>合计C</w:t>
            </w:r>
          </w:p>
        </w:tc>
        <w:tc>
          <w:tcPr>
            <w:tcW w:w="875"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91" w:type="dxa"/>
            <w:noWrap w:val="0"/>
            <w:vAlign w:val="center"/>
          </w:tcPr>
          <w:p>
            <w:pPr>
              <w:spacing w:line="360" w:lineRule="auto"/>
              <w:jc w:val="center"/>
              <w:rPr>
                <w:rFonts w:hint="eastAsia" w:ascii="Times New Roman" w:hAnsi="Times New Roman" w:cs="宋体"/>
                <w:color w:val="auto"/>
                <w:sz w:val="24"/>
                <w:highlight w:val="none"/>
              </w:rPr>
            </w:pPr>
          </w:p>
        </w:tc>
        <w:tc>
          <w:tcPr>
            <w:tcW w:w="688" w:type="dxa"/>
            <w:noWrap w:val="0"/>
            <w:vAlign w:val="center"/>
          </w:tcPr>
          <w:p>
            <w:pPr>
              <w:spacing w:line="360" w:lineRule="auto"/>
              <w:jc w:val="center"/>
              <w:rPr>
                <w:rFonts w:hint="eastAsia" w:ascii="Times New Roman" w:hAnsi="Times New Roman" w:cs="宋体"/>
                <w:color w:val="auto"/>
                <w:sz w:val="24"/>
                <w:highlight w:val="none"/>
              </w:rPr>
            </w:pPr>
          </w:p>
        </w:tc>
      </w:tr>
    </w:tbl>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评标委员会成员签名：</w:t>
      </w:r>
    </w:p>
    <w:p>
      <w:pPr>
        <w:pStyle w:val="3"/>
        <w:rPr>
          <w:rFonts w:hint="eastAsia" w:ascii="Times New Roman" w:hAnsi="Times New Roman" w:eastAsia="宋体" w:cs="宋体"/>
          <w:color w:val="auto"/>
          <w:sz w:val="24"/>
          <w:szCs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pPr>
        <w:pStyle w:val="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附表9：投标报价评审记录表</w:t>
      </w:r>
    </w:p>
    <w:p>
      <w:pPr>
        <w:spacing w:line="360" w:lineRule="auto"/>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投标报价评审记录表</w:t>
      </w:r>
    </w:p>
    <w:p>
      <w:pPr>
        <w:spacing w:line="360" w:lineRule="auto"/>
        <w:jc w:val="center"/>
        <w:rPr>
          <w:rFonts w:hint="eastAsia" w:ascii="Times New Roman" w:hAnsi="Times New Roman" w:cs="宋体"/>
          <w:b/>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59"/>
        <w:gridCol w:w="2013"/>
        <w:gridCol w:w="837"/>
        <w:gridCol w:w="963"/>
        <w:gridCol w:w="962"/>
        <w:gridCol w:w="913"/>
        <w:gridCol w:w="1000"/>
        <w:gridCol w:w="1237"/>
        <w:gridCol w:w="10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72" w:type="dxa"/>
            <w:gridSpan w:val="2"/>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评分项目</w:t>
            </w:r>
          </w:p>
        </w:tc>
        <w:tc>
          <w:tcPr>
            <w:tcW w:w="837" w:type="dxa"/>
            <w:vMerge w:val="restart"/>
            <w:noWrap w:val="0"/>
            <w:vAlign w:val="center"/>
          </w:tcPr>
          <w:p>
            <w:pPr>
              <w:spacing w:line="360" w:lineRule="auto"/>
              <w:ind w:right="-3"/>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tc>
        <w:tc>
          <w:tcPr>
            <w:tcW w:w="6109" w:type="dxa"/>
            <w:gridSpan w:val="6"/>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72" w:type="dxa"/>
            <w:gridSpan w:val="2"/>
            <w:vMerge w:val="continue"/>
            <w:noWrap w:val="0"/>
            <w:vAlign w:val="center"/>
          </w:tcPr>
          <w:p>
            <w:pPr>
              <w:spacing w:line="360" w:lineRule="auto"/>
              <w:rPr>
                <w:rFonts w:hint="eastAsia" w:ascii="Times New Roman" w:hAnsi="Times New Roman" w:cs="宋体"/>
                <w:color w:val="auto"/>
                <w:sz w:val="24"/>
                <w:highlight w:val="none"/>
              </w:rPr>
            </w:pPr>
          </w:p>
        </w:tc>
        <w:tc>
          <w:tcPr>
            <w:tcW w:w="837" w:type="dxa"/>
            <w:vMerge w:val="continue"/>
            <w:noWrap w:val="0"/>
            <w:vAlign w:val="center"/>
          </w:tcPr>
          <w:p>
            <w:pPr>
              <w:spacing w:line="360" w:lineRule="auto"/>
              <w:ind w:right="370" w:rightChars="176"/>
              <w:rPr>
                <w:rFonts w:hint="eastAsia" w:ascii="Times New Roman" w:hAnsi="Times New Roman" w:cs="宋体"/>
                <w:color w:val="auto"/>
                <w:sz w:val="24"/>
                <w:highlight w:val="none"/>
              </w:rPr>
            </w:pPr>
          </w:p>
        </w:tc>
        <w:tc>
          <w:tcPr>
            <w:tcW w:w="963" w:type="dxa"/>
            <w:noWrap w:val="0"/>
            <w:vAlign w:val="center"/>
          </w:tcPr>
          <w:p>
            <w:pPr>
              <w:spacing w:line="360" w:lineRule="auto"/>
              <w:jc w:val="center"/>
              <w:rPr>
                <w:rFonts w:hint="eastAsia" w:ascii="Times New Roman" w:hAnsi="Times New Roman" w:cs="宋体"/>
                <w:color w:val="auto"/>
                <w:sz w:val="24"/>
                <w:highlight w:val="none"/>
              </w:rPr>
            </w:pPr>
          </w:p>
        </w:tc>
        <w:tc>
          <w:tcPr>
            <w:tcW w:w="962" w:type="dxa"/>
            <w:noWrap w:val="0"/>
            <w:vAlign w:val="center"/>
          </w:tcPr>
          <w:p>
            <w:pPr>
              <w:spacing w:line="360" w:lineRule="auto"/>
              <w:jc w:val="center"/>
              <w:rPr>
                <w:rFonts w:hint="eastAsia" w:ascii="Times New Roman" w:hAnsi="Times New Roman" w:cs="宋体"/>
                <w:color w:val="auto"/>
                <w:sz w:val="24"/>
                <w:highlight w:val="none"/>
              </w:rPr>
            </w:pPr>
          </w:p>
        </w:tc>
        <w:tc>
          <w:tcPr>
            <w:tcW w:w="913" w:type="dxa"/>
            <w:noWrap w:val="0"/>
            <w:vAlign w:val="center"/>
          </w:tcPr>
          <w:p>
            <w:pPr>
              <w:spacing w:line="360" w:lineRule="auto"/>
              <w:jc w:val="center"/>
              <w:rPr>
                <w:rFonts w:hint="eastAsia" w:ascii="Times New Roman" w:hAnsi="Times New Roman" w:cs="宋体"/>
                <w:color w:val="auto"/>
                <w:sz w:val="24"/>
                <w:highlight w:val="none"/>
              </w:rPr>
            </w:pPr>
          </w:p>
        </w:tc>
        <w:tc>
          <w:tcPr>
            <w:tcW w:w="1000" w:type="dxa"/>
            <w:noWrap w:val="0"/>
            <w:vAlign w:val="center"/>
          </w:tcPr>
          <w:p>
            <w:pPr>
              <w:spacing w:line="360" w:lineRule="auto"/>
              <w:jc w:val="center"/>
              <w:rPr>
                <w:rFonts w:hint="eastAsia" w:ascii="Times New Roman" w:hAnsi="Times New Roman" w:cs="宋体"/>
                <w:color w:val="auto"/>
                <w:sz w:val="24"/>
                <w:highlight w:val="none"/>
              </w:rPr>
            </w:pPr>
          </w:p>
        </w:tc>
        <w:tc>
          <w:tcPr>
            <w:tcW w:w="1237" w:type="dxa"/>
            <w:noWrap w:val="0"/>
            <w:vAlign w:val="center"/>
          </w:tcPr>
          <w:p>
            <w:pPr>
              <w:spacing w:line="360" w:lineRule="auto"/>
              <w:jc w:val="center"/>
              <w:rPr>
                <w:rFonts w:hint="eastAsia" w:ascii="Times New Roman" w:hAnsi="Times New Roman" w:cs="宋体"/>
                <w:color w:val="auto"/>
                <w:sz w:val="24"/>
                <w:highlight w:val="none"/>
              </w:rPr>
            </w:pPr>
          </w:p>
        </w:tc>
        <w:tc>
          <w:tcPr>
            <w:tcW w:w="1034"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设计</w:t>
            </w:r>
          </w:p>
        </w:tc>
        <w:tc>
          <w:tcPr>
            <w:tcW w:w="2013"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投标人设计</w:t>
            </w:r>
          </w:p>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w:t>
            </w:r>
          </w:p>
        </w:tc>
        <w:tc>
          <w:tcPr>
            <w:tcW w:w="837" w:type="dxa"/>
            <w:vMerge w:val="restart"/>
            <w:noWrap w:val="0"/>
            <w:vAlign w:val="center"/>
          </w:tcPr>
          <w:p>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pPr>
              <w:spacing w:line="360" w:lineRule="auto"/>
              <w:jc w:val="center"/>
              <w:rPr>
                <w:rFonts w:hint="eastAsia" w:ascii="Times New Roman" w:hAnsi="Times New Roman" w:cs="宋体"/>
                <w:color w:val="auto"/>
                <w:sz w:val="24"/>
                <w:highlight w:val="none"/>
              </w:rPr>
            </w:pPr>
          </w:p>
        </w:tc>
        <w:tc>
          <w:tcPr>
            <w:tcW w:w="962" w:type="dxa"/>
            <w:noWrap w:val="0"/>
            <w:vAlign w:val="center"/>
          </w:tcPr>
          <w:p>
            <w:pPr>
              <w:spacing w:line="360" w:lineRule="auto"/>
              <w:jc w:val="center"/>
              <w:rPr>
                <w:rFonts w:hint="eastAsia" w:ascii="Times New Roman" w:hAnsi="Times New Roman" w:cs="宋体"/>
                <w:color w:val="auto"/>
                <w:sz w:val="24"/>
                <w:highlight w:val="none"/>
              </w:rPr>
            </w:pPr>
          </w:p>
        </w:tc>
        <w:tc>
          <w:tcPr>
            <w:tcW w:w="913" w:type="dxa"/>
            <w:noWrap w:val="0"/>
            <w:vAlign w:val="center"/>
          </w:tcPr>
          <w:p>
            <w:pPr>
              <w:spacing w:line="360" w:lineRule="auto"/>
              <w:jc w:val="center"/>
              <w:rPr>
                <w:rFonts w:hint="eastAsia" w:ascii="Times New Roman" w:hAnsi="Times New Roman" w:cs="宋体"/>
                <w:color w:val="auto"/>
                <w:sz w:val="24"/>
                <w:highlight w:val="none"/>
              </w:rPr>
            </w:pPr>
          </w:p>
        </w:tc>
        <w:tc>
          <w:tcPr>
            <w:tcW w:w="1000" w:type="dxa"/>
            <w:noWrap w:val="0"/>
            <w:vAlign w:val="center"/>
          </w:tcPr>
          <w:p>
            <w:pPr>
              <w:spacing w:line="360" w:lineRule="auto"/>
              <w:jc w:val="center"/>
              <w:rPr>
                <w:rFonts w:hint="eastAsia" w:ascii="Times New Roman" w:hAnsi="Times New Roman" w:cs="宋体"/>
                <w:color w:val="auto"/>
                <w:sz w:val="24"/>
                <w:highlight w:val="none"/>
              </w:rPr>
            </w:pPr>
          </w:p>
        </w:tc>
        <w:tc>
          <w:tcPr>
            <w:tcW w:w="1237" w:type="dxa"/>
            <w:noWrap w:val="0"/>
            <w:vAlign w:val="center"/>
          </w:tcPr>
          <w:p>
            <w:pPr>
              <w:spacing w:line="360" w:lineRule="auto"/>
              <w:jc w:val="center"/>
              <w:rPr>
                <w:rFonts w:hint="eastAsia" w:ascii="Times New Roman" w:hAnsi="Times New Roman" w:cs="宋体"/>
                <w:color w:val="auto"/>
                <w:sz w:val="24"/>
                <w:highlight w:val="none"/>
              </w:rPr>
            </w:pPr>
          </w:p>
        </w:tc>
        <w:tc>
          <w:tcPr>
            <w:tcW w:w="1034"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559" w:type="dxa"/>
            <w:vMerge w:val="continue"/>
            <w:noWrap w:val="0"/>
            <w:vAlign w:val="center"/>
          </w:tcPr>
          <w:p>
            <w:pPr>
              <w:spacing w:line="360" w:lineRule="auto"/>
              <w:jc w:val="center"/>
              <w:rPr>
                <w:rFonts w:hint="eastAsia" w:ascii="Times New Roman" w:hAnsi="Times New Roman" w:cs="宋体"/>
                <w:color w:val="auto"/>
                <w:sz w:val="24"/>
                <w:highlight w:val="none"/>
              </w:rPr>
            </w:pPr>
          </w:p>
        </w:tc>
        <w:tc>
          <w:tcPr>
            <w:tcW w:w="2013"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评标基准价</w:t>
            </w:r>
          </w:p>
        </w:tc>
        <w:tc>
          <w:tcPr>
            <w:tcW w:w="837" w:type="dxa"/>
            <w:vMerge w:val="continue"/>
            <w:noWrap w:val="0"/>
            <w:vAlign w:val="center"/>
          </w:tcPr>
          <w:p>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pPr>
              <w:spacing w:line="360" w:lineRule="auto"/>
              <w:jc w:val="center"/>
              <w:rPr>
                <w:rFonts w:hint="eastAsia" w:ascii="Times New Roman" w:hAnsi="Times New Roman" w:cs="宋体"/>
                <w:color w:val="auto"/>
                <w:sz w:val="24"/>
                <w:highlight w:val="none"/>
              </w:rPr>
            </w:pPr>
          </w:p>
        </w:tc>
        <w:tc>
          <w:tcPr>
            <w:tcW w:w="962" w:type="dxa"/>
            <w:noWrap w:val="0"/>
            <w:vAlign w:val="center"/>
          </w:tcPr>
          <w:p>
            <w:pPr>
              <w:spacing w:line="360" w:lineRule="auto"/>
              <w:jc w:val="center"/>
              <w:rPr>
                <w:rFonts w:hint="eastAsia" w:ascii="Times New Roman" w:hAnsi="Times New Roman" w:cs="宋体"/>
                <w:color w:val="auto"/>
                <w:sz w:val="24"/>
                <w:highlight w:val="none"/>
              </w:rPr>
            </w:pPr>
          </w:p>
        </w:tc>
        <w:tc>
          <w:tcPr>
            <w:tcW w:w="913" w:type="dxa"/>
            <w:noWrap w:val="0"/>
            <w:vAlign w:val="center"/>
          </w:tcPr>
          <w:p>
            <w:pPr>
              <w:spacing w:line="360" w:lineRule="auto"/>
              <w:jc w:val="center"/>
              <w:rPr>
                <w:rFonts w:hint="eastAsia" w:ascii="Times New Roman" w:hAnsi="Times New Roman" w:cs="宋体"/>
                <w:color w:val="auto"/>
                <w:sz w:val="24"/>
                <w:highlight w:val="none"/>
              </w:rPr>
            </w:pPr>
          </w:p>
        </w:tc>
        <w:tc>
          <w:tcPr>
            <w:tcW w:w="1000" w:type="dxa"/>
            <w:noWrap w:val="0"/>
            <w:vAlign w:val="center"/>
          </w:tcPr>
          <w:p>
            <w:pPr>
              <w:spacing w:line="360" w:lineRule="auto"/>
              <w:jc w:val="center"/>
              <w:rPr>
                <w:rFonts w:hint="eastAsia" w:ascii="Times New Roman" w:hAnsi="Times New Roman" w:cs="宋体"/>
                <w:color w:val="auto"/>
                <w:sz w:val="24"/>
                <w:highlight w:val="none"/>
              </w:rPr>
            </w:pPr>
          </w:p>
        </w:tc>
        <w:tc>
          <w:tcPr>
            <w:tcW w:w="1237" w:type="dxa"/>
            <w:noWrap w:val="0"/>
            <w:vAlign w:val="center"/>
          </w:tcPr>
          <w:p>
            <w:pPr>
              <w:spacing w:line="360" w:lineRule="auto"/>
              <w:jc w:val="center"/>
              <w:rPr>
                <w:rFonts w:hint="eastAsia" w:ascii="Times New Roman" w:hAnsi="Times New Roman" w:cs="宋体"/>
                <w:color w:val="auto"/>
                <w:sz w:val="24"/>
                <w:highlight w:val="none"/>
              </w:rPr>
            </w:pPr>
          </w:p>
        </w:tc>
        <w:tc>
          <w:tcPr>
            <w:tcW w:w="1034"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noWrap w:val="0"/>
            <w:vAlign w:val="center"/>
          </w:tcPr>
          <w:p>
            <w:pPr>
              <w:spacing w:line="360" w:lineRule="auto"/>
              <w:jc w:val="center"/>
              <w:rPr>
                <w:rFonts w:hint="eastAsia" w:ascii="Times New Roman" w:hAnsi="Times New Roman" w:cs="宋体"/>
                <w:color w:val="auto"/>
                <w:sz w:val="24"/>
                <w:highlight w:val="none"/>
              </w:rPr>
            </w:pPr>
          </w:p>
        </w:tc>
        <w:tc>
          <w:tcPr>
            <w:tcW w:w="2013"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偏差率</w:t>
            </w:r>
          </w:p>
        </w:tc>
        <w:tc>
          <w:tcPr>
            <w:tcW w:w="837" w:type="dxa"/>
            <w:vMerge w:val="continue"/>
            <w:noWrap w:val="0"/>
            <w:vAlign w:val="center"/>
          </w:tcPr>
          <w:p>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pPr>
              <w:spacing w:line="360" w:lineRule="auto"/>
              <w:jc w:val="center"/>
              <w:rPr>
                <w:rFonts w:hint="eastAsia" w:ascii="Times New Roman" w:hAnsi="Times New Roman" w:cs="宋体"/>
                <w:color w:val="auto"/>
                <w:sz w:val="24"/>
                <w:highlight w:val="none"/>
              </w:rPr>
            </w:pPr>
          </w:p>
        </w:tc>
        <w:tc>
          <w:tcPr>
            <w:tcW w:w="962" w:type="dxa"/>
            <w:noWrap w:val="0"/>
            <w:vAlign w:val="center"/>
          </w:tcPr>
          <w:p>
            <w:pPr>
              <w:spacing w:line="360" w:lineRule="auto"/>
              <w:jc w:val="center"/>
              <w:rPr>
                <w:rFonts w:hint="eastAsia" w:ascii="Times New Roman" w:hAnsi="Times New Roman" w:cs="宋体"/>
                <w:color w:val="auto"/>
                <w:sz w:val="24"/>
                <w:highlight w:val="none"/>
              </w:rPr>
            </w:pPr>
          </w:p>
        </w:tc>
        <w:tc>
          <w:tcPr>
            <w:tcW w:w="913" w:type="dxa"/>
            <w:noWrap w:val="0"/>
            <w:vAlign w:val="center"/>
          </w:tcPr>
          <w:p>
            <w:pPr>
              <w:spacing w:line="360" w:lineRule="auto"/>
              <w:jc w:val="center"/>
              <w:rPr>
                <w:rFonts w:hint="eastAsia" w:ascii="Times New Roman" w:hAnsi="Times New Roman" w:cs="宋体"/>
                <w:color w:val="auto"/>
                <w:sz w:val="24"/>
                <w:highlight w:val="none"/>
              </w:rPr>
            </w:pPr>
          </w:p>
        </w:tc>
        <w:tc>
          <w:tcPr>
            <w:tcW w:w="1000" w:type="dxa"/>
            <w:noWrap w:val="0"/>
            <w:vAlign w:val="center"/>
          </w:tcPr>
          <w:p>
            <w:pPr>
              <w:spacing w:line="360" w:lineRule="auto"/>
              <w:jc w:val="center"/>
              <w:rPr>
                <w:rFonts w:hint="eastAsia" w:ascii="Times New Roman" w:hAnsi="Times New Roman" w:cs="宋体"/>
                <w:color w:val="auto"/>
                <w:sz w:val="24"/>
                <w:highlight w:val="none"/>
              </w:rPr>
            </w:pPr>
          </w:p>
        </w:tc>
        <w:tc>
          <w:tcPr>
            <w:tcW w:w="1237" w:type="dxa"/>
            <w:noWrap w:val="0"/>
            <w:vAlign w:val="center"/>
          </w:tcPr>
          <w:p>
            <w:pPr>
              <w:spacing w:line="360" w:lineRule="auto"/>
              <w:jc w:val="center"/>
              <w:rPr>
                <w:rFonts w:hint="eastAsia" w:ascii="Times New Roman" w:hAnsi="Times New Roman" w:cs="宋体"/>
                <w:color w:val="auto"/>
                <w:sz w:val="24"/>
                <w:highlight w:val="none"/>
              </w:rPr>
            </w:pPr>
          </w:p>
        </w:tc>
        <w:tc>
          <w:tcPr>
            <w:tcW w:w="1034"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noWrap w:val="0"/>
            <w:vAlign w:val="center"/>
          </w:tcPr>
          <w:p>
            <w:pPr>
              <w:spacing w:line="360" w:lineRule="auto"/>
              <w:jc w:val="center"/>
              <w:rPr>
                <w:rFonts w:hint="eastAsia" w:ascii="Times New Roman" w:hAnsi="Times New Roman" w:cs="宋体"/>
                <w:color w:val="auto"/>
                <w:sz w:val="24"/>
                <w:highlight w:val="none"/>
              </w:rPr>
            </w:pPr>
          </w:p>
        </w:tc>
        <w:tc>
          <w:tcPr>
            <w:tcW w:w="2013"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设计投标报价</w:t>
            </w:r>
          </w:p>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得分D1</w:t>
            </w:r>
          </w:p>
        </w:tc>
        <w:tc>
          <w:tcPr>
            <w:tcW w:w="837" w:type="dxa"/>
            <w:vMerge w:val="continue"/>
            <w:noWrap w:val="0"/>
            <w:vAlign w:val="center"/>
          </w:tcPr>
          <w:p>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pPr>
              <w:spacing w:line="360" w:lineRule="auto"/>
              <w:jc w:val="center"/>
              <w:rPr>
                <w:rFonts w:hint="eastAsia" w:ascii="Times New Roman" w:hAnsi="Times New Roman" w:cs="宋体"/>
                <w:color w:val="auto"/>
                <w:sz w:val="24"/>
                <w:highlight w:val="none"/>
              </w:rPr>
            </w:pPr>
          </w:p>
        </w:tc>
        <w:tc>
          <w:tcPr>
            <w:tcW w:w="962" w:type="dxa"/>
            <w:noWrap w:val="0"/>
            <w:vAlign w:val="center"/>
          </w:tcPr>
          <w:p>
            <w:pPr>
              <w:spacing w:line="360" w:lineRule="auto"/>
              <w:jc w:val="center"/>
              <w:rPr>
                <w:rFonts w:hint="eastAsia" w:ascii="Times New Roman" w:hAnsi="Times New Roman" w:cs="宋体"/>
                <w:color w:val="auto"/>
                <w:sz w:val="24"/>
                <w:highlight w:val="none"/>
              </w:rPr>
            </w:pPr>
          </w:p>
        </w:tc>
        <w:tc>
          <w:tcPr>
            <w:tcW w:w="913" w:type="dxa"/>
            <w:noWrap w:val="0"/>
            <w:vAlign w:val="center"/>
          </w:tcPr>
          <w:p>
            <w:pPr>
              <w:spacing w:line="360" w:lineRule="auto"/>
              <w:jc w:val="center"/>
              <w:rPr>
                <w:rFonts w:hint="eastAsia" w:ascii="Times New Roman" w:hAnsi="Times New Roman" w:cs="宋体"/>
                <w:color w:val="auto"/>
                <w:sz w:val="24"/>
                <w:highlight w:val="none"/>
              </w:rPr>
            </w:pPr>
          </w:p>
        </w:tc>
        <w:tc>
          <w:tcPr>
            <w:tcW w:w="1000" w:type="dxa"/>
            <w:noWrap w:val="0"/>
            <w:vAlign w:val="center"/>
          </w:tcPr>
          <w:p>
            <w:pPr>
              <w:spacing w:line="360" w:lineRule="auto"/>
              <w:jc w:val="center"/>
              <w:rPr>
                <w:rFonts w:hint="eastAsia" w:ascii="Times New Roman" w:hAnsi="Times New Roman" w:cs="宋体"/>
                <w:color w:val="auto"/>
                <w:sz w:val="24"/>
                <w:highlight w:val="none"/>
              </w:rPr>
            </w:pPr>
          </w:p>
        </w:tc>
        <w:tc>
          <w:tcPr>
            <w:tcW w:w="1237" w:type="dxa"/>
            <w:noWrap w:val="0"/>
            <w:vAlign w:val="center"/>
          </w:tcPr>
          <w:p>
            <w:pPr>
              <w:spacing w:line="360" w:lineRule="auto"/>
              <w:jc w:val="center"/>
              <w:rPr>
                <w:rFonts w:hint="eastAsia" w:ascii="Times New Roman" w:hAnsi="Times New Roman" w:cs="宋体"/>
                <w:color w:val="auto"/>
                <w:sz w:val="24"/>
                <w:highlight w:val="none"/>
              </w:rPr>
            </w:pPr>
          </w:p>
        </w:tc>
        <w:tc>
          <w:tcPr>
            <w:tcW w:w="1034"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w:t>
            </w:r>
          </w:p>
        </w:tc>
        <w:tc>
          <w:tcPr>
            <w:tcW w:w="2013"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投标人施工</w:t>
            </w:r>
          </w:p>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w:t>
            </w:r>
          </w:p>
        </w:tc>
        <w:tc>
          <w:tcPr>
            <w:tcW w:w="837" w:type="dxa"/>
            <w:vMerge w:val="restart"/>
            <w:noWrap w:val="0"/>
            <w:vAlign w:val="center"/>
          </w:tcPr>
          <w:p>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pPr>
              <w:spacing w:line="360" w:lineRule="auto"/>
              <w:jc w:val="center"/>
              <w:rPr>
                <w:rFonts w:hint="eastAsia" w:ascii="Times New Roman" w:hAnsi="Times New Roman" w:cs="宋体"/>
                <w:color w:val="auto"/>
                <w:sz w:val="24"/>
                <w:highlight w:val="none"/>
              </w:rPr>
            </w:pPr>
          </w:p>
        </w:tc>
        <w:tc>
          <w:tcPr>
            <w:tcW w:w="962" w:type="dxa"/>
            <w:noWrap w:val="0"/>
            <w:vAlign w:val="center"/>
          </w:tcPr>
          <w:p>
            <w:pPr>
              <w:spacing w:line="360" w:lineRule="auto"/>
              <w:jc w:val="center"/>
              <w:rPr>
                <w:rFonts w:hint="eastAsia" w:ascii="Times New Roman" w:hAnsi="Times New Roman" w:cs="宋体"/>
                <w:color w:val="auto"/>
                <w:sz w:val="24"/>
                <w:highlight w:val="none"/>
              </w:rPr>
            </w:pPr>
          </w:p>
        </w:tc>
        <w:tc>
          <w:tcPr>
            <w:tcW w:w="913" w:type="dxa"/>
            <w:noWrap w:val="0"/>
            <w:vAlign w:val="center"/>
          </w:tcPr>
          <w:p>
            <w:pPr>
              <w:spacing w:line="360" w:lineRule="auto"/>
              <w:jc w:val="center"/>
              <w:rPr>
                <w:rFonts w:hint="eastAsia" w:ascii="Times New Roman" w:hAnsi="Times New Roman" w:cs="宋体"/>
                <w:color w:val="auto"/>
                <w:sz w:val="24"/>
                <w:highlight w:val="none"/>
              </w:rPr>
            </w:pPr>
          </w:p>
        </w:tc>
        <w:tc>
          <w:tcPr>
            <w:tcW w:w="1000" w:type="dxa"/>
            <w:noWrap w:val="0"/>
            <w:vAlign w:val="center"/>
          </w:tcPr>
          <w:p>
            <w:pPr>
              <w:spacing w:line="360" w:lineRule="auto"/>
              <w:jc w:val="center"/>
              <w:rPr>
                <w:rFonts w:hint="eastAsia" w:ascii="Times New Roman" w:hAnsi="Times New Roman" w:cs="宋体"/>
                <w:color w:val="auto"/>
                <w:sz w:val="24"/>
                <w:highlight w:val="none"/>
              </w:rPr>
            </w:pPr>
          </w:p>
        </w:tc>
        <w:tc>
          <w:tcPr>
            <w:tcW w:w="1237" w:type="dxa"/>
            <w:noWrap w:val="0"/>
            <w:vAlign w:val="center"/>
          </w:tcPr>
          <w:p>
            <w:pPr>
              <w:spacing w:line="360" w:lineRule="auto"/>
              <w:jc w:val="center"/>
              <w:rPr>
                <w:rFonts w:hint="eastAsia" w:ascii="Times New Roman" w:hAnsi="Times New Roman" w:cs="宋体"/>
                <w:color w:val="auto"/>
                <w:sz w:val="24"/>
                <w:highlight w:val="none"/>
              </w:rPr>
            </w:pPr>
          </w:p>
        </w:tc>
        <w:tc>
          <w:tcPr>
            <w:tcW w:w="1034"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559" w:type="dxa"/>
            <w:vMerge w:val="continue"/>
            <w:noWrap w:val="0"/>
            <w:vAlign w:val="center"/>
          </w:tcPr>
          <w:p>
            <w:pPr>
              <w:spacing w:line="360" w:lineRule="auto"/>
              <w:jc w:val="center"/>
              <w:rPr>
                <w:rFonts w:hint="eastAsia" w:ascii="Times New Roman" w:hAnsi="Times New Roman" w:cs="宋体"/>
                <w:color w:val="auto"/>
                <w:sz w:val="24"/>
                <w:highlight w:val="none"/>
              </w:rPr>
            </w:pPr>
          </w:p>
        </w:tc>
        <w:tc>
          <w:tcPr>
            <w:tcW w:w="2013"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评标基准价</w:t>
            </w:r>
          </w:p>
        </w:tc>
        <w:tc>
          <w:tcPr>
            <w:tcW w:w="837" w:type="dxa"/>
            <w:vMerge w:val="continue"/>
            <w:noWrap w:val="0"/>
            <w:vAlign w:val="center"/>
          </w:tcPr>
          <w:p>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pPr>
              <w:spacing w:line="360" w:lineRule="auto"/>
              <w:jc w:val="center"/>
              <w:rPr>
                <w:rFonts w:hint="eastAsia" w:ascii="Times New Roman" w:hAnsi="Times New Roman" w:cs="宋体"/>
                <w:color w:val="auto"/>
                <w:sz w:val="24"/>
                <w:highlight w:val="none"/>
              </w:rPr>
            </w:pPr>
          </w:p>
        </w:tc>
        <w:tc>
          <w:tcPr>
            <w:tcW w:w="962" w:type="dxa"/>
            <w:noWrap w:val="0"/>
            <w:vAlign w:val="center"/>
          </w:tcPr>
          <w:p>
            <w:pPr>
              <w:spacing w:line="360" w:lineRule="auto"/>
              <w:jc w:val="center"/>
              <w:rPr>
                <w:rFonts w:hint="eastAsia" w:ascii="Times New Roman" w:hAnsi="Times New Roman" w:cs="宋体"/>
                <w:color w:val="auto"/>
                <w:sz w:val="24"/>
                <w:highlight w:val="none"/>
              </w:rPr>
            </w:pPr>
          </w:p>
        </w:tc>
        <w:tc>
          <w:tcPr>
            <w:tcW w:w="913" w:type="dxa"/>
            <w:noWrap w:val="0"/>
            <w:vAlign w:val="center"/>
          </w:tcPr>
          <w:p>
            <w:pPr>
              <w:spacing w:line="360" w:lineRule="auto"/>
              <w:jc w:val="center"/>
              <w:rPr>
                <w:rFonts w:hint="eastAsia" w:ascii="Times New Roman" w:hAnsi="Times New Roman" w:cs="宋体"/>
                <w:color w:val="auto"/>
                <w:sz w:val="24"/>
                <w:highlight w:val="none"/>
              </w:rPr>
            </w:pPr>
          </w:p>
        </w:tc>
        <w:tc>
          <w:tcPr>
            <w:tcW w:w="1000" w:type="dxa"/>
            <w:noWrap w:val="0"/>
            <w:vAlign w:val="center"/>
          </w:tcPr>
          <w:p>
            <w:pPr>
              <w:spacing w:line="360" w:lineRule="auto"/>
              <w:jc w:val="center"/>
              <w:rPr>
                <w:rFonts w:hint="eastAsia" w:ascii="Times New Roman" w:hAnsi="Times New Roman" w:cs="宋体"/>
                <w:color w:val="auto"/>
                <w:sz w:val="24"/>
                <w:highlight w:val="none"/>
              </w:rPr>
            </w:pPr>
          </w:p>
        </w:tc>
        <w:tc>
          <w:tcPr>
            <w:tcW w:w="1237" w:type="dxa"/>
            <w:noWrap w:val="0"/>
            <w:vAlign w:val="center"/>
          </w:tcPr>
          <w:p>
            <w:pPr>
              <w:spacing w:line="360" w:lineRule="auto"/>
              <w:jc w:val="center"/>
              <w:rPr>
                <w:rFonts w:hint="eastAsia" w:ascii="Times New Roman" w:hAnsi="Times New Roman" w:cs="宋体"/>
                <w:color w:val="auto"/>
                <w:sz w:val="24"/>
                <w:highlight w:val="none"/>
              </w:rPr>
            </w:pPr>
          </w:p>
        </w:tc>
        <w:tc>
          <w:tcPr>
            <w:tcW w:w="1034"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noWrap w:val="0"/>
            <w:vAlign w:val="center"/>
          </w:tcPr>
          <w:p>
            <w:pPr>
              <w:spacing w:line="360" w:lineRule="auto"/>
              <w:jc w:val="center"/>
              <w:rPr>
                <w:rFonts w:hint="eastAsia" w:ascii="Times New Roman" w:hAnsi="Times New Roman" w:cs="宋体"/>
                <w:color w:val="auto"/>
                <w:sz w:val="24"/>
                <w:highlight w:val="none"/>
              </w:rPr>
            </w:pPr>
          </w:p>
        </w:tc>
        <w:tc>
          <w:tcPr>
            <w:tcW w:w="2013"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偏差率</w:t>
            </w:r>
          </w:p>
        </w:tc>
        <w:tc>
          <w:tcPr>
            <w:tcW w:w="837" w:type="dxa"/>
            <w:vMerge w:val="continue"/>
            <w:noWrap w:val="0"/>
            <w:vAlign w:val="center"/>
          </w:tcPr>
          <w:p>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pPr>
              <w:spacing w:line="360" w:lineRule="auto"/>
              <w:jc w:val="center"/>
              <w:rPr>
                <w:rFonts w:hint="eastAsia" w:ascii="Times New Roman" w:hAnsi="Times New Roman" w:cs="宋体"/>
                <w:color w:val="auto"/>
                <w:sz w:val="24"/>
                <w:highlight w:val="none"/>
              </w:rPr>
            </w:pPr>
          </w:p>
        </w:tc>
        <w:tc>
          <w:tcPr>
            <w:tcW w:w="962" w:type="dxa"/>
            <w:noWrap w:val="0"/>
            <w:vAlign w:val="center"/>
          </w:tcPr>
          <w:p>
            <w:pPr>
              <w:spacing w:line="360" w:lineRule="auto"/>
              <w:jc w:val="center"/>
              <w:rPr>
                <w:rFonts w:hint="eastAsia" w:ascii="Times New Roman" w:hAnsi="Times New Roman" w:cs="宋体"/>
                <w:color w:val="auto"/>
                <w:sz w:val="24"/>
                <w:highlight w:val="none"/>
              </w:rPr>
            </w:pPr>
          </w:p>
        </w:tc>
        <w:tc>
          <w:tcPr>
            <w:tcW w:w="913" w:type="dxa"/>
            <w:noWrap w:val="0"/>
            <w:vAlign w:val="center"/>
          </w:tcPr>
          <w:p>
            <w:pPr>
              <w:spacing w:line="360" w:lineRule="auto"/>
              <w:jc w:val="center"/>
              <w:rPr>
                <w:rFonts w:hint="eastAsia" w:ascii="Times New Roman" w:hAnsi="Times New Roman" w:cs="宋体"/>
                <w:color w:val="auto"/>
                <w:sz w:val="24"/>
                <w:highlight w:val="none"/>
              </w:rPr>
            </w:pPr>
          </w:p>
        </w:tc>
        <w:tc>
          <w:tcPr>
            <w:tcW w:w="1000" w:type="dxa"/>
            <w:noWrap w:val="0"/>
            <w:vAlign w:val="center"/>
          </w:tcPr>
          <w:p>
            <w:pPr>
              <w:spacing w:line="360" w:lineRule="auto"/>
              <w:jc w:val="center"/>
              <w:rPr>
                <w:rFonts w:hint="eastAsia" w:ascii="Times New Roman" w:hAnsi="Times New Roman" w:cs="宋体"/>
                <w:color w:val="auto"/>
                <w:sz w:val="24"/>
                <w:highlight w:val="none"/>
              </w:rPr>
            </w:pPr>
          </w:p>
        </w:tc>
        <w:tc>
          <w:tcPr>
            <w:tcW w:w="1237" w:type="dxa"/>
            <w:noWrap w:val="0"/>
            <w:vAlign w:val="center"/>
          </w:tcPr>
          <w:p>
            <w:pPr>
              <w:spacing w:line="360" w:lineRule="auto"/>
              <w:jc w:val="center"/>
              <w:rPr>
                <w:rFonts w:hint="eastAsia" w:ascii="Times New Roman" w:hAnsi="Times New Roman" w:cs="宋体"/>
                <w:color w:val="auto"/>
                <w:sz w:val="24"/>
                <w:highlight w:val="none"/>
              </w:rPr>
            </w:pPr>
          </w:p>
        </w:tc>
        <w:tc>
          <w:tcPr>
            <w:tcW w:w="1034"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559" w:type="dxa"/>
            <w:vMerge w:val="continue"/>
            <w:noWrap w:val="0"/>
            <w:vAlign w:val="center"/>
          </w:tcPr>
          <w:p>
            <w:pPr>
              <w:spacing w:line="360" w:lineRule="auto"/>
              <w:jc w:val="center"/>
              <w:rPr>
                <w:rFonts w:hint="eastAsia" w:ascii="Times New Roman" w:hAnsi="Times New Roman" w:cs="宋体"/>
                <w:color w:val="auto"/>
                <w:sz w:val="24"/>
                <w:highlight w:val="none"/>
              </w:rPr>
            </w:pPr>
          </w:p>
        </w:tc>
        <w:tc>
          <w:tcPr>
            <w:tcW w:w="2013"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施工投标报价</w:t>
            </w:r>
          </w:p>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得分D2</w:t>
            </w:r>
          </w:p>
        </w:tc>
        <w:tc>
          <w:tcPr>
            <w:tcW w:w="837" w:type="dxa"/>
            <w:vMerge w:val="continue"/>
            <w:noWrap w:val="0"/>
            <w:vAlign w:val="center"/>
          </w:tcPr>
          <w:p>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pPr>
              <w:spacing w:line="360" w:lineRule="auto"/>
              <w:jc w:val="center"/>
              <w:rPr>
                <w:rFonts w:hint="eastAsia" w:ascii="Times New Roman" w:hAnsi="Times New Roman" w:cs="宋体"/>
                <w:color w:val="auto"/>
                <w:sz w:val="24"/>
                <w:highlight w:val="none"/>
              </w:rPr>
            </w:pPr>
          </w:p>
        </w:tc>
        <w:tc>
          <w:tcPr>
            <w:tcW w:w="962" w:type="dxa"/>
            <w:noWrap w:val="0"/>
            <w:vAlign w:val="center"/>
          </w:tcPr>
          <w:p>
            <w:pPr>
              <w:spacing w:line="360" w:lineRule="auto"/>
              <w:jc w:val="center"/>
              <w:rPr>
                <w:rFonts w:hint="eastAsia" w:ascii="Times New Roman" w:hAnsi="Times New Roman" w:cs="宋体"/>
                <w:color w:val="auto"/>
                <w:sz w:val="24"/>
                <w:highlight w:val="none"/>
              </w:rPr>
            </w:pPr>
          </w:p>
        </w:tc>
        <w:tc>
          <w:tcPr>
            <w:tcW w:w="913" w:type="dxa"/>
            <w:noWrap w:val="0"/>
            <w:vAlign w:val="center"/>
          </w:tcPr>
          <w:p>
            <w:pPr>
              <w:spacing w:line="360" w:lineRule="auto"/>
              <w:jc w:val="center"/>
              <w:rPr>
                <w:rFonts w:hint="eastAsia" w:ascii="Times New Roman" w:hAnsi="Times New Roman" w:cs="宋体"/>
                <w:color w:val="auto"/>
                <w:sz w:val="24"/>
                <w:highlight w:val="none"/>
              </w:rPr>
            </w:pPr>
          </w:p>
        </w:tc>
        <w:tc>
          <w:tcPr>
            <w:tcW w:w="1000" w:type="dxa"/>
            <w:noWrap w:val="0"/>
            <w:vAlign w:val="center"/>
          </w:tcPr>
          <w:p>
            <w:pPr>
              <w:spacing w:line="360" w:lineRule="auto"/>
              <w:jc w:val="center"/>
              <w:rPr>
                <w:rFonts w:hint="eastAsia" w:ascii="Times New Roman" w:hAnsi="Times New Roman" w:cs="宋体"/>
                <w:color w:val="auto"/>
                <w:sz w:val="24"/>
                <w:highlight w:val="none"/>
              </w:rPr>
            </w:pPr>
          </w:p>
        </w:tc>
        <w:tc>
          <w:tcPr>
            <w:tcW w:w="1237" w:type="dxa"/>
            <w:noWrap w:val="0"/>
            <w:vAlign w:val="center"/>
          </w:tcPr>
          <w:p>
            <w:pPr>
              <w:spacing w:line="360" w:lineRule="auto"/>
              <w:jc w:val="center"/>
              <w:rPr>
                <w:rFonts w:hint="eastAsia" w:ascii="Times New Roman" w:hAnsi="Times New Roman" w:cs="宋体"/>
                <w:color w:val="auto"/>
                <w:sz w:val="24"/>
                <w:highlight w:val="none"/>
              </w:rPr>
            </w:pPr>
          </w:p>
        </w:tc>
        <w:tc>
          <w:tcPr>
            <w:tcW w:w="1034"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72" w:type="dxa"/>
            <w:gridSpan w:val="2"/>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投标报价得分D=D1+D2</w:t>
            </w:r>
          </w:p>
        </w:tc>
        <w:tc>
          <w:tcPr>
            <w:tcW w:w="837" w:type="dxa"/>
            <w:noWrap w:val="0"/>
            <w:vAlign w:val="center"/>
          </w:tcPr>
          <w:p>
            <w:pPr>
              <w:spacing w:line="360" w:lineRule="auto"/>
              <w:ind w:right="370" w:rightChars="176"/>
              <w:jc w:val="center"/>
              <w:rPr>
                <w:rFonts w:hint="eastAsia" w:ascii="Times New Roman" w:hAnsi="Times New Roman" w:cs="宋体"/>
                <w:color w:val="auto"/>
                <w:sz w:val="24"/>
                <w:highlight w:val="none"/>
              </w:rPr>
            </w:pPr>
          </w:p>
        </w:tc>
        <w:tc>
          <w:tcPr>
            <w:tcW w:w="963" w:type="dxa"/>
            <w:noWrap w:val="0"/>
            <w:vAlign w:val="center"/>
          </w:tcPr>
          <w:p>
            <w:pPr>
              <w:spacing w:line="360" w:lineRule="auto"/>
              <w:jc w:val="center"/>
              <w:rPr>
                <w:rFonts w:hint="eastAsia" w:ascii="Times New Roman" w:hAnsi="Times New Roman" w:cs="宋体"/>
                <w:color w:val="auto"/>
                <w:sz w:val="24"/>
                <w:highlight w:val="none"/>
              </w:rPr>
            </w:pPr>
          </w:p>
        </w:tc>
        <w:tc>
          <w:tcPr>
            <w:tcW w:w="962" w:type="dxa"/>
            <w:noWrap w:val="0"/>
            <w:vAlign w:val="center"/>
          </w:tcPr>
          <w:p>
            <w:pPr>
              <w:spacing w:line="360" w:lineRule="auto"/>
              <w:jc w:val="center"/>
              <w:rPr>
                <w:rFonts w:hint="eastAsia" w:ascii="Times New Roman" w:hAnsi="Times New Roman" w:cs="宋体"/>
                <w:color w:val="auto"/>
                <w:sz w:val="24"/>
                <w:highlight w:val="none"/>
              </w:rPr>
            </w:pPr>
          </w:p>
        </w:tc>
        <w:tc>
          <w:tcPr>
            <w:tcW w:w="913" w:type="dxa"/>
            <w:noWrap w:val="0"/>
            <w:vAlign w:val="center"/>
          </w:tcPr>
          <w:p>
            <w:pPr>
              <w:spacing w:line="360" w:lineRule="auto"/>
              <w:jc w:val="center"/>
              <w:rPr>
                <w:rFonts w:hint="eastAsia" w:ascii="Times New Roman" w:hAnsi="Times New Roman" w:cs="宋体"/>
                <w:color w:val="auto"/>
                <w:sz w:val="24"/>
                <w:highlight w:val="none"/>
              </w:rPr>
            </w:pPr>
          </w:p>
        </w:tc>
        <w:tc>
          <w:tcPr>
            <w:tcW w:w="1000" w:type="dxa"/>
            <w:noWrap w:val="0"/>
            <w:vAlign w:val="center"/>
          </w:tcPr>
          <w:p>
            <w:pPr>
              <w:spacing w:line="360" w:lineRule="auto"/>
              <w:jc w:val="center"/>
              <w:rPr>
                <w:rFonts w:hint="eastAsia" w:ascii="Times New Roman" w:hAnsi="Times New Roman" w:cs="宋体"/>
                <w:color w:val="auto"/>
                <w:sz w:val="24"/>
                <w:highlight w:val="none"/>
              </w:rPr>
            </w:pPr>
          </w:p>
        </w:tc>
        <w:tc>
          <w:tcPr>
            <w:tcW w:w="1237" w:type="dxa"/>
            <w:noWrap w:val="0"/>
            <w:vAlign w:val="center"/>
          </w:tcPr>
          <w:p>
            <w:pPr>
              <w:spacing w:line="360" w:lineRule="auto"/>
              <w:jc w:val="center"/>
              <w:rPr>
                <w:rFonts w:hint="eastAsia" w:ascii="Times New Roman" w:hAnsi="Times New Roman" w:cs="宋体"/>
                <w:color w:val="auto"/>
                <w:sz w:val="24"/>
                <w:highlight w:val="none"/>
              </w:rPr>
            </w:pPr>
          </w:p>
        </w:tc>
        <w:tc>
          <w:tcPr>
            <w:tcW w:w="1034" w:type="dxa"/>
            <w:noWrap w:val="0"/>
            <w:vAlign w:val="center"/>
          </w:tcPr>
          <w:p>
            <w:pPr>
              <w:spacing w:line="360" w:lineRule="auto"/>
              <w:jc w:val="center"/>
              <w:rPr>
                <w:rFonts w:hint="eastAsia" w:ascii="Times New Roman" w:hAnsi="Times New Roman" w:cs="宋体"/>
                <w:color w:val="auto"/>
                <w:sz w:val="24"/>
                <w:highlight w:val="none"/>
              </w:rPr>
            </w:pPr>
          </w:p>
        </w:tc>
      </w:tr>
    </w:tbl>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评标委员会全体成员签名：</w:t>
      </w:r>
    </w:p>
    <w:p>
      <w:pPr>
        <w:pStyle w:val="3"/>
        <w:rPr>
          <w:rFonts w:hint="eastAsia" w:ascii="Times New Roman" w:hAnsi="Times New Roman" w:eastAsia="宋体" w:cs="宋体"/>
          <w:color w:val="auto"/>
          <w:sz w:val="24"/>
          <w:szCs w:val="24"/>
          <w:highlight w:val="none"/>
        </w:rPr>
      </w:pPr>
      <w:r>
        <w:rPr>
          <w:rFonts w:ascii="Times New Roman" w:hAnsi="Times New Roman" w:eastAsia="宋体" w:cs="宋体"/>
          <w:color w:val="auto"/>
          <w:sz w:val="24"/>
          <w:szCs w:val="24"/>
          <w:highlight w:val="none"/>
        </w:rPr>
        <w:br w:type="page"/>
      </w:r>
      <w:r>
        <w:rPr>
          <w:rFonts w:hint="eastAsia" w:ascii="Times New Roman" w:hAnsi="Times New Roman" w:eastAsia="宋体" w:cs="宋体"/>
          <w:color w:val="auto"/>
          <w:sz w:val="24"/>
          <w:szCs w:val="24"/>
          <w:highlight w:val="none"/>
        </w:rPr>
        <w:t>附表10：其他因素评审记录表</w:t>
      </w:r>
    </w:p>
    <w:p>
      <w:pPr>
        <w:spacing w:line="360" w:lineRule="auto"/>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其他因素评审记录表</w:t>
      </w:r>
    </w:p>
    <w:p>
      <w:pPr>
        <w:spacing w:line="360" w:lineRule="auto"/>
        <w:jc w:val="center"/>
        <w:rPr>
          <w:rFonts w:hint="eastAsia" w:ascii="Times New Roman" w:hAnsi="Times New Roman" w:cs="宋体"/>
          <w:b/>
          <w:color w:val="auto"/>
          <w:sz w:val="24"/>
          <w:highlight w:val="none"/>
        </w:rPr>
      </w:pPr>
    </w:p>
    <w:p>
      <w:pPr>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09"/>
        <w:gridCol w:w="1540"/>
        <w:gridCol w:w="852"/>
        <w:gridCol w:w="739"/>
        <w:gridCol w:w="746"/>
        <w:gridCol w:w="748"/>
        <w:gridCol w:w="746"/>
        <w:gridCol w:w="748"/>
        <w:gridCol w:w="746"/>
        <w:gridCol w:w="7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1540"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评分因素</w:t>
            </w:r>
          </w:p>
        </w:tc>
        <w:tc>
          <w:tcPr>
            <w:tcW w:w="852"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tc>
        <w:tc>
          <w:tcPr>
            <w:tcW w:w="5221" w:type="dxa"/>
            <w:gridSpan w:val="7"/>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投标人名称及评审意见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vMerge w:val="continue"/>
            <w:noWrap w:val="0"/>
            <w:vAlign w:val="center"/>
          </w:tcPr>
          <w:p>
            <w:pPr>
              <w:spacing w:line="360" w:lineRule="auto"/>
              <w:rPr>
                <w:rFonts w:hint="eastAsia" w:ascii="Times New Roman" w:hAnsi="Times New Roman" w:cs="宋体"/>
                <w:color w:val="auto"/>
                <w:sz w:val="24"/>
                <w:highlight w:val="none"/>
              </w:rPr>
            </w:pPr>
          </w:p>
        </w:tc>
        <w:tc>
          <w:tcPr>
            <w:tcW w:w="1540" w:type="dxa"/>
            <w:vMerge w:val="continue"/>
            <w:noWrap w:val="0"/>
            <w:vAlign w:val="center"/>
          </w:tcPr>
          <w:p>
            <w:pPr>
              <w:spacing w:line="360" w:lineRule="auto"/>
              <w:rPr>
                <w:rFonts w:hint="eastAsia" w:ascii="Times New Roman" w:hAnsi="Times New Roman" w:cs="宋体"/>
                <w:color w:val="auto"/>
                <w:sz w:val="24"/>
                <w:highlight w:val="none"/>
              </w:rPr>
            </w:pPr>
          </w:p>
        </w:tc>
        <w:tc>
          <w:tcPr>
            <w:tcW w:w="852" w:type="dxa"/>
            <w:vMerge w:val="continue"/>
            <w:noWrap w:val="0"/>
            <w:vAlign w:val="center"/>
          </w:tcPr>
          <w:p>
            <w:pPr>
              <w:spacing w:line="360" w:lineRule="auto"/>
              <w:rPr>
                <w:rFonts w:hint="eastAsia" w:ascii="Times New Roman" w:hAnsi="Times New Roman" w:cs="宋体"/>
                <w:color w:val="auto"/>
                <w:sz w:val="24"/>
                <w:highlight w:val="none"/>
              </w:rPr>
            </w:pPr>
          </w:p>
        </w:tc>
        <w:tc>
          <w:tcPr>
            <w:tcW w:w="739"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154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52"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39"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90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154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52"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39"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154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52"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39"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09"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154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852"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739"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449" w:type="dxa"/>
            <w:gridSpan w:val="2"/>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其他因素得分合计E</w:t>
            </w:r>
          </w:p>
        </w:tc>
        <w:tc>
          <w:tcPr>
            <w:tcW w:w="852" w:type="dxa"/>
            <w:noWrap w:val="0"/>
            <w:vAlign w:val="center"/>
          </w:tcPr>
          <w:p>
            <w:pPr>
              <w:spacing w:line="360" w:lineRule="auto"/>
              <w:jc w:val="center"/>
              <w:rPr>
                <w:rFonts w:hint="eastAsia" w:ascii="Times New Roman" w:hAnsi="Times New Roman" w:cs="宋体"/>
                <w:color w:val="auto"/>
                <w:sz w:val="24"/>
                <w:highlight w:val="none"/>
              </w:rPr>
            </w:pPr>
          </w:p>
        </w:tc>
        <w:tc>
          <w:tcPr>
            <w:tcW w:w="739"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c>
          <w:tcPr>
            <w:tcW w:w="746" w:type="dxa"/>
            <w:noWrap w:val="0"/>
            <w:vAlign w:val="center"/>
          </w:tcPr>
          <w:p>
            <w:pPr>
              <w:spacing w:line="360" w:lineRule="auto"/>
              <w:jc w:val="center"/>
              <w:rPr>
                <w:rFonts w:hint="eastAsia" w:ascii="Times New Roman" w:hAnsi="Times New Roman" w:cs="宋体"/>
                <w:color w:val="auto"/>
                <w:sz w:val="24"/>
                <w:highlight w:val="none"/>
              </w:rPr>
            </w:pPr>
          </w:p>
        </w:tc>
        <w:tc>
          <w:tcPr>
            <w:tcW w:w="748" w:type="dxa"/>
            <w:noWrap w:val="0"/>
            <w:vAlign w:val="center"/>
          </w:tcPr>
          <w:p>
            <w:pPr>
              <w:spacing w:line="360" w:lineRule="auto"/>
              <w:jc w:val="center"/>
              <w:rPr>
                <w:rFonts w:hint="eastAsia" w:ascii="Times New Roman" w:hAnsi="Times New Roman" w:cs="宋体"/>
                <w:color w:val="auto"/>
                <w:sz w:val="24"/>
                <w:highlight w:val="none"/>
              </w:rPr>
            </w:pPr>
          </w:p>
        </w:tc>
      </w:tr>
    </w:tbl>
    <w:p>
      <w:pPr>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评标委员会成员签名：</w:t>
      </w:r>
    </w:p>
    <w:p>
      <w:pPr>
        <w:spacing w:line="360" w:lineRule="auto"/>
        <w:rPr>
          <w:rFonts w:hint="eastAsia" w:ascii="Times New Roman" w:hAnsi="Times New Roman" w:cs="宋体"/>
          <w:b/>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pPr>
        <w:pStyle w:val="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附表11：详细评审评分汇总表</w:t>
      </w:r>
    </w:p>
    <w:p>
      <w:pPr>
        <w:spacing w:line="360" w:lineRule="auto"/>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详细评审评分汇总表</w:t>
      </w:r>
    </w:p>
    <w:p>
      <w:pPr>
        <w:spacing w:line="360" w:lineRule="auto"/>
        <w:jc w:val="center"/>
        <w:rPr>
          <w:rFonts w:hint="eastAsia" w:ascii="Times New Roman" w:hAnsi="Times New Roman" w:cs="宋体"/>
          <w:b/>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
        <w:gridCol w:w="1965"/>
        <w:gridCol w:w="970"/>
        <w:gridCol w:w="709"/>
        <w:gridCol w:w="749"/>
        <w:gridCol w:w="854"/>
        <w:gridCol w:w="974"/>
        <w:gridCol w:w="856"/>
        <w:gridCol w:w="974"/>
        <w:gridCol w:w="106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序号</w:t>
            </w:r>
          </w:p>
        </w:tc>
        <w:tc>
          <w:tcPr>
            <w:tcW w:w="1965"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评分因素</w:t>
            </w:r>
          </w:p>
        </w:tc>
        <w:tc>
          <w:tcPr>
            <w:tcW w:w="970"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分值</w:t>
            </w:r>
          </w:p>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代码</w:t>
            </w:r>
          </w:p>
        </w:tc>
        <w:tc>
          <w:tcPr>
            <w:tcW w:w="6183" w:type="dxa"/>
            <w:gridSpan w:val="7"/>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投标人名称及其得分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vMerge w:val="continue"/>
            <w:noWrap w:val="0"/>
            <w:vAlign w:val="center"/>
          </w:tcPr>
          <w:p>
            <w:pPr>
              <w:spacing w:line="360" w:lineRule="auto"/>
              <w:rPr>
                <w:rFonts w:hint="eastAsia" w:ascii="Times New Roman" w:hAnsi="Times New Roman" w:cs="宋体"/>
                <w:color w:val="auto"/>
                <w:sz w:val="24"/>
                <w:highlight w:val="none"/>
              </w:rPr>
            </w:pPr>
          </w:p>
        </w:tc>
        <w:tc>
          <w:tcPr>
            <w:tcW w:w="1965" w:type="dxa"/>
            <w:vMerge w:val="continue"/>
            <w:noWrap w:val="0"/>
            <w:vAlign w:val="center"/>
          </w:tcPr>
          <w:p>
            <w:pPr>
              <w:spacing w:line="360" w:lineRule="auto"/>
              <w:rPr>
                <w:rFonts w:hint="eastAsia" w:ascii="Times New Roman" w:hAnsi="Times New Roman" w:cs="宋体"/>
                <w:color w:val="auto"/>
                <w:sz w:val="24"/>
                <w:highlight w:val="none"/>
              </w:rPr>
            </w:pPr>
          </w:p>
        </w:tc>
        <w:tc>
          <w:tcPr>
            <w:tcW w:w="970" w:type="dxa"/>
            <w:vMerge w:val="continue"/>
            <w:noWrap w:val="0"/>
            <w:vAlign w:val="center"/>
          </w:tcPr>
          <w:p>
            <w:pPr>
              <w:spacing w:line="360" w:lineRule="auto"/>
              <w:rPr>
                <w:rFonts w:hint="eastAsia" w:ascii="Times New Roman" w:hAnsi="Times New Roman" w:cs="宋体"/>
                <w:color w:val="auto"/>
                <w:sz w:val="24"/>
                <w:highlight w:val="none"/>
              </w:rPr>
            </w:pPr>
          </w:p>
        </w:tc>
        <w:tc>
          <w:tcPr>
            <w:tcW w:w="709" w:type="dxa"/>
            <w:noWrap w:val="0"/>
            <w:vAlign w:val="center"/>
          </w:tcPr>
          <w:p>
            <w:pPr>
              <w:spacing w:line="360" w:lineRule="auto"/>
              <w:jc w:val="center"/>
              <w:rPr>
                <w:rFonts w:hint="eastAsia" w:ascii="Times New Roman" w:hAnsi="Times New Roman" w:cs="宋体"/>
                <w:color w:val="auto"/>
                <w:sz w:val="24"/>
                <w:highlight w:val="none"/>
              </w:rPr>
            </w:pPr>
          </w:p>
        </w:tc>
        <w:tc>
          <w:tcPr>
            <w:tcW w:w="749" w:type="dxa"/>
            <w:noWrap w:val="0"/>
            <w:vAlign w:val="center"/>
          </w:tcPr>
          <w:p>
            <w:pPr>
              <w:spacing w:line="360" w:lineRule="auto"/>
              <w:jc w:val="center"/>
              <w:rPr>
                <w:rFonts w:hint="eastAsia" w:ascii="Times New Roman" w:hAnsi="Times New Roman" w:cs="宋体"/>
                <w:color w:val="auto"/>
                <w:sz w:val="24"/>
                <w:highlight w:val="none"/>
              </w:rPr>
            </w:pPr>
          </w:p>
        </w:tc>
        <w:tc>
          <w:tcPr>
            <w:tcW w:w="854"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856"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106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1</w:t>
            </w:r>
          </w:p>
        </w:tc>
        <w:tc>
          <w:tcPr>
            <w:tcW w:w="196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承包人建议书</w:t>
            </w:r>
          </w:p>
        </w:tc>
        <w:tc>
          <w:tcPr>
            <w:tcW w:w="97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A</w:t>
            </w:r>
          </w:p>
        </w:tc>
        <w:tc>
          <w:tcPr>
            <w:tcW w:w="709" w:type="dxa"/>
            <w:noWrap w:val="0"/>
            <w:vAlign w:val="center"/>
          </w:tcPr>
          <w:p>
            <w:pPr>
              <w:spacing w:line="360" w:lineRule="auto"/>
              <w:jc w:val="center"/>
              <w:rPr>
                <w:rFonts w:hint="eastAsia" w:ascii="Times New Roman" w:hAnsi="Times New Roman" w:cs="宋体"/>
                <w:color w:val="auto"/>
                <w:sz w:val="24"/>
                <w:highlight w:val="none"/>
              </w:rPr>
            </w:pPr>
          </w:p>
        </w:tc>
        <w:tc>
          <w:tcPr>
            <w:tcW w:w="749" w:type="dxa"/>
            <w:noWrap w:val="0"/>
            <w:vAlign w:val="center"/>
          </w:tcPr>
          <w:p>
            <w:pPr>
              <w:spacing w:line="360" w:lineRule="auto"/>
              <w:jc w:val="center"/>
              <w:rPr>
                <w:rFonts w:hint="eastAsia" w:ascii="Times New Roman" w:hAnsi="Times New Roman" w:cs="宋体"/>
                <w:color w:val="auto"/>
                <w:sz w:val="24"/>
                <w:highlight w:val="none"/>
              </w:rPr>
            </w:pPr>
          </w:p>
        </w:tc>
        <w:tc>
          <w:tcPr>
            <w:tcW w:w="854"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856"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106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41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2</w:t>
            </w:r>
          </w:p>
        </w:tc>
        <w:tc>
          <w:tcPr>
            <w:tcW w:w="196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资信业绩</w:t>
            </w:r>
          </w:p>
        </w:tc>
        <w:tc>
          <w:tcPr>
            <w:tcW w:w="97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B</w:t>
            </w:r>
          </w:p>
        </w:tc>
        <w:tc>
          <w:tcPr>
            <w:tcW w:w="709" w:type="dxa"/>
            <w:noWrap w:val="0"/>
            <w:vAlign w:val="center"/>
          </w:tcPr>
          <w:p>
            <w:pPr>
              <w:spacing w:line="360" w:lineRule="auto"/>
              <w:jc w:val="center"/>
              <w:rPr>
                <w:rFonts w:hint="eastAsia" w:ascii="Times New Roman" w:hAnsi="Times New Roman" w:cs="宋体"/>
                <w:color w:val="auto"/>
                <w:sz w:val="24"/>
                <w:highlight w:val="none"/>
              </w:rPr>
            </w:pPr>
          </w:p>
        </w:tc>
        <w:tc>
          <w:tcPr>
            <w:tcW w:w="749" w:type="dxa"/>
            <w:noWrap w:val="0"/>
            <w:vAlign w:val="center"/>
          </w:tcPr>
          <w:p>
            <w:pPr>
              <w:spacing w:line="360" w:lineRule="auto"/>
              <w:jc w:val="center"/>
              <w:rPr>
                <w:rFonts w:hint="eastAsia" w:ascii="Times New Roman" w:hAnsi="Times New Roman" w:cs="宋体"/>
                <w:color w:val="auto"/>
                <w:sz w:val="24"/>
                <w:highlight w:val="none"/>
              </w:rPr>
            </w:pPr>
          </w:p>
        </w:tc>
        <w:tc>
          <w:tcPr>
            <w:tcW w:w="854"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856"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106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pPr>
              <w:spacing w:line="360" w:lineRule="auto"/>
              <w:jc w:val="center"/>
              <w:rPr>
                <w:rFonts w:hint="eastAsia" w:ascii="Times New Roman" w:hAnsi="Times New Roman" w:cs="宋体"/>
                <w:color w:val="auto"/>
                <w:sz w:val="24"/>
                <w:highlight w:val="none"/>
              </w:rPr>
            </w:pPr>
          </w:p>
        </w:tc>
        <w:tc>
          <w:tcPr>
            <w:tcW w:w="196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承包人实施方案</w:t>
            </w:r>
          </w:p>
        </w:tc>
        <w:tc>
          <w:tcPr>
            <w:tcW w:w="97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C</w:t>
            </w:r>
          </w:p>
        </w:tc>
        <w:tc>
          <w:tcPr>
            <w:tcW w:w="709" w:type="dxa"/>
            <w:noWrap w:val="0"/>
            <w:vAlign w:val="center"/>
          </w:tcPr>
          <w:p>
            <w:pPr>
              <w:spacing w:line="360" w:lineRule="auto"/>
              <w:jc w:val="center"/>
              <w:rPr>
                <w:rFonts w:hint="eastAsia" w:ascii="Times New Roman" w:hAnsi="Times New Roman" w:cs="宋体"/>
                <w:color w:val="auto"/>
                <w:sz w:val="24"/>
                <w:highlight w:val="none"/>
              </w:rPr>
            </w:pPr>
          </w:p>
        </w:tc>
        <w:tc>
          <w:tcPr>
            <w:tcW w:w="749" w:type="dxa"/>
            <w:noWrap w:val="0"/>
            <w:vAlign w:val="center"/>
          </w:tcPr>
          <w:p>
            <w:pPr>
              <w:spacing w:line="360" w:lineRule="auto"/>
              <w:jc w:val="center"/>
              <w:rPr>
                <w:rFonts w:hint="eastAsia" w:ascii="Times New Roman" w:hAnsi="Times New Roman" w:cs="宋体"/>
                <w:color w:val="auto"/>
                <w:sz w:val="24"/>
                <w:highlight w:val="none"/>
              </w:rPr>
            </w:pPr>
          </w:p>
        </w:tc>
        <w:tc>
          <w:tcPr>
            <w:tcW w:w="854"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856"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106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3</w:t>
            </w:r>
          </w:p>
        </w:tc>
        <w:tc>
          <w:tcPr>
            <w:tcW w:w="196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投标报价</w:t>
            </w:r>
          </w:p>
        </w:tc>
        <w:tc>
          <w:tcPr>
            <w:tcW w:w="97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D</w:t>
            </w:r>
          </w:p>
        </w:tc>
        <w:tc>
          <w:tcPr>
            <w:tcW w:w="709" w:type="dxa"/>
            <w:noWrap w:val="0"/>
            <w:vAlign w:val="center"/>
          </w:tcPr>
          <w:p>
            <w:pPr>
              <w:spacing w:line="360" w:lineRule="auto"/>
              <w:jc w:val="center"/>
              <w:rPr>
                <w:rFonts w:hint="eastAsia" w:ascii="Times New Roman" w:hAnsi="Times New Roman" w:cs="宋体"/>
                <w:color w:val="auto"/>
                <w:sz w:val="24"/>
                <w:highlight w:val="none"/>
              </w:rPr>
            </w:pPr>
          </w:p>
        </w:tc>
        <w:tc>
          <w:tcPr>
            <w:tcW w:w="749" w:type="dxa"/>
            <w:noWrap w:val="0"/>
            <w:vAlign w:val="center"/>
          </w:tcPr>
          <w:p>
            <w:pPr>
              <w:spacing w:line="360" w:lineRule="auto"/>
              <w:jc w:val="center"/>
              <w:rPr>
                <w:rFonts w:hint="eastAsia" w:ascii="Times New Roman" w:hAnsi="Times New Roman" w:cs="宋体"/>
                <w:color w:val="auto"/>
                <w:sz w:val="24"/>
                <w:highlight w:val="none"/>
              </w:rPr>
            </w:pPr>
          </w:p>
        </w:tc>
        <w:tc>
          <w:tcPr>
            <w:tcW w:w="854"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856"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106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41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4</w:t>
            </w:r>
          </w:p>
        </w:tc>
        <w:tc>
          <w:tcPr>
            <w:tcW w:w="1965"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其他因素</w:t>
            </w:r>
          </w:p>
        </w:tc>
        <w:tc>
          <w:tcPr>
            <w:tcW w:w="97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E</w:t>
            </w:r>
          </w:p>
        </w:tc>
        <w:tc>
          <w:tcPr>
            <w:tcW w:w="709" w:type="dxa"/>
            <w:noWrap w:val="0"/>
            <w:vAlign w:val="center"/>
          </w:tcPr>
          <w:p>
            <w:pPr>
              <w:spacing w:line="360" w:lineRule="auto"/>
              <w:jc w:val="center"/>
              <w:rPr>
                <w:rFonts w:hint="eastAsia" w:ascii="Times New Roman" w:hAnsi="Times New Roman" w:cs="宋体"/>
                <w:color w:val="auto"/>
                <w:sz w:val="24"/>
                <w:highlight w:val="none"/>
              </w:rPr>
            </w:pPr>
          </w:p>
        </w:tc>
        <w:tc>
          <w:tcPr>
            <w:tcW w:w="749" w:type="dxa"/>
            <w:noWrap w:val="0"/>
            <w:vAlign w:val="center"/>
          </w:tcPr>
          <w:p>
            <w:pPr>
              <w:spacing w:line="360" w:lineRule="auto"/>
              <w:jc w:val="center"/>
              <w:rPr>
                <w:rFonts w:hint="eastAsia" w:ascii="Times New Roman" w:hAnsi="Times New Roman" w:cs="宋体"/>
                <w:color w:val="auto"/>
                <w:sz w:val="24"/>
                <w:highlight w:val="none"/>
              </w:rPr>
            </w:pPr>
          </w:p>
        </w:tc>
        <w:tc>
          <w:tcPr>
            <w:tcW w:w="854"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856"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1067"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3350" w:type="dxa"/>
            <w:gridSpan w:val="3"/>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详细评审得分合计</w:t>
            </w:r>
          </w:p>
        </w:tc>
        <w:tc>
          <w:tcPr>
            <w:tcW w:w="709" w:type="dxa"/>
            <w:noWrap w:val="0"/>
            <w:vAlign w:val="center"/>
          </w:tcPr>
          <w:p>
            <w:pPr>
              <w:spacing w:line="360" w:lineRule="auto"/>
              <w:jc w:val="center"/>
              <w:rPr>
                <w:rFonts w:hint="eastAsia" w:ascii="Times New Roman" w:hAnsi="Times New Roman" w:cs="宋体"/>
                <w:color w:val="auto"/>
                <w:sz w:val="24"/>
                <w:highlight w:val="none"/>
              </w:rPr>
            </w:pPr>
          </w:p>
        </w:tc>
        <w:tc>
          <w:tcPr>
            <w:tcW w:w="749" w:type="dxa"/>
            <w:noWrap w:val="0"/>
            <w:vAlign w:val="center"/>
          </w:tcPr>
          <w:p>
            <w:pPr>
              <w:spacing w:line="360" w:lineRule="auto"/>
              <w:jc w:val="center"/>
              <w:rPr>
                <w:rFonts w:hint="eastAsia" w:ascii="Times New Roman" w:hAnsi="Times New Roman" w:cs="宋体"/>
                <w:color w:val="auto"/>
                <w:sz w:val="24"/>
                <w:highlight w:val="none"/>
              </w:rPr>
            </w:pPr>
          </w:p>
        </w:tc>
        <w:tc>
          <w:tcPr>
            <w:tcW w:w="854"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856" w:type="dxa"/>
            <w:noWrap w:val="0"/>
            <w:vAlign w:val="center"/>
          </w:tcPr>
          <w:p>
            <w:pPr>
              <w:spacing w:line="360" w:lineRule="auto"/>
              <w:jc w:val="center"/>
              <w:rPr>
                <w:rFonts w:hint="eastAsia" w:ascii="Times New Roman" w:hAnsi="Times New Roman" w:cs="宋体"/>
                <w:color w:val="auto"/>
                <w:sz w:val="24"/>
                <w:highlight w:val="none"/>
              </w:rPr>
            </w:pPr>
          </w:p>
        </w:tc>
        <w:tc>
          <w:tcPr>
            <w:tcW w:w="974" w:type="dxa"/>
            <w:noWrap w:val="0"/>
            <w:vAlign w:val="center"/>
          </w:tcPr>
          <w:p>
            <w:pPr>
              <w:spacing w:line="360" w:lineRule="auto"/>
              <w:jc w:val="center"/>
              <w:rPr>
                <w:rFonts w:hint="eastAsia" w:ascii="Times New Roman" w:hAnsi="Times New Roman" w:cs="宋体"/>
                <w:color w:val="auto"/>
                <w:sz w:val="24"/>
                <w:highlight w:val="none"/>
              </w:rPr>
            </w:pPr>
          </w:p>
        </w:tc>
        <w:tc>
          <w:tcPr>
            <w:tcW w:w="1067" w:type="dxa"/>
            <w:noWrap w:val="0"/>
            <w:vAlign w:val="center"/>
          </w:tcPr>
          <w:p>
            <w:pPr>
              <w:spacing w:line="360" w:lineRule="auto"/>
              <w:jc w:val="center"/>
              <w:rPr>
                <w:rFonts w:hint="eastAsia" w:ascii="Times New Roman" w:hAnsi="Times New Roman" w:cs="宋体"/>
                <w:color w:val="auto"/>
                <w:sz w:val="24"/>
                <w:highlight w:val="none"/>
              </w:rPr>
            </w:pPr>
          </w:p>
        </w:tc>
      </w:tr>
    </w:tbl>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评标委员会成员签名：</w:t>
      </w:r>
    </w:p>
    <w:p>
      <w:pPr>
        <w:spacing w:line="360" w:lineRule="auto"/>
        <w:rPr>
          <w:rFonts w:hint="eastAsia" w:ascii="Times New Roman" w:hAnsi="Times New Roman" w:cs="宋体"/>
          <w:b/>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pPr>
        <w:pStyle w:val="3"/>
        <w:rPr>
          <w:rFonts w:hint="eastAsia" w:ascii="Times New Roman" w:hAnsi="Times New Roman" w:eastAsia="宋体" w:cs="宋体"/>
          <w:color w:val="auto"/>
          <w:sz w:val="24"/>
          <w:szCs w:val="24"/>
          <w:highlight w:val="none"/>
        </w:rPr>
      </w:pPr>
      <w:r>
        <w:rPr>
          <w:rFonts w:hint="eastAsia" w:ascii="Times New Roman" w:hAnsi="Times New Roman" w:eastAsia="宋体" w:cs="宋体"/>
          <w:color w:val="auto"/>
          <w:sz w:val="24"/>
          <w:szCs w:val="24"/>
          <w:highlight w:val="none"/>
        </w:rPr>
        <w:t>附表12：评标结果汇总表</w:t>
      </w:r>
    </w:p>
    <w:p>
      <w:pPr>
        <w:spacing w:line="360" w:lineRule="auto"/>
        <w:jc w:val="center"/>
        <w:rPr>
          <w:rFonts w:hint="eastAsia" w:ascii="Times New Roman" w:hAnsi="Times New Roman" w:cs="宋体"/>
          <w:b/>
          <w:color w:val="auto"/>
          <w:sz w:val="24"/>
          <w:highlight w:val="none"/>
        </w:rPr>
      </w:pPr>
      <w:r>
        <w:rPr>
          <w:rFonts w:hint="eastAsia" w:ascii="Times New Roman" w:hAnsi="Times New Roman" w:cs="宋体"/>
          <w:b/>
          <w:color w:val="auto"/>
          <w:sz w:val="24"/>
          <w:highlight w:val="none"/>
        </w:rPr>
        <w:t>评标结果汇总表</w:t>
      </w:r>
    </w:p>
    <w:p>
      <w:pPr>
        <w:spacing w:line="360" w:lineRule="auto"/>
        <w:jc w:val="center"/>
        <w:rPr>
          <w:rFonts w:hint="eastAsia" w:ascii="Times New Roman" w:hAnsi="Times New Roman" w:cs="宋体"/>
          <w:b/>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工程名称：</w:t>
      </w:r>
      <w:r>
        <w:rPr>
          <w:rFonts w:hint="eastAsia" w:ascii="Times New Roman" w:hAnsi="Times New Roman" w:cs="宋体"/>
          <w:bCs/>
          <w:color w:val="auto"/>
          <w:sz w:val="24"/>
          <w:highlight w:val="none"/>
        </w:rPr>
        <w:t>______（项目名称）设计施工总承包_______标段</w:t>
      </w:r>
    </w:p>
    <w:tbl>
      <w:tblPr>
        <w:tblStyle w:val="20"/>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590"/>
        <w:gridCol w:w="1019"/>
        <w:gridCol w:w="1019"/>
        <w:gridCol w:w="1019"/>
        <w:gridCol w:w="1019"/>
        <w:gridCol w:w="1019"/>
        <w:gridCol w:w="1019"/>
        <w:gridCol w:w="101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restart"/>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评标委员会成员</w:t>
            </w:r>
          </w:p>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姓名</w:t>
            </w:r>
          </w:p>
        </w:tc>
        <w:tc>
          <w:tcPr>
            <w:tcW w:w="7132" w:type="dxa"/>
            <w:gridSpan w:val="7"/>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投标人名称及其得分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vMerge w:val="continue"/>
            <w:noWrap w:val="0"/>
            <w:vAlign w:val="center"/>
          </w:tcPr>
          <w:p>
            <w:pPr>
              <w:spacing w:line="360" w:lineRule="auto"/>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590" w:type="dxa"/>
            <w:noWrap w:val="0"/>
            <w:vAlign w:val="center"/>
          </w:tcPr>
          <w:p>
            <w:pPr>
              <w:spacing w:line="360" w:lineRule="auto"/>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2590" w:type="dxa"/>
            <w:noWrap w:val="0"/>
            <w:vAlign w:val="center"/>
          </w:tcPr>
          <w:p>
            <w:pPr>
              <w:spacing w:line="360" w:lineRule="auto"/>
              <w:ind w:firstLine="960" w:firstLineChars="4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得分合计</w:t>
            </w: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得分平均值</w:t>
            </w: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8" w:type="dxa"/>
            <w:noWrap w:val="0"/>
            <w:vAlign w:val="center"/>
          </w:tcPr>
          <w:p>
            <w:pPr>
              <w:spacing w:line="360" w:lineRule="auto"/>
              <w:jc w:val="center"/>
              <w:rPr>
                <w:rFonts w:hint="eastAsia" w:ascii="Times New Roman" w:hAnsi="Times New Roman" w:cs="宋体"/>
                <w:color w:val="auto"/>
                <w:sz w:val="24"/>
                <w:highlight w:val="none"/>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590" w:type="dxa"/>
            <w:noWrap w:val="0"/>
            <w:vAlign w:val="center"/>
          </w:tcPr>
          <w:p>
            <w:pPr>
              <w:spacing w:line="360" w:lineRule="auto"/>
              <w:ind w:right="-25" w:rightChars="-12"/>
              <w:jc w:val="center"/>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投标人排序</w:t>
            </w: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9" w:type="dxa"/>
            <w:noWrap w:val="0"/>
            <w:vAlign w:val="center"/>
          </w:tcPr>
          <w:p>
            <w:pPr>
              <w:spacing w:line="360" w:lineRule="auto"/>
              <w:jc w:val="center"/>
              <w:rPr>
                <w:rFonts w:hint="eastAsia" w:ascii="Times New Roman" w:hAnsi="Times New Roman" w:cs="宋体"/>
                <w:color w:val="auto"/>
                <w:sz w:val="24"/>
                <w:highlight w:val="none"/>
              </w:rPr>
            </w:pPr>
          </w:p>
        </w:tc>
        <w:tc>
          <w:tcPr>
            <w:tcW w:w="1018" w:type="dxa"/>
            <w:noWrap w:val="0"/>
            <w:vAlign w:val="center"/>
          </w:tcPr>
          <w:p>
            <w:pPr>
              <w:spacing w:line="360" w:lineRule="auto"/>
              <w:jc w:val="center"/>
              <w:rPr>
                <w:rFonts w:hint="eastAsia" w:ascii="Times New Roman" w:hAnsi="Times New Roman" w:cs="宋体"/>
                <w:color w:val="auto"/>
                <w:sz w:val="24"/>
                <w:highlight w:val="none"/>
              </w:rPr>
            </w:pPr>
          </w:p>
        </w:tc>
      </w:tr>
    </w:tbl>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评标委员会全体成员签名：</w:t>
      </w:r>
    </w:p>
    <w:p>
      <w:pPr>
        <w:spacing w:line="400" w:lineRule="exact"/>
        <w:ind w:firstLine="420" w:firstLineChars="200"/>
        <w:rPr>
          <w:color w:val="auto"/>
          <w:highlight w:val="none"/>
        </w:rPr>
      </w:pPr>
    </w:p>
    <w:p>
      <w:pPr>
        <w:spacing w:line="400" w:lineRule="exact"/>
        <w:rPr>
          <w:rFonts w:hint="eastAsia"/>
          <w:color w:val="auto"/>
          <w:highlight w:val="none"/>
        </w:rPr>
      </w:pPr>
      <w:r>
        <w:rPr>
          <w:color w:val="auto"/>
          <w:highlight w:val="none"/>
        </w:rPr>
        <w:br w:type="page"/>
      </w:r>
    </w:p>
    <w:p>
      <w:pPr>
        <w:pStyle w:val="2"/>
        <w:numPr>
          <w:ilvl w:val="0"/>
          <w:numId w:val="7"/>
        </w:numPr>
        <w:jc w:val="center"/>
        <w:rPr>
          <w:rFonts w:hint="eastAsia" w:ascii="Times New Roman" w:hAnsi="Times New Roman" w:cs="宋体"/>
          <w:bCs w:val="0"/>
          <w:color w:val="auto"/>
          <w:sz w:val="32"/>
          <w:szCs w:val="32"/>
          <w:highlight w:val="none"/>
        </w:rPr>
      </w:pPr>
      <w:bookmarkStart w:id="420" w:name="_Toc144974577"/>
      <w:bookmarkStart w:id="421" w:name="_Toc247514033"/>
      <w:bookmarkStart w:id="422" w:name="_Toc152042387"/>
      <w:bookmarkStart w:id="423" w:name="_Toc247527634"/>
      <w:bookmarkStart w:id="424" w:name="_Toc300835030"/>
      <w:bookmarkStart w:id="425" w:name="_Toc152045609"/>
      <w:r>
        <w:rPr>
          <w:rFonts w:hint="eastAsia" w:ascii="Times New Roman" w:hAnsi="Times New Roman" w:cs="宋体"/>
          <w:bCs w:val="0"/>
          <w:color w:val="auto"/>
          <w:sz w:val="32"/>
          <w:szCs w:val="32"/>
          <w:highlight w:val="none"/>
        </w:rPr>
        <w:t>合同条款及格式</w:t>
      </w:r>
      <w:bookmarkEnd w:id="420"/>
      <w:bookmarkEnd w:id="421"/>
      <w:bookmarkEnd w:id="422"/>
      <w:bookmarkEnd w:id="423"/>
      <w:bookmarkEnd w:id="424"/>
      <w:bookmarkEnd w:id="425"/>
      <w:bookmarkStart w:id="426" w:name="_Toc184635097"/>
      <w:bookmarkStart w:id="427" w:name="_Toc152042388"/>
      <w:bookmarkStart w:id="428" w:name="_Toc152045610"/>
      <w:bookmarkStart w:id="429" w:name="_Toc247527635"/>
      <w:bookmarkStart w:id="430" w:name="_Toc144974578"/>
      <w:bookmarkStart w:id="431" w:name="_Toc247514034"/>
    </w:p>
    <w:p>
      <w:pPr>
        <w:rPr>
          <w:rFonts w:hint="eastAsia"/>
          <w:color w:val="auto"/>
          <w:sz w:val="28"/>
          <w:szCs w:val="28"/>
          <w:highlight w:val="none"/>
        </w:rPr>
      </w:pPr>
      <w:r>
        <w:rPr>
          <w:rFonts w:hint="eastAsia" w:ascii="Times New Roman" w:hAnsi="Times New Roman" w:eastAsia="仿宋_GB2312" w:cs="仿宋_GB2312"/>
          <w:color w:val="auto"/>
          <w:sz w:val="28"/>
          <w:szCs w:val="28"/>
          <w:highlight w:val="none"/>
        </w:rPr>
        <w:t>GF-2020-0216</w:t>
      </w:r>
    </w:p>
    <w:p>
      <w:pPr>
        <w:ind w:firstLine="3920" w:firstLineChars="1400"/>
        <w:rPr>
          <w:rFonts w:hint="eastAsia" w:ascii="Times New Roman" w:hAnsi="Times New Roman" w:eastAsia="方正小标宋简体" w:cs="方正小标宋简体"/>
          <w:bCs/>
          <w:color w:val="auto"/>
          <w:sz w:val="48"/>
          <w:szCs w:val="48"/>
          <w:highlight w:val="none"/>
        </w:rPr>
      </w:pPr>
      <w:bookmarkStart w:id="432" w:name="_Toc54862164"/>
      <w:r>
        <w:rPr>
          <w:rFonts w:hint="eastAsia" w:ascii="Times New Roman" w:hAnsi="Times New Roman" w:eastAsia="仿宋_GB2312" w:cs="仿宋_GB2312"/>
          <w:color w:val="auto"/>
          <w:sz w:val="28"/>
          <w:szCs w:val="28"/>
          <w:highlight w:val="none"/>
        </w:rPr>
        <w:t>合同编号：</w:t>
      </w:r>
      <w:r>
        <w:rPr>
          <w:rFonts w:hint="eastAsia" w:ascii="Times New Roman" w:hAnsi="Times New Roman" w:eastAsia="仿宋_GB2312" w:cs="仿宋_GB2312"/>
          <w:color w:val="auto"/>
          <w:sz w:val="28"/>
          <w:szCs w:val="28"/>
          <w:highlight w:val="none"/>
          <w:u w:val="single"/>
        </w:rPr>
        <w:t xml:space="preserve">           </w:t>
      </w: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52"/>
          <w:szCs w:val="52"/>
          <w:highlight w:val="none"/>
        </w:rPr>
      </w:pPr>
      <w:r>
        <w:rPr>
          <w:rFonts w:hint="eastAsia"/>
          <w:b/>
          <w:bCs/>
          <w:color w:val="auto"/>
          <w:sz w:val="52"/>
          <w:szCs w:val="52"/>
          <w:highlight w:val="none"/>
        </w:rPr>
        <w:t xml:space="preserve"> 建设项目工程总承包合同</w:t>
      </w: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rFonts w:hint="eastAsia"/>
          <w:b/>
          <w:bCs/>
          <w:color w:val="auto"/>
          <w:sz w:val="32"/>
          <w:szCs w:val="32"/>
          <w:highlight w:val="none"/>
        </w:rPr>
      </w:pPr>
    </w:p>
    <w:p>
      <w:pPr>
        <w:spacing w:line="360" w:lineRule="auto"/>
        <w:ind w:right="2182" w:rightChars="1039"/>
        <w:jc w:val="distribute"/>
        <w:rPr>
          <w:b/>
          <w:bCs/>
          <w:color w:val="auto"/>
          <w:sz w:val="32"/>
          <w:szCs w:val="32"/>
          <w:highlight w:val="none"/>
        </w:rPr>
      </w:pPr>
      <w:r>
        <w:rPr>
          <w:b/>
          <w:bCs/>
          <w:color w:val="auto"/>
          <w:sz w:val="32"/>
          <w:szCs w:val="32"/>
          <w:highlight w:val="none"/>
        </w:rPr>
        <mc:AlternateContent>
          <mc:Choice Requires="wps">
            <w:drawing>
              <wp:anchor distT="0" distB="0" distL="114300" distR="114300" simplePos="0" relativeHeight="251659264" behindDoc="0" locked="0" layoutInCell="1" allowOverlap="1">
                <wp:simplePos x="0" y="0"/>
                <wp:positionH relativeFrom="column">
                  <wp:posOffset>3987800</wp:posOffset>
                </wp:positionH>
                <wp:positionV relativeFrom="paragraph">
                  <wp:posOffset>150495</wp:posOffset>
                </wp:positionV>
                <wp:extent cx="754380" cy="354965"/>
                <wp:effectExtent l="0" t="0" r="7620" b="10795"/>
                <wp:wrapNone/>
                <wp:docPr id="1" name="文本框 2"/>
                <wp:cNvGraphicFramePr/>
                <a:graphic xmlns:a="http://schemas.openxmlformats.org/drawingml/2006/main">
                  <a:graphicData uri="http://schemas.microsoft.com/office/word/2010/wordprocessingShape">
                    <wps:wsp>
                      <wps:cNvSpPr txBox="true"/>
                      <wps:spPr>
                        <a:xfrm>
                          <a:off x="0" y="0"/>
                          <a:ext cx="754380" cy="354965"/>
                        </a:xfrm>
                        <a:prstGeom prst="rect">
                          <a:avLst/>
                        </a:prstGeom>
                        <a:solidFill>
                          <a:srgbClr val="FFFFFF"/>
                        </a:solidFill>
                        <a:ln>
                          <a:noFill/>
                        </a:ln>
                      </wps:spPr>
                      <wps:txbx>
                        <w:txbxContent>
                          <w:p>
                            <w:pPr>
                              <w:jc w:val="center"/>
                              <w:rPr>
                                <w:b/>
                                <w:bCs/>
                                <w:sz w:val="32"/>
                                <w:szCs w:val="32"/>
                              </w:rPr>
                            </w:pPr>
                            <w:r>
                              <w:rPr>
                                <w:rFonts w:hint="eastAsia"/>
                                <w:b/>
                                <w:bCs/>
                                <w:sz w:val="32"/>
                                <w:szCs w:val="32"/>
                              </w:rPr>
                              <w:t>制定</w:t>
                            </w:r>
                          </w:p>
                        </w:txbxContent>
                      </wps:txbx>
                      <wps:bodyPr wrap="square" upright="true">
                        <a:spAutoFit/>
                      </wps:bodyPr>
                    </wps:wsp>
                  </a:graphicData>
                </a:graphic>
                <wp14:sizeRelH relativeFrom="page">
                  <wp14:pctWidth>0</wp14:pctWidth>
                </wp14:sizeRelH>
                <wp14:sizeRelV relativeFrom="margin">
                  <wp14:pctHeight>20000</wp14:pctHeight>
                </wp14:sizeRelV>
              </wp:anchor>
            </w:drawing>
          </mc:Choice>
          <mc:Fallback>
            <w:pict>
              <v:shape id="文本框 2" o:spid="_x0000_s1026" o:spt="202" type="#_x0000_t202" style="position:absolute;left:0pt;margin-left:314pt;margin-top:11.85pt;height:27.95pt;width:59.4pt;z-index:251659264;mso-width-relative:page;mso-height-relative:margin;mso-height-percent:200;" fillcolor="#FFFFFF" filled="t" stroked="f" coordsize="21600,21600" o:gfxdata="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FgAAAGRycy9QSwECFAAUAAAACACHTuJA0iq73tgAAAAJAQAADwAAAAAAAAABACAA&#10;AAA4AAAAZHJzL2Rvd25yZXYueG1sUEsBAhQAFAAAAAgAh07iQACr/2O+AQAAVgMAAA4AAAAAAAAA&#10;AQAgAAAAPQEAAGRycy9lMm9Eb2MueG1sUEsFBgAAAAAGAAYAWQEAAG0FAAAAAA==&#10;">
                <v:fill on="t" focussize="0,0"/>
                <v:stroke on="f"/>
                <v:imagedata o:title=""/>
                <o:lock v:ext="edit" aspectratio="f"/>
                <v:textbox style="mso-fit-shape-to-text:t;">
                  <w:txbxContent>
                    <w:p>
                      <w:pPr>
                        <w:jc w:val="center"/>
                        <w:rPr>
                          <w:b/>
                          <w:bCs/>
                          <w:sz w:val="32"/>
                          <w:szCs w:val="32"/>
                        </w:rPr>
                      </w:pPr>
                      <w:r>
                        <w:rPr>
                          <w:rFonts w:hint="eastAsia"/>
                          <w:b/>
                          <w:bCs/>
                          <w:sz w:val="32"/>
                          <w:szCs w:val="32"/>
                        </w:rPr>
                        <w:t>制定</w:t>
                      </w:r>
                    </w:p>
                  </w:txbxContent>
                </v:textbox>
              </v:shape>
            </w:pict>
          </mc:Fallback>
        </mc:AlternateContent>
      </w:r>
      <w:r>
        <w:rPr>
          <w:rFonts w:hint="eastAsia"/>
          <w:b/>
          <w:bCs/>
          <w:color w:val="auto"/>
          <w:sz w:val="32"/>
          <w:szCs w:val="32"/>
          <w:highlight w:val="none"/>
        </w:rPr>
        <w:t>中华人民共和国</w:t>
      </w:r>
      <w:r>
        <w:rPr>
          <w:b/>
          <w:bCs/>
          <w:color w:val="auto"/>
          <w:sz w:val="32"/>
          <w:szCs w:val="32"/>
          <w:highlight w:val="none"/>
        </w:rPr>
        <w:t>住房</w:t>
      </w:r>
      <w:r>
        <w:rPr>
          <w:rFonts w:hint="eastAsia"/>
          <w:b/>
          <w:bCs/>
          <w:color w:val="auto"/>
          <w:sz w:val="32"/>
          <w:szCs w:val="32"/>
          <w:highlight w:val="none"/>
        </w:rPr>
        <w:t>和</w:t>
      </w:r>
      <w:r>
        <w:rPr>
          <w:b/>
          <w:bCs/>
          <w:color w:val="auto"/>
          <w:sz w:val="32"/>
          <w:szCs w:val="32"/>
          <w:highlight w:val="none"/>
        </w:rPr>
        <w:t>城乡建设部</w:t>
      </w:r>
    </w:p>
    <w:p>
      <w:pPr>
        <w:spacing w:line="360" w:lineRule="auto"/>
        <w:ind w:right="2182" w:rightChars="1039"/>
        <w:jc w:val="distribute"/>
        <w:rPr>
          <w:rFonts w:ascii="Times New Roman" w:hAnsi="Times New Roman"/>
          <w:b/>
          <w:bCs/>
          <w:color w:val="auto"/>
          <w:sz w:val="32"/>
          <w:szCs w:val="32"/>
          <w:highlight w:val="none"/>
        </w:rPr>
        <w:sectPr>
          <w:footerReference r:id="rId9" w:type="first"/>
          <w:footerReference r:id="rId7" w:type="default"/>
          <w:footerReference r:id="rId8" w:type="even"/>
          <w:pgSz w:w="11906" w:h="16838"/>
          <w:pgMar w:top="1440" w:right="1800" w:bottom="1440" w:left="1800" w:header="720" w:footer="998" w:gutter="0"/>
          <w:pgBorders>
            <w:top w:val="none" w:sz="0" w:space="0"/>
            <w:left w:val="none" w:sz="0" w:space="0"/>
            <w:bottom w:val="none" w:sz="0" w:space="0"/>
            <w:right w:val="none" w:sz="0" w:space="0"/>
          </w:pgBorders>
          <w:pgNumType w:start="60"/>
          <w:cols w:space="720" w:num="1"/>
          <w:titlePg/>
          <w:docGrid w:linePitch="326" w:charSpace="0"/>
        </w:sectPr>
      </w:pPr>
      <w:r>
        <w:rPr>
          <w:rFonts w:hint="eastAsia"/>
          <w:b/>
          <w:color w:val="auto"/>
          <w:sz w:val="32"/>
          <w:szCs w:val="28"/>
          <w:highlight w:val="none"/>
        </w:rPr>
        <w:t>国家</w:t>
      </w:r>
      <w:r>
        <w:rPr>
          <w:rFonts w:hint="eastAsia"/>
          <w:b/>
          <w:bCs/>
          <w:color w:val="auto"/>
          <w:sz w:val="32"/>
          <w:szCs w:val="32"/>
          <w:highlight w:val="none"/>
        </w:rPr>
        <w:t>市场监</w:t>
      </w:r>
      <w:r>
        <w:rPr>
          <w:rFonts w:hint="eastAsia"/>
          <w:b/>
          <w:color w:val="auto"/>
          <w:sz w:val="32"/>
          <w:szCs w:val="28"/>
          <w:highlight w:val="none"/>
        </w:rPr>
        <w:t>督</w:t>
      </w:r>
      <w:r>
        <w:rPr>
          <w:rFonts w:hint="eastAsia"/>
          <w:b/>
          <w:bCs/>
          <w:color w:val="auto"/>
          <w:sz w:val="32"/>
          <w:szCs w:val="32"/>
          <w:highlight w:val="none"/>
        </w:rPr>
        <w:t>管理</w:t>
      </w:r>
      <w:r>
        <w:rPr>
          <w:b/>
          <w:bCs/>
          <w:color w:val="auto"/>
          <w:sz w:val="32"/>
          <w:szCs w:val="32"/>
          <w:highlight w:val="none"/>
        </w:rPr>
        <w:t>总局</w:t>
      </w:r>
    </w:p>
    <w:p>
      <w:pPr>
        <w:pStyle w:val="51"/>
        <w:keepNext w:val="0"/>
        <w:keepLines w:val="0"/>
        <w:widowControl/>
        <w:adjustRightInd w:val="0"/>
        <w:snapToGrid w:val="0"/>
        <w:spacing w:before="0" w:after="50" w:line="360" w:lineRule="auto"/>
        <w:jc w:val="center"/>
        <w:rPr>
          <w:rFonts w:hint="eastAsia" w:ascii="Times New Roman" w:hAnsi="Times New Roman" w:cs="宋体"/>
          <w:color w:val="auto"/>
          <w:sz w:val="28"/>
          <w:szCs w:val="28"/>
          <w:highlight w:val="none"/>
        </w:rPr>
      </w:pPr>
      <w:r>
        <w:rPr>
          <w:rFonts w:hint="eastAsia" w:ascii="Times New Roman" w:hAnsi="Times New Roman" w:cs="宋体"/>
          <w:color w:val="auto"/>
          <w:sz w:val="28"/>
          <w:szCs w:val="28"/>
          <w:highlight w:val="none"/>
        </w:rPr>
        <w:t>第一部分 合同协议书</w:t>
      </w:r>
      <w:bookmarkEnd w:id="432"/>
    </w:p>
    <w:p>
      <w:pPr>
        <w:spacing w:line="360" w:lineRule="auto"/>
        <w:rPr>
          <w:rFonts w:hint="eastAsia" w:ascii="Times New Roman" w:hAnsi="Times New Roman" w:cs="宋体"/>
          <w:color w:val="auto"/>
          <w:szCs w:val="21"/>
          <w:highlight w:val="none"/>
          <w:u w:val="single"/>
        </w:rPr>
      </w:pPr>
      <w:r>
        <w:rPr>
          <w:rFonts w:hint="eastAsia" w:ascii="Times New Roman" w:hAnsi="Times New Roman" w:cs="宋体"/>
          <w:color w:val="auto"/>
          <w:szCs w:val="21"/>
          <w:highlight w:val="none"/>
        </w:rPr>
        <w:t>发包人（全称）：</w:t>
      </w:r>
      <w:r>
        <w:rPr>
          <w:rFonts w:hint="eastAsia" w:ascii="Times New Roman" w:hAnsi="Times New Roman" w:cs="宋体"/>
          <w:color w:val="auto"/>
          <w:szCs w:val="21"/>
          <w:highlight w:val="none"/>
          <w:u w:val="single"/>
        </w:rPr>
        <w:t xml:space="preserve">                                    </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承包人（全称）：</w:t>
      </w:r>
      <w:r>
        <w:rPr>
          <w:rFonts w:hint="eastAsia" w:ascii="Times New Roman" w:hAnsi="Times New Roman" w:cs="宋体"/>
          <w:color w:val="auto"/>
          <w:szCs w:val="21"/>
          <w:highlight w:val="none"/>
          <w:u w:val="single"/>
        </w:rPr>
        <w:t xml:space="preserve">                                    </w:t>
      </w:r>
    </w:p>
    <w:p>
      <w:pPr>
        <w:spacing w:line="360" w:lineRule="auto"/>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根据《中华人民共和国民法典》、《中华人民共和国建筑法》及有关法律规定，遵循平等、自愿、公平和诚实信用的原则，双方就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项目的工程总承包及有关事项协商一致，共同达成如下协议：</w:t>
      </w:r>
    </w:p>
    <w:p>
      <w:pPr>
        <w:pStyle w:val="44"/>
        <w:numPr>
          <w:ilvl w:val="0"/>
          <w:numId w:val="0"/>
        </w:numPr>
        <w:rPr>
          <w:rFonts w:hint="eastAsia" w:ascii="Times New Roman" w:hAnsi="Times New Roman" w:cs="宋体"/>
          <w:bCs w:val="0"/>
          <w:color w:val="auto"/>
          <w:sz w:val="21"/>
          <w:szCs w:val="21"/>
          <w:highlight w:val="none"/>
        </w:rPr>
      </w:pPr>
      <w:bookmarkStart w:id="433" w:name="_Toc54862165"/>
      <w:r>
        <w:rPr>
          <w:rFonts w:hint="eastAsia" w:ascii="Times New Roman" w:hAnsi="Times New Roman" w:cs="宋体"/>
          <w:bCs w:val="0"/>
          <w:color w:val="auto"/>
          <w:sz w:val="21"/>
          <w:szCs w:val="21"/>
          <w:highlight w:val="none"/>
        </w:rPr>
        <w:t>一、工程概况</w:t>
      </w:r>
      <w:bookmarkEnd w:id="433"/>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工程名称：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工程地点：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工程审批、核准或备案文号：</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资金来源：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工程内容及规模：</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工程承包范围：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4"/>
        <w:numPr>
          <w:ilvl w:val="0"/>
          <w:numId w:val="0"/>
        </w:numPr>
        <w:rPr>
          <w:rFonts w:hint="eastAsia" w:ascii="Times New Roman" w:hAnsi="Times New Roman" w:cs="宋体"/>
          <w:bCs w:val="0"/>
          <w:color w:val="auto"/>
          <w:sz w:val="21"/>
          <w:szCs w:val="21"/>
          <w:highlight w:val="none"/>
        </w:rPr>
      </w:pPr>
      <w:bookmarkStart w:id="434" w:name="_Toc54862166"/>
      <w:r>
        <w:rPr>
          <w:rFonts w:hint="eastAsia" w:ascii="Times New Roman" w:hAnsi="Times New Roman" w:cs="宋体"/>
          <w:bCs w:val="0"/>
          <w:color w:val="auto"/>
          <w:sz w:val="21"/>
          <w:szCs w:val="21"/>
          <w:highlight w:val="none"/>
        </w:rPr>
        <w:t>二、合同工期</w:t>
      </w:r>
      <w:bookmarkEnd w:id="434"/>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计划开始工作日期：</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计划开始现场施工日期：</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计划竣工日期：</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工期总日历天数：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天，工期总日历天数与根据前述计划日期计算的工期天数不一致的，以工期总日历天数为准。</w:t>
      </w:r>
    </w:p>
    <w:p>
      <w:pPr>
        <w:pStyle w:val="44"/>
        <w:numPr>
          <w:ilvl w:val="0"/>
          <w:numId w:val="0"/>
        </w:numPr>
        <w:rPr>
          <w:rFonts w:hint="eastAsia" w:ascii="Times New Roman" w:hAnsi="Times New Roman" w:cs="宋体"/>
          <w:bCs w:val="0"/>
          <w:color w:val="auto"/>
          <w:sz w:val="21"/>
          <w:szCs w:val="21"/>
          <w:highlight w:val="none"/>
        </w:rPr>
      </w:pPr>
      <w:bookmarkStart w:id="435" w:name="_Toc54862167"/>
      <w:r>
        <w:rPr>
          <w:rFonts w:hint="eastAsia" w:ascii="Times New Roman" w:hAnsi="Times New Roman" w:cs="宋体"/>
          <w:bCs w:val="0"/>
          <w:color w:val="auto"/>
          <w:sz w:val="21"/>
          <w:szCs w:val="21"/>
          <w:highlight w:val="none"/>
        </w:rPr>
        <w:t>三、质量标准</w:t>
      </w:r>
      <w:bookmarkEnd w:id="435"/>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工程质量标准：</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4"/>
        <w:numPr>
          <w:ilvl w:val="0"/>
          <w:numId w:val="0"/>
        </w:numPr>
        <w:rPr>
          <w:rFonts w:hint="eastAsia" w:ascii="Times New Roman" w:hAnsi="Times New Roman" w:cs="宋体"/>
          <w:bCs w:val="0"/>
          <w:color w:val="auto"/>
          <w:sz w:val="21"/>
          <w:szCs w:val="21"/>
          <w:highlight w:val="none"/>
        </w:rPr>
      </w:pPr>
      <w:bookmarkStart w:id="436" w:name="_Toc54862168"/>
      <w:r>
        <w:rPr>
          <w:rFonts w:hint="eastAsia" w:ascii="Times New Roman" w:hAnsi="Times New Roman" w:cs="宋体"/>
          <w:bCs w:val="0"/>
          <w:color w:val="auto"/>
          <w:sz w:val="21"/>
          <w:szCs w:val="21"/>
          <w:highlight w:val="none"/>
        </w:rPr>
        <w:t>四、签约合同价与合同价格形式</w:t>
      </w:r>
      <w:bookmarkEnd w:id="436"/>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签约合同价（含税）为：</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人民币（大写)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具体构成详见价格清单。其中： </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设计费（含税）：</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人民币（大写)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元）；适用税率：</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%，税金为人民币（大写)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元）； </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设备购置费（含税）：</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人民币（大写)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元）；适用税率：</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%，税金为人民币（大写)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元）； </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建筑安装工程费（含税）：</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元）；适用税率：</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%，税金为人民币（大写)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 xml:space="preserve">元）； </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暂估价（含税）：</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暂列金额（含税）：</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双方约定的其他费用（含税）：</w:t>
      </w:r>
    </w:p>
    <w:p>
      <w:pPr>
        <w:spacing w:line="360" w:lineRule="auto"/>
        <w:jc w:val="lef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元）；适用税率：</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%，税金为人民币（大写)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元）。</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合同价格形式：</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合同价格形式为总价合同，除根据合同约定的在工程实施过程中需进行增减的款项外，合同价格不予调整，但合同当事人另有约定的除外。</w:t>
      </w:r>
    </w:p>
    <w:p>
      <w:pPr>
        <w:kinsoku w:val="0"/>
        <w:spacing w:line="360" w:lineRule="auto"/>
        <w:jc w:val="left"/>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合同当事人对合同价格形式的其他约定：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4"/>
        <w:numPr>
          <w:ilvl w:val="0"/>
          <w:numId w:val="0"/>
        </w:numPr>
        <w:rPr>
          <w:rFonts w:hint="eastAsia" w:ascii="Times New Roman" w:hAnsi="Times New Roman" w:cs="宋体"/>
          <w:bCs w:val="0"/>
          <w:color w:val="auto"/>
          <w:sz w:val="21"/>
          <w:szCs w:val="21"/>
          <w:highlight w:val="none"/>
        </w:rPr>
      </w:pPr>
      <w:bookmarkStart w:id="437" w:name="_Toc54862169"/>
      <w:r>
        <w:rPr>
          <w:rFonts w:hint="eastAsia" w:ascii="Times New Roman" w:hAnsi="Times New Roman" w:cs="宋体"/>
          <w:bCs w:val="0"/>
          <w:color w:val="auto"/>
          <w:sz w:val="21"/>
          <w:szCs w:val="21"/>
          <w:highlight w:val="none"/>
        </w:rPr>
        <w:t>五、工程总承包项目经理</w:t>
      </w:r>
      <w:bookmarkEnd w:id="437"/>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工程总承包项目经理：</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4"/>
        <w:numPr>
          <w:ilvl w:val="0"/>
          <w:numId w:val="0"/>
        </w:numPr>
        <w:rPr>
          <w:rFonts w:hint="eastAsia" w:ascii="Times New Roman" w:hAnsi="Times New Roman" w:cs="宋体"/>
          <w:bCs w:val="0"/>
          <w:color w:val="auto"/>
          <w:sz w:val="21"/>
          <w:szCs w:val="21"/>
          <w:highlight w:val="none"/>
        </w:rPr>
      </w:pPr>
      <w:bookmarkStart w:id="438" w:name="_Toc54862170"/>
      <w:r>
        <w:rPr>
          <w:rFonts w:hint="eastAsia" w:ascii="Times New Roman" w:hAnsi="Times New Roman" w:cs="宋体"/>
          <w:bCs w:val="0"/>
          <w:color w:val="auto"/>
          <w:sz w:val="21"/>
          <w:szCs w:val="21"/>
          <w:highlight w:val="none"/>
        </w:rPr>
        <w:t>六、合同文件构成</w:t>
      </w:r>
      <w:bookmarkEnd w:id="438"/>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本协议书与下列文件一起构成合同文件： </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中标通知书（如果有）；</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投标函及投标函附录（如果有）；</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专用合同条件及《发包人要求》等附件；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通用合同条件；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（5） 承包人建议书； </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价格清单；</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双方约定的其他合同文件。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上述各项合同文件包括双方就该项合同文件所作出的补充和修改，属于同一类内容的合同文件应以最新签署的为准。专用合同条件及其附件须经合同当事人签字或盖章。</w:t>
      </w:r>
    </w:p>
    <w:p>
      <w:pPr>
        <w:pStyle w:val="44"/>
        <w:numPr>
          <w:ilvl w:val="0"/>
          <w:numId w:val="0"/>
        </w:numPr>
        <w:rPr>
          <w:rFonts w:hint="eastAsia" w:ascii="Times New Roman" w:hAnsi="Times New Roman" w:cs="宋体"/>
          <w:bCs w:val="0"/>
          <w:color w:val="auto"/>
          <w:sz w:val="21"/>
          <w:szCs w:val="21"/>
          <w:highlight w:val="none"/>
        </w:rPr>
      </w:pPr>
      <w:bookmarkStart w:id="439" w:name="_Toc54862171"/>
      <w:r>
        <w:rPr>
          <w:rFonts w:hint="eastAsia" w:ascii="Times New Roman" w:hAnsi="Times New Roman" w:cs="宋体"/>
          <w:bCs w:val="0"/>
          <w:color w:val="auto"/>
          <w:sz w:val="21"/>
          <w:szCs w:val="21"/>
          <w:highlight w:val="none"/>
        </w:rPr>
        <w:t>七、承诺</w:t>
      </w:r>
      <w:bookmarkEnd w:id="439"/>
    </w:p>
    <w:p>
      <w:pPr>
        <w:spacing w:line="360" w:lineRule="auto"/>
        <w:ind w:firstLine="210" w:firstLineChars="1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发包人承诺按照法律规定履行项目审批手续、筹集工程建设资金并按照合同约定的期限和方式支付合同价款。</w:t>
      </w:r>
    </w:p>
    <w:p>
      <w:pPr>
        <w:spacing w:line="360" w:lineRule="auto"/>
        <w:ind w:firstLine="210" w:firstLineChars="1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承包人承诺按照法律规定及合同约定组织完成工程的设计、采购和施工等工作，确保工程质量和安全，不进行转包及违法分包，并在缺陷责任期及保修期内承担相应的工程维修责任。</w:t>
      </w:r>
    </w:p>
    <w:p>
      <w:pPr>
        <w:pStyle w:val="44"/>
        <w:numPr>
          <w:ilvl w:val="0"/>
          <w:numId w:val="0"/>
        </w:numPr>
        <w:rPr>
          <w:rFonts w:hint="eastAsia" w:ascii="Times New Roman" w:hAnsi="Times New Roman" w:cs="宋体"/>
          <w:bCs w:val="0"/>
          <w:color w:val="auto"/>
          <w:sz w:val="21"/>
          <w:szCs w:val="21"/>
          <w:highlight w:val="none"/>
        </w:rPr>
      </w:pPr>
      <w:bookmarkStart w:id="440" w:name="_Toc54862172"/>
      <w:r>
        <w:rPr>
          <w:rFonts w:hint="eastAsia" w:ascii="Times New Roman" w:hAnsi="Times New Roman" w:cs="宋体"/>
          <w:bCs w:val="0"/>
          <w:color w:val="auto"/>
          <w:sz w:val="21"/>
          <w:szCs w:val="21"/>
          <w:highlight w:val="none"/>
        </w:rPr>
        <w:t>八、订立时间</w:t>
      </w:r>
      <w:bookmarkEnd w:id="440"/>
    </w:p>
    <w:p>
      <w:pPr>
        <w:spacing w:line="360" w:lineRule="auto"/>
        <w:ind w:firstLine="210" w:firstLineChars="1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月</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日订立。</w:t>
      </w:r>
    </w:p>
    <w:p>
      <w:pPr>
        <w:pStyle w:val="44"/>
        <w:numPr>
          <w:ilvl w:val="0"/>
          <w:numId w:val="0"/>
        </w:numPr>
        <w:rPr>
          <w:rFonts w:hint="eastAsia" w:ascii="Times New Roman" w:hAnsi="Times New Roman" w:cs="宋体"/>
          <w:bCs w:val="0"/>
          <w:color w:val="auto"/>
          <w:sz w:val="21"/>
          <w:szCs w:val="21"/>
          <w:highlight w:val="none"/>
        </w:rPr>
      </w:pPr>
      <w:bookmarkStart w:id="441" w:name="_Toc54862173"/>
      <w:r>
        <w:rPr>
          <w:rFonts w:hint="eastAsia" w:ascii="Times New Roman" w:hAnsi="Times New Roman" w:cs="宋体"/>
          <w:bCs w:val="0"/>
          <w:color w:val="auto"/>
          <w:sz w:val="21"/>
          <w:szCs w:val="21"/>
          <w:highlight w:val="none"/>
        </w:rPr>
        <w:t>九、订立地点</w:t>
      </w:r>
      <w:bookmarkEnd w:id="441"/>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本合同在</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订立。</w:t>
      </w:r>
    </w:p>
    <w:p>
      <w:pPr>
        <w:pStyle w:val="44"/>
        <w:numPr>
          <w:ilvl w:val="0"/>
          <w:numId w:val="0"/>
        </w:numPr>
        <w:rPr>
          <w:rFonts w:hint="eastAsia" w:ascii="Times New Roman" w:hAnsi="Times New Roman" w:cs="宋体"/>
          <w:bCs w:val="0"/>
          <w:color w:val="auto"/>
          <w:sz w:val="21"/>
          <w:szCs w:val="21"/>
          <w:highlight w:val="none"/>
        </w:rPr>
      </w:pPr>
      <w:bookmarkStart w:id="442" w:name="_Toc54862174"/>
      <w:r>
        <w:rPr>
          <w:rFonts w:hint="eastAsia" w:ascii="Times New Roman" w:hAnsi="Times New Roman" w:cs="宋体"/>
          <w:bCs w:val="0"/>
          <w:color w:val="auto"/>
          <w:sz w:val="21"/>
          <w:szCs w:val="21"/>
          <w:highlight w:val="none"/>
        </w:rPr>
        <w:t>十、合同生效</w:t>
      </w:r>
      <w:bookmarkEnd w:id="442"/>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本合同经双方签字或盖章后成立，并自</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生效。</w:t>
      </w:r>
    </w:p>
    <w:p>
      <w:pPr>
        <w:pStyle w:val="44"/>
        <w:numPr>
          <w:ilvl w:val="0"/>
          <w:numId w:val="0"/>
        </w:numPr>
        <w:rPr>
          <w:rFonts w:hint="eastAsia" w:ascii="Times New Roman" w:hAnsi="Times New Roman" w:cs="宋体"/>
          <w:bCs w:val="0"/>
          <w:color w:val="auto"/>
          <w:sz w:val="21"/>
          <w:szCs w:val="21"/>
          <w:highlight w:val="none"/>
        </w:rPr>
      </w:pPr>
      <w:bookmarkStart w:id="443" w:name="_Toc54862175"/>
      <w:r>
        <w:rPr>
          <w:rFonts w:hint="eastAsia" w:ascii="Times New Roman" w:hAnsi="Times New Roman" w:cs="宋体"/>
          <w:bCs w:val="0"/>
          <w:color w:val="auto"/>
          <w:sz w:val="21"/>
          <w:szCs w:val="21"/>
          <w:highlight w:val="none"/>
        </w:rPr>
        <w:t>十一、合同份数</w:t>
      </w:r>
      <w:bookmarkEnd w:id="443"/>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本合同一式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份，均具有同等法律效力，发包人执</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份，承包人执</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份。</w:t>
      </w:r>
    </w:p>
    <w:p>
      <w:pPr>
        <w:spacing w:line="360" w:lineRule="auto"/>
        <w:ind w:firstLine="600"/>
        <w:rPr>
          <w:rFonts w:hint="eastAsia" w:ascii="Times New Roman" w:hAnsi="Times New Roman" w:cs="宋体"/>
          <w:color w:val="auto"/>
          <w:szCs w:val="21"/>
          <w:highlight w:val="none"/>
        </w:rPr>
      </w:pPr>
    </w:p>
    <w:p>
      <w:pPr>
        <w:spacing w:line="360" w:lineRule="auto"/>
        <w:ind w:firstLine="600"/>
        <w:rPr>
          <w:rFonts w:hint="eastAsia" w:ascii="Times New Roman" w:hAnsi="Times New Roman" w:cs="宋体"/>
          <w:color w:val="auto"/>
          <w:szCs w:val="21"/>
          <w:highlight w:val="none"/>
        </w:rPr>
      </w:pPr>
    </w:p>
    <w:tbl>
      <w:tblPr>
        <w:tblStyle w:val="20"/>
        <w:tblpPr w:leftFromText="180" w:rightFromText="180" w:vertAnchor="text" w:horzAnchor="page" w:tblpX="1702" w:tblpY="119"/>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noWrap w:val="0"/>
            <w:vAlign w:val="top"/>
          </w:tcPr>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发包人：（公章）</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tc>
        <w:tc>
          <w:tcPr>
            <w:tcW w:w="4565" w:type="dxa"/>
            <w:noWrap w:val="0"/>
            <w:vAlign w:val="top"/>
          </w:tcPr>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承包人：（公章）</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tc>
      </w:tr>
      <w:tr>
        <w:tblPrEx>
          <w:tblCellMar>
            <w:top w:w="0" w:type="dxa"/>
            <w:left w:w="108" w:type="dxa"/>
            <w:bottom w:w="0" w:type="dxa"/>
            <w:right w:w="108" w:type="dxa"/>
          </w:tblCellMar>
        </w:tblPrEx>
        <w:tc>
          <w:tcPr>
            <w:tcW w:w="4507" w:type="dxa"/>
            <w:noWrap w:val="0"/>
            <w:vAlign w:val="top"/>
          </w:tcPr>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法定代表人或其委托代理人：</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（签字）</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tc>
        <w:tc>
          <w:tcPr>
            <w:tcW w:w="4565" w:type="dxa"/>
            <w:noWrap w:val="0"/>
            <w:vAlign w:val="top"/>
          </w:tcPr>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法定代表人或其委托代理人：</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（签字）</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p>
        </w:tc>
      </w:tr>
      <w:tr>
        <w:tblPrEx>
          <w:tblCellMar>
            <w:top w:w="0" w:type="dxa"/>
            <w:left w:w="108" w:type="dxa"/>
            <w:bottom w:w="0" w:type="dxa"/>
            <w:right w:w="108" w:type="dxa"/>
          </w:tblCellMar>
        </w:tblPrEx>
        <w:tc>
          <w:tcPr>
            <w:tcW w:w="4507" w:type="dxa"/>
            <w:noWrap w:val="0"/>
            <w:vAlign w:val="top"/>
          </w:tcPr>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统一社会信用代码：</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地址：</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邮政编码：</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法定代表人：</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委托代理人：</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电话：</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 xml:space="preserve">传真： </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电子信箱：</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开户银行：</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账号：</w:t>
            </w:r>
            <w:r>
              <w:rPr>
                <w:rFonts w:hint="eastAsia" w:ascii="Times New Roman" w:hAnsi="Times New Roman" w:cs="宋体"/>
                <w:color w:val="auto"/>
                <w:kern w:val="0"/>
                <w:sz w:val="21"/>
                <w:szCs w:val="21"/>
                <w:highlight w:val="none"/>
                <w:u w:val="single"/>
              </w:rPr>
              <w:t xml:space="preserve">                       </w:t>
            </w:r>
          </w:p>
        </w:tc>
        <w:tc>
          <w:tcPr>
            <w:tcW w:w="4565" w:type="dxa"/>
            <w:noWrap w:val="0"/>
            <w:vAlign w:val="top"/>
          </w:tcPr>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统一社会信用代码：</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地址：</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邮政编码：</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法定代表人：</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委托代理人：</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电话：</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传真：</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电子信箱：</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开户银行：</w:t>
            </w:r>
            <w:r>
              <w:rPr>
                <w:rFonts w:hint="eastAsia" w:ascii="Times New Roman" w:hAnsi="Times New Roman" w:cs="宋体"/>
                <w:color w:val="auto"/>
                <w:kern w:val="0"/>
                <w:sz w:val="21"/>
                <w:szCs w:val="21"/>
                <w:highlight w:val="none"/>
                <w:u w:val="single"/>
              </w:rPr>
              <w:t xml:space="preserve">                   </w:t>
            </w:r>
          </w:p>
          <w:p>
            <w:pPr>
              <w:pStyle w:val="42"/>
              <w:framePr w:hSpace="0" w:wrap="auto" w:vAnchor="margin" w:hAnchor="text" w:yAlign="inline"/>
              <w:spacing w:after="50" w:line="360" w:lineRule="auto"/>
              <w:rPr>
                <w:rFonts w:hint="eastAsia" w:ascii="Times New Roman" w:hAnsi="Times New Roman" w:cs="宋体"/>
                <w:color w:val="auto"/>
                <w:sz w:val="21"/>
                <w:szCs w:val="21"/>
                <w:highlight w:val="none"/>
              </w:rPr>
            </w:pPr>
            <w:r>
              <w:rPr>
                <w:rFonts w:hint="eastAsia" w:ascii="Times New Roman" w:hAnsi="Times New Roman" w:cs="宋体"/>
                <w:color w:val="auto"/>
                <w:sz w:val="21"/>
                <w:szCs w:val="21"/>
                <w:highlight w:val="none"/>
              </w:rPr>
              <w:t>账号：</w:t>
            </w:r>
            <w:r>
              <w:rPr>
                <w:rFonts w:hint="eastAsia" w:ascii="Times New Roman" w:hAnsi="Times New Roman" w:cs="宋体"/>
                <w:color w:val="auto"/>
                <w:sz w:val="21"/>
                <w:szCs w:val="21"/>
                <w:highlight w:val="none"/>
                <w:u w:val="single"/>
              </w:rPr>
              <w:t xml:space="preserve">                       </w:t>
            </w:r>
          </w:p>
        </w:tc>
      </w:tr>
    </w:tbl>
    <w:p>
      <w:pPr>
        <w:spacing w:line="360" w:lineRule="auto"/>
        <w:rPr>
          <w:rFonts w:ascii="Times New Roman" w:hAnsi="Times New Roman"/>
          <w:color w:val="auto"/>
          <w:highlight w:val="none"/>
        </w:rPr>
        <w:sectPr>
          <w:footerReference r:id="rId10" w:type="default"/>
          <w:pgSz w:w="11906" w:h="16838"/>
          <w:pgMar w:top="1440" w:right="1800" w:bottom="1440" w:left="1800" w:header="720" w:footer="850" w:gutter="0"/>
          <w:pgBorders>
            <w:top w:val="none" w:sz="0" w:space="0"/>
            <w:left w:val="none" w:sz="0" w:space="0"/>
            <w:bottom w:val="none" w:sz="0" w:space="0"/>
            <w:right w:val="none" w:sz="0" w:space="0"/>
          </w:pgBorders>
          <w:cols w:space="720" w:num="1"/>
          <w:docGrid w:linePitch="326" w:charSpace="0"/>
        </w:sectPr>
      </w:pPr>
      <w:r>
        <w:rPr>
          <w:color w:val="auto"/>
          <w:highlight w:val="none"/>
        </w:rPr>
        <w:tab/>
      </w:r>
    </w:p>
    <w:p>
      <w:pPr>
        <w:pStyle w:val="51"/>
        <w:keepNext w:val="0"/>
        <w:keepLines w:val="0"/>
        <w:widowControl/>
        <w:adjustRightInd w:val="0"/>
        <w:snapToGrid w:val="0"/>
        <w:spacing w:before="0" w:after="50" w:line="360" w:lineRule="auto"/>
        <w:jc w:val="center"/>
        <w:rPr>
          <w:rFonts w:hint="eastAsia" w:ascii="Times New Roman" w:hAnsi="Times New Roman" w:cs="宋体"/>
          <w:color w:val="auto"/>
          <w:sz w:val="28"/>
          <w:szCs w:val="28"/>
          <w:highlight w:val="none"/>
        </w:rPr>
      </w:pPr>
      <w:bookmarkStart w:id="444" w:name="_Toc54862176"/>
      <w:r>
        <w:rPr>
          <w:rFonts w:hint="eastAsia" w:ascii="Times New Roman" w:hAnsi="Times New Roman" w:cs="宋体"/>
          <w:color w:val="auto"/>
          <w:sz w:val="28"/>
          <w:szCs w:val="28"/>
          <w:highlight w:val="none"/>
        </w:rPr>
        <w:t>第二部分 通用合同条件</w:t>
      </w:r>
      <w:bookmarkEnd w:id="444"/>
    </w:p>
    <w:p>
      <w:pPr>
        <w:pStyle w:val="49"/>
        <w:numPr>
          <w:ilvl w:val="0"/>
          <w:numId w:val="0"/>
        </w:numPr>
        <w:rPr>
          <w:rFonts w:hint="eastAsia" w:ascii="Times New Roman" w:hAnsi="Times New Roman" w:eastAsia="宋体" w:cs="宋体"/>
          <w:bCs w:val="0"/>
          <w:color w:val="auto"/>
          <w:sz w:val="21"/>
          <w:szCs w:val="21"/>
          <w:highlight w:val="none"/>
        </w:rPr>
      </w:pPr>
      <w:bookmarkStart w:id="445" w:name="_Toc54862177"/>
      <w:bookmarkStart w:id="446" w:name="_Ref508893699"/>
      <w:bookmarkStart w:id="447" w:name="_Ref509040831"/>
      <w:bookmarkStart w:id="448" w:name="_Ref509040826"/>
      <w:r>
        <w:rPr>
          <w:rFonts w:hint="eastAsia" w:ascii="Times New Roman" w:hAnsi="Times New Roman" w:eastAsia="宋体" w:cs="宋体"/>
          <w:bCs w:val="0"/>
          <w:color w:val="auto"/>
          <w:sz w:val="21"/>
          <w:szCs w:val="21"/>
          <w:highlight w:val="none"/>
        </w:rPr>
        <w:t>第1条 一般约定</w:t>
      </w:r>
      <w:bookmarkEnd w:id="445"/>
      <w:bookmarkEnd w:id="446"/>
    </w:p>
    <w:p>
      <w:pPr>
        <w:pStyle w:val="54"/>
        <w:widowControl/>
        <w:numPr>
          <w:ilvl w:val="0"/>
          <w:numId w:val="0"/>
        </w:numPr>
        <w:rPr>
          <w:rFonts w:hint="eastAsia" w:ascii="Times New Roman" w:hAnsi="Times New Roman" w:eastAsia="宋体" w:cs="宋体"/>
          <w:b w:val="0"/>
          <w:bCs/>
          <w:color w:val="auto"/>
          <w:sz w:val="21"/>
          <w:szCs w:val="21"/>
          <w:highlight w:val="none"/>
        </w:rPr>
      </w:pPr>
      <w:bookmarkStart w:id="449" w:name="_Toc54862178"/>
      <w:bookmarkStart w:id="450" w:name="_Ref523741474"/>
      <w:bookmarkStart w:id="451" w:name="_Ref523741471"/>
      <w:r>
        <w:rPr>
          <w:rFonts w:hint="eastAsia" w:ascii="Times New Roman" w:hAnsi="Times New Roman" w:eastAsia="宋体" w:cs="宋体"/>
          <w:b w:val="0"/>
          <w:bCs/>
          <w:color w:val="auto"/>
          <w:sz w:val="21"/>
          <w:szCs w:val="21"/>
          <w:highlight w:val="none"/>
        </w:rPr>
        <w:t>1.1 词语定义和解释</w:t>
      </w:r>
      <w:bookmarkEnd w:id="447"/>
      <w:bookmarkEnd w:id="448"/>
      <w:bookmarkEnd w:id="449"/>
      <w:bookmarkEnd w:id="450"/>
      <w:bookmarkEnd w:id="45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合同协议书、通用合同条件、专用合同条件中的下列词语应具有本款所赋予的含义：</w:t>
      </w:r>
    </w:p>
    <w:p>
      <w:pPr>
        <w:pStyle w:val="37"/>
        <w:numPr>
          <w:ilvl w:val="0"/>
          <w:numId w:val="0"/>
        </w:numPr>
        <w:rPr>
          <w:rFonts w:hint="eastAsia" w:ascii="Times New Roman" w:hAnsi="Times New Roman" w:cs="宋体"/>
          <w:color w:val="auto"/>
          <w:sz w:val="21"/>
          <w:highlight w:val="none"/>
        </w:rPr>
      </w:pPr>
      <w:bookmarkStart w:id="452" w:name="_Ref4757289"/>
      <w:bookmarkStart w:id="453" w:name="_Ref521288340"/>
      <w:r>
        <w:rPr>
          <w:rFonts w:hint="eastAsia" w:ascii="Times New Roman" w:hAnsi="Times New Roman" w:cs="宋体"/>
          <w:color w:val="auto"/>
          <w:sz w:val="21"/>
          <w:highlight w:val="none"/>
        </w:rPr>
        <w:t>1.1.1 合同</w:t>
      </w:r>
      <w:bookmarkEnd w:id="452"/>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1.1.1.1 合同：是指根据法律规定和合同当事人约定具有约束力的文件，构成合同的文件包括合同协议书、中标通知书（如果有）、投标函及其附录（如果有）、专用合同条件及其附件、通用合同条件、《发包人要求》、承包人建议书、价格清单以及双方约定的其他合同文件。</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1.1.1.2 合同协议书：是指构成合同的由发包人和承包人共同签署的称为“合同协议书”的书面文件。</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1.1.1.3 中标通知书：是指构成合同的由发包人通知承包人中标的书面文件。中标通知书随附的澄清、说明、补正事项纪要等，是中标通知书的组成部分。</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1.1.1.4 投标函：是指构成合同的由承包人填写并签署的用于投标的称为“投标函”的文件。</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1.1.1.5 投标函附录：是指构成合同的附在投标函后的称为“投标函附录”的文件。</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1.1.1.6 《发包人要求》：指构成合同文件组成部分的名为《发包人要求》的文件，其中列明工程的目的、范围、设计与其他技术标准和要求，以及合同双方当事人约定对其所作的修改或补充。</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1.1.1.7 项目清单：是指发包人提供的载明工程总承包项目勘察费（如果有）、设计费、建筑安装工程费、设备购置费、暂估价、暂列金额和双方约定的其他费用的名称和相应数量等内容的项目明细。</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1.1.1.8 价格清单：指构成合同文件组成部分的由承包人按发包人提供的项目清单规定的格式和要求填写并标明价格的清单。</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1.1.1.9 承包人建议书：指构成合同文件组成部分的名为承包人建议书的文件。承包人建议书由承包人随投标函一起提交。</w:t>
      </w:r>
    </w:p>
    <w:p>
      <w:pPr>
        <w:pStyle w:val="45"/>
        <w:numPr>
          <w:ilvl w:val="0"/>
          <w:numId w:val="0"/>
        </w:numPr>
        <w:rPr>
          <w:rFonts w:hint="eastAsia" w:ascii="Times New Roman" w:hAnsi="Times New Roman" w:cs="宋体"/>
          <w:color w:val="auto"/>
          <w:sz w:val="21"/>
          <w:highlight w:val="none"/>
        </w:rPr>
      </w:pPr>
      <w:bookmarkStart w:id="454" w:name="_Ref4415300"/>
      <w:r>
        <w:rPr>
          <w:rFonts w:hint="eastAsia" w:ascii="Times New Roman" w:hAnsi="Times New Roman" w:cs="宋体"/>
          <w:color w:val="auto"/>
          <w:sz w:val="21"/>
          <w:highlight w:val="none"/>
        </w:rPr>
        <w:t>1.1.1.10 其他合同文件：是指经合同当事人约定的与工程实施有关的具有合同约束力的文件或书面协议。合同当事人可以在专用合同条件中进行约定。</w:t>
      </w:r>
      <w:bookmarkEnd w:id="454"/>
    </w:p>
    <w:p>
      <w:pPr>
        <w:pStyle w:val="37"/>
        <w:numPr>
          <w:ilvl w:val="0"/>
          <w:numId w:val="0"/>
        </w:numPr>
        <w:rPr>
          <w:rFonts w:hint="eastAsia" w:ascii="Times New Roman" w:hAnsi="Times New Roman" w:cs="宋体"/>
          <w:color w:val="auto"/>
          <w:sz w:val="21"/>
          <w:highlight w:val="none"/>
        </w:rPr>
      </w:pPr>
      <w:bookmarkStart w:id="455" w:name="_Ref4757418"/>
      <w:r>
        <w:rPr>
          <w:rFonts w:hint="eastAsia" w:ascii="Times New Roman" w:hAnsi="Times New Roman" w:cs="宋体"/>
          <w:color w:val="auto"/>
          <w:sz w:val="21"/>
          <w:highlight w:val="none"/>
        </w:rPr>
        <w:t>1.1.2 合同当事人及其他相关方</w:t>
      </w:r>
      <w:bookmarkEnd w:id="455"/>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1.1.2.1 合同当事人：是指发包人和（或）承包人。</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1.1.2.2 发包人：是指与承包人订立合同协议书的当事人及取得该当事人资格的合法继受人。本合同中“因发包人原因”里的“发包人”包括发包人及所有发包人人员。</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1.1.2.3 承包人：是指与发包人订立合同协议书的当事人及取得该当事人资格的合法继受人。</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1.1.2.4 联合体：是指经发包人同意由两个或两个以上法人或者其他组织组成的，作为承包人的临时机构。</w:t>
      </w:r>
    </w:p>
    <w:p>
      <w:pPr>
        <w:pStyle w:val="45"/>
        <w:numPr>
          <w:ilvl w:val="0"/>
          <w:numId w:val="0"/>
        </w:numPr>
        <w:rPr>
          <w:rFonts w:hint="eastAsia" w:ascii="Times New Roman" w:hAnsi="Times New Roman" w:cs="宋体"/>
          <w:color w:val="auto"/>
          <w:sz w:val="21"/>
          <w:highlight w:val="none"/>
        </w:rPr>
      </w:pPr>
      <w:bookmarkStart w:id="456" w:name="_Ref4420046"/>
      <w:r>
        <w:rPr>
          <w:rFonts w:hint="eastAsia" w:ascii="Times New Roman" w:hAnsi="Times New Roman" w:cs="宋体"/>
          <w:color w:val="auto"/>
          <w:sz w:val="21"/>
          <w:highlight w:val="none"/>
        </w:rPr>
        <w:t>1.1.2.5 发包人代表：是指由发包人任命并派驻工作现场，在发包人授权范围内行使发包人权利和履行发包人义务的人。</w:t>
      </w:r>
    </w:p>
    <w:p>
      <w:pPr>
        <w:pStyle w:val="45"/>
        <w:numPr>
          <w:ilvl w:val="0"/>
          <w:numId w:val="0"/>
        </w:numPr>
        <w:rPr>
          <w:rFonts w:hint="eastAsia" w:ascii="Times New Roman" w:hAnsi="Times New Roman" w:cs="宋体"/>
          <w:color w:val="auto"/>
          <w:sz w:val="21"/>
          <w:highlight w:val="none"/>
        </w:rPr>
      </w:pPr>
      <w:bookmarkStart w:id="457" w:name="_Ref4756982"/>
      <w:r>
        <w:rPr>
          <w:rFonts w:hint="eastAsia" w:ascii="Times New Roman" w:hAnsi="Times New Roman" w:cs="宋体"/>
          <w:color w:val="auto"/>
          <w:sz w:val="21"/>
          <w:highlight w:val="none"/>
        </w:rPr>
        <w:t>1.1.2.6 工程师：是指在专用合同条件中指明的，受发包人委托按照法律规定和发包人的授权进行合同履行管理、工程监督管理等工作的法人或其他组织；该法人或其他组织应雇用一名具有相应执业资格和职业能力的自然人作为工程师代表，并授予其根据本合同代表工程师行事的权利。</w:t>
      </w:r>
      <w:bookmarkEnd w:id="456"/>
      <w:bookmarkEnd w:id="457"/>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1.1.2.7 工程总承包项目经理：是指由承包人任命的，在承包人授权范围内负责合同履行的管理，且按照法律规定具有相应资格的项目负责人。</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1.1.2.8 设计负责人：是指承包人指定负责组织、指导、协调设计工作并具有相应资格的人员。</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1.1.2.9 采购负责人：是指承包人指定负责组织、指导、协调采购工作的人员。</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1.1.2.10 施工负责人：是指承包人指定负责组织、指导、协调施工工作并具有相应资格的人员。</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1.1.2.11 分包人：是指按照法律规定和合同约定，分包部分工程或工作，并与承包人订立分包合同的具有相应资质或资格的法人或其他组织。</w:t>
      </w:r>
    </w:p>
    <w:p>
      <w:pPr>
        <w:pStyle w:val="37"/>
        <w:numPr>
          <w:ilvl w:val="0"/>
          <w:numId w:val="0"/>
        </w:numPr>
        <w:rPr>
          <w:rFonts w:hint="eastAsia" w:ascii="Times New Roman" w:hAnsi="Times New Roman" w:cs="宋体"/>
          <w:color w:val="auto"/>
          <w:sz w:val="21"/>
          <w:highlight w:val="none"/>
        </w:rPr>
      </w:pPr>
      <w:bookmarkStart w:id="458" w:name="_Ref4758319"/>
      <w:r>
        <w:rPr>
          <w:rFonts w:hint="eastAsia" w:ascii="Times New Roman" w:hAnsi="Times New Roman" w:cs="宋体"/>
          <w:color w:val="auto"/>
          <w:sz w:val="21"/>
          <w:highlight w:val="none"/>
        </w:rPr>
        <w:t>1.1.3 工程和设备</w:t>
      </w:r>
      <w:bookmarkEnd w:id="458"/>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1.1.3.1 工程：是指与合同协议书中工程承包范围对应的永久工程和（或）临时工程。</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1.1.3.2 工程实施：是指进行工程的设计、采购、施工和竣工以及对工程任何缺陷的修复。</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1.1.3.3 永久工程：是指按合同约定建造并移交给发包人的工程，包括工程设备。</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1.1.3.4 临时工程：是指为完成合同约定的永久工程所修建的各类临时性工程，不包括施工设备。</w:t>
      </w:r>
    </w:p>
    <w:p>
      <w:pPr>
        <w:pStyle w:val="45"/>
        <w:numPr>
          <w:ilvl w:val="0"/>
          <w:numId w:val="0"/>
        </w:numPr>
        <w:rPr>
          <w:rFonts w:hint="eastAsia" w:ascii="Times New Roman" w:hAnsi="Times New Roman" w:cs="宋体"/>
          <w:color w:val="auto"/>
          <w:sz w:val="21"/>
          <w:highlight w:val="none"/>
        </w:rPr>
      </w:pPr>
      <w:bookmarkStart w:id="459" w:name="_Ref4419825"/>
      <w:r>
        <w:rPr>
          <w:rFonts w:hint="eastAsia" w:ascii="Times New Roman" w:hAnsi="Times New Roman" w:cs="宋体"/>
          <w:color w:val="auto"/>
          <w:sz w:val="21"/>
          <w:highlight w:val="none"/>
        </w:rPr>
        <w:t>1.1.3.5 单位/区段工程：是指在专用合同条件中指明特定范围的，能单独接收并使用的永久工程。</w:t>
      </w:r>
      <w:bookmarkEnd w:id="459"/>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1.1.3.6 工程设备：指构成永久工程的机电设备、仪器装置、运载工具及其他类似的设备和装置，包括其配件及备品、备件、易损易耗件等。</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1.1.3.7 施工设备：指为完成合同约定的各项工作所需的设备、器具和其他物品，不包括工程设备、临时工程和材料。</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1.1.3.8 临时设施：指为完成合同约定的各项工作所服务的临时性生产和生活设施。</w:t>
      </w:r>
    </w:p>
    <w:p>
      <w:pPr>
        <w:pStyle w:val="45"/>
        <w:numPr>
          <w:ilvl w:val="0"/>
          <w:numId w:val="0"/>
        </w:numPr>
        <w:rPr>
          <w:rFonts w:hint="eastAsia" w:ascii="Times New Roman" w:hAnsi="Times New Roman" w:cs="宋体"/>
          <w:color w:val="auto"/>
          <w:sz w:val="21"/>
          <w:highlight w:val="none"/>
        </w:rPr>
      </w:pPr>
      <w:bookmarkStart w:id="460" w:name="_Ref4420577"/>
      <w:r>
        <w:rPr>
          <w:rFonts w:hint="eastAsia" w:ascii="Times New Roman" w:hAnsi="Times New Roman" w:cs="宋体"/>
          <w:color w:val="auto"/>
          <w:sz w:val="21"/>
          <w:highlight w:val="none"/>
        </w:rPr>
        <w:t>1.1.3.9 施工现场：是指用于工程施工的场所，以及在专用合同条件中指明作为施工场所组成部分的其他场所，包括永久占地和临时占地。</w:t>
      </w:r>
      <w:bookmarkEnd w:id="460"/>
    </w:p>
    <w:p>
      <w:pPr>
        <w:pStyle w:val="45"/>
        <w:numPr>
          <w:ilvl w:val="0"/>
          <w:numId w:val="0"/>
        </w:numPr>
        <w:rPr>
          <w:rFonts w:hint="eastAsia" w:ascii="Times New Roman" w:hAnsi="Times New Roman" w:cs="宋体"/>
          <w:color w:val="auto"/>
          <w:sz w:val="21"/>
          <w:highlight w:val="none"/>
        </w:rPr>
      </w:pPr>
      <w:bookmarkStart w:id="461" w:name="_Ref4420746"/>
      <w:r>
        <w:rPr>
          <w:rFonts w:hint="eastAsia" w:ascii="Times New Roman" w:hAnsi="Times New Roman" w:cs="宋体"/>
          <w:color w:val="auto"/>
          <w:sz w:val="21"/>
          <w:highlight w:val="none"/>
        </w:rPr>
        <w:t>1.1.3.10 永久占地：是指专用合同条件中指明为实施工程需永久占用的土地。</w:t>
      </w:r>
      <w:bookmarkEnd w:id="461"/>
    </w:p>
    <w:p>
      <w:pPr>
        <w:pStyle w:val="45"/>
        <w:numPr>
          <w:ilvl w:val="0"/>
          <w:numId w:val="0"/>
        </w:numPr>
        <w:rPr>
          <w:rFonts w:hint="eastAsia" w:ascii="Times New Roman" w:hAnsi="Times New Roman" w:cs="宋体"/>
          <w:color w:val="auto"/>
          <w:sz w:val="21"/>
          <w:highlight w:val="none"/>
        </w:rPr>
      </w:pPr>
      <w:bookmarkStart w:id="462" w:name="_Ref4420821"/>
      <w:r>
        <w:rPr>
          <w:rFonts w:hint="eastAsia" w:ascii="Times New Roman" w:hAnsi="Times New Roman" w:cs="宋体"/>
          <w:color w:val="auto"/>
          <w:sz w:val="21"/>
          <w:highlight w:val="none"/>
        </w:rPr>
        <w:t>1.1.3.11 临时占地：是指专用合同条件中指明为实施工程需临时占用的土地。</w:t>
      </w:r>
      <w:bookmarkEnd w:id="462"/>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 日期和期限</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1.1.4.1 开始工作通知：指工程师按第8.1.2项[开始工作通知]的约定通知承包人开始工作的函件。</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1.1.4.2 开始工作日期：包括计划开始工作日期和实际开始工作日期。计划开始工作日期是指合同协议书约定的开始工作日期；实际开始工作日期是指工程师按照第8.1款[开始工作]约定发出的符合法律规定的开始工作通知中载明的开始工作日期。</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1.1.4.3 开始现场施工日期：包括计划开始现场施工日期和实际开始现场施工日期。计划开始现场施工日期是指合同协议书约定的开始现场施工日期；实际开始现场施工日期是指工程师发出的符合法律规定的开工通知中载明的开始现场施工日期。</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1.1.4.4 竣工日期：包括计划竣工日期和实际竣工日期。计划竣工日期是指合同协议书约定的竣工日期；实际竣工日期按照第8.2款[竣工日期]的约定确定。</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1.1.4.5 工期：是指在合同协议书约定的承包人完成合同工作所需的期限，包括按照合同约定所作的期限变更及按合同约定承包人有权取得的工期延长。</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1.1.4.6 缺陷责任期：是指发包人预留工程质量保证金以保证承包人履行第11.3款[缺陷调查]下质量缺陷责任的期限。</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1.1.4.7 保修期：是指承包人按照合同约定和法律规定对工程质量承担保修责任的期限，该期限自缺陷责任期起算之日起计算。</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1.1.4.8 基准日期：招标发包的工程以投标截止日前28天的日期为基准日期，直接发包的工程以合同订立日前28天的日期为基准日期。</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1.1.4.9 天：除特别指明外，均指日历天。合同中按天计算时间的，开始当天不计入，从次日开始计算。期限最后一天的截止时间为当天24:00。</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1.1.4.10 竣工试验：是指在工程竣工验收前，根据第9条[竣工试验]要求进行的试验。</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1.1.4.11 竣工验收：是指承包人完成了合同约定的各项内容后，发包人按合同要求进行的验收。</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1.1.4.12 竣工后试验：是指在工程竣工验收后，根据第12条[竣工后试验]约定进行的试验。</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 合同价格和费用</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1.1.5.1 签约合同价：是指发包人和承包人在合同协议书中确定的总金额，包括暂估价及暂列金额等。</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1.1.5.2 合同价格：是指发包人用于支付承包人按照合同约定完成承包范围内全部工作的金额，包括合同履行过程中按合同约定发生的价格变化。</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1.1.5.3 费用：是指为履行合同所发生的或将要发生的所有合理开支，包括管理费和应分摊的其他费用，但不包括利润。</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1.1.5.4 人工费：是指支付给直接从事建筑安装工程施工作业的建筑工人的各项费用。</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1.1.5.5 暂估价：</w:t>
      </w:r>
      <w:bookmarkStart w:id="463" w:name="_Hlk18973781"/>
      <w:r>
        <w:rPr>
          <w:rFonts w:hint="eastAsia" w:ascii="Times New Roman" w:hAnsi="Times New Roman" w:cs="宋体"/>
          <w:color w:val="auto"/>
          <w:sz w:val="21"/>
          <w:highlight w:val="none"/>
        </w:rPr>
        <w:t>是指发包人在项目清单中给定的，用于支付必然发生但暂时不能确定价格的专业服务、材料、设备、专业工程的金额。</w:t>
      </w:r>
      <w:bookmarkEnd w:id="463"/>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1.1.5.6 暂列金额：是指发包人在项目清单中给定的，用于在订立协议书时尚未确定或不可预见变更的设计、施工及其所需材料、工程设备、服务等的金额，包括以计日工方式支付的金额。</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1.1.5.7 计日工：是指合同履行过程中，承包人完成发包人提出的零星工作或需要采用计日工计价的变更工作时，按合同中约定的单价计价的一种方式。</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1.1.5.8 质量保证金：是指按第14.6款[质量保证金]约定承包人用于保证其在缺陷责任期内履行缺陷修复义务的担保。</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1.1.6 其他</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1.1.6.1 书面形式：指合同文件、信函、电报、传真、数据电文、电子邮件、会议纪要等可以有形地表现所载内容的形式。</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1.1.6.2 承包人文件：指由承包人根据合同约定应提交的所有图纸、手册、模型、计算书、软件、函件、洽商性文件和其他技术性文件。</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1.1.6.3 变更：指根据第13条[变更与调整]的约定，经指示或批准对《发包人要求》或工程所做的改变。</w:t>
      </w:r>
    </w:p>
    <w:bookmarkEnd w:id="453"/>
    <w:p>
      <w:pPr>
        <w:pStyle w:val="54"/>
        <w:widowControl/>
        <w:numPr>
          <w:ilvl w:val="0"/>
          <w:numId w:val="0"/>
        </w:numPr>
        <w:rPr>
          <w:rFonts w:hint="eastAsia" w:ascii="Times New Roman" w:hAnsi="Times New Roman" w:eastAsia="宋体" w:cs="宋体"/>
          <w:b w:val="0"/>
          <w:bCs/>
          <w:color w:val="auto"/>
          <w:sz w:val="21"/>
          <w:szCs w:val="21"/>
          <w:highlight w:val="none"/>
        </w:rPr>
      </w:pPr>
      <w:bookmarkStart w:id="464" w:name="_Ref509042101"/>
      <w:bookmarkStart w:id="465" w:name="_Ref509042104"/>
      <w:bookmarkStart w:id="466" w:name="_Toc54862179"/>
      <w:bookmarkStart w:id="467" w:name="_Ref522730349"/>
      <w:bookmarkStart w:id="468" w:name="_Ref522730353"/>
      <w:r>
        <w:rPr>
          <w:rFonts w:hint="eastAsia" w:ascii="Times New Roman" w:hAnsi="Times New Roman" w:eastAsia="宋体" w:cs="宋体"/>
          <w:b w:val="0"/>
          <w:bCs/>
          <w:color w:val="auto"/>
          <w:sz w:val="21"/>
          <w:szCs w:val="21"/>
          <w:highlight w:val="none"/>
        </w:rPr>
        <w:t>1.2 语言文字</w:t>
      </w:r>
      <w:bookmarkEnd w:id="464"/>
      <w:bookmarkEnd w:id="465"/>
      <w:bookmarkEnd w:id="46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合同文件以中国的汉语简体语言文字编写、解释和说明。专用术语使用外文的，应附有中文注释。合同当事人在专用合同条件约定使用两种及以上语言时，汉语为优先解释和说明合同的语言。</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与合同有关的联络应使用专用合同条件约定的语言。如没有约定，则应使用中国的汉语简体语言文字。</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469" w:name="_Toc54862180"/>
      <w:bookmarkStart w:id="470" w:name="_Ref531949543"/>
      <w:bookmarkStart w:id="471" w:name="_Ref531949539"/>
      <w:r>
        <w:rPr>
          <w:rFonts w:hint="eastAsia" w:ascii="Times New Roman" w:hAnsi="Times New Roman" w:eastAsia="宋体" w:cs="宋体"/>
          <w:b w:val="0"/>
          <w:bCs/>
          <w:color w:val="auto"/>
          <w:sz w:val="21"/>
          <w:szCs w:val="21"/>
          <w:highlight w:val="none"/>
        </w:rPr>
        <w:t>1.3 法律</w:t>
      </w:r>
      <w:bookmarkEnd w:id="469"/>
      <w:bookmarkEnd w:id="470"/>
      <w:bookmarkEnd w:id="47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合同所称法律是指中华人民共和国法律、行政法规、部门规章，以及工程所在地的地方法规、自治条例、单行条例和地方政府规章等。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合同当事人可以在专用合同条件中约定合同适用的其他规范性文件。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472" w:name="_Toc54862181"/>
      <w:bookmarkStart w:id="473" w:name="_Ref531949594"/>
      <w:bookmarkStart w:id="474" w:name="_Ref531949589"/>
      <w:r>
        <w:rPr>
          <w:rFonts w:hint="eastAsia" w:ascii="Times New Roman" w:hAnsi="Times New Roman" w:eastAsia="宋体" w:cs="宋体"/>
          <w:b w:val="0"/>
          <w:bCs/>
          <w:color w:val="auto"/>
          <w:sz w:val="21"/>
          <w:szCs w:val="21"/>
          <w:highlight w:val="none"/>
        </w:rPr>
        <w:t>1.4 标准和规范</w:t>
      </w:r>
      <w:bookmarkEnd w:id="472"/>
      <w:bookmarkEnd w:id="473"/>
      <w:bookmarkEnd w:id="474"/>
    </w:p>
    <w:p>
      <w:pPr>
        <w:pStyle w:val="37"/>
        <w:numPr>
          <w:ilvl w:val="0"/>
          <w:numId w:val="0"/>
        </w:numPr>
        <w:rPr>
          <w:rFonts w:hint="eastAsia" w:ascii="Times New Roman" w:hAnsi="Times New Roman" w:cs="宋体"/>
          <w:color w:val="auto"/>
          <w:sz w:val="21"/>
          <w:highlight w:val="none"/>
        </w:rPr>
      </w:pPr>
      <w:bookmarkStart w:id="475" w:name="_Ref4420991"/>
      <w:r>
        <w:rPr>
          <w:rFonts w:hint="eastAsia" w:ascii="Times New Roman" w:hAnsi="Times New Roman" w:cs="宋体"/>
          <w:color w:val="auto"/>
          <w:sz w:val="21"/>
          <w:highlight w:val="none"/>
        </w:rPr>
        <w:t>1.4.1 适用于工程的国家标准、行业标准、工程所在地的地方性标准，以及相应的规范、规程等，合同当事人有特别要求的，应在专用合同条件中约定。</w:t>
      </w:r>
      <w:bookmarkEnd w:id="475"/>
    </w:p>
    <w:p>
      <w:pPr>
        <w:pStyle w:val="37"/>
        <w:numPr>
          <w:ilvl w:val="0"/>
          <w:numId w:val="0"/>
        </w:numPr>
        <w:rPr>
          <w:rFonts w:hint="eastAsia" w:ascii="Times New Roman" w:hAnsi="Times New Roman" w:cs="宋体"/>
          <w:color w:val="auto"/>
          <w:sz w:val="21"/>
          <w:highlight w:val="none"/>
        </w:rPr>
      </w:pPr>
      <w:bookmarkStart w:id="476" w:name="_Ref531949642"/>
      <w:r>
        <w:rPr>
          <w:rFonts w:hint="eastAsia" w:ascii="Times New Roman" w:hAnsi="Times New Roman" w:cs="宋体"/>
          <w:color w:val="auto"/>
          <w:sz w:val="21"/>
          <w:highlight w:val="none"/>
        </w:rPr>
        <w:t>1.4.2 发包人要求使用国外标准、规范的，发包人负责提供原文版本和中文译本，并在专用合同条件中约定提供标准规范的名称、份数和时间。</w:t>
      </w:r>
      <w:bookmarkEnd w:id="476"/>
    </w:p>
    <w:p>
      <w:pPr>
        <w:pStyle w:val="37"/>
        <w:numPr>
          <w:ilvl w:val="0"/>
          <w:numId w:val="0"/>
        </w:numPr>
        <w:rPr>
          <w:rFonts w:hint="eastAsia" w:ascii="Times New Roman" w:hAnsi="Times New Roman" w:cs="宋体"/>
          <w:color w:val="auto"/>
          <w:sz w:val="21"/>
          <w:highlight w:val="none"/>
        </w:rPr>
      </w:pPr>
      <w:bookmarkStart w:id="477" w:name="_Ref531949657"/>
      <w:r>
        <w:rPr>
          <w:rFonts w:hint="eastAsia" w:ascii="Times New Roman" w:hAnsi="Times New Roman" w:cs="宋体"/>
          <w:color w:val="auto"/>
          <w:sz w:val="21"/>
          <w:highlight w:val="none"/>
        </w:rPr>
        <w:t>1.4.3 没有相应成文规定的标准、规范时，由发包人在专用合同条件中约定的时间向承包人列明技术要求，承包人按约定的时间和技术要求提出实施方法，经发包人认可后执行。承包人需要对实施方法进行研发试验的，或须对项目人员进行特殊培训及其有特殊要求的，除签约合同价已包含此项费用外，双方应另行订立协议作为合同附件，其费用由发包人承担。</w:t>
      </w:r>
      <w:bookmarkEnd w:id="477"/>
    </w:p>
    <w:p>
      <w:pPr>
        <w:pStyle w:val="37"/>
        <w:numPr>
          <w:ilvl w:val="0"/>
          <w:numId w:val="0"/>
        </w:numPr>
        <w:rPr>
          <w:rFonts w:hint="eastAsia" w:ascii="Times New Roman" w:hAnsi="Times New Roman" w:cs="宋体"/>
          <w:color w:val="auto"/>
          <w:sz w:val="21"/>
          <w:highlight w:val="none"/>
        </w:rPr>
      </w:pPr>
      <w:bookmarkStart w:id="478" w:name="_Ref4421272"/>
      <w:r>
        <w:rPr>
          <w:rFonts w:hint="eastAsia" w:ascii="Times New Roman" w:hAnsi="Times New Roman" w:cs="宋体"/>
          <w:color w:val="auto"/>
          <w:sz w:val="21"/>
          <w:highlight w:val="none"/>
        </w:rPr>
        <w:t>1.4.4 发包人对于工程的技术标准、功能要求高于或严于现行国家、行业或地方标准的，应当在《发包人要求》中予以明确。除专用合同条件另有约定外，应视为承包人在订立合同前已充分预见前述技术标准和功能要求的复杂程度，签约合同价中已包含由此产生的费用。</w:t>
      </w:r>
      <w:bookmarkEnd w:id="478"/>
    </w:p>
    <w:p>
      <w:pPr>
        <w:pStyle w:val="54"/>
        <w:widowControl/>
        <w:numPr>
          <w:ilvl w:val="0"/>
          <w:numId w:val="0"/>
        </w:numPr>
        <w:rPr>
          <w:rFonts w:hint="eastAsia" w:ascii="Times New Roman" w:hAnsi="Times New Roman" w:eastAsia="宋体" w:cs="宋体"/>
          <w:b w:val="0"/>
          <w:bCs/>
          <w:color w:val="auto"/>
          <w:sz w:val="21"/>
          <w:szCs w:val="21"/>
          <w:highlight w:val="none"/>
        </w:rPr>
      </w:pPr>
      <w:bookmarkStart w:id="479" w:name="_Ref4421717"/>
      <w:bookmarkStart w:id="480" w:name="_Toc54862182"/>
      <w:r>
        <w:rPr>
          <w:rFonts w:hint="eastAsia" w:ascii="Times New Roman" w:hAnsi="Times New Roman" w:eastAsia="宋体" w:cs="宋体"/>
          <w:b w:val="0"/>
          <w:bCs/>
          <w:color w:val="auto"/>
          <w:sz w:val="21"/>
          <w:szCs w:val="21"/>
          <w:highlight w:val="none"/>
        </w:rPr>
        <w:t>1.5 合同文件的优先顺序</w:t>
      </w:r>
      <w:bookmarkEnd w:id="467"/>
      <w:bookmarkEnd w:id="468"/>
      <w:bookmarkEnd w:id="479"/>
      <w:bookmarkEnd w:id="480"/>
    </w:p>
    <w:p>
      <w:pPr>
        <w:spacing w:line="360" w:lineRule="auto"/>
        <w:ind w:firstLine="600"/>
        <w:rPr>
          <w:rFonts w:hint="eastAsia" w:ascii="Times New Roman" w:hAnsi="Times New Roman" w:cs="宋体"/>
          <w:color w:val="auto"/>
          <w:szCs w:val="21"/>
          <w:highlight w:val="none"/>
        </w:rPr>
      </w:pPr>
      <w:bookmarkStart w:id="481" w:name="_Ref531948776"/>
      <w:r>
        <w:rPr>
          <w:rFonts w:hint="eastAsia" w:ascii="Times New Roman" w:hAnsi="Times New Roman" w:cs="宋体"/>
          <w:color w:val="auto"/>
          <w:szCs w:val="21"/>
          <w:highlight w:val="none"/>
        </w:rPr>
        <w:t>组成合同的各项文件应互相解释，互为说明。除专用合同条件另有约定外，</w:t>
      </w:r>
      <w:bookmarkEnd w:id="481"/>
      <w:r>
        <w:rPr>
          <w:rFonts w:hint="eastAsia" w:ascii="Times New Roman" w:hAnsi="Times New Roman" w:cs="宋体"/>
          <w:color w:val="auto"/>
          <w:szCs w:val="21"/>
          <w:highlight w:val="none"/>
        </w:rPr>
        <w:t>解释合同文件的优先顺序如下：</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合同协议书；</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中标通知书（如果有）；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投标函及投标函附录（如果有）；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专用合同条件及《发包人要求》等附件；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通用合同条件；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（6） 承包人建议书；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价格清单；</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双方约定的其他合同文件。</w:t>
      </w:r>
    </w:p>
    <w:p>
      <w:pPr>
        <w:spacing w:line="360" w:lineRule="auto"/>
        <w:ind w:firstLine="600"/>
        <w:rPr>
          <w:rFonts w:hint="eastAsia" w:ascii="Times New Roman" w:hAnsi="Times New Roman" w:cs="宋体"/>
          <w:color w:val="auto"/>
          <w:szCs w:val="21"/>
          <w:highlight w:val="none"/>
        </w:rPr>
      </w:pPr>
      <w:bookmarkStart w:id="482" w:name="_Hlk18951547"/>
      <w:r>
        <w:rPr>
          <w:rFonts w:hint="eastAsia" w:ascii="Times New Roman" w:hAnsi="Times New Roman" w:cs="宋体"/>
          <w:color w:val="auto"/>
          <w:szCs w:val="21"/>
          <w:highlight w:val="none"/>
        </w:rPr>
        <w:t>上述各项合同文件包括合同当事人就该项合同文件所作出的补充和修改，属于同一类内容的文件，应以最新签署的为准</w:t>
      </w:r>
      <w:bookmarkEnd w:id="482"/>
      <w:r>
        <w:rPr>
          <w:rFonts w:hint="eastAsia" w:ascii="Times New Roman" w:hAnsi="Times New Roman" w:cs="宋体"/>
          <w:color w:val="auto"/>
          <w:szCs w:val="21"/>
          <w:highlight w:val="none"/>
        </w:rPr>
        <w:t>。</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在合同订立及履行过程中形成的与合同有关的文件均构成合同文件组成部分，并根据其性质确定优先解释顺序。</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483" w:name="_Ref4422060"/>
      <w:bookmarkStart w:id="484" w:name="_Toc54862183"/>
      <w:bookmarkStart w:id="485" w:name="_Ref11917818"/>
      <w:bookmarkStart w:id="486" w:name="_Ref531949803"/>
      <w:bookmarkStart w:id="487" w:name="_Ref531949807"/>
      <w:bookmarkStart w:id="488" w:name="_Ref531949822"/>
      <w:r>
        <w:rPr>
          <w:rFonts w:hint="eastAsia" w:ascii="Times New Roman" w:hAnsi="Times New Roman" w:eastAsia="宋体" w:cs="宋体"/>
          <w:b w:val="0"/>
          <w:bCs/>
          <w:color w:val="auto"/>
          <w:sz w:val="21"/>
          <w:szCs w:val="21"/>
          <w:highlight w:val="none"/>
        </w:rPr>
        <w:t>1.6 文件的提供和</w:t>
      </w:r>
      <w:bookmarkEnd w:id="483"/>
      <w:r>
        <w:rPr>
          <w:rFonts w:hint="eastAsia" w:ascii="Times New Roman" w:hAnsi="Times New Roman" w:eastAsia="宋体" w:cs="宋体"/>
          <w:b w:val="0"/>
          <w:bCs/>
          <w:color w:val="auto"/>
          <w:sz w:val="21"/>
          <w:szCs w:val="21"/>
          <w:highlight w:val="none"/>
        </w:rPr>
        <w:t>照管</w:t>
      </w:r>
      <w:bookmarkEnd w:id="484"/>
      <w:bookmarkEnd w:id="485"/>
    </w:p>
    <w:p>
      <w:pPr>
        <w:pStyle w:val="37"/>
        <w:numPr>
          <w:ilvl w:val="0"/>
          <w:numId w:val="0"/>
        </w:numPr>
        <w:rPr>
          <w:rFonts w:hint="eastAsia" w:ascii="Times New Roman" w:hAnsi="Times New Roman" w:cs="宋体"/>
          <w:color w:val="auto"/>
          <w:sz w:val="21"/>
          <w:highlight w:val="none"/>
        </w:rPr>
      </w:pPr>
      <w:bookmarkStart w:id="489" w:name="_Ref4421991"/>
      <w:r>
        <w:rPr>
          <w:rFonts w:hint="eastAsia" w:ascii="Times New Roman" w:hAnsi="Times New Roman" w:cs="宋体"/>
          <w:color w:val="auto"/>
          <w:sz w:val="21"/>
          <w:highlight w:val="none"/>
        </w:rPr>
        <w:t>1.6.1 发包人文件的提供</w:t>
      </w:r>
      <w:bookmarkEnd w:id="48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按照专用合同条件约定的期限、数量和形式向承包人免费提供前期工作相关资料、环境保护、气象水文、地质条件进行工程设计、现场施工等工程实施所需的文件。因发包人未按合同约定提供文件造成工期延误的，按照第8.7.1项[因发包人原因导致工期延误]约定办理。</w:t>
      </w:r>
    </w:p>
    <w:p>
      <w:pPr>
        <w:pStyle w:val="37"/>
        <w:numPr>
          <w:ilvl w:val="0"/>
          <w:numId w:val="0"/>
        </w:numPr>
        <w:rPr>
          <w:rFonts w:hint="eastAsia" w:ascii="Times New Roman" w:hAnsi="Times New Roman" w:cs="宋体"/>
          <w:color w:val="auto"/>
          <w:sz w:val="21"/>
          <w:highlight w:val="none"/>
        </w:rPr>
      </w:pPr>
      <w:bookmarkStart w:id="490" w:name="_Ref4422317"/>
      <w:r>
        <w:rPr>
          <w:rFonts w:hint="eastAsia" w:ascii="Times New Roman" w:hAnsi="Times New Roman" w:cs="宋体"/>
          <w:color w:val="auto"/>
          <w:sz w:val="21"/>
          <w:highlight w:val="none"/>
        </w:rPr>
        <w:t>1.6.2 承包人文件的提供</w:t>
      </w:r>
      <w:bookmarkEnd w:id="49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除专用合同条件另有约定外，承包人文件应包含下列内容，并用第1.2款[语言文字]约定的语言制作：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《发包人要求》中规定的相关文件；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满足工程相关行政审批手续所必须的应由承包人负责的相关文件；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第5.4款[竣工文件]与第5.5款[操作和维修手册]中要求的相关文件。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专用合同条件约定的期限、名称、数量和形式向工程师提供应当由承包人编制的与工程设计、现场施工等工程实施有关的承包人文件。工程师对承包人文件有异议的，承包人应予以修改，并重新报送工程师。合同约定承包人文件应经审查的，工程师应在合同约定的期限内审查完毕，但工程师的审查并不减轻或免除承包人根据合同约定应当承担的责任。承包人文件的提供和审查还应遵守第5.2款[承包人文件审查]和第5.4款[竣工文件]的约定。</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1.6.3 文件错误的通知</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任何一方发现文件中存在明显的错误或疏忽，应及时通知另一方。</w:t>
      </w:r>
    </w:p>
    <w:p>
      <w:pPr>
        <w:pStyle w:val="37"/>
        <w:numPr>
          <w:ilvl w:val="0"/>
          <w:numId w:val="0"/>
        </w:numPr>
        <w:rPr>
          <w:rFonts w:hint="eastAsia" w:ascii="Times New Roman" w:hAnsi="Times New Roman" w:cs="宋体"/>
          <w:color w:val="auto"/>
          <w:sz w:val="21"/>
          <w:highlight w:val="none"/>
        </w:rPr>
      </w:pPr>
      <w:bookmarkStart w:id="491" w:name="_Ref4678410"/>
      <w:bookmarkStart w:id="492" w:name="_Ref11957673"/>
      <w:r>
        <w:rPr>
          <w:rFonts w:hint="eastAsia" w:ascii="Times New Roman" w:hAnsi="Times New Roman" w:cs="宋体"/>
          <w:color w:val="auto"/>
          <w:sz w:val="21"/>
          <w:highlight w:val="none"/>
        </w:rPr>
        <w:t>1.6.4 文件的</w:t>
      </w:r>
      <w:bookmarkEnd w:id="491"/>
      <w:r>
        <w:rPr>
          <w:rFonts w:hint="eastAsia" w:ascii="Times New Roman" w:hAnsi="Times New Roman" w:cs="宋体"/>
          <w:color w:val="auto"/>
          <w:sz w:val="21"/>
          <w:highlight w:val="none"/>
        </w:rPr>
        <w:t>照管</w:t>
      </w:r>
      <w:bookmarkEnd w:id="492"/>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应在现场保留一份合同、《发包人要求》中列出的所有文件、承包人文件、变更以及其他根据合同收发的往来信函。发包人和工程师有权在任何合理的时间查阅和使用上述所有文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493" w:name="_Toc54862184"/>
      <w:bookmarkStart w:id="494" w:name="_Ref4415170"/>
      <w:r>
        <w:rPr>
          <w:rFonts w:hint="eastAsia" w:ascii="Times New Roman" w:hAnsi="Times New Roman" w:eastAsia="宋体" w:cs="宋体"/>
          <w:b w:val="0"/>
          <w:bCs/>
          <w:color w:val="auto"/>
          <w:sz w:val="21"/>
          <w:szCs w:val="21"/>
          <w:highlight w:val="none"/>
        </w:rPr>
        <w:t>1.7 联络</w:t>
      </w:r>
      <w:bookmarkEnd w:id="493"/>
      <w:bookmarkEnd w:id="494"/>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1.7.1 与合同有关的通知、批准、证明、证书、指示、指令、要求、请求、同意、意见、确定和决定等，均应采用书面形式，并应在合同约定的期限内（如无约定，应在合理期限内）通过特快专递或专人、挂号信、传真或双方商定的电子传输方式送达收件地址。</w:t>
      </w:r>
    </w:p>
    <w:p>
      <w:pPr>
        <w:pStyle w:val="37"/>
        <w:numPr>
          <w:ilvl w:val="0"/>
          <w:numId w:val="0"/>
        </w:numPr>
        <w:rPr>
          <w:rFonts w:hint="eastAsia" w:ascii="Times New Roman" w:hAnsi="Times New Roman" w:cs="宋体"/>
          <w:color w:val="auto"/>
          <w:sz w:val="21"/>
          <w:highlight w:val="none"/>
        </w:rPr>
      </w:pPr>
      <w:bookmarkStart w:id="495" w:name="_Ref531949897"/>
      <w:r>
        <w:rPr>
          <w:rFonts w:hint="eastAsia" w:ascii="Times New Roman" w:hAnsi="Times New Roman" w:cs="宋体"/>
          <w:color w:val="auto"/>
          <w:sz w:val="21"/>
          <w:highlight w:val="none"/>
        </w:rPr>
        <w:t>1.7.2 发包人和承包人应在专用合同条件中约定各自的送达方式和收件地址。任何一方合同当事人指定的送达方式或收件地址发生变动的，应提前3天以书面形式通知对方。</w:t>
      </w:r>
      <w:bookmarkEnd w:id="495"/>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1.7.3 发包人和承包人应当及时签收另一方通过约定的送达方式送达至收件地址的来往文件。拒不签收的，由此增加的费用和（或）延误的工期由拒绝接收一方承担。</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1.7.4 对于工程师向承包人发出的任何通知，均应以书面形式由工程师或其代表签认后送交承包人实施，并抄送发包人；对于合同一方向另一方发出的任何通知，均应抄送工程师。对于由工程师审查后报发包人批准的事项，应由工程师向承包人出具经发包人签认的批准文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496" w:name="_Toc54862185"/>
      <w:r>
        <w:rPr>
          <w:rFonts w:hint="eastAsia" w:ascii="Times New Roman" w:hAnsi="Times New Roman" w:eastAsia="宋体" w:cs="宋体"/>
          <w:b w:val="0"/>
          <w:bCs/>
          <w:color w:val="auto"/>
          <w:sz w:val="21"/>
          <w:szCs w:val="21"/>
          <w:highlight w:val="none"/>
        </w:rPr>
        <w:t>1.8 严禁贿赂</w:t>
      </w:r>
      <w:bookmarkEnd w:id="486"/>
      <w:bookmarkEnd w:id="487"/>
      <w:bookmarkEnd w:id="488"/>
      <w:bookmarkEnd w:id="49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合同当事人不得以贿赂或变相贿赂的方式，谋取非法利益或损害对方权益。因一方合同当事人的贿赂造成对方损失的，应赔偿损失，并承担相应的法律责任。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承包人不得与工程师或发包人聘请的第三方串通损害发包人利益。未经发包人书面同意，承包人不得为工程师提供合同约定以外的通讯设备、交通工具及其他任何形式的利益，不得向工程师支付报酬。</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497" w:name="_Toc54862186"/>
      <w:r>
        <w:rPr>
          <w:rFonts w:hint="eastAsia" w:ascii="Times New Roman" w:hAnsi="Times New Roman" w:eastAsia="宋体" w:cs="宋体"/>
          <w:b w:val="0"/>
          <w:bCs/>
          <w:color w:val="auto"/>
          <w:sz w:val="21"/>
          <w:szCs w:val="21"/>
          <w:highlight w:val="none"/>
        </w:rPr>
        <w:t>1.9 化石、文物</w:t>
      </w:r>
      <w:bookmarkEnd w:id="49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工程师。</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发包人、工程师和承包人应按有关政府行政管理部门要求采取妥善的保护措施，由此增加的费用和（或）延误的工期由发包人承担。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承包人发现文物后不及时报告或隐瞒不报，致使文物丢失或损坏的，应赔偿损失，并承担相应的法律责任。</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498" w:name="_Toc54862187"/>
      <w:bookmarkStart w:id="499" w:name="_Ref531949766"/>
      <w:bookmarkStart w:id="500" w:name="_Ref4423426"/>
      <w:bookmarkStart w:id="501" w:name="_Ref531949770"/>
      <w:bookmarkStart w:id="502" w:name="_Ref531949826"/>
      <w:bookmarkStart w:id="503" w:name="_Ref531949855"/>
      <w:bookmarkStart w:id="504" w:name="_Ref531949841"/>
      <w:r>
        <w:rPr>
          <w:rFonts w:hint="eastAsia" w:ascii="Times New Roman" w:hAnsi="Times New Roman" w:eastAsia="宋体" w:cs="宋体"/>
          <w:b w:val="0"/>
          <w:bCs/>
          <w:color w:val="auto"/>
          <w:sz w:val="21"/>
          <w:szCs w:val="21"/>
          <w:highlight w:val="none"/>
        </w:rPr>
        <w:t>1.10 知识产权</w:t>
      </w:r>
      <w:bookmarkEnd w:id="498"/>
      <w:bookmarkEnd w:id="499"/>
      <w:bookmarkEnd w:id="500"/>
      <w:bookmarkEnd w:id="501"/>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bookmarkStart w:id="505" w:name="_Ref4423563"/>
      <w:r>
        <w:rPr>
          <w:rFonts w:hint="eastAsia" w:ascii="Times New Roman" w:hAnsi="Times New Roman" w:cs="宋体"/>
          <w:color w:val="auto"/>
          <w:sz w:val="21"/>
          <w:highlight w:val="none"/>
        </w:rPr>
        <w:t>1.10.1 除专用合同条件另有约定外，由发包人（或以发包人名义）编制的《发包人要求》和其他文件，就合同当事人之间而言，其著作权和其他知识产权应归发包人所有。承包人可以为实现合同目的而复制、使用此类文件，但不能用于与合同无关的其他事项。未经发包人书面同意，承包人不得为了合同以外的目的而复制、使用上述文件或将之提供给任何第三方。</w:t>
      </w:r>
      <w:bookmarkEnd w:id="505"/>
    </w:p>
    <w:p>
      <w:pPr>
        <w:pStyle w:val="37"/>
        <w:numPr>
          <w:ilvl w:val="0"/>
          <w:numId w:val="0"/>
        </w:numPr>
        <w:rPr>
          <w:rFonts w:hint="eastAsia" w:ascii="Times New Roman" w:hAnsi="Times New Roman" w:cs="宋体"/>
          <w:color w:val="auto"/>
          <w:sz w:val="21"/>
          <w:highlight w:val="none"/>
        </w:rPr>
      </w:pPr>
      <w:bookmarkStart w:id="506" w:name="_Ref4423604"/>
      <w:r>
        <w:rPr>
          <w:rFonts w:hint="eastAsia" w:ascii="Times New Roman" w:hAnsi="Times New Roman" w:cs="宋体"/>
          <w:color w:val="auto"/>
          <w:sz w:val="21"/>
          <w:highlight w:val="none"/>
        </w:rPr>
        <w:t>1.10.2 除专用合同条件另有约定外，由承包人（或以承包人名义）为实施工程所编制的文件、承包人完成的设计工作成果和建造完成的建筑物，就合同当事人之间而言，其著作权和其他知识产权应归承包人享有。发包人可因实施工程的运行、调试、维修、改造等目的而复制、使用此类文件，但不能用于与合同无关的其他事项。未经承包人书面同意，发包人不得为了合同以外的目的而复制、使用上述文件或将之提供给任何第三方。</w:t>
      </w:r>
      <w:bookmarkEnd w:id="506"/>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1.10.3 合同当事人保证在履行合同过程中不侵犯对方及第三方的知识产权。承包人在工程设计、使用材料、施工设备、工程设备或采用施工工艺时，因侵犯他人的专利权或其他知识产权所引起的责任，由承包人承担；因发包人提供的材料、施工设备、工程设备或施工工艺导致侵权的，由发包人承担责任。</w:t>
      </w:r>
    </w:p>
    <w:p>
      <w:pPr>
        <w:pStyle w:val="37"/>
        <w:numPr>
          <w:ilvl w:val="0"/>
          <w:numId w:val="0"/>
        </w:numPr>
        <w:rPr>
          <w:rFonts w:hint="eastAsia" w:ascii="Times New Roman" w:hAnsi="Times New Roman" w:cs="宋体"/>
          <w:color w:val="auto"/>
          <w:sz w:val="21"/>
          <w:highlight w:val="none"/>
        </w:rPr>
      </w:pPr>
      <w:bookmarkStart w:id="507" w:name="_Ref4423695"/>
      <w:r>
        <w:rPr>
          <w:rFonts w:hint="eastAsia" w:ascii="Times New Roman" w:hAnsi="Times New Roman" w:cs="宋体"/>
          <w:color w:val="auto"/>
          <w:sz w:val="21"/>
          <w:highlight w:val="none"/>
        </w:rPr>
        <w:t>1.10.4 除专用合同条件另有约定外，承包人在投标文件中采用的专利、专有技术、商业软件、技术秘密的使用费已包含在签约合同价中。</w:t>
      </w:r>
      <w:bookmarkEnd w:id="507"/>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1.10.5 合同当事人可就本合同涉及的合同一方、或合同双方（含一方或双方相关的专利商或第三方设计单位)的技术专利、建筑设计方案、专有技术、设计文件著作权等知识产权，订立知识产权及保密协议，作为本合同的组成部分。</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08" w:name="_Ref4423898"/>
      <w:bookmarkStart w:id="509" w:name="_Toc54862188"/>
      <w:bookmarkStart w:id="510" w:name="_Ref4423873"/>
      <w:r>
        <w:rPr>
          <w:rFonts w:hint="eastAsia" w:ascii="Times New Roman" w:hAnsi="Times New Roman" w:eastAsia="宋体" w:cs="宋体"/>
          <w:b w:val="0"/>
          <w:bCs/>
          <w:color w:val="auto"/>
          <w:sz w:val="21"/>
          <w:szCs w:val="21"/>
          <w:highlight w:val="none"/>
        </w:rPr>
        <w:t>1.11 保密</w:t>
      </w:r>
      <w:bookmarkEnd w:id="502"/>
      <w:bookmarkEnd w:id="503"/>
      <w:bookmarkEnd w:id="504"/>
      <w:bookmarkEnd w:id="508"/>
      <w:bookmarkEnd w:id="509"/>
      <w:bookmarkEnd w:id="51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合同当事人一方对在订立和履行合同过程中知悉的另一方的商业秘密、技术秘密，以及任何一方明确要求保密的其它信息，负有保密责任。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除法律规定或合同另有约定外，未经对方同意，任何一方当事人不得将对方提供的文件、技术秘密以及声明需要保密的资料信息等商业秘密泄露给第三方或者用于本合同以外的目的。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方泄露或者在本合同以外使用该商业秘密、技术秘密等保密信息给另一方造成损失的，应承担损害赔偿责任。当事人为履行合同所需要的信息，另一方应予以提供。当事人认为必要时，可订立保密协议，作为合同附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11" w:name="_Ref532336812"/>
      <w:bookmarkStart w:id="512" w:name="_Toc54862189"/>
      <w:r>
        <w:rPr>
          <w:rFonts w:hint="eastAsia" w:ascii="Times New Roman" w:hAnsi="Times New Roman" w:eastAsia="宋体" w:cs="宋体"/>
          <w:b w:val="0"/>
          <w:bCs/>
          <w:color w:val="auto"/>
          <w:sz w:val="21"/>
          <w:szCs w:val="21"/>
          <w:highlight w:val="none"/>
        </w:rPr>
        <w:t xml:space="preserve">1.12 </w:t>
      </w:r>
      <w:bookmarkStart w:id="513" w:name="_Hlk55215423"/>
      <w:r>
        <w:rPr>
          <w:rFonts w:hint="eastAsia" w:ascii="Times New Roman" w:hAnsi="Times New Roman" w:eastAsia="宋体" w:cs="宋体"/>
          <w:b w:val="0"/>
          <w:bCs/>
          <w:color w:val="auto"/>
          <w:sz w:val="21"/>
          <w:szCs w:val="21"/>
          <w:highlight w:val="none"/>
        </w:rPr>
        <w:t>《发包人要求》和基础资料中的错误</w:t>
      </w:r>
      <w:bookmarkEnd w:id="511"/>
      <w:bookmarkEnd w:id="512"/>
      <w:bookmarkEnd w:id="513"/>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承包人应尽早认真阅读、复核《发包人要求》以及其提供的基础资料，发现错误的，应及时书面通知发包人补正。发包人作相应修改的，按照第13条[变更与调整</w:t>
      </w:r>
      <w:bookmarkStart w:id="514" w:name="_Ref523403776"/>
      <w:bookmarkStart w:id="515" w:name="_Ref523403409"/>
      <w:r>
        <w:rPr>
          <w:rFonts w:hint="eastAsia" w:ascii="Times New Roman" w:hAnsi="Times New Roman" w:cs="宋体"/>
          <w:color w:val="auto"/>
          <w:szCs w:val="21"/>
          <w:highlight w:val="none"/>
        </w:rPr>
        <w:t>]的约定处理。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《发包人要求》或其提供的基础资料中的错误导致承包人增加费用和（或）工期延误的，发包人应承担由此增加的费用和（或）工期延误，并向承包人支付合理利润。</w:t>
      </w:r>
    </w:p>
    <w:bookmarkEnd w:id="514"/>
    <w:bookmarkEnd w:id="515"/>
    <w:p>
      <w:pPr>
        <w:pStyle w:val="54"/>
        <w:widowControl/>
        <w:numPr>
          <w:ilvl w:val="0"/>
          <w:numId w:val="0"/>
        </w:numPr>
        <w:rPr>
          <w:rFonts w:hint="eastAsia" w:ascii="Times New Roman" w:hAnsi="Times New Roman" w:eastAsia="宋体" w:cs="宋体"/>
          <w:b w:val="0"/>
          <w:bCs/>
          <w:color w:val="auto"/>
          <w:sz w:val="21"/>
          <w:szCs w:val="21"/>
          <w:highlight w:val="none"/>
        </w:rPr>
      </w:pPr>
      <w:bookmarkStart w:id="516" w:name="_Ref531949937"/>
      <w:bookmarkStart w:id="517" w:name="_Toc54862190"/>
      <w:bookmarkStart w:id="518" w:name="_Ref531949933"/>
      <w:r>
        <w:rPr>
          <w:rFonts w:hint="eastAsia" w:ascii="Times New Roman" w:hAnsi="Times New Roman" w:eastAsia="宋体" w:cs="宋体"/>
          <w:b w:val="0"/>
          <w:bCs/>
          <w:color w:val="auto"/>
          <w:sz w:val="21"/>
          <w:szCs w:val="21"/>
          <w:highlight w:val="none"/>
        </w:rPr>
        <w:t>1.13 责任限制</w:t>
      </w:r>
      <w:bookmarkEnd w:id="516"/>
      <w:bookmarkEnd w:id="517"/>
      <w:bookmarkEnd w:id="518"/>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对发包人的赔偿责任不应超过专用合同条件约定的赔偿最高限额。若专用合同条件未约定，则承包人对发包人的赔偿责任不应超过签约合同价。但对于因欺诈、犯罪、故意、重大过失、人身伤害等不当行为造成的损失，赔偿的责任限度不受上述最高限额的限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19" w:name="_Toc54862191"/>
      <w:bookmarkStart w:id="520" w:name="_Hlk51506160"/>
      <w:r>
        <w:rPr>
          <w:rFonts w:hint="eastAsia" w:ascii="Times New Roman" w:hAnsi="Times New Roman" w:eastAsia="宋体" w:cs="宋体"/>
          <w:b w:val="0"/>
          <w:bCs/>
          <w:color w:val="auto"/>
          <w:sz w:val="21"/>
          <w:szCs w:val="21"/>
          <w:highlight w:val="none"/>
        </w:rPr>
        <w:t>1.14 建筑信息模型技术的应用</w:t>
      </w:r>
      <w:bookmarkEnd w:id="519"/>
    </w:p>
    <w:bookmarkEnd w:id="520"/>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项目中拟采用建筑信息模型技术，合同双方应遵守国家现行相关标准的规定，并符合项目所在地的相关地方标准或指南。合同双方应在专用合同条件中就建筑信息模型的开发、使用、存储、传输、交付及费用等相关内容进行约定。除专用合同条件另有约定外，承包人应负责与本项目中其他使用方协商。</w:t>
      </w:r>
    </w:p>
    <w:p>
      <w:pPr>
        <w:pStyle w:val="49"/>
        <w:numPr>
          <w:ilvl w:val="0"/>
          <w:numId w:val="0"/>
        </w:numPr>
        <w:rPr>
          <w:rFonts w:hint="eastAsia" w:ascii="Times New Roman" w:hAnsi="Times New Roman" w:eastAsia="宋体" w:cs="宋体"/>
          <w:bCs w:val="0"/>
          <w:color w:val="auto"/>
          <w:sz w:val="21"/>
          <w:szCs w:val="21"/>
          <w:highlight w:val="none"/>
        </w:rPr>
      </w:pPr>
      <w:bookmarkStart w:id="521" w:name="_Ref4796511"/>
      <w:bookmarkStart w:id="522" w:name="_Toc54862192"/>
      <w:r>
        <w:rPr>
          <w:rFonts w:hint="eastAsia" w:ascii="Times New Roman" w:hAnsi="Times New Roman" w:eastAsia="宋体" w:cs="宋体"/>
          <w:bCs w:val="0"/>
          <w:color w:val="auto"/>
          <w:sz w:val="21"/>
          <w:szCs w:val="21"/>
          <w:highlight w:val="none"/>
        </w:rPr>
        <w:t>第2条 发包人</w:t>
      </w:r>
      <w:bookmarkEnd w:id="521"/>
      <w:bookmarkEnd w:id="522"/>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23" w:name="_Toc54862193"/>
      <w:r>
        <w:rPr>
          <w:rFonts w:hint="eastAsia" w:ascii="Times New Roman" w:hAnsi="Times New Roman" w:eastAsia="宋体" w:cs="宋体"/>
          <w:b w:val="0"/>
          <w:bCs/>
          <w:color w:val="auto"/>
          <w:sz w:val="21"/>
          <w:szCs w:val="21"/>
          <w:highlight w:val="none"/>
        </w:rPr>
        <w:t>2.1 遵守法律</w:t>
      </w:r>
      <w:bookmarkEnd w:id="523"/>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在履行合同过程中应遵守法律，并承担因发包人违反法律给承包人造成的任何费用和损失。发包人不得以任何理由，要求承包人在工程实施过程中违反法律、行政法规以及建设工程质量、安全、环保标准，任意压缩合理工期或者降低工程质量。</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24" w:name="_Ref11917977"/>
      <w:bookmarkStart w:id="525" w:name="_Ref11917995"/>
      <w:bookmarkStart w:id="526" w:name="_Toc54862194"/>
      <w:r>
        <w:rPr>
          <w:rFonts w:hint="eastAsia" w:ascii="Times New Roman" w:hAnsi="Times New Roman" w:eastAsia="宋体" w:cs="宋体"/>
          <w:b w:val="0"/>
          <w:bCs/>
          <w:color w:val="auto"/>
          <w:sz w:val="21"/>
          <w:szCs w:val="21"/>
          <w:highlight w:val="none"/>
        </w:rPr>
        <w:t>2.2 提供施工现场和工作条件</w:t>
      </w:r>
      <w:bookmarkEnd w:id="524"/>
      <w:bookmarkEnd w:id="525"/>
      <w:bookmarkEnd w:id="526"/>
      <w:bookmarkStart w:id="527" w:name="_Toc51505125"/>
      <w:bookmarkEnd w:id="527"/>
      <w:bookmarkStart w:id="528" w:name="_Toc51505123"/>
      <w:bookmarkEnd w:id="528"/>
      <w:bookmarkStart w:id="529" w:name="_Toc54862195"/>
      <w:bookmarkEnd w:id="529"/>
      <w:bookmarkStart w:id="530" w:name="_Toc51505124"/>
      <w:bookmarkEnd w:id="530"/>
      <w:bookmarkStart w:id="531" w:name="_Toc54862196"/>
      <w:bookmarkEnd w:id="531"/>
      <w:bookmarkStart w:id="532" w:name="_Toc54862197"/>
      <w:bookmarkEnd w:id="532"/>
      <w:bookmarkStart w:id="533" w:name="_Ref531950085"/>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2.2.1 提供施工</w:t>
      </w:r>
      <w:bookmarkEnd w:id="533"/>
      <w:r>
        <w:rPr>
          <w:rFonts w:hint="eastAsia" w:ascii="Times New Roman" w:hAnsi="Times New Roman" w:cs="宋体"/>
          <w:color w:val="auto"/>
          <w:sz w:val="21"/>
          <w:highlight w:val="none"/>
        </w:rPr>
        <w:t>现场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按专用合同条件约定向承包人移交施工现场，给承包人进入和占用施工现场各部分的权利，并明确与承包人的交接界面，上述进入和占用权可不为承包人独享。如专用合同条件没有约定移交时间的，则发包人应最迟于计划开始现场施工日期7天前向承包人移交施工现场，但承包人未能按照第4.2款[履约担保]提供履约担保的除外。</w:t>
      </w:r>
    </w:p>
    <w:p>
      <w:pPr>
        <w:pStyle w:val="37"/>
        <w:numPr>
          <w:ilvl w:val="0"/>
          <w:numId w:val="0"/>
        </w:numPr>
        <w:rPr>
          <w:rFonts w:hint="eastAsia" w:ascii="Times New Roman" w:hAnsi="Times New Roman" w:cs="宋体"/>
          <w:color w:val="auto"/>
          <w:sz w:val="21"/>
          <w:highlight w:val="none"/>
        </w:rPr>
      </w:pPr>
      <w:bookmarkStart w:id="534" w:name="_Ref531950101"/>
      <w:r>
        <w:rPr>
          <w:rFonts w:hint="eastAsia" w:ascii="Times New Roman" w:hAnsi="Times New Roman" w:cs="宋体"/>
          <w:color w:val="auto"/>
          <w:sz w:val="21"/>
          <w:highlight w:val="none"/>
        </w:rPr>
        <w:t>2.2.2 提供工作条件</w:t>
      </w:r>
      <w:bookmarkEnd w:id="534"/>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发包人应按专用合同条件约定向承包人提供工作条件。专用合同条件对此没有约定的，发包人应负责提供开展本合同相关工作所需要的条件，包括：</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将施工用水、电力、通讯线路等施工所必需的条件接至施工现场内；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保证向承包人提供正常施工所需要的进入施工现场的交通条件；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协调处理施工现场周围地下管线和邻近建筑物、构筑物、古树名木、文物、化石及坟墓等的保护工作，并承担相关费用；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对工程现场临近发包人正在使用、运行、或由发包人用于生产的建筑物、构筑物、生产装置、设施、设备等，设置隔离设施，竖立禁止入内、禁止动火的明显标志， 并以书面形式通知承包人须遵守的安全规定和位置范围；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按照专用合同条件约定应提供的其他设施和条件。</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2.2.3 逾期提供的责任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因发包人原因未能按合同约定及时向承包人提供施工现场和施工条件的，由发包人承担由此增加的费用和（或）延误的工期。</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35" w:name="_Ref11918025"/>
      <w:bookmarkStart w:id="536" w:name="_Ref11956654"/>
      <w:bookmarkStart w:id="537" w:name="_Toc54862198"/>
      <w:bookmarkStart w:id="538" w:name="_Ref11918036"/>
      <w:bookmarkStart w:id="539" w:name="_Ref11956647"/>
      <w:r>
        <w:rPr>
          <w:rFonts w:hint="eastAsia" w:ascii="Times New Roman" w:hAnsi="Times New Roman" w:eastAsia="宋体" w:cs="宋体"/>
          <w:b w:val="0"/>
          <w:bCs/>
          <w:color w:val="auto"/>
          <w:sz w:val="21"/>
          <w:szCs w:val="21"/>
          <w:highlight w:val="none"/>
        </w:rPr>
        <w:t>2.3 提供基础资料</w:t>
      </w:r>
      <w:bookmarkEnd w:id="535"/>
      <w:bookmarkEnd w:id="536"/>
      <w:bookmarkEnd w:id="537"/>
      <w:bookmarkEnd w:id="538"/>
      <w:bookmarkEnd w:id="539"/>
    </w:p>
    <w:p>
      <w:pPr>
        <w:spacing w:line="360" w:lineRule="auto"/>
        <w:ind w:firstLine="600"/>
        <w:rPr>
          <w:rFonts w:hint="eastAsia" w:ascii="Times New Roman" w:hAnsi="Times New Roman" w:cs="宋体"/>
          <w:color w:val="auto"/>
          <w:szCs w:val="21"/>
          <w:highlight w:val="none"/>
        </w:rPr>
      </w:pPr>
      <w:bookmarkStart w:id="540" w:name="_Hlk51506429"/>
      <w:r>
        <w:rPr>
          <w:rFonts w:hint="eastAsia" w:ascii="Times New Roman" w:hAnsi="Times New Roman" w:cs="宋体"/>
          <w:color w:val="auto"/>
          <w:szCs w:val="21"/>
          <w:highlight w:val="none"/>
        </w:rPr>
        <w:t>发包人应按专用合同条件和《发包人要求》中的约定向承包人提供</w:t>
      </w:r>
      <w:bookmarkEnd w:id="540"/>
      <w:r>
        <w:rPr>
          <w:rFonts w:hint="eastAsia" w:ascii="Times New Roman" w:hAnsi="Times New Roman" w:cs="宋体"/>
          <w:color w:val="auto"/>
          <w:szCs w:val="21"/>
          <w:highlight w:val="none"/>
        </w:rPr>
        <w:t>施工现场及工程实施所必需的毗邻区域内的供水、排水、供电、供气、供热、通信、广播电视等地上、地下管线和设施资料，气象和水文观测资料，地质勘察资料，相邻建筑物、构筑物和地下工程等有关基础资料，并根据第1.12款[《发包人要求》和基础资料中的错误]承担基础资料错误造成的责任。按照法律规定确需在开工后方能提供的基础资料，发包人应尽其努力及时地在相应工程实施前的合理期限内提供，合理期限应以不影响承包人的正常履约为限。因发包人原因未能在合理期限内提供相应基础资料的，由发包人承担由此增加的费用和延误的工期。</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41" w:name="_Ref531950041"/>
      <w:bookmarkStart w:id="542" w:name="_Ref531950045"/>
      <w:bookmarkStart w:id="543" w:name="_Toc54862199"/>
      <w:r>
        <w:rPr>
          <w:rFonts w:hint="eastAsia" w:ascii="Times New Roman" w:hAnsi="Times New Roman" w:eastAsia="宋体" w:cs="宋体"/>
          <w:b w:val="0"/>
          <w:bCs/>
          <w:color w:val="auto"/>
          <w:sz w:val="21"/>
          <w:szCs w:val="21"/>
          <w:highlight w:val="none"/>
        </w:rPr>
        <w:t>2.4 办理许可和批准</w:t>
      </w:r>
      <w:bookmarkEnd w:id="541"/>
      <w:bookmarkEnd w:id="542"/>
      <w:bookmarkEnd w:id="543"/>
    </w:p>
    <w:p>
      <w:pPr>
        <w:pStyle w:val="37"/>
        <w:numPr>
          <w:ilvl w:val="0"/>
          <w:numId w:val="0"/>
        </w:numPr>
        <w:rPr>
          <w:rFonts w:hint="eastAsia" w:ascii="Times New Roman" w:hAnsi="Times New Roman" w:cs="宋体"/>
          <w:color w:val="auto"/>
          <w:sz w:val="21"/>
          <w:highlight w:val="none"/>
        </w:rPr>
      </w:pPr>
      <w:bookmarkStart w:id="544" w:name="_Toc51505128"/>
      <w:r>
        <w:rPr>
          <w:rFonts w:hint="eastAsia" w:ascii="Times New Roman" w:hAnsi="Times New Roman" w:cs="宋体"/>
          <w:color w:val="auto"/>
          <w:sz w:val="21"/>
          <w:highlight w:val="none"/>
        </w:rPr>
        <w:t>2.4.1 发包人在履行合同过程中应遵守法律，并办理法律规定或合同约定由其办理的许可、批准或备案，包括但不限于建设用地规划许可证、建设工程规划许可证、建设工程施工许可证等许可和批准。对于法律规定或合同约定由承包人负责的有关设计、施工证件、批件或备案，发包人应给予必要的协助。</w:t>
      </w:r>
      <w:bookmarkEnd w:id="544"/>
    </w:p>
    <w:p>
      <w:pPr>
        <w:pStyle w:val="37"/>
        <w:numPr>
          <w:ilvl w:val="0"/>
          <w:numId w:val="0"/>
        </w:numPr>
        <w:rPr>
          <w:rFonts w:hint="eastAsia" w:ascii="Times New Roman" w:hAnsi="Times New Roman" w:cs="宋体"/>
          <w:color w:val="auto"/>
          <w:sz w:val="21"/>
          <w:highlight w:val="none"/>
        </w:rPr>
      </w:pPr>
      <w:bookmarkStart w:id="545" w:name="_Toc51505129"/>
      <w:r>
        <w:rPr>
          <w:rFonts w:hint="eastAsia" w:ascii="Times New Roman" w:hAnsi="Times New Roman" w:cs="宋体"/>
          <w:color w:val="auto"/>
          <w:sz w:val="21"/>
          <w:highlight w:val="none"/>
        </w:rPr>
        <w:t>2.4.2 因发包人原因未能及时办理完毕前述许可、批准或备案，由发包人承担由此增加的费用和（或）延误的工期，并支付承包人合理的利润。</w:t>
      </w:r>
      <w:bookmarkEnd w:id="545"/>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46" w:name="_Ref11956525"/>
      <w:bookmarkStart w:id="547" w:name="_Ref11918070"/>
      <w:bookmarkStart w:id="548" w:name="_Ref11918060"/>
      <w:bookmarkStart w:id="549" w:name="_Toc54862200"/>
      <w:bookmarkStart w:id="550" w:name="_Ref11956533"/>
      <w:r>
        <w:rPr>
          <w:rFonts w:hint="eastAsia" w:ascii="Times New Roman" w:hAnsi="Times New Roman" w:eastAsia="宋体" w:cs="宋体"/>
          <w:b w:val="0"/>
          <w:bCs/>
          <w:color w:val="auto"/>
          <w:sz w:val="21"/>
          <w:szCs w:val="21"/>
          <w:highlight w:val="none"/>
        </w:rPr>
        <w:t>2.5 支付合同价款</w:t>
      </w:r>
      <w:bookmarkEnd w:id="546"/>
      <w:bookmarkEnd w:id="547"/>
      <w:bookmarkEnd w:id="548"/>
      <w:bookmarkEnd w:id="549"/>
      <w:bookmarkEnd w:id="550"/>
    </w:p>
    <w:p>
      <w:pPr>
        <w:pStyle w:val="37"/>
        <w:numPr>
          <w:ilvl w:val="0"/>
          <w:numId w:val="0"/>
        </w:numPr>
        <w:rPr>
          <w:rFonts w:hint="eastAsia" w:ascii="Times New Roman" w:hAnsi="Times New Roman" w:cs="宋体"/>
          <w:color w:val="auto"/>
          <w:sz w:val="21"/>
          <w:highlight w:val="none"/>
        </w:rPr>
      </w:pPr>
      <w:bookmarkStart w:id="551" w:name="_Toc51505131"/>
      <w:bookmarkStart w:id="552" w:name="_Ref531950147"/>
      <w:r>
        <w:rPr>
          <w:rFonts w:hint="eastAsia" w:ascii="Times New Roman" w:hAnsi="Times New Roman" w:cs="宋体"/>
          <w:color w:val="auto"/>
          <w:sz w:val="21"/>
          <w:highlight w:val="none"/>
        </w:rPr>
        <w:t>2.5.1 发包人应按合同约定向承包人及时支付合同价款。</w:t>
      </w:r>
      <w:bookmarkEnd w:id="551"/>
    </w:p>
    <w:bookmarkEnd w:id="552"/>
    <w:p>
      <w:pPr>
        <w:pStyle w:val="37"/>
        <w:numPr>
          <w:ilvl w:val="0"/>
          <w:numId w:val="0"/>
        </w:numPr>
        <w:rPr>
          <w:rFonts w:hint="eastAsia" w:ascii="Times New Roman" w:hAnsi="Times New Roman" w:cs="宋体"/>
          <w:color w:val="auto"/>
          <w:sz w:val="21"/>
          <w:highlight w:val="none"/>
        </w:rPr>
      </w:pPr>
      <w:bookmarkStart w:id="553" w:name="_Toc51505132"/>
      <w:r>
        <w:rPr>
          <w:rFonts w:hint="eastAsia" w:ascii="Times New Roman" w:hAnsi="Times New Roman" w:cs="宋体"/>
          <w:color w:val="auto"/>
          <w:sz w:val="21"/>
          <w:highlight w:val="none"/>
        </w:rPr>
        <w:t>2.5.2 发包人应当制定资金安排计划，除专用合同条件另有约定外，如发包人拟对资金安排做任何重要变更，应将变更的详细情况通知承包人。如发生承包人收到价格大于签约合同价10%的变更指示或累计变更的总价超过签约合同价30%；或承包人未能根据第14条[合同价格与支付]收到付款，或承包人得知发包人的资金安排发生重要变更但并未收到发包人上述重要变更通知的情况，则承包人可随时要求发包人在28天内补充提供能够按照合同约定支付合同价款的相应资金来源证明。</w:t>
      </w:r>
      <w:bookmarkEnd w:id="553"/>
    </w:p>
    <w:p>
      <w:pPr>
        <w:pStyle w:val="37"/>
        <w:numPr>
          <w:ilvl w:val="0"/>
          <w:numId w:val="0"/>
        </w:numPr>
        <w:rPr>
          <w:rFonts w:hint="eastAsia" w:ascii="Times New Roman" w:hAnsi="Times New Roman" w:cs="宋体"/>
          <w:color w:val="auto"/>
          <w:sz w:val="21"/>
          <w:highlight w:val="none"/>
        </w:rPr>
      </w:pPr>
      <w:bookmarkStart w:id="554" w:name="_Toc51505133"/>
      <w:bookmarkStart w:id="555" w:name="_Ref531950161"/>
      <w:r>
        <w:rPr>
          <w:rFonts w:hint="eastAsia" w:ascii="Times New Roman" w:hAnsi="Times New Roman" w:cs="宋体"/>
          <w:color w:val="auto"/>
          <w:sz w:val="21"/>
          <w:highlight w:val="none"/>
        </w:rPr>
        <w:t>2.5.3 发包人应当向承包人提供支付担保。支付担保可以采用银行保函或担保公司担保等形式，具体由合同当事人在专用合同条件中约定。</w:t>
      </w:r>
      <w:bookmarkEnd w:id="554"/>
      <w:bookmarkEnd w:id="555"/>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56" w:name="_Toc54862201"/>
      <w:r>
        <w:rPr>
          <w:rFonts w:hint="eastAsia" w:ascii="Times New Roman" w:hAnsi="Times New Roman" w:eastAsia="宋体" w:cs="宋体"/>
          <w:b w:val="0"/>
          <w:bCs/>
          <w:color w:val="auto"/>
          <w:sz w:val="21"/>
          <w:szCs w:val="21"/>
          <w:highlight w:val="none"/>
        </w:rPr>
        <w:t>2.6 现场管理配合</w:t>
      </w:r>
      <w:bookmarkEnd w:id="55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发包人应负责保证在现场或现场附近的发包人人员和发包人的其他承包人（如有）：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根据第7.3款[现场合作]的约定，与承包人进行合作；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遵守第7.5款[现场劳动用工]、第7.6款[安全文明施工]、第7.7款[职业健康</w:t>
      </w:r>
      <w:bookmarkStart w:id="557" w:name="_Ref531952761"/>
      <w:bookmarkStart w:id="558" w:name="_Ref531952756"/>
      <w:r>
        <w:rPr>
          <w:rFonts w:hint="eastAsia" w:ascii="Times New Roman" w:hAnsi="Times New Roman" w:cs="宋体"/>
          <w:color w:val="auto"/>
          <w:szCs w:val="21"/>
          <w:highlight w:val="none"/>
        </w:rPr>
        <w:t>]和第7.8款[环境保护]的相关约定。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发包人应与承包人、由发包人直接发包的其他承包人（如有）订立施工现场统一管理协议，明确各方的权利义务。</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59" w:name="_Toc54862202"/>
      <w:bookmarkStart w:id="560" w:name="_Ref11959372"/>
      <w:bookmarkStart w:id="561" w:name="_Ref11959376"/>
      <w:r>
        <w:rPr>
          <w:rFonts w:hint="eastAsia" w:ascii="Times New Roman" w:hAnsi="Times New Roman" w:eastAsia="宋体" w:cs="宋体"/>
          <w:b w:val="0"/>
          <w:bCs/>
          <w:color w:val="auto"/>
          <w:sz w:val="21"/>
          <w:szCs w:val="21"/>
          <w:highlight w:val="none"/>
        </w:rPr>
        <w:t>2.7 其他义务</w:t>
      </w:r>
      <w:bookmarkEnd w:id="559"/>
      <w:bookmarkEnd w:id="560"/>
      <w:bookmarkEnd w:id="56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发包人应履行合同约定的其他义务，双方可在专用合同条件内对发包人应履行的其他义务进行补充约定。</w:t>
      </w:r>
    </w:p>
    <w:bookmarkEnd w:id="557"/>
    <w:bookmarkEnd w:id="558"/>
    <w:p>
      <w:pPr>
        <w:pStyle w:val="49"/>
        <w:numPr>
          <w:ilvl w:val="0"/>
          <w:numId w:val="0"/>
        </w:numPr>
        <w:rPr>
          <w:rFonts w:hint="eastAsia" w:ascii="Times New Roman" w:hAnsi="Times New Roman" w:eastAsia="宋体" w:cs="宋体"/>
          <w:bCs w:val="0"/>
          <w:color w:val="auto"/>
          <w:sz w:val="21"/>
          <w:szCs w:val="21"/>
          <w:highlight w:val="none"/>
        </w:rPr>
      </w:pPr>
      <w:bookmarkStart w:id="562" w:name="_Ref531952791"/>
      <w:bookmarkStart w:id="563" w:name="_Toc54862203"/>
      <w:r>
        <w:rPr>
          <w:rFonts w:hint="eastAsia" w:ascii="Times New Roman" w:hAnsi="Times New Roman" w:eastAsia="宋体" w:cs="宋体"/>
          <w:bCs w:val="0"/>
          <w:color w:val="auto"/>
          <w:sz w:val="21"/>
          <w:szCs w:val="21"/>
          <w:highlight w:val="none"/>
        </w:rPr>
        <w:t>第3条 发包人的管理</w:t>
      </w:r>
      <w:bookmarkEnd w:id="562"/>
      <w:bookmarkEnd w:id="563"/>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64" w:name="_Ref522810094"/>
      <w:bookmarkStart w:id="565" w:name="_Ref522810097"/>
      <w:bookmarkStart w:id="566" w:name="_Toc54862204"/>
      <w:bookmarkStart w:id="567" w:name="_Ref531951538"/>
      <w:bookmarkStart w:id="568" w:name="_Ref531951533"/>
      <w:r>
        <w:rPr>
          <w:rFonts w:hint="eastAsia" w:ascii="Times New Roman" w:hAnsi="Times New Roman" w:eastAsia="宋体" w:cs="宋体"/>
          <w:b w:val="0"/>
          <w:bCs/>
          <w:color w:val="auto"/>
          <w:sz w:val="21"/>
          <w:szCs w:val="21"/>
          <w:highlight w:val="none"/>
        </w:rPr>
        <w:t>3.1 发包人</w:t>
      </w:r>
      <w:bookmarkEnd w:id="564"/>
      <w:bookmarkEnd w:id="565"/>
      <w:r>
        <w:rPr>
          <w:rFonts w:hint="eastAsia" w:ascii="Times New Roman" w:hAnsi="Times New Roman" w:eastAsia="宋体" w:cs="宋体"/>
          <w:b w:val="0"/>
          <w:bCs/>
          <w:color w:val="auto"/>
          <w:sz w:val="21"/>
          <w:szCs w:val="21"/>
          <w:highlight w:val="none"/>
        </w:rPr>
        <w:t>代表</w:t>
      </w:r>
      <w:bookmarkEnd w:id="566"/>
      <w:bookmarkEnd w:id="567"/>
      <w:bookmarkEnd w:id="568"/>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任命发包人代表，并在专用合同条件中明确发包人代表的姓名、职务、联系方式及授权范围等事项。发包人代表应在发包人的授权范围内，负责处理合同履行过程中与发包人有关的具体事宜。发包人代表在授权范围内的行为由发包人承担法律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除非发包人另行通知承包人，发包人代表应被授予并且被认为具有发包人在授权范围内享有的相应权利，涉及第16.1款[由发包人解除合同]的权利除外。</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发包人代表（或者在其为法人的情况下，被任命代表其行事的自然人）应：</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履行指派给其的职责，行使发包人托付给的权利；</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具备履行这些职责、行使这些权利的能力；</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作为熟练的专业人员行事。</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发包人代表为法人且在签订本合同时未能确定授权代表的，发包人代表应在本合同签订之日起3日内向双方发出书面通知，告知被任命和授权的自然人以及任何替代人员。此授权在双方收到本通知后生效。发包人代表撤销该授权或者变更授权代表时也应同样发出该通知。</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发包人更换发包人代表的，应提前14天将更换人的姓名、地址、任务和权利</w:t>
      </w:r>
      <w:del w:id="144" w:author="user" w:date="2025-06-30T11:12:11Z">
        <w:r>
          <w:rPr>
            <w:rFonts w:hint="eastAsia" w:ascii="Times New Roman" w:hAnsi="Times New Roman" w:cs="宋体"/>
            <w:color w:val="auto"/>
            <w:szCs w:val="21"/>
            <w:highlight w:val="none"/>
          </w:rPr>
          <w:delText>、以及</w:delText>
        </w:r>
      </w:del>
      <w:ins w:id="145" w:author="user" w:date="2025-06-30T11:12:11Z">
        <w:r>
          <w:rPr>
            <w:rFonts w:hint="eastAsia" w:cs="宋体"/>
            <w:color w:val="auto"/>
            <w:szCs w:val="21"/>
            <w:highlight w:val="none"/>
            <w:lang w:eastAsia="zh-CN"/>
          </w:rPr>
          <w:t>以及</w:t>
        </w:r>
      </w:ins>
      <w:r>
        <w:rPr>
          <w:rFonts w:hint="eastAsia" w:ascii="Times New Roman" w:hAnsi="Times New Roman" w:cs="宋体"/>
          <w:color w:val="auto"/>
          <w:szCs w:val="21"/>
          <w:highlight w:val="none"/>
        </w:rPr>
        <w:t>任命的日期书面通知承包人。发包人不得将发包人代表更换为承包人根据本款发出通知提出合理反对意见的人员，不论是法人还是自然人。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发包人代表不能按照合同约定履行其职责及义务，并导致合同无法继续正常履行的，承包人可以要求发包人撤换发包人代表。</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69" w:name="_Toc54862205"/>
      <w:bookmarkStart w:id="570" w:name="_Ref531951553"/>
      <w:bookmarkStart w:id="571" w:name="_Ref531951557"/>
      <w:r>
        <w:rPr>
          <w:rFonts w:hint="eastAsia" w:ascii="Times New Roman" w:hAnsi="Times New Roman" w:eastAsia="宋体" w:cs="宋体"/>
          <w:b w:val="0"/>
          <w:bCs/>
          <w:color w:val="auto"/>
          <w:sz w:val="21"/>
          <w:szCs w:val="21"/>
          <w:highlight w:val="none"/>
        </w:rPr>
        <w:t>3.2 发包人人员</w:t>
      </w:r>
      <w:bookmarkEnd w:id="569"/>
      <w:bookmarkEnd w:id="570"/>
      <w:bookmarkEnd w:id="57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人员包括发包人代表、工程师及其他由发包人派驻施工现场的人员，发包人可以在专用合同条件中明确发包人人员的姓名、职务及职责等事项。发包人或发包人代表可随时对一些助手指派和托付一定的任务和权利，也可撤销这些指派和托付。这些助手可包括驻地工程师或担任检验、试验各项工程设备和材料的独立检查员。这些助手应具有适当的资质、履行其任务和权利的能力。以上指派、托付或撤销，在承包人收到通知后生效。承包人对于可能影响正常履约或工程安全质量的发包人人员保有随时提出沟通的权利。</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发包人应要求在施工现场的发包人人员遵守法律及有关安全、质量、环境保护、文明施工等规定，因发包人人员未遵守上述要求给承包人造成的损失和责任由发包人承担。</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72" w:name="_Toc54862206"/>
      <w:r>
        <w:rPr>
          <w:rFonts w:hint="eastAsia" w:ascii="Times New Roman" w:hAnsi="Times New Roman" w:eastAsia="宋体" w:cs="宋体"/>
          <w:b w:val="0"/>
          <w:bCs/>
          <w:color w:val="auto"/>
          <w:sz w:val="21"/>
          <w:szCs w:val="21"/>
          <w:highlight w:val="none"/>
        </w:rPr>
        <w:t>3.3 工程师</w:t>
      </w:r>
      <w:bookmarkEnd w:id="572"/>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3.3.1 发包人需对承包人的设计、采购、施工、服务等工作过程或过程节点实施监督管理的，有权委任工程师。工程师的名称、监督管理范围、内容和权限在专用合同条件中写明。根据国家相关法律法规规定，如本合同工程属于强制监理项目的，由工程师履行法定的监理相关职责，但发包人另行授权第三方进行监理的除外。</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3.3.2 工程师按发包人委托的范围、内容、职权和权限，代表发包人对承包人实施监督管理。若承包人认为工程师行使的职权不在发包人委托的授权范围之内的，则其有权拒绝执行工程师的相关指示，同时应及时通知发包人，发包人书面确认工程师相关指示的，承包人应遵照执行。</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3.3.3 在发包人和承包人之间提供证明、行使决定权或处理权时，工程师应作为独立专业的第三方，根据自己的专业技能和判断进行工作。但工程师或其人员均无权修改合同，且无权减轻或免除合同当事人的任何责任与义务。</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3.3.4 通用合同条件中约定由工程师行使的职权如不在发包人对工程师的授权范围内的，则视为没有取得授权，该职权应由发包人或发包人指定的其他人员行使。若承包人认为工程师的职权与发包人（包括其人员）的职权相重叠或不明确时，应及时通知发包人，由发包人予以协调和明确并以书面形式通知承包人。</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73" w:name="_Toc54862207"/>
      <w:bookmarkStart w:id="574" w:name="_Ref531951594"/>
      <w:bookmarkStart w:id="575" w:name="_Ref531951597"/>
      <w:r>
        <w:rPr>
          <w:rFonts w:hint="eastAsia" w:ascii="Times New Roman" w:hAnsi="Times New Roman" w:eastAsia="宋体" w:cs="宋体"/>
          <w:b w:val="0"/>
          <w:bCs/>
          <w:color w:val="auto"/>
          <w:sz w:val="21"/>
          <w:szCs w:val="21"/>
          <w:highlight w:val="none"/>
        </w:rPr>
        <w:t>3.4 任命和授权</w:t>
      </w:r>
      <w:bookmarkEnd w:id="573"/>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3.4.1 发包人应在发出开始工作通知前将工程师的任命通知承包人。更换工程师的，发包人应提前7天以书面形式通知承包人，并在通知中写明替换者的姓名、职务、职权、权限和任命时间。工程师超过2天不能履行职责的，应委派代表代行其职责，并通知承包人。</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3.4.2 工程师可以授权其他人员负责执行其指派的一项或多项工作，但第3.6款[商定或确定]下的权利除外。工程师应将被授权人员的姓名及其授权范围通知承包人。被授权的人员在授权范围内发出的指示视为已得到工程师的同意，与工程师发出的指示具有同等效力。工程师撤销某项授权时，应将撤销授权的决定及时通知承包人。</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76" w:name="_Ref20165400"/>
      <w:bookmarkStart w:id="577" w:name="_Toc54862208"/>
      <w:r>
        <w:rPr>
          <w:rFonts w:hint="eastAsia" w:ascii="Times New Roman" w:hAnsi="Times New Roman" w:eastAsia="宋体" w:cs="宋体"/>
          <w:b w:val="0"/>
          <w:bCs/>
          <w:color w:val="auto"/>
          <w:sz w:val="21"/>
          <w:szCs w:val="21"/>
          <w:highlight w:val="none"/>
        </w:rPr>
        <w:t>3.5 指示</w:t>
      </w:r>
      <w:bookmarkEnd w:id="574"/>
      <w:bookmarkEnd w:id="575"/>
      <w:bookmarkEnd w:id="576"/>
      <w:bookmarkEnd w:id="577"/>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3.5.1 工程师应按照发包人的授权发出指示。工程师的指示应采用书面形式，盖有工程师授权的项目管理机构章，并由工程师的授权人员签字。在紧急情况下，工程师的授权人员可以口头形式发出指示或当场签发临时书面指示，承包人应遵照执行。工程师应在授权人员发出口头指示或临时书面指示后24小时内发出书面确认函，在24小时内未发出书面确认函的，该口头指示或临时书面指示应被视为工程师的正式指示。</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3.5.2 承包人收到工程师作出的指示后应遵照执行。如果任何此类指示构成一项变更时，应按照第13条[变更与调整]的约定办理。</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3.5.3 由于工程师未能按合同约定发出指示、指示延误或指示错误而导致承包人费用增加和（或）工期延误的，发包人应承担由此增加的费用和（或）工期延误，并向承包人支付合理利润。</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78" w:name="_Toc54862209"/>
      <w:bookmarkStart w:id="579" w:name="_Ref531951609"/>
      <w:bookmarkStart w:id="580" w:name="_Ref531951611"/>
      <w:r>
        <w:rPr>
          <w:rFonts w:hint="eastAsia" w:ascii="Times New Roman" w:hAnsi="Times New Roman" w:eastAsia="宋体" w:cs="宋体"/>
          <w:b w:val="0"/>
          <w:bCs/>
          <w:color w:val="auto"/>
          <w:sz w:val="21"/>
          <w:szCs w:val="21"/>
          <w:highlight w:val="none"/>
        </w:rPr>
        <w:t>3.6 商定或确定</w:t>
      </w:r>
      <w:bookmarkEnd w:id="578"/>
      <w:bookmarkEnd w:id="579"/>
      <w:bookmarkEnd w:id="580"/>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3.6.1 合同约定工程师应按照本款对任何事项进行商定或确定时，工程师应及时与合同当事人协商，尽量达成一致。工程师应将商定的结果以书面形式通知发包人和承包人，并由双方签署确认。</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3.6.2 除专用合同条件另有约定外，商定的期限应为工程师收到任何一方就商定事由发出的通知后42天内或工程师提出并经双方同意的其他期限。未能在该期限内达成一致的，由工程师按照合同约定审慎做出公正的确定。确定的期限应为商定的期限届满后42天内或工程师提出并经双方同意的其他期限。工程师应将确定的结果以书面形式通知发包人和承包人，并附详细依据。</w:t>
      </w:r>
    </w:p>
    <w:p>
      <w:pPr>
        <w:pStyle w:val="37"/>
        <w:numPr>
          <w:ilvl w:val="0"/>
          <w:numId w:val="0"/>
        </w:numPr>
        <w:rPr>
          <w:rFonts w:hint="eastAsia" w:ascii="Times New Roman" w:hAnsi="Times New Roman" w:cs="宋体"/>
          <w:color w:val="auto"/>
          <w:sz w:val="21"/>
          <w:highlight w:val="none"/>
        </w:rPr>
      </w:pPr>
      <w:bookmarkStart w:id="581" w:name="_Ref532287856"/>
      <w:r>
        <w:rPr>
          <w:rFonts w:hint="eastAsia" w:ascii="Times New Roman" w:hAnsi="Times New Roman" w:cs="宋体"/>
          <w:color w:val="auto"/>
          <w:sz w:val="21"/>
          <w:highlight w:val="none"/>
        </w:rPr>
        <w:t>3.6.3 任何一方对工程师的确定有异议的，应在收到确定的结果后28天内向另一方发出书面异议通知并抄送工程师。除第19.2款[承包人索赔的处理程序]另有约定外，工程师未能在确定的期限内发出确定的结果通知的，或者任何一方发出对确定的结果有异议的通知的，则构成争议并应按照第20条[争议解决]的约定处理。如未在28天内发出上述通知的，工程师的确定应被视为已被双方接受并对双方具有约束力，但专用合同条件另有约定的除外。</w:t>
      </w:r>
      <w:bookmarkEnd w:id="581"/>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3.6.4 在该争议解决前，双方应暂按工程师的确定执行。按照第20条[争议解决]的约定对工程师的确定作出修改的，按修改后的结果执行，由此导致承包人增加的费用和延误的工期由责任方承担。</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82" w:name="_Toc54862210"/>
      <w:bookmarkStart w:id="583" w:name="_Ref531951747"/>
      <w:bookmarkStart w:id="584" w:name="_Ref531951749"/>
      <w:r>
        <w:rPr>
          <w:rFonts w:hint="eastAsia" w:ascii="Times New Roman" w:hAnsi="Times New Roman" w:eastAsia="宋体" w:cs="宋体"/>
          <w:b w:val="0"/>
          <w:bCs/>
          <w:color w:val="auto"/>
          <w:sz w:val="21"/>
          <w:szCs w:val="21"/>
          <w:highlight w:val="none"/>
        </w:rPr>
        <w:t>3.7 会议</w:t>
      </w:r>
      <w:bookmarkEnd w:id="582"/>
      <w:bookmarkEnd w:id="583"/>
      <w:bookmarkEnd w:id="584"/>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3.7.1 除专用合同条件另有约定外，任何一方可向另一方发出通知，要求另一方出席会议，讨论工程的实施安排或与本合同履行有关的其他事项。发包人的其他承包人、承包人的分包人和其他第三方可应任何一方的请求出席任何此类会议。</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3.7.2 除专用合同条件另有约定外，发包人应保存每次会议参加人签名的记录，并将会议纪要提供给出席会议的人员。任何根据此类会议以及会议纪要采取的行动应符合本合同的约定。</w:t>
      </w:r>
    </w:p>
    <w:p>
      <w:pPr>
        <w:pStyle w:val="49"/>
        <w:numPr>
          <w:ilvl w:val="0"/>
          <w:numId w:val="0"/>
        </w:numPr>
        <w:rPr>
          <w:rFonts w:hint="eastAsia" w:ascii="Times New Roman" w:hAnsi="Times New Roman" w:eastAsia="宋体" w:cs="宋体"/>
          <w:bCs w:val="0"/>
          <w:color w:val="auto"/>
          <w:sz w:val="21"/>
          <w:szCs w:val="21"/>
          <w:highlight w:val="none"/>
        </w:rPr>
      </w:pPr>
      <w:bookmarkStart w:id="585" w:name="_Ref531952805"/>
      <w:bookmarkStart w:id="586" w:name="_Toc54862211"/>
      <w:r>
        <w:rPr>
          <w:rFonts w:hint="eastAsia" w:ascii="Times New Roman" w:hAnsi="Times New Roman" w:eastAsia="宋体" w:cs="宋体"/>
          <w:bCs w:val="0"/>
          <w:color w:val="auto"/>
          <w:sz w:val="21"/>
          <w:szCs w:val="21"/>
          <w:highlight w:val="none"/>
        </w:rPr>
        <w:t>第4条 承包人</w:t>
      </w:r>
      <w:bookmarkEnd w:id="585"/>
      <w:bookmarkEnd w:id="586"/>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87" w:name="_Ref531951961"/>
      <w:bookmarkStart w:id="588" w:name="_Ref531951945"/>
      <w:bookmarkStart w:id="589" w:name="_Ref531951941"/>
      <w:bookmarkStart w:id="590" w:name="_Toc54862212"/>
      <w:bookmarkStart w:id="591" w:name="_Ref531951975"/>
      <w:bookmarkStart w:id="592" w:name="_Ref531951958"/>
      <w:r>
        <w:rPr>
          <w:rFonts w:hint="eastAsia" w:ascii="Times New Roman" w:hAnsi="Times New Roman" w:eastAsia="宋体" w:cs="宋体"/>
          <w:b w:val="0"/>
          <w:bCs/>
          <w:color w:val="auto"/>
          <w:sz w:val="21"/>
          <w:szCs w:val="21"/>
          <w:highlight w:val="none"/>
        </w:rPr>
        <w:t>4.1 承包人的一般义务</w:t>
      </w:r>
      <w:bookmarkEnd w:id="587"/>
      <w:bookmarkEnd w:id="588"/>
      <w:bookmarkEnd w:id="589"/>
      <w:bookmarkEnd w:id="590"/>
      <w:bookmarkEnd w:id="591"/>
      <w:bookmarkEnd w:id="592"/>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bookmarkStart w:id="593" w:name="_Ref509046929"/>
      <w:r>
        <w:rPr>
          <w:rFonts w:hint="eastAsia" w:ascii="Times New Roman" w:hAnsi="Times New Roman" w:cs="宋体"/>
          <w:color w:val="auto"/>
          <w:szCs w:val="21"/>
          <w:highlight w:val="none"/>
        </w:rPr>
        <w:t>除专用合同条件另有约定外，承包人在履行合同过程中应遵守法律和工程建设标准规范，并履行以下义务：</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办理法律规定和合同约定由承包人办理的许可和批准，将办理结果书面报送发包人留存，并承担因承包人违反法律或合同约定给发包人造成的任何费用和损失；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按合同约定完成全部工作并在缺陷责任期和保修期内承担缺陷保证责任和保修义务，对工作中的任何缺陷进行整改、完善和修补，使其满足合同约定的目的；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提供合同约定的工程设备和承包人文件，以及为完成合同工作所需的劳务、材料、施工设备和其他物品，并按合同约定负责临时设施的设计、施工、运行、维护、管理和拆除；</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按合同约定的工作内容和进度要求，编制设计、施工的组织和实施计划，保证项目进度计划的实现，并对所有设计、施工作业和施工方法，以及全部工程的完备性和安全可靠性负责；</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按法律规定和合同约定采取安全文明施工、职业健康和环境保护措施，办理员工工伤保险等相关保险，确保工程及人员、材料、设备和设施的安全，防止因工程实施造成的人身伤害和财产损失；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将发包人按合同约定支付的各项价款专用于合同工程，且应及时支付其雇用人员（包括建筑工人）工资，并及时向分包人支付合同价款；</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在进行合同约定的各项工作时，不得侵害发包人与他人使用公用道路、水源、市政管网等公共设施的权利，避免对邻近的公共设施产生干扰。</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594" w:name="_Toc54862213"/>
      <w:bookmarkStart w:id="595" w:name="_Ref4426803"/>
      <w:bookmarkStart w:id="596" w:name="_Ref4428418"/>
      <w:r>
        <w:rPr>
          <w:rFonts w:hint="eastAsia" w:ascii="Times New Roman" w:hAnsi="Times New Roman" w:eastAsia="宋体" w:cs="宋体"/>
          <w:b w:val="0"/>
          <w:bCs/>
          <w:color w:val="auto"/>
          <w:sz w:val="21"/>
          <w:szCs w:val="21"/>
          <w:highlight w:val="none"/>
        </w:rPr>
        <w:t>4.2 履约担保</w:t>
      </w:r>
      <w:bookmarkEnd w:id="594"/>
      <w:bookmarkEnd w:id="59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需要承包人提供履约担保的，由合同当事人在专用合同条件中约定履约担保的方式、金额及提交的时间等，并应符合第2.5款[支付合同价款]的规定。履约担保可以采用银行保函或担保公司担保等形式，承包人为联合体的，其履约担保由联合体各方或者联合体中牵头人的名义代表联合体提交，具体由合同当事人在专用合同条件中约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承包人应保证其履约担保在发包人竣工验收前一直有效，发包人应在竣工验收合格后7天内将履约担保款项退还给承包人或者解除履约担保。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因承包人原因导致工期延长的，继续提供履约担保所增加的费用由承包人承担；非因承包人原因导致工期延长的，继续提供履约担保所增加的费用由发包人承担。</w:t>
      </w:r>
    </w:p>
    <w:bookmarkEnd w:id="593"/>
    <w:bookmarkEnd w:id="596"/>
    <w:p>
      <w:pPr>
        <w:pStyle w:val="54"/>
        <w:widowControl/>
        <w:numPr>
          <w:ilvl w:val="0"/>
          <w:numId w:val="0"/>
        </w:numPr>
        <w:rPr>
          <w:rFonts w:hint="eastAsia" w:ascii="Times New Roman" w:hAnsi="Times New Roman" w:eastAsia="宋体" w:cs="宋体"/>
          <w:b w:val="0"/>
          <w:bCs/>
          <w:color w:val="auto"/>
          <w:sz w:val="21"/>
          <w:szCs w:val="21"/>
          <w:highlight w:val="none"/>
        </w:rPr>
      </w:pPr>
      <w:bookmarkStart w:id="597" w:name="_Toc54862214"/>
      <w:bookmarkStart w:id="598" w:name="_Ref532689108"/>
      <w:bookmarkStart w:id="599" w:name="_Ref532689105"/>
      <w:r>
        <w:rPr>
          <w:rFonts w:hint="eastAsia" w:ascii="Times New Roman" w:hAnsi="Times New Roman" w:eastAsia="宋体" w:cs="宋体"/>
          <w:b w:val="0"/>
          <w:bCs/>
          <w:color w:val="auto"/>
          <w:sz w:val="21"/>
          <w:szCs w:val="21"/>
          <w:highlight w:val="none"/>
        </w:rPr>
        <w:t>4.3 工程总承包项目经理</w:t>
      </w:r>
      <w:bookmarkEnd w:id="597"/>
      <w:bookmarkEnd w:id="598"/>
      <w:bookmarkEnd w:id="599"/>
    </w:p>
    <w:p>
      <w:pPr>
        <w:pStyle w:val="37"/>
        <w:numPr>
          <w:ilvl w:val="0"/>
          <w:numId w:val="0"/>
        </w:numPr>
        <w:rPr>
          <w:rFonts w:hint="eastAsia" w:ascii="Times New Roman" w:hAnsi="Times New Roman" w:cs="宋体"/>
          <w:color w:val="auto"/>
          <w:sz w:val="21"/>
          <w:highlight w:val="none"/>
        </w:rPr>
      </w:pPr>
      <w:bookmarkStart w:id="600" w:name="_Ref532351726"/>
      <w:r>
        <w:rPr>
          <w:rFonts w:hint="eastAsia" w:ascii="Times New Roman" w:hAnsi="Times New Roman" w:cs="宋体"/>
          <w:color w:val="auto"/>
          <w:sz w:val="21"/>
          <w:highlight w:val="none"/>
        </w:rPr>
        <w:t>4.3.1 工程总承包项目经理应为合同当事人所确认的人选，并在专用合同条件中明确工程总承包项目经理的姓名、注册执业资格或职称、联系方式及授权范围等事项。工程总承包项目经理应具备履行其职责所需的资格、经验和能力，并为承包人正式聘用的员工，承包人应向发包人提交工程总承包项目经理与承包人之间的劳动合同，以及承包人为工程总承包项目经理缴纳社会保险的有效证明。承包人不提交上述文件的，工程总承包项目经理无权履行职责，发包人有权要求更换工程总承包项目经理，由此增加的费用和（或）延误的工期由承包人承担。同时，发包人有权根据专用合同条件约定要求承包人承担违约责任。</w:t>
      </w:r>
      <w:bookmarkEnd w:id="600"/>
    </w:p>
    <w:p>
      <w:pPr>
        <w:pStyle w:val="37"/>
        <w:numPr>
          <w:ilvl w:val="0"/>
          <w:numId w:val="0"/>
        </w:numPr>
        <w:rPr>
          <w:rFonts w:hint="eastAsia" w:ascii="Times New Roman" w:hAnsi="Times New Roman" w:cs="宋体"/>
          <w:color w:val="auto"/>
          <w:sz w:val="21"/>
          <w:highlight w:val="none"/>
        </w:rPr>
      </w:pPr>
      <w:bookmarkStart w:id="601" w:name="_Ref532689263"/>
      <w:r>
        <w:rPr>
          <w:rFonts w:hint="eastAsia" w:ascii="Times New Roman" w:hAnsi="Times New Roman" w:cs="宋体"/>
          <w:color w:val="auto"/>
          <w:sz w:val="21"/>
          <w:highlight w:val="none"/>
        </w:rPr>
        <w:t>4.3.2 承包人应按合同协议书的约定指派工程总承包项目经理，并在约定的期限内到职。工程总承包项目经理不得同时担任其他工程项目的工程总承包项目经理或施工工程总承包项目经理（含施工总承包工程、专业承包工程）。工程在现场实施的全部时间内，工程总承包项目经理每月在施工现场时间不得少于专用合同条件约定的天数。工程总承包项目经理确需离开施工现场时，应事先通知工程师，并取得发包人的书面同意。工程总承包项目经理未经批准擅自离开施工现场的，承包人应按照专用合同条件的约定承担违约责任。工程总承包项目经理的通知中应当载明临时代行其职责的人员的注册执业资格、管理经验等资料，该人员应具备履行相应职责的资格、经验和能力。</w:t>
      </w:r>
      <w:bookmarkEnd w:id="601"/>
    </w:p>
    <w:p>
      <w:pPr>
        <w:pStyle w:val="37"/>
        <w:numPr>
          <w:ilvl w:val="0"/>
          <w:numId w:val="0"/>
        </w:numPr>
        <w:rPr>
          <w:rFonts w:hint="eastAsia" w:ascii="Times New Roman" w:hAnsi="Times New Roman" w:cs="宋体"/>
          <w:color w:val="auto"/>
          <w:sz w:val="21"/>
          <w:highlight w:val="none"/>
        </w:rPr>
      </w:pPr>
      <w:bookmarkStart w:id="602" w:name="_Ref532689178"/>
      <w:bookmarkStart w:id="603" w:name="_Ref531952112"/>
      <w:r>
        <w:rPr>
          <w:rFonts w:hint="eastAsia" w:ascii="Times New Roman" w:hAnsi="Times New Roman" w:cs="宋体"/>
          <w:color w:val="auto"/>
          <w:sz w:val="21"/>
          <w:highlight w:val="none"/>
        </w:rPr>
        <w:t>4.3.3 承包人应根据本合同的约定授予工程总承包项目经理代表承包人履行合同所需的权利，工程总承包项目经理权限以专用合同条件中约定的权限为准。经承包人授权后，工程总承包项目经理应按合同约定以及工程师按第3.5款[指示]作出的指示，代表承包人负责组织合同的实施。在紧急情况下，且无法与发包人和工程师取得联系时，工程总承包项目经理有权采取必要的措施保证人身、工程和财产的安全，但须在事后48小时内向工程师送交书面报告。</w:t>
      </w:r>
      <w:bookmarkEnd w:id="602"/>
    </w:p>
    <w:bookmarkEnd w:id="603"/>
    <w:p>
      <w:pPr>
        <w:pStyle w:val="37"/>
        <w:numPr>
          <w:ilvl w:val="0"/>
          <w:numId w:val="0"/>
        </w:numPr>
        <w:rPr>
          <w:rFonts w:hint="eastAsia" w:ascii="Times New Roman" w:hAnsi="Times New Roman" w:cs="宋体"/>
          <w:color w:val="auto"/>
          <w:sz w:val="21"/>
          <w:highlight w:val="none"/>
        </w:rPr>
      </w:pPr>
      <w:bookmarkStart w:id="604" w:name="_Ref4426412"/>
      <w:r>
        <w:rPr>
          <w:rFonts w:hint="eastAsia" w:ascii="Times New Roman" w:hAnsi="Times New Roman" w:cs="宋体"/>
          <w:color w:val="auto"/>
          <w:sz w:val="21"/>
          <w:highlight w:val="none"/>
        </w:rPr>
        <w:t>4.3.4 承包人需要更换工程总承包项目经理的，应提前14天书面通知发包人并抄送工程师，征得发包人书面同意。通知中应当载明继任工程总承包项目经理的注册执业资格、管理经验等资料，继任工程总承包项目经理继续履行本合同约定的职责。未经发包人书面同意，承包人不得擅自更换工程总承包项目经理，在发包人未予以书面回复期间内，工程总承包项目经理将继续履行其职责。工程总承包项目经理突发丧失履行职务能力的，承包人应当及时委派一位具有相应资格能力的人员担任临时工程总承包项目经理，履行工程总承包项目经理的职责，临时工程总承包项目经理将履行职责直至发包人同意新的工程总承包项目经理的任命之日止。承包人擅自更换工程总承包项目经理的，</w:t>
      </w:r>
      <w:bookmarkStart w:id="605" w:name="_Hlk55056591"/>
      <w:r>
        <w:rPr>
          <w:rFonts w:hint="eastAsia" w:ascii="Times New Roman" w:hAnsi="Times New Roman" w:cs="宋体"/>
          <w:color w:val="auto"/>
          <w:sz w:val="21"/>
          <w:highlight w:val="none"/>
        </w:rPr>
        <w:t>应按照专用合同条件的约定承担违约责任。</w:t>
      </w:r>
      <w:bookmarkEnd w:id="604"/>
      <w:bookmarkEnd w:id="605"/>
    </w:p>
    <w:p>
      <w:pPr>
        <w:pStyle w:val="37"/>
        <w:numPr>
          <w:ilvl w:val="0"/>
          <w:numId w:val="0"/>
        </w:numPr>
        <w:rPr>
          <w:rFonts w:hint="eastAsia" w:ascii="Times New Roman" w:hAnsi="Times New Roman" w:cs="宋体"/>
          <w:color w:val="auto"/>
          <w:sz w:val="21"/>
          <w:highlight w:val="none"/>
        </w:rPr>
      </w:pPr>
      <w:bookmarkStart w:id="606" w:name="_Ref531952137"/>
      <w:r>
        <w:rPr>
          <w:rFonts w:hint="eastAsia" w:ascii="Times New Roman" w:hAnsi="Times New Roman" w:cs="宋体"/>
          <w:color w:val="auto"/>
          <w:sz w:val="21"/>
          <w:highlight w:val="none"/>
        </w:rPr>
        <w:t>4.3.5 发包人有权书面通知承包人要求更换其认为不称职的工程总承包项目经理，通知中应当载明要求更换的理由。承包人应在接到更换通知后14天内向发包人提出书面的改进报告。如承包人没有提出改进报告，应在收到更换通知后28天内更换项目经理。发包人收到改进报告后仍要求更换的，承包人应在接到第二次更换通知的28天内进行更换，并将新任命的工程总承包项目经理的注册执业资格、管理经验等资料书面通知发包人。继任工程总承包项目经理继续履行本合同约定的职责。承包人无正当理由拒绝更换工程总承包项目经理的，应按照专用合同条件的约定承担违约责任。</w:t>
      </w:r>
      <w:bookmarkEnd w:id="606"/>
    </w:p>
    <w:p>
      <w:pPr>
        <w:pStyle w:val="37"/>
        <w:numPr>
          <w:ilvl w:val="0"/>
          <w:numId w:val="0"/>
        </w:numPr>
        <w:rPr>
          <w:rFonts w:hint="eastAsia" w:ascii="Times New Roman" w:hAnsi="Times New Roman" w:cs="宋体"/>
          <w:color w:val="auto"/>
          <w:sz w:val="21"/>
          <w:highlight w:val="none"/>
        </w:rPr>
      </w:pPr>
      <w:bookmarkStart w:id="607" w:name="_Ref122620"/>
      <w:r>
        <w:rPr>
          <w:rFonts w:hint="eastAsia" w:ascii="Times New Roman" w:hAnsi="Times New Roman" w:cs="宋体"/>
          <w:color w:val="auto"/>
          <w:sz w:val="21"/>
          <w:highlight w:val="none"/>
        </w:rPr>
        <w:t>4.3.6 工程总承包项目经理因特殊情况授权其下属人员履行其某项工作职责的，该下属人员应具备履行相应职责的能力，并应事先将上述人员的姓名、注册执业资格、管理经验等信息和授权范围书面通知发包人并抄送工程师，征得发包人书面同意。</w:t>
      </w:r>
      <w:bookmarkEnd w:id="607"/>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08" w:name="_Ref531952172"/>
      <w:bookmarkStart w:id="609" w:name="_Ref531952175"/>
      <w:bookmarkStart w:id="610" w:name="_Toc54862215"/>
      <w:r>
        <w:rPr>
          <w:rFonts w:hint="eastAsia" w:ascii="Times New Roman" w:hAnsi="Times New Roman" w:eastAsia="宋体" w:cs="宋体"/>
          <w:b w:val="0"/>
          <w:bCs/>
          <w:color w:val="auto"/>
          <w:sz w:val="21"/>
          <w:szCs w:val="21"/>
          <w:highlight w:val="none"/>
        </w:rPr>
        <w:t>4.4 承包人人员</w:t>
      </w:r>
      <w:bookmarkEnd w:id="608"/>
      <w:bookmarkEnd w:id="609"/>
      <w:bookmarkEnd w:id="610"/>
    </w:p>
    <w:p>
      <w:pPr>
        <w:pStyle w:val="37"/>
        <w:numPr>
          <w:ilvl w:val="0"/>
          <w:numId w:val="0"/>
        </w:numPr>
        <w:rPr>
          <w:rFonts w:hint="eastAsia" w:ascii="Times New Roman" w:hAnsi="Times New Roman" w:cs="宋体"/>
          <w:color w:val="auto"/>
          <w:sz w:val="21"/>
          <w:highlight w:val="none"/>
        </w:rPr>
      </w:pPr>
      <w:bookmarkStart w:id="611" w:name="_Ref531952185"/>
      <w:r>
        <w:rPr>
          <w:rFonts w:hint="eastAsia" w:ascii="Times New Roman" w:hAnsi="Times New Roman" w:cs="宋体"/>
          <w:color w:val="auto"/>
          <w:sz w:val="21"/>
          <w:highlight w:val="none"/>
        </w:rPr>
        <w:t>4.4.1 人员安排</w:t>
      </w:r>
      <w:bookmarkEnd w:id="61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人员的资质、数量、配置和管理应能满足工程实施的需要。除专用合同条件另有约定外，承包人应在接到开始工作通知之日起14天内，向工程师提交承包人的项目管理机构以及人员安排的报告，其内容应包括管理机构的设置、各主要岗位的关键人员名单及注册执业资格等证明其具备担任关键人员能力的相关文件，以及设计人员和各工种技术负责人的安排状况。</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关键人员</w:t>
      </w:r>
      <w:bookmarkStart w:id="612" w:name="_Hlk16210335"/>
      <w:r>
        <w:rPr>
          <w:rFonts w:hint="eastAsia" w:ascii="Times New Roman" w:hAnsi="Times New Roman" w:cs="宋体"/>
          <w:color w:val="auto"/>
          <w:szCs w:val="21"/>
          <w:highlight w:val="none"/>
        </w:rPr>
        <w:t>是发包人及承包人一致认为对工程建设起重要作用的承包人主要管理人员或技术人员。关键人员的具体范围由发包人及承包人在附件5[承包人主要管理人员表]中另行约定。</w:t>
      </w:r>
    </w:p>
    <w:bookmarkEnd w:id="612"/>
    <w:p>
      <w:pPr>
        <w:pStyle w:val="37"/>
        <w:numPr>
          <w:ilvl w:val="0"/>
          <w:numId w:val="0"/>
        </w:numPr>
        <w:rPr>
          <w:rFonts w:hint="eastAsia" w:ascii="Times New Roman" w:hAnsi="Times New Roman" w:cs="宋体"/>
          <w:color w:val="auto"/>
          <w:sz w:val="21"/>
          <w:highlight w:val="none"/>
        </w:rPr>
      </w:pPr>
      <w:bookmarkStart w:id="613" w:name="_Ref531952211"/>
      <w:bookmarkStart w:id="614" w:name="_Ref4426641"/>
      <w:r>
        <w:rPr>
          <w:rFonts w:hint="eastAsia" w:ascii="Times New Roman" w:hAnsi="Times New Roman" w:cs="宋体"/>
          <w:color w:val="auto"/>
          <w:sz w:val="21"/>
          <w:highlight w:val="none"/>
        </w:rPr>
        <w:t>4.4.2 关键人员更换</w:t>
      </w:r>
      <w:bookmarkEnd w:id="613"/>
      <w:bookmarkEnd w:id="614"/>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派驻到施工现场的关键人员应相对稳定。承包人更换关键人员时，应提前14天将继任关键人员信息及相关证明文件提交给工程师，并由工程师报发包人征求同意。在发包人未予以书面回复期间内，关键人员将继续履行其职务。关键人员突发丧失履行职务能力的，承包人应当及时委派一位具有相应资格能力的人员临时继任该关键人员职位，履行该关键人员职责，临时继任关键人员将履行职责直至发包人同意新的关键人员任命之日止。承包人擅自更换关键人员，应按照专用合同条件约定承担违约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对于承包人关键人员的资格或能力有异议的，承包人应提供资料证明被质疑人员有能力完成其岗位工作或不存在工程师所质疑的情形。工程师指示撤换不能按照合同约定履行职责及义务的主要施工管理人员的，承包人应当撤换。承包人无正当理由拒绝撤换的，应按照专用合同条件的约定承担违约责任。</w:t>
      </w:r>
    </w:p>
    <w:p>
      <w:pPr>
        <w:pStyle w:val="37"/>
        <w:numPr>
          <w:ilvl w:val="0"/>
          <w:numId w:val="0"/>
        </w:numPr>
        <w:rPr>
          <w:rFonts w:hint="eastAsia" w:ascii="Times New Roman" w:hAnsi="Times New Roman" w:cs="宋体"/>
          <w:color w:val="auto"/>
          <w:sz w:val="21"/>
          <w:highlight w:val="none"/>
        </w:rPr>
      </w:pPr>
      <w:bookmarkStart w:id="615" w:name="_Ref531952227"/>
      <w:r>
        <w:rPr>
          <w:rFonts w:hint="eastAsia" w:ascii="Times New Roman" w:hAnsi="Times New Roman" w:cs="宋体"/>
          <w:color w:val="auto"/>
          <w:sz w:val="21"/>
          <w:highlight w:val="none"/>
        </w:rPr>
        <w:t>4.4.3 现场管理关键人员在岗要求</w:t>
      </w:r>
      <w:bookmarkEnd w:id="61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的现场管理关键人员离开施工现场每月累计不超过7天的，应报工程师同意；离开施工现场每月累计超过7天的，应书面通知发包人并抄送工程师，征得发包人书面同意。现场管理关键人员因故离开施工现场的，可授权有经验的人员临时代行其职责，但承包人应将被授权人员信息及授权范围书面通知发包人并取得其同意。现场管理关键人员未经工程师或发包人同意擅自离开施工现场的，应按照专用合同条件约定承担违约责任。</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16" w:name="_Ref531952259"/>
      <w:bookmarkStart w:id="617" w:name="_Ref531952262"/>
      <w:bookmarkStart w:id="618" w:name="_Toc54862216"/>
      <w:r>
        <w:rPr>
          <w:rFonts w:hint="eastAsia" w:ascii="Times New Roman" w:hAnsi="Times New Roman" w:eastAsia="宋体" w:cs="宋体"/>
          <w:b w:val="0"/>
          <w:bCs/>
          <w:color w:val="auto"/>
          <w:sz w:val="21"/>
          <w:szCs w:val="21"/>
          <w:highlight w:val="none"/>
        </w:rPr>
        <w:t>4.5 分包</w:t>
      </w:r>
      <w:bookmarkEnd w:id="616"/>
      <w:bookmarkEnd w:id="617"/>
      <w:bookmarkEnd w:id="618"/>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bookmarkStart w:id="619" w:name="_Ref531952273"/>
      <w:r>
        <w:rPr>
          <w:rFonts w:hint="eastAsia" w:ascii="Times New Roman" w:hAnsi="Times New Roman" w:cs="宋体"/>
          <w:color w:val="auto"/>
          <w:sz w:val="21"/>
          <w:highlight w:val="none"/>
        </w:rPr>
        <w:t>4.5.1 一般约定</w:t>
      </w:r>
      <w:bookmarkEnd w:id="61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不得将其承包的全部工程转包给第三人，或将其承包的全部工程支解后以分包的名义转包给第三人。承包人不得将法律或专用合同条件中禁止分包的工作事项分包给第三人，不得以劳务分包的名义转包或违法分包工程。</w:t>
      </w:r>
    </w:p>
    <w:p>
      <w:pPr>
        <w:pStyle w:val="37"/>
        <w:numPr>
          <w:ilvl w:val="0"/>
          <w:numId w:val="0"/>
        </w:numPr>
        <w:rPr>
          <w:rFonts w:hint="eastAsia" w:ascii="Times New Roman" w:hAnsi="Times New Roman" w:cs="宋体"/>
          <w:color w:val="auto"/>
          <w:sz w:val="21"/>
          <w:highlight w:val="none"/>
        </w:rPr>
      </w:pPr>
      <w:bookmarkStart w:id="620" w:name="_Ref531952286"/>
      <w:r>
        <w:rPr>
          <w:rFonts w:hint="eastAsia" w:ascii="Times New Roman" w:hAnsi="Times New Roman" w:cs="宋体"/>
          <w:color w:val="auto"/>
          <w:sz w:val="21"/>
          <w:highlight w:val="none"/>
        </w:rPr>
        <w:t>4.5.2 分包的确定</w:t>
      </w:r>
      <w:bookmarkEnd w:id="62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承包人应按照专用合同条件约定对工作事项进行分包，确定分包人。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专用合同条件未列出的分包事项，承包人可在工程实施阶段分批分期就分包事项向发包人提交申请，发包人在接到分包事项申请后的14天内，予以批准或提出意见。未经发包人同意，承包人不得将提出的拟分包事项对外分包。发包人未能在14天内批准亦未提出意见的，承包人有权将提出的拟分包事项对外分包，但应在分包人确定后通知发包人。</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4.5.3 分包人资质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分包人应符合国家法律规定的资质等级，否则不能作为分包人。承包人有义务对分包人的资质进行审查。</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4.5.4 分包管理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当对分包人的工作进行必要的协调与管理，确保分包人严格执行国家有关分包事项的管理规定。承包人应向工程师提交分包人的主要管理人员表，并对分包人的工作人员进行实名制管理，包括但不限于进出场管理、登记造册以及各种证照的办理。</w:t>
      </w:r>
    </w:p>
    <w:p>
      <w:pPr>
        <w:pStyle w:val="37"/>
        <w:numPr>
          <w:ilvl w:val="0"/>
          <w:numId w:val="0"/>
        </w:numPr>
        <w:rPr>
          <w:rFonts w:hint="eastAsia" w:ascii="Times New Roman" w:hAnsi="Times New Roman" w:cs="宋体"/>
          <w:color w:val="auto"/>
          <w:sz w:val="21"/>
          <w:highlight w:val="none"/>
        </w:rPr>
      </w:pPr>
      <w:bookmarkStart w:id="621" w:name="_Ref531952298"/>
      <w:r>
        <w:rPr>
          <w:rFonts w:hint="eastAsia" w:ascii="Times New Roman" w:hAnsi="Times New Roman" w:cs="宋体"/>
          <w:color w:val="auto"/>
          <w:sz w:val="21"/>
          <w:highlight w:val="none"/>
        </w:rPr>
        <w:t>4.5.5 分包合同价款支付</w:t>
      </w:r>
      <w:bookmarkEnd w:id="62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除本项第（2）目约定的情况或专用合同条件另有约定外，分包合同价款由承包人与分包人结算，未经承包人同意，发包人不得向分包人支付分包合同价款；</w:t>
      </w:r>
    </w:p>
    <w:p>
      <w:pPr>
        <w:spacing w:line="360" w:lineRule="auto"/>
        <w:ind w:firstLine="600"/>
        <w:rPr>
          <w:rFonts w:hint="eastAsia" w:ascii="Times New Roman" w:hAnsi="Times New Roman" w:cs="宋体"/>
          <w:color w:val="auto"/>
          <w:szCs w:val="21"/>
          <w:highlight w:val="none"/>
        </w:rPr>
      </w:pPr>
      <w:bookmarkStart w:id="622" w:name="_Ref4613798"/>
      <w:r>
        <w:rPr>
          <w:rFonts w:hint="eastAsia" w:ascii="Times New Roman" w:hAnsi="Times New Roman" w:cs="宋体"/>
          <w:color w:val="auto"/>
          <w:szCs w:val="21"/>
          <w:highlight w:val="none"/>
        </w:rPr>
        <w:t>（2） 生效法律文书要求发包人向分包人支付分包合同价款的，发包人有权从应付承包人工程款中扣除该部分款项</w:t>
      </w:r>
      <w:bookmarkEnd w:id="622"/>
      <w:r>
        <w:rPr>
          <w:rFonts w:hint="eastAsia" w:ascii="Times New Roman" w:hAnsi="Times New Roman" w:cs="宋体"/>
          <w:color w:val="auto"/>
          <w:szCs w:val="21"/>
          <w:highlight w:val="none"/>
        </w:rPr>
        <w:t>，将扣款直接支付给分包人，并书面通知承包人。</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4.5.6 责任承担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承包人对分包人的行为向发包人负责，承包人和分包人就分包工作向发包人承担连带责任。</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23" w:name="_Ref4426916"/>
      <w:bookmarkStart w:id="624" w:name="_Toc54862217"/>
      <w:bookmarkStart w:id="625" w:name="_Ref531952321"/>
      <w:bookmarkStart w:id="626" w:name="_Ref4768805"/>
      <w:bookmarkStart w:id="627" w:name="_Ref531952317"/>
      <w:r>
        <w:rPr>
          <w:rFonts w:hint="eastAsia" w:ascii="Times New Roman" w:hAnsi="Times New Roman" w:eastAsia="宋体" w:cs="宋体"/>
          <w:b w:val="0"/>
          <w:bCs/>
          <w:color w:val="auto"/>
          <w:sz w:val="21"/>
          <w:szCs w:val="21"/>
          <w:highlight w:val="none"/>
        </w:rPr>
        <w:t>4.6 联合体</w:t>
      </w:r>
      <w:bookmarkEnd w:id="623"/>
      <w:bookmarkEnd w:id="624"/>
    </w:p>
    <w:p>
      <w:pPr>
        <w:pStyle w:val="37"/>
        <w:numPr>
          <w:ilvl w:val="0"/>
          <w:numId w:val="0"/>
        </w:numPr>
        <w:rPr>
          <w:rFonts w:hint="eastAsia" w:ascii="Times New Roman" w:hAnsi="Times New Roman" w:cs="宋体"/>
          <w:color w:val="auto"/>
          <w:sz w:val="21"/>
          <w:highlight w:val="none"/>
        </w:rPr>
      </w:pPr>
      <w:bookmarkStart w:id="628" w:name="_Hlk16235129"/>
      <w:r>
        <w:rPr>
          <w:rFonts w:hint="eastAsia" w:ascii="Times New Roman" w:hAnsi="Times New Roman" w:cs="宋体"/>
          <w:color w:val="auto"/>
          <w:sz w:val="21"/>
          <w:highlight w:val="none"/>
        </w:rPr>
        <w:t>4.6.1 经发包人同意，</w:t>
      </w:r>
      <w:bookmarkEnd w:id="628"/>
      <w:r>
        <w:rPr>
          <w:rFonts w:hint="eastAsia" w:ascii="Times New Roman" w:hAnsi="Times New Roman" w:cs="宋体"/>
          <w:color w:val="auto"/>
          <w:sz w:val="21"/>
          <w:highlight w:val="none"/>
        </w:rPr>
        <w:t>以联合体方式承包工程的，联合体各方应共同与发包人订立合同协议书。联合体各方应为履行合同向发包人承担连带责任。</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4.6.2 承包人应在专用合同条件中明确联合体各成员的分工、费用收取、发票开具等事项。联合体各成员分工承担的工作内容必须与适用法律规定的该成员的资质资格相适应，并应具有相应的项目管理体系和项目管理能力，且不应根据其就承包工作的分工而减免对发包人的任何合同责任。</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4.6.3 联合体协议经发包人确认后作为合同附件。在履行合同过程中，未经发包人同意，不得变更联合体成员和其负责的工作范围，或者修改联合体协议中与本合同履行相关的内容。</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29" w:name="_Ref11926631"/>
      <w:bookmarkStart w:id="630" w:name="_Ref11926629"/>
      <w:bookmarkStart w:id="631" w:name="_Toc54862218"/>
      <w:r>
        <w:rPr>
          <w:rFonts w:hint="eastAsia" w:ascii="Times New Roman" w:hAnsi="Times New Roman" w:eastAsia="宋体" w:cs="宋体"/>
          <w:b w:val="0"/>
          <w:bCs/>
          <w:color w:val="auto"/>
          <w:sz w:val="21"/>
          <w:szCs w:val="21"/>
          <w:highlight w:val="none"/>
        </w:rPr>
        <w:t>4.7 承包人现场查勘</w:t>
      </w:r>
      <w:bookmarkEnd w:id="629"/>
      <w:bookmarkEnd w:id="630"/>
      <w:bookmarkEnd w:id="631"/>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4.7.1 除专用合同条件另有约定外，承包人应对基于发包人提交的基础资料所做出的解释和推断负责，因基础资料存在错误、遗漏导致承包人解释或推断失实的，按照第2.3项[提供基础资料]的规定承担责任。承包人发现基础资料中存在明显错误或疏忽的，应及时书面通知发包人。</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4.7.2 承包人应对现场和工程实施条件进行查勘，并充分了解工程所在地的气象条件、交通条件、风俗习惯以及其他与完成合同工作有关的其他资料。承包人提交投标文件，视为承包人已对施工现场及周围环境进行了踏勘，并已充分了解评估施工现场及周围环境对工程可能产生的影响，自愿承担相应风险与责任。在全部合同工作中，视为承包人已充分估计了应承担的责任和风险，但属于4.8款[不可预见的困难]约定的情形除外。</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32" w:name="_Ref11918626"/>
      <w:bookmarkStart w:id="633" w:name="_Ref11918693"/>
      <w:bookmarkStart w:id="634" w:name="_Toc54862219"/>
      <w:bookmarkStart w:id="635" w:name="_Ref11918789"/>
      <w:bookmarkStart w:id="636" w:name="不可预见的困难"/>
      <w:r>
        <w:rPr>
          <w:rFonts w:hint="eastAsia" w:ascii="Times New Roman" w:hAnsi="Times New Roman" w:eastAsia="宋体" w:cs="宋体"/>
          <w:b w:val="0"/>
          <w:bCs/>
          <w:color w:val="auto"/>
          <w:sz w:val="21"/>
          <w:szCs w:val="21"/>
          <w:highlight w:val="none"/>
        </w:rPr>
        <w:t>4.8 不可预见的困难</w:t>
      </w:r>
      <w:bookmarkEnd w:id="625"/>
      <w:bookmarkEnd w:id="626"/>
      <w:bookmarkEnd w:id="627"/>
      <w:bookmarkEnd w:id="632"/>
      <w:bookmarkEnd w:id="633"/>
      <w:bookmarkEnd w:id="634"/>
      <w:bookmarkEnd w:id="635"/>
      <w:bookmarkEnd w:id="636"/>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不可预见的困难是指有经验的承包人在施工现场遇到的不可预见的自然物质条件、非自然的物质障碍和污染物，包括地表以下物质条件和水文条件以及专用合同条件约定的其他情形，但不包括气候条件。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遇到不可预见的困难时，应采取克服不可预见的困难的合理措施继续施工，并及时通知工程师并抄送发包人。通知应载明不可预见的困难的内容、承包人认为不可预见的理由以及承包人制定的处理方案。工程师应当及时发出指示，指示构成变更的，按第13条[变更与调整]约定执行。承包人因采取合理措施而增加的费用和（或）延误的工期由发包人承担。</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37" w:name="_Ref11926570"/>
      <w:bookmarkStart w:id="638" w:name="_Ref11926566"/>
      <w:bookmarkStart w:id="639" w:name="_Toc54862220"/>
      <w:r>
        <w:rPr>
          <w:rFonts w:hint="eastAsia" w:ascii="Times New Roman" w:hAnsi="Times New Roman" w:eastAsia="宋体" w:cs="宋体"/>
          <w:b w:val="0"/>
          <w:bCs/>
          <w:color w:val="auto"/>
          <w:sz w:val="21"/>
          <w:szCs w:val="21"/>
          <w:highlight w:val="none"/>
        </w:rPr>
        <w:t>4.9 工程质量管理</w:t>
      </w:r>
      <w:bookmarkEnd w:id="637"/>
      <w:bookmarkEnd w:id="638"/>
      <w:bookmarkEnd w:id="639"/>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4.9.1 承包人应按合同约定的质量标准规范，建立有效的质量管理系统，确保设计、采购、加工制造、施工、竣工试验等各项工作的质量，并按照国家有关规定，通过质量保修责任书的形式约定保修范围、保修期限和保修责任。</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4.9.2 承包人按照第8.4款[项目进度计划]约定向工程师提交工程质量保证体系及措施文件，建立完善的质量检查制度，并提交相应的工程质量文件。对于发包人和工程师违反法律规定和合同约定的错误指示，承包人有权拒绝实施。</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4.9.3 承包人应对其人员进行质量教育和技术培训，定期考核人员的劳动技能，严格执行相关规范和操作规程。</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4.9.4 承包人应按照法律规定和合同约定，对设计、材料、工程设备以及全部工程内容及其施工工艺进行全过程的质量检查和检验，并作详细记录，编制工程质量报表，报送工程师审查。此外，承包人还应按照法律规定和合同约定，进行施工现场取样试验、工程复核测量和设备性能检测，提供试验样品、提交试验报告和测量成果以及其他工作。</w:t>
      </w:r>
    </w:p>
    <w:p>
      <w:pPr>
        <w:pStyle w:val="49"/>
        <w:numPr>
          <w:ilvl w:val="0"/>
          <w:numId w:val="0"/>
        </w:numPr>
        <w:rPr>
          <w:rFonts w:hint="eastAsia" w:ascii="Times New Roman" w:hAnsi="Times New Roman" w:eastAsia="宋体" w:cs="宋体"/>
          <w:bCs w:val="0"/>
          <w:color w:val="auto"/>
          <w:sz w:val="21"/>
          <w:szCs w:val="21"/>
          <w:highlight w:val="none"/>
        </w:rPr>
      </w:pPr>
      <w:bookmarkStart w:id="640" w:name="_Toc54862221"/>
      <w:bookmarkStart w:id="641" w:name="_Ref531952837"/>
      <w:r>
        <w:rPr>
          <w:rFonts w:hint="eastAsia" w:ascii="Times New Roman" w:hAnsi="Times New Roman" w:eastAsia="宋体" w:cs="宋体"/>
          <w:bCs w:val="0"/>
          <w:color w:val="auto"/>
          <w:sz w:val="21"/>
          <w:szCs w:val="21"/>
          <w:highlight w:val="none"/>
        </w:rPr>
        <w:t>第5条 设计</w:t>
      </w:r>
      <w:bookmarkEnd w:id="640"/>
      <w:bookmarkEnd w:id="641"/>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42" w:name="_Toc54862222"/>
      <w:bookmarkStart w:id="643" w:name="_Ref531952860"/>
      <w:bookmarkStart w:id="644" w:name="_Ref531952863"/>
      <w:r>
        <w:rPr>
          <w:rFonts w:hint="eastAsia" w:ascii="Times New Roman" w:hAnsi="Times New Roman" w:eastAsia="宋体" w:cs="宋体"/>
          <w:b w:val="0"/>
          <w:bCs/>
          <w:color w:val="auto"/>
          <w:sz w:val="21"/>
          <w:szCs w:val="21"/>
          <w:highlight w:val="none"/>
        </w:rPr>
        <w:t>5.1 承包人的设计义务</w:t>
      </w:r>
      <w:bookmarkEnd w:id="642"/>
      <w:bookmarkEnd w:id="643"/>
      <w:bookmarkEnd w:id="644"/>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bookmarkStart w:id="645" w:name="_Ref531952881"/>
      <w:r>
        <w:rPr>
          <w:rFonts w:hint="eastAsia" w:ascii="Times New Roman" w:hAnsi="Times New Roman" w:cs="宋体"/>
          <w:color w:val="auto"/>
          <w:sz w:val="21"/>
          <w:highlight w:val="none"/>
        </w:rPr>
        <w:t>5.1.1 设计义务的一般要求</w:t>
      </w:r>
      <w:bookmarkEnd w:id="64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当按照法律规定，国家、行业和地方的规范和标准，以及《发包人要求》和合同约定完成设计工作和设计相关的其他服务，并对工程的设计负责。承包人应根据工程实施的需要及时向发包人和工程师说明设计文件的意图，解释设计文件。</w:t>
      </w:r>
    </w:p>
    <w:p>
      <w:pPr>
        <w:pStyle w:val="37"/>
        <w:numPr>
          <w:ilvl w:val="0"/>
          <w:numId w:val="0"/>
        </w:numPr>
        <w:rPr>
          <w:rFonts w:hint="eastAsia" w:ascii="Times New Roman" w:hAnsi="Times New Roman" w:cs="宋体"/>
          <w:color w:val="auto"/>
          <w:sz w:val="21"/>
          <w:highlight w:val="none"/>
        </w:rPr>
      </w:pPr>
      <w:bookmarkStart w:id="646" w:name="_Ref531952952"/>
      <w:bookmarkStart w:id="647" w:name="_Ref531952899"/>
      <w:r>
        <w:rPr>
          <w:rFonts w:hint="eastAsia" w:ascii="Times New Roman" w:hAnsi="Times New Roman" w:cs="宋体"/>
          <w:color w:val="auto"/>
          <w:sz w:val="21"/>
          <w:highlight w:val="none"/>
        </w:rPr>
        <w:t>5.1.2 对设计人员的要求</w:t>
      </w:r>
      <w:bookmarkEnd w:id="64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承包人应保证其或其设计分包人的设计资质在合同有效期内满足法律法规、行业标准或合同约定的相关要求，并指派符合法律法规、行业标准或合同约定的资质要求并具有从事设计所必需的经验与能力</w:t>
      </w:r>
      <w:del w:id="146" w:author="user" w:date="2025-06-30T11:12:39Z">
        <w:r>
          <w:rPr>
            <w:rFonts w:hint="eastAsia" w:ascii="Times New Roman" w:hAnsi="Times New Roman" w:cs="宋体"/>
            <w:color w:val="auto"/>
            <w:szCs w:val="21"/>
            <w:highlight w:val="none"/>
          </w:rPr>
          <w:delText>的的</w:delText>
        </w:r>
      </w:del>
      <w:ins w:id="147" w:author="user" w:date="2025-06-30T11:12:39Z">
        <w:r>
          <w:rPr>
            <w:rFonts w:hint="eastAsia" w:cs="宋体"/>
            <w:color w:val="auto"/>
            <w:szCs w:val="21"/>
            <w:highlight w:val="none"/>
            <w:lang w:eastAsia="zh-CN"/>
          </w:rPr>
          <w:t>的</w:t>
        </w:r>
      </w:ins>
      <w:r>
        <w:rPr>
          <w:rFonts w:hint="eastAsia" w:ascii="Times New Roman" w:hAnsi="Times New Roman" w:cs="宋体"/>
          <w:color w:val="auto"/>
          <w:szCs w:val="21"/>
          <w:highlight w:val="none"/>
        </w:rPr>
        <w:t>设计人员完成设计工作。承包人应保证其设计人员（包括分包人的设计人员）在合同期限内，都能按时参加发包人或工程师组织的工作会议。</w:t>
      </w:r>
    </w:p>
    <w:bookmarkEnd w:id="647"/>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5.1.3 法律和标准的变化</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合同另有约定外，承包人完成设计工作所应遵守的法律规定，以及国家、行业和地方的规范和标准，均应视为在基准日期适用的版本。基准日期之后，前述版本发生重大变化，或者有新的法律，以及国家、行业和地方的规范和标准实施的，承包人应向工程师提出遵守新规定的建议。发包人或其委托的工程师应在收到建议后7天内发出是否遵守新规定的指示。如果该项建议构成变更的，按照第13.2款[承包人的合理化建议]的约定执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在基准日期之后，因国家颁布新的强制性规范、标准导致承包人的费用变化的，发包人应合理调整合同价格；导致工期延误的，发包人应合理延长工期。</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48" w:name="_Ref531953051"/>
      <w:bookmarkStart w:id="649" w:name="_Ref531953054"/>
      <w:bookmarkStart w:id="650" w:name="_Toc54862223"/>
      <w:r>
        <w:rPr>
          <w:rFonts w:hint="eastAsia" w:ascii="Times New Roman" w:hAnsi="Times New Roman" w:eastAsia="宋体" w:cs="宋体"/>
          <w:b w:val="0"/>
          <w:bCs/>
          <w:color w:val="auto"/>
          <w:sz w:val="21"/>
          <w:szCs w:val="21"/>
          <w:highlight w:val="none"/>
        </w:rPr>
        <w:t>5.2 承包人文件审查</w:t>
      </w:r>
      <w:bookmarkEnd w:id="648"/>
      <w:bookmarkEnd w:id="649"/>
      <w:bookmarkEnd w:id="650"/>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bookmarkStart w:id="651" w:name="_Ref531953064"/>
      <w:r>
        <w:rPr>
          <w:rFonts w:hint="eastAsia" w:ascii="Times New Roman" w:hAnsi="Times New Roman" w:cs="宋体"/>
          <w:color w:val="auto"/>
          <w:sz w:val="21"/>
          <w:highlight w:val="none"/>
        </w:rPr>
        <w:t>5.2.1 根据《发包人要求》应当通过工程师报发包人审查同意的承包人文件，承包人应当按照《发包人要求》约定的范围和内容及时报送审查。</w:t>
      </w:r>
      <w:bookmarkEnd w:id="65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自工程师收到承包人文件以及承包人的通知之日起，发包人对承包人文件审查期不超过21天。承包人的设计文件对于合同约定有偏离的，应在通知中说明。承包人需要修改已提交的承包人文件的，应立即通知工程师，并向工程师提交修改后的承包人文件，审查期重新起算。</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发包人同意承包人文件的，应及时通知承包人，发包人不同意承包人文件的，应在审查期限内通过工程师以书面形式通知承包人，并说明不同意的具体内容和理由。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承包人对发包人的意见按以下方式处理：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发包人的意见构成变更的，承包人应在7天内通知发包人按照第13条[变更与调整]中关于发包人指示变更的约定执行，双方对是否构成变更无法达成一致的，按照第20条[争议解决]的约定执行；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因承包人原因导致无法通过审查的，承包人应根据发包人的书面说明，对承包人文件进行修改后重新报送发包人审查，审查期重新起算。因此引起的工期延长和必要的工程费用增加，由承包人负责。</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合同约定的审查期满，发包人没有做出审查结论也没有提出异议的，视为承包人文件已获发包人同意。</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发包人对承包人文件的审查和同意不得被理解为对合同的修改或改变，也并不减轻或免除承包人任何的责任和义务。</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5.2.2 承包人文件不需要政府有关部门或专用合同条件约定的第三方审查单位审查或批准的，承包人应当严格按照经发包人审查同意的承包人文件设计和实施工程。</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需要组织审查会议对承包人文件进行审查的，审查会议的审查形式、时间安排、费用承担，在专用合同条件中约定。发包人负责组织承包人文件审查会议，承包人有义务参加发包人组织的审查会议，向审查者介绍、解答、解释承包人文件，并提供有关补充资料。</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发包人有义务向承包人提供审查会议的批准文件和纪要。承包人有义务按照相关审查会议批准的文件和纪要，并依据合同约定及相关技术标准，对承包人文件进行修改、补充和完善。</w:t>
      </w:r>
    </w:p>
    <w:p>
      <w:pPr>
        <w:pStyle w:val="37"/>
        <w:numPr>
          <w:ilvl w:val="0"/>
          <w:numId w:val="0"/>
        </w:numPr>
        <w:rPr>
          <w:rFonts w:hint="eastAsia" w:ascii="Times New Roman" w:hAnsi="Times New Roman" w:cs="宋体"/>
          <w:color w:val="auto"/>
          <w:sz w:val="21"/>
          <w:highlight w:val="none"/>
        </w:rPr>
      </w:pPr>
      <w:bookmarkStart w:id="652" w:name="_Ref531953074"/>
      <w:r>
        <w:rPr>
          <w:rFonts w:hint="eastAsia" w:ascii="Times New Roman" w:hAnsi="Times New Roman" w:cs="宋体"/>
          <w:color w:val="auto"/>
          <w:sz w:val="21"/>
          <w:highlight w:val="none"/>
        </w:rPr>
        <w:t>5.2.3 承包人文件需政府有关部门或专用合同条件约定的第三方审查单位审查或批准的，发包人应在发包人审查同意承包人文件后7天内，向政府有关部门或第三方报送承包人文件，承包人应予以协助。</w:t>
      </w:r>
      <w:bookmarkEnd w:id="652"/>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对于政府有关部门或第三方审查单位的审查意见，不需要修改《发包人要求》的，承包人需按该审查意见修改承包人的设计文件；需要修改《发包人要求》的，承包人应按第13.2款[承包人的合理化建议]的约定执行。上述情形还应适用第5.1款[承包人的设计义务]和第13条[变更与调整]的有关约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政府有关部门或第三方审查单位审查批准后，承包人应当严格按照批准后的承包人文件实施工程。政府有关部门或第三方审查单位批准时间较合同约定时间延长的，竣工日期相应顺延。因此给双方带来的费用增加，由双方在负责的范围内各自承担。</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53" w:name="_Ref531953097"/>
      <w:bookmarkStart w:id="654" w:name="_Toc54862224"/>
      <w:bookmarkStart w:id="655" w:name="_Ref531953095"/>
      <w:r>
        <w:rPr>
          <w:rFonts w:hint="eastAsia" w:ascii="Times New Roman" w:hAnsi="Times New Roman" w:eastAsia="宋体" w:cs="宋体"/>
          <w:b w:val="0"/>
          <w:bCs/>
          <w:color w:val="auto"/>
          <w:sz w:val="21"/>
          <w:szCs w:val="21"/>
          <w:highlight w:val="none"/>
        </w:rPr>
        <w:t>5.3 培训</w:t>
      </w:r>
      <w:bookmarkEnd w:id="653"/>
      <w:bookmarkEnd w:id="654"/>
      <w:bookmarkEnd w:id="65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发包人要求》，对发包人的雇员或其它发包人指定的人员进行工程操作、维修或其它合同中约定的培训。合同约定接收之前进行培训的，应在第10.1款[竣工验收]约定的竣工验收前或试运行结束前完成培训。</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培训的时长应由双方在专用合同条件中约定，承包人应为培训提供有经验的人员、设施和其它必要条件。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56" w:name="_Ref531953108"/>
      <w:bookmarkStart w:id="657" w:name="_Ref531953105"/>
      <w:bookmarkStart w:id="658" w:name="_Toc54862225"/>
      <w:r>
        <w:rPr>
          <w:rFonts w:hint="eastAsia" w:ascii="Times New Roman" w:hAnsi="Times New Roman" w:eastAsia="宋体" w:cs="宋体"/>
          <w:b w:val="0"/>
          <w:bCs/>
          <w:color w:val="auto"/>
          <w:sz w:val="21"/>
          <w:szCs w:val="21"/>
          <w:highlight w:val="none"/>
        </w:rPr>
        <w:t>5.4 竣工文件</w:t>
      </w:r>
      <w:bookmarkEnd w:id="656"/>
      <w:bookmarkEnd w:id="657"/>
      <w:bookmarkEnd w:id="658"/>
    </w:p>
    <w:p>
      <w:pPr>
        <w:pStyle w:val="37"/>
        <w:numPr>
          <w:ilvl w:val="0"/>
          <w:numId w:val="0"/>
        </w:numPr>
        <w:rPr>
          <w:rFonts w:hint="eastAsia" w:ascii="Times New Roman" w:hAnsi="Times New Roman" w:cs="宋体"/>
          <w:color w:val="auto"/>
          <w:sz w:val="21"/>
          <w:highlight w:val="none"/>
        </w:rPr>
      </w:pPr>
      <w:bookmarkStart w:id="659" w:name="_Ref531953134"/>
      <w:r>
        <w:rPr>
          <w:rFonts w:hint="eastAsia" w:ascii="Times New Roman" w:hAnsi="Times New Roman" w:cs="宋体"/>
          <w:color w:val="auto"/>
          <w:sz w:val="21"/>
          <w:highlight w:val="none"/>
        </w:rPr>
        <w:t>5.4.1 承包人应编制并及时更新反映工程实施结果的竣工记录，如实记载竣工工程的确切位置、尺寸和已实施工作的详细说明。竣工文件的形式、技术标准以及其它相关内容应按照相关法律法规、行业标准与《发包人要求》执行。竣工记录应保存在施工现场，并在竣工试验开始前，按照专用合同条件约定的份数提交给工程师。</w:t>
      </w:r>
      <w:bookmarkEnd w:id="659"/>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5.4.2 在颁发工程接收证书之前，承包人应按照《发包人要求》的份数和形式向工程师提交相应竣工图纸，并取得工程师对尺寸、参照系统及其他有关细节的认可。工程师应按照第5.2款[承包人文件审查]的约定进行审查。</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5.4.3 除专用合同条件另有约定外，在工程师收到本款下的文件前，不应认为工程已根据第10.1款[竣工验收]和第10.2款[单位/区段工程的验收]的约定完成验收。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60" w:name="_Ref531953117"/>
      <w:bookmarkStart w:id="661" w:name="_Ref531953119"/>
      <w:bookmarkStart w:id="662" w:name="_Toc54862226"/>
      <w:r>
        <w:rPr>
          <w:rFonts w:hint="eastAsia" w:ascii="Times New Roman" w:hAnsi="Times New Roman" w:eastAsia="宋体" w:cs="宋体"/>
          <w:b w:val="0"/>
          <w:bCs/>
          <w:color w:val="auto"/>
          <w:sz w:val="21"/>
          <w:szCs w:val="21"/>
          <w:highlight w:val="none"/>
        </w:rPr>
        <w:t>5.5 操作和维修手册</w:t>
      </w:r>
      <w:bookmarkEnd w:id="660"/>
      <w:bookmarkEnd w:id="661"/>
      <w:bookmarkEnd w:id="662"/>
    </w:p>
    <w:p>
      <w:pPr>
        <w:pStyle w:val="37"/>
        <w:numPr>
          <w:ilvl w:val="0"/>
          <w:numId w:val="0"/>
        </w:numPr>
        <w:rPr>
          <w:rFonts w:hint="eastAsia" w:ascii="Times New Roman" w:hAnsi="Times New Roman" w:cs="宋体"/>
          <w:color w:val="auto"/>
          <w:sz w:val="21"/>
          <w:highlight w:val="none"/>
        </w:rPr>
      </w:pPr>
      <w:bookmarkStart w:id="663" w:name="_Ref531953145"/>
      <w:r>
        <w:rPr>
          <w:rFonts w:hint="eastAsia" w:ascii="Times New Roman" w:hAnsi="Times New Roman" w:cs="宋体"/>
          <w:color w:val="auto"/>
          <w:sz w:val="21"/>
          <w:highlight w:val="none"/>
        </w:rPr>
        <w:t>5.5.1 在竣工试验开始前，承包人应向工程师提交暂行的操作和维修手册并负责及时更新，该手册应足够详细，以便发包人能够对工程设备进行操作、维修、拆卸、重新安装、调整及修理，以及实现《发包人要求》。同时，手册还应包含发包人未来可能需要的备品备件清单。</w:t>
      </w:r>
      <w:bookmarkEnd w:id="663"/>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5.5.2 工程师收到承包人提交的文件后，应依据第5.2款[承包人文件审查]的约定对操作和维修手册进行审查，竣工试验工程中，承包人应为任何因操作和维修手册错误或遗漏引起的风险或损失承担责任。</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5.5.3 除专用合同条件另有约定外，承包人应提交足够详细的最终操作和维修手册，以及在《发包人要求》中明确的相关操作和维修手册。除专用合同条件另有约定外，在工程师收到上述文件前，不应认为工程已根据第10.1款[竣工验收]和第10.2款[单位/区段工程的验收]的约定完成验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64" w:name="_Toc54862227"/>
      <w:r>
        <w:rPr>
          <w:rFonts w:hint="eastAsia" w:ascii="Times New Roman" w:hAnsi="Times New Roman" w:eastAsia="宋体" w:cs="宋体"/>
          <w:b w:val="0"/>
          <w:bCs/>
          <w:color w:val="auto"/>
          <w:sz w:val="21"/>
          <w:szCs w:val="21"/>
          <w:highlight w:val="none"/>
        </w:rPr>
        <w:t>5.6 承包人文件错误</w:t>
      </w:r>
      <w:bookmarkEnd w:id="664"/>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文件存在错误、遗漏、含混、矛盾、不充分之处或其他缺陷，无论承包人是否根据本款获得了同意，承包人均应自费对前述问题带来的缺陷和工程问题进行改正，并按照第5.2款[承包人文件审查]的要求，重新送工程师审查，审查日期从工程师收到文件开始重新计算。因此款原因重新提交审查文件导致的工程延误和必要费用增加由承包人承担。《发包人要求》的错误导致承包人文件错误、遗漏、含混、矛盾、不充分或其他缺陷的除外。</w:t>
      </w:r>
    </w:p>
    <w:p>
      <w:pPr>
        <w:pStyle w:val="49"/>
        <w:numPr>
          <w:ilvl w:val="0"/>
          <w:numId w:val="0"/>
        </w:numPr>
        <w:rPr>
          <w:rFonts w:hint="eastAsia" w:ascii="Times New Roman" w:hAnsi="Times New Roman" w:eastAsia="宋体" w:cs="宋体"/>
          <w:bCs w:val="0"/>
          <w:color w:val="auto"/>
          <w:sz w:val="21"/>
          <w:szCs w:val="21"/>
          <w:highlight w:val="none"/>
        </w:rPr>
      </w:pPr>
      <w:bookmarkStart w:id="665" w:name="_Ref531953765"/>
      <w:bookmarkStart w:id="666" w:name="_Ref531953761"/>
      <w:bookmarkStart w:id="667" w:name="_Toc54862228"/>
      <w:r>
        <w:rPr>
          <w:rFonts w:hint="eastAsia" w:ascii="Times New Roman" w:hAnsi="Times New Roman" w:eastAsia="宋体" w:cs="宋体"/>
          <w:bCs w:val="0"/>
          <w:color w:val="auto"/>
          <w:sz w:val="21"/>
          <w:szCs w:val="21"/>
          <w:highlight w:val="none"/>
        </w:rPr>
        <w:t>第6条 材料、工程设备</w:t>
      </w:r>
      <w:bookmarkEnd w:id="665"/>
      <w:bookmarkEnd w:id="666"/>
      <w:bookmarkEnd w:id="667"/>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68" w:name="_Ref531953832"/>
      <w:bookmarkStart w:id="669" w:name="_Toc54862229"/>
      <w:bookmarkStart w:id="670" w:name="_Ref531953828"/>
      <w:r>
        <w:rPr>
          <w:rFonts w:hint="eastAsia" w:ascii="Times New Roman" w:hAnsi="Times New Roman" w:eastAsia="宋体" w:cs="宋体"/>
          <w:b w:val="0"/>
          <w:bCs/>
          <w:color w:val="auto"/>
          <w:sz w:val="21"/>
          <w:szCs w:val="21"/>
          <w:highlight w:val="none"/>
        </w:rPr>
        <w:t>6.1 实施方法</w:t>
      </w:r>
      <w:bookmarkEnd w:id="668"/>
      <w:bookmarkEnd w:id="669"/>
      <w:bookmarkEnd w:id="670"/>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承包人应按以下方法进行材料的加工、工程设备的采购、制造和安装</w:t>
      </w:r>
      <w:del w:id="148" w:author="user" w:date="2025-06-30T11:12:14Z">
        <w:r>
          <w:rPr>
            <w:rFonts w:hint="eastAsia" w:ascii="Times New Roman" w:hAnsi="Times New Roman" w:cs="宋体"/>
            <w:color w:val="auto"/>
            <w:szCs w:val="21"/>
            <w:highlight w:val="none"/>
          </w:rPr>
          <w:delText>、以及</w:delText>
        </w:r>
      </w:del>
      <w:ins w:id="149" w:author="user" w:date="2025-06-30T11:12:14Z">
        <w:r>
          <w:rPr>
            <w:rFonts w:hint="eastAsia" w:cs="宋体"/>
            <w:color w:val="auto"/>
            <w:szCs w:val="21"/>
            <w:highlight w:val="none"/>
            <w:lang w:eastAsia="zh-CN"/>
          </w:rPr>
          <w:t>以及</w:t>
        </w:r>
      </w:ins>
      <w:r>
        <w:rPr>
          <w:rFonts w:hint="eastAsia" w:ascii="Times New Roman" w:hAnsi="Times New Roman" w:cs="宋体"/>
          <w:color w:val="auto"/>
          <w:szCs w:val="21"/>
          <w:highlight w:val="none"/>
        </w:rPr>
        <w:t>工程的所有其他实施作业：</w:t>
      </w:r>
    </w:p>
    <w:p>
      <w:pPr>
        <w:spacing w:line="360" w:lineRule="auto"/>
        <w:ind w:firstLine="600"/>
        <w:rPr>
          <w:rFonts w:hint="eastAsia" w:ascii="Times New Roman" w:hAnsi="Times New Roman" w:cs="宋体"/>
          <w:color w:val="auto"/>
          <w:szCs w:val="21"/>
          <w:highlight w:val="none"/>
        </w:rPr>
      </w:pPr>
      <w:bookmarkStart w:id="671" w:name="_Ref531953847"/>
      <w:r>
        <w:rPr>
          <w:rFonts w:hint="eastAsia" w:ascii="Times New Roman" w:hAnsi="Times New Roman" w:cs="宋体"/>
          <w:color w:val="auto"/>
          <w:szCs w:val="21"/>
          <w:highlight w:val="none"/>
        </w:rPr>
        <w:t>（1） 按照法律规定和合同约定的方法；</w:t>
      </w:r>
      <w:bookmarkEnd w:id="67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按照公认的良好行业习惯，使用恰当、审慎、先进的方法；</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除专用合同条件另有规定外，应使用适当配备的实施方法、设备、设施和无危险的材料。</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72" w:name="_Toc54862230"/>
      <w:bookmarkStart w:id="673" w:name="_Ref11926422"/>
      <w:bookmarkStart w:id="674" w:name="_Ref4427594"/>
      <w:r>
        <w:rPr>
          <w:rFonts w:hint="eastAsia" w:ascii="Times New Roman" w:hAnsi="Times New Roman" w:eastAsia="宋体" w:cs="宋体"/>
          <w:b w:val="0"/>
          <w:bCs/>
          <w:color w:val="auto"/>
          <w:sz w:val="21"/>
          <w:szCs w:val="21"/>
          <w:highlight w:val="none"/>
        </w:rPr>
        <w:t>6.2 材料和工程设备</w:t>
      </w:r>
      <w:bookmarkEnd w:id="672"/>
      <w:bookmarkEnd w:id="673"/>
    </w:p>
    <w:p>
      <w:pPr>
        <w:pStyle w:val="37"/>
        <w:numPr>
          <w:ilvl w:val="0"/>
          <w:numId w:val="0"/>
        </w:numPr>
        <w:rPr>
          <w:rFonts w:hint="eastAsia" w:ascii="Times New Roman" w:hAnsi="Times New Roman" w:cs="宋体"/>
          <w:color w:val="auto"/>
          <w:sz w:val="21"/>
          <w:highlight w:val="none"/>
        </w:rPr>
      </w:pPr>
      <w:bookmarkStart w:id="675" w:name="_Ref11960295"/>
      <w:r>
        <w:rPr>
          <w:rFonts w:hint="eastAsia" w:ascii="Times New Roman" w:hAnsi="Times New Roman" w:cs="宋体"/>
          <w:color w:val="auto"/>
          <w:sz w:val="21"/>
          <w:highlight w:val="none"/>
        </w:rPr>
        <w:t>6.2.1 发包人提供的材料和工程设备</w:t>
      </w:r>
      <w:bookmarkEnd w:id="674"/>
      <w:bookmarkEnd w:id="67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发包人自行供应材料、工程设备的，应在订立合同时在专用合同条件的附件《发包人供应材料设备一览表》中明确材料、工程设备的品种、规格、型号、主要参数、数量、单价、质量等级和交接地点等。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根据项目进度计划的安排，提前28天以书面形式通知工程师供应材料与工程设备的进场计划。承包人按照第8.4款[项目进度计划]约定修订项目进度计划时，需同时提交经修订后的发包人供应材料与工程设备的进场计划。发包人应按照上述进场计划，向承包人提交材料和工程设备。</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在材料和工程设备到货7天前通知承包人，承包人应会同工程师在约定的时间内，赴交货地点共同进行验收。除专用合同条件另有约定外，发包人提供的材料和工程设备验收后，由承包人负责接收、运输和保管。</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需要对进场计划进行变更的，承包人不得拒绝，应根据第13条[变更与调整]的规定执行，并由发包人承担承包人由此增加的费用，以及引起的工期延误。承包人需要对进场计划进行变更的，应事先报请工程师批准，由此增加的费用和（或）工期延误由承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发包人提供的材料和工程设备的规格、数量或质量不符合合同要求，或由于发包人原因发生交货日期延误及交货地点变更等情况的，发包人应承担由此增加的费用和（或）工期延误，并向承包人支付合理利润。</w:t>
      </w:r>
    </w:p>
    <w:p>
      <w:pPr>
        <w:pStyle w:val="37"/>
        <w:numPr>
          <w:ilvl w:val="0"/>
          <w:numId w:val="0"/>
        </w:numPr>
        <w:rPr>
          <w:rFonts w:hint="eastAsia" w:ascii="Times New Roman" w:hAnsi="Times New Roman" w:cs="宋体"/>
          <w:color w:val="auto"/>
          <w:sz w:val="21"/>
          <w:highlight w:val="none"/>
        </w:rPr>
      </w:pPr>
      <w:bookmarkStart w:id="676" w:name="_Ref531953918"/>
      <w:r>
        <w:rPr>
          <w:rFonts w:hint="eastAsia" w:ascii="Times New Roman" w:hAnsi="Times New Roman" w:cs="宋体"/>
          <w:color w:val="auto"/>
          <w:sz w:val="21"/>
          <w:highlight w:val="none"/>
        </w:rPr>
        <w:t>6.2.2 承包人提供的材料和工程设备</w:t>
      </w:r>
      <w:bookmarkEnd w:id="67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专用合同条件的约定，将各项材料和工程设备的供货人及品种、技术要求、规格、数量和供货时间等报送工程师批准。承包人应向工程师提交其负责提供的材料和工程设备的质量证明文件，并根据合同约定的质量标准，对材料、工程设备质量负责。</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已被批准的第8.4款[项目进度计划]规定的数量要求及时间要求，负责组织材料和工程设备采购（包括备品备件、专用工具及厂商提供的技术文件），负责运抵现场。合同约定由承包人采购的材料、工程设备，除专用合同条件另有约定外，发包人不得指定生产厂家或供应商，发包人违反本款约定指定生产厂家或供应商的，承包人有权拒绝，并由发包人承担相应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对承包人提供的材料和工程设备，承包人应会同工程师进行检验和交货验收，查验材料合格证明和产品合格证书，并按合同约定和工程师指示，进行材料的抽样检验和工程设备的检验测试，检验和测试结果应提交工程师，所需费用由承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提供的材料和工程设备不符合国家强制性标准、规范的规定或合同约定的标准、规范，所造成的质量缺陷，由承包人自费修复，竣工日期不予延长。在履行合同过程中，由于国家新颁布的强制性标准、规范，造成承包人负责提供的材料和工程设备，虽符合合同约定的标准，但不符合新颁布的强制性标准时，由承包人负责修复或重新订货，相关费用支出及导致的工期延长由发包人负责。</w:t>
      </w:r>
    </w:p>
    <w:p>
      <w:pPr>
        <w:pStyle w:val="37"/>
        <w:numPr>
          <w:ilvl w:val="0"/>
          <w:numId w:val="0"/>
        </w:numPr>
        <w:rPr>
          <w:rFonts w:hint="eastAsia" w:ascii="Times New Roman" w:hAnsi="Times New Roman" w:cs="宋体"/>
          <w:color w:val="auto"/>
          <w:sz w:val="21"/>
          <w:highlight w:val="none"/>
        </w:rPr>
      </w:pPr>
      <w:bookmarkStart w:id="677" w:name="_Ref531953991"/>
      <w:bookmarkStart w:id="678" w:name="_Ref531953999"/>
      <w:r>
        <w:rPr>
          <w:rFonts w:hint="eastAsia" w:ascii="Times New Roman" w:hAnsi="Times New Roman" w:cs="宋体"/>
          <w:color w:val="auto"/>
          <w:sz w:val="21"/>
          <w:highlight w:val="none"/>
        </w:rPr>
        <w:t>6.2.3 材料和工程设备的保管</w:t>
      </w:r>
      <w:bookmarkEnd w:id="677"/>
      <w:bookmarkEnd w:id="678"/>
      <w:r>
        <w:rPr>
          <w:rFonts w:hint="eastAsia" w:ascii="Times New Roman" w:hAnsi="Times New Roman" w:cs="宋体"/>
          <w:color w:val="auto"/>
          <w:sz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发包人供应材料与工程设备的保管与使用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发包人供应的材料和工程设备，承包人清点并接收后由承包人妥善保管，保管费用由承包人承担，但专用合同条件另有约定除外。因承包人原因发生丢失毁损的，由承包人负责赔偿。</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发包人供应的材料和工程设备使用前，由承包人负责必要的检验，检验费用由发包人承担，不合格的不得使用。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承包人采购材料与工程设备的保管与使用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采购的材料和工程设备由承包人妥善保管，保管费用由承包人承担。合同约定或法律规定材料和工程设备使用前必须进行检验或试验的，承包人应按工程师的指示进行检验或试验，检验或试验费用由承包人承担，不合格的不得使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工程师发现承包人使用不符合设计或有关标准要求的材料和工程设备时，有权要求承包人进行修复、拆除或重新采购，由此增加的费用和（或）延误的工期，由承包人承担。</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6.2.4 材料和工程设备的所有权</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本合同另有约定外，承包人根据第6.2.2项[承包人提供的材料和工程设备]约定提供的材料和工程设备后，材料及工程设备的价款应列入第14.3.1项第（2）目的进度款金额中，发包人支付当期进度款之后，其所有权转为发包人所有（周转性材料除外）；在发包人接收工程前，承包人有义务对材料和工程设备进行保管、维护和保养，未经发包人批准不得运出现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承包人按第6.2.2项提供的材料和工程设备，承包人应确保发包人取得无权利负担的材料及工程设备所有权，因承包人与第三人的物权争议导致的增加的费用和（或）延误的工期，由承包人承担。</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79" w:name="_Toc54862231"/>
      <w:bookmarkStart w:id="680" w:name="_Ref4428239"/>
      <w:bookmarkStart w:id="681" w:name="_Toc351203565"/>
      <w:bookmarkStart w:id="682" w:name="_Toc337558785"/>
      <w:r>
        <w:rPr>
          <w:rFonts w:hint="eastAsia" w:ascii="Times New Roman" w:hAnsi="Times New Roman" w:eastAsia="宋体" w:cs="宋体"/>
          <w:b w:val="0"/>
          <w:bCs/>
          <w:color w:val="auto"/>
          <w:sz w:val="21"/>
          <w:szCs w:val="21"/>
          <w:highlight w:val="none"/>
        </w:rPr>
        <w:t>6.3 样品</w:t>
      </w:r>
      <w:bookmarkEnd w:id="679"/>
      <w:bookmarkEnd w:id="680"/>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6.3.1 样品的报送与封存</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需要承包人报送样品的材料或工程设备，样品的种类、名称、规格、数量等要求均应在专用合同条件中约定。样品的报送程序如下：</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应在计划采购前28天向工程师报送样品。承包人报送的样品均应来自供应材料的实际生产地，且提供的样品的规格、数量足以表明材料或工程设备的质量、型号、颜色、表面处理、质地、误差和其他要求的特征。</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每次报送样品时应随附申报单，申报单应载明报送样品的相关数据和资料，并标明每件样品对应的图纸号，预留工程师审批意见栏。工程师应在收到承包人报送的样品后7天向承包人回复经发包人签认的样品审批意见。</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经工程师审批确认的样品应按约定的方法封样，封存的样品作为检验工程相关部分的标准之一。承包人在施工过程中不得使用与样品不符的材料或工程设备。</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工程师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6.3.2 样品的保管</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经批准的样品应由工程师负责封存于现场，承包人应在现场为保存样品提供适当和固定的场所并保持适当和良好的存储环境条件。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83" w:name="_Ref11959204"/>
      <w:bookmarkStart w:id="684" w:name="_Toc54862232"/>
      <w:bookmarkStart w:id="685" w:name="_Ref11959210"/>
      <w:r>
        <w:rPr>
          <w:rFonts w:hint="eastAsia" w:ascii="Times New Roman" w:hAnsi="Times New Roman" w:eastAsia="宋体" w:cs="宋体"/>
          <w:b w:val="0"/>
          <w:bCs/>
          <w:color w:val="auto"/>
          <w:sz w:val="21"/>
          <w:szCs w:val="21"/>
          <w:highlight w:val="none"/>
        </w:rPr>
        <w:t>6.4 质量检查</w:t>
      </w:r>
      <w:bookmarkEnd w:id="683"/>
      <w:bookmarkEnd w:id="684"/>
      <w:bookmarkEnd w:id="685"/>
    </w:p>
    <w:p>
      <w:pPr>
        <w:pStyle w:val="37"/>
        <w:numPr>
          <w:ilvl w:val="0"/>
          <w:numId w:val="0"/>
        </w:numPr>
        <w:rPr>
          <w:rFonts w:hint="eastAsia" w:ascii="Times New Roman" w:hAnsi="Times New Roman" w:cs="宋体"/>
          <w:color w:val="auto"/>
          <w:sz w:val="21"/>
          <w:highlight w:val="none"/>
        </w:rPr>
      </w:pPr>
      <w:bookmarkStart w:id="686" w:name="_Ref18990699"/>
      <w:r>
        <w:rPr>
          <w:rFonts w:hint="eastAsia" w:ascii="Times New Roman" w:hAnsi="Times New Roman" w:cs="宋体"/>
          <w:color w:val="auto"/>
          <w:sz w:val="21"/>
          <w:highlight w:val="none"/>
        </w:rPr>
        <w:t>6.4.1 工程质量要求</w:t>
      </w:r>
      <w:bookmarkEnd w:id="68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工程质量标准必须符合现行国家有关工程施工质量验收规范和标准的要求。有关工程质量的特殊标准或要求由合同当事人在专用合同条件中约定。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造成工程质量未达到合同约定标准的，发包人有权要求承包人返工直至工程质量达到合同约定的标准为止，并由承包人承担由此增加的费用和（或）延误的工期。因发包人原因造成工程质量未达到合同约定标准的，由发包人承担由此增加的费用和（或）延误的工期，并支付承包人合理的利润。</w:t>
      </w:r>
    </w:p>
    <w:p>
      <w:pPr>
        <w:pStyle w:val="37"/>
        <w:numPr>
          <w:ilvl w:val="0"/>
          <w:numId w:val="0"/>
        </w:numPr>
        <w:rPr>
          <w:rFonts w:hint="eastAsia" w:ascii="Times New Roman" w:hAnsi="Times New Roman" w:cs="宋体"/>
          <w:color w:val="auto"/>
          <w:sz w:val="21"/>
          <w:highlight w:val="none"/>
        </w:rPr>
      </w:pPr>
      <w:bookmarkStart w:id="687" w:name="_Ref18990717"/>
      <w:r>
        <w:rPr>
          <w:rFonts w:hint="eastAsia" w:ascii="Times New Roman" w:hAnsi="Times New Roman" w:cs="宋体"/>
          <w:color w:val="auto"/>
          <w:sz w:val="21"/>
          <w:highlight w:val="none"/>
        </w:rPr>
        <w:t>6.4.2 质量检查</w:t>
      </w:r>
      <w:bookmarkEnd w:id="68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有权通过工程师或自行对全部工程内容及其施工工艺、材料和工程设备进行检查和检验。承包人应为工程师或发包人的检查和检验提供方便，包括到施工现场，或制造、加工地点，或专用合同条件约定的其他地方进行察看和查阅施工原始记录。承包人还应按工程师或发包人指示，进行施工现场的取样试验，工程复核测量和设备性能检测，提供试验样品、提交试验报告和测量成果以及工程师或发包人指示进行的其他工作。工程师或发包人的检查和检验，不免除承包人按合同约定应负的责任。</w:t>
      </w:r>
    </w:p>
    <w:p>
      <w:pPr>
        <w:pStyle w:val="37"/>
        <w:numPr>
          <w:ilvl w:val="0"/>
          <w:numId w:val="0"/>
        </w:numPr>
        <w:rPr>
          <w:rFonts w:hint="eastAsia" w:ascii="Times New Roman" w:hAnsi="Times New Roman" w:cs="宋体"/>
          <w:color w:val="auto"/>
          <w:sz w:val="21"/>
          <w:highlight w:val="none"/>
        </w:rPr>
      </w:pPr>
      <w:bookmarkStart w:id="688" w:name="_Ref11959222"/>
      <w:r>
        <w:rPr>
          <w:rFonts w:hint="eastAsia" w:ascii="Times New Roman" w:hAnsi="Times New Roman" w:cs="宋体"/>
          <w:color w:val="auto"/>
          <w:sz w:val="21"/>
          <w:highlight w:val="none"/>
        </w:rPr>
        <w:t>6.4.3 隐蔽工程检查</w:t>
      </w:r>
      <w:bookmarkEnd w:id="688"/>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除专用合同条件另有约定外，工程隐蔽部位经承包人自检确认具备覆盖条件的，承包人应书面通知工程师在约定的期限内检查，通知中应载明隐蔽检查的内容、时间和地点，并应附有自检记录和必要的检查资料。</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应按时到场并对隐蔽工程及其施工工艺、材料和工程设备进行检查。经工程师检查确认质量符合隐蔽要求，并在验收记录上签字后，承包人才能进行覆盖。经工程师检查质量不合格的，承包人应在工程师指示的时间内完成修复，并由工程师重新检查，由此增加的费用和（或）延误的工期由承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工程师不能按时进行检查的，应提前向承包人提交书面延期要求，顺延时间不得超过48小时，由此导致工期延误的，工期应予以顺延，顺延超过48小时的，由此导致的工期延误及费用增加由发包人承担。工程师未按时进行检查，也未提出延期要求的，视为隐蔽工程检查合格，承包人可自行完成覆盖工作，并作相应记录报送工程师，工程师应签字确认。工程师事后对检查记录有疑问的，可按下列约定重新检查。</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覆盖工程隐蔽部位后，工程师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承包人未通知工程师到场检查，私自将工程隐蔽部位覆盖的，工程师有权指示承包人钻孔探测或揭开检查，无论工程隐蔽部位质量是否合格，由此增加的费用和（或）延误的工期均由承包人承担。</w:t>
      </w:r>
    </w:p>
    <w:bookmarkEnd w:id="681"/>
    <w:p>
      <w:pPr>
        <w:pStyle w:val="54"/>
        <w:widowControl/>
        <w:numPr>
          <w:ilvl w:val="0"/>
          <w:numId w:val="0"/>
        </w:numPr>
        <w:rPr>
          <w:rFonts w:hint="eastAsia" w:ascii="Times New Roman" w:hAnsi="Times New Roman" w:eastAsia="宋体" w:cs="宋体"/>
          <w:b w:val="0"/>
          <w:bCs/>
          <w:color w:val="auto"/>
          <w:sz w:val="21"/>
          <w:szCs w:val="21"/>
          <w:highlight w:val="none"/>
        </w:rPr>
      </w:pPr>
      <w:bookmarkStart w:id="689" w:name="_Ref11927389"/>
      <w:bookmarkStart w:id="690" w:name="_Ref11927398"/>
      <w:bookmarkStart w:id="691" w:name="_Ref11927403"/>
      <w:bookmarkStart w:id="692" w:name="_Toc54862233"/>
      <w:bookmarkStart w:id="693" w:name="_Ref11959158"/>
      <w:bookmarkStart w:id="694" w:name="_Ref11959175"/>
      <w:r>
        <w:rPr>
          <w:rFonts w:hint="eastAsia" w:ascii="Times New Roman" w:hAnsi="Times New Roman" w:eastAsia="宋体" w:cs="宋体"/>
          <w:b w:val="0"/>
          <w:bCs/>
          <w:color w:val="auto"/>
          <w:sz w:val="21"/>
          <w:szCs w:val="21"/>
          <w:highlight w:val="none"/>
        </w:rPr>
        <w:t>6.5 由承包人试验</w:t>
      </w:r>
      <w:bookmarkEnd w:id="689"/>
      <w:bookmarkEnd w:id="690"/>
      <w:bookmarkEnd w:id="691"/>
      <w:r>
        <w:rPr>
          <w:rFonts w:hint="eastAsia" w:ascii="Times New Roman" w:hAnsi="Times New Roman" w:eastAsia="宋体" w:cs="宋体"/>
          <w:b w:val="0"/>
          <w:bCs/>
          <w:color w:val="auto"/>
          <w:sz w:val="21"/>
          <w:szCs w:val="21"/>
          <w:highlight w:val="none"/>
        </w:rPr>
        <w:t>和检验</w:t>
      </w:r>
      <w:bookmarkEnd w:id="692"/>
      <w:bookmarkEnd w:id="693"/>
      <w:bookmarkEnd w:id="694"/>
    </w:p>
    <w:bookmarkEnd w:id="682"/>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6.5.1 试验设备与试验人员</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根据合同约定或工程师指示进行的现场材料试验，应由承包人提供试验场所、试验人员、试验设备以及其他必要的试验条件。工程师在必要时可以使用承包人提供的试验场所、试验设备以及其他试验条件，进行以工程质量检查为目</w:t>
      </w:r>
      <w:del w:id="150" w:author="user" w:date="2025-06-30T11:12:30Z">
        <w:r>
          <w:rPr>
            <w:rFonts w:hint="eastAsia" w:ascii="Times New Roman" w:hAnsi="Times New Roman" w:cs="宋体"/>
            <w:color w:val="auto"/>
            <w:szCs w:val="21"/>
            <w:highlight w:val="none"/>
          </w:rPr>
          <w:delText>的的</w:delText>
        </w:r>
      </w:del>
      <w:ins w:id="151" w:author="user" w:date="2025-06-30T11:12:30Z">
        <w:r>
          <w:rPr>
            <w:rFonts w:hint="eastAsia" w:cs="宋体"/>
            <w:color w:val="auto"/>
            <w:szCs w:val="21"/>
            <w:highlight w:val="none"/>
            <w:lang w:eastAsia="zh-CN"/>
          </w:rPr>
          <w:t>的</w:t>
        </w:r>
      </w:ins>
      <w:r>
        <w:rPr>
          <w:rFonts w:hint="eastAsia" w:ascii="Times New Roman" w:hAnsi="Times New Roman" w:cs="宋体"/>
          <w:color w:val="auto"/>
          <w:szCs w:val="21"/>
          <w:highlight w:val="none"/>
        </w:rPr>
        <w:t>材料复核试验，承包人应予以协助。</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承包人应按专用合同条件约定的试验内容、时间和地点提供试验设备、取样装置、试验场所和试验条件，并向工程师提交相应进场计划表。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承包人配置的试验设备要符合相应试验规程的要求并经过具有资质的检测单位检测，且在正式使用该试验设备前，需要经过工程师与承包人共同校定。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承包人应向工程师提交试验人员的名单及其岗位、资格等证明资料，试验人员必须能够熟练进行相应的检测试验，承包人对试验人员的试验程序和试验结果的正确性负责。</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6.5.2 取样</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试验属于自检性质的，承包人可以单独取样。试验属于工程师抽检性质的，可由工程师取样，也可由承包人的试验人员在工程师的监督下取样。</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6.5.3 材料、工程设备和工程的试验和检验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应按合同约定进行材料和工程设备的试验和检验，并为工程师对上述材料、工程设备和工程的质量检查提供必要的试验资料和原始记录。按合同约定应由工程师与承包人共同进行试验和检验的，由承包人负责提供必要的试验资料和原始记录。</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试验属于自检性质的，承包人可以单独进行试验。试验属于工程师抽检性质的，工程师可以单独进行试验，也可由承包人与工程师共同进行。承包人对由工程师单独进行的试验结果有异议的，可以申请重新共同进行试验。约定共同进行试验的，工程师未按照约定参加试验的，承包人可自行试验，并将试验结果报送工程师，工程师应承认该试验结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工程师对承包人的试验和检验结果有异议的，或为查清承包人试验和检验成果的可靠性要求承包人重新试验和检验的，可由工程师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pPr>
        <w:pStyle w:val="37"/>
        <w:numPr>
          <w:ilvl w:val="0"/>
          <w:numId w:val="0"/>
        </w:numPr>
        <w:rPr>
          <w:rFonts w:hint="eastAsia" w:ascii="Times New Roman" w:hAnsi="Times New Roman" w:cs="宋体"/>
          <w:color w:val="auto"/>
          <w:sz w:val="21"/>
          <w:highlight w:val="none"/>
        </w:rPr>
      </w:pPr>
      <w:bookmarkStart w:id="695" w:name="_Toc351203566"/>
      <w:bookmarkStart w:id="696" w:name="_Toc337558786"/>
      <w:r>
        <w:rPr>
          <w:rFonts w:hint="eastAsia" w:ascii="Times New Roman" w:hAnsi="Times New Roman" w:cs="宋体"/>
          <w:color w:val="auto"/>
          <w:sz w:val="21"/>
          <w:highlight w:val="none"/>
        </w:rPr>
        <w:t>6.5.4 现场工艺试验</w:t>
      </w:r>
      <w:bookmarkEnd w:id="695"/>
    </w:p>
    <w:bookmarkEnd w:id="696"/>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承包人应按合同约定进行现场工艺试验。对大型的现场工艺试验，发包人认为必要时，承包人应根据发包人提出的工艺试验要求，编制工艺试验措施计划，报送发包人审查。</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697" w:name="_Ref532592787"/>
      <w:bookmarkStart w:id="698" w:name="_Ref532592784"/>
      <w:bookmarkStart w:id="699" w:name="_Toc54862234"/>
      <w:r>
        <w:rPr>
          <w:rFonts w:hint="eastAsia" w:ascii="Times New Roman" w:hAnsi="Times New Roman" w:eastAsia="宋体" w:cs="宋体"/>
          <w:b w:val="0"/>
          <w:bCs/>
          <w:color w:val="auto"/>
          <w:sz w:val="21"/>
          <w:szCs w:val="21"/>
          <w:highlight w:val="none"/>
        </w:rPr>
        <w:t>6.6 缺陷和修补</w:t>
      </w:r>
      <w:bookmarkEnd w:id="697"/>
      <w:bookmarkEnd w:id="698"/>
      <w:bookmarkEnd w:id="699"/>
    </w:p>
    <w:p>
      <w:pPr>
        <w:pStyle w:val="37"/>
        <w:numPr>
          <w:ilvl w:val="0"/>
          <w:numId w:val="0"/>
        </w:numPr>
        <w:rPr>
          <w:rFonts w:hint="eastAsia" w:ascii="Times New Roman" w:hAnsi="Times New Roman" w:cs="宋体"/>
          <w:color w:val="auto"/>
          <w:sz w:val="21"/>
          <w:highlight w:val="none"/>
        </w:rPr>
      </w:pPr>
      <w:bookmarkStart w:id="700" w:name="_Ref16875551"/>
      <w:r>
        <w:rPr>
          <w:rFonts w:hint="eastAsia" w:ascii="Times New Roman" w:hAnsi="Times New Roman" w:cs="宋体"/>
          <w:color w:val="auto"/>
          <w:sz w:val="21"/>
          <w:highlight w:val="none"/>
        </w:rPr>
        <w:t>6.6.1 发包人可在颁发接收证书前随时指示承包人：</w:t>
      </w:r>
      <w:bookmarkEnd w:id="70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对不符合合同要求的任何工程设备或材料进行修补，或者将其移出现场并进行更换；</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（2） 对不符合合同的其他工作进行修补，或者将其去除并重新实施； </w:t>
      </w:r>
    </w:p>
    <w:p>
      <w:pPr>
        <w:spacing w:line="360" w:lineRule="auto"/>
        <w:ind w:firstLine="600"/>
        <w:rPr>
          <w:rFonts w:hint="eastAsia" w:ascii="Times New Roman" w:hAnsi="Times New Roman" w:cs="宋体"/>
          <w:color w:val="auto"/>
          <w:szCs w:val="21"/>
          <w:highlight w:val="none"/>
        </w:rPr>
      </w:pPr>
      <w:bookmarkStart w:id="701" w:name="_Ref4708991"/>
      <w:r>
        <w:rPr>
          <w:rFonts w:hint="eastAsia" w:ascii="Times New Roman" w:hAnsi="Times New Roman" w:cs="宋体"/>
          <w:color w:val="auto"/>
          <w:szCs w:val="21"/>
          <w:highlight w:val="none"/>
        </w:rPr>
        <w:t>（3） 实施因意外、不可预见的事件或其他原因引起的、为工程的安全迫切需要的任何修补工作。</w:t>
      </w:r>
      <w:bookmarkEnd w:id="701"/>
    </w:p>
    <w:p>
      <w:pPr>
        <w:pStyle w:val="37"/>
        <w:numPr>
          <w:ilvl w:val="0"/>
          <w:numId w:val="0"/>
        </w:numPr>
        <w:rPr>
          <w:rFonts w:hint="eastAsia" w:ascii="Times New Roman" w:hAnsi="Times New Roman" w:cs="宋体"/>
          <w:color w:val="auto"/>
          <w:sz w:val="21"/>
          <w:highlight w:val="none"/>
        </w:rPr>
      </w:pPr>
      <w:bookmarkStart w:id="702" w:name="_Ref11956964"/>
      <w:r>
        <w:rPr>
          <w:rFonts w:hint="eastAsia" w:ascii="Times New Roman" w:hAnsi="Times New Roman" w:cs="宋体"/>
          <w:color w:val="auto"/>
          <w:sz w:val="21"/>
          <w:highlight w:val="none"/>
        </w:rPr>
        <w:t>6.6.2 承包人应遵守第6.6.1项下指示，并在合理可行的情况下，根据上述指示中规定的时间完成修补工作。除因下列原因引起的第6.6.1项第（3）目下的情形外，承包人应承担所有修补工作的费用：</w:t>
      </w:r>
      <w:bookmarkEnd w:id="702"/>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因发包人或其人员的任何行为导致的情形，且在此情况下发包人应承担因此引起的工期延误和承包人费用损失，并向承包人支付合理的利润。</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第17.4款[不可抗力后果的承担]中适用的不可抗力事件的情形。</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6.6.3 如果承包人未能遵守发包人的指示，发包人可以自行决定请第三方完成上述修补工作，并有权要求承包人支付因未履行指示而产生的所有费用，但承包人根据第6.6.2项有权就修补工作获得支付的情况除外。</w:t>
      </w:r>
    </w:p>
    <w:p>
      <w:pPr>
        <w:pStyle w:val="49"/>
        <w:numPr>
          <w:ilvl w:val="0"/>
          <w:numId w:val="0"/>
        </w:numPr>
        <w:rPr>
          <w:rFonts w:hint="eastAsia" w:ascii="Times New Roman" w:hAnsi="Times New Roman" w:eastAsia="宋体" w:cs="宋体"/>
          <w:bCs w:val="0"/>
          <w:color w:val="auto"/>
          <w:sz w:val="21"/>
          <w:szCs w:val="21"/>
          <w:highlight w:val="none"/>
        </w:rPr>
      </w:pPr>
      <w:bookmarkStart w:id="703" w:name="_Toc54862235"/>
      <w:bookmarkStart w:id="704" w:name="_Ref531954214"/>
      <w:r>
        <w:rPr>
          <w:rFonts w:hint="eastAsia" w:ascii="Times New Roman" w:hAnsi="Times New Roman" w:eastAsia="宋体" w:cs="宋体"/>
          <w:bCs w:val="0"/>
          <w:color w:val="auto"/>
          <w:sz w:val="21"/>
          <w:szCs w:val="21"/>
          <w:highlight w:val="none"/>
        </w:rPr>
        <w:t>第7条 施工</w:t>
      </w:r>
      <w:bookmarkEnd w:id="703"/>
      <w:bookmarkEnd w:id="704"/>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05" w:name="_Ref531954276"/>
      <w:bookmarkStart w:id="706" w:name="_Ref531954272"/>
      <w:bookmarkStart w:id="707" w:name="_Toc54862236"/>
      <w:bookmarkStart w:id="708" w:name="_Ref531954260"/>
      <w:bookmarkStart w:id="709" w:name="_Ref531954246"/>
      <w:r>
        <w:rPr>
          <w:rFonts w:hint="eastAsia" w:ascii="Times New Roman" w:hAnsi="Times New Roman" w:eastAsia="宋体" w:cs="宋体"/>
          <w:b w:val="0"/>
          <w:bCs/>
          <w:color w:val="auto"/>
          <w:sz w:val="21"/>
          <w:szCs w:val="21"/>
          <w:highlight w:val="none"/>
        </w:rPr>
        <w:t>7.1 交通运输</w:t>
      </w:r>
      <w:bookmarkEnd w:id="705"/>
      <w:bookmarkEnd w:id="706"/>
      <w:bookmarkEnd w:id="707"/>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bookmarkStart w:id="710" w:name="_Ref4422645"/>
      <w:r>
        <w:rPr>
          <w:rFonts w:hint="eastAsia" w:ascii="Times New Roman" w:hAnsi="Times New Roman" w:cs="宋体"/>
          <w:color w:val="auto"/>
          <w:sz w:val="21"/>
          <w:highlight w:val="none"/>
        </w:rPr>
        <w:t>7.1.1 出入现场的权利</w:t>
      </w:r>
      <w:bookmarkEnd w:id="71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发包人应根据工程实施需要，负责取得出入施工现场所需的批准手续和全部权利，以及取得因工程实施所需修建道路、桥梁以及其他基础设施的权利，并承担相关手续费用和建设费用。承包人应协助发包人办理修建场内外道路、桥梁以及其他基础设施的手续。</w:t>
      </w:r>
    </w:p>
    <w:p>
      <w:pPr>
        <w:pStyle w:val="37"/>
        <w:numPr>
          <w:ilvl w:val="0"/>
          <w:numId w:val="0"/>
        </w:numPr>
        <w:rPr>
          <w:rFonts w:hint="eastAsia" w:ascii="Times New Roman" w:hAnsi="Times New Roman" w:cs="宋体"/>
          <w:color w:val="auto"/>
          <w:sz w:val="21"/>
          <w:highlight w:val="none"/>
        </w:rPr>
      </w:pPr>
      <w:bookmarkStart w:id="711" w:name="_Ref18957045"/>
      <w:r>
        <w:rPr>
          <w:rFonts w:hint="eastAsia" w:ascii="Times New Roman" w:hAnsi="Times New Roman" w:cs="宋体"/>
          <w:color w:val="auto"/>
          <w:sz w:val="21"/>
          <w:highlight w:val="none"/>
        </w:rPr>
        <w:t>7.1.2 场外交通</w:t>
      </w:r>
      <w:bookmarkEnd w:id="71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发包人应提供场外交通设施的技术参数和具体条件，场外交通设施无法满足工程施工需要的，由发包人负责承担由此产生的相关费用。承包人应遵守有关交通法规，严格按照道路和桥梁的限制荷载行驶，执行有关道路限速、限行、禁止超载的规定，并配合交通管理部门的监督和检查。承包人车辆外出行驶所需的场外公共道路的通行费、养路费和税款等由承包人承担。</w:t>
      </w:r>
    </w:p>
    <w:p>
      <w:pPr>
        <w:pStyle w:val="37"/>
        <w:numPr>
          <w:ilvl w:val="0"/>
          <w:numId w:val="0"/>
        </w:numPr>
        <w:rPr>
          <w:rFonts w:hint="eastAsia" w:ascii="Times New Roman" w:hAnsi="Times New Roman" w:cs="宋体"/>
          <w:color w:val="auto"/>
          <w:sz w:val="21"/>
          <w:highlight w:val="none"/>
        </w:rPr>
      </w:pPr>
      <w:bookmarkStart w:id="712" w:name="_Ref4622358"/>
      <w:r>
        <w:rPr>
          <w:rFonts w:hint="eastAsia" w:ascii="Times New Roman" w:hAnsi="Times New Roman" w:cs="宋体"/>
          <w:color w:val="auto"/>
          <w:sz w:val="21"/>
          <w:highlight w:val="none"/>
        </w:rPr>
        <w:t>7.1.3 场内交通</w:t>
      </w:r>
      <w:bookmarkEnd w:id="712"/>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应负责修建、维修、养护和管理施工所需的临时道路和交通设施，包括维修、养护和管理发包人提供的道路和交通设施，并承担相应费用。承包人修建的临时道路和交通设施应免费提供发包人和工程师为实现合同目的使用。场内交通与场外交通的边界由合同当事人在专用合同条件中约定。</w:t>
      </w:r>
    </w:p>
    <w:p>
      <w:pPr>
        <w:pStyle w:val="37"/>
        <w:numPr>
          <w:ilvl w:val="0"/>
          <w:numId w:val="0"/>
        </w:numPr>
        <w:rPr>
          <w:rFonts w:hint="eastAsia" w:ascii="Times New Roman" w:hAnsi="Times New Roman" w:cs="宋体"/>
          <w:color w:val="auto"/>
          <w:sz w:val="21"/>
          <w:highlight w:val="none"/>
        </w:rPr>
      </w:pPr>
      <w:bookmarkStart w:id="713" w:name="_Ref4622376"/>
      <w:r>
        <w:rPr>
          <w:rFonts w:hint="eastAsia" w:ascii="Times New Roman" w:hAnsi="Times New Roman" w:cs="宋体"/>
          <w:color w:val="auto"/>
          <w:sz w:val="21"/>
          <w:highlight w:val="none"/>
        </w:rPr>
        <w:t>7.1.4 超大件和超重件的运输</w:t>
      </w:r>
      <w:bookmarkEnd w:id="713"/>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件另有约定的除外。</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7.1.5 道路和桥梁的损坏责任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因承包人运输造成施工现场内外公共道路和桥梁损坏的，由承包人承担修复损坏的全部费用和可能引起的赔偿。</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7.1.6 水路和航空运输</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本条上述各款的内容适用于水路运输和航空运输，其中“道路”一词的涵义包括河道、航线、船闸、机场、码头、堤防以及水路或航空运输中其他相似结构物；“车辆”一词的涵义包括船舶和飞机等。</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14" w:name="_Ref11919459"/>
      <w:bookmarkStart w:id="715" w:name="_Toc54862237"/>
      <w:bookmarkStart w:id="716" w:name="_Ref11919294"/>
      <w:r>
        <w:rPr>
          <w:rFonts w:hint="eastAsia" w:ascii="Times New Roman" w:hAnsi="Times New Roman" w:eastAsia="宋体" w:cs="宋体"/>
          <w:b w:val="0"/>
          <w:bCs/>
          <w:color w:val="auto"/>
          <w:sz w:val="21"/>
          <w:szCs w:val="21"/>
          <w:highlight w:val="none"/>
        </w:rPr>
        <w:t>7.2 施工设备和临时设施</w:t>
      </w:r>
      <w:bookmarkEnd w:id="708"/>
      <w:bookmarkEnd w:id="709"/>
      <w:bookmarkEnd w:id="714"/>
      <w:bookmarkEnd w:id="715"/>
      <w:bookmarkEnd w:id="716"/>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bookmarkStart w:id="717" w:name="_Ref18990767"/>
      <w:bookmarkStart w:id="718" w:name="_Ref509043186"/>
      <w:r>
        <w:rPr>
          <w:rFonts w:hint="eastAsia" w:ascii="Times New Roman" w:hAnsi="Times New Roman" w:cs="宋体"/>
          <w:color w:val="auto"/>
          <w:sz w:val="21"/>
          <w:highlight w:val="none"/>
        </w:rPr>
        <w:t>7.2.1 承包人提供的施工设备和临时设施</w:t>
      </w:r>
      <w:bookmarkEnd w:id="71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承包人应按项目进度计划的要求，及时配置施工设备和修建临时设施。进入施工现场的承包人提供的施工设备需经工程师核查后才能投入使用。承包人更换合同约定由承包人提供的施工设备的，应报工程师批准。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应自行承担修建临时设施的费用，需要临时占地的，应由发包人办理申请手续并承担相应费用。承包人应在专用合同条件7.2款约定的时间内向发包人提交临时占地资料，因承包人未能按时提交资料，导致工期延误的，由此增加的费用和（或）竣工日期延误，由承包人负责。</w:t>
      </w:r>
    </w:p>
    <w:bookmarkEnd w:id="718"/>
    <w:p>
      <w:pPr>
        <w:pStyle w:val="37"/>
        <w:numPr>
          <w:ilvl w:val="0"/>
          <w:numId w:val="0"/>
        </w:numPr>
        <w:rPr>
          <w:rFonts w:hint="eastAsia" w:ascii="Times New Roman" w:hAnsi="Times New Roman" w:cs="宋体"/>
          <w:color w:val="auto"/>
          <w:sz w:val="21"/>
          <w:highlight w:val="none"/>
        </w:rPr>
      </w:pPr>
      <w:bookmarkStart w:id="719" w:name="_Ref18990784"/>
      <w:r>
        <w:rPr>
          <w:rFonts w:hint="eastAsia" w:ascii="Times New Roman" w:hAnsi="Times New Roman" w:cs="宋体"/>
          <w:color w:val="auto"/>
          <w:sz w:val="21"/>
          <w:highlight w:val="none"/>
        </w:rPr>
        <w:t>7.2.2 发包人提供的施工设备和临时设施</w:t>
      </w:r>
      <w:bookmarkEnd w:id="71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发包人提供的施工设备或临时设施在专用合同条件中约定。</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7.2.3 要求承包人增加或更换施工设备</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承包人使用的施工设备不能满足项目进度计划和（或）质量要求时，工程师有权要求承包人增加或更换施工设备，承包人应及时增加或更换，由此增加的费用和（或）延误的工期由承包人承担。</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7.2.4 施工设备和临时设施专用于合同工程</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运入施工现场的施工设备以及在施工现场建设的临时设施必须专用于工程。未经发包人批准，承包人不得运出施工现场或挪作他用；经发包人批准，承包人可以根据施工进度计划撤走闲置的施工设备和其他物品。</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20" w:name="_Toc54862238"/>
      <w:bookmarkStart w:id="721" w:name="_Ref11874352"/>
      <w:r>
        <w:rPr>
          <w:rFonts w:hint="eastAsia" w:ascii="Times New Roman" w:hAnsi="Times New Roman" w:eastAsia="宋体" w:cs="宋体"/>
          <w:b w:val="0"/>
          <w:bCs/>
          <w:color w:val="auto"/>
          <w:sz w:val="21"/>
          <w:szCs w:val="21"/>
          <w:highlight w:val="none"/>
        </w:rPr>
        <w:t>7.3 现场合作</w:t>
      </w:r>
      <w:bookmarkEnd w:id="720"/>
      <w:bookmarkEnd w:id="72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承包人应按合同约定或发包人的指示，与发包人人员、发包人的其他承包人等人员就在现场或附近实施与工程有关的各项工作进行合作并提供适当条件，包括使用承包人设备、临时工程或进入现场等。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承包人应对其在现场的施工活动负责，并应尽合理努力按合同约定或发包人的指示，协调自身与发包人人员、发包人的其他承包人等人员的活动。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如果承包人提供上述合作、条件或协调在考虑到《发包人要求》所列内容的情况下是不可预见的，则承包人有权就额外费用和合理利润从发包人处获得支付，且因此延误的工期应相应顺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22" w:name="_Ref531954287"/>
      <w:bookmarkStart w:id="723" w:name="_Ref531954285"/>
      <w:bookmarkStart w:id="724" w:name="_Toc54862239"/>
      <w:r>
        <w:rPr>
          <w:rFonts w:hint="eastAsia" w:ascii="Times New Roman" w:hAnsi="Times New Roman" w:eastAsia="宋体" w:cs="宋体"/>
          <w:b w:val="0"/>
          <w:bCs/>
          <w:color w:val="auto"/>
          <w:sz w:val="21"/>
          <w:szCs w:val="21"/>
          <w:highlight w:val="none"/>
        </w:rPr>
        <w:t>7.4 测量放线</w:t>
      </w:r>
      <w:bookmarkEnd w:id="722"/>
      <w:bookmarkEnd w:id="723"/>
      <w:bookmarkEnd w:id="724"/>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7.4.1 除专用合同条件另有约定外，承包人应根据国家测绘基准、测绘系统和工程测量技术规范，按基准点（线）以及合同工程精度要求，测设施工控制网，并在专用合同条件约定的期限内，将施工控制网资料报送工程师。</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7.4.2 承包人应负责管理施工控制网点。施工控制网点丢失或损坏的，承包人应及时修复。承包人应承担施工控制网点的管理与修复费用，并在工程竣工后将施工控制网点移交发包人。承包人负责对工程、单位/区段工程、施工部位放线，并对放线的准确性负责。</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7.4.3 承包人负责施工过程中的全部施工测量放线工作，并配置具有相应资质的人员、合格的仪器、设备和其他物品。承包人应矫正工程的位置、标高、尺寸或基准线中出现的任何差错，并对工程各部分的定位负责。施工过程中对施工现场内水准点等测量标志物的保护工作由承包人负责。</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25" w:name="_Toc54862240"/>
      <w:bookmarkStart w:id="726" w:name="_Ref531954329"/>
      <w:bookmarkStart w:id="727" w:name="_Ref4770992"/>
      <w:bookmarkStart w:id="728" w:name="_Ref531954323"/>
      <w:r>
        <w:rPr>
          <w:rFonts w:hint="eastAsia" w:ascii="Times New Roman" w:hAnsi="Times New Roman" w:eastAsia="宋体" w:cs="宋体"/>
          <w:b w:val="0"/>
          <w:bCs/>
          <w:color w:val="auto"/>
          <w:sz w:val="21"/>
          <w:szCs w:val="21"/>
          <w:highlight w:val="none"/>
        </w:rPr>
        <w:t>7.5 现场劳动用工</w:t>
      </w:r>
      <w:bookmarkEnd w:id="725"/>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7.5.1 承包人及其分包人招用建筑工人的，应当依法与所招用的建筑工人订立劳动合同，实行建筑工人劳动用工实名制管理，承包人应当按照有关规定开设建筑工人工资专用账户、存储工资保证金，专项用于支付和保障该工程建设项目建筑工人工资。</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7.5.2 承包人应当在工程项目部配备劳资专管员，对分包单位劳动用工及工资发放实施监督管理。承包人拖欠建筑工人工资的,应当依法予以清偿。分包人拖欠建筑工人工资的,由承包人先行清偿,再依法进行追偿。因发包人未按照合同约定及时拨付工程款导致建筑工人工资拖欠的，发包人应当以未结清的工程款为限先行垫付被拖欠的建筑工人工资。合同当事人可在专用合同条件中约定具体的清偿事宜和违约责任。</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7.5.3 承包人应当按照相关法律法规的要求，进行劳动用工管理和建筑工人工资支付。</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29" w:name="_Toc54862241"/>
      <w:bookmarkStart w:id="730" w:name="_Ref41554059"/>
      <w:r>
        <w:rPr>
          <w:rFonts w:hint="eastAsia" w:ascii="Times New Roman" w:hAnsi="Times New Roman" w:eastAsia="宋体" w:cs="宋体"/>
          <w:b w:val="0"/>
          <w:bCs/>
          <w:color w:val="auto"/>
          <w:sz w:val="21"/>
          <w:szCs w:val="21"/>
          <w:highlight w:val="none"/>
        </w:rPr>
        <w:t>7.6 安全文明施工</w:t>
      </w:r>
      <w:bookmarkEnd w:id="726"/>
      <w:bookmarkEnd w:id="727"/>
      <w:bookmarkEnd w:id="728"/>
      <w:bookmarkEnd w:id="729"/>
      <w:bookmarkEnd w:id="730"/>
    </w:p>
    <w:p>
      <w:pPr>
        <w:pStyle w:val="37"/>
        <w:numPr>
          <w:ilvl w:val="0"/>
          <w:numId w:val="0"/>
        </w:numPr>
        <w:rPr>
          <w:rFonts w:hint="eastAsia" w:ascii="Times New Roman" w:hAnsi="Times New Roman" w:cs="宋体"/>
          <w:color w:val="auto"/>
          <w:sz w:val="21"/>
          <w:highlight w:val="none"/>
        </w:rPr>
      </w:pPr>
      <w:bookmarkStart w:id="731" w:name="_Ref18990822"/>
      <w:r>
        <w:rPr>
          <w:rFonts w:hint="eastAsia" w:ascii="Times New Roman" w:hAnsi="Times New Roman" w:cs="宋体"/>
          <w:color w:val="auto"/>
          <w:sz w:val="21"/>
          <w:highlight w:val="none"/>
        </w:rPr>
        <w:t>7.6.1 安全生产要求</w:t>
      </w:r>
      <w:bookmarkEnd w:id="73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履行期间，合同当事人均应当遵守国家和工程所在地有关安全生产的要求，合同当事人有特别要求的，应在专用合同条件中明确安全生产标准化目标及相应事项。承包人有权拒绝发包人及工程师强令承包人违章作业、冒险施工的任何指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工程实施过程中，如遇到突发的地质变动、事先未知的地下施工障碍等影响施工安全的紧急情况，承包人应及时报告工程师和发包人，发包人应当及时下令停工并采取应急措施，按照相关法律法规的要求需上报政府有关行政管理部门的，应依法上报。</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因安全生产需要暂停施工的，按照第8.9款[暂停工作]的约定执行。</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7.6.2 安全生产保证措施</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承包人应当按照法律、法规和工程建设强制性标准进行设计、在设计文件中注明涉及施工安全的重点部位和环节，提出保障施工作业人员和预防安全事故的措施建议，防止因设计不合理导致生产安全事故的发生。</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工程师及政府安全监督部门的检查与监督。</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法律规定进行施工，开工前做好安全技术交底工作，施工过程中做好各项安全防护措施。承包人为实施合同而雇用的特殊工种的人员应受过专门的培训并已取得政府有关管理机构颁发的上岗证书。承包人应加强施工作业安全管理，特别应加强对于易燃、易爆材料、火工器材、有毒与腐蚀性材料和其他危险品的管理，以及对爆破作业和地下工程施工等危险作业的管理。</w:t>
      </w:r>
    </w:p>
    <w:p>
      <w:pPr>
        <w:pStyle w:val="37"/>
        <w:numPr>
          <w:ilvl w:val="0"/>
          <w:numId w:val="0"/>
        </w:numPr>
        <w:rPr>
          <w:rFonts w:hint="eastAsia" w:ascii="Times New Roman" w:hAnsi="Times New Roman" w:cs="宋体"/>
          <w:color w:val="auto"/>
          <w:sz w:val="21"/>
          <w:highlight w:val="none"/>
        </w:rPr>
      </w:pPr>
      <w:bookmarkStart w:id="732" w:name="_Ref18990840"/>
      <w:r>
        <w:rPr>
          <w:rFonts w:hint="eastAsia" w:ascii="Times New Roman" w:hAnsi="Times New Roman" w:cs="宋体"/>
          <w:color w:val="auto"/>
          <w:sz w:val="21"/>
          <w:highlight w:val="none"/>
        </w:rPr>
        <w:t>7.6.3 文明施工</w:t>
      </w:r>
      <w:bookmarkEnd w:id="732"/>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承包人在工程施工期间，应当采取措施保持施工现场平整，物料堆放整齐。工程所在地有关政府行政管理部门有特殊要求的，按照其要求执行。合同当事人对文明施工有其他要求的，可以在专用合同条件中明确。</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7.6.4 事故处理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实施过程中发生事故的，承包人应立即通知工程师。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工程实施期间或缺陷责任期内发生危及工程安全的事件，工程师通知承包人进行抢救和抢修，承包人声明无能力或不愿立即执行的，发包人有权雇佣其他人员进行抢救和抢修。此类抢救和抢修按合同约定属于承包人义务的，由此增加的费用和（或）延误的工期由承包人承担。</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7.6.5 安全生产责任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发包人应负责赔偿以下各种情况造成的损失：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工程或工程的任何部分对土地的占用所造成的第三者财产损失；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由于发包人原因在施工现场及其毗邻地带、履行合同工作中造成的第三者人身伤亡和财产损失；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由于发包人原因对发包人自身、承包人、工程师造成的人身伤害和财产损失。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承包人应负责赔偿由于承包人原因在施工现场及其毗邻地带、履行合同工作中造成的第三者人身伤亡和财产损失。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如果上述损失是由于发包人和承包人共同原因导致的，则双方应根据过错情况按比例承担。</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33" w:name="_Ref41554069"/>
      <w:bookmarkStart w:id="734" w:name="_Ref11874562"/>
      <w:bookmarkStart w:id="735" w:name="_Toc54862242"/>
      <w:r>
        <w:rPr>
          <w:rFonts w:hint="eastAsia" w:ascii="Times New Roman" w:hAnsi="Times New Roman" w:eastAsia="宋体" w:cs="宋体"/>
          <w:b w:val="0"/>
          <w:bCs/>
          <w:color w:val="auto"/>
          <w:sz w:val="21"/>
          <w:szCs w:val="21"/>
          <w:highlight w:val="none"/>
        </w:rPr>
        <w:t>7.7 职业健康</w:t>
      </w:r>
      <w:bookmarkEnd w:id="733"/>
      <w:bookmarkEnd w:id="734"/>
      <w:bookmarkEnd w:id="73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承包人应遵守适用的职业健康的法律和合同约定（包括对雇用、职业健康、安全、福利等方面的规定），负责现场实施过程中其人员的职业健康和保护，包括：</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应遵守适用的劳动法规，保护承包人员工及承包人聘用的第三方人员的合法休假权等合法权益，按照法律规定安排现场施工人员的劳动和休息时间，保障劳动者的休息时间，并支付合理的报酬和费用。因工程施工的特殊需要占用休假日或延长工作时间的，应不超过法律规定的限度，并按法律规定给予补休或酬劳。</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承包人应依法为承包人</w:t>
      </w:r>
      <w:bookmarkStart w:id="736" w:name="_Hlk46339538"/>
      <w:r>
        <w:rPr>
          <w:rFonts w:hint="eastAsia" w:ascii="Times New Roman" w:hAnsi="Times New Roman" w:cs="宋体"/>
          <w:color w:val="auto"/>
          <w:szCs w:val="21"/>
          <w:highlight w:val="none"/>
        </w:rPr>
        <w:t>员工及承包人聘用的第三方人员</w:t>
      </w:r>
      <w:bookmarkEnd w:id="736"/>
      <w:r>
        <w:rPr>
          <w:rFonts w:hint="eastAsia" w:ascii="Times New Roman" w:hAnsi="Times New Roman" w:cs="宋体"/>
          <w:color w:val="auto"/>
          <w:szCs w:val="21"/>
          <w:highlight w:val="none"/>
        </w:rPr>
        <w:t>办理必要的证件、许可、保险和注册等，承包人应督促其分包人为分包人员工及分包人聘用的第三方人员办理必要的证件、许可、保险和注册等。承包人应为其履行合同所雇用的人员提供必要的膳宿条件和生活环境，必要的现场食宿条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应对其施工人员进行相关作业的职业健康知识培训、危险及危害因素交底、安全操作规程交底、采取有效措施，按有关规定为其现场人员提供劳动保护用品、防护器具、防暑降温用品和安全生产设施。采取有效的防止粉尘、降低噪声、控制有害气体和保障高温、高寒、高空作业安全等劳动保护措施。</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承包人应在有毒有害作业区域设置警示标志和说明，对有毒有害岗位进行防治检查，对不合格的防护设施、器具、搭设等及时整改，消除危害职业健康的隐患。发包人人员和工程师人员未经承包人允许、未配备相关保护器具，进入该作业区域所造成的伤害，由发包人承担责任和费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承包人应采取有效措施预防传染病，保持食堂的饮食卫生，保证施工人员的健康，并定期对施工现场、施工人员生活基地和工程进行防疫和卫生的专业检查和处理, 在远离城镇的施工现场，还应配备必要的伤病防治和急救的医务人员与医疗设施。承包人雇佣人员在施工中受到伤害的，承包人应立即采取有效措施进行抢救和治疗。</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37" w:name="_Toc54862243"/>
      <w:bookmarkStart w:id="738" w:name="_Ref11874570"/>
      <w:r>
        <w:rPr>
          <w:rFonts w:hint="eastAsia" w:ascii="Times New Roman" w:hAnsi="Times New Roman" w:eastAsia="宋体" w:cs="宋体"/>
          <w:b w:val="0"/>
          <w:bCs/>
          <w:color w:val="auto"/>
          <w:sz w:val="21"/>
          <w:szCs w:val="21"/>
          <w:highlight w:val="none"/>
        </w:rPr>
        <w:t>7.8 环境保护</w:t>
      </w:r>
      <w:bookmarkEnd w:id="737"/>
      <w:bookmarkEnd w:id="738"/>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7.8.1 承包人负责在现场施工过程中对现场周围的建筑物、构筑物、文物建筑、古树、名木，及地下管线、线缆、构筑物、文物、化石和坟墓等进行保护。因承包人未能通知发包人，并在未能得到发包人进一步指示的情况下，所造成的损害、损失、赔偿等费用增加，和（或）竣工日期延误，由承包人负责。如承包人已及时通知发包人，发包人未能及时作出指示的，所造成的损害、损失、赔偿等费用增加，和（或）竣工日期延误，由发包人负责。</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7.8.2 承包人应采取措施，并负责控制和（或）处理现场的粉尘、废气、废水、固体废物和噪声对环境的污染和危害。因此发生的伤害、赔偿、罚款等费用增加，和（或）竣工日期延误，由承包人负责。</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7.8.3 承包人及时或定期将施工现场残留、废弃的垃圾分类后运到发包人或当地有关行政部门指定的地点，防止对周围环境的污染及对作业的影响。承包人应当承担因其原因引起的环境污染侵权损害赔偿责任，因违反上述约定导致当地行政部门的罚款、赔偿等增加的费用，由承包人承担；因上述环境污染引起纠纷而导致暂停施工的，由此增加的费用和（或）延误的工期由承包人承担。</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39" w:name="_Ref531954340"/>
      <w:bookmarkStart w:id="740" w:name="_Toc54862244"/>
      <w:bookmarkStart w:id="741" w:name="_Ref531954344"/>
      <w:bookmarkStart w:id="742" w:name="_Ref4771116"/>
      <w:r>
        <w:rPr>
          <w:rFonts w:hint="eastAsia" w:ascii="Times New Roman" w:hAnsi="Times New Roman" w:eastAsia="宋体" w:cs="宋体"/>
          <w:b w:val="0"/>
          <w:bCs/>
          <w:color w:val="auto"/>
          <w:sz w:val="21"/>
          <w:szCs w:val="21"/>
          <w:highlight w:val="none"/>
        </w:rPr>
        <w:t>7.9 临时性公用设施</w:t>
      </w:r>
      <w:bookmarkEnd w:id="739"/>
      <w:bookmarkEnd w:id="740"/>
      <w:bookmarkEnd w:id="741"/>
      <w:r>
        <w:rPr>
          <w:rFonts w:hint="eastAsia" w:ascii="Times New Roman" w:hAnsi="Times New Roman" w:eastAsia="宋体" w:cs="宋体"/>
          <w:b w:val="0"/>
          <w:bCs/>
          <w:color w:val="auto"/>
          <w:sz w:val="21"/>
          <w:szCs w:val="21"/>
          <w:highlight w:val="none"/>
        </w:rPr>
        <w:t xml:space="preserve"> </w:t>
      </w:r>
      <w:bookmarkEnd w:id="742"/>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7.9.1 提供临时用水、用电等和节点铺设</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发包人应在承包人进场前将施工临时用水、用电等接至约定的节点位置，并保证其需要。上述临时使用的水、电等的类别、取费单价在专用合同条件中约定，发包人按实际计量结果收费。发包人无法提供的水、电等在专用合同条件中约定，相关费用由承包人纳入报价并承担相关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未能按约定的类别和时间完成节点铺设，使开工时间延误，竣工日期相应顺延。未能按约定的品质、数量和时间提供水、电等，给承包人造成的损失由发包人承担，导致工程关键路径延误的，竣工日期相应顺延。</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7.9.2 临时用水、用电等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在计划开始现场施工日期28天前或双方约定的其它时间，按专用合同条件中约定的发包人能够提供的临时用水、用电等类别，向发包人提交施工（含工程物资保管）所需的临时用水、用电等的品质、正常用量、高峰用量、使用时间和节点位置等资料。承包人自费负责计量仪器的购买、安装和维护，并依据专用合同条件中约定的单价向发包人交费，合同当事人另有约定时除外。</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因承包人未能按合同约定提交上述资料，造成发包人费用增加和竣工日期延误时，由承包人负责。</w:t>
      </w:r>
      <w:bookmarkStart w:id="743" w:name="_Ref508893743"/>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44" w:name="_Toc54862245"/>
      <w:bookmarkStart w:id="745" w:name="_Ref531952239"/>
      <w:bookmarkStart w:id="746" w:name="_Ref531952248"/>
      <w:r>
        <w:rPr>
          <w:rFonts w:hint="eastAsia" w:ascii="Times New Roman" w:hAnsi="Times New Roman" w:eastAsia="宋体" w:cs="宋体"/>
          <w:b w:val="0"/>
          <w:bCs/>
          <w:color w:val="auto"/>
          <w:sz w:val="21"/>
          <w:szCs w:val="21"/>
          <w:highlight w:val="none"/>
        </w:rPr>
        <w:t>7.10 现场安保</w:t>
      </w:r>
      <w:bookmarkEnd w:id="744"/>
      <w:bookmarkEnd w:id="745"/>
      <w:bookmarkEnd w:id="74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承担自发包人向其移交施工现场、进入占有施工现场至发包人接收单位/区段工程或（和）工程之前的现场安保责任，并负责编制相关的安保制度、责任制度和报告制度，提交给发包人。除专用合同条件另有约定外，承包人的该等义务不因其与他人共同合法占有施工现场而减免。承包人有权要求发包人负责协调他人就共同合法占有现场的安保事宜接受承包人的管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承包人应将其作业限制在现场区域、合同约定的区域或为履行合同所需的区域内。承包人应采取一切必要的预防措施，以保持承包人的设备和人员处于现场区域内，避免其进入邻近地区。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承包人为履行合同义务而占用的其他场所（如预制加工场所、办公及生活营区） 的安保适用本款前述关于现场安保的规定。</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47" w:name="_Toc54862246"/>
      <w:r>
        <w:rPr>
          <w:rFonts w:hint="eastAsia" w:ascii="Times New Roman" w:hAnsi="Times New Roman" w:eastAsia="宋体" w:cs="宋体"/>
          <w:b w:val="0"/>
          <w:bCs/>
          <w:color w:val="auto"/>
          <w:sz w:val="21"/>
          <w:szCs w:val="21"/>
          <w:highlight w:val="none"/>
        </w:rPr>
        <w:t>7.11 工程照管</w:t>
      </w:r>
      <w:bookmarkEnd w:id="74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自开始现场施工日期起至发包人应当接收工程之日止，承包人应承担工程现场、材料、设备及承包人文件的照管和维护工作。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如部分工程于竣工验收前提前交付发包人的，则自交付之日起，该部分工程照管及维护职责由发包人承担。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如发包人及承包人进行竣工验收时尚有部分未竣工工程的，承包人应负责该未竣工工程的照管和维护工作，直至竣工后移交给发包人。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如合同解除或终止的，承包人自合同解除或终止之日起不再对工程承担照管和维护义务。</w:t>
      </w:r>
    </w:p>
    <w:p>
      <w:pPr>
        <w:pStyle w:val="49"/>
        <w:numPr>
          <w:ilvl w:val="0"/>
          <w:numId w:val="0"/>
        </w:numPr>
        <w:rPr>
          <w:rFonts w:hint="eastAsia" w:ascii="Times New Roman" w:hAnsi="Times New Roman" w:eastAsia="宋体" w:cs="宋体"/>
          <w:bCs w:val="0"/>
          <w:color w:val="auto"/>
          <w:sz w:val="21"/>
          <w:szCs w:val="21"/>
          <w:highlight w:val="none"/>
        </w:rPr>
      </w:pPr>
      <w:bookmarkStart w:id="748" w:name="_Ref508998009"/>
      <w:bookmarkStart w:id="749" w:name="_Toc54862247"/>
      <w:bookmarkStart w:id="750" w:name="_Ref531954505"/>
      <w:bookmarkStart w:id="751" w:name="_Ref531954518"/>
      <w:r>
        <w:rPr>
          <w:rFonts w:hint="eastAsia" w:ascii="Times New Roman" w:hAnsi="Times New Roman" w:eastAsia="宋体" w:cs="宋体"/>
          <w:bCs w:val="0"/>
          <w:color w:val="auto"/>
          <w:sz w:val="21"/>
          <w:szCs w:val="21"/>
          <w:highlight w:val="none"/>
        </w:rPr>
        <w:t>第8条 工期和进度</w:t>
      </w:r>
      <w:bookmarkEnd w:id="748"/>
      <w:bookmarkEnd w:id="749"/>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52" w:name="_Ref532362777"/>
      <w:bookmarkStart w:id="753" w:name="_Ref532362075"/>
      <w:bookmarkStart w:id="754" w:name="_Ref532362774"/>
      <w:bookmarkStart w:id="755" w:name="_Ref532362072"/>
      <w:bookmarkStart w:id="756" w:name="_Toc54862248"/>
      <w:r>
        <w:rPr>
          <w:rFonts w:hint="eastAsia" w:ascii="Times New Roman" w:hAnsi="Times New Roman" w:eastAsia="宋体" w:cs="宋体"/>
          <w:b w:val="0"/>
          <w:bCs/>
          <w:color w:val="auto"/>
          <w:sz w:val="21"/>
          <w:szCs w:val="21"/>
          <w:highlight w:val="none"/>
        </w:rPr>
        <w:t>8.1 开始工作</w:t>
      </w:r>
      <w:bookmarkEnd w:id="752"/>
      <w:bookmarkEnd w:id="753"/>
      <w:bookmarkEnd w:id="754"/>
      <w:bookmarkEnd w:id="755"/>
      <w:bookmarkEnd w:id="756"/>
    </w:p>
    <w:p>
      <w:pPr>
        <w:pStyle w:val="37"/>
        <w:numPr>
          <w:ilvl w:val="0"/>
          <w:numId w:val="0"/>
        </w:numPr>
        <w:rPr>
          <w:rFonts w:hint="eastAsia" w:ascii="Times New Roman" w:hAnsi="Times New Roman" w:cs="宋体"/>
          <w:color w:val="auto"/>
          <w:sz w:val="21"/>
          <w:highlight w:val="none"/>
        </w:rPr>
      </w:pPr>
      <w:bookmarkStart w:id="757" w:name="_Ref4428890"/>
      <w:r>
        <w:rPr>
          <w:rFonts w:hint="eastAsia" w:ascii="Times New Roman" w:hAnsi="Times New Roman" w:cs="宋体"/>
          <w:color w:val="auto"/>
          <w:sz w:val="21"/>
          <w:highlight w:val="none"/>
        </w:rPr>
        <w:t>8.1.1 开始工作准备</w:t>
      </w:r>
      <w:bookmarkEnd w:id="75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合同当事人应按专用合同条件约定完成开始工作准备工作。</w:t>
      </w:r>
    </w:p>
    <w:p>
      <w:pPr>
        <w:pStyle w:val="37"/>
        <w:numPr>
          <w:ilvl w:val="0"/>
          <w:numId w:val="0"/>
        </w:numPr>
        <w:rPr>
          <w:rFonts w:hint="eastAsia" w:ascii="Times New Roman" w:hAnsi="Times New Roman" w:cs="宋体"/>
          <w:color w:val="auto"/>
          <w:sz w:val="21"/>
          <w:highlight w:val="none"/>
        </w:rPr>
      </w:pPr>
      <w:bookmarkStart w:id="758" w:name="_Ref536790534"/>
      <w:bookmarkStart w:id="759" w:name="_Hlk51506490"/>
      <w:r>
        <w:rPr>
          <w:rFonts w:hint="eastAsia" w:ascii="Times New Roman" w:hAnsi="Times New Roman" w:cs="宋体"/>
          <w:color w:val="auto"/>
          <w:sz w:val="21"/>
          <w:highlight w:val="none"/>
        </w:rPr>
        <w:t>8.1.2 开始工作通知</w:t>
      </w:r>
      <w:bookmarkEnd w:id="758"/>
    </w:p>
    <w:bookmarkEnd w:id="759"/>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经发包人同意后，工程师应提前7天向承包人发出经发包人签认的开始工作通知，工期自开始工作通知中载明的开始工作日期起算。</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除专用合同条件另有约定外，因发包人原因造成实际开始现场施工日期迟于</w:t>
      </w:r>
      <w:bookmarkStart w:id="760" w:name="_Hlk51506566"/>
      <w:r>
        <w:rPr>
          <w:rFonts w:hint="eastAsia" w:ascii="Times New Roman" w:hAnsi="Times New Roman" w:cs="宋体"/>
          <w:color w:val="auto"/>
          <w:szCs w:val="21"/>
          <w:highlight w:val="none"/>
        </w:rPr>
        <w:t>计划开始现场施工日期</w:t>
      </w:r>
      <w:bookmarkEnd w:id="760"/>
      <w:r>
        <w:rPr>
          <w:rFonts w:hint="eastAsia" w:ascii="Times New Roman" w:hAnsi="Times New Roman" w:cs="宋体"/>
          <w:color w:val="auto"/>
          <w:szCs w:val="21"/>
          <w:highlight w:val="none"/>
        </w:rPr>
        <w:t>后第84天的，承包人有权提出价格调整要求，或者解除合同。发包人应当承担由此增加的费用和（或）延误的工期，并向承包人支付合理利润。</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61" w:name="_Ref532362124"/>
      <w:bookmarkStart w:id="762" w:name="_Toc54862249"/>
      <w:r>
        <w:rPr>
          <w:rFonts w:hint="eastAsia" w:ascii="Times New Roman" w:hAnsi="Times New Roman" w:eastAsia="宋体" w:cs="宋体"/>
          <w:b w:val="0"/>
          <w:bCs/>
          <w:color w:val="auto"/>
          <w:sz w:val="21"/>
          <w:szCs w:val="21"/>
          <w:highlight w:val="none"/>
        </w:rPr>
        <w:t>8.2 竣工日期</w:t>
      </w:r>
      <w:bookmarkEnd w:id="761"/>
      <w:bookmarkEnd w:id="762"/>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承包人应在合同协议书约定的工期内完成合同工作。除专用合同条件另有约定外，工程的竣工日期以第10.1条[竣工验收]的约定为准，并在工程接收证书中写明。</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因发包人原因，在工程师收到承包人竣工验收申请报告42天后未进行验收的，视为验收合格，实际竣工日期以提交竣工验收申请报告的日期为准，但发包人由于不可抗力不能进行验收的除外。</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63" w:name="_Toc54862250"/>
      <w:bookmarkStart w:id="764" w:name="_Ref11863334"/>
      <w:bookmarkStart w:id="765" w:name="_Ref532362207"/>
      <w:bookmarkStart w:id="766" w:name="_Ref532352853"/>
      <w:bookmarkStart w:id="767" w:name="_Ref532352856"/>
      <w:bookmarkStart w:id="768" w:name="_Ref532362204"/>
      <w:r>
        <w:rPr>
          <w:rFonts w:hint="eastAsia" w:ascii="Times New Roman" w:hAnsi="Times New Roman" w:eastAsia="宋体" w:cs="宋体"/>
          <w:b w:val="0"/>
          <w:bCs/>
          <w:color w:val="auto"/>
          <w:sz w:val="21"/>
          <w:szCs w:val="21"/>
          <w:highlight w:val="none"/>
        </w:rPr>
        <w:t>8.3 项目实施计划</w:t>
      </w:r>
      <w:bookmarkEnd w:id="763"/>
      <w:bookmarkEnd w:id="764"/>
    </w:p>
    <w:p>
      <w:pPr>
        <w:pStyle w:val="37"/>
        <w:numPr>
          <w:ilvl w:val="0"/>
          <w:numId w:val="0"/>
        </w:numPr>
        <w:rPr>
          <w:rFonts w:hint="eastAsia" w:ascii="Times New Roman" w:hAnsi="Times New Roman" w:cs="宋体"/>
          <w:color w:val="auto"/>
          <w:sz w:val="21"/>
          <w:highlight w:val="none"/>
        </w:rPr>
      </w:pPr>
      <w:bookmarkStart w:id="769" w:name="_Ref18990904"/>
      <w:r>
        <w:rPr>
          <w:rFonts w:hint="eastAsia" w:ascii="Times New Roman" w:hAnsi="Times New Roman" w:cs="宋体"/>
          <w:color w:val="auto"/>
          <w:sz w:val="21"/>
          <w:highlight w:val="none"/>
        </w:rPr>
        <w:t>8.3.1 项目实施计划的内容</w:t>
      </w:r>
      <w:bookmarkEnd w:id="76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实施计划是依据合同和经批准的项目管理计划进行编制并用于对项目实施进行管理和控制的文件，应包含概述、总体实施方案、项目实施要点、项目初步进度计划以及合同当事人在专用合同条件中约定的其他内容。</w:t>
      </w:r>
    </w:p>
    <w:p>
      <w:pPr>
        <w:pStyle w:val="37"/>
        <w:numPr>
          <w:ilvl w:val="0"/>
          <w:numId w:val="0"/>
        </w:numPr>
        <w:rPr>
          <w:rFonts w:hint="eastAsia" w:ascii="Times New Roman" w:hAnsi="Times New Roman" w:cs="宋体"/>
          <w:color w:val="auto"/>
          <w:sz w:val="21"/>
          <w:highlight w:val="none"/>
        </w:rPr>
      </w:pPr>
      <w:bookmarkStart w:id="770" w:name="_Ref18990921"/>
      <w:r>
        <w:rPr>
          <w:rFonts w:hint="eastAsia" w:ascii="Times New Roman" w:hAnsi="Times New Roman" w:cs="宋体"/>
          <w:color w:val="auto"/>
          <w:sz w:val="21"/>
          <w:highlight w:val="none"/>
        </w:rPr>
        <w:t>8.3.2 项目实施计划的提交和修改</w:t>
      </w:r>
      <w:bookmarkEnd w:id="77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应在合同订立后14天内，向工程师提交项目实施计划，工程师应在收到项目实施计划后21天内确认或提出修改意见。对工程师提出的合理意见和要求，承包人应自费修改完善。根据工程实施的实际情况需要修改项目实施计划的，承包人应向工程师提交修改后的项目实施计划。</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项目进度计划的编制和修改按照第8.4款[项目进度计划]执行。</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71" w:name="_Ref11865507"/>
      <w:bookmarkStart w:id="772" w:name="_Toc54862251"/>
      <w:r>
        <w:rPr>
          <w:rFonts w:hint="eastAsia" w:ascii="Times New Roman" w:hAnsi="Times New Roman" w:eastAsia="宋体" w:cs="宋体"/>
          <w:b w:val="0"/>
          <w:bCs/>
          <w:color w:val="auto"/>
          <w:sz w:val="21"/>
          <w:szCs w:val="21"/>
          <w:highlight w:val="none"/>
        </w:rPr>
        <w:t>8.4 项目进度计划</w:t>
      </w:r>
      <w:bookmarkEnd w:id="765"/>
      <w:bookmarkEnd w:id="766"/>
      <w:bookmarkEnd w:id="767"/>
      <w:bookmarkEnd w:id="768"/>
      <w:bookmarkEnd w:id="771"/>
      <w:bookmarkEnd w:id="772"/>
    </w:p>
    <w:p>
      <w:pPr>
        <w:pStyle w:val="37"/>
        <w:numPr>
          <w:ilvl w:val="0"/>
          <w:numId w:val="0"/>
        </w:numPr>
        <w:rPr>
          <w:rFonts w:hint="eastAsia" w:ascii="Times New Roman" w:hAnsi="Times New Roman" w:cs="宋体"/>
          <w:color w:val="auto"/>
          <w:sz w:val="21"/>
          <w:highlight w:val="none"/>
        </w:rPr>
      </w:pPr>
      <w:bookmarkStart w:id="773" w:name="_Ref4681217"/>
      <w:r>
        <w:rPr>
          <w:rFonts w:hint="eastAsia" w:ascii="Times New Roman" w:hAnsi="Times New Roman" w:cs="宋体"/>
          <w:color w:val="auto"/>
          <w:sz w:val="21"/>
          <w:highlight w:val="none"/>
        </w:rPr>
        <w:t>8.4.1 项目进度计划的提交和修改</w:t>
      </w:r>
      <w:bookmarkEnd w:id="773"/>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照第8.3款[项目实施计划]约定编制并向工程师提交项目初步进度计划，经工程师批准后实施。除专用合同条件另有约定外，工程师应在21天内批复或提出修改意见，否则该项目初步进度计划视为已得到批准。对工程师提出的合理意见和要求，承包人应自费修改完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工程师批准的项目初步进度计划称为项目进度计划，是控制合同工程进度的依据，工程师有权按照进度计划检查工程进度情况。承包人还应根据项目进度计划，编制更为详细的分阶段或分项的进度计划，由工程师批准。</w:t>
      </w:r>
    </w:p>
    <w:p>
      <w:pPr>
        <w:pStyle w:val="37"/>
        <w:numPr>
          <w:ilvl w:val="0"/>
          <w:numId w:val="0"/>
        </w:numPr>
        <w:rPr>
          <w:rFonts w:hint="eastAsia" w:ascii="Times New Roman" w:hAnsi="Times New Roman" w:cs="宋体"/>
          <w:color w:val="auto"/>
          <w:sz w:val="21"/>
          <w:highlight w:val="none"/>
        </w:rPr>
      </w:pPr>
      <w:bookmarkStart w:id="774" w:name="_Ref4429079"/>
      <w:r>
        <w:rPr>
          <w:rFonts w:hint="eastAsia" w:ascii="Times New Roman" w:hAnsi="Times New Roman" w:cs="宋体"/>
          <w:color w:val="auto"/>
          <w:sz w:val="21"/>
          <w:highlight w:val="none"/>
        </w:rPr>
        <w:t>8.4.2 项目进度计划的内容</w:t>
      </w:r>
      <w:bookmarkEnd w:id="774"/>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进度计划应当包括设计、承包人文件提交、采购、制造、检验、运达现场、施工、安装、试验的各个阶段的预期时间以及设计和施工组织方案说明等，其编制应当符合国家法律规定和一般工程实践惯例。项目进度计划的具体要求、关键路径及关键路径变化的确定原则、承包人提交的份数和时间等，在专用合同条件约定。</w:t>
      </w:r>
    </w:p>
    <w:p>
      <w:pPr>
        <w:pStyle w:val="37"/>
        <w:numPr>
          <w:ilvl w:val="0"/>
          <w:numId w:val="0"/>
        </w:numPr>
        <w:rPr>
          <w:rFonts w:hint="eastAsia" w:ascii="Times New Roman" w:hAnsi="Times New Roman" w:cs="宋体"/>
          <w:color w:val="auto"/>
          <w:sz w:val="21"/>
          <w:highlight w:val="none"/>
        </w:rPr>
      </w:pPr>
      <w:bookmarkStart w:id="775" w:name="_Ref3848203"/>
      <w:r>
        <w:rPr>
          <w:rFonts w:hint="eastAsia" w:ascii="Times New Roman" w:hAnsi="Times New Roman" w:cs="宋体"/>
          <w:color w:val="auto"/>
          <w:sz w:val="21"/>
          <w:highlight w:val="none"/>
        </w:rPr>
        <w:t>8.4.3 项目进度计划的修订</w:t>
      </w:r>
      <w:bookmarkEnd w:id="77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进度计划不符合合同要求或与工程的实际进度不一致的，承包人应向工程师提交修订的项目进度计划，并附具有关措施和相关资料。工程师也可以直接向承包人发出修订项目进度计划的通知，承包人如接受，应按该通知修订项目进度计划，报工程师批准。承包人如不接受，应当在14天内答复，如未按时答复视作已接受修订项目进度计划通知中的内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工程师应在收到修订的项目进度计划后14天内完成审批或提出修改意见，如未按时答复视作已批准承包人修订后的项目进度计划。工程师对承包人提交的项目进度计划的确认，不能减轻或免除承包人根据法律规定和合同约定应承担的任何责任或义务。</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除合同当事人另有约定外，项目进度计划的修订并不能减轻或者免除双方按第8.7款[工期延误]、第8.8款[工期提前]、第8.9款[暂停工作]应承担的合同责任。</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76" w:name="_Ref532362278"/>
      <w:bookmarkStart w:id="777" w:name="_Toc54862252"/>
      <w:bookmarkStart w:id="778" w:name="_Ref532362276"/>
      <w:r>
        <w:rPr>
          <w:rFonts w:hint="eastAsia" w:ascii="Times New Roman" w:hAnsi="Times New Roman" w:eastAsia="宋体" w:cs="宋体"/>
          <w:b w:val="0"/>
          <w:bCs/>
          <w:color w:val="auto"/>
          <w:sz w:val="21"/>
          <w:szCs w:val="21"/>
          <w:highlight w:val="none"/>
        </w:rPr>
        <w:t>8.5 进度报告</w:t>
      </w:r>
      <w:bookmarkEnd w:id="776"/>
      <w:bookmarkEnd w:id="777"/>
      <w:bookmarkEnd w:id="778"/>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项目实施过程中，承包人应进行实际进度记录，并根据工程师的要求编制月进度报告，并提交给工程师。进度报告应包含以下主要内容：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工程设计、采购、施工等各个工作内容的进展报告；</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工程施工方法的一般说明；</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当月工程实施介入的项目人员、设备和材料的预估明细报告；</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（4） 当月实际进度与进度计划对比分析，以及提出未来可能引起工期延误的情形，同时提出应对措施；需要修订项目进度计划的，应对项目进度计划的修订部分进行说明；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承包人对于解决工期延误所提出的建议；</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其他与工程有关的重大事项。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进度报告的具体要求等，在专用合同条件约定。</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79" w:name="_Toc54862253"/>
      <w:r>
        <w:rPr>
          <w:rFonts w:hint="eastAsia" w:ascii="Times New Roman" w:hAnsi="Times New Roman" w:eastAsia="宋体" w:cs="宋体"/>
          <w:b w:val="0"/>
          <w:bCs/>
          <w:color w:val="auto"/>
          <w:sz w:val="21"/>
          <w:szCs w:val="21"/>
          <w:highlight w:val="none"/>
        </w:rPr>
        <w:t>8.6 提前预警</w:t>
      </w:r>
      <w:bookmarkEnd w:id="77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任何一方应当在下列情形发生时尽快书面通知另一方：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该情形可能对合同的履行或实现合同目的产生不利影响；</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该情形可能对工程完成后的使用产生不利影响；</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该情形可能导致合同价款增加；</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该情形可能导致整个工程或单位/区段工程的工期延长。</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发包人有权要求承包人根据第13.2款[承包人的合理化建议]的约定提交变更建议，采取措施尽量避免或最小化上述情形的发生或影响。</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780" w:name="_Toc4784161"/>
      <w:bookmarkEnd w:id="780"/>
      <w:bookmarkStart w:id="781" w:name="_Toc4784156"/>
      <w:bookmarkEnd w:id="781"/>
      <w:bookmarkStart w:id="782" w:name="_Toc4784165"/>
      <w:bookmarkEnd w:id="782"/>
      <w:bookmarkStart w:id="783" w:name="_Toc4784155"/>
      <w:bookmarkEnd w:id="783"/>
      <w:bookmarkStart w:id="784" w:name="_Toc4784154"/>
      <w:bookmarkEnd w:id="784"/>
      <w:bookmarkStart w:id="785" w:name="_Toc4784166"/>
      <w:bookmarkEnd w:id="785"/>
      <w:bookmarkStart w:id="786" w:name="_Toc4784167"/>
      <w:bookmarkEnd w:id="786"/>
      <w:bookmarkStart w:id="787" w:name="_Toc4784157"/>
      <w:bookmarkEnd w:id="787"/>
      <w:bookmarkStart w:id="788" w:name="_Toc4784174"/>
      <w:bookmarkEnd w:id="788"/>
      <w:bookmarkStart w:id="789" w:name="_Toc4784173"/>
      <w:bookmarkEnd w:id="789"/>
      <w:bookmarkStart w:id="790" w:name="_Toc4784175"/>
      <w:bookmarkEnd w:id="790"/>
      <w:bookmarkStart w:id="791" w:name="_Toc4784164"/>
      <w:bookmarkEnd w:id="791"/>
      <w:bookmarkStart w:id="792" w:name="_Toc4784163"/>
      <w:bookmarkEnd w:id="792"/>
      <w:bookmarkStart w:id="793" w:name="_Toc4784169"/>
      <w:bookmarkEnd w:id="793"/>
      <w:bookmarkStart w:id="794" w:name="_Toc4784160"/>
      <w:bookmarkEnd w:id="794"/>
      <w:bookmarkStart w:id="795" w:name="_Toc4784168"/>
      <w:bookmarkEnd w:id="795"/>
      <w:bookmarkStart w:id="796" w:name="_Toc4784170"/>
      <w:bookmarkEnd w:id="796"/>
      <w:bookmarkStart w:id="797" w:name="_Toc4784162"/>
      <w:bookmarkEnd w:id="797"/>
      <w:bookmarkStart w:id="798" w:name="_Toc4784171"/>
      <w:bookmarkEnd w:id="798"/>
      <w:bookmarkStart w:id="799" w:name="_Toc4784158"/>
      <w:bookmarkEnd w:id="799"/>
      <w:bookmarkStart w:id="800" w:name="_Toc4784172"/>
      <w:bookmarkEnd w:id="800"/>
      <w:bookmarkStart w:id="801" w:name="_Toc4784159"/>
      <w:bookmarkEnd w:id="801"/>
      <w:bookmarkStart w:id="802" w:name="_Ref4770106"/>
      <w:bookmarkStart w:id="803" w:name="_Toc54862254"/>
      <w:bookmarkStart w:id="804" w:name="_Ref532362356"/>
      <w:bookmarkStart w:id="805" w:name="_Ref532362359"/>
      <w:r>
        <w:rPr>
          <w:rFonts w:hint="eastAsia" w:ascii="Times New Roman" w:hAnsi="Times New Roman" w:eastAsia="宋体" w:cs="宋体"/>
          <w:b w:val="0"/>
          <w:bCs/>
          <w:color w:val="auto"/>
          <w:sz w:val="21"/>
          <w:szCs w:val="21"/>
          <w:highlight w:val="none"/>
        </w:rPr>
        <w:t>8.7 工期延误</w:t>
      </w:r>
      <w:bookmarkEnd w:id="802"/>
      <w:bookmarkEnd w:id="803"/>
    </w:p>
    <w:p>
      <w:pPr>
        <w:pStyle w:val="37"/>
        <w:numPr>
          <w:ilvl w:val="0"/>
          <w:numId w:val="0"/>
        </w:numPr>
        <w:rPr>
          <w:rFonts w:hint="eastAsia" w:ascii="Times New Roman" w:hAnsi="Times New Roman" w:cs="宋体"/>
          <w:color w:val="auto"/>
          <w:sz w:val="21"/>
          <w:highlight w:val="none"/>
        </w:rPr>
      </w:pPr>
      <w:bookmarkStart w:id="806" w:name="_Ref4796050"/>
      <w:r>
        <w:rPr>
          <w:rFonts w:hint="eastAsia" w:ascii="Times New Roman" w:hAnsi="Times New Roman" w:cs="宋体"/>
          <w:color w:val="auto"/>
          <w:sz w:val="21"/>
          <w:highlight w:val="none"/>
        </w:rPr>
        <w:t>8.7.1 因发包人原因导致工期延误</w:t>
      </w:r>
      <w:bookmarkEnd w:id="80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在合同履行过程中，因下列情况导致工期延误和（或）费用增加的，由发包人承担由此延误的工期和（或）增加的费用，且发包人应支付承包人合理的利润：</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根据第13条[变更与调整]的约定构成一项变更的；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发包人违反本合同约定，导致工期延误和（或）费用增加的；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发包人、发包人代表、工程师或发包人聘请的任意第三方造成或引起的任何延误、妨碍和阻碍；</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发包人未能依据第6.2.1项[发包人提供的材料和工程设备]的约定提供材料和工程设备导致工期延误和（或）费用增加的；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因发包人原因导致的暂停施工；</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发包人未及时履行相关合同义务，造成工期延误的其他原因。</w:t>
      </w:r>
    </w:p>
    <w:p>
      <w:pPr>
        <w:pStyle w:val="37"/>
        <w:numPr>
          <w:ilvl w:val="0"/>
          <w:numId w:val="0"/>
        </w:numPr>
        <w:rPr>
          <w:rFonts w:hint="eastAsia" w:ascii="Times New Roman" w:hAnsi="Times New Roman" w:cs="宋体"/>
          <w:color w:val="auto"/>
          <w:sz w:val="21"/>
          <w:highlight w:val="none"/>
        </w:rPr>
      </w:pPr>
      <w:bookmarkStart w:id="807" w:name="_Ref4770209"/>
      <w:r>
        <w:rPr>
          <w:rFonts w:hint="eastAsia" w:ascii="Times New Roman" w:hAnsi="Times New Roman" w:cs="宋体"/>
          <w:color w:val="auto"/>
          <w:sz w:val="21"/>
          <w:highlight w:val="none"/>
        </w:rPr>
        <w:t>8.7.2 因承包人原因导致工期延误</w:t>
      </w:r>
      <w:bookmarkEnd w:id="80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由于承包人的原因，未能按项目进度计划完成工作，承包人应采取措施加快进度，并承担加快进度所增加的费用。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由于承包人原因造成工期延误并导致逾期竣工的，承包人应支付逾期竣工违约金。逾期竣工违约金的计算方法和最高限额在专用合同条件中约定。承包人支付逾期竣工违约金，不免除承包人完成工作及修补缺陷的义务，且发包人有权从工程进度款、竣工结算款或约定提交的履约担保中扣除相当于逾期竣工违约金的金额。</w:t>
      </w:r>
    </w:p>
    <w:p>
      <w:pPr>
        <w:pStyle w:val="37"/>
        <w:numPr>
          <w:ilvl w:val="0"/>
          <w:numId w:val="0"/>
        </w:numPr>
        <w:rPr>
          <w:rFonts w:hint="eastAsia" w:ascii="Times New Roman" w:hAnsi="Times New Roman" w:cs="宋体"/>
          <w:color w:val="auto"/>
          <w:sz w:val="21"/>
          <w:highlight w:val="none"/>
        </w:rPr>
      </w:pPr>
      <w:bookmarkStart w:id="808" w:name="_Ref4770872"/>
      <w:r>
        <w:rPr>
          <w:rFonts w:hint="eastAsia" w:ascii="Times New Roman" w:hAnsi="Times New Roman" w:cs="宋体"/>
          <w:color w:val="auto"/>
          <w:sz w:val="21"/>
          <w:highlight w:val="none"/>
        </w:rPr>
        <w:t>8.7.3 行政审批迟延</w:t>
      </w:r>
      <w:bookmarkEnd w:id="808"/>
      <w:r>
        <w:rPr>
          <w:rFonts w:hint="eastAsia" w:ascii="Times New Roman" w:hAnsi="Times New Roman" w:cs="宋体"/>
          <w:color w:val="auto"/>
          <w:sz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约定范围内的工作需国家有关部门审批的，发包人和（或）承包人应按照专用合同条件约定的职责分工完成行政审批报送。因国家有关部门审批迟延造成工期延误的，竣工日期相应顺延。造成费用增加的，由双方在负责的范围内各自承担。</w:t>
      </w:r>
    </w:p>
    <w:p>
      <w:pPr>
        <w:pStyle w:val="37"/>
        <w:numPr>
          <w:ilvl w:val="0"/>
          <w:numId w:val="0"/>
        </w:numPr>
        <w:rPr>
          <w:rFonts w:hint="eastAsia" w:ascii="Times New Roman" w:hAnsi="Times New Roman" w:cs="宋体"/>
          <w:color w:val="auto"/>
          <w:sz w:val="21"/>
          <w:highlight w:val="none"/>
        </w:rPr>
      </w:pPr>
      <w:bookmarkStart w:id="809" w:name="_Ref4770933"/>
      <w:r>
        <w:rPr>
          <w:rFonts w:hint="eastAsia" w:ascii="Times New Roman" w:hAnsi="Times New Roman" w:cs="宋体"/>
          <w:color w:val="auto"/>
          <w:sz w:val="21"/>
          <w:highlight w:val="none"/>
        </w:rPr>
        <w:t>8.7.4 异常恶劣的气候条件</w:t>
      </w:r>
      <w:bookmarkEnd w:id="80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异常恶劣的气候条件是指在施工过程中遇到的，有经验的承包人在订立合同时不可预见的，对合同履行造成实质性影响的，但尚未构成不可抗力事件的恶劣气候条件。合同当事人可以在专用合同条件中约定异常恶劣的气候条件的具体情形。</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采取克服异常恶劣的气候条件的合理措施继续施工，并及时通知工程师。工程师应当及时发出指示，指示构成变更的，按第13条[变更与调整]约定办理。承包人因采取合理措施而延误的工期由发包人承担。</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10" w:name="_Toc54862255"/>
      <w:bookmarkStart w:id="811" w:name="_Ref4781828"/>
      <w:r>
        <w:rPr>
          <w:rFonts w:hint="eastAsia" w:ascii="Times New Roman" w:hAnsi="Times New Roman" w:eastAsia="宋体" w:cs="宋体"/>
          <w:b w:val="0"/>
          <w:bCs/>
          <w:color w:val="auto"/>
          <w:sz w:val="21"/>
          <w:szCs w:val="21"/>
          <w:highlight w:val="none"/>
        </w:rPr>
        <w:t>8.8 工期提前</w:t>
      </w:r>
      <w:bookmarkEnd w:id="804"/>
      <w:bookmarkEnd w:id="805"/>
      <w:bookmarkEnd w:id="810"/>
      <w:bookmarkEnd w:id="811"/>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8.8.1 发包人指示承包人提前竣工且被承包人接受的，应与承包人共同协商采取加快工程进度的措施和修订项目进度计划。发包人应承担承包人由此增加的费用，增加的费用按第13条[变更与调整]的约定执行；发包人不得以任何理由要求承包人超过合理限度压缩工期。承包人有权不接受提前竣工的指示，工期按照合同约定执行。</w:t>
      </w:r>
    </w:p>
    <w:p>
      <w:pPr>
        <w:pStyle w:val="37"/>
        <w:numPr>
          <w:ilvl w:val="0"/>
          <w:numId w:val="0"/>
        </w:numPr>
        <w:rPr>
          <w:rFonts w:hint="eastAsia" w:ascii="Times New Roman" w:hAnsi="Times New Roman" w:cs="宋体"/>
          <w:color w:val="auto"/>
          <w:sz w:val="21"/>
          <w:highlight w:val="none"/>
        </w:rPr>
      </w:pPr>
      <w:bookmarkStart w:id="812" w:name="_Ref4429347"/>
      <w:r>
        <w:rPr>
          <w:rFonts w:hint="eastAsia" w:ascii="Times New Roman" w:hAnsi="Times New Roman" w:cs="宋体"/>
          <w:color w:val="auto"/>
          <w:sz w:val="21"/>
          <w:highlight w:val="none"/>
        </w:rPr>
        <w:t>8.8.2 承包人提出提前竣工的建议且发包人接受的，应与发包人共同协商采取加快工程进度的措施和修订项目进度计划。发包人应承担承包人由此增加的费用，增加的费用按第13条[变更与调整]的约定执行，并向承包人支付专用合同条件约定的相应奖励金。</w:t>
      </w:r>
      <w:bookmarkEnd w:id="812"/>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13" w:name="_Toc54862256"/>
      <w:bookmarkStart w:id="814" w:name="_Ref4615040"/>
      <w:bookmarkStart w:id="815" w:name="_Ref4615031"/>
      <w:r>
        <w:rPr>
          <w:rFonts w:hint="eastAsia" w:ascii="Times New Roman" w:hAnsi="Times New Roman" w:eastAsia="宋体" w:cs="宋体"/>
          <w:b w:val="0"/>
          <w:bCs/>
          <w:color w:val="auto"/>
          <w:sz w:val="21"/>
          <w:szCs w:val="21"/>
          <w:highlight w:val="none"/>
        </w:rPr>
        <w:t>8.9 暂停工作</w:t>
      </w:r>
      <w:bookmarkEnd w:id="813"/>
      <w:bookmarkEnd w:id="814"/>
      <w:bookmarkEnd w:id="815"/>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bookmarkStart w:id="816" w:name="_Ref4709151"/>
      <w:r>
        <w:rPr>
          <w:rFonts w:hint="eastAsia" w:ascii="Times New Roman" w:hAnsi="Times New Roman" w:cs="宋体"/>
          <w:color w:val="auto"/>
          <w:sz w:val="21"/>
          <w:highlight w:val="none"/>
        </w:rPr>
        <w:t>8.9.1 由发包人暂停工作</w:t>
      </w:r>
      <w:bookmarkEnd w:id="81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发包人认为必要时，可通过工程师向承包人发出经发包人签认的暂停工作通知，应列明暂停原因、暂停的日期及预计暂停的期限。承包人应按该通知暂停工作。</w:t>
      </w:r>
      <w:bookmarkStart w:id="817" w:name="_Ref4709233"/>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承包人因执行暂停工作通知而造成费用的增加和（或）工期延误由发包人承担，并有权要求发包人支付合理利润，但</w:t>
      </w:r>
      <w:bookmarkEnd w:id="817"/>
      <w:r>
        <w:rPr>
          <w:rFonts w:hint="eastAsia" w:ascii="Times New Roman" w:hAnsi="Times New Roman" w:cs="宋体"/>
          <w:color w:val="auto"/>
          <w:szCs w:val="21"/>
          <w:highlight w:val="none"/>
        </w:rPr>
        <w:t>由于承包人原因造成发包人暂停工作的除外。</w:t>
      </w:r>
    </w:p>
    <w:p>
      <w:pPr>
        <w:pStyle w:val="37"/>
        <w:numPr>
          <w:ilvl w:val="0"/>
          <w:numId w:val="0"/>
        </w:numPr>
        <w:rPr>
          <w:rFonts w:hint="eastAsia" w:ascii="Times New Roman" w:hAnsi="Times New Roman" w:cs="宋体"/>
          <w:color w:val="auto"/>
          <w:sz w:val="21"/>
          <w:highlight w:val="none"/>
        </w:rPr>
      </w:pPr>
      <w:bookmarkStart w:id="818" w:name="_Ref18972173"/>
      <w:r>
        <w:rPr>
          <w:rFonts w:hint="eastAsia" w:ascii="Times New Roman" w:hAnsi="Times New Roman" w:cs="宋体"/>
          <w:color w:val="auto"/>
          <w:sz w:val="21"/>
          <w:highlight w:val="none"/>
        </w:rPr>
        <w:t>8.9.2 由承包人暂停工作</w:t>
      </w:r>
      <w:bookmarkEnd w:id="818"/>
      <w:r>
        <w:rPr>
          <w:rFonts w:hint="eastAsia" w:ascii="Times New Roman" w:hAnsi="Times New Roman" w:cs="宋体"/>
          <w:color w:val="auto"/>
          <w:sz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所造成部分或全部工程的暂停，承包人应采取措施尽快复工并赶上进度，由此造成费用的增加或工期延误由承包人承担。因此造成逾期竣工的，承包人应按第8.7.2项[因承包人原因导致工期延误]承担逾期竣工违约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履行过程中发生下列情形之一的，承包人可向发包人发出通知，要求发包人采取有效措施予以纠正。发包人收到承包人通知后的28天内仍不予以纠正，承包人有权暂停施工，并通知工程师。承包人有权要求发包人延长工期和（或）增加费用，并支付合理利润：</w:t>
      </w:r>
    </w:p>
    <w:p>
      <w:pPr>
        <w:spacing w:line="360" w:lineRule="auto"/>
        <w:ind w:firstLine="600"/>
        <w:rPr>
          <w:rFonts w:hint="eastAsia" w:ascii="Times New Roman" w:hAnsi="Times New Roman" w:cs="宋体"/>
          <w:color w:val="auto"/>
          <w:szCs w:val="21"/>
          <w:highlight w:val="none"/>
        </w:rPr>
      </w:pPr>
      <w:bookmarkStart w:id="819" w:name="_Ref4709224"/>
      <w:r>
        <w:rPr>
          <w:rFonts w:hint="eastAsia" w:ascii="Times New Roman" w:hAnsi="Times New Roman" w:cs="宋体"/>
          <w:color w:val="auto"/>
          <w:szCs w:val="21"/>
          <w:highlight w:val="none"/>
        </w:rPr>
        <w:t>（1） 发包人拖延、拒绝批准付款申请和支付证书，或未能按合同约定支付价款，导致付款延误的；</w:t>
      </w:r>
      <w:bookmarkEnd w:id="81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发包人未按约定履行合同其他义务导致承包人无法继续履行合同的，或者发包人明确表示暂停或实质上已暂停履行合同的。</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8.9.3 除上述原因以外的暂停工作，双方应遵守第17条[不可抗力]的相关约定。</w:t>
      </w:r>
    </w:p>
    <w:p>
      <w:pPr>
        <w:pStyle w:val="37"/>
        <w:numPr>
          <w:ilvl w:val="0"/>
          <w:numId w:val="0"/>
        </w:numPr>
        <w:rPr>
          <w:rFonts w:hint="eastAsia" w:ascii="Times New Roman" w:hAnsi="Times New Roman" w:cs="宋体"/>
          <w:color w:val="auto"/>
          <w:sz w:val="21"/>
          <w:highlight w:val="none"/>
        </w:rPr>
      </w:pPr>
      <w:bookmarkStart w:id="820" w:name="_Ref4709158"/>
      <w:r>
        <w:rPr>
          <w:rFonts w:hint="eastAsia" w:ascii="Times New Roman" w:hAnsi="Times New Roman" w:cs="宋体"/>
          <w:color w:val="auto"/>
          <w:sz w:val="21"/>
          <w:highlight w:val="none"/>
        </w:rPr>
        <w:t>8.9.4 暂停工作期间的工程照管</w:t>
      </w:r>
      <w:bookmarkEnd w:id="820"/>
      <w:r>
        <w:rPr>
          <w:rFonts w:hint="eastAsia" w:ascii="Times New Roman" w:hAnsi="Times New Roman" w:cs="宋体"/>
          <w:color w:val="auto"/>
          <w:sz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论由于何种原因引起暂停工作的，暂停工作期间，承包人应负责对工程、工程物资及文件等进行照管和保护，并提供安全保障，由此增加的费用按第8.9.1项[由发包人暂停工作]和第8.9.2项[由承包人暂停工作]的约定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因承包人未能尽到照管、保护的责任造成损失的，使发包人的费用增加，（或）竣工日期延误的，由承包人按本合同约定承担责任。</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8.9.5 拖长的暂停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根据第8.9.1项[由发包人暂停工作]暂停工作持续超过56天的，承包人可向发包人发出要求复工的通知。如果发包人没有在收到书面通知后28天内准许已暂停工作的全部或部分继续工作，承包人有权根据第13条[变更与调整]的约定，要求以变更方式调减受暂停影响的部分工程。发包人的暂停超过56天且暂停影响到整个工程的，承包人有权根据第16.2款[由承包人解除合同]的约定，发出解除合同的通知。</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21" w:name="_Toc54862257"/>
      <w:r>
        <w:rPr>
          <w:rFonts w:hint="eastAsia" w:ascii="Times New Roman" w:hAnsi="Times New Roman" w:eastAsia="宋体" w:cs="宋体"/>
          <w:b w:val="0"/>
          <w:bCs/>
          <w:color w:val="auto"/>
          <w:sz w:val="21"/>
          <w:szCs w:val="21"/>
          <w:highlight w:val="none"/>
        </w:rPr>
        <w:t>8.10 复工</w:t>
      </w:r>
      <w:bookmarkEnd w:id="821"/>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8.10.1 收到发包人的复工通知后，承包人应按通知时间复工；发包人通知的复工时间应当给予承包人必要的准备复工时间。</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8.10.2 不论由于何种原因引起暂停工作，双方均可要求对方一同对受暂停影响的工程、工程设备和工程物资进行检查，承包人应将检查结果及需要恢复、修复的内容和估算通知发包人。</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8.10.3 除第17条[不可抗力]另有约定外，发生的恢复、修复价款及工期延误的后果由责任方承担。</w:t>
      </w:r>
    </w:p>
    <w:p>
      <w:pPr>
        <w:pStyle w:val="49"/>
        <w:numPr>
          <w:ilvl w:val="0"/>
          <w:numId w:val="0"/>
        </w:numPr>
        <w:rPr>
          <w:rFonts w:hint="eastAsia" w:ascii="Times New Roman" w:hAnsi="Times New Roman" w:eastAsia="宋体" w:cs="宋体"/>
          <w:bCs w:val="0"/>
          <w:color w:val="auto"/>
          <w:sz w:val="21"/>
          <w:szCs w:val="21"/>
          <w:highlight w:val="none"/>
        </w:rPr>
      </w:pPr>
      <w:bookmarkStart w:id="822" w:name="_Ref4621029"/>
      <w:bookmarkStart w:id="823" w:name="_Toc54862258"/>
      <w:bookmarkStart w:id="824" w:name="_Ref4621041"/>
      <w:r>
        <w:rPr>
          <w:rFonts w:hint="eastAsia" w:ascii="Times New Roman" w:hAnsi="Times New Roman" w:eastAsia="宋体" w:cs="宋体"/>
          <w:bCs w:val="0"/>
          <w:color w:val="auto"/>
          <w:sz w:val="21"/>
          <w:szCs w:val="21"/>
          <w:highlight w:val="none"/>
        </w:rPr>
        <w:t>第9条 竣工试验</w:t>
      </w:r>
      <w:bookmarkEnd w:id="750"/>
      <w:bookmarkEnd w:id="822"/>
      <w:bookmarkEnd w:id="823"/>
      <w:bookmarkEnd w:id="824"/>
      <w:r>
        <w:rPr>
          <w:rFonts w:hint="eastAsia" w:ascii="Times New Roman" w:hAnsi="Times New Roman" w:eastAsia="宋体" w:cs="宋体"/>
          <w:bCs w:val="0"/>
          <w:color w:val="auto"/>
          <w:sz w:val="21"/>
          <w:szCs w:val="21"/>
          <w:highlight w:val="none"/>
        </w:rPr>
        <w:t xml:space="preserve"> </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25" w:name="_Ref532586248"/>
      <w:bookmarkStart w:id="826" w:name="_Ref532586251"/>
      <w:bookmarkStart w:id="827" w:name="_Toc54862259"/>
      <w:r>
        <w:rPr>
          <w:rFonts w:hint="eastAsia" w:ascii="Times New Roman" w:hAnsi="Times New Roman" w:eastAsia="宋体" w:cs="宋体"/>
          <w:b w:val="0"/>
          <w:bCs/>
          <w:color w:val="auto"/>
          <w:sz w:val="21"/>
          <w:szCs w:val="21"/>
          <w:highlight w:val="none"/>
        </w:rPr>
        <w:t>9.1 竣工试验的义务</w:t>
      </w:r>
      <w:bookmarkEnd w:id="825"/>
      <w:bookmarkEnd w:id="826"/>
      <w:bookmarkEnd w:id="827"/>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9.1.1 承包人完成工程或区段工程进行竣工试验所需的作业，并根据第5.4款[竣工文件]和第5.5款[操作和维修手册]提交文件后，进行竣工试验。</w:t>
      </w:r>
      <w:bookmarkStart w:id="828" w:name="_Ref532586608"/>
    </w:p>
    <w:p>
      <w:pPr>
        <w:pStyle w:val="37"/>
        <w:numPr>
          <w:ilvl w:val="0"/>
          <w:numId w:val="0"/>
        </w:numPr>
        <w:rPr>
          <w:rFonts w:hint="eastAsia" w:ascii="Times New Roman" w:hAnsi="Times New Roman" w:cs="宋体"/>
          <w:color w:val="auto"/>
          <w:sz w:val="21"/>
          <w:highlight w:val="none"/>
        </w:rPr>
      </w:pPr>
      <w:bookmarkStart w:id="829" w:name="_Ref11919920"/>
      <w:r>
        <w:rPr>
          <w:rFonts w:hint="eastAsia" w:ascii="Times New Roman" w:hAnsi="Times New Roman" w:cs="宋体"/>
          <w:color w:val="auto"/>
          <w:sz w:val="21"/>
          <w:highlight w:val="none"/>
        </w:rPr>
        <w:t>9.1.2 承包人应在进行竣工试验之前，至少提前42天向工程师提交详细的竣工试验计划，该计划应载明竣工试验的内容、地点、拟开展时间和需要发包人提供的资源条件。</w:t>
      </w:r>
      <w:bookmarkEnd w:id="828"/>
      <w:r>
        <w:rPr>
          <w:rFonts w:hint="eastAsia" w:ascii="Times New Roman" w:hAnsi="Times New Roman" w:cs="宋体"/>
          <w:color w:val="auto"/>
          <w:sz w:val="21"/>
          <w:highlight w:val="none"/>
        </w:rPr>
        <w:t>工程师应在收到计划后的14天内进行审查，并就该计划不符合合同的部分提出意见，承包人应在收到意见后的14天内自费对计划进行修正。工程师逾期未提出意见的，视为竣工试验计划已得到确认。除提交竣工试验计划外，承包人还应提前21天将可以开始进行各项竣工试验的日期通知工程师，并在该日期后的14天内或工程师指示的日期进行竣工试验。</w:t>
      </w:r>
      <w:bookmarkEnd w:id="829"/>
    </w:p>
    <w:p>
      <w:pPr>
        <w:pStyle w:val="37"/>
        <w:numPr>
          <w:ilvl w:val="0"/>
          <w:numId w:val="0"/>
        </w:numPr>
        <w:rPr>
          <w:rFonts w:hint="eastAsia" w:ascii="Times New Roman" w:hAnsi="Times New Roman" w:cs="宋体"/>
          <w:color w:val="auto"/>
          <w:sz w:val="21"/>
          <w:highlight w:val="none"/>
        </w:rPr>
      </w:pPr>
      <w:bookmarkStart w:id="830" w:name="_Ref532688147"/>
      <w:r>
        <w:rPr>
          <w:rFonts w:hint="eastAsia" w:ascii="Times New Roman" w:hAnsi="Times New Roman" w:cs="宋体"/>
          <w:color w:val="auto"/>
          <w:sz w:val="21"/>
          <w:highlight w:val="none"/>
        </w:rPr>
        <w:t>9.1.3 承包人应根据经确认的竣工试验计划以及第6.5款[由承包人试验和检验]进行竣工试验。除《发包人要求》中另有说明外，竣工试验应按以下顺序分阶段进行，即只有在工程或区段工程已通过上一阶段试验的情况下，才可进行下一阶段试验：</w:t>
      </w:r>
      <w:bookmarkEnd w:id="83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承包人进行启动前试验，包括适当的检查和功能性试验，以证明工程或区段工程的每一部分均能够安全地承受下一阶段试验；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承包人进行启动试验，以证明工程或区段工程能够在所有可利用的操作条件下安全运行，并按照专用合同条件和《发包人要求》中的规定操作；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承包人进行试运行试验。当工程或区段工程能稳定安全运行时，承包人应通知工程师，可以进行其他竣工试验，包括各种性能测试，以证明工程或区段工程符合《发包人要求》中列明的性能保证指标。</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进行上述试验不应构成第10条[验收和工程接收]规定的接收，但试验所产生的任何产品或其他收益均应归属于发包人。</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9.1.4 完成上述各阶段竣工试验后，承包人应向工程师提交试验结果报告，试验结果须符合约定的标准、规范和数据。工程师应在收到报告后14天内予以回复，逾期未回复的，视为认可竣工试验结果。但在考虑工程或区段工程是否通过竣工试验时，应适当考虑发包人对工程或其任何部分的使用，对工程或区段工程的性能、特性和试验结果产生的影响。</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31" w:name="_Toc54862260"/>
      <w:r>
        <w:rPr>
          <w:rFonts w:hint="eastAsia" w:ascii="Times New Roman" w:hAnsi="Times New Roman" w:eastAsia="宋体" w:cs="宋体"/>
          <w:b w:val="0"/>
          <w:bCs/>
          <w:color w:val="auto"/>
          <w:sz w:val="21"/>
          <w:szCs w:val="21"/>
          <w:highlight w:val="none"/>
        </w:rPr>
        <w:t>9.2 延误的试验</w:t>
      </w:r>
      <w:bookmarkEnd w:id="831"/>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9.2.1 如果承包人已根据第9.1款[竣工试验的义务]就可以开始进行各项竣工试验的日期通知工程师，但该等试验因发包人原因被延误14天以上的，发包人应承担由此增加的费用和工期延误，并支付承包人合理利润。同时，承包人应在合理可行的情况下尽快进行竣工试验。</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9.2.2 承包人无正当理由延误进行竣工试验的，工程师可向其发出通知，要求其在收到通知后的21天内进行该项竣工试验。承包人应在该21天的期限内确定进行试验的日期，并至少提前7天通知工程师。</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9.2.3 如果承包人未在该期限内进行竣工试验，则发包人有权自行组织该项竣工试验，由此产生的合理费用由承包人承担。发包人应在试验完成后28天内向承包人发送试验结果。</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32" w:name="_Ref532594592"/>
      <w:bookmarkStart w:id="833" w:name="_Toc54862261"/>
      <w:bookmarkStart w:id="834" w:name="_Ref532594588"/>
      <w:r>
        <w:rPr>
          <w:rFonts w:hint="eastAsia" w:ascii="Times New Roman" w:hAnsi="Times New Roman" w:eastAsia="宋体" w:cs="宋体"/>
          <w:b w:val="0"/>
          <w:bCs/>
          <w:color w:val="auto"/>
          <w:sz w:val="21"/>
          <w:szCs w:val="21"/>
          <w:highlight w:val="none"/>
        </w:rPr>
        <w:t>9.3 重新试验</w:t>
      </w:r>
      <w:bookmarkEnd w:id="832"/>
      <w:bookmarkEnd w:id="833"/>
      <w:bookmarkEnd w:id="834"/>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工程或区段工程未能通过竣工试验，则承包人应根据第6.6款[缺陷和修补]修补缺陷。发包人或承包人可要求按相同的条件，重新进行未通过的试验以及相关工程或区段工程的竣工试验。该等重新进行的试验仍应适用本条对于竣工试验的规定。</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35" w:name="_Toc54862262"/>
      <w:bookmarkStart w:id="836" w:name="_Ref532688221"/>
      <w:bookmarkStart w:id="837" w:name="_Ref532688226"/>
      <w:r>
        <w:rPr>
          <w:rFonts w:hint="eastAsia" w:ascii="Times New Roman" w:hAnsi="Times New Roman" w:eastAsia="宋体" w:cs="宋体"/>
          <w:b w:val="0"/>
          <w:bCs/>
          <w:color w:val="auto"/>
          <w:sz w:val="21"/>
          <w:szCs w:val="21"/>
          <w:highlight w:val="none"/>
        </w:rPr>
        <w:t>9.4 未能通过竣工试验</w:t>
      </w:r>
      <w:bookmarkEnd w:id="835"/>
      <w:bookmarkEnd w:id="836"/>
      <w:bookmarkEnd w:id="837"/>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9.4.1 因发包人原因导致竣工试验未能通过的，承包人进行竣工试验的费用由发包人承担，竣工日期相应顺延。</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9.4.2 如果工程或区段工程未能通过根据第9.3款[重新试验]重新进行的竣工试验的，则：</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发包人有权要求承包人根据第6.6款[缺陷和修补]继续进行修补和改正，并根据第9.3款[重新试验]再次进行竣工试验；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未能通过竣工试验，对工程或区段工程的操作或使用未产生实质性影响的，发包人有权要求承包人自费修复，承担因此增加的费用和误期损害赔偿责任，并赔偿发包人的相应损失；无法修复时，发包人有权扣减该部分的相应付款，同时视为通过竣工验收；</w:t>
      </w:r>
    </w:p>
    <w:p>
      <w:pPr>
        <w:spacing w:line="360" w:lineRule="auto"/>
        <w:ind w:firstLine="600"/>
        <w:rPr>
          <w:rFonts w:hint="eastAsia" w:ascii="Times New Roman" w:hAnsi="Times New Roman" w:cs="宋体"/>
          <w:color w:val="auto"/>
          <w:szCs w:val="21"/>
          <w:highlight w:val="none"/>
        </w:rPr>
      </w:pPr>
      <w:bookmarkStart w:id="838" w:name="_Ref4621461"/>
      <w:r>
        <w:rPr>
          <w:rFonts w:hint="eastAsia" w:ascii="Times New Roman" w:hAnsi="Times New Roman" w:cs="宋体"/>
          <w:color w:val="auto"/>
          <w:szCs w:val="21"/>
          <w:highlight w:val="none"/>
        </w:rPr>
        <w:t>（3） 未能通过竣工试验，使工程或区段工程的任何主要部分丧失了生产、使用功能时，发包人有权指令承包人更换相关部分，承包人应承担因此增加的费用和误期损害赔偿责任，并赔偿发包人的相应损失</w:t>
      </w:r>
      <w:bookmarkEnd w:id="838"/>
      <w:r>
        <w:rPr>
          <w:rFonts w:hint="eastAsia" w:ascii="Times New Roman" w:hAnsi="Times New Roman" w:cs="宋体"/>
          <w:color w:val="auto"/>
          <w:szCs w:val="21"/>
          <w:highlight w:val="none"/>
        </w:rPr>
        <w:t>；</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未能通过竣工试验，使整个工程或区段工程丧失了生产、使用功能时，发包人可拒收工程或区段工程，或指令承包人重新设计、重置相关部分，承包人应承担因此增加的费用和误期损害赔偿责任，并赔偿发包人的相应损失。同时发包人有权根据第16.1款[由发包人解除合同]的约定解除合同。</w:t>
      </w:r>
    </w:p>
    <w:p>
      <w:pPr>
        <w:pStyle w:val="49"/>
        <w:numPr>
          <w:ilvl w:val="0"/>
          <w:numId w:val="0"/>
        </w:numPr>
        <w:rPr>
          <w:rFonts w:hint="eastAsia" w:ascii="Times New Roman" w:hAnsi="Times New Roman" w:eastAsia="宋体" w:cs="宋体"/>
          <w:bCs w:val="0"/>
          <w:color w:val="auto"/>
          <w:sz w:val="21"/>
          <w:szCs w:val="21"/>
          <w:highlight w:val="none"/>
        </w:rPr>
      </w:pPr>
      <w:bookmarkStart w:id="839" w:name="_Ref4624043"/>
      <w:bookmarkStart w:id="840" w:name="_Toc54862263"/>
      <w:bookmarkStart w:id="841" w:name="_Ref4618348"/>
      <w:bookmarkStart w:id="842" w:name="_Ref4618338"/>
      <w:r>
        <w:rPr>
          <w:rFonts w:hint="eastAsia" w:ascii="Times New Roman" w:hAnsi="Times New Roman" w:eastAsia="宋体" w:cs="宋体"/>
          <w:bCs w:val="0"/>
          <w:color w:val="auto"/>
          <w:sz w:val="21"/>
          <w:szCs w:val="21"/>
          <w:highlight w:val="none"/>
        </w:rPr>
        <w:t>第10条 验收和工程接收</w:t>
      </w:r>
      <w:bookmarkEnd w:id="839"/>
      <w:bookmarkEnd w:id="840"/>
      <w:bookmarkEnd w:id="841"/>
      <w:bookmarkEnd w:id="842"/>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43" w:name="_Ref532301202"/>
      <w:bookmarkStart w:id="844" w:name="_Ref532300801"/>
      <w:bookmarkStart w:id="845" w:name="_Ref532359152"/>
      <w:bookmarkStart w:id="846" w:name="_Toc54862264"/>
      <w:bookmarkStart w:id="847" w:name="_Ref532300804"/>
      <w:bookmarkStart w:id="848" w:name="_Ref532301199"/>
      <w:bookmarkStart w:id="849" w:name="_Ref532359143"/>
      <w:r>
        <w:rPr>
          <w:rFonts w:hint="eastAsia" w:ascii="Times New Roman" w:hAnsi="Times New Roman" w:eastAsia="宋体" w:cs="宋体"/>
          <w:b w:val="0"/>
          <w:bCs/>
          <w:color w:val="auto"/>
          <w:sz w:val="21"/>
          <w:szCs w:val="21"/>
          <w:highlight w:val="none"/>
        </w:rPr>
        <w:t>10.1 竣工验收</w:t>
      </w:r>
      <w:bookmarkEnd w:id="843"/>
      <w:bookmarkEnd w:id="844"/>
      <w:bookmarkEnd w:id="845"/>
      <w:bookmarkEnd w:id="846"/>
      <w:bookmarkEnd w:id="847"/>
      <w:bookmarkEnd w:id="848"/>
      <w:bookmarkEnd w:id="849"/>
    </w:p>
    <w:p>
      <w:pPr>
        <w:pStyle w:val="37"/>
        <w:numPr>
          <w:ilvl w:val="0"/>
          <w:numId w:val="0"/>
        </w:numPr>
        <w:rPr>
          <w:rFonts w:hint="eastAsia" w:ascii="Times New Roman" w:hAnsi="Times New Roman" w:cs="宋体"/>
          <w:color w:val="auto"/>
          <w:sz w:val="21"/>
          <w:highlight w:val="none"/>
        </w:rPr>
      </w:pPr>
      <w:bookmarkStart w:id="850" w:name="_Ref532628356"/>
      <w:r>
        <w:rPr>
          <w:rFonts w:hint="eastAsia" w:ascii="Times New Roman" w:hAnsi="Times New Roman" w:cs="宋体"/>
          <w:color w:val="auto"/>
          <w:sz w:val="21"/>
          <w:highlight w:val="none"/>
        </w:rPr>
        <w:t>10.1.1 竣工验收条件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工程具备以下条件的，承包人可以申请竣工验收：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因第13条[变更与调整]导致的工程量删减和第14.5.3项[扫尾工作清单]列入缺陷责任期内完成的扫尾工程和缺陷修补工作外，合同范围内的全部单位/区段工程以及有关工作，包括合同要求的试验和竣工试验均已完成，并符合合同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已按合同约定编制了扫尾工作和缺陷修补工作清单以及相应实施计划；</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已按合同约定的内容和份数备齐竣工资料；</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合同约定要求在竣工验收前应完成的其他工作。</w:t>
      </w:r>
    </w:p>
    <w:bookmarkEnd w:id="850"/>
    <w:p>
      <w:pPr>
        <w:pStyle w:val="37"/>
        <w:numPr>
          <w:ilvl w:val="0"/>
          <w:numId w:val="0"/>
        </w:numPr>
        <w:rPr>
          <w:rFonts w:hint="eastAsia" w:ascii="Times New Roman" w:hAnsi="Times New Roman" w:cs="宋体"/>
          <w:color w:val="auto"/>
          <w:sz w:val="21"/>
          <w:highlight w:val="none"/>
        </w:rPr>
      </w:pPr>
      <w:bookmarkStart w:id="851" w:name="_Ref4429424"/>
      <w:bookmarkStart w:id="852" w:name="_Hlk51506601"/>
      <w:r>
        <w:rPr>
          <w:rFonts w:hint="eastAsia" w:ascii="Times New Roman" w:hAnsi="Times New Roman" w:cs="宋体"/>
          <w:color w:val="auto"/>
          <w:sz w:val="21"/>
          <w:highlight w:val="none"/>
        </w:rPr>
        <w:t>10.1.2 竣工验收程序</w:t>
      </w:r>
      <w:bookmarkEnd w:id="851"/>
    </w:p>
    <w:bookmarkEnd w:id="852"/>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除专用合同条件另有约定外，承包人申请竣工验收的，应当按照以下程序进行：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向工程师报送竣工验收申请报告，工程师应在收到竣工验收申请报告后14天内完成审查并报送发包人。工程师审查后认为尚不具备竣工验收条件的，应在收到竣工验收申请报告后的14天内通知承包人，指出在颁发接收证书前承包人还需进行的工作内容。承包人完成工程师通知的全部工作内容后，应再次提交竣工验收申请报告，直至工程师同意为止。</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师同意承包人提交的竣工验收申请报告的，或工程师收到竣工验收申请报告后14天内不予答复的，视为发包人收到并同意承包人的竣工验收申请，发包人应在收到该竣工验收申请报告后的28天内进行竣工验收。工程经竣工验收合格的，以竣工验收合格之日为实际竣工日期，并在工程接收证书中载明；完成竣工验收但发包人不予签发工程接收证书的，视为竣工验收合格，以完成竣工验收之日为实际竣工日期。</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竣工验收不合格的，工程师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pPr>
        <w:spacing w:line="360" w:lineRule="auto"/>
        <w:ind w:firstLine="600"/>
        <w:rPr>
          <w:rFonts w:hint="eastAsia" w:ascii="Times New Roman" w:hAnsi="Times New Roman" w:cs="宋体"/>
          <w:color w:val="auto"/>
          <w:szCs w:val="21"/>
          <w:highlight w:val="none"/>
        </w:rPr>
      </w:pPr>
      <w:bookmarkStart w:id="853" w:name="_Hlk51506640"/>
      <w:r>
        <w:rPr>
          <w:rFonts w:hint="eastAsia" w:ascii="Times New Roman" w:hAnsi="Times New Roman" w:cs="宋体"/>
          <w:color w:val="auto"/>
          <w:szCs w:val="21"/>
          <w:highlight w:val="none"/>
        </w:rPr>
        <w:t>（4） 因发包人原因，未在工程师收到承包人竣工验收申请报告之日起42天内完成竣工验收的，以承包人提交竣工验收申请报告之日作为工程实际竣工日期。</w:t>
      </w:r>
    </w:p>
    <w:bookmarkEnd w:id="853"/>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工程未经竣工验收，发包人擅自使用的，以转移占有工程之日为实际竣工日期。</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除专用合同条件另有约定外，发包人不按照本项和第10.4款[接收证书]约定组织竣工验收、颁发工程接收证书的，每逾期一天，应以签约合同价为基数，按照贷款市场报价利率（LPR）支付违约金。</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54" w:name="_Ref532301210"/>
      <w:bookmarkStart w:id="855" w:name="_Toc54862265"/>
      <w:bookmarkStart w:id="856" w:name="_Ref532301213"/>
      <w:r>
        <w:rPr>
          <w:rFonts w:hint="eastAsia" w:ascii="Times New Roman" w:hAnsi="Times New Roman" w:eastAsia="宋体" w:cs="宋体"/>
          <w:b w:val="0"/>
          <w:bCs/>
          <w:color w:val="auto"/>
          <w:sz w:val="21"/>
          <w:szCs w:val="21"/>
          <w:highlight w:val="none"/>
        </w:rPr>
        <w:t>10.2 单位/区段工程的验收</w:t>
      </w:r>
      <w:bookmarkEnd w:id="854"/>
      <w:bookmarkEnd w:id="855"/>
      <w:bookmarkEnd w:id="856"/>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10.2.1 发包人根据项目进度计划安排，在全部工程竣工前需要使用已经竣工的单位/区段工程时，或承包人提出经发包人同意时，可进行单位/区段工程验收。验收的程序可参照第10.1款[竣工验收]的约定进行。验收合格后，由工程师向承包人出具经发包人签认的单位/区段工程验收证书。单位/区段工程的验收成果和结论作为全部工程竣工验收申请报告的附件。</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10.2.2 发包人在全部工程竣工前，使用已接收的单位/区段工程导致承包人费用增加的，发包人应承担由此增加的费用和（或）工期延误，并支付承包人合理利润。</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57" w:name="_Toc54862266"/>
      <w:bookmarkStart w:id="858" w:name="_Ref4429473"/>
      <w:bookmarkStart w:id="859" w:name="_Ref532688351"/>
      <w:bookmarkStart w:id="860" w:name="_Ref532688354"/>
      <w:r>
        <w:rPr>
          <w:rFonts w:hint="eastAsia" w:ascii="Times New Roman" w:hAnsi="Times New Roman" w:eastAsia="宋体" w:cs="宋体"/>
          <w:b w:val="0"/>
          <w:bCs/>
          <w:color w:val="auto"/>
          <w:sz w:val="21"/>
          <w:szCs w:val="21"/>
          <w:highlight w:val="none"/>
        </w:rPr>
        <w:t>10.3 工程的接收</w:t>
      </w:r>
      <w:bookmarkEnd w:id="857"/>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10.3.1 根据工程项目的具体情况和特点，可按工程或单位/区段工程进行接收，并在专用合同条件约定接收的先后顺序、时间安排和其他要求。</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10.3.2 除按本条约定已经提交的资料外，接收工程时承包人需提交竣工验收资料的类别、内容、份数和提交时间，在专用合同条件中约定。</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10.3.3 发包人无正当理由不接收工程的，发包人自应当接收工程之日起，承担工程照管、成品保护、保管等与工程有关的各项费用，合同当事人可以在专用合同条件中另行约定发包人逾期接收工程的违约责任。</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10.3.4 承包人无正当理由不移交工程的，承包人应承担工程照管、成品保护、保管等与工程有关的各项费用，合同当事人可以在专用合同条件中另行约定承包人无正当理由不移交工程的违约责任。</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61" w:name="_Toc54862267"/>
      <w:r>
        <w:rPr>
          <w:rFonts w:hint="eastAsia" w:ascii="Times New Roman" w:hAnsi="Times New Roman" w:eastAsia="宋体" w:cs="宋体"/>
          <w:b w:val="0"/>
          <w:bCs/>
          <w:color w:val="auto"/>
          <w:sz w:val="21"/>
          <w:szCs w:val="21"/>
          <w:highlight w:val="none"/>
        </w:rPr>
        <w:t>10.4 接收证书</w:t>
      </w:r>
      <w:bookmarkEnd w:id="858"/>
      <w:bookmarkEnd w:id="861"/>
    </w:p>
    <w:p>
      <w:pPr>
        <w:pStyle w:val="37"/>
        <w:numPr>
          <w:ilvl w:val="0"/>
          <w:numId w:val="0"/>
        </w:numPr>
        <w:rPr>
          <w:rFonts w:hint="eastAsia" w:ascii="Times New Roman" w:hAnsi="Times New Roman" w:cs="宋体"/>
          <w:color w:val="auto"/>
          <w:sz w:val="21"/>
          <w:highlight w:val="none"/>
        </w:rPr>
      </w:pPr>
      <w:bookmarkStart w:id="862" w:name="_Ref4429542"/>
      <w:r>
        <w:rPr>
          <w:rFonts w:hint="eastAsia" w:ascii="Times New Roman" w:hAnsi="Times New Roman" w:cs="宋体"/>
          <w:color w:val="auto"/>
          <w:sz w:val="21"/>
          <w:highlight w:val="none"/>
        </w:rPr>
        <w:t>10.4.1 除专用合同条件另有约定外，承包人应在竣工验收合格后向发包人提交第14.6款[质量保证金]约定的质量保证金，发包人应在竣工验收合格且工程具备接收条件后的14天内向承包人颁发工程接收证书，但承包人未提交质量保证金的，发包人有权拒绝颁发。发包人拒绝颁发工程接收证书的，应向承包人发出通知，说明理由并指出在颁发接收证书前承包人需要做的工作，需要修补的缺陷和承包人需要提供的文件。</w:t>
      </w:r>
      <w:bookmarkEnd w:id="862"/>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10.4.2 发包人向承包人颁发的接收证书，应注明工程或单位/区段工程经验收合格的实际竣工日期，并列明不在接收范围内的，在收尾工作和缺陷修补完成之前对工程或单位/区段工程预期使用目的没有实质影响的少量收尾工作和缺陷。</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10.4.3 竣工验收合格而发包人无正当理由逾期不颁发工程接收证书的，自验收合格后第15天起视为已颁发工程接收证书。</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10.4.4 工程未经验收或验收不合格，发包人擅自使用的，应在转移占有工程后7天内向承包人颁发工程接收证书；发包人无正当理由逾期不颁发工程接收证书的，自转移占有后第15天起视为已颁发工程接收证书。</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10.4.5 存在扫尾工作的，工程接收证书中应当将第14.5.3项[扫尾工作清单]中约定的扫尾工作清单作为工程接收证书附件。</w:t>
      </w:r>
    </w:p>
    <w:bookmarkEnd w:id="859"/>
    <w:bookmarkEnd w:id="860"/>
    <w:p>
      <w:pPr>
        <w:pStyle w:val="54"/>
        <w:widowControl/>
        <w:numPr>
          <w:ilvl w:val="0"/>
          <w:numId w:val="0"/>
        </w:numPr>
        <w:rPr>
          <w:rFonts w:hint="eastAsia" w:ascii="Times New Roman" w:hAnsi="Times New Roman" w:eastAsia="宋体" w:cs="宋体"/>
          <w:b w:val="0"/>
          <w:bCs/>
          <w:color w:val="auto"/>
          <w:sz w:val="21"/>
          <w:szCs w:val="21"/>
          <w:highlight w:val="none"/>
        </w:rPr>
      </w:pPr>
      <w:bookmarkStart w:id="863" w:name="_Ref4429932"/>
      <w:bookmarkStart w:id="864" w:name="_Ref4429935"/>
      <w:bookmarkStart w:id="865" w:name="_Toc54862268"/>
      <w:r>
        <w:rPr>
          <w:rFonts w:hint="eastAsia" w:ascii="Times New Roman" w:hAnsi="Times New Roman" w:eastAsia="宋体" w:cs="宋体"/>
          <w:b w:val="0"/>
          <w:bCs/>
          <w:color w:val="auto"/>
          <w:sz w:val="21"/>
          <w:szCs w:val="21"/>
          <w:highlight w:val="none"/>
        </w:rPr>
        <w:t>10.5 竣工退场</w:t>
      </w:r>
      <w:bookmarkEnd w:id="863"/>
      <w:bookmarkEnd w:id="864"/>
      <w:bookmarkEnd w:id="865"/>
    </w:p>
    <w:p>
      <w:pPr>
        <w:pStyle w:val="37"/>
        <w:numPr>
          <w:ilvl w:val="0"/>
          <w:numId w:val="0"/>
        </w:numPr>
        <w:rPr>
          <w:rFonts w:hint="eastAsia" w:ascii="Times New Roman" w:hAnsi="Times New Roman" w:cs="宋体"/>
          <w:color w:val="auto"/>
          <w:sz w:val="21"/>
          <w:highlight w:val="none"/>
        </w:rPr>
      </w:pPr>
      <w:bookmarkStart w:id="866" w:name="_Ref4429943"/>
      <w:r>
        <w:rPr>
          <w:rFonts w:hint="eastAsia" w:ascii="Times New Roman" w:hAnsi="Times New Roman" w:cs="宋体"/>
          <w:color w:val="auto"/>
          <w:sz w:val="21"/>
          <w:highlight w:val="none"/>
        </w:rPr>
        <w:t>10.5.1 竣工退场</w:t>
      </w:r>
      <w:bookmarkEnd w:id="86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颁发工程接收证书后，承包人应对施工现场进行清理，并撤离相关人员，使得施工现场处于以下状态，直至工程师检验合格为止：</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施工现场内残留的垃圾已全部清除出场；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临时工程已拆除，场地已按合同约定进行清理、平整或复原；</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按合同约定应撤离的人员、承包人提供的施工设备和剩余的材料，包括废弃的施工设备和材料，已按计划撤离施工现场；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施工现场周边及其附近道路、河道的施工堆积物，已全部清理；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施工现场其他竣工退场工作已全部完成。</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施工现场的竣工退场费用由承包人承担。承包人应在专用合同条件约定的期限内完成竣工退场，逾期未完成的，发包人有权出售或另行处理承包人遗留的物品，由此支出的费用由承包人承担，发包人出售承包人遗留物品所得款项在扣除必要费用后应返还承包人。</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10.5.2 地表还原</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承包人应按合同约定和工程师的要求恢复临时占地及清理场地，否则发包人有权委托其他人恢复或清理，所发生的费用由承包人承担。</w:t>
      </w:r>
    </w:p>
    <w:p>
      <w:pPr>
        <w:pStyle w:val="37"/>
        <w:numPr>
          <w:ilvl w:val="0"/>
          <w:numId w:val="0"/>
        </w:numPr>
        <w:rPr>
          <w:rFonts w:hint="eastAsia" w:ascii="Times New Roman" w:hAnsi="Times New Roman" w:cs="宋体"/>
          <w:color w:val="auto"/>
          <w:sz w:val="21"/>
          <w:highlight w:val="none"/>
        </w:rPr>
      </w:pPr>
      <w:bookmarkStart w:id="867" w:name="_Ref20159437"/>
      <w:r>
        <w:rPr>
          <w:rFonts w:hint="eastAsia" w:ascii="Times New Roman" w:hAnsi="Times New Roman" w:cs="宋体"/>
          <w:color w:val="auto"/>
          <w:sz w:val="21"/>
          <w:highlight w:val="none"/>
        </w:rPr>
        <w:t>10.5.3 人员撤离</w:t>
      </w:r>
      <w:bookmarkEnd w:id="86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了经工程师同意需在缺陷责任期内继续工作和使用的人员、施工设备和临时工程外，承包人应按专用合同条件约定和工程师的要求将其余的人员、施工设备和临时工程撤离施工现场或拆除。除专用合同条件另有约定外，缺陷责任期满时，承包人的人员和施工设备应全部撤离施工现场。</w:t>
      </w:r>
      <w:bookmarkEnd w:id="751"/>
    </w:p>
    <w:p>
      <w:pPr>
        <w:pStyle w:val="49"/>
        <w:numPr>
          <w:ilvl w:val="0"/>
          <w:numId w:val="0"/>
        </w:numPr>
        <w:rPr>
          <w:rFonts w:hint="eastAsia" w:ascii="Times New Roman" w:hAnsi="Times New Roman" w:eastAsia="宋体" w:cs="宋体"/>
          <w:bCs w:val="0"/>
          <w:color w:val="auto"/>
          <w:sz w:val="21"/>
          <w:szCs w:val="21"/>
          <w:highlight w:val="none"/>
        </w:rPr>
      </w:pPr>
      <w:bookmarkStart w:id="868" w:name="_Ref4796906"/>
      <w:bookmarkStart w:id="869" w:name="_Toc54862269"/>
      <w:bookmarkStart w:id="870" w:name="_Ref531955009"/>
      <w:bookmarkStart w:id="871" w:name="_Ref4796909"/>
      <w:r>
        <w:rPr>
          <w:rFonts w:hint="eastAsia" w:ascii="Times New Roman" w:hAnsi="Times New Roman" w:eastAsia="宋体" w:cs="宋体"/>
          <w:bCs w:val="0"/>
          <w:color w:val="auto"/>
          <w:sz w:val="21"/>
          <w:szCs w:val="21"/>
          <w:highlight w:val="none"/>
        </w:rPr>
        <w:t>第11条 缺陷责任与保修</w:t>
      </w:r>
      <w:bookmarkEnd w:id="868"/>
      <w:bookmarkEnd w:id="869"/>
      <w:bookmarkEnd w:id="870"/>
      <w:bookmarkEnd w:id="871"/>
      <w:r>
        <w:rPr>
          <w:rFonts w:hint="eastAsia" w:ascii="Times New Roman" w:hAnsi="Times New Roman" w:eastAsia="宋体" w:cs="宋体"/>
          <w:bCs w:val="0"/>
          <w:color w:val="auto"/>
          <w:sz w:val="21"/>
          <w:szCs w:val="21"/>
          <w:highlight w:val="none"/>
        </w:rPr>
        <w:t xml:space="preserve"> </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72" w:name="_Toc54862270"/>
      <w:bookmarkStart w:id="873" w:name="_Ref531955248"/>
      <w:bookmarkStart w:id="874" w:name="_Ref531955245"/>
      <w:bookmarkStart w:id="875" w:name="_Ref532362928"/>
      <w:bookmarkStart w:id="876" w:name="_Toc296503147"/>
      <w:bookmarkStart w:id="877" w:name="_Toc337558841"/>
      <w:bookmarkStart w:id="878" w:name="_Toc296346648"/>
      <w:r>
        <w:rPr>
          <w:rFonts w:hint="eastAsia" w:ascii="Times New Roman" w:hAnsi="Times New Roman" w:eastAsia="宋体" w:cs="宋体"/>
          <w:b w:val="0"/>
          <w:bCs/>
          <w:color w:val="auto"/>
          <w:sz w:val="21"/>
          <w:szCs w:val="21"/>
          <w:highlight w:val="none"/>
        </w:rPr>
        <w:t>11.1 工程保修的原则</w:t>
      </w:r>
      <w:bookmarkEnd w:id="872"/>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在工程移交发包人后，因承包人原因产生的质量缺陷，承包人应承担质量缺陷责任和保修义务。缺陷责任期届满，承包人仍应按合同约定的工程各部位保修年限承担保修义务。</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79" w:name="_Toc54862271"/>
      <w:bookmarkStart w:id="880" w:name="_Ref4430062"/>
      <w:r>
        <w:rPr>
          <w:rFonts w:hint="eastAsia" w:ascii="Times New Roman" w:hAnsi="Times New Roman" w:eastAsia="宋体" w:cs="宋体"/>
          <w:b w:val="0"/>
          <w:bCs/>
          <w:color w:val="auto"/>
          <w:sz w:val="21"/>
          <w:szCs w:val="21"/>
          <w:highlight w:val="none"/>
        </w:rPr>
        <w:t>11.2 缺陷责任</w:t>
      </w:r>
      <w:bookmarkEnd w:id="873"/>
      <w:bookmarkEnd w:id="874"/>
      <w:r>
        <w:rPr>
          <w:rFonts w:hint="eastAsia" w:ascii="Times New Roman" w:hAnsi="Times New Roman" w:eastAsia="宋体" w:cs="宋体"/>
          <w:b w:val="0"/>
          <w:bCs/>
          <w:color w:val="auto"/>
          <w:sz w:val="21"/>
          <w:szCs w:val="21"/>
          <w:highlight w:val="none"/>
        </w:rPr>
        <w:t>期</w:t>
      </w:r>
      <w:bookmarkEnd w:id="875"/>
      <w:bookmarkEnd w:id="879"/>
      <w:bookmarkEnd w:id="880"/>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缺陷责任期原则上从工程竣工验收合格之日起计算，合同当事人应在专用合同条件约定缺陷责任期的具体期限，但该期限最长不超过24个月。</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单位/区段工程先于全部工程进行验收，经验收合格并交付使用的，该单位/区段工程缺陷责任期自单位/区段工程验收合格之日起算。因发包人原因导致工程未在合同约定期限进行验收，但工程经验收合格的，以承包人提交竣工验收报告之日起算；因发包人原因导致工程未能进行竣工验收的，在承包人提交竣工验收报告90天后，工程自动进入缺陷责任期；发包人未经竣工验收擅自使用工程的，缺陷责任期自工程转移占有之日起开始计算。</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由于承包人原因造成某项缺陷或损坏使某项工程或工程设备不能按原定目标使用而需要再次检查、检验和修复的，发包人有权要求承包人延长该项工程或工程设备的缺陷责任期，并应在原缺陷责任期届满前发出延长通知。但缺陷责任期最长不超过24个月。</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81" w:name="_Toc54862272"/>
      <w:bookmarkStart w:id="882" w:name="_Ref532662486"/>
      <w:bookmarkStart w:id="883" w:name="_Ref532662491"/>
      <w:r>
        <w:rPr>
          <w:rFonts w:hint="eastAsia" w:ascii="Times New Roman" w:hAnsi="Times New Roman" w:eastAsia="宋体" w:cs="宋体"/>
          <w:b w:val="0"/>
          <w:bCs/>
          <w:color w:val="auto"/>
          <w:sz w:val="21"/>
          <w:szCs w:val="21"/>
          <w:highlight w:val="none"/>
        </w:rPr>
        <w:t>11.3 缺陷调查</w:t>
      </w:r>
      <w:bookmarkEnd w:id="881"/>
      <w:bookmarkEnd w:id="882"/>
      <w:bookmarkEnd w:id="883"/>
    </w:p>
    <w:p>
      <w:pPr>
        <w:pStyle w:val="37"/>
        <w:numPr>
          <w:ilvl w:val="0"/>
          <w:numId w:val="0"/>
        </w:numPr>
        <w:rPr>
          <w:rFonts w:hint="eastAsia" w:ascii="Times New Roman" w:hAnsi="Times New Roman" w:cs="宋体"/>
          <w:b/>
          <w:color w:val="auto"/>
          <w:sz w:val="21"/>
          <w:highlight w:val="none"/>
        </w:rPr>
      </w:pPr>
      <w:r>
        <w:rPr>
          <w:rFonts w:hint="eastAsia" w:ascii="Times New Roman" w:hAnsi="Times New Roman" w:cs="宋体"/>
          <w:color w:val="auto"/>
          <w:sz w:val="21"/>
          <w:highlight w:val="none"/>
        </w:rPr>
        <w:t>11.3.1 承包人缺陷调查</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发包人指示承包人调查任何缺陷的原因，承包人应在发包人的指导下进行调查。承包人应在发包人指示中说明的日期或与发包人达成一致的其他日期开展调查。除非该缺陷应由承包人负责自费进行修补，承包人有权就调查的成本和利润获得支付。</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承包人未能根据本款开展调查，该调查可由发包人开展。但应将上述调查开展的日期通知承包人，承包人可自费参加调查。如果该缺陷应由承包人自费进行修补，则发包人有权要求承包人支付发包人因调查产生的合理费用。</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11.3.2 缺陷责任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内，由承包人原因造成的缺陷，承包人应负责维修，并承担鉴定及维修费用。如承包人不维修也不承担费用，发包人可按合同约定从质量保证金中扣除，费用超出质量保证金金额的，发包人可按合同约定向承包人进行索赔。承包人维修并承担相应费用后，不免除对工程的损失赔偿责任。发包人在使用过程中，发现已修补的缺陷部位或部件还存在质量缺陷的，承包人应负责修复，直至检验合格为止。</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11.3.3 修复费用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发包人和承包人应共同查清缺陷或损坏的原因。经查明属承包人原因造成的，应由承包人承担修复的费用。经查验非承包人原因造成的，发包人应承担修复的费用，并支付承包人合理利润。</w:t>
      </w:r>
    </w:p>
    <w:p>
      <w:pPr>
        <w:pStyle w:val="37"/>
        <w:numPr>
          <w:ilvl w:val="0"/>
          <w:numId w:val="0"/>
        </w:numPr>
        <w:rPr>
          <w:rFonts w:hint="eastAsia" w:ascii="Times New Roman" w:hAnsi="Times New Roman" w:cs="宋体"/>
          <w:color w:val="auto"/>
          <w:sz w:val="21"/>
          <w:highlight w:val="none"/>
        </w:rPr>
      </w:pPr>
      <w:bookmarkStart w:id="884" w:name="_Ref531955041"/>
      <w:r>
        <w:rPr>
          <w:rFonts w:hint="eastAsia" w:ascii="Times New Roman" w:hAnsi="Times New Roman" w:cs="宋体"/>
          <w:color w:val="auto"/>
          <w:sz w:val="21"/>
          <w:highlight w:val="none"/>
        </w:rPr>
        <w:t>11.3.4 修复通知</w:t>
      </w:r>
      <w:bookmarkEnd w:id="884"/>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缺陷责任期内，发包人在使用过程中，发现已接收的工程存在缺陷或损坏的，应书面通知承包人予以修复，但情况紧急必须立即修复缺陷或损坏的，发包人可以口头通知承包人并在口头通知后48小时内书面确认，承包人应在专用合同条件约定的合理期限内到达工程现场并修复缺陷或损坏。</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11.3.5 在现场外修复</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缺陷责任期内，承包人认为设备中的缺陷或损害不能在现场得到迅速修复，承包人应当向发包人发出通知，请求发包人同意把这些有缺陷或者损害的设备移出现场进行修复，通知应当注明有缺陷或者损害的设备及维修的相关内容，发包人可要求承包人按移出设备的全部重置成本增加质量保证金的数额。</w:t>
      </w:r>
    </w:p>
    <w:p>
      <w:pPr>
        <w:pStyle w:val="37"/>
        <w:numPr>
          <w:ilvl w:val="0"/>
          <w:numId w:val="0"/>
        </w:numPr>
        <w:rPr>
          <w:rFonts w:hint="eastAsia" w:ascii="Times New Roman" w:hAnsi="Times New Roman" w:cs="宋体"/>
          <w:color w:val="auto"/>
          <w:sz w:val="21"/>
          <w:highlight w:val="none"/>
        </w:rPr>
      </w:pPr>
      <w:bookmarkStart w:id="885" w:name="_Ref4534291"/>
      <w:bookmarkStart w:id="886" w:name="_Hlk51506786"/>
      <w:r>
        <w:rPr>
          <w:rFonts w:hint="eastAsia" w:ascii="Times New Roman" w:hAnsi="Times New Roman" w:cs="宋体"/>
          <w:color w:val="auto"/>
          <w:sz w:val="21"/>
          <w:highlight w:val="none"/>
        </w:rPr>
        <w:t>11.3.6 未能修复</w:t>
      </w:r>
      <w:bookmarkEnd w:id="885"/>
    </w:p>
    <w:bookmarkEnd w:id="886"/>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如果工程或工程设备的缺陷或损害使发包人实质上失去了工程的整体功能，发包人有权向承包人追回已支付的工程款项，并要求其赔偿发包人相应损失。</w:t>
      </w:r>
    </w:p>
    <w:bookmarkEnd w:id="876"/>
    <w:bookmarkEnd w:id="877"/>
    <w:bookmarkEnd w:id="878"/>
    <w:p>
      <w:pPr>
        <w:pStyle w:val="54"/>
        <w:widowControl/>
        <w:numPr>
          <w:ilvl w:val="0"/>
          <w:numId w:val="0"/>
        </w:numPr>
        <w:rPr>
          <w:rFonts w:hint="eastAsia" w:ascii="Times New Roman" w:hAnsi="Times New Roman" w:eastAsia="宋体" w:cs="宋体"/>
          <w:b w:val="0"/>
          <w:bCs/>
          <w:color w:val="auto"/>
          <w:sz w:val="21"/>
          <w:szCs w:val="21"/>
          <w:highlight w:val="none"/>
        </w:rPr>
      </w:pPr>
      <w:bookmarkStart w:id="887" w:name="_Ref532662552"/>
      <w:bookmarkStart w:id="888" w:name="_Ref532662554"/>
      <w:bookmarkStart w:id="889" w:name="_Toc54862273"/>
      <w:r>
        <w:rPr>
          <w:rFonts w:hint="eastAsia" w:ascii="Times New Roman" w:hAnsi="Times New Roman" w:eastAsia="宋体" w:cs="宋体"/>
          <w:b w:val="0"/>
          <w:bCs/>
          <w:color w:val="auto"/>
          <w:sz w:val="21"/>
          <w:szCs w:val="21"/>
          <w:highlight w:val="none"/>
        </w:rPr>
        <w:t>11.4 缺陷修复后的进一步试验</w:t>
      </w:r>
      <w:bookmarkEnd w:id="887"/>
      <w:bookmarkEnd w:id="888"/>
      <w:bookmarkEnd w:id="88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任何一项缺陷修补后的7天内，承包人应向发包人发出通知，告知已修补的情况。如根据第9条[竣工试验]或第12条[竣工后试验]的规定适用重新试验的，还应建议重新试验。发包人应在收到重新试验的通知后14天内答复，逾期未进行答复的视为同意重新试验。承包人未建议重新试验的，发包人也可在缺陷修补后的14天内指示进行必要的重新试验，以证明已修复的部分符合合同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所有的重复试验应按照适用于先前试验的条款进行，但应由责任方承担修补工作的成本和重新试验的风险和费用。</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90" w:name="_Toc54862274"/>
      <w:r>
        <w:rPr>
          <w:rFonts w:hint="eastAsia" w:ascii="Times New Roman" w:hAnsi="Times New Roman" w:eastAsia="宋体" w:cs="宋体"/>
          <w:b w:val="0"/>
          <w:bCs/>
          <w:color w:val="auto"/>
          <w:sz w:val="21"/>
          <w:szCs w:val="21"/>
          <w:highlight w:val="none"/>
        </w:rPr>
        <w:t>11.5 承包人出入权</w:t>
      </w:r>
      <w:bookmarkEnd w:id="89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缺陷责任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安保和保密等规定。</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91" w:name="_Ref4430229"/>
      <w:bookmarkStart w:id="892" w:name="_Toc54862275"/>
      <w:bookmarkStart w:id="893" w:name="_Ref4430223"/>
      <w:r>
        <w:rPr>
          <w:rFonts w:hint="eastAsia" w:ascii="Times New Roman" w:hAnsi="Times New Roman" w:eastAsia="宋体" w:cs="宋体"/>
          <w:b w:val="0"/>
          <w:bCs/>
          <w:color w:val="auto"/>
          <w:sz w:val="21"/>
          <w:szCs w:val="21"/>
          <w:highlight w:val="none"/>
        </w:rPr>
        <w:t>11.6 缺陷责任期终止证书</w:t>
      </w:r>
      <w:bookmarkEnd w:id="891"/>
      <w:bookmarkEnd w:id="892"/>
      <w:bookmarkEnd w:id="893"/>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w:t>
      </w:r>
      <w:bookmarkStart w:id="894" w:name="_Hlk4686672"/>
      <w:r>
        <w:rPr>
          <w:rFonts w:hint="eastAsia" w:ascii="Times New Roman" w:hAnsi="Times New Roman" w:cs="宋体"/>
          <w:color w:val="auto"/>
          <w:szCs w:val="21"/>
          <w:highlight w:val="none"/>
        </w:rPr>
        <w:t>承包人应于缺陷责任期届满前7天内向发包人发出缺陷责任期即将届满通知，发包人应在收到通知后7天内核实承包人是否履行缺陷修复义务，承包人未能履行缺陷修复义务的，发包人有权扣除相应金额的维修费用。发包人应在缺陷责任期届满之日，向承包人颁发缺陷责任期终止证书，并按第14.6.3项[质量保证金的返还]返还质量保证金。</w:t>
      </w:r>
      <w:bookmarkEnd w:id="894"/>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如根据第10.5.3项[人员撤离]承包人在施工现场还留有人员、施工设备和临时工程的，承包人应当在收到缺陷责任期终止证书后28天内，将上述人员、施工设备和临时工程撤离施工现场。</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895" w:name="_Toc54862276"/>
      <w:bookmarkStart w:id="896" w:name="_Ref4430272"/>
      <w:r>
        <w:rPr>
          <w:rFonts w:hint="eastAsia" w:ascii="Times New Roman" w:hAnsi="Times New Roman" w:eastAsia="宋体" w:cs="宋体"/>
          <w:b w:val="0"/>
          <w:bCs/>
          <w:color w:val="auto"/>
          <w:sz w:val="21"/>
          <w:szCs w:val="21"/>
          <w:highlight w:val="none"/>
        </w:rPr>
        <w:t>11.7 保修责任</w:t>
      </w:r>
      <w:bookmarkEnd w:id="895"/>
      <w:bookmarkEnd w:id="89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因承包人原因导致的质量缺陷责任，由合同当事人根据有关法律规定，在专用合同条件和工程质量保修书中约定工程质量保修范围、期限和责任。</w:t>
      </w:r>
      <w:bookmarkEnd w:id="743"/>
      <w:bookmarkStart w:id="897" w:name="_Ref531957860"/>
      <w:bookmarkStart w:id="898" w:name="_Ref531958289"/>
    </w:p>
    <w:bookmarkEnd w:id="897"/>
    <w:p>
      <w:pPr>
        <w:pStyle w:val="49"/>
        <w:numPr>
          <w:ilvl w:val="0"/>
          <w:numId w:val="0"/>
        </w:numPr>
        <w:rPr>
          <w:rFonts w:hint="eastAsia" w:ascii="Times New Roman" w:hAnsi="Times New Roman" w:eastAsia="宋体" w:cs="宋体"/>
          <w:bCs w:val="0"/>
          <w:color w:val="auto"/>
          <w:sz w:val="21"/>
          <w:szCs w:val="21"/>
          <w:highlight w:val="none"/>
        </w:rPr>
      </w:pPr>
      <w:bookmarkStart w:id="899" w:name="_Toc54862277"/>
      <w:bookmarkStart w:id="900" w:name="_Ref4621057"/>
      <w:bookmarkStart w:id="901" w:name="_Ref4621065"/>
      <w:bookmarkStart w:id="902" w:name="_Ref4796958"/>
      <w:bookmarkStart w:id="903" w:name="_Ref4796955"/>
      <w:r>
        <w:rPr>
          <w:rFonts w:hint="eastAsia" w:ascii="Times New Roman" w:hAnsi="Times New Roman" w:eastAsia="宋体" w:cs="宋体"/>
          <w:bCs w:val="0"/>
          <w:color w:val="auto"/>
          <w:sz w:val="21"/>
          <w:szCs w:val="21"/>
          <w:highlight w:val="none"/>
        </w:rPr>
        <w:t>第12条 竣工后试验</w:t>
      </w:r>
      <w:bookmarkEnd w:id="899"/>
      <w:bookmarkEnd w:id="900"/>
      <w:bookmarkEnd w:id="90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本合同工程包含竣工后试验的，遵守本条约定。</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04" w:name="_Ref531954604"/>
      <w:bookmarkStart w:id="905" w:name="_Ref531954601"/>
      <w:bookmarkStart w:id="906" w:name="_Toc54862278"/>
      <w:bookmarkStart w:id="907" w:name="_Ref531954694"/>
      <w:bookmarkStart w:id="908" w:name="_Hlk522259976"/>
      <w:r>
        <w:rPr>
          <w:rFonts w:hint="eastAsia" w:ascii="Times New Roman" w:hAnsi="Times New Roman" w:eastAsia="宋体" w:cs="宋体"/>
          <w:b w:val="0"/>
          <w:bCs/>
          <w:color w:val="auto"/>
          <w:sz w:val="21"/>
          <w:szCs w:val="21"/>
          <w:highlight w:val="none"/>
        </w:rPr>
        <w:t>12.1 竣工后试验</w:t>
      </w:r>
      <w:bookmarkEnd w:id="904"/>
      <w:bookmarkEnd w:id="905"/>
      <w:r>
        <w:rPr>
          <w:rFonts w:hint="eastAsia" w:ascii="Times New Roman" w:hAnsi="Times New Roman" w:eastAsia="宋体" w:cs="宋体"/>
          <w:b w:val="0"/>
          <w:bCs/>
          <w:color w:val="auto"/>
          <w:sz w:val="21"/>
          <w:szCs w:val="21"/>
          <w:highlight w:val="none"/>
        </w:rPr>
        <w:t>的程序</w:t>
      </w:r>
      <w:bookmarkEnd w:id="906"/>
      <w:bookmarkEnd w:id="907"/>
    </w:p>
    <w:p>
      <w:pPr>
        <w:pStyle w:val="37"/>
        <w:numPr>
          <w:ilvl w:val="0"/>
          <w:numId w:val="0"/>
        </w:numPr>
        <w:rPr>
          <w:rFonts w:hint="eastAsia" w:ascii="Times New Roman" w:hAnsi="Times New Roman" w:cs="宋体"/>
          <w:color w:val="auto"/>
          <w:sz w:val="21"/>
          <w:highlight w:val="none"/>
        </w:rPr>
      </w:pPr>
      <w:bookmarkStart w:id="909" w:name="_Ref11920184"/>
      <w:r>
        <w:rPr>
          <w:rFonts w:hint="eastAsia" w:ascii="Times New Roman" w:hAnsi="Times New Roman" w:cs="宋体"/>
          <w:color w:val="auto"/>
          <w:sz w:val="21"/>
          <w:highlight w:val="none"/>
        </w:rPr>
        <w:t>12.1.1 工程或区段工程被发包人接收后，在合理可行的情况下应根据合同约定尽早进行竣工后试验。</w:t>
      </w:r>
      <w:bookmarkEnd w:id="909"/>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12.1.2 除专用合同条件另有约定外，发包人应提供全部电力、水、污水处理、燃料、消耗品和材料，以及全部其他仪器、协助、文件或其他信息、设备、工具、劳力，启动工程设备，并组织安排有适当资质、经验和能力的工作人员实施竣工后试验。</w:t>
      </w:r>
    </w:p>
    <w:p>
      <w:pPr>
        <w:pStyle w:val="37"/>
        <w:numPr>
          <w:ilvl w:val="0"/>
          <w:numId w:val="0"/>
        </w:numPr>
        <w:rPr>
          <w:rFonts w:hint="eastAsia" w:ascii="Times New Roman" w:hAnsi="Times New Roman" w:cs="宋体"/>
          <w:color w:val="auto"/>
          <w:sz w:val="21"/>
          <w:highlight w:val="none"/>
        </w:rPr>
      </w:pPr>
      <w:bookmarkStart w:id="910" w:name="_Ref11920162"/>
      <w:r>
        <w:rPr>
          <w:rFonts w:hint="eastAsia" w:ascii="Times New Roman" w:hAnsi="Times New Roman" w:cs="宋体"/>
          <w:color w:val="auto"/>
          <w:sz w:val="21"/>
          <w:highlight w:val="none"/>
        </w:rPr>
        <w:t>12.1.3 除《发包人要求》另有约定外，发包人应在合理可行的情况下尽快进行每项竣工后试验，并至少提前21天将该项竣工后试验的内容、地点和时间，以及显示其他竣工后试验拟开展时间的竣工后试验计划通知承包人。</w:t>
      </w:r>
      <w:bookmarkEnd w:id="910"/>
    </w:p>
    <w:p>
      <w:pPr>
        <w:pStyle w:val="37"/>
        <w:numPr>
          <w:ilvl w:val="0"/>
          <w:numId w:val="0"/>
        </w:numPr>
        <w:rPr>
          <w:rFonts w:hint="eastAsia" w:ascii="Times New Roman" w:hAnsi="Times New Roman" w:cs="宋体"/>
          <w:color w:val="auto"/>
          <w:sz w:val="21"/>
          <w:highlight w:val="none"/>
        </w:rPr>
      </w:pPr>
      <w:bookmarkStart w:id="911" w:name="_Ref11920146"/>
      <w:r>
        <w:rPr>
          <w:rFonts w:hint="eastAsia" w:ascii="Times New Roman" w:hAnsi="Times New Roman" w:cs="宋体"/>
          <w:color w:val="auto"/>
          <w:sz w:val="21"/>
          <w:highlight w:val="none"/>
        </w:rPr>
        <w:t>12.1.4 发包人应根据《发包人要求》、承包人按照第5.5款</w:t>
      </w:r>
      <w:bookmarkStart w:id="912" w:name="_Hlk18943978"/>
      <w:r>
        <w:rPr>
          <w:rFonts w:hint="eastAsia" w:ascii="Times New Roman" w:hAnsi="Times New Roman" w:cs="宋体"/>
          <w:color w:val="auto"/>
          <w:sz w:val="21"/>
          <w:highlight w:val="none"/>
        </w:rPr>
        <w:t>[操作和维修手册]</w:t>
      </w:r>
      <w:bookmarkEnd w:id="912"/>
      <w:r>
        <w:rPr>
          <w:rFonts w:hint="eastAsia" w:ascii="Times New Roman" w:hAnsi="Times New Roman" w:cs="宋体"/>
          <w:color w:val="auto"/>
          <w:sz w:val="21"/>
          <w:highlight w:val="none"/>
        </w:rPr>
        <w:t>提交的文件，以及承包人被要求提供的指导进行竣工后试验。如承包人未在发包人通知的时间和地点参加竣工后试验，发包人可自行进行，该试验应被视为是承包人在场的情况下进行的，且承包人应视为认可试验数据。</w:t>
      </w:r>
      <w:bookmarkEnd w:id="911"/>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12.1.5 竣工后试验的结果应由双方进行整理和评价，并应适当考虑发包人对工程或其任何部分的使用，对工程或区段工程的性能、特性和试验结果产生的影响。</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13" w:name="_Ref531954785"/>
      <w:bookmarkStart w:id="914" w:name="_Ref531954781"/>
      <w:bookmarkStart w:id="915" w:name="_Toc54862279"/>
      <w:r>
        <w:rPr>
          <w:rFonts w:hint="eastAsia" w:ascii="Times New Roman" w:hAnsi="Times New Roman" w:eastAsia="宋体" w:cs="宋体"/>
          <w:b w:val="0"/>
          <w:bCs/>
          <w:color w:val="auto"/>
          <w:sz w:val="21"/>
          <w:szCs w:val="21"/>
          <w:highlight w:val="none"/>
        </w:rPr>
        <w:t>12.2 延误的试验</w:t>
      </w:r>
      <w:bookmarkEnd w:id="913"/>
      <w:bookmarkEnd w:id="914"/>
      <w:bookmarkEnd w:id="915"/>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12.2.1 如果竣工后试验因发包人原因被延误的，发包人应承担承包人由此增加的费用并支付承包人合理利润。</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12.2.2 如果因承包人以外的原因，导致竣工后试验未能在缺陷责任期或双方另行同意的其他期限内完成，则相关工程或区段工程应视为已通过该竣工后试验。</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16" w:name="_Toc54862280"/>
      <w:r>
        <w:rPr>
          <w:rFonts w:hint="eastAsia" w:ascii="Times New Roman" w:hAnsi="Times New Roman" w:eastAsia="宋体" w:cs="宋体"/>
          <w:b w:val="0"/>
          <w:bCs/>
          <w:color w:val="auto"/>
          <w:sz w:val="21"/>
          <w:szCs w:val="21"/>
          <w:highlight w:val="none"/>
        </w:rPr>
        <w:t>12.3 重新试验</w:t>
      </w:r>
      <w:bookmarkEnd w:id="91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如工程或区段工程未能通过竣工后试验，则承包人应根据第11.3款[缺陷调查]的规定修补缺陷，以达到合同约定的要求；并按照第11.4款[缺陷修复后的进一步试验]重新进行竣工后试验以及承担风险和费用。如未通过试验和重新试验是承包人原因造成的，则承包人还应承担发包人因此增加的费用。</w:t>
      </w:r>
    </w:p>
    <w:bookmarkEnd w:id="908"/>
    <w:p>
      <w:pPr>
        <w:pStyle w:val="54"/>
        <w:widowControl/>
        <w:numPr>
          <w:ilvl w:val="0"/>
          <w:numId w:val="0"/>
        </w:numPr>
        <w:rPr>
          <w:rFonts w:hint="eastAsia" w:ascii="Times New Roman" w:hAnsi="Times New Roman" w:eastAsia="宋体" w:cs="宋体"/>
          <w:b w:val="0"/>
          <w:bCs/>
          <w:color w:val="auto"/>
          <w:sz w:val="21"/>
          <w:szCs w:val="21"/>
          <w:highlight w:val="none"/>
        </w:rPr>
      </w:pPr>
      <w:bookmarkStart w:id="917" w:name="_Ref531954811"/>
      <w:bookmarkStart w:id="918" w:name="_Toc54862281"/>
      <w:bookmarkStart w:id="919" w:name="_Ref531954819"/>
      <w:r>
        <w:rPr>
          <w:rFonts w:hint="eastAsia" w:ascii="Times New Roman" w:hAnsi="Times New Roman" w:eastAsia="宋体" w:cs="宋体"/>
          <w:b w:val="0"/>
          <w:bCs/>
          <w:color w:val="auto"/>
          <w:sz w:val="21"/>
          <w:szCs w:val="21"/>
          <w:highlight w:val="none"/>
        </w:rPr>
        <w:t>12.4 未能通过竣工后试验</w:t>
      </w:r>
      <w:bookmarkEnd w:id="917"/>
      <w:bookmarkEnd w:id="918"/>
      <w:bookmarkEnd w:id="919"/>
    </w:p>
    <w:p>
      <w:pPr>
        <w:pStyle w:val="37"/>
        <w:numPr>
          <w:ilvl w:val="0"/>
          <w:numId w:val="0"/>
        </w:numPr>
        <w:rPr>
          <w:rFonts w:hint="eastAsia" w:ascii="Times New Roman" w:hAnsi="Times New Roman" w:cs="宋体"/>
          <w:color w:val="auto"/>
          <w:sz w:val="21"/>
          <w:highlight w:val="none"/>
        </w:rPr>
      </w:pPr>
      <w:bookmarkStart w:id="920" w:name="_Ref531954829"/>
      <w:r>
        <w:rPr>
          <w:rFonts w:hint="eastAsia" w:ascii="Times New Roman" w:hAnsi="Times New Roman" w:cs="宋体"/>
          <w:color w:val="auto"/>
          <w:sz w:val="21"/>
          <w:highlight w:val="none"/>
        </w:rPr>
        <w:t>12.4.1 工程或区段工程未能通过竣工后试验，且合同中就该项未通过的试验约定了性能损害赔偿违约金及其计算方法的，或者就该项未通过的试验另行达成补充协议的，承包人在缺陷责任期内向发包人支付相应违约金或按补充协议履行后，视为通过竣工后试验。</w:t>
      </w:r>
      <w:bookmarkEnd w:id="920"/>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12.4.2 对未能通过竣工后试验的工程或区段工程，承包人可向发包人建议，由承包人对该工程或区段工程进行调整或修补。发包人收到建议后，可向承包人发出通知，指示其在发包人方便的合理时间进入工程或区段工程进行调查、调整或修补，并为承包人的进入提供方便。承包人提出建议，但未在缺陷责任期内收到上述发包人通知的，相关工程或区段工程应视为已通过该竣工后试验。</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12.4.3 发包人无故拖延给予承包人进行调查、调整或修补所需的进入工程或区段工程的许可，并造成承包人费用增加的，应承担由此增加的费用并支付承包人合理利润。</w:t>
      </w:r>
    </w:p>
    <w:p>
      <w:pPr>
        <w:pStyle w:val="49"/>
        <w:numPr>
          <w:ilvl w:val="0"/>
          <w:numId w:val="0"/>
        </w:numPr>
        <w:rPr>
          <w:rFonts w:hint="eastAsia" w:ascii="Times New Roman" w:hAnsi="Times New Roman" w:eastAsia="宋体" w:cs="宋体"/>
          <w:bCs w:val="0"/>
          <w:color w:val="auto"/>
          <w:sz w:val="21"/>
          <w:szCs w:val="21"/>
          <w:highlight w:val="none"/>
        </w:rPr>
      </w:pPr>
      <w:bookmarkStart w:id="921" w:name="_Ref4415801"/>
      <w:bookmarkStart w:id="922" w:name="_Toc54862282"/>
      <w:r>
        <w:rPr>
          <w:rFonts w:hint="eastAsia" w:ascii="Times New Roman" w:hAnsi="Times New Roman" w:eastAsia="宋体" w:cs="宋体"/>
          <w:bCs w:val="0"/>
          <w:color w:val="auto"/>
          <w:sz w:val="21"/>
          <w:szCs w:val="21"/>
          <w:highlight w:val="none"/>
        </w:rPr>
        <w:t>第13条 变更与调整</w:t>
      </w:r>
      <w:bookmarkEnd w:id="921"/>
      <w:bookmarkEnd w:id="922"/>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23" w:name="_Ref532677084"/>
      <w:bookmarkStart w:id="924" w:name="_Ref532668569"/>
      <w:bookmarkStart w:id="925" w:name="_Ref532670395"/>
      <w:bookmarkStart w:id="926" w:name="_Ref532677087"/>
      <w:bookmarkStart w:id="927" w:name="_Ref532670393"/>
      <w:bookmarkStart w:id="928" w:name="_Toc54862283"/>
      <w:bookmarkStart w:id="929" w:name="_Ref532668573"/>
      <w:r>
        <w:rPr>
          <w:rFonts w:hint="eastAsia" w:ascii="Times New Roman" w:hAnsi="Times New Roman" w:eastAsia="宋体" w:cs="宋体"/>
          <w:b w:val="0"/>
          <w:bCs/>
          <w:color w:val="auto"/>
          <w:sz w:val="21"/>
          <w:szCs w:val="21"/>
          <w:highlight w:val="none"/>
        </w:rPr>
        <w:t>13.1 发包人变更权</w:t>
      </w:r>
      <w:bookmarkEnd w:id="923"/>
      <w:bookmarkEnd w:id="924"/>
      <w:bookmarkEnd w:id="925"/>
      <w:bookmarkEnd w:id="926"/>
      <w:bookmarkEnd w:id="927"/>
      <w:bookmarkEnd w:id="928"/>
      <w:bookmarkEnd w:id="929"/>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bookmarkStart w:id="930" w:name="_Ref4534979"/>
      <w:r>
        <w:rPr>
          <w:rFonts w:hint="eastAsia" w:ascii="Times New Roman" w:hAnsi="Times New Roman" w:cs="宋体"/>
          <w:color w:val="auto"/>
          <w:sz w:val="21"/>
          <w:highlight w:val="none"/>
        </w:rPr>
        <w:t>13.1.1 变更指示应经发包人同意，并由工程师发出经发包人签认的变更指示。除第11.3.6项[未能修复]约定的情况外，变更不应包括准备将任何工作删减并交由他人或发包人自行实施的情况。承包人收到变更指示后，方可实施变更。未经许可，承包人不得擅自对工程的任何部分进行变更。</w:t>
      </w:r>
      <w:bookmarkEnd w:id="930"/>
      <w:r>
        <w:rPr>
          <w:rFonts w:hint="eastAsia" w:ascii="Times New Roman" w:hAnsi="Times New Roman" w:cs="宋体"/>
          <w:color w:val="auto"/>
          <w:sz w:val="21"/>
          <w:highlight w:val="none"/>
        </w:rPr>
        <w:t>发包人与承包人对某项指示或批准是否构成变更产生争议的，按第20条[争议解决]处理。</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13.1.2 承包人应按照变更指示执行，除非承包人及时向工程师发出通知，说明该项变更指示将降低工程的安全性、稳定性或适用性；涉及的工作内容和范围不可预见；所涉设备难以采购；导致承包人无法执行第7.5款[现场劳动用工]、第7.6款[安全文明施工]、第7.7款[职业健康]或第7.8款[环境保护]内容；将造成工期延误；与第4.1款[承包人的一般义务]相冲突等无法执行的理由。工程师接到承包人的通知后，应作出经发包人签认的取消、确认或改变原指示的书面回复。</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31" w:name="_Ref531955590"/>
      <w:bookmarkStart w:id="932" w:name="_Ref531955587"/>
      <w:bookmarkStart w:id="933" w:name="_Toc54862284"/>
      <w:bookmarkStart w:id="934" w:name="_Ref4623207"/>
      <w:r>
        <w:rPr>
          <w:rFonts w:hint="eastAsia" w:ascii="Times New Roman" w:hAnsi="Times New Roman" w:eastAsia="宋体" w:cs="宋体"/>
          <w:b w:val="0"/>
          <w:bCs/>
          <w:color w:val="auto"/>
          <w:sz w:val="21"/>
          <w:szCs w:val="21"/>
          <w:highlight w:val="none"/>
        </w:rPr>
        <w:t>13.2 承</w:t>
      </w:r>
      <w:bookmarkEnd w:id="931"/>
      <w:bookmarkEnd w:id="932"/>
      <w:r>
        <w:rPr>
          <w:rFonts w:hint="eastAsia" w:ascii="Times New Roman" w:hAnsi="Times New Roman" w:eastAsia="宋体" w:cs="宋体"/>
          <w:b w:val="0"/>
          <w:bCs/>
          <w:color w:val="auto"/>
          <w:sz w:val="21"/>
          <w:szCs w:val="21"/>
          <w:highlight w:val="none"/>
        </w:rPr>
        <w:t>包人的合理化建议</w:t>
      </w:r>
      <w:bookmarkEnd w:id="933"/>
      <w:bookmarkEnd w:id="934"/>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13.2.1 承包人提出合理化建议的，应向工程师提交合理化建议说明，说明建议的内容、理由以及实施该建议对合同价格和工期的影响。</w:t>
      </w:r>
    </w:p>
    <w:p>
      <w:pPr>
        <w:pStyle w:val="37"/>
        <w:numPr>
          <w:ilvl w:val="0"/>
          <w:numId w:val="0"/>
        </w:numPr>
        <w:rPr>
          <w:rFonts w:hint="eastAsia" w:ascii="Times New Roman" w:hAnsi="Times New Roman" w:cs="宋体"/>
          <w:color w:val="auto"/>
          <w:sz w:val="21"/>
          <w:highlight w:val="none"/>
        </w:rPr>
      </w:pPr>
      <w:bookmarkStart w:id="935" w:name="_Ref4681686"/>
      <w:r>
        <w:rPr>
          <w:rFonts w:hint="eastAsia" w:ascii="Times New Roman" w:hAnsi="Times New Roman" w:cs="宋体"/>
          <w:color w:val="auto"/>
          <w:sz w:val="21"/>
          <w:highlight w:val="none"/>
        </w:rPr>
        <w:t>13.2.2 除专用合同条件另有约定外，</w:t>
      </w:r>
      <w:bookmarkStart w:id="936" w:name="_Hlk4682273"/>
      <w:r>
        <w:rPr>
          <w:rFonts w:hint="eastAsia" w:ascii="Times New Roman" w:hAnsi="Times New Roman" w:cs="宋体"/>
          <w:color w:val="auto"/>
          <w:sz w:val="21"/>
          <w:highlight w:val="none"/>
        </w:rPr>
        <w:t>工程师应在收到承包人提交的合理化建议后7天内审查完毕并报送发包人，发现其中存在技术上的缺陷，应通知承包人修改。发包人应在收到工程师报送的合理化建议后7天内审批完毕。合理化建议经发包人批准的，工程师应及时发出变更指示，由此引起的合同价格调整按照第13.3.3项[变更估价]约定执行。发包人不同意变更的，工程师应书面通知承包人</w:t>
      </w:r>
      <w:bookmarkEnd w:id="935"/>
      <w:r>
        <w:rPr>
          <w:rFonts w:hint="eastAsia" w:ascii="Times New Roman" w:hAnsi="Times New Roman" w:cs="宋体"/>
          <w:color w:val="auto"/>
          <w:sz w:val="21"/>
          <w:highlight w:val="none"/>
        </w:rPr>
        <w:t>。</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13.2.3 合理化建议降低了合同价格、缩短了工期或者提高了工程经济效益的，双方可以按照专用合同条件的约定进行利益分享。</w:t>
      </w:r>
    </w:p>
    <w:bookmarkEnd w:id="936"/>
    <w:p>
      <w:pPr>
        <w:pStyle w:val="54"/>
        <w:widowControl/>
        <w:numPr>
          <w:ilvl w:val="0"/>
          <w:numId w:val="0"/>
        </w:numPr>
        <w:rPr>
          <w:rFonts w:hint="eastAsia" w:ascii="Times New Roman" w:hAnsi="Times New Roman" w:eastAsia="宋体" w:cs="宋体"/>
          <w:b w:val="0"/>
          <w:bCs/>
          <w:color w:val="auto"/>
          <w:sz w:val="21"/>
          <w:szCs w:val="21"/>
          <w:highlight w:val="none"/>
        </w:rPr>
      </w:pPr>
      <w:bookmarkStart w:id="937" w:name="_Ref532671484"/>
      <w:bookmarkStart w:id="938" w:name="_Ref532673538"/>
      <w:bookmarkStart w:id="939" w:name="_Toc54862285"/>
      <w:bookmarkStart w:id="940" w:name="_Ref532669305"/>
      <w:bookmarkStart w:id="941" w:name="_Ref532671480"/>
      <w:bookmarkStart w:id="942" w:name="_Ref532673541"/>
      <w:bookmarkStart w:id="943" w:name="_Ref532669302"/>
      <w:r>
        <w:rPr>
          <w:rFonts w:hint="eastAsia" w:ascii="Times New Roman" w:hAnsi="Times New Roman" w:eastAsia="宋体" w:cs="宋体"/>
          <w:b w:val="0"/>
          <w:bCs/>
          <w:color w:val="auto"/>
          <w:sz w:val="21"/>
          <w:szCs w:val="21"/>
          <w:highlight w:val="none"/>
        </w:rPr>
        <w:t>13.3 变更程序</w:t>
      </w:r>
      <w:bookmarkEnd w:id="937"/>
      <w:bookmarkEnd w:id="938"/>
      <w:bookmarkEnd w:id="939"/>
      <w:bookmarkEnd w:id="940"/>
      <w:bookmarkEnd w:id="941"/>
      <w:bookmarkEnd w:id="942"/>
      <w:bookmarkEnd w:id="943"/>
    </w:p>
    <w:p>
      <w:pPr>
        <w:pStyle w:val="37"/>
        <w:numPr>
          <w:ilvl w:val="0"/>
          <w:numId w:val="0"/>
        </w:numPr>
        <w:rPr>
          <w:rFonts w:hint="eastAsia" w:ascii="Times New Roman" w:hAnsi="Times New Roman" w:cs="宋体"/>
          <w:color w:val="auto"/>
          <w:sz w:val="21"/>
          <w:highlight w:val="none"/>
        </w:rPr>
      </w:pPr>
      <w:bookmarkStart w:id="944" w:name="_Ref4534600"/>
      <w:r>
        <w:rPr>
          <w:rFonts w:hint="eastAsia" w:ascii="Times New Roman" w:hAnsi="Times New Roman" w:cs="宋体"/>
          <w:color w:val="auto"/>
          <w:sz w:val="21"/>
          <w:highlight w:val="none"/>
        </w:rPr>
        <w:t>13.3.1 发包人提出变更</w:t>
      </w:r>
      <w:bookmarkEnd w:id="944"/>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发包人提出变更的，应通过工程师向承包人发出书面形式的变更指示，变更指示应说明计划变更的工程范围和变更的内容。</w:t>
      </w:r>
    </w:p>
    <w:p>
      <w:pPr>
        <w:pStyle w:val="37"/>
        <w:numPr>
          <w:ilvl w:val="0"/>
          <w:numId w:val="0"/>
        </w:numPr>
        <w:rPr>
          <w:rFonts w:hint="eastAsia" w:ascii="Times New Roman" w:hAnsi="Times New Roman" w:cs="宋体"/>
          <w:color w:val="auto"/>
          <w:sz w:val="21"/>
          <w:highlight w:val="none"/>
        </w:rPr>
      </w:pPr>
      <w:bookmarkStart w:id="945" w:name="_Ref4534617"/>
      <w:r>
        <w:rPr>
          <w:rFonts w:hint="eastAsia" w:ascii="Times New Roman" w:hAnsi="Times New Roman" w:cs="宋体"/>
          <w:color w:val="auto"/>
          <w:sz w:val="21"/>
          <w:highlight w:val="none"/>
        </w:rPr>
        <w:t>13.3.2 变更执行</w:t>
      </w:r>
      <w:bookmarkEnd w:id="94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收到工程师下达的变更指示后，认为不能执行，应在合理期限内提出不能执行该变更指示的理由。承包人认为可以执行变更的，应当书面说明实施该变更指示需要采取的具体措施及对合同价格和工期的影响，且合同当事人应当按照第13.3.3项[变更估价]约定确定变更估价。</w:t>
      </w:r>
    </w:p>
    <w:p>
      <w:pPr>
        <w:pStyle w:val="37"/>
        <w:numPr>
          <w:ilvl w:val="0"/>
          <w:numId w:val="0"/>
        </w:numPr>
        <w:rPr>
          <w:rFonts w:hint="eastAsia" w:ascii="Times New Roman" w:hAnsi="Times New Roman" w:cs="宋体"/>
          <w:color w:val="auto"/>
          <w:sz w:val="21"/>
          <w:highlight w:val="none"/>
        </w:rPr>
      </w:pPr>
      <w:bookmarkStart w:id="946" w:name="_Ref3835481"/>
      <w:r>
        <w:rPr>
          <w:rFonts w:hint="eastAsia" w:ascii="Times New Roman" w:hAnsi="Times New Roman" w:cs="宋体"/>
          <w:color w:val="auto"/>
          <w:sz w:val="21"/>
          <w:highlight w:val="none"/>
        </w:rPr>
        <w:t>13.3.3 变更估价</w:t>
      </w:r>
      <w:bookmarkEnd w:id="946"/>
    </w:p>
    <w:p>
      <w:pPr>
        <w:pStyle w:val="45"/>
        <w:widowControl/>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13.3.3.1 变更估价原则</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除专用合同条件另有约定外，变更估价按照本款约定处理：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合同中未包含价格清单，合同价格应按照所执行的变更工程的成本加利润调整；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合同中包含价格清单，合同价格按照如下规则调整：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价格清单中有适用于变更工程项目的，应采用该项目的费率和价格；</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价格清单中没有适用但有类似于变更工程项目的，可在合理范围内参照类似项目的费率或价格；</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价格清单中没有适用也没有类似于变更工程项目的，该工程项目应按成本加利润原则调整适用新的费率或价格。</w:t>
      </w:r>
    </w:p>
    <w:p>
      <w:pPr>
        <w:pStyle w:val="45"/>
        <w:widowControl/>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13.3.3.2 变更估价程序</w:t>
      </w:r>
    </w:p>
    <w:p>
      <w:pPr>
        <w:spacing w:line="360" w:lineRule="auto"/>
        <w:ind w:firstLine="600"/>
        <w:rPr>
          <w:rFonts w:hint="eastAsia" w:ascii="Times New Roman" w:hAnsi="Times New Roman" w:cs="宋体"/>
          <w:color w:val="auto"/>
          <w:szCs w:val="21"/>
          <w:highlight w:val="none"/>
        </w:rPr>
      </w:pPr>
      <w:bookmarkStart w:id="947" w:name="_Ref531955605"/>
      <w:bookmarkStart w:id="948" w:name="_Ref531955607"/>
      <w:bookmarkStart w:id="949" w:name="_Toc296503150"/>
      <w:bookmarkStart w:id="950" w:name="_Toc337558844"/>
      <w:bookmarkStart w:id="951" w:name="_Toc296346651"/>
      <w:r>
        <w:rPr>
          <w:rFonts w:hint="eastAsia" w:ascii="Times New Roman" w:hAnsi="Times New Roman" w:cs="宋体"/>
          <w:color w:val="auto"/>
          <w:szCs w:val="21"/>
          <w:highlight w:val="none"/>
        </w:rPr>
        <w:t>承包人应在收到变更指示后14天内，向工程师提交变更估价申请。工程师应在收到承包人提交的变更估价申请后7天内审查完毕并报送发包人，工程师对变更估价申请有异议，通知承包人修改后重新提交。发包人应在承包人提交变更估价申请后14天内审批完毕。发包人逾期未完成审批或未提出异议的，视为认可承包人提交的变更估价申请。</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因变更引起的价格调整应计入最近一期的进度款中支付。</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13.3.4 变更引起的工期调整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因变更引起工期变化的，合同当事人均可要求调整合同工期，由合同当事人按照第3.6款[商定或确定]并参考工程所在地的工期定额标准确定增减工期天数。</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52" w:name="_Toc54862286"/>
      <w:bookmarkStart w:id="953" w:name="_Ref4431237"/>
      <w:r>
        <w:rPr>
          <w:rFonts w:hint="eastAsia" w:ascii="Times New Roman" w:hAnsi="Times New Roman" w:eastAsia="宋体" w:cs="宋体"/>
          <w:b w:val="0"/>
          <w:bCs/>
          <w:color w:val="auto"/>
          <w:sz w:val="21"/>
          <w:szCs w:val="21"/>
          <w:highlight w:val="none"/>
        </w:rPr>
        <w:t>13.4 暂估价</w:t>
      </w:r>
      <w:bookmarkEnd w:id="952"/>
      <w:bookmarkEnd w:id="953"/>
    </w:p>
    <w:p>
      <w:pPr>
        <w:pStyle w:val="37"/>
        <w:numPr>
          <w:ilvl w:val="0"/>
          <w:numId w:val="0"/>
        </w:numPr>
        <w:rPr>
          <w:rFonts w:hint="eastAsia" w:ascii="Times New Roman" w:hAnsi="Times New Roman" w:cs="宋体"/>
          <w:color w:val="auto"/>
          <w:sz w:val="21"/>
          <w:highlight w:val="none"/>
        </w:rPr>
      </w:pPr>
      <w:bookmarkStart w:id="954" w:name="_Ref4616729"/>
      <w:r>
        <w:rPr>
          <w:rFonts w:hint="eastAsia" w:ascii="Times New Roman" w:hAnsi="Times New Roman" w:cs="宋体"/>
          <w:color w:val="auto"/>
          <w:sz w:val="21"/>
          <w:highlight w:val="none"/>
        </w:rPr>
        <w:t>13.4.1 依法必须招标的暂估价项目</w:t>
      </w:r>
      <w:bookmarkEnd w:id="954"/>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对于依法必须招标的暂估价项目，专用合同条件约定由承包人作为招标人的，招标文件、评标方案、评标结果应报送发包人批准。与组织招标工作有关的费用应当被认为已经包括在承包人的签约合同价中。</w:t>
      </w:r>
    </w:p>
    <w:p>
      <w:pPr>
        <w:pStyle w:val="50"/>
        <w:numPr>
          <w:ilvl w:val="0"/>
          <w:numId w:val="0"/>
        </w:numPr>
        <w:spacing w:line="360" w:lineRule="auto"/>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专用合同条件约定由发包人和承包人共同作为招标人的，与组织招标工作有关的费用在专用合同条件中约定。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具体的招标程序以及发包人和承包人权利义务关系可在专用合同条件中约定。暂估价项目的中标金额与价格清单中所列暂估价的金额差以及相应的税金等其他费用应列入合同价格。</w:t>
      </w:r>
    </w:p>
    <w:p>
      <w:pPr>
        <w:pStyle w:val="37"/>
        <w:numPr>
          <w:ilvl w:val="0"/>
          <w:numId w:val="0"/>
        </w:numPr>
        <w:rPr>
          <w:rFonts w:hint="eastAsia" w:ascii="Times New Roman" w:hAnsi="Times New Roman" w:cs="宋体"/>
          <w:color w:val="auto"/>
          <w:sz w:val="21"/>
          <w:highlight w:val="none"/>
        </w:rPr>
      </w:pPr>
      <w:bookmarkStart w:id="955" w:name="_Ref4682312"/>
      <w:r>
        <w:rPr>
          <w:rFonts w:hint="eastAsia" w:ascii="Times New Roman" w:hAnsi="Times New Roman" w:cs="宋体"/>
          <w:color w:val="auto"/>
          <w:sz w:val="21"/>
          <w:highlight w:val="none"/>
        </w:rPr>
        <w:t>13.4.2 不属于依法必须招标的暂估价项目</w:t>
      </w:r>
      <w:bookmarkEnd w:id="95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对于不属于依法必须招标的暂估价项目，承包人具备实施暂估价项目的资格和条件的，经发包人和承包人协商一致后，可由承包人自行实施暂估价项目，具体的协商和估价程序以及发包人和承包人权利义务关系可在专用合同条件中约定。确定后的暂估价项目金额与价格清单中所列暂估价的金额差以及相应的税金等其他费用应列入合同价格。</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56" w:name="_Ref4431250"/>
      <w:bookmarkStart w:id="957" w:name="_Toc54862287"/>
      <w:r>
        <w:rPr>
          <w:rFonts w:hint="eastAsia" w:ascii="Times New Roman" w:hAnsi="Times New Roman" w:eastAsia="宋体" w:cs="宋体"/>
          <w:b w:val="0"/>
          <w:bCs/>
          <w:color w:val="auto"/>
          <w:sz w:val="21"/>
          <w:szCs w:val="21"/>
          <w:highlight w:val="none"/>
        </w:rPr>
        <w:t>13.5 暂列金额</w:t>
      </w:r>
      <w:bookmarkEnd w:id="956"/>
      <w:bookmarkEnd w:id="957"/>
      <w:r>
        <w:rPr>
          <w:rFonts w:hint="eastAsia" w:ascii="Times New Roman" w:hAnsi="Times New Roman" w:eastAsia="宋体" w:cs="宋体"/>
          <w:b w:val="0"/>
          <w:bCs/>
          <w:color w:val="auto"/>
          <w:sz w:val="21"/>
          <w:szCs w:val="21"/>
          <w:highlight w:val="none"/>
        </w:rPr>
        <w:t xml:space="preserve"> </w:t>
      </w:r>
      <w:bookmarkEnd w:id="947"/>
      <w:bookmarkEnd w:id="948"/>
    </w:p>
    <w:bookmarkEnd w:id="949"/>
    <w:bookmarkEnd w:id="950"/>
    <w:bookmarkEnd w:id="951"/>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每一笔暂列金额只能按照发包人的指示全部或部分使用，并对合同价格进行相应调整。付给承包人的总金额应仅包括发包人已指示的，与暂列金额相关的工作、货物或服务的应付款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对于每笔暂列金额，发包人可以指示用于下列支付：</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发包人根据第13.1款[发包人变更权]指示变更，决定对合同价格和付款计划表（如有）进行调整的、由承包人实施的工作（包括要提供的工程设备、材料和服务）；</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承包人购买的工程设备、材料、工作或服务，应支付包括承包人已付（或应付）的实际金额以及相应的管理费等费用和利润（管理费和利润应以实际金额为基数根据合同约定的费率（如有）或百分比计算）。</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根据上述(1)和（或）(2)指示支付暂列金额的，可以要求承包人提交其供应商提供的全部或部分要实施的工程或拟购买的工程设备、材料、工作或服务的项目报价单。发包人可以发出通知指示承包人接受其中的一个报价或指示撤销支付，发包人在收到项目报价单的7天内未作回应的，承包人应有权自行接受其中任何一个报价。</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每份包含暂列金额的文件还应包括用以证明暂列金额的所有有效的发票、凭证和账户或收据。</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58" w:name="_Toc296346653"/>
      <w:bookmarkStart w:id="959" w:name="_Toc296503152"/>
      <w:bookmarkStart w:id="960" w:name="_Toc337558845"/>
      <w:bookmarkStart w:id="961" w:name="_Toc54862288"/>
      <w:bookmarkStart w:id="962" w:name="_Ref4431438"/>
      <w:r>
        <w:rPr>
          <w:rFonts w:hint="eastAsia" w:ascii="Times New Roman" w:hAnsi="Times New Roman" w:eastAsia="宋体" w:cs="宋体"/>
          <w:b w:val="0"/>
          <w:bCs/>
          <w:color w:val="auto"/>
          <w:sz w:val="21"/>
          <w:szCs w:val="21"/>
          <w:highlight w:val="none"/>
        </w:rPr>
        <w:t>13.6 计日工</w:t>
      </w:r>
      <w:bookmarkEnd w:id="958"/>
      <w:bookmarkEnd w:id="959"/>
      <w:bookmarkEnd w:id="960"/>
      <w:bookmarkEnd w:id="961"/>
      <w:bookmarkEnd w:id="962"/>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13.6.1 需要采用计日工方式的，经发包人同意后，由工程师通知承包人以计日工计价方式实施相应的工作，其价款按列入价格清单或预算书中的计日工计价项目及其单价进行计算；价格清单或预算书中无相应的计日工单价的，按照合理的成本与利润构成的原则，由工程师按照第3.6款[商定或确定]确定计日工的单价。</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13.6.2 采用计日工计价的任何一项工作，承包人应在该项工作实施过程中，每天提交以下报表和有关凭证报送工程师审查：</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工作名称、内容和数量；</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投入该工作的所有人员的姓名、专业、工种、级别和耗用工时；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投入该工作的材料类别和数量；</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投入该工作的施工设备型号、台数和耗用台时；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其他有关资料和凭证。</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计日工由承包人汇总后，列入最近一期进度付款申请单，由工程师审查并经发包人批准后列入进度付款。</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63" w:name="_Toc54862289"/>
      <w:bookmarkStart w:id="964" w:name="_Ref4617318"/>
      <w:bookmarkStart w:id="965" w:name="_Ref4617331"/>
      <w:r>
        <w:rPr>
          <w:rFonts w:hint="eastAsia" w:ascii="Times New Roman" w:hAnsi="Times New Roman" w:eastAsia="宋体" w:cs="宋体"/>
          <w:b w:val="0"/>
          <w:bCs/>
          <w:color w:val="auto"/>
          <w:sz w:val="21"/>
          <w:szCs w:val="21"/>
          <w:highlight w:val="none"/>
        </w:rPr>
        <w:t>13.7 法律变化引起的调整</w:t>
      </w:r>
      <w:bookmarkEnd w:id="963"/>
      <w:bookmarkEnd w:id="964"/>
      <w:bookmarkEnd w:id="965"/>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13.7.1 基准日期后，法律变化导致承包人在合同履行过程中所需要的费用发生除第13.8款[市场价格波动引起的调整]约定以外的增加时，由发包人承担由此增加的费用；减少时，应从合同价格中予以扣减。基准日期后，因法律变化造成工期延误时，工期应予以顺延。</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13.7.2 因法律变化引起的合同价格和工期调整，合同当事人无法达成一致的，由工程师按第3.6款[商定或确定]的约定处理。</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13.7.3 因承包人原因造成工期延误，在工期延误期间出现法律变化的，由此增加的费用和（或）延误的工期由承包人承担。</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13.7.4 因法律变化而需要对工程的实施进行任何调整的，承包人应迅速通知发包人，或者发包人应迅速通知承包人，并附上详细的辅助资料。发包人接到通知后，应根据第13.3款[变更程序]发出变更指示。</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66" w:name="_Ref531955627"/>
      <w:bookmarkStart w:id="967" w:name="_Ref18977613"/>
      <w:bookmarkStart w:id="968" w:name="_Ref531955630"/>
      <w:bookmarkStart w:id="969" w:name="_Toc54862290"/>
      <w:r>
        <w:rPr>
          <w:rFonts w:hint="eastAsia" w:ascii="Times New Roman" w:hAnsi="Times New Roman" w:eastAsia="宋体" w:cs="宋体"/>
          <w:b w:val="0"/>
          <w:bCs/>
          <w:color w:val="auto"/>
          <w:sz w:val="21"/>
          <w:szCs w:val="21"/>
          <w:highlight w:val="none"/>
        </w:rPr>
        <w:t>13.8 市场价格波动引起的调整</w:t>
      </w:r>
      <w:bookmarkEnd w:id="966"/>
      <w:bookmarkEnd w:id="967"/>
      <w:bookmarkEnd w:id="968"/>
      <w:bookmarkEnd w:id="969"/>
    </w:p>
    <w:p>
      <w:pPr>
        <w:pStyle w:val="37"/>
        <w:numPr>
          <w:ilvl w:val="0"/>
          <w:numId w:val="0"/>
        </w:numPr>
        <w:rPr>
          <w:rFonts w:hint="eastAsia" w:ascii="Times New Roman" w:hAnsi="Times New Roman" w:cs="宋体"/>
          <w:color w:val="auto"/>
          <w:sz w:val="21"/>
          <w:highlight w:val="none"/>
        </w:rPr>
      </w:pPr>
      <w:bookmarkStart w:id="970" w:name="_Ref4709841"/>
      <w:r>
        <w:rPr>
          <w:rFonts w:hint="eastAsia" w:ascii="Times New Roman" w:hAnsi="Times New Roman" w:cs="宋体"/>
          <w:color w:val="auto"/>
          <w:sz w:val="21"/>
          <w:highlight w:val="none"/>
        </w:rPr>
        <w:t>13.8.1 主要工程材料、设备、人工价格与招标时基期价相比，波动幅度超过合同约定幅度的，双方按照合同约定的价格调整方式调整。</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13.8.2 发包人与承包人在专用合同条件中约定采用《价格指数权重表》的，适用本项约定。</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13.8.2.1 双方当事人可以将部分主要工程材料、工程设备、人工价格及其他双方认为应当根据市场价格调整的费用列入附件6[价格指数权重表]，并根据以下公式计算差额并调整合同价格：</w:t>
      </w:r>
    </w:p>
    <w:bookmarkEnd w:id="970"/>
    <w:p>
      <w:pPr>
        <w:spacing w:line="360" w:lineRule="auto"/>
        <w:ind w:firstLine="600"/>
        <w:rPr>
          <w:rFonts w:hint="eastAsia" w:ascii="Times New Roman" w:hAnsi="Times New Roman" w:cs="宋体"/>
          <w:color w:val="auto"/>
          <w:szCs w:val="21"/>
          <w:highlight w:val="none"/>
        </w:rPr>
      </w:pPr>
      <w:bookmarkStart w:id="971" w:name="_Ref4616996"/>
      <w:r>
        <w:rPr>
          <w:rFonts w:hint="eastAsia" w:ascii="Times New Roman" w:hAnsi="Times New Roman" w:cs="宋体"/>
          <w:color w:val="auto"/>
          <w:szCs w:val="21"/>
          <w:highlight w:val="none"/>
        </w:rPr>
        <w:t>（1） 价格调整公式</w:t>
      </w:r>
      <w:bookmarkEnd w:id="971"/>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drawing>
          <wp:inline distT="0" distB="0" distL="114300" distR="114300">
            <wp:extent cx="4777740" cy="678815"/>
            <wp:effectExtent l="0" t="0" r="7620" b="6985"/>
            <wp:docPr id="3" name="图片 2"/>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true"/>
                    </pic:cNvPicPr>
                  </pic:nvPicPr>
                  <pic:blipFill>
                    <a:blip r:embed="rId17"/>
                    <a:stretch>
                      <a:fillRect/>
                    </a:stretch>
                  </pic:blipFill>
                  <pic:spPr>
                    <a:xfrm>
                      <a:off x="0" y="0"/>
                      <a:ext cx="4777740" cy="678815"/>
                    </a:xfrm>
                    <a:prstGeom prst="rect">
                      <a:avLst/>
                    </a:prstGeom>
                    <a:noFill/>
                    <a:ln>
                      <a:noFill/>
                    </a:ln>
                  </pic:spPr>
                </pic:pic>
              </a:graphicData>
            </a:graphic>
          </wp:inline>
        </w:drawing>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公式中：△P---需调整的价格差额；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P</w:t>
      </w:r>
      <w:r>
        <w:rPr>
          <w:rFonts w:hint="eastAsia" w:ascii="Times New Roman" w:hAnsi="Times New Roman" w:cs="宋体"/>
          <w:color w:val="auto"/>
          <w:szCs w:val="21"/>
          <w:highlight w:val="none"/>
          <w:vertAlign w:val="subscript"/>
        </w:rPr>
        <w:t>O</w:t>
      </w:r>
      <w:r>
        <w:rPr>
          <w:rFonts w:hint="eastAsia" w:ascii="Times New Roman" w:hAnsi="Times New Roman" w:cs="宋体"/>
          <w:color w:val="auto"/>
          <w:szCs w:val="21"/>
          <w:highlight w:val="none"/>
        </w:rPr>
        <w:t>---付款证书中承包人应得到的已完成工作量的金额。此项金额应不包括价格调整、不计质量保证金的预留和支付、预付款的支付和扣回。第13条[变更与调整]约定的变更及其他金额已按当期价格计价的，也不计在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A ---定值权重（即不调部分的权重）； </w:t>
      </w:r>
    </w:p>
    <w:p>
      <w:pPr>
        <w:spacing w:line="360" w:lineRule="auto"/>
        <w:ind w:firstLine="600"/>
        <w:rPr>
          <w:rFonts w:hint="eastAsia" w:ascii="Times New Roman" w:hAnsi="Times New Roman" w:cs="宋体"/>
          <w:color w:val="auto"/>
          <w:szCs w:val="21"/>
          <w:highlight w:val="none"/>
        </w:rPr>
      </w:pPr>
      <w:bookmarkStart w:id="972" w:name="_Hlk24103184"/>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1</w:t>
      </w:r>
      <w:bookmarkEnd w:id="972"/>
      <w:r>
        <w:rPr>
          <w:rFonts w:hint="eastAsia" w:ascii="Times New Roman" w:hAnsi="Times New Roman" w:cs="宋体"/>
          <w:color w:val="auto"/>
          <w:szCs w:val="21"/>
          <w:highlight w:val="none"/>
        </w:rPr>
        <w:t>；</w:t>
      </w:r>
      <w:bookmarkStart w:id="973" w:name="_Hlk24103205"/>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2</w:t>
      </w:r>
      <w:bookmarkEnd w:id="973"/>
      <w:r>
        <w:rPr>
          <w:rFonts w:hint="eastAsia" w:ascii="Times New Roman" w:hAnsi="Times New Roman" w:cs="宋体"/>
          <w:color w:val="auto"/>
          <w:szCs w:val="21"/>
          <w:highlight w:val="none"/>
        </w:rPr>
        <w:t>；</w:t>
      </w:r>
      <w:bookmarkStart w:id="974" w:name="_Hlk24103220"/>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3</w:t>
      </w:r>
      <w:bookmarkEnd w:id="974"/>
      <w:r>
        <w:rPr>
          <w:rFonts w:hint="eastAsia" w:ascii="Times New Roman" w:hAnsi="Times New Roman" w:cs="宋体"/>
          <w:color w:val="auto"/>
          <w:szCs w:val="21"/>
          <w:highlight w:val="none"/>
        </w:rPr>
        <w:t>；……</w:t>
      </w:r>
      <w:bookmarkStart w:id="975" w:name="_Hlk24103245"/>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n</w:t>
      </w:r>
      <w:bookmarkEnd w:id="975"/>
      <w:r>
        <w:rPr>
          <w:rFonts w:hint="eastAsia" w:ascii="Times New Roman" w:hAnsi="Times New Roman" w:cs="宋体"/>
          <w:color w:val="auto"/>
          <w:szCs w:val="21"/>
          <w:highlight w:val="none"/>
        </w:rPr>
        <w:t>---各可调因子的变值权重（即可调部分的权重）为各可调因子在投标函投标总报价中所占的比例，且A+B</w:t>
      </w:r>
      <w:r>
        <w:rPr>
          <w:rFonts w:hint="eastAsia" w:ascii="Times New Roman" w:hAnsi="Times New Roman" w:cs="宋体"/>
          <w:color w:val="auto"/>
          <w:szCs w:val="21"/>
          <w:highlight w:val="none"/>
          <w:vertAlign w:val="subscript"/>
        </w:rPr>
        <w:t>1</w:t>
      </w:r>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2</w:t>
      </w:r>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3</w:t>
      </w:r>
      <w:r>
        <w:rPr>
          <w:rFonts w:hint="eastAsia" w:ascii="Times New Roman" w:hAnsi="Times New Roman" w:cs="宋体"/>
          <w:color w:val="auto"/>
          <w:szCs w:val="21"/>
          <w:highlight w:val="none"/>
        </w:rPr>
        <w:t>+……+B</w:t>
      </w:r>
      <w:r>
        <w:rPr>
          <w:rFonts w:hint="eastAsia" w:ascii="Times New Roman" w:hAnsi="Times New Roman" w:cs="宋体"/>
          <w:color w:val="auto"/>
          <w:szCs w:val="21"/>
          <w:highlight w:val="none"/>
          <w:vertAlign w:val="subscript"/>
        </w:rPr>
        <w:t>n</w:t>
      </w:r>
      <w:r>
        <w:rPr>
          <w:rFonts w:hint="eastAsia" w:ascii="Times New Roman" w:hAnsi="Times New Roman" w:cs="宋体"/>
          <w:color w:val="auto"/>
          <w:szCs w:val="21"/>
          <w:highlight w:val="none"/>
        </w:rPr>
        <w:t>=1；</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t1</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t2</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t3</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tn</w:t>
      </w:r>
      <w:r>
        <w:rPr>
          <w:rFonts w:hint="eastAsia" w:ascii="Times New Roman" w:hAnsi="Times New Roman" w:cs="宋体"/>
          <w:color w:val="auto"/>
          <w:szCs w:val="21"/>
          <w:highlight w:val="none"/>
        </w:rPr>
        <w:t>---各可调因子的当期价格指数，指付款证书相关周期最后一天的前42天的各可调因子的价格指数；</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01</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02</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03</w:t>
      </w:r>
      <w:r>
        <w:rPr>
          <w:rFonts w:hint="eastAsia" w:ascii="Times New Roman" w:hAnsi="Times New Roman" w:cs="宋体"/>
          <w:color w:val="auto"/>
          <w:szCs w:val="21"/>
          <w:highlight w:val="none"/>
        </w:rPr>
        <w:t>；……F</w:t>
      </w:r>
      <w:r>
        <w:rPr>
          <w:rFonts w:hint="eastAsia" w:ascii="Times New Roman" w:hAnsi="Times New Roman" w:cs="宋体"/>
          <w:color w:val="auto"/>
          <w:szCs w:val="21"/>
          <w:highlight w:val="none"/>
          <w:vertAlign w:val="subscript"/>
        </w:rPr>
        <w:t>0n</w:t>
      </w:r>
      <w:r>
        <w:rPr>
          <w:rFonts w:hint="eastAsia" w:ascii="Times New Roman" w:hAnsi="Times New Roman" w:cs="宋体"/>
          <w:color w:val="auto"/>
          <w:szCs w:val="21"/>
          <w:highlight w:val="none"/>
        </w:rPr>
        <w:t>---各可调因子的基本价格指数，指基准日期的各可调因子的价格指数。</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以上价格调整公式中的各可调因子、定值和变值权重，以及基本价格指数及其来源在投标函附录价格指数和权重表中约定。价格指数应首先采用投标函附录中载明的有关部门提供的价格指数，缺乏上述价格指数时，可采用有关部门提供的价格代替。</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暂时确定调整差额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在计算调整差额时得不到当期价格指数的，可暂用上一次价格指数计算，并在以后的付款中再按实际价格指数进行调整。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权重的调整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按第13.1款[发包人变更权]约定的变更导致原定合同中的权重不合理的，由工程师与承包人和发包人协商后进行调整。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承包人原因工期延误后的价格调整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因承包人原因未在约定的工期内竣工的，则对原约定竣工日期后继续施工的工程，在使用本款第(1)项价格调整公式时，应采用原约定竣工日期与实际竣工日期的两个价格指数中较低的一个作为当期价格指数。</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发包人引起的工期延误后的价格调整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由于发包人原因未在约定的工期内竣工的，则对原约定竣工日期后继续施工的工程，在使用本款第（1）目价格调整公式时，应采用原约定竣工日期与实际竣工日期的两个价格指数中较高的一个作为当期价格指数。</w:t>
      </w:r>
    </w:p>
    <w:p>
      <w:pPr>
        <w:pStyle w:val="45"/>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13.8.2.2 未列入</w:t>
      </w:r>
      <w:bookmarkStart w:id="976" w:name="_Hlk24494865"/>
      <w:r>
        <w:rPr>
          <w:rFonts w:hint="eastAsia" w:ascii="Times New Roman" w:hAnsi="Times New Roman" w:cs="宋体"/>
          <w:color w:val="auto"/>
          <w:sz w:val="21"/>
          <w:highlight w:val="none"/>
        </w:rPr>
        <w:t>《价格指数权重表》</w:t>
      </w:r>
      <w:bookmarkEnd w:id="976"/>
      <w:r>
        <w:rPr>
          <w:rFonts w:hint="eastAsia" w:ascii="Times New Roman" w:hAnsi="Times New Roman" w:cs="宋体"/>
          <w:color w:val="auto"/>
          <w:sz w:val="21"/>
          <w:highlight w:val="none"/>
        </w:rPr>
        <w:t>的费用不因市场变化而调整。</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13.8.3 双方约定采用其他方式调整合同价款的，以专用合同条件约定为准。</w:t>
      </w:r>
    </w:p>
    <w:p>
      <w:pPr>
        <w:pStyle w:val="49"/>
        <w:numPr>
          <w:ilvl w:val="0"/>
          <w:numId w:val="0"/>
        </w:numPr>
        <w:rPr>
          <w:rFonts w:hint="eastAsia" w:ascii="Times New Roman" w:hAnsi="Times New Roman" w:eastAsia="宋体" w:cs="宋体"/>
          <w:bCs w:val="0"/>
          <w:color w:val="auto"/>
          <w:sz w:val="21"/>
          <w:szCs w:val="21"/>
          <w:highlight w:val="none"/>
        </w:rPr>
      </w:pPr>
      <w:bookmarkStart w:id="977" w:name="_Ref531955880"/>
      <w:bookmarkStart w:id="978" w:name="_Toc54862291"/>
      <w:bookmarkStart w:id="979" w:name="_Ref531955885"/>
      <w:r>
        <w:rPr>
          <w:rFonts w:hint="eastAsia" w:ascii="Times New Roman" w:hAnsi="Times New Roman" w:eastAsia="宋体" w:cs="宋体"/>
          <w:bCs w:val="0"/>
          <w:color w:val="auto"/>
          <w:sz w:val="21"/>
          <w:szCs w:val="21"/>
          <w:highlight w:val="none"/>
        </w:rPr>
        <w:t>第14条 合同价格与支付</w:t>
      </w:r>
      <w:bookmarkEnd w:id="977"/>
      <w:bookmarkEnd w:id="978"/>
      <w:bookmarkEnd w:id="979"/>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80" w:name="_Ref4431521"/>
      <w:bookmarkStart w:id="981" w:name="_Ref4431531"/>
      <w:bookmarkStart w:id="982" w:name="_Toc54862292"/>
      <w:r>
        <w:rPr>
          <w:rFonts w:hint="eastAsia" w:ascii="Times New Roman" w:hAnsi="Times New Roman" w:eastAsia="宋体" w:cs="宋体"/>
          <w:b w:val="0"/>
          <w:bCs/>
          <w:color w:val="auto"/>
          <w:sz w:val="21"/>
          <w:szCs w:val="21"/>
          <w:highlight w:val="none"/>
        </w:rPr>
        <w:t>14.1 合同价格形式</w:t>
      </w:r>
      <w:bookmarkEnd w:id="980"/>
      <w:bookmarkEnd w:id="981"/>
      <w:bookmarkEnd w:id="982"/>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14.1.1 除专用合同条件中另有约定外，本合同为总价合同，除根据第13条[变更与调整]，以及合同中其它相关增减金额的约定进行调整外，合同价格不做调整。</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14.1.2 除专用合同条件另有约定外：</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工程款的支付应以合同协议书约定的签约合同价格为基础，按照合同约定进行调整；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承包人应支付根据法律规定或合同约定应由其支付的各项税费，除第13.7款[法律变化引起的调整]约定外，合同价格不应因任何这些税费进行调整；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价格清单列出的任何数量仅为估算的工作量，不得将其视为要求承包人实施的工程的实际或准确的工作量。在价格清单中列出的任何工作量和价格数据应仅限用于变更和支付的参考资料，而不能用于其他目的。</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14.1.3 合同约定工程的某部分按照实际完成的工程量进行支付的，应按照专用合同条件的约定进行计量和估价，并据此调整合同价格。</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83" w:name="_Toc54862293"/>
      <w:bookmarkStart w:id="984" w:name="_Ref531956881"/>
      <w:bookmarkStart w:id="985" w:name="_Ref531956884"/>
      <w:r>
        <w:rPr>
          <w:rFonts w:hint="eastAsia" w:ascii="Times New Roman" w:hAnsi="Times New Roman" w:eastAsia="宋体" w:cs="宋体"/>
          <w:b w:val="0"/>
          <w:bCs/>
          <w:color w:val="auto"/>
          <w:sz w:val="21"/>
          <w:szCs w:val="21"/>
          <w:highlight w:val="none"/>
        </w:rPr>
        <w:t>14.2 预付款</w:t>
      </w:r>
      <w:bookmarkEnd w:id="983"/>
      <w:bookmarkEnd w:id="984"/>
      <w:bookmarkEnd w:id="985"/>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14.2.1 预付款支付</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预付款的额度和支付按照专用合同条件约定执行。预付款应当专用于承包人为合同工程的设计和工程实施购置材料、工程设备、施工设备、修建临时设施以及组织施工队伍进场等合同工作。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除专用合同条件另有约定外，预付款在进度付款中同比例扣回。在颁发工程接收证书前，提前解除合同的，尚未扣完的预付款应与合同价款一并结算。</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发包人逾期支付预付款超过7天的，承包人有权向发包人发出要求预付的催告通知，发包人收到通知后7天内仍未支付的，承包人有权暂停施工，并按第15.1.1项[发包人违约的情形]执行。</w:t>
      </w:r>
    </w:p>
    <w:p>
      <w:pPr>
        <w:pStyle w:val="37"/>
        <w:numPr>
          <w:ilvl w:val="0"/>
          <w:numId w:val="0"/>
        </w:numPr>
        <w:rPr>
          <w:rFonts w:hint="eastAsia" w:ascii="Times New Roman" w:hAnsi="Times New Roman" w:cs="宋体"/>
          <w:color w:val="auto"/>
          <w:sz w:val="21"/>
          <w:highlight w:val="none"/>
        </w:rPr>
      </w:pPr>
      <w:bookmarkStart w:id="986" w:name="_Ref531956907"/>
      <w:bookmarkStart w:id="987" w:name="_Ref4797624"/>
      <w:bookmarkStart w:id="988" w:name="_Hlk54429963"/>
      <w:r>
        <w:rPr>
          <w:rFonts w:hint="eastAsia" w:ascii="Times New Roman" w:hAnsi="Times New Roman" w:cs="宋体"/>
          <w:color w:val="auto"/>
          <w:sz w:val="21"/>
          <w:highlight w:val="none"/>
        </w:rPr>
        <w:t>14.2.2 预付款</w:t>
      </w:r>
      <w:bookmarkEnd w:id="986"/>
      <w:r>
        <w:rPr>
          <w:rFonts w:hint="eastAsia" w:ascii="Times New Roman" w:hAnsi="Times New Roman" w:cs="宋体"/>
          <w:color w:val="auto"/>
          <w:sz w:val="21"/>
          <w:highlight w:val="none"/>
        </w:rPr>
        <w:t>担保</w:t>
      </w:r>
      <w:bookmarkEnd w:id="987"/>
    </w:p>
    <w:bookmarkEnd w:id="988"/>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指示承包人提供预付款担保的，承包人应在发包人支付预付款7天前提供预付款担保，专用合同条件另有约定除外。预付款担保可采用银行保函、担保公司担保等形式，具体由合同当事人在专用合同条件中约定。在预付款完全扣回之前，承包人应保证预付款担保持续有效。</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发包人在工程款中逐期扣回预付款后，预付款担保额度应相应减少，但剩余的预付款担保金额不得低于未被扣回的预付款金额。</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989" w:name="_Toc4784194"/>
      <w:bookmarkEnd w:id="989"/>
      <w:bookmarkStart w:id="990" w:name="_Toc4784195"/>
      <w:bookmarkEnd w:id="990"/>
      <w:bookmarkStart w:id="991" w:name="_Toc4784193"/>
      <w:bookmarkEnd w:id="991"/>
      <w:bookmarkStart w:id="992" w:name="_Ref4623398"/>
      <w:bookmarkStart w:id="993" w:name="_Toc54862294"/>
      <w:bookmarkStart w:id="994" w:name="_Ref531956967"/>
      <w:bookmarkStart w:id="995" w:name="_Ref531956963"/>
      <w:r>
        <w:rPr>
          <w:rFonts w:hint="eastAsia" w:ascii="Times New Roman" w:hAnsi="Times New Roman" w:eastAsia="宋体" w:cs="宋体"/>
          <w:b w:val="0"/>
          <w:bCs/>
          <w:color w:val="auto"/>
          <w:sz w:val="21"/>
          <w:szCs w:val="21"/>
          <w:highlight w:val="none"/>
        </w:rPr>
        <w:t>14.3 工程进度款</w:t>
      </w:r>
      <w:bookmarkEnd w:id="992"/>
      <w:bookmarkEnd w:id="993"/>
      <w:bookmarkEnd w:id="994"/>
      <w:bookmarkEnd w:id="995"/>
    </w:p>
    <w:p>
      <w:pPr>
        <w:pStyle w:val="37"/>
        <w:numPr>
          <w:ilvl w:val="0"/>
          <w:numId w:val="0"/>
        </w:numPr>
        <w:rPr>
          <w:rFonts w:hint="eastAsia" w:ascii="Times New Roman" w:hAnsi="Times New Roman" w:cs="宋体"/>
          <w:color w:val="auto"/>
          <w:sz w:val="21"/>
          <w:highlight w:val="none"/>
        </w:rPr>
      </w:pPr>
      <w:bookmarkStart w:id="996" w:name="_Ref532679934"/>
      <w:bookmarkStart w:id="997" w:name="_Ref531956987"/>
      <w:r>
        <w:rPr>
          <w:rFonts w:hint="eastAsia" w:ascii="Times New Roman" w:hAnsi="Times New Roman" w:cs="宋体"/>
          <w:color w:val="auto"/>
          <w:sz w:val="21"/>
          <w:highlight w:val="none"/>
        </w:rPr>
        <w:t>14.3.1 工程进度付款申请</w:t>
      </w:r>
      <w:bookmarkEnd w:id="996"/>
      <w:bookmarkEnd w:id="99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（1）人工费的申请</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人工费应按月支付，工程师应在收到承包人人工费付款申请单以及相关资料后7天内完成审查并报送发包人，发包人应在收到后7天内完成审批并向承包人签发人工费支付证书，发包人应在人工费支付证书签发后7天内完成支付。已支付的人工费部分，发包人支付进度款时予以相应扣除。</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（2）除专用合同条件另有约定外，承包人应在每月月末向工程师提交进度付款申请单，该进度付款申请单应包括下列内容：</w:t>
      </w:r>
    </w:p>
    <w:p>
      <w:pPr>
        <w:spacing w:line="360" w:lineRule="auto"/>
        <w:ind w:firstLine="600"/>
        <w:rPr>
          <w:rFonts w:hint="eastAsia" w:ascii="Times New Roman" w:hAnsi="Times New Roman" w:cs="宋体"/>
          <w:color w:val="auto"/>
          <w:szCs w:val="21"/>
          <w:highlight w:val="none"/>
        </w:rPr>
      </w:pPr>
      <w:bookmarkStart w:id="998" w:name="_Ref24496054"/>
      <w:r>
        <w:rPr>
          <w:rFonts w:hint="eastAsia" w:ascii="Times New Roman" w:hAnsi="Times New Roman" w:cs="宋体"/>
          <w:color w:val="auto"/>
          <w:szCs w:val="21"/>
          <w:highlight w:val="none"/>
        </w:rPr>
        <w:t>1） 截至本次付款周期内已完成工作对应的金额；</w:t>
      </w:r>
      <w:bookmarkEnd w:id="998"/>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扣除依据本款第（1）目约定中已扣除的人工费金额；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根据第13条[变更与调整]应增加和扣减的变更金额；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根据第14.2款[预付款]约定应支付的预付款和扣减的返还预付款；</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根据第14.6.2项[质量保证金的预留]约定应预留的质量保证金金额；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根据第19条[索赔]应增加和扣减的索赔金额；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对已签发的进度款支付证书中出现错误的修正，应在本次进度付款中支付或扣除的金额；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根据合同约定应增加和扣减的其他金额。</w:t>
      </w:r>
    </w:p>
    <w:p>
      <w:pPr>
        <w:pStyle w:val="37"/>
        <w:numPr>
          <w:ilvl w:val="0"/>
          <w:numId w:val="0"/>
        </w:numPr>
        <w:rPr>
          <w:rFonts w:hint="eastAsia" w:ascii="Times New Roman" w:hAnsi="Times New Roman" w:cs="宋体"/>
          <w:color w:val="auto"/>
          <w:sz w:val="21"/>
          <w:highlight w:val="none"/>
        </w:rPr>
      </w:pPr>
      <w:bookmarkStart w:id="999" w:name="_Ref531957608"/>
      <w:r>
        <w:rPr>
          <w:rFonts w:hint="eastAsia" w:ascii="Times New Roman" w:hAnsi="Times New Roman" w:cs="宋体"/>
          <w:color w:val="auto"/>
          <w:sz w:val="21"/>
          <w:highlight w:val="none"/>
        </w:rPr>
        <w:t>14.3.2 进度付款审核和支付</w:t>
      </w:r>
      <w:bookmarkEnd w:id="999"/>
    </w:p>
    <w:p>
      <w:pPr>
        <w:pStyle w:val="50"/>
        <w:numPr>
          <w:ilvl w:val="0"/>
          <w:numId w:val="0"/>
        </w:numPr>
        <w:spacing w:line="360" w:lineRule="auto"/>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工程师应在收到承包人进度付款申请单以及相关资料后7天内完成审查并报送发包人，发包人应在收到后7天内完成审批并向承包人签发进度款支付证书。发包人逾期（包括因工程师原因延误报送的时间）未完成审批且未提出异议的，视为已签发进度款支付证书。</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对承包人的进度付款申请单有异议的，有权要求承包人修正和提供补充资料，承包人应提交修正后的进度付款申请单。工程师应在收到承包人修正后的进度付款申请单及相关资料后7天内完成审查并报送发包人，发包人应在收到工程师报送的进度付款申请单及相关资料后7天内，向承包人签发无异议部分的进度款支付证书。存在争议的部分，按照第20条[争议解决]的约定处理。</w:t>
      </w:r>
    </w:p>
    <w:p>
      <w:pPr>
        <w:pStyle w:val="50"/>
        <w:numPr>
          <w:ilvl w:val="0"/>
          <w:numId w:val="0"/>
        </w:numPr>
        <w:spacing w:line="360" w:lineRule="auto"/>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除专用合同条件另有约定外，发包人应在进度款支付证书签发后14天内完成支付，发包人逾期支付进度款的，按照贷款市场报价利率（LPR）支付利息；逾期支付超过56天的，按照贷款市场报价利率（LPR）的两倍支付利息。 </w:t>
      </w:r>
    </w:p>
    <w:p>
      <w:pPr>
        <w:pStyle w:val="50"/>
        <w:numPr>
          <w:ilvl w:val="0"/>
          <w:numId w:val="0"/>
        </w:numPr>
        <w:spacing w:line="360" w:lineRule="auto"/>
        <w:ind w:firstLine="420" w:firstLineChars="2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发包人签发进度款支付证书，不表明发包人已同意、批准或接受了承包人完成的相应部分的工作。</w:t>
      </w:r>
    </w:p>
    <w:p>
      <w:pPr>
        <w:pStyle w:val="37"/>
        <w:numPr>
          <w:ilvl w:val="0"/>
          <w:numId w:val="0"/>
        </w:numPr>
        <w:rPr>
          <w:rFonts w:hint="eastAsia" w:ascii="Times New Roman" w:hAnsi="Times New Roman" w:cs="宋体"/>
          <w:color w:val="auto"/>
          <w:sz w:val="21"/>
          <w:highlight w:val="none"/>
        </w:rPr>
      </w:pPr>
      <w:bookmarkStart w:id="1000" w:name="_Ref531957023"/>
      <w:r>
        <w:rPr>
          <w:rFonts w:hint="eastAsia" w:ascii="Times New Roman" w:hAnsi="Times New Roman" w:cs="宋体"/>
          <w:color w:val="auto"/>
          <w:sz w:val="21"/>
          <w:highlight w:val="none"/>
        </w:rPr>
        <w:t>14.3.3 进度付款的修正</w:t>
      </w:r>
      <w:bookmarkEnd w:id="100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在对已签发的进度款支付证书进行阶段汇总和复核中发现错误、遗漏或重复的，发包人和承包人均有权提出修正申请。经发包人和承包人同意的修正，应在下期进度付款中支付或扣除。</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01" w:name="_Ref4538578"/>
      <w:bookmarkStart w:id="1002" w:name="_Toc54862295"/>
      <w:bookmarkStart w:id="1003" w:name="_Ref536647814"/>
      <w:bookmarkStart w:id="1004" w:name="_Ref536647822"/>
      <w:r>
        <w:rPr>
          <w:rFonts w:hint="eastAsia" w:ascii="Times New Roman" w:hAnsi="Times New Roman" w:eastAsia="宋体" w:cs="宋体"/>
          <w:b w:val="0"/>
          <w:bCs/>
          <w:color w:val="auto"/>
          <w:sz w:val="21"/>
          <w:szCs w:val="21"/>
          <w:highlight w:val="none"/>
        </w:rPr>
        <w:t>14.4 付款计划表</w:t>
      </w:r>
      <w:bookmarkEnd w:id="1001"/>
      <w:bookmarkEnd w:id="1002"/>
    </w:p>
    <w:p>
      <w:pPr>
        <w:pStyle w:val="37"/>
        <w:numPr>
          <w:ilvl w:val="0"/>
          <w:numId w:val="0"/>
        </w:numPr>
        <w:rPr>
          <w:rFonts w:hint="eastAsia" w:ascii="Times New Roman" w:hAnsi="Times New Roman" w:cs="宋体"/>
          <w:color w:val="auto"/>
          <w:sz w:val="21"/>
          <w:highlight w:val="none"/>
        </w:rPr>
      </w:pPr>
      <w:bookmarkStart w:id="1005" w:name="_Ref4570974"/>
      <w:r>
        <w:rPr>
          <w:rFonts w:hint="eastAsia" w:ascii="Times New Roman" w:hAnsi="Times New Roman" w:cs="宋体"/>
          <w:color w:val="auto"/>
          <w:sz w:val="21"/>
          <w:highlight w:val="none"/>
        </w:rPr>
        <w:t>14.4.1 付款计划表的编制要求</w:t>
      </w:r>
      <w:bookmarkEnd w:id="100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除专用合同条件另有约定外，付款计划表按如下要求编制：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付款计划表中所列的每期付款金额，应为第14.3.1项[工程进度付款申请]每期进度款的估算金额；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实际进度与项目进度计划不一致的，合同当事人可按照第3.6款[商定或确定]修改付款计划表；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不采用付款计划表的，承包人应向工程师提交按季度编制的支付估算付款计划表，用于支付参考。</w:t>
      </w:r>
    </w:p>
    <w:p>
      <w:pPr>
        <w:pStyle w:val="37"/>
        <w:numPr>
          <w:ilvl w:val="0"/>
          <w:numId w:val="0"/>
        </w:numPr>
        <w:rPr>
          <w:rFonts w:hint="eastAsia" w:ascii="Times New Roman" w:hAnsi="Times New Roman" w:cs="宋体"/>
          <w:color w:val="auto"/>
          <w:sz w:val="21"/>
          <w:highlight w:val="none"/>
        </w:rPr>
      </w:pPr>
      <w:bookmarkStart w:id="1006" w:name="_Ref4571011"/>
      <w:r>
        <w:rPr>
          <w:rFonts w:hint="eastAsia" w:ascii="Times New Roman" w:hAnsi="Times New Roman" w:cs="宋体"/>
          <w:color w:val="auto"/>
          <w:sz w:val="21"/>
          <w:highlight w:val="none"/>
        </w:rPr>
        <w:t>14.4.2 付款计划表的编制与审批</w:t>
      </w:r>
      <w:bookmarkEnd w:id="100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专用合同条件另有约定外，承包人应根据第8.4款[项目进度计划]约定的项目进度计划、签约合同价和工程量等因素对总价合同进行分解，确定付款期数、计划每期达到的主要形象进度和（或）完成的主要计划工程量（含设计、采购、施工、竣工试验和竣工后试验等）等目标任务，编制付款计划表。其中人工费应按月确定付款期和付款计划。承包人应当在收到工程师和发包人批准的项目进度计划后7天内，将付款计划表及编制付款计划表的支持性资料报送工程师。</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工程师应在收到付款计划表后7天内完成审核并报送发包人。发包人应在收到经工程师审核的付款计划表后7天内完成审批，经发包人批准的付款计划表为有约束力的付款计划表。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发包人逾期未完成付款计划表审批的，也未及时要求承包人进行修正和提供补充资料的，则承包人提交的付款计划表视为已经获得发包人批准。</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07" w:name="_Toc54862296"/>
      <w:bookmarkStart w:id="1008" w:name="_Ref4538634"/>
      <w:r>
        <w:rPr>
          <w:rFonts w:hint="eastAsia" w:ascii="Times New Roman" w:hAnsi="Times New Roman" w:eastAsia="宋体" w:cs="宋体"/>
          <w:b w:val="0"/>
          <w:bCs/>
          <w:color w:val="auto"/>
          <w:sz w:val="21"/>
          <w:szCs w:val="21"/>
          <w:highlight w:val="none"/>
        </w:rPr>
        <w:t>14.5 竣工结算</w:t>
      </w:r>
      <w:bookmarkEnd w:id="1007"/>
      <w:bookmarkEnd w:id="1008"/>
    </w:p>
    <w:p>
      <w:pPr>
        <w:pStyle w:val="37"/>
        <w:numPr>
          <w:ilvl w:val="0"/>
          <w:numId w:val="0"/>
        </w:numPr>
        <w:rPr>
          <w:rFonts w:hint="eastAsia" w:ascii="Times New Roman" w:hAnsi="Times New Roman" w:cs="宋体"/>
          <w:color w:val="auto"/>
          <w:sz w:val="21"/>
          <w:highlight w:val="none"/>
        </w:rPr>
      </w:pPr>
      <w:bookmarkStart w:id="1009" w:name="_Ref4571361"/>
      <w:r>
        <w:rPr>
          <w:rFonts w:hint="eastAsia" w:ascii="Times New Roman" w:hAnsi="Times New Roman" w:cs="宋体"/>
          <w:color w:val="auto"/>
          <w:sz w:val="21"/>
          <w:highlight w:val="none"/>
        </w:rPr>
        <w:t>14.5.1 竣工结算申请</w:t>
      </w:r>
      <w:bookmarkEnd w:id="100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除专用合同条件另有约定外，承包人应在工程竣工验收合格后42天内向工程师提交竣工结算申请单，并提交完整的结算资料，有关竣工结算申请单的资料清单和份数等要求由合同当事人在专用合同条件中约定。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除专用合同条件另有约定外，竣工结算申请单应包括以下内容：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竣工结算合同价格；</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发包人已支付承包人的款项；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采用第14.6.1项[承包人提供质量保证金的方式]第（2）种方式提供质量保证金的，应当列明应预留的质量保证金金额；采用第14.6.1项[承包人提供质量保证金的方式]中其他方式提供质量保证金的，应当按第14.6款[质量保证金]提供相关文件作为附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发包人应支付承包人的合同价款。</w:t>
      </w:r>
    </w:p>
    <w:p>
      <w:pPr>
        <w:pStyle w:val="37"/>
        <w:numPr>
          <w:ilvl w:val="0"/>
          <w:numId w:val="0"/>
        </w:numPr>
        <w:rPr>
          <w:rFonts w:hint="eastAsia" w:ascii="Times New Roman" w:hAnsi="Times New Roman" w:cs="宋体"/>
          <w:color w:val="auto"/>
          <w:sz w:val="21"/>
          <w:highlight w:val="none"/>
        </w:rPr>
      </w:pPr>
      <w:bookmarkStart w:id="1010" w:name="_Ref4571384"/>
      <w:r>
        <w:rPr>
          <w:rFonts w:hint="eastAsia" w:ascii="Times New Roman" w:hAnsi="Times New Roman" w:cs="宋体"/>
          <w:color w:val="auto"/>
          <w:sz w:val="21"/>
          <w:highlight w:val="none"/>
        </w:rPr>
        <w:t>14.5.2 竣工结算审核</w:t>
      </w:r>
      <w:bookmarkEnd w:id="101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专用合同条件另有约定外，工程师应在收到竣工结算申请单后14天内完成核查并报送发包人。发包人应在收到工程师提交的经审核的竣工结算申请单后14天内完成审批，并由工程师向承包人签发经发包人签认的竣工付款证书。工程师或发包人对竣工结算申请单有异议的，有权要求承包人进行修正和提供补充资料，承包人应提交修正后的竣工结算申请单。</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pPr>
        <w:spacing w:line="360" w:lineRule="auto"/>
        <w:ind w:firstLine="600"/>
        <w:rPr>
          <w:rFonts w:hint="eastAsia" w:ascii="Times New Roman" w:hAnsi="Times New Roman" w:cs="宋体"/>
          <w:color w:val="auto"/>
          <w:szCs w:val="21"/>
          <w:highlight w:val="none"/>
        </w:rPr>
      </w:pPr>
      <w:bookmarkStart w:id="1011" w:name="_Ref4618006"/>
      <w:r>
        <w:rPr>
          <w:rFonts w:hint="eastAsia" w:ascii="Times New Roman" w:hAnsi="Times New Roman" w:cs="宋体"/>
          <w:color w:val="auto"/>
          <w:szCs w:val="21"/>
          <w:highlight w:val="none"/>
        </w:rPr>
        <w:t>（2） 除专用合同条件另有约定外，发包人应在签发竣工付款证书后的14天内，完成对承包人的竣工付款。发包人逾期支付的，按照贷款市场报价利率（LPR）支付违约金；逾期支付超过56天的，按照贷款市场报价利率（LPR）的两倍支付违约金。</w:t>
      </w:r>
      <w:bookmarkEnd w:id="101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对发包人签认的竣工付款证书有异议的，对于有异议部分应在收到发包人签认的竣工付款证书后7天内提出异议，并由合同当事人按照专用合同条件约定的方式和程序进行复核，或按照第20条[争议解决]约定处理。对于无异议部分，发包人应签发临时竣工付款证书，并按本款第（2）项完成付款。承包人逾期未提出异议的，视为认可发包人的审批结果。</w:t>
      </w:r>
    </w:p>
    <w:p>
      <w:pPr>
        <w:pStyle w:val="37"/>
        <w:numPr>
          <w:ilvl w:val="0"/>
          <w:numId w:val="0"/>
        </w:numPr>
        <w:rPr>
          <w:rFonts w:hint="eastAsia" w:ascii="Times New Roman" w:hAnsi="Times New Roman" w:cs="宋体"/>
          <w:color w:val="auto"/>
          <w:sz w:val="21"/>
          <w:highlight w:val="none"/>
        </w:rPr>
      </w:pPr>
      <w:bookmarkStart w:id="1012" w:name="_Ref15484305"/>
      <w:r>
        <w:rPr>
          <w:rFonts w:hint="eastAsia" w:ascii="Times New Roman" w:hAnsi="Times New Roman" w:cs="宋体"/>
          <w:color w:val="auto"/>
          <w:sz w:val="21"/>
          <w:highlight w:val="none"/>
        </w:rPr>
        <w:t>14.5.3 扫尾工作清单</w:t>
      </w:r>
      <w:bookmarkEnd w:id="1012"/>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经双方协商，部分工作在工程竣工验收后进行的，承包人应当编制扫尾工作清单，扫尾工作清单中应当列明承包人应当完成的扫尾工作的内容及完成时间。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承包人完成扫尾工作清单中的内容应取得的费用包含在第14.5.1项[竣工结算申请]及第14.5.2项[竣工结算审核]中一并结算。</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扫尾工作的缺陷责任期按第11条[缺陷责任与保修]处理。承包人未能按照扫尾工作清单约定的完成时间完成扫尾工作的，视为承包人原因导致的工程质量缺陷按照第11.3款[缺陷调查]处理。</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13" w:name="_Ref4571127"/>
      <w:bookmarkStart w:id="1014" w:name="_Ref4617592"/>
      <w:bookmarkStart w:id="1015" w:name="_Ref4617582"/>
      <w:bookmarkStart w:id="1016" w:name="_Ref4582115"/>
      <w:bookmarkStart w:id="1017" w:name="_Ref15395020"/>
      <w:bookmarkStart w:id="1018" w:name="_Ref4571100"/>
      <w:bookmarkStart w:id="1019" w:name="_Toc54862297"/>
      <w:bookmarkStart w:id="1020" w:name="_Hlk15394931"/>
      <w:r>
        <w:rPr>
          <w:rFonts w:hint="eastAsia" w:ascii="Times New Roman" w:hAnsi="Times New Roman" w:eastAsia="宋体" w:cs="宋体"/>
          <w:b w:val="0"/>
          <w:bCs/>
          <w:color w:val="auto"/>
          <w:sz w:val="21"/>
          <w:szCs w:val="21"/>
          <w:highlight w:val="none"/>
        </w:rPr>
        <w:t>14.6 质量保证金</w:t>
      </w:r>
      <w:bookmarkEnd w:id="1003"/>
      <w:bookmarkEnd w:id="1004"/>
      <w:bookmarkEnd w:id="1013"/>
      <w:bookmarkEnd w:id="1014"/>
      <w:bookmarkEnd w:id="1015"/>
      <w:bookmarkEnd w:id="1016"/>
      <w:bookmarkEnd w:id="1017"/>
      <w:bookmarkEnd w:id="1018"/>
      <w:bookmarkEnd w:id="1019"/>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经合同当事人协商一致提供质量保证金的，应在专用合同条件中予以明确。在工程项目竣工前，承包人已经提供履约担保的，发包人不得同时要求承包人提供质量保证金。</w:t>
      </w:r>
    </w:p>
    <w:bookmarkEnd w:id="1020"/>
    <w:p>
      <w:pPr>
        <w:pStyle w:val="37"/>
        <w:numPr>
          <w:ilvl w:val="0"/>
          <w:numId w:val="0"/>
        </w:numPr>
        <w:rPr>
          <w:rFonts w:hint="eastAsia" w:ascii="Times New Roman" w:hAnsi="Times New Roman" w:cs="宋体"/>
          <w:color w:val="auto"/>
          <w:sz w:val="21"/>
          <w:highlight w:val="none"/>
        </w:rPr>
      </w:pPr>
      <w:bookmarkStart w:id="1021" w:name="_Ref531955069"/>
      <w:bookmarkStart w:id="1022" w:name="_Ref531957153"/>
      <w:r>
        <w:rPr>
          <w:rFonts w:hint="eastAsia" w:ascii="Times New Roman" w:hAnsi="Times New Roman" w:cs="宋体"/>
          <w:color w:val="auto"/>
          <w:sz w:val="21"/>
          <w:highlight w:val="none"/>
        </w:rPr>
        <w:t>14.6.1 承包人提供质量保证金的方式</w:t>
      </w:r>
      <w:bookmarkEnd w:id="102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承包人提供质量保证金有以下三种方式：</w:t>
      </w:r>
    </w:p>
    <w:p>
      <w:pPr>
        <w:spacing w:line="360" w:lineRule="auto"/>
        <w:ind w:firstLine="600"/>
        <w:rPr>
          <w:rFonts w:hint="eastAsia" w:ascii="Times New Roman" w:hAnsi="Times New Roman" w:cs="宋体"/>
          <w:color w:val="auto"/>
          <w:szCs w:val="21"/>
          <w:highlight w:val="none"/>
        </w:rPr>
      </w:pPr>
      <w:bookmarkStart w:id="1023" w:name="_Ref531955096"/>
      <w:r>
        <w:rPr>
          <w:rFonts w:hint="eastAsia" w:ascii="Times New Roman" w:hAnsi="Times New Roman" w:cs="宋体"/>
          <w:color w:val="auto"/>
          <w:szCs w:val="21"/>
          <w:highlight w:val="none"/>
        </w:rPr>
        <w:t>（1） 提交工程质量保证担保；</w:t>
      </w:r>
      <w:bookmarkEnd w:id="1023"/>
    </w:p>
    <w:p>
      <w:pPr>
        <w:spacing w:line="360" w:lineRule="auto"/>
        <w:ind w:firstLine="600"/>
        <w:rPr>
          <w:rFonts w:hint="eastAsia" w:ascii="Times New Roman" w:hAnsi="Times New Roman" w:cs="宋体"/>
          <w:color w:val="auto"/>
          <w:szCs w:val="21"/>
          <w:highlight w:val="none"/>
        </w:rPr>
      </w:pPr>
      <w:bookmarkStart w:id="1024" w:name="_Ref531955107"/>
      <w:r>
        <w:rPr>
          <w:rFonts w:hint="eastAsia" w:ascii="Times New Roman" w:hAnsi="Times New Roman" w:cs="宋体"/>
          <w:color w:val="auto"/>
          <w:szCs w:val="21"/>
          <w:highlight w:val="none"/>
        </w:rPr>
        <w:t>（2） 预留相应比例的工程款；</w:t>
      </w:r>
      <w:bookmarkEnd w:id="1024"/>
    </w:p>
    <w:p>
      <w:pPr>
        <w:spacing w:line="360" w:lineRule="auto"/>
        <w:ind w:firstLine="600"/>
        <w:rPr>
          <w:rFonts w:hint="eastAsia" w:ascii="Times New Roman" w:hAnsi="Times New Roman" w:cs="宋体"/>
          <w:color w:val="auto"/>
          <w:szCs w:val="21"/>
          <w:highlight w:val="none"/>
        </w:rPr>
      </w:pPr>
      <w:bookmarkStart w:id="1025" w:name="_Ref531955117"/>
      <w:r>
        <w:rPr>
          <w:rFonts w:hint="eastAsia" w:ascii="Times New Roman" w:hAnsi="Times New Roman" w:cs="宋体"/>
          <w:color w:val="auto"/>
          <w:szCs w:val="21"/>
          <w:highlight w:val="none"/>
        </w:rPr>
        <w:t>（3） 双方约定的其他方式。</w:t>
      </w:r>
      <w:bookmarkEnd w:id="102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质量保证金原则上采用上述第（1）种方式，且承包人应在工程竣工验收合格后7天内，向发包人提交工程质量保证担保。承包人提交工程质量保证担保时，发包人应同时返还预留的作为质量保证金的工程价款（如有）。但不论承包人以何种方式提供质量保证金，累计金额均不得高于工程价款结算总额的3%。</w:t>
      </w:r>
    </w:p>
    <w:p>
      <w:pPr>
        <w:pStyle w:val="37"/>
        <w:numPr>
          <w:ilvl w:val="0"/>
          <w:numId w:val="0"/>
        </w:numPr>
        <w:rPr>
          <w:rFonts w:hint="eastAsia" w:ascii="Times New Roman" w:hAnsi="Times New Roman" w:cs="宋体"/>
          <w:color w:val="auto"/>
          <w:sz w:val="21"/>
          <w:highlight w:val="none"/>
        </w:rPr>
      </w:pPr>
      <w:bookmarkStart w:id="1026" w:name="_Ref15419738"/>
      <w:bookmarkStart w:id="1027" w:name="_Ref18931667"/>
      <w:r>
        <w:rPr>
          <w:rFonts w:hint="eastAsia" w:ascii="Times New Roman" w:hAnsi="Times New Roman" w:cs="宋体"/>
          <w:color w:val="auto"/>
          <w:sz w:val="21"/>
          <w:highlight w:val="none"/>
        </w:rPr>
        <w:t>14.6.2 质量保证金的预留</w:t>
      </w:r>
      <w:bookmarkEnd w:id="1026"/>
      <w:bookmarkEnd w:id="102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双方约定采用预留相应比例的工程款方式提供质量保证金的，质量保证金的预留有以下三种方式：</w:t>
      </w:r>
    </w:p>
    <w:p>
      <w:pPr>
        <w:spacing w:line="360" w:lineRule="auto"/>
        <w:ind w:firstLine="600"/>
        <w:rPr>
          <w:rFonts w:hint="eastAsia" w:ascii="Times New Roman" w:hAnsi="Times New Roman" w:cs="宋体"/>
          <w:color w:val="auto"/>
          <w:szCs w:val="21"/>
          <w:highlight w:val="none"/>
        </w:rPr>
      </w:pPr>
      <w:bookmarkStart w:id="1028" w:name="_Hlk18840714"/>
      <w:bookmarkStart w:id="1029" w:name="_Ref531955143"/>
      <w:r>
        <w:rPr>
          <w:rFonts w:hint="eastAsia" w:ascii="Times New Roman" w:hAnsi="Times New Roman" w:cs="宋体"/>
          <w:color w:val="auto"/>
          <w:szCs w:val="21"/>
          <w:highlight w:val="none"/>
        </w:rPr>
        <w:t>（1） 按专用合同条件的约定在支付工程进度款时逐次预留，直至预留的质量保证金总额达到专用合同条件约定的金额或比例为止</w:t>
      </w:r>
      <w:bookmarkEnd w:id="1028"/>
      <w:r>
        <w:rPr>
          <w:rFonts w:hint="eastAsia" w:ascii="Times New Roman" w:hAnsi="Times New Roman" w:cs="宋体"/>
          <w:color w:val="auto"/>
          <w:szCs w:val="21"/>
          <w:highlight w:val="none"/>
        </w:rPr>
        <w:t>。在此情形下，质量保证金的计算基数不包括预付款的支付、扣回以及价格调整的金额；</w:t>
      </w:r>
      <w:bookmarkEnd w:id="1029"/>
    </w:p>
    <w:p>
      <w:pPr>
        <w:spacing w:line="360" w:lineRule="auto"/>
        <w:ind w:firstLine="600"/>
        <w:rPr>
          <w:rFonts w:hint="eastAsia" w:ascii="Times New Roman" w:hAnsi="Times New Roman" w:cs="宋体"/>
          <w:color w:val="auto"/>
          <w:szCs w:val="21"/>
          <w:highlight w:val="none"/>
        </w:rPr>
      </w:pPr>
      <w:bookmarkStart w:id="1030" w:name="_Ref531955151"/>
      <w:r>
        <w:rPr>
          <w:rFonts w:hint="eastAsia" w:ascii="Times New Roman" w:hAnsi="Times New Roman" w:cs="宋体"/>
          <w:color w:val="auto"/>
          <w:szCs w:val="21"/>
          <w:highlight w:val="none"/>
        </w:rPr>
        <w:t>（2） 工程竣工结算时一次性预留质量保证金；</w:t>
      </w:r>
      <w:bookmarkEnd w:id="1030"/>
    </w:p>
    <w:p>
      <w:pPr>
        <w:spacing w:line="360" w:lineRule="auto"/>
        <w:ind w:firstLine="600"/>
        <w:rPr>
          <w:rFonts w:hint="eastAsia" w:ascii="Times New Roman" w:hAnsi="Times New Roman" w:cs="宋体"/>
          <w:color w:val="auto"/>
          <w:szCs w:val="21"/>
          <w:highlight w:val="none"/>
        </w:rPr>
      </w:pPr>
      <w:bookmarkStart w:id="1031" w:name="_Ref531955161"/>
      <w:r>
        <w:rPr>
          <w:rFonts w:hint="eastAsia" w:ascii="Times New Roman" w:hAnsi="Times New Roman" w:cs="宋体"/>
          <w:color w:val="auto"/>
          <w:szCs w:val="21"/>
          <w:highlight w:val="none"/>
        </w:rPr>
        <w:t>（3） 双方约定的其他预留方式。</w:t>
      </w:r>
      <w:bookmarkEnd w:id="103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质量保证金的预留原则上采用上述第（1）种方式。如承包人在发包人签发竣工付款证书后28天内提交工程质量保证担保，发包人应同时返还预留的作为质量保证金的工程价款。发包人在返还本条款项下的质量保证金的同时，按照中国人民银行同期同类存款基准利率支付利息。</w:t>
      </w:r>
    </w:p>
    <w:p>
      <w:pPr>
        <w:pStyle w:val="37"/>
        <w:numPr>
          <w:ilvl w:val="0"/>
          <w:numId w:val="0"/>
        </w:numPr>
        <w:rPr>
          <w:rFonts w:hint="eastAsia" w:ascii="Times New Roman" w:hAnsi="Times New Roman" w:cs="宋体"/>
          <w:color w:val="auto"/>
          <w:sz w:val="21"/>
          <w:highlight w:val="none"/>
        </w:rPr>
      </w:pPr>
      <w:bookmarkStart w:id="1032" w:name="_Ref532690096"/>
      <w:bookmarkStart w:id="1033" w:name="_Ref4571243"/>
      <w:r>
        <w:rPr>
          <w:rFonts w:hint="eastAsia" w:ascii="Times New Roman" w:hAnsi="Times New Roman" w:cs="宋体"/>
          <w:color w:val="auto"/>
          <w:sz w:val="21"/>
          <w:highlight w:val="none"/>
        </w:rPr>
        <w:t>14.6.3 质量保证金的</w:t>
      </w:r>
      <w:bookmarkEnd w:id="1032"/>
      <w:r>
        <w:rPr>
          <w:rFonts w:hint="eastAsia" w:ascii="Times New Roman" w:hAnsi="Times New Roman" w:cs="宋体"/>
          <w:color w:val="auto"/>
          <w:sz w:val="21"/>
          <w:highlight w:val="none"/>
        </w:rPr>
        <w:t>返还</w:t>
      </w:r>
      <w:bookmarkEnd w:id="1033"/>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缺陷责任期内，承包人认真履行合同约定的责任，缺陷责任期满，发包人根据第11.6款[缺陷责任期终止证书]向承包人颁发缺陷责任期终止证书后，承包人可向发包人申请返还质量保证金。</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在接到承包人返还质量保证金申请后，应于7天内将质量保证金返还承包人，逾期未返还的，应承担违约责任。发包人在接到承包人返还质量保证金申请后7天内不予答复，视同认可承包人的返还质量保证金申请。</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发包人和承包人对质量保证金预留、返还以及工程维修质量、费用有争议的，按本合同第20条[争议解决]约定的争议和纠纷解决程序处理。</w:t>
      </w:r>
    </w:p>
    <w:bookmarkEnd w:id="1022"/>
    <w:p>
      <w:pPr>
        <w:pStyle w:val="54"/>
        <w:widowControl/>
        <w:numPr>
          <w:ilvl w:val="0"/>
          <w:numId w:val="0"/>
        </w:numPr>
        <w:rPr>
          <w:rFonts w:hint="eastAsia" w:ascii="Times New Roman" w:hAnsi="Times New Roman" w:eastAsia="宋体" w:cs="宋体"/>
          <w:b w:val="0"/>
          <w:bCs/>
          <w:color w:val="auto"/>
          <w:sz w:val="21"/>
          <w:szCs w:val="21"/>
          <w:highlight w:val="none"/>
        </w:rPr>
      </w:pPr>
      <w:bookmarkStart w:id="1034" w:name="_Toc54862298"/>
      <w:bookmarkStart w:id="1035" w:name="_Ref531957341"/>
      <w:bookmarkStart w:id="1036" w:name="_Ref531957339"/>
      <w:r>
        <w:rPr>
          <w:rFonts w:hint="eastAsia" w:ascii="Times New Roman" w:hAnsi="Times New Roman" w:eastAsia="宋体" w:cs="宋体"/>
          <w:b w:val="0"/>
          <w:bCs/>
          <w:color w:val="auto"/>
          <w:sz w:val="21"/>
          <w:szCs w:val="21"/>
          <w:highlight w:val="none"/>
        </w:rPr>
        <w:t>14.7 最终结清</w:t>
      </w:r>
      <w:bookmarkEnd w:id="1034"/>
      <w:bookmarkEnd w:id="1035"/>
      <w:bookmarkEnd w:id="1036"/>
      <w:r>
        <w:rPr>
          <w:rFonts w:hint="eastAsia" w:ascii="Times New Roman" w:hAnsi="Times New Roman" w:eastAsia="宋体" w:cs="宋体"/>
          <w:b w:val="0"/>
          <w:bCs/>
          <w:color w:val="auto"/>
          <w:sz w:val="21"/>
          <w:szCs w:val="21"/>
          <w:highlight w:val="none"/>
        </w:rPr>
        <w:t xml:space="preserve"> </w:t>
      </w:r>
    </w:p>
    <w:p>
      <w:pPr>
        <w:pStyle w:val="37"/>
        <w:numPr>
          <w:ilvl w:val="0"/>
          <w:numId w:val="0"/>
        </w:numPr>
        <w:rPr>
          <w:rFonts w:hint="eastAsia" w:ascii="Times New Roman" w:hAnsi="Times New Roman" w:cs="宋体"/>
          <w:color w:val="auto"/>
          <w:sz w:val="21"/>
          <w:highlight w:val="none"/>
        </w:rPr>
      </w:pPr>
      <w:bookmarkStart w:id="1037" w:name="_Ref531957350"/>
      <w:r>
        <w:rPr>
          <w:rFonts w:hint="eastAsia" w:ascii="Times New Roman" w:hAnsi="Times New Roman" w:cs="宋体"/>
          <w:color w:val="auto"/>
          <w:sz w:val="21"/>
          <w:highlight w:val="none"/>
        </w:rPr>
        <w:t>14.7.1 最终结清申请</w:t>
      </w:r>
      <w:bookmarkEnd w:id="1037"/>
      <w:r>
        <w:rPr>
          <w:rFonts w:hint="eastAsia" w:ascii="Times New Roman" w:hAnsi="Times New Roman" w:cs="宋体"/>
          <w:color w:val="auto"/>
          <w:sz w:val="21"/>
          <w:highlight w:val="none"/>
        </w:rPr>
        <w:t>单</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除专用合同条件另有约定外，承包人应在缺陷责任期终止证书颁发后7天内，按专用合同条件约定的份数向发包人提交最终结清申请单，并提供相关证明材料。</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除专用合同条件另有约定外，最终结清申请单应列明质量保证金、应扣除的质量保证金、缺陷责任期内发生的增减费用。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发包人对最终结清申请单内容有异议的，有权要求承包人进行修正和提供补充资料，承包人应向发包人提交修正后的最终结清申请单。</w:t>
      </w:r>
    </w:p>
    <w:p>
      <w:pPr>
        <w:pStyle w:val="37"/>
        <w:numPr>
          <w:ilvl w:val="0"/>
          <w:numId w:val="0"/>
        </w:numPr>
        <w:rPr>
          <w:rFonts w:hint="eastAsia" w:ascii="Times New Roman" w:hAnsi="Times New Roman" w:cs="宋体"/>
          <w:color w:val="auto"/>
          <w:sz w:val="21"/>
          <w:highlight w:val="none"/>
        </w:rPr>
      </w:pPr>
      <w:bookmarkStart w:id="1038" w:name="_Ref531957369"/>
      <w:bookmarkStart w:id="1039" w:name="_Ref4624099"/>
      <w:r>
        <w:rPr>
          <w:rFonts w:hint="eastAsia" w:ascii="Times New Roman" w:hAnsi="Times New Roman" w:cs="宋体"/>
          <w:color w:val="auto"/>
          <w:sz w:val="21"/>
          <w:highlight w:val="none"/>
        </w:rPr>
        <w:t>14.7.2 最终结清证书</w:t>
      </w:r>
      <w:bookmarkEnd w:id="1038"/>
      <w:r>
        <w:rPr>
          <w:rFonts w:hint="eastAsia" w:ascii="Times New Roman" w:hAnsi="Times New Roman" w:cs="宋体"/>
          <w:color w:val="auto"/>
          <w:sz w:val="21"/>
          <w:highlight w:val="none"/>
        </w:rPr>
        <w:t>和支付</w:t>
      </w:r>
      <w:bookmarkEnd w:id="103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专用合同条件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除专用合同条件另有约定外，发包人应在颁发最终结清证书后7天内完成支付。发包人逾期支付的，按照贷款市场报价利率（LPR）支付利息；逾期支付超过56天的，按照贷款市场报价利率（LPR）的两倍支付利息。</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承包人对发包人颁发的最终结清证书有异议的，按第20条[争议解决]的约定办理。</w:t>
      </w:r>
    </w:p>
    <w:p>
      <w:pPr>
        <w:pStyle w:val="49"/>
        <w:numPr>
          <w:ilvl w:val="0"/>
          <w:numId w:val="0"/>
        </w:numPr>
        <w:rPr>
          <w:rFonts w:hint="eastAsia" w:ascii="Times New Roman" w:hAnsi="Times New Roman" w:eastAsia="宋体" w:cs="宋体"/>
          <w:bCs w:val="0"/>
          <w:color w:val="auto"/>
          <w:sz w:val="21"/>
          <w:szCs w:val="21"/>
          <w:highlight w:val="none"/>
        </w:rPr>
      </w:pPr>
      <w:bookmarkStart w:id="1040" w:name="_Ref11920396"/>
      <w:bookmarkStart w:id="1041" w:name="_Ref11874957"/>
      <w:bookmarkStart w:id="1042" w:name="_Toc54862299"/>
      <w:bookmarkStart w:id="1043" w:name="_Ref11920407"/>
      <w:r>
        <w:rPr>
          <w:rFonts w:hint="eastAsia" w:ascii="Times New Roman" w:hAnsi="Times New Roman" w:eastAsia="宋体" w:cs="宋体"/>
          <w:bCs w:val="0"/>
          <w:color w:val="auto"/>
          <w:sz w:val="21"/>
          <w:szCs w:val="21"/>
          <w:highlight w:val="none"/>
        </w:rPr>
        <w:t>第15条 违约</w:t>
      </w:r>
      <w:bookmarkEnd w:id="898"/>
      <w:bookmarkEnd w:id="902"/>
      <w:bookmarkEnd w:id="903"/>
      <w:bookmarkEnd w:id="1040"/>
      <w:bookmarkEnd w:id="1041"/>
      <w:bookmarkEnd w:id="1042"/>
      <w:bookmarkEnd w:id="1043"/>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44" w:name="_Ref4534411"/>
      <w:bookmarkStart w:id="1045" w:name="_Ref4534399"/>
      <w:bookmarkStart w:id="1046" w:name="_Ref4534376"/>
      <w:bookmarkStart w:id="1047" w:name="_Toc54862300"/>
      <w:bookmarkStart w:id="1048" w:name="_Ref4534384"/>
      <w:r>
        <w:rPr>
          <w:rFonts w:hint="eastAsia" w:ascii="Times New Roman" w:hAnsi="Times New Roman" w:eastAsia="宋体" w:cs="宋体"/>
          <w:b w:val="0"/>
          <w:bCs/>
          <w:color w:val="auto"/>
          <w:sz w:val="21"/>
          <w:szCs w:val="21"/>
          <w:highlight w:val="none"/>
        </w:rPr>
        <w:t>15.1 发包人违约</w:t>
      </w:r>
      <w:bookmarkEnd w:id="1044"/>
      <w:bookmarkEnd w:id="1045"/>
      <w:bookmarkEnd w:id="1046"/>
      <w:bookmarkEnd w:id="1047"/>
      <w:bookmarkEnd w:id="1048"/>
    </w:p>
    <w:p>
      <w:pPr>
        <w:pStyle w:val="37"/>
        <w:numPr>
          <w:ilvl w:val="0"/>
          <w:numId w:val="0"/>
        </w:numPr>
        <w:rPr>
          <w:rFonts w:hint="eastAsia" w:ascii="Times New Roman" w:hAnsi="Times New Roman" w:cs="宋体"/>
          <w:color w:val="auto"/>
          <w:sz w:val="21"/>
          <w:highlight w:val="none"/>
        </w:rPr>
      </w:pPr>
      <w:bookmarkStart w:id="1049" w:name="_Ref3841087"/>
      <w:r>
        <w:rPr>
          <w:rFonts w:hint="eastAsia" w:ascii="Times New Roman" w:hAnsi="Times New Roman" w:cs="宋体"/>
          <w:color w:val="auto"/>
          <w:sz w:val="21"/>
          <w:highlight w:val="none"/>
        </w:rPr>
        <w:t>15.1.1 发包人违约的情形</w:t>
      </w:r>
      <w:bookmarkEnd w:id="104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除专用合同条件另有约定外，在合同履行过程中发生的下列情形，属于发包人违约：</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（1） 因发包人原因导致开始工作日期延误的；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因发包人原因未能按合同约定支付合同价款的；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发包人违反第13.1.1项约定，自行实施被取消的工作或转由他人实施的；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因发包人违反合同约定造成工程暂停施工的；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工程师无正当理由没有在约定期限内发出复工指示，导致承包人无法复工的；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发包人明确表示或者以其行为表明不履行合同主要义务的；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发包人未能按照合同约定履行其他义务的。</w:t>
      </w:r>
    </w:p>
    <w:p>
      <w:pPr>
        <w:pStyle w:val="37"/>
        <w:numPr>
          <w:ilvl w:val="0"/>
          <w:numId w:val="0"/>
        </w:numPr>
        <w:rPr>
          <w:rFonts w:hint="eastAsia" w:ascii="Times New Roman" w:hAnsi="Times New Roman" w:cs="宋体"/>
          <w:color w:val="auto"/>
          <w:sz w:val="21"/>
          <w:highlight w:val="none"/>
        </w:rPr>
      </w:pPr>
      <w:bookmarkStart w:id="1050" w:name="_Ref4535692"/>
      <w:r>
        <w:rPr>
          <w:rFonts w:hint="eastAsia" w:ascii="Times New Roman" w:hAnsi="Times New Roman" w:cs="宋体"/>
          <w:color w:val="auto"/>
          <w:sz w:val="21"/>
          <w:highlight w:val="none"/>
        </w:rPr>
        <w:t>15.1.2 通知改正</w:t>
      </w:r>
      <w:bookmarkEnd w:id="1050"/>
    </w:p>
    <w:p>
      <w:pPr>
        <w:spacing w:line="360" w:lineRule="auto"/>
        <w:ind w:firstLine="600"/>
        <w:rPr>
          <w:rFonts w:hint="eastAsia" w:ascii="Times New Roman" w:hAnsi="Times New Roman" w:cs="宋体"/>
          <w:color w:val="auto"/>
          <w:szCs w:val="21"/>
          <w:highlight w:val="none"/>
        </w:rPr>
      </w:pPr>
      <w:bookmarkStart w:id="1051" w:name="_Hlk16248297"/>
      <w:r>
        <w:rPr>
          <w:rFonts w:hint="eastAsia" w:ascii="Times New Roman" w:hAnsi="Times New Roman" w:cs="宋体"/>
          <w:color w:val="auto"/>
          <w:szCs w:val="21"/>
          <w:highlight w:val="none"/>
        </w:rPr>
        <w:t>发包人发生除第15.1.1项第(6)目以外的违约情况时，承包人可向发包人发出通知，要求发包人采取有效措施纠正违约行为。发包人收到承包人通知后28天内仍不纠正违约行为的，承包人有权暂停相应部位工程实施，并通知工程师。</w:t>
      </w:r>
      <w:bookmarkEnd w:id="1051"/>
    </w:p>
    <w:p>
      <w:pPr>
        <w:pStyle w:val="37"/>
        <w:numPr>
          <w:ilvl w:val="0"/>
          <w:numId w:val="0"/>
        </w:numPr>
        <w:rPr>
          <w:rFonts w:hint="eastAsia" w:ascii="Times New Roman" w:hAnsi="Times New Roman" w:cs="宋体"/>
          <w:color w:val="auto"/>
          <w:sz w:val="21"/>
          <w:highlight w:val="none"/>
        </w:rPr>
      </w:pPr>
      <w:bookmarkStart w:id="1052" w:name="_Ref3841132"/>
      <w:r>
        <w:rPr>
          <w:rFonts w:hint="eastAsia" w:ascii="Times New Roman" w:hAnsi="Times New Roman" w:cs="宋体"/>
          <w:color w:val="auto"/>
          <w:sz w:val="21"/>
          <w:highlight w:val="none"/>
        </w:rPr>
        <w:t>15.1.3 发包人违约的责任</w:t>
      </w:r>
      <w:bookmarkEnd w:id="1052"/>
    </w:p>
    <w:p>
      <w:pPr>
        <w:spacing w:line="360" w:lineRule="auto"/>
        <w:ind w:firstLine="600"/>
        <w:rPr>
          <w:rFonts w:hint="eastAsia" w:ascii="Times New Roman" w:hAnsi="Times New Roman" w:cs="宋体"/>
          <w:color w:val="auto"/>
          <w:szCs w:val="21"/>
          <w:highlight w:val="none"/>
        </w:rPr>
      </w:pPr>
      <w:bookmarkStart w:id="1053" w:name="_Hlk16247984"/>
      <w:r>
        <w:rPr>
          <w:rFonts w:hint="eastAsia" w:ascii="Times New Roman" w:hAnsi="Times New Roman" w:cs="宋体"/>
          <w:color w:val="auto"/>
          <w:szCs w:val="21"/>
          <w:highlight w:val="none"/>
        </w:rPr>
        <w:t>发包人应承担因其违约给承包人增加的费用和（或）延误的工期，并支付承包人合理的利润。此外，合同当事人可在专用合同条件中另行约定发包人违约责任的承担方式和计算方法。</w:t>
      </w:r>
      <w:bookmarkEnd w:id="1053"/>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54" w:name="_Ref11958660"/>
      <w:bookmarkStart w:id="1055" w:name="_Ref11958663"/>
      <w:bookmarkStart w:id="1056" w:name="_Toc54862301"/>
      <w:r>
        <w:rPr>
          <w:rFonts w:hint="eastAsia" w:ascii="Times New Roman" w:hAnsi="Times New Roman" w:eastAsia="宋体" w:cs="宋体"/>
          <w:b w:val="0"/>
          <w:bCs/>
          <w:color w:val="auto"/>
          <w:sz w:val="21"/>
          <w:szCs w:val="21"/>
          <w:highlight w:val="none"/>
        </w:rPr>
        <w:t>15.2 承包人违约</w:t>
      </w:r>
      <w:bookmarkEnd w:id="1054"/>
      <w:bookmarkEnd w:id="1055"/>
      <w:bookmarkEnd w:id="1056"/>
    </w:p>
    <w:p>
      <w:pPr>
        <w:pStyle w:val="37"/>
        <w:numPr>
          <w:ilvl w:val="0"/>
          <w:numId w:val="0"/>
        </w:numPr>
        <w:rPr>
          <w:rFonts w:hint="eastAsia" w:ascii="Times New Roman" w:hAnsi="Times New Roman" w:cs="宋体"/>
          <w:color w:val="auto"/>
          <w:sz w:val="21"/>
          <w:highlight w:val="none"/>
        </w:rPr>
      </w:pPr>
      <w:bookmarkStart w:id="1057" w:name="_Ref3841153"/>
      <w:r>
        <w:rPr>
          <w:rFonts w:hint="eastAsia" w:ascii="Times New Roman" w:hAnsi="Times New Roman" w:cs="宋体"/>
          <w:color w:val="auto"/>
          <w:sz w:val="21"/>
          <w:highlight w:val="none"/>
        </w:rPr>
        <w:t>15.2.1 承包人违约的情形</w:t>
      </w:r>
      <w:bookmarkEnd w:id="105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除专用合同条件另有约定外，在履行合同过程中发生的下列情况之一的，属于承包人违约：</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承包人的原因导致的承包人文件、实施和竣工的工程不符合法律法规、工程质量验收标准以及合同约定；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承包人违反合同约定进行转包或违法分包的；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承包人违反约定采购和使用不合格材料或工程设备；</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因承包人原因导致工程质量不符合合同要求的；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承包人未经工程师批准，擅自将已按合同约定进入施工现场的施工设备、临时设施或材料撤离施工现场；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承包人未能按项目进度计划及时完成合同约定的工作，造成工期延误；</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由于承包人原因未能通过竣工试验或竣工后试验的；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承包人在缺陷责任期及保修期内，未能在合理期限对工程缺陷进行修复，或拒绝按发包人指示进行修复的；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（9） 承包人明确表示或者以其行为表明不履行合同主要义务的；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 承包人未能按照合同约定履行其他义务的。</w:t>
      </w:r>
    </w:p>
    <w:p>
      <w:pPr>
        <w:pStyle w:val="37"/>
        <w:numPr>
          <w:ilvl w:val="0"/>
          <w:numId w:val="0"/>
        </w:numPr>
        <w:rPr>
          <w:rFonts w:hint="eastAsia" w:ascii="Times New Roman" w:hAnsi="Times New Roman" w:cs="宋体"/>
          <w:color w:val="auto"/>
          <w:sz w:val="21"/>
          <w:highlight w:val="none"/>
        </w:rPr>
      </w:pPr>
      <w:bookmarkStart w:id="1058" w:name="_Ref531958512"/>
      <w:r>
        <w:rPr>
          <w:rFonts w:hint="eastAsia" w:ascii="Times New Roman" w:hAnsi="Times New Roman" w:cs="宋体"/>
          <w:color w:val="auto"/>
          <w:sz w:val="21"/>
          <w:highlight w:val="none"/>
        </w:rPr>
        <w:t>15.2.2 通知改正</w:t>
      </w:r>
      <w:bookmarkEnd w:id="1058"/>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承包人发生除第15.2.1项第(7)目、第(9)目约定以外的其他违约情况时，工程师可在专用合同条件约定的合理期限内向承包人发出整改通知，要求其在指定的期限内改正。</w:t>
      </w:r>
    </w:p>
    <w:p>
      <w:pPr>
        <w:pStyle w:val="37"/>
        <w:numPr>
          <w:ilvl w:val="0"/>
          <w:numId w:val="0"/>
        </w:numPr>
        <w:rPr>
          <w:rFonts w:hint="eastAsia" w:ascii="Times New Roman" w:hAnsi="Times New Roman" w:cs="宋体"/>
          <w:color w:val="auto"/>
          <w:sz w:val="21"/>
          <w:highlight w:val="none"/>
        </w:rPr>
      </w:pPr>
      <w:bookmarkStart w:id="1059" w:name="_Ref3841166"/>
      <w:r>
        <w:rPr>
          <w:rFonts w:hint="eastAsia" w:ascii="Times New Roman" w:hAnsi="Times New Roman" w:cs="宋体"/>
          <w:color w:val="auto"/>
          <w:sz w:val="21"/>
          <w:highlight w:val="none"/>
        </w:rPr>
        <w:t>15.2.3 承包人违约的责任</w:t>
      </w:r>
      <w:bookmarkEnd w:id="105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承包人应承担因其违约行为而增加的费用和（或）延误的工期。此外，合同当事人可在专用合同条件中另行约定承包人违约责任的承担方式和计算方法。</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60" w:name="_Toc54862302"/>
      <w:r>
        <w:rPr>
          <w:rFonts w:hint="eastAsia" w:ascii="Times New Roman" w:hAnsi="Times New Roman" w:eastAsia="宋体" w:cs="宋体"/>
          <w:b w:val="0"/>
          <w:bCs/>
          <w:color w:val="auto"/>
          <w:sz w:val="21"/>
          <w:szCs w:val="21"/>
          <w:highlight w:val="none"/>
        </w:rPr>
        <w:t>15.3 第三人造成的违约</w:t>
      </w:r>
      <w:bookmarkEnd w:id="106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在履行合同过程中，一方当事人因第三人的原因造成违约的，应当向对方当事人承担违约责任。一方当事人和第三人之间的纠纷，依照法律规定或者按照约定解决。</w:t>
      </w:r>
    </w:p>
    <w:p>
      <w:pPr>
        <w:pStyle w:val="49"/>
        <w:numPr>
          <w:ilvl w:val="0"/>
          <w:numId w:val="0"/>
        </w:numPr>
        <w:rPr>
          <w:rFonts w:hint="eastAsia" w:ascii="Times New Roman" w:hAnsi="Times New Roman" w:eastAsia="宋体" w:cs="宋体"/>
          <w:bCs w:val="0"/>
          <w:color w:val="auto"/>
          <w:sz w:val="21"/>
          <w:szCs w:val="21"/>
          <w:highlight w:val="none"/>
        </w:rPr>
      </w:pPr>
      <w:bookmarkStart w:id="1061" w:name="_Ref4510572"/>
      <w:bookmarkStart w:id="1062" w:name="_Toc54862303"/>
      <w:bookmarkStart w:id="1063" w:name="_Ref3840457"/>
      <w:bookmarkStart w:id="1064" w:name="_Ref532142069"/>
      <w:r>
        <w:rPr>
          <w:rFonts w:hint="eastAsia" w:ascii="Times New Roman" w:hAnsi="Times New Roman" w:eastAsia="宋体" w:cs="宋体"/>
          <w:bCs w:val="0"/>
          <w:color w:val="auto"/>
          <w:sz w:val="21"/>
          <w:szCs w:val="21"/>
          <w:highlight w:val="none"/>
        </w:rPr>
        <w:t>第16条 合同解除</w:t>
      </w:r>
      <w:bookmarkEnd w:id="1061"/>
      <w:bookmarkEnd w:id="1062"/>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65" w:name="_Ref531958502"/>
      <w:bookmarkStart w:id="1066" w:name="_Ref531958499"/>
      <w:bookmarkStart w:id="1067" w:name="_Toc54862304"/>
      <w:r>
        <w:rPr>
          <w:rFonts w:hint="eastAsia" w:ascii="Times New Roman" w:hAnsi="Times New Roman" w:eastAsia="宋体" w:cs="宋体"/>
          <w:b w:val="0"/>
          <w:bCs/>
          <w:color w:val="auto"/>
          <w:sz w:val="21"/>
          <w:szCs w:val="21"/>
          <w:highlight w:val="none"/>
        </w:rPr>
        <w:t>16.1 由发包人解除合同</w:t>
      </w:r>
      <w:bookmarkEnd w:id="1065"/>
      <w:bookmarkEnd w:id="1066"/>
      <w:bookmarkEnd w:id="1067"/>
    </w:p>
    <w:p>
      <w:pPr>
        <w:pStyle w:val="37"/>
        <w:numPr>
          <w:ilvl w:val="0"/>
          <w:numId w:val="0"/>
        </w:numPr>
        <w:rPr>
          <w:rFonts w:hint="eastAsia" w:ascii="Times New Roman" w:hAnsi="Times New Roman" w:cs="宋体"/>
          <w:color w:val="auto"/>
          <w:sz w:val="21"/>
          <w:highlight w:val="none"/>
        </w:rPr>
      </w:pPr>
      <w:bookmarkStart w:id="1068" w:name="_Ref4535422"/>
      <w:r>
        <w:rPr>
          <w:rFonts w:hint="eastAsia" w:ascii="Times New Roman" w:hAnsi="Times New Roman" w:cs="宋体"/>
          <w:color w:val="auto"/>
          <w:sz w:val="21"/>
          <w:highlight w:val="none"/>
        </w:rPr>
        <w:t>16.1.1 因承包人违约解除合同</w:t>
      </w:r>
      <w:bookmarkEnd w:id="1068"/>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发包人有权基于下列原因，以书面形式通知承包人解除合同，解除通知中应注明是根据第16.1.1项发出的，发包人应在发出正式解除合同通知14天前告知承包人其解除合同意向，除非承包人在收到该解除合同意向通知后14天内采取了补救措施，否则发包人可向承包人发出正式解除合同通知立即解除合同。解除日期应为承包人收到正式解除合同通知的日期，但在第(5)目的情况下，发包人无须提前告知承包人其解除合同意向，可直接发出正式解除合同通知立即解除合同：</w:t>
      </w:r>
    </w:p>
    <w:p>
      <w:pPr>
        <w:spacing w:line="360" w:lineRule="auto"/>
        <w:ind w:firstLine="600"/>
        <w:rPr>
          <w:rFonts w:hint="eastAsia" w:ascii="Times New Roman" w:hAnsi="Times New Roman" w:cs="宋体"/>
          <w:color w:val="auto"/>
          <w:szCs w:val="21"/>
          <w:highlight w:val="none"/>
        </w:rPr>
      </w:pPr>
      <w:bookmarkStart w:id="1069" w:name="_Ref531958536"/>
      <w:r>
        <w:rPr>
          <w:rFonts w:hint="eastAsia" w:ascii="Times New Roman" w:hAnsi="Times New Roman" w:cs="宋体"/>
          <w:color w:val="auto"/>
          <w:szCs w:val="21"/>
          <w:highlight w:val="none"/>
        </w:rPr>
        <w:t>（1） 承包人未能遵守第4.2款</w:t>
      </w:r>
      <w:bookmarkStart w:id="1070" w:name="_Hlk18839947"/>
      <w:r>
        <w:rPr>
          <w:rFonts w:hint="eastAsia" w:ascii="Times New Roman" w:hAnsi="Times New Roman" w:cs="宋体"/>
          <w:color w:val="auto"/>
          <w:szCs w:val="21"/>
          <w:highlight w:val="none"/>
        </w:rPr>
        <w:t>[履约担保]</w:t>
      </w:r>
      <w:bookmarkEnd w:id="1070"/>
      <w:r>
        <w:rPr>
          <w:rFonts w:hint="eastAsia" w:ascii="Times New Roman" w:hAnsi="Times New Roman" w:cs="宋体"/>
          <w:color w:val="auto"/>
          <w:szCs w:val="21"/>
          <w:highlight w:val="none"/>
        </w:rPr>
        <w:t>的约定；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承包人未能遵守第4.5款[分包]有关分包和转包的约定；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承包人实际进度明显落后于进度计划，并且未按发包人的指令采取措施并修正进度计划；</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工程质量有严重缺陷，承包人无正当理由使修复开始日期拖延达28天以上；</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承包人破产、停业清理或进入清算程序，或情况表明承包人将进入破产和（或）清算程序，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承包人明确表示或以自己的行为表明不履行合同、或经发包人以书面形式通知其履约后仍未能依约履行合同、或以不适当的方式履行合同；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未能通过的竣工试验、未能通过的竣工后试验，使工程的任何部分和（或）整个工程丧失了主要使用功能、生产功能；</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因承包人的原因暂停工作超过56天且暂停影响到整个工程，或因承包人的原因暂停工作超过182天；</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（9） 承包人未能遵守第8.2款[竣工日期]规定，延误超过182天；</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 工程师根据第15.2.2项[通知改正]发出整改通知后，承包人在指定的合理期限内仍不纠正违约行为并致使合同目的不能实现的。</w:t>
      </w:r>
    </w:p>
    <w:bookmarkEnd w:id="1069"/>
    <w:p>
      <w:pPr>
        <w:pStyle w:val="37"/>
        <w:numPr>
          <w:ilvl w:val="0"/>
          <w:numId w:val="0"/>
        </w:numPr>
        <w:rPr>
          <w:rFonts w:hint="eastAsia" w:ascii="Times New Roman" w:hAnsi="Times New Roman" w:cs="宋体"/>
          <w:color w:val="auto"/>
          <w:sz w:val="21"/>
          <w:highlight w:val="none"/>
        </w:rPr>
      </w:pPr>
      <w:bookmarkStart w:id="1071" w:name="_Ref3841839"/>
      <w:bookmarkStart w:id="1072" w:name="_Ref4624315"/>
      <w:r>
        <w:rPr>
          <w:rFonts w:hint="eastAsia" w:ascii="Times New Roman" w:hAnsi="Times New Roman" w:cs="宋体"/>
          <w:color w:val="auto"/>
          <w:sz w:val="21"/>
          <w:highlight w:val="none"/>
        </w:rPr>
        <w:t>16.1.2 因承包人违约解除合同后</w:t>
      </w:r>
      <w:bookmarkEnd w:id="1071"/>
      <w:r>
        <w:rPr>
          <w:rFonts w:hint="eastAsia" w:ascii="Times New Roman" w:hAnsi="Times New Roman" w:cs="宋体"/>
          <w:color w:val="auto"/>
          <w:sz w:val="21"/>
          <w:highlight w:val="none"/>
        </w:rPr>
        <w:t>承包人的义务</w:t>
      </w:r>
      <w:bookmarkEnd w:id="1072"/>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合同解除后，承包人应按以下约定执行：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除了为保护生命、财产或工程安全、清理和必须执行的工作外，停止执行所有被通知解除的工作，并将相关人员撤离现场；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经发包人批准，承包人应将与被解除合同相关的和正在执行的分包合同及相关的责任和义务转让至发包人和（或）发包人指定方的名下，包括永久性工程及工程物资，以及相关工作；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移交已完成的永久性工程及负责已运抵现场的工程物资。在移交前，妥善做好己完工程和已运抵现场的工程物资的保管、维护和保养；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将发包人提供的所有信息及承包人为本工程编制的设计文件、技术资料及其它文件移交给发包人。在承包人留有的资料文件中，销毁与发包人提供的所有信息相关的数据及资料的备份；</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移交相应实施阶段已经付款的并已完成的和尚待完成的设计文件、图纸、资料、操作维修手册、施工组织设计、质检资料、竣工资料等；</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16.1.3 因承包人违约解除合同后的估价、付款和结算</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因承包人原因导致合同解除的，则合同当事人应在合同解除后28天内完成估价、付款和清算，并按以下约定执行：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合同解除后，按第3.6款[商定或确定]商定或确定承包人实际完成工作对应的合同价款，以及承包人已提供的材料、工程设备、施工设备和临时工程等的价值；</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合同解除后，承包人应支付的违约金；</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合同解除后，因解除合同给发包人造成的损失；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合同解除后，承包人应按照发包人的指示完成现场的清理和撤离；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发包人和承包人应在合同解除后进行清算，出具最终结清付款证书，结清全部款项。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因承包人违约解除合同的，发包人有权暂停对承包人的付款，查清各项付款和已扣款项，发包人和承包人未能就合同解除后的清算和款项支付达成一致的，按照第20条[争议解决]的约定处理。</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16.1.4 因承包人违约解除合同的合同权益转让</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解除后，发包人可以继续完成工程，和（或）安排第三人完成。发包人有权要求承包人将其为实施合同而订立的材料和设备的订货合同或任何服务合同利益转让给发包人，并在承包人收到解除合同通知后的14天内，依法办理转让手续。发包人和（或）第三人有权使用承包人在施工现场的材料、设备、临时工程、承包人文件和由承包人或以其名义编制的其他文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73" w:name="_Ref531958549"/>
      <w:bookmarkStart w:id="1074" w:name="_Ref531958554"/>
      <w:bookmarkStart w:id="1075" w:name="_Toc54862305"/>
      <w:r>
        <w:rPr>
          <w:rFonts w:hint="eastAsia" w:ascii="Times New Roman" w:hAnsi="Times New Roman" w:eastAsia="宋体" w:cs="宋体"/>
          <w:b w:val="0"/>
          <w:bCs/>
          <w:color w:val="auto"/>
          <w:sz w:val="21"/>
          <w:szCs w:val="21"/>
          <w:highlight w:val="none"/>
        </w:rPr>
        <w:t>16.2 由承包人解除合同</w:t>
      </w:r>
      <w:bookmarkEnd w:id="1073"/>
      <w:bookmarkEnd w:id="1074"/>
      <w:bookmarkEnd w:id="1075"/>
    </w:p>
    <w:p>
      <w:pPr>
        <w:pStyle w:val="37"/>
        <w:numPr>
          <w:ilvl w:val="0"/>
          <w:numId w:val="0"/>
        </w:numPr>
        <w:rPr>
          <w:rFonts w:hint="eastAsia" w:ascii="Times New Roman" w:hAnsi="Times New Roman" w:cs="宋体"/>
          <w:color w:val="auto"/>
          <w:sz w:val="21"/>
          <w:highlight w:val="none"/>
        </w:rPr>
      </w:pPr>
      <w:bookmarkStart w:id="1076" w:name="_Ref3841758"/>
      <w:r>
        <w:rPr>
          <w:rFonts w:hint="eastAsia" w:ascii="Times New Roman" w:hAnsi="Times New Roman" w:cs="宋体"/>
          <w:color w:val="auto"/>
          <w:sz w:val="21"/>
          <w:highlight w:val="none"/>
        </w:rPr>
        <w:t>16.2.1 因发包人违约解除合同</w:t>
      </w:r>
      <w:bookmarkEnd w:id="107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承包人有权基于下列原因，以书面形式通知发包人解除合同，解除通知中应注明是根据第16.2.1项发出的，承包人应在发出正式解除合同通知14天前告知发包人其解除合同意向，除非发包人在收到该解除合同意向通知后14天内采取了补救措施，否则承包人可向发包人发出正式解除合同通知立即解除合同。解除日期应为发包人收到正式解除合同通知的日期，但在第(5)目的情况下，承包人无须提前告知发包人其解除合同意向，可直接发出正式解除合同通知立即解除合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承包人就发包人未能遵守第2.5.2项关于发包人的资金安排发出通知后42天内，仍未收到合理的证明；</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（2） 在第14条规定的付款时间到期后42天内，承包人仍未收到应付款项；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发包人实质上未能根据合同约定履行其义务，构成根本性违约；</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发承包双方订立本合同协议书后的84天内，承包人未收到根据第8.1款[开始工作]的开始工作通知；</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发包人破产、停业清理或进入清算程序，或情况表明发包人将进入破产和（或）清算程序或发包人资信严重恶化，已有对其财产的接管令或管理令，与债权人达成和解，或为其债权人的利益在财产接管人、受托人或管理人的监督下营业，或采取了任何行动或发生任何事件（根据有关适用法律）具有与前述行动或事件相似的效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发包人未能遵守第2.5.3项的约定提交支付担保；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发包人未能执行第15.1.2项[通知改正]的约定，致使合同目的不能实现的；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因发包人的原因暂停工作超过56天且暂停影响到整个工程，或因发包人的原因暂停工作超过182天的；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（9） 因发包人原因造成开始工作日期迟于承包人收到中标通知书（或在无中标通知书的情况下，订立本合同之日）后第84天的。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接到承包人解除合同意向通知后14天内，发包人随后给予了付款，或同意复工、或继续履行其义务、或提供了支付担保等，承包人应尽快安排并恢复正常工作；因此造成工期延误的，竣工日期顺延；承包人因此增加的费用，由发包人承担。</w:t>
      </w:r>
    </w:p>
    <w:p>
      <w:pPr>
        <w:pStyle w:val="37"/>
        <w:numPr>
          <w:ilvl w:val="0"/>
          <w:numId w:val="0"/>
        </w:numPr>
        <w:rPr>
          <w:rFonts w:hint="eastAsia" w:ascii="Times New Roman" w:hAnsi="Times New Roman" w:cs="宋体"/>
          <w:color w:val="auto"/>
          <w:sz w:val="21"/>
          <w:highlight w:val="none"/>
        </w:rPr>
      </w:pPr>
      <w:bookmarkStart w:id="1077" w:name="_Ref3842018"/>
      <w:bookmarkStart w:id="1078" w:name="_Ref4624336"/>
      <w:r>
        <w:rPr>
          <w:rFonts w:hint="eastAsia" w:ascii="Times New Roman" w:hAnsi="Times New Roman" w:cs="宋体"/>
          <w:color w:val="auto"/>
          <w:sz w:val="21"/>
          <w:highlight w:val="none"/>
        </w:rPr>
        <w:t>16.2.2 因发包人违约解除合同后</w:t>
      </w:r>
      <w:bookmarkEnd w:id="1077"/>
      <w:r>
        <w:rPr>
          <w:rFonts w:hint="eastAsia" w:ascii="Times New Roman" w:hAnsi="Times New Roman" w:cs="宋体"/>
          <w:color w:val="auto"/>
          <w:sz w:val="21"/>
          <w:highlight w:val="none"/>
        </w:rPr>
        <w:t>承包人的义务</w:t>
      </w:r>
      <w:bookmarkEnd w:id="1078"/>
    </w:p>
    <w:p>
      <w:pPr>
        <w:pStyle w:val="50"/>
        <w:numPr>
          <w:ilvl w:val="0"/>
          <w:numId w:val="0"/>
        </w:numPr>
        <w:spacing w:line="360" w:lineRule="auto"/>
        <w:ind w:left="400" w:firstLine="425"/>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合同解除后，承包人应按以下约定执行：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除为保护生命、财产、工程安全的工作外，停止所有进一步的工作；承包人因执行该保护工作而产生费用的，由发包人承担；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向发包人移交承包人已获得支付的承包人文件、生产设备、材料和其他工作；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从现场运走除为了安全需要以外的所有属于承包人的其他货物，并撤离现场。</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16.2.3 因发包人违约解除合同后的付款</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承包人按照本款约定解除合同的，发包人应在解除合同后28天内支付下列款项，并退还履约担保：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合同解除前所完成工作的价款；</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承包人为工程施工订购并已付款的材料、工程设备和其他物品的价款；发包人付款后，该材料、工程设备和其他物品归发包人所有；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承包人为完成工程所发生的，而发包人未支付的金额；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承包人撤离施工现场以及遣散承包人人员的款项；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按照合同约定在合同解除前应支付的违约金；</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按照合同约定应当支付给承包人的其他款项；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按照合同约定应返还的质量保证金；</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 因解除合同给承包人造成的损失。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承包人应妥善做好已完工程和与工程有关的已购材料、工程设备的保护和移交工作，并将施工设备和人员撤出施工现场，发包人应为承包人撤出提供必要条件。</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79" w:name="_Toc54862306"/>
      <w:bookmarkStart w:id="1080" w:name="_Ref3841966"/>
      <w:r>
        <w:rPr>
          <w:rFonts w:hint="eastAsia" w:ascii="Times New Roman" w:hAnsi="Times New Roman" w:eastAsia="宋体" w:cs="宋体"/>
          <w:b w:val="0"/>
          <w:bCs/>
          <w:color w:val="auto"/>
          <w:sz w:val="21"/>
          <w:szCs w:val="21"/>
          <w:highlight w:val="none"/>
        </w:rPr>
        <w:t>16.3 合同解除后的事项</w:t>
      </w:r>
      <w:bookmarkEnd w:id="1079"/>
      <w:bookmarkEnd w:id="1080"/>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16.3.1 结算约定依然有效</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合同解除后，由发包人或由承包人解除合同的结算及结算后的付款约定仍然有效，直至解除合同的结算工作结清。</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16.3.2 解除合同的争议</w:t>
      </w:r>
    </w:p>
    <w:p>
      <w:pPr>
        <w:spacing w:line="360" w:lineRule="auto"/>
        <w:ind w:firstLine="600"/>
        <w:rPr>
          <w:rFonts w:hint="eastAsia" w:ascii="Times New Roman" w:hAnsi="Times New Roman" w:cs="宋体"/>
          <w:color w:val="auto"/>
          <w:szCs w:val="21"/>
          <w:highlight w:val="none"/>
        </w:rPr>
      </w:pPr>
      <w:bookmarkStart w:id="1081" w:name="_Hlk18988355"/>
      <w:r>
        <w:rPr>
          <w:rFonts w:hint="eastAsia" w:ascii="Times New Roman" w:hAnsi="Times New Roman" w:cs="宋体"/>
          <w:color w:val="auto"/>
          <w:szCs w:val="21"/>
          <w:highlight w:val="none"/>
        </w:rPr>
        <w:t>双方对解除合同或解除合同后的结算有争议的，按照第20条[争议解决]的约定处理。</w:t>
      </w:r>
      <w:bookmarkEnd w:id="1081"/>
    </w:p>
    <w:p>
      <w:pPr>
        <w:pStyle w:val="49"/>
        <w:numPr>
          <w:ilvl w:val="0"/>
          <w:numId w:val="0"/>
        </w:numPr>
        <w:rPr>
          <w:rFonts w:hint="eastAsia" w:ascii="Times New Roman" w:hAnsi="Times New Roman" w:eastAsia="宋体" w:cs="宋体"/>
          <w:bCs w:val="0"/>
          <w:color w:val="auto"/>
          <w:sz w:val="21"/>
          <w:szCs w:val="21"/>
          <w:highlight w:val="none"/>
        </w:rPr>
      </w:pPr>
      <w:bookmarkStart w:id="1082" w:name="_Toc54862307"/>
      <w:bookmarkStart w:id="1083" w:name="_Ref3840974"/>
      <w:bookmarkStart w:id="1084" w:name="_Ref3840605"/>
      <w:r>
        <w:rPr>
          <w:rFonts w:hint="eastAsia" w:ascii="Times New Roman" w:hAnsi="Times New Roman" w:eastAsia="宋体" w:cs="宋体"/>
          <w:bCs w:val="0"/>
          <w:color w:val="auto"/>
          <w:sz w:val="21"/>
          <w:szCs w:val="21"/>
          <w:highlight w:val="none"/>
        </w:rPr>
        <w:t>第17条 不可抗力</w:t>
      </w:r>
      <w:bookmarkEnd w:id="1082"/>
      <w:bookmarkEnd w:id="1083"/>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85" w:name="_Ref531958161"/>
      <w:bookmarkStart w:id="1086" w:name="_Ref531958158"/>
      <w:bookmarkStart w:id="1087" w:name="_Toc54862308"/>
      <w:r>
        <w:rPr>
          <w:rFonts w:hint="eastAsia" w:ascii="Times New Roman" w:hAnsi="Times New Roman" w:eastAsia="宋体" w:cs="宋体"/>
          <w:b w:val="0"/>
          <w:bCs/>
          <w:color w:val="auto"/>
          <w:sz w:val="21"/>
          <w:szCs w:val="21"/>
          <w:highlight w:val="none"/>
        </w:rPr>
        <w:t>17.1 不可抗力的</w:t>
      </w:r>
      <w:bookmarkEnd w:id="1085"/>
      <w:bookmarkEnd w:id="1086"/>
      <w:r>
        <w:rPr>
          <w:rFonts w:hint="eastAsia" w:ascii="Times New Roman" w:hAnsi="Times New Roman" w:eastAsia="宋体" w:cs="宋体"/>
          <w:b w:val="0"/>
          <w:bCs/>
          <w:color w:val="auto"/>
          <w:sz w:val="21"/>
          <w:szCs w:val="21"/>
          <w:highlight w:val="none"/>
        </w:rPr>
        <w:t>定义</w:t>
      </w:r>
      <w:bookmarkEnd w:id="108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抗力是指合同当事人在订立合同时不可预见，在合同履行过程中不可避免、不能克服且不能提前防备的自然灾害和社会性突发事件，如地震、海啸、瘟疫、骚乱、戒严、暴动、战争和专用合同条件中约定的其他情形。</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88" w:name="_Toc54862309"/>
      <w:r>
        <w:rPr>
          <w:rFonts w:hint="eastAsia" w:ascii="Times New Roman" w:hAnsi="Times New Roman" w:eastAsia="宋体" w:cs="宋体"/>
          <w:b w:val="0"/>
          <w:bCs/>
          <w:color w:val="auto"/>
          <w:sz w:val="21"/>
          <w:szCs w:val="21"/>
          <w:highlight w:val="none"/>
        </w:rPr>
        <w:t>17.2 不可抗力的通知</w:t>
      </w:r>
      <w:bookmarkEnd w:id="1088"/>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合同一方当事人觉察或发现不可抗力事件发生，使其履行合同义务受到阻碍时，有义务立即通知合同另一方当事人和工程师，书面说明不可抗力和受阻碍的详细情况，并提供必要的证明。</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不可抗力持续发生的，合同一方当事人应每隔28天向合同另一方当事人和工程师提交中间报告，说明不可抗力和履行合同受阻的情况，并于不可抗力事件结束后28天内提交最终报告及有关资料。</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89" w:name="_Toc54862310"/>
      <w:r>
        <w:rPr>
          <w:rFonts w:hint="eastAsia" w:ascii="Times New Roman" w:hAnsi="Times New Roman" w:eastAsia="宋体" w:cs="宋体"/>
          <w:b w:val="0"/>
          <w:bCs/>
          <w:color w:val="auto"/>
          <w:sz w:val="21"/>
          <w:szCs w:val="21"/>
          <w:highlight w:val="none"/>
        </w:rPr>
        <w:t>17.3 将损失减至最小的义务</w:t>
      </w:r>
      <w:bookmarkEnd w:id="108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抗力发生后，合同当事人均应采取措施尽量避免和减少损失的扩大，使不可抗力对履行合同造成的损失减至最小。另一方全力协助并采取措施，需暂停实施的工作，立即停止。任何一方当事人没有采取有效措施导致损失扩大的，应对扩大的损失承担责任。</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90" w:name="_Ref531958170"/>
      <w:bookmarkStart w:id="1091" w:name="_Ref531958172"/>
      <w:bookmarkStart w:id="1092" w:name="_Ref3840916"/>
      <w:bookmarkStart w:id="1093" w:name="_Toc54862311"/>
      <w:r>
        <w:rPr>
          <w:rFonts w:hint="eastAsia" w:ascii="Times New Roman" w:hAnsi="Times New Roman" w:eastAsia="宋体" w:cs="宋体"/>
          <w:b w:val="0"/>
          <w:bCs/>
          <w:color w:val="auto"/>
          <w:sz w:val="21"/>
          <w:szCs w:val="21"/>
          <w:highlight w:val="none"/>
        </w:rPr>
        <w:t>17.4 不可抗力后果</w:t>
      </w:r>
      <w:bookmarkEnd w:id="1090"/>
      <w:bookmarkEnd w:id="1091"/>
      <w:r>
        <w:rPr>
          <w:rFonts w:hint="eastAsia" w:ascii="Times New Roman" w:hAnsi="Times New Roman" w:eastAsia="宋体" w:cs="宋体"/>
          <w:b w:val="0"/>
          <w:bCs/>
          <w:color w:val="auto"/>
          <w:sz w:val="21"/>
          <w:szCs w:val="21"/>
          <w:highlight w:val="none"/>
        </w:rPr>
        <w:t>的承担</w:t>
      </w:r>
      <w:bookmarkEnd w:id="1092"/>
      <w:bookmarkEnd w:id="1093"/>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不可抗力导致的人员伤亡、财产损失、费用增加和（或）工期延误等后果，由合同当事人按以下原则承担：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永久工程，包括已运至施工现场的材料和工程设备的损害，以及因工程损害造成的第三人人员伤亡和财产损失由发包人承担；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承包人提供的施工设备的损坏由承包人承担；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发包人和承包人各自承担其人员伤亡及其他财产损失；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因不可抗力影响承包人履行合同约定的义务，已经引起或将引起工期延误的，应当顺延工期，由此导致承包人停工的费用损失由发包人和承包人合理分担，</w:t>
      </w:r>
      <w:bookmarkStart w:id="1094" w:name="_Hlk51507024"/>
      <w:r>
        <w:rPr>
          <w:rFonts w:hint="eastAsia" w:ascii="Times New Roman" w:hAnsi="Times New Roman" w:cs="宋体"/>
          <w:color w:val="auto"/>
          <w:szCs w:val="21"/>
          <w:highlight w:val="none"/>
        </w:rPr>
        <w:t>停工期间必须支付的现场必要的工人工资</w:t>
      </w:r>
      <w:bookmarkEnd w:id="1094"/>
      <w:r>
        <w:rPr>
          <w:rFonts w:hint="eastAsia" w:ascii="Times New Roman" w:hAnsi="Times New Roman" w:cs="宋体"/>
          <w:color w:val="auto"/>
          <w:szCs w:val="21"/>
          <w:highlight w:val="none"/>
        </w:rPr>
        <w:t>由发包人承担；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因不可抗力引起或将引起工期延误，发包人指示赶工的，由此增加的赶工费用由发包人承担；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承包人在停工期间按照工程师或发包人要求照管、清理和修复工程的费用由发包人承担。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不可抗力引起的后果及造成的损失由合同当事人按照法律规定及合同约定各自承担。不可抗力发生前已完成的工程应当按照合同约定进行支付。</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95" w:name="_Toc54862312"/>
      <w:r>
        <w:rPr>
          <w:rFonts w:hint="eastAsia" w:ascii="Times New Roman" w:hAnsi="Times New Roman" w:eastAsia="宋体" w:cs="宋体"/>
          <w:b w:val="0"/>
          <w:bCs/>
          <w:color w:val="auto"/>
          <w:sz w:val="21"/>
          <w:szCs w:val="21"/>
          <w:highlight w:val="none"/>
        </w:rPr>
        <w:t>17.5 不可抗力影响分包人</w:t>
      </w:r>
      <w:bookmarkEnd w:id="1095"/>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分包人根据分包合同的约定，有权获得更多或者更广的不可抗力而免除某些义务时，承包人不得以分包合同中不可抗力约定向发包人抗辩免除其义务。</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096" w:name="_Ref531958184"/>
      <w:bookmarkStart w:id="1097" w:name="_Ref531958181"/>
      <w:bookmarkStart w:id="1098" w:name="_Ref3840892"/>
      <w:bookmarkStart w:id="1099" w:name="_Toc54862313"/>
      <w:bookmarkStart w:id="1100" w:name="_Ref4538024"/>
      <w:r>
        <w:rPr>
          <w:rFonts w:hint="eastAsia" w:ascii="Times New Roman" w:hAnsi="Times New Roman" w:eastAsia="宋体" w:cs="宋体"/>
          <w:b w:val="0"/>
          <w:bCs/>
          <w:color w:val="auto"/>
          <w:sz w:val="21"/>
          <w:szCs w:val="21"/>
          <w:highlight w:val="none"/>
        </w:rPr>
        <w:t>17.6 因不可抗力解除</w:t>
      </w:r>
      <w:bookmarkEnd w:id="1096"/>
      <w:bookmarkEnd w:id="1097"/>
      <w:r>
        <w:rPr>
          <w:rFonts w:hint="eastAsia" w:ascii="Times New Roman" w:hAnsi="Times New Roman" w:eastAsia="宋体" w:cs="宋体"/>
          <w:b w:val="0"/>
          <w:bCs/>
          <w:color w:val="auto"/>
          <w:sz w:val="21"/>
          <w:szCs w:val="21"/>
          <w:highlight w:val="none"/>
        </w:rPr>
        <w:t>合同</w:t>
      </w:r>
      <w:bookmarkEnd w:id="1098"/>
      <w:bookmarkEnd w:id="1099"/>
      <w:bookmarkEnd w:id="1100"/>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单次不可抗力导致合同无法履行连续超过84天或累计超过140天的，发包人和承包人均有权解除合同。合同解除后，承包人应按照第10.5款[竣工退场]的规定进行。由双方当事人按照第3.6款[商定或确定]商定或确定发包人应支付的款项，该款项包括：</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合同解除前承包人已完成工作的价款；</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为工程订购的并已交付给承包人，或承包人有责任接受交付的材料、工程设备和其他物品的价款；当发包人支付上述费用后，此项材料、工程设备与其他物品应成为发包人的财产，承包人应将其交由发包人处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发包人指示承包人退货或解除订货合同而产生的费用，或因不能退货或解除合同而产生的损失；</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承包人撤离施工现场以及遣散承包人人员的费用；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按照合同约定在合同解除前应支付给承包人的其他款项；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扣减承包人按照合同约定应向发包人支付的款项；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 双方商定或确定的其他款项。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除专用合同条件另有约定外，合同解除后，发包人应当在商定或确定上述款项后28天内完成上述款项的支付。</w:t>
      </w:r>
    </w:p>
    <w:p>
      <w:pPr>
        <w:pStyle w:val="49"/>
        <w:numPr>
          <w:ilvl w:val="0"/>
          <w:numId w:val="0"/>
        </w:numPr>
        <w:rPr>
          <w:rFonts w:hint="eastAsia" w:ascii="Times New Roman" w:hAnsi="Times New Roman" w:eastAsia="宋体" w:cs="宋体"/>
          <w:b w:val="0"/>
          <w:color w:val="auto"/>
          <w:sz w:val="21"/>
          <w:szCs w:val="21"/>
          <w:highlight w:val="none"/>
        </w:rPr>
      </w:pPr>
      <w:bookmarkStart w:id="1101" w:name="_Ref11848274"/>
      <w:bookmarkStart w:id="1102" w:name="_Toc54862314"/>
      <w:bookmarkStart w:id="1103" w:name="_Ref11848264"/>
      <w:r>
        <w:rPr>
          <w:rFonts w:hint="eastAsia" w:ascii="Times New Roman" w:hAnsi="Times New Roman" w:eastAsia="宋体" w:cs="宋体"/>
          <w:bCs w:val="0"/>
          <w:color w:val="auto"/>
          <w:sz w:val="21"/>
          <w:szCs w:val="21"/>
          <w:highlight w:val="none"/>
        </w:rPr>
        <w:t>第18条 保险</w:t>
      </w:r>
      <w:bookmarkEnd w:id="1084"/>
      <w:bookmarkEnd w:id="1101"/>
      <w:bookmarkEnd w:id="1102"/>
      <w:bookmarkEnd w:id="1103"/>
      <w:r>
        <w:rPr>
          <w:rFonts w:hint="eastAsia" w:ascii="Times New Roman" w:hAnsi="Times New Roman" w:eastAsia="宋体" w:cs="宋体"/>
          <w:b w:val="0"/>
          <w:color w:val="auto"/>
          <w:sz w:val="21"/>
          <w:szCs w:val="21"/>
          <w:highlight w:val="none"/>
        </w:rPr>
        <w:t xml:space="preserve"> </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04" w:name="_Toc54862315"/>
      <w:bookmarkStart w:id="1105" w:name="_Ref3840730"/>
      <w:bookmarkStart w:id="1106" w:name="_Ref3840734"/>
      <w:bookmarkStart w:id="1107" w:name="_Ref531957911"/>
      <w:bookmarkStart w:id="1108" w:name="_Ref531957914"/>
      <w:bookmarkStart w:id="1109" w:name="_Toc351203616"/>
      <w:r>
        <w:rPr>
          <w:rFonts w:hint="eastAsia" w:ascii="Times New Roman" w:hAnsi="Times New Roman" w:eastAsia="宋体" w:cs="宋体"/>
          <w:b w:val="0"/>
          <w:bCs/>
          <w:color w:val="auto"/>
          <w:sz w:val="21"/>
          <w:szCs w:val="21"/>
          <w:highlight w:val="none"/>
        </w:rPr>
        <w:t>18.1 设计和工程保险</w:t>
      </w:r>
      <w:bookmarkEnd w:id="1104"/>
      <w:bookmarkEnd w:id="1105"/>
      <w:bookmarkEnd w:id="1106"/>
    </w:p>
    <w:bookmarkEnd w:id="1107"/>
    <w:bookmarkEnd w:id="1108"/>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18.1.1 双方应按照专用合同条件的约定向双方同意的保险人投保建设工程设计责任险、建筑安装工程一切险等保险。具体的投保险种、保险范围、保险金额、保险费率、保险期限等有关内容应当在专用合同条件中明确约定。</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18.1.2 双方应按照专用合同条件的约定投保第三者责任险，并在缺陷责任期终止证书颁发前维持其持续有效。第三者责任险最低投保额应在专用合同条件内约定。</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10" w:name="_Ref3840683"/>
      <w:bookmarkStart w:id="1111" w:name="_Toc54862316"/>
      <w:r>
        <w:rPr>
          <w:rFonts w:hint="eastAsia" w:ascii="Times New Roman" w:hAnsi="Times New Roman" w:eastAsia="宋体" w:cs="宋体"/>
          <w:b w:val="0"/>
          <w:bCs/>
          <w:color w:val="auto"/>
          <w:sz w:val="21"/>
          <w:szCs w:val="21"/>
          <w:highlight w:val="none"/>
        </w:rPr>
        <w:t>18.2 工伤和意外伤害保险</w:t>
      </w:r>
      <w:bookmarkEnd w:id="1110"/>
      <w:bookmarkEnd w:id="1111"/>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18.2.1 发包人应依照法律规定为其在施工现场的雇用人员办理工伤保险，缴纳工伤保险费；并要求工程师及由发包人为履行合同聘请的第三方在施工现场的雇用人员依法办理工伤保险。</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18.2.2 承包人应依照法律规定为其履行合同雇用的全部人员办理工伤保险，缴纳工伤保险费，并要求分包人及由承包人为履行合同聘请的第三方雇用的全部人员依法办理工伤保险。</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18.2.3 发包人和承包人可以为其施工现场的全部人员办理意外伤害保险并支付保险费，包括其员工及为履行合同聘请的第三方的人员，具体事项由合同当事人在专用合同条件约定。</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12" w:name="_Ref3840782"/>
      <w:bookmarkStart w:id="1113" w:name="_Toc54862317"/>
      <w:r>
        <w:rPr>
          <w:rFonts w:hint="eastAsia" w:ascii="Times New Roman" w:hAnsi="Times New Roman" w:eastAsia="宋体" w:cs="宋体"/>
          <w:b w:val="0"/>
          <w:bCs/>
          <w:color w:val="auto"/>
          <w:sz w:val="21"/>
          <w:szCs w:val="21"/>
          <w:highlight w:val="none"/>
        </w:rPr>
        <w:t>18.3 货物保险</w:t>
      </w:r>
      <w:bookmarkEnd w:id="1112"/>
      <w:bookmarkEnd w:id="1113"/>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w:t>
      </w:r>
      <w:r>
        <w:rPr>
          <w:rFonts w:hint="eastAsia" w:ascii="Times New Roman" w:hAnsi="Times New Roman" w:cs="宋体"/>
          <w:iCs/>
          <w:color w:val="auto"/>
          <w:szCs w:val="21"/>
          <w:highlight w:val="none"/>
        </w:rPr>
        <w:t>按照</w:t>
      </w:r>
      <w:r>
        <w:rPr>
          <w:rFonts w:hint="eastAsia" w:ascii="Times New Roman" w:hAnsi="Times New Roman" w:cs="宋体"/>
          <w:color w:val="auto"/>
          <w:szCs w:val="21"/>
          <w:highlight w:val="none"/>
        </w:rPr>
        <w:t>专用合同条件的约定为</w:t>
      </w:r>
      <w:r>
        <w:rPr>
          <w:rFonts w:hint="eastAsia" w:ascii="Times New Roman" w:hAnsi="Times New Roman" w:cs="宋体"/>
          <w:iCs/>
          <w:color w:val="auto"/>
          <w:szCs w:val="21"/>
          <w:highlight w:val="none"/>
        </w:rPr>
        <w:t>运抵现场的</w:t>
      </w:r>
      <w:r>
        <w:rPr>
          <w:rFonts w:hint="eastAsia" w:ascii="Times New Roman" w:hAnsi="Times New Roman" w:cs="宋体"/>
          <w:color w:val="auto"/>
          <w:szCs w:val="21"/>
          <w:highlight w:val="none"/>
        </w:rPr>
        <w:t>施工设备、材料、工程设备和临时工程等办理财产保险，保险期限自上述货物运抵现场至其不再为工程所需要为止。</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14" w:name="_Toc54862318"/>
      <w:bookmarkStart w:id="1115" w:name="_Ref4692231"/>
      <w:bookmarkStart w:id="1116" w:name="_Ref4692238"/>
      <w:r>
        <w:rPr>
          <w:rFonts w:hint="eastAsia" w:ascii="Times New Roman" w:hAnsi="Times New Roman" w:eastAsia="宋体" w:cs="宋体"/>
          <w:b w:val="0"/>
          <w:bCs/>
          <w:color w:val="auto"/>
          <w:sz w:val="21"/>
          <w:szCs w:val="21"/>
          <w:highlight w:val="none"/>
        </w:rPr>
        <w:t>18.4 其他保险</w:t>
      </w:r>
      <w:bookmarkEnd w:id="1114"/>
      <w:bookmarkEnd w:id="1115"/>
      <w:bookmarkEnd w:id="111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按照工程总承包模式所适用的法律法规和专用合同条件约定，投保其他保险并保持保险有效，其投保费用发包人自行承担。承包人应按照工程总承包模式所适用法律法规和专用合同条件约定投保相应保险并保持保险有效，其投</w:t>
      </w:r>
      <w:bookmarkEnd w:id="1109"/>
      <w:r>
        <w:rPr>
          <w:rFonts w:hint="eastAsia" w:ascii="Times New Roman" w:hAnsi="Times New Roman" w:cs="宋体"/>
          <w:color w:val="auto"/>
          <w:szCs w:val="21"/>
          <w:highlight w:val="none"/>
        </w:rPr>
        <w:t>保费用包含在合同价格中，但在合同执行过程中，新颁布适用的法律法规规定由承包人投保的强制保险，应根据本合同</w:t>
      </w:r>
      <w:bookmarkStart w:id="1117" w:name="_Toc351203617"/>
      <w:bookmarkStart w:id="1118" w:name="_Toc296503126"/>
      <w:bookmarkStart w:id="1119" w:name="_Toc337558832"/>
      <w:bookmarkStart w:id="1120" w:name="_Toc296346627"/>
      <w:r>
        <w:rPr>
          <w:rFonts w:hint="eastAsia" w:ascii="Times New Roman" w:hAnsi="Times New Roman" w:cs="宋体"/>
          <w:color w:val="auto"/>
          <w:szCs w:val="21"/>
          <w:highlight w:val="none"/>
        </w:rPr>
        <w:t>第13条[变更与调整]的约定增加合同价款。</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21" w:name="_Toc54862319"/>
      <w:bookmarkStart w:id="1122" w:name="_Ref3840659"/>
      <w:r>
        <w:rPr>
          <w:rFonts w:hint="eastAsia" w:ascii="Times New Roman" w:hAnsi="Times New Roman" w:eastAsia="宋体" w:cs="宋体"/>
          <w:b w:val="0"/>
          <w:bCs/>
          <w:color w:val="auto"/>
          <w:sz w:val="21"/>
          <w:szCs w:val="21"/>
          <w:highlight w:val="none"/>
        </w:rPr>
        <w:t>18.5 对各项保险的一般要求</w:t>
      </w:r>
      <w:bookmarkEnd w:id="1121"/>
      <w:bookmarkEnd w:id="1122"/>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18.5.1 持续保险</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合同当事人应与保险人保持联系，使保险人能够随时了</w:t>
      </w:r>
      <w:bookmarkEnd w:id="1117"/>
      <w:r>
        <w:rPr>
          <w:rFonts w:hint="eastAsia" w:ascii="Times New Roman" w:hAnsi="Times New Roman" w:cs="宋体"/>
          <w:color w:val="auto"/>
          <w:szCs w:val="21"/>
          <w:highlight w:val="none"/>
        </w:rPr>
        <w:t>解</w:t>
      </w:r>
      <w:bookmarkEnd w:id="1118"/>
      <w:bookmarkEnd w:id="1119"/>
      <w:bookmarkEnd w:id="1120"/>
      <w:r>
        <w:rPr>
          <w:rFonts w:hint="eastAsia" w:ascii="Times New Roman" w:hAnsi="Times New Roman" w:cs="宋体"/>
          <w:color w:val="auto"/>
          <w:szCs w:val="21"/>
          <w:highlight w:val="none"/>
        </w:rPr>
        <w:t>工程实施中的变动，并确保按保险合同条款要求持续保险。</w:t>
      </w:r>
    </w:p>
    <w:p>
      <w:pPr>
        <w:pStyle w:val="37"/>
        <w:numPr>
          <w:ilvl w:val="0"/>
          <w:numId w:val="0"/>
        </w:numPr>
        <w:rPr>
          <w:rFonts w:hint="eastAsia" w:ascii="Times New Roman" w:hAnsi="Times New Roman" w:cs="宋体"/>
          <w:color w:val="auto"/>
          <w:sz w:val="21"/>
          <w:highlight w:val="none"/>
        </w:rPr>
      </w:pPr>
      <w:bookmarkStart w:id="1123" w:name="_Ref4777650"/>
      <w:r>
        <w:rPr>
          <w:rFonts w:hint="eastAsia" w:ascii="Times New Roman" w:hAnsi="Times New Roman" w:cs="宋体"/>
          <w:color w:val="auto"/>
          <w:sz w:val="21"/>
          <w:highlight w:val="none"/>
        </w:rPr>
        <w:t>18.5.2 保险凭证</w:t>
      </w:r>
      <w:bookmarkEnd w:id="1123"/>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合同当事人应及时向另一方当事人提交其已投保的各项保险的凭证和保险单复印件，保险单必须与专用合同条件约定的条件保持一致。</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18.5.3 未按约定投保的补救</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负有投保义务的一方当事人未按合同约定办理保险，或未能使保险持续有效的，则另一方当事人可代为办理，所需费用由负有投保义务的一方当事人承担。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负有投保</w:t>
      </w:r>
      <w:bookmarkStart w:id="1124" w:name="_Toc351203619"/>
      <w:bookmarkStart w:id="1125" w:name="_Toc337558834"/>
      <w:r>
        <w:rPr>
          <w:rFonts w:hint="eastAsia" w:ascii="Times New Roman" w:hAnsi="Times New Roman" w:cs="宋体"/>
          <w:color w:val="auto"/>
          <w:szCs w:val="21"/>
          <w:highlight w:val="none"/>
        </w:rPr>
        <w:t>义务的一方当事人未</w:t>
      </w:r>
      <w:bookmarkEnd w:id="1124"/>
      <w:r>
        <w:rPr>
          <w:rFonts w:hint="eastAsia" w:ascii="Times New Roman" w:hAnsi="Times New Roman" w:cs="宋体"/>
          <w:color w:val="auto"/>
          <w:szCs w:val="21"/>
          <w:highlight w:val="none"/>
        </w:rPr>
        <w:t>按</w:t>
      </w:r>
      <w:bookmarkEnd w:id="1125"/>
      <w:r>
        <w:rPr>
          <w:rFonts w:hint="eastAsia" w:ascii="Times New Roman" w:hAnsi="Times New Roman" w:cs="宋体"/>
          <w:color w:val="auto"/>
          <w:szCs w:val="21"/>
          <w:highlight w:val="none"/>
        </w:rPr>
        <w:t>合同约定办理某项保险，导致受益人未能得到足额赔偿的，由负有投保义务的一方当事人负责按照原应从该项保险得到的保险金数额进行补足。</w:t>
      </w:r>
    </w:p>
    <w:p>
      <w:pPr>
        <w:pStyle w:val="37"/>
        <w:numPr>
          <w:ilvl w:val="0"/>
          <w:numId w:val="0"/>
        </w:numPr>
        <w:rPr>
          <w:rFonts w:hint="eastAsia" w:ascii="Times New Roman" w:hAnsi="Times New Roman" w:cs="宋体"/>
          <w:color w:val="auto"/>
          <w:sz w:val="21"/>
          <w:highlight w:val="none"/>
        </w:rPr>
      </w:pPr>
      <w:bookmarkStart w:id="1126" w:name="_Ref4692685"/>
      <w:r>
        <w:rPr>
          <w:rFonts w:hint="eastAsia" w:ascii="Times New Roman" w:hAnsi="Times New Roman" w:cs="宋体"/>
          <w:color w:val="auto"/>
          <w:sz w:val="21"/>
          <w:highlight w:val="none"/>
        </w:rPr>
        <w:t>18.5.4 通知义务</w:t>
      </w:r>
      <w:bookmarkEnd w:id="112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除专用合同条件另有约定外，任何一方当事人变更除工伤保险之外的保险合同时，应事先征得另一方当事人同意，并通知工程师。</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保险事故发生时，投保人应按照保险合同规定的条件和期限及时向保险人报告。发包人和承包人应当在知道保险事故发生后及时通知对方。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双方按本条规定投保不减少双方在合同下的其他义务。</w:t>
      </w:r>
    </w:p>
    <w:p>
      <w:pPr>
        <w:pStyle w:val="49"/>
        <w:numPr>
          <w:ilvl w:val="0"/>
          <w:numId w:val="0"/>
        </w:numPr>
        <w:rPr>
          <w:rFonts w:hint="eastAsia" w:ascii="Times New Roman" w:hAnsi="Times New Roman" w:eastAsia="宋体" w:cs="宋体"/>
          <w:b w:val="0"/>
          <w:color w:val="auto"/>
          <w:sz w:val="21"/>
          <w:szCs w:val="21"/>
          <w:highlight w:val="none"/>
        </w:rPr>
      </w:pPr>
      <w:bookmarkStart w:id="1127" w:name="_Ref11874997"/>
      <w:bookmarkStart w:id="1128" w:name="_Toc54862320"/>
      <w:r>
        <w:rPr>
          <w:rFonts w:hint="eastAsia" w:ascii="Times New Roman" w:hAnsi="Times New Roman" w:eastAsia="宋体" w:cs="宋体"/>
          <w:bCs w:val="0"/>
          <w:color w:val="auto"/>
          <w:sz w:val="21"/>
          <w:szCs w:val="21"/>
          <w:highlight w:val="none"/>
        </w:rPr>
        <w:t>第19条 索赔</w:t>
      </w:r>
      <w:bookmarkEnd w:id="1063"/>
      <w:bookmarkEnd w:id="1064"/>
      <w:bookmarkEnd w:id="1127"/>
      <w:bookmarkEnd w:id="1128"/>
      <w:r>
        <w:rPr>
          <w:rFonts w:hint="eastAsia" w:ascii="Times New Roman" w:hAnsi="Times New Roman" w:eastAsia="宋体" w:cs="宋体"/>
          <w:b w:val="0"/>
          <w:color w:val="auto"/>
          <w:sz w:val="21"/>
          <w:szCs w:val="21"/>
          <w:highlight w:val="none"/>
        </w:rPr>
        <w:t xml:space="preserve"> </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29" w:name="_Ref4798173"/>
      <w:bookmarkStart w:id="1130" w:name="_Ref4798164"/>
      <w:bookmarkStart w:id="1131" w:name="_Toc54862321"/>
      <w:r>
        <w:rPr>
          <w:rFonts w:hint="eastAsia" w:ascii="Times New Roman" w:hAnsi="Times New Roman" w:eastAsia="宋体" w:cs="宋体"/>
          <w:b w:val="0"/>
          <w:bCs/>
          <w:color w:val="auto"/>
          <w:sz w:val="21"/>
          <w:szCs w:val="21"/>
          <w:highlight w:val="none"/>
        </w:rPr>
        <w:t>19.1 索赔</w:t>
      </w:r>
      <w:bookmarkEnd w:id="1129"/>
      <w:bookmarkEnd w:id="1130"/>
      <w:r>
        <w:rPr>
          <w:rFonts w:hint="eastAsia" w:ascii="Times New Roman" w:hAnsi="Times New Roman" w:eastAsia="宋体" w:cs="宋体"/>
          <w:b w:val="0"/>
          <w:bCs/>
          <w:color w:val="auto"/>
          <w:sz w:val="21"/>
          <w:szCs w:val="21"/>
          <w:highlight w:val="none"/>
        </w:rPr>
        <w:t>的提出</w:t>
      </w:r>
      <w:bookmarkEnd w:id="1131"/>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根据合同约定，任意一方认为有权得到追加/减少付款、延长缺陷责任期和（或）延长工期的，应按以下程序向对方提出索赔：</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索赔方应在知道或应当知道索赔事件发生后28天内，向对方递交索赔意向通知书，并说明发生索赔事件的事由；索赔方未在前述28天内发出索赔意向通知书的，丧失要求追加/减少付款、延长缺陷责任期和（或）延长工期的权利；</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索赔方应在发出索赔意向通知书后28天内，向对方正式递交索赔报告；索赔报告应详细说明索赔理由以及要求追加的付款金额、延长缺陷责任期和（或）延长的工期，并附必要的记录和证明材料；</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索赔事件具有持续影响的，索赔方应每月递交延续索赔通知，说明持续影响的实际情况和记录，列出累计的追加付款金额、延长缺陷责任期和（或）工期延长天数；</w:t>
      </w:r>
    </w:p>
    <w:p>
      <w:pPr>
        <w:spacing w:line="360" w:lineRule="auto"/>
        <w:ind w:firstLine="600"/>
        <w:rPr>
          <w:rFonts w:hint="eastAsia" w:ascii="Times New Roman" w:hAnsi="Times New Roman" w:cs="宋体"/>
          <w:color w:val="auto"/>
          <w:szCs w:val="21"/>
          <w:highlight w:val="none"/>
        </w:rPr>
      </w:pPr>
      <w:bookmarkStart w:id="1132" w:name="_Ref4796178"/>
      <w:r>
        <w:rPr>
          <w:rFonts w:hint="eastAsia" w:ascii="Times New Roman" w:hAnsi="Times New Roman" w:cs="宋体"/>
          <w:color w:val="auto"/>
          <w:szCs w:val="21"/>
          <w:highlight w:val="none"/>
        </w:rPr>
        <w:t>（4） 在索赔事件影响结束后28天内，索赔方应向对方递交最终索赔报告，说明最终要求索赔的追加付款金额、延长缺陷责任期和（或）延长的工期，并附必要的记录和证明材料。</w:t>
      </w:r>
      <w:bookmarkEnd w:id="1132"/>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承包人作为索赔方时，其索赔意向通知书、索赔报告及相关索赔文件应向工程师提出；发包人作为索赔方时，其索赔意向通知书、索赔报告及相关索赔文件可自行向承包人提出或由工程师向承包人提出。</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33" w:name="_Ref4796262"/>
      <w:bookmarkStart w:id="1134" w:name="_Toc54862322"/>
      <w:bookmarkStart w:id="1135" w:name="_Ref4796254"/>
      <w:r>
        <w:rPr>
          <w:rFonts w:hint="eastAsia" w:ascii="Times New Roman" w:hAnsi="Times New Roman" w:eastAsia="宋体" w:cs="宋体"/>
          <w:b w:val="0"/>
          <w:bCs/>
          <w:color w:val="auto"/>
          <w:sz w:val="21"/>
          <w:szCs w:val="21"/>
          <w:highlight w:val="none"/>
        </w:rPr>
        <w:t>19.2 承包人索赔的处理程序</w:t>
      </w:r>
      <w:bookmarkEnd w:id="1133"/>
      <w:bookmarkEnd w:id="1134"/>
      <w:bookmarkEnd w:id="1135"/>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工程师收到承包人提交的索赔报告后，应及时审查索赔报告的内容、查验承包人的记录和证明材料，必要时工程师可要求承包人提交全部原始记录副本。</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师应按第3.6款[商定或确定]商定或确定追加的付款和（或）延长的工期，并在收到上述索赔报告或有关索赔的进一步证明材料后及时书面告知发包人，并在42天内，将发包人书面认可的索赔处理结果答复承包人。工程师在收到索赔报告或有关索赔的进一步证明材料后的42天内不予答复的，视为认可索赔。</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承包人接受索赔处理结果的，发包人应在作出索赔处理结果答复后28天内完成支付。承包人不接受索赔处理结果的，按照第20条[争议解决]约定处理。</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36" w:name="_Toc54862323"/>
      <w:r>
        <w:rPr>
          <w:rFonts w:hint="eastAsia" w:ascii="Times New Roman" w:hAnsi="Times New Roman" w:eastAsia="宋体" w:cs="宋体"/>
          <w:b w:val="0"/>
          <w:bCs/>
          <w:color w:val="auto"/>
          <w:sz w:val="21"/>
          <w:szCs w:val="21"/>
          <w:highlight w:val="none"/>
        </w:rPr>
        <w:t>19.3 发包人索赔的处理程序</w:t>
      </w:r>
      <w:bookmarkEnd w:id="1136"/>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承包人收到发包人提交的索赔报告后，应及时审查索赔报告的内容、查验发包人证明材料；</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承包人应在收到上述索赔报告或有关索赔的进一步证明材料后42天内，将索赔处理结果答复发包人。承包人在收到索赔通知书或有关索赔的进一步证明材料后的42天内不予答复的，视为认可索赔。</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发包人接受索赔处理结果的，发包人可从应支付给承包人的合同价款中扣除赔付的金额或延长缺陷责任期；发包人不接受索赔处理结果的，按第20条[争议解决]约定处理。</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37" w:name="_Toc54862324"/>
      <w:r>
        <w:rPr>
          <w:rFonts w:hint="eastAsia" w:ascii="Times New Roman" w:hAnsi="Times New Roman" w:eastAsia="宋体" w:cs="宋体"/>
          <w:b w:val="0"/>
          <w:bCs/>
          <w:color w:val="auto"/>
          <w:sz w:val="21"/>
          <w:szCs w:val="21"/>
          <w:highlight w:val="none"/>
        </w:rPr>
        <w:t>19.4 提出索赔的期限</w:t>
      </w:r>
      <w:bookmarkEnd w:id="1137"/>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承包人按第14.5款[竣工结算</w:t>
      </w:r>
      <w:bookmarkStart w:id="1138" w:name="_Ref3826629"/>
      <w:bookmarkStart w:id="1139" w:name="_Ref3826634"/>
      <w:r>
        <w:rPr>
          <w:rFonts w:hint="eastAsia" w:ascii="Times New Roman" w:hAnsi="Times New Roman" w:cs="宋体"/>
          <w:color w:val="auto"/>
          <w:szCs w:val="21"/>
          <w:highlight w:val="none"/>
        </w:rPr>
        <w:t>]约定接收竣工付款证书后，应被认为已无权再提出在合同工程接收证书颁发前所发生的任何索赔。</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承包人按第14.7款[最终结清]提交的最终结清申请单中，只限于提出工程接收证书颁发后发生的索赔。提出索赔的期限均自接受最终结清证书时终止。</w:t>
      </w:r>
      <w:bookmarkEnd w:id="1138"/>
      <w:bookmarkEnd w:id="1139"/>
    </w:p>
    <w:p>
      <w:pPr>
        <w:pStyle w:val="49"/>
        <w:numPr>
          <w:ilvl w:val="0"/>
          <w:numId w:val="0"/>
        </w:numPr>
        <w:rPr>
          <w:rFonts w:hint="eastAsia" w:ascii="Times New Roman" w:hAnsi="Times New Roman" w:eastAsia="宋体" w:cs="宋体"/>
          <w:bCs w:val="0"/>
          <w:color w:val="auto"/>
          <w:sz w:val="21"/>
          <w:szCs w:val="21"/>
          <w:highlight w:val="none"/>
        </w:rPr>
      </w:pPr>
      <w:bookmarkStart w:id="1140" w:name="_Toc54862325"/>
      <w:bookmarkStart w:id="1141" w:name="_Ref532197861"/>
      <w:bookmarkStart w:id="1142" w:name="_Ref532142075"/>
      <w:r>
        <w:rPr>
          <w:rFonts w:hint="eastAsia" w:ascii="Times New Roman" w:hAnsi="Times New Roman" w:eastAsia="宋体" w:cs="宋体"/>
          <w:bCs w:val="0"/>
          <w:color w:val="auto"/>
          <w:sz w:val="21"/>
          <w:szCs w:val="21"/>
          <w:highlight w:val="none"/>
        </w:rPr>
        <w:t>第20条 争议解决</w:t>
      </w:r>
      <w:bookmarkEnd w:id="1140"/>
      <w:bookmarkEnd w:id="1141"/>
      <w:bookmarkEnd w:id="1142"/>
      <w:r>
        <w:rPr>
          <w:rFonts w:hint="eastAsia" w:ascii="Times New Roman" w:hAnsi="Times New Roman" w:eastAsia="宋体" w:cs="宋体"/>
          <w:bCs w:val="0"/>
          <w:color w:val="auto"/>
          <w:sz w:val="21"/>
          <w:szCs w:val="21"/>
          <w:highlight w:val="none"/>
        </w:rPr>
        <w:t xml:space="preserve"> </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43" w:name="_Toc54862326"/>
      <w:bookmarkStart w:id="1144" w:name="_Ref415507198"/>
      <w:r>
        <w:rPr>
          <w:rFonts w:hint="eastAsia" w:ascii="Times New Roman" w:hAnsi="Times New Roman" w:eastAsia="宋体" w:cs="宋体"/>
          <w:b w:val="0"/>
          <w:bCs/>
          <w:color w:val="auto"/>
          <w:sz w:val="21"/>
          <w:szCs w:val="21"/>
          <w:highlight w:val="none"/>
        </w:rPr>
        <w:t>20.1 和解</w:t>
      </w:r>
      <w:bookmarkEnd w:id="1143"/>
      <w:bookmarkEnd w:id="1144"/>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合同当事人可以就争议自行和解，自行和解达成协议的经双方签字并盖章后作为合同补充文件，双方均应遵照执行。</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45" w:name="_Toc54862327"/>
      <w:r>
        <w:rPr>
          <w:rFonts w:hint="eastAsia" w:ascii="Times New Roman" w:hAnsi="Times New Roman" w:eastAsia="宋体" w:cs="宋体"/>
          <w:b w:val="0"/>
          <w:bCs/>
          <w:color w:val="auto"/>
          <w:sz w:val="21"/>
          <w:szCs w:val="21"/>
          <w:highlight w:val="none"/>
        </w:rPr>
        <w:t>20.2 调解</w:t>
      </w:r>
      <w:bookmarkEnd w:id="1145"/>
      <w:r>
        <w:rPr>
          <w:rFonts w:hint="eastAsia" w:ascii="Times New Roman" w:hAnsi="Times New Roman" w:eastAsia="宋体" w:cs="宋体"/>
          <w:b w:val="0"/>
          <w:bCs/>
          <w:color w:val="auto"/>
          <w:sz w:val="21"/>
          <w:szCs w:val="21"/>
          <w:highlight w:val="non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合同当事人可以就争议请求建设行政主管部门、行业协会或其他第三方进行调解，调解达成协议的，经双方签字盖章后作为合同补充文件，双方均应遵照执行。</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46" w:name="_Toc54862328"/>
      <w:bookmarkStart w:id="1147" w:name="_Ref532221527"/>
      <w:bookmarkStart w:id="1148" w:name="_Ref532221532"/>
      <w:r>
        <w:rPr>
          <w:rFonts w:hint="eastAsia" w:ascii="Times New Roman" w:hAnsi="Times New Roman" w:eastAsia="宋体" w:cs="宋体"/>
          <w:b w:val="0"/>
          <w:bCs/>
          <w:color w:val="auto"/>
          <w:sz w:val="21"/>
          <w:szCs w:val="21"/>
          <w:highlight w:val="none"/>
        </w:rPr>
        <w:t>20.3 争议评审</w:t>
      </w:r>
      <w:bookmarkEnd w:id="1146"/>
      <w:bookmarkEnd w:id="1147"/>
      <w:bookmarkEnd w:id="1148"/>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合同当事人在专用合同条件中约定采取争议评审方式及评审规则解决争议的，按下列约定执行：</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20.3.1 争议评审小组的确定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可以共同选择一名或三名争议评审员，组成争议评审小组。如专用合同条件未对成员人数进行约定，则应由三名成员组成。除专用合同条件另有约定外，合同当事人应当自合同订立后28天内，或者争议发生后14天内，选定争议评审员。</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选择一名争议评审员的，由合同当事人共同确定；选择三名争议评审员的，各自选定一名，第三名成员由合同当事人共同确定或由合同当事人委托已选定的争议评审员共同确定，为首席争议评审员。争议评审员为一人且合同当事人未能达成一致的，或争议评审员为三人且合同当事人就首席争议评审员未能达成一致的，由专用合同条件约定的评审机构指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除专用合同条件另有约定外，争议评审员报酬由发包人和承包人各承担一半。</w:t>
      </w:r>
    </w:p>
    <w:p>
      <w:pPr>
        <w:pStyle w:val="37"/>
        <w:numPr>
          <w:ilvl w:val="0"/>
          <w:numId w:val="0"/>
        </w:numPr>
        <w:rPr>
          <w:rFonts w:hint="eastAsia" w:ascii="Times New Roman" w:hAnsi="Times New Roman" w:cs="宋体"/>
          <w:color w:val="auto"/>
          <w:sz w:val="21"/>
          <w:highlight w:val="none"/>
        </w:rPr>
      </w:pPr>
      <w:bookmarkStart w:id="1149" w:name="_Ref532287270"/>
      <w:r>
        <w:rPr>
          <w:rFonts w:hint="eastAsia" w:ascii="Times New Roman" w:hAnsi="Times New Roman" w:cs="宋体"/>
          <w:color w:val="auto"/>
          <w:sz w:val="21"/>
          <w:highlight w:val="none"/>
        </w:rPr>
        <w:t>20.3.2 争议的避免</w:t>
      </w:r>
      <w:bookmarkEnd w:id="1149"/>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合同当事人协商一致，可以共同书面请求争议评审小组，就合同履行过程中可能出现争议的情况提供协助或进行非正式讨论，争议评审小组应给出公正的意见或建议。</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此类协助或非正式讨论可在任何会议、施工现场视察或其他场合进行，并且除专用合同条件另有约定外，发包人和承包人均应出席。</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争议评审小组在此类非正式讨论上给出的任何意见或建议，无论是口头还是书面的，对发包人和承包人不具有约束力，争议评审小组在之后的争议评审程序或决定中也不受此类意见或建议的约束。</w:t>
      </w:r>
    </w:p>
    <w:p>
      <w:pPr>
        <w:pStyle w:val="37"/>
        <w:numPr>
          <w:ilvl w:val="0"/>
          <w:numId w:val="0"/>
        </w:numPr>
        <w:rPr>
          <w:rFonts w:hint="eastAsia" w:ascii="Times New Roman" w:hAnsi="Times New Roman" w:cs="宋体"/>
          <w:color w:val="auto"/>
          <w:sz w:val="21"/>
          <w:highlight w:val="none"/>
        </w:rPr>
      </w:pPr>
      <w:bookmarkStart w:id="1150" w:name="_Ref4695594"/>
      <w:r>
        <w:rPr>
          <w:rFonts w:hint="eastAsia" w:ascii="Times New Roman" w:hAnsi="Times New Roman" w:cs="宋体"/>
          <w:color w:val="auto"/>
          <w:sz w:val="21"/>
          <w:highlight w:val="none"/>
        </w:rPr>
        <w:t>20.3.3 争议评审小组的决定</w:t>
      </w:r>
      <w:bookmarkEnd w:id="1150"/>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或争议评审小组建议并经双方同意的其他期限内作出书面决定，并说明理由。合同当事人可以在专用合同条件中对本项事项另行约定。</w:t>
      </w:r>
    </w:p>
    <w:p>
      <w:pPr>
        <w:pStyle w:val="37"/>
        <w:numPr>
          <w:ilvl w:val="0"/>
          <w:numId w:val="0"/>
        </w:numPr>
        <w:rPr>
          <w:rFonts w:hint="eastAsia" w:ascii="Times New Roman" w:hAnsi="Times New Roman" w:cs="宋体"/>
          <w:color w:val="auto"/>
          <w:sz w:val="21"/>
          <w:highlight w:val="none"/>
        </w:rPr>
      </w:pPr>
      <w:r>
        <w:rPr>
          <w:rFonts w:hint="eastAsia" w:ascii="Times New Roman" w:hAnsi="Times New Roman" w:cs="宋体"/>
          <w:color w:val="auto"/>
          <w:sz w:val="21"/>
          <w:highlight w:val="none"/>
        </w:rPr>
        <w:t>20.3.4 争议评审小组决定的效力</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争议评审小组作出的书面决定经合同当事人签字确认后，对双方具有约束力，双方应遵照执行。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任何一方当事人不接受争议评审小组决定或不履行争议评审小组决定的，双方可选择采用其他争议解决方式。</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任何一方当事人不接受争议评审小组的决定，并不影响暂时执行争议评审小组的决定，直到在后续的采用其他争议解决方式中对争议评审小组的决定进行了改变。</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51" w:name="_Ref532221748"/>
      <w:bookmarkStart w:id="1152" w:name="_Toc54862329"/>
      <w:bookmarkStart w:id="1153" w:name="_Ref532221752"/>
      <w:r>
        <w:rPr>
          <w:rFonts w:hint="eastAsia" w:ascii="Times New Roman" w:hAnsi="Times New Roman" w:eastAsia="宋体" w:cs="宋体"/>
          <w:b w:val="0"/>
          <w:bCs/>
          <w:color w:val="auto"/>
          <w:sz w:val="21"/>
          <w:szCs w:val="21"/>
          <w:highlight w:val="none"/>
        </w:rPr>
        <w:t>20.4 仲裁或诉讼</w:t>
      </w:r>
      <w:bookmarkEnd w:id="1151"/>
      <w:bookmarkEnd w:id="1152"/>
      <w:bookmarkEnd w:id="1153"/>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因合同及合同有关事项产生的争议，合同当事人可以在专用合同条件中约定以下一种方式解决争议：</w:t>
      </w:r>
    </w:p>
    <w:p>
      <w:pPr>
        <w:pStyle w:val="50"/>
        <w:numPr>
          <w:ilvl w:val="0"/>
          <w:numId w:val="0"/>
        </w:numPr>
        <w:spacing w:line="360" w:lineRule="auto"/>
        <w:ind w:left="841"/>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向约定的仲裁委员会申请仲裁；</w:t>
      </w:r>
    </w:p>
    <w:p>
      <w:pPr>
        <w:pStyle w:val="50"/>
        <w:numPr>
          <w:ilvl w:val="0"/>
          <w:numId w:val="0"/>
        </w:numPr>
        <w:spacing w:line="360" w:lineRule="auto"/>
        <w:ind w:left="841"/>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向有管辖权的人民法院起诉。</w:t>
      </w:r>
    </w:p>
    <w:p>
      <w:pPr>
        <w:pStyle w:val="54"/>
        <w:widowControl/>
        <w:numPr>
          <w:ilvl w:val="0"/>
          <w:numId w:val="0"/>
        </w:numPr>
        <w:rPr>
          <w:rFonts w:hint="eastAsia" w:ascii="Times New Roman" w:hAnsi="Times New Roman" w:eastAsia="宋体" w:cs="宋体"/>
          <w:b w:val="0"/>
          <w:bCs/>
          <w:color w:val="auto"/>
          <w:sz w:val="21"/>
          <w:szCs w:val="21"/>
          <w:highlight w:val="none"/>
        </w:rPr>
      </w:pPr>
      <w:bookmarkStart w:id="1154" w:name="_Toc54862330"/>
      <w:r>
        <w:rPr>
          <w:rFonts w:hint="eastAsia" w:ascii="Times New Roman" w:hAnsi="Times New Roman" w:eastAsia="宋体" w:cs="宋体"/>
          <w:b w:val="0"/>
          <w:bCs/>
          <w:color w:val="auto"/>
          <w:sz w:val="21"/>
          <w:szCs w:val="21"/>
          <w:highlight w:val="none"/>
        </w:rPr>
        <w:t>20.5 争议解决条款效力</w:t>
      </w:r>
      <w:bookmarkEnd w:id="1154"/>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合同有关争议解决的条款独立存在，合同的不生效、无效、被撤销或者终止的，不影响合同中有关争议解决条款的效力。</w:t>
      </w:r>
    </w:p>
    <w:p>
      <w:pPr>
        <w:spacing w:line="360" w:lineRule="auto"/>
        <w:rPr>
          <w:color w:val="auto"/>
          <w:highlight w:val="none"/>
        </w:rPr>
      </w:pPr>
      <w:r>
        <w:rPr>
          <w:color w:val="auto"/>
          <w:highlight w:val="none"/>
        </w:rPr>
        <w:br w:type="page"/>
      </w:r>
    </w:p>
    <w:p>
      <w:pPr>
        <w:pStyle w:val="51"/>
        <w:keepNext w:val="0"/>
        <w:keepLines w:val="0"/>
        <w:widowControl/>
        <w:adjustRightInd w:val="0"/>
        <w:snapToGrid w:val="0"/>
        <w:spacing w:before="0" w:after="50" w:line="360" w:lineRule="auto"/>
        <w:jc w:val="center"/>
        <w:rPr>
          <w:rFonts w:ascii="Times New Roman" w:hAnsi="Times New Roman" w:eastAsia="华文中宋"/>
          <w:color w:val="auto"/>
          <w:sz w:val="44"/>
          <w:szCs w:val="52"/>
          <w:highlight w:val="none"/>
        </w:rPr>
      </w:pPr>
      <w:bookmarkStart w:id="1155" w:name="_Toc54862331"/>
      <w:r>
        <w:rPr>
          <w:rFonts w:hint="eastAsia" w:ascii="Times New Roman" w:hAnsi="Times New Roman" w:cs="宋体"/>
          <w:color w:val="auto"/>
          <w:sz w:val="28"/>
          <w:szCs w:val="28"/>
          <w:highlight w:val="none"/>
        </w:rPr>
        <w:t>第三部分 专用合同条件</w:t>
      </w:r>
      <w:bookmarkEnd w:id="1155"/>
    </w:p>
    <w:p>
      <w:pPr>
        <w:pStyle w:val="46"/>
        <w:rPr>
          <w:rFonts w:hint="eastAsia" w:ascii="Times New Roman" w:hAnsi="Times New Roman" w:cs="宋体"/>
          <w:bCs w:val="0"/>
          <w:color w:val="auto"/>
          <w:sz w:val="21"/>
          <w:szCs w:val="21"/>
          <w:highlight w:val="none"/>
        </w:rPr>
      </w:pPr>
      <w:bookmarkStart w:id="1156" w:name="_Toc54862332"/>
      <w:r>
        <w:rPr>
          <w:rFonts w:hint="eastAsia" w:ascii="Times New Roman" w:hAnsi="Times New Roman" w:cs="宋体"/>
          <w:bCs w:val="0"/>
          <w:color w:val="auto"/>
          <w:sz w:val="21"/>
          <w:szCs w:val="21"/>
          <w:highlight w:val="none"/>
        </w:rPr>
        <w:t>第1条 一般约定</w:t>
      </w:r>
      <w:bookmarkEnd w:id="1156"/>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 词语定义和解释</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1.1.1 合同</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1.1.1.10 其他合同文件：</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 工程和设备</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1.1.3.5 单位/区段工程的范围：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1.1.3.9 作为施工场所组成部分的其他场所包括：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1.1.3.10 永久占地包括：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1.1.3.11 临时占地包括：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1.2 语言文字</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本合同除使用汉语外，还使用</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语言。</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 法律</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适用于合同的其他规范性文件：</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 标准和规范</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1.4.1 适用于本合同的标准、规范（名称）包括：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1.4.2 发包人提供的国外标准、规范的名称：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；发包人提供的国外标准、规范的份数：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；发包人提供的国外标准、规范的时间：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1.4.3 没有成文规范、标准规定的约定：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1.4.4 发包人对于工程的技术标准、功能要求：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 合同文件的优先顺序</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合同文件组成及优先顺序为：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 文件的提供和照管</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1.6.1 发包人文件的提供</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发包人文件的提供期限、名称、数量和形式：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1.6.2 承包人文件的提供</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承包人文件的内容、提供期限、名称、数量和形式：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1.6.4 文件的照管</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关于现场文件准备的约定：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1.7 联络</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1.7.2 发包人指定的送达方式（包括电子传输方式）：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发包人的送达地址：</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承包人指定的送达方式（包括电子传输方式）：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承包人的送达地址：</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1.10 知识产权</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1.10.1 由发包人（或以发包人名义）编制的《发包人要求》和其他文件的著作权归属：</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1.10.2 由承包人（或以承包人名义）为实施工程所编制的文件、承包人完成的设计工作成果和建造完成的建筑物的知识产权归属：</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1.10.4 承包人在投标文件中采用的专利、专有技术、技术秘密的使用费的承担方式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1.11 保密</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双方订立的商业保密协议（名称）：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，作为本合同附件。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双方订立的技术保密协议（名称）：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，作为本合同附件。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 责任限制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承包人对发包人赔偿责任的最高限额为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1.14 建筑信息模型技术的应用</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关于建筑信息模型技术的开发、使用、存储、传输、交付及费用约定如下：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Cs w:val="0"/>
          <w:color w:val="auto"/>
          <w:sz w:val="21"/>
          <w:szCs w:val="21"/>
          <w:highlight w:val="none"/>
        </w:rPr>
      </w:pPr>
      <w:bookmarkStart w:id="1157" w:name="_Toc54862333"/>
      <w:r>
        <w:rPr>
          <w:rFonts w:hint="eastAsia" w:ascii="Times New Roman" w:hAnsi="Times New Roman" w:cs="宋体"/>
          <w:bCs w:val="0"/>
          <w:color w:val="auto"/>
          <w:sz w:val="21"/>
          <w:szCs w:val="21"/>
          <w:highlight w:val="none"/>
        </w:rPr>
        <w:t>第2条 发包人</w:t>
      </w:r>
      <w:bookmarkEnd w:id="1157"/>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2.2 提供施工现场和工作条件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2.2.1 提供施工现场</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关于发包人提供施工现场的范围和期限：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2.2.2 提供工作条件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关于发包人应负责提供的工作条件包括：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2.3 提供基础资料</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关于发包人应提供的基础资料的范围和期限：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2.5 支付合同价款</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2.5.2 发包人提供资金来源证明及资金安排的期限要求：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2.5.3 发包人提供支付担保的形式、期限、金额（或比例）：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2.7 其他义务</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发包人应履行的其他义务：</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Cs w:val="0"/>
          <w:color w:val="auto"/>
          <w:sz w:val="21"/>
          <w:szCs w:val="21"/>
          <w:highlight w:val="none"/>
        </w:rPr>
      </w:pPr>
      <w:bookmarkStart w:id="1158" w:name="_Toc54862334"/>
      <w:r>
        <w:rPr>
          <w:rFonts w:hint="eastAsia" w:ascii="Times New Roman" w:hAnsi="Times New Roman" w:cs="宋体"/>
          <w:bCs w:val="0"/>
          <w:color w:val="auto"/>
          <w:sz w:val="21"/>
          <w:szCs w:val="21"/>
          <w:highlight w:val="none"/>
        </w:rPr>
        <w:t>第3条 发包人的管理</w:t>
      </w:r>
      <w:bookmarkEnd w:id="1158"/>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3.1 发包人代表</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发包人代表的姓名：</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发包人代表的身份证号：</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发包人代表的职务：</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发包人代表的联系电话：</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发包人代表的电子邮箱：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发包人代表的通信地址：</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发包人对发包人代表的授权范围如下：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发包人代表的职责：</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3.2 发包人人员</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发包人人员姓名：</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发包人人员职务：</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发包人人员职责：</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3.3 工程师</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3.3.1 工程师名称：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；工程师监督管理范围、内容：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；工程师权限：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3.6 商定或确定</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3.6.2 关于商定时间限制的具体约定：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3.6.3 关于商定或确定效力的具体约定：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；关于对工程师的确定提出异议的具体约定：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3.7 会议</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3.7.1 关于召开会议的具体约定：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3.7.2 关于保存和提供会议纪要的具体约定：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Cs w:val="0"/>
          <w:color w:val="auto"/>
          <w:sz w:val="21"/>
          <w:szCs w:val="21"/>
          <w:highlight w:val="none"/>
        </w:rPr>
      </w:pPr>
      <w:bookmarkStart w:id="1159" w:name="_Toc54862335"/>
      <w:r>
        <w:rPr>
          <w:rFonts w:hint="eastAsia" w:ascii="Times New Roman" w:hAnsi="Times New Roman" w:cs="宋体"/>
          <w:bCs w:val="0"/>
          <w:color w:val="auto"/>
          <w:sz w:val="21"/>
          <w:szCs w:val="21"/>
          <w:highlight w:val="none"/>
        </w:rPr>
        <w:t>第4条 承包人</w:t>
      </w:r>
      <w:bookmarkEnd w:id="1159"/>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4.1 承包人的一般义务</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承包人应履行的其他义务：</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4.2 履约担保</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承包人是否提供履约担保：</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履约担保的方式、金额及期限: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 工程总承包项目经理</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4.3.1 工程总承包项目经理姓名：</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执业资格或职称类型：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执业资格证或职称证号码：</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联系电话：</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电子邮箱：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通信地址：</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承包人未提交劳动合同，以及没有为工程总承包项目经理缴纳社会保险证明的违约责任：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4.3.2 工程总承包项目经理每月在现场的时间要求：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工程总承包项目经理未经批准擅自离开施工现场的违约责任：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4.3.3 承包人对工程总承包项目经理的授权范围: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4.3.4 承包人擅自更换工程总承包项目经理的违约责任：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4.3.5 承包人无正当理由拒绝更换工程总承包项目经理的违约责任: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4.4 承包人人员</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4.4.1 人员安排</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承包人提交项目管理机构及施工现场人员安排的报告的期限：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承包人提交关键人员信息及注册执业资格等证明其具备担任关键人员能力的相关文件的期限：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4.4.2 关键人员更换</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承包人擅自更换关键人员的违约责任：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承包人无正当理由拒绝撤换关键人员的违约责任：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4.4.3 现场管理关键人员在岗要求</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承包人现场管理关键人员离开施工现场的批准要求：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承包人现场管理关键人员擅自离开施工现场的违约责任：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4.5 分包</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4.5.1 一般约定</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禁止分包的工程包括：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4.5.2 分包的确定</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允许分包的工程包括：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其他关于分包的约定：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4.5.5 分包合同价款支付</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关于分包合同价款支付的约定：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4.6 联合体</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4.6.2 联合体各成员的分工、费用收取、发票开具等事项：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4.7 承包人现场查勘</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4.7.1 双方当事人对现场查勘的责任承担的约定：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4.8 不可预见的困难</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不可预见的困难包括：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Cs w:val="0"/>
          <w:color w:val="auto"/>
          <w:sz w:val="21"/>
          <w:szCs w:val="21"/>
          <w:highlight w:val="none"/>
        </w:rPr>
      </w:pPr>
      <w:bookmarkStart w:id="1160" w:name="_Toc54862336"/>
      <w:r>
        <w:rPr>
          <w:rFonts w:hint="eastAsia" w:ascii="Times New Roman" w:hAnsi="Times New Roman" w:cs="宋体"/>
          <w:bCs w:val="0"/>
          <w:color w:val="auto"/>
          <w:sz w:val="21"/>
          <w:szCs w:val="21"/>
          <w:highlight w:val="none"/>
        </w:rPr>
        <w:t>第5条 设计</w:t>
      </w:r>
      <w:bookmarkEnd w:id="1160"/>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5.2 承包人文件审查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5.2.1 承包人文件审查的期限：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5.2.2 审查会议的审查形式和时间安排为：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，审查会议的相关费用由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承担。</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5.2.3 关于第三方审查单位的约定：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5.3 培训</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培训的时长为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，承包人应为培训提供的人员、设施和其它必要条件为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5.4 竣工文件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5.4.1 竣工文件的形式、提供的份数、技术标准以及其它相关要求：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5.4.3 关于竣工文件的其他约定：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5.5 操作和维修手册</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5.5.3 对最终操作和维修手册的约定：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Cs w:val="0"/>
          <w:color w:val="auto"/>
          <w:sz w:val="21"/>
          <w:szCs w:val="21"/>
          <w:highlight w:val="none"/>
        </w:rPr>
      </w:pPr>
      <w:bookmarkStart w:id="1161" w:name="_Toc54862337"/>
      <w:r>
        <w:rPr>
          <w:rFonts w:hint="eastAsia" w:ascii="Times New Roman" w:hAnsi="Times New Roman" w:cs="宋体"/>
          <w:bCs w:val="0"/>
          <w:color w:val="auto"/>
          <w:sz w:val="21"/>
          <w:szCs w:val="21"/>
          <w:highlight w:val="none"/>
        </w:rPr>
        <w:t>第6条 材料、工程设备</w:t>
      </w:r>
      <w:bookmarkEnd w:id="1161"/>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6.1 实施方法</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双方当事人约定的实施方法、设备、设施和材料：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6.2 材料和工程设备</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6.2.1 发包人提供的材料和工程设备</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发包人提供的材料和工程设备验收后，由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负责接收、运输和保管。</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6.2.2 承包人提供的材料和工程设备</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材料和工程设备的类别、估算数量：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竣工后试验的生产性材料的类别或（和）清单：</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6.2.3 材料和工程设备的保管</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发包人供应的材料和工程设备的保管费用由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承担。</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承包人提交保管、维护方案的时间：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发包人提供的库房、堆场、设施和设备：</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6.3 样品</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6.3.1 样品的报送与封存</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需要承包人报送样品的材料或工程设备，样品种类、名称、规格、数量：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6.4 质量检查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6.4.1 工程质量要求</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工程质量的特殊标准或要求：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6.4.2 质量检查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除通用合同条件已列明的质量检查的地点外，发包人有权进行质量检查的其他地点：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6.4.3 隐蔽工程检查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关于隐蔽工程和中间验收的特别约定：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6.5 由承包人试验和检验</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6.5.1 试验设备与试验人员</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试验的内容、时间和地点：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试验所需要的试验设备、取样装置、试验场所和试验条件：</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u w:val="single"/>
        </w:rPr>
      </w:pPr>
      <w:r>
        <w:rPr>
          <w:rFonts w:hint="eastAsia" w:ascii="Times New Roman" w:hAnsi="Times New Roman" w:cs="宋体"/>
          <w:color w:val="auto"/>
          <w:szCs w:val="21"/>
          <w:highlight w:val="none"/>
        </w:rPr>
        <w:t>试验和检验费用的计价原则：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color w:val="auto"/>
          <w:sz w:val="21"/>
          <w:szCs w:val="21"/>
          <w:highlight w:val="none"/>
        </w:rPr>
      </w:pPr>
      <w:bookmarkStart w:id="1162" w:name="_Toc54862338"/>
      <w:r>
        <w:rPr>
          <w:rFonts w:hint="eastAsia" w:ascii="Times New Roman" w:hAnsi="Times New Roman" w:cs="宋体"/>
          <w:color w:val="auto"/>
          <w:sz w:val="21"/>
          <w:szCs w:val="21"/>
          <w:highlight w:val="none"/>
        </w:rPr>
        <w:t>第7条 施工</w:t>
      </w:r>
      <w:bookmarkEnd w:id="1162"/>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 交通运输</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7.1.1 出入现场的权利</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关于出入现场的权利的约定：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7.1.2 场外交通</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关于场外交通的特别约定：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7.1.3 场内交通</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关于场内交通的特别约定：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关于场内交通与场外交通边界的约定：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7.1.4 超大件和超重件的运输</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运输超大件或超重件所需的道路和桥梁临时加固改造费用和其他有关费用由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承担。</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7.2 施工设备和临时设施</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7.2.1 承包人提供的施工设备和临时设施</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临时设施的费用和临时占地手续和费用承担的特别约定：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7.2.2 发包人提供的施工设备和临时设施</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发包人提供的施工设备或临时设施范围：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7.3 现场合作</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关于现场合作费用的特别约定：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7.4 测量放线</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7.4.1 关于测量放线的特别约定的技术规范：</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。施工控制网资料的告知期限：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7.5 现场劳动用工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7.5.2 合同当事人对建筑工人工资清偿事宜和违约责任的约定：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7.6 安全文明施工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7.6.1 安全生产要求</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合同当事人对安全施工的要求：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7.6.3 文明施工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合同当事人对文明施工的要求：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7.9 临时性公用设施</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关于临时性公用设施的特别约定：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7.10 现场安保</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承包人现场安保义务的特别约定：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 w:val="0"/>
          <w:color w:val="auto"/>
          <w:sz w:val="21"/>
          <w:szCs w:val="21"/>
          <w:highlight w:val="none"/>
        </w:rPr>
      </w:pPr>
      <w:bookmarkStart w:id="1163" w:name="_Toc54862339"/>
      <w:r>
        <w:rPr>
          <w:rFonts w:hint="eastAsia" w:ascii="Times New Roman" w:hAnsi="Times New Roman" w:cs="宋体"/>
          <w:b w:val="0"/>
          <w:color w:val="auto"/>
          <w:sz w:val="21"/>
          <w:szCs w:val="21"/>
          <w:highlight w:val="none"/>
        </w:rPr>
        <w:t>第8条 工期和进度</w:t>
      </w:r>
      <w:bookmarkEnd w:id="1163"/>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8.1 开始工作</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8.1.1 开始准备工作：</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8.1.2 发包人可在计划开始工作之日起84日后发出开始工作通知的特殊情形：</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8.2 竣工日期</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竣工日期的约定：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8.3 项目实施计划</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8.3.1 项目实施计划的内容</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项目实施计划的内容：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8.3.2 项目实施计划的提交和修改</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项目实施计划的提交及修改期限：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8.4 项目进度计划</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8.4.1 工程师在收到进度计划后确认或提出修改意见的期限：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8.4.2 进度计划的具体要求：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关键路径及关键路径变化的确定原则：</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承包人提交项目进度计划的份数和时间：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8.4.3 进度计划的修订</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承包人提交修订项目进度计划申请报告的期限：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发包人批复修订项目进度计划申请报告的期限：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承包人答复发包人提出修订合同计划的期限：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8.5 进度报告</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进度报告的具体要求：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8.7 工期延误</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8.7.2 因承包人原因导致工期延误</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因承包人原因使竣工日期延误，每延误1日的误期赔偿金额为合同协议书的合同价格的</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%或人民币金额为：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、累计最高赔偿金额为合同协议书的合同价格的：</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%或人民币金额为：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8.7.3 行政审批迟延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行政审批报送的职责分工：</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8.7.4 异常恶劣的气候条件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双方约定视为异常恶劣的气候条件的情形：</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8.8 工期提前</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8.8.2 承包人提前竣工的奖励：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 w:val="0"/>
          <w:color w:val="auto"/>
          <w:sz w:val="21"/>
          <w:szCs w:val="21"/>
          <w:highlight w:val="none"/>
        </w:rPr>
      </w:pPr>
      <w:bookmarkStart w:id="1164" w:name="_Toc54862340"/>
      <w:r>
        <w:rPr>
          <w:rFonts w:hint="eastAsia" w:ascii="Times New Roman" w:hAnsi="Times New Roman" w:cs="宋体"/>
          <w:b w:val="0"/>
          <w:color w:val="auto"/>
          <w:sz w:val="21"/>
          <w:szCs w:val="21"/>
          <w:highlight w:val="none"/>
        </w:rPr>
        <w:t>第9条 竣工试验</w:t>
      </w:r>
      <w:bookmarkEnd w:id="1164"/>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9.1 竣工试验的义务</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9.1.3 竣工试验的阶段、内容和顺序：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竣工试验的操作要求：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 w:val="0"/>
          <w:color w:val="auto"/>
          <w:sz w:val="21"/>
          <w:szCs w:val="21"/>
          <w:highlight w:val="none"/>
        </w:rPr>
      </w:pPr>
      <w:bookmarkStart w:id="1165" w:name="_Toc4784272"/>
      <w:bookmarkEnd w:id="1165"/>
      <w:bookmarkStart w:id="1166" w:name="_Toc4784273"/>
      <w:bookmarkEnd w:id="1166"/>
      <w:bookmarkStart w:id="1167" w:name="_Toc54862341"/>
      <w:r>
        <w:rPr>
          <w:rFonts w:hint="eastAsia" w:ascii="Times New Roman" w:hAnsi="Times New Roman" w:cs="宋体"/>
          <w:b w:val="0"/>
          <w:color w:val="auto"/>
          <w:sz w:val="21"/>
          <w:szCs w:val="21"/>
          <w:highlight w:val="none"/>
        </w:rPr>
        <w:t>第10条 验收和工程接收</w:t>
      </w:r>
      <w:bookmarkEnd w:id="1167"/>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10.1 竣工验收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10.1.2 关于竣工验收程序的约定：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bookmarkStart w:id="1168" w:name="_Hlk46406260"/>
      <w:r>
        <w:rPr>
          <w:rFonts w:hint="eastAsia" w:ascii="Times New Roman" w:hAnsi="Times New Roman" w:cs="宋体"/>
          <w:color w:val="auto"/>
          <w:szCs w:val="21"/>
          <w:highlight w:val="none"/>
        </w:rPr>
        <w:t>发包人不按照合同约定组织竣工验收、颁发工程接受证书的违约金的计算方式：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bookmarkEnd w:id="1168"/>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10.3</w:t>
      </w:r>
      <w:r>
        <w:rPr>
          <w:rFonts w:hint="eastAsia" w:ascii="Times New Roman" w:hAnsi="Times New Roman" w:cs="宋体"/>
          <w:color w:val="auto"/>
          <w:szCs w:val="21"/>
          <w:highlight w:val="none"/>
        </w:rPr>
        <w:tab/>
      </w:r>
      <w:r>
        <w:rPr>
          <w:rFonts w:hint="eastAsia" w:ascii="Times New Roman" w:hAnsi="Times New Roman" w:cs="宋体"/>
          <w:color w:val="auto"/>
          <w:szCs w:val="21"/>
          <w:highlight w:val="none"/>
        </w:rPr>
        <w:t xml:space="preserve"> 工程的接收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10.3.1工程接收的先后顺序、时间安排和其他要求：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10.3.2 接受工程时承包人需提交竣工验收资料的类别、内容、份数和提交时间：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10.3.3 发包人逾期接收工程的违约责任：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10.3.4 承包人无正当理由不移交工程的违约责任：</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10.4 接收证书</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10.4.1 工程接收证书颁发时间：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10.5 竣工退场</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10.5.1 竣工退场的相关约定：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10.5.3人员撤离</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工程师同意需在缺陷责任期内继续工作和使用的人员、施工设备和临时工程的内容：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 w:val="0"/>
          <w:color w:val="auto"/>
          <w:sz w:val="21"/>
          <w:szCs w:val="21"/>
          <w:highlight w:val="none"/>
        </w:rPr>
      </w:pPr>
      <w:bookmarkStart w:id="1169" w:name="_Toc54862342"/>
      <w:r>
        <w:rPr>
          <w:rFonts w:hint="eastAsia" w:ascii="Times New Roman" w:hAnsi="Times New Roman" w:cs="宋体"/>
          <w:b w:val="0"/>
          <w:color w:val="auto"/>
          <w:sz w:val="21"/>
          <w:szCs w:val="21"/>
          <w:highlight w:val="none"/>
        </w:rPr>
        <w:t>第11条 缺陷责任与保修</w:t>
      </w:r>
      <w:bookmarkEnd w:id="1169"/>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11.2 缺陷责任期</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 缺陷调查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11.3.4 修复通知</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承包人收到保修通知并到达工程现场的合理时间：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11.6 缺陷责任期终止证书</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承包人应于缺陷责任期届满后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天内向发包人发出缺陷责任期届满通知，发包人应在收到缺陷责任期满通知后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天内核实承包人是否履行缺陷修复义务，承包人未能履行缺陷修复义务的，发包人有权扣除相应金额的维修费用。发包人应在收到缺陷责任期届满通知后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天内，向承包人颁发缺陷责任期终止证书。</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11.7 保修责任</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工程质量保修范围、期限和责任为：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 w:val="0"/>
          <w:color w:val="auto"/>
          <w:sz w:val="21"/>
          <w:szCs w:val="21"/>
          <w:highlight w:val="none"/>
        </w:rPr>
      </w:pPr>
      <w:bookmarkStart w:id="1170" w:name="_Toc54862343"/>
      <w:r>
        <w:rPr>
          <w:rFonts w:hint="eastAsia" w:ascii="Times New Roman" w:hAnsi="Times New Roman" w:cs="宋体"/>
          <w:b w:val="0"/>
          <w:color w:val="auto"/>
          <w:sz w:val="21"/>
          <w:szCs w:val="21"/>
          <w:highlight w:val="none"/>
        </w:rPr>
        <w:t>第12条 竣工后试验</w:t>
      </w:r>
      <w:bookmarkEnd w:id="1170"/>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本合同工程是否包含竣工后试验：</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12.1 竣工后试验的程序</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12.1.2 竣工后试验全部电力、水、污水处理、燃料、消耗品和材料，以及全部其他仪器、协助、文件或其他信息、设备、工具、劳力，启动工程设备，并组织安排有适当资质、经验和能力的工作人员等必要条件的提供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 w:val="0"/>
          <w:color w:val="auto"/>
          <w:sz w:val="21"/>
          <w:szCs w:val="21"/>
          <w:highlight w:val="none"/>
        </w:rPr>
      </w:pPr>
      <w:bookmarkStart w:id="1171" w:name="_Toc54862344"/>
      <w:r>
        <w:rPr>
          <w:rFonts w:hint="eastAsia" w:ascii="Times New Roman" w:hAnsi="Times New Roman" w:cs="宋体"/>
          <w:b w:val="0"/>
          <w:color w:val="auto"/>
          <w:sz w:val="21"/>
          <w:szCs w:val="21"/>
          <w:highlight w:val="none"/>
        </w:rPr>
        <w:t>第13条 变更与调整</w:t>
      </w:r>
      <w:bookmarkEnd w:id="1171"/>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13.2 承包人的合理化建议</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13.2.2 工程师应在收到承包人提交的合理化建议后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日内审查完毕并报送发包人，发现其中存在技术上的缺陷，应通知承包人修改。发包人应在收到工程师报送的合理化建议后</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日内审批完毕。合理化建议经发包人批准的，工程师应及时发出变更指示，由此引起的合同价格调整按照</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执行。发包人不同意变更的，工程师应书面通知承包人</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13.2.3 承包人提出的合理化变更建议的利益分享约定：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13.3 变更程序</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13.3.3 变更估价</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13.3.3.1 变更估价原则</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关于变更估价原则的约定：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13.4 暂估价</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13.4.1 依法必须招标的暂估价项目</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承包人可以参与投标的暂估价项目范围：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承包人不得参与投标的暂估价项目范围：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招投标程序及其他约定：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13.4.2 不属于依法必须招标的暂估价项目</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不属于依法必须招标的暂估价项目的协商及估价的约定：</w:t>
      </w:r>
      <w:r>
        <w:rPr>
          <w:rFonts w:hint="eastAsia" w:ascii="Times New Roman" w:hAnsi="Times New Roman" w:cs="宋体"/>
          <w:color w:val="auto"/>
          <w:szCs w:val="21"/>
          <w:highlight w:val="none"/>
          <w:u w:val="single"/>
        </w:rPr>
        <w:t xml:space="preserve">      </w:t>
      </w:r>
      <w:r>
        <w:rPr>
          <w:rFonts w:hint="eastAsia" w:cs="宋体"/>
          <w:color w:val="auto"/>
          <w:szCs w:val="21"/>
          <w:highlight w:val="none"/>
          <w:u w:val="single"/>
        </w:rPr>
        <w:t xml:space="preserve">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13.5 暂列金额</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其他关于暂列金额使用的约定：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13.8 市场价格波动引起的调整</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13.8.2 关于是否采用《价格指数权重表》的约定：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13.8.3 关于采用其他方式调整合同价款的约定：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 w:val="0"/>
          <w:color w:val="auto"/>
          <w:sz w:val="21"/>
          <w:szCs w:val="21"/>
          <w:highlight w:val="none"/>
        </w:rPr>
      </w:pPr>
      <w:bookmarkStart w:id="1172" w:name="_Toc54862345"/>
      <w:r>
        <w:rPr>
          <w:rFonts w:hint="eastAsia" w:ascii="Times New Roman" w:hAnsi="Times New Roman" w:cs="宋体"/>
          <w:b w:val="0"/>
          <w:color w:val="auto"/>
          <w:sz w:val="21"/>
          <w:szCs w:val="21"/>
          <w:highlight w:val="none"/>
        </w:rPr>
        <w:t>第14条 合同价格与支付</w:t>
      </w:r>
      <w:bookmarkEnd w:id="1172"/>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14.1 合同价格形式</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14.1.1 关于合同价格形式的约定：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14.1.2 关于合同价格调整的约定：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14.1.3 按实际完成的工程量支付工程价款的计量方法、估价方法：</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14.2 预付款</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14.2.1 预付款支付</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预付款的金额或比例为：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预付款支付期限：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预付款扣回的方式：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14.2.2预付款担保</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提供预付款担保期限：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预付款担保形式：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14.3 工程进度款</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14.3.1 工程进度付款申请</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工程进度付款申请方式：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承包人提交进度付款申请单的格式、内容、份数和时间：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进度付款申请单应包括的内容：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14.3.2 进度付款审核和支付</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进度付款的审核方式和支付的约定：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发包人应在进度款支付证书或临时进度款支付证书签发后的</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天内完成支付，发包人逾期支付进度款的，应按照</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支付违约金。</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14.4 付款计划表</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14.4.1 付款计划表的编制要求：</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14.4.2 付款计划表的编制与审批</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付款计划表的编制：</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14.5 竣工结算</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14.5.1 竣工结算申请</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承包人提交竣工结算申请的时间：</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竣工结算申请的资料清单和份数：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竣工结算申请单的内容应包括：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14.5.2 竣工结算审核</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发包人审批竣工付款申请单的期限：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发包人完成竣工付款的期限：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关于竣工付款证书异议部分复核的方式和程序：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14.6 质量保证金</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14.6.1 承包人提供质量保证金的方式</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质量保证金采用以下第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种方式：</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工程质量保证担保，保证金额为：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(2)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%的工程款；</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其他方式：</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14.6.2 质量保证金的预留</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质量保证金的预留采取以下第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种方式：</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在支付工程进度款时逐次预留的质量保证金的比例：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，在此情形下，质量保证金的计算基数不包括预付款的支付、扣回以及价格调整的金额；</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工程竣工结算时一次性预留专用合同条件第14.6.1项第(2)目约定的工程款预留比例的质量保证金；</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(3) 其他预留方式: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关于质量保证金的补充约定：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14.7 最终结清</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14.7.1 最终结清申请单</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当事人双方关于最终结清申请的其他约定：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14.7.2 最终结清证书和支付</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当事人双方关于最终结清支付的其他约定：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 w:val="0"/>
          <w:color w:val="auto"/>
          <w:sz w:val="21"/>
          <w:szCs w:val="21"/>
          <w:highlight w:val="none"/>
        </w:rPr>
      </w:pPr>
      <w:bookmarkStart w:id="1173" w:name="_Toc54862346"/>
      <w:r>
        <w:rPr>
          <w:rFonts w:hint="eastAsia" w:ascii="Times New Roman" w:hAnsi="Times New Roman" w:cs="宋体"/>
          <w:b w:val="0"/>
          <w:color w:val="auto"/>
          <w:sz w:val="21"/>
          <w:szCs w:val="21"/>
          <w:highlight w:val="none"/>
        </w:rPr>
        <w:t>第15条 违约</w:t>
      </w:r>
      <w:bookmarkEnd w:id="1173"/>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15.1 发包人违约</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15.1.1 发包人违约的情形</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发包人违约的其他情形</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15.1.3 发包人违约的责任</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发包人违约责任的承担方式和计算方法：</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15.2 承包人违约</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15.2.1 承包人违约的情形</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承包人违约的其他情形：</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15.2.2 通知改正</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工程师通知承包人改正的合理期限是：</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15.2.3 承包人违约的责任</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承包人违约责任的承担方式和计算方法：</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 w:val="0"/>
          <w:color w:val="auto"/>
          <w:sz w:val="21"/>
          <w:szCs w:val="21"/>
          <w:highlight w:val="none"/>
        </w:rPr>
      </w:pPr>
      <w:bookmarkStart w:id="1174" w:name="_Toc54862347"/>
      <w:r>
        <w:rPr>
          <w:rFonts w:hint="eastAsia" w:ascii="Times New Roman" w:hAnsi="Times New Roman" w:cs="宋体"/>
          <w:b w:val="0"/>
          <w:color w:val="auto"/>
          <w:sz w:val="21"/>
          <w:szCs w:val="21"/>
          <w:highlight w:val="none"/>
        </w:rPr>
        <w:t>第16条 合同解除</w:t>
      </w:r>
      <w:bookmarkEnd w:id="1174"/>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16.1 由发包人解除合同</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16.1.1 因承包人违约解除合同</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双方约定可由发包人解除合同的其他事由：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16.2 由承包人解除合同</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16.2.1 因发包人违约解除合同</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双方约定可由承包人解除合同的其他事由：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 w:val="0"/>
          <w:color w:val="auto"/>
          <w:sz w:val="21"/>
          <w:szCs w:val="21"/>
          <w:highlight w:val="none"/>
        </w:rPr>
      </w:pPr>
      <w:bookmarkStart w:id="1175" w:name="_Toc54862348"/>
      <w:r>
        <w:rPr>
          <w:rFonts w:hint="eastAsia" w:ascii="Times New Roman" w:hAnsi="Times New Roman" w:cs="宋体"/>
          <w:b w:val="0"/>
          <w:color w:val="auto"/>
          <w:sz w:val="21"/>
          <w:szCs w:val="21"/>
          <w:highlight w:val="none"/>
        </w:rPr>
        <w:t>第17条 不可抗力</w:t>
      </w:r>
      <w:bookmarkEnd w:id="1175"/>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17.1 不可抗力的定义</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除通用合同条件约定的不可抗力事件之外，视为不可抗力的其他情形：</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17.6 因不可抗力解除合同</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合同解除后，发包人应当在商定或确定发包人应支付款项后的</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天内完成款项的支付。</w:t>
      </w:r>
    </w:p>
    <w:p>
      <w:pPr>
        <w:pStyle w:val="46"/>
        <w:rPr>
          <w:rFonts w:hint="eastAsia" w:ascii="Times New Roman" w:hAnsi="Times New Roman" w:cs="宋体"/>
          <w:b w:val="0"/>
          <w:color w:val="auto"/>
          <w:sz w:val="21"/>
          <w:szCs w:val="21"/>
          <w:highlight w:val="none"/>
        </w:rPr>
      </w:pPr>
      <w:bookmarkStart w:id="1176" w:name="_Toc4784277"/>
      <w:bookmarkEnd w:id="1176"/>
      <w:bookmarkStart w:id="1177" w:name="_Toc4784276"/>
      <w:bookmarkEnd w:id="1177"/>
      <w:bookmarkStart w:id="1178" w:name="_Toc54862349"/>
      <w:r>
        <w:rPr>
          <w:rFonts w:hint="eastAsia" w:ascii="Times New Roman" w:hAnsi="Times New Roman" w:cs="宋体"/>
          <w:b w:val="0"/>
          <w:color w:val="auto"/>
          <w:sz w:val="21"/>
          <w:szCs w:val="21"/>
          <w:highlight w:val="none"/>
        </w:rPr>
        <w:t>第18条 保险</w:t>
      </w:r>
      <w:bookmarkEnd w:id="1178"/>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18.1 设计和工程保险</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18.1.1 双方当事人关于设计和工程保险的特别约定：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18.1.2 双方当事人关于第三方责任险的特别约定：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18.2 工伤和意外伤害保险</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18.2.3 关于工伤保险和意外伤害保险的特别约定：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18.3 货物保险</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关于承包人应为其施工设备、材料、工程设备和临时工程等办理财产保险的特别约定：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18.4 其他保险</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关于其他保险的约定：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18.5 对各项保险的一般要求</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18.5.2 保险凭证</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保险单的条件：</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18.5.4 通知义务</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关于变更保险合同时的通知义务的约定：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pStyle w:val="46"/>
        <w:rPr>
          <w:rFonts w:hint="eastAsia" w:ascii="Times New Roman" w:hAnsi="Times New Roman" w:cs="宋体"/>
          <w:b w:val="0"/>
          <w:color w:val="auto"/>
          <w:sz w:val="21"/>
          <w:szCs w:val="21"/>
          <w:highlight w:val="none"/>
        </w:rPr>
      </w:pPr>
      <w:bookmarkStart w:id="1179" w:name="_Toc54862350"/>
      <w:r>
        <w:rPr>
          <w:rFonts w:hint="eastAsia" w:ascii="Times New Roman" w:hAnsi="Times New Roman" w:cs="宋体"/>
          <w:b w:val="0"/>
          <w:color w:val="auto"/>
          <w:sz w:val="21"/>
          <w:szCs w:val="21"/>
          <w:highlight w:val="none"/>
        </w:rPr>
        <w:t>第20条 争议解决</w:t>
      </w:r>
      <w:bookmarkEnd w:id="1179"/>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20.3 争议评审</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合同当事人是否同意将工程争议提交争议评审小组决定： </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20.3.1 争议评审小组的确定</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争议评审小组成员的人数：</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争议评审小组成员的确定：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选定争议避免/评审组的期限：</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评审机构：</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其他事项的约定：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争议评审员报酬的承担人：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20.3.2 争议的避免</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发包人和承包人是否均出席争议避免的非正式讨论：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20.3.3 争议评审小组的决定</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关于争议评审小组的决定的特别约定：</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20.4 仲裁或诉讼</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因合同及合同有关事项发生的争议，按下列第</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种方式解决：</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（1）向</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仲裁委员会申请仲裁；</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（2）向</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人民法院起诉。</w:t>
      </w:r>
    </w:p>
    <w:p>
      <w:pPr>
        <w:spacing w:line="360" w:lineRule="auto"/>
        <w:rPr>
          <w:rFonts w:hint="eastAsia" w:ascii="Times New Roman" w:hAnsi="Times New Roman" w:cs="宋体"/>
          <w:color w:val="auto"/>
          <w:szCs w:val="21"/>
          <w:highlight w:val="none"/>
        </w:rPr>
        <w:sectPr>
          <w:headerReference r:id="rId11" w:type="default"/>
          <w:pgSz w:w="11906" w:h="16838"/>
          <w:pgMar w:top="1440" w:right="1800" w:bottom="1440" w:left="1800" w:header="720" w:footer="998" w:gutter="0"/>
          <w:pgBorders>
            <w:top w:val="none" w:sz="0" w:space="0"/>
            <w:left w:val="none" w:sz="0" w:space="0"/>
            <w:bottom w:val="none" w:sz="0" w:space="0"/>
            <w:right w:val="none" w:sz="0" w:space="0"/>
          </w:pgBorders>
          <w:cols w:space="720" w:num="1"/>
          <w:docGrid w:linePitch="326" w:charSpace="0"/>
        </w:sectPr>
      </w:pPr>
    </w:p>
    <w:p>
      <w:pPr>
        <w:pStyle w:val="51"/>
        <w:keepNext w:val="0"/>
        <w:keepLines w:val="0"/>
        <w:widowControl/>
        <w:adjustRightInd w:val="0"/>
        <w:snapToGrid w:val="0"/>
        <w:spacing w:before="0" w:after="50" w:line="360" w:lineRule="auto"/>
        <w:rPr>
          <w:rFonts w:hint="eastAsia" w:ascii="Times New Roman" w:hAnsi="Times New Roman" w:cs="宋体"/>
          <w:color w:val="auto"/>
          <w:sz w:val="28"/>
          <w:szCs w:val="28"/>
          <w:highlight w:val="none"/>
        </w:rPr>
      </w:pPr>
      <w:bookmarkStart w:id="1180" w:name="_Toc54862351"/>
      <w:r>
        <w:rPr>
          <w:rFonts w:hint="eastAsia" w:ascii="Times New Roman" w:hAnsi="Times New Roman" w:cs="宋体"/>
          <w:color w:val="auto"/>
          <w:sz w:val="28"/>
          <w:szCs w:val="28"/>
          <w:highlight w:val="none"/>
        </w:rPr>
        <w:t>专用合同条件附件</w:t>
      </w:r>
      <w:bookmarkEnd w:id="1180"/>
    </w:p>
    <w:p>
      <w:pPr>
        <w:spacing w:line="360" w:lineRule="auto"/>
        <w:rPr>
          <w:color w:val="auto"/>
          <w:highlight w:val="none"/>
        </w:rPr>
      </w:pP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附件1：发包人要求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附件2：发包人供应材料设备一览表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附件3：工程质量保修书</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附件4：主要建设工程文件目录</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附件5：承包人主要管理人员表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附件6：价格指数权重表</w:t>
      </w:r>
    </w:p>
    <w:p>
      <w:pPr>
        <w:spacing w:line="360" w:lineRule="auto"/>
        <w:rPr>
          <w:color w:val="auto"/>
          <w:highlight w:val="none"/>
        </w:rPr>
      </w:pPr>
    </w:p>
    <w:p>
      <w:pPr>
        <w:spacing w:line="360" w:lineRule="auto"/>
        <w:rPr>
          <w:color w:val="auto"/>
          <w:highlight w:val="none"/>
        </w:rPr>
      </w:pPr>
    </w:p>
    <w:p>
      <w:pPr>
        <w:spacing w:line="360" w:lineRule="auto"/>
        <w:rPr>
          <w:color w:val="auto"/>
          <w:highlight w:val="none"/>
        </w:rPr>
      </w:pPr>
    </w:p>
    <w:p>
      <w:pPr>
        <w:spacing w:line="360" w:lineRule="auto"/>
        <w:jc w:val="left"/>
        <w:rPr>
          <w:color w:val="auto"/>
          <w:highlight w:val="none"/>
        </w:rPr>
      </w:pPr>
      <w:r>
        <w:rPr>
          <w:color w:val="auto"/>
          <w:highlight w:val="none"/>
        </w:rPr>
        <w:br w:type="page"/>
      </w:r>
    </w:p>
    <w:p>
      <w:pPr>
        <w:pStyle w:val="55"/>
        <w:numPr>
          <w:ilvl w:val="0"/>
          <w:numId w:val="0"/>
        </w:numPr>
        <w:rPr>
          <w:rFonts w:ascii="Times New Roman" w:hAnsi="Times New Roman"/>
          <w:color w:val="auto"/>
          <w:sz w:val="28"/>
          <w:szCs w:val="28"/>
          <w:highlight w:val="none"/>
        </w:rPr>
      </w:pPr>
      <w:bookmarkStart w:id="1181" w:name="_Toc54862352"/>
      <w:bookmarkStart w:id="1182" w:name="_Hlk38571789"/>
      <w:r>
        <w:rPr>
          <w:rFonts w:hint="eastAsia" w:ascii="Times New Roman" w:hAnsi="Times New Roman"/>
          <w:color w:val="auto"/>
          <w:sz w:val="28"/>
          <w:szCs w:val="28"/>
          <w:highlight w:val="none"/>
        </w:rPr>
        <w:t>附件1</w:t>
      </w:r>
      <w:r>
        <w:rPr>
          <w:rFonts w:ascii="Times New Roman" w:hAnsi="Times New Roman"/>
          <w:color w:val="auto"/>
          <w:sz w:val="28"/>
          <w:szCs w:val="28"/>
          <w:highlight w:val="none"/>
        </w:rPr>
        <w:t xml:space="preserve"> </w:t>
      </w:r>
      <w:r>
        <w:rPr>
          <w:rFonts w:hint="eastAsia" w:ascii="Times New Roman" w:hAnsi="Times New Roman"/>
          <w:color w:val="auto"/>
          <w:sz w:val="28"/>
          <w:szCs w:val="28"/>
          <w:highlight w:val="none"/>
        </w:rPr>
        <w:t>《发包人要求》</w:t>
      </w:r>
      <w:bookmarkEnd w:id="1181"/>
    </w:p>
    <w:bookmarkEnd w:id="1182"/>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《发包人要求》通常包括但不限于以下内容：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一、功能要求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（一）工程目的。</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（二）工程规模。</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（三）性能保证指标（性能保证表）。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（四）产能保证指标。</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二、工程范围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（一）概述</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（二）包括的工作</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永久工程的设计、采购、施工范围。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临时工程的设计与施工范围。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竣工验收工作范围。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技术服务工作范围。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 培训工作范围。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 保修工作范围。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（三）工作界区</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（四）发包人提供的现场条件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施工用电。</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施工用水。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 施工排水。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 施工道路。</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（五）发包人提供的技术文件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除另有批准外，承包人的工作需要遵照发包人的下列技术文件: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 发包人需求任务书。</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 发包人已完成的设计文件。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三、工艺安排或要求（如有）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四、时间要求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（一）开始工作时间。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（二）设计完成时间。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（三）进度计划。</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（四）竣工时间。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（五）缺陷责任期。</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（六）其他时间要求。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五、技术要求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（一）设计阶段和设计任务。</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（二）设计标准和规范。</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（三）技术标准和要求。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（四）质量标准。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（五）设计、施工和设备监造、试验（如有）。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（六）样品。</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（七）发包人提供的其他条件，如发包人或其委托的第三人提供的设计、工艺包、用于试验检验的工器具等，以及据此对承包人提出的予以配套的要求。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六、竣工试验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（一）第一阶段，如对单车试验等的要求，包括试验前准备。</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（二）第二阶段，如对联动试车、投料试车等的要求，包括人员、设备、材料、燃料、电力、消耗品、工具等必要条件。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（三）第三阶段，如对性能测试及其他竣工试验的要求，包括产能指标、产品质量标准、运营指标、环保指标等。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七、竣工验收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八、竣工后试验（如有）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九、文件要求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（一）设计文件，及其相关审批、核准、备案要求。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（二）沟通计划。</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（三）风险管理计划。</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（四）竣工文件和工程的其他记录。</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（五）操作和维修手册。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（六）其他承包人文件。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十、工程项目管理规定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（一）质量。</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（二）进度，包括里程碑进度计划（如果有）。</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（三）支付。</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（四）HSE（健康、安全与环境管理体系）。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（五）沟通。</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（六）变更。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十一、其他要求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（一）对承包人的主要人员资格要求。</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（二）相关审批、核准和备案手续的办理。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（三）对项目业主人员的操作培训。</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（四）分包。</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（五）设备供应商。</w:t>
      </w:r>
    </w:p>
    <w:p>
      <w:pPr>
        <w:spacing w:line="360" w:lineRule="auto"/>
        <w:ind w:left="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（六）缺陷责任期的服务要求。</w:t>
      </w:r>
    </w:p>
    <w:p>
      <w:pPr>
        <w:spacing w:line="360" w:lineRule="auto"/>
        <w:jc w:val="left"/>
        <w:rPr>
          <w:color w:val="auto"/>
          <w:highlight w:val="none"/>
        </w:rPr>
      </w:pPr>
    </w:p>
    <w:p>
      <w:pPr>
        <w:spacing w:line="360" w:lineRule="auto"/>
        <w:jc w:val="left"/>
        <w:rPr>
          <w:color w:val="auto"/>
          <w:highlight w:val="none"/>
        </w:rPr>
      </w:pPr>
    </w:p>
    <w:p>
      <w:pPr>
        <w:spacing w:line="360" w:lineRule="auto"/>
        <w:jc w:val="left"/>
        <w:rPr>
          <w:color w:val="auto"/>
          <w:highlight w:val="none"/>
        </w:rPr>
      </w:pPr>
    </w:p>
    <w:p>
      <w:pPr>
        <w:pStyle w:val="55"/>
        <w:numPr>
          <w:ilvl w:val="0"/>
          <w:numId w:val="0"/>
        </w:numPr>
        <w:rPr>
          <w:rFonts w:hint="eastAsia" w:ascii="Times New Roman" w:hAnsi="Times New Roman" w:eastAsia="宋体" w:cs="宋体"/>
          <w:color w:val="auto"/>
          <w:sz w:val="28"/>
          <w:szCs w:val="28"/>
          <w:highlight w:val="none"/>
        </w:rPr>
      </w:pPr>
      <w:bookmarkStart w:id="1183" w:name="_Toc54862353"/>
      <w:bookmarkStart w:id="1184" w:name="_Toc20171894"/>
      <w:r>
        <w:rPr>
          <w:rFonts w:hint="eastAsia" w:ascii="Times New Roman" w:hAnsi="Times New Roman" w:eastAsia="宋体" w:cs="宋体"/>
          <w:color w:val="auto"/>
          <w:sz w:val="28"/>
          <w:szCs w:val="28"/>
          <w:highlight w:val="none"/>
        </w:rPr>
        <w:br w:type="page"/>
      </w:r>
      <w:r>
        <w:rPr>
          <w:rFonts w:hint="eastAsia" w:ascii="Times New Roman" w:hAnsi="Times New Roman" w:eastAsia="宋体" w:cs="宋体"/>
          <w:color w:val="auto"/>
          <w:sz w:val="28"/>
          <w:szCs w:val="28"/>
          <w:highlight w:val="none"/>
        </w:rPr>
        <w:t>附件2 发包人供应材料设备一览表</w:t>
      </w:r>
      <w:bookmarkEnd w:id="1183"/>
      <w:bookmarkEnd w:id="1184"/>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552"/>
        <w:gridCol w:w="1165"/>
        <w:gridCol w:w="1126"/>
        <w:gridCol w:w="567"/>
        <w:gridCol w:w="686"/>
        <w:gridCol w:w="992"/>
        <w:gridCol w:w="1134"/>
        <w:gridCol w:w="1134"/>
        <w:gridCol w:w="1134"/>
        <w:gridCol w:w="70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552"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序号</w:t>
            </w:r>
          </w:p>
        </w:tc>
        <w:tc>
          <w:tcPr>
            <w:tcW w:w="1165"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材料、设备品种</w:t>
            </w:r>
          </w:p>
        </w:tc>
        <w:tc>
          <w:tcPr>
            <w:tcW w:w="1126"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规格型号</w:t>
            </w:r>
          </w:p>
        </w:tc>
        <w:tc>
          <w:tcPr>
            <w:tcW w:w="567"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单位</w:t>
            </w:r>
          </w:p>
        </w:tc>
        <w:tc>
          <w:tcPr>
            <w:tcW w:w="686"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数量</w:t>
            </w:r>
          </w:p>
        </w:tc>
        <w:tc>
          <w:tcPr>
            <w:tcW w:w="992"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单价（元）</w:t>
            </w:r>
          </w:p>
        </w:tc>
        <w:tc>
          <w:tcPr>
            <w:tcW w:w="1134"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质量等级</w:t>
            </w:r>
          </w:p>
        </w:tc>
        <w:tc>
          <w:tcPr>
            <w:tcW w:w="1134"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供应时间</w:t>
            </w:r>
          </w:p>
        </w:tc>
        <w:tc>
          <w:tcPr>
            <w:tcW w:w="1134"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送达地点</w:t>
            </w:r>
          </w:p>
        </w:tc>
        <w:tc>
          <w:tcPr>
            <w:tcW w:w="709"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1165"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1126"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567"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686"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992" w:type="dxa"/>
            <w:tcBorders>
              <w:top w:val="double" w:color="auto" w:sz="6" w:space="0"/>
              <w:bottom w:val="single" w:color="auto" w:sz="6" w:space="0"/>
            </w:tcBorders>
            <w:noWrap w:val="0"/>
            <w:vAlign w:val="top"/>
          </w:tcPr>
          <w:p>
            <w:pPr>
              <w:pStyle w:val="11"/>
              <w:spacing w:line="360" w:lineRule="auto"/>
              <w:rPr>
                <w:rFonts w:ascii="Times New Roman" w:eastAsia="仿宋_GB2312"/>
                <w:color w:val="auto"/>
                <w:highlight w:val="none"/>
              </w:rPr>
            </w:pPr>
          </w:p>
        </w:tc>
        <w:tc>
          <w:tcPr>
            <w:tcW w:w="1134"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1134"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1134"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709"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tcBorders>
              <w:top w:val="nil"/>
            </w:tcBorders>
            <w:noWrap w:val="0"/>
            <w:vAlign w:val="center"/>
          </w:tcPr>
          <w:p>
            <w:pPr>
              <w:pStyle w:val="11"/>
              <w:spacing w:line="360" w:lineRule="auto"/>
              <w:rPr>
                <w:rFonts w:ascii="Times New Roman" w:eastAsia="仿宋_GB2312"/>
                <w:color w:val="auto"/>
                <w:highlight w:val="none"/>
              </w:rPr>
            </w:pPr>
          </w:p>
        </w:tc>
        <w:tc>
          <w:tcPr>
            <w:tcW w:w="1165" w:type="dxa"/>
            <w:tcBorders>
              <w:top w:val="nil"/>
            </w:tcBorders>
            <w:noWrap w:val="0"/>
            <w:vAlign w:val="center"/>
          </w:tcPr>
          <w:p>
            <w:pPr>
              <w:pStyle w:val="11"/>
              <w:spacing w:line="360" w:lineRule="auto"/>
              <w:rPr>
                <w:rFonts w:ascii="Times New Roman" w:eastAsia="仿宋_GB2312"/>
                <w:color w:val="auto"/>
                <w:highlight w:val="none"/>
              </w:rPr>
            </w:pPr>
          </w:p>
        </w:tc>
        <w:tc>
          <w:tcPr>
            <w:tcW w:w="1126" w:type="dxa"/>
            <w:tcBorders>
              <w:top w:val="nil"/>
            </w:tcBorders>
            <w:noWrap w:val="0"/>
            <w:vAlign w:val="center"/>
          </w:tcPr>
          <w:p>
            <w:pPr>
              <w:pStyle w:val="11"/>
              <w:spacing w:line="360" w:lineRule="auto"/>
              <w:rPr>
                <w:rFonts w:ascii="Times New Roman" w:eastAsia="仿宋_GB2312"/>
                <w:color w:val="auto"/>
                <w:highlight w:val="none"/>
              </w:rPr>
            </w:pPr>
          </w:p>
        </w:tc>
        <w:tc>
          <w:tcPr>
            <w:tcW w:w="567" w:type="dxa"/>
            <w:tcBorders>
              <w:top w:val="nil"/>
            </w:tcBorders>
            <w:noWrap w:val="0"/>
            <w:vAlign w:val="center"/>
          </w:tcPr>
          <w:p>
            <w:pPr>
              <w:pStyle w:val="11"/>
              <w:spacing w:line="360" w:lineRule="auto"/>
              <w:rPr>
                <w:rFonts w:ascii="Times New Roman" w:eastAsia="仿宋_GB2312"/>
                <w:color w:val="auto"/>
                <w:highlight w:val="none"/>
              </w:rPr>
            </w:pPr>
          </w:p>
        </w:tc>
        <w:tc>
          <w:tcPr>
            <w:tcW w:w="686" w:type="dxa"/>
            <w:tcBorders>
              <w:top w:val="nil"/>
            </w:tcBorders>
            <w:noWrap w:val="0"/>
            <w:vAlign w:val="center"/>
          </w:tcPr>
          <w:p>
            <w:pPr>
              <w:pStyle w:val="11"/>
              <w:spacing w:line="360" w:lineRule="auto"/>
              <w:rPr>
                <w:rFonts w:ascii="Times New Roman" w:eastAsia="仿宋_GB2312"/>
                <w:color w:val="auto"/>
                <w:highlight w:val="none"/>
              </w:rPr>
            </w:pPr>
          </w:p>
        </w:tc>
        <w:tc>
          <w:tcPr>
            <w:tcW w:w="992" w:type="dxa"/>
            <w:tcBorders>
              <w:top w:val="nil"/>
            </w:tcBorders>
            <w:noWrap w:val="0"/>
            <w:vAlign w:val="top"/>
          </w:tcPr>
          <w:p>
            <w:pPr>
              <w:pStyle w:val="11"/>
              <w:spacing w:line="360" w:lineRule="auto"/>
              <w:rPr>
                <w:rFonts w:ascii="Times New Roman" w:eastAsia="仿宋_GB2312"/>
                <w:color w:val="auto"/>
                <w:highlight w:val="none"/>
              </w:rPr>
            </w:pPr>
          </w:p>
        </w:tc>
        <w:tc>
          <w:tcPr>
            <w:tcW w:w="1134" w:type="dxa"/>
            <w:tcBorders>
              <w:top w:val="nil"/>
            </w:tcBorders>
            <w:noWrap w:val="0"/>
            <w:vAlign w:val="center"/>
          </w:tcPr>
          <w:p>
            <w:pPr>
              <w:pStyle w:val="11"/>
              <w:spacing w:line="360" w:lineRule="auto"/>
              <w:rPr>
                <w:rFonts w:ascii="Times New Roman" w:eastAsia="仿宋_GB2312"/>
                <w:color w:val="auto"/>
                <w:highlight w:val="none"/>
              </w:rPr>
            </w:pPr>
          </w:p>
        </w:tc>
        <w:tc>
          <w:tcPr>
            <w:tcW w:w="1134" w:type="dxa"/>
            <w:tcBorders>
              <w:top w:val="nil"/>
            </w:tcBorders>
            <w:noWrap w:val="0"/>
            <w:vAlign w:val="center"/>
          </w:tcPr>
          <w:p>
            <w:pPr>
              <w:pStyle w:val="11"/>
              <w:spacing w:line="360" w:lineRule="auto"/>
              <w:rPr>
                <w:rFonts w:ascii="Times New Roman" w:eastAsia="仿宋_GB2312"/>
                <w:color w:val="auto"/>
                <w:highlight w:val="none"/>
              </w:rPr>
            </w:pPr>
          </w:p>
        </w:tc>
        <w:tc>
          <w:tcPr>
            <w:tcW w:w="1134" w:type="dxa"/>
            <w:tcBorders>
              <w:top w:val="nil"/>
            </w:tcBorders>
            <w:noWrap w:val="0"/>
            <w:vAlign w:val="center"/>
          </w:tcPr>
          <w:p>
            <w:pPr>
              <w:pStyle w:val="11"/>
              <w:spacing w:line="360" w:lineRule="auto"/>
              <w:rPr>
                <w:rFonts w:ascii="Times New Roman" w:eastAsia="仿宋_GB2312"/>
                <w:color w:val="auto"/>
                <w:highlight w:val="none"/>
              </w:rPr>
            </w:pPr>
          </w:p>
        </w:tc>
        <w:tc>
          <w:tcPr>
            <w:tcW w:w="709" w:type="dxa"/>
            <w:tcBorders>
              <w:top w:val="nil"/>
            </w:tcBorders>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1"/>
              <w:spacing w:line="360" w:lineRule="auto"/>
              <w:rPr>
                <w:rFonts w:ascii="Times New Roman" w:eastAsia="仿宋_GB2312"/>
                <w:color w:val="auto"/>
                <w:highlight w:val="none"/>
              </w:rPr>
            </w:pPr>
          </w:p>
        </w:tc>
        <w:tc>
          <w:tcPr>
            <w:tcW w:w="1165" w:type="dxa"/>
            <w:noWrap w:val="0"/>
            <w:vAlign w:val="center"/>
          </w:tcPr>
          <w:p>
            <w:pPr>
              <w:pStyle w:val="11"/>
              <w:spacing w:line="360" w:lineRule="auto"/>
              <w:rPr>
                <w:rFonts w:ascii="Times New Roman" w:eastAsia="仿宋_GB2312"/>
                <w:color w:val="auto"/>
                <w:highlight w:val="none"/>
              </w:rPr>
            </w:pPr>
          </w:p>
        </w:tc>
        <w:tc>
          <w:tcPr>
            <w:tcW w:w="1126" w:type="dxa"/>
            <w:noWrap w:val="0"/>
            <w:vAlign w:val="center"/>
          </w:tcPr>
          <w:p>
            <w:pPr>
              <w:pStyle w:val="11"/>
              <w:spacing w:line="360" w:lineRule="auto"/>
              <w:rPr>
                <w:rFonts w:ascii="Times New Roman" w:eastAsia="仿宋_GB2312"/>
                <w:color w:val="auto"/>
                <w:highlight w:val="none"/>
              </w:rPr>
            </w:pPr>
          </w:p>
        </w:tc>
        <w:tc>
          <w:tcPr>
            <w:tcW w:w="567" w:type="dxa"/>
            <w:noWrap w:val="0"/>
            <w:vAlign w:val="center"/>
          </w:tcPr>
          <w:p>
            <w:pPr>
              <w:pStyle w:val="11"/>
              <w:spacing w:line="360" w:lineRule="auto"/>
              <w:rPr>
                <w:rFonts w:ascii="Times New Roman" w:eastAsia="仿宋_GB2312"/>
                <w:color w:val="auto"/>
                <w:highlight w:val="none"/>
              </w:rPr>
            </w:pPr>
          </w:p>
        </w:tc>
        <w:tc>
          <w:tcPr>
            <w:tcW w:w="686" w:type="dxa"/>
            <w:noWrap w:val="0"/>
            <w:vAlign w:val="center"/>
          </w:tcPr>
          <w:p>
            <w:pPr>
              <w:pStyle w:val="11"/>
              <w:spacing w:line="360" w:lineRule="auto"/>
              <w:rPr>
                <w:rFonts w:ascii="Times New Roman" w:eastAsia="仿宋_GB2312"/>
                <w:color w:val="auto"/>
                <w:highlight w:val="none"/>
              </w:rPr>
            </w:pPr>
          </w:p>
        </w:tc>
        <w:tc>
          <w:tcPr>
            <w:tcW w:w="992" w:type="dxa"/>
            <w:noWrap w:val="0"/>
            <w:vAlign w:val="top"/>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709"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1"/>
              <w:spacing w:line="360" w:lineRule="auto"/>
              <w:rPr>
                <w:rFonts w:ascii="Times New Roman" w:eastAsia="仿宋_GB2312"/>
                <w:color w:val="auto"/>
                <w:highlight w:val="none"/>
              </w:rPr>
            </w:pPr>
          </w:p>
        </w:tc>
        <w:tc>
          <w:tcPr>
            <w:tcW w:w="1165" w:type="dxa"/>
            <w:noWrap w:val="0"/>
            <w:vAlign w:val="center"/>
          </w:tcPr>
          <w:p>
            <w:pPr>
              <w:pStyle w:val="11"/>
              <w:spacing w:line="360" w:lineRule="auto"/>
              <w:rPr>
                <w:rFonts w:ascii="Times New Roman" w:eastAsia="仿宋_GB2312"/>
                <w:color w:val="auto"/>
                <w:highlight w:val="none"/>
              </w:rPr>
            </w:pPr>
          </w:p>
        </w:tc>
        <w:tc>
          <w:tcPr>
            <w:tcW w:w="1126" w:type="dxa"/>
            <w:noWrap w:val="0"/>
            <w:vAlign w:val="center"/>
          </w:tcPr>
          <w:p>
            <w:pPr>
              <w:pStyle w:val="11"/>
              <w:spacing w:line="360" w:lineRule="auto"/>
              <w:rPr>
                <w:rFonts w:ascii="Times New Roman" w:eastAsia="仿宋_GB2312"/>
                <w:color w:val="auto"/>
                <w:highlight w:val="none"/>
              </w:rPr>
            </w:pPr>
          </w:p>
        </w:tc>
        <w:tc>
          <w:tcPr>
            <w:tcW w:w="567" w:type="dxa"/>
            <w:noWrap w:val="0"/>
            <w:vAlign w:val="center"/>
          </w:tcPr>
          <w:p>
            <w:pPr>
              <w:pStyle w:val="11"/>
              <w:spacing w:line="360" w:lineRule="auto"/>
              <w:rPr>
                <w:rFonts w:ascii="Times New Roman" w:eastAsia="仿宋_GB2312"/>
                <w:color w:val="auto"/>
                <w:highlight w:val="none"/>
              </w:rPr>
            </w:pPr>
          </w:p>
        </w:tc>
        <w:tc>
          <w:tcPr>
            <w:tcW w:w="686" w:type="dxa"/>
            <w:noWrap w:val="0"/>
            <w:vAlign w:val="center"/>
          </w:tcPr>
          <w:p>
            <w:pPr>
              <w:pStyle w:val="11"/>
              <w:spacing w:line="360" w:lineRule="auto"/>
              <w:rPr>
                <w:rFonts w:ascii="Times New Roman" w:eastAsia="仿宋_GB2312"/>
                <w:color w:val="auto"/>
                <w:highlight w:val="none"/>
              </w:rPr>
            </w:pPr>
          </w:p>
        </w:tc>
        <w:tc>
          <w:tcPr>
            <w:tcW w:w="992" w:type="dxa"/>
            <w:noWrap w:val="0"/>
            <w:vAlign w:val="top"/>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709"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1"/>
              <w:spacing w:line="360" w:lineRule="auto"/>
              <w:rPr>
                <w:rFonts w:ascii="Times New Roman" w:eastAsia="仿宋_GB2312"/>
                <w:color w:val="auto"/>
                <w:highlight w:val="none"/>
              </w:rPr>
            </w:pPr>
          </w:p>
        </w:tc>
        <w:tc>
          <w:tcPr>
            <w:tcW w:w="1165" w:type="dxa"/>
            <w:noWrap w:val="0"/>
            <w:vAlign w:val="center"/>
          </w:tcPr>
          <w:p>
            <w:pPr>
              <w:pStyle w:val="11"/>
              <w:spacing w:line="360" w:lineRule="auto"/>
              <w:rPr>
                <w:rFonts w:ascii="Times New Roman" w:eastAsia="仿宋_GB2312"/>
                <w:color w:val="auto"/>
                <w:highlight w:val="none"/>
              </w:rPr>
            </w:pPr>
          </w:p>
        </w:tc>
        <w:tc>
          <w:tcPr>
            <w:tcW w:w="1126" w:type="dxa"/>
            <w:noWrap w:val="0"/>
            <w:vAlign w:val="center"/>
          </w:tcPr>
          <w:p>
            <w:pPr>
              <w:pStyle w:val="11"/>
              <w:spacing w:line="360" w:lineRule="auto"/>
              <w:rPr>
                <w:rFonts w:ascii="Times New Roman" w:eastAsia="仿宋_GB2312"/>
                <w:color w:val="auto"/>
                <w:highlight w:val="none"/>
              </w:rPr>
            </w:pPr>
          </w:p>
        </w:tc>
        <w:tc>
          <w:tcPr>
            <w:tcW w:w="567" w:type="dxa"/>
            <w:noWrap w:val="0"/>
            <w:vAlign w:val="center"/>
          </w:tcPr>
          <w:p>
            <w:pPr>
              <w:pStyle w:val="11"/>
              <w:spacing w:line="360" w:lineRule="auto"/>
              <w:rPr>
                <w:rFonts w:ascii="Times New Roman" w:eastAsia="仿宋_GB2312"/>
                <w:color w:val="auto"/>
                <w:highlight w:val="none"/>
              </w:rPr>
            </w:pPr>
          </w:p>
        </w:tc>
        <w:tc>
          <w:tcPr>
            <w:tcW w:w="686" w:type="dxa"/>
            <w:noWrap w:val="0"/>
            <w:vAlign w:val="center"/>
          </w:tcPr>
          <w:p>
            <w:pPr>
              <w:pStyle w:val="11"/>
              <w:spacing w:line="360" w:lineRule="auto"/>
              <w:rPr>
                <w:rFonts w:ascii="Times New Roman" w:eastAsia="仿宋_GB2312"/>
                <w:color w:val="auto"/>
                <w:highlight w:val="none"/>
              </w:rPr>
            </w:pPr>
          </w:p>
        </w:tc>
        <w:tc>
          <w:tcPr>
            <w:tcW w:w="992" w:type="dxa"/>
            <w:noWrap w:val="0"/>
            <w:vAlign w:val="top"/>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709"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1"/>
              <w:spacing w:line="360" w:lineRule="auto"/>
              <w:rPr>
                <w:rFonts w:ascii="Times New Roman" w:eastAsia="仿宋_GB2312"/>
                <w:color w:val="auto"/>
                <w:highlight w:val="none"/>
              </w:rPr>
            </w:pPr>
          </w:p>
        </w:tc>
        <w:tc>
          <w:tcPr>
            <w:tcW w:w="1165" w:type="dxa"/>
            <w:noWrap w:val="0"/>
            <w:vAlign w:val="center"/>
          </w:tcPr>
          <w:p>
            <w:pPr>
              <w:pStyle w:val="11"/>
              <w:spacing w:line="360" w:lineRule="auto"/>
              <w:rPr>
                <w:rFonts w:ascii="Times New Roman" w:eastAsia="仿宋_GB2312"/>
                <w:color w:val="auto"/>
                <w:highlight w:val="none"/>
              </w:rPr>
            </w:pPr>
          </w:p>
        </w:tc>
        <w:tc>
          <w:tcPr>
            <w:tcW w:w="1126" w:type="dxa"/>
            <w:noWrap w:val="0"/>
            <w:vAlign w:val="center"/>
          </w:tcPr>
          <w:p>
            <w:pPr>
              <w:pStyle w:val="11"/>
              <w:spacing w:line="360" w:lineRule="auto"/>
              <w:rPr>
                <w:rFonts w:ascii="Times New Roman" w:eastAsia="仿宋_GB2312"/>
                <w:color w:val="auto"/>
                <w:highlight w:val="none"/>
              </w:rPr>
            </w:pPr>
          </w:p>
        </w:tc>
        <w:tc>
          <w:tcPr>
            <w:tcW w:w="567" w:type="dxa"/>
            <w:noWrap w:val="0"/>
            <w:vAlign w:val="center"/>
          </w:tcPr>
          <w:p>
            <w:pPr>
              <w:pStyle w:val="11"/>
              <w:spacing w:line="360" w:lineRule="auto"/>
              <w:rPr>
                <w:rFonts w:ascii="Times New Roman" w:eastAsia="仿宋_GB2312"/>
                <w:color w:val="auto"/>
                <w:highlight w:val="none"/>
              </w:rPr>
            </w:pPr>
          </w:p>
        </w:tc>
        <w:tc>
          <w:tcPr>
            <w:tcW w:w="686" w:type="dxa"/>
            <w:noWrap w:val="0"/>
            <w:vAlign w:val="center"/>
          </w:tcPr>
          <w:p>
            <w:pPr>
              <w:pStyle w:val="11"/>
              <w:spacing w:line="360" w:lineRule="auto"/>
              <w:rPr>
                <w:rFonts w:ascii="Times New Roman" w:eastAsia="仿宋_GB2312"/>
                <w:color w:val="auto"/>
                <w:highlight w:val="none"/>
              </w:rPr>
            </w:pPr>
          </w:p>
        </w:tc>
        <w:tc>
          <w:tcPr>
            <w:tcW w:w="992" w:type="dxa"/>
            <w:noWrap w:val="0"/>
            <w:vAlign w:val="top"/>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709"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1"/>
              <w:spacing w:line="360" w:lineRule="auto"/>
              <w:rPr>
                <w:rFonts w:ascii="Times New Roman" w:eastAsia="仿宋_GB2312"/>
                <w:color w:val="auto"/>
                <w:highlight w:val="none"/>
              </w:rPr>
            </w:pPr>
          </w:p>
        </w:tc>
        <w:tc>
          <w:tcPr>
            <w:tcW w:w="1165" w:type="dxa"/>
            <w:noWrap w:val="0"/>
            <w:vAlign w:val="center"/>
          </w:tcPr>
          <w:p>
            <w:pPr>
              <w:pStyle w:val="11"/>
              <w:spacing w:line="360" w:lineRule="auto"/>
              <w:rPr>
                <w:rFonts w:ascii="Times New Roman" w:eastAsia="仿宋_GB2312"/>
                <w:color w:val="auto"/>
                <w:highlight w:val="none"/>
              </w:rPr>
            </w:pPr>
          </w:p>
        </w:tc>
        <w:tc>
          <w:tcPr>
            <w:tcW w:w="1126" w:type="dxa"/>
            <w:noWrap w:val="0"/>
            <w:vAlign w:val="center"/>
          </w:tcPr>
          <w:p>
            <w:pPr>
              <w:pStyle w:val="11"/>
              <w:spacing w:line="360" w:lineRule="auto"/>
              <w:rPr>
                <w:rFonts w:ascii="Times New Roman" w:eastAsia="仿宋_GB2312"/>
                <w:color w:val="auto"/>
                <w:highlight w:val="none"/>
              </w:rPr>
            </w:pPr>
          </w:p>
        </w:tc>
        <w:tc>
          <w:tcPr>
            <w:tcW w:w="567" w:type="dxa"/>
            <w:noWrap w:val="0"/>
            <w:vAlign w:val="center"/>
          </w:tcPr>
          <w:p>
            <w:pPr>
              <w:pStyle w:val="11"/>
              <w:spacing w:line="360" w:lineRule="auto"/>
              <w:rPr>
                <w:rFonts w:ascii="Times New Roman" w:eastAsia="仿宋_GB2312"/>
                <w:color w:val="auto"/>
                <w:highlight w:val="none"/>
              </w:rPr>
            </w:pPr>
          </w:p>
        </w:tc>
        <w:tc>
          <w:tcPr>
            <w:tcW w:w="686" w:type="dxa"/>
            <w:noWrap w:val="0"/>
            <w:vAlign w:val="center"/>
          </w:tcPr>
          <w:p>
            <w:pPr>
              <w:pStyle w:val="11"/>
              <w:spacing w:line="360" w:lineRule="auto"/>
              <w:rPr>
                <w:rFonts w:ascii="Times New Roman" w:eastAsia="仿宋_GB2312"/>
                <w:color w:val="auto"/>
                <w:highlight w:val="none"/>
              </w:rPr>
            </w:pPr>
          </w:p>
        </w:tc>
        <w:tc>
          <w:tcPr>
            <w:tcW w:w="992" w:type="dxa"/>
            <w:noWrap w:val="0"/>
            <w:vAlign w:val="top"/>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709"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1"/>
              <w:spacing w:line="360" w:lineRule="auto"/>
              <w:rPr>
                <w:rFonts w:ascii="Times New Roman" w:eastAsia="仿宋_GB2312"/>
                <w:color w:val="auto"/>
                <w:highlight w:val="none"/>
              </w:rPr>
            </w:pPr>
          </w:p>
        </w:tc>
        <w:tc>
          <w:tcPr>
            <w:tcW w:w="1165" w:type="dxa"/>
            <w:noWrap w:val="0"/>
            <w:vAlign w:val="center"/>
          </w:tcPr>
          <w:p>
            <w:pPr>
              <w:pStyle w:val="11"/>
              <w:spacing w:line="360" w:lineRule="auto"/>
              <w:rPr>
                <w:rFonts w:ascii="Times New Roman" w:eastAsia="仿宋_GB2312"/>
                <w:color w:val="auto"/>
                <w:highlight w:val="none"/>
              </w:rPr>
            </w:pPr>
          </w:p>
        </w:tc>
        <w:tc>
          <w:tcPr>
            <w:tcW w:w="1126" w:type="dxa"/>
            <w:noWrap w:val="0"/>
            <w:vAlign w:val="center"/>
          </w:tcPr>
          <w:p>
            <w:pPr>
              <w:pStyle w:val="11"/>
              <w:spacing w:line="360" w:lineRule="auto"/>
              <w:rPr>
                <w:rFonts w:ascii="Times New Roman" w:eastAsia="仿宋_GB2312"/>
                <w:color w:val="auto"/>
                <w:highlight w:val="none"/>
              </w:rPr>
            </w:pPr>
          </w:p>
        </w:tc>
        <w:tc>
          <w:tcPr>
            <w:tcW w:w="567" w:type="dxa"/>
            <w:noWrap w:val="0"/>
            <w:vAlign w:val="center"/>
          </w:tcPr>
          <w:p>
            <w:pPr>
              <w:pStyle w:val="11"/>
              <w:spacing w:line="360" w:lineRule="auto"/>
              <w:rPr>
                <w:rFonts w:ascii="Times New Roman" w:eastAsia="仿宋_GB2312"/>
                <w:color w:val="auto"/>
                <w:highlight w:val="none"/>
              </w:rPr>
            </w:pPr>
          </w:p>
        </w:tc>
        <w:tc>
          <w:tcPr>
            <w:tcW w:w="686" w:type="dxa"/>
            <w:noWrap w:val="0"/>
            <w:vAlign w:val="center"/>
          </w:tcPr>
          <w:p>
            <w:pPr>
              <w:pStyle w:val="11"/>
              <w:spacing w:line="360" w:lineRule="auto"/>
              <w:rPr>
                <w:rFonts w:ascii="Times New Roman" w:eastAsia="仿宋_GB2312"/>
                <w:color w:val="auto"/>
                <w:highlight w:val="none"/>
              </w:rPr>
            </w:pPr>
          </w:p>
        </w:tc>
        <w:tc>
          <w:tcPr>
            <w:tcW w:w="992" w:type="dxa"/>
            <w:noWrap w:val="0"/>
            <w:vAlign w:val="top"/>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709"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pacing w:line="360" w:lineRule="auto"/>
              <w:rPr>
                <w:rFonts w:ascii="Times New Roman" w:eastAsia="仿宋_GB2312"/>
                <w:color w:val="auto"/>
                <w:highlight w:val="none"/>
              </w:rPr>
            </w:pPr>
          </w:p>
        </w:tc>
        <w:tc>
          <w:tcPr>
            <w:tcW w:w="1165" w:type="dxa"/>
            <w:noWrap w:val="0"/>
            <w:vAlign w:val="center"/>
          </w:tcPr>
          <w:p>
            <w:pPr>
              <w:spacing w:line="360" w:lineRule="auto"/>
              <w:rPr>
                <w:rFonts w:ascii="Times New Roman" w:eastAsia="仿宋_GB2312"/>
                <w:color w:val="auto"/>
                <w:highlight w:val="none"/>
              </w:rPr>
            </w:pPr>
          </w:p>
        </w:tc>
        <w:tc>
          <w:tcPr>
            <w:tcW w:w="1126" w:type="dxa"/>
            <w:noWrap w:val="0"/>
            <w:vAlign w:val="center"/>
          </w:tcPr>
          <w:p>
            <w:pPr>
              <w:spacing w:line="360" w:lineRule="auto"/>
              <w:rPr>
                <w:rFonts w:ascii="Times New Roman" w:eastAsia="仿宋_GB2312"/>
                <w:color w:val="auto"/>
                <w:highlight w:val="none"/>
              </w:rPr>
            </w:pPr>
          </w:p>
        </w:tc>
        <w:tc>
          <w:tcPr>
            <w:tcW w:w="567" w:type="dxa"/>
            <w:noWrap w:val="0"/>
            <w:vAlign w:val="center"/>
          </w:tcPr>
          <w:p>
            <w:pPr>
              <w:spacing w:line="360" w:lineRule="auto"/>
              <w:rPr>
                <w:rFonts w:ascii="Times New Roman" w:eastAsia="仿宋_GB2312"/>
                <w:color w:val="auto"/>
                <w:highlight w:val="none"/>
              </w:rPr>
            </w:pPr>
          </w:p>
        </w:tc>
        <w:tc>
          <w:tcPr>
            <w:tcW w:w="686" w:type="dxa"/>
            <w:noWrap w:val="0"/>
            <w:vAlign w:val="center"/>
          </w:tcPr>
          <w:p>
            <w:pPr>
              <w:spacing w:line="360" w:lineRule="auto"/>
              <w:rPr>
                <w:rFonts w:ascii="Times New Roman" w:eastAsia="仿宋_GB2312"/>
                <w:color w:val="auto"/>
                <w:highlight w:val="none"/>
              </w:rPr>
            </w:pPr>
          </w:p>
        </w:tc>
        <w:tc>
          <w:tcPr>
            <w:tcW w:w="992" w:type="dxa"/>
            <w:noWrap w:val="0"/>
            <w:vAlign w:val="top"/>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709" w:type="dxa"/>
            <w:noWrap w:val="0"/>
            <w:vAlign w:val="center"/>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pStyle w:val="11"/>
              <w:spacing w:line="360" w:lineRule="auto"/>
              <w:rPr>
                <w:rFonts w:ascii="Times New Roman" w:eastAsia="仿宋_GB2312"/>
                <w:color w:val="auto"/>
                <w:highlight w:val="none"/>
              </w:rPr>
            </w:pPr>
          </w:p>
        </w:tc>
        <w:tc>
          <w:tcPr>
            <w:tcW w:w="1165" w:type="dxa"/>
            <w:noWrap w:val="0"/>
            <w:vAlign w:val="center"/>
          </w:tcPr>
          <w:p>
            <w:pPr>
              <w:pStyle w:val="11"/>
              <w:spacing w:line="360" w:lineRule="auto"/>
              <w:rPr>
                <w:rFonts w:ascii="Times New Roman" w:eastAsia="仿宋_GB2312"/>
                <w:color w:val="auto"/>
                <w:highlight w:val="none"/>
              </w:rPr>
            </w:pPr>
          </w:p>
        </w:tc>
        <w:tc>
          <w:tcPr>
            <w:tcW w:w="1126" w:type="dxa"/>
            <w:noWrap w:val="0"/>
            <w:vAlign w:val="center"/>
          </w:tcPr>
          <w:p>
            <w:pPr>
              <w:pStyle w:val="11"/>
              <w:spacing w:line="360" w:lineRule="auto"/>
              <w:rPr>
                <w:rFonts w:ascii="Times New Roman" w:eastAsia="仿宋_GB2312"/>
                <w:color w:val="auto"/>
                <w:highlight w:val="none"/>
              </w:rPr>
            </w:pPr>
          </w:p>
        </w:tc>
        <w:tc>
          <w:tcPr>
            <w:tcW w:w="567" w:type="dxa"/>
            <w:noWrap w:val="0"/>
            <w:vAlign w:val="center"/>
          </w:tcPr>
          <w:p>
            <w:pPr>
              <w:pStyle w:val="11"/>
              <w:spacing w:line="360" w:lineRule="auto"/>
              <w:rPr>
                <w:rFonts w:ascii="Times New Roman" w:eastAsia="仿宋_GB2312"/>
                <w:color w:val="auto"/>
                <w:highlight w:val="none"/>
              </w:rPr>
            </w:pPr>
          </w:p>
        </w:tc>
        <w:tc>
          <w:tcPr>
            <w:tcW w:w="686" w:type="dxa"/>
            <w:noWrap w:val="0"/>
            <w:vAlign w:val="center"/>
          </w:tcPr>
          <w:p>
            <w:pPr>
              <w:pStyle w:val="11"/>
              <w:spacing w:line="360" w:lineRule="auto"/>
              <w:rPr>
                <w:rFonts w:ascii="Times New Roman" w:eastAsia="仿宋_GB2312"/>
                <w:color w:val="auto"/>
                <w:highlight w:val="none"/>
              </w:rPr>
            </w:pPr>
          </w:p>
        </w:tc>
        <w:tc>
          <w:tcPr>
            <w:tcW w:w="992" w:type="dxa"/>
            <w:noWrap w:val="0"/>
            <w:vAlign w:val="top"/>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1134" w:type="dxa"/>
            <w:noWrap w:val="0"/>
            <w:vAlign w:val="center"/>
          </w:tcPr>
          <w:p>
            <w:pPr>
              <w:pStyle w:val="11"/>
              <w:spacing w:line="360" w:lineRule="auto"/>
              <w:rPr>
                <w:rFonts w:ascii="Times New Roman" w:eastAsia="仿宋_GB2312"/>
                <w:color w:val="auto"/>
                <w:highlight w:val="none"/>
              </w:rPr>
            </w:pPr>
          </w:p>
        </w:tc>
        <w:tc>
          <w:tcPr>
            <w:tcW w:w="709"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pacing w:line="360" w:lineRule="auto"/>
              <w:rPr>
                <w:rFonts w:ascii="Times New Roman" w:eastAsia="仿宋_GB2312"/>
                <w:color w:val="auto"/>
                <w:highlight w:val="none"/>
              </w:rPr>
            </w:pPr>
          </w:p>
        </w:tc>
        <w:tc>
          <w:tcPr>
            <w:tcW w:w="1165" w:type="dxa"/>
            <w:noWrap w:val="0"/>
            <w:vAlign w:val="center"/>
          </w:tcPr>
          <w:p>
            <w:pPr>
              <w:spacing w:line="360" w:lineRule="auto"/>
              <w:rPr>
                <w:rFonts w:ascii="Times New Roman" w:eastAsia="仿宋_GB2312"/>
                <w:color w:val="auto"/>
                <w:highlight w:val="none"/>
              </w:rPr>
            </w:pPr>
          </w:p>
        </w:tc>
        <w:tc>
          <w:tcPr>
            <w:tcW w:w="1126" w:type="dxa"/>
            <w:noWrap w:val="0"/>
            <w:vAlign w:val="center"/>
          </w:tcPr>
          <w:p>
            <w:pPr>
              <w:spacing w:line="360" w:lineRule="auto"/>
              <w:rPr>
                <w:rFonts w:ascii="Times New Roman" w:eastAsia="仿宋_GB2312"/>
                <w:color w:val="auto"/>
                <w:highlight w:val="none"/>
              </w:rPr>
            </w:pPr>
          </w:p>
        </w:tc>
        <w:tc>
          <w:tcPr>
            <w:tcW w:w="567" w:type="dxa"/>
            <w:noWrap w:val="0"/>
            <w:vAlign w:val="center"/>
          </w:tcPr>
          <w:p>
            <w:pPr>
              <w:spacing w:line="360" w:lineRule="auto"/>
              <w:rPr>
                <w:rFonts w:ascii="Times New Roman" w:eastAsia="仿宋_GB2312"/>
                <w:color w:val="auto"/>
                <w:highlight w:val="none"/>
              </w:rPr>
            </w:pPr>
          </w:p>
        </w:tc>
        <w:tc>
          <w:tcPr>
            <w:tcW w:w="686" w:type="dxa"/>
            <w:noWrap w:val="0"/>
            <w:vAlign w:val="center"/>
          </w:tcPr>
          <w:p>
            <w:pPr>
              <w:spacing w:line="360" w:lineRule="auto"/>
              <w:rPr>
                <w:rFonts w:ascii="Times New Roman" w:eastAsia="仿宋_GB2312"/>
                <w:color w:val="auto"/>
                <w:highlight w:val="none"/>
              </w:rPr>
            </w:pPr>
          </w:p>
        </w:tc>
        <w:tc>
          <w:tcPr>
            <w:tcW w:w="992" w:type="dxa"/>
            <w:noWrap w:val="0"/>
            <w:vAlign w:val="top"/>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709" w:type="dxa"/>
            <w:noWrap w:val="0"/>
            <w:vAlign w:val="center"/>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pacing w:line="360" w:lineRule="auto"/>
              <w:rPr>
                <w:rFonts w:ascii="Times New Roman" w:eastAsia="仿宋_GB2312"/>
                <w:color w:val="auto"/>
                <w:highlight w:val="none"/>
              </w:rPr>
            </w:pPr>
          </w:p>
        </w:tc>
        <w:tc>
          <w:tcPr>
            <w:tcW w:w="1165" w:type="dxa"/>
            <w:noWrap w:val="0"/>
            <w:vAlign w:val="center"/>
          </w:tcPr>
          <w:p>
            <w:pPr>
              <w:spacing w:line="360" w:lineRule="auto"/>
              <w:rPr>
                <w:rFonts w:ascii="Times New Roman" w:eastAsia="仿宋_GB2312"/>
                <w:color w:val="auto"/>
                <w:highlight w:val="none"/>
              </w:rPr>
            </w:pPr>
          </w:p>
        </w:tc>
        <w:tc>
          <w:tcPr>
            <w:tcW w:w="1126" w:type="dxa"/>
            <w:noWrap w:val="0"/>
            <w:vAlign w:val="center"/>
          </w:tcPr>
          <w:p>
            <w:pPr>
              <w:spacing w:line="360" w:lineRule="auto"/>
              <w:rPr>
                <w:rFonts w:ascii="Times New Roman" w:eastAsia="仿宋_GB2312"/>
                <w:color w:val="auto"/>
                <w:highlight w:val="none"/>
              </w:rPr>
            </w:pPr>
          </w:p>
        </w:tc>
        <w:tc>
          <w:tcPr>
            <w:tcW w:w="567" w:type="dxa"/>
            <w:noWrap w:val="0"/>
            <w:vAlign w:val="center"/>
          </w:tcPr>
          <w:p>
            <w:pPr>
              <w:spacing w:line="360" w:lineRule="auto"/>
              <w:rPr>
                <w:rFonts w:ascii="Times New Roman" w:eastAsia="仿宋_GB2312"/>
                <w:color w:val="auto"/>
                <w:highlight w:val="none"/>
              </w:rPr>
            </w:pPr>
          </w:p>
        </w:tc>
        <w:tc>
          <w:tcPr>
            <w:tcW w:w="686" w:type="dxa"/>
            <w:noWrap w:val="0"/>
            <w:vAlign w:val="center"/>
          </w:tcPr>
          <w:p>
            <w:pPr>
              <w:spacing w:line="360" w:lineRule="auto"/>
              <w:rPr>
                <w:rFonts w:ascii="Times New Roman" w:eastAsia="仿宋_GB2312"/>
                <w:color w:val="auto"/>
                <w:highlight w:val="none"/>
              </w:rPr>
            </w:pPr>
          </w:p>
        </w:tc>
        <w:tc>
          <w:tcPr>
            <w:tcW w:w="992" w:type="dxa"/>
            <w:noWrap w:val="0"/>
            <w:vAlign w:val="top"/>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709" w:type="dxa"/>
            <w:noWrap w:val="0"/>
            <w:vAlign w:val="center"/>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pacing w:line="360" w:lineRule="auto"/>
              <w:rPr>
                <w:rFonts w:ascii="Times New Roman" w:eastAsia="仿宋_GB2312"/>
                <w:color w:val="auto"/>
                <w:highlight w:val="none"/>
              </w:rPr>
            </w:pPr>
          </w:p>
        </w:tc>
        <w:tc>
          <w:tcPr>
            <w:tcW w:w="1165" w:type="dxa"/>
            <w:noWrap w:val="0"/>
            <w:vAlign w:val="center"/>
          </w:tcPr>
          <w:p>
            <w:pPr>
              <w:spacing w:line="360" w:lineRule="auto"/>
              <w:rPr>
                <w:rFonts w:ascii="Times New Roman" w:eastAsia="仿宋_GB2312"/>
                <w:color w:val="auto"/>
                <w:highlight w:val="none"/>
              </w:rPr>
            </w:pPr>
          </w:p>
        </w:tc>
        <w:tc>
          <w:tcPr>
            <w:tcW w:w="1126" w:type="dxa"/>
            <w:noWrap w:val="0"/>
            <w:vAlign w:val="center"/>
          </w:tcPr>
          <w:p>
            <w:pPr>
              <w:spacing w:line="360" w:lineRule="auto"/>
              <w:rPr>
                <w:rFonts w:ascii="Times New Roman" w:eastAsia="仿宋_GB2312"/>
                <w:color w:val="auto"/>
                <w:highlight w:val="none"/>
              </w:rPr>
            </w:pPr>
          </w:p>
        </w:tc>
        <w:tc>
          <w:tcPr>
            <w:tcW w:w="567" w:type="dxa"/>
            <w:noWrap w:val="0"/>
            <w:vAlign w:val="center"/>
          </w:tcPr>
          <w:p>
            <w:pPr>
              <w:spacing w:line="360" w:lineRule="auto"/>
              <w:rPr>
                <w:rFonts w:ascii="Times New Roman" w:eastAsia="仿宋_GB2312"/>
                <w:color w:val="auto"/>
                <w:highlight w:val="none"/>
              </w:rPr>
            </w:pPr>
          </w:p>
        </w:tc>
        <w:tc>
          <w:tcPr>
            <w:tcW w:w="686" w:type="dxa"/>
            <w:noWrap w:val="0"/>
            <w:vAlign w:val="center"/>
          </w:tcPr>
          <w:p>
            <w:pPr>
              <w:spacing w:line="360" w:lineRule="auto"/>
              <w:rPr>
                <w:rFonts w:ascii="Times New Roman" w:eastAsia="仿宋_GB2312"/>
                <w:color w:val="auto"/>
                <w:highlight w:val="none"/>
              </w:rPr>
            </w:pPr>
          </w:p>
        </w:tc>
        <w:tc>
          <w:tcPr>
            <w:tcW w:w="992" w:type="dxa"/>
            <w:noWrap w:val="0"/>
            <w:vAlign w:val="top"/>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709" w:type="dxa"/>
            <w:noWrap w:val="0"/>
            <w:vAlign w:val="center"/>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pacing w:line="360" w:lineRule="auto"/>
              <w:rPr>
                <w:rFonts w:ascii="Times New Roman" w:eastAsia="仿宋_GB2312"/>
                <w:color w:val="auto"/>
                <w:highlight w:val="none"/>
              </w:rPr>
            </w:pPr>
          </w:p>
        </w:tc>
        <w:tc>
          <w:tcPr>
            <w:tcW w:w="1165" w:type="dxa"/>
            <w:noWrap w:val="0"/>
            <w:vAlign w:val="center"/>
          </w:tcPr>
          <w:p>
            <w:pPr>
              <w:spacing w:line="360" w:lineRule="auto"/>
              <w:rPr>
                <w:rFonts w:ascii="Times New Roman" w:eastAsia="仿宋_GB2312"/>
                <w:color w:val="auto"/>
                <w:highlight w:val="none"/>
              </w:rPr>
            </w:pPr>
          </w:p>
        </w:tc>
        <w:tc>
          <w:tcPr>
            <w:tcW w:w="1126" w:type="dxa"/>
            <w:noWrap w:val="0"/>
            <w:vAlign w:val="center"/>
          </w:tcPr>
          <w:p>
            <w:pPr>
              <w:spacing w:line="360" w:lineRule="auto"/>
              <w:rPr>
                <w:rFonts w:ascii="Times New Roman" w:eastAsia="仿宋_GB2312"/>
                <w:color w:val="auto"/>
                <w:highlight w:val="none"/>
              </w:rPr>
            </w:pPr>
          </w:p>
        </w:tc>
        <w:tc>
          <w:tcPr>
            <w:tcW w:w="567" w:type="dxa"/>
            <w:noWrap w:val="0"/>
            <w:vAlign w:val="center"/>
          </w:tcPr>
          <w:p>
            <w:pPr>
              <w:spacing w:line="360" w:lineRule="auto"/>
              <w:rPr>
                <w:rFonts w:ascii="Times New Roman" w:eastAsia="仿宋_GB2312"/>
                <w:color w:val="auto"/>
                <w:highlight w:val="none"/>
              </w:rPr>
            </w:pPr>
          </w:p>
        </w:tc>
        <w:tc>
          <w:tcPr>
            <w:tcW w:w="686" w:type="dxa"/>
            <w:noWrap w:val="0"/>
            <w:vAlign w:val="center"/>
          </w:tcPr>
          <w:p>
            <w:pPr>
              <w:spacing w:line="360" w:lineRule="auto"/>
              <w:rPr>
                <w:rFonts w:ascii="Times New Roman" w:eastAsia="仿宋_GB2312"/>
                <w:color w:val="auto"/>
                <w:highlight w:val="none"/>
              </w:rPr>
            </w:pPr>
          </w:p>
        </w:tc>
        <w:tc>
          <w:tcPr>
            <w:tcW w:w="992" w:type="dxa"/>
            <w:noWrap w:val="0"/>
            <w:vAlign w:val="top"/>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709" w:type="dxa"/>
            <w:noWrap w:val="0"/>
            <w:vAlign w:val="center"/>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pacing w:line="360" w:lineRule="auto"/>
              <w:rPr>
                <w:rFonts w:ascii="Times New Roman" w:eastAsia="仿宋_GB2312"/>
                <w:color w:val="auto"/>
                <w:highlight w:val="none"/>
              </w:rPr>
            </w:pPr>
          </w:p>
        </w:tc>
        <w:tc>
          <w:tcPr>
            <w:tcW w:w="1165" w:type="dxa"/>
            <w:noWrap w:val="0"/>
            <w:vAlign w:val="center"/>
          </w:tcPr>
          <w:p>
            <w:pPr>
              <w:spacing w:line="360" w:lineRule="auto"/>
              <w:rPr>
                <w:rFonts w:ascii="Times New Roman" w:eastAsia="仿宋_GB2312"/>
                <w:color w:val="auto"/>
                <w:highlight w:val="none"/>
              </w:rPr>
            </w:pPr>
          </w:p>
        </w:tc>
        <w:tc>
          <w:tcPr>
            <w:tcW w:w="1126" w:type="dxa"/>
            <w:noWrap w:val="0"/>
            <w:vAlign w:val="center"/>
          </w:tcPr>
          <w:p>
            <w:pPr>
              <w:spacing w:line="360" w:lineRule="auto"/>
              <w:rPr>
                <w:rFonts w:ascii="Times New Roman" w:eastAsia="仿宋_GB2312"/>
                <w:color w:val="auto"/>
                <w:highlight w:val="none"/>
              </w:rPr>
            </w:pPr>
          </w:p>
        </w:tc>
        <w:tc>
          <w:tcPr>
            <w:tcW w:w="567" w:type="dxa"/>
            <w:noWrap w:val="0"/>
            <w:vAlign w:val="center"/>
          </w:tcPr>
          <w:p>
            <w:pPr>
              <w:spacing w:line="360" w:lineRule="auto"/>
              <w:rPr>
                <w:rFonts w:ascii="Times New Roman" w:eastAsia="仿宋_GB2312"/>
                <w:color w:val="auto"/>
                <w:highlight w:val="none"/>
              </w:rPr>
            </w:pPr>
          </w:p>
        </w:tc>
        <w:tc>
          <w:tcPr>
            <w:tcW w:w="686" w:type="dxa"/>
            <w:noWrap w:val="0"/>
            <w:vAlign w:val="center"/>
          </w:tcPr>
          <w:p>
            <w:pPr>
              <w:spacing w:line="360" w:lineRule="auto"/>
              <w:rPr>
                <w:rFonts w:ascii="Times New Roman" w:eastAsia="仿宋_GB2312"/>
                <w:color w:val="auto"/>
                <w:highlight w:val="none"/>
              </w:rPr>
            </w:pPr>
          </w:p>
        </w:tc>
        <w:tc>
          <w:tcPr>
            <w:tcW w:w="992" w:type="dxa"/>
            <w:noWrap w:val="0"/>
            <w:vAlign w:val="top"/>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709" w:type="dxa"/>
            <w:noWrap w:val="0"/>
            <w:vAlign w:val="center"/>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pacing w:line="360" w:lineRule="auto"/>
              <w:rPr>
                <w:rFonts w:ascii="Times New Roman" w:eastAsia="仿宋_GB2312"/>
                <w:color w:val="auto"/>
                <w:highlight w:val="none"/>
              </w:rPr>
            </w:pPr>
          </w:p>
        </w:tc>
        <w:tc>
          <w:tcPr>
            <w:tcW w:w="1165" w:type="dxa"/>
            <w:noWrap w:val="0"/>
            <w:vAlign w:val="center"/>
          </w:tcPr>
          <w:p>
            <w:pPr>
              <w:spacing w:line="360" w:lineRule="auto"/>
              <w:rPr>
                <w:rFonts w:ascii="Times New Roman" w:eastAsia="仿宋_GB2312"/>
                <w:color w:val="auto"/>
                <w:highlight w:val="none"/>
              </w:rPr>
            </w:pPr>
          </w:p>
        </w:tc>
        <w:tc>
          <w:tcPr>
            <w:tcW w:w="1126" w:type="dxa"/>
            <w:noWrap w:val="0"/>
            <w:vAlign w:val="center"/>
          </w:tcPr>
          <w:p>
            <w:pPr>
              <w:spacing w:line="360" w:lineRule="auto"/>
              <w:rPr>
                <w:rFonts w:ascii="Times New Roman" w:eastAsia="仿宋_GB2312"/>
                <w:color w:val="auto"/>
                <w:highlight w:val="none"/>
              </w:rPr>
            </w:pPr>
          </w:p>
        </w:tc>
        <w:tc>
          <w:tcPr>
            <w:tcW w:w="567" w:type="dxa"/>
            <w:noWrap w:val="0"/>
            <w:vAlign w:val="center"/>
          </w:tcPr>
          <w:p>
            <w:pPr>
              <w:spacing w:line="360" w:lineRule="auto"/>
              <w:rPr>
                <w:rFonts w:ascii="Times New Roman" w:eastAsia="仿宋_GB2312"/>
                <w:color w:val="auto"/>
                <w:highlight w:val="none"/>
              </w:rPr>
            </w:pPr>
          </w:p>
        </w:tc>
        <w:tc>
          <w:tcPr>
            <w:tcW w:w="686" w:type="dxa"/>
            <w:noWrap w:val="0"/>
            <w:vAlign w:val="center"/>
          </w:tcPr>
          <w:p>
            <w:pPr>
              <w:spacing w:line="360" w:lineRule="auto"/>
              <w:rPr>
                <w:rFonts w:ascii="Times New Roman" w:eastAsia="仿宋_GB2312"/>
                <w:color w:val="auto"/>
                <w:highlight w:val="none"/>
              </w:rPr>
            </w:pPr>
          </w:p>
        </w:tc>
        <w:tc>
          <w:tcPr>
            <w:tcW w:w="992" w:type="dxa"/>
            <w:noWrap w:val="0"/>
            <w:vAlign w:val="top"/>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709" w:type="dxa"/>
            <w:noWrap w:val="0"/>
            <w:vAlign w:val="center"/>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pacing w:line="360" w:lineRule="auto"/>
              <w:rPr>
                <w:rFonts w:ascii="Times New Roman" w:eastAsia="仿宋_GB2312"/>
                <w:color w:val="auto"/>
                <w:highlight w:val="none"/>
              </w:rPr>
            </w:pPr>
          </w:p>
        </w:tc>
        <w:tc>
          <w:tcPr>
            <w:tcW w:w="1165" w:type="dxa"/>
            <w:noWrap w:val="0"/>
            <w:vAlign w:val="center"/>
          </w:tcPr>
          <w:p>
            <w:pPr>
              <w:spacing w:line="360" w:lineRule="auto"/>
              <w:rPr>
                <w:rFonts w:ascii="Times New Roman" w:eastAsia="仿宋_GB2312"/>
                <w:color w:val="auto"/>
                <w:highlight w:val="none"/>
              </w:rPr>
            </w:pPr>
          </w:p>
        </w:tc>
        <w:tc>
          <w:tcPr>
            <w:tcW w:w="1126" w:type="dxa"/>
            <w:noWrap w:val="0"/>
            <w:vAlign w:val="center"/>
          </w:tcPr>
          <w:p>
            <w:pPr>
              <w:spacing w:line="360" w:lineRule="auto"/>
              <w:rPr>
                <w:rFonts w:ascii="Times New Roman" w:eastAsia="仿宋_GB2312"/>
                <w:color w:val="auto"/>
                <w:highlight w:val="none"/>
              </w:rPr>
            </w:pPr>
          </w:p>
        </w:tc>
        <w:tc>
          <w:tcPr>
            <w:tcW w:w="567" w:type="dxa"/>
            <w:noWrap w:val="0"/>
            <w:vAlign w:val="center"/>
          </w:tcPr>
          <w:p>
            <w:pPr>
              <w:spacing w:line="360" w:lineRule="auto"/>
              <w:rPr>
                <w:rFonts w:ascii="Times New Roman" w:eastAsia="仿宋_GB2312"/>
                <w:color w:val="auto"/>
                <w:highlight w:val="none"/>
              </w:rPr>
            </w:pPr>
          </w:p>
        </w:tc>
        <w:tc>
          <w:tcPr>
            <w:tcW w:w="686" w:type="dxa"/>
            <w:noWrap w:val="0"/>
            <w:vAlign w:val="center"/>
          </w:tcPr>
          <w:p>
            <w:pPr>
              <w:spacing w:line="360" w:lineRule="auto"/>
              <w:rPr>
                <w:rFonts w:ascii="Times New Roman" w:eastAsia="仿宋_GB2312"/>
                <w:color w:val="auto"/>
                <w:highlight w:val="none"/>
              </w:rPr>
            </w:pPr>
          </w:p>
        </w:tc>
        <w:tc>
          <w:tcPr>
            <w:tcW w:w="992" w:type="dxa"/>
            <w:noWrap w:val="0"/>
            <w:vAlign w:val="top"/>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709" w:type="dxa"/>
            <w:noWrap w:val="0"/>
            <w:vAlign w:val="center"/>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52" w:type="dxa"/>
            <w:noWrap w:val="0"/>
            <w:vAlign w:val="center"/>
          </w:tcPr>
          <w:p>
            <w:pPr>
              <w:spacing w:line="360" w:lineRule="auto"/>
              <w:rPr>
                <w:rFonts w:ascii="Times New Roman" w:eastAsia="仿宋_GB2312"/>
                <w:color w:val="auto"/>
                <w:highlight w:val="none"/>
              </w:rPr>
            </w:pPr>
          </w:p>
        </w:tc>
        <w:tc>
          <w:tcPr>
            <w:tcW w:w="1165" w:type="dxa"/>
            <w:noWrap w:val="0"/>
            <w:vAlign w:val="center"/>
          </w:tcPr>
          <w:p>
            <w:pPr>
              <w:spacing w:line="360" w:lineRule="auto"/>
              <w:rPr>
                <w:rFonts w:ascii="Times New Roman" w:eastAsia="仿宋_GB2312"/>
                <w:color w:val="auto"/>
                <w:highlight w:val="none"/>
              </w:rPr>
            </w:pPr>
          </w:p>
        </w:tc>
        <w:tc>
          <w:tcPr>
            <w:tcW w:w="1126" w:type="dxa"/>
            <w:noWrap w:val="0"/>
            <w:vAlign w:val="center"/>
          </w:tcPr>
          <w:p>
            <w:pPr>
              <w:spacing w:line="360" w:lineRule="auto"/>
              <w:rPr>
                <w:rFonts w:ascii="Times New Roman" w:eastAsia="仿宋_GB2312"/>
                <w:color w:val="auto"/>
                <w:highlight w:val="none"/>
              </w:rPr>
            </w:pPr>
          </w:p>
        </w:tc>
        <w:tc>
          <w:tcPr>
            <w:tcW w:w="567" w:type="dxa"/>
            <w:noWrap w:val="0"/>
            <w:vAlign w:val="center"/>
          </w:tcPr>
          <w:p>
            <w:pPr>
              <w:spacing w:line="360" w:lineRule="auto"/>
              <w:rPr>
                <w:rFonts w:ascii="Times New Roman" w:eastAsia="仿宋_GB2312"/>
                <w:color w:val="auto"/>
                <w:highlight w:val="none"/>
              </w:rPr>
            </w:pPr>
          </w:p>
        </w:tc>
        <w:tc>
          <w:tcPr>
            <w:tcW w:w="686" w:type="dxa"/>
            <w:noWrap w:val="0"/>
            <w:vAlign w:val="center"/>
          </w:tcPr>
          <w:p>
            <w:pPr>
              <w:spacing w:line="360" w:lineRule="auto"/>
              <w:rPr>
                <w:rFonts w:ascii="Times New Roman" w:eastAsia="仿宋_GB2312"/>
                <w:color w:val="auto"/>
                <w:highlight w:val="none"/>
              </w:rPr>
            </w:pPr>
          </w:p>
        </w:tc>
        <w:tc>
          <w:tcPr>
            <w:tcW w:w="992" w:type="dxa"/>
            <w:noWrap w:val="0"/>
            <w:vAlign w:val="top"/>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1134" w:type="dxa"/>
            <w:noWrap w:val="0"/>
            <w:vAlign w:val="center"/>
          </w:tcPr>
          <w:p>
            <w:pPr>
              <w:spacing w:line="360" w:lineRule="auto"/>
              <w:rPr>
                <w:rFonts w:ascii="Times New Roman" w:eastAsia="仿宋_GB2312"/>
                <w:color w:val="auto"/>
                <w:highlight w:val="none"/>
              </w:rPr>
            </w:pPr>
          </w:p>
        </w:tc>
        <w:tc>
          <w:tcPr>
            <w:tcW w:w="709" w:type="dxa"/>
            <w:noWrap w:val="0"/>
            <w:vAlign w:val="center"/>
          </w:tcPr>
          <w:p>
            <w:pPr>
              <w:spacing w:line="360" w:lineRule="auto"/>
              <w:rPr>
                <w:rFonts w:ascii="Times New Roman" w:eastAsia="仿宋_GB2312"/>
                <w:color w:val="auto"/>
                <w:highlight w:val="none"/>
              </w:rPr>
            </w:pPr>
          </w:p>
        </w:tc>
      </w:tr>
    </w:tbl>
    <w:p>
      <w:pPr>
        <w:spacing w:line="360" w:lineRule="auto"/>
        <w:rPr>
          <w:color w:val="auto"/>
          <w:highlight w:val="none"/>
        </w:rPr>
      </w:pPr>
    </w:p>
    <w:p>
      <w:pPr>
        <w:spacing w:line="360" w:lineRule="auto"/>
        <w:rPr>
          <w:color w:val="auto"/>
          <w:highlight w:val="none"/>
        </w:rPr>
      </w:pPr>
      <w:r>
        <w:rPr>
          <w:color w:val="auto"/>
          <w:highlight w:val="none"/>
        </w:rPr>
        <w:br w:type="page"/>
      </w:r>
    </w:p>
    <w:p>
      <w:pPr>
        <w:pStyle w:val="55"/>
        <w:numPr>
          <w:ilvl w:val="0"/>
          <w:numId w:val="0"/>
        </w:numPr>
        <w:rPr>
          <w:rFonts w:hint="eastAsia" w:ascii="Times New Roman" w:hAnsi="Times New Roman" w:eastAsia="宋体" w:cs="宋体"/>
          <w:color w:val="auto"/>
          <w:sz w:val="28"/>
          <w:szCs w:val="28"/>
          <w:highlight w:val="none"/>
        </w:rPr>
      </w:pPr>
      <w:bookmarkStart w:id="1185" w:name="_Toc54862354"/>
      <w:bookmarkStart w:id="1186" w:name="_Toc20171895"/>
      <w:r>
        <w:rPr>
          <w:rFonts w:hint="eastAsia" w:ascii="Times New Roman" w:hAnsi="Times New Roman" w:eastAsia="宋体" w:cs="宋体"/>
          <w:color w:val="auto"/>
          <w:sz w:val="28"/>
          <w:szCs w:val="28"/>
          <w:highlight w:val="none"/>
        </w:rPr>
        <w:t>附件3 工程质量保修书</w:t>
      </w:r>
      <w:bookmarkEnd w:id="1185"/>
      <w:bookmarkEnd w:id="1186"/>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发包人（全称）：</w:t>
      </w:r>
      <w:r>
        <w:rPr>
          <w:rFonts w:hint="eastAsia" w:ascii="Times New Roman" w:hAnsi="Times New Roman" w:cs="宋体"/>
          <w:color w:val="auto"/>
          <w:szCs w:val="21"/>
          <w:highlight w:val="none"/>
          <w:u w:val="single"/>
        </w:rPr>
        <w:t xml:space="preserve">                                  </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承包人（全称）：</w:t>
      </w:r>
      <w:r>
        <w:rPr>
          <w:rFonts w:hint="eastAsia" w:ascii="Times New Roman" w:hAnsi="Times New Roman" w:cs="宋体"/>
          <w:color w:val="auto"/>
          <w:szCs w:val="21"/>
          <w:highlight w:val="none"/>
          <w:u w:val="single"/>
        </w:rPr>
        <w:t xml:space="preserve">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发包人和承包人根据《中华人民共和国建筑法》和《建设工程质量管理条例》，经协商一致就</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（工程全称）订立工程质量保修书。</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一、工程质量保修范围和内容</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承包人在质量保修期内，按照有关法律规定和合同约定，承担工程质量保修责任。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二、质量保修期</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根据《建设工程质量管理条例》及有关规定，工程的质量保修期如下：</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1．地基基础工程和主体结构工程为设计文件规定的工程合理使用年限；</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2．屋面防水工程、有防水要求的卫生间、房间和外墙面的防渗为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3．装修工程为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4．电气管线、给排水管道、设备安装工程为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5．供热与供冷系统为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个采暖期、供冷期；</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6．住宅小区内的给排水设施、道路等配套工程为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年；</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7．其他项目保修期限约定如下：</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质量保修期自工程竣工验收合格之日起计算。</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三、缺陷责任期</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工程缺陷责任期为</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个月，缺陷责任期自工程通过竣工验收之日起计算。单位/区段工程先于全部工程进行验收，单位/区段工程缺陷责任期自单位/区段工程验收合格之日起算。</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缺陷责任期终止后，发包人应返还剩余的质量保证金。</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四、质量保修责任</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1．属于保修范围、内容的项目，承包人应当在接到保修通知之日起7天内派人保修。承包人不在约定期限内派人保修的，发包人可以委托他人修理。</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2．发生紧急事故需抢修的，承包人在接到事故通知后，应当立即到达事故现场抢修。</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3．对于涉及结构安全的质量问题，应当按照《建设工程质量管理条例》的规定，立即向当地建设行政主管部门和有关部门报告，采取安全防范措施，并由承包人提出保修方案，承包人将设计业务分包的，应由原设计分包人或具有相应资质等级的设计人提出保修方案，承包人实施保修。</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4．质量保修完成后，由发包人组织验收。</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五、保修费用</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保修费用由造成质量缺陷的责任方承担。</w:t>
      </w:r>
    </w:p>
    <w:p>
      <w:pPr>
        <w:spacing w:line="360" w:lineRule="auto"/>
        <w:ind w:firstLine="600"/>
        <w:rPr>
          <w:rFonts w:hint="eastAsia" w:ascii="Times New Roman" w:hAnsi="Times New Roman" w:cs="宋体"/>
          <w:color w:val="auto"/>
          <w:szCs w:val="21"/>
          <w:highlight w:val="none"/>
          <w:u w:val="single"/>
        </w:rPr>
      </w:pPr>
      <w:r>
        <w:rPr>
          <w:rFonts w:hint="eastAsia" w:ascii="Times New Roman" w:hAnsi="Times New Roman" w:cs="宋体"/>
          <w:color w:val="auto"/>
          <w:szCs w:val="21"/>
          <w:highlight w:val="none"/>
        </w:rPr>
        <w:t>六、双方约定的其他工程质量保修事项：</w:t>
      </w:r>
      <w:r>
        <w:rPr>
          <w:rFonts w:hint="eastAsia" w:ascii="Times New Roman" w:hAnsi="Times New Roman" w:cs="宋体"/>
          <w:color w:val="auto"/>
          <w:szCs w:val="21"/>
          <w:highlight w:val="none"/>
          <w:u w:val="single"/>
        </w:rPr>
        <w:t xml:space="preserve">                </w:t>
      </w:r>
      <w:r>
        <w:rPr>
          <w:rFonts w:hint="eastAsia" w:ascii="Times New Roman" w:hAnsi="Times New Roman" w:cs="宋体"/>
          <w:color w:val="auto"/>
          <w:szCs w:val="21"/>
          <w:highlight w:val="none"/>
        </w:rPr>
        <w:t>。</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工程质量保修书由发包人、承包人在工程竣工验收前共同签署，作为工程总承包合同附件，其有效期限至保修期满。</w:t>
      </w:r>
    </w:p>
    <w:p>
      <w:pPr>
        <w:spacing w:line="360" w:lineRule="auto"/>
        <w:ind w:firstLine="600"/>
        <w:rPr>
          <w:rFonts w:hint="eastAsia" w:ascii="Times New Roman" w:hAnsi="Times New Roman" w:cs="宋体"/>
          <w:color w:val="auto"/>
          <w:szCs w:val="21"/>
          <w:highlight w:val="none"/>
        </w:rPr>
      </w:pP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发包人(公章)：               承包人(公章)：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地  址：                     地  址：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法定代表人(签字)：           法定代表人(签字)：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委托代理人(签字)：           委托代理人(签字)：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电  话：                     电  话：</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传  真：                     传  真：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开户银行：                   开户银行：</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账  号：                     账  号： </w:t>
      </w:r>
    </w:p>
    <w:p>
      <w:pPr>
        <w:spacing w:line="360" w:lineRule="auto"/>
        <w:ind w:firstLine="600"/>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 xml:space="preserve">邮政编码：                   邮政编码：   </w:t>
      </w:r>
    </w:p>
    <w:p>
      <w:pPr>
        <w:spacing w:line="360" w:lineRule="auto"/>
        <w:jc w:val="left"/>
        <w:rPr>
          <w:color w:val="auto"/>
          <w:sz w:val="30"/>
          <w:szCs w:val="30"/>
          <w:highlight w:val="none"/>
        </w:rPr>
      </w:pPr>
      <w:r>
        <w:rPr>
          <w:color w:val="auto"/>
          <w:sz w:val="30"/>
          <w:szCs w:val="30"/>
          <w:highlight w:val="none"/>
        </w:rPr>
        <w:br w:type="page"/>
      </w:r>
    </w:p>
    <w:p>
      <w:pPr>
        <w:pStyle w:val="55"/>
        <w:numPr>
          <w:ilvl w:val="0"/>
          <w:numId w:val="0"/>
        </w:numPr>
        <w:rPr>
          <w:rFonts w:ascii="Times New Roman" w:hAnsi="Times New Roman"/>
          <w:color w:val="auto"/>
          <w:highlight w:val="none"/>
        </w:rPr>
      </w:pPr>
      <w:bookmarkStart w:id="1187" w:name="_Toc20171896"/>
      <w:bookmarkStart w:id="1188" w:name="_Toc54862355"/>
      <w:r>
        <w:rPr>
          <w:rFonts w:hint="eastAsia" w:ascii="Times New Roman" w:hAnsi="Times New Roman" w:eastAsia="宋体" w:cs="宋体"/>
          <w:color w:val="auto"/>
          <w:sz w:val="28"/>
          <w:szCs w:val="28"/>
          <w:highlight w:val="none"/>
        </w:rPr>
        <w:t>附件4 主要建设工程文件目录</w:t>
      </w:r>
      <w:bookmarkEnd w:id="1187"/>
      <w:bookmarkEnd w:id="1188"/>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2125"/>
        <w:gridCol w:w="1276"/>
        <w:gridCol w:w="1450"/>
        <w:gridCol w:w="1243"/>
        <w:gridCol w:w="1450"/>
        <w:gridCol w:w="16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2125"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文件名称</w:t>
            </w:r>
          </w:p>
        </w:tc>
        <w:tc>
          <w:tcPr>
            <w:tcW w:w="1276"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套数</w:t>
            </w:r>
          </w:p>
        </w:tc>
        <w:tc>
          <w:tcPr>
            <w:tcW w:w="1450"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费用（元）</w:t>
            </w:r>
          </w:p>
        </w:tc>
        <w:tc>
          <w:tcPr>
            <w:tcW w:w="1243" w:type="dxa"/>
            <w:tcBorders>
              <w:top w:val="single" w:color="auto" w:sz="12" w:space="0"/>
              <w:bottom w:val="double" w:color="auto" w:sz="6" w:space="0"/>
            </w:tcBorders>
            <w:noWrap w:val="0"/>
            <w:vAlign w:val="center"/>
          </w:tcPr>
          <w:p>
            <w:pPr>
              <w:pStyle w:val="11"/>
              <w:spacing w:after="0" w:line="360" w:lineRule="auto"/>
              <w:jc w:val="center"/>
              <w:rPr>
                <w:rFonts w:ascii="Times New Roman" w:eastAsia="仿宋_GB2312"/>
                <w:color w:val="auto"/>
                <w:highlight w:val="none"/>
              </w:rPr>
            </w:pPr>
            <w:r>
              <w:rPr>
                <w:rFonts w:hint="eastAsia" w:ascii="Times New Roman" w:eastAsia="仿宋_GB2312"/>
                <w:color w:val="auto"/>
                <w:highlight w:val="none"/>
              </w:rPr>
              <w:t>质量</w:t>
            </w:r>
          </w:p>
        </w:tc>
        <w:tc>
          <w:tcPr>
            <w:tcW w:w="1450" w:type="dxa"/>
            <w:tcBorders>
              <w:top w:val="single" w:color="auto" w:sz="12" w:space="0"/>
              <w:bottom w:val="double" w:color="auto" w:sz="6" w:space="0"/>
            </w:tcBorders>
            <w:noWrap w:val="0"/>
            <w:vAlign w:val="top"/>
          </w:tcPr>
          <w:p>
            <w:pPr>
              <w:spacing w:line="360" w:lineRule="auto"/>
              <w:jc w:val="center"/>
              <w:rPr>
                <w:rFonts w:ascii="Times New Roman" w:eastAsia="仿宋_GB2312"/>
                <w:color w:val="auto"/>
                <w:highlight w:val="none"/>
              </w:rPr>
            </w:pPr>
            <w:r>
              <w:rPr>
                <w:rFonts w:hint="eastAsia" w:ascii="Times New Roman" w:eastAsia="仿宋_GB2312"/>
                <w:color w:val="auto"/>
                <w:highlight w:val="none"/>
              </w:rPr>
              <w:t>移交时间</w:t>
            </w:r>
          </w:p>
        </w:tc>
        <w:tc>
          <w:tcPr>
            <w:tcW w:w="1670" w:type="dxa"/>
            <w:tcBorders>
              <w:top w:val="single" w:color="auto" w:sz="12" w:space="0"/>
              <w:bottom w:val="double" w:color="auto" w:sz="6" w:space="0"/>
            </w:tcBorders>
            <w:noWrap w:val="0"/>
            <w:vAlign w:val="top"/>
          </w:tcPr>
          <w:p>
            <w:pPr>
              <w:spacing w:line="360" w:lineRule="auto"/>
              <w:jc w:val="center"/>
              <w:rPr>
                <w:rFonts w:ascii="Times New Roman" w:eastAsia="仿宋_GB2312"/>
                <w:color w:val="auto"/>
                <w:highlight w:val="none"/>
              </w:rPr>
            </w:pPr>
            <w:r>
              <w:rPr>
                <w:rFonts w:hint="eastAsia" w:ascii="Times New Roman" w:eastAsia="仿宋_GB2312"/>
                <w:color w:val="auto"/>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1276"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1450"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1243"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1450"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c>
          <w:tcPr>
            <w:tcW w:w="1670" w:type="dxa"/>
            <w:tcBorders>
              <w:top w:val="double" w:color="auto" w:sz="6" w:space="0"/>
              <w:bottom w:val="single" w:color="auto" w:sz="6" w:space="0"/>
            </w:tcBorders>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tcBorders>
              <w:top w:val="nil"/>
            </w:tcBorders>
            <w:noWrap w:val="0"/>
            <w:vAlign w:val="center"/>
          </w:tcPr>
          <w:p>
            <w:pPr>
              <w:pStyle w:val="11"/>
              <w:spacing w:line="360" w:lineRule="auto"/>
              <w:rPr>
                <w:rFonts w:ascii="Times New Roman" w:eastAsia="仿宋_GB2312"/>
                <w:color w:val="auto"/>
                <w:highlight w:val="none"/>
              </w:rPr>
            </w:pPr>
          </w:p>
        </w:tc>
        <w:tc>
          <w:tcPr>
            <w:tcW w:w="1276" w:type="dxa"/>
            <w:tcBorders>
              <w:top w:val="nil"/>
            </w:tcBorders>
            <w:noWrap w:val="0"/>
            <w:vAlign w:val="center"/>
          </w:tcPr>
          <w:p>
            <w:pPr>
              <w:pStyle w:val="11"/>
              <w:spacing w:line="360" w:lineRule="auto"/>
              <w:rPr>
                <w:rFonts w:ascii="Times New Roman" w:eastAsia="仿宋_GB2312"/>
                <w:color w:val="auto"/>
                <w:highlight w:val="none"/>
              </w:rPr>
            </w:pPr>
          </w:p>
        </w:tc>
        <w:tc>
          <w:tcPr>
            <w:tcW w:w="1450" w:type="dxa"/>
            <w:tcBorders>
              <w:top w:val="nil"/>
            </w:tcBorders>
            <w:noWrap w:val="0"/>
            <w:vAlign w:val="center"/>
          </w:tcPr>
          <w:p>
            <w:pPr>
              <w:pStyle w:val="11"/>
              <w:spacing w:line="360" w:lineRule="auto"/>
              <w:rPr>
                <w:rFonts w:ascii="Times New Roman" w:eastAsia="仿宋_GB2312"/>
                <w:color w:val="auto"/>
                <w:highlight w:val="none"/>
              </w:rPr>
            </w:pPr>
          </w:p>
        </w:tc>
        <w:tc>
          <w:tcPr>
            <w:tcW w:w="1243" w:type="dxa"/>
            <w:tcBorders>
              <w:top w:val="nil"/>
            </w:tcBorders>
            <w:noWrap w:val="0"/>
            <w:vAlign w:val="center"/>
          </w:tcPr>
          <w:p>
            <w:pPr>
              <w:pStyle w:val="11"/>
              <w:spacing w:line="360" w:lineRule="auto"/>
              <w:rPr>
                <w:rFonts w:ascii="Times New Roman" w:eastAsia="仿宋_GB2312"/>
                <w:color w:val="auto"/>
                <w:highlight w:val="none"/>
              </w:rPr>
            </w:pPr>
          </w:p>
        </w:tc>
        <w:tc>
          <w:tcPr>
            <w:tcW w:w="1450" w:type="dxa"/>
            <w:tcBorders>
              <w:top w:val="nil"/>
            </w:tcBorders>
            <w:noWrap w:val="0"/>
            <w:vAlign w:val="center"/>
          </w:tcPr>
          <w:p>
            <w:pPr>
              <w:pStyle w:val="11"/>
              <w:spacing w:line="360" w:lineRule="auto"/>
              <w:rPr>
                <w:rFonts w:ascii="Times New Roman" w:eastAsia="仿宋_GB2312"/>
                <w:color w:val="auto"/>
                <w:highlight w:val="none"/>
              </w:rPr>
            </w:pPr>
          </w:p>
        </w:tc>
        <w:tc>
          <w:tcPr>
            <w:tcW w:w="1670" w:type="dxa"/>
            <w:tcBorders>
              <w:top w:val="nil"/>
            </w:tcBorders>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1"/>
              <w:spacing w:line="360" w:lineRule="auto"/>
              <w:rPr>
                <w:rFonts w:ascii="Times New Roman" w:eastAsia="仿宋_GB2312"/>
                <w:color w:val="auto"/>
                <w:highlight w:val="none"/>
              </w:rPr>
            </w:pPr>
          </w:p>
        </w:tc>
        <w:tc>
          <w:tcPr>
            <w:tcW w:w="1276"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243"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670"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1"/>
              <w:spacing w:line="360" w:lineRule="auto"/>
              <w:rPr>
                <w:rFonts w:ascii="Times New Roman" w:eastAsia="仿宋_GB2312"/>
                <w:color w:val="auto"/>
                <w:highlight w:val="none"/>
              </w:rPr>
            </w:pPr>
          </w:p>
        </w:tc>
        <w:tc>
          <w:tcPr>
            <w:tcW w:w="1276"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243"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670"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1"/>
              <w:spacing w:line="360" w:lineRule="auto"/>
              <w:rPr>
                <w:rFonts w:ascii="Times New Roman" w:eastAsia="仿宋_GB2312"/>
                <w:color w:val="auto"/>
                <w:highlight w:val="none"/>
              </w:rPr>
            </w:pPr>
          </w:p>
        </w:tc>
        <w:tc>
          <w:tcPr>
            <w:tcW w:w="1276"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243"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670"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1"/>
              <w:spacing w:line="360" w:lineRule="auto"/>
              <w:rPr>
                <w:rFonts w:ascii="Times New Roman" w:eastAsia="仿宋_GB2312"/>
                <w:color w:val="auto"/>
                <w:highlight w:val="none"/>
              </w:rPr>
            </w:pPr>
          </w:p>
        </w:tc>
        <w:tc>
          <w:tcPr>
            <w:tcW w:w="1276"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243"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670"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1"/>
              <w:spacing w:line="360" w:lineRule="auto"/>
              <w:rPr>
                <w:rFonts w:ascii="Times New Roman" w:eastAsia="仿宋_GB2312"/>
                <w:color w:val="auto"/>
                <w:highlight w:val="none"/>
              </w:rPr>
            </w:pPr>
          </w:p>
        </w:tc>
        <w:tc>
          <w:tcPr>
            <w:tcW w:w="1276"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243"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670"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1"/>
              <w:spacing w:line="360" w:lineRule="auto"/>
              <w:rPr>
                <w:rFonts w:ascii="Times New Roman" w:eastAsia="仿宋_GB2312"/>
                <w:color w:val="auto"/>
                <w:highlight w:val="none"/>
              </w:rPr>
            </w:pPr>
          </w:p>
        </w:tc>
        <w:tc>
          <w:tcPr>
            <w:tcW w:w="1276"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243"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670"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spacing w:line="360" w:lineRule="auto"/>
              <w:rPr>
                <w:rFonts w:ascii="Times New Roman" w:eastAsia="仿宋_GB2312"/>
                <w:color w:val="auto"/>
                <w:highlight w:val="none"/>
              </w:rPr>
            </w:pPr>
          </w:p>
        </w:tc>
        <w:tc>
          <w:tcPr>
            <w:tcW w:w="1276"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243"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670" w:type="dxa"/>
            <w:noWrap w:val="0"/>
            <w:vAlign w:val="top"/>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center"/>
          </w:tcPr>
          <w:p>
            <w:pPr>
              <w:pStyle w:val="11"/>
              <w:spacing w:line="360" w:lineRule="auto"/>
              <w:rPr>
                <w:rFonts w:ascii="Times New Roman" w:eastAsia="仿宋_GB2312"/>
                <w:color w:val="auto"/>
                <w:highlight w:val="none"/>
              </w:rPr>
            </w:pPr>
          </w:p>
        </w:tc>
        <w:tc>
          <w:tcPr>
            <w:tcW w:w="1276"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243" w:type="dxa"/>
            <w:noWrap w:val="0"/>
            <w:vAlign w:val="center"/>
          </w:tcPr>
          <w:p>
            <w:pPr>
              <w:pStyle w:val="11"/>
              <w:spacing w:line="360" w:lineRule="auto"/>
              <w:rPr>
                <w:rFonts w:ascii="Times New Roman" w:eastAsia="仿宋_GB2312"/>
                <w:color w:val="auto"/>
                <w:highlight w:val="none"/>
              </w:rPr>
            </w:pPr>
          </w:p>
        </w:tc>
        <w:tc>
          <w:tcPr>
            <w:tcW w:w="1450" w:type="dxa"/>
            <w:noWrap w:val="0"/>
            <w:vAlign w:val="center"/>
          </w:tcPr>
          <w:p>
            <w:pPr>
              <w:pStyle w:val="11"/>
              <w:spacing w:line="360" w:lineRule="auto"/>
              <w:rPr>
                <w:rFonts w:ascii="Times New Roman" w:eastAsia="仿宋_GB2312"/>
                <w:color w:val="auto"/>
                <w:highlight w:val="none"/>
              </w:rPr>
            </w:pPr>
          </w:p>
        </w:tc>
        <w:tc>
          <w:tcPr>
            <w:tcW w:w="1670" w:type="dxa"/>
            <w:noWrap w:val="0"/>
            <w:vAlign w:val="center"/>
          </w:tcPr>
          <w:p>
            <w:pPr>
              <w:pStyle w:val="11"/>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spacing w:line="360" w:lineRule="auto"/>
              <w:rPr>
                <w:rFonts w:ascii="Times New Roman" w:eastAsia="仿宋_GB2312"/>
                <w:color w:val="auto"/>
                <w:highlight w:val="none"/>
              </w:rPr>
            </w:pPr>
          </w:p>
        </w:tc>
        <w:tc>
          <w:tcPr>
            <w:tcW w:w="1276"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243"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670" w:type="dxa"/>
            <w:noWrap w:val="0"/>
            <w:vAlign w:val="top"/>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spacing w:line="360" w:lineRule="auto"/>
              <w:rPr>
                <w:rFonts w:ascii="Times New Roman" w:eastAsia="仿宋_GB2312"/>
                <w:color w:val="auto"/>
                <w:highlight w:val="none"/>
              </w:rPr>
            </w:pPr>
          </w:p>
        </w:tc>
        <w:tc>
          <w:tcPr>
            <w:tcW w:w="1276"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243"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670" w:type="dxa"/>
            <w:noWrap w:val="0"/>
            <w:vAlign w:val="top"/>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spacing w:line="360" w:lineRule="auto"/>
              <w:rPr>
                <w:rFonts w:ascii="Times New Roman" w:eastAsia="仿宋_GB2312"/>
                <w:color w:val="auto"/>
                <w:highlight w:val="none"/>
              </w:rPr>
            </w:pPr>
          </w:p>
        </w:tc>
        <w:tc>
          <w:tcPr>
            <w:tcW w:w="1276"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243"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670" w:type="dxa"/>
            <w:noWrap w:val="0"/>
            <w:vAlign w:val="top"/>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spacing w:line="360" w:lineRule="auto"/>
              <w:rPr>
                <w:rFonts w:ascii="Times New Roman" w:eastAsia="仿宋_GB2312"/>
                <w:color w:val="auto"/>
                <w:highlight w:val="none"/>
              </w:rPr>
            </w:pPr>
          </w:p>
        </w:tc>
        <w:tc>
          <w:tcPr>
            <w:tcW w:w="1276"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243"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670" w:type="dxa"/>
            <w:noWrap w:val="0"/>
            <w:vAlign w:val="top"/>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spacing w:line="360" w:lineRule="auto"/>
              <w:rPr>
                <w:rFonts w:ascii="Times New Roman" w:eastAsia="仿宋_GB2312"/>
                <w:color w:val="auto"/>
                <w:highlight w:val="none"/>
              </w:rPr>
            </w:pPr>
          </w:p>
        </w:tc>
        <w:tc>
          <w:tcPr>
            <w:tcW w:w="1276"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243"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670" w:type="dxa"/>
            <w:noWrap w:val="0"/>
            <w:vAlign w:val="top"/>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spacing w:line="360" w:lineRule="auto"/>
              <w:rPr>
                <w:rFonts w:ascii="Times New Roman" w:eastAsia="仿宋_GB2312"/>
                <w:color w:val="auto"/>
                <w:highlight w:val="none"/>
              </w:rPr>
            </w:pPr>
          </w:p>
        </w:tc>
        <w:tc>
          <w:tcPr>
            <w:tcW w:w="1276"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243"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670" w:type="dxa"/>
            <w:noWrap w:val="0"/>
            <w:vAlign w:val="top"/>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spacing w:line="360" w:lineRule="auto"/>
              <w:rPr>
                <w:rFonts w:ascii="Times New Roman" w:eastAsia="仿宋_GB2312"/>
                <w:color w:val="auto"/>
                <w:highlight w:val="none"/>
              </w:rPr>
            </w:pPr>
          </w:p>
        </w:tc>
        <w:tc>
          <w:tcPr>
            <w:tcW w:w="1276"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243"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670" w:type="dxa"/>
            <w:noWrap w:val="0"/>
            <w:vAlign w:val="top"/>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spacing w:line="360" w:lineRule="auto"/>
              <w:rPr>
                <w:rFonts w:ascii="Times New Roman" w:eastAsia="仿宋_GB2312"/>
                <w:color w:val="auto"/>
                <w:highlight w:val="none"/>
              </w:rPr>
            </w:pPr>
          </w:p>
        </w:tc>
        <w:tc>
          <w:tcPr>
            <w:tcW w:w="1276"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243"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670" w:type="dxa"/>
            <w:noWrap w:val="0"/>
            <w:vAlign w:val="top"/>
          </w:tcPr>
          <w:p>
            <w:pPr>
              <w:spacing w:line="360" w:lineRule="auto"/>
              <w:rPr>
                <w:rFonts w:ascii="Times New Roman" w:eastAsia="仿宋_GB2312"/>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2125" w:type="dxa"/>
            <w:noWrap w:val="0"/>
            <w:vAlign w:val="top"/>
          </w:tcPr>
          <w:p>
            <w:pPr>
              <w:spacing w:line="360" w:lineRule="auto"/>
              <w:rPr>
                <w:rFonts w:ascii="Times New Roman" w:eastAsia="仿宋_GB2312"/>
                <w:color w:val="auto"/>
                <w:highlight w:val="none"/>
              </w:rPr>
            </w:pPr>
          </w:p>
        </w:tc>
        <w:tc>
          <w:tcPr>
            <w:tcW w:w="1276"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243" w:type="dxa"/>
            <w:noWrap w:val="0"/>
            <w:vAlign w:val="top"/>
          </w:tcPr>
          <w:p>
            <w:pPr>
              <w:spacing w:line="360" w:lineRule="auto"/>
              <w:rPr>
                <w:rFonts w:ascii="Times New Roman" w:eastAsia="仿宋_GB2312"/>
                <w:color w:val="auto"/>
                <w:highlight w:val="none"/>
              </w:rPr>
            </w:pPr>
          </w:p>
        </w:tc>
        <w:tc>
          <w:tcPr>
            <w:tcW w:w="1450" w:type="dxa"/>
            <w:noWrap w:val="0"/>
            <w:vAlign w:val="top"/>
          </w:tcPr>
          <w:p>
            <w:pPr>
              <w:spacing w:line="360" w:lineRule="auto"/>
              <w:rPr>
                <w:rFonts w:ascii="Times New Roman" w:eastAsia="仿宋_GB2312"/>
                <w:color w:val="auto"/>
                <w:highlight w:val="none"/>
              </w:rPr>
            </w:pPr>
          </w:p>
        </w:tc>
        <w:tc>
          <w:tcPr>
            <w:tcW w:w="1670" w:type="dxa"/>
            <w:noWrap w:val="0"/>
            <w:vAlign w:val="top"/>
          </w:tcPr>
          <w:p>
            <w:pPr>
              <w:spacing w:line="360" w:lineRule="auto"/>
              <w:rPr>
                <w:rFonts w:ascii="Times New Roman" w:eastAsia="仿宋_GB2312"/>
                <w:color w:val="auto"/>
                <w:highlight w:val="none"/>
              </w:rPr>
            </w:pPr>
          </w:p>
        </w:tc>
      </w:tr>
    </w:tbl>
    <w:p>
      <w:pPr>
        <w:spacing w:line="360" w:lineRule="auto"/>
        <w:rPr>
          <w:color w:val="auto"/>
          <w:highlight w:val="none"/>
        </w:rPr>
      </w:pPr>
    </w:p>
    <w:p>
      <w:pPr>
        <w:spacing w:line="360" w:lineRule="auto"/>
        <w:rPr>
          <w:color w:val="auto"/>
          <w:highlight w:val="none"/>
        </w:rPr>
      </w:pPr>
    </w:p>
    <w:p>
      <w:pPr>
        <w:spacing w:line="360" w:lineRule="auto"/>
        <w:rPr>
          <w:rFonts w:ascii="Times New Roman" w:hAnsi="Times New Roman"/>
          <w:color w:val="auto"/>
          <w:highlight w:val="none"/>
        </w:rPr>
        <w:sectPr>
          <w:pgSz w:w="11906" w:h="16838"/>
          <w:pgMar w:top="1440" w:right="1800" w:bottom="1440" w:left="1800" w:header="720" w:footer="998" w:gutter="0"/>
          <w:pgBorders>
            <w:top w:val="none" w:sz="0" w:space="0"/>
            <w:left w:val="none" w:sz="0" w:space="0"/>
            <w:bottom w:val="none" w:sz="0" w:space="0"/>
            <w:right w:val="none" w:sz="0" w:space="0"/>
          </w:pgBorders>
          <w:cols w:space="720" w:num="1"/>
          <w:docGrid w:linePitch="326" w:charSpace="0"/>
        </w:sectPr>
      </w:pPr>
    </w:p>
    <w:p>
      <w:pPr>
        <w:pStyle w:val="55"/>
        <w:numPr>
          <w:ilvl w:val="0"/>
          <w:numId w:val="0"/>
        </w:numPr>
        <w:rPr>
          <w:rFonts w:ascii="Times New Roman" w:hAnsi="Times New Roman"/>
          <w:color w:val="auto"/>
          <w:highlight w:val="none"/>
        </w:rPr>
      </w:pPr>
      <w:bookmarkStart w:id="1189" w:name="_Toc20171897"/>
      <w:bookmarkStart w:id="1190" w:name="_Toc54862356"/>
      <w:r>
        <w:rPr>
          <w:rFonts w:hint="eastAsia" w:ascii="Times New Roman" w:hAnsi="Times New Roman" w:eastAsia="宋体" w:cs="宋体"/>
          <w:color w:val="auto"/>
          <w:sz w:val="28"/>
          <w:szCs w:val="28"/>
          <w:highlight w:val="none"/>
        </w:rPr>
        <w:t>附件5 承包人主要管理人员表</w:t>
      </w:r>
      <w:bookmarkEnd w:id="1189"/>
      <w:bookmarkEnd w:id="1190"/>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505"/>
        <w:gridCol w:w="1418"/>
        <w:gridCol w:w="1134"/>
        <w:gridCol w:w="1134"/>
        <w:gridCol w:w="389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12" w:space="0"/>
              <w:bottom w:val="double" w:color="auto" w:sz="6" w:space="0"/>
            </w:tcBorders>
            <w:noWrap w:val="0"/>
            <w:vAlign w:val="center"/>
          </w:tcPr>
          <w:p>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名    称</w:t>
            </w:r>
          </w:p>
        </w:tc>
        <w:tc>
          <w:tcPr>
            <w:tcW w:w="1418" w:type="dxa"/>
            <w:tcBorders>
              <w:top w:val="single" w:color="auto" w:sz="12" w:space="0"/>
              <w:bottom w:val="double" w:color="auto" w:sz="6" w:space="0"/>
            </w:tcBorders>
            <w:noWrap w:val="0"/>
            <w:vAlign w:val="center"/>
          </w:tcPr>
          <w:p>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姓名</w:t>
            </w:r>
          </w:p>
        </w:tc>
        <w:tc>
          <w:tcPr>
            <w:tcW w:w="1134" w:type="dxa"/>
            <w:tcBorders>
              <w:top w:val="single" w:color="auto" w:sz="12" w:space="0"/>
              <w:bottom w:val="double" w:color="auto" w:sz="6" w:space="0"/>
            </w:tcBorders>
            <w:noWrap w:val="0"/>
            <w:vAlign w:val="center"/>
          </w:tcPr>
          <w:p>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职务</w:t>
            </w:r>
          </w:p>
        </w:tc>
        <w:tc>
          <w:tcPr>
            <w:tcW w:w="1134" w:type="dxa"/>
            <w:tcBorders>
              <w:top w:val="single" w:color="auto" w:sz="12" w:space="0"/>
              <w:bottom w:val="double" w:color="auto" w:sz="6" w:space="0"/>
            </w:tcBorders>
            <w:noWrap w:val="0"/>
            <w:vAlign w:val="center"/>
          </w:tcPr>
          <w:p>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职称</w:t>
            </w:r>
          </w:p>
        </w:tc>
        <w:tc>
          <w:tcPr>
            <w:tcW w:w="3896" w:type="dxa"/>
            <w:tcBorders>
              <w:top w:val="single" w:color="auto" w:sz="12" w:space="0"/>
              <w:bottom w:val="double" w:color="auto" w:sz="6" w:space="0"/>
            </w:tcBorders>
            <w:noWrap w:val="0"/>
            <w:vAlign w:val="center"/>
          </w:tcPr>
          <w:p>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double" w:color="auto" w:sz="6" w:space="0"/>
              <w:bottom w:val="single" w:color="auto" w:sz="6" w:space="0"/>
            </w:tcBorders>
            <w:noWrap w:val="0"/>
            <w:vAlign w:val="center"/>
          </w:tcPr>
          <w:p>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项目主管</w:t>
            </w:r>
          </w:p>
        </w:tc>
        <w:tc>
          <w:tcPr>
            <w:tcW w:w="1418" w:type="dxa"/>
            <w:tcBorders>
              <w:top w:val="nil"/>
            </w:tcBorders>
            <w:noWrap w:val="0"/>
            <w:vAlign w:val="center"/>
          </w:tcPr>
          <w:p>
            <w:pPr>
              <w:pStyle w:val="11"/>
              <w:spacing w:after="0" w:line="360" w:lineRule="auto"/>
              <w:ind w:firstLine="420"/>
              <w:rPr>
                <w:rFonts w:ascii="Times New Roman" w:eastAsia="仿宋_GB2312"/>
                <w:color w:val="auto"/>
                <w:szCs w:val="21"/>
                <w:highlight w:val="none"/>
              </w:rPr>
            </w:pPr>
          </w:p>
        </w:tc>
        <w:tc>
          <w:tcPr>
            <w:tcW w:w="1134" w:type="dxa"/>
            <w:tcBorders>
              <w:top w:val="nil"/>
            </w:tcBorders>
            <w:noWrap w:val="0"/>
            <w:vAlign w:val="center"/>
          </w:tcPr>
          <w:p>
            <w:pPr>
              <w:pStyle w:val="11"/>
              <w:spacing w:after="0" w:line="360" w:lineRule="auto"/>
              <w:ind w:firstLine="420"/>
              <w:rPr>
                <w:rFonts w:ascii="Times New Roman" w:eastAsia="仿宋_GB2312"/>
                <w:color w:val="auto"/>
                <w:szCs w:val="21"/>
                <w:highlight w:val="none"/>
              </w:rPr>
            </w:pPr>
          </w:p>
        </w:tc>
        <w:tc>
          <w:tcPr>
            <w:tcW w:w="1134" w:type="dxa"/>
            <w:tcBorders>
              <w:top w:val="nil"/>
            </w:tcBorders>
            <w:noWrap w:val="0"/>
            <w:vAlign w:val="center"/>
          </w:tcPr>
          <w:p>
            <w:pPr>
              <w:pStyle w:val="11"/>
              <w:spacing w:after="0" w:line="360" w:lineRule="auto"/>
              <w:ind w:firstLine="420"/>
              <w:rPr>
                <w:rFonts w:ascii="Times New Roman" w:eastAsia="仿宋_GB2312"/>
                <w:color w:val="auto"/>
                <w:szCs w:val="21"/>
                <w:highlight w:val="none"/>
              </w:rPr>
            </w:pPr>
          </w:p>
        </w:tc>
        <w:tc>
          <w:tcPr>
            <w:tcW w:w="3896" w:type="dxa"/>
            <w:tcBorders>
              <w:top w:val="nil"/>
            </w:tcBorders>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nil"/>
            </w:tcBorders>
            <w:noWrap w:val="0"/>
            <w:vAlign w:val="center"/>
          </w:tcPr>
          <w:p>
            <w:pPr>
              <w:pStyle w:val="11"/>
              <w:spacing w:after="0" w:line="360" w:lineRule="auto"/>
              <w:ind w:firstLine="420"/>
              <w:rPr>
                <w:rFonts w:ascii="Times New Roman" w:eastAsia="仿宋_GB2312"/>
                <w:color w:val="auto"/>
                <w:szCs w:val="21"/>
                <w:highlight w:val="none"/>
              </w:rPr>
            </w:pP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其他人员</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nil"/>
              <w:bottom w:val="nil"/>
            </w:tcBorders>
            <w:noWrap w:val="0"/>
            <w:vAlign w:val="center"/>
          </w:tcPr>
          <w:p>
            <w:pPr>
              <w:pStyle w:val="11"/>
              <w:spacing w:after="0" w:line="360" w:lineRule="auto"/>
              <w:ind w:firstLine="420"/>
              <w:rPr>
                <w:rFonts w:ascii="Times New Roman" w:eastAsia="仿宋_GB2312"/>
                <w:color w:val="auto"/>
                <w:szCs w:val="21"/>
                <w:highlight w:val="none"/>
              </w:rPr>
            </w:pP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087" w:type="dxa"/>
            <w:gridSpan w:val="5"/>
            <w:tcBorders>
              <w:top w:val="single" w:color="auto" w:sz="6" w:space="0"/>
              <w:bottom w:val="single" w:color="auto" w:sz="6" w:space="0"/>
            </w:tcBorders>
            <w:noWrap w:val="0"/>
            <w:vAlign w:val="center"/>
          </w:tcPr>
          <w:p>
            <w:pPr>
              <w:pStyle w:val="11"/>
              <w:spacing w:after="0" w:line="360" w:lineRule="auto"/>
              <w:ind w:firstLine="420"/>
              <w:rPr>
                <w:rFonts w:ascii="Times New Roman" w:eastAsia="仿宋_GB2312"/>
                <w:color w:val="auto"/>
                <w:szCs w:val="21"/>
                <w:highlight w:val="none"/>
              </w:rPr>
            </w:pPr>
            <w:r>
              <w:rPr>
                <w:rFonts w:hint="eastAsia" w:ascii="Times New Roman" w:eastAsia="仿宋_GB2312"/>
                <w:color w:val="auto"/>
                <w:szCs w:val="21"/>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工程总承包</w:t>
            </w:r>
          </w:p>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项目经理</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项目副经理</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设计负责人</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采购负责人</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施工负责人</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技术负责人</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造价管理</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质量管理</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tcBorders>
              <w:top w:val="single" w:color="auto" w:sz="6" w:space="0"/>
              <w:bottom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计划管理</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安全管理</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tcBorders>
              <w:top w:val="single" w:color="auto" w:sz="6" w:space="0"/>
              <w:bottom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环境管理</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restart"/>
            <w:tcBorders>
              <w:top w:val="single" w:color="auto" w:sz="6" w:space="0"/>
            </w:tcBorders>
            <w:noWrap w:val="0"/>
            <w:vAlign w:val="center"/>
          </w:tcPr>
          <w:p>
            <w:pPr>
              <w:pStyle w:val="11"/>
              <w:spacing w:after="0" w:line="360" w:lineRule="auto"/>
              <w:jc w:val="center"/>
              <w:rPr>
                <w:rFonts w:ascii="Times New Roman" w:eastAsia="仿宋_GB2312"/>
                <w:color w:val="auto"/>
                <w:szCs w:val="21"/>
                <w:highlight w:val="none"/>
              </w:rPr>
            </w:pPr>
            <w:r>
              <w:rPr>
                <w:rFonts w:hint="eastAsia" w:ascii="Times New Roman" w:eastAsia="仿宋_GB2312"/>
                <w:color w:val="auto"/>
                <w:szCs w:val="21"/>
                <w:highlight w:val="none"/>
              </w:rPr>
              <w:t>其他人员</w:t>
            </w: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vMerge w:val="continue"/>
            <w:noWrap w:val="0"/>
            <w:vAlign w:val="center"/>
          </w:tcPr>
          <w:p>
            <w:pPr>
              <w:pStyle w:val="11"/>
              <w:spacing w:after="0" w:line="360" w:lineRule="auto"/>
              <w:ind w:firstLine="420"/>
              <w:rPr>
                <w:rFonts w:ascii="Times New Roman" w:eastAsia="仿宋_GB2312"/>
                <w:color w:val="auto"/>
                <w:szCs w:val="21"/>
                <w:highlight w:val="none"/>
              </w:rPr>
            </w:pPr>
          </w:p>
        </w:tc>
        <w:tc>
          <w:tcPr>
            <w:tcW w:w="1418" w:type="dxa"/>
            <w:tcBorders>
              <w:bottom w:val="nil"/>
            </w:tcBorders>
            <w:noWrap w:val="0"/>
            <w:vAlign w:val="center"/>
          </w:tcPr>
          <w:p>
            <w:pPr>
              <w:pStyle w:val="11"/>
              <w:spacing w:after="0" w:line="360" w:lineRule="auto"/>
              <w:ind w:firstLine="420"/>
              <w:rPr>
                <w:rFonts w:ascii="Times New Roman" w:eastAsia="仿宋_GB2312"/>
                <w:color w:val="auto"/>
                <w:szCs w:val="21"/>
                <w:highlight w:val="none"/>
              </w:rPr>
            </w:pPr>
          </w:p>
        </w:tc>
        <w:tc>
          <w:tcPr>
            <w:tcW w:w="1134" w:type="dxa"/>
            <w:tcBorders>
              <w:bottom w:val="nil"/>
            </w:tcBorders>
            <w:noWrap w:val="0"/>
            <w:vAlign w:val="center"/>
          </w:tcPr>
          <w:p>
            <w:pPr>
              <w:pStyle w:val="11"/>
              <w:spacing w:after="0" w:line="360" w:lineRule="auto"/>
              <w:ind w:firstLine="420"/>
              <w:rPr>
                <w:rFonts w:ascii="Times New Roman" w:eastAsia="仿宋_GB2312"/>
                <w:color w:val="auto"/>
                <w:szCs w:val="21"/>
                <w:highlight w:val="none"/>
              </w:rPr>
            </w:pPr>
          </w:p>
        </w:tc>
        <w:tc>
          <w:tcPr>
            <w:tcW w:w="1134" w:type="dxa"/>
            <w:tcBorders>
              <w:bottom w:val="nil"/>
            </w:tcBorders>
            <w:noWrap w:val="0"/>
            <w:vAlign w:val="center"/>
          </w:tcPr>
          <w:p>
            <w:pPr>
              <w:pStyle w:val="11"/>
              <w:spacing w:after="0" w:line="360" w:lineRule="auto"/>
              <w:ind w:firstLine="420"/>
              <w:rPr>
                <w:rFonts w:ascii="Times New Roman" w:eastAsia="仿宋_GB2312"/>
                <w:color w:val="auto"/>
                <w:szCs w:val="21"/>
                <w:highlight w:val="none"/>
              </w:rPr>
            </w:pPr>
          </w:p>
        </w:tc>
        <w:tc>
          <w:tcPr>
            <w:tcW w:w="3896" w:type="dxa"/>
            <w:tcBorders>
              <w:bottom w:val="nil"/>
            </w:tcBorders>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11"/>
              <w:spacing w:after="0" w:line="360" w:lineRule="auto"/>
              <w:ind w:firstLine="420"/>
              <w:rPr>
                <w:rFonts w:ascii="Times New Roman" w:eastAsia="仿宋_GB2312"/>
                <w:color w:val="auto"/>
                <w:szCs w:val="21"/>
                <w:highlight w:val="none"/>
              </w:rPr>
            </w:pP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11"/>
              <w:spacing w:after="0" w:line="360" w:lineRule="auto"/>
              <w:ind w:firstLine="420"/>
              <w:rPr>
                <w:rFonts w:ascii="Times New Roman" w:eastAsia="仿宋_GB2312"/>
                <w:color w:val="auto"/>
                <w:szCs w:val="21"/>
                <w:highlight w:val="none"/>
              </w:rPr>
            </w:pP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505" w:type="dxa"/>
            <w:vMerge w:val="continue"/>
            <w:noWrap w:val="0"/>
            <w:vAlign w:val="center"/>
          </w:tcPr>
          <w:p>
            <w:pPr>
              <w:pStyle w:val="11"/>
              <w:spacing w:after="0" w:line="360" w:lineRule="auto"/>
              <w:ind w:firstLine="420"/>
              <w:rPr>
                <w:rFonts w:ascii="Times New Roman" w:eastAsia="仿宋_GB2312"/>
                <w:color w:val="auto"/>
                <w:szCs w:val="21"/>
                <w:highlight w:val="none"/>
              </w:rPr>
            </w:pPr>
          </w:p>
        </w:tc>
        <w:tc>
          <w:tcPr>
            <w:tcW w:w="1418"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1134" w:type="dxa"/>
            <w:noWrap w:val="0"/>
            <w:vAlign w:val="center"/>
          </w:tcPr>
          <w:p>
            <w:pPr>
              <w:pStyle w:val="11"/>
              <w:spacing w:after="0" w:line="360" w:lineRule="auto"/>
              <w:ind w:firstLine="420"/>
              <w:rPr>
                <w:rFonts w:ascii="Times New Roman" w:eastAsia="仿宋_GB2312"/>
                <w:color w:val="auto"/>
                <w:szCs w:val="21"/>
                <w:highlight w:val="none"/>
              </w:rPr>
            </w:pPr>
          </w:p>
        </w:tc>
        <w:tc>
          <w:tcPr>
            <w:tcW w:w="3896" w:type="dxa"/>
            <w:noWrap w:val="0"/>
            <w:vAlign w:val="center"/>
          </w:tcPr>
          <w:p>
            <w:pPr>
              <w:pStyle w:val="11"/>
              <w:spacing w:after="0" w:line="360" w:lineRule="auto"/>
              <w:ind w:firstLine="420"/>
              <w:rPr>
                <w:rFonts w:ascii="Times New Roman" w:eastAsia="仿宋_GB2312"/>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505" w:type="dxa"/>
            <w:vMerge w:val="continue"/>
            <w:tcBorders>
              <w:bottom w:val="single" w:color="auto" w:sz="12" w:space="0"/>
            </w:tcBorders>
            <w:noWrap w:val="0"/>
            <w:vAlign w:val="center"/>
          </w:tcPr>
          <w:p>
            <w:pPr>
              <w:pStyle w:val="11"/>
              <w:spacing w:line="360" w:lineRule="auto"/>
              <w:rPr>
                <w:rFonts w:ascii="Times New Roman" w:eastAsia="仿宋_GB2312"/>
                <w:color w:val="auto"/>
                <w:highlight w:val="none"/>
              </w:rPr>
            </w:pPr>
          </w:p>
        </w:tc>
        <w:tc>
          <w:tcPr>
            <w:tcW w:w="1418" w:type="dxa"/>
            <w:tcBorders>
              <w:bottom w:val="single" w:color="auto" w:sz="12" w:space="0"/>
            </w:tcBorders>
            <w:noWrap w:val="0"/>
            <w:vAlign w:val="center"/>
          </w:tcPr>
          <w:p>
            <w:pPr>
              <w:pStyle w:val="11"/>
              <w:spacing w:line="360" w:lineRule="auto"/>
              <w:rPr>
                <w:rFonts w:ascii="Times New Roman" w:eastAsia="仿宋_GB2312"/>
                <w:color w:val="auto"/>
                <w:highlight w:val="none"/>
              </w:rPr>
            </w:pPr>
          </w:p>
        </w:tc>
        <w:tc>
          <w:tcPr>
            <w:tcW w:w="1134" w:type="dxa"/>
            <w:tcBorders>
              <w:bottom w:val="single" w:color="auto" w:sz="12" w:space="0"/>
            </w:tcBorders>
            <w:noWrap w:val="0"/>
            <w:vAlign w:val="center"/>
          </w:tcPr>
          <w:p>
            <w:pPr>
              <w:pStyle w:val="11"/>
              <w:spacing w:line="360" w:lineRule="auto"/>
              <w:rPr>
                <w:rFonts w:ascii="Times New Roman" w:eastAsia="仿宋_GB2312"/>
                <w:color w:val="auto"/>
                <w:highlight w:val="none"/>
              </w:rPr>
            </w:pPr>
          </w:p>
        </w:tc>
        <w:tc>
          <w:tcPr>
            <w:tcW w:w="1134" w:type="dxa"/>
            <w:tcBorders>
              <w:bottom w:val="single" w:color="auto" w:sz="12" w:space="0"/>
            </w:tcBorders>
            <w:noWrap w:val="0"/>
            <w:vAlign w:val="center"/>
          </w:tcPr>
          <w:p>
            <w:pPr>
              <w:pStyle w:val="11"/>
              <w:spacing w:line="360" w:lineRule="auto"/>
              <w:rPr>
                <w:rFonts w:ascii="Times New Roman" w:eastAsia="仿宋_GB2312"/>
                <w:color w:val="auto"/>
                <w:highlight w:val="none"/>
              </w:rPr>
            </w:pPr>
          </w:p>
        </w:tc>
        <w:tc>
          <w:tcPr>
            <w:tcW w:w="3896" w:type="dxa"/>
            <w:tcBorders>
              <w:bottom w:val="single" w:color="auto" w:sz="12" w:space="0"/>
            </w:tcBorders>
            <w:noWrap w:val="0"/>
            <w:vAlign w:val="center"/>
          </w:tcPr>
          <w:p>
            <w:pPr>
              <w:pStyle w:val="11"/>
              <w:spacing w:line="360" w:lineRule="auto"/>
              <w:rPr>
                <w:rFonts w:ascii="Times New Roman" w:eastAsia="仿宋_GB2312"/>
                <w:color w:val="auto"/>
                <w:highlight w:val="none"/>
              </w:rPr>
            </w:pPr>
          </w:p>
        </w:tc>
      </w:tr>
    </w:tbl>
    <w:p>
      <w:pPr>
        <w:spacing w:line="360" w:lineRule="auto"/>
        <w:rPr>
          <w:color w:val="auto"/>
          <w:highlight w:val="none"/>
        </w:rPr>
      </w:pPr>
      <w:r>
        <w:rPr>
          <w:color w:val="auto"/>
          <w:highlight w:val="none"/>
        </w:rPr>
        <w:br w:type="page"/>
      </w:r>
    </w:p>
    <w:p>
      <w:pPr>
        <w:pStyle w:val="55"/>
        <w:numPr>
          <w:ilvl w:val="0"/>
          <w:numId w:val="0"/>
        </w:numPr>
        <w:rPr>
          <w:rFonts w:hint="eastAsia" w:ascii="Times New Roman" w:hAnsi="Times New Roman" w:eastAsia="宋体" w:cs="宋体"/>
          <w:color w:val="auto"/>
          <w:sz w:val="28"/>
          <w:szCs w:val="28"/>
          <w:highlight w:val="none"/>
        </w:rPr>
      </w:pPr>
      <w:bookmarkStart w:id="1191" w:name="_Toc54862357"/>
      <w:r>
        <w:rPr>
          <w:rFonts w:hint="eastAsia" w:ascii="Times New Roman" w:hAnsi="Times New Roman" w:eastAsia="宋体" w:cs="宋体"/>
          <w:color w:val="auto"/>
          <w:sz w:val="28"/>
          <w:szCs w:val="28"/>
          <w:highlight w:val="none"/>
        </w:rPr>
        <w:t>附件6 价格指数权重表</w:t>
      </w:r>
      <w:bookmarkEnd w:id="1191"/>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584"/>
        <w:gridCol w:w="876"/>
        <w:gridCol w:w="1215"/>
        <w:gridCol w:w="1080"/>
        <w:gridCol w:w="1215"/>
        <w:gridCol w:w="1230"/>
        <w:gridCol w:w="1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829" w:type="dxa"/>
            <w:vMerge w:val="restart"/>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序号</w:t>
            </w:r>
          </w:p>
        </w:tc>
        <w:tc>
          <w:tcPr>
            <w:tcW w:w="1460" w:type="dxa"/>
            <w:gridSpan w:val="2"/>
            <w:vMerge w:val="restart"/>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名称</w:t>
            </w:r>
          </w:p>
        </w:tc>
        <w:tc>
          <w:tcPr>
            <w:tcW w:w="2295" w:type="dxa"/>
            <w:gridSpan w:val="2"/>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变更权重B</w:t>
            </w:r>
          </w:p>
        </w:tc>
        <w:tc>
          <w:tcPr>
            <w:tcW w:w="2445" w:type="dxa"/>
            <w:gridSpan w:val="2"/>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基本价格指数F0</w:t>
            </w:r>
          </w:p>
        </w:tc>
        <w:tc>
          <w:tcPr>
            <w:tcW w:w="1380"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829" w:type="dxa"/>
            <w:vMerge w:val="continue"/>
            <w:noWrap w:val="0"/>
            <w:vAlign w:val="top"/>
          </w:tcPr>
          <w:p>
            <w:pPr>
              <w:spacing w:line="360" w:lineRule="auto"/>
              <w:rPr>
                <w:rFonts w:ascii="Times New Roman" w:eastAsia="仿宋_GB2312"/>
                <w:color w:val="auto"/>
                <w:highlight w:val="none"/>
              </w:rPr>
            </w:pPr>
          </w:p>
        </w:tc>
        <w:tc>
          <w:tcPr>
            <w:tcW w:w="1460" w:type="dxa"/>
            <w:gridSpan w:val="2"/>
            <w:vMerge w:val="continue"/>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代号</w:t>
            </w:r>
          </w:p>
        </w:tc>
        <w:tc>
          <w:tcPr>
            <w:tcW w:w="1080"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权重</w:t>
            </w:r>
          </w:p>
        </w:tc>
        <w:tc>
          <w:tcPr>
            <w:tcW w:w="1215"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代号</w:t>
            </w:r>
          </w:p>
        </w:tc>
        <w:tc>
          <w:tcPr>
            <w:tcW w:w="1230"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指数</w:t>
            </w:r>
          </w:p>
        </w:tc>
        <w:tc>
          <w:tcPr>
            <w:tcW w:w="1380" w:type="dxa"/>
            <w:noWrap w:val="0"/>
            <w:vAlign w:val="top"/>
          </w:tcPr>
          <w:p>
            <w:pPr>
              <w:spacing w:line="360" w:lineRule="auto"/>
              <w:rPr>
                <w:rFonts w:asci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spacing w:line="360" w:lineRule="auto"/>
              <w:rPr>
                <w:rFonts w:ascii="Times New Roman" w:eastAsia="仿宋_GB2312"/>
                <w:color w:val="auto"/>
                <w:highlight w:val="none"/>
              </w:rPr>
            </w:pPr>
          </w:p>
        </w:tc>
        <w:tc>
          <w:tcPr>
            <w:tcW w:w="584" w:type="dxa"/>
            <w:vMerge w:val="restart"/>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变</w:t>
            </w:r>
          </w:p>
          <w:p>
            <w:pPr>
              <w:spacing w:line="360" w:lineRule="auto"/>
              <w:rPr>
                <w:rFonts w:ascii="Times New Roman" w:eastAsia="仿宋_GB2312"/>
                <w:color w:val="auto"/>
                <w:highlight w:val="none"/>
              </w:rPr>
            </w:pPr>
            <w:r>
              <w:rPr>
                <w:rFonts w:hint="eastAsia" w:ascii="Times New Roman" w:eastAsia="仿宋_GB2312"/>
                <w:color w:val="auto"/>
                <w:highlight w:val="none"/>
              </w:rPr>
              <w:t>值</w:t>
            </w:r>
          </w:p>
          <w:p>
            <w:pPr>
              <w:spacing w:line="360" w:lineRule="auto"/>
              <w:rPr>
                <w:rFonts w:ascii="Times New Roman" w:eastAsia="仿宋_GB2312"/>
                <w:color w:val="auto"/>
                <w:highlight w:val="none"/>
              </w:rPr>
            </w:pPr>
            <w:r>
              <w:rPr>
                <w:rFonts w:hint="eastAsia" w:ascii="Times New Roman" w:eastAsia="仿宋_GB2312"/>
                <w:color w:val="auto"/>
                <w:highlight w:val="none"/>
              </w:rPr>
              <w:t>部</w:t>
            </w:r>
          </w:p>
          <w:p>
            <w:pPr>
              <w:spacing w:line="360" w:lineRule="auto"/>
              <w:rPr>
                <w:rFonts w:ascii="Times New Roman" w:eastAsia="仿宋_GB2312"/>
                <w:color w:val="auto"/>
                <w:highlight w:val="none"/>
              </w:rPr>
            </w:pPr>
            <w:r>
              <w:rPr>
                <w:rFonts w:hint="eastAsia" w:ascii="Times New Roman" w:eastAsia="仿宋_GB2312"/>
                <w:color w:val="auto"/>
                <w:highlight w:val="none"/>
              </w:rPr>
              <w:t>分</w:t>
            </w:r>
          </w:p>
        </w:tc>
        <w:tc>
          <w:tcPr>
            <w:tcW w:w="876"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B1</w:t>
            </w:r>
          </w:p>
        </w:tc>
        <w:tc>
          <w:tcPr>
            <w:tcW w:w="1080"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F01</w:t>
            </w:r>
          </w:p>
        </w:tc>
        <w:tc>
          <w:tcPr>
            <w:tcW w:w="1230" w:type="dxa"/>
            <w:noWrap w:val="0"/>
            <w:vAlign w:val="top"/>
          </w:tcPr>
          <w:p>
            <w:pPr>
              <w:spacing w:line="360" w:lineRule="auto"/>
              <w:rPr>
                <w:rFonts w:ascii="Times New Roman" w:eastAsia="仿宋_GB2312"/>
                <w:color w:val="auto"/>
                <w:highlight w:val="none"/>
              </w:rPr>
            </w:pPr>
          </w:p>
        </w:tc>
        <w:tc>
          <w:tcPr>
            <w:tcW w:w="1380" w:type="dxa"/>
            <w:noWrap w:val="0"/>
            <w:vAlign w:val="top"/>
          </w:tcPr>
          <w:p>
            <w:pPr>
              <w:spacing w:line="360" w:lineRule="auto"/>
              <w:rPr>
                <w:rFonts w:asci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spacing w:line="360" w:lineRule="auto"/>
              <w:rPr>
                <w:rFonts w:ascii="Times New Roman" w:eastAsia="仿宋_GB2312"/>
                <w:color w:val="auto"/>
                <w:highlight w:val="none"/>
              </w:rPr>
            </w:pPr>
          </w:p>
        </w:tc>
        <w:tc>
          <w:tcPr>
            <w:tcW w:w="584" w:type="dxa"/>
            <w:vMerge w:val="continue"/>
            <w:noWrap w:val="0"/>
            <w:vAlign w:val="top"/>
          </w:tcPr>
          <w:p>
            <w:pPr>
              <w:spacing w:line="360" w:lineRule="auto"/>
              <w:rPr>
                <w:rFonts w:ascii="Times New Roman" w:eastAsia="仿宋_GB2312"/>
                <w:color w:val="auto"/>
                <w:highlight w:val="none"/>
              </w:rPr>
            </w:pPr>
          </w:p>
        </w:tc>
        <w:tc>
          <w:tcPr>
            <w:tcW w:w="876"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B2</w:t>
            </w:r>
          </w:p>
        </w:tc>
        <w:tc>
          <w:tcPr>
            <w:tcW w:w="1080"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F02</w:t>
            </w:r>
          </w:p>
        </w:tc>
        <w:tc>
          <w:tcPr>
            <w:tcW w:w="1230" w:type="dxa"/>
            <w:noWrap w:val="0"/>
            <w:vAlign w:val="top"/>
          </w:tcPr>
          <w:p>
            <w:pPr>
              <w:spacing w:line="360" w:lineRule="auto"/>
              <w:rPr>
                <w:rFonts w:ascii="Times New Roman" w:eastAsia="仿宋_GB2312"/>
                <w:color w:val="auto"/>
                <w:highlight w:val="none"/>
              </w:rPr>
            </w:pPr>
          </w:p>
        </w:tc>
        <w:tc>
          <w:tcPr>
            <w:tcW w:w="1380" w:type="dxa"/>
            <w:noWrap w:val="0"/>
            <w:vAlign w:val="top"/>
          </w:tcPr>
          <w:p>
            <w:pPr>
              <w:spacing w:line="360" w:lineRule="auto"/>
              <w:rPr>
                <w:rFonts w:asci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spacing w:line="360" w:lineRule="auto"/>
              <w:rPr>
                <w:rFonts w:ascii="Times New Roman" w:eastAsia="仿宋_GB2312"/>
                <w:color w:val="auto"/>
                <w:highlight w:val="none"/>
              </w:rPr>
            </w:pPr>
          </w:p>
        </w:tc>
        <w:tc>
          <w:tcPr>
            <w:tcW w:w="584" w:type="dxa"/>
            <w:vMerge w:val="continue"/>
            <w:noWrap w:val="0"/>
            <w:vAlign w:val="top"/>
          </w:tcPr>
          <w:p>
            <w:pPr>
              <w:spacing w:line="360" w:lineRule="auto"/>
              <w:rPr>
                <w:rFonts w:ascii="Times New Roman" w:eastAsia="仿宋_GB2312"/>
                <w:color w:val="auto"/>
                <w:highlight w:val="none"/>
              </w:rPr>
            </w:pPr>
          </w:p>
        </w:tc>
        <w:tc>
          <w:tcPr>
            <w:tcW w:w="876"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B3</w:t>
            </w:r>
          </w:p>
        </w:tc>
        <w:tc>
          <w:tcPr>
            <w:tcW w:w="1080"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F03</w:t>
            </w:r>
          </w:p>
        </w:tc>
        <w:tc>
          <w:tcPr>
            <w:tcW w:w="1230" w:type="dxa"/>
            <w:noWrap w:val="0"/>
            <w:vAlign w:val="top"/>
          </w:tcPr>
          <w:p>
            <w:pPr>
              <w:spacing w:line="360" w:lineRule="auto"/>
              <w:rPr>
                <w:rFonts w:ascii="Times New Roman" w:eastAsia="仿宋_GB2312"/>
                <w:color w:val="auto"/>
                <w:highlight w:val="none"/>
              </w:rPr>
            </w:pPr>
          </w:p>
        </w:tc>
        <w:tc>
          <w:tcPr>
            <w:tcW w:w="1380" w:type="dxa"/>
            <w:noWrap w:val="0"/>
            <w:vAlign w:val="top"/>
          </w:tcPr>
          <w:p>
            <w:pPr>
              <w:spacing w:line="360" w:lineRule="auto"/>
              <w:rPr>
                <w:rFonts w:asci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spacing w:line="360" w:lineRule="auto"/>
              <w:rPr>
                <w:rFonts w:ascii="Times New Roman" w:eastAsia="仿宋_GB2312"/>
                <w:color w:val="auto"/>
                <w:highlight w:val="none"/>
              </w:rPr>
            </w:pPr>
          </w:p>
        </w:tc>
        <w:tc>
          <w:tcPr>
            <w:tcW w:w="584" w:type="dxa"/>
            <w:vMerge w:val="continue"/>
            <w:noWrap w:val="0"/>
            <w:vAlign w:val="top"/>
          </w:tcPr>
          <w:p>
            <w:pPr>
              <w:spacing w:line="360" w:lineRule="auto"/>
              <w:rPr>
                <w:rFonts w:ascii="Times New Roman" w:eastAsia="仿宋_GB2312"/>
                <w:color w:val="auto"/>
                <w:highlight w:val="none"/>
              </w:rPr>
            </w:pPr>
          </w:p>
        </w:tc>
        <w:tc>
          <w:tcPr>
            <w:tcW w:w="876"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B4</w:t>
            </w:r>
          </w:p>
        </w:tc>
        <w:tc>
          <w:tcPr>
            <w:tcW w:w="1080"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F04</w:t>
            </w:r>
          </w:p>
        </w:tc>
        <w:tc>
          <w:tcPr>
            <w:tcW w:w="1230" w:type="dxa"/>
            <w:noWrap w:val="0"/>
            <w:vAlign w:val="top"/>
          </w:tcPr>
          <w:p>
            <w:pPr>
              <w:spacing w:line="360" w:lineRule="auto"/>
              <w:rPr>
                <w:rFonts w:ascii="Times New Roman" w:eastAsia="仿宋_GB2312"/>
                <w:color w:val="auto"/>
                <w:highlight w:val="none"/>
              </w:rPr>
            </w:pPr>
          </w:p>
        </w:tc>
        <w:tc>
          <w:tcPr>
            <w:tcW w:w="1380" w:type="dxa"/>
            <w:noWrap w:val="0"/>
            <w:vAlign w:val="top"/>
          </w:tcPr>
          <w:p>
            <w:pPr>
              <w:spacing w:line="360" w:lineRule="auto"/>
              <w:rPr>
                <w:rFonts w:asci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spacing w:line="360" w:lineRule="auto"/>
              <w:rPr>
                <w:rFonts w:ascii="Times New Roman" w:eastAsia="仿宋_GB2312"/>
                <w:color w:val="auto"/>
                <w:highlight w:val="none"/>
              </w:rPr>
            </w:pPr>
          </w:p>
        </w:tc>
        <w:tc>
          <w:tcPr>
            <w:tcW w:w="584" w:type="dxa"/>
            <w:vMerge w:val="continue"/>
            <w:noWrap w:val="0"/>
            <w:vAlign w:val="top"/>
          </w:tcPr>
          <w:p>
            <w:pPr>
              <w:spacing w:line="360" w:lineRule="auto"/>
              <w:rPr>
                <w:rFonts w:ascii="Times New Roman" w:eastAsia="仿宋_GB2312"/>
                <w:color w:val="auto"/>
                <w:highlight w:val="none"/>
              </w:rPr>
            </w:pPr>
          </w:p>
        </w:tc>
        <w:tc>
          <w:tcPr>
            <w:tcW w:w="876"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p>
        </w:tc>
        <w:tc>
          <w:tcPr>
            <w:tcW w:w="1080"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p>
        </w:tc>
        <w:tc>
          <w:tcPr>
            <w:tcW w:w="1230" w:type="dxa"/>
            <w:noWrap w:val="0"/>
            <w:vAlign w:val="top"/>
          </w:tcPr>
          <w:p>
            <w:pPr>
              <w:spacing w:line="360" w:lineRule="auto"/>
              <w:rPr>
                <w:rFonts w:ascii="Times New Roman" w:eastAsia="仿宋_GB2312"/>
                <w:color w:val="auto"/>
                <w:highlight w:val="none"/>
              </w:rPr>
            </w:pPr>
          </w:p>
        </w:tc>
        <w:tc>
          <w:tcPr>
            <w:tcW w:w="1380" w:type="dxa"/>
            <w:noWrap w:val="0"/>
            <w:vAlign w:val="top"/>
          </w:tcPr>
          <w:p>
            <w:pPr>
              <w:spacing w:line="360" w:lineRule="auto"/>
              <w:rPr>
                <w:rFonts w:asci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 w:type="dxa"/>
            <w:noWrap w:val="0"/>
            <w:vAlign w:val="top"/>
          </w:tcPr>
          <w:p>
            <w:pPr>
              <w:spacing w:line="360" w:lineRule="auto"/>
              <w:rPr>
                <w:rFonts w:ascii="Times New Roman" w:eastAsia="仿宋_GB2312"/>
                <w:color w:val="auto"/>
                <w:highlight w:val="none"/>
              </w:rPr>
            </w:pPr>
          </w:p>
        </w:tc>
        <w:tc>
          <w:tcPr>
            <w:tcW w:w="584" w:type="dxa"/>
            <w:vMerge w:val="continue"/>
            <w:noWrap w:val="0"/>
            <w:vAlign w:val="top"/>
          </w:tcPr>
          <w:p>
            <w:pPr>
              <w:spacing w:line="360" w:lineRule="auto"/>
              <w:rPr>
                <w:rFonts w:ascii="Times New Roman" w:eastAsia="仿宋_GB2312"/>
                <w:color w:val="auto"/>
                <w:highlight w:val="none"/>
              </w:rPr>
            </w:pPr>
          </w:p>
        </w:tc>
        <w:tc>
          <w:tcPr>
            <w:tcW w:w="876"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p>
        </w:tc>
        <w:tc>
          <w:tcPr>
            <w:tcW w:w="1080"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p>
        </w:tc>
        <w:tc>
          <w:tcPr>
            <w:tcW w:w="1230" w:type="dxa"/>
            <w:noWrap w:val="0"/>
            <w:vAlign w:val="top"/>
          </w:tcPr>
          <w:p>
            <w:pPr>
              <w:spacing w:line="360" w:lineRule="auto"/>
              <w:rPr>
                <w:rFonts w:ascii="Times New Roman" w:eastAsia="仿宋_GB2312"/>
                <w:color w:val="auto"/>
                <w:highlight w:val="none"/>
              </w:rPr>
            </w:pPr>
          </w:p>
        </w:tc>
        <w:tc>
          <w:tcPr>
            <w:tcW w:w="1380" w:type="dxa"/>
            <w:noWrap w:val="0"/>
            <w:vAlign w:val="top"/>
          </w:tcPr>
          <w:p>
            <w:pPr>
              <w:spacing w:line="360" w:lineRule="auto"/>
              <w:rPr>
                <w:rFonts w:asci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定值部分权重A</w:t>
            </w:r>
          </w:p>
        </w:tc>
        <w:tc>
          <w:tcPr>
            <w:tcW w:w="1215" w:type="dxa"/>
            <w:noWrap w:val="0"/>
            <w:vAlign w:val="top"/>
          </w:tcPr>
          <w:p>
            <w:pPr>
              <w:spacing w:line="360" w:lineRule="auto"/>
              <w:rPr>
                <w:rFonts w:ascii="Times New Roman" w:eastAsia="仿宋_GB2312"/>
                <w:color w:val="auto"/>
                <w:highlight w:val="none"/>
              </w:rPr>
            </w:pPr>
          </w:p>
        </w:tc>
        <w:tc>
          <w:tcPr>
            <w:tcW w:w="1080" w:type="dxa"/>
            <w:noWrap w:val="0"/>
            <w:vAlign w:val="top"/>
          </w:tcPr>
          <w:p>
            <w:pPr>
              <w:spacing w:line="360" w:lineRule="auto"/>
              <w:rPr>
                <w:rFonts w:ascii="Times New Roman" w:eastAsia="仿宋_GB2312"/>
                <w:color w:val="auto"/>
                <w:highlight w:val="none"/>
              </w:rPr>
            </w:pPr>
          </w:p>
        </w:tc>
        <w:tc>
          <w:tcPr>
            <w:tcW w:w="1215" w:type="dxa"/>
            <w:noWrap w:val="0"/>
            <w:vAlign w:val="top"/>
          </w:tcPr>
          <w:p>
            <w:pPr>
              <w:spacing w:line="360" w:lineRule="auto"/>
              <w:rPr>
                <w:rFonts w:ascii="Times New Roman" w:eastAsia="仿宋_GB2312"/>
                <w:color w:val="auto"/>
                <w:highlight w:val="none"/>
              </w:rPr>
            </w:pPr>
          </w:p>
        </w:tc>
        <w:tc>
          <w:tcPr>
            <w:tcW w:w="1230" w:type="dxa"/>
            <w:noWrap w:val="0"/>
            <w:vAlign w:val="top"/>
          </w:tcPr>
          <w:p>
            <w:pPr>
              <w:spacing w:line="360" w:lineRule="auto"/>
              <w:rPr>
                <w:rFonts w:ascii="Times New Roman" w:eastAsia="仿宋_GB2312"/>
                <w:color w:val="auto"/>
                <w:highlight w:val="none"/>
              </w:rPr>
            </w:pPr>
          </w:p>
        </w:tc>
        <w:tc>
          <w:tcPr>
            <w:tcW w:w="1380" w:type="dxa"/>
            <w:noWrap w:val="0"/>
            <w:vAlign w:val="top"/>
          </w:tcPr>
          <w:p>
            <w:pPr>
              <w:spacing w:line="360" w:lineRule="auto"/>
              <w:rPr>
                <w:rFonts w:ascii="Times New Roman" w:eastAsia="仿宋_GB2312"/>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89" w:type="dxa"/>
            <w:gridSpan w:val="3"/>
            <w:noWrap w:val="0"/>
            <w:vAlign w:val="top"/>
          </w:tcPr>
          <w:p>
            <w:pPr>
              <w:spacing w:line="360" w:lineRule="auto"/>
              <w:rPr>
                <w:rFonts w:ascii="Times New Roman" w:eastAsia="仿宋_GB2312"/>
                <w:color w:val="auto"/>
                <w:highlight w:val="none"/>
              </w:rPr>
            </w:pPr>
            <w:r>
              <w:rPr>
                <w:rFonts w:hint="eastAsia" w:ascii="Times New Roman" w:eastAsia="仿宋_GB2312"/>
                <w:color w:val="auto"/>
                <w:highlight w:val="none"/>
              </w:rPr>
              <w:t>合计</w:t>
            </w:r>
          </w:p>
        </w:tc>
        <w:tc>
          <w:tcPr>
            <w:tcW w:w="2295" w:type="dxa"/>
            <w:gridSpan w:val="2"/>
            <w:noWrap w:val="0"/>
            <w:vAlign w:val="top"/>
          </w:tcPr>
          <w:p>
            <w:pPr>
              <w:spacing w:line="360" w:lineRule="auto"/>
              <w:rPr>
                <w:rFonts w:ascii="Times New Roman" w:eastAsia="仿宋_GB2312"/>
                <w:color w:val="auto"/>
                <w:highlight w:val="none"/>
              </w:rPr>
            </w:pPr>
          </w:p>
        </w:tc>
        <w:tc>
          <w:tcPr>
            <w:tcW w:w="2445" w:type="dxa"/>
            <w:gridSpan w:val="2"/>
            <w:noWrap w:val="0"/>
            <w:vAlign w:val="top"/>
          </w:tcPr>
          <w:p>
            <w:pPr>
              <w:spacing w:line="360" w:lineRule="auto"/>
              <w:rPr>
                <w:rFonts w:ascii="Times New Roman" w:eastAsia="仿宋_GB2312"/>
                <w:color w:val="auto"/>
                <w:highlight w:val="none"/>
              </w:rPr>
            </w:pPr>
          </w:p>
        </w:tc>
        <w:tc>
          <w:tcPr>
            <w:tcW w:w="1380" w:type="dxa"/>
            <w:noWrap w:val="0"/>
            <w:vAlign w:val="top"/>
          </w:tcPr>
          <w:p>
            <w:pPr>
              <w:spacing w:line="360" w:lineRule="auto"/>
              <w:rPr>
                <w:rFonts w:ascii="Times New Roman" w:eastAsia="仿宋_GB2312"/>
                <w:color w:val="auto"/>
                <w:highlight w:val="none"/>
              </w:rPr>
            </w:pPr>
          </w:p>
        </w:tc>
      </w:tr>
    </w:tbl>
    <w:p>
      <w:pPr>
        <w:pStyle w:val="47"/>
        <w:tabs>
          <w:tab w:val="left" w:pos="596"/>
        </w:tabs>
        <w:spacing w:line="360" w:lineRule="auto"/>
        <w:ind w:firstLine="300"/>
        <w:rPr>
          <w:rFonts w:hint="eastAsia" w:ascii="Times New Roman" w:hAnsi="Times New Roman"/>
          <w:color w:val="auto"/>
          <w:sz w:val="21"/>
          <w:szCs w:val="21"/>
          <w:highlight w:val="none"/>
        </w:rPr>
      </w:pPr>
    </w:p>
    <w:p>
      <w:pPr>
        <w:pStyle w:val="47"/>
        <w:tabs>
          <w:tab w:val="left" w:pos="596"/>
        </w:tabs>
        <w:spacing w:line="360" w:lineRule="auto"/>
        <w:ind w:firstLine="300"/>
        <w:rPr>
          <w:rFonts w:hint="eastAsia" w:ascii="Times New Roman" w:hAnsi="Times New Roman"/>
          <w:color w:val="auto"/>
          <w:sz w:val="21"/>
          <w:szCs w:val="21"/>
          <w:highlight w:val="none"/>
          <w:lang w:eastAsia="zh-CN"/>
        </w:rPr>
      </w:pPr>
    </w:p>
    <w:p>
      <w:pPr>
        <w:rPr>
          <w:rFonts w:hint="eastAsia"/>
          <w:color w:val="auto"/>
          <w:highlight w:val="none"/>
        </w:rPr>
      </w:pPr>
      <w:r>
        <w:rPr>
          <w:color w:val="auto"/>
          <w:highlight w:val="none"/>
        </w:rPr>
        <w:br w:type="page"/>
      </w:r>
      <w:bookmarkEnd w:id="426"/>
      <w:bookmarkEnd w:id="427"/>
      <w:bookmarkEnd w:id="428"/>
      <w:bookmarkEnd w:id="429"/>
      <w:bookmarkEnd w:id="430"/>
      <w:bookmarkEnd w:id="431"/>
      <w:bookmarkStart w:id="1192" w:name="_Toc152045772"/>
      <w:bookmarkStart w:id="1193" w:name="_Toc144974834"/>
      <w:bookmarkStart w:id="1194" w:name="_Toc152042554"/>
      <w:bookmarkStart w:id="1195" w:name="_Toc247514202"/>
      <w:bookmarkStart w:id="1196" w:name="_Toc247527803"/>
      <w:r>
        <w:rPr>
          <w:rFonts w:hint="eastAsia"/>
          <w:color w:val="auto"/>
          <w:highlight w:val="none"/>
        </w:rPr>
        <w:t xml:space="preserve"> </w:t>
      </w:r>
      <w:bookmarkEnd w:id="1192"/>
      <w:bookmarkEnd w:id="1193"/>
      <w:bookmarkEnd w:id="1194"/>
      <w:bookmarkEnd w:id="1195"/>
      <w:bookmarkEnd w:id="1196"/>
    </w:p>
    <w:p>
      <w:pPr>
        <w:spacing w:line="400" w:lineRule="exact"/>
        <w:rPr>
          <w:color w:val="auto"/>
          <w:highlight w:val="none"/>
        </w:rPr>
      </w:pPr>
    </w:p>
    <w:p>
      <w:pPr>
        <w:pStyle w:val="2"/>
        <w:jc w:val="center"/>
        <w:rPr>
          <w:rFonts w:hint="eastAsia"/>
          <w:color w:val="auto"/>
          <w:highlight w:val="none"/>
        </w:rPr>
      </w:pPr>
      <w:bookmarkStart w:id="1197" w:name="_Toc247514232"/>
      <w:bookmarkStart w:id="1198" w:name="_Toc300835204"/>
      <w:bookmarkStart w:id="1199" w:name="_Toc247527819"/>
      <w:r>
        <w:rPr>
          <w:rFonts w:hint="eastAsia"/>
          <w:color w:val="auto"/>
          <w:highlight w:val="none"/>
        </w:rPr>
        <w:t>第二卷</w:t>
      </w:r>
      <w:bookmarkEnd w:id="1197"/>
      <w:bookmarkEnd w:id="1198"/>
      <w:bookmarkEnd w:id="1199"/>
    </w:p>
    <w:p>
      <w:pPr>
        <w:pStyle w:val="2"/>
        <w:jc w:val="center"/>
        <w:rPr>
          <w:rFonts w:hint="eastAsia" w:ascii="Times New Roman" w:hAnsi="Times New Roman" w:cs="宋体"/>
          <w:bCs w:val="0"/>
          <w:color w:val="auto"/>
          <w:sz w:val="32"/>
          <w:szCs w:val="32"/>
          <w:highlight w:val="none"/>
        </w:rPr>
      </w:pPr>
      <w:r>
        <w:rPr>
          <w:rFonts w:hint="eastAsia"/>
          <w:color w:val="auto"/>
          <w:highlight w:val="none"/>
        </w:rPr>
        <w:br w:type="page"/>
      </w:r>
      <w:bookmarkStart w:id="1200" w:name="_Toc247527820"/>
      <w:bookmarkStart w:id="1201" w:name="_Toc152042571"/>
      <w:bookmarkStart w:id="1202" w:name="_Toc144974851"/>
      <w:bookmarkStart w:id="1203" w:name="_Toc247514233"/>
      <w:bookmarkStart w:id="1204" w:name="_Toc152045782"/>
      <w:bookmarkStart w:id="1205" w:name="_Toc300835205"/>
      <w:r>
        <w:rPr>
          <w:rFonts w:hint="eastAsia" w:ascii="Times New Roman" w:hAnsi="Times New Roman" w:cs="宋体"/>
          <w:bCs w:val="0"/>
          <w:color w:val="auto"/>
          <w:sz w:val="32"/>
          <w:szCs w:val="32"/>
          <w:highlight w:val="none"/>
        </w:rPr>
        <w:t xml:space="preserve">第五章  </w:t>
      </w:r>
      <w:bookmarkEnd w:id="1200"/>
      <w:bookmarkEnd w:id="1201"/>
      <w:bookmarkEnd w:id="1202"/>
      <w:bookmarkEnd w:id="1203"/>
      <w:bookmarkEnd w:id="1204"/>
      <w:r>
        <w:rPr>
          <w:rFonts w:hint="eastAsia" w:ascii="Times New Roman" w:hAnsi="Times New Roman" w:cs="宋体"/>
          <w:bCs w:val="0"/>
          <w:color w:val="auto"/>
          <w:sz w:val="32"/>
          <w:szCs w:val="32"/>
          <w:highlight w:val="none"/>
        </w:rPr>
        <w:t>发包人要求</w:t>
      </w:r>
      <w:bookmarkEnd w:id="1205"/>
    </w:p>
    <w:p>
      <w:pPr>
        <w:topLinePunct/>
        <w:spacing w:line="440" w:lineRule="exact"/>
        <w:jc w:val="center"/>
        <w:rPr>
          <w:color w:val="auto"/>
          <w:highlight w:val="none"/>
        </w:rPr>
      </w:pPr>
    </w:p>
    <w:p>
      <w:pPr>
        <w:spacing w:line="400" w:lineRule="exact"/>
        <w:jc w:val="center"/>
        <w:rPr>
          <w:rFonts w:hint="eastAsia"/>
          <w:color w:val="auto"/>
          <w:highlight w:val="none"/>
        </w:rPr>
      </w:pPr>
      <w:r>
        <w:rPr>
          <w:color w:val="auto"/>
          <w:highlight w:val="none"/>
        </w:rPr>
        <w:br w:type="page"/>
      </w:r>
    </w:p>
    <w:p>
      <w:pPr>
        <w:spacing w:line="400" w:lineRule="exact"/>
        <w:jc w:val="center"/>
        <w:rPr>
          <w:rFonts w:hint="eastAsia"/>
          <w:b/>
          <w:color w:val="auto"/>
          <w:sz w:val="32"/>
          <w:szCs w:val="32"/>
          <w:highlight w:val="none"/>
        </w:rPr>
      </w:pPr>
      <w:r>
        <w:rPr>
          <w:rFonts w:hint="eastAsia"/>
          <w:b/>
          <w:color w:val="auto"/>
          <w:sz w:val="32"/>
          <w:szCs w:val="32"/>
          <w:highlight w:val="none"/>
        </w:rPr>
        <w:t>发包人要求</w:t>
      </w:r>
    </w:p>
    <w:p>
      <w:pPr>
        <w:spacing w:line="400" w:lineRule="exact"/>
        <w:rPr>
          <w:rFonts w:hint="eastAsia"/>
          <w:color w:val="auto"/>
          <w:highlight w:val="none"/>
        </w:rPr>
      </w:pPr>
    </w:p>
    <w:p>
      <w:pPr>
        <w:spacing w:line="440" w:lineRule="exact"/>
        <w:ind w:firstLine="410" w:firstLineChars="171"/>
        <w:rPr>
          <w:rFonts w:hint="eastAsia"/>
          <w:color w:val="auto"/>
          <w:sz w:val="24"/>
          <w:highlight w:val="none"/>
        </w:rPr>
      </w:pPr>
      <w:r>
        <w:rPr>
          <w:rFonts w:hint="eastAsia"/>
          <w:color w:val="auto"/>
          <w:sz w:val="24"/>
          <w:highlight w:val="none"/>
        </w:rPr>
        <w:t>发包人要求应尽可能清晰准确，对于可以进行定量评估的工作，发包人要求不仅应明确规定其产能、功能、用途、质量、环境、安全，并且要规定偏离的范围和计算方法，以及检验、试验、试运行的具体要求。对于承包人负责提供的有关设备和服务，对发包人人员进行培训和提供一些消耗品等，在发包人要求中应一并明确规定。</w:t>
      </w:r>
    </w:p>
    <w:p>
      <w:pPr>
        <w:spacing w:line="360" w:lineRule="auto"/>
        <w:ind w:firstLine="240" w:firstLineChars="100"/>
        <w:rPr>
          <w:rFonts w:hint="eastAsia" w:ascii="Times New Roman" w:hAnsi="Times New Roman"/>
          <w:color w:val="auto"/>
          <w:sz w:val="24"/>
          <w:highlight w:val="none"/>
        </w:rPr>
      </w:pPr>
      <w:r>
        <w:rPr>
          <w:rFonts w:hint="eastAsia"/>
          <w:color w:val="auto"/>
          <w:sz w:val="24"/>
          <w:highlight w:val="none"/>
        </w:rPr>
        <w:t>附件：</w:t>
      </w:r>
    </w:p>
    <w:p>
      <w:pPr>
        <w:spacing w:line="400" w:lineRule="exact"/>
        <w:rPr>
          <w:rFonts w:hint="eastAsia" w:ascii="Times New Roman" w:hAnsi="Times New Roman"/>
          <w:color w:val="auto"/>
          <w:szCs w:val="21"/>
          <w:highlight w:val="none"/>
        </w:rPr>
      </w:pPr>
      <w:r>
        <w:rPr>
          <w:rFonts w:hint="eastAsia" w:ascii="Times New Roman" w:hAnsi="Times New Roman"/>
          <w:color w:val="auto"/>
          <w:szCs w:val="21"/>
          <w:highlight w:val="none"/>
        </w:rPr>
        <w:br w:type="page"/>
      </w:r>
    </w:p>
    <w:p>
      <w:pPr>
        <w:pStyle w:val="2"/>
        <w:jc w:val="center"/>
        <w:rPr>
          <w:color w:val="auto"/>
          <w:highlight w:val="none"/>
        </w:rPr>
      </w:pPr>
      <w:bookmarkStart w:id="1206" w:name="_Toc300835206"/>
      <w:r>
        <w:rPr>
          <w:rFonts w:hint="eastAsia" w:ascii="Times New Roman" w:hAnsi="Times New Roman" w:cs="宋体"/>
          <w:bCs w:val="0"/>
          <w:color w:val="auto"/>
          <w:sz w:val="32"/>
          <w:szCs w:val="32"/>
          <w:highlight w:val="none"/>
        </w:rPr>
        <w:t>第六章  发包人提供的资料</w:t>
      </w:r>
      <w:bookmarkEnd w:id="1206"/>
    </w:p>
    <w:p>
      <w:pPr>
        <w:spacing w:line="360" w:lineRule="auto"/>
        <w:rPr>
          <w:rFonts w:hint="eastAsia"/>
          <w:color w:val="auto"/>
          <w:highlight w:val="none"/>
        </w:rPr>
      </w:pPr>
      <w:r>
        <w:rPr>
          <w:color w:val="auto"/>
          <w:highlight w:val="none"/>
        </w:rPr>
        <w:br w:type="page"/>
      </w:r>
    </w:p>
    <w:p>
      <w:pPr>
        <w:spacing w:line="400" w:lineRule="exact"/>
        <w:jc w:val="center"/>
        <w:rPr>
          <w:rFonts w:hint="eastAsia"/>
          <w:b/>
          <w:color w:val="auto"/>
          <w:sz w:val="32"/>
          <w:szCs w:val="32"/>
          <w:highlight w:val="none"/>
        </w:rPr>
      </w:pPr>
      <w:r>
        <w:rPr>
          <w:rFonts w:hint="eastAsia"/>
          <w:b/>
          <w:color w:val="auto"/>
          <w:sz w:val="32"/>
          <w:szCs w:val="32"/>
          <w:highlight w:val="none"/>
        </w:rPr>
        <w:t>发包人提供的资料</w:t>
      </w:r>
    </w:p>
    <w:p>
      <w:pPr>
        <w:rPr>
          <w:rFonts w:hint="eastAsia"/>
          <w:b/>
          <w:color w:val="auto"/>
          <w:sz w:val="30"/>
          <w:szCs w:val="30"/>
          <w:highlight w:val="none"/>
        </w:rPr>
      </w:pPr>
    </w:p>
    <w:p>
      <w:pPr>
        <w:spacing w:line="360" w:lineRule="auto"/>
        <w:ind w:firstLine="480" w:firstLineChars="200"/>
        <w:rPr>
          <w:rFonts w:hint="eastAsia" w:ascii="Times New Roman" w:hAnsi="Times New Roman" w:eastAsia="黑体"/>
          <w:color w:val="auto"/>
          <w:sz w:val="24"/>
          <w:highlight w:val="none"/>
        </w:rPr>
      </w:pPr>
      <w:r>
        <w:rPr>
          <w:rFonts w:hint="eastAsia" w:ascii="Times New Roman" w:hAnsi="Times New Roman" w:eastAsia="黑体"/>
          <w:color w:val="auto"/>
          <w:sz w:val="24"/>
          <w:highlight w:val="none"/>
        </w:rPr>
        <w:t>一、项目概况</w:t>
      </w:r>
    </w:p>
    <w:p>
      <w:pPr>
        <w:spacing w:line="360" w:lineRule="auto"/>
        <w:ind w:firstLine="480" w:firstLineChars="200"/>
        <w:rPr>
          <w:rFonts w:hint="eastAsia" w:ascii="Times New Roman" w:hAnsi="Times New Roman" w:eastAsia="黑体"/>
          <w:color w:val="auto"/>
          <w:sz w:val="24"/>
          <w:highlight w:val="none"/>
        </w:rPr>
      </w:pPr>
      <w:r>
        <w:rPr>
          <w:rFonts w:hint="eastAsia" w:ascii="Times New Roman" w:hAnsi="Times New Roman" w:eastAsia="黑体"/>
          <w:color w:val="auto"/>
          <w:sz w:val="24"/>
          <w:highlight w:val="none"/>
        </w:rPr>
        <w:t>二、发包人提供的资料</w:t>
      </w:r>
    </w:p>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1. 施工场地及毗邻区域内的供水、排水、供电、供气、供热、通信、广播电视等地下管线资料、气象和水文观测资料，相邻建筑物和构筑物、地下工程的有关资料，以及其他与建设工程有关的原始资料。</w:t>
      </w:r>
    </w:p>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2. 定位放线的基准点、基准线和基准标高。</w:t>
      </w:r>
    </w:p>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3. 发包人取得的有关审批、核准和备案材料，如规划许可证。</w:t>
      </w:r>
    </w:p>
    <w:p>
      <w:pPr>
        <w:spacing w:line="360" w:lineRule="auto"/>
        <w:ind w:firstLine="480" w:firstLineChars="200"/>
        <w:rPr>
          <w:rFonts w:hint="eastAsia" w:ascii="Times New Roman" w:hAnsi="Times New Roman"/>
          <w:color w:val="auto"/>
          <w:sz w:val="24"/>
          <w:highlight w:val="none"/>
        </w:rPr>
      </w:pPr>
      <w:r>
        <w:rPr>
          <w:rFonts w:hint="eastAsia" w:ascii="Times New Roman" w:hAnsi="Times New Roman"/>
          <w:color w:val="auto"/>
          <w:sz w:val="24"/>
          <w:highlight w:val="none"/>
        </w:rPr>
        <w:t>4．其他资料。</w:t>
      </w:r>
    </w:p>
    <w:p>
      <w:pPr>
        <w:spacing w:line="400" w:lineRule="exact"/>
        <w:rPr>
          <w:color w:val="auto"/>
          <w:highlight w:val="none"/>
        </w:rPr>
      </w:pPr>
      <w:r>
        <w:rPr>
          <w:color w:val="auto"/>
          <w:highlight w:val="none"/>
        </w:rPr>
        <w:br w:type="page"/>
      </w: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spacing w:line="400" w:lineRule="exact"/>
        <w:rPr>
          <w:color w:val="auto"/>
          <w:highlight w:val="none"/>
        </w:rPr>
      </w:pPr>
    </w:p>
    <w:p>
      <w:pPr>
        <w:pStyle w:val="2"/>
        <w:jc w:val="center"/>
        <w:rPr>
          <w:color w:val="auto"/>
          <w:highlight w:val="none"/>
        </w:rPr>
      </w:pPr>
      <w:bookmarkStart w:id="1207" w:name="_Toc300835207"/>
      <w:bookmarkStart w:id="1208" w:name="_Toc247527825"/>
      <w:bookmarkStart w:id="1209" w:name="_Toc247514244"/>
      <w:bookmarkStart w:id="1210" w:name="_Toc152042575"/>
      <w:bookmarkStart w:id="1211" w:name="_Toc144974855"/>
      <w:bookmarkStart w:id="1212" w:name="_Toc152045786"/>
      <w:r>
        <w:rPr>
          <w:rFonts w:hint="eastAsia"/>
          <w:color w:val="auto"/>
          <w:highlight w:val="none"/>
        </w:rPr>
        <w:t>第三卷</w:t>
      </w:r>
      <w:bookmarkEnd w:id="1207"/>
      <w:bookmarkEnd w:id="1208"/>
      <w:bookmarkEnd w:id="1209"/>
    </w:p>
    <w:p>
      <w:pPr>
        <w:spacing w:line="400" w:lineRule="exact"/>
        <w:rPr>
          <w:rFonts w:hint="eastAsia"/>
          <w:color w:val="auto"/>
          <w:highlight w:val="none"/>
        </w:rPr>
      </w:pPr>
      <w:r>
        <w:rPr>
          <w:rFonts w:ascii="Times New Roman" w:hAnsi="Times New Roman" w:eastAsia="黑体"/>
          <w:b/>
          <w:bCs/>
          <w:color w:val="auto"/>
          <w:sz w:val="32"/>
          <w:highlight w:val="none"/>
        </w:rPr>
        <w:br w:type="page"/>
      </w:r>
    </w:p>
    <w:p>
      <w:pPr>
        <w:pStyle w:val="2"/>
        <w:jc w:val="center"/>
        <w:rPr>
          <w:rFonts w:hint="eastAsia" w:ascii="Times New Roman" w:hAnsi="Times New Roman" w:cs="宋体"/>
          <w:bCs w:val="0"/>
          <w:color w:val="auto"/>
          <w:sz w:val="32"/>
          <w:szCs w:val="32"/>
          <w:highlight w:val="none"/>
        </w:rPr>
      </w:pPr>
      <w:bookmarkStart w:id="1213" w:name="_Toc300835208"/>
      <w:bookmarkStart w:id="1214" w:name="_Toc247514245"/>
      <w:bookmarkStart w:id="1215" w:name="_Toc247527826"/>
      <w:r>
        <w:rPr>
          <w:rFonts w:hint="eastAsia" w:ascii="Times New Roman" w:hAnsi="Times New Roman" w:cs="宋体"/>
          <w:bCs w:val="0"/>
          <w:color w:val="auto"/>
          <w:sz w:val="32"/>
          <w:szCs w:val="32"/>
          <w:highlight w:val="none"/>
        </w:rPr>
        <w:t>第七章  投标文件格式</w:t>
      </w:r>
      <w:bookmarkEnd w:id="1210"/>
      <w:bookmarkEnd w:id="1211"/>
      <w:bookmarkEnd w:id="1212"/>
      <w:bookmarkEnd w:id="1213"/>
      <w:bookmarkEnd w:id="1214"/>
      <w:bookmarkEnd w:id="1215"/>
    </w:p>
    <w:p>
      <w:pPr>
        <w:spacing w:line="400" w:lineRule="exact"/>
        <w:rPr>
          <w:color w:val="auto"/>
          <w:highlight w:val="none"/>
        </w:rPr>
      </w:pPr>
    </w:p>
    <w:p>
      <w:pPr>
        <w:spacing w:line="400" w:lineRule="exact"/>
        <w:rPr>
          <w:color w:val="auto"/>
          <w:sz w:val="24"/>
          <w:highlight w:val="none"/>
        </w:rPr>
      </w:pPr>
      <w:r>
        <w:rPr>
          <w:color w:val="auto"/>
          <w:sz w:val="24"/>
          <w:highlight w:val="none"/>
        </w:rPr>
        <w:t xml:space="preserve"> </w:t>
      </w: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color w:val="auto"/>
          <w:sz w:val="24"/>
          <w:highlight w:val="none"/>
        </w:rPr>
      </w:pPr>
    </w:p>
    <w:p>
      <w:pPr>
        <w:spacing w:line="400" w:lineRule="exact"/>
        <w:rPr>
          <w:rFonts w:eastAsia="黑体"/>
          <w:color w:val="auto"/>
          <w:sz w:val="20"/>
          <w:szCs w:val="20"/>
          <w:highlight w:val="none"/>
        </w:rPr>
      </w:pPr>
      <w:r>
        <w:rPr>
          <w:rFonts w:hint="eastAsia" w:ascii="Times New Roman" w:hAnsi="Times New Roman"/>
          <w:color w:val="auto"/>
          <w:sz w:val="24"/>
          <w:highlight w:val="none"/>
        </w:rPr>
        <w:t>注：“_______（盖单位章）”的，下划线上填写单位全称（法定名称），在单位全称上加盖单位章，单位全称应与单位章一致，联合体投标的，投标人名称应填写联合体牵头人名称。</w:t>
      </w:r>
      <w:r>
        <w:rPr>
          <w:color w:val="auto"/>
          <w:highlight w:val="none"/>
        </w:rPr>
        <w:br w:type="page"/>
      </w:r>
    </w:p>
    <w:p>
      <w:pPr>
        <w:jc w:val="center"/>
        <w:rPr>
          <w:rFonts w:eastAsia="黑体"/>
          <w:color w:val="auto"/>
          <w:sz w:val="28"/>
          <w:szCs w:val="28"/>
          <w:highlight w:val="none"/>
        </w:rPr>
      </w:pPr>
      <w:r>
        <w:rPr>
          <w:rFonts w:hint="eastAsia" w:eastAsia="黑体"/>
          <w:color w:val="auto"/>
          <w:sz w:val="28"/>
          <w:szCs w:val="28"/>
          <w:highlight w:val="none"/>
          <w:u w:val="single"/>
        </w:rPr>
        <w:t xml:space="preserve">        </w:t>
      </w:r>
      <w:r>
        <w:rPr>
          <w:rFonts w:eastAsia="黑体"/>
          <w:color w:val="auto"/>
          <w:sz w:val="28"/>
          <w:szCs w:val="28"/>
          <w:highlight w:val="none"/>
        </w:rPr>
        <w:t>（项目名称）</w:t>
      </w:r>
      <w:r>
        <w:rPr>
          <w:rFonts w:hint="eastAsia" w:eastAsia="黑体"/>
          <w:color w:val="auto"/>
          <w:sz w:val="28"/>
          <w:szCs w:val="28"/>
          <w:highlight w:val="none"/>
        </w:rPr>
        <w:t>设计施工总承包</w:t>
      </w:r>
      <w:r>
        <w:rPr>
          <w:rFonts w:hint="eastAsia" w:ascii="Times New Roman" w:hAnsi="Times New Roman"/>
          <w:b/>
          <w:color w:val="auto"/>
          <w:sz w:val="28"/>
          <w:szCs w:val="28"/>
          <w:highlight w:val="none"/>
          <w:u w:val="single"/>
        </w:rPr>
        <w:t xml:space="preserve">    </w:t>
      </w:r>
      <w:r>
        <w:rPr>
          <w:rFonts w:hint="eastAsia" w:ascii="Times New Roman" w:hAnsi="Times New Roman"/>
          <w:b/>
          <w:color w:val="auto"/>
          <w:sz w:val="28"/>
          <w:szCs w:val="28"/>
          <w:highlight w:val="none"/>
        </w:rPr>
        <w:t xml:space="preserve"> </w:t>
      </w:r>
      <w:r>
        <w:rPr>
          <w:rFonts w:hint="eastAsia" w:eastAsia="黑体"/>
          <w:color w:val="auto"/>
          <w:sz w:val="28"/>
          <w:szCs w:val="28"/>
          <w:highlight w:val="none"/>
        </w:rPr>
        <w:t>标段</w:t>
      </w:r>
      <w:r>
        <w:rPr>
          <w:rFonts w:eastAsia="黑体"/>
          <w:color w:val="auto"/>
          <w:sz w:val="28"/>
          <w:szCs w:val="28"/>
          <w:highlight w:val="none"/>
        </w:rPr>
        <w:t>招标</w:t>
      </w:r>
    </w:p>
    <w:p>
      <w:pPr>
        <w:rPr>
          <w:rFonts w:eastAsia="黑体"/>
          <w:color w:val="auto"/>
          <w:sz w:val="20"/>
          <w:szCs w:val="20"/>
          <w:highlight w:val="none"/>
        </w:rPr>
      </w:pPr>
    </w:p>
    <w:p>
      <w:pPr>
        <w:rPr>
          <w:rFonts w:eastAsia="黑体"/>
          <w:color w:val="auto"/>
          <w:sz w:val="20"/>
          <w:szCs w:val="20"/>
          <w:highlight w:val="none"/>
        </w:rPr>
      </w:pPr>
    </w:p>
    <w:p>
      <w:pPr>
        <w:rPr>
          <w:rFonts w:eastAsia="黑体"/>
          <w:color w:val="auto"/>
          <w:sz w:val="20"/>
          <w:szCs w:val="20"/>
          <w:highlight w:val="none"/>
        </w:rPr>
      </w:pPr>
    </w:p>
    <w:p>
      <w:pPr>
        <w:rPr>
          <w:rFonts w:eastAsia="黑体"/>
          <w:color w:val="auto"/>
          <w:sz w:val="20"/>
          <w:szCs w:val="20"/>
          <w:highlight w:val="none"/>
        </w:rPr>
      </w:pPr>
    </w:p>
    <w:p>
      <w:pPr>
        <w:rPr>
          <w:rFonts w:eastAsia="黑体"/>
          <w:color w:val="auto"/>
          <w:sz w:val="20"/>
          <w:szCs w:val="20"/>
          <w:highlight w:val="none"/>
        </w:rPr>
      </w:pPr>
    </w:p>
    <w:p>
      <w:pPr>
        <w:rPr>
          <w:rFonts w:eastAsia="黑体"/>
          <w:color w:val="auto"/>
          <w:sz w:val="20"/>
          <w:szCs w:val="20"/>
          <w:highlight w:val="none"/>
        </w:rPr>
      </w:pPr>
    </w:p>
    <w:p>
      <w:pPr>
        <w:jc w:val="center"/>
        <w:rPr>
          <w:rFonts w:eastAsia="黑体"/>
          <w:color w:val="auto"/>
          <w:sz w:val="44"/>
          <w:szCs w:val="44"/>
          <w:highlight w:val="none"/>
        </w:rPr>
      </w:pPr>
    </w:p>
    <w:p>
      <w:pPr>
        <w:jc w:val="center"/>
        <w:rPr>
          <w:rFonts w:eastAsia="黑体"/>
          <w:color w:val="auto"/>
          <w:sz w:val="44"/>
          <w:szCs w:val="44"/>
          <w:highlight w:val="none"/>
        </w:rPr>
      </w:pPr>
    </w:p>
    <w:p>
      <w:pPr>
        <w:jc w:val="center"/>
        <w:rPr>
          <w:rFonts w:eastAsia="黑体"/>
          <w:color w:val="auto"/>
          <w:sz w:val="44"/>
          <w:szCs w:val="44"/>
          <w:highlight w:val="none"/>
        </w:rPr>
      </w:pPr>
      <w:r>
        <w:rPr>
          <w:rFonts w:eastAsia="黑体"/>
          <w:color w:val="auto"/>
          <w:sz w:val="44"/>
          <w:szCs w:val="44"/>
          <w:highlight w:val="none"/>
        </w:rPr>
        <w:t>投  标  文  件</w:t>
      </w: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rPr>
          <w:rFonts w:eastAsia="黑体"/>
          <w:color w:val="auto"/>
          <w:sz w:val="28"/>
          <w:szCs w:val="28"/>
          <w:highlight w:val="none"/>
        </w:rPr>
      </w:pPr>
    </w:p>
    <w:p>
      <w:pPr>
        <w:jc w:val="center"/>
        <w:rPr>
          <w:rFonts w:eastAsia="黑体"/>
          <w:color w:val="auto"/>
          <w:sz w:val="28"/>
          <w:szCs w:val="28"/>
          <w:highlight w:val="none"/>
          <w:u w:val="single"/>
        </w:rPr>
      </w:pPr>
      <w:r>
        <w:rPr>
          <w:rFonts w:eastAsia="黑体"/>
          <w:color w:val="auto"/>
          <w:sz w:val="28"/>
          <w:szCs w:val="28"/>
          <w:highlight w:val="none"/>
        </w:rPr>
        <w:t>投标人：</w:t>
      </w:r>
      <w:r>
        <w:rPr>
          <w:rFonts w:eastAsia="黑体"/>
          <w:color w:val="auto"/>
          <w:sz w:val="28"/>
          <w:szCs w:val="28"/>
          <w:highlight w:val="none"/>
          <w:u w:val="single"/>
        </w:rPr>
        <w:t xml:space="preserve">                     </w:t>
      </w:r>
      <w:r>
        <w:rPr>
          <w:rFonts w:hint="eastAsia" w:eastAsia="黑体"/>
          <w:color w:val="auto"/>
          <w:sz w:val="28"/>
          <w:szCs w:val="28"/>
          <w:highlight w:val="none"/>
          <w:u w:val="single"/>
        </w:rPr>
        <w:t xml:space="preserve">  </w:t>
      </w:r>
      <w:r>
        <w:rPr>
          <w:rFonts w:eastAsia="黑体"/>
          <w:color w:val="auto"/>
          <w:sz w:val="28"/>
          <w:szCs w:val="28"/>
          <w:highlight w:val="none"/>
          <w:u w:val="single"/>
        </w:rPr>
        <w:t xml:space="preserve">       </w:t>
      </w:r>
      <w:r>
        <w:rPr>
          <w:rFonts w:eastAsia="黑体"/>
          <w:color w:val="auto"/>
          <w:sz w:val="28"/>
          <w:szCs w:val="28"/>
          <w:highlight w:val="none"/>
        </w:rPr>
        <w:t>（盖单位章）</w:t>
      </w:r>
    </w:p>
    <w:p>
      <w:pPr>
        <w:jc w:val="center"/>
        <w:rPr>
          <w:rFonts w:eastAsia="黑体"/>
          <w:color w:val="auto"/>
          <w:sz w:val="28"/>
          <w:szCs w:val="28"/>
          <w:highlight w:val="none"/>
        </w:rPr>
      </w:pPr>
      <w:r>
        <w:rPr>
          <w:rFonts w:eastAsia="黑体"/>
          <w:color w:val="auto"/>
          <w:sz w:val="28"/>
          <w:szCs w:val="28"/>
          <w:highlight w:val="none"/>
        </w:rPr>
        <w:t>法定代表人或其委托代理人：</w:t>
      </w:r>
      <w:r>
        <w:rPr>
          <w:rFonts w:eastAsia="黑体"/>
          <w:color w:val="auto"/>
          <w:sz w:val="28"/>
          <w:szCs w:val="28"/>
          <w:highlight w:val="none"/>
          <w:u w:val="single"/>
        </w:rPr>
        <w:t xml:space="preserve">                </w:t>
      </w:r>
      <w:r>
        <w:rPr>
          <w:rFonts w:eastAsia="黑体"/>
          <w:color w:val="auto"/>
          <w:sz w:val="28"/>
          <w:szCs w:val="28"/>
          <w:highlight w:val="none"/>
        </w:rPr>
        <w:t>（签字）</w:t>
      </w:r>
    </w:p>
    <w:p>
      <w:pPr>
        <w:jc w:val="center"/>
        <w:rPr>
          <w:rFonts w:eastAsia="黑体"/>
          <w:color w:val="auto"/>
          <w:sz w:val="28"/>
          <w:szCs w:val="28"/>
          <w:highlight w:val="none"/>
        </w:rPr>
      </w:pPr>
      <w:r>
        <w:rPr>
          <w:rFonts w:eastAsia="黑体"/>
          <w:color w:val="auto"/>
          <w:sz w:val="28"/>
          <w:szCs w:val="28"/>
          <w:highlight w:val="none"/>
          <w:u w:val="single"/>
        </w:rPr>
        <w:t xml:space="preserve">        </w:t>
      </w:r>
      <w:r>
        <w:rPr>
          <w:rFonts w:eastAsia="黑体"/>
          <w:color w:val="auto"/>
          <w:sz w:val="28"/>
          <w:szCs w:val="28"/>
          <w:highlight w:val="none"/>
        </w:rPr>
        <w:t>年</w:t>
      </w:r>
      <w:r>
        <w:rPr>
          <w:rFonts w:eastAsia="黑体"/>
          <w:color w:val="auto"/>
          <w:sz w:val="28"/>
          <w:szCs w:val="28"/>
          <w:highlight w:val="none"/>
          <w:u w:val="single"/>
        </w:rPr>
        <w:t xml:space="preserve">        </w:t>
      </w:r>
      <w:r>
        <w:rPr>
          <w:rFonts w:eastAsia="黑体"/>
          <w:color w:val="auto"/>
          <w:sz w:val="28"/>
          <w:szCs w:val="28"/>
          <w:highlight w:val="none"/>
        </w:rPr>
        <w:t>月</w:t>
      </w:r>
      <w:r>
        <w:rPr>
          <w:rFonts w:eastAsia="黑体"/>
          <w:color w:val="auto"/>
          <w:sz w:val="28"/>
          <w:szCs w:val="28"/>
          <w:highlight w:val="none"/>
          <w:u w:val="single"/>
        </w:rPr>
        <w:t xml:space="preserve">         </w:t>
      </w:r>
      <w:r>
        <w:rPr>
          <w:rFonts w:eastAsia="黑体"/>
          <w:color w:val="auto"/>
          <w:sz w:val="28"/>
          <w:szCs w:val="28"/>
          <w:highlight w:val="none"/>
        </w:rPr>
        <w:t>日</w:t>
      </w:r>
    </w:p>
    <w:p>
      <w:pPr>
        <w:spacing w:line="440" w:lineRule="exact"/>
        <w:rPr>
          <w:rFonts w:eastAsia="黑体"/>
          <w:color w:val="auto"/>
          <w:sz w:val="20"/>
          <w:szCs w:val="20"/>
          <w:highlight w:val="none"/>
        </w:rPr>
      </w:pPr>
    </w:p>
    <w:p>
      <w:pPr>
        <w:spacing w:line="400" w:lineRule="exact"/>
        <w:rPr>
          <w:color w:val="auto"/>
          <w:highlight w:val="none"/>
        </w:rPr>
      </w:pPr>
      <w:r>
        <w:rPr>
          <w:color w:val="auto"/>
          <w:highlight w:val="none"/>
        </w:rPr>
        <w:br w:type="page"/>
      </w:r>
    </w:p>
    <w:p>
      <w:pPr>
        <w:pStyle w:val="3"/>
        <w:jc w:val="center"/>
        <w:rPr>
          <w:rFonts w:ascii="Times New Roman" w:hAnsi="Times New Roman"/>
          <w:color w:val="auto"/>
          <w:highlight w:val="none"/>
        </w:rPr>
      </w:pPr>
      <w:bookmarkStart w:id="1216" w:name="_Toc152045787"/>
      <w:bookmarkStart w:id="1217" w:name="_Toc247527827"/>
      <w:bookmarkStart w:id="1218" w:name="_Toc300835209"/>
      <w:bookmarkStart w:id="1219" w:name="_Toc144974856"/>
      <w:bookmarkStart w:id="1220" w:name="_Toc152042576"/>
      <w:bookmarkStart w:id="1221" w:name="_Toc247514246"/>
      <w:r>
        <w:rPr>
          <w:rFonts w:hint="eastAsia" w:ascii="Times New Roman" w:hAnsi="Times New Roman"/>
          <w:color w:val="auto"/>
          <w:highlight w:val="none"/>
        </w:rPr>
        <w:t>目    录</w:t>
      </w:r>
      <w:bookmarkEnd w:id="1216"/>
      <w:bookmarkEnd w:id="1217"/>
      <w:bookmarkEnd w:id="1218"/>
      <w:bookmarkEnd w:id="1219"/>
      <w:bookmarkEnd w:id="1220"/>
      <w:bookmarkEnd w:id="1221"/>
    </w:p>
    <w:p>
      <w:pPr>
        <w:spacing w:line="540" w:lineRule="exact"/>
        <w:rPr>
          <w:rFonts w:hint="eastAsia"/>
          <w:color w:val="auto"/>
          <w:highlight w:val="none"/>
        </w:rPr>
      </w:pPr>
    </w:p>
    <w:p>
      <w:pPr>
        <w:spacing w:line="540" w:lineRule="exact"/>
        <w:rPr>
          <w:color w:val="auto"/>
          <w:highlight w:val="none"/>
        </w:rPr>
      </w:pPr>
      <w:r>
        <w:rPr>
          <w:rFonts w:hint="eastAsia"/>
          <w:color w:val="auto"/>
          <w:highlight w:val="none"/>
        </w:rPr>
        <w:t>一、投标函及投标函附录</w:t>
      </w:r>
    </w:p>
    <w:p>
      <w:pPr>
        <w:spacing w:line="540" w:lineRule="exact"/>
        <w:rPr>
          <w:color w:val="auto"/>
          <w:highlight w:val="none"/>
        </w:rPr>
      </w:pPr>
      <w:r>
        <w:rPr>
          <w:rFonts w:hint="eastAsia"/>
          <w:color w:val="auto"/>
          <w:highlight w:val="none"/>
        </w:rPr>
        <w:t>二、法定代表人身份证明或授权委托书</w:t>
      </w:r>
    </w:p>
    <w:p>
      <w:pPr>
        <w:spacing w:line="540" w:lineRule="exact"/>
        <w:rPr>
          <w:color w:val="auto"/>
          <w:highlight w:val="none"/>
        </w:rPr>
      </w:pPr>
      <w:r>
        <w:rPr>
          <w:rFonts w:hint="eastAsia"/>
          <w:color w:val="auto"/>
          <w:highlight w:val="none"/>
        </w:rPr>
        <w:t>三、联合体协议书</w:t>
      </w:r>
    </w:p>
    <w:p>
      <w:pPr>
        <w:spacing w:line="540" w:lineRule="exact"/>
        <w:rPr>
          <w:color w:val="auto"/>
          <w:highlight w:val="none"/>
        </w:rPr>
      </w:pPr>
      <w:r>
        <w:rPr>
          <w:rFonts w:hint="eastAsia"/>
          <w:color w:val="auto"/>
          <w:highlight w:val="none"/>
        </w:rPr>
        <w:t xml:space="preserve">四、投标保证金 </w:t>
      </w:r>
    </w:p>
    <w:p>
      <w:pPr>
        <w:spacing w:line="540" w:lineRule="exact"/>
        <w:rPr>
          <w:color w:val="auto"/>
          <w:highlight w:val="none"/>
        </w:rPr>
      </w:pPr>
      <w:r>
        <w:rPr>
          <w:rFonts w:hint="eastAsia"/>
          <w:color w:val="auto"/>
          <w:highlight w:val="none"/>
        </w:rPr>
        <w:t>五、价格清单</w:t>
      </w:r>
    </w:p>
    <w:p>
      <w:pPr>
        <w:spacing w:line="540" w:lineRule="exact"/>
        <w:rPr>
          <w:color w:val="auto"/>
          <w:highlight w:val="none"/>
        </w:rPr>
      </w:pPr>
      <w:r>
        <w:rPr>
          <w:rFonts w:hint="eastAsia"/>
          <w:color w:val="auto"/>
          <w:highlight w:val="none"/>
        </w:rPr>
        <w:t>六、承包人建议书</w:t>
      </w:r>
    </w:p>
    <w:p>
      <w:pPr>
        <w:spacing w:line="540" w:lineRule="exact"/>
        <w:rPr>
          <w:rFonts w:hint="eastAsia"/>
          <w:color w:val="auto"/>
          <w:highlight w:val="none"/>
        </w:rPr>
      </w:pPr>
      <w:r>
        <w:rPr>
          <w:rFonts w:hint="eastAsia"/>
          <w:color w:val="auto"/>
          <w:highlight w:val="none"/>
        </w:rPr>
        <w:t>七、承包人实施方案</w:t>
      </w:r>
    </w:p>
    <w:p>
      <w:pPr>
        <w:spacing w:line="540" w:lineRule="exact"/>
        <w:rPr>
          <w:color w:val="auto"/>
          <w:highlight w:val="none"/>
        </w:rPr>
      </w:pPr>
      <w:r>
        <w:rPr>
          <w:rFonts w:hint="eastAsia"/>
          <w:color w:val="auto"/>
          <w:highlight w:val="none"/>
        </w:rPr>
        <w:t>八、资格审查资料</w:t>
      </w:r>
    </w:p>
    <w:p>
      <w:pPr>
        <w:spacing w:line="540" w:lineRule="exact"/>
        <w:rPr>
          <w:color w:val="auto"/>
          <w:highlight w:val="none"/>
        </w:rPr>
      </w:pPr>
      <w:r>
        <w:rPr>
          <w:rFonts w:hint="eastAsia"/>
          <w:color w:val="auto"/>
          <w:highlight w:val="none"/>
        </w:rPr>
        <w:t>九、其他资料</w:t>
      </w:r>
    </w:p>
    <w:p>
      <w:pPr>
        <w:spacing w:line="540" w:lineRule="exact"/>
        <w:rPr>
          <w:color w:val="auto"/>
          <w:highlight w:val="none"/>
        </w:rPr>
      </w:pPr>
      <w:r>
        <w:rPr>
          <w:color w:val="auto"/>
          <w:highlight w:val="none"/>
        </w:rPr>
        <w:t xml:space="preserve"> </w:t>
      </w:r>
    </w:p>
    <w:p>
      <w:pPr>
        <w:spacing w:line="540" w:lineRule="exact"/>
        <w:rPr>
          <w:rFonts w:hint="eastAsia" w:ascii="Times New Roman" w:hAnsi="Times New Roman"/>
          <w:color w:val="auto"/>
          <w:sz w:val="24"/>
          <w:highlight w:val="none"/>
        </w:rPr>
      </w:pPr>
      <w:r>
        <w:rPr>
          <w:rFonts w:hint="eastAsia" w:ascii="Times New Roman" w:hAnsi="Times New Roman"/>
          <w:color w:val="auto"/>
          <w:sz w:val="24"/>
          <w:highlight w:val="none"/>
        </w:rPr>
        <w:t>注：投标文件不需要编制页码。</w:t>
      </w: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540" w:lineRule="exact"/>
        <w:rPr>
          <w:rFonts w:eastAsia="黑体"/>
          <w:color w:val="auto"/>
          <w:sz w:val="20"/>
          <w:szCs w:val="20"/>
          <w:highlight w:val="none"/>
        </w:rPr>
      </w:pPr>
    </w:p>
    <w:p>
      <w:pPr>
        <w:spacing w:line="540" w:lineRule="exact"/>
        <w:rPr>
          <w:rFonts w:ascii="Times New Roman" w:hAnsi="Times New Roman" w:eastAsia="黑体"/>
          <w:color w:val="auto"/>
          <w:sz w:val="20"/>
          <w:szCs w:val="20"/>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p>
    <w:p>
      <w:pPr>
        <w:pStyle w:val="3"/>
        <w:spacing w:line="360" w:lineRule="auto"/>
        <w:jc w:val="center"/>
        <w:rPr>
          <w:rFonts w:ascii="Times New Roman" w:hAnsi="Times New Roman"/>
          <w:color w:val="auto"/>
          <w:sz w:val="20"/>
          <w:szCs w:val="20"/>
          <w:highlight w:val="none"/>
        </w:rPr>
      </w:pPr>
      <w:bookmarkStart w:id="1222" w:name="_Toc144974857"/>
      <w:bookmarkStart w:id="1223" w:name="_Toc152045788"/>
      <w:bookmarkStart w:id="1224" w:name="_Toc152042577"/>
      <w:bookmarkStart w:id="1225" w:name="_Toc247527828"/>
      <w:bookmarkStart w:id="1226" w:name="_Toc247514247"/>
      <w:bookmarkStart w:id="1227" w:name="_Toc300835210"/>
      <w:r>
        <w:rPr>
          <w:rFonts w:hint="eastAsia" w:ascii="Times New Roman" w:hAnsi="Times New Roman" w:eastAsia="宋体"/>
          <w:bCs w:val="0"/>
          <w:color w:val="auto"/>
          <w:kern w:val="44"/>
          <w:sz w:val="28"/>
          <w:szCs w:val="28"/>
          <w:highlight w:val="none"/>
        </w:rPr>
        <w:t>一、投标函及投标函附录</w:t>
      </w:r>
      <w:bookmarkEnd w:id="1222"/>
      <w:bookmarkEnd w:id="1223"/>
      <w:bookmarkEnd w:id="1224"/>
      <w:bookmarkEnd w:id="1225"/>
      <w:bookmarkEnd w:id="1226"/>
      <w:bookmarkEnd w:id="1227"/>
    </w:p>
    <w:p>
      <w:pPr>
        <w:pStyle w:val="4"/>
        <w:spacing w:line="360" w:lineRule="auto"/>
        <w:ind w:firstLine="3245" w:firstLineChars="1347"/>
        <w:rPr>
          <w:rFonts w:ascii="Times New Roman" w:hAnsi="Times New Roman"/>
          <w:color w:val="auto"/>
          <w:sz w:val="20"/>
          <w:szCs w:val="20"/>
          <w:highlight w:val="none"/>
        </w:rPr>
      </w:pPr>
      <w:bookmarkStart w:id="1228" w:name="_Toc152042578"/>
      <w:bookmarkStart w:id="1229" w:name="_Toc247514248"/>
      <w:bookmarkStart w:id="1230" w:name="_Toc300835211"/>
      <w:bookmarkStart w:id="1231" w:name="_Toc152045789"/>
      <w:bookmarkStart w:id="1232" w:name="_Toc144974858"/>
      <w:bookmarkStart w:id="1233" w:name="_Toc247527829"/>
      <w:r>
        <w:rPr>
          <w:rFonts w:ascii="Times New Roman" w:hAnsi="Times New Roman" w:eastAsia="宋体"/>
          <w:b/>
          <w:color w:val="auto"/>
          <w:kern w:val="0"/>
          <w:sz w:val="24"/>
          <w:szCs w:val="24"/>
          <w:highlight w:val="none"/>
        </w:rPr>
        <w:t>（一）投标函</w:t>
      </w:r>
      <w:bookmarkEnd w:id="1228"/>
      <w:bookmarkEnd w:id="1229"/>
      <w:bookmarkEnd w:id="1230"/>
      <w:bookmarkEnd w:id="1231"/>
      <w:bookmarkEnd w:id="1232"/>
      <w:bookmarkEnd w:id="1233"/>
    </w:p>
    <w:p>
      <w:pPr>
        <w:spacing w:line="360" w:lineRule="auto"/>
        <w:rPr>
          <w:color w:val="auto"/>
          <w:szCs w:val="21"/>
          <w:highlight w:val="none"/>
        </w:rPr>
      </w:pPr>
      <w:r>
        <w:rPr>
          <w:color w:val="auto"/>
          <w:szCs w:val="21"/>
          <w:highlight w:val="none"/>
          <w:u w:val="single"/>
        </w:rPr>
        <w:t xml:space="preserve">                        </w:t>
      </w:r>
      <w:r>
        <w:rPr>
          <w:color w:val="auto"/>
          <w:szCs w:val="21"/>
          <w:highlight w:val="none"/>
        </w:rPr>
        <w:t>（招标人名称）：</w:t>
      </w:r>
    </w:p>
    <w:p>
      <w:pPr>
        <w:spacing w:line="440" w:lineRule="exact"/>
        <w:rPr>
          <w:rFonts w:hint="eastAsia" w:ascii="Times New Roman" w:hAnsi="Times New Roman" w:cs="宋体"/>
          <w:color w:val="auto"/>
          <w:szCs w:val="21"/>
          <w:highlight w:val="none"/>
        </w:rPr>
      </w:pPr>
      <w:r>
        <w:rPr>
          <w:color w:val="auto"/>
          <w:szCs w:val="21"/>
          <w:highlight w:val="none"/>
        </w:rPr>
        <w:t>1．我方已仔细研究了</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（项目名称）</w:t>
      </w:r>
      <w:r>
        <w:rPr>
          <w:rFonts w:hint="eastAsia"/>
          <w:color w:val="auto"/>
          <w:szCs w:val="21"/>
          <w:highlight w:val="none"/>
        </w:rPr>
        <w:t>设计施工总承包</w:t>
      </w:r>
      <w:r>
        <w:rPr>
          <w:rFonts w:hint="eastAsia"/>
          <w:color w:val="auto"/>
          <w:szCs w:val="21"/>
          <w:highlight w:val="none"/>
          <w:u w:val="single"/>
        </w:rPr>
        <w:t xml:space="preserve">    </w:t>
      </w:r>
      <w:r>
        <w:rPr>
          <w:rFonts w:hint="eastAsia"/>
          <w:color w:val="auto"/>
          <w:szCs w:val="21"/>
          <w:highlight w:val="none"/>
        </w:rPr>
        <w:t>标段</w:t>
      </w:r>
      <w:r>
        <w:rPr>
          <w:color w:val="auto"/>
          <w:szCs w:val="21"/>
          <w:highlight w:val="none"/>
        </w:rPr>
        <w:t>招标文件的全部内容，愿意</w:t>
      </w:r>
      <w:r>
        <w:rPr>
          <w:rFonts w:hint="eastAsia"/>
          <w:color w:val="auto"/>
          <w:szCs w:val="21"/>
          <w:highlight w:val="none"/>
        </w:rPr>
        <w:t>以口</w:t>
      </w:r>
      <w:r>
        <w:rPr>
          <w:rFonts w:hint="eastAsia"/>
          <w:color w:val="auto"/>
          <w:szCs w:val="21"/>
          <w:highlight w:val="none"/>
          <w:lang w:val="en-US" w:eastAsia="zh-CN"/>
        </w:rPr>
        <w:t>_______</w:t>
      </w:r>
      <w:r>
        <w:rPr>
          <w:rFonts w:hint="eastAsia"/>
          <w:color w:val="auto"/>
          <w:szCs w:val="21"/>
          <w:highlight w:val="none"/>
        </w:rPr>
        <w:t>的投标报价(适用于总价合同方式)口</w:t>
      </w:r>
      <w:r>
        <w:rPr>
          <w:rFonts w:hint="eastAsia"/>
          <w:color w:val="auto"/>
          <w:szCs w:val="21"/>
          <w:highlight w:val="none"/>
          <w:lang w:val="en-US" w:eastAsia="zh-CN"/>
        </w:rPr>
        <w:t>______</w:t>
      </w:r>
      <w:r>
        <w:rPr>
          <w:rFonts w:hint="eastAsia"/>
          <w:color w:val="auto"/>
          <w:szCs w:val="21"/>
          <w:highlight w:val="none"/>
        </w:rPr>
        <w:t>的投标报价</w:t>
      </w:r>
      <w:r>
        <w:rPr>
          <w:rFonts w:hint="eastAsia"/>
          <w:color w:val="auto"/>
          <w:szCs w:val="21"/>
          <w:highlight w:val="none"/>
          <w:lang w:eastAsia="zh-CN"/>
        </w:rPr>
        <w:t>【</w:t>
      </w:r>
      <w:r>
        <w:rPr>
          <w:rFonts w:hint="eastAsia"/>
          <w:color w:val="auto"/>
          <w:szCs w:val="21"/>
          <w:highlight w:val="none"/>
        </w:rPr>
        <w:t>其中总价部分__元，单价部分_元</w:t>
      </w:r>
      <w:r>
        <w:rPr>
          <w:rFonts w:hint="eastAsia"/>
          <w:color w:val="auto"/>
          <w:szCs w:val="21"/>
          <w:highlight w:val="none"/>
          <w:lang w:eastAsia="zh-CN"/>
        </w:rPr>
        <w:t>】</w:t>
      </w:r>
      <w:r>
        <w:rPr>
          <w:rFonts w:hint="eastAsia"/>
          <w:color w:val="auto"/>
          <w:szCs w:val="21"/>
          <w:highlight w:val="none"/>
        </w:rPr>
        <w:t>(适用于总价与单价组合式合同方式)</w:t>
      </w:r>
      <w:r>
        <w:rPr>
          <w:rFonts w:hint="eastAsia" w:ascii="Times New Roman" w:hAnsi="Times New Roman" w:cs="宋体"/>
          <w:color w:val="auto"/>
          <w:szCs w:val="21"/>
          <w:highlight w:val="none"/>
        </w:rPr>
        <w:t>，</w:t>
      </w:r>
      <w:r>
        <w:rPr>
          <w:rFonts w:hint="eastAsia"/>
          <w:color w:val="auto"/>
          <w:szCs w:val="21"/>
          <w:highlight w:val="none"/>
        </w:rPr>
        <w:t>工期</w:t>
      </w:r>
      <w:r>
        <w:rPr>
          <w:rFonts w:hint="eastAsia"/>
          <w:color w:val="auto"/>
          <w:szCs w:val="21"/>
          <w:highlight w:val="none"/>
          <w:u w:val="single"/>
        </w:rPr>
        <w:t xml:space="preserve">          </w:t>
      </w:r>
      <w:r>
        <w:rPr>
          <w:rFonts w:hint="eastAsia"/>
          <w:color w:val="auto"/>
          <w:szCs w:val="21"/>
          <w:highlight w:val="none"/>
        </w:rPr>
        <w:t xml:space="preserve"> ，</w:t>
      </w:r>
      <w:r>
        <w:rPr>
          <w:rFonts w:hint="eastAsia" w:ascii="Times New Roman" w:hAnsi="Times New Roman" w:cs="宋体"/>
          <w:color w:val="auto"/>
          <w:szCs w:val="21"/>
          <w:highlight w:val="none"/>
        </w:rPr>
        <w:t>设计质量标准：</w:t>
      </w:r>
      <w:r>
        <w:rPr>
          <w:rFonts w:hint="eastAsia" w:ascii="Times New Roman" w:hAnsi="Times New Roman" w:cs="宋体"/>
          <w:bCs/>
          <w:color w:val="auto"/>
          <w:szCs w:val="21"/>
          <w:highlight w:val="none"/>
          <w:u w:val="single"/>
        </w:rPr>
        <w:t xml:space="preserve">           </w:t>
      </w:r>
      <w:r>
        <w:rPr>
          <w:rFonts w:hint="eastAsia" w:ascii="Times New Roman" w:hAnsi="Times New Roman" w:cs="宋体"/>
          <w:bCs/>
          <w:color w:val="auto"/>
          <w:szCs w:val="21"/>
          <w:highlight w:val="none"/>
        </w:rPr>
        <w:t>，</w:t>
      </w:r>
      <w:r>
        <w:rPr>
          <w:rFonts w:hint="eastAsia" w:ascii="Times New Roman" w:hAnsi="Times New Roman" w:cs="宋体"/>
          <w:color w:val="auto"/>
          <w:szCs w:val="21"/>
          <w:highlight w:val="none"/>
        </w:rPr>
        <w:t>施工质量标准：</w:t>
      </w:r>
      <w:r>
        <w:rPr>
          <w:rFonts w:hint="eastAsia" w:ascii="Times New Roman" w:hAnsi="Times New Roman" w:cs="宋体"/>
          <w:bCs/>
          <w:color w:val="auto"/>
          <w:szCs w:val="21"/>
          <w:highlight w:val="none"/>
          <w:u w:val="single"/>
        </w:rPr>
        <w:t xml:space="preserve">           </w:t>
      </w:r>
      <w:r>
        <w:rPr>
          <w:rFonts w:hint="eastAsia" w:ascii="Times New Roman" w:hAnsi="Times New Roman" w:cs="宋体"/>
          <w:bCs/>
          <w:color w:val="auto"/>
          <w:szCs w:val="21"/>
          <w:highlight w:val="none"/>
        </w:rPr>
        <w:t>，</w:t>
      </w:r>
      <w:r>
        <w:rPr>
          <w:rFonts w:hint="eastAsia" w:ascii="Times New Roman" w:hAnsi="Times New Roman" w:cs="宋体"/>
          <w:color w:val="auto"/>
          <w:szCs w:val="21"/>
          <w:highlight w:val="none"/>
        </w:rPr>
        <w:t>按合同约定进行设计、实施和竣工承包工程，修补工程中的任何缺陷，实现工程目的。</w:t>
      </w:r>
    </w:p>
    <w:p>
      <w:pPr>
        <w:spacing w:line="360" w:lineRule="auto"/>
        <w:ind w:firstLine="420" w:firstLineChars="200"/>
        <w:rPr>
          <w:color w:val="auto"/>
          <w:szCs w:val="21"/>
          <w:highlight w:val="none"/>
        </w:rPr>
      </w:pPr>
      <w:r>
        <w:rPr>
          <w:color w:val="auto"/>
          <w:szCs w:val="21"/>
          <w:highlight w:val="none"/>
        </w:rPr>
        <w:t>2．我方承诺在</w:t>
      </w:r>
      <w:r>
        <w:rPr>
          <w:rFonts w:hint="eastAsia"/>
          <w:color w:val="auto"/>
          <w:szCs w:val="21"/>
          <w:highlight w:val="none"/>
        </w:rPr>
        <w:t>招标文件规定的</w:t>
      </w:r>
      <w:r>
        <w:rPr>
          <w:color w:val="auto"/>
          <w:szCs w:val="21"/>
          <w:highlight w:val="none"/>
        </w:rPr>
        <w:t>投标有效期内不修改、撤销投标文件</w:t>
      </w:r>
      <w:r>
        <w:rPr>
          <w:rFonts w:hint="eastAsia"/>
          <w:color w:val="auto"/>
          <w:szCs w:val="21"/>
          <w:highlight w:val="none"/>
        </w:rPr>
        <w:t>。</w:t>
      </w:r>
    </w:p>
    <w:p>
      <w:pPr>
        <w:spacing w:line="360" w:lineRule="auto"/>
        <w:ind w:firstLine="420" w:firstLineChars="200"/>
        <w:rPr>
          <w:color w:val="auto"/>
          <w:szCs w:val="21"/>
          <w:highlight w:val="none"/>
        </w:rPr>
      </w:pPr>
      <w:r>
        <w:rPr>
          <w:color w:val="auto"/>
          <w:szCs w:val="21"/>
          <w:highlight w:val="none"/>
        </w:rPr>
        <w:t>3．随同本投标函提交投标保证金一份，金额为人民币（大写）</w:t>
      </w:r>
      <w:r>
        <w:rPr>
          <w:color w:val="auto"/>
          <w:szCs w:val="21"/>
          <w:highlight w:val="none"/>
          <w:u w:val="single"/>
        </w:rPr>
        <w:t xml:space="preserve">        </w:t>
      </w:r>
      <w:r>
        <w:rPr>
          <w:color w:val="auto"/>
          <w:szCs w:val="21"/>
          <w:highlight w:val="none"/>
        </w:rPr>
        <w:t>（¥</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 xml:space="preserve"> ）。</w:t>
      </w:r>
    </w:p>
    <w:p>
      <w:pPr>
        <w:spacing w:line="360" w:lineRule="auto"/>
        <w:ind w:firstLine="420" w:firstLineChars="200"/>
        <w:rPr>
          <w:color w:val="auto"/>
          <w:szCs w:val="21"/>
          <w:highlight w:val="none"/>
        </w:rPr>
      </w:pPr>
      <w:r>
        <w:rPr>
          <w:color w:val="auto"/>
          <w:szCs w:val="21"/>
          <w:highlight w:val="none"/>
        </w:rPr>
        <w:t>4．如我方中标：</w:t>
      </w:r>
    </w:p>
    <w:p>
      <w:pPr>
        <w:spacing w:line="360" w:lineRule="auto"/>
        <w:ind w:firstLine="718" w:firstLineChars="342"/>
        <w:rPr>
          <w:color w:val="auto"/>
          <w:szCs w:val="21"/>
          <w:highlight w:val="none"/>
        </w:rPr>
      </w:pPr>
      <w:r>
        <w:rPr>
          <w:color w:val="auto"/>
          <w:szCs w:val="21"/>
          <w:highlight w:val="none"/>
        </w:rPr>
        <w:t>（1）我方承诺在收到中标通知书后，在中标通知书规定的期限内与你方签订合同。</w:t>
      </w:r>
    </w:p>
    <w:p>
      <w:pPr>
        <w:spacing w:line="360" w:lineRule="auto"/>
        <w:ind w:firstLine="718" w:firstLineChars="342"/>
        <w:rPr>
          <w:color w:val="auto"/>
          <w:szCs w:val="21"/>
          <w:highlight w:val="none"/>
        </w:rPr>
      </w:pPr>
      <w:r>
        <w:rPr>
          <w:color w:val="auto"/>
          <w:szCs w:val="21"/>
          <w:highlight w:val="none"/>
        </w:rPr>
        <w:t>（2）随同本投标函递交的投标函附录属于合同文件的组成部分。</w:t>
      </w:r>
    </w:p>
    <w:p>
      <w:pPr>
        <w:spacing w:line="360" w:lineRule="auto"/>
        <w:ind w:firstLine="718" w:firstLineChars="342"/>
        <w:rPr>
          <w:color w:val="auto"/>
          <w:szCs w:val="21"/>
          <w:highlight w:val="none"/>
        </w:rPr>
      </w:pPr>
      <w:r>
        <w:rPr>
          <w:color w:val="auto"/>
          <w:szCs w:val="21"/>
          <w:highlight w:val="none"/>
        </w:rPr>
        <w:t>（3）我方承诺按照招标文件规定向你方递交履约担保。</w:t>
      </w:r>
    </w:p>
    <w:p>
      <w:pPr>
        <w:spacing w:line="360" w:lineRule="auto"/>
        <w:ind w:firstLine="718" w:firstLineChars="342"/>
        <w:rPr>
          <w:color w:val="auto"/>
          <w:highlight w:val="none"/>
        </w:rPr>
      </w:pPr>
      <w:r>
        <w:rPr>
          <w:color w:val="auto"/>
          <w:szCs w:val="21"/>
          <w:highlight w:val="none"/>
        </w:rPr>
        <w:t>（4）我方承诺在合同约定的期限内</w:t>
      </w:r>
      <w:r>
        <w:rPr>
          <w:rFonts w:hint="eastAsia"/>
          <w:color w:val="auto"/>
          <w:szCs w:val="21"/>
          <w:highlight w:val="none"/>
        </w:rPr>
        <w:t>不更换项目经理、施工负责人，</w:t>
      </w:r>
      <w:r>
        <w:rPr>
          <w:rFonts w:hint="eastAsia"/>
          <w:color w:val="auto"/>
          <w:highlight w:val="none"/>
        </w:rPr>
        <w:t>因特殊情况确需更换的，应征得你方同意，且更换后的人员不低于原投标承诺人员所具有的资格和条件，否则</w:t>
      </w:r>
      <w:r>
        <w:rPr>
          <w:rFonts w:hint="eastAsia"/>
          <w:color w:val="auto"/>
          <w:szCs w:val="21"/>
          <w:highlight w:val="none"/>
        </w:rPr>
        <w:t>愿意承担相应违约责任。</w:t>
      </w:r>
    </w:p>
    <w:p>
      <w:pPr>
        <w:spacing w:line="360" w:lineRule="auto"/>
        <w:ind w:firstLine="718" w:firstLineChars="342"/>
        <w:rPr>
          <w:rFonts w:hint="eastAsia"/>
          <w:color w:val="auto"/>
          <w:szCs w:val="21"/>
          <w:highlight w:val="none"/>
        </w:rPr>
      </w:pPr>
      <w:r>
        <w:rPr>
          <w:rFonts w:hint="eastAsia"/>
          <w:color w:val="auto"/>
          <w:szCs w:val="21"/>
          <w:highlight w:val="none"/>
        </w:rPr>
        <w:t>（5）</w:t>
      </w:r>
      <w:r>
        <w:rPr>
          <w:color w:val="auto"/>
          <w:szCs w:val="21"/>
          <w:highlight w:val="none"/>
        </w:rPr>
        <w:t>我方承诺在合同约定的期限内完成并移交全部合同工程。</w:t>
      </w:r>
    </w:p>
    <w:p>
      <w:pPr>
        <w:spacing w:line="360" w:lineRule="auto"/>
        <w:ind w:firstLine="420" w:firstLineChars="200"/>
        <w:rPr>
          <w:rFonts w:hint="eastAsia"/>
          <w:color w:val="auto"/>
          <w:szCs w:val="21"/>
          <w:highlight w:val="none"/>
        </w:rPr>
      </w:pPr>
      <w:r>
        <w:rPr>
          <w:color w:val="auto"/>
          <w:szCs w:val="21"/>
          <w:highlight w:val="none"/>
        </w:rPr>
        <w:t>5．</w:t>
      </w:r>
      <w:r>
        <w:rPr>
          <w:rFonts w:hint="eastAsia"/>
          <w:color w:val="auto"/>
          <w:szCs w:val="21"/>
          <w:highlight w:val="none"/>
        </w:rPr>
        <w:t>我方在此声明，所递交的投标文件（包括有关资料、澄清）真实可信，不存在弄虚作假或隐瞒。</w:t>
      </w:r>
    </w:p>
    <w:p>
      <w:pPr>
        <w:spacing w:line="360" w:lineRule="auto"/>
        <w:ind w:firstLine="420" w:firstLineChars="200"/>
        <w:rPr>
          <w:rFonts w:hint="eastAsia"/>
          <w:color w:val="auto"/>
          <w:szCs w:val="21"/>
          <w:highlight w:val="none"/>
        </w:rPr>
      </w:pPr>
      <w:r>
        <w:rPr>
          <w:rFonts w:hint="eastAsia"/>
          <w:color w:val="auto"/>
          <w:szCs w:val="21"/>
          <w:highlight w:val="none"/>
        </w:rPr>
        <w:t>经我方认真核查，本投标人不存在招标文件第二章“投标人须知”第1.4.3项和第1.4.4项规定的任何一种情形。</w:t>
      </w:r>
    </w:p>
    <w:p>
      <w:pPr>
        <w:spacing w:line="360" w:lineRule="auto"/>
        <w:ind w:firstLine="420" w:firstLineChars="200"/>
        <w:rPr>
          <w:color w:val="auto"/>
          <w:szCs w:val="21"/>
          <w:highlight w:val="none"/>
        </w:rPr>
      </w:pPr>
      <w:r>
        <w:rPr>
          <w:rFonts w:hint="eastAsia"/>
          <w:color w:val="auto"/>
          <w:szCs w:val="21"/>
          <w:highlight w:val="none"/>
        </w:rPr>
        <w:t>6．</w:t>
      </w:r>
      <w:r>
        <w:rPr>
          <w:color w:val="auto"/>
          <w:szCs w:val="21"/>
          <w:highlight w:val="none"/>
          <w:u w:val="single"/>
        </w:rPr>
        <w:t xml:space="preserve">                                       （</w:t>
      </w:r>
      <w:r>
        <w:rPr>
          <w:rFonts w:hint="eastAsia"/>
          <w:color w:val="auto"/>
          <w:szCs w:val="21"/>
          <w:highlight w:val="none"/>
          <w:u w:val="single"/>
        </w:rPr>
        <w:t>其他</w:t>
      </w:r>
      <w:r>
        <w:rPr>
          <w:color w:val="auto"/>
          <w:szCs w:val="21"/>
          <w:highlight w:val="none"/>
          <w:u w:val="single"/>
        </w:rPr>
        <w:t>补充说明）</w:t>
      </w:r>
      <w:r>
        <w:rPr>
          <w:color w:val="auto"/>
          <w:szCs w:val="21"/>
          <w:highlight w:val="none"/>
        </w:rPr>
        <w:t>。</w:t>
      </w:r>
    </w:p>
    <w:p>
      <w:pPr>
        <w:spacing w:line="360" w:lineRule="auto"/>
        <w:ind w:firstLine="3780" w:firstLineChars="1800"/>
        <w:rPr>
          <w:color w:val="auto"/>
          <w:szCs w:val="21"/>
          <w:highlight w:val="none"/>
        </w:rPr>
      </w:pPr>
      <w:r>
        <w:rPr>
          <w:color w:val="auto"/>
          <w:szCs w:val="21"/>
          <w:highlight w:val="none"/>
        </w:rPr>
        <w:t>投 标 人：</w:t>
      </w:r>
      <w:r>
        <w:rPr>
          <w:color w:val="auto"/>
          <w:szCs w:val="21"/>
          <w:highlight w:val="none"/>
          <w:u w:val="single"/>
        </w:rPr>
        <w:t xml:space="preserve">                      </w:t>
      </w:r>
      <w:r>
        <w:rPr>
          <w:color w:val="auto"/>
          <w:szCs w:val="21"/>
          <w:highlight w:val="none"/>
        </w:rPr>
        <w:t>（盖单位章）</w:t>
      </w:r>
    </w:p>
    <w:p>
      <w:pPr>
        <w:spacing w:line="360" w:lineRule="auto"/>
        <w:ind w:firstLine="3675" w:firstLineChars="1750"/>
        <w:rPr>
          <w:color w:val="auto"/>
          <w:szCs w:val="21"/>
          <w:highlight w:val="none"/>
        </w:rPr>
      </w:pPr>
      <w:r>
        <w:rPr>
          <w:color w:val="auto"/>
          <w:szCs w:val="21"/>
          <w:highlight w:val="none"/>
        </w:rPr>
        <w:t>法定代表人或其委托代理人：</w:t>
      </w:r>
      <w:r>
        <w:rPr>
          <w:color w:val="auto"/>
          <w:szCs w:val="21"/>
          <w:highlight w:val="none"/>
          <w:u w:val="single"/>
        </w:rPr>
        <w:t xml:space="preserve">      </w:t>
      </w:r>
      <w:r>
        <w:rPr>
          <w:rFonts w:hint="eastAsia"/>
          <w:color w:val="auto"/>
          <w:szCs w:val="21"/>
          <w:highlight w:val="none"/>
          <w:u w:val="single"/>
        </w:rPr>
        <w:t xml:space="preserve">   </w:t>
      </w:r>
      <w:r>
        <w:rPr>
          <w:color w:val="auto"/>
          <w:szCs w:val="21"/>
          <w:highlight w:val="none"/>
          <w:u w:val="single"/>
        </w:rPr>
        <w:t xml:space="preserve"> </w:t>
      </w:r>
      <w:r>
        <w:rPr>
          <w:color w:val="auto"/>
          <w:szCs w:val="21"/>
          <w:highlight w:val="none"/>
        </w:rPr>
        <w:t>（签字）</w:t>
      </w:r>
    </w:p>
    <w:p>
      <w:pPr>
        <w:spacing w:line="360" w:lineRule="auto"/>
        <w:ind w:firstLine="3675" w:firstLineChars="1750"/>
        <w:rPr>
          <w:color w:val="auto"/>
          <w:szCs w:val="21"/>
          <w:highlight w:val="none"/>
        </w:rPr>
      </w:pPr>
      <w:r>
        <w:rPr>
          <w:color w:val="auto"/>
          <w:szCs w:val="21"/>
          <w:highlight w:val="none"/>
        </w:rPr>
        <w:t>地址：</w:t>
      </w:r>
      <w:r>
        <w:rPr>
          <w:color w:val="auto"/>
          <w:szCs w:val="21"/>
          <w:highlight w:val="none"/>
          <w:u w:val="single"/>
        </w:rPr>
        <w:t xml:space="preserve">                                     </w:t>
      </w:r>
    </w:p>
    <w:p>
      <w:pPr>
        <w:spacing w:line="360" w:lineRule="auto"/>
        <w:ind w:firstLine="3675" w:firstLineChars="1750"/>
        <w:rPr>
          <w:color w:val="auto"/>
          <w:szCs w:val="21"/>
          <w:highlight w:val="none"/>
        </w:rPr>
      </w:pPr>
      <w:r>
        <w:rPr>
          <w:color w:val="auto"/>
          <w:szCs w:val="21"/>
          <w:highlight w:val="none"/>
        </w:rPr>
        <w:t>网址：</w:t>
      </w:r>
      <w:r>
        <w:rPr>
          <w:color w:val="auto"/>
          <w:szCs w:val="21"/>
          <w:highlight w:val="none"/>
          <w:u w:val="single"/>
        </w:rPr>
        <w:t xml:space="preserve">                                     </w:t>
      </w:r>
    </w:p>
    <w:p>
      <w:pPr>
        <w:spacing w:line="360" w:lineRule="auto"/>
        <w:ind w:firstLine="3675" w:firstLineChars="1750"/>
        <w:rPr>
          <w:color w:val="auto"/>
          <w:szCs w:val="21"/>
          <w:highlight w:val="none"/>
        </w:rPr>
      </w:pPr>
      <w:r>
        <w:rPr>
          <w:color w:val="auto"/>
          <w:szCs w:val="21"/>
          <w:highlight w:val="none"/>
        </w:rPr>
        <w:t>电话：</w:t>
      </w:r>
      <w:r>
        <w:rPr>
          <w:color w:val="auto"/>
          <w:szCs w:val="21"/>
          <w:highlight w:val="none"/>
          <w:u w:val="single"/>
        </w:rPr>
        <w:t xml:space="preserve">                                     </w:t>
      </w:r>
    </w:p>
    <w:p>
      <w:pPr>
        <w:spacing w:line="360" w:lineRule="auto"/>
        <w:ind w:firstLine="3675" w:firstLineChars="1750"/>
        <w:rPr>
          <w:color w:val="auto"/>
          <w:szCs w:val="21"/>
          <w:highlight w:val="none"/>
        </w:rPr>
      </w:pPr>
      <w:r>
        <w:rPr>
          <w:color w:val="auto"/>
          <w:szCs w:val="21"/>
          <w:highlight w:val="none"/>
        </w:rPr>
        <w:t>传真：</w:t>
      </w:r>
      <w:r>
        <w:rPr>
          <w:color w:val="auto"/>
          <w:szCs w:val="21"/>
          <w:highlight w:val="none"/>
          <w:u w:val="single"/>
        </w:rPr>
        <w:t xml:space="preserve">                                     </w:t>
      </w:r>
    </w:p>
    <w:p>
      <w:pPr>
        <w:spacing w:line="360" w:lineRule="auto"/>
        <w:ind w:firstLine="3675" w:firstLineChars="1750"/>
        <w:rPr>
          <w:color w:val="auto"/>
          <w:szCs w:val="21"/>
          <w:highlight w:val="none"/>
        </w:rPr>
      </w:pPr>
      <w:r>
        <w:rPr>
          <w:color w:val="auto"/>
          <w:szCs w:val="21"/>
          <w:highlight w:val="none"/>
        </w:rPr>
        <w:t>邮政编码：</w:t>
      </w:r>
      <w:r>
        <w:rPr>
          <w:color w:val="auto"/>
          <w:szCs w:val="21"/>
          <w:highlight w:val="none"/>
          <w:u w:val="single"/>
        </w:rPr>
        <w:t xml:space="preserve">                                 </w:t>
      </w:r>
    </w:p>
    <w:p>
      <w:pPr>
        <w:spacing w:line="360" w:lineRule="auto"/>
        <w:ind w:firstLine="4725" w:firstLineChars="2250"/>
        <w:rPr>
          <w:color w:val="auto"/>
          <w:szCs w:val="21"/>
          <w:highlight w:val="none"/>
        </w:rPr>
      </w:pPr>
      <w:r>
        <w:rPr>
          <w:color w:val="auto"/>
          <w:szCs w:val="21"/>
          <w:highlight w:val="none"/>
          <w:u w:val="single"/>
        </w:rPr>
        <w:t xml:space="preserve">      </w:t>
      </w:r>
      <w:r>
        <w:rPr>
          <w:color w:val="auto"/>
          <w:szCs w:val="21"/>
          <w:highlight w:val="none"/>
        </w:rPr>
        <w:t>年</w:t>
      </w:r>
      <w:r>
        <w:rPr>
          <w:color w:val="auto"/>
          <w:szCs w:val="21"/>
          <w:highlight w:val="none"/>
          <w:u w:val="single"/>
        </w:rPr>
        <w:t xml:space="preserve">      </w:t>
      </w:r>
      <w:r>
        <w:rPr>
          <w:color w:val="auto"/>
          <w:szCs w:val="21"/>
          <w:highlight w:val="none"/>
        </w:rPr>
        <w:t>月</w:t>
      </w:r>
      <w:r>
        <w:rPr>
          <w:color w:val="auto"/>
          <w:szCs w:val="21"/>
          <w:highlight w:val="none"/>
          <w:u w:val="single"/>
        </w:rPr>
        <w:t xml:space="preserve">      </w:t>
      </w:r>
      <w:r>
        <w:rPr>
          <w:color w:val="auto"/>
          <w:szCs w:val="21"/>
          <w:highlight w:val="none"/>
        </w:rPr>
        <w:t>日</w:t>
      </w:r>
    </w:p>
    <w:p>
      <w:pPr>
        <w:pStyle w:val="4"/>
        <w:spacing w:line="360" w:lineRule="auto"/>
        <w:ind w:firstLine="3245" w:firstLineChars="1347"/>
        <w:rPr>
          <w:rFonts w:ascii="Times New Roman" w:hAnsi="Times New Roman" w:eastAsia="宋体"/>
          <w:b/>
          <w:color w:val="auto"/>
          <w:kern w:val="0"/>
          <w:sz w:val="24"/>
          <w:szCs w:val="24"/>
          <w:highlight w:val="none"/>
        </w:rPr>
      </w:pPr>
      <w:bookmarkStart w:id="1234" w:name="_Toc247514249"/>
      <w:bookmarkStart w:id="1235" w:name="_Toc300835212"/>
      <w:bookmarkStart w:id="1236" w:name="_Toc144974859"/>
      <w:bookmarkStart w:id="1237" w:name="_Toc247527830"/>
      <w:bookmarkStart w:id="1238" w:name="_Toc152045790"/>
      <w:bookmarkStart w:id="1239" w:name="_Toc152042579"/>
      <w:r>
        <w:rPr>
          <w:rFonts w:ascii="Times New Roman" w:hAnsi="Times New Roman" w:eastAsia="宋体"/>
          <w:b/>
          <w:color w:val="auto"/>
          <w:kern w:val="0"/>
          <w:sz w:val="24"/>
          <w:szCs w:val="24"/>
          <w:highlight w:val="none"/>
        </w:rPr>
        <w:t>（二）投标函附录</w:t>
      </w:r>
      <w:bookmarkEnd w:id="1234"/>
      <w:bookmarkEnd w:id="1235"/>
      <w:bookmarkEnd w:id="1236"/>
      <w:bookmarkEnd w:id="1237"/>
      <w:bookmarkEnd w:id="1238"/>
      <w:bookmarkEnd w:id="1239"/>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5"/>
        <w:gridCol w:w="2623"/>
        <w:gridCol w:w="3069"/>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序号</w:t>
            </w:r>
          </w:p>
        </w:tc>
        <w:tc>
          <w:tcPr>
            <w:tcW w:w="2623" w:type="dxa"/>
            <w:noWrap w:val="0"/>
            <w:vAlign w:val="center"/>
          </w:tcPr>
          <w:p>
            <w:pPr>
              <w:spacing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条款名称</w:t>
            </w:r>
          </w:p>
        </w:tc>
        <w:tc>
          <w:tcPr>
            <w:tcW w:w="3069" w:type="dxa"/>
            <w:noWrap w:val="0"/>
            <w:vAlign w:val="center"/>
          </w:tcPr>
          <w:p>
            <w:pPr>
              <w:spacing w:line="360" w:lineRule="auto"/>
              <w:jc w:val="center"/>
              <w:rPr>
                <w:rFonts w:ascii="Times New Roman" w:hAnsi="Times New Roman"/>
                <w:color w:val="auto"/>
                <w:szCs w:val="21"/>
                <w:highlight w:val="none"/>
              </w:rPr>
            </w:pPr>
            <w:r>
              <w:rPr>
                <w:rFonts w:hint="eastAsia" w:ascii="Times New Roman" w:hAnsi="Times New Roman"/>
                <w:color w:val="auto"/>
                <w:szCs w:val="21"/>
                <w:highlight w:val="none"/>
              </w:rPr>
              <w:t>约定</w:t>
            </w:r>
            <w:r>
              <w:rPr>
                <w:rFonts w:ascii="Times New Roman" w:hAnsi="Times New Roman"/>
                <w:color w:val="auto"/>
                <w:szCs w:val="21"/>
                <w:highlight w:val="none"/>
              </w:rPr>
              <w:t>内容</w:t>
            </w:r>
          </w:p>
        </w:tc>
        <w:tc>
          <w:tcPr>
            <w:tcW w:w="903" w:type="dxa"/>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1</w:t>
            </w:r>
          </w:p>
        </w:tc>
        <w:tc>
          <w:tcPr>
            <w:tcW w:w="2623" w:type="dxa"/>
            <w:noWrap w:val="0"/>
            <w:vAlign w:val="center"/>
          </w:tcPr>
          <w:p>
            <w:pPr>
              <w:spacing w:line="360" w:lineRule="auto"/>
              <w:ind w:firstLine="630" w:firstLineChars="300"/>
              <w:rPr>
                <w:rFonts w:ascii="Times New Roman" w:hAnsi="Times New Roman"/>
                <w:color w:val="auto"/>
                <w:szCs w:val="21"/>
                <w:highlight w:val="none"/>
              </w:rPr>
            </w:pPr>
            <w:r>
              <w:rPr>
                <w:rFonts w:ascii="Times New Roman" w:hAnsi="Times New Roman"/>
                <w:color w:val="auto"/>
                <w:szCs w:val="21"/>
                <w:highlight w:val="none"/>
              </w:rPr>
              <w:t>项目经理</w:t>
            </w:r>
          </w:p>
        </w:tc>
        <w:tc>
          <w:tcPr>
            <w:tcW w:w="3069" w:type="dxa"/>
            <w:noWrap w:val="0"/>
            <w:vAlign w:val="center"/>
          </w:tcPr>
          <w:p>
            <w:pPr>
              <w:spacing w:line="360" w:lineRule="auto"/>
              <w:rPr>
                <w:color w:val="auto"/>
                <w:szCs w:val="21"/>
                <w:highlight w:val="none"/>
              </w:rPr>
            </w:pPr>
            <w:r>
              <w:rPr>
                <w:color w:val="auto"/>
                <w:szCs w:val="21"/>
                <w:highlight w:val="none"/>
              </w:rPr>
              <w:t xml:space="preserve">姓名：           </w:t>
            </w:r>
          </w:p>
        </w:tc>
        <w:tc>
          <w:tcPr>
            <w:tcW w:w="903" w:type="dxa"/>
            <w:noWrap w:val="0"/>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2</w:t>
            </w:r>
          </w:p>
        </w:tc>
        <w:tc>
          <w:tcPr>
            <w:tcW w:w="2623" w:type="dxa"/>
            <w:noWrap w:val="0"/>
            <w:vAlign w:val="center"/>
          </w:tcPr>
          <w:p>
            <w:pPr>
              <w:spacing w:line="360" w:lineRule="auto"/>
              <w:ind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施工负责人</w:t>
            </w:r>
          </w:p>
        </w:tc>
        <w:tc>
          <w:tcPr>
            <w:tcW w:w="3069" w:type="dxa"/>
            <w:noWrap w:val="0"/>
            <w:vAlign w:val="center"/>
          </w:tcPr>
          <w:p>
            <w:pPr>
              <w:spacing w:line="360" w:lineRule="auto"/>
              <w:rPr>
                <w:color w:val="auto"/>
                <w:szCs w:val="21"/>
                <w:highlight w:val="none"/>
              </w:rPr>
            </w:pPr>
            <w:r>
              <w:rPr>
                <w:color w:val="auto"/>
                <w:szCs w:val="21"/>
                <w:highlight w:val="none"/>
              </w:rPr>
              <w:t>姓名：</w:t>
            </w:r>
          </w:p>
        </w:tc>
        <w:tc>
          <w:tcPr>
            <w:tcW w:w="903" w:type="dxa"/>
            <w:noWrap w:val="0"/>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3</w:t>
            </w:r>
          </w:p>
        </w:tc>
        <w:tc>
          <w:tcPr>
            <w:tcW w:w="2623" w:type="dxa"/>
            <w:noWrap w:val="0"/>
            <w:vAlign w:val="center"/>
          </w:tcPr>
          <w:p>
            <w:pPr>
              <w:spacing w:line="360" w:lineRule="auto"/>
              <w:ind w:firstLine="630" w:firstLineChars="300"/>
              <w:rPr>
                <w:rFonts w:hint="eastAsia" w:ascii="Times New Roman" w:hAnsi="Times New Roman"/>
                <w:color w:val="auto"/>
                <w:szCs w:val="21"/>
                <w:highlight w:val="none"/>
              </w:rPr>
            </w:pPr>
            <w:r>
              <w:rPr>
                <w:rFonts w:hint="eastAsia" w:ascii="Times New Roman" w:hAnsi="Times New Roman"/>
                <w:color w:val="auto"/>
                <w:szCs w:val="21"/>
                <w:highlight w:val="none"/>
              </w:rPr>
              <w:t>设计负责人</w:t>
            </w:r>
          </w:p>
        </w:tc>
        <w:tc>
          <w:tcPr>
            <w:tcW w:w="3069" w:type="dxa"/>
            <w:noWrap w:val="0"/>
            <w:vAlign w:val="center"/>
          </w:tcPr>
          <w:p>
            <w:pPr>
              <w:spacing w:line="360" w:lineRule="auto"/>
              <w:rPr>
                <w:color w:val="auto"/>
                <w:szCs w:val="21"/>
                <w:highlight w:val="none"/>
              </w:rPr>
            </w:pPr>
            <w:r>
              <w:rPr>
                <w:color w:val="auto"/>
                <w:szCs w:val="21"/>
                <w:highlight w:val="none"/>
              </w:rPr>
              <w:t>姓名：</w:t>
            </w:r>
          </w:p>
        </w:tc>
        <w:tc>
          <w:tcPr>
            <w:tcW w:w="903" w:type="dxa"/>
            <w:noWrap w:val="0"/>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4</w:t>
            </w:r>
          </w:p>
        </w:tc>
        <w:tc>
          <w:tcPr>
            <w:tcW w:w="2623" w:type="dxa"/>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工期</w:t>
            </w:r>
          </w:p>
        </w:tc>
        <w:tc>
          <w:tcPr>
            <w:tcW w:w="3069" w:type="dxa"/>
            <w:noWrap w:val="0"/>
            <w:vAlign w:val="center"/>
          </w:tcPr>
          <w:p>
            <w:pPr>
              <w:spacing w:line="360" w:lineRule="auto"/>
              <w:rPr>
                <w:color w:val="auto"/>
                <w:szCs w:val="21"/>
                <w:highlight w:val="none"/>
              </w:rPr>
            </w:pPr>
            <w:r>
              <w:rPr>
                <w:color w:val="auto"/>
                <w:szCs w:val="21"/>
                <w:highlight w:val="none"/>
              </w:rPr>
              <w:t>天数：        日历天</w:t>
            </w:r>
          </w:p>
        </w:tc>
        <w:tc>
          <w:tcPr>
            <w:tcW w:w="903" w:type="dxa"/>
            <w:noWrap w:val="0"/>
            <w:vAlign w:val="center"/>
          </w:tcPr>
          <w:p>
            <w:pPr>
              <w:spacing w:line="360" w:lineRule="auto"/>
              <w:ind w:firstLine="718" w:firstLineChars="342"/>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5</w:t>
            </w:r>
          </w:p>
        </w:tc>
        <w:tc>
          <w:tcPr>
            <w:tcW w:w="2623" w:type="dxa"/>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缺陷责任期</w:t>
            </w:r>
          </w:p>
        </w:tc>
        <w:tc>
          <w:tcPr>
            <w:tcW w:w="3069" w:type="dxa"/>
            <w:noWrap w:val="0"/>
            <w:vAlign w:val="center"/>
          </w:tcPr>
          <w:p>
            <w:pPr>
              <w:spacing w:line="360" w:lineRule="auto"/>
              <w:jc w:val="center"/>
              <w:rPr>
                <w:color w:val="auto"/>
                <w:szCs w:val="21"/>
                <w:highlight w:val="none"/>
              </w:rPr>
            </w:pPr>
            <w:r>
              <w:rPr>
                <w:rFonts w:ascii="Times New Roman" w:hAnsi="Times New Roman"/>
                <w:color w:val="auto"/>
                <w:szCs w:val="21"/>
                <w:highlight w:val="none"/>
              </w:rPr>
              <w:t>……</w:t>
            </w:r>
          </w:p>
        </w:tc>
        <w:tc>
          <w:tcPr>
            <w:tcW w:w="903" w:type="dxa"/>
            <w:noWrap w:val="0"/>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6</w:t>
            </w:r>
          </w:p>
        </w:tc>
        <w:tc>
          <w:tcPr>
            <w:tcW w:w="2623" w:type="dxa"/>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分包</w:t>
            </w:r>
          </w:p>
        </w:tc>
        <w:tc>
          <w:tcPr>
            <w:tcW w:w="3069" w:type="dxa"/>
            <w:noWrap w:val="0"/>
            <w:vAlign w:val="center"/>
          </w:tcPr>
          <w:p>
            <w:pPr>
              <w:spacing w:line="360" w:lineRule="auto"/>
              <w:jc w:val="center"/>
              <w:rPr>
                <w:color w:val="auto"/>
                <w:szCs w:val="21"/>
                <w:highlight w:val="none"/>
              </w:rPr>
            </w:pPr>
            <w:r>
              <w:rPr>
                <w:rFonts w:ascii="Times New Roman" w:hAnsi="Times New Roman"/>
                <w:color w:val="auto"/>
                <w:szCs w:val="21"/>
                <w:highlight w:val="none"/>
              </w:rPr>
              <w:t>……</w:t>
            </w:r>
          </w:p>
        </w:tc>
        <w:tc>
          <w:tcPr>
            <w:tcW w:w="903" w:type="dxa"/>
            <w:noWrap w:val="0"/>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1645" w:type="dxa"/>
            <w:noWrap w:val="0"/>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w:t>
            </w:r>
          </w:p>
        </w:tc>
        <w:tc>
          <w:tcPr>
            <w:tcW w:w="2623" w:type="dxa"/>
            <w:noWrap w:val="0"/>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w:t>
            </w:r>
          </w:p>
        </w:tc>
        <w:tc>
          <w:tcPr>
            <w:tcW w:w="3069" w:type="dxa"/>
            <w:noWrap w:val="0"/>
            <w:vAlign w:val="center"/>
          </w:tcPr>
          <w:p>
            <w:pPr>
              <w:spacing w:line="360" w:lineRule="auto"/>
              <w:jc w:val="center"/>
              <w:rPr>
                <w:color w:val="auto"/>
                <w:szCs w:val="21"/>
                <w:highlight w:val="none"/>
              </w:rPr>
            </w:pPr>
            <w:r>
              <w:rPr>
                <w:rFonts w:ascii="Times New Roman" w:hAnsi="Times New Roman"/>
                <w:color w:val="auto"/>
                <w:szCs w:val="21"/>
                <w:highlight w:val="none"/>
              </w:rPr>
              <w:t>……</w:t>
            </w:r>
          </w:p>
        </w:tc>
        <w:tc>
          <w:tcPr>
            <w:tcW w:w="903" w:type="dxa"/>
            <w:noWrap w:val="0"/>
            <w:vAlign w:val="center"/>
          </w:tcPr>
          <w:p>
            <w:pPr>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645" w:type="dxa"/>
            <w:noWrap w:val="0"/>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w:t>
            </w:r>
          </w:p>
        </w:tc>
        <w:tc>
          <w:tcPr>
            <w:tcW w:w="2623" w:type="dxa"/>
            <w:noWrap w:val="0"/>
            <w:vAlign w:val="top"/>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w:t>
            </w:r>
          </w:p>
        </w:tc>
        <w:tc>
          <w:tcPr>
            <w:tcW w:w="3069" w:type="dxa"/>
            <w:noWrap w:val="0"/>
            <w:vAlign w:val="center"/>
          </w:tcPr>
          <w:p>
            <w:pPr>
              <w:spacing w:line="360" w:lineRule="auto"/>
              <w:jc w:val="center"/>
              <w:rPr>
                <w:color w:val="auto"/>
                <w:szCs w:val="21"/>
                <w:highlight w:val="none"/>
              </w:rPr>
            </w:pPr>
            <w:r>
              <w:rPr>
                <w:rFonts w:ascii="Times New Roman" w:hAnsi="Times New Roman"/>
                <w:color w:val="auto"/>
                <w:szCs w:val="21"/>
                <w:highlight w:val="none"/>
              </w:rPr>
              <w:t>……</w:t>
            </w:r>
          </w:p>
        </w:tc>
        <w:tc>
          <w:tcPr>
            <w:tcW w:w="903" w:type="dxa"/>
            <w:noWrap w:val="0"/>
            <w:vAlign w:val="center"/>
          </w:tcPr>
          <w:p>
            <w:pPr>
              <w:spacing w:line="360" w:lineRule="auto"/>
              <w:rPr>
                <w:color w:val="auto"/>
                <w:szCs w:val="21"/>
                <w:highlight w:val="none"/>
              </w:rPr>
            </w:pPr>
          </w:p>
        </w:tc>
      </w:tr>
    </w:tbl>
    <w:p>
      <w:pPr>
        <w:spacing w:line="360" w:lineRule="auto"/>
        <w:ind w:left="840" w:leftChars="400" w:firstLine="2200" w:firstLineChars="1100"/>
        <w:rPr>
          <w:rFonts w:hint="eastAsia" w:eastAsia="黑体"/>
          <w:color w:val="auto"/>
          <w:sz w:val="20"/>
          <w:szCs w:val="20"/>
          <w:highlight w:val="none"/>
        </w:rPr>
      </w:pPr>
    </w:p>
    <w:p>
      <w:pPr>
        <w:spacing w:line="360" w:lineRule="auto"/>
        <w:rPr>
          <w:rFonts w:eastAsia="黑体"/>
          <w:color w:val="auto"/>
          <w:sz w:val="20"/>
          <w:szCs w:val="20"/>
          <w:highlight w:val="none"/>
        </w:rPr>
      </w:pPr>
      <w:r>
        <w:rPr>
          <w:color w:val="auto"/>
          <w:szCs w:val="21"/>
          <w:highlight w:val="none"/>
        </w:rPr>
        <w:br w:type="page"/>
      </w:r>
    </w:p>
    <w:p>
      <w:pPr>
        <w:pStyle w:val="2"/>
        <w:adjustRightInd w:val="0"/>
        <w:snapToGrid w:val="0"/>
        <w:spacing w:line="360" w:lineRule="auto"/>
        <w:jc w:val="center"/>
        <w:rPr>
          <w:rFonts w:hint="eastAsia" w:ascii="Times New Roman" w:hAnsi="Times New Roman"/>
          <w:color w:val="auto"/>
          <w:sz w:val="28"/>
          <w:szCs w:val="28"/>
          <w:highlight w:val="none"/>
        </w:rPr>
      </w:pPr>
      <w:bookmarkStart w:id="1240" w:name="_Toc27806_WPSOffice_Level1"/>
      <w:r>
        <w:rPr>
          <w:rFonts w:hint="eastAsia" w:ascii="Times New Roman" w:hAnsi="Times New Roman"/>
          <w:color w:val="auto"/>
          <w:sz w:val="24"/>
          <w:szCs w:val="24"/>
          <w:highlight w:val="none"/>
        </w:rPr>
        <w:t>□</w:t>
      </w:r>
      <w:r>
        <w:rPr>
          <w:rFonts w:hint="eastAsia" w:ascii="Times New Roman" w:hAnsi="Times New Roman"/>
          <w:color w:val="auto"/>
          <w:sz w:val="28"/>
          <w:szCs w:val="28"/>
          <w:highlight w:val="none"/>
        </w:rPr>
        <w:t>二、法定代表人身份证明</w:t>
      </w:r>
      <w:bookmarkEnd w:id="1240"/>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投标人名称：</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w:t>
      </w: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姓名：</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性别：</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年龄：</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职务：</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 </w:t>
      </w:r>
      <w:r>
        <w:rPr>
          <w:rFonts w:hint="eastAsia" w:ascii="Times New Roman" w:hAnsi="Times New Roman" w:cs="宋体"/>
          <w:color w:val="auto"/>
          <w:sz w:val="24"/>
          <w:highlight w:val="none"/>
        </w:rPr>
        <w:cr/>
      </w:r>
      <w:r>
        <w:rPr>
          <w:rFonts w:hint="eastAsia" w:ascii="Times New Roman" w:hAnsi="Times New Roman" w:cs="宋体"/>
          <w:color w:val="auto"/>
          <w:sz w:val="24"/>
          <w:highlight w:val="none"/>
        </w:rPr>
        <w:t xml:space="preserve">系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（投标人名称）的法定代表人。</w:t>
      </w:r>
    </w:p>
    <w:p>
      <w:pPr>
        <w:spacing w:line="360" w:lineRule="auto"/>
        <w:ind w:left="504" w:leftChars="240"/>
        <w:rPr>
          <w:rFonts w:hint="eastAsia" w:ascii="Times New Roman" w:hAnsi="Times New Roman" w:cs="宋体"/>
          <w:color w:val="auto"/>
          <w:sz w:val="24"/>
          <w:highlight w:val="none"/>
        </w:rPr>
      </w:pPr>
      <w:r>
        <w:rPr>
          <w:rFonts w:hint="eastAsia" w:ascii="Times New Roman" w:hAnsi="Times New Roman" w:cs="宋体"/>
          <w:color w:val="auto"/>
          <w:sz w:val="24"/>
          <w:highlight w:val="none"/>
        </w:rPr>
        <w:t>特此证明。</w:t>
      </w:r>
    </w:p>
    <w:p>
      <w:pPr>
        <w:spacing w:line="360" w:lineRule="auto"/>
        <w:ind w:firstLine="481" w:firstLineChars="200"/>
        <w:rPr>
          <w:rFonts w:hint="eastAsia" w:ascii="Times New Roman" w:hAnsi="Times New Roman" w:cs="宋体"/>
          <w:b/>
          <w:bCs/>
          <w:color w:val="auto"/>
          <w:sz w:val="24"/>
          <w:highlight w:val="none"/>
        </w:rPr>
      </w:pP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cr/>
      </w:r>
      <w:r>
        <w:rPr>
          <w:rFonts w:hint="eastAsia" w:ascii="Times New Roman" w:hAnsi="Times New Roman" w:cs="宋体"/>
          <w:bCs/>
          <w:color w:val="auto"/>
          <w:sz w:val="24"/>
          <w:highlight w:val="none"/>
        </w:rPr>
        <w:t>附：法定代表人身份证扫描件</w:t>
      </w:r>
      <w:r>
        <w:rPr>
          <w:rFonts w:hint="eastAsia" w:ascii="Times New Roman" w:hAnsi="Times New Roman" w:cs="宋体"/>
          <w:b/>
          <w:color w:val="auto"/>
          <w:sz w:val="24"/>
          <w:highlight w:val="none"/>
        </w:rPr>
        <w:cr/>
      </w:r>
    </w:p>
    <w:p>
      <w:pPr>
        <w:spacing w:line="360" w:lineRule="auto"/>
        <w:rPr>
          <w:rFonts w:hint="eastAsia" w:ascii="Times New Roman" w:hAnsi="Times New Roman" w:cs="宋体"/>
          <w:color w:val="auto"/>
          <w:sz w:val="24"/>
          <w:highlight w:val="none"/>
        </w:rPr>
      </w:pPr>
    </w:p>
    <w:p>
      <w:pPr>
        <w:spacing w:line="360" w:lineRule="auto"/>
        <w:rPr>
          <w:rFonts w:hint="eastAsia" w:ascii="Times New Roman" w:hAnsi="Times New Roman" w:cs="宋体"/>
          <w:color w:val="auto"/>
          <w:sz w:val="24"/>
          <w:highlight w:val="none"/>
        </w:rPr>
      </w:pPr>
    </w:p>
    <w:p>
      <w:pPr>
        <w:adjustRightInd w:val="0"/>
        <w:snapToGrid w:val="0"/>
        <w:spacing w:line="360" w:lineRule="auto"/>
        <w:jc w:val="right"/>
        <w:rPr>
          <w:rFonts w:hint="eastAsia" w:ascii="Times New Roman" w:hAnsi="Times New Roman" w:cs="宋体"/>
          <w:bCs/>
          <w:color w:val="auto"/>
          <w:sz w:val="24"/>
          <w:highlight w:val="none"/>
        </w:rPr>
      </w:pPr>
      <w:r>
        <w:rPr>
          <w:rFonts w:hint="eastAsia" w:ascii="Times New Roman" w:hAnsi="Times New Roman" w:cs="宋体"/>
          <w:b/>
          <w:color w:val="auto"/>
          <w:sz w:val="24"/>
          <w:highlight w:val="none"/>
        </w:rPr>
        <w:t xml:space="preserve">                             </w:t>
      </w:r>
      <w:r>
        <w:rPr>
          <w:rFonts w:hint="eastAsia" w:ascii="Times New Roman" w:hAnsi="Times New Roman" w:cs="宋体"/>
          <w:bCs/>
          <w:color w:val="auto"/>
          <w:sz w:val="24"/>
          <w:highlight w:val="none"/>
        </w:rPr>
        <w:t xml:space="preserve">投标人： </w:t>
      </w:r>
      <w:r>
        <w:rPr>
          <w:rFonts w:hint="eastAsia" w:ascii="Times New Roman" w:hAnsi="Times New Roman" w:cs="宋体"/>
          <w:bCs/>
          <w:color w:val="auto"/>
          <w:sz w:val="24"/>
          <w:highlight w:val="none"/>
          <w:u w:val="single"/>
        </w:rPr>
        <w:t xml:space="preserve">                  </w:t>
      </w:r>
      <w:r>
        <w:rPr>
          <w:rFonts w:hint="eastAsia" w:ascii="Times New Roman" w:hAnsi="Times New Roman" w:cs="宋体"/>
          <w:bCs/>
          <w:color w:val="auto"/>
          <w:sz w:val="24"/>
          <w:highlight w:val="none"/>
        </w:rPr>
        <w:t>（盖单位章）</w:t>
      </w:r>
      <w:r>
        <w:rPr>
          <w:rFonts w:hint="eastAsia" w:ascii="Times New Roman" w:hAnsi="Times New Roman"/>
          <w:bCs/>
          <w:color w:val="auto"/>
          <w:sz w:val="24"/>
          <w:highlight w:val="none"/>
        </w:rPr>
        <w:t xml:space="preserve">                                 </w:t>
      </w:r>
    </w:p>
    <w:p>
      <w:pPr>
        <w:spacing w:line="360" w:lineRule="auto"/>
        <w:ind w:firstLine="481" w:firstLineChars="200"/>
        <w:jc w:val="center"/>
        <w:rPr>
          <w:rFonts w:hint="eastAsia" w:ascii="Times New Roman" w:hAnsi="Times New Roman" w:cs="宋体"/>
          <w:color w:val="auto"/>
          <w:sz w:val="24"/>
          <w:highlight w:val="none"/>
        </w:rPr>
      </w:pPr>
      <w:r>
        <w:rPr>
          <w:rFonts w:hint="eastAsia" w:ascii="Times New Roman" w:hAnsi="Times New Roman" w:cs="宋体"/>
          <w:b/>
          <w:color w:val="auto"/>
          <w:sz w:val="24"/>
          <w:highlight w:val="none"/>
        </w:rPr>
        <w:t xml:space="preserve">                           </w:t>
      </w:r>
      <w:r>
        <w:rPr>
          <w:rFonts w:hint="eastAsia" w:ascii="Times New Roman" w:hAnsi="Times New Roman" w:cs="宋体"/>
          <w:b/>
          <w:color w:val="auto"/>
          <w:sz w:val="24"/>
          <w:highlight w:val="none"/>
          <w:u w:val="single"/>
        </w:rPr>
        <w:t xml:space="preserve">   </w:t>
      </w:r>
      <w:r>
        <w:rPr>
          <w:rFonts w:hint="eastAsia" w:ascii="Times New Roman" w:hAnsi="Times New Roman" w:cs="宋体"/>
          <w:color w:val="auto"/>
          <w:sz w:val="24"/>
          <w:highlight w:val="none"/>
        </w:rPr>
        <w:t>年</w:t>
      </w:r>
      <w:r>
        <w:rPr>
          <w:rFonts w:hint="eastAsia" w:ascii="Times New Roman" w:hAnsi="Times New Roman" w:cs="宋体"/>
          <w:b/>
          <w:color w:val="auto"/>
          <w:sz w:val="24"/>
          <w:highlight w:val="none"/>
          <w:u w:val="single"/>
        </w:rPr>
        <w:t xml:space="preserve">   </w:t>
      </w:r>
      <w:r>
        <w:rPr>
          <w:rFonts w:hint="eastAsia" w:ascii="Times New Roman" w:hAnsi="Times New Roman" w:cs="宋体"/>
          <w:color w:val="auto"/>
          <w:sz w:val="24"/>
          <w:highlight w:val="none"/>
        </w:rPr>
        <w:t>月</w:t>
      </w:r>
      <w:r>
        <w:rPr>
          <w:rFonts w:hint="eastAsia" w:ascii="Times New Roman" w:hAnsi="Times New Roman" w:cs="宋体"/>
          <w:b/>
          <w:color w:val="auto"/>
          <w:sz w:val="24"/>
          <w:highlight w:val="none"/>
          <w:u w:val="single"/>
        </w:rPr>
        <w:t xml:space="preserve">   </w:t>
      </w:r>
      <w:r>
        <w:rPr>
          <w:rFonts w:hint="eastAsia" w:ascii="Times New Roman" w:hAnsi="Times New Roman" w:cs="宋体"/>
          <w:color w:val="auto"/>
          <w:sz w:val="24"/>
          <w:highlight w:val="none"/>
        </w:rPr>
        <w:t>日</w:t>
      </w:r>
    </w:p>
    <w:p>
      <w:pPr>
        <w:spacing w:line="360" w:lineRule="auto"/>
        <w:ind w:firstLine="480" w:firstLineChars="200"/>
        <w:rPr>
          <w:rFonts w:hint="eastAsia" w:ascii="Times New Roman" w:hAnsi="Times New Roman" w:cs="宋体"/>
          <w:bCs/>
          <w:color w:val="auto"/>
          <w:sz w:val="24"/>
          <w:highlight w:val="none"/>
        </w:rPr>
      </w:pPr>
    </w:p>
    <w:p>
      <w:pPr>
        <w:spacing w:line="360" w:lineRule="auto"/>
        <w:ind w:firstLine="480" w:firstLineChars="200"/>
        <w:rPr>
          <w:rFonts w:hint="eastAsia" w:ascii="Times New Roman" w:hAnsi="Times New Roman" w:cs="宋体"/>
          <w:bCs/>
          <w:color w:val="auto"/>
          <w:sz w:val="24"/>
          <w:highlight w:val="none"/>
        </w:rPr>
      </w:pPr>
      <w:r>
        <w:rPr>
          <w:rFonts w:hint="eastAsia" w:ascii="Times New Roman" w:hAnsi="Times New Roman" w:cs="宋体"/>
          <w:bCs/>
          <w:color w:val="auto"/>
          <w:sz w:val="24"/>
          <w:highlight w:val="none"/>
        </w:rPr>
        <w:t>注：法定代表人亲自投标而不委托代理人投标适用。</w:t>
      </w:r>
    </w:p>
    <w:p>
      <w:pPr>
        <w:pStyle w:val="2"/>
        <w:adjustRightInd w:val="0"/>
        <w:snapToGrid w:val="0"/>
        <w:spacing w:line="360" w:lineRule="auto"/>
        <w:jc w:val="center"/>
        <w:rPr>
          <w:rFonts w:hint="eastAsia" w:ascii="Times New Roman" w:hAnsi="Times New Roman"/>
          <w:color w:val="auto"/>
          <w:sz w:val="28"/>
          <w:szCs w:val="28"/>
          <w:highlight w:val="none"/>
        </w:rPr>
      </w:pPr>
      <w:r>
        <w:rPr>
          <w:rFonts w:eastAsia="黑体"/>
          <w:color w:val="auto"/>
          <w:sz w:val="20"/>
          <w:szCs w:val="20"/>
          <w:highlight w:val="none"/>
        </w:rPr>
        <w:br w:type="page"/>
      </w:r>
      <w:bookmarkStart w:id="1241" w:name="_Toc7805_WPSOffice_Level1"/>
      <w:r>
        <w:rPr>
          <w:rFonts w:hint="eastAsia" w:ascii="Times New Roman" w:hAnsi="Times New Roman"/>
          <w:color w:val="auto"/>
          <w:sz w:val="24"/>
          <w:szCs w:val="24"/>
          <w:highlight w:val="none"/>
        </w:rPr>
        <w:t>□</w:t>
      </w:r>
      <w:r>
        <w:rPr>
          <w:rFonts w:hint="eastAsia" w:ascii="Times New Roman" w:hAnsi="Times New Roman"/>
          <w:color w:val="auto"/>
          <w:sz w:val="28"/>
          <w:szCs w:val="28"/>
          <w:highlight w:val="none"/>
        </w:rPr>
        <w:t>二、授权委托书</w:t>
      </w:r>
      <w:bookmarkEnd w:id="1241"/>
    </w:p>
    <w:p>
      <w:pPr>
        <w:pStyle w:val="9"/>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本人</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（姓名）系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（投标人全称）的法定代表人，现授权委托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（姓名）为我方代理人。代理人根据授权，以我方名义签署、澄清、说明、补正、递交、撤回、修改</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（项目名称）设计施工总承包</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标段投标文件、签订合同和处理有关事宜（向有关行政监督部门投诉另行授权），其法律后果由我方承担。</w:t>
      </w:r>
    </w:p>
    <w:p>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r>
        <w:rPr>
          <w:rFonts w:hint="eastAsia" w:ascii="Times New Roman" w:hAnsi="Times New Roman"/>
          <w:color w:val="auto"/>
          <w:highlight w:val="none"/>
        </w:rPr>
        <w:t>委托</w:t>
      </w:r>
      <w:r>
        <w:rPr>
          <w:rFonts w:ascii="Times New Roman" w:hAnsi="Times New Roman"/>
          <w:color w:val="auto"/>
          <w:highlight w:val="none"/>
        </w:rPr>
        <w:t>期限：</w:t>
      </w:r>
      <w:r>
        <w:rPr>
          <w:rFonts w:hint="eastAsia" w:ascii="Times New Roman" w:hAnsi="Times New Roman"/>
          <w:color w:val="auto"/>
          <w:highlight w:val="none"/>
        </w:rPr>
        <w:t>自本授权委托书签署之日起至“投标有效期”结束为止</w:t>
      </w:r>
      <w:r>
        <w:rPr>
          <w:rFonts w:ascii="Times New Roman" w:hAnsi="Times New Roman"/>
          <w:color w:val="auto"/>
          <w:highlight w:val="none"/>
        </w:rPr>
        <w:t>。</w:t>
      </w:r>
    </w:p>
    <w:p>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r>
        <w:rPr>
          <w:rFonts w:ascii="Times New Roman" w:hAnsi="Times New Roman"/>
          <w:color w:val="auto"/>
          <w:highlight w:val="none"/>
        </w:rPr>
        <w:t>代理人无转委托权。</w:t>
      </w:r>
    </w:p>
    <w:p>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p>
    <w:p>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p>
    <w:p>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p>
    <w:p>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color w:val="auto"/>
          <w:highlight w:val="none"/>
        </w:rPr>
      </w:pPr>
      <w:r>
        <w:rPr>
          <w:rFonts w:hint="eastAsia" w:ascii="Times New Roman" w:hAnsi="Times New Roman"/>
          <w:color w:val="auto"/>
          <w:highlight w:val="none"/>
        </w:rPr>
        <w:t>附：（1）法定代表人身份证扫描件、委托代理人身份证扫描件</w:t>
      </w:r>
    </w:p>
    <w:p>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color w:val="auto"/>
          <w:highlight w:val="none"/>
        </w:rPr>
      </w:pPr>
      <w:r>
        <w:rPr>
          <w:rFonts w:hint="eastAsia" w:ascii="Times New Roman" w:hAnsi="Times New Roman"/>
          <w:color w:val="auto"/>
          <w:highlight w:val="none"/>
        </w:rPr>
        <w:t xml:space="preserve">   （2）投标人为委托代理人缴纳的社保缴费证明（提供最近 6 个月连续缴费证明）扫描件</w:t>
      </w:r>
    </w:p>
    <w:p>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hint="eastAsia" w:ascii="Times New Roman" w:hAnsi="Times New Roman"/>
          <w:color w:val="auto"/>
          <w:highlight w:val="none"/>
        </w:rPr>
      </w:pPr>
    </w:p>
    <w:p>
      <w:pPr>
        <w:spacing w:line="360" w:lineRule="auto"/>
        <w:ind w:firstLine="5400" w:firstLineChars="2250"/>
        <w:rPr>
          <w:rFonts w:ascii="Times New Roman" w:hAnsi="Times New Roman" w:cs="宋体"/>
          <w:color w:val="auto"/>
          <w:sz w:val="24"/>
          <w:highlight w:val="none"/>
        </w:rPr>
      </w:pPr>
    </w:p>
    <w:p>
      <w:pPr>
        <w:spacing w:line="360" w:lineRule="auto"/>
        <w:ind w:firstLine="3600" w:firstLineChars="1500"/>
        <w:rPr>
          <w:rFonts w:ascii="Times New Roman" w:hAnsi="Times New Roman"/>
          <w:color w:val="auto"/>
          <w:sz w:val="24"/>
          <w:highlight w:val="none"/>
        </w:rPr>
      </w:pPr>
      <w:r>
        <w:rPr>
          <w:rFonts w:hint="eastAsia" w:ascii="Times New Roman" w:hAnsi="Times New Roman" w:cs="宋体"/>
          <w:color w:val="auto"/>
          <w:sz w:val="24"/>
          <w:highlight w:val="none"/>
        </w:rPr>
        <w:t>投  标  人：</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（盖单位章）</w:t>
      </w:r>
    </w:p>
    <w:p>
      <w:pPr>
        <w:spacing w:line="360" w:lineRule="auto"/>
        <w:ind w:firstLine="3600" w:firstLineChars="1500"/>
        <w:rPr>
          <w:rFonts w:hint="eastAsia" w:ascii="Times New Roman" w:hAnsi="Times New Roman" w:cs="宋体"/>
          <w:color w:val="auto"/>
          <w:sz w:val="24"/>
          <w:highlight w:val="none"/>
        </w:rPr>
      </w:pPr>
      <w:r>
        <w:rPr>
          <w:rFonts w:hint="eastAsia" w:ascii="Times New Roman" w:hAnsi="Times New Roman" w:cs="宋体"/>
          <w:color w:val="auto"/>
          <w:sz w:val="24"/>
          <w:highlight w:val="none"/>
        </w:rPr>
        <w:t>法定代表人：</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（签    字）</w:t>
      </w:r>
    </w:p>
    <w:p>
      <w:pPr>
        <w:spacing w:line="360" w:lineRule="auto"/>
        <w:ind w:firstLine="3600" w:firstLineChars="1500"/>
        <w:rPr>
          <w:rFonts w:hint="eastAsia" w:ascii="Times New Roman" w:hAnsi="Times New Roman" w:cs="宋体"/>
          <w:color w:val="auto"/>
          <w:sz w:val="24"/>
          <w:highlight w:val="none"/>
          <w:u w:val="single"/>
        </w:rPr>
      </w:pPr>
      <w:r>
        <w:rPr>
          <w:rFonts w:hint="eastAsia" w:ascii="Times New Roman" w:hAnsi="Times New Roman" w:cs="宋体"/>
          <w:color w:val="auto"/>
          <w:sz w:val="24"/>
          <w:highlight w:val="none"/>
        </w:rPr>
        <w:t>身份证号码：</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p>
    <w:p>
      <w:pPr>
        <w:spacing w:line="360" w:lineRule="auto"/>
        <w:ind w:firstLine="3600" w:firstLineChars="1500"/>
        <w:rPr>
          <w:rFonts w:hint="eastAsia" w:ascii="Times New Roman" w:hAnsi="Times New Roman" w:cs="宋体"/>
          <w:color w:val="auto"/>
          <w:sz w:val="24"/>
          <w:highlight w:val="none"/>
        </w:rPr>
      </w:pPr>
      <w:r>
        <w:rPr>
          <w:rFonts w:hint="eastAsia" w:ascii="Times New Roman" w:hAnsi="Times New Roman" w:cs="宋体"/>
          <w:color w:val="auto"/>
          <w:sz w:val="24"/>
          <w:highlight w:val="none"/>
        </w:rPr>
        <w:t>委托代理人：</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 xml:space="preserve">（签    字）               </w:t>
      </w:r>
    </w:p>
    <w:p>
      <w:pPr>
        <w:spacing w:line="360" w:lineRule="auto"/>
        <w:ind w:firstLine="3600" w:firstLineChars="15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身份证号码：</w:t>
      </w:r>
      <w:r>
        <w:rPr>
          <w:rFonts w:hint="eastAsia" w:ascii="Times New Roman" w:hAnsi="Times New Roman" w:cs="宋体"/>
          <w:color w:val="auto"/>
          <w:sz w:val="24"/>
          <w:highlight w:val="none"/>
          <w:u w:val="single"/>
        </w:rPr>
        <w:t xml:space="preserve">  </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u w:val="single"/>
        </w:rPr>
        <w:t xml:space="preserve">        </w:t>
      </w:r>
    </w:p>
    <w:p>
      <w:pPr>
        <w:pStyle w:val="40"/>
        <w:tabs>
          <w:tab w:val="left" w:pos="0"/>
          <w:tab w:val="clear" w:pos="1843"/>
        </w:tabs>
        <w:autoSpaceDE w:val="0"/>
        <w:autoSpaceDN w:val="0"/>
        <w:adjustRightInd/>
        <w:spacing w:before="0" w:after="0" w:line="360" w:lineRule="auto"/>
        <w:ind w:left="485" w:right="0" w:rightChars="0" w:hanging="484" w:hangingChars="202"/>
        <w:jc w:val="center"/>
        <w:textAlignment w:val="bottom"/>
        <w:rPr>
          <w:rFonts w:ascii="Times New Roman" w:hAnsi="Times New Roman"/>
          <w:color w:val="auto"/>
          <w:highlight w:val="none"/>
        </w:rPr>
      </w:pPr>
      <w:r>
        <w:rPr>
          <w:rFonts w:hint="eastAsia" w:ascii="Times New Roman" w:hAnsi="Times New Roman" w:cs="宋体"/>
          <w:color w:val="auto"/>
          <w:highlight w:val="none"/>
        </w:rPr>
        <w:t xml:space="preserve">                                      </w:t>
      </w:r>
      <w:r>
        <w:rPr>
          <w:rFonts w:ascii="Times New Roman" w:hAnsi="Times New Roman" w:cs="宋体"/>
          <w:color w:val="auto"/>
          <w:highlight w:val="none"/>
        </w:rPr>
        <w:t xml:space="preserve"> </w:t>
      </w:r>
      <w:r>
        <w:rPr>
          <w:rFonts w:ascii="Times New Roman" w:hAnsi="Times New Roman" w:cs="宋体"/>
          <w:color w:val="auto"/>
          <w:highlight w:val="none"/>
          <w:u w:val="single"/>
        </w:rPr>
        <w:t xml:space="preserve">     </w:t>
      </w:r>
      <w:r>
        <w:rPr>
          <w:rFonts w:hint="eastAsia" w:ascii="Times New Roman" w:hAnsi="Times New Roman" w:cs="宋体"/>
          <w:color w:val="auto"/>
          <w:highlight w:val="none"/>
        </w:rPr>
        <w:t>年</w:t>
      </w:r>
      <w:r>
        <w:rPr>
          <w:rFonts w:ascii="Times New Roman" w:hAnsi="Times New Roman" w:cs="宋体"/>
          <w:color w:val="auto"/>
          <w:highlight w:val="none"/>
          <w:u w:val="single"/>
        </w:rPr>
        <w:t xml:space="preserve">    </w:t>
      </w:r>
      <w:r>
        <w:rPr>
          <w:rFonts w:hint="eastAsia" w:ascii="Times New Roman" w:hAnsi="Times New Roman" w:cs="宋体"/>
          <w:color w:val="auto"/>
          <w:highlight w:val="none"/>
        </w:rPr>
        <w:t>月</w:t>
      </w:r>
      <w:r>
        <w:rPr>
          <w:rFonts w:ascii="Times New Roman" w:hAnsi="Times New Roman" w:cs="宋体"/>
          <w:color w:val="auto"/>
          <w:highlight w:val="none"/>
          <w:u w:val="single"/>
        </w:rPr>
        <w:t xml:space="preserve">    </w:t>
      </w:r>
      <w:r>
        <w:rPr>
          <w:rFonts w:hint="eastAsia" w:ascii="Times New Roman" w:hAnsi="Times New Roman" w:cs="宋体"/>
          <w:color w:val="auto"/>
          <w:highlight w:val="none"/>
        </w:rPr>
        <w:t>日</w:t>
      </w:r>
    </w:p>
    <w:p>
      <w:pPr>
        <w:spacing w:line="360" w:lineRule="auto"/>
        <w:rPr>
          <w:rFonts w:ascii="Times New Roman" w:hAnsi="Times New Roman"/>
          <w:color w:val="auto"/>
          <w:sz w:val="24"/>
          <w:highlight w:val="none"/>
        </w:rPr>
      </w:pPr>
      <w:r>
        <w:rPr>
          <w:rFonts w:ascii="Times New Roman" w:hAnsi="Times New Roman"/>
          <w:color w:val="auto"/>
          <w:sz w:val="24"/>
          <w:highlight w:val="none"/>
        </w:rPr>
        <w:t>注：</w:t>
      </w:r>
      <w:r>
        <w:rPr>
          <w:rFonts w:hint="eastAsia" w:ascii="Times New Roman" w:hAnsi="Times New Roman"/>
          <w:color w:val="auto"/>
          <w:sz w:val="24"/>
          <w:highlight w:val="none"/>
        </w:rPr>
        <w:t>（1）法定代表人不亲自投标而委托代理人投标适用。</w:t>
      </w:r>
    </w:p>
    <w:p>
      <w:pPr>
        <w:spacing w:line="360" w:lineRule="auto"/>
        <w:ind w:firstLine="424" w:firstLineChars="177"/>
        <w:rPr>
          <w:rFonts w:ascii="Times New Roman" w:hAnsi="Times New Roman"/>
          <w:color w:val="auto"/>
          <w:sz w:val="24"/>
          <w:highlight w:val="none"/>
        </w:rPr>
      </w:pPr>
      <w:r>
        <w:rPr>
          <w:rFonts w:hint="eastAsia" w:ascii="Times New Roman" w:hAnsi="Times New Roman"/>
          <w:color w:val="auto"/>
          <w:sz w:val="24"/>
          <w:highlight w:val="none"/>
        </w:rPr>
        <w:t>（2）法定代表人委托他人投标的，委托代理人应是投标人本单位（联合体投标为牵头人）的人员。</w:t>
      </w:r>
    </w:p>
    <w:p>
      <w:pPr>
        <w:spacing w:line="360" w:lineRule="auto"/>
        <w:ind w:firstLine="480" w:firstLineChars="200"/>
        <w:rPr>
          <w:rFonts w:hint="eastAsia" w:ascii="Times New Roman" w:hAnsi="Times New Roman"/>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olor w:val="auto"/>
          <w:sz w:val="24"/>
          <w:highlight w:val="none"/>
        </w:rPr>
        <w:t>（3）最近6个月连续缴费的社保证明是指从招标文件开始下载时间的上一个月或上上个月起算，往前推6个月的连续、不间断的缴费证明</w:t>
      </w:r>
      <w:r>
        <w:rPr>
          <w:rFonts w:hint="eastAsia"/>
          <w:color w:val="auto"/>
          <w:highlight w:val="none"/>
        </w:rPr>
        <w:t>，</w:t>
      </w:r>
      <w:r>
        <w:rPr>
          <w:rFonts w:hint="eastAsia" w:ascii="Times New Roman" w:hAnsi="Times New Roman"/>
          <w:color w:val="auto"/>
          <w:sz w:val="24"/>
          <w:highlight w:val="none"/>
        </w:rPr>
        <w:t>企业设立不足6个月的可少于6个月。</w:t>
      </w:r>
    </w:p>
    <w:p>
      <w:pPr>
        <w:pStyle w:val="3"/>
        <w:spacing w:line="360" w:lineRule="auto"/>
        <w:jc w:val="center"/>
        <w:rPr>
          <w:rFonts w:hint="eastAsia" w:ascii="Times New Roman" w:hAnsi="Times New Roman" w:eastAsia="宋体"/>
          <w:bCs w:val="0"/>
          <w:color w:val="auto"/>
          <w:kern w:val="44"/>
          <w:sz w:val="28"/>
          <w:szCs w:val="28"/>
          <w:highlight w:val="none"/>
        </w:rPr>
      </w:pPr>
      <w:bookmarkStart w:id="1242" w:name="_Toc152042582"/>
      <w:bookmarkStart w:id="1243" w:name="_Toc152045793"/>
      <w:bookmarkStart w:id="1244" w:name="_Toc247514285"/>
      <w:bookmarkStart w:id="1245" w:name="_Toc300835215"/>
      <w:bookmarkStart w:id="1246" w:name="_Toc247527833"/>
      <w:r>
        <w:rPr>
          <w:rFonts w:hint="eastAsia" w:ascii="Times New Roman" w:hAnsi="Times New Roman" w:eastAsia="宋体"/>
          <w:bCs w:val="0"/>
          <w:color w:val="auto"/>
          <w:kern w:val="44"/>
          <w:sz w:val="28"/>
          <w:szCs w:val="28"/>
          <w:highlight w:val="none"/>
        </w:rPr>
        <w:t>三、联合体协议书</w:t>
      </w:r>
      <w:bookmarkEnd w:id="1242"/>
      <w:bookmarkEnd w:id="1243"/>
      <w:bookmarkEnd w:id="1244"/>
      <w:bookmarkEnd w:id="1245"/>
      <w:bookmarkEnd w:id="1246"/>
    </w:p>
    <w:p>
      <w:pPr>
        <w:tabs>
          <w:tab w:val="left" w:pos="684"/>
        </w:tabs>
        <w:spacing w:line="360" w:lineRule="auto"/>
        <w:ind w:right="120" w:firstLine="480" w:firstLineChars="200"/>
        <w:rPr>
          <w:rFonts w:ascii="Times New Roman" w:hAnsi="Times New Roman"/>
          <w:color w:val="auto"/>
          <w:sz w:val="24"/>
          <w:highlight w:val="none"/>
        </w:rPr>
      </w:pPr>
      <w:r>
        <w:rPr>
          <w:rFonts w:ascii="Times New Roman" w:hAnsi="Times New Roman" w:cs="宋体"/>
          <w:color w:val="auto"/>
          <w:sz w:val="24"/>
          <w:highlight w:val="none"/>
          <w:u w:val="single"/>
        </w:rPr>
        <w:t xml:space="preserve">             </w:t>
      </w:r>
      <w:r>
        <w:rPr>
          <w:rFonts w:hint="eastAsia" w:ascii="Times New Roman" w:hAnsi="Times New Roman"/>
          <w:color w:val="auto"/>
          <w:sz w:val="24"/>
          <w:highlight w:val="none"/>
        </w:rPr>
        <w:t>（所有成员单位名称）自愿组成</w:t>
      </w:r>
      <w:r>
        <w:rPr>
          <w:rFonts w:ascii="Times New Roman" w:hAnsi="Times New Roman" w:cs="宋体"/>
          <w:color w:val="auto"/>
          <w:sz w:val="24"/>
          <w:highlight w:val="none"/>
          <w:u w:val="single"/>
        </w:rPr>
        <w:t xml:space="preserve">        </w:t>
      </w:r>
      <w:r>
        <w:rPr>
          <w:rFonts w:hint="eastAsia" w:ascii="Times New Roman" w:hAnsi="Times New Roman"/>
          <w:color w:val="auto"/>
          <w:sz w:val="24"/>
          <w:highlight w:val="none"/>
        </w:rPr>
        <w:t>（联合体名称）联合体，共同参加</w:t>
      </w:r>
      <w:r>
        <w:rPr>
          <w:rFonts w:ascii="Times New Roman" w:hAnsi="Times New Roman" w:cs="宋体"/>
          <w:color w:val="auto"/>
          <w:sz w:val="24"/>
          <w:highlight w:val="none"/>
          <w:u w:val="single"/>
        </w:rPr>
        <w:t xml:space="preserve">        </w:t>
      </w:r>
      <w:r>
        <w:rPr>
          <w:rFonts w:hint="eastAsia" w:ascii="Times New Roman" w:hAnsi="Times New Roman"/>
          <w:color w:val="auto"/>
          <w:sz w:val="24"/>
          <w:highlight w:val="none"/>
        </w:rPr>
        <w:t>（项目名称）设计施工总承包</w:t>
      </w:r>
      <w:r>
        <w:rPr>
          <w:rFonts w:ascii="Times New Roman" w:hAnsi="Times New Roman" w:cs="宋体"/>
          <w:color w:val="auto"/>
          <w:sz w:val="24"/>
          <w:highlight w:val="none"/>
          <w:u w:val="single"/>
        </w:rPr>
        <w:t xml:space="preserve">     </w:t>
      </w:r>
      <w:r>
        <w:rPr>
          <w:rFonts w:hint="eastAsia" w:ascii="Times New Roman" w:hAnsi="Times New Roman" w:cs="宋体"/>
          <w:color w:val="auto"/>
          <w:sz w:val="24"/>
          <w:highlight w:val="none"/>
        </w:rPr>
        <w:t>标段</w:t>
      </w:r>
      <w:r>
        <w:rPr>
          <w:rFonts w:hint="eastAsia" w:ascii="Times New Roman" w:hAnsi="Times New Roman"/>
          <w:color w:val="auto"/>
          <w:sz w:val="24"/>
          <w:highlight w:val="none"/>
        </w:rPr>
        <w:t>投标。现就联合体投标事宜订立如下协议。</w:t>
      </w:r>
    </w:p>
    <w:p>
      <w:pPr>
        <w:tabs>
          <w:tab w:val="left" w:pos="684"/>
        </w:tabs>
        <w:spacing w:line="360" w:lineRule="auto"/>
        <w:ind w:right="120" w:firstLine="398" w:firstLineChars="166"/>
        <w:rPr>
          <w:rFonts w:hint="eastAsia" w:ascii="Times New Roman" w:hAnsi="Times New Roman"/>
          <w:color w:val="auto"/>
          <w:sz w:val="24"/>
          <w:highlight w:val="none"/>
        </w:rPr>
      </w:pPr>
      <w:r>
        <w:rPr>
          <w:rFonts w:hint="eastAsia" w:ascii="Times New Roman" w:hAnsi="Times New Roman"/>
          <w:color w:val="auto"/>
          <w:sz w:val="24"/>
          <w:highlight w:val="none"/>
        </w:rPr>
        <w:t>1</w:t>
      </w:r>
      <w:r>
        <w:rPr>
          <w:rFonts w:ascii="Times New Roman" w:hAnsi="Times New Roman"/>
          <w:color w:val="auto"/>
          <w:sz w:val="24"/>
          <w:highlight w:val="none"/>
        </w:rPr>
        <w:t>.</w:t>
      </w:r>
      <w:r>
        <w:rPr>
          <w:rFonts w:ascii="Times New Roman" w:hAnsi="Times New Roman" w:cs="宋体"/>
          <w:color w:val="auto"/>
          <w:sz w:val="24"/>
          <w:highlight w:val="none"/>
          <w:u w:val="single"/>
        </w:rPr>
        <w:t xml:space="preserve">             </w:t>
      </w:r>
      <w:r>
        <w:rPr>
          <w:rFonts w:hint="eastAsia" w:ascii="Times New Roman" w:hAnsi="Times New Roman"/>
          <w:color w:val="auto"/>
          <w:sz w:val="24"/>
          <w:highlight w:val="none"/>
        </w:rPr>
        <w:t>（某成员单位名称）为</w:t>
      </w:r>
      <w:r>
        <w:rPr>
          <w:rFonts w:ascii="Times New Roman" w:hAnsi="Times New Roman" w:cs="宋体"/>
          <w:color w:val="auto"/>
          <w:sz w:val="24"/>
          <w:highlight w:val="none"/>
          <w:u w:val="single"/>
        </w:rPr>
        <w:t xml:space="preserve">             </w:t>
      </w:r>
      <w:r>
        <w:rPr>
          <w:rFonts w:hint="eastAsia" w:ascii="Times New Roman" w:hAnsi="Times New Roman"/>
          <w:color w:val="auto"/>
          <w:sz w:val="24"/>
          <w:highlight w:val="none"/>
        </w:rPr>
        <w:t>（联合体名称）牵头人。</w:t>
      </w:r>
    </w:p>
    <w:p>
      <w:pPr>
        <w:tabs>
          <w:tab w:val="left" w:pos="684"/>
        </w:tabs>
        <w:spacing w:line="360" w:lineRule="auto"/>
        <w:ind w:right="120" w:firstLine="398" w:firstLineChars="166"/>
        <w:rPr>
          <w:rFonts w:ascii="Times New Roman" w:hAnsi="Times New Roman"/>
          <w:color w:val="auto"/>
          <w:sz w:val="24"/>
          <w:highlight w:val="none"/>
        </w:rPr>
      </w:pPr>
      <w:r>
        <w:rPr>
          <w:rFonts w:hint="eastAsia" w:ascii="Times New Roman" w:hAnsi="Times New Roman"/>
          <w:color w:val="auto"/>
          <w:sz w:val="24"/>
          <w:highlight w:val="none"/>
        </w:rPr>
        <w:t>2.</w:t>
      </w:r>
      <w:r>
        <w:rPr>
          <w:rFonts w:ascii="Times New Roman" w:hAnsi="Times New Roman"/>
          <w:color w:val="auto"/>
          <w:sz w:val="24"/>
          <w:highlight w:val="none"/>
        </w:rPr>
        <w:t>联合体各成员授权牵头人代表联合体参加投标活动，签署文件，提交和接收相关的资料、信息及指示，进行合同谈判活动，负责合同实施阶段的组织和协调工作，以及处理与本招标项目有关的一切事宜。</w:t>
      </w:r>
    </w:p>
    <w:p>
      <w:pPr>
        <w:tabs>
          <w:tab w:val="left" w:pos="684"/>
        </w:tabs>
        <w:spacing w:line="360" w:lineRule="auto"/>
        <w:ind w:firstLine="398" w:firstLineChars="166"/>
        <w:rPr>
          <w:rFonts w:ascii="Times New Roman" w:hAnsi="Times New Roman"/>
          <w:color w:val="auto"/>
          <w:sz w:val="24"/>
          <w:highlight w:val="none"/>
        </w:rPr>
      </w:pPr>
      <w:r>
        <w:rPr>
          <w:rFonts w:hint="eastAsia" w:ascii="Times New Roman" w:hAnsi="Times New Roman"/>
          <w:color w:val="auto"/>
          <w:sz w:val="24"/>
          <w:highlight w:val="none"/>
        </w:rPr>
        <w:t>3.</w:t>
      </w:r>
      <w:r>
        <w:rPr>
          <w:rFonts w:ascii="Times New Roman" w:hAnsi="Times New Roman"/>
          <w:color w:val="auto"/>
          <w:sz w:val="24"/>
          <w:highlight w:val="none"/>
        </w:rPr>
        <w:t>联合体牵头人在本项目中签署的一切文件和处理的一切事宜，联合体各成员均予以承认。联合体各成员将严格按照招标文件、投标文件和合同的要求全面履行义务，并向招标人承担连带责任。</w:t>
      </w:r>
    </w:p>
    <w:p>
      <w:pPr>
        <w:tabs>
          <w:tab w:val="left" w:pos="8620"/>
        </w:tabs>
        <w:spacing w:line="360" w:lineRule="auto"/>
        <w:ind w:firstLine="398" w:firstLineChars="166"/>
        <w:rPr>
          <w:rFonts w:ascii="Times New Roman" w:hAnsi="Times New Roman"/>
          <w:color w:val="auto"/>
          <w:sz w:val="24"/>
          <w:highlight w:val="none"/>
        </w:rPr>
      </w:pPr>
      <w:r>
        <w:rPr>
          <w:rFonts w:ascii="Times New Roman" w:hAnsi="Times New Roman"/>
          <w:color w:val="auto"/>
          <w:sz w:val="24"/>
          <w:highlight w:val="none"/>
        </w:rPr>
        <w:t>4. 联合体各成员单位内部的职责分工如下：</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u w:val="single"/>
        </w:rPr>
        <w:t xml:space="preserve">                 </w:t>
      </w:r>
      <w:r>
        <w:rPr>
          <w:rFonts w:ascii="Times New Roman" w:hAnsi="Times New Roman"/>
          <w:color w:val="auto"/>
          <w:sz w:val="24"/>
          <w:highlight w:val="none"/>
        </w:rPr>
        <w:t>。</w:t>
      </w:r>
    </w:p>
    <w:p>
      <w:pPr>
        <w:tabs>
          <w:tab w:val="left" w:pos="684"/>
        </w:tabs>
        <w:spacing w:line="360" w:lineRule="auto"/>
        <w:ind w:right="220" w:firstLine="398" w:firstLineChars="166"/>
        <w:rPr>
          <w:rFonts w:ascii="Times New Roman" w:hAnsi="Times New Roman"/>
          <w:color w:val="auto"/>
          <w:sz w:val="24"/>
          <w:highlight w:val="none"/>
        </w:rPr>
      </w:pPr>
      <w:r>
        <w:rPr>
          <w:rFonts w:hint="eastAsia" w:ascii="Times New Roman" w:hAnsi="Times New Roman"/>
          <w:color w:val="auto"/>
          <w:sz w:val="24"/>
          <w:highlight w:val="none"/>
        </w:rPr>
        <w:t>5.</w:t>
      </w:r>
      <w:r>
        <w:rPr>
          <w:rFonts w:ascii="Times New Roman" w:hAnsi="Times New Roman"/>
          <w:color w:val="auto"/>
          <w:sz w:val="24"/>
          <w:highlight w:val="none"/>
        </w:rPr>
        <w:t>本协议书自所有成员单位法定代表人或其委托代理人签字或盖单位章之日起生效，合同履行完毕后自动失效。</w:t>
      </w:r>
    </w:p>
    <w:p>
      <w:pPr>
        <w:tabs>
          <w:tab w:val="left" w:pos="680"/>
        </w:tabs>
        <w:spacing w:line="360" w:lineRule="auto"/>
        <w:ind w:firstLine="398" w:firstLineChars="166"/>
        <w:rPr>
          <w:rFonts w:ascii="Times New Roman" w:hAnsi="Times New Roman"/>
          <w:color w:val="auto"/>
          <w:sz w:val="24"/>
          <w:highlight w:val="none"/>
        </w:rPr>
      </w:pPr>
      <w:r>
        <w:rPr>
          <w:rFonts w:hint="eastAsia" w:ascii="Times New Roman" w:hAnsi="Times New Roman"/>
          <w:color w:val="auto"/>
          <w:sz w:val="24"/>
          <w:highlight w:val="none"/>
        </w:rPr>
        <w:t>6.</w:t>
      </w:r>
      <w:r>
        <w:rPr>
          <w:rFonts w:ascii="Times New Roman" w:hAnsi="Times New Roman"/>
          <w:color w:val="auto"/>
          <w:sz w:val="24"/>
          <w:highlight w:val="none"/>
        </w:rPr>
        <w:t>本协议书一式</w:t>
      </w:r>
      <w:r>
        <w:rPr>
          <w:rFonts w:ascii="Times New Roman" w:hAnsi="Times New Roman"/>
          <w:color w:val="auto"/>
          <w:sz w:val="24"/>
          <w:highlight w:val="none"/>
          <w:u w:val="single"/>
        </w:rPr>
        <w:t xml:space="preserve">     </w:t>
      </w:r>
      <w:r>
        <w:rPr>
          <w:rFonts w:ascii="Times New Roman" w:hAnsi="Times New Roman"/>
          <w:color w:val="auto"/>
          <w:sz w:val="24"/>
          <w:highlight w:val="none"/>
        </w:rPr>
        <w:t>份，联合体成员和招标人各执一份。</w:t>
      </w:r>
    </w:p>
    <w:p>
      <w:pPr>
        <w:tabs>
          <w:tab w:val="left" w:pos="680"/>
        </w:tabs>
        <w:spacing w:line="360" w:lineRule="auto"/>
        <w:ind w:firstLine="398" w:firstLineChars="166"/>
        <w:rPr>
          <w:rFonts w:ascii="Times New Roman" w:hAnsi="Times New Roman"/>
          <w:color w:val="auto"/>
          <w:sz w:val="24"/>
          <w:highlight w:val="none"/>
        </w:rPr>
      </w:pPr>
      <w:r>
        <w:rPr>
          <w:rFonts w:hint="eastAsia" w:ascii="Times New Roman" w:hAnsi="Times New Roman"/>
          <w:color w:val="auto"/>
          <w:sz w:val="24"/>
          <w:highlight w:val="none"/>
        </w:rPr>
        <w:t>注：本协议书由法定代表人签字的，应附法定代表人身份证明扫描件；由委托代理人签字的，应附授权委托书扫描件。</w:t>
      </w:r>
    </w:p>
    <w:p>
      <w:pPr>
        <w:tabs>
          <w:tab w:val="left" w:pos="680"/>
        </w:tabs>
        <w:spacing w:line="360" w:lineRule="auto"/>
        <w:ind w:left="680"/>
        <w:rPr>
          <w:rFonts w:hint="eastAsia" w:ascii="Times New Roman" w:hAnsi="Times New Roman"/>
          <w:color w:val="auto"/>
          <w:sz w:val="24"/>
          <w:highlight w:val="none"/>
        </w:rPr>
      </w:pPr>
    </w:p>
    <w:p>
      <w:pPr>
        <w:topLinePunct/>
        <w:spacing w:line="360" w:lineRule="auto"/>
        <w:ind w:right="105"/>
        <w:jc w:val="right"/>
        <w:rPr>
          <w:rFonts w:ascii="Times New Roman" w:hAnsi="Times New Roman"/>
          <w:color w:val="auto"/>
          <w:sz w:val="24"/>
          <w:highlight w:val="none"/>
        </w:rPr>
      </w:pPr>
      <w:r>
        <w:rPr>
          <w:rFonts w:hint="eastAsia" w:ascii="Times New Roman" w:hAnsi="Times New Roman"/>
          <w:color w:val="auto"/>
          <w:sz w:val="24"/>
          <w:highlight w:val="none"/>
        </w:rPr>
        <w:t>联合体牵头人名称：</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（盖单位章）</w:t>
      </w:r>
    </w:p>
    <w:p>
      <w:pPr>
        <w:topLinePunct/>
        <w:spacing w:line="360" w:lineRule="auto"/>
        <w:ind w:right="105"/>
        <w:jc w:val="right"/>
        <w:rPr>
          <w:rFonts w:hint="eastAsia" w:ascii="Times New Roman" w:hAnsi="Times New Roman"/>
          <w:color w:val="auto"/>
          <w:sz w:val="24"/>
          <w:highlight w:val="none"/>
        </w:rPr>
      </w:pPr>
      <w:r>
        <w:rPr>
          <w:rFonts w:hint="eastAsia" w:ascii="Times New Roman" w:hAnsi="Times New Roman"/>
          <w:color w:val="auto"/>
          <w:sz w:val="24"/>
          <w:highlight w:val="none"/>
        </w:rPr>
        <w:t>法定代表人或其委托代理人：</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（签</w:t>
      </w:r>
      <w:r>
        <w:rPr>
          <w:rFonts w:hint="eastAsia" w:ascii="Times New Roman" w:hAnsi="Times New Roman"/>
          <w:color w:val="auto"/>
          <w:sz w:val="24"/>
          <w:highlight w:val="none"/>
        </w:rPr>
        <w:t xml:space="preserve">    </w:t>
      </w:r>
      <w:r>
        <w:rPr>
          <w:rFonts w:ascii="Times New Roman" w:hAnsi="Times New Roman"/>
          <w:color w:val="auto"/>
          <w:sz w:val="24"/>
          <w:highlight w:val="none"/>
        </w:rPr>
        <w:t>字）</w:t>
      </w:r>
    </w:p>
    <w:p>
      <w:pPr>
        <w:topLinePunct/>
        <w:spacing w:line="360" w:lineRule="auto"/>
        <w:ind w:right="105"/>
        <w:jc w:val="right"/>
        <w:rPr>
          <w:rFonts w:ascii="Times New Roman" w:hAnsi="Times New Roman"/>
          <w:color w:val="auto"/>
          <w:sz w:val="24"/>
          <w:highlight w:val="none"/>
        </w:rPr>
      </w:pPr>
      <w:r>
        <w:rPr>
          <w:rFonts w:hint="eastAsia" w:ascii="Times New Roman" w:hAnsi="Times New Roman"/>
          <w:color w:val="auto"/>
          <w:sz w:val="24"/>
          <w:highlight w:val="none"/>
        </w:rPr>
        <w:t>联合体其他成员名称：</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（盖单位章）</w:t>
      </w:r>
    </w:p>
    <w:p>
      <w:pPr>
        <w:topLinePunct/>
        <w:spacing w:line="360" w:lineRule="auto"/>
        <w:ind w:right="105"/>
        <w:jc w:val="right"/>
        <w:rPr>
          <w:rFonts w:ascii="Times New Roman" w:hAnsi="Times New Roman"/>
          <w:color w:val="auto"/>
          <w:sz w:val="24"/>
          <w:highlight w:val="none"/>
        </w:rPr>
      </w:pPr>
      <w:r>
        <w:rPr>
          <w:rFonts w:hint="eastAsia" w:ascii="Times New Roman" w:hAnsi="Times New Roman"/>
          <w:color w:val="auto"/>
          <w:sz w:val="24"/>
          <w:highlight w:val="none"/>
        </w:rPr>
        <w:t>法定代表人或其委托代理人：</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（签</w:t>
      </w:r>
      <w:r>
        <w:rPr>
          <w:rFonts w:hint="eastAsia" w:ascii="Times New Roman" w:hAnsi="Times New Roman"/>
          <w:color w:val="auto"/>
          <w:sz w:val="24"/>
          <w:highlight w:val="none"/>
        </w:rPr>
        <w:t xml:space="preserve">    </w:t>
      </w:r>
      <w:r>
        <w:rPr>
          <w:rFonts w:ascii="Times New Roman" w:hAnsi="Times New Roman"/>
          <w:color w:val="auto"/>
          <w:sz w:val="24"/>
          <w:highlight w:val="none"/>
        </w:rPr>
        <w:t>字）</w:t>
      </w:r>
    </w:p>
    <w:p>
      <w:pPr>
        <w:topLinePunct/>
        <w:spacing w:line="360" w:lineRule="auto"/>
        <w:ind w:right="105"/>
        <w:jc w:val="right"/>
        <w:rPr>
          <w:rFonts w:ascii="Times New Roman" w:hAnsi="Times New Roman"/>
          <w:color w:val="auto"/>
          <w:sz w:val="24"/>
          <w:highlight w:val="none"/>
        </w:rPr>
      </w:pPr>
      <w:r>
        <w:rPr>
          <w:rFonts w:hint="eastAsia" w:ascii="Times New Roman" w:hAnsi="Times New Roman"/>
          <w:color w:val="auto"/>
          <w:sz w:val="24"/>
          <w:highlight w:val="none"/>
        </w:rPr>
        <w:t>联合体其他成员名称：</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（盖单位章）</w:t>
      </w:r>
    </w:p>
    <w:p>
      <w:pPr>
        <w:topLinePunct/>
        <w:spacing w:line="360" w:lineRule="auto"/>
        <w:ind w:right="105"/>
        <w:jc w:val="right"/>
        <w:rPr>
          <w:rFonts w:hint="eastAsia" w:ascii="Times New Roman" w:hAnsi="Times New Roman"/>
          <w:color w:val="auto"/>
          <w:sz w:val="24"/>
          <w:highlight w:val="none"/>
        </w:rPr>
      </w:pPr>
      <w:r>
        <w:rPr>
          <w:rFonts w:hint="eastAsia" w:ascii="Times New Roman" w:hAnsi="Times New Roman"/>
          <w:color w:val="auto"/>
          <w:sz w:val="24"/>
          <w:highlight w:val="none"/>
        </w:rPr>
        <w:t>法定代表人或其委托代理人：</w:t>
      </w:r>
      <w:r>
        <w:rPr>
          <w:rFonts w:hint="eastAsia" w:ascii="Times New Roman" w:hAnsi="Times New Roman"/>
          <w:color w:val="auto"/>
          <w:sz w:val="24"/>
          <w:highlight w:val="none"/>
          <w:u w:val="single"/>
        </w:rPr>
        <w:t xml:space="preserve">        </w:t>
      </w:r>
      <w:r>
        <w:rPr>
          <w:rFonts w:ascii="Times New Roman" w:hAnsi="Times New Roman"/>
          <w:color w:val="auto"/>
          <w:sz w:val="24"/>
          <w:highlight w:val="none"/>
        </w:rPr>
        <w:t>（签</w:t>
      </w:r>
      <w:r>
        <w:rPr>
          <w:rFonts w:hint="eastAsia" w:ascii="Times New Roman" w:hAnsi="Times New Roman"/>
          <w:color w:val="auto"/>
          <w:sz w:val="24"/>
          <w:highlight w:val="none"/>
        </w:rPr>
        <w:t xml:space="preserve">    </w:t>
      </w:r>
      <w:r>
        <w:rPr>
          <w:rFonts w:ascii="Times New Roman" w:hAnsi="Times New Roman"/>
          <w:color w:val="auto"/>
          <w:sz w:val="24"/>
          <w:highlight w:val="none"/>
        </w:rPr>
        <w:t>字）</w:t>
      </w:r>
    </w:p>
    <w:p>
      <w:pPr>
        <w:topLinePunct/>
        <w:spacing w:line="360" w:lineRule="auto"/>
        <w:ind w:right="105"/>
        <w:rPr>
          <w:rFonts w:hint="eastAsia" w:ascii="Times New Roman" w:hAnsi="Times New Roman"/>
          <w:color w:val="auto"/>
          <w:sz w:val="24"/>
          <w:highlight w:val="none"/>
        </w:rPr>
      </w:pPr>
      <w:r>
        <w:rPr>
          <w:rFonts w:hint="eastAsia" w:ascii="Times New Roman" w:hAnsi="Times New Roman"/>
          <w:color w:val="auto"/>
          <w:sz w:val="24"/>
          <w:highlight w:val="none"/>
        </w:rPr>
        <w:t xml:space="preserve"> </w:t>
      </w:r>
      <w:r>
        <w:rPr>
          <w:rFonts w:ascii="Times New Roman" w:hAnsi="Times New Roman"/>
          <w:color w:val="auto"/>
          <w:sz w:val="24"/>
          <w:highlight w:val="none"/>
        </w:rPr>
        <w:t xml:space="preserve">                   ……</w:t>
      </w:r>
    </w:p>
    <w:p>
      <w:pPr>
        <w:spacing w:line="360" w:lineRule="auto"/>
        <w:ind w:left="2879" w:right="105"/>
        <w:jc w:val="center"/>
        <w:rPr>
          <w:rFonts w:hint="eastAsia" w:ascii="Times New Roman" w:hAnsi="Times New Roman"/>
          <w:color w:val="auto"/>
          <w:sz w:val="24"/>
          <w:highlight w:val="none"/>
        </w:rPr>
      </w:pP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年</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月</w:t>
      </w:r>
      <w:r>
        <w:rPr>
          <w:rFonts w:hint="eastAsia" w:ascii="Times New Roman" w:hAnsi="Times New Roman"/>
          <w:color w:val="auto"/>
          <w:sz w:val="24"/>
          <w:highlight w:val="none"/>
          <w:u w:val="single"/>
        </w:rPr>
        <w:t xml:space="preserve">       </w:t>
      </w:r>
      <w:r>
        <w:rPr>
          <w:rFonts w:hint="eastAsia" w:ascii="Times New Roman" w:hAnsi="Times New Roman"/>
          <w:color w:val="auto"/>
          <w:sz w:val="24"/>
          <w:highlight w:val="none"/>
        </w:rPr>
        <w:t>日</w:t>
      </w:r>
    </w:p>
    <w:p>
      <w:pPr>
        <w:spacing w:line="360" w:lineRule="auto"/>
        <w:rPr>
          <w:color w:val="auto"/>
          <w:highlight w:val="none"/>
        </w:rPr>
      </w:pPr>
      <w:r>
        <w:rPr>
          <w:rFonts w:hint="eastAsia" w:ascii="Times New Roman" w:hAnsi="Times New Roman"/>
          <w:color w:val="auto"/>
          <w:sz w:val="24"/>
          <w:highlight w:val="none"/>
        </w:rPr>
        <w:t>注：本协议书为联合体投标时适用，非联合体投标时无需填写。</w:t>
      </w:r>
    </w:p>
    <w:p>
      <w:pPr>
        <w:pStyle w:val="3"/>
        <w:spacing w:line="360" w:lineRule="auto"/>
        <w:jc w:val="center"/>
        <w:rPr>
          <w:rFonts w:ascii="Times New Roman" w:hAnsi="Times New Roman"/>
          <w:color w:val="auto"/>
          <w:szCs w:val="21"/>
          <w:highlight w:val="none"/>
        </w:rPr>
      </w:pPr>
      <w:bookmarkStart w:id="1247" w:name="_Toc247514286"/>
      <w:bookmarkStart w:id="1248" w:name="_Toc247527834"/>
      <w:bookmarkStart w:id="1249" w:name="_Toc144974862"/>
      <w:bookmarkStart w:id="1250" w:name="_Toc300835216"/>
      <w:bookmarkStart w:id="1251" w:name="_Toc152045794"/>
      <w:bookmarkStart w:id="1252" w:name="_Toc152042583"/>
      <w:r>
        <w:rPr>
          <w:rFonts w:hint="eastAsia" w:ascii="Times New Roman" w:hAnsi="Times New Roman" w:eastAsia="宋体"/>
          <w:bCs w:val="0"/>
          <w:color w:val="auto"/>
          <w:kern w:val="44"/>
          <w:sz w:val="28"/>
          <w:szCs w:val="28"/>
          <w:highlight w:val="none"/>
        </w:rPr>
        <w:br w:type="page"/>
      </w:r>
      <w:r>
        <w:rPr>
          <w:rFonts w:hint="eastAsia" w:ascii="Times New Roman" w:hAnsi="Times New Roman" w:eastAsia="宋体"/>
          <w:bCs w:val="0"/>
          <w:color w:val="auto"/>
          <w:kern w:val="44"/>
          <w:sz w:val="28"/>
          <w:szCs w:val="28"/>
          <w:highlight w:val="none"/>
        </w:rPr>
        <w:t>四、投标保证金</w:t>
      </w:r>
      <w:bookmarkEnd w:id="1247"/>
      <w:bookmarkEnd w:id="1248"/>
      <w:bookmarkEnd w:id="1249"/>
      <w:bookmarkEnd w:id="1250"/>
      <w:bookmarkEnd w:id="1251"/>
      <w:bookmarkEnd w:id="1252"/>
    </w:p>
    <w:p>
      <w:pPr>
        <w:numPr>
          <w:ilvl w:val="0"/>
          <w:numId w:val="8"/>
        </w:numPr>
        <w:spacing w:line="360" w:lineRule="auto"/>
        <w:rPr>
          <w:rFonts w:hint="eastAsia" w:ascii="Times New Roman" w:hAnsi="Times New Roman"/>
          <w:color w:val="auto"/>
          <w:sz w:val="24"/>
          <w:highlight w:val="none"/>
        </w:rPr>
      </w:pPr>
      <w:r>
        <w:rPr>
          <w:rFonts w:hint="eastAsia" w:ascii="Times New Roman" w:hAnsi="Times New Roman"/>
          <w:color w:val="auto"/>
          <w:sz w:val="24"/>
          <w:highlight w:val="none"/>
        </w:rPr>
        <w:t>若采用转账方式，投标人应附银行给投标人的转账回单扫描件、人民银行颁发的基本存款账户开户许可证或基本存款账户信息证明材料扫描件。</w:t>
      </w:r>
    </w:p>
    <w:p>
      <w:pPr>
        <w:spacing w:line="360" w:lineRule="auto"/>
        <w:rPr>
          <w:rFonts w:hint="eastAsia" w:ascii="Times New Roman" w:hAnsi="Times New Roman" w:cs="Arial"/>
          <w:color w:val="auto"/>
          <w:kern w:val="0"/>
          <w:sz w:val="24"/>
          <w:highlight w:val="none"/>
        </w:rPr>
      </w:pPr>
      <w:r>
        <w:rPr>
          <w:rFonts w:hint="eastAsia" w:ascii="Times New Roman" w:hAnsi="Times New Roman"/>
          <w:color w:val="auto"/>
          <w:sz w:val="24"/>
          <w:highlight w:val="none"/>
        </w:rPr>
        <w:t>若采用银行电子保函或</w:t>
      </w:r>
      <w:r>
        <w:rPr>
          <w:rFonts w:hint="eastAsia" w:ascii="Times New Roman" w:hAnsi="Times New Roman" w:cs="宋体"/>
          <w:color w:val="auto"/>
          <w:sz w:val="24"/>
          <w:highlight w:val="none"/>
        </w:rPr>
        <w:t>专业担保公司电</w:t>
      </w:r>
      <w:r>
        <w:rPr>
          <w:rFonts w:hint="eastAsia" w:ascii="Times New Roman" w:hAnsi="Times New Roman"/>
          <w:color w:val="auto"/>
          <w:sz w:val="24"/>
          <w:highlight w:val="none"/>
        </w:rPr>
        <w:t>子保函或电子保险合同方式，投标文件中无需附相应材料。提交电子保函的，</w:t>
      </w:r>
      <w:bookmarkStart w:id="1253" w:name="_Toc296602998"/>
      <w:r>
        <w:rPr>
          <w:rFonts w:hint="eastAsia" w:ascii="Times New Roman" w:hAnsi="Times New Roman" w:cs="Arial"/>
          <w:color w:val="auto"/>
          <w:kern w:val="0"/>
          <w:sz w:val="24"/>
          <w:highlight w:val="none"/>
        </w:rPr>
        <w:t>参考格式如下（由招标人选择下列示范文本之一）：</w:t>
      </w:r>
    </w:p>
    <w:p>
      <w:pPr>
        <w:spacing w:line="360" w:lineRule="auto"/>
        <w:rPr>
          <w:rFonts w:hint="eastAsia" w:ascii="Times New Roman" w:hAnsi="Times New Roman" w:cs="Arial"/>
          <w:color w:val="auto"/>
          <w:kern w:val="0"/>
          <w:sz w:val="24"/>
          <w:highlight w:val="none"/>
        </w:rPr>
      </w:pPr>
    </w:p>
    <w:p>
      <w:pPr>
        <w:spacing w:line="360" w:lineRule="auto"/>
        <w:rPr>
          <w:rFonts w:hint="eastAsia" w:ascii="Times New Roman" w:hAnsi="Times New Roman" w:cs="Arial"/>
          <w:color w:val="auto"/>
          <w:kern w:val="0"/>
          <w:sz w:val="24"/>
          <w:highlight w:val="none"/>
        </w:rPr>
      </w:pPr>
      <w:r>
        <w:rPr>
          <w:rFonts w:hint="eastAsia" w:ascii="Times New Roman" w:hAnsi="Times New Roman"/>
          <w:color w:val="auto"/>
          <w:sz w:val="24"/>
          <w:highlight w:val="none"/>
        </w:rPr>
        <w:t>□</w:t>
      </w:r>
      <w:r>
        <w:rPr>
          <w:rFonts w:hint="eastAsia" w:ascii="Times New Roman" w:hAnsi="Times New Roman" w:cs="Arial"/>
          <w:color w:val="auto"/>
          <w:kern w:val="0"/>
          <w:sz w:val="24"/>
          <w:highlight w:val="none"/>
        </w:rPr>
        <w:t>独立保函【住房和城乡建设部关于印发工程保函示范文本的通知（建市〔2021〕11号附件1：投标保函示范文本（独立保函）】</w:t>
      </w:r>
    </w:p>
    <w:p>
      <w:pPr>
        <w:spacing w:line="360" w:lineRule="auto"/>
        <w:rPr>
          <w:rFonts w:hint="eastAsia"/>
          <w:b/>
          <w:bCs/>
          <w:color w:val="auto"/>
          <w:highlight w:val="none"/>
        </w:rPr>
      </w:pPr>
      <w:r>
        <w:rPr>
          <w:rFonts w:hint="eastAsia" w:ascii="Times New Roman" w:hAnsi="Times New Roman"/>
          <w:color w:val="auto"/>
          <w:sz w:val="24"/>
          <w:highlight w:val="none"/>
        </w:rPr>
        <w:t>□</w:t>
      </w:r>
      <w:r>
        <w:rPr>
          <w:rFonts w:hint="eastAsia" w:ascii="Times New Roman" w:hAnsi="Times New Roman" w:cs="Arial"/>
          <w:color w:val="auto"/>
          <w:kern w:val="0"/>
          <w:sz w:val="24"/>
          <w:highlight w:val="none"/>
        </w:rPr>
        <w:t>非独立保函【住房和城乡建设部关于印发工程保函示范文本的通知（建市〔2021〕11号附件2：投标保函示范文本（非独立保函）】</w:t>
      </w:r>
      <w:r>
        <w:rPr>
          <w:rFonts w:hint="eastAsia" w:ascii="Times New Roman" w:hAnsi="Times New Roman" w:cs="Arial"/>
          <w:color w:val="auto"/>
          <w:kern w:val="0"/>
          <w:sz w:val="24"/>
          <w:highlight w:val="none"/>
        </w:rPr>
        <w:br w:type="page"/>
      </w:r>
    </w:p>
    <w:bookmarkEnd w:id="1253"/>
    <w:p>
      <w:pPr>
        <w:pStyle w:val="3"/>
        <w:spacing w:line="360" w:lineRule="auto"/>
        <w:jc w:val="center"/>
        <w:rPr>
          <w:rFonts w:hint="eastAsia" w:ascii="Times New Roman" w:hAnsi="Times New Roman" w:eastAsia="宋体"/>
          <w:bCs w:val="0"/>
          <w:color w:val="auto"/>
          <w:kern w:val="44"/>
          <w:sz w:val="28"/>
          <w:szCs w:val="28"/>
          <w:highlight w:val="none"/>
        </w:rPr>
      </w:pPr>
      <w:bookmarkStart w:id="1254" w:name="_Toc247514287"/>
      <w:bookmarkStart w:id="1255" w:name="_Toc144974863"/>
      <w:bookmarkStart w:id="1256" w:name="_Toc247527835"/>
      <w:bookmarkStart w:id="1257" w:name="_Toc152042584"/>
      <w:bookmarkStart w:id="1258" w:name="_Toc300835218"/>
      <w:bookmarkStart w:id="1259" w:name="_Toc152045795"/>
      <w:r>
        <w:rPr>
          <w:rFonts w:hint="eastAsia" w:ascii="Times New Roman" w:hAnsi="Times New Roman" w:eastAsia="宋体"/>
          <w:bCs w:val="0"/>
          <w:color w:val="auto"/>
          <w:kern w:val="44"/>
          <w:sz w:val="28"/>
          <w:szCs w:val="28"/>
          <w:highlight w:val="none"/>
        </w:rPr>
        <w:t>五、价格清单</w:t>
      </w:r>
      <w:bookmarkEnd w:id="1254"/>
      <w:bookmarkEnd w:id="1255"/>
      <w:bookmarkEnd w:id="1256"/>
      <w:bookmarkEnd w:id="1257"/>
      <w:bookmarkEnd w:id="1258"/>
      <w:bookmarkEnd w:id="1259"/>
    </w:p>
    <w:p>
      <w:pPr>
        <w:numPr>
          <w:ilvl w:val="0"/>
          <w:numId w:val="0"/>
        </w:numPr>
        <w:rPr>
          <w:rFonts w:hint="eastAsia"/>
          <w:color w:val="auto"/>
          <w:highlight w:val="none"/>
          <w:vertAlign w:val="baseline"/>
        </w:rPr>
      </w:pPr>
      <w:r>
        <w:rPr>
          <w:rFonts w:hint="eastAsia"/>
          <w:color w:val="auto"/>
          <w:highlight w:val="none"/>
          <w:vertAlign w:val="baseline"/>
        </w:rPr>
        <w:t>注:投标人应按照招标文件的要求和《四川省住房和城乡建设厅关于四川省房屋建筑和市政基础</w:t>
      </w:r>
    </w:p>
    <w:p>
      <w:pPr>
        <w:numPr>
          <w:ilvl w:val="0"/>
          <w:numId w:val="0"/>
        </w:numPr>
        <w:spacing w:line="240" w:lineRule="auto"/>
        <w:rPr>
          <w:rFonts w:ascii="Times New Roman" w:hAnsi="Times New Roman"/>
          <w:color w:val="auto"/>
          <w:szCs w:val="21"/>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vertAlign w:val="baseline"/>
        </w:rPr>
        <w:t>设施项目工程总承包合同计价的指导意见》的规定提交价格清单</w:t>
      </w:r>
      <w:r>
        <w:rPr>
          <w:rFonts w:hint="eastAsia" w:ascii="Times New Roman" w:hAnsi="Times New Roman"/>
          <w:color w:val="auto"/>
          <w:szCs w:val="21"/>
          <w:highlight w:val="none"/>
        </w:rPr>
        <w:t>。</w:t>
      </w:r>
    </w:p>
    <w:p>
      <w:pPr>
        <w:pStyle w:val="3"/>
        <w:spacing w:line="360" w:lineRule="auto"/>
        <w:jc w:val="center"/>
        <w:rPr>
          <w:rFonts w:hint="eastAsia" w:ascii="Times New Roman" w:hAnsi="Times New Roman" w:eastAsia="宋体"/>
          <w:bCs w:val="0"/>
          <w:color w:val="auto"/>
          <w:kern w:val="44"/>
          <w:sz w:val="28"/>
          <w:szCs w:val="28"/>
          <w:highlight w:val="none"/>
          <w:lang w:eastAsia="zh-CN"/>
        </w:rPr>
      </w:pPr>
      <w:bookmarkStart w:id="1260" w:name="_Toc300835221"/>
      <w:bookmarkStart w:id="1261" w:name="_Toc144974864"/>
      <w:bookmarkStart w:id="1262" w:name="_Toc247514288"/>
      <w:bookmarkStart w:id="1263" w:name="_Toc247527836"/>
      <w:bookmarkStart w:id="1264" w:name="_Toc152042585"/>
      <w:bookmarkStart w:id="1265" w:name="_Toc152045796"/>
      <w:r>
        <w:rPr>
          <w:rFonts w:hint="eastAsia" w:ascii="Times New Roman" w:hAnsi="Times New Roman" w:eastAsia="宋体"/>
          <w:bCs w:val="0"/>
          <w:color w:val="auto"/>
          <w:kern w:val="44"/>
          <w:sz w:val="28"/>
          <w:szCs w:val="28"/>
          <w:highlight w:val="none"/>
        </w:rPr>
        <w:t>六、承包人建议书</w:t>
      </w:r>
      <w:bookmarkEnd w:id="1260"/>
      <w:bookmarkEnd w:id="1261"/>
      <w:bookmarkEnd w:id="1262"/>
      <w:bookmarkEnd w:id="1263"/>
      <w:bookmarkEnd w:id="1264"/>
      <w:bookmarkEnd w:id="1265"/>
      <w:r>
        <w:rPr>
          <w:rFonts w:hint="eastAsia" w:ascii="Times New Roman" w:hAnsi="Times New Roman" w:eastAsia="宋体"/>
          <w:bCs w:val="0"/>
          <w:color w:val="auto"/>
          <w:kern w:val="44"/>
          <w:sz w:val="28"/>
          <w:szCs w:val="28"/>
          <w:highlight w:val="none"/>
          <w:lang w:eastAsia="zh-CN"/>
        </w:rPr>
        <w:t>（暗标）</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（一）图纸</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（二）工程详细说明</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（三）设备方案</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1．生产设备。</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2．必备的备品备件。</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 备选的备品备件。</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（四）分包方案</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（五）对发包人要求错误的说明</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（六）其他</w:t>
      </w:r>
    </w:p>
    <w:p>
      <w:pPr>
        <w:spacing w:line="360" w:lineRule="auto"/>
        <w:rPr>
          <w:rFonts w:hint="eastAsia"/>
          <w:color w:val="auto"/>
          <w:highlight w:val="none"/>
        </w:rPr>
      </w:pPr>
    </w:p>
    <w:p>
      <w:pPr>
        <w:spacing w:line="360" w:lineRule="auto"/>
        <w:ind w:firstLine="421" w:firstLineChars="200"/>
        <w:jc w:val="left"/>
        <w:rPr>
          <w:rFonts w:hint="eastAsia" w:ascii="Times New Roman" w:hAnsi="Times New Roman" w:eastAsia="宋体" w:cs="宋体"/>
          <w:b/>
          <w:bCs/>
          <w:color w:val="auto"/>
          <w:szCs w:val="21"/>
          <w:highlight w:val="none"/>
        </w:rPr>
      </w:pPr>
      <w:r>
        <w:rPr>
          <w:rFonts w:hint="eastAsia" w:ascii="Times New Roman" w:hAnsi="Times New Roman" w:eastAsia="宋体" w:cs="宋体"/>
          <w:b/>
          <w:bCs/>
          <w:color w:val="auto"/>
          <w:szCs w:val="21"/>
          <w:highlight w:val="none"/>
        </w:rPr>
        <w:t>说明：</w:t>
      </w:r>
    </w:p>
    <w:p>
      <w:pPr>
        <w:spacing w:line="360" w:lineRule="auto"/>
        <w:ind w:firstLine="420" w:firstLineChars="200"/>
        <w:jc w:val="both"/>
        <w:rPr>
          <w:rFonts w:hint="eastAsia"/>
          <w:color w:val="auto"/>
          <w:highlight w:val="none"/>
        </w:rPr>
      </w:pPr>
      <w:r>
        <w:rPr>
          <w:rFonts w:hint="eastAsia"/>
          <w:color w:val="auto"/>
          <w:highlight w:val="none"/>
          <w:lang w:eastAsia="zh-CN"/>
        </w:rPr>
        <w:t>（</w:t>
      </w:r>
      <w:r>
        <w:rPr>
          <w:rFonts w:hint="eastAsia"/>
          <w:color w:val="auto"/>
          <w:highlight w:val="none"/>
          <w:lang w:val="en-US" w:eastAsia="zh-CN"/>
        </w:rPr>
        <w:t>1</w:t>
      </w:r>
      <w:r>
        <w:rPr>
          <w:rFonts w:hint="eastAsia"/>
          <w:color w:val="auto"/>
          <w:highlight w:val="none"/>
          <w:lang w:eastAsia="zh-CN"/>
        </w:rPr>
        <w:t>）</w:t>
      </w:r>
      <w:r>
        <w:rPr>
          <w:rFonts w:hint="eastAsia"/>
          <w:color w:val="auto"/>
          <w:highlight w:val="none"/>
        </w:rPr>
        <w:t>发包人认为承包人实施计划中的有关内容应列入承包人建议书的，应在本页载明。</w:t>
      </w:r>
    </w:p>
    <w:p>
      <w:pPr>
        <w:spacing w:line="360" w:lineRule="auto"/>
        <w:ind w:firstLine="420" w:firstLineChars="200"/>
        <w:jc w:val="both"/>
        <w:rPr>
          <w:rFonts w:hint="eastAsia"/>
          <w:color w:val="auto"/>
          <w:highlight w:val="none"/>
        </w:rPr>
      </w:pPr>
      <w:r>
        <w:rPr>
          <w:rFonts w:hint="eastAsia"/>
          <w:color w:val="auto"/>
          <w:highlight w:val="none"/>
          <w:lang w:eastAsia="zh-CN"/>
        </w:rPr>
        <w:t>（</w:t>
      </w:r>
      <w:r>
        <w:rPr>
          <w:rFonts w:hint="eastAsia"/>
          <w:color w:val="auto"/>
          <w:highlight w:val="none"/>
          <w:lang w:val="en-US" w:eastAsia="zh-CN"/>
        </w:rPr>
        <w:t>2</w:t>
      </w:r>
      <w:r>
        <w:rPr>
          <w:rFonts w:hint="eastAsia"/>
          <w:color w:val="auto"/>
          <w:highlight w:val="none"/>
          <w:lang w:eastAsia="zh-CN"/>
        </w:rPr>
        <w:t>）</w:t>
      </w:r>
      <w:r>
        <w:rPr>
          <w:rFonts w:hint="eastAsia"/>
          <w:color w:val="auto"/>
          <w:highlight w:val="none"/>
        </w:rPr>
        <w:t>本章节为暗标。投标文件暗标部分编制应符合招标文件第八章“投标文件编制和暗标评审规范”。</w:t>
      </w:r>
    </w:p>
    <w:p>
      <w:pPr>
        <w:spacing w:line="360" w:lineRule="auto"/>
        <w:ind w:firstLine="420" w:firstLineChars="200"/>
        <w:jc w:val="both"/>
        <w:rPr>
          <w:rFonts w:hint="eastAsia"/>
          <w:color w:val="auto"/>
          <w:highlight w:val="none"/>
        </w:rPr>
      </w:pPr>
      <w:r>
        <w:rPr>
          <w:rFonts w:hint="eastAsia"/>
          <w:color w:val="auto"/>
          <w:highlight w:val="none"/>
        </w:rPr>
        <w:t>（</w:t>
      </w:r>
      <w:r>
        <w:rPr>
          <w:rFonts w:hint="eastAsia"/>
          <w:color w:val="auto"/>
          <w:highlight w:val="none"/>
          <w:lang w:val="en-US" w:eastAsia="zh-CN"/>
        </w:rPr>
        <w:t>3</w:t>
      </w:r>
      <w:r>
        <w:rPr>
          <w:rFonts w:hint="eastAsia"/>
          <w:color w:val="auto"/>
          <w:highlight w:val="none"/>
        </w:rPr>
        <w:t>）字体及排版格式：</w:t>
      </w:r>
    </w:p>
    <w:p>
      <w:pPr>
        <w:spacing w:line="360" w:lineRule="auto"/>
        <w:ind w:firstLine="420" w:firstLineChars="200"/>
        <w:jc w:val="both"/>
        <w:rPr>
          <w:rFonts w:hint="eastAsia"/>
          <w:color w:val="auto"/>
          <w:highlight w:val="none"/>
        </w:rPr>
      </w:pPr>
      <w:r>
        <w:rPr>
          <w:rFonts w:hint="eastAsia"/>
          <w:color w:val="auto"/>
          <w:highlight w:val="none"/>
        </w:rPr>
        <w:t>①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spacing w:line="360" w:lineRule="auto"/>
        <w:ind w:firstLine="420" w:firstLineChars="200"/>
        <w:jc w:val="both"/>
        <w:rPr>
          <w:rFonts w:hint="eastAsia"/>
          <w:color w:val="auto"/>
          <w:highlight w:val="none"/>
        </w:rPr>
      </w:pPr>
      <w:r>
        <w:rPr>
          <w:rFonts w:hint="eastAsia"/>
          <w:color w:val="auto"/>
          <w:highlight w:val="none"/>
        </w:rPr>
        <w:t>②图、表中的字体、段落等与上述要求相同，但是段落对齐方式为居中，特殊格式（首行缩进）为无。</w:t>
      </w:r>
    </w:p>
    <w:p>
      <w:pPr>
        <w:spacing w:line="360" w:lineRule="auto"/>
        <w:ind w:firstLine="420" w:firstLineChars="200"/>
        <w:jc w:val="both"/>
        <w:rPr>
          <w:rFonts w:hint="eastAsia" w:ascii="Times New Roman" w:hAnsi="Times New Roman"/>
          <w:color w:val="auto"/>
          <w:highlight w:val="none"/>
        </w:rPr>
        <w:sectPr>
          <w:footerReference r:id="rId12" w:type="default"/>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color w:val="auto"/>
          <w:highlight w:val="none"/>
        </w:rPr>
        <w:t>③一级标题格式：例如“第2章 技术方案”。二级标题格式：例如“2.1 关键技术路线”。三级标题格式：例如“2.1.1 关键技术路线剖析”，以此类推。标题中空格为1个英文半角空格。</w:t>
      </w:r>
    </w:p>
    <w:p>
      <w:pPr>
        <w:pStyle w:val="3"/>
        <w:spacing w:line="360" w:lineRule="auto"/>
        <w:jc w:val="center"/>
        <w:rPr>
          <w:rFonts w:hint="eastAsia" w:ascii="Times New Roman" w:hAnsi="Times New Roman" w:eastAsia="宋体"/>
          <w:bCs w:val="0"/>
          <w:color w:val="auto"/>
          <w:kern w:val="44"/>
          <w:sz w:val="28"/>
          <w:szCs w:val="28"/>
          <w:highlight w:val="none"/>
          <w:lang w:eastAsia="zh-CN"/>
        </w:rPr>
      </w:pPr>
      <w:bookmarkStart w:id="1266" w:name="_Toc300835222"/>
      <w:r>
        <w:rPr>
          <w:rFonts w:hint="eastAsia" w:ascii="Times New Roman" w:hAnsi="Times New Roman" w:eastAsia="宋体"/>
          <w:bCs w:val="0"/>
          <w:color w:val="auto"/>
          <w:kern w:val="44"/>
          <w:sz w:val="28"/>
          <w:szCs w:val="28"/>
          <w:highlight w:val="none"/>
        </w:rPr>
        <w:t>七、承包人实施计划</w:t>
      </w:r>
      <w:bookmarkEnd w:id="1266"/>
      <w:r>
        <w:rPr>
          <w:rFonts w:hint="eastAsia" w:ascii="Times New Roman" w:hAnsi="Times New Roman" w:eastAsia="宋体"/>
          <w:bCs w:val="0"/>
          <w:color w:val="auto"/>
          <w:kern w:val="44"/>
          <w:sz w:val="28"/>
          <w:szCs w:val="28"/>
          <w:highlight w:val="none"/>
          <w:lang w:eastAsia="zh-CN"/>
        </w:rPr>
        <w:t>（暗标）</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（一）概述</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 项目简要介绍。</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 项目范围。</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 项目特点。</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（二）总体实施方案</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 项目目标（质量、工期、造价）。</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 项目实施组织形式。</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 项目阶段划分。</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4. 项目工作分解结构。</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5. 对项目各阶段工作及文件的要求。</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6. 项目分包和采购计划。</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7. 项目沟通与协调程序。</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（三）项目实施要点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 设计实施要点。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 采购实施要点。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 施工实施要点。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4. 试运行实施要点。</w:t>
      </w:r>
    </w:p>
    <w:p>
      <w:pPr>
        <w:spacing w:line="360" w:lineRule="auto"/>
        <w:rPr>
          <w:rFonts w:hint="eastAsia" w:ascii="Times New Roman" w:hAnsi="Times New Roman" w:cs="宋体"/>
          <w:color w:val="auto"/>
          <w:szCs w:val="21"/>
          <w:highlight w:val="none"/>
        </w:rPr>
      </w:pPr>
      <w:r>
        <w:rPr>
          <w:rFonts w:hint="eastAsia" w:ascii="Times New Roman" w:hAnsi="Times New Roman" w:cs="宋体"/>
          <w:color w:val="auto"/>
          <w:szCs w:val="21"/>
          <w:highlight w:val="none"/>
        </w:rPr>
        <w:t>（四）项目管理要点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 合同管理要点。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 资源管理要点。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 质量控制要点。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4. 进度控制要点。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5. 费用估算及控制要点。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6. 安全管理要点。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7. 职业健康管理要点。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8．环境管理要点。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9. 沟通和协调管理要点。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10. 财务管理要点。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11. 风险管理要点。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12. 文件及信息管理要点。</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13. 报告制度。</w:t>
      </w:r>
    </w:p>
    <w:p>
      <w:pPr>
        <w:spacing w:line="360" w:lineRule="auto"/>
        <w:rPr>
          <w:rFonts w:hint="eastAsia" w:ascii="Times New Roman" w:hAnsi="Times New Roman" w:cs="宋体"/>
          <w:color w:val="auto"/>
          <w:highlight w:val="none"/>
        </w:rPr>
      </w:pP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说明：</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lang w:eastAsia="zh-CN"/>
        </w:rPr>
        <w:t>（</w:t>
      </w:r>
      <w:r>
        <w:rPr>
          <w:rFonts w:hint="eastAsia" w:ascii="Times New Roman" w:hAnsi="Times New Roman" w:cs="宋体"/>
          <w:color w:val="auto"/>
          <w:highlight w:val="none"/>
          <w:lang w:val="en-US" w:eastAsia="zh-CN"/>
        </w:rPr>
        <w:t>1</w:t>
      </w:r>
      <w:r>
        <w:rPr>
          <w:rFonts w:hint="eastAsia" w:ascii="Times New Roman" w:hAnsi="Times New Roman" w:cs="宋体"/>
          <w:color w:val="auto"/>
          <w:highlight w:val="none"/>
          <w:lang w:eastAsia="zh-CN"/>
        </w:rPr>
        <w:t>）</w:t>
      </w:r>
      <w:r>
        <w:rPr>
          <w:rFonts w:hint="eastAsia" w:ascii="Times New Roman" w:hAnsi="Times New Roman" w:cs="宋体"/>
          <w:color w:val="auto"/>
          <w:highlight w:val="none"/>
        </w:rPr>
        <w:t>发包人认为上述内容应列入承包人建议书的，应在“投标文件格式”中“承包人建议书”中载明。</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（2）本章节为暗标。投标文件暗标部分编制应符合招标文件第八章“投标文件编制和暗标评审规范”。</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（3）字体及排版格式：</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①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②图、表中的字体、段落等与上述要求相同，但是段落对齐方式为居中，特殊格式（首行缩进）为无。</w:t>
      </w:r>
    </w:p>
    <w:p>
      <w:pPr>
        <w:spacing w:line="360" w:lineRule="auto"/>
        <w:ind w:firstLine="420" w:firstLineChars="200"/>
        <w:rPr>
          <w:rFonts w:hint="eastAsia" w:ascii="Times New Roman" w:hAnsi="Times New Roman" w:cs="宋体"/>
          <w:color w:val="auto"/>
          <w:highlight w:val="none"/>
        </w:rPr>
      </w:pPr>
      <w:r>
        <w:rPr>
          <w:rFonts w:hint="eastAsia" w:ascii="Times New Roman" w:hAnsi="Times New Roman" w:cs="宋体"/>
          <w:color w:val="auto"/>
          <w:highlight w:val="none"/>
        </w:rPr>
        <w:t>③一级标题格式：例如“第2章 技术方案”。二级标题格式：例如“2.1 关键技术路线”。三级标题格式：例如“2.1.1 关键技术路线剖析”，以此类推。标题中空格为1个英文半角空格。</w:t>
      </w:r>
    </w:p>
    <w:p>
      <w:pPr>
        <w:spacing w:line="360" w:lineRule="auto"/>
        <w:rPr>
          <w:rFonts w:hint="eastAsia"/>
          <w:color w:val="auto"/>
          <w:highlight w:val="none"/>
        </w:rPr>
      </w:pPr>
    </w:p>
    <w:p>
      <w:pPr>
        <w:rPr>
          <w:rFonts w:hint="eastAsia"/>
          <w:color w:val="auto"/>
          <w:highlight w:val="none"/>
        </w:rPr>
      </w:pPr>
    </w:p>
    <w:p>
      <w:pPr>
        <w:rPr>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rPr>
          <w:rFonts w:hint="eastAsia"/>
          <w:color w:val="auto"/>
          <w:highlight w:val="none"/>
        </w:rPr>
      </w:pPr>
    </w:p>
    <w:p>
      <w:pPr>
        <w:pStyle w:val="3"/>
        <w:spacing w:line="360" w:lineRule="auto"/>
        <w:jc w:val="center"/>
        <w:rPr>
          <w:rFonts w:hint="eastAsia" w:ascii="Times New Roman" w:hAnsi="Times New Roman" w:eastAsia="宋体" w:cs="宋体"/>
          <w:bCs w:val="0"/>
          <w:color w:val="auto"/>
          <w:kern w:val="0"/>
          <w:sz w:val="24"/>
          <w:szCs w:val="24"/>
          <w:highlight w:val="none"/>
        </w:rPr>
      </w:pPr>
      <w:bookmarkStart w:id="1267" w:name="_Toc300835223"/>
      <w:r>
        <w:rPr>
          <w:rFonts w:hint="eastAsia" w:ascii="Times New Roman" w:hAnsi="Times New Roman" w:eastAsia="宋体"/>
          <w:bCs w:val="0"/>
          <w:color w:val="auto"/>
          <w:kern w:val="44"/>
          <w:sz w:val="28"/>
          <w:szCs w:val="28"/>
          <w:highlight w:val="none"/>
        </w:rPr>
        <w:t>八、</w:t>
      </w:r>
      <w:bookmarkStart w:id="1268" w:name="_Toc152042596"/>
      <w:bookmarkStart w:id="1269" w:name="_Toc247514299"/>
      <w:bookmarkStart w:id="1270" w:name="_Toc152045807"/>
      <w:bookmarkStart w:id="1271" w:name="_Toc144974875"/>
      <w:bookmarkStart w:id="1272" w:name="_Toc247527847"/>
      <w:r>
        <w:rPr>
          <w:rFonts w:hint="eastAsia" w:ascii="Times New Roman" w:hAnsi="Times New Roman" w:eastAsia="宋体"/>
          <w:bCs w:val="0"/>
          <w:color w:val="auto"/>
          <w:kern w:val="44"/>
          <w:sz w:val="28"/>
          <w:szCs w:val="28"/>
          <w:highlight w:val="none"/>
        </w:rPr>
        <w:t>资格审查资料</w:t>
      </w:r>
      <w:bookmarkEnd w:id="1267"/>
      <w:bookmarkEnd w:id="1268"/>
      <w:bookmarkEnd w:id="1269"/>
      <w:bookmarkEnd w:id="1270"/>
      <w:bookmarkEnd w:id="1271"/>
      <w:bookmarkEnd w:id="1272"/>
      <w:bookmarkStart w:id="1273" w:name="_Toc300835224"/>
      <w:bookmarkStart w:id="1274" w:name="_Toc247514300"/>
      <w:bookmarkStart w:id="1275" w:name="_Toc152042597"/>
      <w:bookmarkStart w:id="1276" w:name="_Toc144974876"/>
      <w:bookmarkStart w:id="1277" w:name="_Toc247527848"/>
      <w:bookmarkStart w:id="1278" w:name="_Toc152045808"/>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left"/>
        <w:rPr>
          <w:rFonts w:hint="eastAsia" w:ascii="Times New Roman" w:hAnsi="Times New Roman" w:cs="宋体"/>
          <w:color w:val="auto"/>
          <w:kern w:val="0"/>
          <w:sz w:val="24"/>
          <w:highlight w:val="none"/>
        </w:rPr>
      </w:pPr>
    </w:p>
    <w:p>
      <w:pPr>
        <w:widowControl/>
        <w:topLinePunct/>
        <w:spacing w:line="360" w:lineRule="auto"/>
        <w:jc w:val="center"/>
        <w:rPr>
          <w:rStyle w:val="28"/>
          <w:rFonts w:hint="eastAsia" w:ascii="Times New Roman" w:hAnsi="Times New Roman"/>
          <w:color w:val="auto"/>
          <w:highlight w:val="none"/>
        </w:rPr>
      </w:pPr>
      <w:r>
        <w:rPr>
          <w:rFonts w:hint="eastAsia" w:ascii="Times New Roman" w:hAnsi="Times New Roman" w:cs="宋体"/>
          <w:color w:val="auto"/>
          <w:kern w:val="0"/>
          <w:sz w:val="24"/>
          <w:highlight w:val="none"/>
        </w:rPr>
        <w:t>注：新成立企业不满足招标人年度要求的，投标人只提供成立后相应年度的资料。</w:t>
      </w:r>
      <w:r>
        <w:rPr>
          <w:rFonts w:hint="eastAsia" w:ascii="Times New Roman" w:hAnsi="Times New Roman" w:cs="宋体"/>
          <w:color w:val="auto"/>
          <w:kern w:val="0"/>
          <w:sz w:val="24"/>
          <w:highlight w:val="none"/>
        </w:rPr>
        <w:br w:type="page"/>
      </w:r>
      <w:r>
        <w:rPr>
          <w:rStyle w:val="28"/>
          <w:rFonts w:hint="eastAsia" w:ascii="Times New Roman" w:hAnsi="Times New Roman"/>
          <w:color w:val="auto"/>
          <w:highlight w:val="none"/>
        </w:rPr>
        <w:t>（一）投标人基本情况表</w:t>
      </w:r>
      <w:bookmarkEnd w:id="1273"/>
      <w:bookmarkEnd w:id="1274"/>
      <w:bookmarkEnd w:id="1275"/>
      <w:bookmarkEnd w:id="1276"/>
      <w:bookmarkEnd w:id="1277"/>
      <w:bookmarkEnd w:id="1278"/>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898"/>
        <w:gridCol w:w="951"/>
        <w:gridCol w:w="840"/>
        <w:gridCol w:w="420"/>
        <w:gridCol w:w="311"/>
        <w:gridCol w:w="1078"/>
        <w:gridCol w:w="490"/>
        <w:gridCol w:w="860"/>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投标人名称</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注册地址</w:t>
            </w:r>
          </w:p>
        </w:tc>
        <w:tc>
          <w:tcPr>
            <w:tcW w:w="3420"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28"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联系方式</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联系人</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28"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传  真</w:t>
            </w:r>
          </w:p>
        </w:tc>
        <w:tc>
          <w:tcPr>
            <w:tcW w:w="2522"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组织结构</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法定代表人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rFonts w:hint="eastAsia"/>
                <w:color w:val="auto"/>
                <w:szCs w:val="21"/>
                <w:highlight w:val="none"/>
              </w:rPr>
              <w:t>专业</w:t>
            </w: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姓名</w:t>
            </w:r>
          </w:p>
        </w:tc>
        <w:tc>
          <w:tcPr>
            <w:tcW w:w="951"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260"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rFonts w:hint="eastAsia"/>
                <w:color w:val="auto"/>
                <w:szCs w:val="21"/>
                <w:highlight w:val="none"/>
              </w:rPr>
              <w:t>专业</w:t>
            </w:r>
            <w:r>
              <w:rPr>
                <w:color w:val="auto"/>
                <w:szCs w:val="21"/>
                <w:highlight w:val="none"/>
              </w:rPr>
              <w:t>技术职称</w:t>
            </w:r>
          </w:p>
        </w:tc>
        <w:tc>
          <w:tcPr>
            <w:tcW w:w="1879"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60"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成立时间</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ind w:firstLine="105" w:firstLineChars="50"/>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企业资质等级</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其中</w:t>
            </w:r>
          </w:p>
        </w:tc>
        <w:tc>
          <w:tcPr>
            <w:tcW w:w="2299" w:type="dxa"/>
            <w:gridSpan w:val="4"/>
            <w:vMerge w:val="restart"/>
            <w:tcBorders>
              <w:top w:val="single" w:color="auto" w:sz="4" w:space="0"/>
              <w:left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高级</w:t>
            </w:r>
            <w:r>
              <w:rPr>
                <w:rFonts w:hint="eastAsia"/>
                <w:color w:val="auto"/>
                <w:szCs w:val="21"/>
                <w:highlight w:val="none"/>
              </w:rPr>
              <w:t>专业</w:t>
            </w:r>
            <w:r>
              <w:rPr>
                <w:color w:val="auto"/>
                <w:szCs w:val="21"/>
                <w:highlight w:val="none"/>
              </w:rPr>
              <w:t>技术职称</w:t>
            </w:r>
          </w:p>
          <w:p>
            <w:pPr>
              <w:topLinePunct/>
              <w:spacing w:line="360" w:lineRule="auto"/>
              <w:jc w:val="center"/>
              <w:rPr>
                <w:color w:val="auto"/>
                <w:szCs w:val="21"/>
                <w:highlight w:val="none"/>
              </w:rPr>
            </w:pPr>
            <w:r>
              <w:rPr>
                <w:color w:val="auto"/>
                <w:szCs w:val="21"/>
                <w:highlight w:val="none"/>
              </w:rPr>
              <w:t>人员</w:t>
            </w:r>
          </w:p>
        </w:tc>
        <w:tc>
          <w:tcPr>
            <w:tcW w:w="1852" w:type="dxa"/>
            <w:gridSpan w:val="2"/>
            <w:vMerge w:val="restart"/>
            <w:tcBorders>
              <w:top w:val="single" w:color="auto" w:sz="4" w:space="0"/>
              <w:left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营业执照号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2299" w:type="dxa"/>
            <w:gridSpan w:val="4"/>
            <w:vMerge w:val="continue"/>
            <w:tcBorders>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852" w:type="dxa"/>
            <w:gridSpan w:val="2"/>
            <w:vMerge w:val="continue"/>
            <w:tcBorders>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注册资金</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中级</w:t>
            </w:r>
            <w:r>
              <w:rPr>
                <w:rFonts w:hint="eastAsia"/>
                <w:color w:val="auto"/>
                <w:szCs w:val="21"/>
                <w:highlight w:val="none"/>
              </w:rPr>
              <w:t>专业</w:t>
            </w:r>
            <w:r>
              <w:rPr>
                <w:color w:val="auto"/>
                <w:szCs w:val="21"/>
                <w:highlight w:val="none"/>
              </w:rPr>
              <w:t>技术职称</w:t>
            </w:r>
          </w:p>
          <w:p>
            <w:pPr>
              <w:topLinePunct/>
              <w:spacing w:line="360" w:lineRule="auto"/>
              <w:jc w:val="center"/>
              <w:rPr>
                <w:color w:val="auto"/>
                <w:szCs w:val="21"/>
                <w:highlight w:val="none"/>
              </w:rPr>
            </w:pPr>
            <w:r>
              <w:rPr>
                <w:color w:val="auto"/>
                <w:szCs w:val="21"/>
                <w:highlight w:val="none"/>
              </w:rPr>
              <w:t>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开户银行</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初级</w:t>
            </w:r>
            <w:r>
              <w:rPr>
                <w:rFonts w:hint="eastAsia"/>
                <w:color w:val="auto"/>
                <w:szCs w:val="21"/>
                <w:highlight w:val="none"/>
              </w:rPr>
              <w:t>专业</w:t>
            </w:r>
            <w:r>
              <w:rPr>
                <w:color w:val="auto"/>
                <w:szCs w:val="21"/>
                <w:highlight w:val="none"/>
              </w:rPr>
              <w:t>技术职称</w:t>
            </w:r>
          </w:p>
          <w:p>
            <w:pPr>
              <w:topLinePunct/>
              <w:spacing w:line="360" w:lineRule="auto"/>
              <w:jc w:val="center"/>
              <w:rPr>
                <w:color w:val="auto"/>
                <w:szCs w:val="21"/>
                <w:highlight w:val="none"/>
              </w:rPr>
            </w:pPr>
            <w:r>
              <w:rPr>
                <w:color w:val="auto"/>
                <w:szCs w:val="21"/>
                <w:highlight w:val="none"/>
              </w:rPr>
              <w:t>人员</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账号</w:t>
            </w:r>
          </w:p>
        </w:tc>
        <w:tc>
          <w:tcPr>
            <w:tcW w:w="1849"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2299"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highlight w:val="none"/>
              </w:rPr>
            </w:pPr>
            <w:r>
              <w:rPr>
                <w:color w:val="auto"/>
                <w:szCs w:val="21"/>
                <w:highlight w:val="none"/>
              </w:rPr>
              <w:t>技工</w:t>
            </w:r>
          </w:p>
        </w:tc>
        <w:tc>
          <w:tcPr>
            <w:tcW w:w="185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right w:val="single" w:color="auto" w:sz="4" w:space="0"/>
            </w:tcBorders>
            <w:noWrap w:val="0"/>
            <w:vAlign w:val="center"/>
          </w:tcPr>
          <w:p>
            <w:pPr>
              <w:topLinePunct/>
              <w:spacing w:line="360" w:lineRule="auto"/>
              <w:ind w:firstLine="210" w:firstLineChars="100"/>
              <w:jc w:val="center"/>
              <w:rPr>
                <w:color w:val="auto"/>
                <w:szCs w:val="21"/>
                <w:highlight w:val="none"/>
              </w:rPr>
            </w:pPr>
            <w:r>
              <w:rPr>
                <w:color w:val="auto"/>
                <w:szCs w:val="21"/>
                <w:highlight w:val="none"/>
              </w:rPr>
              <w:t>经营范围</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right w:val="single" w:color="auto" w:sz="4" w:space="0"/>
            </w:tcBorders>
            <w:noWrap w:val="0"/>
            <w:vAlign w:val="center"/>
          </w:tcPr>
          <w:p>
            <w:pPr>
              <w:topLinePunct/>
              <w:spacing w:line="360" w:lineRule="auto"/>
              <w:jc w:val="center"/>
              <w:rPr>
                <w:color w:val="auto"/>
                <w:szCs w:val="21"/>
                <w:highlight w:val="none"/>
              </w:rPr>
            </w:pPr>
            <w:r>
              <w:rPr>
                <w:rFonts w:hint="eastAsia" w:ascii="Times New Roman" w:hAnsi="Times New Roman" w:cs="宋体"/>
                <w:color w:val="auto"/>
                <w:szCs w:val="21"/>
                <w:highlight w:val="none"/>
              </w:rPr>
              <w:t>与投标人的单位负责人为同一人的单位</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right w:val="single" w:color="auto" w:sz="4" w:space="0"/>
            </w:tcBorders>
            <w:noWrap w:val="0"/>
            <w:vAlign w:val="center"/>
          </w:tcPr>
          <w:p>
            <w:pPr>
              <w:topLinePunct/>
              <w:spacing w:line="360" w:lineRule="auto"/>
              <w:jc w:val="center"/>
              <w:rPr>
                <w:color w:val="auto"/>
                <w:szCs w:val="21"/>
                <w:highlight w:val="none"/>
              </w:rPr>
            </w:pPr>
            <w:r>
              <w:rPr>
                <w:rFonts w:hint="eastAsia"/>
                <w:color w:val="auto"/>
                <w:szCs w:val="21"/>
                <w:highlight w:val="none"/>
              </w:rPr>
              <w:t>与投标人存在控股关系的单位</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728" w:type="dxa"/>
            <w:tcBorders>
              <w:top w:val="single" w:color="auto" w:sz="4" w:space="0"/>
              <w:left w:val="single" w:color="auto" w:sz="4" w:space="0"/>
              <w:right w:val="single" w:color="auto" w:sz="4" w:space="0"/>
            </w:tcBorders>
            <w:noWrap w:val="0"/>
            <w:vAlign w:val="center"/>
          </w:tcPr>
          <w:p>
            <w:pPr>
              <w:topLinePunct/>
              <w:spacing w:line="360" w:lineRule="auto"/>
              <w:jc w:val="center"/>
              <w:rPr>
                <w:color w:val="auto"/>
                <w:szCs w:val="21"/>
                <w:highlight w:val="none"/>
              </w:rPr>
            </w:pPr>
            <w:r>
              <w:rPr>
                <w:rFonts w:hint="eastAsia"/>
                <w:color w:val="auto"/>
                <w:szCs w:val="21"/>
                <w:highlight w:val="none"/>
              </w:rPr>
              <w:t>与投标人存在管理关系的单位</w:t>
            </w:r>
          </w:p>
        </w:tc>
        <w:tc>
          <w:tcPr>
            <w:tcW w:w="6840" w:type="dxa"/>
            <w:gridSpan w:val="9"/>
            <w:tcBorders>
              <w:top w:val="single" w:color="auto" w:sz="4" w:space="0"/>
              <w:left w:val="single" w:color="auto" w:sz="4" w:space="0"/>
              <w:right w:val="single" w:color="auto" w:sz="4" w:space="0"/>
            </w:tcBorders>
            <w:noWrap w:val="0"/>
            <w:vAlign w:val="center"/>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72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备注</w:t>
            </w:r>
          </w:p>
        </w:tc>
        <w:tc>
          <w:tcPr>
            <w:tcW w:w="6840"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rPr>
                <w:color w:val="auto"/>
                <w:szCs w:val="21"/>
                <w:highlight w:val="none"/>
              </w:rPr>
            </w:pPr>
          </w:p>
        </w:tc>
      </w:tr>
    </w:tbl>
    <w:p>
      <w:pPr>
        <w:topLinePunct/>
        <w:spacing w:line="360" w:lineRule="auto"/>
        <w:rPr>
          <w:rFonts w:hint="eastAsia" w:ascii="Times New Roman" w:hAnsi="Times New Roman" w:cs="宋体"/>
          <w:color w:val="auto"/>
          <w:kern w:val="0"/>
          <w:sz w:val="24"/>
          <w:highlight w:val="none"/>
        </w:rPr>
      </w:pPr>
      <w:r>
        <w:rPr>
          <w:rFonts w:hint="eastAsia" w:ascii="Times New Roman" w:hAnsi="Times New Roman" w:cs="宋体"/>
          <w:color w:val="auto"/>
          <w:kern w:val="0"/>
          <w:sz w:val="24"/>
          <w:highlight w:val="none"/>
        </w:rPr>
        <w:t>注：投标人应根据投标人须知第 3.5.1 项的要求在本表后附相关证明材料扫描件。</w:t>
      </w:r>
    </w:p>
    <w:p>
      <w:pPr>
        <w:widowControl/>
        <w:topLinePunct/>
        <w:spacing w:line="360" w:lineRule="auto"/>
        <w:rPr>
          <w:rStyle w:val="28"/>
          <w:rFonts w:hint="eastAsia" w:ascii="Times New Roman" w:hAnsi="Times New Roman"/>
          <w:color w:val="auto"/>
          <w:highlight w:val="none"/>
        </w:rPr>
      </w:pPr>
      <w:bookmarkStart w:id="1279" w:name="_Toc17730_WPSOffice_Level1"/>
      <w:r>
        <w:rPr>
          <w:rFonts w:hint="eastAsia" w:ascii="Times New Roman" w:hAnsi="Times New Roman" w:cs="宋体"/>
          <w:b/>
          <w:color w:val="auto"/>
          <w:highlight w:val="none"/>
        </w:rPr>
        <w:br w:type="page"/>
      </w:r>
      <w:bookmarkEnd w:id="1279"/>
      <w:r>
        <w:rPr>
          <w:rFonts w:hint="eastAsia" w:ascii="Times New Roman" w:hAnsi="Times New Roman" w:cs="宋体"/>
          <w:b/>
          <w:color w:val="auto"/>
          <w:highlight w:val="none"/>
        </w:rPr>
        <w:t xml:space="preserve">               </w:t>
      </w:r>
      <w:r>
        <w:rPr>
          <w:rStyle w:val="28"/>
          <w:rFonts w:hint="eastAsia" w:ascii="Times New Roman" w:hAnsi="Times New Roman"/>
          <w:color w:val="auto"/>
          <w:highlight w:val="none"/>
        </w:rPr>
        <w:t>（一）投标人基本情况表（成员单位）</w:t>
      </w:r>
    </w:p>
    <w:tbl>
      <w:tblPr>
        <w:tblStyle w:val="2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9"/>
        <w:gridCol w:w="914"/>
        <w:gridCol w:w="734"/>
        <w:gridCol w:w="840"/>
        <w:gridCol w:w="662"/>
        <w:gridCol w:w="69"/>
        <w:gridCol w:w="1078"/>
        <w:gridCol w:w="421"/>
        <w:gridCol w:w="929"/>
        <w:gridCol w:w="99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6"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rFonts w:hint="eastAsia"/>
                <w:color w:val="auto"/>
                <w:szCs w:val="21"/>
                <w:highlight w:val="none"/>
              </w:rPr>
              <w:t>联合体成员</w:t>
            </w:r>
            <w:r>
              <w:rPr>
                <w:color w:val="auto"/>
                <w:szCs w:val="21"/>
                <w:highlight w:val="none"/>
              </w:rPr>
              <w:t>名称</w:t>
            </w:r>
          </w:p>
        </w:tc>
        <w:tc>
          <w:tcPr>
            <w:tcW w:w="6639"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注册地址</w:t>
            </w:r>
          </w:p>
        </w:tc>
        <w:tc>
          <w:tcPr>
            <w:tcW w:w="3219" w:type="dxa"/>
            <w:gridSpan w:val="5"/>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邮政编码</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929"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联系方式</w:t>
            </w:r>
          </w:p>
        </w:tc>
        <w:tc>
          <w:tcPr>
            <w:tcW w:w="914"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联系人</w:t>
            </w:r>
          </w:p>
        </w:tc>
        <w:tc>
          <w:tcPr>
            <w:tcW w:w="230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电 话</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929"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914"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传  真</w:t>
            </w:r>
          </w:p>
        </w:tc>
        <w:tc>
          <w:tcPr>
            <w:tcW w:w="2305"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078"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网 址</w:t>
            </w:r>
          </w:p>
        </w:tc>
        <w:tc>
          <w:tcPr>
            <w:tcW w:w="2342"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4"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组织结构</w:t>
            </w:r>
          </w:p>
        </w:tc>
        <w:tc>
          <w:tcPr>
            <w:tcW w:w="6639"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法定代表人</w:t>
            </w:r>
          </w:p>
        </w:tc>
        <w:tc>
          <w:tcPr>
            <w:tcW w:w="914"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姓名</w:t>
            </w:r>
          </w:p>
        </w:tc>
        <w:tc>
          <w:tcPr>
            <w:tcW w:w="734"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50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rFonts w:hint="eastAsia"/>
                <w:color w:val="auto"/>
                <w:szCs w:val="21"/>
                <w:highlight w:val="none"/>
              </w:rPr>
              <w:t>专业</w:t>
            </w:r>
            <w:r>
              <w:rPr>
                <w:color w:val="auto"/>
                <w:szCs w:val="21"/>
                <w:highlight w:val="none"/>
              </w:rPr>
              <w:t>技术职称</w:t>
            </w:r>
          </w:p>
        </w:tc>
        <w:tc>
          <w:tcPr>
            <w:tcW w:w="156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27"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技术负责人</w:t>
            </w:r>
          </w:p>
        </w:tc>
        <w:tc>
          <w:tcPr>
            <w:tcW w:w="914"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姓名</w:t>
            </w:r>
          </w:p>
        </w:tc>
        <w:tc>
          <w:tcPr>
            <w:tcW w:w="734"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502"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rFonts w:hint="eastAsia"/>
                <w:color w:val="auto"/>
                <w:szCs w:val="21"/>
                <w:highlight w:val="none"/>
              </w:rPr>
              <w:t>专业</w:t>
            </w:r>
            <w:r>
              <w:rPr>
                <w:color w:val="auto"/>
                <w:szCs w:val="21"/>
                <w:highlight w:val="none"/>
              </w:rPr>
              <w:t>技术职称</w:t>
            </w:r>
          </w:p>
        </w:tc>
        <w:tc>
          <w:tcPr>
            <w:tcW w:w="1568" w:type="dxa"/>
            <w:gridSpan w:val="3"/>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电话</w:t>
            </w:r>
          </w:p>
        </w:tc>
        <w:tc>
          <w:tcPr>
            <w:tcW w:w="992"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4"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成立时间</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4991" w:type="dxa"/>
            <w:gridSpan w:val="7"/>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ind w:firstLine="105" w:firstLineChars="50"/>
              <w:jc w:val="center"/>
              <w:rPr>
                <w:color w:val="auto"/>
                <w:szCs w:val="21"/>
                <w:highlight w:val="none"/>
              </w:rPr>
            </w:pPr>
            <w:r>
              <w:rPr>
                <w:color w:val="auto"/>
                <w:szCs w:val="21"/>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企业资质等级</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40" w:type="dxa"/>
            <w:vMerge w:val="restart"/>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其中</w:t>
            </w:r>
          </w:p>
        </w:tc>
        <w:tc>
          <w:tcPr>
            <w:tcW w:w="2230" w:type="dxa"/>
            <w:gridSpan w:val="4"/>
            <w:vMerge w:val="restart"/>
            <w:tcBorders>
              <w:top w:val="single" w:color="auto" w:sz="4" w:space="0"/>
              <w:left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高级</w:t>
            </w:r>
            <w:r>
              <w:rPr>
                <w:rFonts w:hint="eastAsia"/>
                <w:color w:val="auto"/>
                <w:szCs w:val="21"/>
                <w:highlight w:val="none"/>
              </w:rPr>
              <w:t>专业</w:t>
            </w:r>
            <w:r>
              <w:rPr>
                <w:color w:val="auto"/>
                <w:szCs w:val="21"/>
                <w:highlight w:val="none"/>
              </w:rPr>
              <w:t>技术职称</w:t>
            </w:r>
          </w:p>
          <w:p>
            <w:pPr>
              <w:topLinePunct/>
              <w:spacing w:line="360" w:lineRule="auto"/>
              <w:jc w:val="center"/>
              <w:rPr>
                <w:color w:val="auto"/>
                <w:szCs w:val="21"/>
                <w:highlight w:val="none"/>
              </w:rPr>
            </w:pPr>
            <w:r>
              <w:rPr>
                <w:color w:val="auto"/>
                <w:szCs w:val="21"/>
                <w:highlight w:val="none"/>
              </w:rPr>
              <w:t>人员</w:t>
            </w:r>
          </w:p>
        </w:tc>
        <w:tc>
          <w:tcPr>
            <w:tcW w:w="1921" w:type="dxa"/>
            <w:gridSpan w:val="2"/>
            <w:vMerge w:val="restart"/>
            <w:tcBorders>
              <w:top w:val="single" w:color="auto" w:sz="4" w:space="0"/>
              <w:left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43"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营业执照号</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2230" w:type="dxa"/>
            <w:gridSpan w:val="4"/>
            <w:vMerge w:val="continue"/>
            <w:tcBorders>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1921" w:type="dxa"/>
            <w:gridSpan w:val="2"/>
            <w:vMerge w:val="continue"/>
            <w:tcBorders>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43"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注册资金</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223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中级</w:t>
            </w:r>
            <w:r>
              <w:rPr>
                <w:rFonts w:hint="eastAsia"/>
                <w:color w:val="auto"/>
                <w:szCs w:val="21"/>
                <w:highlight w:val="none"/>
              </w:rPr>
              <w:t>专业</w:t>
            </w:r>
            <w:r>
              <w:rPr>
                <w:color w:val="auto"/>
                <w:szCs w:val="21"/>
                <w:highlight w:val="none"/>
              </w:rPr>
              <w:t>技术职称</w:t>
            </w:r>
          </w:p>
          <w:p>
            <w:pPr>
              <w:topLinePunct/>
              <w:spacing w:line="360" w:lineRule="auto"/>
              <w:jc w:val="center"/>
              <w:rPr>
                <w:color w:val="auto"/>
                <w:szCs w:val="21"/>
                <w:highlight w:val="none"/>
              </w:rPr>
            </w:pPr>
            <w:r>
              <w:rPr>
                <w:color w:val="auto"/>
                <w:szCs w:val="21"/>
                <w:highlight w:val="none"/>
              </w:rPr>
              <w:t>人员</w:t>
            </w: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21"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开户银行</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223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初级</w:t>
            </w:r>
            <w:r>
              <w:rPr>
                <w:rFonts w:hint="eastAsia"/>
                <w:color w:val="auto"/>
                <w:szCs w:val="21"/>
                <w:highlight w:val="none"/>
              </w:rPr>
              <w:t>专业</w:t>
            </w:r>
            <w:r>
              <w:rPr>
                <w:color w:val="auto"/>
                <w:szCs w:val="21"/>
                <w:highlight w:val="none"/>
              </w:rPr>
              <w:t>技术职称</w:t>
            </w:r>
          </w:p>
          <w:p>
            <w:pPr>
              <w:topLinePunct/>
              <w:spacing w:line="360" w:lineRule="auto"/>
              <w:jc w:val="center"/>
              <w:rPr>
                <w:color w:val="auto"/>
                <w:szCs w:val="21"/>
                <w:highlight w:val="none"/>
              </w:rPr>
            </w:pPr>
            <w:r>
              <w:rPr>
                <w:color w:val="auto"/>
                <w:szCs w:val="21"/>
                <w:highlight w:val="none"/>
              </w:rPr>
              <w:t>人员</w:t>
            </w: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1"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账号</w:t>
            </w:r>
          </w:p>
        </w:tc>
        <w:tc>
          <w:tcPr>
            <w:tcW w:w="1648"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840" w:type="dxa"/>
            <w:vMerge w:val="continue"/>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c>
          <w:tcPr>
            <w:tcW w:w="2230" w:type="dxa"/>
            <w:gridSpan w:val="4"/>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highlight w:val="none"/>
              </w:rPr>
            </w:pPr>
            <w:r>
              <w:rPr>
                <w:color w:val="auto"/>
                <w:szCs w:val="21"/>
                <w:highlight w:val="none"/>
              </w:rPr>
              <w:t>技工</w:t>
            </w:r>
          </w:p>
        </w:tc>
        <w:tc>
          <w:tcPr>
            <w:tcW w:w="1921" w:type="dxa"/>
            <w:gridSpan w:val="2"/>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9" w:type="dxa"/>
            <w:tcBorders>
              <w:top w:val="single" w:color="auto" w:sz="4" w:space="0"/>
              <w:left w:val="single" w:color="auto" w:sz="4" w:space="0"/>
              <w:right w:val="single" w:color="auto" w:sz="4" w:space="0"/>
            </w:tcBorders>
            <w:noWrap w:val="0"/>
            <w:vAlign w:val="center"/>
          </w:tcPr>
          <w:p>
            <w:pPr>
              <w:topLinePunct/>
              <w:spacing w:line="360" w:lineRule="auto"/>
              <w:ind w:firstLine="210" w:firstLineChars="100"/>
              <w:jc w:val="center"/>
              <w:rPr>
                <w:color w:val="auto"/>
                <w:szCs w:val="21"/>
                <w:highlight w:val="none"/>
              </w:rPr>
            </w:pPr>
            <w:r>
              <w:rPr>
                <w:color w:val="auto"/>
                <w:szCs w:val="21"/>
                <w:highlight w:val="none"/>
              </w:rPr>
              <w:t>经营范围</w:t>
            </w:r>
          </w:p>
        </w:tc>
        <w:tc>
          <w:tcPr>
            <w:tcW w:w="6639" w:type="dxa"/>
            <w:gridSpan w:val="9"/>
            <w:tcBorders>
              <w:top w:val="single" w:color="auto" w:sz="4" w:space="0"/>
              <w:left w:val="single" w:color="auto" w:sz="4" w:space="0"/>
              <w:right w:val="single" w:color="auto" w:sz="4" w:space="0"/>
            </w:tcBorders>
            <w:noWrap w:val="0"/>
            <w:vAlign w:val="center"/>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right w:val="single" w:color="auto" w:sz="4" w:space="0"/>
            </w:tcBorders>
            <w:noWrap w:val="0"/>
            <w:vAlign w:val="center"/>
          </w:tcPr>
          <w:p>
            <w:pPr>
              <w:topLinePunct/>
              <w:spacing w:line="360" w:lineRule="auto"/>
              <w:jc w:val="center"/>
              <w:rPr>
                <w:color w:val="auto"/>
                <w:szCs w:val="21"/>
                <w:highlight w:val="none"/>
              </w:rPr>
            </w:pPr>
            <w:r>
              <w:rPr>
                <w:rFonts w:hint="eastAsia" w:ascii="Times New Roman" w:hAnsi="Times New Roman" w:cs="宋体"/>
                <w:color w:val="auto"/>
                <w:szCs w:val="21"/>
                <w:highlight w:val="none"/>
              </w:rPr>
              <w:t>与投标人的单位负责人为同一人的单位</w:t>
            </w:r>
          </w:p>
        </w:tc>
        <w:tc>
          <w:tcPr>
            <w:tcW w:w="6639" w:type="dxa"/>
            <w:gridSpan w:val="9"/>
            <w:tcBorders>
              <w:top w:val="single" w:color="auto" w:sz="4" w:space="0"/>
              <w:left w:val="single" w:color="auto" w:sz="4" w:space="0"/>
              <w:right w:val="single" w:color="auto" w:sz="4" w:space="0"/>
            </w:tcBorders>
            <w:noWrap w:val="0"/>
            <w:vAlign w:val="center"/>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right w:val="single" w:color="auto" w:sz="4" w:space="0"/>
            </w:tcBorders>
            <w:noWrap w:val="0"/>
            <w:vAlign w:val="center"/>
          </w:tcPr>
          <w:p>
            <w:pPr>
              <w:topLinePunct/>
              <w:spacing w:line="360" w:lineRule="auto"/>
              <w:jc w:val="center"/>
              <w:rPr>
                <w:color w:val="auto"/>
                <w:szCs w:val="21"/>
                <w:highlight w:val="none"/>
              </w:rPr>
            </w:pPr>
            <w:r>
              <w:rPr>
                <w:rFonts w:hint="eastAsia"/>
                <w:color w:val="auto"/>
                <w:szCs w:val="21"/>
                <w:highlight w:val="none"/>
              </w:rPr>
              <w:t>与投标人存在控股关系的单位</w:t>
            </w:r>
          </w:p>
        </w:tc>
        <w:tc>
          <w:tcPr>
            <w:tcW w:w="6639" w:type="dxa"/>
            <w:gridSpan w:val="9"/>
            <w:tcBorders>
              <w:top w:val="single" w:color="auto" w:sz="4" w:space="0"/>
              <w:left w:val="single" w:color="auto" w:sz="4" w:space="0"/>
              <w:right w:val="single" w:color="auto" w:sz="4" w:space="0"/>
            </w:tcBorders>
            <w:noWrap w:val="0"/>
            <w:vAlign w:val="center"/>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8" w:hRule="atLeast"/>
        </w:trPr>
        <w:tc>
          <w:tcPr>
            <w:tcW w:w="1929" w:type="dxa"/>
            <w:tcBorders>
              <w:top w:val="single" w:color="auto" w:sz="4" w:space="0"/>
              <w:left w:val="single" w:color="auto" w:sz="4" w:space="0"/>
              <w:right w:val="single" w:color="auto" w:sz="4" w:space="0"/>
            </w:tcBorders>
            <w:noWrap w:val="0"/>
            <w:vAlign w:val="center"/>
          </w:tcPr>
          <w:p>
            <w:pPr>
              <w:topLinePunct/>
              <w:spacing w:line="360" w:lineRule="auto"/>
              <w:jc w:val="center"/>
              <w:rPr>
                <w:color w:val="auto"/>
                <w:szCs w:val="21"/>
                <w:highlight w:val="none"/>
              </w:rPr>
            </w:pPr>
            <w:r>
              <w:rPr>
                <w:rFonts w:hint="eastAsia"/>
                <w:color w:val="auto"/>
                <w:szCs w:val="21"/>
                <w:highlight w:val="none"/>
              </w:rPr>
              <w:t>与投标人存在管理关系的单位</w:t>
            </w:r>
          </w:p>
        </w:tc>
        <w:tc>
          <w:tcPr>
            <w:tcW w:w="6639" w:type="dxa"/>
            <w:gridSpan w:val="9"/>
            <w:tcBorders>
              <w:top w:val="single" w:color="auto" w:sz="4" w:space="0"/>
              <w:left w:val="single" w:color="auto" w:sz="4" w:space="0"/>
              <w:right w:val="single" w:color="auto" w:sz="4" w:space="0"/>
            </w:tcBorders>
            <w:noWrap w:val="0"/>
            <w:vAlign w:val="center"/>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929" w:type="dxa"/>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jc w:val="center"/>
              <w:rPr>
                <w:color w:val="auto"/>
                <w:szCs w:val="21"/>
                <w:highlight w:val="none"/>
              </w:rPr>
            </w:pPr>
            <w:r>
              <w:rPr>
                <w:color w:val="auto"/>
                <w:szCs w:val="21"/>
                <w:highlight w:val="none"/>
              </w:rPr>
              <w:t>备注</w:t>
            </w:r>
          </w:p>
        </w:tc>
        <w:tc>
          <w:tcPr>
            <w:tcW w:w="6639" w:type="dxa"/>
            <w:gridSpan w:val="9"/>
            <w:tcBorders>
              <w:top w:val="single" w:color="auto" w:sz="4" w:space="0"/>
              <w:left w:val="single" w:color="auto" w:sz="4" w:space="0"/>
              <w:bottom w:val="single" w:color="auto" w:sz="4" w:space="0"/>
              <w:right w:val="single" w:color="auto" w:sz="4" w:space="0"/>
            </w:tcBorders>
            <w:noWrap w:val="0"/>
            <w:vAlign w:val="center"/>
          </w:tcPr>
          <w:p>
            <w:pPr>
              <w:topLinePunct/>
              <w:spacing w:line="360" w:lineRule="auto"/>
              <w:rPr>
                <w:color w:val="auto"/>
                <w:szCs w:val="21"/>
                <w:highlight w:val="none"/>
              </w:rPr>
            </w:pPr>
          </w:p>
        </w:tc>
      </w:tr>
    </w:tbl>
    <w:p>
      <w:pPr>
        <w:widowControl/>
        <w:topLinePunct/>
        <w:spacing w:line="360" w:lineRule="auto"/>
        <w:jc w:val="left"/>
        <w:rPr>
          <w:rFonts w:ascii="Times New Roman" w:hAnsi="Times New Roman" w:cs="Arial"/>
          <w:color w:val="auto"/>
          <w:kern w:val="0"/>
          <w:sz w:val="24"/>
          <w:highlight w:val="none"/>
        </w:rPr>
      </w:pPr>
      <w:r>
        <w:rPr>
          <w:rFonts w:hint="eastAsia" w:ascii="Times New Roman" w:hAnsi="Times New Roman" w:cs="宋体"/>
          <w:color w:val="auto"/>
          <w:kern w:val="0"/>
          <w:sz w:val="24"/>
          <w:highlight w:val="none"/>
        </w:rPr>
        <w:t>注：投标人应根据投标人须知第 3.5.1 项的要求在本表后附相关证明材料扫描件。</w:t>
      </w:r>
      <w:r>
        <w:rPr>
          <w:rFonts w:hint="eastAsia" w:ascii="Times New Roman" w:hAnsi="Times New Roman" w:cs="Arial"/>
          <w:color w:val="auto"/>
          <w:kern w:val="0"/>
          <w:sz w:val="24"/>
          <w:highlight w:val="none"/>
        </w:rPr>
        <w:t>非联合体投标时无需填写。</w:t>
      </w:r>
    </w:p>
    <w:p>
      <w:pPr>
        <w:topLinePunct/>
        <w:spacing w:line="360" w:lineRule="auto"/>
        <w:rPr>
          <w:rFonts w:hint="eastAsia" w:ascii="Times New Roman" w:hAnsi="Times New Roman" w:cs="宋体"/>
          <w:color w:val="auto"/>
          <w:kern w:val="0"/>
          <w:sz w:val="24"/>
          <w:highlight w:val="none"/>
        </w:rPr>
      </w:pPr>
    </w:p>
    <w:p>
      <w:pPr>
        <w:pStyle w:val="4"/>
        <w:spacing w:line="360" w:lineRule="auto"/>
        <w:ind w:firstLine="138"/>
        <w:jc w:val="center"/>
        <w:rPr>
          <w:rFonts w:ascii="Times New Roman" w:hAnsi="Times New Roman"/>
          <w:color w:val="auto"/>
          <w:highlight w:val="none"/>
        </w:rPr>
      </w:pPr>
      <w:r>
        <w:rPr>
          <w:rFonts w:hint="eastAsia" w:ascii="Times New Roman" w:hAnsi="Times New Roman" w:eastAsia="宋体" w:cs="宋体"/>
          <w:b/>
          <w:bCs w:val="0"/>
          <w:color w:val="auto"/>
          <w:highlight w:val="none"/>
        </w:rPr>
        <w:br w:type="page"/>
      </w:r>
      <w:bookmarkStart w:id="1280" w:name="_Toc300835225"/>
      <w:bookmarkStart w:id="1281" w:name="_Toc144974877"/>
      <w:bookmarkStart w:id="1282" w:name="_Toc152042598"/>
      <w:bookmarkStart w:id="1283" w:name="_Toc247514301"/>
      <w:bookmarkStart w:id="1284" w:name="_Toc152045809"/>
      <w:bookmarkStart w:id="1285" w:name="_Toc247527849"/>
      <w:r>
        <w:rPr>
          <w:rFonts w:ascii="Times New Roman" w:hAnsi="Times New Roman"/>
          <w:color w:val="auto"/>
          <w:highlight w:val="none"/>
        </w:rPr>
        <w:t>（二）近年财务状况表</w:t>
      </w:r>
      <w:bookmarkEnd w:id="1280"/>
      <w:bookmarkEnd w:id="1281"/>
      <w:bookmarkEnd w:id="1282"/>
      <w:bookmarkEnd w:id="1283"/>
      <w:bookmarkEnd w:id="1284"/>
      <w:bookmarkEnd w:id="1285"/>
    </w:p>
    <w:p>
      <w:pPr>
        <w:topLinePunct/>
        <w:spacing w:line="360" w:lineRule="auto"/>
        <w:jc w:val="center"/>
        <w:rPr>
          <w:rFonts w:eastAsia="黑体"/>
          <w:color w:val="auto"/>
          <w:sz w:val="20"/>
          <w:szCs w:val="20"/>
          <w:highlight w:val="none"/>
        </w:rPr>
      </w:pPr>
    </w:p>
    <w:p>
      <w:pPr>
        <w:topLinePunct/>
        <w:spacing w:line="360" w:lineRule="auto"/>
        <w:jc w:val="center"/>
        <w:rPr>
          <w:rFonts w:eastAsia="黑体"/>
          <w:color w:val="auto"/>
          <w:sz w:val="20"/>
          <w:szCs w:val="20"/>
          <w:highlight w:val="none"/>
        </w:rPr>
      </w:pPr>
    </w:p>
    <w:p>
      <w:pPr>
        <w:topLinePunct/>
        <w:spacing w:line="360" w:lineRule="auto"/>
        <w:jc w:val="center"/>
        <w:rPr>
          <w:rFonts w:eastAsia="黑体"/>
          <w:color w:val="auto"/>
          <w:sz w:val="20"/>
          <w:szCs w:val="20"/>
          <w:highlight w:val="none"/>
        </w:rPr>
      </w:pPr>
    </w:p>
    <w:p>
      <w:pPr>
        <w:topLinePunct/>
        <w:spacing w:line="360" w:lineRule="auto"/>
        <w:jc w:val="center"/>
        <w:rPr>
          <w:rFonts w:eastAsia="黑体"/>
          <w:color w:val="auto"/>
          <w:sz w:val="20"/>
          <w:szCs w:val="20"/>
          <w:highlight w:val="none"/>
        </w:rPr>
      </w:pPr>
    </w:p>
    <w:p>
      <w:pPr>
        <w:topLinePunct/>
        <w:spacing w:line="360" w:lineRule="auto"/>
        <w:jc w:val="center"/>
        <w:rPr>
          <w:rFonts w:eastAsia="黑体"/>
          <w:color w:val="auto"/>
          <w:sz w:val="20"/>
          <w:szCs w:val="20"/>
          <w:highlight w:val="none"/>
        </w:rPr>
      </w:pPr>
    </w:p>
    <w:p>
      <w:pPr>
        <w:spacing w:line="360" w:lineRule="auto"/>
        <w:rPr>
          <w:rFonts w:ascii="Times New Roman" w:hAnsi="Times New Roman" w:cs="宋体"/>
          <w:color w:val="auto"/>
          <w:sz w:val="24"/>
          <w:highlight w:val="none"/>
        </w:rPr>
      </w:pPr>
      <w:r>
        <w:rPr>
          <w:rFonts w:hint="eastAsia" w:ascii="Times New Roman" w:hAnsi="Times New Roman" w:cs="宋体"/>
          <w:color w:val="auto"/>
          <w:sz w:val="24"/>
          <w:highlight w:val="none"/>
        </w:rPr>
        <w:t>注：（1）投标人应按照第二章“投标人须知”3.5.2提供相应年份的财务状况表扫描件，可以不含财务情况说明书。</w:t>
      </w:r>
    </w:p>
    <w:p>
      <w:pPr>
        <w:spacing w:line="360" w:lineRule="auto"/>
        <w:ind w:firstLine="480"/>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财务状况表”分两种情况。例：招标文件开始下载的时间在5月1日以前的，若投标人须知前附表规定为“近3年”，“近3年”是指当年之前的3个年度或当年的上一年之前的3个年度。如某项目招标，招标文件开始下载的时间是2020年4 月1日，“近年财务状况表”是指 2017 年、2018 年、2019 年的财务状况，或 2016 年、2017 年、2018 年的财务状况，采用哪3个年度，由投标人选择；招标文件开始下载的时间在 5 月 1 日以后的，“近3 年”是指当年之前的3个年度，如某项目招标，招标文件开始下载的时间是 2020 年 5月5日，“近年财务状况表”是指 2017 年、2018 年、2019年的财务状况。投标人须知前附表规定的时间不足3年的，以此类推。</w:t>
      </w:r>
    </w:p>
    <w:p>
      <w:pPr>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（2）新设立企业只提供设立以来的财务状况表，破产重整企业视为新设立企业。</w:t>
      </w:r>
    </w:p>
    <w:p>
      <w:pPr>
        <w:spacing w:line="360" w:lineRule="auto"/>
        <w:ind w:firstLine="240" w:firstLineChars="100"/>
        <w:rPr>
          <w:rFonts w:hint="eastAsia" w:ascii="Times New Roman" w:hAnsi="Times New Roman" w:cs="宋体"/>
          <w:color w:val="auto"/>
          <w:sz w:val="24"/>
          <w:highlight w:val="none"/>
        </w:r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3</w:t>
      </w:r>
      <w:r>
        <w:rPr>
          <w:rFonts w:hint="eastAsia" w:ascii="Times New Roman" w:hAnsi="Times New Roman" w:cs="宋体"/>
          <w:color w:val="auto"/>
          <w:sz w:val="24"/>
          <w:highlight w:val="none"/>
        </w:rPr>
        <w:t>）若为联合体投标，所有成员单位均须提供。</w:t>
      </w:r>
    </w:p>
    <w:p>
      <w:pPr>
        <w:spacing w:line="360" w:lineRule="auto"/>
        <w:ind w:firstLine="240" w:firstLineChars="100"/>
        <w:rPr>
          <w:rFonts w:hint="eastAsia" w:ascii="Times New Roman" w:hAnsi="Times New Roman" w:cs="宋体"/>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宋体"/>
          <w:color w:val="auto"/>
          <w:sz w:val="24"/>
          <w:highlight w:val="none"/>
        </w:rPr>
        <w:t>（</w:t>
      </w:r>
      <w:r>
        <w:rPr>
          <w:rFonts w:hint="eastAsia" w:ascii="Times New Roman" w:hAnsi="Times New Roman" w:cs="宋体"/>
          <w:color w:val="auto"/>
          <w:sz w:val="24"/>
          <w:highlight w:val="none"/>
          <w:lang w:val="en-US" w:eastAsia="zh-CN"/>
        </w:rPr>
        <w:t>4</w:t>
      </w:r>
      <w:r>
        <w:rPr>
          <w:rFonts w:hint="eastAsia" w:ascii="Times New Roman" w:hAnsi="Times New Roman" w:cs="宋体"/>
          <w:color w:val="auto"/>
          <w:sz w:val="24"/>
          <w:highlight w:val="none"/>
        </w:rPr>
        <w:t>）若无要求，无需填写。</w:t>
      </w:r>
    </w:p>
    <w:p>
      <w:pPr>
        <w:pStyle w:val="4"/>
        <w:jc w:val="center"/>
        <w:rPr>
          <w:rFonts w:hint="eastAsia" w:ascii="Times New Roman" w:hAnsi="Times New Roman"/>
          <w:color w:val="auto"/>
          <w:highlight w:val="none"/>
        </w:rPr>
      </w:pPr>
      <w:bookmarkStart w:id="1286" w:name="_Toc247527851"/>
      <w:bookmarkStart w:id="1287" w:name="_Toc300835227"/>
      <w:bookmarkStart w:id="1288" w:name="_Toc144974879"/>
      <w:bookmarkStart w:id="1289" w:name="_Toc247514303"/>
      <w:bookmarkStart w:id="1290" w:name="_Toc152042600"/>
      <w:bookmarkStart w:id="1291" w:name="_Toc152045811"/>
      <w:r>
        <w:rPr>
          <w:rFonts w:hint="eastAsia" w:ascii="Times New Roman" w:hAnsi="Times New Roman"/>
          <w:color w:val="auto"/>
          <w:highlight w:val="none"/>
        </w:rPr>
        <w:t>（三）近年完成的类似项目情况表</w:t>
      </w:r>
    </w:p>
    <w:p>
      <w:pPr>
        <w:rPr>
          <w:rFonts w:hint="eastAsia"/>
          <w:color w:val="auto"/>
          <w:highlight w:val="none"/>
          <w:u w:val="single"/>
        </w:rPr>
      </w:pPr>
      <w:r>
        <w:rPr>
          <w:rFonts w:hint="eastAsia" w:ascii="Times New Roman" w:hAnsi="Times New Roman"/>
          <w:color w:val="auto"/>
          <w:szCs w:val="21"/>
          <w:highlight w:val="none"/>
        </w:rPr>
        <w:t>序号：</w:t>
      </w:r>
      <w:r>
        <w:rPr>
          <w:rFonts w:hint="eastAsia"/>
          <w:color w:val="auto"/>
          <w:highlight w:val="none"/>
          <w:u w:val="single"/>
        </w:rPr>
        <w:t xml:space="preserve">            </w:t>
      </w:r>
    </w:p>
    <w:p>
      <w:pPr>
        <w:rPr>
          <w:rFonts w:hint="eastAsia"/>
          <w:color w:val="auto"/>
          <w:highlight w:val="none"/>
          <w:u w:val="single"/>
        </w:rPr>
      </w:pPr>
    </w:p>
    <w:tbl>
      <w:tblPr>
        <w:tblStyle w:val="2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0" w:type="dxa"/>
          <w:bottom w:w="0" w:type="dxa"/>
          <w:right w:w="0" w:type="dxa"/>
        </w:tblCellMar>
      </w:tblPr>
      <w:tblGrid>
        <w:gridCol w:w="2075"/>
        <w:gridCol w:w="73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项目名称</w:t>
            </w:r>
          </w:p>
        </w:tc>
        <w:tc>
          <w:tcPr>
            <w:tcW w:w="7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4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项目所在地</w:t>
            </w:r>
          </w:p>
        </w:tc>
        <w:tc>
          <w:tcPr>
            <w:tcW w:w="7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1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发包人名称</w:t>
            </w:r>
          </w:p>
        </w:tc>
        <w:tc>
          <w:tcPr>
            <w:tcW w:w="7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62"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发包人地址</w:t>
            </w:r>
          </w:p>
        </w:tc>
        <w:tc>
          <w:tcPr>
            <w:tcW w:w="7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发包人电话</w:t>
            </w:r>
          </w:p>
        </w:tc>
        <w:tc>
          <w:tcPr>
            <w:tcW w:w="7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90"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合同价格</w:t>
            </w:r>
          </w:p>
        </w:tc>
        <w:tc>
          <w:tcPr>
            <w:tcW w:w="7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58"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设计（施工）服务期限（工期）</w:t>
            </w:r>
          </w:p>
        </w:tc>
        <w:tc>
          <w:tcPr>
            <w:tcW w:w="7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03"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设计（施工）</w:t>
            </w:r>
          </w:p>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内容</w:t>
            </w:r>
          </w:p>
        </w:tc>
        <w:tc>
          <w:tcPr>
            <w:tcW w:w="7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37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项目负责人</w:t>
            </w:r>
          </w:p>
        </w:tc>
        <w:tc>
          <w:tcPr>
            <w:tcW w:w="7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28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项目描述</w:t>
            </w:r>
          </w:p>
        </w:tc>
        <w:tc>
          <w:tcPr>
            <w:tcW w:w="7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567" w:hRule="atLeast"/>
          <w:jc w:val="center"/>
        </w:trPr>
        <w:tc>
          <w:tcPr>
            <w:tcW w:w="2075"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Times New Roman" w:hAnsi="Times New Roman"/>
                <w:color w:val="auto"/>
                <w:szCs w:val="21"/>
                <w:highlight w:val="none"/>
              </w:rPr>
            </w:pPr>
            <w:r>
              <w:rPr>
                <w:rFonts w:hint="eastAsia" w:ascii="Times New Roman" w:hAnsi="Times New Roman"/>
                <w:color w:val="auto"/>
                <w:szCs w:val="21"/>
                <w:highlight w:val="none"/>
              </w:rPr>
              <w:t>备注</w:t>
            </w:r>
          </w:p>
        </w:tc>
        <w:tc>
          <w:tcPr>
            <w:tcW w:w="7301"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Times New Roman" w:hAnsi="Times New Roman"/>
                <w:color w:val="auto"/>
                <w:szCs w:val="21"/>
                <w:highlight w:val="none"/>
              </w:rPr>
            </w:pPr>
          </w:p>
        </w:tc>
      </w:tr>
    </w:tbl>
    <w:p>
      <w:pPr>
        <w:spacing w:line="360" w:lineRule="auto"/>
        <w:rPr>
          <w:rFonts w:hint="eastAsia" w:ascii="Times New Roman" w:hAnsi="Times New Roman" w:cs="宋体"/>
          <w:color w:val="auto"/>
          <w:sz w:val="24"/>
          <w:highlight w:val="none"/>
        </w:rPr>
      </w:pPr>
      <w:r>
        <w:rPr>
          <w:rFonts w:hint="eastAsia" w:ascii="Times New Roman" w:hAnsi="Times New Roman" w:cs="宋体"/>
          <w:color w:val="auto"/>
          <w:sz w:val="24"/>
          <w:highlight w:val="none"/>
        </w:rPr>
        <w:t>注:（1）投标人应根据投标人须知第3.5.3项的要求在本表后附相关证明材料扫描件。</w:t>
      </w:r>
    </w:p>
    <w:p>
      <w:pPr>
        <w:spacing w:line="360" w:lineRule="auto"/>
        <w:ind w:firstLine="420" w:firstLineChars="175"/>
        <w:rPr>
          <w:rFonts w:hint="eastAsia" w:ascii="Times New Roman" w:hAnsi="Times New Roman" w:cs="宋体"/>
          <w:color w:val="auto"/>
          <w:sz w:val="24"/>
          <w:highlight w:val="none"/>
        </w:rPr>
      </w:pPr>
      <w:r>
        <w:rPr>
          <w:rFonts w:hint="eastAsia" w:ascii="Times New Roman" w:hAnsi="Times New Roman" w:cs="宋体"/>
          <w:color w:val="auto"/>
          <w:sz w:val="24"/>
          <w:highlight w:val="none"/>
        </w:rPr>
        <w:t>（2）类似项目业绩是指:详见资格条件及评标办法要求；</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“近年完成的类似工程设计项目”应附合同协议书、发包人出具的证明文件，类似项目业绩时间以发包人出具的证明文件中载明的设计成果文件提交时间为准；</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“近年完成的类似施工项目”应附合同协议书、工程竣工验收证明材料，</w:t>
      </w:r>
      <w:r>
        <w:rPr>
          <w:rFonts w:hint="eastAsia" w:ascii="Times New Roman" w:hAnsi="Times New Roman" w:cs="宋体"/>
          <w:color w:val="auto"/>
          <w:kern w:val="0"/>
          <w:sz w:val="24"/>
          <w:highlight w:val="none"/>
        </w:rPr>
        <w:t>类似项目业绩时间以竣工验收证明材料上的竣工时间为准</w:t>
      </w:r>
      <w:r>
        <w:rPr>
          <w:rFonts w:hint="eastAsia" w:ascii="Times New Roman" w:hAnsi="Times New Roman" w:cs="宋体"/>
          <w:color w:val="auto"/>
          <w:sz w:val="24"/>
          <w:highlight w:val="none"/>
        </w:rPr>
        <w:t>；</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“近年完成的类似工程总承包项目”应附合同协议书、工程竣工验收证明材料，</w:t>
      </w:r>
      <w:r>
        <w:rPr>
          <w:rFonts w:hint="eastAsia" w:ascii="Times New Roman" w:hAnsi="Times New Roman" w:cs="宋体"/>
          <w:color w:val="auto"/>
          <w:kern w:val="0"/>
          <w:sz w:val="24"/>
          <w:highlight w:val="none"/>
        </w:rPr>
        <w:t>类似项目业绩时间以竣工验收证明材料上的竣工时间为准</w:t>
      </w:r>
      <w:r>
        <w:rPr>
          <w:rFonts w:hint="eastAsia" w:ascii="Times New Roman" w:hAnsi="Times New Roman" w:cs="宋体"/>
          <w:color w:val="auto"/>
          <w:sz w:val="24"/>
          <w:highlight w:val="none"/>
        </w:rPr>
        <w:t>。类似工程总承包项目是指设计施工总承包项目或设计采购施工总承包项目（含勘察一并发包的项目）。</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（3）类似项目业绩的合同协议书或工程竣工验收证明材料无法体现招标文件要求的建设规模或技术指标的，则投标人还需在发包人出具的证明文件中予以明确。</w:t>
      </w:r>
    </w:p>
    <w:p>
      <w:pPr>
        <w:spacing w:line="360" w:lineRule="auto"/>
        <w:ind w:firstLine="480" w:firstLineChars="200"/>
        <w:rPr>
          <w:rFonts w:hint="eastAsia" w:ascii="Times New Roman" w:hAnsi="Times New Roman" w:cs="宋体"/>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宋体"/>
          <w:color w:val="auto"/>
          <w:sz w:val="24"/>
          <w:highlight w:val="none"/>
        </w:rPr>
        <w:t>（4）若无要求，无需填写。</w:t>
      </w:r>
    </w:p>
    <w:p>
      <w:pPr>
        <w:pStyle w:val="4"/>
        <w:spacing w:line="360" w:lineRule="auto"/>
        <w:jc w:val="center"/>
        <w:rPr>
          <w:rFonts w:ascii="Times New Roman" w:hAnsi="Times New Roman"/>
          <w:color w:val="auto"/>
          <w:highlight w:val="none"/>
        </w:rPr>
      </w:pPr>
      <w:r>
        <w:rPr>
          <w:rFonts w:ascii="Times New Roman" w:hAnsi="Times New Roman"/>
          <w:color w:val="auto"/>
          <w:highlight w:val="none"/>
        </w:rPr>
        <w:t>（四）正在</w:t>
      </w:r>
      <w:r>
        <w:rPr>
          <w:rFonts w:hint="eastAsia" w:ascii="Times New Roman" w:hAnsi="Times New Roman"/>
          <w:color w:val="auto"/>
          <w:highlight w:val="none"/>
        </w:rPr>
        <w:t>设计（施工实施工程总承包）</w:t>
      </w:r>
      <w:r>
        <w:rPr>
          <w:rFonts w:ascii="Times New Roman" w:hAnsi="Times New Roman"/>
          <w:color w:val="auto"/>
          <w:highlight w:val="none"/>
        </w:rPr>
        <w:t>和新承接的项目情况表</w:t>
      </w:r>
      <w:bookmarkEnd w:id="1286"/>
      <w:bookmarkEnd w:id="1287"/>
      <w:bookmarkEnd w:id="1288"/>
      <w:bookmarkEnd w:id="1289"/>
      <w:bookmarkEnd w:id="1290"/>
      <w:bookmarkEnd w:id="1291"/>
    </w:p>
    <w:p>
      <w:pPr>
        <w:rPr>
          <w:color w:val="auto"/>
          <w:highlight w:val="none"/>
        </w:rPr>
      </w:pPr>
      <w:r>
        <w:rPr>
          <w:rFonts w:hint="eastAsia" w:ascii="Times New Roman" w:hAnsi="Times New Roman"/>
          <w:color w:val="auto"/>
          <w:szCs w:val="21"/>
          <w:highlight w:val="none"/>
        </w:rPr>
        <w:t>序号：</w:t>
      </w:r>
      <w:r>
        <w:rPr>
          <w:rFonts w:hint="eastAsia"/>
          <w:color w:val="auto"/>
          <w:highlight w:val="none"/>
          <w:u w:val="single"/>
        </w:rPr>
        <w:t xml:space="preserve">            </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1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项目名称</w:t>
            </w:r>
          </w:p>
        </w:tc>
        <w:tc>
          <w:tcPr>
            <w:tcW w:w="6107" w:type="dxa"/>
            <w:noWrap w:val="0"/>
            <w:vAlign w:val="top"/>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项目所在地</w:t>
            </w:r>
          </w:p>
        </w:tc>
        <w:tc>
          <w:tcPr>
            <w:tcW w:w="6107" w:type="dxa"/>
            <w:noWrap w:val="0"/>
            <w:vAlign w:val="top"/>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发包人名称</w:t>
            </w:r>
          </w:p>
        </w:tc>
        <w:tc>
          <w:tcPr>
            <w:tcW w:w="6107" w:type="dxa"/>
            <w:noWrap w:val="0"/>
            <w:vAlign w:val="top"/>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发包人地址</w:t>
            </w:r>
          </w:p>
        </w:tc>
        <w:tc>
          <w:tcPr>
            <w:tcW w:w="6107" w:type="dxa"/>
            <w:noWrap w:val="0"/>
            <w:vAlign w:val="top"/>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发包人电话</w:t>
            </w:r>
          </w:p>
        </w:tc>
        <w:tc>
          <w:tcPr>
            <w:tcW w:w="6107" w:type="dxa"/>
            <w:noWrap w:val="0"/>
            <w:vAlign w:val="top"/>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签约合同价</w:t>
            </w:r>
          </w:p>
        </w:tc>
        <w:tc>
          <w:tcPr>
            <w:tcW w:w="6107" w:type="dxa"/>
            <w:noWrap w:val="0"/>
            <w:vAlign w:val="top"/>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开工日期</w:t>
            </w:r>
          </w:p>
        </w:tc>
        <w:tc>
          <w:tcPr>
            <w:tcW w:w="6107" w:type="dxa"/>
            <w:noWrap w:val="0"/>
            <w:vAlign w:val="top"/>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计划</w:t>
            </w:r>
            <w:r>
              <w:rPr>
                <w:rFonts w:hint="eastAsia"/>
                <w:color w:val="auto"/>
                <w:highlight w:val="none"/>
              </w:rPr>
              <w:t>竣工</w:t>
            </w:r>
            <w:r>
              <w:rPr>
                <w:color w:val="auto"/>
                <w:szCs w:val="21"/>
                <w:highlight w:val="none"/>
              </w:rPr>
              <w:t>日期</w:t>
            </w:r>
          </w:p>
        </w:tc>
        <w:tc>
          <w:tcPr>
            <w:tcW w:w="6107" w:type="dxa"/>
            <w:noWrap w:val="0"/>
            <w:vAlign w:val="top"/>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承担的工作</w:t>
            </w:r>
          </w:p>
        </w:tc>
        <w:tc>
          <w:tcPr>
            <w:tcW w:w="6107" w:type="dxa"/>
            <w:noWrap w:val="0"/>
            <w:vAlign w:val="top"/>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工程质量</w:t>
            </w:r>
          </w:p>
        </w:tc>
        <w:tc>
          <w:tcPr>
            <w:tcW w:w="6107" w:type="dxa"/>
            <w:noWrap w:val="0"/>
            <w:vAlign w:val="top"/>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2415" w:type="dxa"/>
            <w:noWrap w:val="0"/>
            <w:vAlign w:val="center"/>
          </w:tcPr>
          <w:p>
            <w:pPr>
              <w:topLinePunct/>
              <w:spacing w:line="360" w:lineRule="auto"/>
              <w:jc w:val="center"/>
              <w:rPr>
                <w:rFonts w:hint="eastAsia"/>
                <w:color w:val="auto"/>
                <w:szCs w:val="21"/>
                <w:highlight w:val="none"/>
              </w:rPr>
            </w:pPr>
            <w:r>
              <w:rPr>
                <w:color w:val="auto"/>
                <w:szCs w:val="21"/>
                <w:highlight w:val="none"/>
              </w:rPr>
              <w:t>项目经理</w:t>
            </w:r>
            <w:r>
              <w:rPr>
                <w:rFonts w:hint="eastAsia"/>
                <w:color w:val="auto"/>
                <w:szCs w:val="21"/>
                <w:highlight w:val="none"/>
              </w:rPr>
              <w:t>（项目负责人）</w:t>
            </w:r>
          </w:p>
        </w:tc>
        <w:tc>
          <w:tcPr>
            <w:tcW w:w="6107" w:type="dxa"/>
            <w:noWrap w:val="0"/>
            <w:vAlign w:val="top"/>
          </w:tcPr>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项目描述</w:t>
            </w:r>
          </w:p>
        </w:tc>
        <w:tc>
          <w:tcPr>
            <w:tcW w:w="6107" w:type="dxa"/>
            <w:noWrap w:val="0"/>
            <w:vAlign w:val="top"/>
          </w:tcPr>
          <w:p>
            <w:pPr>
              <w:topLinePunct/>
              <w:spacing w:line="360" w:lineRule="auto"/>
              <w:rPr>
                <w:color w:val="auto"/>
                <w:szCs w:val="21"/>
                <w:highlight w:val="none"/>
              </w:rPr>
            </w:pPr>
          </w:p>
          <w:p>
            <w:pPr>
              <w:topLinePunct/>
              <w:spacing w:line="360" w:lineRule="auto"/>
              <w:rPr>
                <w:color w:val="auto"/>
                <w:szCs w:val="21"/>
                <w:highlight w:val="none"/>
              </w:rPr>
            </w:pPr>
          </w:p>
          <w:p>
            <w:pPr>
              <w:topLinePunct/>
              <w:spacing w:line="360" w:lineRule="auto"/>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2415" w:type="dxa"/>
            <w:noWrap w:val="0"/>
            <w:vAlign w:val="center"/>
          </w:tcPr>
          <w:p>
            <w:pPr>
              <w:topLinePunct/>
              <w:spacing w:line="360" w:lineRule="auto"/>
              <w:jc w:val="center"/>
              <w:rPr>
                <w:color w:val="auto"/>
                <w:szCs w:val="21"/>
                <w:highlight w:val="none"/>
              </w:rPr>
            </w:pPr>
            <w:r>
              <w:rPr>
                <w:color w:val="auto"/>
                <w:szCs w:val="21"/>
                <w:highlight w:val="none"/>
              </w:rPr>
              <w:t>备注</w:t>
            </w:r>
          </w:p>
        </w:tc>
        <w:tc>
          <w:tcPr>
            <w:tcW w:w="6107" w:type="dxa"/>
            <w:noWrap w:val="0"/>
            <w:vAlign w:val="top"/>
          </w:tcPr>
          <w:p>
            <w:pPr>
              <w:topLinePunct/>
              <w:spacing w:line="360" w:lineRule="auto"/>
              <w:rPr>
                <w:color w:val="auto"/>
                <w:szCs w:val="21"/>
                <w:highlight w:val="none"/>
              </w:rPr>
            </w:pPr>
          </w:p>
        </w:tc>
      </w:tr>
    </w:tbl>
    <w:p>
      <w:pPr>
        <w:spacing w:line="360" w:lineRule="auto"/>
        <w:rPr>
          <w:rFonts w:hint="eastAsia" w:ascii="Times New Roman" w:hAnsi="Times New Roman" w:cs="宋体"/>
          <w:color w:val="auto"/>
          <w:sz w:val="24"/>
          <w:highlight w:val="none"/>
        </w:rPr>
      </w:pPr>
      <w:bookmarkStart w:id="1292" w:name="_Toc247514304"/>
      <w:bookmarkStart w:id="1293" w:name="_Toc152045812"/>
      <w:bookmarkStart w:id="1294" w:name="_Toc152042601"/>
      <w:bookmarkStart w:id="1295" w:name="_Toc144974880"/>
      <w:bookmarkStart w:id="1296" w:name="_Toc247527852"/>
      <w:r>
        <w:rPr>
          <w:rFonts w:hint="eastAsia" w:ascii="Times New Roman" w:hAnsi="Times New Roman" w:cs="宋体"/>
          <w:color w:val="auto"/>
          <w:sz w:val="24"/>
          <w:highlight w:val="none"/>
        </w:rPr>
        <w:t>注:（1）投标人应根据投标人须知第3.5.4项的要求在本表后附相关证明材料扫描件。</w:t>
      </w:r>
    </w:p>
    <w:p>
      <w:pPr>
        <w:spacing w:line="360" w:lineRule="auto"/>
        <w:ind w:firstLine="360" w:firstLineChars="150"/>
        <w:rPr>
          <w:rFonts w:hint="eastAsia" w:ascii="Times New Roman" w:hAnsi="Times New Roman" w:cs="宋体"/>
          <w:color w:val="auto"/>
          <w:sz w:val="24"/>
          <w:highlight w:val="none"/>
        </w:rPr>
      </w:pPr>
      <w:r>
        <w:rPr>
          <w:rFonts w:hint="eastAsia" w:ascii="Times New Roman" w:hAnsi="Times New Roman" w:cs="宋体"/>
          <w:color w:val="auto"/>
          <w:sz w:val="24"/>
          <w:highlight w:val="none"/>
        </w:rPr>
        <w:t>（2）类似项目业绩是指:详见资格条件及评标办法要求，证明材料为合同协议书。类似项目业绩时间以合同协议书签订时间为准。</w:t>
      </w:r>
    </w:p>
    <w:p>
      <w:pPr>
        <w:spacing w:line="360" w:lineRule="auto"/>
        <w:ind w:firstLine="480" w:firstLineChars="200"/>
        <w:rPr>
          <w:rFonts w:hint="eastAsia" w:ascii="Times New Roman" w:hAnsi="Times New Roman" w:cs="宋体"/>
          <w:color w:val="auto"/>
          <w:sz w:val="24"/>
          <w:highlight w:val="none"/>
        </w:rPr>
      </w:pPr>
      <w:r>
        <w:rPr>
          <w:rFonts w:hint="eastAsia" w:ascii="Times New Roman" w:hAnsi="Times New Roman" w:cs="宋体"/>
          <w:color w:val="auto"/>
          <w:sz w:val="24"/>
          <w:highlight w:val="none"/>
        </w:rPr>
        <w:t>（3）类似项目业绩的合同协议书无法体现招标文件要求的建设规模或技术指标的，则投标人还需在发包人出具的证明文件中予以明确。</w:t>
      </w:r>
      <w:r>
        <w:rPr>
          <w:rFonts w:hint="eastAsia" w:ascii="Times New Roman" w:hAnsi="Times New Roman" w:cs="宋体"/>
          <w:color w:val="auto"/>
          <w:sz w:val="24"/>
          <w:highlight w:val="none"/>
        </w:rPr>
        <w:br w:type="textWrapping"/>
      </w:r>
      <w:r>
        <w:rPr>
          <w:rFonts w:hint="eastAsia" w:ascii="Times New Roman" w:hAnsi="Times New Roman" w:cs="宋体"/>
          <w:color w:val="auto"/>
          <w:sz w:val="24"/>
          <w:highlight w:val="none"/>
        </w:rPr>
        <w:t xml:space="preserve">    （4）工程总承包是指设计施工总承包或设计施工总承包。</w:t>
      </w:r>
    </w:p>
    <w:p>
      <w:pPr>
        <w:spacing w:line="360" w:lineRule="auto"/>
        <w:ind w:firstLine="480" w:firstLineChars="200"/>
        <w:rPr>
          <w:rFonts w:ascii="Times New Roman" w:hAnsi="Times New Roman" w:cs="宋体"/>
          <w:color w:val="auto"/>
          <w:sz w:val="24"/>
          <w:highlight w:val="none"/>
        </w:rPr>
        <w:sectPr>
          <w:pgSz w:w="11906" w:h="16838"/>
          <w:pgMar w:top="1417" w:right="1417" w:bottom="1417" w:left="1417" w:header="851" w:footer="850" w:gutter="0"/>
          <w:pgBorders>
            <w:top w:val="none" w:sz="0" w:space="0"/>
            <w:left w:val="none" w:sz="0" w:space="0"/>
            <w:bottom w:val="none" w:sz="0" w:space="0"/>
            <w:right w:val="none" w:sz="0" w:space="0"/>
          </w:pgBorders>
          <w:cols w:space="720" w:num="1"/>
          <w:docGrid w:type="lines" w:linePitch="312" w:charSpace="0"/>
        </w:sectPr>
      </w:pPr>
      <w:r>
        <w:rPr>
          <w:rFonts w:hint="eastAsia" w:ascii="Times New Roman" w:hAnsi="Times New Roman" w:cs="宋体"/>
          <w:color w:val="auto"/>
          <w:sz w:val="24"/>
          <w:highlight w:val="none"/>
        </w:rPr>
        <w:t>（5）若无要求，无需填写。</w:t>
      </w:r>
    </w:p>
    <w:p>
      <w:pPr>
        <w:spacing w:line="360" w:lineRule="auto"/>
        <w:rPr>
          <w:rFonts w:hint="eastAsia"/>
          <w:color w:val="auto"/>
          <w:highlight w:val="none"/>
        </w:rPr>
      </w:pPr>
    </w:p>
    <w:p>
      <w:pPr>
        <w:pStyle w:val="4"/>
        <w:spacing w:line="360" w:lineRule="auto"/>
        <w:jc w:val="center"/>
        <w:rPr>
          <w:rFonts w:ascii="Times New Roman" w:hAnsi="Times New Roman"/>
          <w:color w:val="auto"/>
          <w:highlight w:val="none"/>
        </w:rPr>
      </w:pPr>
      <w:bookmarkStart w:id="1297" w:name="_Toc300835228"/>
      <w:r>
        <w:rPr>
          <w:rFonts w:ascii="Times New Roman" w:hAnsi="Times New Roman"/>
          <w:color w:val="auto"/>
          <w:highlight w:val="none"/>
        </w:rPr>
        <w:t>（五）近年发生的</w:t>
      </w:r>
      <w:r>
        <w:rPr>
          <w:rFonts w:hint="eastAsia" w:ascii="Times New Roman" w:hAnsi="Times New Roman"/>
          <w:color w:val="auto"/>
          <w:highlight w:val="none"/>
        </w:rPr>
        <w:t>重大</w:t>
      </w:r>
      <w:r>
        <w:rPr>
          <w:rFonts w:ascii="Times New Roman" w:hAnsi="Times New Roman"/>
          <w:color w:val="auto"/>
          <w:highlight w:val="none"/>
        </w:rPr>
        <w:t>诉讼及仲裁情况</w:t>
      </w:r>
      <w:bookmarkEnd w:id="1292"/>
      <w:bookmarkEnd w:id="1293"/>
      <w:bookmarkEnd w:id="1294"/>
      <w:bookmarkEnd w:id="1295"/>
      <w:bookmarkEnd w:id="1296"/>
      <w:bookmarkEnd w:id="1297"/>
    </w:p>
    <w:tbl>
      <w:tblPr>
        <w:tblStyle w:val="20"/>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93"/>
        <w:gridCol w:w="1712"/>
        <w:gridCol w:w="2976"/>
        <w:gridCol w:w="284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042" w:hRule="atLeast"/>
        </w:trPr>
        <w:tc>
          <w:tcPr>
            <w:tcW w:w="993" w:type="dxa"/>
            <w:noWrap w:val="0"/>
            <w:vAlign w:val="center"/>
          </w:tcPr>
          <w:p>
            <w:pPr>
              <w:spacing w:line="36" w:lineRule="auto"/>
              <w:jc w:val="center"/>
              <w:rPr>
                <w:rFonts w:ascii="Times New Roman" w:hAnsi="Times New Roman"/>
                <w:color w:val="auto"/>
                <w:sz w:val="24"/>
                <w:highlight w:val="none"/>
              </w:rPr>
            </w:pPr>
            <w:bookmarkStart w:id="1298" w:name="_Toc247514305"/>
            <w:bookmarkStart w:id="1299" w:name="_Toc247527853"/>
            <w:bookmarkStart w:id="1300" w:name="_Toc247530162"/>
            <w:bookmarkStart w:id="1301" w:name="_Toc152042602"/>
            <w:bookmarkStart w:id="1302" w:name="_Toc152045813"/>
            <w:bookmarkStart w:id="1303" w:name="_Toc144974881"/>
            <w:r>
              <w:rPr>
                <w:rFonts w:hint="eastAsia" w:ascii="Times New Roman" w:hAnsi="Times New Roman"/>
                <w:color w:val="auto"/>
                <w:sz w:val="24"/>
                <w:highlight w:val="none"/>
              </w:rPr>
              <w:t>序号</w:t>
            </w:r>
          </w:p>
        </w:tc>
        <w:tc>
          <w:tcPr>
            <w:tcW w:w="1712" w:type="dxa"/>
            <w:noWrap w:val="0"/>
            <w:vAlign w:val="center"/>
          </w:tcPr>
          <w:p>
            <w:pPr>
              <w:spacing w:line="36" w:lineRule="auto"/>
              <w:jc w:val="center"/>
              <w:rPr>
                <w:rFonts w:ascii="Times New Roman" w:hAnsi="Times New Roman"/>
                <w:color w:val="auto"/>
                <w:sz w:val="24"/>
                <w:highlight w:val="none"/>
              </w:rPr>
            </w:pPr>
            <w:r>
              <w:rPr>
                <w:rFonts w:hint="eastAsia" w:ascii="Times New Roman" w:hAnsi="Times New Roman"/>
                <w:color w:val="auto"/>
                <w:sz w:val="24"/>
                <w:highlight w:val="none"/>
              </w:rPr>
              <w:t>案由</w:t>
            </w:r>
          </w:p>
        </w:tc>
        <w:tc>
          <w:tcPr>
            <w:tcW w:w="2976" w:type="dxa"/>
            <w:noWrap w:val="0"/>
            <w:vAlign w:val="center"/>
          </w:tcPr>
          <w:p>
            <w:pPr>
              <w:spacing w:line="36" w:lineRule="auto"/>
              <w:jc w:val="center"/>
              <w:rPr>
                <w:rFonts w:ascii="Times New Roman" w:hAnsi="Times New Roman"/>
                <w:color w:val="auto"/>
                <w:sz w:val="24"/>
                <w:highlight w:val="none"/>
              </w:rPr>
            </w:pPr>
            <w:r>
              <w:rPr>
                <w:rFonts w:hint="eastAsia" w:ascii="Times New Roman" w:hAnsi="Times New Roman"/>
                <w:color w:val="auto"/>
                <w:sz w:val="24"/>
                <w:highlight w:val="none"/>
              </w:rPr>
              <w:t>双方当事人名称</w:t>
            </w:r>
          </w:p>
        </w:tc>
        <w:tc>
          <w:tcPr>
            <w:tcW w:w="2842" w:type="dxa"/>
            <w:noWrap w:val="0"/>
            <w:vAlign w:val="center"/>
          </w:tcPr>
          <w:p>
            <w:pPr>
              <w:spacing w:line="36" w:lineRule="auto"/>
              <w:jc w:val="center"/>
              <w:rPr>
                <w:rFonts w:ascii="Times New Roman" w:hAnsi="Times New Roman"/>
                <w:color w:val="auto"/>
                <w:sz w:val="24"/>
                <w:highlight w:val="none"/>
              </w:rPr>
            </w:pPr>
            <w:r>
              <w:rPr>
                <w:rFonts w:hint="eastAsia" w:ascii="Times New Roman" w:hAnsi="Times New Roman"/>
                <w:color w:val="auto"/>
                <w:sz w:val="24"/>
                <w:highlight w:val="none"/>
              </w:rPr>
              <w:t>判决、裁决时间</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1</w:t>
            </w:r>
          </w:p>
        </w:tc>
        <w:tc>
          <w:tcPr>
            <w:tcW w:w="1712"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976"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842"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1712"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976"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842"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93"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1712"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976"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c>
          <w:tcPr>
            <w:tcW w:w="2842" w:type="dxa"/>
            <w:noWrap w:val="0"/>
            <w:vAlign w:val="center"/>
          </w:tcPr>
          <w:p>
            <w:pPr>
              <w:spacing w:line="36" w:lineRule="auto"/>
              <w:jc w:val="center"/>
              <w:rPr>
                <w:rFonts w:ascii="Times New Roman" w:hAnsi="Times New Roman"/>
                <w:color w:val="auto"/>
                <w:sz w:val="27"/>
                <w:highlight w:val="none"/>
              </w:rPr>
            </w:pPr>
            <w:r>
              <w:rPr>
                <w:rFonts w:hint="eastAsia" w:ascii="Times New Roman" w:hAnsi="Times New Roman"/>
                <w:color w:val="auto"/>
                <w:sz w:val="27"/>
                <w:highlight w:val="none"/>
              </w:rPr>
              <w:t>……</w:t>
            </w:r>
          </w:p>
        </w:tc>
      </w:tr>
    </w:tbl>
    <w:p>
      <w:pPr>
        <w:spacing w:line="360" w:lineRule="auto"/>
        <w:ind w:firstLine="360" w:firstLineChars="150"/>
        <w:rPr>
          <w:rFonts w:hint="eastAsia" w:ascii="Times New Roman" w:hAnsi="Times New Roman" w:cs="宋体"/>
          <w:color w:val="auto"/>
          <w:sz w:val="24"/>
          <w:highlight w:val="none"/>
        </w:rPr>
      </w:pPr>
      <w:r>
        <w:rPr>
          <w:rFonts w:hint="eastAsia" w:ascii="Times New Roman" w:hAnsi="Times New Roman" w:cs="宋体"/>
          <w:color w:val="auto"/>
          <w:sz w:val="24"/>
          <w:highlight w:val="none"/>
        </w:rPr>
        <w:t>注： （1）本表为调查表，填写投标人认为可能影响其履约能力的诉讼、仲裁情况，并按投标人须知第3.5.5项的要求在本表后附相关证明材料扫描件。</w:t>
      </w:r>
    </w:p>
    <w:p>
      <w:pPr>
        <w:spacing w:line="360" w:lineRule="auto"/>
        <w:ind w:firstLine="1080" w:firstLineChars="450"/>
        <w:rPr>
          <w:color w:val="auto"/>
          <w:highlight w:val="none"/>
        </w:rPr>
      </w:pPr>
      <w:r>
        <w:rPr>
          <w:rFonts w:hint="eastAsia" w:ascii="Times New Roman" w:hAnsi="Times New Roman" w:cs="宋体"/>
          <w:color w:val="auto"/>
          <w:sz w:val="24"/>
          <w:highlight w:val="none"/>
        </w:rPr>
        <w:t>（2）诉讼、仲裁的起算时间为法院或仲裁机构作出的判决、裁决文书的时间。</w:t>
      </w:r>
    </w:p>
    <w:p>
      <w:pPr>
        <w:spacing w:line="360" w:lineRule="auto"/>
        <w:ind w:firstLine="1080" w:firstLineChars="450"/>
        <w:rPr>
          <w:rFonts w:hint="eastAsia"/>
          <w:color w:val="auto"/>
          <w:highlight w:val="none"/>
        </w:rPr>
      </w:pPr>
      <w:r>
        <w:rPr>
          <w:rFonts w:hint="eastAsia" w:ascii="Times New Roman" w:hAnsi="Times New Roman" w:cs="宋体"/>
          <w:color w:val="auto"/>
          <w:sz w:val="24"/>
          <w:highlight w:val="none"/>
        </w:rPr>
        <w:t>（3）若为联合体投标，所有成员单位均须提供。</w:t>
      </w:r>
    </w:p>
    <w:p>
      <w:pPr>
        <w:spacing w:line="360" w:lineRule="auto"/>
        <w:ind w:firstLine="480"/>
        <w:rPr>
          <w:rFonts w:hint="eastAsia"/>
          <w:color w:val="auto"/>
          <w:highlight w:val="none"/>
        </w:rPr>
      </w:pPr>
      <w:r>
        <w:rPr>
          <w:rFonts w:hint="eastAsia"/>
          <w:color w:val="auto"/>
          <w:highlight w:val="none"/>
        </w:rPr>
        <w:br w:type="page"/>
      </w:r>
    </w:p>
    <w:p>
      <w:pPr>
        <w:pStyle w:val="4"/>
        <w:spacing w:line="360" w:lineRule="auto"/>
        <w:jc w:val="center"/>
        <w:rPr>
          <w:rFonts w:ascii="Times New Roman" w:hAnsi="Times New Roman"/>
          <w:color w:val="auto"/>
          <w:sz w:val="20"/>
          <w:szCs w:val="20"/>
          <w:highlight w:val="none"/>
        </w:rPr>
      </w:pPr>
      <w:bookmarkStart w:id="1304" w:name="_Toc300835229"/>
      <w:r>
        <w:rPr>
          <w:rFonts w:hint="eastAsia" w:ascii="Times New Roman" w:hAnsi="Times New Roman"/>
          <w:color w:val="auto"/>
          <w:highlight w:val="none"/>
        </w:rPr>
        <w:t>（六）</w:t>
      </w:r>
      <w:r>
        <w:rPr>
          <w:rFonts w:ascii="Times New Roman" w:hAnsi="Times New Roman"/>
          <w:color w:val="auto"/>
          <w:highlight w:val="none"/>
        </w:rPr>
        <w:t>拟投入本</w:t>
      </w:r>
      <w:r>
        <w:rPr>
          <w:rFonts w:hint="eastAsia" w:ascii="Times New Roman" w:hAnsi="Times New Roman"/>
          <w:color w:val="auto"/>
          <w:highlight w:val="none"/>
        </w:rPr>
        <w:t>项目</w:t>
      </w:r>
      <w:r>
        <w:rPr>
          <w:rFonts w:ascii="Times New Roman" w:hAnsi="Times New Roman"/>
          <w:color w:val="auto"/>
          <w:highlight w:val="none"/>
        </w:rPr>
        <w:t>的主要施工设备表</w:t>
      </w:r>
      <w:bookmarkEnd w:id="1304"/>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5"/>
        <w:gridCol w:w="1086"/>
        <w:gridCol w:w="761"/>
        <w:gridCol w:w="990"/>
        <w:gridCol w:w="672"/>
        <w:gridCol w:w="738"/>
        <w:gridCol w:w="1212"/>
        <w:gridCol w:w="874"/>
        <w:gridCol w:w="1055"/>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pPr>
              <w:spacing w:line="360" w:lineRule="auto"/>
              <w:rPr>
                <w:color w:val="auto"/>
                <w:szCs w:val="21"/>
                <w:highlight w:val="none"/>
              </w:rPr>
            </w:pPr>
            <w:r>
              <w:rPr>
                <w:color w:val="auto"/>
                <w:szCs w:val="21"/>
                <w:highlight w:val="none"/>
              </w:rPr>
              <w:t>序号</w:t>
            </w:r>
          </w:p>
        </w:tc>
        <w:tc>
          <w:tcPr>
            <w:tcW w:w="1086" w:type="dxa"/>
            <w:noWrap w:val="0"/>
            <w:vAlign w:val="center"/>
          </w:tcPr>
          <w:p>
            <w:pPr>
              <w:spacing w:line="360" w:lineRule="auto"/>
              <w:jc w:val="center"/>
              <w:rPr>
                <w:color w:val="auto"/>
                <w:szCs w:val="21"/>
                <w:highlight w:val="none"/>
              </w:rPr>
            </w:pPr>
            <w:r>
              <w:rPr>
                <w:color w:val="auto"/>
                <w:szCs w:val="21"/>
                <w:highlight w:val="none"/>
              </w:rPr>
              <w:t>设备名称</w:t>
            </w:r>
          </w:p>
        </w:tc>
        <w:tc>
          <w:tcPr>
            <w:tcW w:w="761" w:type="dxa"/>
            <w:noWrap w:val="0"/>
            <w:vAlign w:val="center"/>
          </w:tcPr>
          <w:p>
            <w:pPr>
              <w:spacing w:line="360" w:lineRule="auto"/>
              <w:jc w:val="center"/>
              <w:rPr>
                <w:color w:val="auto"/>
                <w:szCs w:val="21"/>
                <w:highlight w:val="none"/>
              </w:rPr>
            </w:pPr>
            <w:r>
              <w:rPr>
                <w:color w:val="auto"/>
                <w:szCs w:val="21"/>
                <w:highlight w:val="none"/>
              </w:rPr>
              <w:t>型号</w:t>
            </w:r>
          </w:p>
          <w:p>
            <w:pPr>
              <w:spacing w:line="360" w:lineRule="auto"/>
              <w:jc w:val="center"/>
              <w:rPr>
                <w:color w:val="auto"/>
                <w:szCs w:val="21"/>
                <w:highlight w:val="none"/>
              </w:rPr>
            </w:pPr>
            <w:r>
              <w:rPr>
                <w:color w:val="auto"/>
                <w:szCs w:val="21"/>
                <w:highlight w:val="none"/>
              </w:rPr>
              <w:t>规格</w:t>
            </w:r>
          </w:p>
        </w:tc>
        <w:tc>
          <w:tcPr>
            <w:tcW w:w="990" w:type="dxa"/>
            <w:noWrap w:val="0"/>
            <w:vAlign w:val="center"/>
          </w:tcPr>
          <w:p>
            <w:pPr>
              <w:spacing w:line="360" w:lineRule="auto"/>
              <w:jc w:val="center"/>
              <w:rPr>
                <w:color w:val="auto"/>
                <w:szCs w:val="21"/>
                <w:highlight w:val="none"/>
              </w:rPr>
            </w:pPr>
            <w:r>
              <w:rPr>
                <w:color w:val="auto"/>
                <w:szCs w:val="21"/>
                <w:highlight w:val="none"/>
              </w:rPr>
              <w:t>数量</w:t>
            </w:r>
          </w:p>
        </w:tc>
        <w:tc>
          <w:tcPr>
            <w:tcW w:w="672" w:type="dxa"/>
            <w:noWrap w:val="0"/>
            <w:vAlign w:val="center"/>
          </w:tcPr>
          <w:p>
            <w:pPr>
              <w:spacing w:line="360" w:lineRule="auto"/>
              <w:jc w:val="center"/>
              <w:rPr>
                <w:color w:val="auto"/>
                <w:szCs w:val="21"/>
                <w:highlight w:val="none"/>
              </w:rPr>
            </w:pPr>
            <w:r>
              <w:rPr>
                <w:color w:val="auto"/>
                <w:szCs w:val="21"/>
                <w:highlight w:val="none"/>
              </w:rPr>
              <w:t>国别</w:t>
            </w:r>
          </w:p>
          <w:p>
            <w:pPr>
              <w:spacing w:line="360" w:lineRule="auto"/>
              <w:jc w:val="center"/>
              <w:rPr>
                <w:color w:val="auto"/>
                <w:szCs w:val="21"/>
                <w:highlight w:val="none"/>
              </w:rPr>
            </w:pPr>
            <w:r>
              <w:rPr>
                <w:color w:val="auto"/>
                <w:szCs w:val="21"/>
                <w:highlight w:val="none"/>
              </w:rPr>
              <w:t>产地</w:t>
            </w:r>
          </w:p>
        </w:tc>
        <w:tc>
          <w:tcPr>
            <w:tcW w:w="738" w:type="dxa"/>
            <w:noWrap w:val="0"/>
            <w:vAlign w:val="center"/>
          </w:tcPr>
          <w:p>
            <w:pPr>
              <w:spacing w:line="360" w:lineRule="auto"/>
              <w:jc w:val="center"/>
              <w:rPr>
                <w:color w:val="auto"/>
                <w:szCs w:val="21"/>
                <w:highlight w:val="none"/>
              </w:rPr>
            </w:pPr>
            <w:r>
              <w:rPr>
                <w:color w:val="auto"/>
                <w:szCs w:val="21"/>
                <w:highlight w:val="none"/>
              </w:rPr>
              <w:t>制造</w:t>
            </w:r>
          </w:p>
          <w:p>
            <w:pPr>
              <w:spacing w:line="360" w:lineRule="auto"/>
              <w:jc w:val="center"/>
              <w:rPr>
                <w:color w:val="auto"/>
                <w:szCs w:val="21"/>
                <w:highlight w:val="none"/>
              </w:rPr>
            </w:pPr>
            <w:r>
              <w:rPr>
                <w:color w:val="auto"/>
                <w:szCs w:val="21"/>
                <w:highlight w:val="none"/>
              </w:rPr>
              <w:t>年份</w:t>
            </w:r>
          </w:p>
        </w:tc>
        <w:tc>
          <w:tcPr>
            <w:tcW w:w="1212" w:type="dxa"/>
            <w:noWrap w:val="0"/>
            <w:vAlign w:val="center"/>
          </w:tcPr>
          <w:p>
            <w:pPr>
              <w:spacing w:line="360" w:lineRule="auto"/>
              <w:jc w:val="center"/>
              <w:rPr>
                <w:color w:val="auto"/>
                <w:szCs w:val="21"/>
                <w:highlight w:val="none"/>
              </w:rPr>
            </w:pPr>
            <w:r>
              <w:rPr>
                <w:color w:val="auto"/>
                <w:szCs w:val="21"/>
                <w:highlight w:val="none"/>
              </w:rPr>
              <w:t>额定功率（</w:t>
            </w:r>
            <w:r>
              <w:rPr>
                <w:rFonts w:hint="eastAsia"/>
                <w:color w:val="auto"/>
                <w:szCs w:val="21"/>
                <w:highlight w:val="none"/>
              </w:rPr>
              <w:t>k</w:t>
            </w:r>
            <w:r>
              <w:rPr>
                <w:color w:val="auto"/>
                <w:szCs w:val="21"/>
                <w:highlight w:val="none"/>
              </w:rPr>
              <w:t>W）</w:t>
            </w:r>
          </w:p>
        </w:tc>
        <w:tc>
          <w:tcPr>
            <w:tcW w:w="874" w:type="dxa"/>
            <w:noWrap w:val="0"/>
            <w:vAlign w:val="center"/>
          </w:tcPr>
          <w:p>
            <w:pPr>
              <w:spacing w:line="360" w:lineRule="auto"/>
              <w:jc w:val="center"/>
              <w:rPr>
                <w:color w:val="auto"/>
                <w:szCs w:val="21"/>
                <w:highlight w:val="none"/>
              </w:rPr>
            </w:pPr>
            <w:r>
              <w:rPr>
                <w:color w:val="auto"/>
                <w:szCs w:val="21"/>
                <w:highlight w:val="none"/>
              </w:rPr>
              <w:t>生产</w:t>
            </w:r>
          </w:p>
          <w:p>
            <w:pPr>
              <w:spacing w:line="360" w:lineRule="auto"/>
              <w:jc w:val="center"/>
              <w:rPr>
                <w:color w:val="auto"/>
                <w:szCs w:val="21"/>
                <w:highlight w:val="none"/>
              </w:rPr>
            </w:pPr>
            <w:r>
              <w:rPr>
                <w:color w:val="auto"/>
                <w:szCs w:val="21"/>
                <w:highlight w:val="none"/>
              </w:rPr>
              <w:t>能力</w:t>
            </w:r>
          </w:p>
        </w:tc>
        <w:tc>
          <w:tcPr>
            <w:tcW w:w="1055" w:type="dxa"/>
            <w:noWrap w:val="0"/>
            <w:vAlign w:val="center"/>
          </w:tcPr>
          <w:p>
            <w:pPr>
              <w:spacing w:line="360" w:lineRule="auto"/>
              <w:jc w:val="center"/>
              <w:rPr>
                <w:color w:val="auto"/>
                <w:szCs w:val="21"/>
                <w:highlight w:val="none"/>
              </w:rPr>
            </w:pPr>
            <w:r>
              <w:rPr>
                <w:color w:val="auto"/>
                <w:szCs w:val="21"/>
                <w:highlight w:val="none"/>
              </w:rPr>
              <w:t>用于施工部位</w:t>
            </w:r>
          </w:p>
        </w:tc>
        <w:tc>
          <w:tcPr>
            <w:tcW w:w="691" w:type="dxa"/>
            <w:noWrap w:val="0"/>
            <w:vAlign w:val="center"/>
          </w:tcPr>
          <w:p>
            <w:pPr>
              <w:spacing w:line="360" w:lineRule="auto"/>
              <w:jc w:val="center"/>
              <w:rPr>
                <w:color w:val="auto"/>
                <w:szCs w:val="21"/>
                <w:highlight w:val="none"/>
              </w:rPr>
            </w:pPr>
            <w:r>
              <w:rPr>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pPr>
              <w:spacing w:line="360" w:lineRule="auto"/>
              <w:jc w:val="center"/>
              <w:rPr>
                <w:color w:val="auto"/>
                <w:szCs w:val="21"/>
                <w:highlight w:val="none"/>
              </w:rPr>
            </w:pPr>
          </w:p>
        </w:tc>
        <w:tc>
          <w:tcPr>
            <w:tcW w:w="1086" w:type="dxa"/>
            <w:noWrap w:val="0"/>
            <w:vAlign w:val="center"/>
          </w:tcPr>
          <w:p>
            <w:pPr>
              <w:spacing w:line="360" w:lineRule="auto"/>
              <w:jc w:val="center"/>
              <w:rPr>
                <w:color w:val="auto"/>
                <w:szCs w:val="21"/>
                <w:highlight w:val="none"/>
              </w:rPr>
            </w:pPr>
          </w:p>
        </w:tc>
        <w:tc>
          <w:tcPr>
            <w:tcW w:w="761" w:type="dxa"/>
            <w:noWrap w:val="0"/>
            <w:vAlign w:val="center"/>
          </w:tcPr>
          <w:p>
            <w:pPr>
              <w:spacing w:line="360" w:lineRule="auto"/>
              <w:jc w:val="center"/>
              <w:rPr>
                <w:color w:val="auto"/>
                <w:szCs w:val="21"/>
                <w:highlight w:val="none"/>
              </w:rPr>
            </w:pPr>
          </w:p>
        </w:tc>
        <w:tc>
          <w:tcPr>
            <w:tcW w:w="990" w:type="dxa"/>
            <w:noWrap w:val="0"/>
            <w:vAlign w:val="center"/>
          </w:tcPr>
          <w:p>
            <w:pPr>
              <w:spacing w:line="360" w:lineRule="auto"/>
              <w:jc w:val="center"/>
              <w:rPr>
                <w:color w:val="auto"/>
                <w:szCs w:val="21"/>
                <w:highlight w:val="none"/>
              </w:rPr>
            </w:pPr>
          </w:p>
        </w:tc>
        <w:tc>
          <w:tcPr>
            <w:tcW w:w="672" w:type="dxa"/>
            <w:noWrap w:val="0"/>
            <w:vAlign w:val="center"/>
          </w:tcPr>
          <w:p>
            <w:pPr>
              <w:spacing w:line="360" w:lineRule="auto"/>
              <w:jc w:val="center"/>
              <w:rPr>
                <w:color w:val="auto"/>
                <w:szCs w:val="21"/>
                <w:highlight w:val="none"/>
              </w:rPr>
            </w:pPr>
          </w:p>
        </w:tc>
        <w:tc>
          <w:tcPr>
            <w:tcW w:w="738" w:type="dxa"/>
            <w:noWrap w:val="0"/>
            <w:vAlign w:val="center"/>
          </w:tcPr>
          <w:p>
            <w:pPr>
              <w:spacing w:line="360" w:lineRule="auto"/>
              <w:jc w:val="center"/>
              <w:rPr>
                <w:color w:val="auto"/>
                <w:szCs w:val="21"/>
                <w:highlight w:val="none"/>
              </w:rPr>
            </w:pPr>
          </w:p>
        </w:tc>
        <w:tc>
          <w:tcPr>
            <w:tcW w:w="1212" w:type="dxa"/>
            <w:noWrap w:val="0"/>
            <w:vAlign w:val="center"/>
          </w:tcPr>
          <w:p>
            <w:pPr>
              <w:spacing w:line="360" w:lineRule="auto"/>
              <w:jc w:val="center"/>
              <w:rPr>
                <w:color w:val="auto"/>
                <w:szCs w:val="21"/>
                <w:highlight w:val="none"/>
              </w:rPr>
            </w:pPr>
          </w:p>
        </w:tc>
        <w:tc>
          <w:tcPr>
            <w:tcW w:w="874" w:type="dxa"/>
            <w:noWrap w:val="0"/>
            <w:vAlign w:val="center"/>
          </w:tcPr>
          <w:p>
            <w:pPr>
              <w:spacing w:line="360" w:lineRule="auto"/>
              <w:jc w:val="center"/>
              <w:rPr>
                <w:color w:val="auto"/>
                <w:szCs w:val="21"/>
                <w:highlight w:val="none"/>
              </w:rPr>
            </w:pPr>
          </w:p>
        </w:tc>
        <w:tc>
          <w:tcPr>
            <w:tcW w:w="1055" w:type="dxa"/>
            <w:noWrap w:val="0"/>
            <w:vAlign w:val="center"/>
          </w:tcPr>
          <w:p>
            <w:pPr>
              <w:spacing w:line="360" w:lineRule="auto"/>
              <w:jc w:val="center"/>
              <w:rPr>
                <w:color w:val="auto"/>
                <w:szCs w:val="21"/>
                <w:highlight w:val="none"/>
              </w:rPr>
            </w:pPr>
          </w:p>
        </w:tc>
        <w:tc>
          <w:tcPr>
            <w:tcW w:w="691" w:type="dxa"/>
            <w:noWrap w:val="0"/>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center"/>
          </w:tcPr>
          <w:p>
            <w:pPr>
              <w:spacing w:line="360" w:lineRule="auto"/>
              <w:jc w:val="center"/>
              <w:rPr>
                <w:color w:val="auto"/>
                <w:szCs w:val="21"/>
                <w:highlight w:val="none"/>
              </w:rPr>
            </w:pPr>
          </w:p>
        </w:tc>
        <w:tc>
          <w:tcPr>
            <w:tcW w:w="1086" w:type="dxa"/>
            <w:noWrap w:val="0"/>
            <w:vAlign w:val="center"/>
          </w:tcPr>
          <w:p>
            <w:pPr>
              <w:spacing w:line="360" w:lineRule="auto"/>
              <w:jc w:val="center"/>
              <w:rPr>
                <w:color w:val="auto"/>
                <w:szCs w:val="21"/>
                <w:highlight w:val="none"/>
              </w:rPr>
            </w:pPr>
          </w:p>
        </w:tc>
        <w:tc>
          <w:tcPr>
            <w:tcW w:w="761" w:type="dxa"/>
            <w:noWrap w:val="0"/>
            <w:vAlign w:val="center"/>
          </w:tcPr>
          <w:p>
            <w:pPr>
              <w:spacing w:line="360" w:lineRule="auto"/>
              <w:jc w:val="center"/>
              <w:rPr>
                <w:color w:val="auto"/>
                <w:szCs w:val="21"/>
                <w:highlight w:val="none"/>
              </w:rPr>
            </w:pPr>
          </w:p>
        </w:tc>
        <w:tc>
          <w:tcPr>
            <w:tcW w:w="990" w:type="dxa"/>
            <w:noWrap w:val="0"/>
            <w:vAlign w:val="center"/>
          </w:tcPr>
          <w:p>
            <w:pPr>
              <w:spacing w:line="360" w:lineRule="auto"/>
              <w:jc w:val="center"/>
              <w:rPr>
                <w:color w:val="auto"/>
                <w:szCs w:val="21"/>
                <w:highlight w:val="none"/>
              </w:rPr>
            </w:pPr>
          </w:p>
        </w:tc>
        <w:tc>
          <w:tcPr>
            <w:tcW w:w="672" w:type="dxa"/>
            <w:noWrap w:val="0"/>
            <w:vAlign w:val="center"/>
          </w:tcPr>
          <w:p>
            <w:pPr>
              <w:spacing w:line="360" w:lineRule="auto"/>
              <w:jc w:val="center"/>
              <w:rPr>
                <w:color w:val="auto"/>
                <w:szCs w:val="21"/>
                <w:highlight w:val="none"/>
              </w:rPr>
            </w:pPr>
          </w:p>
        </w:tc>
        <w:tc>
          <w:tcPr>
            <w:tcW w:w="738" w:type="dxa"/>
            <w:noWrap w:val="0"/>
            <w:vAlign w:val="center"/>
          </w:tcPr>
          <w:p>
            <w:pPr>
              <w:spacing w:line="360" w:lineRule="auto"/>
              <w:jc w:val="center"/>
              <w:rPr>
                <w:color w:val="auto"/>
                <w:szCs w:val="21"/>
                <w:highlight w:val="none"/>
              </w:rPr>
            </w:pPr>
          </w:p>
        </w:tc>
        <w:tc>
          <w:tcPr>
            <w:tcW w:w="1212" w:type="dxa"/>
            <w:noWrap w:val="0"/>
            <w:vAlign w:val="center"/>
          </w:tcPr>
          <w:p>
            <w:pPr>
              <w:spacing w:line="360" w:lineRule="auto"/>
              <w:jc w:val="center"/>
              <w:rPr>
                <w:color w:val="auto"/>
                <w:szCs w:val="21"/>
                <w:highlight w:val="none"/>
              </w:rPr>
            </w:pPr>
          </w:p>
        </w:tc>
        <w:tc>
          <w:tcPr>
            <w:tcW w:w="874" w:type="dxa"/>
            <w:noWrap w:val="0"/>
            <w:vAlign w:val="center"/>
          </w:tcPr>
          <w:p>
            <w:pPr>
              <w:spacing w:line="360" w:lineRule="auto"/>
              <w:jc w:val="center"/>
              <w:rPr>
                <w:color w:val="auto"/>
                <w:szCs w:val="21"/>
                <w:highlight w:val="none"/>
              </w:rPr>
            </w:pPr>
          </w:p>
        </w:tc>
        <w:tc>
          <w:tcPr>
            <w:tcW w:w="1055" w:type="dxa"/>
            <w:noWrap w:val="0"/>
            <w:vAlign w:val="center"/>
          </w:tcPr>
          <w:p>
            <w:pPr>
              <w:spacing w:line="360" w:lineRule="auto"/>
              <w:jc w:val="center"/>
              <w:rPr>
                <w:color w:val="auto"/>
                <w:szCs w:val="21"/>
                <w:highlight w:val="none"/>
              </w:rPr>
            </w:pPr>
          </w:p>
        </w:tc>
        <w:tc>
          <w:tcPr>
            <w:tcW w:w="691" w:type="dxa"/>
            <w:noWrap w:val="0"/>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5" w:type="dxa"/>
            <w:noWrap w:val="0"/>
            <w:vAlign w:val="top"/>
          </w:tcPr>
          <w:p>
            <w:pPr>
              <w:spacing w:line="360" w:lineRule="auto"/>
              <w:jc w:val="center"/>
              <w:rPr>
                <w:color w:val="auto"/>
                <w:szCs w:val="21"/>
                <w:highlight w:val="none"/>
              </w:rPr>
            </w:pPr>
          </w:p>
        </w:tc>
        <w:tc>
          <w:tcPr>
            <w:tcW w:w="1086" w:type="dxa"/>
            <w:noWrap w:val="0"/>
            <w:vAlign w:val="top"/>
          </w:tcPr>
          <w:p>
            <w:pPr>
              <w:spacing w:line="360" w:lineRule="auto"/>
              <w:jc w:val="center"/>
              <w:rPr>
                <w:color w:val="auto"/>
                <w:szCs w:val="21"/>
                <w:highlight w:val="none"/>
              </w:rPr>
            </w:pPr>
          </w:p>
        </w:tc>
        <w:tc>
          <w:tcPr>
            <w:tcW w:w="761" w:type="dxa"/>
            <w:noWrap w:val="0"/>
            <w:vAlign w:val="top"/>
          </w:tcPr>
          <w:p>
            <w:pPr>
              <w:spacing w:line="360" w:lineRule="auto"/>
              <w:jc w:val="center"/>
              <w:rPr>
                <w:color w:val="auto"/>
                <w:szCs w:val="21"/>
                <w:highlight w:val="none"/>
              </w:rPr>
            </w:pPr>
          </w:p>
        </w:tc>
        <w:tc>
          <w:tcPr>
            <w:tcW w:w="990"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874" w:type="dxa"/>
            <w:noWrap w:val="0"/>
            <w:vAlign w:val="top"/>
          </w:tcPr>
          <w:p>
            <w:pPr>
              <w:spacing w:line="360" w:lineRule="auto"/>
              <w:jc w:val="center"/>
              <w:rPr>
                <w:color w:val="auto"/>
                <w:szCs w:val="21"/>
                <w:highlight w:val="none"/>
              </w:rPr>
            </w:pPr>
          </w:p>
        </w:tc>
        <w:tc>
          <w:tcPr>
            <w:tcW w:w="1055" w:type="dxa"/>
            <w:noWrap w:val="0"/>
            <w:vAlign w:val="top"/>
          </w:tcPr>
          <w:p>
            <w:pPr>
              <w:spacing w:line="360" w:lineRule="auto"/>
              <w:jc w:val="center"/>
              <w:rPr>
                <w:color w:val="auto"/>
                <w:szCs w:val="21"/>
                <w:highlight w:val="none"/>
              </w:rPr>
            </w:pPr>
          </w:p>
        </w:tc>
        <w:tc>
          <w:tcPr>
            <w:tcW w:w="691" w:type="dxa"/>
            <w:noWrap w:val="0"/>
            <w:vAlign w:val="top"/>
          </w:tcPr>
          <w:p>
            <w:pPr>
              <w:spacing w:line="360" w:lineRule="auto"/>
              <w:jc w:val="center"/>
              <w:rPr>
                <w:color w:val="auto"/>
                <w:szCs w:val="21"/>
                <w:highlight w:val="none"/>
              </w:rPr>
            </w:pPr>
          </w:p>
        </w:tc>
      </w:tr>
    </w:tbl>
    <w:p>
      <w:pPr>
        <w:spacing w:line="360" w:lineRule="auto"/>
        <w:rPr>
          <w:rFonts w:eastAsia="黑体"/>
          <w:color w:val="auto"/>
          <w:sz w:val="20"/>
          <w:szCs w:val="20"/>
          <w:highlight w:val="none"/>
        </w:rPr>
      </w:pPr>
    </w:p>
    <w:p>
      <w:pPr>
        <w:pStyle w:val="4"/>
        <w:spacing w:line="360" w:lineRule="auto"/>
        <w:jc w:val="center"/>
        <w:rPr>
          <w:rFonts w:ascii="Times New Roman" w:hAnsi="Times New Roman"/>
          <w:color w:val="auto"/>
          <w:sz w:val="20"/>
          <w:szCs w:val="20"/>
          <w:highlight w:val="none"/>
        </w:rPr>
      </w:pPr>
      <w:bookmarkStart w:id="1305" w:name="_Toc179632818"/>
      <w:bookmarkStart w:id="1306" w:name="_Toc144974866"/>
      <w:bookmarkStart w:id="1307" w:name="_Toc152042587"/>
      <w:bookmarkStart w:id="1308" w:name="_Toc300835230"/>
      <w:bookmarkStart w:id="1309" w:name="_Toc152045798"/>
      <w:r>
        <w:rPr>
          <w:rFonts w:hint="eastAsia" w:ascii="Times New Roman" w:hAnsi="Times New Roman"/>
          <w:color w:val="auto"/>
          <w:highlight w:val="none"/>
        </w:rPr>
        <w:t>（七）</w:t>
      </w:r>
      <w:r>
        <w:rPr>
          <w:rFonts w:ascii="Times New Roman" w:hAnsi="Times New Roman"/>
          <w:color w:val="auto"/>
          <w:highlight w:val="none"/>
        </w:rPr>
        <w:t>拟配备本</w:t>
      </w:r>
      <w:r>
        <w:rPr>
          <w:rFonts w:hint="eastAsia" w:ascii="Times New Roman" w:hAnsi="Times New Roman"/>
          <w:color w:val="auto"/>
          <w:highlight w:val="none"/>
        </w:rPr>
        <w:t>项目</w:t>
      </w:r>
      <w:r>
        <w:rPr>
          <w:rFonts w:ascii="Times New Roman" w:hAnsi="Times New Roman"/>
          <w:color w:val="auto"/>
          <w:highlight w:val="none"/>
        </w:rPr>
        <w:t>的试验和检测仪器设备表</w:t>
      </w:r>
      <w:bookmarkEnd w:id="1305"/>
      <w:bookmarkEnd w:id="1306"/>
      <w:bookmarkEnd w:id="1307"/>
      <w:bookmarkEnd w:id="1308"/>
      <w:bookmarkEnd w:id="1309"/>
    </w:p>
    <w:tbl>
      <w:tblPr>
        <w:tblStyle w:val="20"/>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087"/>
        <w:gridCol w:w="760"/>
        <w:gridCol w:w="991"/>
        <w:gridCol w:w="672"/>
        <w:gridCol w:w="738"/>
        <w:gridCol w:w="1212"/>
        <w:gridCol w:w="1653"/>
        <w:gridCol w:w="6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pPr>
              <w:spacing w:line="360" w:lineRule="auto"/>
              <w:rPr>
                <w:color w:val="auto"/>
                <w:szCs w:val="21"/>
                <w:highlight w:val="none"/>
              </w:rPr>
            </w:pPr>
            <w:r>
              <w:rPr>
                <w:color w:val="auto"/>
                <w:szCs w:val="21"/>
                <w:highlight w:val="none"/>
              </w:rPr>
              <w:t>序号</w:t>
            </w:r>
          </w:p>
        </w:tc>
        <w:tc>
          <w:tcPr>
            <w:tcW w:w="1087" w:type="dxa"/>
            <w:noWrap w:val="0"/>
            <w:vAlign w:val="center"/>
          </w:tcPr>
          <w:p>
            <w:pPr>
              <w:spacing w:line="360" w:lineRule="auto"/>
              <w:jc w:val="center"/>
              <w:rPr>
                <w:color w:val="auto"/>
                <w:szCs w:val="21"/>
                <w:highlight w:val="none"/>
              </w:rPr>
            </w:pPr>
            <w:r>
              <w:rPr>
                <w:color w:val="auto"/>
                <w:szCs w:val="21"/>
                <w:highlight w:val="none"/>
              </w:rPr>
              <w:t>仪器设备名称</w:t>
            </w:r>
          </w:p>
        </w:tc>
        <w:tc>
          <w:tcPr>
            <w:tcW w:w="760" w:type="dxa"/>
            <w:noWrap w:val="0"/>
            <w:vAlign w:val="center"/>
          </w:tcPr>
          <w:p>
            <w:pPr>
              <w:spacing w:line="360" w:lineRule="auto"/>
              <w:jc w:val="center"/>
              <w:rPr>
                <w:color w:val="auto"/>
                <w:szCs w:val="21"/>
                <w:highlight w:val="none"/>
              </w:rPr>
            </w:pPr>
            <w:r>
              <w:rPr>
                <w:color w:val="auto"/>
                <w:szCs w:val="21"/>
                <w:highlight w:val="none"/>
              </w:rPr>
              <w:t>型号</w:t>
            </w:r>
          </w:p>
          <w:p>
            <w:pPr>
              <w:spacing w:line="360" w:lineRule="auto"/>
              <w:jc w:val="center"/>
              <w:rPr>
                <w:color w:val="auto"/>
                <w:szCs w:val="21"/>
                <w:highlight w:val="none"/>
              </w:rPr>
            </w:pPr>
            <w:r>
              <w:rPr>
                <w:color w:val="auto"/>
                <w:szCs w:val="21"/>
                <w:highlight w:val="none"/>
              </w:rPr>
              <w:t>规格</w:t>
            </w:r>
          </w:p>
        </w:tc>
        <w:tc>
          <w:tcPr>
            <w:tcW w:w="991" w:type="dxa"/>
            <w:noWrap w:val="0"/>
            <w:vAlign w:val="center"/>
          </w:tcPr>
          <w:p>
            <w:pPr>
              <w:spacing w:line="360" w:lineRule="auto"/>
              <w:jc w:val="center"/>
              <w:rPr>
                <w:color w:val="auto"/>
                <w:szCs w:val="21"/>
                <w:highlight w:val="none"/>
              </w:rPr>
            </w:pPr>
            <w:r>
              <w:rPr>
                <w:color w:val="auto"/>
                <w:szCs w:val="21"/>
                <w:highlight w:val="none"/>
              </w:rPr>
              <w:t>数量</w:t>
            </w:r>
          </w:p>
        </w:tc>
        <w:tc>
          <w:tcPr>
            <w:tcW w:w="672" w:type="dxa"/>
            <w:noWrap w:val="0"/>
            <w:vAlign w:val="center"/>
          </w:tcPr>
          <w:p>
            <w:pPr>
              <w:spacing w:line="360" w:lineRule="auto"/>
              <w:jc w:val="center"/>
              <w:rPr>
                <w:color w:val="auto"/>
                <w:szCs w:val="21"/>
                <w:highlight w:val="none"/>
              </w:rPr>
            </w:pPr>
            <w:r>
              <w:rPr>
                <w:color w:val="auto"/>
                <w:szCs w:val="21"/>
                <w:highlight w:val="none"/>
              </w:rPr>
              <w:t>国别</w:t>
            </w:r>
          </w:p>
          <w:p>
            <w:pPr>
              <w:spacing w:line="360" w:lineRule="auto"/>
              <w:jc w:val="center"/>
              <w:rPr>
                <w:color w:val="auto"/>
                <w:szCs w:val="21"/>
                <w:highlight w:val="none"/>
              </w:rPr>
            </w:pPr>
            <w:r>
              <w:rPr>
                <w:color w:val="auto"/>
                <w:szCs w:val="21"/>
                <w:highlight w:val="none"/>
              </w:rPr>
              <w:t>产地</w:t>
            </w:r>
          </w:p>
        </w:tc>
        <w:tc>
          <w:tcPr>
            <w:tcW w:w="738" w:type="dxa"/>
            <w:noWrap w:val="0"/>
            <w:vAlign w:val="center"/>
          </w:tcPr>
          <w:p>
            <w:pPr>
              <w:spacing w:line="360" w:lineRule="auto"/>
              <w:jc w:val="center"/>
              <w:rPr>
                <w:color w:val="auto"/>
                <w:szCs w:val="21"/>
                <w:highlight w:val="none"/>
              </w:rPr>
            </w:pPr>
            <w:r>
              <w:rPr>
                <w:color w:val="auto"/>
                <w:szCs w:val="21"/>
                <w:highlight w:val="none"/>
              </w:rPr>
              <w:t>制造</w:t>
            </w:r>
          </w:p>
          <w:p>
            <w:pPr>
              <w:spacing w:line="360" w:lineRule="auto"/>
              <w:jc w:val="center"/>
              <w:rPr>
                <w:color w:val="auto"/>
                <w:szCs w:val="21"/>
                <w:highlight w:val="none"/>
              </w:rPr>
            </w:pPr>
            <w:r>
              <w:rPr>
                <w:color w:val="auto"/>
                <w:szCs w:val="21"/>
                <w:highlight w:val="none"/>
              </w:rPr>
              <w:t>年份</w:t>
            </w:r>
          </w:p>
        </w:tc>
        <w:tc>
          <w:tcPr>
            <w:tcW w:w="1212" w:type="dxa"/>
            <w:noWrap w:val="0"/>
            <w:vAlign w:val="center"/>
          </w:tcPr>
          <w:p>
            <w:pPr>
              <w:spacing w:line="360" w:lineRule="auto"/>
              <w:jc w:val="center"/>
              <w:rPr>
                <w:color w:val="auto"/>
                <w:szCs w:val="21"/>
                <w:highlight w:val="none"/>
              </w:rPr>
            </w:pPr>
            <w:r>
              <w:rPr>
                <w:color w:val="auto"/>
                <w:szCs w:val="21"/>
                <w:highlight w:val="none"/>
              </w:rPr>
              <w:t>已使用台时数</w:t>
            </w:r>
          </w:p>
        </w:tc>
        <w:tc>
          <w:tcPr>
            <w:tcW w:w="1653" w:type="dxa"/>
            <w:noWrap w:val="0"/>
            <w:vAlign w:val="center"/>
          </w:tcPr>
          <w:p>
            <w:pPr>
              <w:spacing w:line="360" w:lineRule="auto"/>
              <w:jc w:val="center"/>
              <w:rPr>
                <w:color w:val="auto"/>
                <w:szCs w:val="21"/>
                <w:highlight w:val="none"/>
              </w:rPr>
            </w:pPr>
            <w:r>
              <w:rPr>
                <w:color w:val="auto"/>
                <w:szCs w:val="21"/>
                <w:highlight w:val="none"/>
              </w:rPr>
              <w:t>用途</w:t>
            </w:r>
          </w:p>
        </w:tc>
        <w:tc>
          <w:tcPr>
            <w:tcW w:w="688" w:type="dxa"/>
            <w:noWrap w:val="0"/>
            <w:vAlign w:val="center"/>
          </w:tcPr>
          <w:p>
            <w:pPr>
              <w:spacing w:line="360" w:lineRule="auto"/>
              <w:jc w:val="center"/>
              <w:rPr>
                <w:color w:val="auto"/>
                <w:szCs w:val="21"/>
                <w:highlight w:val="none"/>
              </w:rPr>
            </w:pPr>
            <w:r>
              <w:rPr>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pPr>
              <w:spacing w:line="360" w:lineRule="auto"/>
              <w:jc w:val="center"/>
              <w:rPr>
                <w:color w:val="auto"/>
                <w:szCs w:val="21"/>
                <w:highlight w:val="none"/>
              </w:rPr>
            </w:pPr>
          </w:p>
        </w:tc>
        <w:tc>
          <w:tcPr>
            <w:tcW w:w="1087" w:type="dxa"/>
            <w:noWrap w:val="0"/>
            <w:vAlign w:val="center"/>
          </w:tcPr>
          <w:p>
            <w:pPr>
              <w:spacing w:line="360" w:lineRule="auto"/>
              <w:jc w:val="center"/>
              <w:rPr>
                <w:color w:val="auto"/>
                <w:szCs w:val="21"/>
                <w:highlight w:val="none"/>
              </w:rPr>
            </w:pPr>
          </w:p>
        </w:tc>
        <w:tc>
          <w:tcPr>
            <w:tcW w:w="760" w:type="dxa"/>
            <w:noWrap w:val="0"/>
            <w:vAlign w:val="center"/>
          </w:tcPr>
          <w:p>
            <w:pPr>
              <w:spacing w:line="360" w:lineRule="auto"/>
              <w:jc w:val="center"/>
              <w:rPr>
                <w:color w:val="auto"/>
                <w:szCs w:val="21"/>
                <w:highlight w:val="none"/>
              </w:rPr>
            </w:pPr>
          </w:p>
        </w:tc>
        <w:tc>
          <w:tcPr>
            <w:tcW w:w="991" w:type="dxa"/>
            <w:noWrap w:val="0"/>
            <w:vAlign w:val="center"/>
          </w:tcPr>
          <w:p>
            <w:pPr>
              <w:spacing w:line="360" w:lineRule="auto"/>
              <w:jc w:val="center"/>
              <w:rPr>
                <w:color w:val="auto"/>
                <w:szCs w:val="21"/>
                <w:highlight w:val="none"/>
              </w:rPr>
            </w:pPr>
          </w:p>
        </w:tc>
        <w:tc>
          <w:tcPr>
            <w:tcW w:w="672" w:type="dxa"/>
            <w:noWrap w:val="0"/>
            <w:vAlign w:val="center"/>
          </w:tcPr>
          <w:p>
            <w:pPr>
              <w:spacing w:line="360" w:lineRule="auto"/>
              <w:jc w:val="center"/>
              <w:rPr>
                <w:color w:val="auto"/>
                <w:szCs w:val="21"/>
                <w:highlight w:val="none"/>
              </w:rPr>
            </w:pPr>
          </w:p>
        </w:tc>
        <w:tc>
          <w:tcPr>
            <w:tcW w:w="738" w:type="dxa"/>
            <w:noWrap w:val="0"/>
            <w:vAlign w:val="center"/>
          </w:tcPr>
          <w:p>
            <w:pPr>
              <w:spacing w:line="360" w:lineRule="auto"/>
              <w:jc w:val="center"/>
              <w:rPr>
                <w:color w:val="auto"/>
                <w:szCs w:val="21"/>
                <w:highlight w:val="none"/>
              </w:rPr>
            </w:pPr>
          </w:p>
        </w:tc>
        <w:tc>
          <w:tcPr>
            <w:tcW w:w="1212" w:type="dxa"/>
            <w:noWrap w:val="0"/>
            <w:vAlign w:val="center"/>
          </w:tcPr>
          <w:p>
            <w:pPr>
              <w:spacing w:line="360" w:lineRule="auto"/>
              <w:jc w:val="center"/>
              <w:rPr>
                <w:color w:val="auto"/>
                <w:szCs w:val="21"/>
                <w:highlight w:val="none"/>
              </w:rPr>
            </w:pPr>
          </w:p>
        </w:tc>
        <w:tc>
          <w:tcPr>
            <w:tcW w:w="1653" w:type="dxa"/>
            <w:noWrap w:val="0"/>
            <w:vAlign w:val="center"/>
          </w:tcPr>
          <w:p>
            <w:pPr>
              <w:spacing w:line="360" w:lineRule="auto"/>
              <w:jc w:val="center"/>
              <w:rPr>
                <w:color w:val="auto"/>
                <w:szCs w:val="21"/>
                <w:highlight w:val="none"/>
              </w:rPr>
            </w:pPr>
          </w:p>
        </w:tc>
        <w:tc>
          <w:tcPr>
            <w:tcW w:w="688" w:type="dxa"/>
            <w:noWrap w:val="0"/>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center"/>
          </w:tcPr>
          <w:p>
            <w:pPr>
              <w:spacing w:line="360" w:lineRule="auto"/>
              <w:jc w:val="center"/>
              <w:rPr>
                <w:color w:val="auto"/>
                <w:szCs w:val="21"/>
                <w:highlight w:val="none"/>
              </w:rPr>
            </w:pPr>
          </w:p>
        </w:tc>
        <w:tc>
          <w:tcPr>
            <w:tcW w:w="1087" w:type="dxa"/>
            <w:noWrap w:val="0"/>
            <w:vAlign w:val="center"/>
          </w:tcPr>
          <w:p>
            <w:pPr>
              <w:spacing w:line="360" w:lineRule="auto"/>
              <w:jc w:val="center"/>
              <w:rPr>
                <w:color w:val="auto"/>
                <w:szCs w:val="21"/>
                <w:highlight w:val="none"/>
              </w:rPr>
            </w:pPr>
          </w:p>
        </w:tc>
        <w:tc>
          <w:tcPr>
            <w:tcW w:w="760" w:type="dxa"/>
            <w:noWrap w:val="0"/>
            <w:vAlign w:val="center"/>
          </w:tcPr>
          <w:p>
            <w:pPr>
              <w:spacing w:line="360" w:lineRule="auto"/>
              <w:jc w:val="center"/>
              <w:rPr>
                <w:color w:val="auto"/>
                <w:szCs w:val="21"/>
                <w:highlight w:val="none"/>
              </w:rPr>
            </w:pPr>
          </w:p>
        </w:tc>
        <w:tc>
          <w:tcPr>
            <w:tcW w:w="991" w:type="dxa"/>
            <w:noWrap w:val="0"/>
            <w:vAlign w:val="center"/>
          </w:tcPr>
          <w:p>
            <w:pPr>
              <w:spacing w:line="360" w:lineRule="auto"/>
              <w:jc w:val="center"/>
              <w:rPr>
                <w:color w:val="auto"/>
                <w:szCs w:val="21"/>
                <w:highlight w:val="none"/>
              </w:rPr>
            </w:pPr>
          </w:p>
        </w:tc>
        <w:tc>
          <w:tcPr>
            <w:tcW w:w="672" w:type="dxa"/>
            <w:noWrap w:val="0"/>
            <w:vAlign w:val="center"/>
          </w:tcPr>
          <w:p>
            <w:pPr>
              <w:spacing w:line="360" w:lineRule="auto"/>
              <w:jc w:val="center"/>
              <w:rPr>
                <w:color w:val="auto"/>
                <w:szCs w:val="21"/>
                <w:highlight w:val="none"/>
              </w:rPr>
            </w:pPr>
          </w:p>
        </w:tc>
        <w:tc>
          <w:tcPr>
            <w:tcW w:w="738" w:type="dxa"/>
            <w:noWrap w:val="0"/>
            <w:vAlign w:val="center"/>
          </w:tcPr>
          <w:p>
            <w:pPr>
              <w:spacing w:line="360" w:lineRule="auto"/>
              <w:jc w:val="center"/>
              <w:rPr>
                <w:color w:val="auto"/>
                <w:szCs w:val="21"/>
                <w:highlight w:val="none"/>
              </w:rPr>
            </w:pPr>
          </w:p>
        </w:tc>
        <w:tc>
          <w:tcPr>
            <w:tcW w:w="1212" w:type="dxa"/>
            <w:noWrap w:val="0"/>
            <w:vAlign w:val="center"/>
          </w:tcPr>
          <w:p>
            <w:pPr>
              <w:spacing w:line="360" w:lineRule="auto"/>
              <w:jc w:val="center"/>
              <w:rPr>
                <w:color w:val="auto"/>
                <w:szCs w:val="21"/>
                <w:highlight w:val="none"/>
              </w:rPr>
            </w:pPr>
          </w:p>
        </w:tc>
        <w:tc>
          <w:tcPr>
            <w:tcW w:w="1653" w:type="dxa"/>
            <w:noWrap w:val="0"/>
            <w:vAlign w:val="center"/>
          </w:tcPr>
          <w:p>
            <w:pPr>
              <w:spacing w:line="360" w:lineRule="auto"/>
              <w:jc w:val="center"/>
              <w:rPr>
                <w:color w:val="auto"/>
                <w:szCs w:val="21"/>
                <w:highlight w:val="none"/>
              </w:rPr>
            </w:pPr>
          </w:p>
        </w:tc>
        <w:tc>
          <w:tcPr>
            <w:tcW w:w="688" w:type="dxa"/>
            <w:noWrap w:val="0"/>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66" w:type="dxa"/>
            <w:noWrap w:val="0"/>
            <w:vAlign w:val="top"/>
          </w:tcPr>
          <w:p>
            <w:pPr>
              <w:spacing w:line="360" w:lineRule="auto"/>
              <w:jc w:val="center"/>
              <w:rPr>
                <w:color w:val="auto"/>
                <w:szCs w:val="21"/>
                <w:highlight w:val="none"/>
              </w:rPr>
            </w:pPr>
          </w:p>
        </w:tc>
        <w:tc>
          <w:tcPr>
            <w:tcW w:w="1087" w:type="dxa"/>
            <w:noWrap w:val="0"/>
            <w:vAlign w:val="top"/>
          </w:tcPr>
          <w:p>
            <w:pPr>
              <w:spacing w:line="360" w:lineRule="auto"/>
              <w:jc w:val="center"/>
              <w:rPr>
                <w:color w:val="auto"/>
                <w:szCs w:val="21"/>
                <w:highlight w:val="none"/>
              </w:rPr>
            </w:pPr>
          </w:p>
        </w:tc>
        <w:tc>
          <w:tcPr>
            <w:tcW w:w="760" w:type="dxa"/>
            <w:noWrap w:val="0"/>
            <w:vAlign w:val="top"/>
          </w:tcPr>
          <w:p>
            <w:pPr>
              <w:spacing w:line="360" w:lineRule="auto"/>
              <w:jc w:val="center"/>
              <w:rPr>
                <w:color w:val="auto"/>
                <w:szCs w:val="21"/>
                <w:highlight w:val="none"/>
              </w:rPr>
            </w:pPr>
          </w:p>
        </w:tc>
        <w:tc>
          <w:tcPr>
            <w:tcW w:w="991"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c>
          <w:tcPr>
            <w:tcW w:w="738" w:type="dxa"/>
            <w:noWrap w:val="0"/>
            <w:vAlign w:val="top"/>
          </w:tcPr>
          <w:p>
            <w:pPr>
              <w:spacing w:line="360" w:lineRule="auto"/>
              <w:jc w:val="center"/>
              <w:rPr>
                <w:color w:val="auto"/>
                <w:szCs w:val="21"/>
                <w:highlight w:val="none"/>
              </w:rPr>
            </w:pPr>
          </w:p>
        </w:tc>
        <w:tc>
          <w:tcPr>
            <w:tcW w:w="1212" w:type="dxa"/>
            <w:noWrap w:val="0"/>
            <w:vAlign w:val="top"/>
          </w:tcPr>
          <w:p>
            <w:pPr>
              <w:spacing w:line="360" w:lineRule="auto"/>
              <w:jc w:val="center"/>
              <w:rPr>
                <w:color w:val="auto"/>
                <w:szCs w:val="21"/>
                <w:highlight w:val="none"/>
              </w:rPr>
            </w:pPr>
          </w:p>
        </w:tc>
        <w:tc>
          <w:tcPr>
            <w:tcW w:w="1653" w:type="dxa"/>
            <w:noWrap w:val="0"/>
            <w:vAlign w:val="top"/>
          </w:tcPr>
          <w:p>
            <w:pPr>
              <w:spacing w:line="360" w:lineRule="auto"/>
              <w:jc w:val="center"/>
              <w:rPr>
                <w:color w:val="auto"/>
                <w:szCs w:val="21"/>
                <w:highlight w:val="none"/>
              </w:rPr>
            </w:pPr>
          </w:p>
        </w:tc>
        <w:tc>
          <w:tcPr>
            <w:tcW w:w="688" w:type="dxa"/>
            <w:noWrap w:val="0"/>
            <w:vAlign w:val="top"/>
          </w:tcPr>
          <w:p>
            <w:pPr>
              <w:spacing w:line="360" w:lineRule="auto"/>
              <w:jc w:val="center"/>
              <w:rPr>
                <w:color w:val="auto"/>
                <w:szCs w:val="21"/>
                <w:highlight w:val="none"/>
              </w:rPr>
            </w:pPr>
          </w:p>
        </w:tc>
      </w:tr>
    </w:tbl>
    <w:p>
      <w:pPr>
        <w:pStyle w:val="4"/>
        <w:spacing w:line="360" w:lineRule="auto"/>
        <w:jc w:val="center"/>
        <w:rPr>
          <w:rFonts w:hint="eastAsia" w:ascii="Times New Roman" w:hAnsi="Times New Roman"/>
          <w:color w:val="auto"/>
          <w:sz w:val="23"/>
          <w:szCs w:val="23"/>
          <w:highlight w:val="none"/>
        </w:rPr>
      </w:pPr>
      <w:bookmarkStart w:id="1310" w:name="_Toc152045804"/>
      <w:bookmarkStart w:id="1311" w:name="_Toc179632824"/>
      <w:bookmarkStart w:id="1312" w:name="_Toc152042593"/>
      <w:bookmarkStart w:id="1313" w:name="_Toc144974872"/>
      <w:bookmarkStart w:id="1314" w:name="_Toc300835231"/>
      <w:r>
        <w:rPr>
          <w:rFonts w:ascii="Times New Roman" w:hAnsi="Times New Roman"/>
          <w:color w:val="auto"/>
          <w:highlight w:val="none"/>
        </w:rPr>
        <w:t>（</w:t>
      </w:r>
      <w:r>
        <w:rPr>
          <w:rFonts w:hint="eastAsia" w:ascii="Times New Roman" w:hAnsi="Times New Roman"/>
          <w:color w:val="auto"/>
          <w:highlight w:val="none"/>
        </w:rPr>
        <w:t>八</w:t>
      </w:r>
      <w:r>
        <w:rPr>
          <w:rFonts w:ascii="Times New Roman" w:hAnsi="Times New Roman"/>
          <w:color w:val="auto"/>
          <w:highlight w:val="none"/>
        </w:rPr>
        <w:t>）项目管理机构组成表</w:t>
      </w:r>
      <w:bookmarkEnd w:id="1310"/>
      <w:bookmarkEnd w:id="1311"/>
      <w:bookmarkEnd w:id="1312"/>
      <w:bookmarkEnd w:id="1313"/>
      <w:bookmarkEnd w:id="1314"/>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721"/>
        <w:gridCol w:w="1105"/>
        <w:gridCol w:w="1473"/>
        <w:gridCol w:w="886"/>
        <w:gridCol w:w="1814"/>
        <w:gridCol w:w="1204"/>
        <w:gridCol w:w="6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restart"/>
            <w:noWrap w:val="0"/>
            <w:vAlign w:val="center"/>
          </w:tcPr>
          <w:p>
            <w:pPr>
              <w:spacing w:line="360" w:lineRule="auto"/>
              <w:jc w:val="center"/>
              <w:rPr>
                <w:color w:val="auto"/>
                <w:szCs w:val="21"/>
                <w:highlight w:val="none"/>
              </w:rPr>
            </w:pPr>
            <w:r>
              <w:rPr>
                <w:color w:val="auto"/>
                <w:szCs w:val="21"/>
                <w:highlight w:val="none"/>
              </w:rPr>
              <w:t>职务</w:t>
            </w:r>
          </w:p>
        </w:tc>
        <w:tc>
          <w:tcPr>
            <w:tcW w:w="721" w:type="dxa"/>
            <w:vMerge w:val="restart"/>
            <w:noWrap w:val="0"/>
            <w:vAlign w:val="center"/>
          </w:tcPr>
          <w:p>
            <w:pPr>
              <w:spacing w:line="360" w:lineRule="auto"/>
              <w:jc w:val="center"/>
              <w:rPr>
                <w:color w:val="auto"/>
                <w:szCs w:val="21"/>
                <w:highlight w:val="none"/>
              </w:rPr>
            </w:pPr>
            <w:r>
              <w:rPr>
                <w:color w:val="auto"/>
                <w:szCs w:val="21"/>
                <w:highlight w:val="none"/>
              </w:rPr>
              <w:t>姓名</w:t>
            </w:r>
          </w:p>
        </w:tc>
        <w:tc>
          <w:tcPr>
            <w:tcW w:w="1105" w:type="dxa"/>
            <w:vMerge w:val="restart"/>
            <w:noWrap w:val="0"/>
            <w:vAlign w:val="center"/>
          </w:tcPr>
          <w:p>
            <w:pPr>
              <w:spacing w:line="360" w:lineRule="auto"/>
              <w:jc w:val="center"/>
              <w:rPr>
                <w:color w:val="auto"/>
                <w:szCs w:val="21"/>
                <w:highlight w:val="none"/>
              </w:rPr>
            </w:pPr>
            <w:r>
              <w:rPr>
                <w:rFonts w:hint="eastAsia"/>
                <w:color w:val="auto"/>
                <w:szCs w:val="21"/>
                <w:highlight w:val="none"/>
              </w:rPr>
              <w:t>专业技术</w:t>
            </w:r>
            <w:r>
              <w:rPr>
                <w:color w:val="auto"/>
                <w:szCs w:val="21"/>
                <w:highlight w:val="none"/>
              </w:rPr>
              <w:t>职称</w:t>
            </w:r>
          </w:p>
        </w:tc>
        <w:tc>
          <w:tcPr>
            <w:tcW w:w="5377" w:type="dxa"/>
            <w:gridSpan w:val="4"/>
            <w:noWrap w:val="0"/>
            <w:vAlign w:val="center"/>
          </w:tcPr>
          <w:p>
            <w:pPr>
              <w:spacing w:line="360" w:lineRule="auto"/>
              <w:jc w:val="center"/>
              <w:rPr>
                <w:color w:val="auto"/>
                <w:szCs w:val="21"/>
                <w:highlight w:val="none"/>
              </w:rPr>
            </w:pPr>
            <w:r>
              <w:rPr>
                <w:color w:val="auto"/>
                <w:szCs w:val="21"/>
                <w:highlight w:val="none"/>
              </w:rPr>
              <w:t>执业或职业资格证明</w:t>
            </w:r>
          </w:p>
        </w:tc>
        <w:tc>
          <w:tcPr>
            <w:tcW w:w="672" w:type="dxa"/>
            <w:noWrap w:val="0"/>
            <w:vAlign w:val="center"/>
          </w:tcPr>
          <w:p>
            <w:pPr>
              <w:spacing w:line="360" w:lineRule="auto"/>
              <w:jc w:val="center"/>
              <w:rPr>
                <w:color w:val="auto"/>
                <w:szCs w:val="21"/>
                <w:highlight w:val="none"/>
              </w:rPr>
            </w:pPr>
            <w:r>
              <w:rPr>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vMerge w:val="continue"/>
            <w:noWrap w:val="0"/>
            <w:vAlign w:val="center"/>
          </w:tcPr>
          <w:p>
            <w:pPr>
              <w:spacing w:line="360" w:lineRule="auto"/>
              <w:jc w:val="center"/>
              <w:rPr>
                <w:color w:val="auto"/>
                <w:szCs w:val="21"/>
                <w:highlight w:val="none"/>
              </w:rPr>
            </w:pPr>
          </w:p>
        </w:tc>
        <w:tc>
          <w:tcPr>
            <w:tcW w:w="721" w:type="dxa"/>
            <w:vMerge w:val="continue"/>
            <w:noWrap w:val="0"/>
            <w:vAlign w:val="center"/>
          </w:tcPr>
          <w:p>
            <w:pPr>
              <w:spacing w:line="360" w:lineRule="auto"/>
              <w:jc w:val="center"/>
              <w:rPr>
                <w:color w:val="auto"/>
                <w:szCs w:val="21"/>
                <w:highlight w:val="none"/>
              </w:rPr>
            </w:pPr>
          </w:p>
        </w:tc>
        <w:tc>
          <w:tcPr>
            <w:tcW w:w="1105" w:type="dxa"/>
            <w:vMerge w:val="continue"/>
            <w:noWrap w:val="0"/>
            <w:vAlign w:val="center"/>
          </w:tcPr>
          <w:p>
            <w:pPr>
              <w:spacing w:line="360" w:lineRule="auto"/>
              <w:jc w:val="center"/>
              <w:rPr>
                <w:color w:val="auto"/>
                <w:szCs w:val="21"/>
                <w:highlight w:val="none"/>
              </w:rPr>
            </w:pPr>
          </w:p>
        </w:tc>
        <w:tc>
          <w:tcPr>
            <w:tcW w:w="1473" w:type="dxa"/>
            <w:noWrap w:val="0"/>
            <w:vAlign w:val="center"/>
          </w:tcPr>
          <w:p>
            <w:pPr>
              <w:spacing w:line="360" w:lineRule="auto"/>
              <w:jc w:val="center"/>
              <w:rPr>
                <w:color w:val="auto"/>
                <w:szCs w:val="21"/>
                <w:highlight w:val="none"/>
              </w:rPr>
            </w:pPr>
            <w:r>
              <w:rPr>
                <w:color w:val="auto"/>
                <w:szCs w:val="21"/>
                <w:highlight w:val="none"/>
              </w:rPr>
              <w:t>证书名称</w:t>
            </w:r>
          </w:p>
        </w:tc>
        <w:tc>
          <w:tcPr>
            <w:tcW w:w="886" w:type="dxa"/>
            <w:noWrap w:val="0"/>
            <w:vAlign w:val="center"/>
          </w:tcPr>
          <w:p>
            <w:pPr>
              <w:spacing w:line="360" w:lineRule="auto"/>
              <w:jc w:val="center"/>
              <w:rPr>
                <w:color w:val="auto"/>
                <w:szCs w:val="21"/>
                <w:highlight w:val="none"/>
              </w:rPr>
            </w:pPr>
            <w:r>
              <w:rPr>
                <w:color w:val="auto"/>
                <w:szCs w:val="21"/>
                <w:highlight w:val="none"/>
              </w:rPr>
              <w:t>级别</w:t>
            </w:r>
          </w:p>
        </w:tc>
        <w:tc>
          <w:tcPr>
            <w:tcW w:w="1814" w:type="dxa"/>
            <w:noWrap w:val="0"/>
            <w:vAlign w:val="center"/>
          </w:tcPr>
          <w:p>
            <w:pPr>
              <w:spacing w:line="360" w:lineRule="auto"/>
              <w:jc w:val="center"/>
              <w:rPr>
                <w:color w:val="auto"/>
                <w:szCs w:val="21"/>
                <w:highlight w:val="none"/>
              </w:rPr>
            </w:pPr>
            <w:r>
              <w:rPr>
                <w:color w:val="auto"/>
                <w:szCs w:val="21"/>
                <w:highlight w:val="none"/>
              </w:rPr>
              <w:t>证号</w:t>
            </w:r>
          </w:p>
        </w:tc>
        <w:tc>
          <w:tcPr>
            <w:tcW w:w="1204" w:type="dxa"/>
            <w:noWrap w:val="0"/>
            <w:vAlign w:val="center"/>
          </w:tcPr>
          <w:p>
            <w:pPr>
              <w:spacing w:line="360" w:lineRule="auto"/>
              <w:jc w:val="center"/>
              <w:rPr>
                <w:color w:val="auto"/>
                <w:szCs w:val="21"/>
                <w:highlight w:val="none"/>
              </w:rPr>
            </w:pPr>
            <w:r>
              <w:rPr>
                <w:color w:val="auto"/>
                <w:szCs w:val="21"/>
                <w:highlight w:val="none"/>
              </w:rPr>
              <w:t>专业</w:t>
            </w:r>
          </w:p>
        </w:tc>
        <w:tc>
          <w:tcPr>
            <w:tcW w:w="672" w:type="dxa"/>
            <w:noWrap w:val="0"/>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center"/>
          </w:tcPr>
          <w:p>
            <w:pPr>
              <w:spacing w:line="360" w:lineRule="auto"/>
              <w:jc w:val="center"/>
              <w:rPr>
                <w:color w:val="auto"/>
                <w:szCs w:val="21"/>
                <w:highlight w:val="none"/>
              </w:rPr>
            </w:pPr>
          </w:p>
        </w:tc>
        <w:tc>
          <w:tcPr>
            <w:tcW w:w="721" w:type="dxa"/>
            <w:noWrap w:val="0"/>
            <w:vAlign w:val="center"/>
          </w:tcPr>
          <w:p>
            <w:pPr>
              <w:spacing w:line="360" w:lineRule="auto"/>
              <w:jc w:val="center"/>
              <w:rPr>
                <w:color w:val="auto"/>
                <w:szCs w:val="21"/>
                <w:highlight w:val="none"/>
              </w:rPr>
            </w:pPr>
          </w:p>
        </w:tc>
        <w:tc>
          <w:tcPr>
            <w:tcW w:w="1105" w:type="dxa"/>
            <w:noWrap w:val="0"/>
            <w:vAlign w:val="center"/>
          </w:tcPr>
          <w:p>
            <w:pPr>
              <w:spacing w:line="360" w:lineRule="auto"/>
              <w:jc w:val="center"/>
              <w:rPr>
                <w:color w:val="auto"/>
                <w:szCs w:val="21"/>
                <w:highlight w:val="none"/>
              </w:rPr>
            </w:pPr>
          </w:p>
        </w:tc>
        <w:tc>
          <w:tcPr>
            <w:tcW w:w="1473" w:type="dxa"/>
            <w:noWrap w:val="0"/>
            <w:vAlign w:val="center"/>
          </w:tcPr>
          <w:p>
            <w:pPr>
              <w:spacing w:line="360" w:lineRule="auto"/>
              <w:jc w:val="center"/>
              <w:rPr>
                <w:color w:val="auto"/>
                <w:szCs w:val="21"/>
                <w:highlight w:val="none"/>
              </w:rPr>
            </w:pPr>
          </w:p>
        </w:tc>
        <w:tc>
          <w:tcPr>
            <w:tcW w:w="886" w:type="dxa"/>
            <w:noWrap w:val="0"/>
            <w:vAlign w:val="center"/>
          </w:tcPr>
          <w:p>
            <w:pPr>
              <w:spacing w:line="360" w:lineRule="auto"/>
              <w:jc w:val="center"/>
              <w:rPr>
                <w:color w:val="auto"/>
                <w:szCs w:val="21"/>
                <w:highlight w:val="none"/>
              </w:rPr>
            </w:pPr>
          </w:p>
        </w:tc>
        <w:tc>
          <w:tcPr>
            <w:tcW w:w="1814" w:type="dxa"/>
            <w:noWrap w:val="0"/>
            <w:vAlign w:val="center"/>
          </w:tcPr>
          <w:p>
            <w:pPr>
              <w:spacing w:line="360" w:lineRule="auto"/>
              <w:jc w:val="center"/>
              <w:rPr>
                <w:color w:val="auto"/>
                <w:szCs w:val="21"/>
                <w:highlight w:val="none"/>
              </w:rPr>
            </w:pPr>
          </w:p>
        </w:tc>
        <w:tc>
          <w:tcPr>
            <w:tcW w:w="1204" w:type="dxa"/>
            <w:noWrap w:val="0"/>
            <w:vAlign w:val="center"/>
          </w:tcPr>
          <w:p>
            <w:pPr>
              <w:spacing w:line="360" w:lineRule="auto"/>
              <w:jc w:val="center"/>
              <w:rPr>
                <w:color w:val="auto"/>
                <w:szCs w:val="21"/>
                <w:highlight w:val="none"/>
              </w:rPr>
            </w:pPr>
          </w:p>
        </w:tc>
        <w:tc>
          <w:tcPr>
            <w:tcW w:w="672" w:type="dxa"/>
            <w:noWrap w:val="0"/>
            <w:vAlign w:val="center"/>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7" w:type="dxa"/>
            <w:noWrap w:val="0"/>
            <w:vAlign w:val="top"/>
          </w:tcPr>
          <w:p>
            <w:pPr>
              <w:spacing w:line="360" w:lineRule="auto"/>
              <w:jc w:val="center"/>
              <w:rPr>
                <w:color w:val="auto"/>
                <w:szCs w:val="21"/>
                <w:highlight w:val="none"/>
              </w:rPr>
            </w:pPr>
          </w:p>
        </w:tc>
        <w:tc>
          <w:tcPr>
            <w:tcW w:w="721" w:type="dxa"/>
            <w:noWrap w:val="0"/>
            <w:vAlign w:val="top"/>
          </w:tcPr>
          <w:p>
            <w:pPr>
              <w:spacing w:line="360" w:lineRule="auto"/>
              <w:jc w:val="center"/>
              <w:rPr>
                <w:color w:val="auto"/>
                <w:szCs w:val="21"/>
                <w:highlight w:val="none"/>
              </w:rPr>
            </w:pPr>
          </w:p>
        </w:tc>
        <w:tc>
          <w:tcPr>
            <w:tcW w:w="1105" w:type="dxa"/>
            <w:noWrap w:val="0"/>
            <w:vAlign w:val="top"/>
          </w:tcPr>
          <w:p>
            <w:pPr>
              <w:spacing w:line="360" w:lineRule="auto"/>
              <w:jc w:val="center"/>
              <w:rPr>
                <w:color w:val="auto"/>
                <w:szCs w:val="21"/>
                <w:highlight w:val="none"/>
              </w:rPr>
            </w:pPr>
          </w:p>
        </w:tc>
        <w:tc>
          <w:tcPr>
            <w:tcW w:w="1473" w:type="dxa"/>
            <w:noWrap w:val="0"/>
            <w:vAlign w:val="top"/>
          </w:tcPr>
          <w:p>
            <w:pPr>
              <w:spacing w:line="360" w:lineRule="auto"/>
              <w:jc w:val="center"/>
              <w:rPr>
                <w:color w:val="auto"/>
                <w:szCs w:val="21"/>
                <w:highlight w:val="none"/>
              </w:rPr>
            </w:pPr>
          </w:p>
        </w:tc>
        <w:tc>
          <w:tcPr>
            <w:tcW w:w="886" w:type="dxa"/>
            <w:noWrap w:val="0"/>
            <w:vAlign w:val="top"/>
          </w:tcPr>
          <w:p>
            <w:pPr>
              <w:spacing w:line="360" w:lineRule="auto"/>
              <w:jc w:val="center"/>
              <w:rPr>
                <w:color w:val="auto"/>
                <w:szCs w:val="21"/>
                <w:highlight w:val="none"/>
              </w:rPr>
            </w:pPr>
          </w:p>
        </w:tc>
        <w:tc>
          <w:tcPr>
            <w:tcW w:w="1814" w:type="dxa"/>
            <w:noWrap w:val="0"/>
            <w:vAlign w:val="top"/>
          </w:tcPr>
          <w:p>
            <w:pPr>
              <w:spacing w:line="360" w:lineRule="auto"/>
              <w:jc w:val="center"/>
              <w:rPr>
                <w:color w:val="auto"/>
                <w:szCs w:val="21"/>
                <w:highlight w:val="none"/>
              </w:rPr>
            </w:pPr>
          </w:p>
        </w:tc>
        <w:tc>
          <w:tcPr>
            <w:tcW w:w="1204" w:type="dxa"/>
            <w:noWrap w:val="0"/>
            <w:vAlign w:val="top"/>
          </w:tcPr>
          <w:p>
            <w:pPr>
              <w:spacing w:line="360" w:lineRule="auto"/>
              <w:jc w:val="center"/>
              <w:rPr>
                <w:color w:val="auto"/>
                <w:szCs w:val="21"/>
                <w:highlight w:val="none"/>
              </w:rPr>
            </w:pPr>
          </w:p>
        </w:tc>
        <w:tc>
          <w:tcPr>
            <w:tcW w:w="672" w:type="dxa"/>
            <w:noWrap w:val="0"/>
            <w:vAlign w:val="top"/>
          </w:tcPr>
          <w:p>
            <w:pPr>
              <w:spacing w:line="360" w:lineRule="auto"/>
              <w:jc w:val="center"/>
              <w:rPr>
                <w:color w:val="auto"/>
                <w:szCs w:val="21"/>
                <w:highlight w:val="none"/>
              </w:rPr>
            </w:pPr>
          </w:p>
        </w:tc>
      </w:tr>
    </w:tbl>
    <w:p>
      <w:pPr>
        <w:pStyle w:val="4"/>
        <w:spacing w:line="360" w:lineRule="auto"/>
        <w:jc w:val="center"/>
        <w:rPr>
          <w:rFonts w:ascii="Times New Roman" w:hAnsi="Times New Roman"/>
          <w:color w:val="auto"/>
          <w:sz w:val="23"/>
          <w:szCs w:val="23"/>
          <w:highlight w:val="none"/>
        </w:rPr>
      </w:pPr>
      <w:bookmarkStart w:id="1315" w:name="_Toc179632825"/>
      <w:bookmarkStart w:id="1316" w:name="_Toc144974873"/>
      <w:bookmarkStart w:id="1317" w:name="_Toc152045805"/>
      <w:bookmarkStart w:id="1318" w:name="_Toc152042594"/>
      <w:bookmarkStart w:id="1319" w:name="_Toc300835232"/>
      <w:r>
        <w:rPr>
          <w:rFonts w:ascii="Times New Roman" w:hAnsi="Times New Roman"/>
          <w:color w:val="auto"/>
          <w:highlight w:val="none"/>
        </w:rPr>
        <w:t>（</w:t>
      </w:r>
      <w:r>
        <w:rPr>
          <w:rFonts w:hint="eastAsia" w:ascii="Times New Roman" w:hAnsi="Times New Roman"/>
          <w:color w:val="auto"/>
          <w:highlight w:val="none"/>
        </w:rPr>
        <w:t>九</w:t>
      </w:r>
      <w:r>
        <w:rPr>
          <w:rFonts w:ascii="Times New Roman" w:hAnsi="Times New Roman"/>
          <w:color w:val="auto"/>
          <w:highlight w:val="none"/>
        </w:rPr>
        <w:t>）主要人员简历表</w:t>
      </w:r>
      <w:bookmarkEnd w:id="1315"/>
      <w:bookmarkEnd w:id="1316"/>
      <w:bookmarkEnd w:id="1317"/>
      <w:bookmarkEnd w:id="1318"/>
      <w:bookmarkEnd w:id="1319"/>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771"/>
        <w:gridCol w:w="1261"/>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姓  名</w:t>
            </w:r>
          </w:p>
        </w:tc>
        <w:tc>
          <w:tcPr>
            <w:tcW w:w="1079" w:type="dxa"/>
            <w:gridSpan w:val="2"/>
            <w:noWrap w:val="0"/>
            <w:vAlign w:val="center"/>
          </w:tcPr>
          <w:p>
            <w:pPr>
              <w:spacing w:line="360" w:lineRule="auto"/>
              <w:jc w:val="center"/>
              <w:rPr>
                <w:rFonts w:ascii="Times New Roman" w:hAnsi="Times New Roman"/>
                <w:color w:val="auto"/>
                <w:szCs w:val="21"/>
                <w:highlight w:val="none"/>
              </w:rPr>
            </w:pPr>
          </w:p>
        </w:tc>
        <w:tc>
          <w:tcPr>
            <w:tcW w:w="927" w:type="dxa"/>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年 龄</w:t>
            </w:r>
          </w:p>
        </w:tc>
        <w:tc>
          <w:tcPr>
            <w:tcW w:w="1771" w:type="dxa"/>
            <w:noWrap w:val="0"/>
            <w:vAlign w:val="center"/>
          </w:tcPr>
          <w:p>
            <w:pPr>
              <w:spacing w:line="360" w:lineRule="auto"/>
              <w:jc w:val="center"/>
              <w:rPr>
                <w:rFonts w:ascii="Times New Roman" w:hAnsi="Times New Roman"/>
                <w:color w:val="auto"/>
                <w:szCs w:val="21"/>
                <w:highlight w:val="none"/>
              </w:rPr>
            </w:pPr>
          </w:p>
        </w:tc>
        <w:tc>
          <w:tcPr>
            <w:tcW w:w="1261" w:type="dxa"/>
            <w:vMerge w:val="restart"/>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拟在本合同任职</w:t>
            </w:r>
          </w:p>
        </w:tc>
        <w:tc>
          <w:tcPr>
            <w:tcW w:w="2297" w:type="dxa"/>
            <w:vMerge w:val="restart"/>
            <w:noWrap w:val="0"/>
            <w:vAlign w:val="center"/>
          </w:tcPr>
          <w:p>
            <w:pPr>
              <w:spacing w:line="360"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职  称</w:t>
            </w:r>
          </w:p>
        </w:tc>
        <w:tc>
          <w:tcPr>
            <w:tcW w:w="1079" w:type="dxa"/>
            <w:gridSpan w:val="2"/>
            <w:noWrap w:val="0"/>
            <w:vAlign w:val="center"/>
          </w:tcPr>
          <w:p>
            <w:pPr>
              <w:spacing w:line="360" w:lineRule="auto"/>
              <w:jc w:val="center"/>
              <w:rPr>
                <w:rFonts w:ascii="Times New Roman" w:hAnsi="Times New Roman"/>
                <w:color w:val="auto"/>
                <w:szCs w:val="21"/>
                <w:highlight w:val="none"/>
              </w:rPr>
            </w:pPr>
          </w:p>
        </w:tc>
        <w:tc>
          <w:tcPr>
            <w:tcW w:w="927" w:type="dxa"/>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职 务</w:t>
            </w:r>
          </w:p>
        </w:tc>
        <w:tc>
          <w:tcPr>
            <w:tcW w:w="1771" w:type="dxa"/>
            <w:noWrap w:val="0"/>
            <w:vAlign w:val="center"/>
          </w:tcPr>
          <w:p>
            <w:pPr>
              <w:spacing w:line="360" w:lineRule="auto"/>
              <w:jc w:val="center"/>
              <w:rPr>
                <w:rFonts w:ascii="Times New Roman" w:hAnsi="Times New Roman"/>
                <w:color w:val="auto"/>
                <w:szCs w:val="21"/>
                <w:highlight w:val="none"/>
              </w:rPr>
            </w:pPr>
          </w:p>
        </w:tc>
        <w:tc>
          <w:tcPr>
            <w:tcW w:w="1261" w:type="dxa"/>
            <w:vMerge w:val="continue"/>
            <w:noWrap w:val="0"/>
            <w:vAlign w:val="center"/>
          </w:tcPr>
          <w:p>
            <w:pPr>
              <w:spacing w:line="360" w:lineRule="auto"/>
              <w:jc w:val="center"/>
              <w:rPr>
                <w:rFonts w:ascii="Times New Roman" w:hAnsi="Times New Roman"/>
                <w:color w:val="auto"/>
                <w:szCs w:val="21"/>
                <w:highlight w:val="none"/>
              </w:rPr>
            </w:pPr>
          </w:p>
        </w:tc>
        <w:tc>
          <w:tcPr>
            <w:tcW w:w="2297" w:type="dxa"/>
            <w:vMerge w:val="continue"/>
            <w:noWrap w:val="0"/>
            <w:vAlign w:val="center"/>
          </w:tcPr>
          <w:p>
            <w:pPr>
              <w:spacing w:line="360" w:lineRule="auto"/>
              <w:jc w:val="center"/>
              <w:rPr>
                <w:rFonts w:ascii="Times New Roman" w:hAnsi="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0"/>
            <w:vAlign w:val="center"/>
          </w:tcPr>
          <w:p>
            <w:pPr>
              <w:spacing w:line="360" w:lineRule="auto"/>
              <w:jc w:val="center"/>
              <w:rPr>
                <w:rFonts w:ascii="Times New Roman" w:hAnsi="Times New Roman"/>
                <w:color w:val="auto"/>
                <w:szCs w:val="21"/>
                <w:highlight w:val="none"/>
              </w:rPr>
            </w:pPr>
            <w:r>
              <w:rPr>
                <w:rFonts w:ascii="Times New Roman" w:hAnsi="Times New Roman"/>
                <w:color w:val="auto"/>
                <w:szCs w:val="21"/>
                <w:highlight w:val="none"/>
              </w:rPr>
              <w:t>毕业学校</w:t>
            </w:r>
          </w:p>
        </w:tc>
        <w:tc>
          <w:tcPr>
            <w:tcW w:w="7335" w:type="dxa"/>
            <w:gridSpan w:val="6"/>
            <w:noWrap w:val="0"/>
            <w:vAlign w:val="top"/>
          </w:tcPr>
          <w:p>
            <w:pPr>
              <w:spacing w:line="360" w:lineRule="auto"/>
              <w:ind w:firstLine="945" w:firstLineChars="450"/>
              <w:rPr>
                <w:rFonts w:ascii="Times New Roman" w:hAnsi="Times New Roman"/>
                <w:color w:val="auto"/>
                <w:szCs w:val="21"/>
                <w:highlight w:val="none"/>
              </w:rPr>
            </w:pPr>
            <w:r>
              <w:rPr>
                <w:rFonts w:ascii="Times New Roman" w:hAnsi="Times New Roman"/>
                <w:color w:val="auto"/>
                <w:szCs w:val="21"/>
                <w:highlight w:val="none"/>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22" w:type="dxa"/>
            <w:gridSpan w:val="7"/>
            <w:noWrap w:val="0"/>
            <w:vAlign w:val="center"/>
          </w:tcPr>
          <w:p>
            <w:pPr>
              <w:spacing w:line="360" w:lineRule="auto"/>
              <w:rPr>
                <w:rFonts w:hint="eastAsia" w:ascii="Times New Roman" w:hAnsi="Times New Roman"/>
                <w:color w:val="auto"/>
                <w:szCs w:val="21"/>
                <w:highlight w:val="none"/>
              </w:rPr>
            </w:pPr>
            <w:r>
              <w:rPr>
                <w:rFonts w:ascii="Times New Roman" w:hAnsi="Times New Roman"/>
                <w:color w:val="auto"/>
                <w:szCs w:val="21"/>
                <w:highlight w:val="none"/>
              </w:rPr>
              <w:t>主要工作经历</w:t>
            </w:r>
            <w:r>
              <w:rPr>
                <w:rFonts w:hint="eastAsia" w:ascii="Times New Roman" w:hAnsi="Times New Roman"/>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0"/>
            <w:vAlign w:val="center"/>
          </w:tcPr>
          <w:p>
            <w:pPr>
              <w:spacing w:line="360" w:lineRule="auto"/>
              <w:ind w:firstLine="210" w:firstLineChars="100"/>
              <w:rPr>
                <w:rFonts w:ascii="Times New Roman" w:hAnsi="Times New Roman"/>
                <w:color w:val="auto"/>
                <w:szCs w:val="21"/>
                <w:highlight w:val="none"/>
              </w:rPr>
            </w:pPr>
            <w:r>
              <w:rPr>
                <w:rFonts w:ascii="Times New Roman" w:hAnsi="Times New Roman"/>
                <w:color w:val="auto"/>
                <w:szCs w:val="21"/>
                <w:highlight w:val="none"/>
              </w:rPr>
              <w:t>时  间</w:t>
            </w:r>
          </w:p>
        </w:tc>
        <w:tc>
          <w:tcPr>
            <w:tcW w:w="3420" w:type="dxa"/>
            <w:gridSpan w:val="3"/>
            <w:noWrap w:val="0"/>
            <w:vAlign w:val="center"/>
          </w:tcPr>
          <w:p>
            <w:pPr>
              <w:spacing w:line="360" w:lineRule="auto"/>
              <w:ind w:firstLine="630" w:firstLineChars="300"/>
              <w:rPr>
                <w:rFonts w:ascii="Times New Roman" w:hAnsi="Times New Roman"/>
                <w:color w:val="auto"/>
                <w:szCs w:val="21"/>
                <w:highlight w:val="none"/>
              </w:rPr>
            </w:pPr>
            <w:r>
              <w:rPr>
                <w:rFonts w:ascii="Times New Roman" w:hAnsi="Times New Roman"/>
                <w:color w:val="auto"/>
                <w:szCs w:val="21"/>
                <w:highlight w:val="none"/>
              </w:rPr>
              <w:t>参加过的类似项目</w:t>
            </w:r>
          </w:p>
        </w:tc>
        <w:tc>
          <w:tcPr>
            <w:tcW w:w="1261" w:type="dxa"/>
            <w:noWrap w:val="0"/>
            <w:vAlign w:val="center"/>
          </w:tcPr>
          <w:p>
            <w:pPr>
              <w:spacing w:line="360" w:lineRule="auto"/>
              <w:rPr>
                <w:rFonts w:ascii="Times New Roman" w:hAnsi="Times New Roman"/>
                <w:color w:val="auto"/>
                <w:szCs w:val="21"/>
                <w:highlight w:val="none"/>
              </w:rPr>
            </w:pPr>
            <w:r>
              <w:rPr>
                <w:rFonts w:ascii="Times New Roman" w:hAnsi="Times New Roman"/>
                <w:color w:val="auto"/>
                <w:szCs w:val="21"/>
                <w:highlight w:val="none"/>
              </w:rPr>
              <w:t>担任职务</w:t>
            </w:r>
          </w:p>
        </w:tc>
        <w:tc>
          <w:tcPr>
            <w:tcW w:w="2297" w:type="dxa"/>
            <w:noWrap w:val="0"/>
            <w:vAlign w:val="center"/>
          </w:tcPr>
          <w:p>
            <w:pPr>
              <w:spacing w:line="360" w:lineRule="auto"/>
              <w:ind w:firstLine="210" w:firstLineChars="100"/>
              <w:rPr>
                <w:rFonts w:ascii="Times New Roman" w:hAnsi="Times New Roman"/>
                <w:color w:val="auto"/>
                <w:szCs w:val="21"/>
                <w:highlight w:val="none"/>
              </w:rPr>
            </w:pPr>
            <w:r>
              <w:rPr>
                <w:rFonts w:ascii="Times New Roman" w:hAnsi="Times New Roman"/>
                <w:color w:val="auto"/>
                <w:szCs w:val="21"/>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360" w:lineRule="auto"/>
              <w:rPr>
                <w:rFonts w:eastAsia="黑体"/>
                <w:color w:val="auto"/>
                <w:szCs w:val="21"/>
                <w:highlight w:val="none"/>
              </w:rPr>
            </w:pPr>
          </w:p>
        </w:tc>
        <w:tc>
          <w:tcPr>
            <w:tcW w:w="3420" w:type="dxa"/>
            <w:gridSpan w:val="3"/>
            <w:noWrap w:val="0"/>
            <w:vAlign w:val="top"/>
          </w:tcPr>
          <w:p>
            <w:pPr>
              <w:spacing w:line="360" w:lineRule="auto"/>
              <w:rPr>
                <w:rFonts w:eastAsia="黑体"/>
                <w:color w:val="auto"/>
                <w:szCs w:val="21"/>
                <w:highlight w:val="none"/>
              </w:rPr>
            </w:pPr>
          </w:p>
        </w:tc>
        <w:tc>
          <w:tcPr>
            <w:tcW w:w="1261" w:type="dxa"/>
            <w:noWrap w:val="0"/>
            <w:vAlign w:val="top"/>
          </w:tcPr>
          <w:p>
            <w:pPr>
              <w:spacing w:line="360" w:lineRule="auto"/>
              <w:rPr>
                <w:rFonts w:eastAsia="黑体"/>
                <w:color w:val="auto"/>
                <w:szCs w:val="21"/>
                <w:highlight w:val="none"/>
              </w:rPr>
            </w:pPr>
          </w:p>
        </w:tc>
        <w:tc>
          <w:tcPr>
            <w:tcW w:w="2297" w:type="dxa"/>
            <w:noWrap w:val="0"/>
            <w:vAlign w:val="top"/>
          </w:tcPr>
          <w:p>
            <w:pPr>
              <w:spacing w:line="360" w:lineRule="auto"/>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360" w:lineRule="auto"/>
              <w:rPr>
                <w:rFonts w:eastAsia="黑体"/>
                <w:color w:val="auto"/>
                <w:szCs w:val="21"/>
                <w:highlight w:val="none"/>
              </w:rPr>
            </w:pPr>
          </w:p>
        </w:tc>
        <w:tc>
          <w:tcPr>
            <w:tcW w:w="3420" w:type="dxa"/>
            <w:gridSpan w:val="3"/>
            <w:noWrap w:val="0"/>
            <w:vAlign w:val="top"/>
          </w:tcPr>
          <w:p>
            <w:pPr>
              <w:spacing w:line="360" w:lineRule="auto"/>
              <w:rPr>
                <w:rFonts w:eastAsia="黑体"/>
                <w:color w:val="auto"/>
                <w:szCs w:val="21"/>
                <w:highlight w:val="none"/>
              </w:rPr>
            </w:pPr>
          </w:p>
        </w:tc>
        <w:tc>
          <w:tcPr>
            <w:tcW w:w="1261" w:type="dxa"/>
            <w:noWrap w:val="0"/>
            <w:vAlign w:val="top"/>
          </w:tcPr>
          <w:p>
            <w:pPr>
              <w:spacing w:line="360" w:lineRule="auto"/>
              <w:rPr>
                <w:rFonts w:eastAsia="黑体"/>
                <w:color w:val="auto"/>
                <w:szCs w:val="21"/>
                <w:highlight w:val="none"/>
              </w:rPr>
            </w:pPr>
          </w:p>
        </w:tc>
        <w:tc>
          <w:tcPr>
            <w:tcW w:w="2297" w:type="dxa"/>
            <w:noWrap w:val="0"/>
            <w:vAlign w:val="top"/>
          </w:tcPr>
          <w:p>
            <w:pPr>
              <w:spacing w:line="360" w:lineRule="auto"/>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top"/>
          </w:tcPr>
          <w:p>
            <w:pPr>
              <w:spacing w:line="360" w:lineRule="auto"/>
              <w:rPr>
                <w:rFonts w:eastAsia="黑体"/>
                <w:color w:val="auto"/>
                <w:szCs w:val="21"/>
                <w:highlight w:val="none"/>
              </w:rPr>
            </w:pPr>
          </w:p>
        </w:tc>
        <w:tc>
          <w:tcPr>
            <w:tcW w:w="3420" w:type="dxa"/>
            <w:gridSpan w:val="3"/>
            <w:noWrap w:val="0"/>
            <w:vAlign w:val="top"/>
          </w:tcPr>
          <w:p>
            <w:pPr>
              <w:spacing w:line="360" w:lineRule="auto"/>
              <w:rPr>
                <w:rFonts w:eastAsia="黑体"/>
                <w:color w:val="auto"/>
                <w:szCs w:val="21"/>
                <w:highlight w:val="none"/>
              </w:rPr>
            </w:pPr>
          </w:p>
        </w:tc>
        <w:tc>
          <w:tcPr>
            <w:tcW w:w="1261" w:type="dxa"/>
            <w:noWrap w:val="0"/>
            <w:vAlign w:val="top"/>
          </w:tcPr>
          <w:p>
            <w:pPr>
              <w:spacing w:line="360" w:lineRule="auto"/>
              <w:rPr>
                <w:rFonts w:eastAsia="黑体"/>
                <w:color w:val="auto"/>
                <w:szCs w:val="21"/>
                <w:highlight w:val="none"/>
              </w:rPr>
            </w:pPr>
          </w:p>
        </w:tc>
        <w:tc>
          <w:tcPr>
            <w:tcW w:w="2297" w:type="dxa"/>
            <w:noWrap w:val="0"/>
            <w:vAlign w:val="top"/>
          </w:tcPr>
          <w:p>
            <w:pPr>
              <w:spacing w:line="360" w:lineRule="auto"/>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360" w:lineRule="auto"/>
              <w:rPr>
                <w:rFonts w:eastAsia="黑体"/>
                <w:color w:val="auto"/>
                <w:szCs w:val="21"/>
                <w:highlight w:val="none"/>
              </w:rPr>
            </w:pPr>
          </w:p>
        </w:tc>
        <w:tc>
          <w:tcPr>
            <w:tcW w:w="3420" w:type="dxa"/>
            <w:gridSpan w:val="3"/>
            <w:noWrap w:val="0"/>
            <w:vAlign w:val="center"/>
          </w:tcPr>
          <w:p>
            <w:pPr>
              <w:spacing w:line="360" w:lineRule="auto"/>
              <w:rPr>
                <w:rFonts w:eastAsia="黑体"/>
                <w:color w:val="auto"/>
                <w:szCs w:val="21"/>
                <w:highlight w:val="none"/>
              </w:rPr>
            </w:pPr>
          </w:p>
        </w:tc>
        <w:tc>
          <w:tcPr>
            <w:tcW w:w="1261" w:type="dxa"/>
            <w:noWrap w:val="0"/>
            <w:vAlign w:val="center"/>
          </w:tcPr>
          <w:p>
            <w:pPr>
              <w:spacing w:line="360" w:lineRule="auto"/>
              <w:rPr>
                <w:rFonts w:eastAsia="黑体"/>
                <w:color w:val="auto"/>
                <w:szCs w:val="21"/>
                <w:highlight w:val="none"/>
              </w:rPr>
            </w:pPr>
          </w:p>
        </w:tc>
        <w:tc>
          <w:tcPr>
            <w:tcW w:w="2297" w:type="dxa"/>
            <w:noWrap w:val="0"/>
            <w:vAlign w:val="center"/>
          </w:tcPr>
          <w:p>
            <w:pPr>
              <w:spacing w:line="360" w:lineRule="auto"/>
              <w:rPr>
                <w:rFonts w:eastAsia="黑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0"/>
            <w:vAlign w:val="center"/>
          </w:tcPr>
          <w:p>
            <w:pPr>
              <w:spacing w:line="360" w:lineRule="auto"/>
              <w:rPr>
                <w:rFonts w:eastAsia="黑体"/>
                <w:color w:val="auto"/>
                <w:szCs w:val="21"/>
                <w:highlight w:val="none"/>
              </w:rPr>
            </w:pPr>
          </w:p>
        </w:tc>
        <w:tc>
          <w:tcPr>
            <w:tcW w:w="3420" w:type="dxa"/>
            <w:gridSpan w:val="3"/>
            <w:noWrap w:val="0"/>
            <w:vAlign w:val="center"/>
          </w:tcPr>
          <w:p>
            <w:pPr>
              <w:spacing w:line="360" w:lineRule="auto"/>
              <w:rPr>
                <w:rFonts w:eastAsia="黑体"/>
                <w:color w:val="auto"/>
                <w:szCs w:val="21"/>
                <w:highlight w:val="none"/>
              </w:rPr>
            </w:pPr>
          </w:p>
        </w:tc>
        <w:tc>
          <w:tcPr>
            <w:tcW w:w="1261" w:type="dxa"/>
            <w:noWrap w:val="0"/>
            <w:vAlign w:val="center"/>
          </w:tcPr>
          <w:p>
            <w:pPr>
              <w:spacing w:line="360" w:lineRule="auto"/>
              <w:rPr>
                <w:rFonts w:eastAsia="黑体"/>
                <w:color w:val="auto"/>
                <w:szCs w:val="21"/>
                <w:highlight w:val="none"/>
              </w:rPr>
            </w:pPr>
          </w:p>
        </w:tc>
        <w:tc>
          <w:tcPr>
            <w:tcW w:w="2297" w:type="dxa"/>
            <w:noWrap w:val="0"/>
            <w:vAlign w:val="center"/>
          </w:tcPr>
          <w:p>
            <w:pPr>
              <w:spacing w:line="360" w:lineRule="auto"/>
              <w:rPr>
                <w:rFonts w:eastAsia="黑体"/>
                <w:color w:val="auto"/>
                <w:szCs w:val="21"/>
                <w:highlight w:val="none"/>
              </w:rPr>
            </w:pPr>
          </w:p>
        </w:tc>
      </w:tr>
      <w:bookmarkEnd w:id="1298"/>
      <w:bookmarkEnd w:id="1299"/>
      <w:bookmarkEnd w:id="1300"/>
      <w:bookmarkEnd w:id="1301"/>
      <w:bookmarkEnd w:id="1302"/>
      <w:bookmarkEnd w:id="1303"/>
    </w:tbl>
    <w:p>
      <w:pPr>
        <w:spacing w:line="360" w:lineRule="auto"/>
        <w:rPr>
          <w:rFonts w:hint="eastAsia" w:ascii="Times New Roman" w:hAnsi="Times New Roman"/>
          <w:color w:val="auto"/>
          <w:sz w:val="24"/>
          <w:highlight w:val="none"/>
        </w:rPr>
      </w:pPr>
      <w:r>
        <w:rPr>
          <w:rFonts w:hint="eastAsia" w:ascii="Times New Roman" w:hAnsi="Times New Roman" w:cs="宋体"/>
          <w:color w:val="auto"/>
          <w:sz w:val="24"/>
          <w:highlight w:val="none"/>
        </w:rPr>
        <w:t>注：</w:t>
      </w:r>
      <w:r>
        <w:rPr>
          <w:rFonts w:hint="eastAsia" w:ascii="Times New Roman" w:hAnsi="Times New Roman" w:cs="宋体"/>
          <w:color w:val="auto"/>
          <w:kern w:val="0"/>
          <w:sz w:val="24"/>
          <w:highlight w:val="none"/>
        </w:rPr>
        <w:t>（1）</w:t>
      </w:r>
      <w:r>
        <w:rPr>
          <w:rFonts w:hint="eastAsia" w:ascii="Times New Roman" w:hAnsi="Times New Roman"/>
          <w:color w:val="auto"/>
          <w:sz w:val="24"/>
          <w:highlight w:val="none"/>
        </w:rPr>
        <w:t>项目经理设计负责人、施工负责人应附身份证、社保缴费证明和第二章投标人须知前附表1.4.1条规定的证书扫描件；其他人员应附身份证、社保缴费证明和第三章评标办法中规定的证书扫描件。</w:t>
      </w:r>
    </w:p>
    <w:p>
      <w:pPr>
        <w:pStyle w:val="40"/>
        <w:tabs>
          <w:tab w:val="left" w:pos="0"/>
          <w:tab w:val="clear" w:pos="1843"/>
        </w:tabs>
        <w:autoSpaceDE w:val="0"/>
        <w:autoSpaceDN w:val="0"/>
        <w:adjustRightInd/>
        <w:spacing w:before="0" w:after="0" w:line="360" w:lineRule="auto"/>
        <w:ind w:left="0" w:right="0" w:rightChars="0" w:firstLine="480" w:firstLineChars="200"/>
        <w:jc w:val="left"/>
        <w:textAlignment w:val="bottom"/>
        <w:rPr>
          <w:rFonts w:ascii="Times New Roman" w:hAnsi="Times New Roman"/>
          <w:color w:val="auto"/>
          <w:highlight w:val="none"/>
        </w:rPr>
      </w:pPr>
      <w:r>
        <w:rPr>
          <w:rFonts w:hint="eastAsia" w:ascii="Times New Roman" w:hAnsi="Times New Roman" w:cs="宋体"/>
          <w:color w:val="auto"/>
          <w:kern w:val="0"/>
          <w:highlight w:val="none"/>
        </w:rPr>
        <w:t>（2）</w:t>
      </w:r>
      <w:r>
        <w:rPr>
          <w:rFonts w:hint="eastAsia" w:ascii="Times New Roman" w:hAnsi="Times New Roman" w:cs="宋体"/>
          <w:color w:val="auto"/>
          <w:highlight w:val="none"/>
        </w:rPr>
        <w:t>社保缴费证明是指，由社保部门出具的主要人员在该投标人单位最近 6 个月连续缴费证明，从招标文件开始下载时间的上一个月或上上个月起算，往前推6个月的连续、不间断的缴费证明，企业设立不足6个月的可少于6个月；退休人员提供退休证明材料，无需提供社保缴费证明；新聘人员提供至少1个月在该投标人单位的社保缴费证明并提供聘用合同。</w:t>
      </w:r>
      <w:r>
        <w:rPr>
          <w:rFonts w:hint="eastAsia" w:ascii="Times New Roman" w:hAnsi="Times New Roman"/>
          <w:color w:val="auto"/>
          <w:highlight w:val="none"/>
        </w:rPr>
        <w:t xml:space="preserve">  </w:t>
      </w:r>
      <w:r>
        <w:rPr>
          <w:rFonts w:ascii="Times New Roman" w:hAnsi="Times New Roman"/>
          <w:color w:val="auto"/>
          <w:highlight w:val="none"/>
        </w:rPr>
        <w:t xml:space="preserve">    </w:t>
      </w:r>
    </w:p>
    <w:p>
      <w:pPr>
        <w:spacing w:line="360" w:lineRule="auto"/>
        <w:ind w:firstLine="360" w:firstLineChars="150"/>
        <w:rPr>
          <w:rFonts w:hint="eastAsia" w:ascii="Times New Roman" w:hAnsi="Times New Roman" w:cs="宋体"/>
          <w:color w:val="auto"/>
          <w:kern w:val="0"/>
          <w:sz w:val="24"/>
          <w:highlight w:val="none"/>
        </w:rPr>
      </w:pPr>
      <w:r>
        <w:rPr>
          <w:rFonts w:hint="eastAsia" w:ascii="Times New Roman" w:hAnsi="Times New Roman"/>
          <w:color w:val="auto"/>
          <w:sz w:val="24"/>
          <w:highlight w:val="none"/>
        </w:rPr>
        <w:t>（3）资格条件和评标办法中有其他要求的应按要求提供相关证明材料扫描件，未要求的可不提供。</w:t>
      </w:r>
      <w:r>
        <w:rPr>
          <w:rFonts w:hint="eastAsia" w:ascii="Times New Roman" w:hAnsi="Times New Roman" w:cs="宋体"/>
          <w:color w:val="auto"/>
          <w:kern w:val="0"/>
          <w:sz w:val="24"/>
          <w:highlight w:val="none"/>
        </w:rPr>
        <w:t>若要求施工负责人业绩，则施工负责人业绩以竣工验收报告中载明的施工项目负责人为准。</w:t>
      </w:r>
    </w:p>
    <w:p>
      <w:pPr>
        <w:spacing w:line="360" w:lineRule="auto"/>
        <w:ind w:firstLine="360" w:firstLineChars="150"/>
        <w:rPr>
          <w:rFonts w:hint="eastAsia" w:ascii="Times New Roman" w:hAnsi="Times New Roman" w:eastAsia="宋体" w:cs="宋体"/>
          <w:color w:val="auto"/>
          <w:kern w:val="0"/>
          <w:sz w:val="24"/>
          <w:highlight w:val="none"/>
          <w:lang w:eastAsia="zh-CN"/>
        </w:rPr>
      </w:pPr>
      <w:r>
        <w:rPr>
          <w:rFonts w:hint="eastAsia" w:ascii="Times New Roman" w:hAnsi="Times New Roman" w:cs="宋体"/>
          <w:color w:val="auto"/>
          <w:kern w:val="0"/>
          <w:sz w:val="24"/>
          <w:highlight w:val="none"/>
          <w:lang w:eastAsia="zh-CN"/>
        </w:rPr>
        <w:t>（</w:t>
      </w:r>
      <w:r>
        <w:rPr>
          <w:rFonts w:hint="eastAsia" w:ascii="Times New Roman" w:hAnsi="Times New Roman" w:cs="宋体"/>
          <w:color w:val="auto"/>
          <w:kern w:val="0"/>
          <w:sz w:val="24"/>
          <w:highlight w:val="none"/>
          <w:lang w:val="en-US" w:eastAsia="zh-CN"/>
        </w:rPr>
        <w:t>4</w:t>
      </w:r>
      <w:r>
        <w:rPr>
          <w:rFonts w:hint="eastAsia" w:ascii="Times New Roman" w:hAnsi="Times New Roman" w:cs="宋体"/>
          <w:color w:val="auto"/>
          <w:kern w:val="0"/>
          <w:sz w:val="24"/>
          <w:highlight w:val="none"/>
          <w:lang w:eastAsia="zh-CN"/>
        </w:rPr>
        <w:t>）使用电子注册证书的，其电子证书的有效性应符合有关规定。</w:t>
      </w:r>
    </w:p>
    <w:p>
      <w:pPr>
        <w:pStyle w:val="9"/>
        <w:spacing w:line="360" w:lineRule="auto"/>
        <w:ind w:firstLine="480" w:firstLineChars="200"/>
        <w:rPr>
          <w:rFonts w:hint="eastAsia" w:ascii="Times New Roman" w:hAnsi="Times New Roman"/>
          <w:color w:val="auto"/>
          <w:sz w:val="24"/>
          <w:highlight w:val="none"/>
        </w:rPr>
      </w:pPr>
    </w:p>
    <w:p>
      <w:pPr>
        <w:spacing w:line="360" w:lineRule="auto"/>
        <w:rPr>
          <w:rFonts w:hint="eastAsia" w:ascii="Times New Roman" w:hAnsi="Times New Roman" w:cs="宋体"/>
          <w:color w:val="auto"/>
          <w:sz w:val="24"/>
          <w:highlight w:val="none"/>
        </w:rPr>
      </w:pPr>
    </w:p>
    <w:p>
      <w:pPr>
        <w:pStyle w:val="40"/>
        <w:tabs>
          <w:tab w:val="left" w:pos="0"/>
          <w:tab w:val="clear" w:pos="1843"/>
        </w:tabs>
        <w:autoSpaceDE w:val="0"/>
        <w:autoSpaceDN w:val="0"/>
        <w:adjustRightInd/>
        <w:spacing w:before="0" w:after="0" w:line="360" w:lineRule="auto"/>
        <w:ind w:left="0" w:right="0" w:rightChars="0" w:firstLine="240" w:firstLineChars="100"/>
        <w:jc w:val="left"/>
        <w:textAlignment w:val="bottom"/>
        <w:rPr>
          <w:rFonts w:hint="eastAsia" w:ascii="Times New Roman" w:hAnsi="Times New Roman"/>
          <w:color w:val="auto"/>
          <w:highlight w:val="none"/>
        </w:rPr>
      </w:pPr>
      <w:r>
        <w:rPr>
          <w:rFonts w:hint="eastAsia" w:ascii="Times New Roman" w:hAnsi="Times New Roman"/>
          <w:color w:val="auto"/>
          <w:highlight w:val="none"/>
        </w:rPr>
        <w:br w:type="page"/>
      </w:r>
    </w:p>
    <w:p>
      <w:pPr>
        <w:pStyle w:val="3"/>
        <w:spacing w:line="360" w:lineRule="auto"/>
        <w:jc w:val="center"/>
        <w:rPr>
          <w:rFonts w:hint="eastAsia" w:ascii="Times New Roman" w:hAnsi="Times New Roman" w:eastAsia="宋体"/>
          <w:bCs w:val="0"/>
          <w:color w:val="auto"/>
          <w:kern w:val="44"/>
          <w:sz w:val="28"/>
          <w:szCs w:val="28"/>
          <w:highlight w:val="none"/>
        </w:rPr>
        <w:sectPr>
          <w:headerReference r:id="rId13" w:type="default"/>
          <w:footerReference r:id="rId14"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pPr>
      <w:bookmarkStart w:id="1320" w:name="_Toc271821942"/>
      <w:bookmarkStart w:id="1321" w:name="_Toc300835233"/>
      <w:r>
        <w:rPr>
          <w:rFonts w:hint="eastAsia" w:ascii="Times New Roman" w:hAnsi="Times New Roman" w:eastAsia="宋体"/>
          <w:bCs w:val="0"/>
          <w:color w:val="auto"/>
          <w:kern w:val="44"/>
          <w:sz w:val="28"/>
          <w:szCs w:val="28"/>
          <w:highlight w:val="none"/>
        </w:rPr>
        <w:t>九、其他资料</w:t>
      </w:r>
      <w:bookmarkEnd w:id="1320"/>
      <w:bookmarkEnd w:id="1321"/>
    </w:p>
    <w:p>
      <w:pPr>
        <w:pStyle w:val="3"/>
        <w:spacing w:line="360" w:lineRule="auto"/>
        <w:jc w:val="center"/>
        <w:rPr>
          <w:rFonts w:hint="eastAsia" w:ascii="Times New Roman" w:hAnsi="Times New Roman" w:eastAsia="宋体"/>
          <w:b/>
          <w:bCs w:val="0"/>
          <w:color w:val="auto"/>
          <w:kern w:val="44"/>
          <w:sz w:val="28"/>
          <w:szCs w:val="28"/>
          <w:highlight w:val="none"/>
          <w:lang w:eastAsia="zh-CN"/>
        </w:rPr>
      </w:pPr>
      <w:r>
        <w:rPr>
          <w:rFonts w:hint="eastAsia" w:ascii="Times New Roman" w:hAnsi="Times New Roman" w:eastAsia="宋体"/>
          <w:b/>
          <w:bCs w:val="0"/>
          <w:color w:val="auto"/>
          <w:kern w:val="44"/>
          <w:sz w:val="28"/>
          <w:szCs w:val="28"/>
          <w:highlight w:val="none"/>
          <w:lang w:eastAsia="zh-CN"/>
        </w:rPr>
        <w:t>第八章</w:t>
      </w:r>
      <w:r>
        <w:rPr>
          <w:rFonts w:hint="eastAsia" w:ascii="Times New Roman" w:hAnsi="Times New Roman" w:eastAsia="宋体"/>
          <w:b/>
          <w:bCs w:val="0"/>
          <w:color w:val="auto"/>
          <w:kern w:val="44"/>
          <w:sz w:val="28"/>
          <w:szCs w:val="28"/>
          <w:highlight w:val="none"/>
          <w:lang w:val="en-US" w:eastAsia="zh-CN"/>
        </w:rPr>
        <w:t xml:space="preserve"> 投</w:t>
      </w:r>
      <w:r>
        <w:rPr>
          <w:rFonts w:hint="eastAsia" w:ascii="Times New Roman" w:hAnsi="Times New Roman" w:eastAsia="宋体"/>
          <w:b/>
          <w:bCs w:val="0"/>
          <w:color w:val="auto"/>
          <w:kern w:val="44"/>
          <w:sz w:val="28"/>
          <w:szCs w:val="28"/>
          <w:highlight w:val="none"/>
          <w:lang w:eastAsia="zh-CN"/>
        </w:rPr>
        <w:t>标文件编制和暗标评审规范</w:t>
      </w:r>
    </w:p>
    <w:p>
      <w:pPr>
        <w:spacing w:line="360" w:lineRule="auto"/>
        <w:ind w:firstLine="0" w:firstLineChars="0"/>
        <w:rPr>
          <w:rFonts w:hint="default" w:ascii="Times New Roman" w:hAnsi="Times New Roman" w:cs="Times New Roman"/>
          <w:b/>
          <w:bCs/>
          <w:color w:val="auto"/>
          <w:kern w:val="2"/>
          <w:sz w:val="24"/>
          <w:szCs w:val="24"/>
          <w:highlight w:val="none"/>
          <w:lang w:eastAsia="zh-CN"/>
        </w:rPr>
      </w:pPr>
    </w:p>
    <w:p>
      <w:pPr>
        <w:spacing w:line="360" w:lineRule="auto"/>
        <w:ind w:firstLine="481" w:firstLineChars="200"/>
        <w:rPr>
          <w:rFonts w:hint="default" w:ascii="Times New Roman" w:hAnsi="Times New Roman" w:eastAsia="宋体" w:cs="Times New Roman"/>
          <w:b/>
          <w:bCs/>
          <w:color w:val="auto"/>
          <w:kern w:val="2"/>
          <w:sz w:val="24"/>
          <w:szCs w:val="24"/>
          <w:highlight w:val="none"/>
          <w:lang w:eastAsia="zh-CN"/>
        </w:rPr>
      </w:pPr>
      <w:r>
        <w:rPr>
          <w:rFonts w:hint="default" w:ascii="Times New Roman" w:hAnsi="Times New Roman" w:cs="Times New Roman"/>
          <w:b/>
          <w:bCs/>
          <w:color w:val="auto"/>
          <w:kern w:val="2"/>
          <w:sz w:val="24"/>
          <w:szCs w:val="24"/>
          <w:highlight w:val="none"/>
          <w:lang w:eastAsia="zh-CN"/>
        </w:rPr>
        <w:t>一、投标文件编制要求</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val="en-US" w:eastAsia="zh-CN"/>
        </w:rPr>
        <w:t>1.</w:t>
      </w:r>
      <w:r>
        <w:rPr>
          <w:rFonts w:hint="default" w:ascii="Times New Roman" w:hAnsi="Times New Roman" w:cs="Times New Roman"/>
          <w:b w:val="0"/>
          <w:bCs w:val="0"/>
          <w:color w:val="auto"/>
          <w:kern w:val="2"/>
          <w:sz w:val="24"/>
          <w:szCs w:val="24"/>
          <w:highlight w:val="none"/>
        </w:rPr>
        <w:t>投标人在编制投标文件时，除应符合依法必须招标项目有关法律法规要求外，还应满足“暗标盲评”相关规定：</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lang w:val="en-US" w:eastAsia="zh-CN"/>
        </w:rPr>
        <w:t>1</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投标人应严格按照招标文件要求编制投标文件，将“明标”商务文件（资格部分）、商务文件（除资格部分外的明标部分）、报价文件和“暗标”技术文件分开编制。</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lang w:val="en-US" w:eastAsia="zh-CN"/>
        </w:rPr>
        <w:t>2</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在编制投标文件技术文件时，应严格按照招标文件相关要求进行编制，不能出现投标人名称、标识的内容。</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lang w:val="en-US" w:eastAsia="zh-CN"/>
        </w:rPr>
        <w:t>3</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投标文件应对招标文件提出的要求和条件作出实质性响应，技术文件</w:t>
      </w:r>
      <w:r>
        <w:rPr>
          <w:rFonts w:hint="eastAsia" w:ascii="Times New Roman" w:hAnsi="Times New Roman" w:cs="Times New Roman"/>
          <w:b w:val="0"/>
          <w:bCs w:val="0"/>
          <w:color w:val="auto"/>
          <w:kern w:val="2"/>
          <w:sz w:val="24"/>
          <w:szCs w:val="24"/>
          <w:highlight w:val="none"/>
          <w:lang w:val="en-US" w:eastAsia="zh-CN"/>
        </w:rPr>
        <w:t>的</w:t>
      </w:r>
      <w:r>
        <w:rPr>
          <w:rFonts w:hint="eastAsia"/>
          <w:color w:val="auto"/>
          <w:sz w:val="24"/>
          <w:highlight w:val="none"/>
        </w:rPr>
        <w:t>承包人建议书</w:t>
      </w:r>
      <w:r>
        <w:rPr>
          <w:rFonts w:hint="eastAsia"/>
          <w:color w:val="auto"/>
          <w:sz w:val="24"/>
          <w:highlight w:val="none"/>
          <w:lang w:eastAsia="zh-CN"/>
        </w:rPr>
        <w:t>、</w:t>
      </w:r>
      <w:r>
        <w:rPr>
          <w:rFonts w:hint="eastAsia"/>
          <w:color w:val="auto"/>
          <w:sz w:val="24"/>
          <w:highlight w:val="none"/>
        </w:rPr>
        <w:t>承包人实施方案</w:t>
      </w:r>
      <w:r>
        <w:rPr>
          <w:rFonts w:hint="default" w:ascii="Times New Roman" w:hAnsi="Times New Roman" w:cs="Times New Roman"/>
          <w:b w:val="0"/>
          <w:bCs w:val="0"/>
          <w:color w:val="auto"/>
          <w:kern w:val="2"/>
          <w:sz w:val="24"/>
          <w:szCs w:val="24"/>
          <w:highlight w:val="none"/>
        </w:rPr>
        <w:t>应统一格式和规范，不得出现与投标人相关（明标部分）的词句、语言或任何标识、暗示。</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val="en-US" w:eastAsia="zh-CN"/>
        </w:rPr>
        <w:t>2.</w:t>
      </w:r>
      <w:r>
        <w:rPr>
          <w:rFonts w:hint="default" w:ascii="Times New Roman" w:hAnsi="Times New Roman" w:cs="Times New Roman"/>
          <w:b w:val="0"/>
          <w:bCs w:val="0"/>
          <w:color w:val="auto"/>
          <w:kern w:val="2"/>
          <w:sz w:val="24"/>
          <w:szCs w:val="24"/>
          <w:highlight w:val="none"/>
        </w:rPr>
        <w:t>投标人技术文件</w:t>
      </w:r>
      <w:r>
        <w:rPr>
          <w:rFonts w:hint="eastAsia" w:ascii="Times New Roman" w:hAnsi="Times New Roman" w:cs="Times New Roman"/>
          <w:b w:val="0"/>
          <w:bCs w:val="0"/>
          <w:color w:val="auto"/>
          <w:kern w:val="2"/>
          <w:sz w:val="24"/>
          <w:szCs w:val="24"/>
          <w:highlight w:val="none"/>
          <w:lang w:val="en-US" w:eastAsia="zh-CN"/>
        </w:rPr>
        <w:t>的</w:t>
      </w:r>
      <w:r>
        <w:rPr>
          <w:rFonts w:hint="eastAsia"/>
          <w:color w:val="auto"/>
          <w:sz w:val="24"/>
          <w:highlight w:val="none"/>
        </w:rPr>
        <w:t>承包人建议书</w:t>
      </w:r>
      <w:r>
        <w:rPr>
          <w:rFonts w:hint="eastAsia"/>
          <w:color w:val="auto"/>
          <w:sz w:val="24"/>
          <w:highlight w:val="none"/>
          <w:lang w:eastAsia="zh-CN"/>
        </w:rPr>
        <w:t>、</w:t>
      </w:r>
      <w:r>
        <w:rPr>
          <w:rFonts w:hint="eastAsia"/>
          <w:color w:val="auto"/>
          <w:sz w:val="24"/>
          <w:highlight w:val="none"/>
        </w:rPr>
        <w:t>承包人实施方案</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暗标</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部分编制：</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rPr>
        <w:t>（</w:t>
      </w:r>
      <w:r>
        <w:rPr>
          <w:rFonts w:hint="eastAsia" w:ascii="Times New Roman" w:hAnsi="Times New Roman" w:cs="Times New Roman"/>
          <w:b w:val="0"/>
          <w:bCs w:val="0"/>
          <w:color w:val="auto"/>
          <w:kern w:val="2"/>
          <w:sz w:val="24"/>
          <w:szCs w:val="24"/>
          <w:highlight w:val="none"/>
          <w:lang w:val="en-US" w:eastAsia="zh-CN"/>
        </w:rPr>
        <w:t>4</w:t>
      </w:r>
      <w:r>
        <w:rPr>
          <w:rFonts w:hint="default" w:ascii="Times New Roman" w:hAnsi="Times New Roman" w:cs="Times New Roman"/>
          <w:b w:val="0"/>
          <w:bCs w:val="0"/>
          <w:color w:val="auto"/>
          <w:kern w:val="2"/>
          <w:sz w:val="24"/>
          <w:szCs w:val="24"/>
          <w:highlight w:val="none"/>
        </w:rPr>
        <w:t>）暗标部分应当以能够隐去投标人的可识别身份信息为原则：投标人不得在暗标中出现投标单位名称、地址、徽标、特有工法、专利、企业文化（宗旨、愿景等）、人员名称及能判断出该投标人的内容等任何标识或暗示该投标人信息的标记，不得出现彩色内容（包括但不限于文字、图表、插图等）；暗标部分中不得明示的内容可以“******”（六个＊）代替。</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rPr>
        <w:t>（</w:t>
      </w:r>
      <w:r>
        <w:rPr>
          <w:rFonts w:hint="eastAsia" w:ascii="Times New Roman" w:hAnsi="Times New Roman" w:cs="Times New Roman"/>
          <w:b w:val="0"/>
          <w:bCs w:val="0"/>
          <w:color w:val="auto"/>
          <w:kern w:val="2"/>
          <w:sz w:val="24"/>
          <w:szCs w:val="24"/>
          <w:highlight w:val="none"/>
          <w:lang w:val="en-US" w:eastAsia="zh-CN"/>
        </w:rPr>
        <w:t>5</w:t>
      </w:r>
      <w:r>
        <w:rPr>
          <w:rFonts w:hint="default" w:ascii="Times New Roman" w:hAnsi="Times New Roman" w:cs="Times New Roman"/>
          <w:b w:val="0"/>
          <w:bCs w:val="0"/>
          <w:color w:val="auto"/>
          <w:kern w:val="2"/>
          <w:sz w:val="24"/>
          <w:szCs w:val="24"/>
          <w:highlight w:val="none"/>
        </w:rPr>
        <w:t>）明标中出现过的任何图、表、品牌规格型号等内容，不得在暗标中重复出现。</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rPr>
        <w:t>（</w:t>
      </w:r>
      <w:r>
        <w:rPr>
          <w:rFonts w:hint="eastAsia" w:ascii="Times New Roman" w:hAnsi="Times New Roman" w:cs="Times New Roman"/>
          <w:b w:val="0"/>
          <w:bCs w:val="0"/>
          <w:color w:val="auto"/>
          <w:kern w:val="2"/>
          <w:sz w:val="24"/>
          <w:szCs w:val="24"/>
          <w:highlight w:val="none"/>
          <w:lang w:val="en-US" w:eastAsia="zh-CN"/>
        </w:rPr>
        <w:t>6</w:t>
      </w:r>
      <w:r>
        <w:rPr>
          <w:rFonts w:hint="default" w:ascii="Times New Roman" w:hAnsi="Times New Roman" w:cs="Times New Roman"/>
          <w:b w:val="0"/>
          <w:bCs w:val="0"/>
          <w:color w:val="auto"/>
          <w:kern w:val="2"/>
          <w:sz w:val="24"/>
          <w:szCs w:val="24"/>
          <w:highlight w:val="none"/>
        </w:rPr>
        <w:t>）暗标部分不做目录。</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rPr>
        <w:t>本规范适用于投标人在专家评审过程中对评标委员会提出的质疑进行回复或澄清。</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val="en-US" w:eastAsia="zh-CN"/>
        </w:rPr>
        <w:t>3.投标文件</w:t>
      </w:r>
      <w:r>
        <w:rPr>
          <w:rFonts w:hint="default" w:ascii="Times New Roman" w:hAnsi="Times New Roman" w:cs="Times New Roman"/>
          <w:b w:val="0"/>
          <w:bCs w:val="0"/>
          <w:color w:val="auto"/>
          <w:kern w:val="2"/>
          <w:sz w:val="24"/>
          <w:szCs w:val="24"/>
          <w:highlight w:val="none"/>
        </w:rPr>
        <w:t>字体及排版格式：</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eastAsia" w:ascii="Times New Roman" w:hAnsi="Times New Roman" w:cs="Times New Roman"/>
          <w:b w:val="0"/>
          <w:bCs w:val="0"/>
          <w:color w:val="auto"/>
          <w:kern w:val="2"/>
          <w:sz w:val="24"/>
          <w:szCs w:val="24"/>
          <w:highlight w:val="none"/>
          <w:lang w:val="en-US" w:eastAsia="zh-CN"/>
        </w:rPr>
        <w:t>7</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采用A4幅面白底，纸张方向纵向，页边距：上2.5cm，下2.0cm，左2.0cm，右2.0cm；不得出现底纹、水印、页码、页眉、页脚；段落对齐方式为左对齐，左右缩进为0字符，文字方向为从左到右，首行缩进2字符，段前段后为0；字体全部采用宋体四号，黑色，1.5倍行距，不得出现空行；字符间距为标准，字符位置为标准，字符缩放为100%;字形为常规，不得使用加粗、斜体、下划线、加框、着重号等；不得使用任何文字效果；文中不得出现特殊符号。</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eastAsia" w:ascii="Times New Roman" w:hAnsi="Times New Roman" w:cs="Times New Roman"/>
          <w:b w:val="0"/>
          <w:bCs w:val="0"/>
          <w:color w:val="auto"/>
          <w:kern w:val="2"/>
          <w:sz w:val="24"/>
          <w:szCs w:val="24"/>
          <w:highlight w:val="none"/>
          <w:lang w:val="en-US" w:eastAsia="zh-CN"/>
        </w:rPr>
        <w:t>8</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图、表中的字体、段落等与上述要求相同，但是段落对齐方式为居中，特殊格式（首行缩进）为无。</w:t>
      </w:r>
    </w:p>
    <w:p>
      <w:pPr>
        <w:spacing w:line="360" w:lineRule="auto"/>
        <w:ind w:firstLine="480" w:firstLineChars="200"/>
        <w:rPr>
          <w:rFonts w:hint="default" w:ascii="Times New Roman" w:hAnsi="Times New Roman" w:cs="Times New Roman"/>
          <w:b w:val="0"/>
          <w:bCs w:val="0"/>
          <w:color w:val="auto"/>
          <w:kern w:val="2"/>
          <w:sz w:val="24"/>
          <w:szCs w:val="24"/>
          <w:highlight w:val="none"/>
        </w:rPr>
      </w:pPr>
      <w:r>
        <w:rPr>
          <w:rFonts w:hint="default" w:ascii="Times New Roman" w:hAnsi="Times New Roman" w:cs="Times New Roman"/>
          <w:b w:val="0"/>
          <w:bCs w:val="0"/>
          <w:color w:val="auto"/>
          <w:kern w:val="2"/>
          <w:sz w:val="24"/>
          <w:szCs w:val="24"/>
          <w:highlight w:val="none"/>
          <w:lang w:eastAsia="zh-CN"/>
        </w:rPr>
        <w:t>（</w:t>
      </w:r>
      <w:r>
        <w:rPr>
          <w:rFonts w:hint="eastAsia" w:ascii="Times New Roman" w:hAnsi="Times New Roman" w:cs="Times New Roman"/>
          <w:b w:val="0"/>
          <w:bCs w:val="0"/>
          <w:color w:val="auto"/>
          <w:kern w:val="2"/>
          <w:sz w:val="24"/>
          <w:szCs w:val="24"/>
          <w:highlight w:val="none"/>
          <w:lang w:val="en-US" w:eastAsia="zh-CN"/>
        </w:rPr>
        <w:t>9</w:t>
      </w:r>
      <w:r>
        <w:rPr>
          <w:rFonts w:hint="default" w:ascii="Times New Roman" w:hAnsi="Times New Roman" w:cs="Times New Roman"/>
          <w:b w:val="0"/>
          <w:bCs w:val="0"/>
          <w:color w:val="auto"/>
          <w:kern w:val="2"/>
          <w:sz w:val="24"/>
          <w:szCs w:val="24"/>
          <w:highlight w:val="none"/>
          <w:lang w:eastAsia="zh-CN"/>
        </w:rPr>
        <w:t>）</w:t>
      </w:r>
      <w:r>
        <w:rPr>
          <w:rFonts w:hint="default" w:ascii="Times New Roman" w:hAnsi="Times New Roman" w:cs="Times New Roman"/>
          <w:b w:val="0"/>
          <w:bCs w:val="0"/>
          <w:color w:val="auto"/>
          <w:kern w:val="2"/>
          <w:sz w:val="24"/>
          <w:szCs w:val="24"/>
          <w:highlight w:val="none"/>
        </w:rPr>
        <w:t>一级标题格式：例如“第2章 技术方案”。二级标题格式：例如“2.1 关键技术路线”。三级标题格式：例如“2.1.1 关键技术路线剖析”，以此类推。标题中空格为1个英文半角空格。</w:t>
      </w:r>
    </w:p>
    <w:p>
      <w:pPr>
        <w:spacing w:line="360" w:lineRule="auto"/>
        <w:ind w:firstLine="481" w:firstLineChars="200"/>
        <w:rPr>
          <w:rFonts w:hint="default" w:ascii="Times New Roman" w:hAnsi="Times New Roman" w:cs="Times New Roman"/>
          <w:b/>
          <w:bCs/>
          <w:color w:val="auto"/>
          <w:kern w:val="2"/>
          <w:sz w:val="24"/>
          <w:szCs w:val="24"/>
          <w:highlight w:val="none"/>
          <w:lang w:eastAsia="zh-CN"/>
        </w:rPr>
      </w:pPr>
      <w:r>
        <w:rPr>
          <w:rFonts w:hint="default" w:ascii="Times New Roman" w:hAnsi="Times New Roman" w:cs="Times New Roman"/>
          <w:b/>
          <w:bCs/>
          <w:color w:val="auto"/>
          <w:kern w:val="2"/>
          <w:sz w:val="24"/>
          <w:szCs w:val="24"/>
          <w:highlight w:val="none"/>
          <w:lang w:eastAsia="zh-CN"/>
        </w:rPr>
        <w:t>二、暗标评审要求</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评审过程中，应严格落实“暗标盲评”相关规则要求，依法依规规范组织依法必须招标项目评审活动。</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1.</w:t>
      </w:r>
      <w:r>
        <w:rPr>
          <w:rFonts w:hint="eastAsia" w:ascii="Times New Roman" w:hAnsi="Times New Roman" w:eastAsia="宋体" w:cs="Times New Roman"/>
          <w:color w:val="auto"/>
          <w:sz w:val="24"/>
          <w:szCs w:val="24"/>
          <w:highlight w:val="none"/>
          <w:lang w:eastAsia="zh-CN"/>
        </w:rPr>
        <w:t>评标委员会依据依法必须招标项目有关法律法规和招标文件要求，分别对商务文件、报价文件“明标”部分进行符合性审查，对技术文件“暗标”部分实行“暗评”。对技术文件未按“暗标”要求制作的，依据招标文件作无效投标处理。</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2.</w:t>
      </w:r>
      <w:r>
        <w:rPr>
          <w:rFonts w:hint="default" w:ascii="Times New Roman" w:hAnsi="Times New Roman" w:cs="Times New Roman"/>
          <w:color w:val="auto"/>
          <w:sz w:val="24"/>
          <w:szCs w:val="24"/>
          <w:highlight w:val="none"/>
          <w:lang w:eastAsia="zh-CN"/>
        </w:rPr>
        <w:t>评标委员会成员应独立评审和打分，符合性审查完成后，再对技术文件进行“暗评”。严禁改变招标文件中规定的评标标准、方法和中标成交条件。评审过程中，评标委员会成员在沟通过程中，不得发表包含倾向性、诱导性言论；两人及以上不得同时离开评标现场。</w:t>
      </w:r>
    </w:p>
    <w:p>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highlight w:val="none"/>
          <w:lang w:eastAsia="zh-CN"/>
        </w:rPr>
      </w:pPr>
      <w:r>
        <w:rPr>
          <w:rFonts w:ascii="Times New Roman" w:hAnsi="Times New Roman" w:eastAsia="宋体" w:cs="Times New Roman"/>
          <w:color w:val="auto"/>
          <w:sz w:val="24"/>
          <w:szCs w:val="24"/>
          <w:highlight w:val="none"/>
          <w:lang w:eastAsia="zh-CN"/>
        </w:rPr>
        <w:t>3.评审全部结束后，由公共资源电子交易系统自动汇总各投标人的商务文</w:t>
      </w:r>
      <w:r>
        <w:rPr>
          <w:rFonts w:hint="eastAsia" w:ascii="Times New Roman" w:hAnsi="Times New Roman" w:cs="Times New Roman"/>
          <w:color w:val="auto"/>
          <w:sz w:val="24"/>
          <w:szCs w:val="24"/>
          <w:highlight w:val="none"/>
          <w:lang w:eastAsia="zh-CN"/>
        </w:rPr>
        <w:t>件、报价文件</w:t>
      </w:r>
      <w:r>
        <w:rPr>
          <w:rFonts w:ascii="Times New Roman" w:hAnsi="Times New Roman" w:eastAsia="宋体" w:cs="Times New Roman"/>
          <w:color w:val="auto"/>
          <w:sz w:val="24"/>
          <w:szCs w:val="24"/>
          <w:highlight w:val="none"/>
          <w:lang w:eastAsia="zh-CN"/>
        </w:rPr>
        <w:t>和技术文件得分，按程序确定中标候选人名单。</w:t>
      </w:r>
    </w:p>
    <w:p>
      <w:pPr>
        <w:spacing w:line="360" w:lineRule="auto"/>
        <w:rPr>
          <w:color w:val="auto"/>
          <w:highlight w:val="none"/>
        </w:rPr>
      </w:pPr>
    </w:p>
    <w:p>
      <w:pPr>
        <w:pStyle w:val="9"/>
        <w:spacing w:line="360" w:lineRule="auto"/>
        <w:rPr>
          <w:color w:val="auto"/>
          <w:highlight w:val="none"/>
        </w:rPr>
      </w:pPr>
    </w:p>
    <w:p>
      <w:pPr>
        <w:spacing w:line="360" w:lineRule="auto"/>
        <w:rPr>
          <w:color w:val="auto"/>
          <w:highlight w:val="none"/>
        </w:rPr>
      </w:pPr>
    </w:p>
    <w:sectPr>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Rachel" w:date="2026-02-28T20:40:24Z" w:initials="">
    <w:p w14:paraId="7DEF8241">
      <w:pPr>
        <w:pStyle w:val="9"/>
        <w:rPr>
          <w:rFonts w:hint="default" w:eastAsia="宋体"/>
          <w:lang w:val="en-US" w:eastAsia="zh-CN"/>
        </w:rPr>
      </w:pPr>
      <w:r>
        <w:rPr>
          <w:rFonts w:hint="eastAsia" w:eastAsia="宋体"/>
          <w:lang w:val="en-US" w:eastAsia="zh-CN"/>
        </w:rPr>
        <w:t>攀枝花市公共资源交易中心反馈意见</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DEF8241"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Arial Narrow">
    <w:altName w:val="Times New Roman"/>
    <w:panose1 w:val="020B0606020202030204"/>
    <w:charset w:val="00"/>
    <w:family w:val="swiss"/>
    <w:pitch w:val="default"/>
    <w:sig w:usb0="00000000" w:usb1="00000000" w:usb2="00000000" w:usb3="00000000" w:csb0="2000009F" w:csb1="DFD70000"/>
  </w:font>
  <w:font w:name="Times">
    <w:altName w:val="Times New Roman"/>
    <w:panose1 w:val="02020603050405020304"/>
    <w:charset w:val="00"/>
    <w:family w:val="roman"/>
    <w:pitch w:val="default"/>
    <w:sig w:usb0="00000000" w:usb1="00000000" w:usb2="00000009" w:usb3="00000000" w:csb0="000001FF" w:csb1="0000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方正小标宋简体">
    <w:panose1 w:val="02000000000000000000"/>
    <w:charset w:val="86"/>
    <w:family w:val="script"/>
    <w:pitch w:val="default"/>
    <w:sig w:usb0="A00002BF" w:usb1="184F6CFA" w:usb2="00000012" w:usb3="00000000" w:csb0="00040001" w:csb1="00000000"/>
  </w:font>
  <w:font w:name="华文中宋">
    <w:altName w:val="汉仪中宋简"/>
    <w:panose1 w:val="02010600040101010101"/>
    <w:charset w:val="86"/>
    <w:family w:val="auto"/>
    <w:pitch w:val="default"/>
    <w:sig w:usb0="00000000" w:usb1="00000000" w:usb2="00000000" w:usb3="00000000" w:csb0="0004009F" w:csb1="DFD7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58420" cy="139700"/>
              <wp:effectExtent l="0" t="0" r="0" b="0"/>
              <wp:wrapNone/>
              <wp:docPr id="10" name="Text Box 1025"/>
              <wp:cNvGraphicFramePr/>
              <a:graphic xmlns:a="http://schemas.openxmlformats.org/drawingml/2006/main">
                <a:graphicData uri="http://schemas.microsoft.com/office/word/2010/wordprocessingShape">
                  <wps:wsp>
                    <wps:cNvSpPr txBox="true">
                      <a:spLocks noChangeArrowheads="true"/>
                    </wps:cNvSpPr>
                    <wps:spPr bwMode="auto">
                      <a:xfrm>
                        <a:off x="0" y="0"/>
                        <a:ext cx="58420" cy="139700"/>
                      </a:xfrm>
                      <a:prstGeom prst="rect">
                        <a:avLst/>
                      </a:prstGeom>
                      <a:noFill/>
                      <a:ln>
                        <a:noFill/>
                      </a:ln>
                      <a:effectLst/>
                    </wps:spPr>
                    <wps:txbx>
                      <w:txbxContent>
                        <w:p>
                          <w:pPr>
                            <w:widowControl w:val="0"/>
                            <w:snapToGrid w:val="0"/>
                            <w:jc w:val="left"/>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39</w:t>
                          </w:r>
                          <w:r>
                            <w:rPr>
                              <w:rFonts w:hint="eastAsia" w:ascii="Calibri" w:hAnsi="Calibri" w:eastAsia="宋体" w:cs="Times New Roman"/>
                              <w:kern w:val="2"/>
                              <w:sz w:val="18"/>
                              <w:szCs w:val="18"/>
                              <w:lang w:val="en-US" w:eastAsia="zh-CN" w:bidi="ar-SA"/>
                            </w:rPr>
                            <w:fldChar w:fldCharType="end"/>
                          </w:r>
                        </w:p>
                      </w:txbxContent>
                    </wps:txbx>
                    <wps:bodyPr rot="0" vert="horz" wrap="none" lIns="0" tIns="0" rIns="0" bIns="0" anchor="t" anchorCtr="false" upright="true">
                      <a:spAutoFit/>
                    </wps:bodyPr>
                  </wps:wsp>
                </a:graphicData>
              </a:graphic>
            </wp:anchor>
          </w:drawing>
        </mc:Choice>
        <mc:Fallback>
          <w:pict>
            <v:shape id="Text Box 1025" o:spid="_x0000_s1026" o:spt="202" type="#_x0000_t202" style="position:absolute;left:0pt;margin-top:0pt;height:11pt;width:4.6pt;mso-position-horizontal:center;mso-position-horizontal-relative:margin;mso-wrap-style:none;z-index:251661312;mso-width-relative:page;mso-height-relative:page;" filled="f" stroked="f" coordsize="21600,21600" o:gfxdata="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WAAAAZHJzL1BL&#10;AQIUABQAAAAIAIdO4kDLW7l30AAAAAIBAAAPAAAAAAAAAAEAIAAAADgAAABkcnMvZG93bnJldi54&#10;bWxQSwECFAAUAAAACACHTuJApFEDjOwBAADRAwAADgAAAAAAAAABACAAAAA1AQAAZHJzL2Uyb0Rv&#10;Yy54bWxQSwUGAAAAAAYABgBZAQAAkwUAAAAA&#10;">
              <v:fill on="f" focussize="0,0"/>
              <v:stroke on="f"/>
              <v:imagedata o:title=""/>
              <o:lock v:ext="edit" aspectratio="f"/>
              <v:textbox inset="0mm,0mm,0mm,0mm" style="mso-fit-shape-to-text:t;">
                <w:txbxContent>
                  <w:p>
                    <w:pPr>
                      <w:widowControl w:val="0"/>
                      <w:snapToGrid w:val="0"/>
                      <w:jc w:val="left"/>
                      <w:rPr>
                        <w:rFonts w:ascii="Calibri" w:hAnsi="Calibri" w:eastAsia="宋体" w:cs="Times New Roman"/>
                        <w:kern w:val="2"/>
                        <w:sz w:val="18"/>
                        <w:szCs w:val="18"/>
                        <w:lang w:val="en-US" w:eastAsia="zh-CN" w:bidi="ar-SA"/>
                      </w:rPr>
                    </w:pPr>
                    <w:r>
                      <w:rPr>
                        <w:rFonts w:hint="eastAsia" w:ascii="Calibri" w:hAnsi="Calibri" w:eastAsia="宋体" w:cs="Times New Roman"/>
                        <w:kern w:val="2"/>
                        <w:sz w:val="18"/>
                        <w:szCs w:val="18"/>
                        <w:lang w:val="en-US" w:eastAsia="zh-CN" w:bidi="ar-SA"/>
                      </w:rPr>
                      <w:fldChar w:fldCharType="begin"/>
                    </w:r>
                    <w:r>
                      <w:rPr>
                        <w:rFonts w:hint="eastAsia" w:ascii="Calibri" w:hAnsi="Calibri" w:eastAsia="宋体" w:cs="Times New Roman"/>
                        <w:kern w:val="2"/>
                        <w:sz w:val="18"/>
                        <w:szCs w:val="18"/>
                        <w:lang w:val="en-US" w:eastAsia="zh-CN" w:bidi="ar-SA"/>
                      </w:rPr>
                      <w:instrText xml:space="preserve"> PAGE  \* MERGEFORMAT </w:instrText>
                    </w:r>
                    <w:r>
                      <w:rPr>
                        <w:rFonts w:hint="eastAsia" w:ascii="Calibri" w:hAnsi="Calibri" w:eastAsia="宋体" w:cs="Times New Roman"/>
                        <w:kern w:val="2"/>
                        <w:sz w:val="18"/>
                        <w:szCs w:val="18"/>
                        <w:lang w:val="en-US" w:eastAsia="zh-CN" w:bidi="ar-SA"/>
                      </w:rPr>
                      <w:fldChar w:fldCharType="separate"/>
                    </w:r>
                    <w:r>
                      <w:rPr>
                        <w:rFonts w:ascii="Calibri" w:hAnsi="Calibri" w:eastAsia="宋体" w:cs="Times New Roman"/>
                        <w:kern w:val="2"/>
                        <w:sz w:val="18"/>
                        <w:szCs w:val="18"/>
                        <w:lang w:val="en-US" w:eastAsia="zh-CN" w:bidi="ar-SA"/>
                      </w:rPr>
                      <w:t>39</w:t>
                    </w:r>
                    <w:r>
                      <w:rPr>
                        <w:rFonts w:hint="eastAsia" w:ascii="Calibri" w:hAnsi="Calibri" w:eastAsia="宋体" w:cs="Times New Roman"/>
                        <w:kern w:val="2"/>
                        <w:sz w:val="18"/>
                        <w:szCs w:val="18"/>
                        <w:lang w:val="en-US" w:eastAsia="zh-CN" w:bidi="ar-S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wps:txbx>
                    <wps:bodyPr wrap="none" lIns="0" tIns="0" rIns="0" bIns="0" upright="true">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zql5uc8AAAAFAQAADwAAAAAAAAABACAAAAA4AAAAZHJzL2Rvd25yZXYueG1s&#10;UEsBAhQAFAAAAAgAh07iQF5GsT2yAQAAUQMAAA4AAAAAAAAAAQAgAAAANAEAAGRycy9lMm9Eb2Mu&#10;eG1sUEsFBgAAAAAGAAYAWQEAAFgFA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38</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1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wps:txbx>
                    <wps:bodyPr wrap="none" lIns="0" tIns="0" rIns="0" bIns="0" upright="false">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AQQkMtswEAAFMDAAAOAAAAAAAAAAEAIAAAADQBAABkcnMvZTJvRG9j&#10;LnhtbFBLBQYAAAAABgAGAFkBAABZBQ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61</w:t>
                    </w:r>
                    <w:r>
                      <w:rPr>
                        <w:rFonts w:hint="eastAsia"/>
                      </w:rPr>
                      <w:fldChar w:fldCharType="end"/>
                    </w:r>
                  </w:p>
                </w:txbxContent>
              </v:textbox>
            </v:shape>
          </w:pict>
        </mc:Fallback>
      </mc:AlternateContent>
    </w:r>
    <w:r>
      <w:rPr>
        <w:rFonts w:hint="eastAsia"/>
      </w:rPr>
      <w:t>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 PAGE   \* MERGEFORMAT </w:instrText>
    </w:r>
    <w:r>
      <w:fldChar w:fldCharType="separate"/>
    </w:r>
    <w:r>
      <w:rPr>
        <w:rFonts w:eastAsia="Times New Roman"/>
        <w:sz w:val="18"/>
      </w:rPr>
      <w:t>1</w:t>
    </w:r>
    <w:r>
      <w:rPr>
        <w:rFonts w:eastAsia="Times New Roman"/>
        <w:sz w:val="18"/>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1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wps:txbx>
                    <wps:bodyPr wrap="none" lIns="0" tIns="0" rIns="0" bIns="0" upright="false">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ZvDparQBAABTAwAADgAAAAAAAAABACAAAAA0AQAAZHJzL2Uyb0Rv&#10;Yy54bWxQSwUGAAAAAAYABgBZAQAAWgUAAAAA&#10;">
              <v:fill on="f" focussize="0,0"/>
              <v:stroke on="f"/>
              <v:imagedata o:title=""/>
              <o:lock v:ext="edit" aspectratio="f"/>
              <v:textbox inset="0mm,0mm,0mm,0mm" style="mso-fit-shape-to-text:t;">
                <w:txbxContent>
                  <w:p>
                    <w:pPr>
                      <w:pStyle w:val="13"/>
                      <w:rPr>
                        <w:rFonts w:hint="eastAsia"/>
                      </w:rPr>
                    </w:pPr>
                    <w:r>
                      <w:rPr>
                        <w:rFonts w:hint="eastAsia"/>
                      </w:rPr>
                      <w:fldChar w:fldCharType="begin"/>
                    </w:r>
                    <w:r>
                      <w:rPr>
                        <w:rFonts w:hint="eastAsia"/>
                      </w:rPr>
                      <w:instrText xml:space="preserve"> PAGE  \* MERGEFORMAT </w:instrText>
                    </w:r>
                    <w:r>
                      <w:rPr>
                        <w:rFonts w:hint="eastAsia"/>
                      </w:rPr>
                      <w:fldChar w:fldCharType="separate"/>
                    </w:r>
                    <w:r>
                      <w:t>60</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left" w:pos="4875"/>
        <w:tab w:val="clear" w:pos="4153"/>
      </w:tabs>
      <w:rPr>
        <w:rFonts w:hint="eastAsia" w:cs="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cs="宋体"/>
                            </w:rPr>
                            <w:t>171</w:t>
                          </w:r>
                          <w:r>
                            <w:rPr>
                              <w:rFonts w:hint="eastAsia" w:cs="宋体"/>
                            </w:rPr>
                            <w:fldChar w:fldCharType="end"/>
                          </w:r>
                        </w:p>
                      </w:txbxContent>
                    </wps:txbx>
                    <wps:bodyPr wrap="none" lIns="0" tIns="0" rIns="0" bIns="0" upright="false">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DFCkGWswEAAFIDAAAOAAAAAAAAAAEAIAAAADQBAABkcnMvZTJvRG9j&#10;LnhtbFBLBQYAAAAABgAGAFkBAABZBQAAAAA=&#10;">
              <v:fill on="f" focussize="0,0"/>
              <v:stroke on="f"/>
              <v:imagedata o:title=""/>
              <o:lock v:ext="edit" aspectratio="f"/>
              <v:textbox inset="0mm,0mm,0mm,0mm" style="mso-fit-shape-to-text:t;">
                <w:txbxContent>
                  <w:p>
                    <w:pPr>
                      <w:pStyle w:val="13"/>
                    </w:pPr>
                    <w:r>
                      <w:rPr>
                        <w:rFonts w:hint="eastAsia" w:cs="宋体"/>
                      </w:rPr>
                      <w:fldChar w:fldCharType="begin"/>
                    </w:r>
                    <w:r>
                      <w:rPr>
                        <w:rFonts w:hint="eastAsia" w:cs="宋体"/>
                      </w:rPr>
                      <w:instrText xml:space="preserve"> PAGE   \* MERGEFORMAT </w:instrText>
                    </w:r>
                    <w:r>
                      <w:rPr>
                        <w:rFonts w:hint="eastAsia" w:cs="宋体"/>
                      </w:rPr>
                      <w:fldChar w:fldCharType="separate"/>
                    </w:r>
                    <w:r>
                      <w:rPr>
                        <w:rFonts w:cs="宋体"/>
                      </w:rPr>
                      <w:t>171</w:t>
                    </w:r>
                    <w:r>
                      <w:rPr>
                        <w:rFonts w:hint="eastAsia" w:cs="宋体"/>
                      </w:rPr>
                      <w:fldChar w:fldCharType="end"/>
                    </w:r>
                  </w:p>
                </w:txbxContent>
              </v:textbox>
            </v:shape>
          </w:pict>
        </mc:Fallback>
      </mc:AlternateContent>
    </w:r>
    <w:r>
      <w:rPr>
        <w:rFonts w:hint="eastAsia" w:cs="宋体"/>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rPr>
        <w:rFonts w:eastAsia="仿宋_GB2312"/>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9"/>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180</w:t>
                          </w:r>
                          <w:r>
                            <w:rPr>
                              <w:rFonts w:eastAsia="仿宋_GB2312"/>
                              <w:sz w:val="24"/>
                            </w:rPr>
                            <w:fldChar w:fldCharType="end"/>
                          </w:r>
                        </w:p>
                      </w:txbxContent>
                    </wps:txbx>
                    <wps:bodyPr wrap="none" lIns="0" tIns="0" rIns="0" bIns="0" upright="false">
                      <a:spAutoFit/>
                    </wps:bodyPr>
                  </wps:wsp>
                </a:graphicData>
              </a:graphic>
            </wp:anchor>
          </w:drawing>
        </mc:Choice>
        <mc:Fallback>
          <w:pict>
            <v:shape id="文本框 9"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WAAAAZHJzL1BL&#10;AQIUABQAAAAIAIdO4kDOqXm5zwAAAAUBAAAPAAAAAAAAAAEAIAAAADgAAABkcnMvZG93bnJldi54&#10;bWxQSwECFAAUAAAACACHTuJAn6aLCrQBAABSAwAADgAAAAAAAAABACAAAAA0AQAAZHJzL2Uyb0Rv&#10;Yy54bWxQSwUGAAAAAAYABgBZAQAAWgUAAAAA&#10;">
              <v:fill on="f" focussize="0,0"/>
              <v:stroke on="f"/>
              <v:imagedata o:title=""/>
              <o:lock v:ext="edit" aspectratio="f"/>
              <v:textbox inset="0mm,0mm,0mm,0mm" style="mso-fit-shape-to-text:t;">
                <w:txbxContent>
                  <w:p>
                    <w:pPr>
                      <w:pStyle w:val="13"/>
                      <w:jc w:val="center"/>
                    </w:pPr>
                    <w:r>
                      <w:rPr>
                        <w:rFonts w:eastAsia="仿宋_GB2312"/>
                        <w:sz w:val="24"/>
                      </w:rPr>
                      <w:fldChar w:fldCharType="begin"/>
                    </w:r>
                    <w:r>
                      <w:rPr>
                        <w:rFonts w:eastAsia="仿宋_GB2312"/>
                        <w:sz w:val="24"/>
                      </w:rPr>
                      <w:instrText xml:space="preserve"> PAGE  \* MERGEFORMAT </w:instrText>
                    </w:r>
                    <w:r>
                      <w:rPr>
                        <w:rFonts w:eastAsia="仿宋_GB2312"/>
                        <w:sz w:val="24"/>
                      </w:rPr>
                      <w:fldChar w:fldCharType="separate"/>
                    </w:r>
                    <w:r>
                      <w:t>180</w:t>
                    </w:r>
                    <w:r>
                      <w:rPr>
                        <w:rFonts w:eastAsia="仿宋_GB2312"/>
                        <w:sz w:val="24"/>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13"/>
                            <w:rPr>
                              <w:rStyle w:val="23"/>
                            </w:rPr>
                          </w:pPr>
                          <w:r>
                            <w:fldChar w:fldCharType="begin"/>
                          </w:r>
                          <w:r>
                            <w:rPr>
                              <w:rStyle w:val="23"/>
                            </w:rPr>
                            <w:instrText xml:space="preserve">PAGE  </w:instrText>
                          </w:r>
                          <w:r>
                            <w:fldChar w:fldCharType="separate"/>
                          </w:r>
                          <w:r>
                            <w:rPr>
                              <w:rStyle w:val="23"/>
                            </w:rPr>
                            <w:t>186</w:t>
                          </w:r>
                          <w:r>
                            <w:fldChar w:fldCharType="end"/>
                          </w:r>
                        </w:p>
                      </w:txbxContent>
                    </wps:txbx>
                    <wps:bodyPr wrap="none" lIns="0" tIns="0" rIns="0" bIns="0" upright="false">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BYAAABkcnMvUEsB&#10;AhQAFAAAAAgAh07iQM6pebnPAAAABQEAAA8AAAAAAAAAAQAgAAAAOAAAAGRycy9kb3ducmV2Lnht&#10;bFBLAQIUABQAAAAIAIdO4kCAnD5kswEAAFMDAAAOAAAAAAAAAAEAIAAAADQBAABkcnMvZTJvRG9j&#10;LnhtbFBLBQYAAAAABgAGAFkBAABZBQAAAAA=&#10;">
              <v:fill on="f" focussize="0,0"/>
              <v:stroke on="f"/>
              <v:imagedata o:title=""/>
              <o:lock v:ext="edit" aspectratio="f"/>
              <v:textbox inset="0mm,0mm,0mm,0mm" style="mso-fit-shape-to-text:t;">
                <w:txbxContent>
                  <w:p>
                    <w:pPr>
                      <w:pStyle w:val="13"/>
                      <w:rPr>
                        <w:rStyle w:val="23"/>
                      </w:rPr>
                    </w:pPr>
                    <w:r>
                      <w:fldChar w:fldCharType="begin"/>
                    </w:r>
                    <w:r>
                      <w:rPr>
                        <w:rStyle w:val="23"/>
                      </w:rPr>
                      <w:instrText xml:space="preserve">PAGE  </w:instrText>
                    </w:r>
                    <w:r>
                      <w:fldChar w:fldCharType="separate"/>
                    </w:r>
                    <w:r>
                      <w:rPr>
                        <w:rStyle w:val="23"/>
                      </w:rPr>
                      <w:t>186</w:t>
                    </w:r>
                    <w:r>
                      <w:fldChar w:fldCharType="end"/>
                    </w:r>
                  </w:p>
                </w:txbxContent>
              </v:textbox>
            </v:shape>
          </w:pict>
        </mc:Fallback>
      </mc:AlternateContent>
    </w:r>
  </w:p>
  <w:p/>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81579"/>
    <w:multiLevelType w:val="singleLevel"/>
    <w:tmpl w:val="8EC81579"/>
    <w:lvl w:ilvl="0" w:tentative="0">
      <w:start w:val="1"/>
      <w:numFmt w:val="decimal"/>
      <w:suff w:val="nothing"/>
      <w:lvlText w:val="（%1）"/>
      <w:lvlJc w:val="left"/>
    </w:lvl>
  </w:abstractNum>
  <w:abstractNum w:abstractNumId="1">
    <w:nsid w:val="B595F631"/>
    <w:multiLevelType w:val="singleLevel"/>
    <w:tmpl w:val="B595F631"/>
    <w:lvl w:ilvl="0" w:tentative="0">
      <w:start w:val="5"/>
      <w:numFmt w:val="decimal"/>
      <w:suff w:val="space"/>
      <w:lvlText w:val="%1."/>
      <w:lvlJc w:val="left"/>
    </w:lvl>
  </w:abstractNum>
  <w:abstractNum w:abstractNumId="2">
    <w:nsid w:val="E3D775E0"/>
    <w:multiLevelType w:val="singleLevel"/>
    <w:tmpl w:val="E3D775E0"/>
    <w:lvl w:ilvl="0" w:tentative="0">
      <w:start w:val="4"/>
      <w:numFmt w:val="chineseCounting"/>
      <w:suff w:val="space"/>
      <w:lvlText w:val="第%1章"/>
      <w:lvlJc w:val="left"/>
      <w:rPr>
        <w:rFonts w:hint="eastAsia"/>
      </w:rPr>
    </w:lvl>
  </w:abstractNum>
  <w:abstractNum w:abstractNumId="3">
    <w:nsid w:val="229734FF"/>
    <w:multiLevelType w:val="multilevel"/>
    <w:tmpl w:val="229734FF"/>
    <w:lvl w:ilvl="0" w:tentative="0">
      <w:start w:val="1"/>
      <w:numFmt w:val="decimal"/>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4">
    <w:nsid w:val="3AA800C6"/>
    <w:multiLevelType w:val="multilevel"/>
    <w:tmpl w:val="3AA800C6"/>
    <w:lvl w:ilvl="0" w:tentative="0">
      <w:start w:val="1"/>
      <w:numFmt w:val="decimal"/>
      <w:pStyle w:val="49"/>
      <w:lvlText w:val="第%1条"/>
      <w:lvlJc w:val="left"/>
      <w:pPr>
        <w:ind w:left="0" w:firstLine="0"/>
      </w:pPr>
    </w:lvl>
    <w:lvl w:ilvl="1" w:tentative="0">
      <w:start w:val="1"/>
      <w:numFmt w:val="decimal"/>
      <w:lvlText w:val="%1.%2"/>
      <w:lvlJc w:val="left"/>
      <w:pPr>
        <w:ind w:left="0" w:firstLine="0"/>
      </w:pPr>
    </w:lvl>
    <w:lvl w:ilvl="2" w:tentative="0">
      <w:start w:val="1"/>
      <w:numFmt w:val="decimal"/>
      <w:lvlText w:val="%1.%2.%3"/>
      <w:lvlJc w:val="left"/>
      <w:pPr>
        <w:ind w:left="0" w:firstLine="0"/>
      </w:pPr>
      <w:rPr>
        <w:rFonts w:hint="eastAsia" w:ascii="仿宋_GB2312" w:eastAsia="仿宋_GB2312"/>
      </w:rPr>
    </w:lvl>
    <w:lvl w:ilvl="3" w:tentative="0">
      <w:start w:val="1"/>
      <w:numFmt w:val="decimal"/>
      <w:lvlText w:val="%1.%2.%3.%4"/>
      <w:lvlJc w:val="left"/>
      <w:pPr>
        <w:ind w:left="0" w:firstLine="0"/>
      </w:pPr>
    </w:lvl>
    <w:lvl w:ilvl="4" w:tentative="0">
      <w:start w:val="1"/>
      <w:numFmt w:val="decimal"/>
      <w:lvlText w:val="%1.%2.%3.%4.%5"/>
      <w:lvlJc w:val="left"/>
      <w:pPr>
        <w:ind w:left="0" w:firstLine="0"/>
      </w:pPr>
    </w:lvl>
    <w:lvl w:ilvl="5" w:tentative="0">
      <w:start w:val="1"/>
      <w:numFmt w:val="decimal"/>
      <w:lvlText w:val="%1.%2.%3.%4.%5.%6"/>
      <w:lvlJc w:val="left"/>
      <w:pPr>
        <w:ind w:left="0" w:firstLine="0"/>
      </w:pPr>
    </w:lvl>
    <w:lvl w:ilvl="6" w:tentative="0">
      <w:start w:val="1"/>
      <w:numFmt w:val="decimal"/>
      <w:lvlText w:val="%1.%2.%3.%4.%5.%6.%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5">
    <w:nsid w:val="62687BB6"/>
    <w:multiLevelType w:val="multilevel"/>
    <w:tmpl w:val="62687BB6"/>
    <w:lvl w:ilvl="0" w:tentative="0">
      <w:start w:val="1"/>
      <w:numFmt w:val="decimal"/>
      <w:pStyle w:val="55"/>
      <w:lvlText w:val="附件%1"/>
      <w:lvlJc w:val="left"/>
      <w:pPr>
        <w:ind w:left="3681" w:hanging="420"/>
      </w:pPr>
      <w:rPr>
        <w:sz w:val="30"/>
        <w:szCs w:val="30"/>
      </w:rPr>
    </w:lvl>
    <w:lvl w:ilvl="1" w:tentative="0">
      <w:start w:val="1"/>
      <w:numFmt w:val="lowerLetter"/>
      <w:lvlText w:val="%2)"/>
      <w:lvlJc w:val="left"/>
      <w:pPr>
        <w:ind w:left="983" w:hanging="420"/>
      </w:pPr>
    </w:lvl>
    <w:lvl w:ilvl="2" w:tentative="0">
      <w:start w:val="1"/>
      <w:numFmt w:val="lowerRoman"/>
      <w:lvlText w:val="%3."/>
      <w:lvlJc w:val="right"/>
      <w:pPr>
        <w:ind w:left="1403" w:hanging="420"/>
      </w:pPr>
    </w:lvl>
    <w:lvl w:ilvl="3" w:tentative="0">
      <w:start w:val="1"/>
      <w:numFmt w:val="decimal"/>
      <w:lvlText w:val="%4."/>
      <w:lvlJc w:val="left"/>
      <w:pPr>
        <w:ind w:left="1823" w:hanging="420"/>
      </w:pPr>
    </w:lvl>
    <w:lvl w:ilvl="4" w:tentative="0">
      <w:start w:val="1"/>
      <w:numFmt w:val="lowerLetter"/>
      <w:lvlText w:val="%5)"/>
      <w:lvlJc w:val="left"/>
      <w:pPr>
        <w:ind w:left="2243" w:hanging="420"/>
      </w:pPr>
    </w:lvl>
    <w:lvl w:ilvl="5" w:tentative="0">
      <w:start w:val="1"/>
      <w:numFmt w:val="lowerRoman"/>
      <w:lvlText w:val="%6."/>
      <w:lvlJc w:val="right"/>
      <w:pPr>
        <w:ind w:left="2663" w:hanging="420"/>
      </w:pPr>
    </w:lvl>
    <w:lvl w:ilvl="6" w:tentative="0">
      <w:start w:val="1"/>
      <w:numFmt w:val="decimal"/>
      <w:lvlText w:val="%7."/>
      <w:lvlJc w:val="left"/>
      <w:pPr>
        <w:ind w:left="3083" w:hanging="420"/>
      </w:pPr>
    </w:lvl>
    <w:lvl w:ilvl="7" w:tentative="0">
      <w:start w:val="1"/>
      <w:numFmt w:val="lowerLetter"/>
      <w:lvlText w:val="%8)"/>
      <w:lvlJc w:val="left"/>
      <w:pPr>
        <w:ind w:left="3503" w:hanging="420"/>
      </w:pPr>
    </w:lvl>
    <w:lvl w:ilvl="8" w:tentative="0">
      <w:start w:val="1"/>
      <w:numFmt w:val="lowerRoman"/>
      <w:lvlText w:val="%9."/>
      <w:lvlJc w:val="right"/>
      <w:pPr>
        <w:ind w:left="3923" w:hanging="420"/>
      </w:pPr>
    </w:lvl>
  </w:abstractNum>
  <w:abstractNum w:abstractNumId="6">
    <w:nsid w:val="6E87019F"/>
    <w:multiLevelType w:val="multilevel"/>
    <w:tmpl w:val="6E87019F"/>
    <w:lvl w:ilvl="0" w:tentative="0">
      <w:start w:val="1"/>
      <w:numFmt w:val="chineseCountingThousand"/>
      <w:pStyle w:val="44"/>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num w:numId="1">
    <w:abstractNumId w:val="3"/>
    <w:lvlOverride w:ilvl="0">
      <w:lvl w:ilvl="0" w:tentative="1">
        <w:start w:val="1"/>
        <w:numFmt w:val="decimal"/>
        <w:lvlText w:val="第%1条"/>
        <w:lvlJc w:val="left"/>
        <w:pPr>
          <w:ind w:left="0" w:firstLine="0"/>
        </w:pPr>
      </w:lvl>
    </w:lvlOverride>
    <w:lvlOverride w:ilvl="1">
      <w:lvl w:ilvl="1" w:tentative="1">
        <w:start w:val="1"/>
        <w:numFmt w:val="decimal"/>
        <w:pStyle w:val="54"/>
        <w:lvlText w:val="%1.%2"/>
        <w:lvlJc w:val="left"/>
        <w:pPr>
          <w:ind w:left="1843" w:firstLine="0"/>
        </w:pPr>
      </w:lvl>
    </w:lvlOverride>
    <w:lvlOverride w:ilvl="2">
      <w:lvl w:ilvl="2" w:tentative="1">
        <w:start w:val="1"/>
        <w:numFmt w:val="decimal"/>
        <w:pStyle w:val="37"/>
        <w:lvlText w:val="%1.%2.%3"/>
        <w:lvlJc w:val="left"/>
        <w:pPr>
          <w:ind w:left="2126" w:firstLine="0"/>
        </w:pPr>
      </w:lvl>
    </w:lvlOverride>
    <w:lvlOverride w:ilvl="3">
      <w:lvl w:ilvl="3" w:tentative="1">
        <w:start w:val="1"/>
        <w:numFmt w:val="decimal"/>
        <w:pStyle w:val="45"/>
        <w:lvlText w:val="%1.%2.%3.%4"/>
        <w:lvlJc w:val="left"/>
        <w:pPr>
          <w:ind w:left="710" w:firstLine="0"/>
        </w:pPr>
      </w:lvl>
    </w:lvlOverride>
    <w:lvlOverride w:ilvl="4">
      <w:lvl w:ilvl="4" w:tentative="1">
        <w:start w:val="1"/>
        <w:numFmt w:val="decimal"/>
        <w:lvlText w:val="%1.%2.%3.%4.%5"/>
        <w:lvlJc w:val="left"/>
        <w:pPr>
          <w:ind w:left="0" w:firstLine="0"/>
        </w:pPr>
      </w:lvl>
    </w:lvlOverride>
    <w:lvlOverride w:ilvl="5">
      <w:lvl w:ilvl="5" w:tentative="1">
        <w:start w:val="1"/>
        <w:numFmt w:val="decimal"/>
        <w:lvlText w:val="%1.%2.%3.%4.%5.%6"/>
        <w:lvlJc w:val="left"/>
        <w:pPr>
          <w:ind w:left="0" w:firstLine="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2">
    <w:abstractNumId w:val="6"/>
  </w:num>
  <w:num w:numId="3">
    <w:abstractNumId w:val="4"/>
  </w:num>
  <w:num w:numId="4">
    <w:abstractNumId w:val="3"/>
    <w:lvlOverride w:ilvl="0">
      <w:lvl w:ilvl="0" w:tentative="1">
        <w:start w:val="1"/>
        <w:numFmt w:val="decimal"/>
        <w:lvlText w:val="第%1条"/>
        <w:lvlJc w:val="left"/>
        <w:pPr>
          <w:ind w:left="0" w:firstLine="0"/>
        </w:pPr>
      </w:lvl>
    </w:lvlOverride>
    <w:lvlOverride w:ilvl="1">
      <w:lvl w:ilvl="1" w:tentative="1">
        <w:start w:val="1"/>
        <w:numFmt w:val="decimal"/>
        <w:lvlText w:val="%1.%2"/>
        <w:lvlJc w:val="left"/>
        <w:pPr>
          <w:ind w:left="0" w:firstLine="0"/>
        </w:pPr>
      </w:lvl>
    </w:lvlOverride>
    <w:lvlOverride w:ilvl="2">
      <w:lvl w:ilvl="2" w:tentative="1">
        <w:start w:val="1"/>
        <w:numFmt w:val="decimal"/>
        <w:lvlText w:val="%1.%2.%3"/>
        <w:lvlJc w:val="left"/>
        <w:pPr>
          <w:ind w:left="0" w:firstLine="0"/>
        </w:pPr>
      </w:lvl>
    </w:lvlOverride>
    <w:lvlOverride w:ilvl="3">
      <w:lvl w:ilvl="3" w:tentative="1">
        <w:start w:val="1"/>
        <w:numFmt w:val="decimal"/>
        <w:lvlText w:val="%1.%2.%3.%4"/>
        <w:lvlJc w:val="left"/>
        <w:pPr>
          <w:ind w:left="0" w:firstLine="0"/>
        </w:pPr>
      </w:lvl>
    </w:lvlOverride>
    <w:lvlOverride w:ilvl="4">
      <w:lvl w:ilvl="4" w:tentative="1">
        <w:start w:val="1"/>
        <w:numFmt w:val="decimal"/>
        <w:pStyle w:val="50"/>
        <w:lvlText w:val="(%5)"/>
        <w:lvlJc w:val="left"/>
        <w:pPr>
          <w:ind w:left="310" w:firstLine="400"/>
        </w:pPr>
      </w:lvl>
    </w:lvlOverride>
    <w:lvlOverride w:ilvl="5">
      <w:lvl w:ilvl="5" w:tentative="1">
        <w:start w:val="1"/>
        <w:numFmt w:val="decimal"/>
        <w:lvlText w:val="%6)"/>
        <w:lvlJc w:val="left"/>
        <w:pPr>
          <w:ind w:left="0" w:firstLine="480"/>
        </w:pPr>
      </w:lvl>
    </w:lvlOverride>
    <w:lvlOverride w:ilvl="6">
      <w:lvl w:ilvl="6" w:tentative="1">
        <w:start w:val="1"/>
        <w:numFmt w:val="decimal"/>
        <w:lvlText w:val="%1.%2.%3.%4.%5.%6.%7"/>
        <w:lvlJc w:val="left"/>
        <w:pPr>
          <w:ind w:left="0" w:firstLine="0"/>
        </w:pPr>
      </w:lvl>
    </w:lvlOverride>
    <w:lvlOverride w:ilvl="7">
      <w:lvl w:ilvl="7" w:tentative="1">
        <w:start w:val="1"/>
        <w:numFmt w:val="decimal"/>
        <w:lvlText w:val="%1.%2.%3.%4.%5.%6.%7.%8"/>
        <w:lvlJc w:val="left"/>
        <w:pPr>
          <w:ind w:left="0" w:firstLine="0"/>
        </w:pPr>
      </w:lvl>
    </w:lvlOverride>
    <w:lvlOverride w:ilvl="8">
      <w:lvl w:ilvl="8" w:tentative="1">
        <w:start w:val="1"/>
        <w:numFmt w:val="decimal"/>
        <w:lvlText w:val="%1.%2.%3.%4.%5.%6.%7.%8.%9"/>
        <w:lvlJc w:val="left"/>
        <w:pPr>
          <w:ind w:left="0" w:firstLine="0"/>
        </w:pPr>
      </w:lvl>
    </w:lvlOverride>
  </w:num>
  <w:num w:numId="5">
    <w:abstractNumId w:val="5"/>
  </w:num>
  <w:num w:numId="6">
    <w:abstractNumId w:val="1"/>
  </w:num>
  <w:num w:numId="7">
    <w:abstractNumId w:val="2"/>
  </w:num>
  <w:num w:numId="8">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user">
    <w15:presenceInfo w15:providerId="None" w15:userId="user"/>
  </w15:person>
  <w15:person w15:author="Rachel">
    <w15:presenceInfo w15:providerId="WPS Office" w15:userId="1378806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hkY2Q4NmNkNTJiMzc5NGEwNmY0ZDQzYWM4OGZkNDcifQ=="/>
  </w:docVars>
  <w:rsids>
    <w:rsidRoot w:val="001B047B"/>
    <w:rsid w:val="001B047B"/>
    <w:rsid w:val="00303C0E"/>
    <w:rsid w:val="00752F73"/>
    <w:rsid w:val="007D67CF"/>
    <w:rsid w:val="00B52B01"/>
    <w:rsid w:val="00C90445"/>
    <w:rsid w:val="00DE4066"/>
    <w:rsid w:val="00F86BA1"/>
    <w:rsid w:val="03A129F7"/>
    <w:rsid w:val="03DA29F4"/>
    <w:rsid w:val="03F7617E"/>
    <w:rsid w:val="051A12D9"/>
    <w:rsid w:val="051E266F"/>
    <w:rsid w:val="0548177D"/>
    <w:rsid w:val="056033C6"/>
    <w:rsid w:val="056C3429"/>
    <w:rsid w:val="056C4768"/>
    <w:rsid w:val="057E3C56"/>
    <w:rsid w:val="05CD01C8"/>
    <w:rsid w:val="060F5254"/>
    <w:rsid w:val="064C56F1"/>
    <w:rsid w:val="06673D8E"/>
    <w:rsid w:val="079B592F"/>
    <w:rsid w:val="07A93FEC"/>
    <w:rsid w:val="07AC2477"/>
    <w:rsid w:val="07F038D4"/>
    <w:rsid w:val="07FF4D19"/>
    <w:rsid w:val="09665A88"/>
    <w:rsid w:val="099510C2"/>
    <w:rsid w:val="099B747A"/>
    <w:rsid w:val="09AC1E37"/>
    <w:rsid w:val="0A331C40"/>
    <w:rsid w:val="0A806622"/>
    <w:rsid w:val="0B4B2DCA"/>
    <w:rsid w:val="0B6E272C"/>
    <w:rsid w:val="0C1A6F4C"/>
    <w:rsid w:val="0D177421"/>
    <w:rsid w:val="0DEF2DD3"/>
    <w:rsid w:val="0E7F7E1E"/>
    <w:rsid w:val="0EC17856"/>
    <w:rsid w:val="0F36499C"/>
    <w:rsid w:val="0FFE2199"/>
    <w:rsid w:val="100A45F3"/>
    <w:rsid w:val="101D1624"/>
    <w:rsid w:val="111D284B"/>
    <w:rsid w:val="11E10A33"/>
    <w:rsid w:val="11EF16CB"/>
    <w:rsid w:val="13E24D06"/>
    <w:rsid w:val="148F0A6E"/>
    <w:rsid w:val="160341BB"/>
    <w:rsid w:val="16452E96"/>
    <w:rsid w:val="16AA412F"/>
    <w:rsid w:val="18252764"/>
    <w:rsid w:val="18410DB7"/>
    <w:rsid w:val="187F1162"/>
    <w:rsid w:val="19A1393A"/>
    <w:rsid w:val="1A5D69FC"/>
    <w:rsid w:val="1C177011"/>
    <w:rsid w:val="1C4E3DC7"/>
    <w:rsid w:val="1CFB6CCE"/>
    <w:rsid w:val="1D4119C8"/>
    <w:rsid w:val="1E830638"/>
    <w:rsid w:val="1F387CAD"/>
    <w:rsid w:val="1F7E3925"/>
    <w:rsid w:val="1F8829FE"/>
    <w:rsid w:val="1FF43E8A"/>
    <w:rsid w:val="1FF9539D"/>
    <w:rsid w:val="21FF3760"/>
    <w:rsid w:val="22485AE0"/>
    <w:rsid w:val="2332769C"/>
    <w:rsid w:val="236F24CB"/>
    <w:rsid w:val="24723E71"/>
    <w:rsid w:val="25BF45EB"/>
    <w:rsid w:val="26166D56"/>
    <w:rsid w:val="261840DC"/>
    <w:rsid w:val="26672779"/>
    <w:rsid w:val="26F9037A"/>
    <w:rsid w:val="272730F1"/>
    <w:rsid w:val="272E3950"/>
    <w:rsid w:val="27B03B80"/>
    <w:rsid w:val="27B6D82B"/>
    <w:rsid w:val="288803FC"/>
    <w:rsid w:val="288B5901"/>
    <w:rsid w:val="2914634A"/>
    <w:rsid w:val="2A657E29"/>
    <w:rsid w:val="2A824A27"/>
    <w:rsid w:val="2A927C30"/>
    <w:rsid w:val="2AE15CE9"/>
    <w:rsid w:val="2AF54AD1"/>
    <w:rsid w:val="2B9B23AF"/>
    <w:rsid w:val="2BE2E0F3"/>
    <w:rsid w:val="2C725C05"/>
    <w:rsid w:val="2CA10E9F"/>
    <w:rsid w:val="2D472CA6"/>
    <w:rsid w:val="2D872B3B"/>
    <w:rsid w:val="2DEFC4AC"/>
    <w:rsid w:val="2E0C6029"/>
    <w:rsid w:val="2EEB7257"/>
    <w:rsid w:val="2EFB4BDA"/>
    <w:rsid w:val="2F879213"/>
    <w:rsid w:val="30267339"/>
    <w:rsid w:val="307E37EC"/>
    <w:rsid w:val="30E42256"/>
    <w:rsid w:val="31DF7C84"/>
    <w:rsid w:val="31EB560B"/>
    <w:rsid w:val="3224687F"/>
    <w:rsid w:val="32AF5A31"/>
    <w:rsid w:val="335A0E02"/>
    <w:rsid w:val="336D774F"/>
    <w:rsid w:val="34DC0DBB"/>
    <w:rsid w:val="34DD3ABB"/>
    <w:rsid w:val="357F475A"/>
    <w:rsid w:val="369F1D72"/>
    <w:rsid w:val="3703068B"/>
    <w:rsid w:val="37180E04"/>
    <w:rsid w:val="377EACE2"/>
    <w:rsid w:val="377FA592"/>
    <w:rsid w:val="378B48FA"/>
    <w:rsid w:val="37CA5986"/>
    <w:rsid w:val="37FEDF1A"/>
    <w:rsid w:val="38C22352"/>
    <w:rsid w:val="38EA4632"/>
    <w:rsid w:val="39971987"/>
    <w:rsid w:val="39C104AB"/>
    <w:rsid w:val="3A297FA2"/>
    <w:rsid w:val="3A412E4E"/>
    <w:rsid w:val="3A686985"/>
    <w:rsid w:val="3A6B5AED"/>
    <w:rsid w:val="3AFA7E23"/>
    <w:rsid w:val="3BEEE959"/>
    <w:rsid w:val="3BF50F8C"/>
    <w:rsid w:val="3D4225DB"/>
    <w:rsid w:val="3D4C296C"/>
    <w:rsid w:val="3D6A62BF"/>
    <w:rsid w:val="3DC85CCE"/>
    <w:rsid w:val="3DDF092C"/>
    <w:rsid w:val="3DEF2A53"/>
    <w:rsid w:val="3DFFCB67"/>
    <w:rsid w:val="3E172401"/>
    <w:rsid w:val="3ED450BE"/>
    <w:rsid w:val="3EE65E99"/>
    <w:rsid w:val="3EFE6C42"/>
    <w:rsid w:val="3F2AB25E"/>
    <w:rsid w:val="3F331F5D"/>
    <w:rsid w:val="3F6E0E65"/>
    <w:rsid w:val="3F872C9F"/>
    <w:rsid w:val="3F943CCC"/>
    <w:rsid w:val="3FCC680A"/>
    <w:rsid w:val="3FD97AF9"/>
    <w:rsid w:val="3FFD153C"/>
    <w:rsid w:val="3FFDB9A3"/>
    <w:rsid w:val="3FFF24CD"/>
    <w:rsid w:val="419470E6"/>
    <w:rsid w:val="41A7248A"/>
    <w:rsid w:val="41BB10C7"/>
    <w:rsid w:val="41C81001"/>
    <w:rsid w:val="41F12C96"/>
    <w:rsid w:val="421E2360"/>
    <w:rsid w:val="422B29F3"/>
    <w:rsid w:val="4289454A"/>
    <w:rsid w:val="42BF7E2C"/>
    <w:rsid w:val="42DA1507"/>
    <w:rsid w:val="42FE30E3"/>
    <w:rsid w:val="43776C8D"/>
    <w:rsid w:val="43AF3B34"/>
    <w:rsid w:val="43F2254E"/>
    <w:rsid w:val="43FF086E"/>
    <w:rsid w:val="447A4003"/>
    <w:rsid w:val="450F2173"/>
    <w:rsid w:val="45900CAA"/>
    <w:rsid w:val="45957DEF"/>
    <w:rsid w:val="45CA6392"/>
    <w:rsid w:val="46564081"/>
    <w:rsid w:val="4677264E"/>
    <w:rsid w:val="46B6CF78"/>
    <w:rsid w:val="47694C08"/>
    <w:rsid w:val="47973F1D"/>
    <w:rsid w:val="47981429"/>
    <w:rsid w:val="479C4D90"/>
    <w:rsid w:val="479F1366"/>
    <w:rsid w:val="47D57A8E"/>
    <w:rsid w:val="4A2F7AED"/>
    <w:rsid w:val="4B1776EB"/>
    <w:rsid w:val="4C587E30"/>
    <w:rsid w:val="4CAB4C85"/>
    <w:rsid w:val="4CEB3D6D"/>
    <w:rsid w:val="4D2E47B7"/>
    <w:rsid w:val="4D3D3473"/>
    <w:rsid w:val="4D6115A8"/>
    <w:rsid w:val="4F483AE2"/>
    <w:rsid w:val="4F7466AA"/>
    <w:rsid w:val="4FEEA756"/>
    <w:rsid w:val="50E772C9"/>
    <w:rsid w:val="517A1818"/>
    <w:rsid w:val="51F53C68"/>
    <w:rsid w:val="522A45EE"/>
    <w:rsid w:val="529A6D16"/>
    <w:rsid w:val="53004FF1"/>
    <w:rsid w:val="53974F04"/>
    <w:rsid w:val="53A33CE4"/>
    <w:rsid w:val="53A93BF4"/>
    <w:rsid w:val="53DC3D1F"/>
    <w:rsid w:val="53F71826"/>
    <w:rsid w:val="547C55A5"/>
    <w:rsid w:val="54E77E5A"/>
    <w:rsid w:val="552B2A5B"/>
    <w:rsid w:val="55706123"/>
    <w:rsid w:val="5640052B"/>
    <w:rsid w:val="569B3C15"/>
    <w:rsid w:val="57FF5417"/>
    <w:rsid w:val="58445001"/>
    <w:rsid w:val="59E71F02"/>
    <w:rsid w:val="59EA168A"/>
    <w:rsid w:val="59FE0173"/>
    <w:rsid w:val="5B161FE2"/>
    <w:rsid w:val="5B7D514A"/>
    <w:rsid w:val="5BBE1588"/>
    <w:rsid w:val="5BE648CD"/>
    <w:rsid w:val="5C5B0156"/>
    <w:rsid w:val="5DDF8748"/>
    <w:rsid w:val="5DF7DA27"/>
    <w:rsid w:val="5E4C19C5"/>
    <w:rsid w:val="5EB6024C"/>
    <w:rsid w:val="5EB92A78"/>
    <w:rsid w:val="5F7BA834"/>
    <w:rsid w:val="5FB9F6CF"/>
    <w:rsid w:val="5FBBC38D"/>
    <w:rsid w:val="5FBFDFD3"/>
    <w:rsid w:val="5FEC6863"/>
    <w:rsid w:val="5FF570BA"/>
    <w:rsid w:val="60065CE1"/>
    <w:rsid w:val="6010147E"/>
    <w:rsid w:val="607A368C"/>
    <w:rsid w:val="60D12A29"/>
    <w:rsid w:val="612260DC"/>
    <w:rsid w:val="620B40C2"/>
    <w:rsid w:val="628E51DF"/>
    <w:rsid w:val="62F87114"/>
    <w:rsid w:val="637B445F"/>
    <w:rsid w:val="643B4137"/>
    <w:rsid w:val="643F221E"/>
    <w:rsid w:val="644429E8"/>
    <w:rsid w:val="64E7FE33"/>
    <w:rsid w:val="65B91F0F"/>
    <w:rsid w:val="65C56898"/>
    <w:rsid w:val="65DCC912"/>
    <w:rsid w:val="65FD2159"/>
    <w:rsid w:val="661529A7"/>
    <w:rsid w:val="664B63D7"/>
    <w:rsid w:val="667FC0F0"/>
    <w:rsid w:val="669A5B03"/>
    <w:rsid w:val="66B026AA"/>
    <w:rsid w:val="66ED800F"/>
    <w:rsid w:val="6777FAA1"/>
    <w:rsid w:val="677B5547"/>
    <w:rsid w:val="67E048A3"/>
    <w:rsid w:val="68057D34"/>
    <w:rsid w:val="683B037C"/>
    <w:rsid w:val="689060BA"/>
    <w:rsid w:val="68FD0B9D"/>
    <w:rsid w:val="69063DB2"/>
    <w:rsid w:val="69DF0B05"/>
    <w:rsid w:val="6A761962"/>
    <w:rsid w:val="6B163ECE"/>
    <w:rsid w:val="6B6D99B2"/>
    <w:rsid w:val="6BEB1F0C"/>
    <w:rsid w:val="6C09740E"/>
    <w:rsid w:val="6CED3AAD"/>
    <w:rsid w:val="6CF1586D"/>
    <w:rsid w:val="6D056132"/>
    <w:rsid w:val="6D2356D5"/>
    <w:rsid w:val="6DEA68BE"/>
    <w:rsid w:val="6DFF7B46"/>
    <w:rsid w:val="6FBF23C8"/>
    <w:rsid w:val="6FCFA865"/>
    <w:rsid w:val="6FD3FA37"/>
    <w:rsid w:val="6FEDEC7D"/>
    <w:rsid w:val="6FF1962F"/>
    <w:rsid w:val="6FFB30A3"/>
    <w:rsid w:val="6FFDC642"/>
    <w:rsid w:val="70E97B7F"/>
    <w:rsid w:val="71B668A4"/>
    <w:rsid w:val="722827FD"/>
    <w:rsid w:val="729943A4"/>
    <w:rsid w:val="738D0859"/>
    <w:rsid w:val="73FD639F"/>
    <w:rsid w:val="74542147"/>
    <w:rsid w:val="74FC2787"/>
    <w:rsid w:val="751016D8"/>
    <w:rsid w:val="753B345A"/>
    <w:rsid w:val="756D05A3"/>
    <w:rsid w:val="759BBD22"/>
    <w:rsid w:val="75BDF9F9"/>
    <w:rsid w:val="774BB456"/>
    <w:rsid w:val="77985FA5"/>
    <w:rsid w:val="77A61E08"/>
    <w:rsid w:val="78303227"/>
    <w:rsid w:val="79A120BA"/>
    <w:rsid w:val="79D10DF5"/>
    <w:rsid w:val="79DD3876"/>
    <w:rsid w:val="79F73DFB"/>
    <w:rsid w:val="7A75BC79"/>
    <w:rsid w:val="7AF53A70"/>
    <w:rsid w:val="7AFB898F"/>
    <w:rsid w:val="7AFF6DBF"/>
    <w:rsid w:val="7B2F47CC"/>
    <w:rsid w:val="7B7F96E3"/>
    <w:rsid w:val="7BA821BD"/>
    <w:rsid w:val="7BC38ACC"/>
    <w:rsid w:val="7BCF0AB7"/>
    <w:rsid w:val="7BFB3173"/>
    <w:rsid w:val="7C503C1A"/>
    <w:rsid w:val="7C8D153F"/>
    <w:rsid w:val="7CE05756"/>
    <w:rsid w:val="7CF50F24"/>
    <w:rsid w:val="7D6F568D"/>
    <w:rsid w:val="7D7B8CC9"/>
    <w:rsid w:val="7D9DB40A"/>
    <w:rsid w:val="7DAF58F4"/>
    <w:rsid w:val="7DF701D2"/>
    <w:rsid w:val="7DFB71EE"/>
    <w:rsid w:val="7DFBA58A"/>
    <w:rsid w:val="7DFF3FF7"/>
    <w:rsid w:val="7E3205E4"/>
    <w:rsid w:val="7EBF4D8C"/>
    <w:rsid w:val="7EBF7D8F"/>
    <w:rsid w:val="7EF14F91"/>
    <w:rsid w:val="7EFF1D87"/>
    <w:rsid w:val="7F7B6151"/>
    <w:rsid w:val="7F7F04C1"/>
    <w:rsid w:val="7F9D2881"/>
    <w:rsid w:val="7FAFDA51"/>
    <w:rsid w:val="7FBF0926"/>
    <w:rsid w:val="7FD31243"/>
    <w:rsid w:val="7FDC5D6F"/>
    <w:rsid w:val="7FDF2850"/>
    <w:rsid w:val="7FEF59FF"/>
    <w:rsid w:val="7FF8C9B3"/>
    <w:rsid w:val="7FFA9E32"/>
    <w:rsid w:val="7FFED8DA"/>
    <w:rsid w:val="7FFF94FF"/>
    <w:rsid w:val="8DFCAD2C"/>
    <w:rsid w:val="8F77BFD2"/>
    <w:rsid w:val="929E65C1"/>
    <w:rsid w:val="956F6EEE"/>
    <w:rsid w:val="9AFDF6D2"/>
    <w:rsid w:val="9DF5854A"/>
    <w:rsid w:val="9DF7FC49"/>
    <w:rsid w:val="9FB55428"/>
    <w:rsid w:val="A6BB755F"/>
    <w:rsid w:val="A7FDC37B"/>
    <w:rsid w:val="AAEFD573"/>
    <w:rsid w:val="B3FF2471"/>
    <w:rsid w:val="B6FF4542"/>
    <w:rsid w:val="B7CD6E7F"/>
    <w:rsid w:val="B8EBE042"/>
    <w:rsid w:val="B97CF117"/>
    <w:rsid w:val="BBFF810C"/>
    <w:rsid w:val="BF6BA192"/>
    <w:rsid w:val="BFA355E2"/>
    <w:rsid w:val="BFEC72ED"/>
    <w:rsid w:val="C3BF02B9"/>
    <w:rsid w:val="C72F99A0"/>
    <w:rsid w:val="C9D0F4CD"/>
    <w:rsid w:val="CB5E62CB"/>
    <w:rsid w:val="CBFB375F"/>
    <w:rsid w:val="CF7ECDFA"/>
    <w:rsid w:val="CFF6CDB5"/>
    <w:rsid w:val="D3FE3785"/>
    <w:rsid w:val="D5FFA28A"/>
    <w:rsid w:val="D6ECC221"/>
    <w:rsid w:val="DBBDBFA9"/>
    <w:rsid w:val="DBBDD5E9"/>
    <w:rsid w:val="DBBF212D"/>
    <w:rsid w:val="DBDFE45B"/>
    <w:rsid w:val="DBF3A53E"/>
    <w:rsid w:val="DDA76DDB"/>
    <w:rsid w:val="DE37DE9E"/>
    <w:rsid w:val="DEF788CB"/>
    <w:rsid w:val="DEFF53F3"/>
    <w:rsid w:val="DF7FE4DD"/>
    <w:rsid w:val="DF8E273D"/>
    <w:rsid w:val="DFA9B656"/>
    <w:rsid w:val="DFB566D1"/>
    <w:rsid w:val="DFB56DB4"/>
    <w:rsid w:val="DFDEF747"/>
    <w:rsid w:val="DFEB3532"/>
    <w:rsid w:val="DFEF3491"/>
    <w:rsid w:val="DFFD0A9B"/>
    <w:rsid w:val="DFFF13C1"/>
    <w:rsid w:val="E376C12D"/>
    <w:rsid w:val="E73A06D3"/>
    <w:rsid w:val="E7BFBB35"/>
    <w:rsid w:val="E7E36C3D"/>
    <w:rsid w:val="E7EDCE2C"/>
    <w:rsid w:val="E97EBF3F"/>
    <w:rsid w:val="E97FA74E"/>
    <w:rsid w:val="EAA82C55"/>
    <w:rsid w:val="EDD8B68B"/>
    <w:rsid w:val="EDEEA12E"/>
    <w:rsid w:val="EDFF23A5"/>
    <w:rsid w:val="EF5F1C93"/>
    <w:rsid w:val="EF7E45C4"/>
    <w:rsid w:val="EF9C3DF1"/>
    <w:rsid w:val="EFAF4DC7"/>
    <w:rsid w:val="EFE26EF4"/>
    <w:rsid w:val="F2FC7CC3"/>
    <w:rsid w:val="F6DE038D"/>
    <w:rsid w:val="F6FC07BF"/>
    <w:rsid w:val="F765AB87"/>
    <w:rsid w:val="F77FD724"/>
    <w:rsid w:val="F7B9CB37"/>
    <w:rsid w:val="F7BF426F"/>
    <w:rsid w:val="F7DE5481"/>
    <w:rsid w:val="F7DFD029"/>
    <w:rsid w:val="F7E57BBD"/>
    <w:rsid w:val="F7ED5E29"/>
    <w:rsid w:val="F7F4A574"/>
    <w:rsid w:val="F7FF9A26"/>
    <w:rsid w:val="F86E92B1"/>
    <w:rsid w:val="F96952BE"/>
    <w:rsid w:val="F9BDBE91"/>
    <w:rsid w:val="FA762D8E"/>
    <w:rsid w:val="FAD1351E"/>
    <w:rsid w:val="FB87C9D4"/>
    <w:rsid w:val="FBDFCB12"/>
    <w:rsid w:val="FBF65B1D"/>
    <w:rsid w:val="FBF77750"/>
    <w:rsid w:val="FBFFB389"/>
    <w:rsid w:val="FCDF8D85"/>
    <w:rsid w:val="FD7670B5"/>
    <w:rsid w:val="FD774821"/>
    <w:rsid w:val="FDBB8766"/>
    <w:rsid w:val="FDCF35B5"/>
    <w:rsid w:val="FDF7F6D9"/>
    <w:rsid w:val="FE5F0EF7"/>
    <w:rsid w:val="FEF355CB"/>
    <w:rsid w:val="FEFF2419"/>
    <w:rsid w:val="FF3170E2"/>
    <w:rsid w:val="FF3D59AC"/>
    <w:rsid w:val="FF5F6017"/>
    <w:rsid w:val="FF6AF5A6"/>
    <w:rsid w:val="FF8F1162"/>
    <w:rsid w:val="FFB3C7C1"/>
    <w:rsid w:val="FFF50FD0"/>
    <w:rsid w:val="FFF7DDFB"/>
    <w:rsid w:val="FFFF2BD3"/>
    <w:rsid w:val="FFFF998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6"/>
    <w:qFormat/>
    <w:uiPriority w:val="0"/>
    <w:pPr>
      <w:keepNext/>
      <w:keepLines/>
      <w:spacing w:before="340" w:after="330" w:line="576" w:lineRule="auto"/>
      <w:outlineLvl w:val="0"/>
    </w:pPr>
    <w:rPr>
      <w:b/>
      <w:bCs/>
      <w:kern w:val="44"/>
      <w:sz w:val="44"/>
      <w:szCs w:val="44"/>
    </w:rPr>
  </w:style>
  <w:style w:type="paragraph" w:styleId="3">
    <w:name w:val="heading 2"/>
    <w:basedOn w:val="1"/>
    <w:next w:val="1"/>
    <w:link w:val="27"/>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5" w:lineRule="auto"/>
      <w:ind w:firstLine="137" w:firstLineChars="49"/>
      <w:outlineLvl w:val="2"/>
    </w:pPr>
    <w:rPr>
      <w:rFonts w:ascii="黑体" w:hAnsi="宋体" w:eastAsia="黑体"/>
      <w:bCs/>
      <w:sz w:val="28"/>
      <w:szCs w:val="28"/>
    </w:rPr>
  </w:style>
  <w:style w:type="paragraph" w:styleId="5">
    <w:name w:val="heading 4"/>
    <w:basedOn w:val="1"/>
    <w:next w:val="1"/>
    <w:link w:val="29"/>
    <w:qFormat/>
    <w:uiPriority w:val="0"/>
    <w:pPr>
      <w:keepNext/>
      <w:keepLines/>
      <w:spacing w:before="280" w:after="290" w:line="374" w:lineRule="auto"/>
      <w:outlineLvl w:val="3"/>
    </w:pPr>
    <w:rPr>
      <w:rFonts w:ascii="Arial" w:hAnsi="Arial" w:eastAsia="黑体"/>
      <w:b/>
      <w:bCs/>
      <w:sz w:val="28"/>
      <w:szCs w:val="28"/>
    </w:rPr>
  </w:style>
  <w:style w:type="paragraph" w:styleId="6">
    <w:name w:val="heading 5"/>
    <w:basedOn w:val="1"/>
    <w:next w:val="1"/>
    <w:qFormat/>
    <w:uiPriority w:val="0"/>
    <w:pPr>
      <w:keepNext/>
      <w:keepLines/>
      <w:spacing w:before="280" w:beforeLines="0" w:after="290" w:afterLines="0" w:line="372" w:lineRule="auto"/>
      <w:outlineLvl w:val="4"/>
    </w:pPr>
    <w:rPr>
      <w:b/>
      <w:bCs/>
      <w:kern w:val="2"/>
      <w:sz w:val="28"/>
      <w:szCs w:val="28"/>
    </w:rPr>
  </w:style>
  <w:style w:type="character" w:default="1" w:styleId="22">
    <w:name w:val="Default Paragraph Font"/>
    <w:semiHidden/>
    <w:qFormat/>
    <w:uiPriority w:val="0"/>
  </w:style>
  <w:style w:type="table" w:default="1" w:styleId="20">
    <w:name w:val="Normal Table"/>
    <w:semiHidden/>
    <w:qFormat/>
    <w:uiPriority w:val="0"/>
    <w:tblPr>
      <w:tblCellMar>
        <w:top w:w="0" w:type="dxa"/>
        <w:left w:w="108" w:type="dxa"/>
        <w:bottom w:w="0" w:type="dxa"/>
        <w:right w:w="108" w:type="dxa"/>
      </w:tblCellMar>
    </w:tblPr>
  </w:style>
  <w:style w:type="paragraph" w:styleId="7">
    <w:name w:val="Normal Indent"/>
    <w:basedOn w:val="1"/>
    <w:qFormat/>
    <w:uiPriority w:val="0"/>
    <w:pPr>
      <w:ind w:firstLine="420" w:firstLineChars="200"/>
    </w:pPr>
  </w:style>
  <w:style w:type="paragraph" w:styleId="8">
    <w:name w:val="Document Map"/>
    <w:basedOn w:val="1"/>
    <w:link w:val="30"/>
    <w:qFormat/>
    <w:uiPriority w:val="0"/>
    <w:pPr>
      <w:shd w:val="clear" w:color="auto" w:fill="000080"/>
    </w:pPr>
  </w:style>
  <w:style w:type="paragraph" w:styleId="9">
    <w:name w:val="annotation text"/>
    <w:basedOn w:val="1"/>
    <w:link w:val="31"/>
    <w:qFormat/>
    <w:uiPriority w:val="0"/>
    <w:pPr>
      <w:jc w:val="left"/>
    </w:pPr>
  </w:style>
  <w:style w:type="paragraph" w:styleId="10">
    <w:name w:val="Body Text 3"/>
    <w:basedOn w:val="1"/>
    <w:qFormat/>
    <w:uiPriority w:val="0"/>
    <w:rPr>
      <w:rFonts w:ascii="宋体"/>
      <w:sz w:val="24"/>
      <w:szCs w:val="20"/>
    </w:rPr>
  </w:style>
  <w:style w:type="paragraph" w:styleId="11">
    <w:name w:val="Body Text"/>
    <w:basedOn w:val="1"/>
    <w:link w:val="32"/>
    <w:qFormat/>
    <w:uiPriority w:val="0"/>
    <w:pPr>
      <w:spacing w:after="120"/>
    </w:pPr>
  </w:style>
  <w:style w:type="paragraph" w:styleId="12">
    <w:name w:val="toc 3"/>
    <w:basedOn w:val="1"/>
    <w:next w:val="1"/>
    <w:qFormat/>
    <w:uiPriority w:val="0"/>
    <w:pPr>
      <w:ind w:left="420"/>
      <w:jc w:val="left"/>
    </w:pPr>
    <w:rPr>
      <w:iCs/>
      <w:sz w:val="20"/>
      <w:szCs w:val="20"/>
    </w:rPr>
  </w:style>
  <w:style w:type="paragraph" w:styleId="13">
    <w:name w:val="footer"/>
    <w:basedOn w:val="1"/>
    <w:link w:val="33"/>
    <w:qFormat/>
    <w:uiPriority w:val="0"/>
    <w:pPr>
      <w:tabs>
        <w:tab w:val="center" w:pos="4153"/>
        <w:tab w:val="right" w:pos="8306"/>
      </w:tabs>
      <w:snapToGrid w:val="0"/>
      <w:jc w:val="left"/>
    </w:pPr>
    <w:rPr>
      <w:sz w:val="18"/>
      <w:szCs w:val="18"/>
    </w:rPr>
  </w:style>
  <w:style w:type="paragraph" w:styleId="14">
    <w:name w:val="header"/>
    <w:basedOn w:val="1"/>
    <w:link w:val="34"/>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0"/>
    <w:pPr>
      <w:spacing w:before="120" w:after="120"/>
      <w:jc w:val="left"/>
    </w:pPr>
    <w:rPr>
      <w:b/>
      <w:bCs/>
      <w:caps/>
      <w:sz w:val="20"/>
      <w:szCs w:val="20"/>
    </w:rPr>
  </w:style>
  <w:style w:type="paragraph" w:styleId="16">
    <w:name w:val="toc 2"/>
    <w:basedOn w:val="1"/>
    <w:next w:val="1"/>
    <w:qFormat/>
    <w:uiPriority w:val="0"/>
    <w:pPr>
      <w:ind w:left="210"/>
      <w:jc w:val="left"/>
    </w:pPr>
    <w:rPr>
      <w:smallCaps/>
      <w:sz w:val="20"/>
      <w:szCs w:val="20"/>
    </w:rPr>
  </w:style>
  <w:style w:type="paragraph" w:styleId="17">
    <w:name w:val="Title"/>
    <w:basedOn w:val="2"/>
    <w:qFormat/>
    <w:uiPriority w:val="0"/>
    <w:pPr>
      <w:keepLines w:val="0"/>
      <w:widowControl w:val="0"/>
      <w:tabs>
        <w:tab w:val="left" w:pos="48"/>
      </w:tabs>
      <w:overflowPunct w:val="0"/>
      <w:adjustRightInd w:val="0"/>
      <w:spacing w:before="240" w:after="60" w:line="300" w:lineRule="auto"/>
      <w:jc w:val="center"/>
    </w:pPr>
    <w:rPr>
      <w:rFonts w:ascii="Arial Narrow" w:hAnsi="Arial Narrow" w:eastAsia="黑体"/>
      <w:b w:val="0"/>
      <w:kern w:val="0"/>
      <w:sz w:val="30"/>
      <w:szCs w:val="32"/>
    </w:rPr>
  </w:style>
  <w:style w:type="paragraph" w:styleId="18">
    <w:name w:val="annotation subject"/>
    <w:basedOn w:val="9"/>
    <w:next w:val="9"/>
    <w:link w:val="35"/>
    <w:qFormat/>
    <w:uiPriority w:val="0"/>
    <w:pPr>
      <w:jc w:val="both"/>
    </w:pPr>
    <w:rPr>
      <w:b/>
      <w:bCs/>
    </w:rPr>
  </w:style>
  <w:style w:type="paragraph" w:styleId="19">
    <w:name w:val="Body Text First Indent"/>
    <w:basedOn w:val="1"/>
    <w:link w:val="36"/>
    <w:qFormat/>
    <w:uiPriority w:val="0"/>
    <w:pPr>
      <w:spacing w:line="312" w:lineRule="auto"/>
      <w:ind w:firstLine="42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page number"/>
    <w:qFormat/>
    <w:uiPriority w:val="0"/>
  </w:style>
  <w:style w:type="character" w:styleId="24">
    <w:name w:val="Hyperlink"/>
    <w:qFormat/>
    <w:uiPriority w:val="0"/>
    <w:rPr>
      <w:color w:val="0000FF"/>
      <w:u w:val="single"/>
    </w:rPr>
  </w:style>
  <w:style w:type="character" w:styleId="25">
    <w:name w:val="annotation reference"/>
    <w:qFormat/>
    <w:uiPriority w:val="0"/>
    <w:rPr>
      <w:sz w:val="21"/>
      <w:szCs w:val="21"/>
    </w:rPr>
  </w:style>
  <w:style w:type="character" w:customStyle="1" w:styleId="26">
    <w:name w:val="标题 1 Char"/>
    <w:link w:val="2"/>
    <w:qFormat/>
    <w:uiPriority w:val="0"/>
    <w:rPr>
      <w:rFonts w:eastAsia="宋体"/>
      <w:b/>
      <w:bCs/>
      <w:kern w:val="44"/>
      <w:sz w:val="44"/>
      <w:szCs w:val="44"/>
      <w:lang w:val="en-US" w:eastAsia="zh-CN" w:bidi="ar-SA"/>
    </w:rPr>
  </w:style>
  <w:style w:type="character" w:customStyle="1" w:styleId="27">
    <w:name w:val="标题 2 Char"/>
    <w:link w:val="3"/>
    <w:qFormat/>
    <w:uiPriority w:val="0"/>
    <w:rPr>
      <w:rFonts w:ascii="Arial" w:hAnsi="Arial" w:eastAsia="黑体"/>
      <w:b/>
      <w:bCs/>
      <w:kern w:val="2"/>
      <w:sz w:val="32"/>
      <w:szCs w:val="32"/>
      <w:lang w:val="en-US" w:eastAsia="zh-CN" w:bidi="ar-SA"/>
    </w:rPr>
  </w:style>
  <w:style w:type="character" w:customStyle="1" w:styleId="28">
    <w:name w:val="标题 3 Char"/>
    <w:link w:val="4"/>
    <w:qFormat/>
    <w:uiPriority w:val="0"/>
    <w:rPr>
      <w:rFonts w:ascii="黑体" w:hAnsi="宋体" w:eastAsia="黑体"/>
      <w:bCs/>
      <w:kern w:val="2"/>
      <w:sz w:val="28"/>
      <w:szCs w:val="28"/>
      <w:lang w:val="en-US" w:eastAsia="zh-CN" w:bidi="ar-SA"/>
    </w:rPr>
  </w:style>
  <w:style w:type="character" w:customStyle="1" w:styleId="29">
    <w:name w:val="标题 4 Char"/>
    <w:link w:val="5"/>
    <w:qFormat/>
    <w:uiPriority w:val="0"/>
    <w:rPr>
      <w:rFonts w:ascii="Arial" w:hAnsi="Arial" w:eastAsia="黑体"/>
      <w:b/>
      <w:bCs/>
      <w:kern w:val="2"/>
      <w:sz w:val="28"/>
      <w:szCs w:val="28"/>
      <w:lang w:val="en-US" w:eastAsia="zh-CN" w:bidi="ar-SA"/>
    </w:rPr>
  </w:style>
  <w:style w:type="character" w:customStyle="1" w:styleId="30">
    <w:name w:val="文档结构图 Char"/>
    <w:link w:val="8"/>
    <w:qFormat/>
    <w:uiPriority w:val="0"/>
    <w:rPr>
      <w:rFonts w:eastAsia="宋体"/>
      <w:kern w:val="2"/>
      <w:sz w:val="21"/>
      <w:szCs w:val="24"/>
      <w:lang w:val="en-US" w:eastAsia="zh-CN" w:bidi="ar-SA"/>
    </w:rPr>
  </w:style>
  <w:style w:type="character" w:customStyle="1" w:styleId="31">
    <w:name w:val="批注文字 Char"/>
    <w:link w:val="9"/>
    <w:qFormat/>
    <w:uiPriority w:val="0"/>
    <w:rPr>
      <w:rFonts w:eastAsia="宋体"/>
      <w:kern w:val="2"/>
      <w:sz w:val="21"/>
      <w:szCs w:val="24"/>
      <w:lang w:val="en-US" w:eastAsia="zh-CN" w:bidi="ar-SA"/>
    </w:rPr>
  </w:style>
  <w:style w:type="character" w:customStyle="1" w:styleId="32">
    <w:name w:val="正文文本 Char"/>
    <w:link w:val="11"/>
    <w:qFormat/>
    <w:uiPriority w:val="0"/>
    <w:rPr>
      <w:rFonts w:eastAsia="宋体"/>
      <w:kern w:val="2"/>
      <w:sz w:val="21"/>
      <w:szCs w:val="24"/>
      <w:lang w:val="en-US" w:eastAsia="zh-CN" w:bidi="ar-SA"/>
    </w:rPr>
  </w:style>
  <w:style w:type="character" w:customStyle="1" w:styleId="33">
    <w:name w:val="页脚 Char"/>
    <w:link w:val="13"/>
    <w:qFormat/>
    <w:uiPriority w:val="0"/>
    <w:rPr>
      <w:rFonts w:eastAsia="宋体"/>
      <w:kern w:val="2"/>
      <w:sz w:val="18"/>
      <w:szCs w:val="18"/>
      <w:lang w:val="en-US" w:eastAsia="zh-CN" w:bidi="ar-SA"/>
    </w:rPr>
  </w:style>
  <w:style w:type="character" w:customStyle="1" w:styleId="34">
    <w:name w:val="页眉 Char"/>
    <w:link w:val="14"/>
    <w:qFormat/>
    <w:uiPriority w:val="0"/>
    <w:rPr>
      <w:rFonts w:eastAsia="宋体"/>
      <w:kern w:val="2"/>
      <w:sz w:val="18"/>
      <w:szCs w:val="18"/>
      <w:lang w:val="en-US" w:eastAsia="zh-CN" w:bidi="ar-SA"/>
    </w:rPr>
  </w:style>
  <w:style w:type="character" w:customStyle="1" w:styleId="35">
    <w:name w:val="批注主题 Char"/>
    <w:link w:val="18"/>
    <w:qFormat/>
    <w:uiPriority w:val="0"/>
    <w:rPr>
      <w:b/>
      <w:bCs/>
      <w:lang w:val="en-US" w:eastAsia="zh-CN" w:bidi="ar-SA"/>
    </w:rPr>
  </w:style>
  <w:style w:type="character" w:customStyle="1" w:styleId="36">
    <w:name w:val="正文首行缩进 Char"/>
    <w:link w:val="19"/>
    <w:qFormat/>
    <w:uiPriority w:val="0"/>
    <w:rPr>
      <w:lang w:val="en-US" w:eastAsia="zh-CN" w:bidi="ar-SA"/>
    </w:rPr>
  </w:style>
  <w:style w:type="paragraph" w:customStyle="1" w:styleId="37">
    <w:name w:val="通用标题4"/>
    <w:next w:val="1"/>
    <w:qFormat/>
    <w:uiPriority w:val="0"/>
    <w:pPr>
      <w:numPr>
        <w:ilvl w:val="2"/>
        <w:numId w:val="1"/>
      </w:numPr>
      <w:tabs>
        <w:tab w:val="left" w:pos="851"/>
      </w:tabs>
      <w:adjustRightInd w:val="0"/>
      <w:snapToGrid w:val="0"/>
      <w:spacing w:after="120" w:afterLines="50" w:line="360" w:lineRule="auto"/>
      <w:jc w:val="both"/>
      <w:outlineLvl w:val="3"/>
    </w:pPr>
    <w:rPr>
      <w:rFonts w:ascii="宋体" w:hAnsi="宋体" w:eastAsia="宋体" w:cs="Times New Roman"/>
      <w:kern w:val="2"/>
      <w:sz w:val="24"/>
      <w:szCs w:val="21"/>
      <w:lang w:val="en-US" w:eastAsia="zh-CN" w:bidi="ar-SA"/>
    </w:rPr>
  </w:style>
  <w:style w:type="paragraph" w:customStyle="1" w:styleId="38">
    <w:name w:val="Other|1"/>
    <w:basedOn w:val="1"/>
    <w:qFormat/>
    <w:uiPriority w:val="0"/>
    <w:pPr>
      <w:widowControl w:val="0"/>
      <w:shd w:val="clear" w:color="auto" w:fill="auto"/>
      <w:spacing w:line="406" w:lineRule="auto"/>
      <w:ind w:firstLine="240"/>
    </w:pPr>
    <w:rPr>
      <w:rFonts w:ascii="宋体" w:hAnsi="宋体" w:eastAsia="宋体" w:cs="宋体"/>
      <w:sz w:val="10"/>
      <w:szCs w:val="10"/>
      <w:u w:val="none"/>
      <w:shd w:val="clear" w:color="auto" w:fill="auto"/>
      <w:lang w:val="zh-TW" w:eastAsia="zh-TW" w:bidi="zh-TW"/>
    </w:rPr>
  </w:style>
  <w:style w:type="paragraph" w:customStyle="1" w:styleId="39">
    <w:name w:val="Body text|3"/>
    <w:basedOn w:val="1"/>
    <w:qFormat/>
    <w:uiPriority w:val="0"/>
    <w:pPr>
      <w:widowControl w:val="0"/>
      <w:shd w:val="clear" w:color="auto" w:fill="auto"/>
      <w:spacing w:after="980"/>
    </w:pPr>
    <w:rPr>
      <w:sz w:val="15"/>
      <w:szCs w:val="15"/>
      <w:u w:val="none"/>
      <w:shd w:val="clear" w:color="auto" w:fill="auto"/>
    </w:rPr>
  </w:style>
  <w:style w:type="paragraph" w:customStyle="1" w:styleId="40">
    <w:name w:val="1.1.1.1A"/>
    <w:basedOn w:val="41"/>
    <w:qFormat/>
    <w:uiPriority w:val="0"/>
    <w:pPr>
      <w:tabs>
        <w:tab w:val="left" w:pos="1134"/>
        <w:tab w:val="left" w:pos="1843"/>
      </w:tabs>
      <w:spacing w:line="400" w:lineRule="atLeast"/>
      <w:ind w:left="1560" w:right="200" w:rightChars="200" w:hanging="426"/>
      <w:jc w:val="both"/>
    </w:pPr>
  </w:style>
  <w:style w:type="paragraph" w:customStyle="1" w:styleId="41">
    <w:name w:val="1.1.1.1"/>
    <w:basedOn w:val="1"/>
    <w:qFormat/>
    <w:uiPriority w:val="0"/>
    <w:pPr>
      <w:widowControl w:val="0"/>
      <w:tabs>
        <w:tab w:val="left" w:pos="1134"/>
      </w:tabs>
      <w:adjustRightInd w:val="0"/>
      <w:spacing w:before="60" w:after="60" w:line="360" w:lineRule="atLeast"/>
      <w:ind w:left="1134" w:hanging="1134"/>
      <w:textAlignment w:val="baseline"/>
    </w:pPr>
    <w:rPr>
      <w:rFonts w:ascii="Arial" w:hAnsi="Arial" w:eastAsia="宋体" w:cs="Times New Roman"/>
      <w:sz w:val="24"/>
    </w:rPr>
  </w:style>
  <w:style w:type="paragraph" w:customStyle="1" w:styleId="42">
    <w:name w:val="table"/>
    <w:qFormat/>
    <w:uiPriority w:val="0"/>
    <w:pPr>
      <w:framePr w:hSpace="180" w:wrap="around" w:vAnchor="text" w:hAnchor="margin" w:y="1418"/>
      <w:adjustRightInd w:val="0"/>
      <w:snapToGrid w:val="0"/>
    </w:pPr>
    <w:rPr>
      <w:rFonts w:ascii="宋体" w:hAnsi="Calibri" w:eastAsia="宋体" w:cs="Times New Roman"/>
      <w:kern w:val="2"/>
      <w:sz w:val="24"/>
      <w:szCs w:val="22"/>
      <w:lang w:val="en-US" w:eastAsia="zh-CN" w:bidi="ar-SA"/>
    </w:rPr>
  </w:style>
  <w:style w:type="paragraph" w:customStyle="1" w:styleId="43">
    <w:name w:val="Body text|2"/>
    <w:basedOn w:val="1"/>
    <w:qFormat/>
    <w:uiPriority w:val="0"/>
    <w:pPr>
      <w:widowControl w:val="0"/>
      <w:shd w:val="clear" w:color="auto" w:fill="auto"/>
      <w:ind w:hanging="860"/>
    </w:pPr>
    <w:rPr>
      <w:rFonts w:ascii="宋体" w:hAnsi="宋体" w:eastAsia="宋体" w:cs="宋体"/>
      <w:b/>
      <w:bCs/>
      <w:sz w:val="8"/>
      <w:szCs w:val="8"/>
      <w:u w:val="none"/>
      <w:shd w:val="clear" w:color="auto" w:fill="auto"/>
    </w:rPr>
  </w:style>
  <w:style w:type="paragraph" w:customStyle="1" w:styleId="44">
    <w:name w:val="协议书标题2"/>
    <w:basedOn w:val="3"/>
    <w:next w:val="1"/>
    <w:qFormat/>
    <w:uiPriority w:val="0"/>
    <w:pPr>
      <w:keepNext w:val="0"/>
      <w:keepLines w:val="0"/>
      <w:numPr>
        <w:ilvl w:val="0"/>
        <w:numId w:val="2"/>
      </w:numPr>
      <w:tabs>
        <w:tab w:val="left" w:pos="567"/>
      </w:tabs>
      <w:spacing w:line="360" w:lineRule="auto"/>
      <w:ind w:firstLine="0" w:firstLineChars="0"/>
      <w:jc w:val="left"/>
    </w:pPr>
    <w:rPr>
      <w:rFonts w:ascii="宋体" w:hAnsi="宋体" w:eastAsia="宋体"/>
      <w:sz w:val="24"/>
    </w:rPr>
  </w:style>
  <w:style w:type="paragraph" w:customStyle="1" w:styleId="45">
    <w:name w:val="通用标题5"/>
    <w:qFormat/>
    <w:uiPriority w:val="0"/>
    <w:pPr>
      <w:widowControl w:val="0"/>
      <w:numPr>
        <w:ilvl w:val="3"/>
        <w:numId w:val="1"/>
      </w:numPr>
      <w:tabs>
        <w:tab w:val="left" w:pos="1134"/>
      </w:tabs>
      <w:autoSpaceDE w:val="0"/>
      <w:autoSpaceDN w:val="0"/>
      <w:adjustRightInd w:val="0"/>
      <w:snapToGrid w:val="0"/>
      <w:spacing w:after="120" w:afterLines="50" w:line="360" w:lineRule="auto"/>
      <w:jc w:val="both"/>
    </w:pPr>
    <w:rPr>
      <w:rFonts w:ascii="宋体" w:hAnsi="宋体" w:eastAsia="宋体" w:cs="Times New Roman"/>
      <w:kern w:val="2"/>
      <w:sz w:val="24"/>
      <w:szCs w:val="21"/>
      <w:lang w:val="en-US" w:eastAsia="zh-CN" w:bidi="ar-SA"/>
    </w:rPr>
  </w:style>
  <w:style w:type="paragraph" w:customStyle="1" w:styleId="46">
    <w:name w:val="专用标题2"/>
    <w:basedOn w:val="3"/>
    <w:next w:val="1"/>
    <w:qFormat/>
    <w:uiPriority w:val="0"/>
    <w:pPr>
      <w:keepNext w:val="0"/>
      <w:keepLines w:val="0"/>
      <w:tabs>
        <w:tab w:val="left" w:pos="993"/>
      </w:tabs>
      <w:wordWrap/>
      <w:topLinePunct w:val="0"/>
      <w:spacing w:line="360" w:lineRule="auto"/>
      <w:ind w:firstLine="0" w:firstLineChars="0"/>
    </w:pPr>
    <w:rPr>
      <w:rFonts w:ascii="宋体" w:hAnsi="宋体" w:eastAsia="宋体" w:cs="Times"/>
    </w:rPr>
  </w:style>
  <w:style w:type="paragraph" w:customStyle="1" w:styleId="47">
    <w:name w:val="Body text|1"/>
    <w:basedOn w:val="1"/>
    <w:qFormat/>
    <w:uiPriority w:val="0"/>
    <w:pPr>
      <w:widowControl w:val="0"/>
      <w:shd w:val="clear" w:color="auto" w:fill="auto"/>
      <w:spacing w:line="406" w:lineRule="auto"/>
      <w:ind w:firstLine="240"/>
    </w:pPr>
    <w:rPr>
      <w:rFonts w:ascii="宋体" w:hAnsi="宋体" w:eastAsia="宋体" w:cs="宋体"/>
      <w:sz w:val="10"/>
      <w:szCs w:val="10"/>
      <w:u w:val="none"/>
      <w:shd w:val="clear" w:color="auto" w:fill="auto"/>
      <w:lang w:val="zh-TW" w:eastAsia="zh-TW" w:bidi="zh-TW"/>
    </w:rPr>
  </w:style>
  <w:style w:type="paragraph" w:customStyle="1" w:styleId="48">
    <w:name w:val="Normal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9">
    <w:name w:val="通用标题2"/>
    <w:basedOn w:val="3"/>
    <w:next w:val="1"/>
    <w:qFormat/>
    <w:uiPriority w:val="0"/>
    <w:pPr>
      <w:keepNext w:val="0"/>
      <w:keepLines w:val="0"/>
      <w:numPr>
        <w:ilvl w:val="0"/>
        <w:numId w:val="3"/>
      </w:numPr>
      <w:tabs>
        <w:tab w:val="left" w:pos="993"/>
      </w:tabs>
      <w:spacing w:line="360" w:lineRule="auto"/>
      <w:ind w:firstLineChars="0"/>
    </w:pPr>
    <w:rPr>
      <w:rFonts w:ascii="黑体" w:hAnsi="黑体"/>
    </w:rPr>
  </w:style>
  <w:style w:type="paragraph" w:customStyle="1" w:styleId="50">
    <w:name w:val="通用标题6"/>
    <w:basedOn w:val="1"/>
    <w:qFormat/>
    <w:uiPriority w:val="0"/>
    <w:pPr>
      <w:numPr>
        <w:ilvl w:val="4"/>
        <w:numId w:val="4"/>
      </w:numPr>
      <w:tabs>
        <w:tab w:val="left" w:pos="993"/>
      </w:tabs>
      <w:wordWrap/>
      <w:topLinePunct w:val="0"/>
      <w:ind w:firstLine="0" w:firstLineChars="0"/>
    </w:pPr>
  </w:style>
  <w:style w:type="paragraph" w:customStyle="1" w:styleId="51">
    <w:name w:val="TOC 标题2"/>
    <w:basedOn w:val="2"/>
    <w:next w:val="1"/>
    <w:qFormat/>
    <w:uiPriority w:val="0"/>
    <w:pPr>
      <w:keepNext/>
      <w:keepLines/>
      <w:widowControl w:val="0"/>
      <w:adjustRightInd/>
      <w:snapToGrid/>
      <w:spacing w:before="260" w:after="260" w:line="413" w:lineRule="auto"/>
    </w:pPr>
    <w:rPr>
      <w:rFonts w:ascii="宋体" w:hAnsi="宋体" w:eastAsia="宋体" w:cs="Times New Roman"/>
      <w:sz w:val="36"/>
      <w:szCs w:val="44"/>
      <w:lang w:val="zh-CN"/>
    </w:rPr>
  </w:style>
  <w:style w:type="paragraph" w:customStyle="1" w:styleId="52">
    <w:name w:val="Main Title"/>
    <w:next w:val="1"/>
    <w:qFormat/>
    <w:uiPriority w:val="0"/>
    <w:pPr>
      <w:adjustRightInd w:val="0"/>
      <w:snapToGrid w:val="0"/>
      <w:spacing w:after="120" w:afterLines="50" w:line="360" w:lineRule="auto"/>
      <w:jc w:val="center"/>
    </w:pPr>
    <w:rPr>
      <w:rFonts w:ascii="黑体" w:hAnsi="黑体" w:eastAsia="黑体" w:cs="Times New Roman"/>
      <w:b/>
      <w:kern w:val="2"/>
      <w:sz w:val="36"/>
      <w:szCs w:val="22"/>
      <w:lang w:val="zh-CN" w:eastAsia="zh-CN" w:bidi="ar-SA"/>
    </w:rPr>
  </w:style>
  <w:style w:type="paragraph" w:customStyle="1" w:styleId="53">
    <w:name w:val="WPSOffice手动目录 1"/>
    <w:qFormat/>
    <w:uiPriority w:val="0"/>
    <w:rPr>
      <w:rFonts w:ascii="Calibri" w:hAnsi="Calibri" w:eastAsia="宋体" w:cs="Arial"/>
      <w:lang w:val="en-US" w:eastAsia="zh-CN" w:bidi="ar-SA"/>
    </w:rPr>
  </w:style>
  <w:style w:type="paragraph" w:customStyle="1" w:styleId="54">
    <w:name w:val="通用标题3"/>
    <w:next w:val="1"/>
    <w:qFormat/>
    <w:uiPriority w:val="0"/>
    <w:pPr>
      <w:widowControl w:val="0"/>
      <w:numPr>
        <w:ilvl w:val="1"/>
        <w:numId w:val="1"/>
      </w:numPr>
      <w:tabs>
        <w:tab w:val="left" w:pos="851"/>
      </w:tabs>
      <w:adjustRightInd w:val="0"/>
      <w:snapToGrid w:val="0"/>
      <w:spacing w:after="120" w:afterLines="50" w:line="360" w:lineRule="auto"/>
      <w:jc w:val="both"/>
      <w:outlineLvl w:val="2"/>
    </w:pPr>
    <w:rPr>
      <w:rFonts w:ascii="黑体" w:hAnsi="黑体" w:eastAsia="黑体" w:cs="Times New Roman"/>
      <w:b/>
      <w:kern w:val="2"/>
      <w:sz w:val="24"/>
      <w:szCs w:val="24"/>
      <w:lang w:val="en-US" w:eastAsia="zh-CN" w:bidi="ar-SA"/>
    </w:rPr>
  </w:style>
  <w:style w:type="paragraph" w:customStyle="1" w:styleId="55">
    <w:name w:val="附件标题"/>
    <w:basedOn w:val="3"/>
    <w:next w:val="1"/>
    <w:qFormat/>
    <w:uiPriority w:val="0"/>
    <w:pPr>
      <w:numPr>
        <w:ilvl w:val="0"/>
        <w:numId w:val="5"/>
      </w:numPr>
      <w:tabs>
        <w:tab w:val="left" w:pos="1134"/>
      </w:tabs>
      <w:spacing w:line="360" w:lineRule="auto"/>
      <w:ind w:firstLine="0" w:firstLineChars="0"/>
      <w:jc w:val="center"/>
    </w:pPr>
    <w:rPr>
      <w:rFonts w:ascii="黑体" w:hAnsi="黑体"/>
      <w:sz w:val="30"/>
      <w:szCs w:val="30"/>
    </w:rPr>
  </w:style>
  <w:style w:type="paragraph" w:customStyle="1" w:styleId="56">
    <w:name w:val="Heading #1|1"/>
    <w:basedOn w:val="1"/>
    <w:qFormat/>
    <w:uiPriority w:val="0"/>
    <w:pPr>
      <w:widowControl w:val="0"/>
      <w:shd w:val="clear" w:color="auto" w:fill="auto"/>
      <w:spacing w:after="200"/>
      <w:ind w:firstLine="130"/>
      <w:jc w:val="center"/>
      <w:outlineLvl w:val="0"/>
    </w:pPr>
    <w:rPr>
      <w:rFonts w:ascii="宋体" w:hAnsi="宋体" w:eastAsia="宋体" w:cs="宋体"/>
      <w:sz w:val="22"/>
      <w:szCs w:val="22"/>
      <w:u w:val="none"/>
      <w:shd w:val="clear" w:color="auto" w:fill="auto"/>
      <w:lang w:val="zh-TW" w:eastAsia="zh-TW" w:bidi="zh-TW"/>
    </w:rPr>
  </w:style>
  <w:style w:type="paragraph" w:customStyle="1" w:styleId="57">
    <w:name w:val="Heading #2|1"/>
    <w:basedOn w:val="1"/>
    <w:qFormat/>
    <w:uiPriority w:val="0"/>
    <w:pPr>
      <w:widowControl w:val="0"/>
      <w:shd w:val="clear" w:color="auto" w:fill="auto"/>
      <w:spacing w:after="110"/>
      <w:ind w:firstLine="260"/>
      <w:outlineLvl w:val="1"/>
    </w:pPr>
    <w:rPr>
      <w:rFonts w:ascii="宋体" w:hAnsi="宋体" w:eastAsia="宋体" w:cs="宋体"/>
      <w:sz w:val="13"/>
      <w:szCs w:val="13"/>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2.png"/><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header" Target="header2.xml"/><Relationship Id="rId12" Type="http://schemas.openxmlformats.org/officeDocument/2006/relationships/footer" Target="footer7.xml"/><Relationship Id="rId11" Type="http://schemas.openxmlformats.org/officeDocument/2006/relationships/header" Target="header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www.ftpdown.com</Company>
  <Pages>194</Pages>
  <Words>22486</Words>
  <Characters>23734</Characters>
  <Lines>871</Lines>
  <Paragraphs>245</Paragraphs>
  <TotalTime>0</TotalTime>
  <ScaleCrop>false</ScaleCrop>
  <LinksUpToDate>false</LinksUpToDate>
  <CharactersWithSpaces>27342</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2012-01-18T01:27:00Z</dcterms:created>
  <dc:creator>微软系统</dc:creator>
  <cp:lastModifiedBy>user</cp:lastModifiedBy>
  <cp:lastPrinted>2025-02-11T08:13:00Z</cp:lastPrinted>
  <dcterms:modified xsi:type="dcterms:W3CDTF">2026-03-18T10:43:02Z</dcterms:modified>
  <dc:title>附件二：</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ICV">
    <vt:lpwstr>A3261745BA914519B74E67BCD2D14288</vt:lpwstr>
  </property>
  <property fmtid="{D5CDD505-2E9C-101B-9397-08002B2CF9AE}" pid="4" name="KSOTemplateDocerSaveRecord">
    <vt:lpwstr>eyJoZGlkIjoiMGUzNDQzYjJiYWUyNDEwYmFkNjUxNzgzZTUxMjQ3MTEiLCJ1c2VySWQiOiI1MjY0ODg5NjQifQ==</vt:lpwstr>
  </property>
</Properties>
</file>