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footer+xml" PartName="/word/footer6.xml"/>
  <Override ContentType="application/vnd.openxmlformats-officedocument.wordprocessingml.footer+xml" PartName="/word/footer7.xml"/>
  <Override ContentType="application/vnd.openxmlformats-officedocument.wordprocessingml.footer+xml" PartName="/word/footer8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7.xml"/>
  <Override ContentType="application/vnd.openxmlformats-officedocument.wordprocessingml.header+xml" PartName="/word/header8.xml"/>
  <Override ContentType="application/vnd.openxmlformats-officedocument.wordprocessingml.settings+xml" PartName="/word/settings.xml"/>
  <Override ContentType="application/vnd.openxmlformats-officedocument.theme+xml" PartName="/word/theme/theme-1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ps="http://schemas.microsoft.com/office/word/2010/wordprocessingShape" xmlns:w="http://schemas.openxmlformats.org/wordprocessingml/2006/main" xmlns:r="http://schemas.openxmlformats.org/officeDocument/2006/relationships" xmlns:wp="http://schemas.openxmlformats.org/drawingml/2006/wordprocessingDrawing">
  <w:body>
    <w:p>
      <w:pPr>
        <w:pageBreakBefore w:val="off"/>
        <w:tabs/>
        <w:wordWrap w:val="off"/>
        <w:spacing w:before="1980" w:after="0" w:line="1700" w:lineRule="atLeast"/>
        <w:ind w:left="20" w:right="0"/>
        <w:jc w:val="center"/>
        <w:textAlignment w:val="baseline"/>
        <w:rPr>
          <w:sz w:val="127"/>
        </w:rPr>
      </w:pPr>
      <w:bookmarkStart w:name="" w:id="1001"/>
      <w:r>
        <w:rPr>
          <w:rFonts w:ascii="宋体" w:hAnsi="宋体" w:cs="宋体" w:eastAsia="宋体"/>
          <w:sz w:val="127"/>
          <w:spacing w:val="0"/>
          <w:color w:val="ff4242"/>
          <w:b w:val="on"/>
          <w:i w:val="off"/>
        </w:rPr>
        <w:t>攀枝花市住房和城乡建设局</w:t>
      </w:r>
      <w:r>
        <w:rPr>
          <w:rFonts w:ascii="宋体" w:hAnsi="宋体" w:cs="宋体" w:eastAsia="宋体"/>
          <w:sz w:val="127"/>
          <w:spacing w:val="0"/>
          <w:color w:val="ff4242"/>
          <w:b w:val="on"/>
          <w:i w:val="off"/>
        </w:rPr>
        <w:t>攀枝花市自然资源和规划局</w:t>
      </w:r>
      <w:r>
        <w:rPr>
          <w:rFonts w:ascii="宋体" w:hAnsi="宋体" w:cs="宋体" w:eastAsia="宋体"/>
          <w:sz w:val="127"/>
          <w:spacing w:val="0"/>
          <w:color w:val="ff4242"/>
          <w:b w:val="on"/>
          <w:i w:val="off"/>
        </w:rPr>
        <w:t>文件</w:t>
      </w:r>
      <w:bookmarkEnd w:id="1001"/>
    </w:p>
    <w:p>
      <w:pPr>
        <w:pageBreakBefore w:val="off"/>
        <w:tabs/>
        <w:wordWrap w:val="off"/>
        <w:spacing w:before="0" w:after="0" w:line="980" w:lineRule="exact"/>
        <w:ind w:left="0" w:right="0"/>
        <w:jc w:val="center"/>
        <w:textAlignment w:val="baseline"/>
        <w:rPr>
          <w:sz w:val="74"/>
        </w:rPr>
      </w:pPr>
      <w:bookmarkStart w:name="" w:id="1002"/>
      <w:r>
        <w:rPr>
          <w:rFonts w:ascii="宋体" w:hAnsi="宋体" w:cs="宋体" w:eastAsia="宋体"/>
          <w:sz w:val="74"/>
          <w:spacing w:val="0"/>
          <w:color w:val="000000"/>
          <w:b w:val="off"/>
          <w:i w:val="off"/>
        </w:rPr>
        <w:t/>
      </w:r>
      <w:bookmarkEnd w:id="1002"/>
    </w:p>
    <w:p>
      <w:pPr>
        <w:pageBreakBefore w:val="off"/>
        <w:tabs/>
        <w:wordWrap w:val="off"/>
        <w:spacing w:before="0" w:after="0" w:line="980" w:lineRule="exact"/>
        <w:ind w:left="0" w:right="0"/>
        <w:jc w:val="center"/>
        <w:textAlignment w:val="baseline"/>
        <w:rPr>
          <w:sz w:val="74"/>
        </w:rPr>
      </w:pPr>
      <w:bookmarkStart w:name="" w:id="1003"/>
      <w:r>
        <w:rPr>
          <w:rFonts w:ascii="宋体" w:hAnsi="宋体" w:cs="宋体" w:eastAsia="宋体"/>
          <w:sz w:val="74"/>
          <w:spacing w:val="0"/>
          <w:color w:val="000000"/>
          <w:b w:val="off"/>
          <w:i w:val="off"/>
        </w:rPr>
        <w:t/>
      </w:r>
      <w:bookmarkEnd w:id="1003"/>
    </w:p>
    <w:p>
      <w:pPr>
        <w:pageBreakBefore w:val="off"/>
        <w:tabs/>
        <w:wordWrap w:val="off"/>
        <w:spacing w:before="0" w:after="0" w:line="980" w:lineRule="exact"/>
        <w:ind w:left="0" w:right="0"/>
        <w:jc w:val="center"/>
        <w:textAlignment w:val="baseline"/>
        <w:rPr>
          <w:sz w:val="74"/>
        </w:rPr>
      </w:pPr>
      <w:bookmarkStart w:name="" w:id="1004"/>
      <w:r>
        <w:rPr>
          <w:rFonts w:ascii="宋体" w:hAnsi="宋体" w:cs="宋体" w:eastAsia="宋体"/>
          <w:sz w:val="74"/>
          <w:spacing w:val="0"/>
          <w:color w:val="000000"/>
          <w:b w:val="off"/>
          <w:i w:val="off"/>
        </w:rPr>
        <w:t/>
      </w:r>
      <w:bookmarkEnd w:id="1004"/>
    </w:p>
    <w:p>
      <w:pPr>
        <w:pageBreakBefore w:val="off"/>
        <w:tabs/>
        <w:wordWrap w:val="off"/>
        <w:spacing w:before="0" w:after="0" w:line="1000" w:lineRule="atLeast"/>
        <w:ind w:left="0" w:right="0"/>
        <w:jc w:val="center"/>
        <w:textAlignment w:val="baseline"/>
        <w:rPr>
          <w:sz w:val="74"/>
        </w:rPr>
      </w:pPr>
      <w:bookmarkStart w:name="" w:id="1005"/>
      <w:r>
        <w:rPr>
          <w:rFonts w:ascii="仿宋" w:hAnsi="仿宋" w:cs="仿宋" w:eastAsia="仿宋"/>
          <w:sz w:val="74"/>
          <w:spacing w:val="0"/>
          <w:color w:val="000000"/>
          <w:u w:val="single"/>
          <w:b w:val="off"/>
          <w:i w:val="off"/>
        </w:rPr>
        <w:t xml:space="preserve">             攀住建发〔2023〕183号             </w:t>
      </w:r>
      <w:bookmarkEnd w:id="1005"/>
    </w:p>
    <w:p>
      <w:pPr>
        <w:pageBreakBefore w:val="off"/>
        <w:tabs/>
        <w:wordWrap w:val="off"/>
        <w:spacing w:before="0" w:after="0" w:line="980" w:lineRule="exact"/>
        <w:ind w:left="0" w:right="0"/>
        <w:jc w:val="center"/>
        <w:textAlignment w:val="baseline"/>
        <w:rPr>
          <w:sz w:val="74"/>
        </w:rPr>
      </w:pPr>
      <w:bookmarkStart w:name="" w:id="1006"/>
      <w:r>
        <w:rPr>
          <w:rFonts w:ascii="宋体" w:hAnsi="宋体" w:cs="宋体" w:eastAsia="宋体"/>
          <w:sz w:val="74"/>
          <w:spacing w:val="0"/>
          <w:color w:val="000000"/>
          <w:b w:val="off"/>
          <w:i w:val="off"/>
        </w:rPr>
        <w:t/>
      </w:r>
      <w:bookmarkEnd w:id="1006"/>
    </w:p>
    <w:p>
      <w:pPr>
        <w:pageBreakBefore w:val="off"/>
        <w:tabs/>
        <w:wordWrap w:val="off"/>
        <w:spacing w:before="0" w:after="0" w:line="980" w:lineRule="exact"/>
        <w:ind w:left="0" w:right="0"/>
        <w:jc w:val="center"/>
        <w:textAlignment w:val="baseline"/>
        <w:rPr>
          <w:sz w:val="74"/>
        </w:rPr>
      </w:pPr>
      <w:bookmarkStart w:name="" w:id="1007"/>
      <w:r>
        <w:rPr>
          <w:rFonts w:ascii="宋体" w:hAnsi="宋体" w:cs="宋体" w:eastAsia="宋体"/>
          <w:sz w:val="74"/>
          <w:spacing w:val="0"/>
          <w:color w:val="000000"/>
          <w:b w:val="off"/>
          <w:i w:val="off"/>
        </w:rPr>
        <w:t/>
      </w:r>
      <w:bookmarkEnd w:id="1007"/>
    </w:p>
    <w:p>
      <w:pPr>
        <w:pageBreakBefore w:val="off"/>
        <w:tabs/>
        <w:wordWrap w:val="off"/>
        <w:spacing w:before="0" w:after="0" w:line="1120" w:lineRule="atLeast"/>
        <w:ind w:left="0" w:right="0"/>
        <w:jc w:val="center"/>
        <w:textAlignment w:val="baseline"/>
        <w:rPr>
          <w:sz w:val="82"/>
        </w:rPr>
      </w:pPr>
      <w:bookmarkStart w:name="" w:id="1008"/>
      <w:r>
        <w:rPr>
          <w:rFonts w:ascii="宋体" w:hAnsi="宋体" w:cs="宋体" w:eastAsia="宋体"/>
          <w:sz w:val="82"/>
          <w:spacing w:val="0"/>
          <w:color w:val="000000"/>
          <w:b w:val="on"/>
          <w:i w:val="off"/>
        </w:rPr>
        <w:t>攀枝花市住房和城乡建设局</w:t>
      </w:r>
      <w:bookmarkEnd w:id="1008"/>
    </w:p>
    <w:p>
      <w:pPr>
        <w:pageBreakBefore w:val="off"/>
        <w:tabs/>
        <w:wordWrap w:val="off"/>
        <w:spacing w:before="0" w:after="0" w:line="1120" w:lineRule="atLeast"/>
        <w:ind w:left="0" w:right="0"/>
        <w:jc w:val="center"/>
        <w:textAlignment w:val="baseline"/>
        <w:rPr>
          <w:sz w:val="82"/>
        </w:rPr>
      </w:pPr>
      <w:bookmarkStart w:name="" w:id="1009"/>
      <w:r>
        <w:rPr>
          <w:rFonts w:ascii="宋体" w:hAnsi="宋体" w:cs="宋体" w:eastAsia="宋体"/>
          <w:sz w:val="82"/>
          <w:spacing w:val="0"/>
          <w:color w:val="000000"/>
          <w:b w:val="on"/>
          <w:i w:val="off"/>
        </w:rPr>
        <w:t>攀枝花市自然资源和规划局</w:t>
      </w:r>
      <w:bookmarkEnd w:id="1009"/>
    </w:p>
    <w:p>
      <w:pPr>
        <w:pageBreakBefore w:val="off"/>
        <w:tabs/>
        <w:wordWrap w:val="off"/>
        <w:spacing w:before="0" w:after="0" w:line="1120" w:lineRule="atLeast"/>
        <w:ind w:left="0" w:right="0"/>
        <w:jc w:val="center"/>
        <w:textAlignment w:val="baseline"/>
        <w:rPr>
          <w:sz w:val="82"/>
        </w:rPr>
      </w:pPr>
      <w:bookmarkStart w:name="" w:id="1010"/>
      <w:r>
        <w:rPr>
          <w:rFonts w:ascii="宋体" w:hAnsi="宋体" w:cs="宋体" w:eastAsia="宋体"/>
          <w:sz w:val="82"/>
          <w:spacing w:val="0"/>
          <w:color w:val="000000"/>
          <w:b w:val="on"/>
          <w:i w:val="off"/>
        </w:rPr>
        <w:t>关于加强装配式建筑建设管理的通知</w:t>
      </w:r>
      <w:bookmarkEnd w:id="1010"/>
    </w:p>
    <w:p>
      <w:pPr>
        <w:pageBreakBefore w:val="off"/>
        <w:tabs/>
        <w:wordWrap w:val="off"/>
        <w:spacing w:before="640" w:after="0" w:line="1160" w:lineRule="atLeast"/>
        <w:ind w:left="20" w:right="1060"/>
        <w:jc w:val="both"/>
        <w:textAlignment w:val="baseline"/>
        <w:rPr>
          <w:sz w:val="59"/>
        </w:rPr>
      </w:pPr>
      <w:bookmarkStart w:name="" w:id="1011"/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各县（区）住房城乡建设部门、自然资源和规划部门，各勘察设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计、开发建设、施工、监理等有关单位，构件生产企业：</w:t>
      </w:r>
      <w:bookmarkEnd w:id="1011"/>
    </w:p>
    <w:p>
      <w:pPr>
        <w:pageBreakBefore w:val="off"/>
        <w:tabs/>
        <w:wordWrap w:val="off"/>
        <w:spacing w:before="0" w:after="0" w:line="1160" w:lineRule="atLeast"/>
        <w:ind w:left="20" w:right="1060" w:firstLine="1200"/>
        <w:jc w:val="both"/>
        <w:textAlignment w:val="baseline"/>
        <w:rPr>
          <w:sz w:val="59"/>
        </w:rPr>
      </w:pPr>
      <w:bookmarkStart w:name="" w:id="1012"/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为贯彻落实《四川省住房和城乡建设厅关于加强装配式建筑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全过程工程质量管控的通知》《攀枝花市人民政府办公室关于推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动装配式建筑发展的实施意见》，推进装配式建筑发展质量五年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行动，加强装配式建筑建设管理，提升装配式建筑发展效能，推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动智能建造与建筑工业化协同发展，现将有关事项通知如下。</w:t>
      </w:r>
      <w:bookmarkEnd w:id="1012"/>
    </w:p>
    <w:p>
      <w:pPr>
        <w:pageBreakBefore w:val="off"/>
        <w:tabs/>
        <w:wordWrap w:val="off"/>
        <w:spacing w:before="0" w:after="0" w:line="840" w:lineRule="atLeast"/>
        <w:ind w:left="1280" w:right="0"/>
        <w:jc w:val="both"/>
        <w:textAlignment w:val="baseline"/>
        <w:rPr>
          <w:sz w:val="62"/>
        </w:rPr>
      </w:pPr>
      <w:bookmarkStart w:name="" w:id="1013"/>
      <w:r>
        <w:rPr>
          <w:rFonts w:ascii="黑体" w:hAnsi="黑体" w:cs="黑体" w:eastAsia="黑体"/>
          <w:sz w:val="62"/>
          <w:spacing w:val="0"/>
          <w:color w:val="000000"/>
          <w:b w:val="on"/>
          <w:i w:val="off"/>
        </w:rPr>
        <w:t>一、执行范围及时间</w:t>
      </w:r>
      <w:bookmarkEnd w:id="1013"/>
    </w:p>
    <w:p>
      <w:pPr>
        <w:pageBreakBefore w:val="off"/>
        <w:tabs/>
        <w:wordWrap w:val="off"/>
        <w:spacing w:before="0" w:after="0" w:line="860" w:lineRule="exact"/>
        <w:ind w:left="0" w:right="0"/>
        <w:jc w:val="both"/>
        <w:textAlignment w:val="baseline"/>
        <w:rPr>
          <w:sz w:val="70"/>
        </w:rPr>
      </w:pPr>
      <w:bookmarkStart w:name="" w:id="1014"/>
      <w:r>
        <w:rPr>
          <w:rFonts w:ascii="宋体" w:hAnsi="宋体" w:cs="宋体" w:eastAsia="宋体"/>
          <w:sz w:val="70"/>
          <w:spacing w:val="0"/>
          <w:color w:val="000000"/>
          <w:b w:val="off"/>
          <w:i w:val="off"/>
        </w:rPr>
        <w:t/>
      </w:r>
      <w:bookmarkEnd w:id="1014"/>
    </w:p>
    <w:p>
      <w:pPr>
        <w:pageBreakBefore w:val="off"/>
        <w:tabs/>
        <w:wordWrap w:val="off"/>
        <w:spacing w:before="0" w:after="0" w:line="860" w:lineRule="exact"/>
        <w:ind w:left="0" w:right="0"/>
        <w:jc w:val="both"/>
        <w:textAlignment w:val="baseline"/>
        <w:rPr>
          <w:sz w:val="70"/>
        </w:rPr>
      </w:pPr>
      <w:bookmarkStart w:name="" w:id="1015"/>
      <w:r>
        <w:rPr>
          <w:rFonts w:ascii="宋体" w:hAnsi="宋体" w:cs="宋体" w:eastAsia="宋体"/>
          <w:sz w:val="70"/>
          <w:spacing w:val="0"/>
          <w:color w:val="000000"/>
          <w:b w:val="off"/>
          <w:i w:val="off"/>
        </w:rPr>
        <w:t/>
      </w:r>
      <w:bookmarkEnd w:id="1015"/>
    </w:p>
    <w:p>
      <w:pPr>
        <w:pageBreakBefore w:val="off"/>
        <w:tabs/>
        <w:wordWrap w:val="off"/>
        <w:spacing w:before="0" w:after="0" w:line="940" w:lineRule="atLeast"/>
        <w:ind w:left="0" w:right="1060"/>
        <w:jc w:val="right"/>
        <w:textAlignment w:val="baseline"/>
        <w:rPr>
          <w:sz w:val="70"/>
        </w:rPr>
      </w:pPr>
      <w:bookmarkStart w:name="" w:id="1016"/>
      <w:r>
        <w:rPr>
          <w:rFonts w:ascii="黑体" w:hAnsi="黑体" w:cs="黑体" w:eastAsia="黑体"/>
          <w:sz w:val="70"/>
          <w:spacing w:val="0"/>
          <w:color w:val="000000"/>
          <w:b w:val="off"/>
          <w:i w:val="off"/>
        </w:rPr>
        <w:t>—1—</w:t>
      </w:r>
      <w:bookmarkEnd w:id="1016"/>
    </w:p>
    <w:p>
      <w:r>
        <w:t/>
      </w:r>
    </w:p>
    <w:p>
      <w:pPr>
        <w:sectPr>
          <w:footerReference r:id="rId5"/>
          <w:headerReference r:id="rId6" w:type="default"/>
          <w:pgSz w:w="22400" w:h="31680"/>
          <w:pgMar w:left="2160" w:top="2180" w:right="2160" w:bottom="2180" w:header="1880" w:footer="1880"/>
          <w:cols w:num="1"/>
        </w:sectPr>
      </w:pPr>
    </w:p>
    <w:p>
      <w:pPr>
        <w:pageBreakBefore w:val="off"/>
        <w:tabs/>
        <w:wordWrap w:val="off"/>
        <w:spacing w:before="1000" w:after="0" w:line="1140" w:lineRule="atLeast"/>
        <w:ind w:left="0" w:right="0" w:firstLine="1260"/>
        <w:jc w:val="both"/>
        <w:textAlignment w:val="baseline"/>
        <w:rPr>
          <w:sz w:val="57"/>
        </w:rPr>
      </w:pPr>
      <w:bookmarkStart w:name="" w:id="1017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以土地划拨或出让文件时间为准，自2024年1月1日起，全市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范围内新划拨或出让土地的项目装配率，按公共建筑项目不低于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40%、其余新建项目不低于35%执行；自2026年1月1日起，全市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范围内新划拨或出让土地的项目装配率不低于50%。出让土地核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定规划条件或划拨土地办理建设项目用地预审与选址意见书前，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住房城乡建设部门会同属地政府就拟供地块的装配式建筑规模、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装配率等提出书面意见，自然资源和规划部门将其内容纳入宗地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规划条件并按照有关要求开展供地工作。本通知实施前已取得国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有土地使用权证或土地使用证明文件，新开展建筑设计的新建项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目，参照本通知执行。</w:t>
      </w:r>
      <w:bookmarkEnd w:id="1017"/>
    </w:p>
    <w:p>
      <w:pPr>
        <w:pageBreakBefore w:val="off"/>
        <w:tabs/>
        <w:wordWrap w:val="off"/>
        <w:spacing w:before="300" w:after="0" w:line="800" w:lineRule="atLeast"/>
        <w:ind w:left="1220" w:right="0"/>
        <w:jc w:val="both"/>
        <w:textAlignment w:val="baseline"/>
        <w:rPr>
          <w:sz w:val="58"/>
        </w:rPr>
      </w:pPr>
      <w:bookmarkStart w:name="" w:id="1018"/>
      <w:r>
        <w:rPr>
          <w:rFonts w:ascii="黑体" w:hAnsi="黑体" w:cs="黑体" w:eastAsia="黑体"/>
          <w:sz w:val="58"/>
          <w:spacing w:val="0"/>
          <w:color w:val="000000"/>
          <w:b w:val="on"/>
          <w:i w:val="off"/>
        </w:rPr>
        <w:t>二、加强装配式建筑设计质量管控</w:t>
      </w:r>
      <w:bookmarkEnd w:id="1018"/>
    </w:p>
    <w:p>
      <w:pPr>
        <w:pageBreakBefore w:val="off"/>
        <w:tabs/>
        <w:wordWrap w:val="off"/>
        <w:spacing w:before="400" w:after="0" w:line="740" w:lineRule="atLeast"/>
        <w:ind w:left="1460" w:right="0"/>
        <w:jc w:val="both"/>
        <w:textAlignment w:val="baseline"/>
        <w:rPr>
          <w:sz w:val="55"/>
        </w:rPr>
      </w:pPr>
      <w:bookmarkStart w:name="" w:id="1019"/>
      <w:r>
        <w:rPr>
          <w:rFonts w:ascii="楷体" w:hAnsi="楷体" w:cs="楷体" w:eastAsia="楷体"/>
          <w:sz w:val="55"/>
          <w:spacing w:val="0"/>
          <w:color w:val="000000"/>
          <w:b w:val="off"/>
          <w:i w:val="off"/>
        </w:rPr>
        <w:t>（一）加强设计管理</w:t>
      </w:r>
      <w:bookmarkEnd w:id="1019"/>
    </w:p>
    <w:p>
      <w:pPr>
        <w:pageBreakBefore w:val="off"/>
        <w:tabs/>
        <w:wordWrap w:val="off"/>
        <w:spacing w:before="0" w:after="0" w:line="1140" w:lineRule="atLeast"/>
        <w:ind w:left="0" w:right="0" w:firstLine="1220"/>
        <w:jc w:val="both"/>
        <w:textAlignment w:val="baseline"/>
        <w:rPr>
          <w:sz w:val="57"/>
        </w:rPr>
      </w:pPr>
      <w:bookmarkStart w:name="" w:id="1020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方案设计阶段，设计单位应按照规划设计条件及装配式建筑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装配率等有关要求进行设计，住房城乡建设部门对装配式建筑设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计方案提出审核意见，自然资源和规划部门将装配式建筑有关要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求纳入建设工程设计方案审定意见。施工图设计阶段，设计单位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按照现行相关规范性文件、工程建设标准规范等进行装配式建筑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专项设计，编制《装配式建筑设计说明专篇》和装配式建筑装配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率计算书，明确装配式建筑的结构体系、装配率、部品部件品种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和规格、主要结构部品部件的连接方式、质量和安全保障措施等。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施工图设计要统筹考虑建筑、结构、机电、装饰等相关专业要求，</w:t>
      </w:r>
      <w:bookmarkEnd w:id="1020"/>
    </w:p>
    <w:p>
      <w:pPr>
        <w:pageBreakBefore w:val="off"/>
        <w:tabs/>
        <w:wordWrap w:val="off"/>
        <w:spacing w:before="0" w:after="0" w:line="640" w:lineRule="exact"/>
        <w:ind w:left="0" w:right="0"/>
        <w:jc w:val="both"/>
        <w:textAlignment w:val="baseline"/>
        <w:rPr>
          <w:sz w:val="55"/>
        </w:rPr>
      </w:pPr>
      <w:bookmarkStart w:name="" w:id="1021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21"/>
    </w:p>
    <w:p>
      <w:pPr>
        <w:pageBreakBefore w:val="off"/>
        <w:tabs/>
        <w:wordWrap w:val="off"/>
        <w:spacing w:before="0" w:after="0" w:line="640" w:lineRule="exact"/>
        <w:ind w:left="0" w:right="0"/>
        <w:jc w:val="both"/>
        <w:textAlignment w:val="baseline"/>
        <w:rPr>
          <w:sz w:val="55"/>
        </w:rPr>
      </w:pPr>
      <w:bookmarkStart w:name="" w:id="1022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22"/>
    </w:p>
    <w:p>
      <w:pPr>
        <w:pageBreakBefore w:val="off"/>
        <w:tabs/>
        <w:wordWrap w:val="off"/>
        <w:spacing w:before="0" w:after="0" w:line="760" w:lineRule="atLeast"/>
        <w:ind w:left="0" w:right="0"/>
        <w:jc w:val="both"/>
        <w:textAlignment w:val="baseline"/>
        <w:rPr>
          <w:sz w:val="55"/>
        </w:rPr>
      </w:pPr>
      <w:bookmarkStart w:name="" w:id="1023"/>
      <w:r>
        <w:rPr>
          <w:rFonts w:ascii="仿宋" w:hAnsi="仿宋" w:cs="仿宋" w:eastAsia="仿宋"/>
          <w:sz w:val="55"/>
          <w:spacing w:val="0"/>
          <w:color w:val="000000"/>
          <w:b w:val="off"/>
          <w:i w:val="off"/>
        </w:rPr>
        <w:t>—2—</w:t>
      </w:r>
      <w:bookmarkEnd w:id="1023"/>
    </w:p>
    <w:p>
      <w:r>
        <w:t/>
      </w:r>
    </w:p>
    <w:p>
      <w:pPr>
        <w:sectPr>
          <w:footerReference r:id="rId7"/>
          <w:headerReference r:id="rId8" w:type="default"/>
          <w:type w:val="nextPage"/>
          <w:pgSz w:w="22400" w:h="31680"/>
          <w:pgMar w:left="2880" w:top="2200" w:right="2880" w:bottom="2200" w:header="1900" w:footer="1900"/>
          <w:cols w:num="1"/>
        </w:sectPr>
      </w:pPr>
    </w:p>
    <w:p>
      <w:pPr>
        <w:pageBreakBefore w:val="off"/>
        <w:tabs/>
        <w:wordWrap w:val="off"/>
        <w:spacing w:before="940" w:after="0" w:line="1040" w:lineRule="atLeast"/>
        <w:ind w:left="0" w:right="0"/>
        <w:jc w:val="both"/>
        <w:textAlignment w:val="baseline"/>
        <w:rPr>
          <w:sz w:val="59"/>
        </w:rPr>
      </w:pPr>
      <w:bookmarkStart w:name="" w:id="1024"/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并满足构件制作、运输和施工需求。鼓励支持设计单位利用建筑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信息模型(BIM)开展专业设计和分析、优化。设计单位不得将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涉及结构安全的装配式建筑构件设计分包给其它单位。对装配率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大于60%的混凝土建筑或装配率大于75%的钢结构建筑，建设单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位应组织专家对设计方案的合理性、可行性、经济性进行论证。</w:t>
      </w:r>
      <w:bookmarkEnd w:id="1024"/>
    </w:p>
    <w:p>
      <w:pPr>
        <w:pageBreakBefore w:val="off"/>
        <w:tabs/>
        <w:wordWrap w:val="off"/>
        <w:spacing w:before="280" w:after="0" w:line="840" w:lineRule="atLeast"/>
        <w:ind w:left="1360" w:right="0"/>
        <w:jc w:val="both"/>
        <w:textAlignment w:val="baseline"/>
        <w:rPr>
          <w:sz w:val="62"/>
        </w:rPr>
      </w:pPr>
      <w:bookmarkStart w:name="" w:id="1025"/>
      <w:r>
        <w:rPr>
          <w:rFonts w:ascii="楷体" w:hAnsi="楷体" w:cs="楷体" w:eastAsia="楷体"/>
          <w:sz w:val="62"/>
          <w:spacing w:val="0"/>
          <w:color w:val="000000"/>
          <w:b w:val="off"/>
          <w:i w:val="off"/>
        </w:rPr>
        <w:t>(二)严格施工图审查</w:t>
      </w:r>
      <w:bookmarkEnd w:id="1025"/>
    </w:p>
    <w:p>
      <w:pPr>
        <w:pageBreakBefore w:val="off"/>
        <w:tabs/>
        <w:wordWrap w:val="off"/>
        <w:spacing w:before="0" w:after="0" w:line="1040" w:lineRule="atLeast"/>
        <w:ind w:left="0" w:right="0" w:firstLine="1200"/>
        <w:jc w:val="both"/>
        <w:textAlignment w:val="baseline"/>
        <w:rPr>
          <w:sz w:val="59"/>
        </w:rPr>
      </w:pPr>
      <w:bookmarkStart w:name="" w:id="1026"/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建设单位应提供符合装配式建筑设计深度要求的设计文件，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施工图审查机构应按照《装配式建筑评价标准》(GB/T51129)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《四川省装配式混凝土结构建筑工程施工图设计文件审查要点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(试行)》《四川省装配式钢结构建筑工程施工图设计文件审查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要点(试行)》《四川省装配式建筑装配率计算细则》等国家及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省相关规定和土地划拨或出让文件相关要求进行审查，对未按本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通知要求进行装配式建筑专篇设计的不得受理，对达不到装配率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要求或装配式建筑设计专篇深度不够的不得出具施工图审查合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格书。对涉及装配率的后期专项设计(如装饰装修等)，建设单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位应向审查机构提供装配率设计承诺书，涉及装配率变化的设计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变更，原则上由原审查机构负责审查。</w:t>
      </w:r>
      <w:bookmarkEnd w:id="1026"/>
    </w:p>
    <w:p>
      <w:pPr>
        <w:pageBreakBefore w:val="off"/>
        <w:tabs/>
        <w:wordWrap w:val="off"/>
        <w:spacing w:before="260" w:after="0" w:line="800" w:lineRule="atLeast"/>
        <w:ind w:left="1200" w:right="0"/>
        <w:jc w:val="both"/>
        <w:textAlignment w:val="baseline"/>
        <w:rPr>
          <w:sz w:val="58"/>
        </w:rPr>
      </w:pPr>
      <w:bookmarkStart w:name="" w:id="1027"/>
      <w:r>
        <w:rPr>
          <w:rFonts w:ascii="黑体" w:hAnsi="黑体" w:cs="黑体" w:eastAsia="黑体"/>
          <w:sz w:val="58"/>
          <w:spacing w:val="0"/>
          <w:color w:val="000000"/>
          <w:b w:val="on"/>
          <w:i w:val="off"/>
        </w:rPr>
        <w:t>三、加强构件生产质量管控</w:t>
      </w:r>
      <w:bookmarkEnd w:id="1027"/>
    </w:p>
    <w:p>
      <w:pPr>
        <w:pageBreakBefore w:val="off"/>
        <w:tabs/>
        <w:wordWrap w:val="off"/>
        <w:spacing w:before="0" w:after="0" w:line="1040" w:lineRule="atLeast"/>
        <w:ind w:left="0" w:right="0" w:firstLine="1200"/>
        <w:jc w:val="both"/>
        <w:textAlignment w:val="baseline"/>
        <w:rPr>
          <w:sz w:val="59"/>
        </w:rPr>
      </w:pPr>
      <w:bookmarkStart w:name="" w:id="1028"/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构件生产企业要按照《四川省装配式建筑部品部件生产质量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保障能力评估办法》《关于推进四川省装配式建筑工业化部品部</w:t>
      </w:r>
      <w:r>
        <w:rPr>
          <w:rFonts w:ascii="仿宋" w:hAnsi="仿宋" w:cs="仿宋" w:eastAsia="仿宋"/>
          <w:sz w:val="59"/>
          <w:spacing w:val="0"/>
          <w:color w:val="000000"/>
          <w:b w:val="off"/>
          <w:i w:val="off"/>
        </w:rPr>
        <w:t>件产业高质量发展的指导意见》有关要求，切实提高构件生产质</w:t>
      </w:r>
      <w:bookmarkEnd w:id="1028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53"/>
        </w:rPr>
      </w:pPr>
      <w:bookmarkStart w:name="" w:id="1029"/>
      <w:r>
        <w:rPr>
          <w:rFonts w:ascii="宋体" w:hAnsi="宋体" w:cs="宋体" w:eastAsia="宋体"/>
          <w:sz w:val="53"/>
          <w:spacing w:val="0"/>
          <w:color w:val="000000"/>
          <w:b w:val="off"/>
          <w:i w:val="off"/>
        </w:rPr>
        <w:t/>
      </w:r>
      <w:bookmarkEnd w:id="1029"/>
    </w:p>
    <w:p>
      <w:pPr>
        <w:pageBreakBefore w:val="off"/>
        <w:tabs/>
        <w:wordWrap w:val="off"/>
        <w:spacing w:before="0" w:after="0" w:line="600" w:lineRule="exact"/>
        <w:ind w:left="0" w:right="0"/>
        <w:jc w:val="both"/>
        <w:textAlignment w:val="baseline"/>
        <w:rPr>
          <w:sz w:val="53"/>
        </w:rPr>
      </w:pPr>
      <w:bookmarkStart w:name="" w:id="1030"/>
      <w:r>
        <w:rPr>
          <w:rFonts w:ascii="宋体" w:hAnsi="宋体" w:cs="宋体" w:eastAsia="宋体"/>
          <w:sz w:val="53"/>
          <w:spacing w:val="0"/>
          <w:color w:val="000000"/>
          <w:b w:val="off"/>
          <w:i w:val="off"/>
        </w:rPr>
        <w:t/>
      </w:r>
      <w:bookmarkEnd w:id="1030"/>
    </w:p>
    <w:p>
      <w:pPr>
        <w:pageBreakBefore w:val="off"/>
        <w:tabs/>
        <w:wordWrap w:val="off"/>
        <w:spacing w:before="0" w:after="0" w:line="720" w:lineRule="atLeast"/>
        <w:ind w:left="0" w:right="0"/>
        <w:jc w:val="right"/>
        <w:textAlignment w:val="baseline"/>
        <w:rPr>
          <w:sz w:val="53"/>
        </w:rPr>
      </w:pPr>
      <w:bookmarkStart w:name="" w:id="1031"/>
      <w:r>
        <w:rPr>
          <w:rFonts w:ascii="仿宋" w:hAnsi="仿宋" w:cs="仿宋" w:eastAsia="仿宋"/>
          <w:sz w:val="53"/>
          <w:spacing w:val="0"/>
          <w:color w:val="000000"/>
          <w:b w:val="off"/>
          <w:i w:val="off"/>
        </w:rPr>
        <w:t>—3—</w:t>
      </w:r>
      <w:bookmarkEnd w:id="1031"/>
    </w:p>
    <w:p>
      <w:r>
        <w:t/>
      </w:r>
    </w:p>
    <w:p>
      <w:pPr>
        <w:sectPr>
          <w:footerReference r:id="rId9"/>
          <w:headerReference r:id="rId10" w:type="default"/>
          <w:type w:val="nextPage"/>
          <w:pgSz w:w="22400" w:h="31680"/>
          <w:pgMar w:left="2860" w:top="2200" w:right="2860" w:bottom="2200" w:header="1900" w:footer="1900"/>
          <w:cols w:num="1"/>
        </w:sectPr>
      </w:pPr>
    </w:p>
    <w:p>
      <w:pPr>
        <w:pageBreakBefore w:val="off"/>
        <w:tabs/>
        <w:wordWrap w:val="off"/>
        <w:spacing w:before="1020" w:after="0" w:line="1120" w:lineRule="atLeast"/>
        <w:ind w:left="0" w:right="0"/>
        <w:jc w:val="both"/>
        <w:textAlignment w:val="baseline"/>
        <w:rPr>
          <w:sz w:val="58"/>
        </w:rPr>
      </w:pPr>
      <w:bookmarkStart w:name="" w:id="1032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量保障能力。要建立原材料质量检验、技术交底、部品部件生产、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出厂检验等环节全过程质量可追溯体系，标准构件应按照标准图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集进行生产，制定企业产品标准；定制结构构件要按照相关技术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标准及设计要求进行生产。混凝土结构构件出厂时，应提供质量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合格证及钢筋、套筒、灌浆材料、吊件等主要材料复检报告或材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质证书、标准养护条件下28天强度检测报告及构件型式检验报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告。钢结构构件出厂时，应提供质量合格证以及钢材、焊材、栓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钉等主要材料合格证和按标准要求的检测报告。</w:t>
      </w:r>
      <w:bookmarkEnd w:id="1032"/>
    </w:p>
    <w:p>
      <w:pPr>
        <w:pageBreakBefore w:val="off"/>
        <w:tabs/>
        <w:wordWrap w:val="off"/>
        <w:spacing w:before="0" w:after="0" w:line="1120" w:lineRule="atLeast"/>
        <w:ind w:left="1240" w:right="0"/>
        <w:jc w:val="both"/>
        <w:textAlignment w:val="baseline"/>
        <w:rPr>
          <w:sz w:val="58"/>
        </w:rPr>
      </w:pPr>
      <w:bookmarkStart w:name="" w:id="1033"/>
      <w:r>
        <w:rPr>
          <w:rFonts w:ascii="黑体" w:hAnsi="黑体" w:cs="黑体" w:eastAsia="黑体"/>
          <w:sz w:val="58"/>
          <w:spacing w:val="0"/>
          <w:color w:val="000000"/>
          <w:b w:val="on"/>
          <w:i w:val="off"/>
        </w:rPr>
        <w:t>四、强化施工过程质量管控</w:t>
      </w:r>
      <w:bookmarkEnd w:id="1033"/>
    </w:p>
    <w:p>
      <w:pPr>
        <w:pageBreakBefore w:val="off"/>
        <w:tabs/>
        <w:wordWrap w:val="off"/>
        <w:spacing w:before="400" w:after="0" w:line="800" w:lineRule="atLeast"/>
        <w:ind w:left="1460" w:right="0"/>
        <w:jc w:val="both"/>
        <w:textAlignment w:val="baseline"/>
        <w:rPr>
          <w:sz w:val="56"/>
        </w:rPr>
      </w:pPr>
      <w:bookmarkStart w:name="" w:id="1034"/>
      <w:r>
        <w:rPr>
          <w:rFonts w:ascii="楷体" w:hAnsi="楷体" w:cs="楷体" w:eastAsia="楷体"/>
          <w:sz w:val="56"/>
          <w:spacing w:val="0"/>
          <w:color w:val="000000"/>
          <w:b w:val="off"/>
          <w:i w:val="off"/>
        </w:rPr>
        <w:t>（一）规范构件进场验收</w:t>
      </w:r>
      <w:bookmarkEnd w:id="1034"/>
    </w:p>
    <w:p>
      <w:pPr>
        <w:pageBreakBefore w:val="off"/>
        <w:tabs/>
        <w:wordWrap w:val="off"/>
        <w:spacing w:before="0" w:after="0" w:line="1120" w:lineRule="atLeast"/>
        <w:ind w:left="0" w:right="0" w:firstLine="1200"/>
        <w:jc w:val="both"/>
        <w:textAlignment w:val="baseline"/>
        <w:rPr>
          <w:sz w:val="58"/>
        </w:rPr>
      </w:pPr>
      <w:bookmarkStart w:name="" w:id="1035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建设、施工及监理单位要依据《钢结构工程施工质量验收标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准》（GB50205）《建筑工业化混凝土预制构件制作、安装及质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量验收规程》（DBJ51/T008）等标准规定，按钢结构和混凝土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预制构件进场批次组织质量检查，查验其合格证、出厂检验报告，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对生产企业提供的套筒灌浆连接产品型式检验报告及灌浆材料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性能复检报告进行核验，对预制构件的标识、外观质量、尺寸偏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差以及钢筋灌浆套筒的预留位置、套筒内杂质、灌浆孔和出浆孔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通透性等进行检查，并建立进场验收台账。设计文件若未对构件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检验作明确要求，混凝土构件进场后可不作结构性能检验，但须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进行构件实体检验。</w:t>
      </w:r>
      <w:bookmarkEnd w:id="1035"/>
    </w:p>
    <w:p>
      <w:pPr>
        <w:pageBreakBefore w:val="off"/>
        <w:tabs/>
        <w:wordWrap w:val="off"/>
        <w:spacing w:before="260" w:after="0" w:line="800" w:lineRule="atLeast"/>
        <w:ind w:left="1460" w:right="0"/>
        <w:jc w:val="both"/>
        <w:textAlignment w:val="baseline"/>
        <w:rPr>
          <w:sz w:val="56"/>
        </w:rPr>
      </w:pPr>
      <w:bookmarkStart w:name="" w:id="1036"/>
      <w:r>
        <w:rPr>
          <w:rFonts w:ascii="楷体" w:hAnsi="楷体" w:cs="楷体" w:eastAsia="楷体"/>
          <w:sz w:val="56"/>
          <w:spacing w:val="0"/>
          <w:color w:val="000000"/>
          <w:b w:val="off"/>
          <w:i w:val="off"/>
        </w:rPr>
        <w:t>（二）建立样板先行制度</w:t>
      </w:r>
      <w:bookmarkEnd w:id="1036"/>
    </w:p>
    <w:p>
      <w:pPr>
        <w:pageBreakBefore w:val="off"/>
        <w:tabs/>
        <w:wordWrap w:val="off"/>
        <w:spacing w:before="0" w:after="0" w:line="700" w:lineRule="exact"/>
        <w:ind w:left="0" w:right="0"/>
        <w:jc w:val="both"/>
        <w:textAlignment w:val="baseline"/>
        <w:rPr>
          <w:sz w:val="56"/>
        </w:rPr>
      </w:pPr>
      <w:bookmarkStart w:name="" w:id="1037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37"/>
    </w:p>
    <w:p>
      <w:pPr>
        <w:pageBreakBefore w:val="off"/>
        <w:tabs/>
        <w:wordWrap w:val="off"/>
        <w:spacing w:before="0" w:after="0" w:line="700" w:lineRule="exact"/>
        <w:ind w:left="0" w:right="0"/>
        <w:jc w:val="both"/>
        <w:textAlignment w:val="baseline"/>
        <w:rPr>
          <w:sz w:val="56"/>
        </w:rPr>
      </w:pPr>
      <w:bookmarkStart w:name="" w:id="1038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38"/>
    </w:p>
    <w:p>
      <w:pPr>
        <w:pageBreakBefore w:val="off"/>
        <w:tabs/>
        <w:wordWrap w:val="off"/>
        <w:spacing w:before="0" w:after="0" w:line="720" w:lineRule="atLeast"/>
        <w:ind w:left="0" w:right="0"/>
        <w:jc w:val="both"/>
        <w:textAlignment w:val="baseline"/>
        <w:rPr>
          <w:sz w:val="53"/>
        </w:rPr>
      </w:pPr>
      <w:bookmarkStart w:name="" w:id="1039"/>
      <w:r>
        <w:rPr>
          <w:rFonts w:ascii="黑体" w:hAnsi="黑体" w:cs="黑体" w:eastAsia="黑体"/>
          <w:sz w:val="53"/>
          <w:spacing w:val="0"/>
          <w:color w:val="000000"/>
          <w:b w:val="off"/>
          <w:i w:val="off"/>
        </w:rPr>
        <w:t>——4—</w:t>
      </w:r>
      <w:bookmarkEnd w:id="1039"/>
    </w:p>
    <w:p>
      <w:r>
        <w:t/>
      </w:r>
    </w:p>
    <w:p>
      <w:pPr>
        <w:sectPr>
          <w:footerReference r:id="rId11"/>
          <w:headerReference r:id="rId12" w:type="default"/>
          <w:type w:val="nextPage"/>
          <w:pgSz w:w="22400" w:h="31680"/>
          <w:pgMar w:left="2880" w:top="2200" w:right="2880" w:bottom="2200" w:header="1900" w:footer="1900"/>
          <w:cols w:num="1"/>
        </w:sectPr>
      </w:pPr>
    </w:p>
    <w:p>
      <w:pPr>
        <w:pageBreakBefore w:val="off"/>
        <w:tabs/>
        <w:wordWrap w:val="off"/>
        <w:spacing w:before="1020" w:after="0" w:line="1140" w:lineRule="atLeast"/>
        <w:ind w:left="0" w:right="0" w:firstLine="1180"/>
        <w:jc w:val="both"/>
        <w:textAlignment w:val="baseline"/>
        <w:rPr>
          <w:sz w:val="57"/>
        </w:rPr>
      </w:pPr>
      <w:bookmarkStart w:name="" w:id="1040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装配式混凝土建筑工程施工应实行“样板先行”制度，装配式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施工前，应选择有代表性的构件单元进行验证性安装，并根据验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证性安装结果及时调整施工工艺，完善施工方案。验证性安装样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板应对灌浆套筒连接节点、叠合构件浇筑节点、外墙挂板连接节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点、保温和防水构造节点等进行样板展示。应组织项目全体施工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管理人员通过验证性安装样板进行技术交底，掌握施工流程和工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艺，知晓设计文件和检查验收要求。建设单位应组织设计单位、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施工单位、监理单位对首个样板段质量进行验收，重点对观感质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量、位置尺寸偏差、连接质量、防水构造、预埋预留等进行检查，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合格后方可进行后续大面积施工。</w:t>
      </w:r>
      <w:bookmarkEnd w:id="1040"/>
    </w:p>
    <w:p>
      <w:pPr>
        <w:pageBreakBefore w:val="off"/>
        <w:tabs/>
        <w:wordWrap w:val="off"/>
        <w:spacing w:before="0" w:after="0" w:line="1140" w:lineRule="atLeast"/>
        <w:ind w:left="1460" w:right="0"/>
        <w:jc w:val="both"/>
        <w:textAlignment w:val="baseline"/>
        <w:rPr>
          <w:sz w:val="57"/>
        </w:rPr>
      </w:pPr>
      <w:bookmarkStart w:name="" w:id="1041"/>
      <w:r>
        <w:rPr>
          <w:rFonts w:ascii="楷体" w:hAnsi="楷体" w:cs="楷体" w:eastAsia="楷体"/>
          <w:sz w:val="57"/>
          <w:spacing w:val="0"/>
          <w:color w:val="000000"/>
          <w:b w:val="off"/>
          <w:i w:val="off"/>
        </w:rPr>
        <w:t>（三）强化施工过程相关责任主体行为</w:t>
      </w:r>
      <w:bookmarkEnd w:id="1041"/>
    </w:p>
    <w:p>
      <w:pPr>
        <w:pageBreakBefore w:val="off"/>
        <w:tabs/>
        <w:wordWrap w:val="off"/>
        <w:spacing w:before="0" w:after="0" w:line="1140" w:lineRule="atLeast"/>
        <w:ind w:left="0" w:right="0" w:firstLine="1180"/>
        <w:jc w:val="both"/>
        <w:textAlignment w:val="baseline"/>
        <w:rPr>
          <w:sz w:val="57"/>
        </w:rPr>
      </w:pPr>
      <w:bookmarkStart w:name="" w:id="1042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建设单位应负责施工过程中各方之间的协调工作和质量安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全的全面管理工作，不得肢解发包工程，不得擅自变更审查合格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的施工图设计文件，审查施工单位编制的专项施工方案和监理单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位编制的专项监理实施细则。</w:t>
      </w:r>
      <w:bookmarkEnd w:id="1042"/>
    </w:p>
    <w:p>
      <w:pPr>
        <w:pageBreakBefore w:val="off"/>
        <w:tabs/>
        <w:wordWrap w:val="off"/>
        <w:spacing w:before="0" w:after="0" w:line="1140" w:lineRule="atLeast"/>
        <w:ind w:left="0" w:right="0" w:firstLine="1180"/>
        <w:jc w:val="both"/>
        <w:textAlignment w:val="baseline"/>
        <w:rPr>
          <w:sz w:val="57"/>
        </w:rPr>
      </w:pPr>
      <w:bookmarkStart w:name="" w:id="1043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设计单位要加强全过程跟踪服务，应将审查合格的施工图设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计文件向部品部件生产单位、施工单位和监理单位进行设计交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底，配合建设单位做好装配式建筑专项施工方案的审查。</w:t>
      </w:r>
      <w:bookmarkEnd w:id="1043"/>
    </w:p>
    <w:p>
      <w:pPr>
        <w:pageBreakBefore w:val="off"/>
        <w:tabs/>
        <w:wordWrap w:val="off"/>
        <w:spacing w:before="0" w:after="0" w:line="1140" w:lineRule="atLeast"/>
        <w:ind w:left="0" w:right="0" w:firstLine="1180"/>
        <w:jc w:val="both"/>
        <w:textAlignment w:val="baseline"/>
        <w:rPr>
          <w:sz w:val="57"/>
        </w:rPr>
      </w:pPr>
      <w:bookmarkStart w:name="" w:id="1044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施工单位要建立健全质量安全保障体系，制定预制构件进场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验收、节点连接质量控制、首层或首个代表性施工段试安装验收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等内部质量管理制度。根据施工图设计（含预制构件深化设计）</w:t>
      </w:r>
      <w:bookmarkEnd w:id="1044"/>
    </w:p>
    <w:p>
      <w:pPr>
        <w:pageBreakBefore w:val="off"/>
        <w:tabs/>
        <w:wordWrap w:val="off"/>
        <w:spacing w:before="0" w:after="0" w:line="1160" w:lineRule="exact"/>
        <w:ind w:left="0" w:right="0"/>
        <w:jc w:val="both"/>
        <w:textAlignment w:val="baseline"/>
        <w:rPr>
          <w:sz w:val="57"/>
        </w:rPr>
      </w:pPr>
      <w:bookmarkStart w:name="" w:id="1045"/>
      <w:r>
        <w:rPr>
          <w:rFonts w:ascii="宋体" w:hAnsi="宋体" w:cs="宋体" w:eastAsia="宋体"/>
          <w:sz w:val="57"/>
          <w:spacing w:val="0"/>
          <w:color w:val="000000"/>
          <w:b w:val="off"/>
          <w:i w:val="off"/>
        </w:rPr>
        <w:t/>
      </w:r>
      <w:bookmarkEnd w:id="1045"/>
    </w:p>
    <w:p>
      <w:pPr>
        <w:pageBreakBefore w:val="off"/>
        <w:tabs/>
        <w:wordWrap w:val="off"/>
        <w:spacing w:before="0" w:after="0" w:line="720" w:lineRule="atLeast"/>
        <w:ind w:left="0" w:right="0"/>
        <w:jc w:val="right"/>
        <w:textAlignment w:val="baseline"/>
        <w:rPr>
          <w:sz w:val="53"/>
        </w:rPr>
      </w:pPr>
      <w:bookmarkStart w:name="" w:id="1046"/>
      <w:r>
        <w:rPr>
          <w:rFonts w:ascii="仿宋" w:hAnsi="仿宋" w:cs="仿宋" w:eastAsia="仿宋"/>
          <w:sz w:val="53"/>
          <w:spacing w:val="0"/>
          <w:color w:val="000000"/>
          <w:b w:val="off"/>
          <w:i w:val="off"/>
        </w:rPr>
        <w:t>—5—</w:t>
      </w:r>
      <w:bookmarkEnd w:id="1046"/>
    </w:p>
    <w:p>
      <w:r>
        <w:t/>
      </w:r>
    </w:p>
    <w:p>
      <w:pPr>
        <w:sectPr>
          <w:footerReference r:id="rId13"/>
          <w:headerReference r:id="rId14" w:type="default"/>
          <w:type w:val="nextPage"/>
          <w:pgSz w:w="22400" w:h="31680"/>
          <w:pgMar w:left="2880" w:top="2200" w:right="2880" w:bottom="2200" w:header="1900" w:footer="1900"/>
          <w:cols w:num="1"/>
        </w:sectPr>
      </w:pPr>
    </w:p>
    <w:p>
      <w:pPr>
        <w:pageBreakBefore w:val="off"/>
        <w:tabs/>
        <w:wordWrap w:val="off"/>
        <w:spacing w:before="1020" w:after="0" w:line="1140" w:lineRule="atLeast"/>
        <w:ind w:left="0" w:right="0"/>
        <w:jc w:val="both"/>
        <w:textAlignment w:val="baseline"/>
        <w:rPr>
          <w:sz w:val="58"/>
        </w:rPr>
      </w:pPr>
      <w:bookmarkStart w:name="" w:id="1047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文件和装配式建筑相关标准要求，编制涵盖施工计划、预制构件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堆放、安装、节点连接、构件支撑等内容的施工组织设计文件。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要重点突出预制构件支撑方式、首层或首个代表性施工段安装等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专项施工方案的编制，针对竖向构件套筒灌浆施工环节制定具体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方案，明晰灌浆技术标准、流程、工艺和关键岗位责任人。施工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单位应组织套筒灌浆作业人员开展技能培训和考核。施工过程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中，必须使用与套筒相匹配的灌浆材料，在具备相应作业环境条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件下方可施工，并按工艺流程进行现场试件性能检验。</w:t>
      </w:r>
      <w:bookmarkEnd w:id="1047"/>
    </w:p>
    <w:p>
      <w:pPr>
        <w:pageBreakBefore w:val="off"/>
        <w:tabs/>
        <w:wordWrap w:val="off"/>
        <w:spacing w:before="0" w:after="0" w:line="1140" w:lineRule="atLeast"/>
        <w:ind w:left="0" w:right="0" w:firstLine="1200"/>
        <w:jc w:val="both"/>
        <w:textAlignment w:val="baseline"/>
        <w:rPr>
          <w:sz w:val="58"/>
        </w:rPr>
      </w:pPr>
      <w:bookmarkStart w:name="" w:id="1048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监理单位应依据设计文件及相关标准，编制专项监理实施细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则，明确关键环节、关键部位、见证取样及旁站具体要求，经建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设单位审查同意后实施。要重点核查施工管理人员对预制构件吊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装及节点连接等关键工序的技术交底。要加强对首层或首个代表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性施工段安装、预制构件节点连接、装配式结构构件与现浇结构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连接等关键工序、关键部位及灌浆施工过程实施旁站监理。要对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外围护预制构件密封防水施工进行重点巡检，验收检验批、预制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构件隐蔽安装情况，形成记录资料。所有关键节点和关键部位的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隐蔽施工，须实行举牌验收。</w:t>
      </w:r>
      <w:bookmarkEnd w:id="1048"/>
    </w:p>
    <w:p>
      <w:pPr>
        <w:pageBreakBefore w:val="off"/>
        <w:tabs/>
        <w:wordWrap w:val="off"/>
        <w:spacing w:before="0" w:after="0" w:line="1140" w:lineRule="atLeast"/>
        <w:ind w:left="1460" w:right="0"/>
        <w:jc w:val="both"/>
        <w:textAlignment w:val="baseline"/>
        <w:rPr>
          <w:sz w:val="58"/>
        </w:rPr>
      </w:pPr>
      <w:bookmarkStart w:name="" w:id="1049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（四）规范竣工验收行为</w:t>
      </w:r>
      <w:bookmarkEnd w:id="1049"/>
    </w:p>
    <w:p>
      <w:pPr>
        <w:pageBreakBefore w:val="off"/>
        <w:tabs/>
        <w:wordWrap w:val="off"/>
        <w:spacing w:before="0" w:after="0" w:line="1140" w:lineRule="atLeast"/>
        <w:ind w:left="0" w:right="0" w:firstLine="1200"/>
        <w:jc w:val="both"/>
        <w:textAlignment w:val="baseline"/>
        <w:rPr>
          <w:sz w:val="58"/>
        </w:rPr>
      </w:pPr>
      <w:bookmarkStart w:name="" w:id="1050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建设单位应及时组织设计、施工、监理等责任主体单位开展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项目竣工验收，对工程实体进行全面检查，主要检查工程项目是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否满足装配式建筑设计标准和装配率设计要求，是否完成合同约</w:t>
      </w:r>
      <w:bookmarkEnd w:id="1050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55"/>
        </w:rPr>
      </w:pPr>
      <w:bookmarkStart w:name="" w:id="1051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51"/>
    </w:p>
    <w:p>
      <w:pPr>
        <w:pageBreakBefore w:val="off"/>
        <w:tabs/>
        <w:wordWrap w:val="off"/>
        <w:spacing w:before="0" w:after="0" w:line="620" w:lineRule="exact"/>
        <w:ind w:left="0" w:right="0"/>
        <w:jc w:val="both"/>
        <w:textAlignment w:val="baseline"/>
        <w:rPr>
          <w:sz w:val="55"/>
        </w:rPr>
      </w:pPr>
      <w:bookmarkStart w:name="" w:id="1052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52"/>
    </w:p>
    <w:p>
      <w:pPr>
        <w:pageBreakBefore w:val="off"/>
        <w:tabs/>
        <w:wordWrap w:val="off"/>
        <w:spacing w:before="0" w:after="0" w:line="760" w:lineRule="atLeast"/>
        <w:ind w:left="0" w:right="0"/>
        <w:jc w:val="both"/>
        <w:textAlignment w:val="baseline"/>
        <w:rPr>
          <w:sz w:val="55"/>
        </w:rPr>
      </w:pPr>
      <w:bookmarkStart w:name="" w:id="1053"/>
      <w:r>
        <w:rPr>
          <w:rFonts w:ascii="仿宋" w:hAnsi="仿宋" w:cs="仿宋" w:eastAsia="仿宋"/>
          <w:sz w:val="55"/>
          <w:spacing w:val="0"/>
          <w:color w:val="000000"/>
          <w:b w:val="off"/>
          <w:i w:val="off"/>
        </w:rPr>
        <w:t>—6—</w:t>
      </w:r>
      <w:bookmarkEnd w:id="1053"/>
    </w:p>
    <w:p>
      <w:r>
        <w:t/>
      </w:r>
    </w:p>
    <w:p>
      <w:pPr>
        <w:sectPr>
          <w:footerReference r:id="rId15"/>
          <w:headerReference r:id="rId16" w:type="default"/>
          <w:type w:val="nextPage"/>
          <w:pgSz w:w="22400" w:h="31680"/>
          <w:pgMar w:left="2880" w:top="2200" w:right="2880" w:bottom="2200" w:header="1900" w:footer="1900"/>
          <w:cols w:num="1"/>
        </w:sectPr>
      </w:pPr>
    </w:p>
    <w:p>
      <w:pPr>
        <w:pageBreakBefore w:val="off"/>
        <w:tabs/>
        <w:wordWrap w:val="off"/>
        <w:spacing w:before="1000" w:after="0" w:line="1140" w:lineRule="atLeast"/>
        <w:ind w:left="0" w:right="0"/>
        <w:jc w:val="both"/>
        <w:textAlignment w:val="baseline"/>
        <w:rPr>
          <w:sz w:val="57"/>
        </w:rPr>
      </w:pPr>
      <w:bookmarkStart w:name="" w:id="1054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定各项目内容，技术档案资料是否完整，施工管理资料是否规范，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主要建筑材料、建筑构配件和设备的进场实验报告是否符合竣工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验收条件。项目竣工验收时，应在竣工验收报告中注明装配式建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筑面积、结构类型、预制构件种类、装配率以及是否符合装配式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建筑建设要求，并经各方责任主体针对装配式建筑建设要求落实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情况签署明确具体的意见。</w:t>
      </w:r>
      <w:bookmarkEnd w:id="1054"/>
    </w:p>
    <w:p>
      <w:pPr>
        <w:pageBreakBefore w:val="off"/>
        <w:tabs/>
        <w:wordWrap w:val="off"/>
        <w:spacing w:before="300" w:after="0" w:line="800" w:lineRule="atLeast"/>
        <w:ind w:left="1240" w:right="0"/>
        <w:jc w:val="both"/>
        <w:textAlignment w:val="baseline"/>
        <w:rPr>
          <w:sz w:val="58"/>
        </w:rPr>
      </w:pPr>
      <w:bookmarkStart w:name="" w:id="1055"/>
      <w:r>
        <w:rPr>
          <w:rFonts w:ascii="黑体" w:hAnsi="黑体" w:cs="黑体" w:eastAsia="黑体"/>
          <w:sz w:val="58"/>
          <w:spacing w:val="0"/>
          <w:color w:val="000000"/>
          <w:b w:val="on"/>
          <w:i w:val="off"/>
        </w:rPr>
        <w:t>五、加强工程建设监管</w:t>
      </w:r>
      <w:bookmarkEnd w:id="1055"/>
    </w:p>
    <w:p>
      <w:pPr>
        <w:pageBreakBefore w:val="off"/>
        <w:tabs/>
        <w:wordWrap w:val="off"/>
        <w:spacing w:before="0" w:after="0" w:line="1140" w:lineRule="atLeast"/>
        <w:ind w:left="0" w:right="0" w:firstLine="1440"/>
        <w:jc w:val="both"/>
        <w:textAlignment w:val="baseline"/>
        <w:rPr>
          <w:sz w:val="57"/>
        </w:rPr>
      </w:pPr>
      <w:bookmarkStart w:name="" w:id="1056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（一）严格施工质量监管。各级工程质量监督管理部门要认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真履行装配式建筑工程质量监督管理责任。过程监督前要进行监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督工作交底，过程监督中要加强对建设、设计、施工、监理等单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位质量主体责任履行情况及质量管理过程行为监督，抽查预制构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件进场质量，以及工程实体结构质量与质量控制资料。具体实施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中要重点对主要分部（子分部）工程各环节的质量验收、责任主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体单位竣工验收的组织形式、程序及执行验收标准是否符合有关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规定和验收结论是否明确进行监督，并形成监督意见。对不满足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要求的，竣工备案部门不予竣工备案。发现质量问题责令限期整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改，并依法依规查处。</w:t>
      </w:r>
      <w:bookmarkEnd w:id="1056"/>
    </w:p>
    <w:p>
      <w:pPr>
        <w:pageBreakBefore w:val="off"/>
        <w:tabs/>
        <w:wordWrap w:val="off"/>
        <w:spacing w:before="0" w:after="0" w:line="1140" w:lineRule="atLeast"/>
        <w:ind w:left="0" w:right="0" w:firstLine="1440"/>
        <w:jc w:val="both"/>
        <w:textAlignment w:val="baseline"/>
        <w:rPr>
          <w:sz w:val="57"/>
        </w:rPr>
      </w:pPr>
      <w:bookmarkStart w:name="" w:id="1057"/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（二）改进质量监管方式。各级工程质量监督管理部门要充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分利用“互联网+智慧监管”等手段，建好用好“智慧工地”平台，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归集装配式建筑项目基础信息、定期开展质量安全数据分析，提</w:t>
      </w:r>
      <w:r>
        <w:rPr>
          <w:rFonts w:ascii="仿宋" w:hAnsi="仿宋" w:cs="仿宋" w:eastAsia="仿宋"/>
          <w:sz w:val="57"/>
          <w:spacing w:val="0"/>
          <w:color w:val="000000"/>
          <w:b w:val="off"/>
          <w:i w:val="off"/>
        </w:rPr>
        <w:t>高工程项目建设监管水平，督促各责任主体单位加强工程质量建</w:t>
      </w:r>
      <w:bookmarkEnd w:id="1057"/>
    </w:p>
    <w:p>
      <w:pPr>
        <w:pageBreakBefore w:val="off"/>
        <w:tabs/>
        <w:wordWrap w:val="off"/>
        <w:spacing w:before="0" w:after="0" w:line="640" w:lineRule="exact"/>
        <w:ind w:left="0" w:right="0"/>
        <w:jc w:val="both"/>
        <w:textAlignment w:val="baseline"/>
        <w:rPr>
          <w:sz w:val="55"/>
        </w:rPr>
      </w:pPr>
      <w:bookmarkStart w:name="" w:id="1058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58"/>
    </w:p>
    <w:p>
      <w:pPr>
        <w:pageBreakBefore w:val="off"/>
        <w:tabs/>
        <w:wordWrap w:val="off"/>
        <w:spacing w:before="0" w:after="0" w:line="640" w:lineRule="exact"/>
        <w:ind w:left="0" w:right="0"/>
        <w:jc w:val="both"/>
        <w:textAlignment w:val="baseline"/>
        <w:rPr>
          <w:sz w:val="55"/>
        </w:rPr>
      </w:pPr>
      <w:bookmarkStart w:name="" w:id="1059"/>
      <w:r>
        <w:rPr>
          <w:rFonts w:ascii="宋体" w:hAnsi="宋体" w:cs="宋体" w:eastAsia="宋体"/>
          <w:sz w:val="55"/>
          <w:spacing w:val="0"/>
          <w:color w:val="000000"/>
          <w:b w:val="off"/>
          <w:i w:val="off"/>
        </w:rPr>
        <w:t/>
      </w:r>
      <w:bookmarkEnd w:id="1059"/>
    </w:p>
    <w:p>
      <w:pPr>
        <w:pageBreakBefore w:val="off"/>
        <w:tabs/>
        <w:wordWrap w:val="off"/>
        <w:spacing w:before="0" w:after="0" w:line="760" w:lineRule="atLeast"/>
        <w:ind w:left="0" w:right="0"/>
        <w:jc w:val="right"/>
        <w:textAlignment w:val="baseline"/>
        <w:rPr>
          <w:sz w:val="55"/>
        </w:rPr>
      </w:pPr>
      <w:bookmarkStart w:name="" w:id="1060"/>
      <w:r>
        <w:rPr>
          <w:rFonts w:ascii="仿宋" w:hAnsi="仿宋" w:cs="仿宋" w:eastAsia="仿宋"/>
          <w:sz w:val="55"/>
          <w:spacing w:val="0"/>
          <w:color w:val="000000"/>
          <w:b w:val="off"/>
          <w:i w:val="off"/>
        </w:rPr>
        <w:t>—7—</w:t>
      </w:r>
      <w:bookmarkEnd w:id="1060"/>
    </w:p>
    <w:p>
      <w:r>
        <w:t/>
      </w:r>
    </w:p>
    <w:p>
      <w:pPr>
        <w:sectPr>
          <w:footerReference r:id="rId17"/>
          <w:headerReference r:id="rId18" w:type="default"/>
          <w:type w:val="nextPage"/>
          <w:pgSz w:w="22400" w:h="31680"/>
          <w:pgMar w:left="2860" w:top="2200" w:right="2860" w:bottom="2200" w:header="1900" w:footer="1900"/>
          <w:cols w:num="1"/>
        </w:sectPr>
      </w:pPr>
    </w:p>
    <w:p>
      <w:pPr>
        <w:pageBreakBefore w:val="off"/>
        <w:tabs/>
        <w:wordWrap w:val="off"/>
        <w:spacing w:before="1080" w:after="0" w:line="1220" w:lineRule="atLeast"/>
        <w:ind w:left="0" w:right="0" w:firstLine="20"/>
        <w:jc w:val="both"/>
        <w:textAlignment w:val="baseline"/>
        <w:rPr>
          <w:sz w:val="58"/>
        </w:rPr>
      </w:pPr>
      <w:bookmarkStart w:name="" w:id="1061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设全过程管理。要不断创新监管方式方法，将机械运行状态、人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员安全行为与培训、工程资料传输与归档、制度标准执行等纳入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信息化监管范畴，提升装配式建筑全过程质量监管智能化、数字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化水平。</w:t>
      </w:r>
      <w:bookmarkEnd w:id="1061"/>
    </w:p>
    <w:p>
      <w:pPr>
        <w:pageBreakBefore w:val="off"/>
        <w:tabs/>
        <w:wordWrap w:val="off"/>
        <w:spacing w:before="0" w:after="0" w:line="1220" w:lineRule="exact"/>
        <w:ind w:left="0" w:right="0"/>
        <w:jc w:val="both"/>
        <w:textAlignment w:val="baseline"/>
        <w:rPr>
          <w:sz w:val="58"/>
        </w:rPr>
      </w:pPr>
      <w:bookmarkStart w:name="" w:id="1062"/>
      <w:r>
        <w:rPr>
          <w:rFonts w:ascii="宋体" w:hAnsi="宋体" w:cs="宋体" w:eastAsia="宋体"/>
          <w:sz w:val="58"/>
          <w:spacing w:val="0"/>
          <w:color w:val="000000"/>
          <w:b w:val="off"/>
          <w:i w:val="off"/>
        </w:rPr>
        <w:t/>
      </w:r>
      <w:bookmarkEnd w:id="1062"/>
    </w:p>
    <w:p>
      <w:pPr>
        <w:pageBreakBefore w:val="off"/>
        <w:tabs/>
        <w:wordWrap w:val="off"/>
        <w:spacing w:before="0" w:after="0" w:line="1220" w:lineRule="exact"/>
        <w:ind w:left="0" w:right="0"/>
        <w:jc w:val="both"/>
        <w:textAlignment w:val="baseline"/>
        <w:rPr>
          <w:sz w:val="58"/>
        </w:rPr>
      </w:pPr>
      <w:bookmarkStart w:name="" w:id="1063"/>
      <w:r>
        <w:rPr>
          <w:rFonts w:ascii="宋体" w:hAnsi="宋体" w:cs="宋体" w:eastAsia="宋体"/>
          <w:sz w:val="58"/>
          <w:spacing w:val="0"/>
          <w:color w:val="000000"/>
          <w:b w:val="off"/>
          <w:i w:val="off"/>
        </w:rPr>
        <w:t/>
      </w:r>
      <w:bookmarkEnd w:id="1063"/>
    </w:p>
    <w:p>
      <w:pPr>
        <w:pageBreakBefore w:val="off"/>
        <w:tabs>
          <w:tab w:pos="8160" w:val="left" w:leader="none"/>
        </w:tabs>
        <w:wordWrap w:val="off"/>
        <w:spacing w:before="0" w:after="0" w:line="1220" w:lineRule="atLeast"/>
        <w:ind w:left="0" w:right="0"/>
        <w:jc w:val="both"/>
        <w:textAlignment w:val="baseline"/>
        <w:rPr>
          <w:sz w:val="58"/>
        </w:rPr>
      </w:pPr>
      <w:bookmarkStart w:name="" w:id="1064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攀枝花市住房和城乡建设局</w:t>
      </w:r>
      <w:r>
        <w:t xml:space="preserve">	</w:t>
      </w:r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攀枝花市自然资源和规划局</w:t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2705100</wp:posOffset>
            </wp:positionH>
            <wp:positionV relativeFrom="paragraph">
              <wp:posOffset>-1219200</wp:posOffset>
            </wp:positionV>
            <wp:extent cx="2514600" cy="2552700"/>
            <wp:wrapNone/>
            <wp:docPr id="2" name="Drawing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true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552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allowOverlap="true" layoutInCell="true" locked="false" simplePos="false" behindDoc="true" relativeHeight="251659264" distL="0" distR="0" distT="0" distB="0">
            <wp:simplePos x="0" y="0"/>
            <wp:positionH relativeFrom="page">
              <wp:posOffset>7772400</wp:posOffset>
            </wp:positionH>
            <wp:positionV relativeFrom="paragraph">
              <wp:posOffset>-1130300</wp:posOffset>
            </wp:positionV>
            <wp:extent cx="2654300" cy="2641600"/>
            <wp:wrapNone/>
            <wp:docPr id="4" name="Drawing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54300" cy="264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064"/>
    </w:p>
    <w:p>
      <w:pPr>
        <w:pageBreakBefore w:val="off"/>
        <w:tabs/>
        <w:wordWrap w:val="off"/>
        <w:spacing w:before="0" w:after="0" w:line="1220" w:lineRule="atLeast"/>
        <w:ind w:left="0" w:right="2940"/>
        <w:jc w:val="right"/>
        <w:textAlignment w:val="baseline"/>
        <w:rPr>
          <w:sz w:val="58"/>
        </w:rPr>
      </w:pPr>
      <w:bookmarkStart w:name="" w:id="1065"/>
      <w:r>
        <w:rPr>
          <w:rFonts w:ascii="仿宋" w:hAnsi="仿宋" w:cs="仿宋" w:eastAsia="仿宋"/>
          <w:sz w:val="58"/>
          <w:spacing w:val="0"/>
          <w:color w:val="000000"/>
          <w:b w:val="off"/>
          <w:i w:val="off"/>
        </w:rPr>
        <w:t>2023年12月21日</w:t>
      </w:r>
      <w:bookmarkEnd w:id="1065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66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66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67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67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68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68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69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69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0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0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1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1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2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2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3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3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4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4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5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5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6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6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7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7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8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8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79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79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0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0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1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1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2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2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3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3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4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4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5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5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6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6"/>
    </w:p>
    <w:p>
      <w:pPr>
        <w:pageBreakBefore w:val="off"/>
        <w:tabs/>
        <w:wordWrap w:val="off"/>
        <w:spacing w:before="0" w:after="0" w:line="680" w:lineRule="exact"/>
        <w:ind w:left="0" w:right="0"/>
        <w:jc w:val="right"/>
        <w:textAlignment w:val="baseline"/>
        <w:rPr>
          <w:sz w:val="56"/>
        </w:rPr>
      </w:pPr>
      <w:bookmarkStart w:name="" w:id="1087"/>
      <w:r>
        <w:rPr>
          <w:rFonts w:ascii="宋体" w:hAnsi="宋体" w:cs="宋体" w:eastAsia="宋体"/>
          <w:sz w:val="56"/>
          <w:spacing w:val="0"/>
          <w:color w:val="000000"/>
          <w:b w:val="off"/>
          <w:i w:val="off"/>
        </w:rPr>
        <w:t/>
      </w:r>
      <w:bookmarkEnd w:id="1087"/>
    </w:p>
    <w:p>
      <w:pPr>
        <w:pageBreakBefore w:val="off"/>
        <w:tabs/>
        <w:wordWrap w:val="off"/>
        <w:spacing w:before="0" w:after="0" w:line="760" w:lineRule="atLeast"/>
        <w:ind w:left="340" w:right="0"/>
        <w:jc w:val="both"/>
        <w:textAlignment w:val="baseline"/>
        <w:rPr>
          <w:sz w:val="56"/>
        </w:rPr>
      </w:pPr>
      <w:bookmarkStart w:name="" w:id="1088"/>
      <w:r>
        <w:rPr>
          <w:rFonts w:ascii="仿宋" w:hAnsi="仿宋" w:cs="仿宋" w:eastAsia="仿宋"/>
          <w:sz w:val="56"/>
          <w:spacing w:val="0"/>
          <w:color w:val="000000"/>
          <w:b w:val="off"/>
          <w:i w:val="off"/>
        </w:rPr>
        <w:t>—8—</w:t>
      </w:r>
      <w:bookmarkEnd w:id="1088"/>
    </w:p>
    <w:sectPr>
      <w:footerReference r:id="rId19"/>
      <w:headerReference r:id="rId20" w:type="default"/>
      <w:type w:val="nextPage"/>
      <w:pgSz w:w="22400" w:h="31680"/>
      <w:pgMar w:left="2860" w:top="2200" w:right="2860" w:bottom="2200" w:header="1900" w:footer="1900"/>
      <w:cols w:num="1"/>
    </w:sectPr>
  </w:body>
</w:document>
</file>

<file path=word/footer1.xml><?xml version="1.0" encoding="utf-8"?>
<w:ftr xmlns:w="http://schemas.openxmlformats.org/wordprocessingml/2006/main">
  <w:p/>
</w:ftr>
</file>

<file path=word/footer2.xml><?xml version="1.0" encoding="utf-8"?>
<w:ftr xmlns:w="http://schemas.openxmlformats.org/wordprocessingml/2006/main">
  <w:p/>
</w:ftr>
</file>

<file path=word/footer3.xml><?xml version="1.0" encoding="utf-8"?>
<w:ftr xmlns:w="http://schemas.openxmlformats.org/wordprocessingml/2006/main">
  <w:p/>
</w:ftr>
</file>

<file path=word/footer4.xml><?xml version="1.0" encoding="utf-8"?>
<w:ftr xmlns:w="http://schemas.openxmlformats.org/wordprocessingml/2006/main">
  <w:p/>
</w:ftr>
</file>

<file path=word/footer5.xml><?xml version="1.0" encoding="utf-8"?>
<w:ftr xmlns:w="http://schemas.openxmlformats.org/wordprocessingml/2006/main">
  <w:p/>
</w:ftr>
</file>

<file path=word/footer6.xml><?xml version="1.0" encoding="utf-8"?>
<w:ftr xmlns:w="http://schemas.openxmlformats.org/wordprocessingml/2006/main">
  <w:p/>
</w:ftr>
</file>

<file path=word/footer7.xml><?xml version="1.0" encoding="utf-8"?>
<w:ftr xmlns:w="http://schemas.openxmlformats.org/wordprocessingml/2006/main">
  <w:p/>
</w:ftr>
</file>

<file path=word/footer8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header2.xml><?xml version="1.0" encoding="utf-8"?>
<w:hdr xmlns:w="http://schemas.openxmlformats.org/wordprocessingml/2006/main">
  <w:p/>
</w:hdr>
</file>

<file path=word/header3.xml><?xml version="1.0" encoding="utf-8"?>
<w:hdr xmlns:w="http://schemas.openxmlformats.org/wordprocessingml/2006/main">
  <w:p/>
</w:hdr>
</file>

<file path=word/header4.xml><?xml version="1.0" encoding="utf-8"?>
<w:hdr xmlns:w="http://schemas.openxmlformats.org/wordprocessingml/2006/main">
  <w:p/>
</w:hdr>
</file>

<file path=word/header5.xml><?xml version="1.0" encoding="utf-8"?>
<w:hdr xmlns:w="http://schemas.openxmlformats.org/wordprocessingml/2006/main">
  <w:p/>
</w:hdr>
</file>

<file path=word/header6.xml><?xml version="1.0" encoding="utf-8"?>
<w:hdr xmlns:w="http://schemas.openxmlformats.org/wordprocessingml/2006/main">
  <w:p/>
</w:hdr>
</file>

<file path=word/header7.xml><?xml version="1.0" encoding="utf-8"?>
<w:hdr xmlns:w="http://schemas.openxmlformats.org/wordprocessingml/2006/main">
  <w:p/>
</w:hdr>
</file>

<file path=word/header8.xml><?xml version="1.0" encoding="utf-8"?>
<w:hdr xmlns:w="http://schemas.openxmlformats.org/wordprocessingml/2006/main">
  <w:p/>
</w:hdr>
</file>

<file path=word/settings.xml><?xml version="1.0" encoding="utf-8"?>
<w:settings xmlns:w="http://schemas.openxmlformats.org/wordprocessingml/2006/main">
  <w:compat>
    <w:ulTrailSpace/>
    <w:compatSetting w:name="compatibilityMode" w:uri="http://schemas.microsoft.com/office/word" w:val="15"/>
  </w:compat>
</w:setting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10" Target="header3.xml" Type="http://schemas.openxmlformats.org/officeDocument/2006/relationships/header"/><Relationship Id="rId11" Target="footer4.xml" Type="http://schemas.openxmlformats.org/officeDocument/2006/relationships/footer"/><Relationship Id="rId12" Target="header4.xml" Type="http://schemas.openxmlformats.org/officeDocument/2006/relationships/header"/><Relationship Id="rId13" Target="footer5.xml" Type="http://schemas.openxmlformats.org/officeDocument/2006/relationships/footer"/><Relationship Id="rId14" Target="header5.xml" Type="http://schemas.openxmlformats.org/officeDocument/2006/relationships/header"/><Relationship Id="rId15" Target="footer6.xml" Type="http://schemas.openxmlformats.org/officeDocument/2006/relationships/footer"/><Relationship Id="rId16" Target="header6.xml" Type="http://schemas.openxmlformats.org/officeDocument/2006/relationships/header"/><Relationship Id="rId17" Target="footer7.xml" Type="http://schemas.openxmlformats.org/officeDocument/2006/relationships/footer"/><Relationship Id="rId18" Target="header7.xml" Type="http://schemas.openxmlformats.org/officeDocument/2006/relationships/header"/><Relationship Id="rId19" Target="footer8.xml" Type="http://schemas.openxmlformats.org/officeDocument/2006/relationships/footer"/><Relationship Id="rId2" Target="theme/theme-1.xml" Type="http://schemas.openxmlformats.org/officeDocument/2006/relationships/theme"/><Relationship Id="rId20" Target="header8.xml" Type="http://schemas.openxmlformats.org/officeDocument/2006/relationships/header"/><Relationship Id="rId3" Target="media/image1.png" Type="http://schemas.openxmlformats.org/officeDocument/2006/relationships/image"/><Relationship Id="rId4" Target="media/image2.png" Type="http://schemas.openxmlformats.org/officeDocument/2006/relationships/image"/><Relationship Id="rId5" Target="footer1.xml" Type="http://schemas.openxmlformats.org/officeDocument/2006/relationships/footer"/><Relationship Id="rId6" Target="header1.xml" Type="http://schemas.openxmlformats.org/officeDocument/2006/relationships/header"/><Relationship Id="rId7" Target="footer2.xml" Type="http://schemas.openxmlformats.org/officeDocument/2006/relationships/footer"/><Relationship Id="rId8" Target="header2.xml" Type="http://schemas.openxmlformats.org/officeDocument/2006/relationships/header"/><Relationship Id="rId9" Target="footer3.xml" Type="http://schemas.openxmlformats.org/officeDocument/2006/relationships/footer"/></Relationships>
</file>

<file path=word/theme/theme-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2026-03-09T01:20:45Z</dcterms:created>
  <dc:creator>Apache POI</dc:creator>
</cp:coreProperties>
</file>