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ascii="方正小标宋_GBK" w:eastAsia="方正小标宋_GBK" w:cs="方正小标宋_GBK" w:hint="eastAsia"/>
          <w:sz w:val="44"/>
          <w:szCs w:val="44"/>
        </w:rPr>
      </w:pPr>
      <w:r>
        <w:rPr>
          <w:rFonts w:ascii="方正小标宋_GBK" w:eastAsia="方正小标宋_GBK" w:cs="方正小标宋_GBK" w:hint="eastAsia"/>
          <w:sz w:val="44"/>
          <w:szCs w:val="44"/>
        </w:rPr>
        <w:t>全市房屋市政工程易燃建筑材料（含保温材料）负面清单</w:t>
      </w:r>
    </w:p>
    <w:p>
      <w:pPr>
        <w:rPr>
          <w:rFonts w:ascii="仿宋_GB2312" w:eastAsia="仿宋_GB2312" w:cs="仿宋_GB2312"/>
          <w:sz w:val="24"/>
          <w:szCs w:val="24"/>
        </w:rPr>
      </w:pPr>
    </w:p>
    <w:p>
      <w:pPr>
        <w:rPr>
          <w:rFonts w:ascii="仿宋_GB2312" w:eastAsia="仿宋_GB2312" w:cs="仿宋_GB2312" w:hint="eastAsia"/>
          <w:sz w:val="24"/>
          <w:szCs w:val="24"/>
        </w:rPr>
      </w:pPr>
    </w:p>
    <w:tbl>
      <w:tblPr>
        <w:jc w:val="left"/>
        <w:tblInd w:w="0" w:type="dxa"/>
        <w:tblW w:w="14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tblGrid>
        <w:gridCol w:w="947"/>
        <w:gridCol w:w="5142"/>
        <w:gridCol w:w="2914"/>
        <w:gridCol w:w="3533"/>
        <w:gridCol w:w="2018"/>
      </w:tblGrid>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序号</w:t>
            </w:r>
          </w:p>
        </w:tc>
        <w:tc>
          <w:tcPr>
            <w:tcW w:w="5142"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材料名称</w:t>
            </w:r>
          </w:p>
        </w:tc>
        <w:tc>
          <w:tcPr>
            <w:tcW w:w="2914"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禁止和限制范围</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依据</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备注</w:t>
            </w: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保温材料类</w:t>
            </w:r>
          </w:p>
        </w:tc>
      </w:tr>
      <w:tr>
        <w:trPr>
          <w:trHeight w:val="589"/>
        </w:trP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1</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挤塑聚苯乙烯泡沫塑料板（XPS）</w:t>
            </w:r>
          </w:p>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燃烧性能B2、B3</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_GB2312" w:cs="Times New Roman"/>
                <w:sz w:val="28"/>
                <w:szCs w:val="28"/>
                <w:highlight w:val="auto"/>
              </w:rPr>
            </w:pPr>
            <w:r>
              <w:rPr>
                <w:rFonts w:eastAsia="仿宋" w:cs="Times New Roman"/>
                <w:b/>
                <w:bCs/>
                <w:sz w:val="28"/>
                <w:szCs w:val="28"/>
              </w:rPr>
              <w:t>禁止：</w:t>
            </w:r>
            <w:r>
              <w:rPr>
                <w:rFonts w:eastAsia="仿宋" w:cs="Times New Roman"/>
                <w:sz w:val="28"/>
                <w:szCs w:val="28"/>
                <w:highlight w:val="auto"/>
              </w:rPr>
              <w:t>临时设施围护结构、屋面或外墙保温系统</w:t>
            </w:r>
          </w:p>
        </w:tc>
        <w:tc>
          <w:tcPr>
            <w:tcW w:w="3533" w:type="dxa"/>
            <w:vMerge w:val="restart"/>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highlight w:val="auto"/>
              </w:rPr>
            </w:pPr>
            <w:r>
              <w:rPr>
                <w:rFonts w:eastAsia="仿宋_GB2312" w:cs="Times New Roman"/>
                <w:sz w:val="24"/>
                <w:szCs w:val="24"/>
                <w:highlight w:val="auto"/>
              </w:rPr>
              <w:t>根据《四川省住房和城乡建设厅关于进一步加强建筑节能用挤塑聚苯板管理的通知（川建勘设科发〔2013〕57号）要求，燃烧性能检测结果必须达到B1级</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highlight w:val="auto"/>
              </w:rPr>
            </w:pPr>
          </w:p>
        </w:tc>
      </w:tr>
      <w:tr>
        <w:trPr>
          <w:trHeight w:val="462"/>
        </w:trP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2</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膨胀聚苯乙烯泡沫塑料板（EPS）</w:t>
            </w:r>
          </w:p>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highlight w:val="auto"/>
              </w:rPr>
            </w:pPr>
            <w:r>
              <w:rPr>
                <w:rFonts w:eastAsia="仿宋_GB2312" w:cs="Times New Roman"/>
                <w:sz w:val="28"/>
                <w:szCs w:val="28"/>
                <w:highlight w:val="auto"/>
              </w:rPr>
              <w:t>燃烧性能B2、B3</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_GB2312" w:cs="Times New Roman"/>
                <w:sz w:val="28"/>
                <w:szCs w:val="28"/>
                <w:highlight w:val="auto"/>
              </w:rPr>
            </w:pPr>
            <w:r>
              <w:rPr>
                <w:rFonts w:eastAsia="仿宋" w:cs="Times New Roman"/>
                <w:b/>
                <w:bCs/>
                <w:sz w:val="28"/>
                <w:szCs w:val="28"/>
              </w:rPr>
              <w:t>禁止：</w:t>
            </w:r>
            <w:r>
              <w:rPr>
                <w:rFonts w:eastAsia="仿宋" w:cs="Times New Roman"/>
                <w:sz w:val="28"/>
                <w:szCs w:val="28"/>
                <w:highlight w:val="auto"/>
              </w:rPr>
              <w:t>临时设施围护结构、屋面或外墙保温系统</w:t>
            </w:r>
          </w:p>
        </w:tc>
        <w:tc>
          <w:tcPr>
            <w:tcW w:w="3533" w:type="dxa"/>
            <w:vMerge/>
            <w:tcBorders>
              <w:right w:val="single" w:sz="4" w:space="0" w:color="auto"/>
            </w:tcBorders>
            <w:vAlign w:val="center"/>
          </w:tcP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highlight w:val="auto"/>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聚氨酯泡沫彩钢板（聚氨酯夹芯板）</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_GB2312" w:cs="Times New Roman"/>
                <w:sz w:val="28"/>
                <w:szCs w:val="28"/>
              </w:rPr>
            </w:pPr>
            <w:r>
              <w:rPr>
                <w:rFonts w:eastAsia="仿宋" w:cs="Times New Roman"/>
                <w:b/>
                <w:bCs/>
                <w:sz w:val="28"/>
                <w:szCs w:val="28"/>
              </w:rPr>
              <w:t>禁止：</w:t>
            </w:r>
            <w:r>
              <w:rPr>
                <w:rFonts w:eastAsia="仿宋" w:cs="Times New Roman"/>
                <w:sz w:val="28"/>
                <w:szCs w:val="28"/>
              </w:rPr>
              <w:t>临时用房及外墙保温系统</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《高层民用建筑消防安全管理规定》第19条</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仿宋_GB2312" w:cs="Times New Roman"/>
                <w:sz w:val="28"/>
                <w:szCs w:val="28"/>
              </w:rPr>
            </w:pPr>
            <w:r>
              <w:rPr>
                <w:rFonts w:eastAsia="黑体" w:cs="Times New Roman"/>
                <w:sz w:val="28"/>
                <w:szCs w:val="28"/>
              </w:rPr>
              <w:t>工程材料类</w:t>
            </w:r>
            <w:bookmarkStart w:id="0" w:name="_GoBack"/>
            <w:bookmarkEnd w:id="0"/>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4</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纸胎油毡防水卷材</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建筑防水工程</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住城部《房屋建筑和市政基础设施工程禁止和限制使用技术目录（第二批）》（部公告2024年第186号）</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5</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再生料聚乙烯丙纶防水卷材</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建筑防水工程</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住城部《房屋建筑和市政基础设施工程禁止和限制使用技术目录（第二批）》（部公告2024年第186号）</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仿宋_GB2312" w:cs="Times New Roman"/>
                <w:sz w:val="28"/>
                <w:szCs w:val="28"/>
              </w:rPr>
            </w:pPr>
            <w:r>
              <w:rPr>
                <w:rFonts w:eastAsia="黑体" w:cs="Times New Roman"/>
                <w:sz w:val="28"/>
                <w:szCs w:val="28"/>
              </w:rPr>
              <w:t>施工设备类</w:t>
            </w: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6</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竹（木）脚手架</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施工现场</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住城部《房屋建筑和市政基础设施工程危及生产安全施工工艺、设备和材料淘汰目录（第一批）》（部公告2021年第214号）</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7</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非阻燃型密目式安全网</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施工现场</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住城部《房屋建筑和市政基础设施工程禁止和限制使用技术目录（第二批）》（部公告2024年第186号）</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8</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聚氨脂板材活动板房</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临时用房</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《建设工程施工现场消防安全技术规范》GB 50720-2011</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9</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燃料类（汽油、柴油、煤油）</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在休息室内存放；临时库房须防爆电气、通风</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lang w:val="en-US" w:eastAsia="zh-CN"/>
              </w:rPr>
              <w:t>属甲、乙类易燃易爆危险品，施工中需专项管控</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lang w:val="en-US" w:eastAsia="zh-CN"/>
              </w:rPr>
              <w:t>施工机械动力供给、清洗工具</w:t>
            </w: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10</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易燃气体（乙炔、丙烷、液化石油气）</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 w:cs="Times New Roman"/>
                <w:b/>
                <w:bCs/>
                <w:sz w:val="28"/>
                <w:szCs w:val="28"/>
              </w:rPr>
              <w:t>禁止：</w:t>
            </w:r>
            <w:r>
              <w:rPr>
                <w:rFonts w:eastAsia="仿宋" w:cs="Times New Roman"/>
                <w:sz w:val="28"/>
                <w:szCs w:val="28"/>
              </w:rPr>
              <w:t>在建设工程内存放；必须专库存放并与油漆、稀释剂分开</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lang w:val="en-US" w:eastAsia="zh-CN"/>
              </w:rPr>
            </w:pPr>
            <w:r>
              <w:rPr>
                <w:rFonts w:eastAsia="仿宋_GB2312" w:cs="Times New Roman"/>
                <w:sz w:val="24"/>
                <w:szCs w:val="24"/>
                <w:lang w:val="en-US" w:eastAsia="zh-CN"/>
              </w:rPr>
              <w:t>属高风险易燃危险品，施工中需专项管控</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lang w:val="en-US" w:eastAsia="zh-CN"/>
              </w:rPr>
              <w:t>焊接作业、切割作业、临时加热</w:t>
            </w: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11</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施工包装废弃物（纸箱、塑料包装膜、泡沫填充料、木材包装）</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 w:cs="Times New Roman"/>
                <w:b/>
                <w:bCs/>
                <w:sz w:val="28"/>
                <w:szCs w:val="28"/>
              </w:rPr>
              <w:t>禁止：</w:t>
            </w:r>
            <w:r>
              <w:rPr>
                <w:rFonts w:eastAsia="仿宋" w:cs="Times New Roman"/>
                <w:sz w:val="28"/>
                <w:szCs w:val="28"/>
              </w:rPr>
              <w:t>在建设工程内存放。</w:t>
            </w:r>
            <w:r>
              <w:rPr>
                <w:rFonts w:eastAsia="仿宋" w:cs="Times New Roman"/>
                <w:b/>
                <w:bCs/>
                <w:sz w:val="28"/>
                <w:szCs w:val="28"/>
              </w:rPr>
              <w:t>限制：</w:t>
            </w:r>
            <w:r>
              <w:rPr>
                <w:rFonts w:eastAsia="仿宋" w:cs="Times New Roman"/>
                <w:sz w:val="28"/>
                <w:szCs w:val="28"/>
              </w:rPr>
              <w:t>不得堆放在动火作业区10m范围内。</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lang w:val="en-US" w:eastAsia="zh-CN"/>
              </w:rPr>
            </w:pPr>
            <w:r>
              <w:rPr>
                <w:rFonts w:eastAsia="仿宋_GB2312" w:cs="Times New Roman"/>
                <w:sz w:val="24"/>
                <w:szCs w:val="24"/>
                <w:lang w:val="en-US" w:eastAsia="zh-CN"/>
              </w:rPr>
              <w:t>《建筑设计防火规范》GB 50016-2014（2018版）</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材料进场包装、设备保护</w:t>
            </w: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施工工艺类</w:t>
            </w: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12</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沥青类防水卷材热熔工艺（明火施工）</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地下密闭空间、通风不畅空间、易燃材料附近的防水工程</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住城部《房屋建筑和市政基础设施工程危及生产安全施工工艺、设备和材料淘汰目录（第一批）》（部公告2021年第214号）</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lang w:eastAsia="zh-CN"/>
              </w:rPr>
            </w:pPr>
            <w:r>
              <w:rPr>
                <w:rFonts w:eastAsia="黑体" w:cs="Times New Roman"/>
                <w:sz w:val="28"/>
                <w:szCs w:val="28"/>
                <w:lang w:eastAsia="zh-CN"/>
              </w:rPr>
              <w:t>装饰装修类</w:t>
            </w:r>
          </w:p>
        </w:tc>
      </w:tr>
      <w:tr>
        <w:trPr>
          <w:trHeight w:val="15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13</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未阻燃实木板材（松木、杉木、橡木等各类原木裁切板）</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 w:cs="Times New Roman"/>
                <w:b/>
                <w:bCs/>
                <w:sz w:val="28"/>
                <w:szCs w:val="28"/>
              </w:rPr>
              <w:t>禁止：</w:t>
            </w:r>
            <w:r>
              <w:rPr>
                <w:rFonts w:eastAsia="仿宋_GB2312" w:cs="Times New Roman"/>
                <w:sz w:val="28"/>
                <w:szCs w:val="28"/>
                <w:lang w:val="en-US" w:eastAsia="zh-CN"/>
              </w:rPr>
              <w:t>在高层建筑、地下建筑、人员密集场所（商场/学校/医院等）使用</w:t>
            </w:r>
          </w:p>
        </w:tc>
        <w:tc>
          <w:tcPr>
            <w:tcW w:w="3533" w:type="dxa"/>
            <w:vMerge w:val="restart"/>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黑体" w:cs="Times New Roman"/>
                <w:sz w:val="28"/>
                <w:szCs w:val="28"/>
              </w:rPr>
            </w:pPr>
            <w:r>
              <w:rPr>
                <w:rFonts w:eastAsia="仿宋_GB2312" w:cs="Times New Roman"/>
                <w:sz w:val="24"/>
                <w:szCs w:val="24"/>
              </w:rPr>
              <w:t>《建筑材料燃烧性能分级方法》GB 8624-2012</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室内装饰造型、定制家具基材、实木门窗框、装饰立柱</w:t>
            </w:r>
          </w:p>
        </w:tc>
      </w:tr>
      <w:tr>
        <w:trPr>
          <w:trHeight w:val="11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14</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未阻燃人造板材（胶合板、细木工板、纤维板、刨花板、密度板）</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橱柜柜体、吊顶基材、墙面装饰板、隔断框架、门套基层</w:t>
            </w:r>
          </w:p>
        </w:tc>
      </w:tr>
      <w:tr>
        <w:trPr>
          <w:trHeight w:val="11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15</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未阻燃木质辅材（木龙骨、木方、木条、木制装饰线条、木格栅）</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吊顶龙骨、墙面造型骨架、地面找平木垫、装饰收口线条</w:t>
            </w:r>
          </w:p>
        </w:tc>
      </w:tr>
      <w:tr>
        <w:trPr>
          <w:trHeight w:val="7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16</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未阻燃木质地面材料（实木地板、复合木地板、竹地板）</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室内地面铺装、阳台地面装饰</w:t>
            </w:r>
          </w:p>
        </w:tc>
      </w:tr>
      <w:tr>
        <w:trPr>
          <w:trHeight w:val="11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17</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普通聚氨酯泡沫塑料（软质、硬质未阻燃款）</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墙面/屋面保温层、室内填充材料、装饰造型泡沫</w:t>
            </w:r>
          </w:p>
        </w:tc>
      </w:tr>
      <w:tr>
        <w:trPr>
          <w:trHeight w:val="11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18</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聚乙烯（PE）/聚丙烯（PP）制品（未阻燃款）</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塑料管材（给水管、穿线管）、塑料扣板、塑料装饰件、储物箱</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19</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软质聚氯乙烯（PVC）制品（普通款）</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PVC装饰膜、塑料踢脚线、PVC软管、塑料窗帘</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20</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未阻燃橡塑保温管/板</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空调管道保温、给排水管道保温、通风管道包裹</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21</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未阻燃装饰布艺（纯棉、化纤、混纺窗帘/纱帘、沙发套、床品）</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rPr>
            </w:pPr>
            <w:r>
              <w:rPr>
                <w:rFonts w:eastAsia="仿宋_GB2312" w:cs="Times New Roman"/>
                <w:sz w:val="24"/>
                <w:szCs w:val="24"/>
              </w:rPr>
              <w:t>《建筑内部装修设计防火规范》GB 50222-2017</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室内装饰遮光</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22</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未阻燃地毯/地垫（化纤地毯、纯棉地毯、混纺地毯）</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val="restart"/>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rPr>
            </w:pPr>
            <w:r>
              <w:rPr>
                <w:rFonts w:eastAsia="仿宋_GB2312" w:cs="Times New Roman"/>
                <w:sz w:val="24"/>
                <w:szCs w:val="24"/>
              </w:rPr>
              <w:t>《建筑材料燃烧性能分级方法》GB 8624-2012</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室内地面装饰、防滑垫、门口迎宾垫</w:t>
            </w:r>
          </w:p>
        </w:tc>
      </w:tr>
      <w:tr>
        <w:trPr>
          <w:trHeight w:val="15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23</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未阻燃墙布/无纺贴墙布（纯棉、化纤材质）</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墙面装饰、背景墙包覆</w:t>
            </w:r>
          </w:p>
        </w:tc>
      </w:tr>
      <w:tr>
        <w:trPr>
          <w:trHeight w:val="7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24</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其他未阻燃织物（毛毡、棉毡、土工布、舞台幕布）</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填充保温、过滤材料、舞台装饰</w:t>
            </w:r>
          </w:p>
        </w:tc>
      </w:tr>
      <w:tr>
        <w:trPr>
          <w:trHeight w:val="11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25</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溶剂型涂料（油性漆、硝基漆、醇酸漆、环氧富锌底漆）</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tcBorders>
              <w:top w:val="single" w:sz="4" w:space="0" w:color="auto"/>
              <w:left w:val="single" w:sz="4" w:space="0" w:color="auto"/>
              <w:right w:val="single" w:sz="4" w:space="0" w:color="auto"/>
            </w:tcBorders>
            <w:shd w:val="clear" w:color="auto" w:fill="auto"/>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lang w:val="en-US" w:eastAsia="zh-CN"/>
              </w:rPr>
            </w:pPr>
            <w:r>
              <w:rPr>
                <w:rFonts w:eastAsia="仿宋_GB2312" w:cs="Times New Roman"/>
                <w:sz w:val="24"/>
                <w:szCs w:val="24"/>
              </w:rPr>
              <w:t>《建筑设计防火规范》</w:t>
            </w:r>
            <w:r>
              <w:rPr>
                <w:rFonts w:eastAsia="仿宋_GB2312" w:cs="Times New Roman"/>
                <w:sz w:val="24"/>
                <w:szCs w:val="24"/>
                <w:lang w:val="en-US" w:eastAsia="zh-CN"/>
              </w:rPr>
              <w:t>GB 50016-2014（2018版）3.1.1条属甲、乙类易燃液体</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金属构件涂装、木质家具涂装、墙面装饰涂装</w:t>
            </w:r>
          </w:p>
        </w:tc>
      </w:tr>
      <w:tr>
        <w:trPr>
          <w:trHeight w:val="7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26</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油漆辅料（香蕉水、天那水、汽油、松节油、稀释剂）</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tcBorders>
              <w:top w:val="single" w:sz="4" w:space="0" w:color="auto"/>
              <w:left w:val="single" w:sz="4" w:space="0" w:color="auto"/>
              <w:right w:val="single" w:sz="4" w:space="0" w:color="auto"/>
            </w:tcBorders>
            <w:shd w:val="clear" w:color="auto" w:fill="auto"/>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lang w:val="en-US" w:eastAsia="zh-CN"/>
              </w:rPr>
            </w:pPr>
            <w:r>
              <w:rPr>
                <w:rFonts w:eastAsia="仿宋_GB2312" w:cs="Times New Roman"/>
                <w:sz w:val="24"/>
                <w:szCs w:val="24"/>
                <w:lang w:val="en-US" w:eastAsia="zh-CN"/>
              </w:rPr>
              <w:t>属施工现场高风险易燃危险品，施工中需专项管控</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涂料稀释、工具清洗、临时除锈</w:t>
            </w:r>
          </w:p>
        </w:tc>
      </w:tr>
      <w:tr>
        <w:trPr>
          <w:trHeight w:val="789"/>
        </w:trP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27</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溶剂型胶粘剂（普通万能胶、氯丁橡胶胶、环氧树脂胶溶剂型款）</w:t>
            </w:r>
          </w:p>
        </w:tc>
        <w:tc>
          <w:tcPr>
            <w:tcW w:w="2914" w:type="dxa"/>
            <w:tcBorders>
              <w:top w:val="single" w:sz="4" w:space="0" w:color="auto"/>
              <w:left w:val="single" w:sz="4" w:space="0" w:color="auto"/>
              <w:right w:val="single" w:sz="4" w:space="0" w:color="auto"/>
              <w:tl2br w:val="nil"/>
              <w:tr2bl w:val="nil"/>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val="restart"/>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rPr>
            </w:pPr>
            <w:r>
              <w:rPr>
                <w:rFonts w:eastAsia="仿宋_GB2312" w:cs="Times New Roman"/>
                <w:sz w:val="24"/>
                <w:szCs w:val="24"/>
              </w:rPr>
              <w:t>《建筑材料燃烧性能分级方法》</w:t>
            </w:r>
            <w:r>
              <w:rPr>
                <w:rFonts w:eastAsia="仿宋_GB2312" w:cs="Times New Roman"/>
                <w:sz w:val="24"/>
                <w:szCs w:val="24"/>
                <w:lang w:val="en-US" w:eastAsia="zh-CN"/>
              </w:rPr>
              <w:t>GB 8624-2012</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板材粘结、装饰面粘贴、构件固定</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28</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纸质装饰材料（普通墙纸、纸质装饰画、纸板、牛皮纸）</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lang w:val="en-US" w:eastAsia="zh-CN"/>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墙面装饰、吊顶造型、临时保护面、包装材料</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29</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未改性阻燃沥青制品（沥青油纸、沥青油毡、沥青防水涂料）</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屋面防水、地下室防水、管道防腐</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30</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天然植物纤维保温材料（稻草、芦苇、岩棉替代品的植物纤维板）</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同上</w:t>
            </w:r>
          </w:p>
        </w:tc>
        <w:tc>
          <w:tcPr>
            <w:tcW w:w="3533" w:type="dxa"/>
            <w:vMerge/>
            <w:tcBorders>
              <w:top w:val="single" w:sz="4" w:space="0" w:color="auto"/>
              <w:left w:val="single" w:sz="4" w:space="0" w:color="auto"/>
              <w:right w:val="single" w:sz="4" w:space="0" w:color="auto"/>
            </w:tcBorders>
            <w:vAlign w:val="center"/>
          </w:tcP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简易建筑保温、大棚保温、临时设施填充</w:t>
            </w:r>
          </w:p>
        </w:tc>
      </w:tr>
      <w:tr>
        <w:tc>
          <w:tcPr>
            <w:tcW w:w="947" w:type="dxa"/>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31</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石蜡类防水材料（普通石蜡防水涂层、石蜡浸渍防水布）</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lang w:val="en-US" w:eastAsia="zh-CN"/>
              </w:rPr>
              <w:t>同上</w:t>
            </w:r>
          </w:p>
        </w:tc>
        <w:tc>
          <w:tcPr>
            <w:tcW w:w="3533"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4"/>
                <w:szCs w:val="24"/>
              </w:rPr>
            </w:pPr>
            <w:r>
              <w:rPr>
                <w:rFonts w:eastAsia="仿宋_GB2312" w:cs="Times New Roman"/>
                <w:sz w:val="24"/>
                <w:szCs w:val="24"/>
              </w:rPr>
              <w:t>《建筑设计防火规范》</w:t>
            </w:r>
            <w:r>
              <w:rPr>
                <w:rFonts w:eastAsia="仿宋_GB2312" w:cs="Times New Roman"/>
                <w:sz w:val="24"/>
                <w:szCs w:val="24"/>
                <w:lang w:val="en-US" w:eastAsia="zh-CN"/>
              </w:rPr>
              <w:t>GB 50016-2014（2018版）6.7.1条</w:t>
            </w:r>
          </w:p>
        </w:tc>
        <w:tc>
          <w:tcPr>
            <w:tcW w:w="2018" w:type="dxa"/>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木材防水处理、临时设施防水、金属构件防锈</w:t>
            </w:r>
          </w:p>
        </w:tc>
      </w:tr>
      <w:tr>
        <w:tc>
          <w:tcPr>
            <w:tcW w:w="14554" w:type="dxa"/>
            <w:gridSpan w:val="5"/>
            <w:vAlign w:val="center"/>
          </w:tcPr>
          <w:p>
            <w:pPr>
              <w:pBdr>
                <w:top w:val="none" w:sz="0" w:space="0" w:color="auto"/>
                <w:left w:val="none" w:sz="0" w:space="0" w:color="auto"/>
                <w:bottom w:val="none" w:sz="0" w:space="0" w:color="auto"/>
                <w:right w:val="none" w:sz="0" w:space="0" w:color="auto"/>
              </w:pBdr>
              <w:spacing w:line="400" w:lineRule="exact"/>
              <w:jc w:val="left"/>
              <w:rPr>
                <w:rFonts w:eastAsia="黑体" w:cs="Times New Roman"/>
                <w:sz w:val="28"/>
                <w:szCs w:val="28"/>
                <w:lang w:eastAsia="zh-CN"/>
              </w:rPr>
            </w:pPr>
            <w:r>
              <w:rPr>
                <w:rFonts w:eastAsia="仿宋_GB2312" w:cs="Times New Roman"/>
                <w:sz w:val="28"/>
                <w:szCs w:val="28"/>
                <w:lang w:val="en-US" w:eastAsia="zh-CN"/>
              </w:rPr>
              <w:t>注：严禁在高层建筑、地下建筑、人员密集场所（商场/学校/医院等）使用B</w:t>
            </w:r>
            <w:r>
              <w:rPr>
                <w:rFonts w:ascii="仿宋_GB2312" w:eastAsia="仿宋_GB2312" w:cs="Times New Roman" w:hint="eastAsia"/>
                <w:sz w:val="28"/>
                <w:szCs w:val="28"/>
                <w:lang w:val="en-US" w:eastAsia="zh-CN"/>
              </w:rPr>
              <w:t>₃</w:t>
            </w:r>
            <w:r>
              <w:rPr>
                <w:rFonts w:eastAsia="仿宋_GB2312" w:cs="Times New Roman"/>
                <w:sz w:val="28"/>
                <w:szCs w:val="28"/>
                <w:lang w:val="en-US" w:eastAsia="zh-CN"/>
              </w:rPr>
              <w:t>级材料。（包括本清单中的所有材料，无论是否阻燃处理）</w:t>
            </w:r>
          </w:p>
        </w:tc>
      </w:tr>
      <w:tr>
        <w:tc>
          <w:tcPr>
            <w:tcW w:w="14554" w:type="dxa"/>
            <w:gridSpan w:val="5"/>
            <w:vAlign w:val="center"/>
          </w:tcPr>
          <w:p>
            <w:pPr>
              <w:pBdr>
                <w:top w:val="none" w:sz="0" w:space="0" w:color="auto"/>
                <w:left w:val="none" w:sz="0" w:space="0" w:color="auto"/>
                <w:bottom w:val="none" w:sz="0" w:space="0" w:color="auto"/>
                <w:right w:val="none" w:sz="0" w:space="0" w:color="auto"/>
              </w:pBdr>
              <w:jc w:val="center"/>
              <w:rPr>
                <w:rFonts w:eastAsia="黑体" w:cs="Times New Roman"/>
                <w:sz w:val="28"/>
                <w:szCs w:val="28"/>
              </w:rPr>
            </w:pPr>
            <w:r>
              <w:rPr>
                <w:rFonts w:eastAsia="黑体" w:cs="Times New Roman"/>
                <w:sz w:val="28"/>
                <w:szCs w:val="28"/>
              </w:rPr>
              <w:t>其他类</w:t>
            </w: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32</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未做阻燃处理的木质模板、木方</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限制：</w:t>
            </w:r>
            <w:r>
              <w:rPr>
                <w:rFonts w:eastAsia="仿宋" w:cs="Times New Roman"/>
                <w:sz w:val="28"/>
                <w:szCs w:val="28"/>
              </w:rPr>
              <w:t>不得堆放在动火作业区10m范围内。若使用，须涂刷阻燃剂并配灭火器材</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《施工现场临时用房安全技术规范》JGJ/T 188-2009</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33</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乙炔瓶、氧气瓶等易燃易爆危险品</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在建设工程内存放；必须专库存放并与油漆、稀释剂分开</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《危险化学品安全管理条例》国务院令第591号、《建设工程施工现场消防安全技术规范》GB 50720-2011</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34</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汽油、松香水、信那水等一级易燃稀释剂</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在休息室内存放；临时库房须防爆电气、通风</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《建筑设计防火规范》</w:t>
            </w:r>
            <w:r>
              <w:rPr>
                <w:rFonts w:eastAsia="仿宋_GB2312" w:cs="Times New Roman"/>
                <w:sz w:val="24"/>
                <w:szCs w:val="24"/>
                <w:lang w:val="en-US" w:eastAsia="zh-CN"/>
              </w:rPr>
              <w:t>GB 50016-2014（2018版）</w:t>
            </w:r>
            <w:r>
              <w:rPr>
                <w:rFonts w:eastAsia="仿宋_GB2312" w:cs="Times New Roman"/>
                <w:sz w:val="24"/>
                <w:szCs w:val="24"/>
              </w:rPr>
              <w:t>、《建设工程施工现场消防安全技术规范》GB 50720-2011</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35</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环氧树脂、乙二胺、酚醛树脂等易燃防腐材料</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敞口存放；必须专库、阴凉、通风，远离明火，与氧化剂分开</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《建筑设计防火规范》</w:t>
            </w:r>
            <w:r>
              <w:rPr>
                <w:rFonts w:eastAsia="仿宋_GB2312" w:cs="Times New Roman"/>
                <w:sz w:val="24"/>
                <w:szCs w:val="24"/>
                <w:lang w:val="en-US" w:eastAsia="zh-CN"/>
              </w:rPr>
              <w:t>GB 50016-2014（2018版）</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36</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亚硝酸钠（混凝土防冻剂）</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与可燃物混放；现场须单独设库，远离明火</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《建设工程施工现场消防安全技术规范》GB 50720-2011</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37</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液化石油气（LPG）</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在建设工程内使用及存放；生活区严禁钢瓶入户</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《建设工程施工现场消防安全技术规范》GB 50720-2011</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38</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电石（碳化钙）</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雨天运输、露天存放；必须专库存于耐火建筑，照明用防爆灯</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《电石安全规程》AQ 3035-2010</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r>
        <w:tc>
          <w:tcPr>
            <w:tcW w:w="947" w:type="dxa"/>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39</w:t>
            </w:r>
          </w:p>
        </w:tc>
        <w:tc>
          <w:tcPr>
            <w:tcW w:w="5142"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400" w:lineRule="exact"/>
              <w:jc w:val="center"/>
              <w:rPr>
                <w:rFonts w:eastAsia="仿宋_GB2312" w:cs="Times New Roman"/>
                <w:sz w:val="28"/>
                <w:szCs w:val="28"/>
              </w:rPr>
            </w:pPr>
            <w:r>
              <w:rPr>
                <w:rFonts w:eastAsia="仿宋_GB2312" w:cs="Times New Roman"/>
                <w:sz w:val="28"/>
                <w:szCs w:val="28"/>
              </w:rPr>
              <w:t>生石灰</w:t>
            </w:r>
          </w:p>
        </w:tc>
        <w:tc>
          <w:tcPr>
            <w:tcW w:w="2914" w:type="dxa"/>
            <w:tcBorders>
              <w:top w:val="single" w:sz="4" w:space="0" w:color="auto"/>
              <w:left w:val="single" w:sz="4" w:space="0" w:color="auto"/>
              <w:right w:val="single" w:sz="4" w:space="0" w:color="auto"/>
            </w:tcBorders>
            <w:vAlign w:val="center"/>
          </w:tcPr>
          <w:p>
            <w:pPr>
              <w:pBdr>
                <w:top w:val="none" w:sz="0" w:space="0" w:color="auto"/>
                <w:left w:val="none" w:sz="0" w:space="0" w:color="auto"/>
                <w:bottom w:val="none" w:sz="0" w:space="0" w:color="auto"/>
                <w:right w:val="none" w:sz="0" w:space="0" w:color="auto"/>
              </w:pBdr>
              <w:spacing w:line="360" w:lineRule="exact"/>
              <w:jc w:val="center"/>
              <w:rPr>
                <w:rFonts w:eastAsia="仿宋" w:cs="Times New Roman"/>
                <w:sz w:val="28"/>
                <w:szCs w:val="28"/>
              </w:rPr>
            </w:pPr>
            <w:r>
              <w:rPr>
                <w:rFonts w:eastAsia="仿宋" w:cs="Times New Roman"/>
                <w:b/>
                <w:bCs/>
                <w:sz w:val="28"/>
                <w:szCs w:val="28"/>
              </w:rPr>
              <w:t>禁止：</w:t>
            </w:r>
            <w:r>
              <w:rPr>
                <w:rFonts w:eastAsia="仿宋" w:cs="Times New Roman"/>
                <w:sz w:val="28"/>
                <w:szCs w:val="28"/>
              </w:rPr>
              <w:t>与木材、稻草等可燃物相邻堆放；储存间须用不燃材料砌筑并通风</w:t>
            </w:r>
          </w:p>
        </w:tc>
        <w:tc>
          <w:tcPr>
            <w:tcW w:w="3533" w:type="dxa"/>
            <w:tcBorders>
              <w:righ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r>
              <w:rPr>
                <w:rFonts w:eastAsia="仿宋_GB2312" w:cs="Times New Roman"/>
                <w:sz w:val="24"/>
                <w:szCs w:val="24"/>
              </w:rPr>
              <w:t>《建筑设计防火规范》</w:t>
            </w:r>
            <w:r>
              <w:rPr>
                <w:rFonts w:eastAsia="仿宋_GB2312" w:cs="Times New Roman"/>
                <w:sz w:val="24"/>
                <w:szCs w:val="24"/>
                <w:lang w:val="en-US" w:eastAsia="zh-CN"/>
              </w:rPr>
              <w:t>GB 50016-2014（2018版）</w:t>
            </w:r>
          </w:p>
        </w:tc>
        <w:tc>
          <w:tcPr>
            <w:tcW w:w="2018" w:type="dxa"/>
            <w:tcBorders>
              <w:left w:val="single" w:sz="4" w:space="0" w:color="auto"/>
            </w:tcBorders>
            <w:vAlign w:val="center"/>
          </w:tcPr>
          <w:p>
            <w:pPr>
              <w:pBdr>
                <w:top w:val="none" w:sz="0" w:space="0" w:color="auto"/>
                <w:left w:val="none" w:sz="0" w:space="0" w:color="auto"/>
                <w:bottom w:val="none" w:sz="0" w:space="0" w:color="auto"/>
                <w:right w:val="none" w:sz="0" w:space="0" w:color="auto"/>
              </w:pBdr>
              <w:spacing w:line="300" w:lineRule="exact"/>
              <w:rPr>
                <w:rFonts w:eastAsia="仿宋_GB2312" w:cs="Times New Roman"/>
                <w:sz w:val="24"/>
                <w:szCs w:val="24"/>
              </w:rPr>
            </w:pPr>
          </w:p>
        </w:tc>
      </w:tr>
    </w:tbl>
    <w:p>
      <w:pPr>
        <w:rPr>
          <w:rFonts w:ascii="仿宋_GB2312" w:eastAsia="仿宋_GB2312" w:cs="仿宋_GB2312" w:hint="eastAsia"/>
          <w:sz w:val="28"/>
          <w:szCs w:val="28"/>
        </w:rPr>
      </w:pPr>
    </w:p>
    <w:p>
      <w:pPr>
        <w:rPr>
          <w:rFonts w:ascii="仿宋_GB2312" w:eastAsia="仿宋_GB2312" w:cs="仿宋_GB2312" w:hint="eastAsia"/>
          <w:sz w:val="28"/>
          <w:szCs w:val="28"/>
        </w:rPr>
      </w:pPr>
    </w:p>
    <w:sectPr>
      <w:pgSz w:w="16840" w:h="11907" w:orient="landscape"/>
      <w:pgMar w:top="1418" w:right="1134" w:bottom="1304" w:left="1134" w:header="851" w:footer="992" w:gutter="0"/>
      <w:cols w:num="1" w:space="72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微软雅黑"/>
    <w:panose1 w:val="02000000000000000000"/>
    <w:charset w:val="86"/>
    <w:family w:val="script"/>
    <w:pitch w:val="variable"/>
    <w:sig w:usb0="00000000" w:usb1="00000000" w:usb2="00000000" w:usb3="00000000" w:csb0="00040000" w:csb1="00000000"/>
  </w:font>
  <w:font w:name="仿宋_GB2312">
    <w:altName w:val="仿宋"/>
    <w:panose1 w:val="02010609030101010101"/>
    <w:charset w:val="86"/>
    <w:family w:val="auto"/>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auto"/>
    <w:pitch w:val="variable"/>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0" w:usb1="00000000" w:usb2="00000000" w:usb3="00000000" w:csb0="2000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bestFit" w:percent="100"/>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spacing w:line="240" w:lineRule="auto"/>
      <w:jc w:val="both"/>
    </w:pPr>
    <w:rPr>
      <w:rFonts w:ascii="Times New Roman" w:eastAsia="宋体" w:cs="Lucida Sans"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96B24F73-46BE-4296-B8EC-786CF0401F2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90</TotalTime>
  <Application>Yozo_Office27021597764231179</Application>
  <Pages>6</Pages>
  <Words>0</Words>
  <Characters>2273</Characters>
  <Lines>0</Lines>
  <Paragraphs>6</Paragraphs>
  <CharactersWithSpaces>3031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user</dc:creator>
  <cp:lastModifiedBy>user</cp:lastModifiedBy>
  <cp:revision>1</cp:revision>
  <dcterms:created xsi:type="dcterms:W3CDTF">2025-12-26T10:33:00Z</dcterms:created>
  <dcterms:modified xsi:type="dcterms:W3CDTF">2026-02-03T09:11:35Z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6A3003B1E8A8B915244C4E6953BB573C_42</vt:lpwstr>
  </property>
  <property fmtid="{D5CDD505-2E9C-101B-9397-08002B2CF9AE}" pid="4" name="KSOTemplateDocerSaveRecord">
    <vt:lpwstr>eyJoZGlkIjoiYWU0NmI2MjNkMTNjMzQxNmFlNDhhOGQwZmIxNDhlYzMiLCJ1c2VySWQiOiIxMDM4NzMzNzQ4In0=</vt:lpwstr>
  </property>
</Properties>
</file>