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pPr>
      <w:r>
        <w:rPr>
          <w:rFonts w:ascii="黑体" w:hAnsi="宋体" w:eastAsia="黑体" w:cs="黑体"/>
          <w:b w:val="0"/>
          <w:bCs w:val="0"/>
          <w:caps w:val="0"/>
          <w:color w:val="auto"/>
          <w:kern w:val="2"/>
          <w:sz w:val="36"/>
          <w:szCs w:val="36"/>
          <w:vertAlign w:val="baseline"/>
          <w:lang w:val="en-US" w:eastAsia="zh-CN" w:bidi="ar"/>
        </w:rPr>
        <w:t>关</w:t>
      </w:r>
      <w:r>
        <w:rPr>
          <w:rFonts w:hint="eastAsia" w:ascii="黑体" w:hAnsi="宋体" w:eastAsia="黑体" w:cs="黑体"/>
          <w:b w:val="0"/>
          <w:bCs w:val="0"/>
          <w:caps w:val="0"/>
          <w:color w:val="auto"/>
          <w:kern w:val="2"/>
          <w:sz w:val="36"/>
          <w:szCs w:val="36"/>
          <w:vertAlign w:val="baseline"/>
          <w:lang w:val="en-US" w:eastAsia="zh-CN" w:bidi="ar"/>
        </w:rPr>
        <w:t>于2025年度法治政府建设工作情况的报告</w:t>
      </w:r>
    </w:p>
    <w:p>
      <w:pPr>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2025年，市住房城乡建设局在市委、市政府的坚强领导下，紧紧围绕法治政府建设目标任务，将法治理念、法治思维和法治方式深度融入住房城乡建设领域各项工作全过程，坚持制度引领、规范执法、优化服务、普法惠民协同推进，着力提升依法行政能力和行业治理效能，推动住建领域法治建设实现新发展、取得新成效。现将本年度法治政府建设工作情况报告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一、全面依法履职，法治政府建设工作扎实推进</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rPr>
        <w:t>（一）强化领导责任，全面落实法治建设第一责任人职责</w:t>
      </w:r>
      <w:r>
        <w:rPr>
          <w:rFonts w:hint="eastAsia" w:ascii="方正仿宋_GBK" w:hAnsi="方正仿宋_GBK" w:eastAsia="方正仿宋_GBK" w:cs="方正仿宋_GBK"/>
          <w:b/>
          <w:bCs/>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局主要负责人严格履行推进法治建设第一责任人职责，坚持将法治政府建设摆在全局工作的突出位置。一是带头学习贯彻习近平法治思想，主持制定年度法治建设工作要点，专题研究部署法治建设工作，将法治建设纳入全局工作总体规划和年度考核体系。</w:t>
      </w:r>
      <w:r>
        <w:rPr>
          <w:rFonts w:hint="eastAsia" w:ascii="方正仿宋_GBK" w:hAnsi="方正仿宋_GBK" w:eastAsia="方正仿宋_GBK" w:cs="方正仿宋_GBK"/>
          <w:b w:val="0"/>
          <w:bCs w:val="0"/>
          <w:sz w:val="32"/>
          <w:szCs w:val="32"/>
          <w:lang w:eastAsia="zh-CN"/>
        </w:rPr>
        <w:t>二</w:t>
      </w:r>
      <w:r>
        <w:rPr>
          <w:rFonts w:hint="eastAsia" w:ascii="方正仿宋_GBK" w:hAnsi="方正仿宋_GBK" w:eastAsia="方正仿宋_GBK" w:cs="方正仿宋_GBK"/>
          <w:b w:val="0"/>
          <w:bCs w:val="0"/>
          <w:sz w:val="32"/>
          <w:szCs w:val="32"/>
        </w:rPr>
        <w:t>是带头执行重大行政决策程序，对涉及全局的重大决策事项，坚持依法决策、民主决策、科学决策。</w:t>
      </w:r>
      <w:r>
        <w:rPr>
          <w:rFonts w:hint="eastAsia" w:ascii="方正仿宋_GBK" w:hAnsi="方正仿宋_GBK" w:eastAsia="方正仿宋_GBK" w:cs="方正仿宋_GBK"/>
          <w:b w:val="0"/>
          <w:bCs w:val="0"/>
          <w:sz w:val="32"/>
          <w:szCs w:val="32"/>
          <w:lang w:eastAsia="zh-CN"/>
        </w:rPr>
        <w:t>三</w:t>
      </w:r>
      <w:r>
        <w:rPr>
          <w:rFonts w:hint="eastAsia" w:ascii="方正仿宋_GBK" w:hAnsi="方正仿宋_GBK" w:eastAsia="方正仿宋_GBK" w:cs="方正仿宋_GBK"/>
          <w:b w:val="0"/>
          <w:bCs w:val="0"/>
          <w:sz w:val="32"/>
          <w:szCs w:val="32"/>
        </w:rPr>
        <w:t>是推动落实行政机关负责人出庭应诉制度，</w:t>
      </w:r>
      <w:r>
        <w:rPr>
          <w:rFonts w:hint="eastAsia" w:ascii="方正仿宋_GBK" w:hAnsi="方正仿宋_GBK" w:eastAsia="方正仿宋_GBK" w:cs="方正仿宋_GBK"/>
          <w:b w:val="0"/>
          <w:bCs w:val="0"/>
          <w:sz w:val="32"/>
          <w:szCs w:val="32"/>
          <w:lang w:eastAsia="zh-CN"/>
        </w:rPr>
        <w:t>安排局领导</w:t>
      </w:r>
      <w:r>
        <w:rPr>
          <w:rFonts w:hint="eastAsia" w:ascii="方正仿宋_GBK" w:hAnsi="方正仿宋_GBK" w:eastAsia="方正仿宋_GBK" w:cs="方正仿宋_GBK"/>
          <w:b w:val="0"/>
          <w:bCs w:val="0"/>
          <w:sz w:val="32"/>
          <w:szCs w:val="32"/>
        </w:rPr>
        <w:t>出庭应诉行政诉讼案件，发挥示范引领作用。</w:t>
      </w:r>
      <w:r>
        <w:rPr>
          <w:rFonts w:hint="eastAsia" w:ascii="方正仿宋_GBK" w:hAnsi="方正仿宋_GBK" w:eastAsia="方正仿宋_GBK" w:cs="方正仿宋_GBK"/>
          <w:b w:val="0"/>
          <w:bCs w:val="0"/>
          <w:sz w:val="32"/>
          <w:szCs w:val="32"/>
          <w:lang w:eastAsia="zh-CN"/>
        </w:rPr>
        <w:t>四</w:t>
      </w:r>
      <w:r>
        <w:rPr>
          <w:rFonts w:hint="eastAsia" w:ascii="方正仿宋_GBK" w:hAnsi="方正仿宋_GBK" w:eastAsia="方正仿宋_GBK" w:cs="方正仿宋_GBK"/>
          <w:b w:val="0"/>
          <w:bCs w:val="0"/>
          <w:sz w:val="32"/>
          <w:szCs w:val="32"/>
        </w:rPr>
        <w:t>是将法治素养和依法履职情况纳入干部年度考核内容，推动全局形成尊法学法守法用法的良好氛围。</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b/>
          <w:bCs/>
          <w:sz w:val="32"/>
          <w:szCs w:val="32"/>
          <w:lang w:eastAsia="zh-CN"/>
        </w:rPr>
        <w:t>二</w:t>
      </w:r>
      <w:r>
        <w:rPr>
          <w:rFonts w:hint="eastAsia" w:ascii="方正仿宋_GBK" w:hAnsi="方正仿宋_GBK" w:eastAsia="方正仿宋_GBK" w:cs="方正仿宋_GBK"/>
          <w:b/>
          <w:bCs/>
          <w:sz w:val="32"/>
          <w:szCs w:val="32"/>
        </w:rPr>
        <w:t>）健全组织领导机制，夯实法治建设责任体系</w:t>
      </w:r>
      <w:r>
        <w:rPr>
          <w:rFonts w:hint="eastAsia" w:ascii="方正仿宋_GBK" w:hAnsi="方正仿宋_GBK" w:eastAsia="方正仿宋_GBK" w:cs="方正仿宋_GBK"/>
          <w:b/>
          <w:bCs/>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始终将法治政府建设摆在全局工作的突出位置，切实加强组织领导，系统谋划部署。一是加强顶层设计与规划引领。制定印发《2025年全市住建系统法治工作要点》，明确年度法治建设的目标任务、重点工作和责任分工，为全系统法治工作提供了清晰的“路线图”。二是严格执行依法决策程序。全面落实重大行政决策、规范性文件合法性审查、信息公开、法律顾问等制度。全年依法对拟出台的6部规范性文件及4件提请市政府常务会议审议的重大事项进行了前置合法性审查，提出审查意见与修改建议10余条，从源头防范法律风险，保障决策的科学性、合法性与民主性。三是强化行政执法监督制约。自觉接受司法监督，积极履行应诉职责，全年涉及本局的2起行政诉讼案件，行政机关负责人出庭应诉率保持100%。组织开展了行政许可案卷专项评查活动，共评查各类行政许可案卷222卷，通过以查促改，持续规范行政许可行为，提升依法行政水平。</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b/>
          <w:bCs/>
          <w:sz w:val="32"/>
          <w:szCs w:val="32"/>
          <w:lang w:eastAsia="zh-CN"/>
        </w:rPr>
        <w:t>三</w:t>
      </w:r>
      <w:r>
        <w:rPr>
          <w:rFonts w:hint="eastAsia" w:ascii="方正仿宋_GBK" w:hAnsi="方正仿宋_GBK" w:eastAsia="方正仿宋_GBK" w:cs="方正仿宋_GBK"/>
          <w:b/>
          <w:bCs/>
          <w:sz w:val="32"/>
          <w:szCs w:val="32"/>
        </w:rPr>
        <w:t>）严格规范行政执法，提升监管效能与公信</w:t>
      </w:r>
      <w:r>
        <w:rPr>
          <w:rFonts w:hint="eastAsia" w:ascii="方正仿宋_GBK" w:hAnsi="方正仿宋_GBK" w:eastAsia="方正仿宋_GBK" w:cs="方正仿宋_GBK"/>
          <w:b/>
          <w:bCs/>
          <w:sz w:val="32"/>
          <w:szCs w:val="32"/>
          <w:lang w:eastAsia="zh-CN"/>
        </w:rPr>
        <w:t>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坚持将规范公正文明执法作为法治政府建设的关键环节，不断创新执法方式，提升执法效能。一是完善跨部门执法协作机制。</w:t>
      </w:r>
      <w:r>
        <w:rPr>
          <w:rFonts w:hint="eastAsia" w:ascii="方正仿宋_GBK" w:hAnsi="方正仿宋_GBK" w:eastAsia="方正仿宋_GBK" w:cs="方正仿宋_GBK"/>
          <w:sz w:val="32"/>
          <w:szCs w:val="32"/>
          <w:lang w:eastAsia="zh-CN"/>
        </w:rPr>
        <w:t>加强</w:t>
      </w:r>
      <w:r>
        <w:rPr>
          <w:rFonts w:hint="eastAsia" w:ascii="方正仿宋_GBK" w:hAnsi="方正仿宋_GBK" w:eastAsia="方正仿宋_GBK" w:cs="方正仿宋_GBK"/>
          <w:sz w:val="32"/>
          <w:szCs w:val="32"/>
        </w:rPr>
        <w:t>与市城管执法局沟通协调，联合制定印发了《关于进一步加强我市住房城乡建设领域行政执法衔接协作机制的意见》，着力破解行政处罚权集中行使后可能出现的监管与执法脱节问题，细化案件移送标准、程序和职责分工，形成了监管与执法既各司其职又紧密协作的良好局面。二是</w:t>
      </w:r>
      <w:r>
        <w:rPr>
          <w:rFonts w:hint="eastAsia" w:ascii="方正仿宋_GBK" w:hAnsi="方正仿宋_GBK" w:eastAsia="方正仿宋_GBK" w:cs="方正仿宋_GBK"/>
          <w:sz w:val="32"/>
          <w:szCs w:val="32"/>
          <w:lang w:eastAsia="zh-CN"/>
        </w:rPr>
        <w:t>全面落实</w:t>
      </w:r>
      <w:r>
        <w:rPr>
          <w:rFonts w:hint="eastAsia" w:ascii="方正仿宋_GBK" w:hAnsi="方正仿宋_GBK" w:eastAsia="方正仿宋_GBK" w:cs="方正仿宋_GBK"/>
          <w:sz w:val="32"/>
          <w:szCs w:val="32"/>
        </w:rPr>
        <w:t>“综合查一次”与“亮码入企”制度。制定印发《2025年度住房城乡建设领域“综合查一次”联合检查计划》，梳理整合跨部门、跨层级的检查事项，明确检查内容、依据、方式和频次，实现“进一次门、查多项事”。全面推行行政检查“亮码入企”，确保所有涉企检查活动源头可溯、过程可控、规范透明。全年累计开展“亮码入企”检查</w:t>
      </w:r>
      <w:r>
        <w:rPr>
          <w:rFonts w:hint="eastAsia" w:ascii="方正仿宋_GBK" w:hAnsi="方正仿宋_GBK" w:eastAsia="方正仿宋_GBK" w:cs="方正仿宋_GBK"/>
          <w:sz w:val="32"/>
          <w:szCs w:val="32"/>
          <w:lang w:val="en-US" w:eastAsia="zh-CN"/>
        </w:rPr>
        <w:t>58</w:t>
      </w:r>
      <w:r>
        <w:rPr>
          <w:rFonts w:hint="eastAsia" w:ascii="方正仿宋_GBK" w:hAnsi="方正仿宋_GBK" w:eastAsia="方正仿宋_GBK" w:cs="方正仿宋_GBK"/>
          <w:sz w:val="32"/>
          <w:szCs w:val="32"/>
        </w:rPr>
        <w:t>次，其中实施“综合查一次”联合检查</w:t>
      </w:r>
      <w:r>
        <w:rPr>
          <w:rFonts w:hint="eastAsia" w:ascii="方正仿宋_GBK" w:hAnsi="方正仿宋_GBK" w:eastAsia="方正仿宋_GBK" w:cs="方正仿宋_GBK"/>
          <w:sz w:val="32"/>
          <w:szCs w:val="32"/>
          <w:lang w:val="en-US" w:eastAsia="zh-CN"/>
        </w:rPr>
        <w:t>15</w:t>
      </w:r>
      <w:r>
        <w:rPr>
          <w:rFonts w:hint="eastAsia" w:ascii="方正仿宋_GBK" w:hAnsi="方正仿宋_GBK" w:eastAsia="方正仿宋_GBK" w:cs="方正仿宋_GBK"/>
          <w:sz w:val="32"/>
          <w:szCs w:val="32"/>
        </w:rPr>
        <w:t>次，在履行法定监管职责的同时，最大限度减少了对市场主体正常生产经营活动的干扰。三是深化“双随机、一公开”监管。将“双随机、一公开”监管与“综合查一次”有机融合，制定年度抽查工作计划。所有抽查计划、检查结果均通过“四川省市场监管领域部门联合‘双随机、一公开’监管工作平台”及局门户网站向社会公示，以公开促规范，以透明提公信，构建了公平、公正、公开的市场监管环境。</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b/>
          <w:bCs/>
          <w:sz w:val="32"/>
          <w:szCs w:val="32"/>
          <w:lang w:eastAsia="zh-CN"/>
        </w:rPr>
        <w:t>四</w:t>
      </w:r>
      <w:r>
        <w:rPr>
          <w:rFonts w:hint="eastAsia" w:ascii="方正仿宋_GBK" w:hAnsi="方正仿宋_GBK" w:eastAsia="方正仿宋_GBK" w:cs="方正仿宋_GBK"/>
          <w:b/>
          <w:bCs/>
          <w:sz w:val="32"/>
          <w:szCs w:val="32"/>
        </w:rPr>
        <w:t>）深化法治宣传教育，营造尊法学法守法用法良好氛围</w:t>
      </w:r>
      <w:r>
        <w:rPr>
          <w:rFonts w:hint="eastAsia" w:ascii="方正仿宋_GBK" w:hAnsi="方正仿宋_GBK" w:eastAsia="方正仿宋_GBK" w:cs="方正仿宋_GBK"/>
          <w:b/>
          <w:bCs/>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认真落实“谁执法谁普法”责任制，着力构建多层次、全覆盖、精准化的普法工作格局。一是抓住“关键少数”，强化领导干部法治素养。将学习宣传贯彻习近平法治思想作为法治建设的首要政治任务，通过党组理论学习中心组学习、局长办公会、局党组会会前学法</w:t>
      </w:r>
      <w:r>
        <w:rPr>
          <w:rFonts w:hint="eastAsia" w:ascii="方正仿宋_GBK" w:hAnsi="方正仿宋_GBK" w:eastAsia="方正仿宋_GBK" w:cs="方正仿宋_GBK"/>
          <w:sz w:val="32"/>
          <w:szCs w:val="32"/>
          <w:lang w:eastAsia="zh-CN"/>
        </w:rPr>
        <w:t>、法治专题讲话</w:t>
      </w:r>
      <w:r>
        <w:rPr>
          <w:rFonts w:hint="eastAsia" w:ascii="方正仿宋_GBK" w:hAnsi="方正仿宋_GBK" w:eastAsia="方正仿宋_GBK" w:cs="方正仿宋_GBK"/>
          <w:sz w:val="32"/>
          <w:szCs w:val="32"/>
        </w:rPr>
        <w:t>等多种形式，全年组织开展</w:t>
      </w:r>
      <w:r>
        <w:rPr>
          <w:rFonts w:hint="eastAsia" w:ascii="方正仿宋_GBK" w:hAnsi="方正仿宋_GBK" w:eastAsia="方正仿宋_GBK" w:cs="方正仿宋_GBK"/>
          <w:sz w:val="32"/>
          <w:szCs w:val="32"/>
          <w:lang w:eastAsia="zh-CN"/>
        </w:rPr>
        <w:t>会前</w:t>
      </w:r>
      <w:r>
        <w:rPr>
          <w:rFonts w:hint="eastAsia" w:ascii="方正仿宋_GBK" w:hAnsi="方正仿宋_GBK" w:eastAsia="方正仿宋_GBK" w:cs="方正仿宋_GBK"/>
          <w:sz w:val="32"/>
          <w:szCs w:val="32"/>
        </w:rPr>
        <w:t>学</w:t>
      </w:r>
      <w:r>
        <w:rPr>
          <w:rFonts w:hint="eastAsia" w:ascii="方正仿宋_GBK" w:hAnsi="方正仿宋_GBK" w:eastAsia="方正仿宋_GBK" w:cs="方正仿宋_GBK"/>
          <w:sz w:val="32"/>
          <w:szCs w:val="32"/>
          <w:lang w:eastAsia="zh-CN"/>
        </w:rPr>
        <w:t>法、</w:t>
      </w:r>
      <w:r>
        <w:rPr>
          <w:rFonts w:hint="eastAsia" w:ascii="方正仿宋_GBK" w:hAnsi="方正仿宋_GBK" w:eastAsia="方正仿宋_GBK" w:cs="方正仿宋_GBK"/>
          <w:sz w:val="32"/>
          <w:szCs w:val="32"/>
        </w:rPr>
        <w:t>法治讲座</w:t>
      </w:r>
      <w:r>
        <w:rPr>
          <w:rFonts w:hint="eastAsia" w:ascii="方正仿宋_GBK" w:hAnsi="方正仿宋_GBK" w:eastAsia="方正仿宋_GBK" w:cs="方正仿宋_GBK"/>
          <w:sz w:val="32"/>
          <w:szCs w:val="32"/>
          <w:lang w:eastAsia="zh-CN"/>
        </w:rPr>
        <w:t>累计</w:t>
      </w:r>
      <w:r>
        <w:rPr>
          <w:rFonts w:hint="eastAsia" w:ascii="方正仿宋_GBK" w:hAnsi="方正仿宋_GBK" w:eastAsia="方正仿宋_GBK" w:cs="方正仿宋_GBK"/>
          <w:sz w:val="32"/>
          <w:szCs w:val="32"/>
        </w:rPr>
        <w:t>20余次，推动领导干部带头尊崇法治、掌握法律、践行法治。二是聚焦“重点对象”，开展精准靶向普法。以宪法、民法典及住房城乡建设领域专业法律法规为重点，针对不同群体需求开展分类普法。利用“12·4”国家宪法日等重要节点，深入社区、企业开展现场普法宣传活动，发放宣传资料500余份，提供法律咨询</w:t>
      </w:r>
      <w:r>
        <w:rPr>
          <w:rFonts w:hint="eastAsia" w:ascii="方正仿宋_GBK" w:hAnsi="方正仿宋_GBK" w:eastAsia="方正仿宋_GBK" w:cs="方正仿宋_GBK"/>
          <w:sz w:val="32"/>
          <w:szCs w:val="32"/>
          <w:lang w:val="en-US" w:eastAsia="zh-CN"/>
        </w:rPr>
        <w:t>100</w:t>
      </w:r>
      <w:r>
        <w:rPr>
          <w:rFonts w:hint="eastAsia" w:ascii="方正仿宋_GBK" w:hAnsi="方正仿宋_GBK" w:eastAsia="方正仿宋_GBK" w:cs="方正仿宋_GBK"/>
          <w:sz w:val="32"/>
          <w:szCs w:val="32"/>
        </w:rPr>
        <w:t>余人次。围绕新出台的《攀枝花市物业管理办法》，组织面向行业主管部门、街道社区、物业服务企业及业主代表的专题宣贯培训5场，覆盖1000余人次，并通过官网、微信公众号等平台发布政策解读，提升社会知晓率和规则认同感。三是注重“融合推进”，实现普法与治理有机结合。将法治宣传教育深度融入行政执法、行业管理、行政审批、信访处理等日常工作全过程。在开展商品房预售资金监管时同步宣传《城市商品房预售管理办法》，在建筑工程质量安全监督检查中结合典型案例解读《建设工程质量管理条例》《安全生产法》，引导管理服务对象自觉守法、遇事找法、解决问题靠法。</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b/>
          <w:bCs/>
          <w:sz w:val="32"/>
          <w:szCs w:val="32"/>
          <w:lang w:eastAsia="zh-CN"/>
        </w:rPr>
        <w:t>五</w:t>
      </w:r>
      <w:r>
        <w:rPr>
          <w:rFonts w:hint="eastAsia" w:ascii="方正仿宋_GBK" w:hAnsi="方正仿宋_GBK" w:eastAsia="方正仿宋_GBK" w:cs="方正仿宋_GBK"/>
          <w:b/>
          <w:bCs/>
          <w:sz w:val="32"/>
          <w:szCs w:val="32"/>
        </w:rPr>
        <w:t>）聚力重点领域立法，健全行业治理法规制度体系</w:t>
      </w:r>
      <w:r>
        <w:rPr>
          <w:rFonts w:hint="eastAsia" w:ascii="方正仿宋_GBK" w:hAnsi="方正仿宋_GBK" w:eastAsia="方正仿宋_GBK" w:cs="方正仿宋_GBK"/>
          <w:b/>
          <w:bCs/>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高度重视运用法治手段解决行业发展中的难点痛点问题，积极推进重点领域立法工作。由我局牵头负责起草的《攀枝花市物业管理办法》，历经调研论证、征求意见、</w:t>
      </w:r>
      <w:r>
        <w:rPr>
          <w:rFonts w:hint="eastAsia" w:ascii="方正仿宋_GBK" w:hAnsi="方正仿宋_GBK" w:eastAsia="方正仿宋_GBK" w:cs="方正仿宋_GBK"/>
          <w:sz w:val="32"/>
          <w:szCs w:val="32"/>
          <w:lang w:eastAsia="zh-CN"/>
        </w:rPr>
        <w:t>合法性审查和</w:t>
      </w:r>
      <w:r>
        <w:rPr>
          <w:rFonts w:hint="eastAsia" w:ascii="方正仿宋_GBK" w:hAnsi="方正仿宋_GBK" w:eastAsia="方正仿宋_GBK" w:cs="方正仿宋_GBK"/>
          <w:sz w:val="32"/>
          <w:szCs w:val="32"/>
        </w:rPr>
        <w:t>反复修改完善，于2025年1月27日经市政府审议通过并以政府令形式正式发布，自2025年3月1日起施行。该办法紧密结合我市实际，对物业管理各方的权利义务、管理服务标准、纠纷解决机制等作出了明确规定，有效填补了我市物业管理领域的法规空白，为规范物业管理活动、维护业主和物业服务企业的合法权益、提升基层社会治理水平提供了坚实的法制保障，标志着我市物业管理工作迈入了法治化、规范化的新阶段。</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b/>
          <w:bCs/>
          <w:sz w:val="32"/>
          <w:szCs w:val="32"/>
          <w:lang w:eastAsia="zh-CN"/>
        </w:rPr>
        <w:t>六</w:t>
      </w:r>
      <w:r>
        <w:rPr>
          <w:rFonts w:hint="eastAsia" w:ascii="方正仿宋_GBK" w:hAnsi="方正仿宋_GBK" w:eastAsia="方正仿宋_GBK" w:cs="方正仿宋_GBK"/>
          <w:b/>
          <w:bCs/>
          <w:sz w:val="32"/>
          <w:szCs w:val="32"/>
        </w:rPr>
        <w:t>）优化法治化营商环境，激发市场主体发展活力</w:t>
      </w:r>
      <w:r>
        <w:rPr>
          <w:rFonts w:hint="eastAsia" w:ascii="方正仿宋_GBK" w:hAnsi="方正仿宋_GBK" w:eastAsia="方正仿宋_GBK" w:cs="方正仿宋_GBK"/>
          <w:b/>
          <w:bCs/>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坚持以法治引领和保障营商环境优化，将深化“放管服”改革、提升政务服务水平作为法治政府建设的重要实践。一是纵深推进工程建设项目审批制度改革。系统重构审批流程，印发《攀枝花市房屋建筑和市政基础设施工程建设项目审批服务事项清单（2025版）》及配套办事指南，将全流程审批环节从45个</w:t>
      </w:r>
      <w:r>
        <w:rPr>
          <w:rFonts w:hint="eastAsia" w:ascii="方正仿宋_GBK" w:hAnsi="方正仿宋_GBK" w:eastAsia="方正仿宋_GBK" w:cs="方正仿宋_GBK"/>
          <w:sz w:val="32"/>
          <w:szCs w:val="32"/>
          <w:lang w:eastAsia="zh-CN"/>
        </w:rPr>
        <w:t>整合</w:t>
      </w:r>
      <w:r>
        <w:rPr>
          <w:rFonts w:hint="eastAsia" w:ascii="方正仿宋_GBK" w:hAnsi="方正仿宋_GBK" w:eastAsia="方正仿宋_GBK" w:cs="方正仿宋_GBK"/>
          <w:sz w:val="32"/>
          <w:szCs w:val="32"/>
        </w:rPr>
        <w:t>至6个，审批总时限由233个工作日压缩至26个工作日内，实现审批效能</w:t>
      </w:r>
      <w:r>
        <w:rPr>
          <w:rFonts w:hint="eastAsia" w:ascii="方正仿宋_GBK" w:hAnsi="方正仿宋_GBK" w:eastAsia="方正仿宋_GBK" w:cs="方正仿宋_GBK"/>
          <w:sz w:val="32"/>
          <w:szCs w:val="32"/>
          <w:lang w:eastAsia="zh-CN"/>
        </w:rPr>
        <w:t>大</w:t>
      </w:r>
      <w:r>
        <w:rPr>
          <w:rFonts w:hint="eastAsia" w:ascii="方正仿宋_GBK" w:hAnsi="方正仿宋_GBK" w:eastAsia="方正仿宋_GBK" w:cs="方正仿宋_GBK"/>
          <w:sz w:val="32"/>
          <w:szCs w:val="32"/>
        </w:rPr>
        <w:t>提升。全面推行施工图设计文件“多审合一”、竣工阶段“联合验收”，以及分阶段办理施工许可证等创新举措，推动项目审批再提速、建设再提前。2025年，共高效办理工程类审批事项410件，</w:t>
      </w:r>
      <w:r>
        <w:rPr>
          <w:rFonts w:hint="eastAsia" w:ascii="方正仿宋_GBK" w:hAnsi="方正仿宋_GBK" w:eastAsia="方正仿宋_GBK" w:cs="方正仿宋_GBK"/>
          <w:sz w:val="32"/>
          <w:szCs w:val="32"/>
          <w:lang w:eastAsia="zh-CN"/>
        </w:rPr>
        <w:t>建筑施工</w:t>
      </w:r>
      <w:r>
        <w:rPr>
          <w:rFonts w:hint="eastAsia" w:ascii="方正仿宋_GBK" w:hAnsi="方正仿宋_GBK" w:eastAsia="方正仿宋_GBK" w:cs="方正仿宋_GBK"/>
          <w:sz w:val="32"/>
          <w:szCs w:val="32"/>
        </w:rPr>
        <w:t>企业资质审批832件，</w:t>
      </w:r>
      <w:r>
        <w:rPr>
          <w:rFonts w:hint="eastAsia" w:ascii="方正仿宋_GBK" w:hAnsi="方正仿宋_GBK" w:eastAsia="方正仿宋_GBK" w:cs="方正仿宋_GBK"/>
          <w:sz w:val="32"/>
          <w:szCs w:val="32"/>
          <w:lang w:eastAsia="zh-CN"/>
        </w:rPr>
        <w:t>政策性</w:t>
      </w:r>
      <w:r>
        <w:rPr>
          <w:rFonts w:hint="eastAsia" w:ascii="方正仿宋_GBK" w:hAnsi="方正仿宋_GBK" w:eastAsia="方正仿宋_GBK" w:cs="方正仿宋_GBK"/>
          <w:sz w:val="32"/>
          <w:szCs w:val="32"/>
        </w:rPr>
        <w:t>住房</w:t>
      </w:r>
      <w:r>
        <w:rPr>
          <w:rFonts w:hint="eastAsia" w:ascii="方正仿宋_GBK" w:hAnsi="方正仿宋_GBK" w:eastAsia="方正仿宋_GBK" w:cs="方正仿宋_GBK"/>
          <w:sz w:val="32"/>
          <w:szCs w:val="32"/>
          <w:lang w:eastAsia="zh-CN"/>
        </w:rPr>
        <w:t>上市</w:t>
      </w:r>
      <w:r>
        <w:rPr>
          <w:rFonts w:hint="eastAsia" w:ascii="方正仿宋_GBK" w:hAnsi="方正仿宋_GBK" w:eastAsia="方正仿宋_GBK" w:cs="方正仿宋_GBK"/>
          <w:sz w:val="32"/>
          <w:szCs w:val="32"/>
        </w:rPr>
        <w:t>审批1397件，服务各类执业资格考试报名审核2873人次。二是聚力攻坚“高效办成一件事”。牵头制定并落实水电气网联合报装“一件事”改革方案，实现“一次申请、一窗受理、并联审批”，办理时限压缩75%。积极探索建设项目开工“一件事”、联合验收“一件事”改革，整合关联事项，推行“一表申请、联动办理”</w:t>
      </w:r>
      <w:r>
        <w:rPr>
          <w:rFonts w:hint="eastAsia" w:ascii="方正仿宋_GBK" w:hAnsi="方正仿宋_GBK" w:eastAsia="方正仿宋_GBK" w:cs="方正仿宋_GBK"/>
          <w:sz w:val="32"/>
          <w:szCs w:val="32"/>
          <w:lang w:eastAsia="zh-CN"/>
        </w:rPr>
        <w:t>，全年办理“开工一件事”</w:t>
      </w:r>
      <w:r>
        <w:rPr>
          <w:rFonts w:hint="eastAsia" w:ascii="方正仿宋_GBK" w:hAnsi="方正仿宋_GBK" w:eastAsia="方正仿宋_GBK" w:cs="方正仿宋_GBK"/>
          <w:sz w:val="32"/>
          <w:szCs w:val="32"/>
          <w:lang w:val="en-US" w:eastAsia="zh-CN"/>
        </w:rPr>
        <w:t>15件</w:t>
      </w:r>
      <w:r>
        <w:rPr>
          <w:rFonts w:hint="eastAsia" w:ascii="方正仿宋_GBK" w:hAnsi="方正仿宋_GBK" w:eastAsia="方正仿宋_GBK" w:cs="方正仿宋_GBK"/>
          <w:sz w:val="32"/>
          <w:szCs w:val="32"/>
        </w:rPr>
        <w:t>。三是精准落地惠企暖企政策。全面梳理住建领域惠企政策，形成清单化、指南化的政策“工具箱”，开展“送政策上门”活动。</w:t>
      </w:r>
      <w:r>
        <w:rPr>
          <w:rFonts w:hint="eastAsia" w:ascii="方正仿宋_GBK" w:hAnsi="方正仿宋_GBK" w:eastAsia="方正仿宋_GBK" w:cs="方正仿宋_GBK"/>
          <w:sz w:val="32"/>
          <w:szCs w:val="32"/>
          <w:lang w:eastAsia="zh-CN"/>
        </w:rPr>
        <w:t>今年</w:t>
      </w:r>
      <w:r>
        <w:rPr>
          <w:rFonts w:hint="eastAsia" w:ascii="方正仿宋_GBK" w:hAnsi="方正仿宋_GBK" w:eastAsia="方正仿宋_GBK" w:cs="方正仿宋_GBK"/>
          <w:sz w:val="32"/>
          <w:szCs w:val="32"/>
        </w:rPr>
        <w:t>4家房地产企业依规享受分期缴纳城市基础设施配套费政策，累计缓缴金额1228万元，有效缓解了企业阶段性资金压力，助力企业轻装前行。四是扎实开展资质审批突出问题专项治理。制定专项治理方案，全面排查审批权限、流程、标准执行情况，累计抽查各类审批件824件。聚焦自查发现的审批不规范、服务不优等6类问题，印发整改方案，建立健全长效监管机制。组织开展企业资质动态核查，对20家“资质异常”企业依法标注，严肃查处业绩造假行为，持续净化建筑市场环境，维护公平竞争秩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二、正视问题短板，清醒认识当前工作不足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总结成绩的同时，我们也清醒地认识到，对标法治政府建设的高标准要求和人民群众的新期待，我们的工作仍存在一些薄弱环节：一是普法工作的针对性和实效性有待进一步增强，普法供给与不同企业、群众的个性化、差异化法治需求之间还存在一定差距，精准普法、按需普法的机制有待完善。二是跨部门、跨层级的协同联动机制尚不健全，在处理涉及多部门职责的复杂疑难问题时，信息共享、会商研判、联合处置的效率有待提升。三是法治工作专业力量相对薄弱，既精通法律又熟悉业务的复合型人才储备不足，运用法治思维和法治方式深化改革、推动发展、化解矛盾的能力有待进一步提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三、聚焦重点任务，谋划下一步法治政府建设工作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下一步，</w:t>
      </w:r>
      <w:r>
        <w:rPr>
          <w:rFonts w:hint="eastAsia" w:ascii="方正仿宋_GBK" w:hAnsi="方正仿宋_GBK" w:eastAsia="方正仿宋_GBK" w:cs="方正仿宋_GBK"/>
          <w:sz w:val="32"/>
          <w:szCs w:val="32"/>
        </w:rPr>
        <w:t>我局将坚持问题导向和目标导向，聚焦关键环节，持续精准发力，推动法治政府建设再上新台阶。</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（一）强化系统谋划，在统筹推进上实现新突破。</w:t>
      </w:r>
      <w:r>
        <w:rPr>
          <w:rFonts w:hint="eastAsia" w:ascii="方正仿宋_GBK" w:hAnsi="方正仿宋_GBK" w:eastAsia="方正仿宋_GBK" w:cs="方正仿宋_GBK"/>
          <w:sz w:val="32"/>
          <w:szCs w:val="32"/>
        </w:rPr>
        <w:t>科学编制并组织实施住房城乡建设系统“九五”普法规划，明确未来五年法治宣传教育的指导思想、主要目标、重点任务和保障措施。建立健全规划实施情况的动态监测、定期评估和督导反馈机制，确保各项任务落地见效，推动法治建设从“短期攻坚”向“长效常治”转变。</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（二）深化精准普法，在法治实践上展现新作为。</w:t>
      </w:r>
      <w:r>
        <w:rPr>
          <w:rFonts w:hint="eastAsia" w:ascii="方正仿宋_GBK" w:hAnsi="方正仿宋_GBK" w:eastAsia="方正仿宋_GBK" w:cs="方正仿宋_GBK"/>
          <w:sz w:val="32"/>
          <w:szCs w:val="32"/>
        </w:rPr>
        <w:t>着力推动普法工作从“普及条文”向“弘扬精神”、“单向传播”向“互动服务”转变。组建由业务骨干、公职律师、法律顾问构成的普法志愿服务队，为企业提供</w:t>
      </w:r>
      <w:r>
        <w:rPr>
          <w:rFonts w:hint="eastAsia" w:ascii="方正仿宋_GBK" w:hAnsi="方正仿宋_GBK" w:eastAsia="方正仿宋_GBK" w:cs="方正仿宋_GBK"/>
          <w:sz w:val="32"/>
          <w:szCs w:val="32"/>
          <w:lang w:eastAsia="zh-CN"/>
        </w:rPr>
        <w:t>法律</w:t>
      </w:r>
      <w:r>
        <w:rPr>
          <w:rFonts w:hint="eastAsia" w:ascii="方正仿宋_GBK" w:hAnsi="方正仿宋_GBK" w:eastAsia="方正仿宋_GBK" w:cs="方正仿宋_GBK"/>
          <w:sz w:val="32"/>
          <w:szCs w:val="32"/>
        </w:rPr>
        <w:t>指导等个性化服务。健全住房城乡建设领域矛盾纠纷多元预防调处化解综合机制，加强人民调解、行政调解、行业调解、司法调解的衔接联动，引导群众依法理性表达诉求，将矛盾纠纷化解在早在小在基层。</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（三）拓展协同监管，在执法效能上达到新高度。</w:t>
      </w:r>
      <w:r>
        <w:rPr>
          <w:rFonts w:hint="eastAsia" w:ascii="方正仿宋_GBK" w:hAnsi="方正仿宋_GBK" w:eastAsia="方正仿宋_GBK" w:cs="方正仿宋_GBK"/>
          <w:sz w:val="32"/>
          <w:szCs w:val="32"/>
        </w:rPr>
        <w:t>持续深化“综合查一次”改革，进一步扩大联合检查的领域和事项范围，加强检查计划的统筹整合与结果互认。严格落实并优化“亮码入企”制度，利用信息化手段对执法检查活动进行全流程记录、可回溯管理。深化“双随机、一公开”监管与信用监管的融合应用，依据信用评价结果实施差异化、精准化监管，做到对守法者“无事不扰”、对违法者“利剑高悬”。</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（四）优化政务服务，在营商环境上打造新标杆。</w:t>
      </w:r>
      <w:r>
        <w:rPr>
          <w:rFonts w:hint="eastAsia" w:ascii="方正仿宋_GBK" w:hAnsi="方正仿宋_GBK" w:eastAsia="方正仿宋_GBK" w:cs="方正仿宋_GBK"/>
          <w:sz w:val="32"/>
          <w:szCs w:val="32"/>
        </w:rPr>
        <w:t>对标</w:t>
      </w:r>
      <w:r>
        <w:rPr>
          <w:rFonts w:hint="eastAsia" w:ascii="方正仿宋_GBK" w:hAnsi="方正仿宋_GBK" w:eastAsia="方正仿宋_GBK" w:cs="方正仿宋_GBK"/>
          <w:sz w:val="32"/>
          <w:szCs w:val="32"/>
          <w:lang w:eastAsia="zh-CN"/>
        </w:rPr>
        <w:t>先进地区</w:t>
      </w:r>
      <w:r>
        <w:rPr>
          <w:rFonts w:hint="eastAsia" w:ascii="方正仿宋_GBK" w:hAnsi="方正仿宋_GBK" w:eastAsia="方正仿宋_GBK" w:cs="方正仿宋_GBK"/>
          <w:sz w:val="32"/>
          <w:szCs w:val="32"/>
        </w:rPr>
        <w:t>水平，持续深化工程建设项目审批制度改革，在“减环节、压时限、降成本、优服务”上再下深水、再出实招。全面推行告知承诺制和容缺受理，加快打通部门间数据壁垒，推动更多事项“全程网办”“</w:t>
      </w:r>
      <w:r>
        <w:rPr>
          <w:rFonts w:hint="eastAsia" w:ascii="方正仿宋_GBK" w:hAnsi="方正仿宋_GBK" w:eastAsia="方正仿宋_GBK" w:cs="方正仿宋_GBK"/>
          <w:sz w:val="32"/>
          <w:szCs w:val="32"/>
          <w:lang w:eastAsia="zh-CN"/>
        </w:rPr>
        <w:t>一网通办</w:t>
      </w:r>
      <w:r>
        <w:rPr>
          <w:rFonts w:hint="eastAsia" w:ascii="方正仿宋_GBK" w:hAnsi="方正仿宋_GBK" w:eastAsia="方正仿宋_GBK" w:cs="方正仿宋_GBK"/>
          <w:sz w:val="32"/>
          <w:szCs w:val="32"/>
        </w:rPr>
        <w:t>”。完善企业资质审批与事中事后监管的衔接机制，加强对行业协会的指导与监督，推动构建“企业自治、行业自律、社会监督、政府监管”的多元共治格局，全力打造稳定、公平、透明、可预期的法治化营商环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攀枝花市住房和城乡建设局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rPr>
        <w:t>2026年1月13日</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640" w:firstLineChars="200"/>
        <w:jc w:val="both"/>
        <w:outlineLvl w:val="9"/>
        <w:rPr>
          <w:rFonts w:hint="eastAsia" w:ascii="方正仿宋_GBK" w:hAnsi="方正仿宋_GBK" w:eastAsia="方正仿宋_GBK" w:cs="方正仿宋_GBK"/>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5F0ED6"/>
    <w:rsid w:val="253B664F"/>
    <w:rsid w:val="2BDF9E9B"/>
    <w:rsid w:val="39761CB6"/>
    <w:rsid w:val="3E670165"/>
    <w:rsid w:val="425F0ED6"/>
    <w:rsid w:val="6E8B4005"/>
    <w:rsid w:val="6ED22F0F"/>
    <w:rsid w:val="787B0173"/>
    <w:rsid w:val="7FEF630E"/>
    <w:rsid w:val="CFEBC2F9"/>
    <w:rsid w:val="E7FFBF07"/>
    <w:rsid w:val="F77BE5B8"/>
    <w:rsid w:val="F7A87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3943</Words>
  <Characters>4012</Characters>
  <Lines>0</Lines>
  <Paragraphs>0</Paragraphs>
  <TotalTime>8</TotalTime>
  <ScaleCrop>false</ScaleCrop>
  <LinksUpToDate>false</LinksUpToDate>
  <CharactersWithSpaces>4012</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2026-01-14T09:01:00Z</dcterms:created>
  <dc:creator>郭荣</dc:creator>
  <cp:lastModifiedBy>user</cp:lastModifiedBy>
  <dcterms:modified xsi:type="dcterms:W3CDTF">2026-02-02T15:51:44Z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B6DC18EFCE6241BF8F60AF0E51EBB248_11</vt:lpwstr>
  </property>
  <property fmtid="{D5CDD505-2E9C-101B-9397-08002B2CF9AE}" pid="4" name="KSOTemplateDocerSaveRecord">
    <vt:lpwstr>eyJoZGlkIjoiNTAyNGMwZmI5MTA1M2M5ZDA1YjA1MTllMzIwNjM2YmIiLCJ1c2VySWQiOiI0NTc0NDAxODAifQ==</vt:lpwstr>
  </property>
</Properties>
</file>