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sz w:val="72"/>
          <w:szCs w:val="72"/>
        </w:rPr>
      </w:pPr>
      <w:bookmarkStart w:id="0" w:name="_Toc15306267"/>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bookmarkStart w:id="1" w:name="_Toc15377193"/>
      <w:bookmarkStart w:id="2" w:name="_Toc15378441"/>
      <w:bookmarkStart w:id="3" w:name="_Toc15396597"/>
      <w:bookmarkStart w:id="4" w:name="_Toc15396475"/>
      <w:bookmarkStart w:id="5" w:name="_Toc15377425"/>
      <w:r>
        <w:rPr>
          <w:rFonts w:ascii="方正小标宋简体" w:eastAsia="方正小标宋简体" w:cs="方正小标宋简体" w:hint="eastAsia"/>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sz w:val="72"/>
          <w:szCs w:val="72"/>
        </w:rPr>
      </w:pPr>
      <w:bookmarkStart w:id="6" w:name="_Toc15396598"/>
      <w:bookmarkStart w:id="7" w:name="_Toc15377426"/>
      <w:bookmarkStart w:id="8" w:name="_Toc15396476"/>
      <w:bookmarkStart w:id="9" w:name="_Toc15378442"/>
      <w:bookmarkStart w:id="10" w:name="_Toc15377194"/>
      <w:r>
        <w:rPr>
          <w:rFonts w:ascii="方正小标宋简体" w:eastAsia="方正小标宋简体" w:cs="方正小标宋简体" w:hint="eastAsia"/>
          <w:sz w:val="72"/>
          <w:szCs w:val="72"/>
        </w:rPr>
        <w:t>四川省</w:t>
      </w:r>
      <w:bookmarkStart w:id="11" w:name="_Toc15306268"/>
      <w:bookmarkEnd w:id="0"/>
      <w:r>
        <w:rPr>
          <w:rFonts w:ascii="方正小标宋简体" w:eastAsia="方正小标宋简体" w:cs="方正小标宋简体" w:hint="eastAsia"/>
          <w:sz w:val="72"/>
          <w:szCs w:val="72"/>
        </w:rPr>
        <w:t>攀枝花市住房和城乡建设局单位决算</w:t>
      </w:r>
      <w:bookmarkEnd w:id="6"/>
      <w:bookmarkEnd w:id="7"/>
      <w:bookmarkEnd w:id="8"/>
      <w:bookmarkEnd w:id="9"/>
      <w:bookmarkEnd w:id="10"/>
      <w:bookmarkEnd w:id="11"/>
    </w:p>
    <w:p>
      <w:pPr>
        <w:widowControl/>
        <w:jc w:val="center"/>
        <w:rPr>
          <w:rFonts w:ascii="黑体" w:eastAsia="黑体"/>
          <w:sz w:val="48"/>
          <w:szCs w:val="48"/>
        </w:rPr>
      </w:pPr>
      <w:r>
        <w:rPr>
          <w:rFonts w:ascii="方正小标宋简体" w:eastAsia="方正小标宋简体"/>
          <w:sz w:val="36"/>
          <w:szCs w:val="36"/>
        </w:rPr>
        <w:br w:type="page"/>
      </w:r>
      <w:r>
        <w:rPr>
          <w:rFonts w:ascii="黑体" w:eastAsia="黑体" w:hint="eastAsia"/>
          <w:sz w:val="48"/>
          <w:szCs w:val="48"/>
        </w:rPr>
        <w:t>目录</w:t>
      </w:r>
    </w:p>
    <w:p>
      <w:pPr>
        <w:widowControl/>
        <w:jc w:val="center"/>
        <w:rPr>
          <w:rFonts w:ascii="黑体" w:eastAsia="黑体" w:cs="Arial"/>
          <w:sz w:val="28"/>
          <w:szCs w:val="28"/>
        </w:rPr>
      </w:pPr>
    </w:p>
    <w:p>
      <w:pPr>
        <w:pStyle w:val="20"/>
        <w:tabs>
          <w:tab w:val="right" w:leader="dot" w:pos="8296"/>
        </w:tabs>
      </w:pPr>
      <w:r>
        <w:rPr>
          <w:rFonts w:hint="eastAsia"/>
        </w:rPr>
        <w:t>公开时间：2022年9月14日</w:t>
      </w:r>
    </w:p>
    <w:p>
      <w:pPr>
        <w:spacing w:line="480" w:lineRule="exact"/>
      </w:pPr>
    </w:p>
    <w:p>
      <w:pPr>
        <w:pStyle w:val="20"/>
        <w:tabs>
          <w:tab w:val="right" w:leader="dot" w:pos="8296"/>
        </w:tabs>
        <w:adjustRightInd w:val="0"/>
        <w:snapToGrid w:val="0"/>
        <w:spacing w:before="0" w:line="480" w:lineRule="exact"/>
        <w:jc w:val="left"/>
        <w:rPr>
          <w:rFonts w:cs="Arial"/>
          <w:sz w:val="24"/>
          <w:szCs w:val="24"/>
        </w:rPr>
      </w:pPr>
      <w:r>
        <w:rPr>
          <w:sz w:val="24"/>
        </w:rPr>
        <w:t>第一部分单位概况....................................................4</w:t>
      </w:r>
    </w:p>
    <w:p>
      <w:pPr>
        <w:pStyle w:val="21"/>
        <w:tabs>
          <w:tab w:val="right" w:leader="dot" w:pos="8296"/>
        </w:tabs>
        <w:adjustRightInd w:val="0"/>
        <w:snapToGrid w:val="0"/>
        <w:spacing w:line="480" w:lineRule="exact"/>
        <w:jc w:val="left"/>
        <w:rPr>
          <w:sz w:val="24"/>
        </w:rPr>
      </w:pPr>
      <w:r>
        <w:rPr>
          <w:sz w:val="24"/>
        </w:rPr>
        <w:t>一、职能简介…….................................................................................................4</w:t>
      </w:r>
    </w:p>
    <w:p>
      <w:pPr>
        <w:pStyle w:val="21"/>
        <w:tabs>
          <w:tab w:val="right" w:leader="dot" w:pos="8296"/>
        </w:tabs>
        <w:adjustRightInd w:val="0"/>
        <w:snapToGrid w:val="0"/>
        <w:spacing w:line="480" w:lineRule="exact"/>
        <w:jc w:val="left"/>
        <w:rPr>
          <w:rFonts w:ascii="宋体" w:eastAsia="宋体" w:cs="宋体"/>
          <w:sz w:val="24"/>
        </w:rPr>
      </w:pPr>
      <w:r>
        <w:rPr>
          <w:rFonts w:ascii="宋体" w:eastAsia="宋体" w:cs="宋体" w:hint="eastAsia"/>
          <w:sz w:val="24"/>
        </w:rPr>
        <w:t>二、2021年重点工作完成情况</w:t>
      </w:r>
      <w:r>
        <w:rPr>
          <w:sz w:val="24"/>
        </w:rPr>
        <w:t xml:space="preserve">…….............….................................................... </w:t>
      </w:r>
      <w:r>
        <w:rPr>
          <w:rFonts w:ascii="宋体" w:eastAsia="宋体" w:cs="宋体" w:hint="eastAsia"/>
          <w:sz w:val="24"/>
        </w:rPr>
        <w:t>5</w:t>
      </w:r>
    </w:p>
    <w:p>
      <w:pPr>
        <w:spacing w:line="480" w:lineRule="exact"/>
      </w:pPr>
      <w:r>
        <w:t xml:space="preserve">    三</w:t>
      </w:r>
      <w:r>
        <w:rPr>
          <w:rFonts w:ascii="宋体" w:eastAsia="宋体" w:cs="宋体" w:hint="eastAsia"/>
          <w:sz w:val="24"/>
        </w:rPr>
        <w:t>、</w:t>
      </w:r>
      <w:r>
        <w:rPr>
          <w:rFonts w:ascii="宋体" w:eastAsia="宋体" w:cs="宋体"/>
          <w:sz w:val="24"/>
        </w:rPr>
        <w:t>机构设置</w:t>
      </w:r>
      <w:r>
        <w:rPr>
          <w:rFonts w:ascii="宋体" w:eastAsia="宋体" w:cs="宋体" w:hint="eastAsia"/>
          <w:sz w:val="24"/>
        </w:rPr>
        <w:t>情况</w:t>
      </w:r>
      <w:r>
        <w:rPr>
          <w:sz w:val="24"/>
        </w:rPr>
        <w:t xml:space="preserve">…….............…......................................................................... </w:t>
      </w:r>
      <w:r>
        <w:rPr>
          <w:rFonts w:ascii="宋体" w:eastAsia="宋体" w:cs="宋体"/>
          <w:sz w:val="24"/>
        </w:rPr>
        <w:t>9</w:t>
      </w:r>
    </w:p>
    <w:p>
      <w:pPr>
        <w:pStyle w:val="20"/>
        <w:tabs>
          <w:tab w:val="right" w:leader="dot" w:pos="8296"/>
        </w:tabs>
        <w:adjustRightInd w:val="0"/>
        <w:snapToGrid w:val="0"/>
        <w:spacing w:before="0" w:line="480" w:lineRule="exact"/>
        <w:jc w:val="left"/>
        <w:rPr>
          <w:sz w:val="24"/>
          <w:szCs w:val="24"/>
        </w:rPr>
      </w:pPr>
      <w:r>
        <w:rPr>
          <w:sz w:val="24"/>
        </w:rPr>
        <w:t>第二部分 2021年度单位决算情况说明.............................. ...10</w:t>
      </w:r>
    </w:p>
    <w:p>
      <w:pPr>
        <w:pStyle w:val="21"/>
        <w:tabs>
          <w:tab w:val="right" w:leader="dot" w:pos="8296"/>
        </w:tabs>
        <w:adjustRightInd w:val="0"/>
        <w:snapToGrid w:val="0"/>
        <w:spacing w:line="480" w:lineRule="exact"/>
        <w:jc w:val="left"/>
        <w:rPr>
          <w:rFonts w:ascii="仿宋" w:eastAsia="仿宋" w:cs="Arial"/>
          <w:sz w:val="24"/>
        </w:rPr>
      </w:pPr>
      <w:r>
        <w:rPr>
          <w:sz w:val="24"/>
        </w:rPr>
        <w:t>一、收入支出决算总体情况说明……...............................................................10</w:t>
      </w:r>
    </w:p>
    <w:p>
      <w:pPr>
        <w:pStyle w:val="21"/>
        <w:tabs>
          <w:tab w:val="right" w:leader="dot" w:pos="8296"/>
        </w:tabs>
        <w:adjustRightInd w:val="0"/>
        <w:snapToGrid w:val="0"/>
        <w:spacing w:line="480" w:lineRule="exact"/>
        <w:jc w:val="left"/>
        <w:rPr>
          <w:rFonts w:ascii="仿宋" w:eastAsia="仿宋" w:cs="Arial"/>
          <w:sz w:val="24"/>
        </w:rPr>
      </w:pPr>
      <w:r>
        <w:rPr>
          <w:sz w:val="24"/>
        </w:rPr>
        <w:t>二、收入决算情况说明……...............................................................................10</w:t>
      </w:r>
    </w:p>
    <w:p>
      <w:pPr>
        <w:pStyle w:val="21"/>
        <w:tabs>
          <w:tab w:val="right" w:leader="dot" w:pos="8296"/>
        </w:tabs>
        <w:adjustRightInd w:val="0"/>
        <w:snapToGrid w:val="0"/>
        <w:spacing w:line="480" w:lineRule="exact"/>
        <w:jc w:val="left"/>
        <w:rPr>
          <w:rFonts w:ascii="仿宋" w:eastAsia="仿宋" w:cs="Arial"/>
          <w:sz w:val="24"/>
        </w:rPr>
      </w:pPr>
      <w:r>
        <w:rPr>
          <w:sz w:val="24"/>
        </w:rPr>
        <w:t>三、支出决算情况说明……................................................................................11</w:t>
      </w:r>
    </w:p>
    <w:p>
      <w:pPr>
        <w:pStyle w:val="21"/>
        <w:tabs>
          <w:tab w:val="right" w:leader="dot" w:pos="8296"/>
        </w:tabs>
        <w:adjustRightInd w:val="0"/>
        <w:snapToGrid w:val="0"/>
        <w:spacing w:line="480" w:lineRule="exact"/>
        <w:jc w:val="left"/>
        <w:rPr>
          <w:rFonts w:ascii="仿宋" w:eastAsia="仿宋" w:cs="Arial"/>
          <w:sz w:val="24"/>
        </w:rPr>
      </w:pPr>
      <w:r>
        <w:rPr>
          <w:sz w:val="24"/>
        </w:rPr>
        <w:t>四、财政拨款收入支出决算总体情况说明……...............................................12</w:t>
      </w:r>
    </w:p>
    <w:p>
      <w:pPr>
        <w:pStyle w:val="21"/>
        <w:tabs>
          <w:tab w:val="right" w:leader="dot" w:pos="8296"/>
        </w:tabs>
        <w:adjustRightInd w:val="0"/>
        <w:snapToGrid w:val="0"/>
        <w:spacing w:line="480" w:lineRule="exact"/>
        <w:jc w:val="left"/>
        <w:rPr>
          <w:rFonts w:ascii="仿宋" w:eastAsia="仿宋" w:cs="Arial"/>
          <w:sz w:val="24"/>
        </w:rPr>
      </w:pPr>
      <w:r>
        <w:rPr>
          <w:sz w:val="24"/>
        </w:rPr>
        <w:t>五、一般公共预算财政拨款支出决算情况说明...............................................12</w:t>
      </w:r>
    </w:p>
    <w:p>
      <w:pPr>
        <w:pStyle w:val="21"/>
        <w:tabs>
          <w:tab w:val="right" w:leader="dot" w:pos="8296"/>
        </w:tabs>
        <w:adjustRightInd w:val="0"/>
        <w:snapToGrid w:val="0"/>
        <w:spacing w:line="480" w:lineRule="exact"/>
        <w:jc w:val="left"/>
        <w:rPr>
          <w:rFonts w:ascii="仿宋" w:eastAsia="仿宋" w:cs="Arial"/>
          <w:sz w:val="24"/>
        </w:rPr>
      </w:pPr>
      <w:r>
        <w:rPr>
          <w:sz w:val="24"/>
        </w:rPr>
        <w:t>六、一般公共预算财政拨款基本支出决算情况说明.......................................15</w:t>
      </w:r>
    </w:p>
    <w:p>
      <w:pPr>
        <w:pStyle w:val="21"/>
        <w:tabs>
          <w:tab w:val="right" w:leader="dot" w:pos="8296"/>
        </w:tabs>
        <w:adjustRightInd w:val="0"/>
        <w:snapToGrid w:val="0"/>
        <w:spacing w:line="480" w:lineRule="exact"/>
        <w:jc w:val="left"/>
        <w:rPr>
          <w:rFonts w:ascii="仿宋" w:eastAsia="仿宋" w:cs="Arial"/>
          <w:sz w:val="24"/>
        </w:rPr>
      </w:pPr>
      <w:r>
        <w:rPr>
          <w:sz w:val="24"/>
        </w:rPr>
        <w:t>七、“三公”经费财政拨款支出决算情况说明........................................…… ...16</w:t>
      </w:r>
    </w:p>
    <w:p>
      <w:pPr>
        <w:pStyle w:val="21"/>
        <w:tabs>
          <w:tab w:val="right" w:leader="dot" w:pos="8296"/>
        </w:tabs>
        <w:adjustRightInd w:val="0"/>
        <w:snapToGrid w:val="0"/>
        <w:spacing w:line="480" w:lineRule="exact"/>
        <w:jc w:val="left"/>
        <w:rPr>
          <w:rFonts w:ascii="仿宋" w:eastAsia="仿宋" w:cs="Arial"/>
          <w:sz w:val="24"/>
        </w:rPr>
      </w:pPr>
      <w:r>
        <w:rPr>
          <w:sz w:val="24"/>
        </w:rPr>
        <w:t>八、政府性基金预算支出决算情况说明............................................................18</w:t>
      </w:r>
    </w:p>
    <w:p>
      <w:pPr>
        <w:pStyle w:val="21"/>
        <w:tabs>
          <w:tab w:val="right" w:leader="dot" w:pos="8296"/>
        </w:tabs>
        <w:adjustRightInd w:val="0"/>
        <w:snapToGrid w:val="0"/>
        <w:spacing w:line="480" w:lineRule="exact"/>
        <w:jc w:val="left"/>
        <w:rPr>
          <w:sz w:val="24"/>
        </w:rPr>
      </w:pPr>
      <w:r>
        <w:rPr>
          <w:sz w:val="24"/>
        </w:rPr>
        <w:t>九、国有资本经营预算支出决算情况说明.......................................................18</w:t>
      </w:r>
    </w:p>
    <w:p>
      <w:pPr>
        <w:pStyle w:val="21"/>
        <w:tabs>
          <w:tab w:val="right" w:leader="dot" w:pos="8296"/>
        </w:tabs>
        <w:adjustRightInd w:val="0"/>
        <w:snapToGrid w:val="0"/>
        <w:spacing w:line="480" w:lineRule="exact"/>
        <w:jc w:val="left"/>
        <w:rPr>
          <w:sz w:val="24"/>
        </w:rPr>
      </w:pPr>
      <w:r>
        <w:rPr>
          <w:sz w:val="24"/>
        </w:rPr>
        <w:t>十、其他重要事项的情况说明...........................................................................18</w:t>
      </w:r>
    </w:p>
    <w:p>
      <w:pPr>
        <w:pStyle w:val="20"/>
        <w:tabs>
          <w:tab w:val="right" w:leader="dot" w:pos="8296"/>
        </w:tabs>
        <w:adjustRightInd w:val="0"/>
        <w:snapToGrid w:val="0"/>
        <w:spacing w:before="0" w:line="480" w:lineRule="exact"/>
        <w:jc w:val="left"/>
        <w:rPr>
          <w:rFonts w:cs="Arial"/>
          <w:sz w:val="24"/>
          <w:szCs w:val="24"/>
        </w:rPr>
      </w:pPr>
      <w:r>
        <w:rPr>
          <w:sz w:val="24"/>
        </w:rPr>
        <w:t>第三部分名词解释...................................................20</w:t>
      </w:r>
    </w:p>
    <w:p>
      <w:pPr>
        <w:pStyle w:val="20"/>
        <w:tabs>
          <w:tab w:val="right" w:leader="dot" w:pos="8296"/>
        </w:tabs>
        <w:adjustRightInd w:val="0"/>
        <w:snapToGrid w:val="0"/>
        <w:spacing w:before="0" w:line="480" w:lineRule="exact"/>
        <w:jc w:val="left"/>
        <w:rPr>
          <w:rFonts w:cs="Arial"/>
          <w:sz w:val="24"/>
          <w:szCs w:val="24"/>
        </w:rPr>
      </w:pPr>
      <w:r>
        <w:rPr>
          <w:sz w:val="24"/>
        </w:rPr>
        <w:t>第四部分附件.......................................................23</w:t>
      </w:r>
    </w:p>
    <w:p>
      <w:pPr>
        <w:pStyle w:val="20"/>
        <w:tabs>
          <w:tab w:val="right" w:leader="dot" w:pos="8296"/>
        </w:tabs>
        <w:adjustRightInd w:val="0"/>
        <w:snapToGrid w:val="0"/>
        <w:spacing w:before="0" w:line="480" w:lineRule="exact"/>
        <w:jc w:val="left"/>
        <w:rPr>
          <w:rFonts w:cs="Arial"/>
          <w:sz w:val="24"/>
          <w:szCs w:val="24"/>
        </w:rPr>
      </w:pPr>
      <w:r>
        <w:rPr>
          <w:sz w:val="24"/>
        </w:rPr>
        <w:t>第五部分附表.......................................................29</w:t>
      </w:r>
    </w:p>
    <w:p>
      <w:pPr>
        <w:pStyle w:val="21"/>
        <w:tabs>
          <w:tab w:val="right" w:leader="dot" w:pos="8296"/>
        </w:tabs>
        <w:adjustRightInd w:val="0"/>
        <w:snapToGrid w:val="0"/>
        <w:spacing w:line="480" w:lineRule="exact"/>
        <w:jc w:val="left"/>
        <w:rPr>
          <w:sz w:val="24"/>
        </w:rPr>
      </w:pPr>
      <w:r>
        <w:rPr>
          <w:sz w:val="24"/>
        </w:rPr>
        <w:t>一、收入支出决算总表....................................................................................... 29</w:t>
      </w:r>
    </w:p>
    <w:p>
      <w:pPr>
        <w:pStyle w:val="21"/>
        <w:tabs>
          <w:tab w:val="right" w:leader="dot" w:pos="8296"/>
        </w:tabs>
        <w:adjustRightInd w:val="0"/>
        <w:snapToGrid w:val="0"/>
        <w:spacing w:line="480" w:lineRule="exact"/>
        <w:jc w:val="left"/>
        <w:rPr>
          <w:sz w:val="24"/>
        </w:rPr>
      </w:pPr>
      <w:r>
        <w:rPr>
          <w:sz w:val="24"/>
        </w:rPr>
        <w:t>二、收入决算表................................................................................................... 29</w:t>
      </w:r>
    </w:p>
    <w:p>
      <w:pPr>
        <w:pStyle w:val="21"/>
        <w:tabs>
          <w:tab w:val="right" w:leader="dot" w:pos="8296"/>
        </w:tabs>
        <w:adjustRightInd w:val="0"/>
        <w:snapToGrid w:val="0"/>
        <w:spacing w:line="480" w:lineRule="exact"/>
        <w:jc w:val="left"/>
        <w:rPr>
          <w:sz w:val="24"/>
        </w:rPr>
      </w:pPr>
      <w:r>
        <w:rPr>
          <w:sz w:val="24"/>
        </w:rPr>
        <w:t>三、支出决算表................................................................................................... 29</w:t>
      </w:r>
    </w:p>
    <w:p>
      <w:pPr>
        <w:pStyle w:val="21"/>
        <w:tabs>
          <w:tab w:val="right" w:leader="dot" w:pos="8296"/>
        </w:tabs>
        <w:adjustRightInd w:val="0"/>
        <w:snapToGrid w:val="0"/>
        <w:spacing w:line="480" w:lineRule="exact"/>
        <w:jc w:val="left"/>
        <w:rPr>
          <w:sz w:val="24"/>
        </w:rPr>
      </w:pPr>
      <w:r>
        <w:rPr>
          <w:sz w:val="24"/>
        </w:rPr>
        <w:t>四、财政拨款收入支出决算总表....................................................................... 29</w:t>
      </w:r>
    </w:p>
    <w:p>
      <w:pPr>
        <w:pStyle w:val="21"/>
        <w:tabs>
          <w:tab w:val="right" w:leader="dot" w:pos="8296"/>
        </w:tabs>
        <w:adjustRightInd w:val="0"/>
        <w:snapToGrid w:val="0"/>
        <w:spacing w:line="480" w:lineRule="exact"/>
        <w:jc w:val="left"/>
        <w:rPr>
          <w:sz w:val="24"/>
        </w:rPr>
      </w:pPr>
      <w:r>
        <w:rPr>
          <w:sz w:val="24"/>
        </w:rPr>
        <w:t>五、财政拨款支出决算明细表........................................................................... 29</w:t>
      </w:r>
    </w:p>
    <w:p>
      <w:pPr>
        <w:pStyle w:val="21"/>
        <w:tabs>
          <w:tab w:val="right" w:leader="dot" w:pos="8296"/>
        </w:tabs>
        <w:adjustRightInd w:val="0"/>
        <w:snapToGrid w:val="0"/>
        <w:spacing w:line="480" w:lineRule="exact"/>
        <w:jc w:val="left"/>
        <w:rPr>
          <w:sz w:val="24"/>
        </w:rPr>
      </w:pPr>
      <w:r>
        <w:rPr>
          <w:sz w:val="24"/>
        </w:rPr>
        <w:t>六、一般公共预算财政拨款支出决算表........................................................... 29</w:t>
      </w:r>
    </w:p>
    <w:p>
      <w:pPr>
        <w:pStyle w:val="21"/>
        <w:tabs>
          <w:tab w:val="right" w:leader="dot" w:pos="8296"/>
        </w:tabs>
        <w:adjustRightInd w:val="0"/>
        <w:snapToGrid w:val="0"/>
        <w:spacing w:line="480" w:lineRule="exact"/>
        <w:jc w:val="left"/>
        <w:rPr>
          <w:sz w:val="24"/>
        </w:rPr>
      </w:pPr>
      <w:r>
        <w:rPr>
          <w:sz w:val="24"/>
        </w:rPr>
        <w:t>七、一般公共预算财政拨款支出决算明细表................................................... 29</w:t>
      </w:r>
    </w:p>
    <w:p>
      <w:pPr>
        <w:pStyle w:val="21"/>
        <w:tabs>
          <w:tab w:val="right" w:leader="dot" w:pos="8296"/>
        </w:tabs>
        <w:adjustRightInd w:val="0"/>
        <w:snapToGrid w:val="0"/>
        <w:spacing w:line="480" w:lineRule="exact"/>
        <w:jc w:val="left"/>
        <w:rPr>
          <w:sz w:val="24"/>
        </w:rPr>
      </w:pPr>
      <w:r>
        <w:rPr>
          <w:sz w:val="24"/>
        </w:rPr>
        <w:t>八、一般公共预算财政拨款基本支出决算表................................................... 29</w:t>
      </w:r>
    </w:p>
    <w:p>
      <w:pPr>
        <w:pStyle w:val="21"/>
        <w:tabs>
          <w:tab w:val="right" w:leader="dot" w:pos="8296"/>
        </w:tabs>
        <w:adjustRightInd w:val="0"/>
        <w:snapToGrid w:val="0"/>
        <w:spacing w:line="480" w:lineRule="exact"/>
        <w:jc w:val="left"/>
        <w:rPr>
          <w:sz w:val="24"/>
        </w:rPr>
      </w:pPr>
      <w:r>
        <w:rPr>
          <w:sz w:val="24"/>
        </w:rPr>
        <w:t>九、一般公共预算财政拨款项目支出决算表................................................... 29</w:t>
      </w:r>
    </w:p>
    <w:p>
      <w:pPr>
        <w:pStyle w:val="21"/>
        <w:tabs>
          <w:tab w:val="right" w:leader="dot" w:pos="8296"/>
        </w:tabs>
        <w:adjustRightInd w:val="0"/>
        <w:snapToGrid w:val="0"/>
        <w:spacing w:line="480" w:lineRule="exact"/>
        <w:jc w:val="left"/>
        <w:rPr>
          <w:sz w:val="24"/>
        </w:rPr>
      </w:pPr>
      <w:r>
        <w:rPr>
          <w:sz w:val="24"/>
        </w:rPr>
        <w:t>十、一般公共预算财政拨款“三公”经费支出决算表......................…….......... 29</w:t>
      </w:r>
    </w:p>
    <w:p>
      <w:pPr>
        <w:pStyle w:val="21"/>
        <w:tabs>
          <w:tab w:val="right" w:leader="dot" w:pos="8296"/>
        </w:tabs>
        <w:adjustRightInd w:val="0"/>
        <w:snapToGrid w:val="0"/>
        <w:spacing w:line="480" w:lineRule="exact"/>
        <w:jc w:val="left"/>
        <w:rPr>
          <w:sz w:val="24"/>
        </w:rPr>
      </w:pPr>
      <w:r>
        <w:rPr>
          <w:sz w:val="24"/>
        </w:rPr>
        <w:t>十一、政府性基金预算财政拨款收入支出决算表.......................................... 29</w:t>
      </w:r>
    </w:p>
    <w:p>
      <w:pPr>
        <w:pStyle w:val="21"/>
        <w:tabs>
          <w:tab w:val="right" w:leader="dot" w:pos="8296"/>
        </w:tabs>
        <w:adjustRightInd w:val="0"/>
        <w:snapToGrid w:val="0"/>
        <w:spacing w:line="480" w:lineRule="exact"/>
        <w:jc w:val="left"/>
        <w:rPr>
          <w:sz w:val="24"/>
        </w:rPr>
      </w:pPr>
      <w:r>
        <w:rPr>
          <w:sz w:val="24"/>
        </w:rPr>
        <w:t>十二、政府性基金预算财政拨款“三公”经费支出决算表............................... 29</w:t>
      </w:r>
    </w:p>
    <w:p>
      <w:pPr>
        <w:pStyle w:val="21"/>
        <w:tabs>
          <w:tab w:val="right" w:leader="dot" w:pos="8296"/>
        </w:tabs>
        <w:adjustRightInd w:val="0"/>
        <w:snapToGrid w:val="0"/>
        <w:spacing w:line="480" w:lineRule="exact"/>
        <w:jc w:val="left"/>
        <w:rPr>
          <w:sz w:val="24"/>
        </w:rPr>
      </w:pPr>
      <w:r>
        <w:rPr>
          <w:sz w:val="24"/>
        </w:rPr>
        <w:t>十三、国有资本经营预算财政拨款收入支出决算表........................................ 29</w:t>
      </w:r>
    </w:p>
    <w:p>
      <w:pPr>
        <w:pStyle w:val="21"/>
        <w:tabs>
          <w:tab w:val="right" w:leader="dot" w:pos="8296"/>
        </w:tabs>
        <w:adjustRightInd w:val="0"/>
        <w:snapToGrid w:val="0"/>
        <w:spacing w:line="480" w:lineRule="exact"/>
        <w:jc w:val="left"/>
        <w:rPr>
          <w:sz w:val="24"/>
        </w:rPr>
      </w:pPr>
      <w:r>
        <w:rPr>
          <w:sz w:val="24"/>
        </w:rPr>
        <w:t>十四、国有资本经营预算财政拨款支出决算表.............................................. 29</w:t>
      </w:r>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1"/>
        <w:jc w:val="center"/>
        <w:rPr>
          <w:rFonts w:ascii="黑体" w:eastAsia="黑体"/>
          <w:b w:val="0"/>
          <w:bCs w:val="0"/>
        </w:rPr>
      </w:pPr>
      <w:r>
        <w:rPr>
          <w:rFonts w:ascii="黑体" w:eastAsia="黑体" w:hint="eastAsia"/>
          <w:b w:val="0"/>
        </w:rPr>
        <w:t>第一部分 单位</w:t>
      </w:r>
      <w:r>
        <w:rPr>
          <w:rStyle w:val="1Char"/>
          <w:rFonts w:ascii="黑体" w:eastAsia="黑体" w:hint="eastAsia"/>
          <w:b w:val="0"/>
          <w:bCs w:val="0"/>
        </w:rPr>
        <w:t>概况</w:t>
      </w:r>
      <w:bookmarkEnd w:id="12"/>
      <w:bookmarkEnd w:id="13"/>
    </w:p>
    <w:p>
      <w:pPr>
        <w:pStyle w:val="2"/>
        <w:numPr>
          <w:ilvl w:val="0"/>
          <w:numId w:val="1"/>
        </w:numPr>
        <w:rPr>
          <w:rStyle w:val="2Char"/>
          <w:rFonts w:ascii="黑体" w:eastAsia="黑体"/>
        </w:rPr>
      </w:pPr>
      <w:bookmarkStart w:id="14" w:name="_Toc15396600"/>
      <w:bookmarkStart w:id="15" w:name="_Toc15377197"/>
      <w:r>
        <w:rPr>
          <w:rStyle w:val="2Char"/>
          <w:rFonts w:ascii="黑体" w:eastAsia="黑体" w:hint="eastAsia"/>
        </w:rPr>
        <w:t>职能简介</w:t>
      </w:r>
    </w:p>
    <w:p>
      <w:pPr>
        <w:autoSpaceDE w:val="0"/>
        <w:autoSpaceDN w:val="0"/>
        <w:adjustRightInd w:val="0"/>
        <w:ind w:firstLineChars="200" w:firstLine="640"/>
        <w:jc w:val="left"/>
        <w:rPr>
          <w:rFonts w:ascii="仿宋_GB2312" w:cs="方正仿宋_GBK-WinCharSetFFFF-H" w:hAnsi="仿宋_GB2312"/>
          <w:kern w:val="0"/>
          <w:sz w:val="32"/>
          <w:szCs w:val="32"/>
        </w:rPr>
      </w:pPr>
      <w:r>
        <w:rPr>
          <w:rFonts w:ascii="仿宋_GB2312" w:eastAsia="仿宋_GB2312" w:cs="方正仿宋_GBK-WinCharSetFFFF-H" w:hint="eastAsia"/>
          <w:kern w:val="0"/>
          <w:sz w:val="32"/>
          <w:szCs w:val="32"/>
        </w:rPr>
        <w:t>负责城市市政设施年度建设计划编制。指导和督促城市市政设施建设。协调、处理城市市政设施建设过程中的有关问题。指导城市地铁、轨道交通等城市公共交通设施的建设。参与城市总体规划和专项规划编制和审核</w:t>
      </w:r>
      <w:r>
        <w:rPr>
          <w:rFonts w:ascii="仿宋_GB2312" w:eastAsia="仿宋_GB2312" w:cs="方正仿宋_GBK-WinCharSetFFFF-H" w:hint="eastAsia"/>
          <w:sz w:val="32"/>
          <w:szCs w:val="32"/>
        </w:rPr>
        <w:t>。</w:t>
      </w:r>
      <w:r>
        <w:rPr>
          <w:rFonts w:ascii="仿宋_GB2312" w:eastAsia="仿宋_GB2312" w:cs="方正仿宋_GBK-WinCharSetFFFF-H" w:hint="eastAsia"/>
          <w:kern w:val="0"/>
          <w:sz w:val="32"/>
          <w:szCs w:val="32"/>
        </w:rPr>
        <w:t>拟订全市村镇建设的发展规划并监督实施。指导全市乡镇和村庄建设、全市农村住房建设及危房改造、农村建筑工匠培训和管理、农村公用设施建设和小城镇建设，参与我市新农村建设、改善农村人居环境工作。拟订建筑业中长期规划、行业政策，承担建筑市场及本地建筑施工企业资质的监督管理事项，和注册建造师的注册和执业活动的监督管理事项，参与房建和市政设施项目施工招投标活动监督，协助处理建设工程农民工拖欠工资。贯彻执行工程质量监督政策和管理规章。研究拟订建筑行业安全保护措施，负责房屋建筑和市政基础设施工程的施工质量、安全生产和文明施工管理工作。负责工程质量竣工验收备案管理和行业安全生产综合监督管理和考核，负责组织建设工程质量安全生产大检查。指挥、处理房屋建筑和市政基础设施建设工程质量和安全突发应急事件，组织或参与重大工程质量问题、安全事故调查处理。负责对房屋建筑和市政工程施工扬尘进行监督检查。负责对工程监理质量检测机构进行监督检查，负责全市建设企业专业管理人员、特种作业人员、三类人员岗位培训和证书复检、备案及建筑劳务输出人员技能培训鉴定工作，指导农村住房建设质量安全监管。负责建设工程消防竣工验收、抽查职责。研究拟订全市房地产业的发展规划、产业政策和规章制度。负责全市房地产业监督管理工作。负责房地产市场秩序的整治与监管，参与全市城镇土地开发项目土地拍卖条件意见及规划编制方案审核工作。参与协调处理房地产交易的矛盾纠纷。承担全市勘察设计行业综合管理的具体工作。参与建设工程勘察设计招标管理。参与勘察设计违法违规行为的查处，负责大型房屋建筑和市政基础设施工程、超限工程的抗震设防专项审查和初步设计审查的组织上报，组织中小型房屋建筑和市政基础设施的初步设计审查工作，负责施工图审查备案工作，负责全市建设工程抗震设防标准的管理，指导、监督抗震设防专项论证工作，组织各类房屋建筑和市政工程设计抗震设计检查，参与抗震设计审查。指导村镇建设抗震防灾工作，负责行政许可事项和政务服务事项的公开、公示、告知工作，负责进驻政务服务中心窗口的组织</w:t>
      </w:r>
      <w:r>
        <w:rPr>
          <w:rFonts w:ascii="仿宋_GB2312" w:eastAsia="仿宋_GB2312" w:hint="eastAsia"/>
          <w:kern w:val="0"/>
          <w:sz w:val="32"/>
          <w:szCs w:val="32"/>
        </w:rPr>
        <w:t>协调和审批项目的受理、审核及办理工作。</w:t>
      </w:r>
    </w:p>
    <w:p>
      <w:pPr>
        <w:pStyle w:val="2"/>
        <w:rPr>
          <w:rFonts w:ascii="黑体" w:eastAsia="黑体"/>
          <w:b w:val="0"/>
        </w:rPr>
      </w:pPr>
      <w:r>
        <w:rPr>
          <w:rFonts w:ascii="黑体" w:eastAsia="黑体" w:hint="eastAsia"/>
          <w:b w:val="0"/>
        </w:rPr>
        <w:t>二、2021年重点工作</w:t>
      </w:r>
      <w:bookmarkEnd w:id="14"/>
      <w:bookmarkEnd w:id="15"/>
      <w:r>
        <w:rPr>
          <w:rFonts w:ascii="黑体" w:eastAsia="黑体" w:hint="eastAsia"/>
          <w:b w:val="0"/>
        </w:rPr>
        <w:t>完成情况</w:t>
      </w:r>
    </w:p>
    <w:p>
      <w:pPr>
        <w:pStyle w:val="32"/>
        <w:spacing w:line="560" w:lineRule="exact"/>
        <w:ind w:leftChars="0" w:left="0"/>
        <w:rPr>
          <w:rFonts w:ascii="仿宋" w:eastAsia="仿宋"/>
          <w:sz w:val="32"/>
          <w:szCs w:val="32"/>
        </w:rPr>
      </w:pPr>
      <w:r>
        <w:rPr>
          <w:rFonts w:ascii="仿宋" w:eastAsia="仿宋"/>
          <w:sz w:val="32"/>
          <w:szCs w:val="32"/>
        </w:rPr>
        <w:t>2021年，市住房城乡建设局始终坚持以习近平新时代中国特色社会主义思想为指导，深入贯彻落实市委各项决策部署，立足“三个圈层”联动发展，围绕建成川西南滇西北现代化区域中心城市的目标，全力以赴抓项目，统揽全局抓协调，主动作为、狠抓落实，推动全市住房和城乡建设工作取得成效。</w:t>
      </w:r>
    </w:p>
    <w:p>
      <w:pPr>
        <w:pStyle w:val="32"/>
        <w:spacing w:line="560" w:lineRule="exact"/>
        <w:ind w:leftChars="0" w:left="0" w:firstLineChars="196" w:firstLine="627"/>
        <w:rPr>
          <w:rFonts w:ascii="仿宋" w:eastAsia="仿宋"/>
          <w:sz w:val="32"/>
          <w:szCs w:val="32"/>
        </w:rPr>
      </w:pPr>
      <w:r>
        <w:rPr>
          <w:rFonts w:ascii="仿宋" w:eastAsia="仿宋" w:cs="方正楷体_GBK" w:hint="eastAsia"/>
          <w:b/>
          <w:sz w:val="32"/>
          <w:szCs w:val="32"/>
        </w:rPr>
        <w:t>持续做好市政设施建设管理。</w:t>
      </w:r>
      <w:r>
        <w:rPr>
          <w:rFonts w:ascii="仿宋" w:eastAsia="仿宋"/>
          <w:sz w:val="32"/>
          <w:szCs w:val="32"/>
        </w:rPr>
        <w:t>全面完成</w:t>
      </w:r>
      <w:r>
        <w:rPr>
          <w:rFonts w:ascii="仿宋" w:eastAsia="仿宋" w:hint="eastAsia"/>
          <w:sz w:val="32"/>
          <w:szCs w:val="32"/>
        </w:rPr>
        <w:t>打开交通拥堵“三把锁”项目，</w:t>
      </w:r>
      <w:r>
        <w:rPr>
          <w:rFonts w:ascii="仿宋" w:eastAsia="仿宋"/>
          <w:sz w:val="32"/>
          <w:szCs w:val="32"/>
        </w:rPr>
        <w:t>二规十路、市中心医院华南大桥等市政道路新（改）建项目</w:t>
      </w:r>
      <w:r>
        <w:rPr>
          <w:rFonts w:ascii="仿宋" w:eastAsia="仿宋" w:hint="eastAsia"/>
          <w:sz w:val="32"/>
          <w:szCs w:val="32"/>
        </w:rPr>
        <w:t>建成通车</w:t>
      </w:r>
      <w:r>
        <w:rPr>
          <w:rFonts w:ascii="仿宋" w:eastAsia="仿宋"/>
          <w:sz w:val="32"/>
          <w:szCs w:val="32"/>
        </w:rPr>
        <w:t>，城市路网逐步完善</w:t>
      </w:r>
      <w:r>
        <w:rPr>
          <w:rFonts w:ascii="仿宋" w:eastAsia="仿宋" w:hint="eastAsia"/>
          <w:sz w:val="32"/>
          <w:szCs w:val="32"/>
        </w:rPr>
        <w:t>，</w:t>
      </w:r>
      <w:r>
        <w:rPr>
          <w:rFonts w:ascii="仿宋" w:eastAsia="仿宋"/>
          <w:sz w:val="32"/>
          <w:szCs w:val="32"/>
        </w:rPr>
        <w:t>城区交通拥堵压力</w:t>
      </w:r>
      <w:r>
        <w:rPr>
          <w:rFonts w:ascii="仿宋" w:eastAsia="仿宋" w:hint="eastAsia"/>
          <w:sz w:val="32"/>
          <w:szCs w:val="32"/>
        </w:rPr>
        <w:t>有效</w:t>
      </w:r>
      <w:r>
        <w:rPr>
          <w:rFonts w:ascii="仿宋" w:eastAsia="仿宋"/>
          <w:sz w:val="32"/>
          <w:szCs w:val="32"/>
        </w:rPr>
        <w:t>缓解。</w:t>
      </w:r>
      <w:r>
        <w:rPr>
          <w:rFonts w:ascii="仿宋" w:eastAsia="仿宋"/>
          <w:bCs/>
          <w:sz w:val="32"/>
          <w:szCs w:val="32"/>
        </w:rPr>
        <w:t>加快推进城镇生活污水设施建设</w:t>
      </w:r>
      <w:r>
        <w:rPr>
          <w:rFonts w:ascii="仿宋" w:eastAsia="仿宋" w:hint="eastAsia"/>
          <w:bCs/>
          <w:sz w:val="32"/>
          <w:szCs w:val="32"/>
        </w:rPr>
        <w:t>，</w:t>
      </w:r>
      <w:r>
        <w:rPr>
          <w:rFonts w:ascii="仿宋" w:eastAsia="仿宋"/>
          <w:sz w:val="32"/>
          <w:szCs w:val="32"/>
        </w:rPr>
        <w:t>累计完成23座污水处理厂（站）和约200公里配套管网建设，出台《攀枝花市城镇生活污水处理设施建设三年推进方案（2021—2023年）》，力争用三年时间补齐污水设施建设短板。加大</w:t>
      </w:r>
      <w:r>
        <w:rPr>
          <w:rFonts w:ascii="仿宋" w:eastAsia="仿宋" w:hint="eastAsia"/>
          <w:sz w:val="32"/>
          <w:szCs w:val="32"/>
        </w:rPr>
        <w:t>市政基础设施</w:t>
      </w:r>
      <w:r>
        <w:rPr>
          <w:rFonts w:ascii="仿宋" w:eastAsia="仿宋"/>
          <w:sz w:val="32"/>
          <w:szCs w:val="32"/>
        </w:rPr>
        <w:t>维修养护力度，</w:t>
      </w:r>
      <w:r>
        <w:rPr>
          <w:rFonts w:ascii="仿宋" w:eastAsia="仿宋" w:hint="eastAsia"/>
          <w:sz w:val="32"/>
          <w:szCs w:val="32"/>
        </w:rPr>
        <w:t>落实</w:t>
      </w:r>
      <w:r>
        <w:rPr>
          <w:rFonts w:ascii="仿宋" w:eastAsia="仿宋"/>
          <w:sz w:val="32"/>
          <w:szCs w:val="32"/>
        </w:rPr>
        <w:t>全国文明城市创建任务，加装9664个窨井盖防坠网，制定《攀枝花市城市道路占用挖掘管理办法》，</w:t>
      </w:r>
      <w:r>
        <w:rPr>
          <w:rFonts w:ascii="仿宋" w:eastAsia="仿宋"/>
          <w:bCs/>
          <w:sz w:val="32"/>
          <w:szCs w:val="32"/>
        </w:rPr>
        <w:t>减少道路重复开挖现象</w:t>
      </w:r>
      <w:r>
        <w:rPr>
          <w:rFonts w:ascii="仿宋" w:eastAsia="仿宋" w:hint="eastAsia"/>
          <w:bCs/>
          <w:sz w:val="32"/>
          <w:szCs w:val="32"/>
        </w:rPr>
        <w:t>，推动</w:t>
      </w:r>
      <w:r>
        <w:rPr>
          <w:rFonts w:ascii="仿宋" w:eastAsia="仿宋"/>
          <w:sz w:val="32"/>
          <w:szCs w:val="32"/>
        </w:rPr>
        <w:t>市政设施精细</w:t>
      </w:r>
      <w:r>
        <w:rPr>
          <w:rFonts w:ascii="仿宋" w:eastAsia="仿宋" w:hint="eastAsia"/>
          <w:sz w:val="32"/>
          <w:szCs w:val="32"/>
        </w:rPr>
        <w:t>化</w:t>
      </w:r>
      <w:r>
        <w:rPr>
          <w:rFonts w:ascii="仿宋" w:eastAsia="仿宋"/>
          <w:sz w:val="32"/>
          <w:szCs w:val="32"/>
        </w:rPr>
        <w:t>管理</w:t>
      </w:r>
      <w:r>
        <w:rPr>
          <w:rFonts w:ascii="仿宋" w:eastAsia="仿宋" w:hint="eastAsia"/>
          <w:sz w:val="32"/>
          <w:szCs w:val="32"/>
        </w:rPr>
        <w:t>。</w:t>
      </w:r>
    </w:p>
    <w:p>
      <w:pPr>
        <w:pStyle w:val="32"/>
        <w:spacing w:line="560" w:lineRule="exact"/>
        <w:ind w:leftChars="0" w:left="0" w:firstLineChars="196" w:firstLine="627"/>
        <w:rPr>
          <w:rFonts w:ascii="仿宋" w:eastAsia="仿宋"/>
          <w:sz w:val="32"/>
          <w:szCs w:val="32"/>
        </w:rPr>
      </w:pPr>
      <w:r>
        <w:rPr>
          <w:rFonts w:ascii="仿宋" w:eastAsia="仿宋" w:cs="方正楷体_GBK" w:hint="eastAsia"/>
          <w:b/>
          <w:bCs/>
          <w:kern w:val="0"/>
          <w:sz w:val="32"/>
          <w:szCs w:val="32"/>
        </w:rPr>
        <w:t>有序实施城市更新行动。</w:t>
      </w:r>
      <w:r>
        <w:rPr>
          <w:rFonts w:ascii="仿宋" w:eastAsia="仿宋"/>
          <w:sz w:val="32"/>
          <w:szCs w:val="32"/>
        </w:rPr>
        <w:t>围绕“增空间、优生态、强服务、留文化”的目标，</w:t>
      </w:r>
      <w:r>
        <w:rPr>
          <w:rFonts w:ascii="仿宋" w:eastAsia="仿宋"/>
          <w:color w:val="000000"/>
          <w:sz w:val="32"/>
          <w:szCs w:val="32"/>
        </w:rPr>
        <w:t>加快棚改腾空土地利用，推进东区红星街康养住宅试点项目建设，促进老旧城区提质扩容；</w:t>
      </w:r>
      <w:r>
        <w:rPr>
          <w:rFonts w:ascii="仿宋" w:eastAsia="仿宋"/>
          <w:sz w:val="32"/>
          <w:szCs w:val="32"/>
        </w:rPr>
        <w:t>开展生态环境试点城市申报工作，取得全省生态环境试点城市评选答辩第二的优异成果；</w:t>
      </w:r>
      <w:r>
        <w:rPr>
          <w:rFonts w:ascii="仿宋" w:eastAsia="仿宋"/>
          <w:color w:val="000000"/>
          <w:sz w:val="32"/>
          <w:szCs w:val="32"/>
        </w:rPr>
        <w:t>申报历史文化名城，顺利</w:t>
      </w:r>
      <w:r>
        <w:rPr>
          <w:rFonts w:ascii="仿宋" w:eastAsia="仿宋"/>
          <w:sz w:val="32"/>
          <w:szCs w:val="32"/>
        </w:rPr>
        <w:t>通过省级历史文化名城申报专家审查，兰谱路、大渡口、陶家渡、河门口北街4条街区通过省级历史文化街区专家评审，创建工作有序落实。</w:t>
      </w:r>
    </w:p>
    <w:p>
      <w:pPr>
        <w:pStyle w:val="32"/>
        <w:spacing w:line="560" w:lineRule="exact"/>
        <w:ind w:leftChars="0" w:left="0" w:firstLineChars="196" w:firstLine="627"/>
        <w:rPr>
          <w:rFonts w:ascii="仿宋" w:eastAsia="仿宋"/>
          <w:sz w:val="32"/>
          <w:szCs w:val="32"/>
        </w:rPr>
      </w:pPr>
      <w:r>
        <w:rPr>
          <w:rFonts w:ascii="仿宋" w:eastAsia="仿宋" w:cs="方正楷体_GBK" w:hint="eastAsia"/>
          <w:b/>
          <w:bCs/>
          <w:sz w:val="32"/>
          <w:szCs w:val="32"/>
        </w:rPr>
        <w:t>扎实推动保障性住房建设。</w:t>
      </w:r>
      <w:r>
        <w:rPr>
          <w:rFonts w:ascii="仿宋" w:eastAsia="仿宋"/>
          <w:sz w:val="32"/>
          <w:szCs w:val="32"/>
        </w:rPr>
        <w:t>按照“千方百计筹集资金，坚定不移推进棚改”的总体要求，筹集资金39.36亿元，完成19123户棚改居民安置工作；2017—2018年实际完成棚改安置46196户（套），至此全面完成省政府下达的棚改安置目标任务。大力实施老旧小区改造</w:t>
      </w:r>
      <w:r>
        <w:rPr>
          <w:rFonts w:ascii="仿宋" w:eastAsia="仿宋" w:hint="eastAsia"/>
          <w:sz w:val="32"/>
          <w:szCs w:val="32"/>
        </w:rPr>
        <w:t>，持续改善居民居住环境</w:t>
      </w:r>
      <w:r>
        <w:rPr>
          <w:rFonts w:ascii="仿宋" w:eastAsia="仿宋"/>
          <w:sz w:val="32"/>
          <w:szCs w:val="32"/>
        </w:rPr>
        <w:t>。争取中央、省级财政补助资金7080万元</w:t>
      </w:r>
      <w:r>
        <w:rPr>
          <w:rFonts w:ascii="仿宋" w:eastAsia="仿宋" w:hint="eastAsia"/>
          <w:sz w:val="32"/>
          <w:szCs w:val="32"/>
        </w:rPr>
        <w:t>，</w:t>
      </w:r>
      <w:r>
        <w:rPr>
          <w:rFonts w:ascii="仿宋" w:eastAsia="仿宋"/>
          <w:sz w:val="32"/>
          <w:szCs w:val="32"/>
        </w:rPr>
        <w:t>改造老旧小区38个，涉及499栋1.6万户，现已全部开工。持续做好公租房保障</w:t>
      </w:r>
      <w:r>
        <w:rPr>
          <w:rFonts w:ascii="仿宋" w:eastAsia="仿宋" w:hint="eastAsia"/>
          <w:sz w:val="32"/>
          <w:szCs w:val="32"/>
        </w:rPr>
        <w:t>，解决困难群众住房问题</w:t>
      </w:r>
      <w:r>
        <w:rPr>
          <w:rFonts w:ascii="仿宋" w:eastAsia="仿宋"/>
          <w:sz w:val="32"/>
          <w:szCs w:val="32"/>
        </w:rPr>
        <w:t>。</w:t>
      </w:r>
    </w:p>
    <w:p>
      <w:pPr>
        <w:pStyle w:val="32"/>
        <w:spacing w:line="560" w:lineRule="exact"/>
        <w:ind w:leftChars="0" w:left="0" w:firstLineChars="196" w:firstLine="627"/>
        <w:rPr>
          <w:rFonts w:ascii="仿宋" w:eastAsia="仿宋"/>
          <w:sz w:val="32"/>
          <w:szCs w:val="32"/>
        </w:rPr>
      </w:pPr>
      <w:r>
        <w:rPr>
          <w:rFonts w:ascii="仿宋" w:eastAsia="仿宋" w:cs="方正楷体_GBK" w:hint="eastAsia"/>
          <w:b/>
          <w:bCs/>
          <w:sz w:val="32"/>
          <w:szCs w:val="32"/>
        </w:rPr>
        <w:t>持续提升建筑业发展质量。</w:t>
      </w:r>
      <w:r>
        <w:rPr>
          <w:rFonts w:ascii="仿宋" w:eastAsia="仿宋"/>
          <w:bCs/>
          <w:sz w:val="32"/>
          <w:szCs w:val="32"/>
        </w:rPr>
        <w:t>1-9月，</w:t>
      </w:r>
      <w:r>
        <w:rPr>
          <w:rFonts w:ascii="仿宋" w:eastAsia="仿宋"/>
          <w:sz w:val="32"/>
          <w:szCs w:val="32"/>
        </w:rPr>
        <w:t>全市新增入库企业5家，完成建筑业总产值210.15亿元，同比增长17.2%，占市级年度目标任务265亿元的79.3%；完成装配式建筑13.3万平方米，提前完成全年8万平方米的目标任务；建筑业在促进经济发展方面发挥着重要作用。通过扶持建筑企业资质提档升级，不断提高建筑企业市场竞争力。实施建筑工人实名制管理，</w:t>
      </w:r>
      <w:r>
        <w:rPr>
          <w:rFonts w:ascii="仿宋" w:eastAsia="仿宋" w:hint="eastAsia"/>
          <w:sz w:val="32"/>
          <w:szCs w:val="32"/>
        </w:rPr>
        <w:t>加强</w:t>
      </w:r>
      <w:r>
        <w:rPr>
          <w:rFonts w:ascii="仿宋" w:eastAsia="仿宋"/>
          <w:sz w:val="32"/>
          <w:szCs w:val="32"/>
        </w:rPr>
        <w:t>施工现场专业人员职业培训，</w:t>
      </w:r>
      <w:r>
        <w:rPr>
          <w:rFonts w:ascii="仿宋" w:eastAsia="仿宋" w:hint="eastAsia"/>
          <w:sz w:val="32"/>
          <w:szCs w:val="32"/>
        </w:rPr>
        <w:t>强化</w:t>
      </w:r>
      <w:r>
        <w:rPr>
          <w:rFonts w:ascii="仿宋" w:eastAsia="仿宋"/>
          <w:sz w:val="32"/>
          <w:szCs w:val="32"/>
        </w:rPr>
        <w:t>行业人才队伍建设。统筹指导全市住建领域安全生产工作，充分发挥行业</w:t>
      </w:r>
      <w:r>
        <w:rPr>
          <w:rFonts w:ascii="仿宋" w:eastAsia="仿宋" w:hint="eastAsia"/>
          <w:sz w:val="32"/>
          <w:szCs w:val="32"/>
        </w:rPr>
        <w:t>监管</w:t>
      </w:r>
      <w:r>
        <w:rPr>
          <w:rFonts w:ascii="仿宋" w:eastAsia="仿宋"/>
          <w:sz w:val="32"/>
          <w:szCs w:val="32"/>
        </w:rPr>
        <w:t>作用，组织开展建筑施工安全生产百日攻坚行动，进一步强化工程质量安全监管。</w:t>
      </w:r>
    </w:p>
    <w:p>
      <w:pPr>
        <w:pStyle w:val="32"/>
        <w:spacing w:line="560" w:lineRule="exact"/>
        <w:ind w:leftChars="0" w:left="0" w:firstLineChars="196" w:firstLine="627"/>
        <w:rPr>
          <w:rFonts w:ascii="仿宋" w:eastAsia="仿宋"/>
          <w:bCs/>
          <w:sz w:val="32"/>
          <w:szCs w:val="32"/>
        </w:rPr>
      </w:pPr>
      <w:r>
        <w:rPr>
          <w:rFonts w:ascii="仿宋" w:eastAsia="仿宋" w:cs="方正楷体_GBK" w:hint="eastAsia"/>
          <w:b/>
          <w:sz w:val="32"/>
          <w:szCs w:val="32"/>
        </w:rPr>
        <w:t>防范化解房地产市场风险。</w:t>
      </w:r>
      <w:r>
        <w:rPr>
          <w:rFonts w:ascii="仿宋" w:eastAsia="仿宋"/>
          <w:sz w:val="32"/>
          <w:szCs w:val="32"/>
        </w:rPr>
        <w:t>持续优化营商环境，规范房地产市场秩序，保持房地产市场总体稳定。1-10月，全市新增入库房地产企业11家，完成房地产开发投资97.9亿元，同比增长13.9%；销售商品房134.8万平方米，同比增长6.5%</w:t>
      </w:r>
      <w:r>
        <w:rPr>
          <w:rFonts w:ascii="仿宋" w:eastAsia="仿宋"/>
          <w:bCs/>
          <w:sz w:val="32"/>
          <w:szCs w:val="32"/>
        </w:rPr>
        <w:t>；外地人购房比率达51.57%。强化市场销售监管，严查商品房预售资金“体外循环”情况，整改归集“体外循环”资金约2.5亿元。持续化解房地产领域“问题楼盘”，全市26个“问题楼盘”已化解24个，化解率92.3%，为1.1万余户居民解决“逾期未办证和延期交房”的急难愁盼问题。</w:t>
      </w:r>
    </w:p>
    <w:p>
      <w:pPr>
        <w:pStyle w:val="32"/>
        <w:spacing w:line="560" w:lineRule="exact"/>
        <w:ind w:leftChars="0" w:left="0" w:firstLineChars="196" w:firstLine="627"/>
        <w:rPr>
          <w:rFonts w:ascii="仿宋" w:eastAsia="仿宋"/>
          <w:sz w:val="32"/>
          <w:szCs w:val="32"/>
        </w:rPr>
      </w:pPr>
      <w:r>
        <w:rPr>
          <w:rFonts w:ascii="仿宋" w:eastAsia="仿宋" w:cs="方正楷体_GBK" w:hint="eastAsia"/>
          <w:b/>
          <w:sz w:val="32"/>
          <w:szCs w:val="32"/>
        </w:rPr>
        <w:t>探索推进绿色低碳城市建设。</w:t>
      </w:r>
      <w:r>
        <w:rPr>
          <w:rStyle w:val="33"/>
          <w:rFonts w:ascii="仿宋" w:eastAsia="仿宋"/>
          <w:color w:val="000000"/>
          <w:sz w:val="32"/>
          <w:szCs w:val="32"/>
        </w:rPr>
        <w:t>强化建筑节能日常监管，城市规划区内新建民用建筑节能设计率、检查验收率达到100%；新建建筑施工阶段节能标准执行率达到100%。</w:t>
      </w:r>
      <w:r>
        <w:rPr>
          <w:rFonts w:ascii="仿宋" w:eastAsia="仿宋"/>
          <w:sz w:val="32"/>
          <w:szCs w:val="32"/>
        </w:rPr>
        <w:t>出台《攀枝花市绿色建筑行动实施方案》，</w:t>
      </w:r>
      <w:r>
        <w:rPr>
          <w:rStyle w:val="33"/>
          <w:rFonts w:ascii="仿宋" w:eastAsia="仿宋"/>
          <w:color w:val="000000"/>
          <w:sz w:val="32"/>
          <w:szCs w:val="32"/>
        </w:rPr>
        <w:t>加快全市绿色建筑发展进程。</w:t>
      </w:r>
      <w:r>
        <w:rPr>
          <w:rFonts w:ascii="仿宋" w:eastAsia="仿宋"/>
          <w:sz w:val="32"/>
          <w:szCs w:val="32"/>
        </w:rPr>
        <w:t>推动《四川省攀西地区民用建筑节能应用技术标准》通过省级专家评审，</w:t>
      </w:r>
      <w:r>
        <w:rPr>
          <w:rStyle w:val="33"/>
          <w:rFonts w:ascii="仿宋" w:eastAsia="仿宋"/>
          <w:color w:val="000000"/>
          <w:sz w:val="32"/>
          <w:szCs w:val="32"/>
        </w:rPr>
        <w:t>为我市住建领域实现“双碳”目标奠定基础。</w:t>
      </w:r>
      <w:r>
        <w:rPr>
          <w:rFonts w:ascii="仿宋" w:eastAsia="仿宋"/>
          <w:sz w:val="32"/>
          <w:szCs w:val="32"/>
        </w:rPr>
        <w:t>指导全市推广使用散装水泥171.55万吨，水泥散装率60.91%。</w:t>
      </w:r>
    </w:p>
    <w:p>
      <w:pPr>
        <w:pStyle w:val="32"/>
        <w:spacing w:line="560" w:lineRule="exact"/>
        <w:ind w:leftChars="0" w:left="0" w:firstLineChars="196" w:firstLine="627"/>
        <w:rPr>
          <w:rFonts w:ascii="仿宋" w:eastAsia="仿宋"/>
          <w:sz w:val="32"/>
          <w:szCs w:val="32"/>
        </w:rPr>
      </w:pPr>
      <w:r>
        <w:rPr>
          <w:rFonts w:ascii="仿宋" w:eastAsia="仿宋" w:cs="方正楷体_GBK" w:hint="eastAsia"/>
          <w:b/>
          <w:bCs/>
          <w:sz w:val="32"/>
          <w:szCs w:val="32"/>
        </w:rPr>
        <w:t>扎实推进村镇建设工作。</w:t>
      </w:r>
      <w:r>
        <w:rPr>
          <w:rFonts w:ascii="仿宋" w:eastAsia="仿宋"/>
          <w:sz w:val="32"/>
          <w:szCs w:val="32"/>
        </w:rPr>
        <w:t>加快中心镇培育建设，</w:t>
      </w:r>
      <w:r>
        <w:rPr>
          <w:rFonts w:ascii="仿宋" w:eastAsia="仿宋"/>
          <w:bCs/>
          <w:sz w:val="32"/>
          <w:szCs w:val="32"/>
        </w:rPr>
        <w:t>8个镇列入“省级百强中心镇”入库候选镇</w:t>
      </w:r>
      <w:r>
        <w:rPr>
          <w:rFonts w:ascii="仿宋" w:eastAsia="仿宋"/>
          <w:sz w:val="32"/>
          <w:szCs w:val="32"/>
        </w:rPr>
        <w:t>，</w:t>
      </w:r>
      <w:r>
        <w:rPr>
          <w:rFonts w:ascii="仿宋" w:eastAsia="仿宋"/>
          <w:bCs/>
          <w:sz w:val="32"/>
          <w:szCs w:val="32"/>
        </w:rPr>
        <w:t>出台《攀枝花市关于加快中心镇培育发展的实施意见》，</w:t>
      </w:r>
      <w:r>
        <w:rPr>
          <w:rFonts w:ascii="仿宋" w:eastAsia="仿宋"/>
          <w:sz w:val="32"/>
          <w:szCs w:val="32"/>
        </w:rPr>
        <w:t>促进县域经济高质量发展</w:t>
      </w:r>
      <w:r>
        <w:rPr>
          <w:rFonts w:ascii="仿宋" w:eastAsia="仿宋"/>
          <w:bCs/>
          <w:sz w:val="32"/>
          <w:szCs w:val="32"/>
        </w:rPr>
        <w:t>。</w:t>
      </w:r>
      <w:r>
        <w:rPr>
          <w:rFonts w:ascii="仿宋" w:eastAsia="仿宋"/>
          <w:sz w:val="32"/>
          <w:szCs w:val="32"/>
        </w:rPr>
        <w:t>完成农村“困难户”危房改造、抗震改造和土坯房改造既定目标任务，争取省级住房安全保障补短资金630万元，解决全省“两不愁三保障”回头看大排查中发现350 户非建档立卡特殊困难户住房安全问题。</w:t>
      </w:r>
    </w:p>
    <w:p>
      <w:pPr>
        <w:pStyle w:val="32"/>
        <w:spacing w:line="560" w:lineRule="exact"/>
        <w:ind w:leftChars="0" w:left="0" w:firstLineChars="196" w:firstLine="627"/>
        <w:rPr>
          <w:rFonts w:eastAsia="仿宋_GB2312"/>
          <w:sz w:val="32"/>
          <w:szCs w:val="32"/>
        </w:rPr>
      </w:pPr>
      <w:r>
        <w:rPr>
          <w:rFonts w:ascii="仿宋" w:eastAsia="仿宋" w:cs="方正楷体_GBK" w:hint="eastAsia"/>
          <w:b/>
          <w:bCs/>
          <w:sz w:val="32"/>
          <w:szCs w:val="32"/>
        </w:rPr>
        <w:t>不断优化住建领域营商环境。</w:t>
      </w:r>
      <w:r>
        <w:rPr>
          <w:rFonts w:ascii="仿宋" w:eastAsia="仿宋"/>
          <w:sz w:val="32"/>
          <w:szCs w:val="32"/>
        </w:rPr>
        <w:t>深化工程建设项目审批制度改革，聚焦解决企业和群众办理建筑许可的痛点、难点、堵点问题，持续精简办理流程、缩短办理时间、降低办理成本，提高建筑质量控制指数。常态化推进扫黑除恶专项斗争，深入开展建筑企业资质审批突出问题和房屋市政工程招投标领域突出问题系统治理，将恶意竞标、强揽工程、商品房销售和物业管理乱象等作为整治重点，持续规范行业发展环境。全市住建系统三年扫黑除恶专项斗争取得明显成效，我局于今年7月被市委、市政府评为扫黑除恶先进集体</w:t>
      </w:r>
      <w:r>
        <w:rPr>
          <w:rFonts w:eastAsia="仿宋_GB2312"/>
          <w:sz w:val="32"/>
          <w:szCs w:val="32"/>
        </w:rPr>
        <w:t>。</w:t>
      </w:r>
    </w:p>
    <w:p>
      <w:pPr>
        <w:pStyle w:val="2"/>
        <w:rPr>
          <w:rFonts w:ascii="黑体" w:eastAsia="黑体"/>
          <w:b w:val="0"/>
        </w:rPr>
      </w:pPr>
      <w:r>
        <w:rPr>
          <w:rFonts w:ascii="黑体" w:eastAsia="黑体"/>
          <w:b w:val="0"/>
        </w:rPr>
        <w:t>三</w:t>
      </w:r>
      <w:r>
        <w:rPr>
          <w:rFonts w:ascii="黑体" w:eastAsia="黑体" w:hint="eastAsia"/>
          <w:b w:val="0"/>
        </w:rPr>
        <w:t>、</w:t>
      </w:r>
      <w:r>
        <w:rPr>
          <w:rFonts w:ascii="黑体" w:eastAsia="黑体"/>
          <w:b w:val="0"/>
        </w:rPr>
        <w:t>机构设置</w:t>
      </w:r>
      <w:r>
        <w:rPr>
          <w:rFonts w:ascii="黑体" w:eastAsia="黑体" w:hint="eastAsia"/>
          <w:b w:val="0"/>
        </w:rPr>
        <w:t>情况</w:t>
      </w:r>
    </w:p>
    <w:p>
      <w:pPr>
        <w:pStyle w:val="32"/>
        <w:spacing w:line="560" w:lineRule="exact"/>
        <w:ind w:leftChars="0" w:left="0" w:firstLineChars="0" w:firstLine="644"/>
        <w:rPr>
          <w:rFonts w:ascii="仿宋" w:eastAsia="仿宋"/>
          <w:sz w:val="32"/>
          <w:szCs w:val="32"/>
        </w:rPr>
      </w:pPr>
      <w:r>
        <w:rPr>
          <w:rFonts w:ascii="仿宋" w:eastAsia="仿宋"/>
          <w:sz w:val="32"/>
          <w:szCs w:val="32"/>
        </w:rPr>
        <w:t>攀枝花市住房和城乡建设局（本级）属于攀枝花市住房和城乡建设局部门下属的二级预算单位，下设独立编制机构1个，其中行政机构1个，参照公务员法管理的事业机构0个，其他事业机构0个。</w:t>
      </w:r>
    </w:p>
    <w:p>
      <w:pPr>
        <w:pStyle w:val="32"/>
        <w:spacing w:line="560" w:lineRule="exact"/>
        <w:ind w:leftChars="0" w:left="0" w:firstLineChars="0" w:firstLine="644"/>
        <w:rPr>
          <w:rFonts w:ascii="仿宋" w:eastAsia="仿宋"/>
          <w:sz w:val="32"/>
          <w:szCs w:val="32"/>
        </w:rPr>
      </w:pPr>
      <w:r>
        <w:rPr>
          <w:rFonts w:ascii="仿宋" w:eastAsia="仿宋"/>
          <w:sz w:val="32"/>
          <w:szCs w:val="32"/>
        </w:rPr>
        <w:t>纳入2021年度单位决算编制范围内的独立编制机构包括：攀枝花市住房和城乡建设局（本级）。</w:t>
      </w:r>
    </w:p>
    <w:p>
      <w:pPr>
        <w:widowControl/>
        <w:jc w:val="left"/>
        <w:rPr>
          <w:rFonts w:ascii="仿宋" w:eastAsia="仿宋"/>
          <w:kern w:val="0"/>
          <w:sz w:val="32"/>
          <w:szCs w:val="32"/>
        </w:rPr>
      </w:pPr>
      <w:r>
        <w:rPr>
          <w:rFonts w:ascii="仿宋" w:eastAsia="仿宋"/>
          <w:sz w:val="32"/>
          <w:szCs w:val="32"/>
        </w:rPr>
        <w:br w:type="page"/>
      </w:r>
    </w:p>
    <w:p>
      <w:pPr>
        <w:pStyle w:val="1"/>
        <w:ind w:right="440"/>
        <w:jc w:val="center"/>
        <w:rPr>
          <w:rStyle w:val="1Char"/>
          <w:rFonts w:ascii="黑体" w:eastAsia="黑体"/>
          <w:b w:val="0"/>
          <w:bCs w:val="0"/>
        </w:rPr>
      </w:pPr>
      <w:bookmarkStart w:id="16" w:name="_Toc15396602"/>
      <w:bookmarkStart w:id="17" w:name="_Toc15377204"/>
      <w:r>
        <w:rPr>
          <w:rFonts w:ascii="黑体" w:eastAsia="黑体" w:hint="eastAsia"/>
          <w:b w:val="0"/>
        </w:rPr>
        <w:t>第二部分 2021年度</w:t>
      </w:r>
      <w:r>
        <w:rPr>
          <w:rStyle w:val="1Char"/>
          <w:rFonts w:ascii="黑体" w:eastAsia="黑体" w:hint="eastAsia"/>
          <w:b w:val="0"/>
          <w:bCs w:val="0"/>
        </w:rPr>
        <w:t>单位决算情况说明</w:t>
      </w:r>
      <w:bookmarkEnd w:id="16"/>
      <w:bookmarkEnd w:id="17"/>
    </w:p>
    <w:p/>
    <w:p>
      <w:pPr>
        <w:pStyle w:val="28"/>
        <w:numPr>
          <w:ilvl w:val="0"/>
          <w:numId w:val="2"/>
        </w:numPr>
        <w:spacing w:line="600" w:lineRule="exact"/>
        <w:ind w:firstLineChars="0"/>
        <w:outlineLvl w:val="1"/>
        <w:rPr>
          <w:rStyle w:val="2Char"/>
          <w:rFonts w:ascii="黑体" w:eastAsia="黑体"/>
          <w:b w:val="0"/>
        </w:rPr>
      </w:pPr>
      <w:bookmarkStart w:id="18" w:name="_Toc15396603"/>
      <w:bookmarkStart w:id="19" w:name="_Toc15377205"/>
      <w:r>
        <w:rPr>
          <w:rFonts w:ascii="黑体" w:eastAsia="黑体" w:hint="eastAsia"/>
          <w:sz w:val="32"/>
          <w:szCs w:val="32"/>
        </w:rPr>
        <w:t>收</w:t>
      </w:r>
      <w:r>
        <w:rPr>
          <w:rStyle w:val="2Char"/>
          <w:rFonts w:ascii="黑体" w:eastAsia="黑体" w:hint="eastAsia"/>
          <w:b w:val="0"/>
        </w:rPr>
        <w:t>入支出决算总体情况说明</w:t>
      </w:r>
      <w:bookmarkEnd w:id="18"/>
      <w:bookmarkEnd w:id="19"/>
    </w:p>
    <w:p>
      <w:pPr>
        <w:spacing w:line="600" w:lineRule="exact"/>
        <w:ind w:firstLineChars="200" w:firstLine="640"/>
        <w:rPr>
          <w:rFonts w:ascii="仿宋" w:eastAsia="仿宋"/>
          <w:sz w:val="32"/>
          <w:szCs w:val="32"/>
        </w:rPr>
      </w:pPr>
      <w:r>
        <w:rPr>
          <w:rFonts w:ascii="仿宋" w:eastAsia="仿宋" w:hint="eastAsia"/>
          <w:sz w:val="32"/>
          <w:szCs w:val="32"/>
        </w:rPr>
        <w:t>2021年度收、支总计2329.5万元。与2020年相比，收、支总计各减少4674.91万元，下降66.74</w:t>
      </w:r>
      <w:r>
        <w:rPr>
          <w:rFonts w:ascii="仿宋" w:eastAsia="仿宋"/>
          <w:sz w:val="32"/>
          <w:szCs w:val="32"/>
        </w:rPr>
        <w:t>%</w:t>
      </w:r>
      <w:r>
        <w:rPr>
          <w:rFonts w:ascii="仿宋" w:eastAsia="仿宋" w:hint="eastAsia"/>
          <w:sz w:val="32"/>
          <w:szCs w:val="32"/>
        </w:rPr>
        <w:t>。主要变动原因是2020年财政拨入火车南站PPP项目经费5000万，2021年</w:t>
      </w:r>
      <w:r>
        <w:rPr>
          <w:rFonts w:ascii="仿宋" w:eastAsia="仿宋"/>
          <w:sz w:val="32"/>
          <w:szCs w:val="32"/>
        </w:rPr>
        <w:t>为</w:t>
      </w:r>
      <w:r>
        <w:rPr>
          <w:rFonts w:ascii="仿宋" w:eastAsia="仿宋" w:hint="eastAsia"/>
          <w:sz w:val="32"/>
          <w:szCs w:val="32"/>
        </w:rPr>
        <w:t>683.83万。</w:t>
      </w:r>
    </w:p>
    <w:p>
      <w:pPr>
        <w:spacing w:line="600" w:lineRule="exact"/>
        <w:rPr>
          <w:rFonts w:ascii="仿宋" w:eastAsia="仿宋"/>
          <w:sz w:val="32"/>
          <w:szCs w:val="32"/>
        </w:rPr>
      </w:pPr>
      <w:r>
        <w:rPr>
          <w:rFonts w:ascii="仿宋" w:eastAsia="仿宋" w:hint="eastAsia"/>
          <w:sz w:val="32"/>
          <w:szCs w:val="32"/>
        </w:rPr>
        <w:t>（图</w:t>
      </w:r>
      <w:r>
        <w:rPr>
          <w:rFonts w:ascii="仿宋" w:eastAsia="仿宋"/>
          <w:sz w:val="32"/>
          <w:szCs w:val="32"/>
        </w:rPr>
        <w:t>1</w:t>
      </w:r>
      <w:r>
        <w:rPr>
          <w:rFonts w:ascii="仿宋" w:eastAsia="仿宋" w:hint="eastAsia"/>
          <w:sz w:val="32"/>
          <w:szCs w:val="32"/>
        </w:rPr>
        <w:t>：收、支决算总计变动情况图）（柱状图）单位：万元</w:t>
      </w:r>
    </w:p>
    <w:p>
      <w:pPr>
        <w:pStyle w:val="15"/>
        <w:spacing w:beforeLines="0" w:before="93"/>
      </w:pPr>
      <w:r>
        <w:drawing>
          <wp:inline distT="0" distB="0" distL="0" distR="0">
            <wp:extent cx="5352021" cy="2743200"/>
            <wp:effectExtent l="0" t="0" r="0" b="0"/>
            <wp:docPr id="1" name="图表 5"/>
            <wp:cNvGraphicFramePr>
              <a:graphicFrameLocks noChangeAspect="0"/>
            </wp:cNvGraphicFramePr>
            <a:graphic>
              <a:graphicData uri="http://schemas.openxmlformats.org/drawingml/2006/chart">
                <c:chart xmlns:c="http://schemas.openxmlformats.org/drawingml/2006/chart" r:id="rId4"/>
              </a:graphicData>
            </a:graphic>
          </wp:inline>
        </w:drawing>
      </w:r>
    </w:p>
    <w:p>
      <w:pPr>
        <w:pStyle w:val="28"/>
        <w:numPr>
          <w:ilvl w:val="0"/>
          <w:numId w:val="2"/>
        </w:numPr>
        <w:spacing w:line="600" w:lineRule="exact"/>
        <w:ind w:firstLineChars="0"/>
        <w:outlineLvl w:val="1"/>
        <w:rPr>
          <w:rStyle w:val="2Char"/>
          <w:rFonts w:ascii="黑体" w:eastAsia="黑体"/>
          <w:b w:val="0"/>
        </w:rPr>
      </w:pPr>
      <w:bookmarkStart w:id="20" w:name="_Toc15396604"/>
      <w:bookmarkStart w:id="21" w:name="_Toc15377206"/>
      <w:r>
        <w:rPr>
          <w:rFonts w:ascii="黑体" w:eastAsia="黑体" w:hint="eastAsia"/>
          <w:sz w:val="32"/>
          <w:szCs w:val="32"/>
        </w:rPr>
        <w:t>收</w:t>
      </w:r>
      <w:r>
        <w:rPr>
          <w:rStyle w:val="2Char"/>
          <w:rFonts w:ascii="黑体" w:eastAsia="黑体" w:hint="eastAsia"/>
          <w:b w:val="0"/>
        </w:rPr>
        <w:t>入决算情况说明</w:t>
      </w:r>
      <w:bookmarkEnd w:id="20"/>
      <w:bookmarkEnd w:id="21"/>
    </w:p>
    <w:p>
      <w:pPr>
        <w:spacing w:line="600" w:lineRule="exact"/>
        <w:ind w:firstLineChars="200" w:firstLine="640"/>
        <w:outlineLvl w:val="1"/>
        <w:rPr>
          <w:rFonts w:ascii="仿宋" w:eastAsia="仿宋"/>
          <w:sz w:val="32"/>
          <w:szCs w:val="32"/>
        </w:rPr>
      </w:pPr>
      <w:r>
        <w:rPr>
          <w:rFonts w:ascii="仿宋" w:eastAsia="仿宋"/>
          <w:sz w:val="32"/>
          <w:szCs w:val="32"/>
        </w:rPr>
        <w:t>20</w:t>
      </w:r>
      <w:r>
        <w:rPr>
          <w:rFonts w:ascii="仿宋" w:eastAsia="仿宋" w:hint="eastAsia"/>
          <w:sz w:val="32"/>
          <w:szCs w:val="32"/>
        </w:rPr>
        <w:t>21年本年收入合计2279.5万元，其中：一般公共预算财政拨款收入1534.03万元，占67.3</w:t>
      </w:r>
      <w:r>
        <w:rPr>
          <w:rFonts w:ascii="仿宋" w:eastAsia="仿宋"/>
          <w:sz w:val="32"/>
          <w:szCs w:val="32"/>
        </w:rPr>
        <w:t>%</w:t>
      </w:r>
      <w:r>
        <w:rPr>
          <w:rFonts w:ascii="仿宋" w:eastAsia="仿宋" w:hint="eastAsia"/>
          <w:sz w:val="32"/>
          <w:szCs w:val="32"/>
        </w:rPr>
        <w:t>；政府性基金预算财政拨款收入745.46万元，占32.7</w:t>
      </w:r>
      <w:r>
        <w:rPr>
          <w:rFonts w:ascii="仿宋" w:eastAsia="仿宋"/>
          <w:sz w:val="32"/>
          <w:szCs w:val="32"/>
        </w:rPr>
        <w:t>%</w:t>
      </w:r>
      <w:r>
        <w:rPr>
          <w:rFonts w:ascii="仿宋" w:eastAsia="仿宋" w:hint="eastAsia"/>
          <w:sz w:val="32"/>
          <w:szCs w:val="32"/>
        </w:rPr>
        <w:t>；国有资本经营预算财政拨款收入0万元，占0</w:t>
      </w:r>
      <w:r>
        <w:rPr>
          <w:rFonts w:ascii="仿宋" w:eastAsia="仿宋"/>
          <w:sz w:val="32"/>
          <w:szCs w:val="32"/>
        </w:rPr>
        <w:t>%</w:t>
      </w:r>
      <w:r>
        <w:rPr>
          <w:rFonts w:ascii="仿宋" w:eastAsia="仿宋" w:hint="eastAsia"/>
          <w:sz w:val="32"/>
          <w:szCs w:val="32"/>
        </w:rPr>
        <w:t>；上级补助收入0万元，占0</w:t>
      </w:r>
      <w:r>
        <w:rPr>
          <w:rFonts w:ascii="仿宋" w:eastAsia="仿宋"/>
          <w:sz w:val="32"/>
          <w:szCs w:val="32"/>
        </w:rPr>
        <w:t>%</w:t>
      </w:r>
      <w:r>
        <w:rPr>
          <w:rFonts w:ascii="仿宋" w:eastAsia="仿宋" w:hint="eastAsia"/>
          <w:sz w:val="32"/>
          <w:szCs w:val="32"/>
        </w:rPr>
        <w:t>；事业收入0万元，占0</w:t>
      </w:r>
      <w:r>
        <w:rPr>
          <w:rFonts w:ascii="仿宋" w:eastAsia="仿宋"/>
          <w:sz w:val="32"/>
          <w:szCs w:val="32"/>
        </w:rPr>
        <w:t>%</w:t>
      </w:r>
      <w:r>
        <w:rPr>
          <w:rFonts w:ascii="仿宋" w:eastAsia="仿宋" w:hint="eastAsia"/>
          <w:sz w:val="32"/>
          <w:szCs w:val="32"/>
        </w:rPr>
        <w:t>；经营收入0万元，占0</w:t>
      </w:r>
      <w:r>
        <w:rPr>
          <w:rFonts w:ascii="仿宋" w:eastAsia="仿宋"/>
          <w:sz w:val="32"/>
          <w:szCs w:val="32"/>
        </w:rPr>
        <w:t>%</w:t>
      </w:r>
      <w:r>
        <w:rPr>
          <w:rFonts w:ascii="仿宋" w:eastAsia="仿宋" w:hint="eastAsia"/>
          <w:sz w:val="32"/>
          <w:szCs w:val="32"/>
        </w:rPr>
        <w:t>；附属单位上缴收入0万元，占0</w:t>
      </w:r>
      <w:r>
        <w:rPr>
          <w:rFonts w:ascii="仿宋" w:eastAsia="仿宋"/>
          <w:sz w:val="32"/>
          <w:szCs w:val="32"/>
        </w:rPr>
        <w:t>%</w:t>
      </w:r>
      <w:r>
        <w:rPr>
          <w:rFonts w:ascii="仿宋" w:eastAsia="仿宋" w:hint="eastAsia"/>
          <w:sz w:val="32"/>
          <w:szCs w:val="32"/>
        </w:rPr>
        <w:t>；其他收入0万元，占0</w:t>
      </w:r>
      <w:r>
        <w:rPr>
          <w:rFonts w:ascii="仿宋" w:eastAsia="仿宋"/>
          <w:sz w:val="32"/>
          <w:szCs w:val="32"/>
        </w:rPr>
        <w:t>%</w:t>
      </w:r>
      <w:r>
        <w:rPr>
          <w:rFonts w:ascii="仿宋" w:eastAsia="仿宋" w:hint="eastAsia"/>
          <w:sz w:val="32"/>
          <w:szCs w:val="32"/>
        </w:rPr>
        <w:t>。</w:t>
      </w:r>
    </w:p>
    <w:p>
      <w:pPr>
        <w:spacing w:line="600" w:lineRule="exact"/>
        <w:ind w:firstLineChars="200" w:firstLine="640"/>
        <w:rPr>
          <w:rFonts w:ascii="仿宋" w:eastAsia="仿宋"/>
          <w:sz w:val="32"/>
          <w:szCs w:val="32"/>
        </w:rPr>
      </w:pPr>
      <w:r>
        <w:rPr>
          <w:rFonts w:ascii="仿宋" w:eastAsia="仿宋" w:hint="eastAsia"/>
          <w:sz w:val="32"/>
          <w:szCs w:val="32"/>
        </w:rPr>
        <w:t>（图2：收入决算结构图）（饼状图）单位：万元</w:t>
      </w:r>
    </w:p>
    <w:p>
      <w:pPr>
        <w:pStyle w:val="15"/>
        <w:spacing w:beforeLines="0" w:before="93"/>
      </w:pPr>
      <w:r>
        <w:drawing>
          <wp:inline distT="0" distB="0" distL="0" distR="0">
            <wp:extent cx="4791848" cy="2743200"/>
            <wp:effectExtent l="0" t="0" r="0" b="0"/>
            <wp:docPr id="2" name="图表 6"/>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28"/>
        <w:numPr>
          <w:ilvl w:val="0"/>
          <w:numId w:val="2"/>
        </w:numPr>
        <w:spacing w:line="600" w:lineRule="exact"/>
        <w:ind w:firstLineChars="0"/>
        <w:outlineLvl w:val="1"/>
        <w:rPr>
          <w:rStyle w:val="2Char"/>
          <w:rFonts w:ascii="黑体" w:eastAsia="黑体"/>
          <w:b w:val="0"/>
        </w:rPr>
      </w:pPr>
      <w:bookmarkStart w:id="22" w:name="_Toc15396605"/>
      <w:bookmarkStart w:id="23" w:name="_Toc15377207"/>
      <w:r>
        <w:rPr>
          <w:rFonts w:ascii="黑体" w:eastAsia="黑体" w:hint="eastAsia"/>
          <w:sz w:val="32"/>
          <w:szCs w:val="32"/>
        </w:rPr>
        <w:t>支</w:t>
      </w:r>
      <w:r>
        <w:rPr>
          <w:rStyle w:val="2Char"/>
          <w:rFonts w:ascii="黑体" w:eastAsia="黑体" w:hint="eastAsia"/>
          <w:b w:val="0"/>
        </w:rPr>
        <w:t>出决算情况说明</w:t>
      </w:r>
      <w:bookmarkEnd w:id="22"/>
      <w:bookmarkEnd w:id="23"/>
    </w:p>
    <w:p>
      <w:pPr>
        <w:spacing w:line="600" w:lineRule="exact"/>
        <w:ind w:firstLineChars="200" w:firstLine="640"/>
        <w:outlineLvl w:val="1"/>
        <w:rPr>
          <w:rFonts w:ascii="仿宋" w:eastAsia="仿宋"/>
          <w:sz w:val="32"/>
          <w:szCs w:val="32"/>
        </w:rPr>
      </w:pPr>
      <w:r>
        <w:rPr>
          <w:rFonts w:ascii="仿宋" w:eastAsia="仿宋"/>
          <w:sz w:val="32"/>
          <w:szCs w:val="32"/>
        </w:rPr>
        <w:t>20</w:t>
      </w:r>
      <w:r>
        <w:rPr>
          <w:rFonts w:ascii="仿宋" w:eastAsia="仿宋" w:hint="eastAsia"/>
          <w:sz w:val="32"/>
          <w:szCs w:val="32"/>
        </w:rPr>
        <w:t>21年本年支出合计2329.5万元，其中：基本支出1274.55万元，占54.71</w:t>
      </w:r>
      <w:r>
        <w:rPr>
          <w:rFonts w:ascii="仿宋" w:eastAsia="仿宋"/>
          <w:sz w:val="32"/>
          <w:szCs w:val="32"/>
        </w:rPr>
        <w:t>%</w:t>
      </w:r>
      <w:r>
        <w:rPr>
          <w:rFonts w:ascii="仿宋" w:eastAsia="仿宋" w:hint="eastAsia"/>
          <w:sz w:val="32"/>
          <w:szCs w:val="32"/>
        </w:rPr>
        <w:t>；项目支出1054.95万元，占45.29</w:t>
      </w:r>
      <w:r>
        <w:rPr>
          <w:rFonts w:ascii="仿宋" w:eastAsia="仿宋"/>
          <w:sz w:val="32"/>
          <w:szCs w:val="32"/>
        </w:rPr>
        <w:t>%</w:t>
      </w:r>
      <w:r>
        <w:rPr>
          <w:rFonts w:ascii="仿宋" w:eastAsia="仿宋" w:hint="eastAsia"/>
          <w:sz w:val="32"/>
          <w:szCs w:val="32"/>
        </w:rPr>
        <w:t>；上缴上级支出0万元，占0</w:t>
      </w:r>
      <w:r>
        <w:rPr>
          <w:rFonts w:ascii="仿宋" w:eastAsia="仿宋"/>
          <w:sz w:val="32"/>
          <w:szCs w:val="32"/>
        </w:rPr>
        <w:t>%</w:t>
      </w:r>
      <w:r>
        <w:rPr>
          <w:rFonts w:ascii="仿宋" w:eastAsia="仿宋" w:hint="eastAsia"/>
          <w:sz w:val="32"/>
          <w:szCs w:val="32"/>
        </w:rPr>
        <w:t>；经营支出0万元，占0</w:t>
      </w:r>
      <w:r>
        <w:rPr>
          <w:rFonts w:ascii="仿宋" w:eastAsia="仿宋"/>
          <w:sz w:val="32"/>
          <w:szCs w:val="32"/>
        </w:rPr>
        <w:t>%</w:t>
      </w:r>
      <w:r>
        <w:rPr>
          <w:rFonts w:ascii="仿宋" w:eastAsia="仿宋" w:hint="eastAsia"/>
          <w:sz w:val="32"/>
          <w:szCs w:val="32"/>
        </w:rPr>
        <w:t>；对附属单位补助支出0万元，占0</w:t>
      </w:r>
      <w:r>
        <w:rPr>
          <w:rFonts w:ascii="仿宋" w:eastAsia="仿宋"/>
          <w:sz w:val="32"/>
          <w:szCs w:val="32"/>
        </w:rPr>
        <w:t>%</w:t>
      </w:r>
      <w:r>
        <w:rPr>
          <w:rFonts w:ascii="仿宋" w:eastAsia="仿宋" w:hint="eastAsia"/>
          <w:sz w:val="32"/>
          <w:szCs w:val="32"/>
        </w:rPr>
        <w:t>。</w:t>
      </w:r>
    </w:p>
    <w:p>
      <w:pPr>
        <w:spacing w:line="600" w:lineRule="exact"/>
        <w:ind w:firstLineChars="200" w:firstLine="640"/>
        <w:rPr>
          <w:rFonts w:ascii="仿宋" w:eastAsia="仿宋"/>
          <w:sz w:val="32"/>
          <w:szCs w:val="32"/>
        </w:rPr>
      </w:pPr>
      <w:r>
        <w:rPr>
          <w:rFonts w:ascii="仿宋" w:eastAsia="仿宋" w:hint="eastAsia"/>
          <w:sz w:val="32"/>
          <w:szCs w:val="32"/>
        </w:rPr>
        <w:t>（图3：支出决算结构图）（饼状图）单位：万元</w:t>
      </w:r>
    </w:p>
    <w:p>
      <w:pPr>
        <w:pStyle w:val="15"/>
        <w:spacing w:beforeLines="0" w:before="93"/>
      </w:pPr>
      <w:r>
        <w:drawing>
          <wp:anchor distT="0" distB="0" distL="114300" distR="114300" simplePos="0" relativeHeight="30" behindDoc="0" locked="0" layoutInCell="1" hidden="0" allowOverlap="1">
            <wp:simplePos x="0" y="0"/>
            <wp:positionH relativeFrom="column">
              <wp:align>left</wp:align>
            </wp:positionH>
            <wp:positionV relativeFrom="paragraph">
              <wp:align>top</wp:align>
            </wp:positionV>
            <wp:extent cx="5137785" cy="2644139"/>
            <wp:effectExtent l="0" t="0" r="0" b="0"/>
            <wp:wrapSquare wrapText="bothSides"/>
            <wp:docPr id="3" name="图表 7"/>
            <wp:cNvGraphicFramePr>
              <a:graphicFrameLocks noChangeAspect="0"/>
            </wp:cNvGraphicFramePr>
            <a:graphic>
              <a:graphicData uri="http://schemas.openxmlformats.org/drawingml/2006/chart">
                <c:chart xmlns:c="http://schemas.openxmlformats.org/drawingml/2006/chart" r:id="rId6"/>
              </a:graphicData>
            </a:graphic>
          </wp:anchor>
        </w:drawing>
      </w:r>
    </w:p>
    <w:p>
      <w:pPr>
        <w:spacing w:line="600" w:lineRule="exact"/>
        <w:ind w:firstLineChars="200" w:firstLine="640"/>
        <w:outlineLvl w:val="1"/>
        <w:rPr>
          <w:rStyle w:val="2Char"/>
          <w:rFonts w:ascii="黑体" w:eastAsia="黑体"/>
          <w:b w:val="0"/>
        </w:rPr>
      </w:pPr>
      <w:bookmarkStart w:id="24" w:name="_Toc15377208"/>
      <w:bookmarkStart w:id="25" w:name="_Toc15396606"/>
      <w:r>
        <w:rPr>
          <w:rFonts w:ascii="黑体" w:eastAsia="黑体" w:hint="eastAsia"/>
          <w:sz w:val="32"/>
          <w:szCs w:val="32"/>
        </w:rPr>
        <w:t>四、财</w:t>
      </w:r>
      <w:r>
        <w:rPr>
          <w:rStyle w:val="2Char"/>
          <w:rFonts w:ascii="黑体" w:eastAsia="黑体" w:hint="eastAsia"/>
          <w:b w:val="0"/>
        </w:rPr>
        <w:t>政拨款收入支出决算总体情况说明</w:t>
      </w:r>
      <w:bookmarkEnd w:id="24"/>
      <w:bookmarkEnd w:id="25"/>
    </w:p>
    <w:p>
      <w:pPr>
        <w:spacing w:line="600" w:lineRule="exact"/>
        <w:ind w:firstLine="640"/>
        <w:rPr>
          <w:rFonts w:ascii="仿宋" w:eastAsia="仿宋"/>
          <w:sz w:val="32"/>
          <w:szCs w:val="32"/>
        </w:rPr>
      </w:pPr>
      <w:r>
        <w:rPr>
          <w:rFonts w:ascii="仿宋" w:eastAsia="仿宋"/>
          <w:sz w:val="32"/>
          <w:szCs w:val="32"/>
        </w:rPr>
        <w:t>20</w:t>
      </w:r>
      <w:r>
        <w:rPr>
          <w:rFonts w:ascii="仿宋" w:eastAsia="仿宋" w:hint="eastAsia"/>
          <w:sz w:val="32"/>
          <w:szCs w:val="32"/>
        </w:rPr>
        <w:t>21年财政拨款收、支总计2329.5万元。与</w:t>
      </w:r>
      <w:r>
        <w:rPr>
          <w:rFonts w:ascii="仿宋" w:eastAsia="仿宋"/>
          <w:sz w:val="32"/>
          <w:szCs w:val="32"/>
        </w:rPr>
        <w:t>20</w:t>
      </w:r>
      <w:r>
        <w:rPr>
          <w:rFonts w:ascii="仿宋" w:eastAsia="仿宋" w:hint="eastAsia"/>
          <w:sz w:val="32"/>
          <w:szCs w:val="32"/>
        </w:rPr>
        <w:t>20年相比，财政拨款收、支总计各减少4674.13万元，下降66.74</w:t>
      </w:r>
      <w:r>
        <w:rPr>
          <w:rFonts w:ascii="仿宋" w:eastAsia="仿宋"/>
          <w:sz w:val="32"/>
          <w:szCs w:val="32"/>
        </w:rPr>
        <w:t>%</w:t>
      </w:r>
      <w:r>
        <w:rPr>
          <w:rFonts w:ascii="仿宋" w:eastAsia="仿宋" w:hint="eastAsia"/>
          <w:sz w:val="32"/>
          <w:szCs w:val="32"/>
        </w:rPr>
        <w:t>。主要变动原因是2020年财政拨入火车南站PPP项目经费5000万，2021年</w:t>
      </w:r>
      <w:r>
        <w:rPr>
          <w:rFonts w:ascii="仿宋" w:eastAsia="仿宋"/>
          <w:sz w:val="32"/>
          <w:szCs w:val="32"/>
        </w:rPr>
        <w:t>为</w:t>
      </w:r>
      <w:r>
        <w:rPr>
          <w:rFonts w:ascii="仿宋" w:eastAsia="仿宋" w:hint="eastAsia"/>
          <w:sz w:val="32"/>
          <w:szCs w:val="32"/>
        </w:rPr>
        <w:t>683.83万。</w:t>
      </w:r>
    </w:p>
    <w:p>
      <w:pPr>
        <w:spacing w:line="600" w:lineRule="exact"/>
        <w:rPr>
          <w:rFonts w:ascii="仿宋" w:eastAsia="仿宋"/>
          <w:sz w:val="32"/>
          <w:szCs w:val="32"/>
        </w:rPr>
      </w:pPr>
      <w:r>
        <w:rPr>
          <w:rFonts w:ascii="仿宋" w:eastAsia="仿宋" w:hint="eastAsia"/>
          <w:sz w:val="32"/>
          <w:szCs w:val="32"/>
        </w:rPr>
        <w:t>（图4：财政拨款收、支决算总计变动情况）（柱状图）单位：万元</w:t>
      </w:r>
    </w:p>
    <w:p>
      <w:pPr>
        <w:pStyle w:val="15"/>
        <w:spacing w:beforeLines="0" w:before="93"/>
      </w:pPr>
      <w:r>
        <w:drawing>
          <wp:inline distT="0" distB="0" distL="0" distR="0">
            <wp:extent cx="5071934" cy="2743200"/>
            <wp:effectExtent l="0" t="0" r="0" b="0"/>
            <wp:docPr id="4" name="图表 7"/>
            <wp:cNvGraphicFramePr>
              <a:graphicFrameLocks noChangeAspect="0"/>
            </wp:cNvGraphicFramePr>
            <a:graphic>
              <a:graphicData uri="http://schemas.openxmlformats.org/drawingml/2006/chart">
                <c:chart xmlns:c="http://schemas.openxmlformats.org/drawingml/2006/chart" r:id="rId7"/>
              </a:graphicData>
            </a:graphic>
          </wp:inline>
        </w:drawing>
      </w:r>
    </w:p>
    <w:p>
      <w:pPr>
        <w:spacing w:line="600" w:lineRule="exact"/>
        <w:ind w:firstLineChars="200" w:firstLine="640"/>
        <w:outlineLvl w:val="1"/>
        <w:rPr>
          <w:rStyle w:val="2Char"/>
          <w:rFonts w:ascii="黑体" w:eastAsia="黑体"/>
          <w:b w:val="0"/>
        </w:rPr>
      </w:pPr>
      <w:bookmarkStart w:id="26" w:name="_Toc15396607"/>
      <w:bookmarkStart w:id="27" w:name="_Toc15377209"/>
      <w:r>
        <w:rPr>
          <w:rFonts w:ascii="黑体" w:eastAsia="黑体" w:hint="eastAsia"/>
          <w:sz w:val="32"/>
          <w:szCs w:val="32"/>
        </w:rPr>
        <w:t>五、一</w:t>
      </w:r>
      <w:r>
        <w:rPr>
          <w:rStyle w:val="2Char"/>
          <w:rFonts w:ascii="黑体" w:eastAsia="黑体" w:hint="eastAsia"/>
          <w:b w:val="0"/>
        </w:rPr>
        <w:t>般公共预算财政拨款支出决算情况说明</w:t>
      </w:r>
      <w:bookmarkEnd w:id="26"/>
      <w:bookmarkEnd w:id="27"/>
    </w:p>
    <w:p>
      <w:pPr>
        <w:spacing w:line="600" w:lineRule="exact"/>
        <w:ind w:firstLineChars="200" w:firstLine="640"/>
        <w:outlineLvl w:val="2"/>
        <w:rPr>
          <w:rFonts w:ascii="仿宋" w:eastAsia="仿宋"/>
          <w:b/>
          <w:sz w:val="32"/>
          <w:szCs w:val="32"/>
        </w:rPr>
      </w:pPr>
      <w:bookmarkStart w:id="28" w:name="_Toc15377210"/>
      <w:r>
        <w:rPr>
          <w:rFonts w:ascii="仿宋" w:eastAsia="仿宋" w:hint="eastAsia"/>
          <w:b/>
          <w:sz w:val="32"/>
          <w:szCs w:val="32"/>
        </w:rPr>
        <w:t>（一）一般公共预算财政拨款支出决算总体情况</w:t>
      </w:r>
      <w:bookmarkEnd w:id="28"/>
    </w:p>
    <w:p>
      <w:pPr>
        <w:spacing w:line="600" w:lineRule="exact"/>
        <w:ind w:firstLineChars="200" w:firstLine="640"/>
        <w:rPr>
          <w:rFonts w:ascii="仿宋" w:eastAsia="仿宋"/>
          <w:sz w:val="32"/>
          <w:szCs w:val="32"/>
        </w:rPr>
      </w:pPr>
      <w:r>
        <w:rPr>
          <w:rFonts w:ascii="仿宋" w:eastAsia="仿宋"/>
          <w:sz w:val="32"/>
          <w:szCs w:val="32"/>
        </w:rPr>
        <w:t>20</w:t>
      </w:r>
      <w:r>
        <w:rPr>
          <w:rFonts w:ascii="仿宋" w:eastAsia="仿宋" w:hint="eastAsia"/>
          <w:sz w:val="32"/>
          <w:szCs w:val="32"/>
        </w:rPr>
        <w:t>21年一般公共预算财政拨款支出1584.03万元，占本年支出合计的68</w:t>
      </w:r>
      <w:r>
        <w:rPr>
          <w:rFonts w:ascii="仿宋" w:eastAsia="仿宋"/>
          <w:sz w:val="32"/>
          <w:szCs w:val="32"/>
        </w:rPr>
        <w:t>%</w:t>
      </w:r>
      <w:r>
        <w:rPr>
          <w:rFonts w:ascii="仿宋" w:eastAsia="仿宋" w:hint="eastAsia"/>
          <w:sz w:val="32"/>
          <w:szCs w:val="32"/>
        </w:rPr>
        <w:t>。与</w:t>
      </w:r>
      <w:r>
        <w:rPr>
          <w:rFonts w:ascii="仿宋" w:eastAsia="仿宋"/>
          <w:sz w:val="32"/>
          <w:szCs w:val="32"/>
        </w:rPr>
        <w:t>20</w:t>
      </w:r>
      <w:r>
        <w:rPr>
          <w:rFonts w:ascii="仿宋" w:eastAsia="仿宋" w:hint="eastAsia"/>
          <w:sz w:val="32"/>
          <w:szCs w:val="32"/>
        </w:rPr>
        <w:t>20年相比，一般公共预算财政拨款支出减少5293.45万元，下降76.97</w:t>
      </w:r>
      <w:r>
        <w:rPr>
          <w:rFonts w:ascii="仿宋" w:eastAsia="仿宋"/>
          <w:sz w:val="32"/>
          <w:szCs w:val="32"/>
        </w:rPr>
        <w:t>%</w:t>
      </w:r>
      <w:r>
        <w:rPr>
          <w:rFonts w:ascii="仿宋" w:eastAsia="仿宋" w:hint="eastAsia"/>
          <w:sz w:val="32"/>
          <w:szCs w:val="32"/>
        </w:rPr>
        <w:t>。主要变动原因是2020年财政拨入火车南站PPP项目经费5000万，2021年</w:t>
      </w:r>
      <w:r>
        <w:rPr>
          <w:rFonts w:ascii="仿宋" w:eastAsia="仿宋"/>
          <w:sz w:val="32"/>
          <w:szCs w:val="32"/>
        </w:rPr>
        <w:t>为</w:t>
      </w:r>
      <w:r>
        <w:rPr>
          <w:rFonts w:ascii="仿宋" w:eastAsia="仿宋" w:hint="eastAsia"/>
          <w:sz w:val="32"/>
          <w:szCs w:val="32"/>
        </w:rPr>
        <w:t>683.83万。</w:t>
      </w:r>
    </w:p>
    <w:p>
      <w:pPr>
        <w:spacing w:line="600" w:lineRule="exact"/>
        <w:ind w:firstLineChars="200" w:firstLine="640"/>
        <w:rPr>
          <w:rFonts w:ascii="仿宋" w:eastAsia="仿宋"/>
          <w:sz w:val="32"/>
          <w:szCs w:val="32"/>
        </w:rPr>
      </w:pPr>
    </w:p>
    <w:p>
      <w:pPr>
        <w:spacing w:line="600" w:lineRule="exact"/>
        <w:ind w:firstLineChars="200" w:firstLine="640"/>
        <w:rPr>
          <w:rFonts w:ascii="仿宋" w:eastAsia="仿宋"/>
          <w:sz w:val="32"/>
          <w:szCs w:val="32"/>
        </w:rPr>
      </w:pPr>
      <w:r>
        <w:rPr>
          <w:rFonts w:ascii="仿宋" w:eastAsia="仿宋" w:hint="eastAsia"/>
          <w:sz w:val="32"/>
          <w:szCs w:val="32"/>
        </w:rPr>
        <w:t>（图5：一般公共预算财政拨款支出决算变动情况）（柱状图）单位：万元</w:t>
      </w:r>
    </w:p>
    <w:p>
      <w:pPr>
        <w:pStyle w:val="15"/>
      </w:pPr>
    </w:p>
    <w:p>
      <w:pPr>
        <w:pStyle w:val="15"/>
        <w:spacing w:beforeLines="0" w:before="93"/>
      </w:pPr>
      <w:r>
        <w:drawing>
          <wp:inline distT="0" distB="0" distL="0" distR="0">
            <wp:extent cx="5146075" cy="2743200"/>
            <wp:effectExtent l="0" t="0" r="0" b="0"/>
            <wp:docPr id="5" name="图表 9"/>
            <wp:cNvGraphicFramePr>
              <a:graphicFrameLocks noChangeAspect="0"/>
            </wp:cNvGraphicFramePr>
            <a:graphic>
              <a:graphicData uri="http://schemas.openxmlformats.org/drawingml/2006/chart">
                <c:chart xmlns:c="http://schemas.openxmlformats.org/drawingml/2006/chart" r:id="rId8"/>
              </a:graphicData>
            </a:graphic>
          </wp:inline>
        </w:drawing>
      </w:r>
    </w:p>
    <w:p>
      <w:pPr>
        <w:spacing w:line="600" w:lineRule="exact"/>
        <w:ind w:firstLineChars="200" w:firstLine="640"/>
        <w:outlineLvl w:val="2"/>
        <w:rPr>
          <w:rFonts w:ascii="仿宋" w:eastAsia="仿宋"/>
          <w:b/>
          <w:sz w:val="32"/>
          <w:szCs w:val="32"/>
        </w:rPr>
      </w:pPr>
      <w:bookmarkStart w:id="29" w:name="_Toc15377211"/>
      <w:r>
        <w:rPr>
          <w:rFonts w:ascii="仿宋" w:eastAsia="仿宋" w:hint="eastAsia"/>
          <w:b/>
          <w:sz w:val="32"/>
          <w:szCs w:val="32"/>
        </w:rPr>
        <w:t>（二）一般公共预算财政拨款支出决算结构情况</w:t>
      </w:r>
      <w:bookmarkEnd w:id="29"/>
    </w:p>
    <w:p>
      <w:pPr>
        <w:spacing w:line="600" w:lineRule="exact"/>
        <w:ind w:firstLine="640"/>
        <w:rPr>
          <w:rFonts w:ascii="仿宋" w:eastAsia="仿宋"/>
          <w:b/>
          <w:sz w:val="32"/>
          <w:szCs w:val="32"/>
        </w:rPr>
      </w:pPr>
      <w:r>
        <w:rPr>
          <w:rFonts w:ascii="仿宋" w:eastAsia="仿宋"/>
          <w:sz w:val="32"/>
          <w:szCs w:val="32"/>
        </w:rPr>
        <w:t>20</w:t>
      </w:r>
      <w:r>
        <w:rPr>
          <w:rFonts w:ascii="仿宋" w:eastAsia="仿宋" w:hint="eastAsia"/>
          <w:sz w:val="32"/>
          <w:szCs w:val="32"/>
        </w:rPr>
        <w:t>21年一般公共预算财政拨款支出1584.03万元，主要用于以下方面</w:t>
      </w:r>
      <w:r>
        <w:rPr>
          <w:rFonts w:ascii="仿宋" w:eastAsia="仿宋"/>
          <w:sz w:val="32"/>
          <w:szCs w:val="32"/>
        </w:rPr>
        <w:t>:</w:t>
      </w:r>
      <w:r>
        <w:rPr>
          <w:rFonts w:ascii="仿宋" w:eastAsia="仿宋" w:hint="eastAsia"/>
          <w:b/>
          <w:sz w:val="32"/>
          <w:szCs w:val="32"/>
        </w:rPr>
        <w:t>一般公共服务（类）</w:t>
      </w:r>
      <w:r>
        <w:rPr>
          <w:rFonts w:ascii="仿宋" w:eastAsia="仿宋" w:hint="eastAsia"/>
          <w:sz w:val="32"/>
          <w:szCs w:val="32"/>
        </w:rPr>
        <w:t>支出26.77万元，占1.69</w:t>
      </w:r>
      <w:r>
        <w:rPr>
          <w:rFonts w:ascii="仿宋" w:eastAsia="仿宋"/>
          <w:sz w:val="32"/>
          <w:szCs w:val="32"/>
        </w:rPr>
        <w:t>%</w:t>
      </w:r>
      <w:r>
        <w:rPr>
          <w:rFonts w:ascii="仿宋" w:eastAsia="仿宋" w:hint="eastAsia"/>
          <w:sz w:val="32"/>
          <w:szCs w:val="32"/>
        </w:rPr>
        <w:t>；</w:t>
      </w:r>
      <w:r>
        <w:rPr>
          <w:rFonts w:ascii="仿宋" w:eastAsia="仿宋" w:hint="eastAsia"/>
          <w:b/>
          <w:sz w:val="32"/>
          <w:szCs w:val="32"/>
        </w:rPr>
        <w:t>教育支出（类）</w:t>
      </w:r>
      <w:r>
        <w:rPr>
          <w:rFonts w:ascii="仿宋" w:eastAsia="仿宋" w:hint="eastAsia"/>
          <w:sz w:val="32"/>
          <w:szCs w:val="32"/>
        </w:rPr>
        <w:t>0万元，占0</w:t>
      </w:r>
      <w:r>
        <w:rPr>
          <w:rFonts w:ascii="仿宋" w:eastAsia="仿宋"/>
          <w:sz w:val="32"/>
          <w:szCs w:val="32"/>
        </w:rPr>
        <w:t>%</w:t>
      </w:r>
      <w:r>
        <w:rPr>
          <w:rFonts w:ascii="仿宋" w:eastAsia="仿宋" w:hint="eastAsia"/>
          <w:sz w:val="32"/>
          <w:szCs w:val="32"/>
        </w:rPr>
        <w:t>；</w:t>
      </w:r>
      <w:r>
        <w:rPr>
          <w:rFonts w:ascii="仿宋" w:eastAsia="仿宋" w:hint="eastAsia"/>
          <w:b/>
          <w:sz w:val="32"/>
          <w:szCs w:val="32"/>
        </w:rPr>
        <w:t>科学技术（类）</w:t>
      </w:r>
      <w:r>
        <w:rPr>
          <w:rFonts w:ascii="仿宋" w:eastAsia="仿宋" w:hint="eastAsia"/>
          <w:sz w:val="32"/>
          <w:szCs w:val="32"/>
        </w:rPr>
        <w:t>支出0万元，占0</w:t>
      </w:r>
      <w:r>
        <w:rPr>
          <w:rFonts w:ascii="仿宋" w:eastAsia="仿宋"/>
          <w:sz w:val="32"/>
          <w:szCs w:val="32"/>
        </w:rPr>
        <w:t>%</w:t>
      </w:r>
      <w:r>
        <w:rPr>
          <w:rFonts w:ascii="仿宋" w:eastAsia="仿宋" w:hint="eastAsia"/>
          <w:sz w:val="32"/>
          <w:szCs w:val="32"/>
        </w:rPr>
        <w:t>；</w:t>
      </w:r>
      <w:r>
        <w:rPr>
          <w:rFonts w:ascii="仿宋" w:eastAsia="仿宋" w:hint="eastAsia"/>
          <w:b/>
          <w:bCs/>
          <w:sz w:val="32"/>
          <w:szCs w:val="32"/>
        </w:rPr>
        <w:t>文化旅游体育与传媒（类）支出0万元，占0</w:t>
      </w:r>
      <w:r>
        <w:rPr>
          <w:rFonts w:ascii="仿宋" w:eastAsia="仿宋"/>
          <w:b/>
          <w:bCs/>
          <w:sz w:val="32"/>
          <w:szCs w:val="32"/>
        </w:rPr>
        <w:t>%</w:t>
      </w:r>
      <w:r>
        <w:rPr>
          <w:rFonts w:ascii="仿宋" w:eastAsia="仿宋" w:hint="eastAsia"/>
          <w:sz w:val="32"/>
          <w:szCs w:val="32"/>
        </w:rPr>
        <w:t>；</w:t>
      </w:r>
      <w:r>
        <w:rPr>
          <w:rFonts w:ascii="仿宋" w:eastAsia="仿宋" w:hint="eastAsia"/>
          <w:b/>
          <w:sz w:val="32"/>
          <w:szCs w:val="32"/>
        </w:rPr>
        <w:t>社会保障和就业（类）</w:t>
      </w:r>
      <w:r>
        <w:rPr>
          <w:rFonts w:ascii="仿宋" w:eastAsia="仿宋" w:hint="eastAsia"/>
          <w:sz w:val="32"/>
          <w:szCs w:val="32"/>
        </w:rPr>
        <w:t>支出468.09万元，占29.55</w:t>
      </w:r>
      <w:r>
        <w:rPr>
          <w:rFonts w:ascii="仿宋" w:eastAsia="仿宋"/>
          <w:sz w:val="32"/>
          <w:szCs w:val="32"/>
        </w:rPr>
        <w:t>%</w:t>
      </w:r>
      <w:r>
        <w:rPr>
          <w:rFonts w:ascii="仿宋" w:eastAsia="仿宋" w:hint="eastAsia"/>
          <w:sz w:val="32"/>
          <w:szCs w:val="32"/>
        </w:rPr>
        <w:t>；</w:t>
      </w:r>
      <w:r>
        <w:rPr>
          <w:rFonts w:ascii="仿宋" w:eastAsia="仿宋" w:hint="eastAsia"/>
          <w:b/>
          <w:color w:val="000000"/>
          <w:sz w:val="32"/>
          <w:szCs w:val="32"/>
        </w:rPr>
        <w:t>城乡社区支出（类）</w:t>
      </w:r>
      <w:r>
        <w:rPr>
          <w:rFonts w:ascii="仿宋" w:eastAsia="仿宋" w:hint="eastAsia"/>
          <w:color w:val="000000"/>
          <w:sz w:val="32"/>
          <w:szCs w:val="32"/>
        </w:rPr>
        <w:t>966.85万元，占61.04</w:t>
      </w:r>
      <w:r>
        <w:rPr>
          <w:rFonts w:ascii="仿宋" w:eastAsia="仿宋"/>
          <w:color w:val="000000"/>
          <w:sz w:val="32"/>
          <w:szCs w:val="32"/>
        </w:rPr>
        <w:t>%</w:t>
      </w:r>
      <w:r>
        <w:rPr>
          <w:rFonts w:ascii="仿宋" w:eastAsia="仿宋" w:hint="eastAsia"/>
          <w:sz w:val="32"/>
          <w:szCs w:val="32"/>
        </w:rPr>
        <w:t>；</w:t>
      </w:r>
      <w:r>
        <w:rPr>
          <w:rFonts w:ascii="仿宋" w:eastAsia="仿宋" w:hint="eastAsia"/>
          <w:b/>
          <w:bCs/>
          <w:sz w:val="32"/>
          <w:szCs w:val="32"/>
        </w:rPr>
        <w:t>卫生健康支出</w:t>
      </w:r>
      <w:r>
        <w:rPr>
          <w:rFonts w:ascii="仿宋" w:eastAsia="仿宋" w:hint="eastAsia"/>
          <w:sz w:val="32"/>
          <w:szCs w:val="32"/>
        </w:rPr>
        <w:t>0万元，占0</w:t>
      </w:r>
      <w:r>
        <w:rPr>
          <w:rFonts w:ascii="仿宋" w:eastAsia="仿宋"/>
          <w:sz w:val="32"/>
          <w:szCs w:val="32"/>
        </w:rPr>
        <w:t>%</w:t>
      </w:r>
      <w:r>
        <w:rPr>
          <w:rFonts w:ascii="仿宋" w:eastAsia="仿宋" w:hint="eastAsia"/>
          <w:sz w:val="32"/>
          <w:szCs w:val="32"/>
        </w:rPr>
        <w:t>；</w:t>
      </w:r>
      <w:r>
        <w:rPr>
          <w:rFonts w:ascii="仿宋" w:eastAsia="仿宋" w:hint="eastAsia"/>
          <w:b/>
          <w:sz w:val="32"/>
          <w:szCs w:val="32"/>
        </w:rPr>
        <w:t>住房保障支出</w:t>
      </w:r>
      <w:r>
        <w:rPr>
          <w:rFonts w:ascii="仿宋" w:eastAsia="仿宋" w:hint="eastAsia"/>
          <w:sz w:val="32"/>
          <w:szCs w:val="32"/>
        </w:rPr>
        <w:t>72.33万元，占4.57</w:t>
      </w:r>
      <w:r>
        <w:rPr>
          <w:rFonts w:ascii="仿宋" w:eastAsia="仿宋"/>
          <w:sz w:val="32"/>
          <w:szCs w:val="32"/>
        </w:rPr>
        <w:t>%</w:t>
      </w:r>
      <w:r>
        <w:rPr>
          <w:rFonts w:ascii="仿宋" w:eastAsia="仿宋" w:hint="eastAsia"/>
          <w:sz w:val="32"/>
          <w:szCs w:val="32"/>
        </w:rPr>
        <w:t>；</w:t>
      </w:r>
      <w:r>
        <w:rPr>
          <w:rFonts w:ascii="仿宋" w:eastAsia="仿宋" w:hint="eastAsia"/>
          <w:b/>
          <w:color w:val="000000"/>
          <w:sz w:val="32"/>
          <w:szCs w:val="32"/>
        </w:rPr>
        <w:t>其他支出（类）</w:t>
      </w:r>
      <w:r>
        <w:rPr>
          <w:rFonts w:ascii="仿宋" w:eastAsia="仿宋" w:hint="eastAsia"/>
          <w:color w:val="000000"/>
          <w:sz w:val="32"/>
          <w:szCs w:val="32"/>
        </w:rPr>
        <w:t>50万元，占3.15</w:t>
      </w:r>
      <w:r>
        <w:rPr>
          <w:rFonts w:ascii="仿宋" w:eastAsia="仿宋"/>
          <w:color w:val="000000"/>
          <w:sz w:val="32"/>
          <w:szCs w:val="32"/>
        </w:rPr>
        <w:t>%</w:t>
      </w:r>
      <w:r>
        <w:rPr>
          <w:rFonts w:ascii="仿宋" w:eastAsia="仿宋" w:hint="eastAsia"/>
          <w:sz w:val="32"/>
          <w:szCs w:val="32"/>
        </w:rPr>
        <w:t>。</w:t>
      </w:r>
    </w:p>
    <w:p>
      <w:pPr>
        <w:spacing w:line="600" w:lineRule="exact"/>
        <w:ind w:firstLineChars="200" w:firstLine="640"/>
        <w:rPr>
          <w:rFonts w:ascii="仿宋" w:eastAsia="仿宋"/>
          <w:sz w:val="32"/>
          <w:szCs w:val="32"/>
        </w:rPr>
      </w:pPr>
    </w:p>
    <w:p>
      <w:pPr>
        <w:spacing w:line="600" w:lineRule="exact"/>
        <w:ind w:firstLineChars="200" w:firstLine="640"/>
        <w:rPr>
          <w:rFonts w:ascii="仿宋" w:eastAsia="仿宋"/>
          <w:sz w:val="32"/>
          <w:szCs w:val="32"/>
        </w:rPr>
      </w:pPr>
      <w:r>
        <w:rPr>
          <w:rFonts w:ascii="仿宋" w:eastAsia="仿宋" w:hint="eastAsia"/>
          <w:sz w:val="32"/>
          <w:szCs w:val="32"/>
        </w:rPr>
        <w:t>（图6：一般公共预算财政拨款支出决算结构）（饼状图）单位：万元</w:t>
      </w:r>
    </w:p>
    <w:p>
      <w:pPr>
        <w:pStyle w:val="15"/>
        <w:spacing w:beforeLines="0" w:before="93"/>
      </w:pPr>
      <w:r>
        <w:drawing>
          <wp:inline distT="0" distB="0" distL="0" distR="0">
            <wp:extent cx="5129599" cy="2743200"/>
            <wp:effectExtent l="0" t="0" r="0" b="0"/>
            <wp:docPr id="6" name="图表 10"/>
            <wp:cNvGraphicFramePr>
              <a:graphicFrameLocks noChangeAspect="0"/>
            </wp:cNvGraphicFramePr>
            <a:graphic>
              <a:graphicData uri="http://schemas.openxmlformats.org/drawingml/2006/chart">
                <c:chart xmlns:c="http://schemas.openxmlformats.org/drawingml/2006/chart" r:id="rId9"/>
              </a:graphicData>
            </a:graphic>
          </wp:inline>
        </w:drawing>
      </w:r>
    </w:p>
    <w:p>
      <w:pPr>
        <w:pStyle w:val="15"/>
        <w:spacing w:beforeLines="0" w:before="93"/>
      </w:pPr>
    </w:p>
    <w:p>
      <w:pPr>
        <w:spacing w:line="600" w:lineRule="exact"/>
        <w:ind w:firstLineChars="200" w:firstLine="640"/>
        <w:outlineLvl w:val="2"/>
        <w:rPr>
          <w:rFonts w:ascii="仿宋" w:eastAsia="仿宋"/>
          <w:b/>
          <w:sz w:val="32"/>
          <w:szCs w:val="32"/>
        </w:rPr>
      </w:pPr>
      <w:bookmarkStart w:id="30" w:name="_Toc15377212"/>
      <w:r>
        <w:rPr>
          <w:rFonts w:ascii="仿宋" w:eastAsia="仿宋" w:hint="eastAsia"/>
          <w:b/>
          <w:sz w:val="32"/>
          <w:szCs w:val="32"/>
        </w:rPr>
        <w:t>（三）一般公共预算财政拨款支出决算具体情况</w:t>
      </w:r>
      <w:bookmarkEnd w:id="30"/>
    </w:p>
    <w:p>
      <w:pPr>
        <w:spacing w:line="600" w:lineRule="exact"/>
        <w:ind w:firstLineChars="200" w:firstLine="640"/>
        <w:outlineLvl w:val="2"/>
        <w:rPr>
          <w:rFonts w:ascii="仿宋" w:eastAsia="仿宋"/>
          <w:sz w:val="32"/>
          <w:szCs w:val="32"/>
        </w:rPr>
      </w:pPr>
      <w:bookmarkStart w:id="31" w:name="_Toc15378460"/>
      <w:bookmarkStart w:id="32" w:name="_Toc15377213"/>
      <w:bookmarkStart w:id="33" w:name="_Toc15377444"/>
      <w:r>
        <w:rPr>
          <w:rFonts w:ascii="仿宋" w:eastAsia="仿宋" w:hint="eastAsia"/>
          <w:b/>
          <w:sz w:val="32"/>
          <w:szCs w:val="32"/>
        </w:rPr>
        <w:t>2021年一般公共预算支出决算数为1584.03</w:t>
      </w:r>
      <w:r>
        <w:rPr>
          <w:rFonts w:ascii="仿宋" w:eastAsia="仿宋"/>
          <w:b/>
          <w:sz w:val="32"/>
          <w:szCs w:val="32"/>
        </w:rPr>
        <w:t>万元</w:t>
      </w:r>
      <w:r>
        <w:rPr>
          <w:rFonts w:ascii="仿宋" w:eastAsia="仿宋" w:hint="eastAsia"/>
          <w:sz w:val="32"/>
          <w:szCs w:val="32"/>
        </w:rPr>
        <w:t>，</w:t>
      </w:r>
      <w:r>
        <w:rPr>
          <w:rStyle w:val="22"/>
          <w:rFonts w:ascii="仿宋" w:eastAsia="仿宋" w:hint="eastAsia"/>
          <w:bCs/>
          <w:sz w:val="32"/>
          <w:szCs w:val="32"/>
        </w:rPr>
        <w:t>完成预算100</w:t>
      </w:r>
      <w:r>
        <w:rPr>
          <w:rStyle w:val="22"/>
          <w:rFonts w:ascii="仿宋" w:eastAsia="仿宋"/>
          <w:bCs/>
          <w:sz w:val="32"/>
          <w:szCs w:val="32"/>
        </w:rPr>
        <w:t>%</w:t>
      </w:r>
      <w:r>
        <w:rPr>
          <w:rStyle w:val="22"/>
          <w:rFonts w:ascii="仿宋" w:eastAsia="仿宋" w:hint="eastAsia"/>
          <w:bCs/>
          <w:sz w:val="32"/>
          <w:szCs w:val="32"/>
        </w:rPr>
        <w:t>。其中：</w:t>
      </w:r>
      <w:bookmarkEnd w:id="31"/>
      <w:bookmarkEnd w:id="32"/>
      <w:bookmarkEnd w:id="33"/>
    </w:p>
    <w:p>
      <w:pPr>
        <w:spacing w:line="600" w:lineRule="exact"/>
        <w:ind w:firstLineChars="200" w:firstLine="640"/>
        <w:rPr>
          <w:rStyle w:val="22"/>
          <w:rFonts w:ascii="仿宋" w:eastAsia="仿宋"/>
          <w:b w:val="0"/>
          <w:bCs/>
          <w:sz w:val="32"/>
          <w:szCs w:val="32"/>
        </w:rPr>
      </w:pPr>
      <w:r>
        <w:rPr>
          <w:rStyle w:val="22"/>
          <w:rFonts w:ascii="仿宋" w:eastAsia="仿宋"/>
          <w:bCs/>
          <w:sz w:val="32"/>
          <w:szCs w:val="32"/>
        </w:rPr>
        <w:t>1.</w:t>
      </w:r>
      <w:r>
        <w:rPr>
          <w:rStyle w:val="22"/>
          <w:rFonts w:ascii="仿宋" w:eastAsia="仿宋" w:hint="eastAsia"/>
          <w:bCs/>
          <w:sz w:val="32"/>
          <w:szCs w:val="32"/>
        </w:rPr>
        <w:t>一般公共服务201（类）</w:t>
      </w:r>
    </w:p>
    <w:p>
      <w:pPr>
        <w:pStyle w:val="15"/>
        <w:spacing w:beforeLines="0" w:before="93"/>
        <w:ind w:firstLineChars="196" w:firstLine="627"/>
        <w:rPr>
          <w:rStyle w:val="22"/>
          <w:rFonts w:ascii="仿宋" w:eastAsia="仿宋"/>
          <w:b w:val="0"/>
          <w:bCs/>
          <w:sz w:val="32"/>
          <w:szCs w:val="32"/>
        </w:rPr>
      </w:pPr>
      <w:r>
        <w:rPr>
          <w:rStyle w:val="22"/>
          <w:rFonts w:ascii="仿宋" w:eastAsia="仿宋" w:hint="eastAsia"/>
          <w:bCs/>
          <w:sz w:val="32"/>
          <w:szCs w:val="32"/>
        </w:rPr>
        <w:t>商贸事务13（款）招商引资08（项）</w:t>
      </w:r>
      <w:r>
        <w:rPr>
          <w:rStyle w:val="22"/>
          <w:rFonts w:ascii="仿宋" w:eastAsia="仿宋"/>
          <w:bCs/>
          <w:sz w:val="32"/>
          <w:szCs w:val="32"/>
        </w:rPr>
        <w:t>:</w:t>
      </w:r>
      <w:r>
        <w:rPr>
          <w:rStyle w:val="22"/>
          <w:rFonts w:ascii="仿宋" w:eastAsia="仿宋" w:hint="eastAsia"/>
          <w:b w:val="0"/>
          <w:bCs/>
          <w:sz w:val="32"/>
          <w:szCs w:val="32"/>
        </w:rPr>
        <w:t>支出决算为16.31万元，完成预算100</w:t>
      </w:r>
      <w:r>
        <w:rPr>
          <w:rStyle w:val="22"/>
          <w:rFonts w:ascii="仿宋" w:eastAsia="仿宋"/>
          <w:b w:val="0"/>
          <w:bCs/>
          <w:sz w:val="32"/>
          <w:szCs w:val="32"/>
        </w:rPr>
        <w:t>%</w:t>
      </w:r>
      <w:r>
        <w:rPr>
          <w:rStyle w:val="22"/>
          <w:rFonts w:ascii="仿宋" w:eastAsia="仿宋" w:hint="eastAsia"/>
          <w:b w:val="0"/>
          <w:bCs/>
          <w:sz w:val="32"/>
          <w:szCs w:val="32"/>
        </w:rPr>
        <w:t xml:space="preserve">。 </w:t>
      </w:r>
    </w:p>
    <w:p>
      <w:pPr>
        <w:pStyle w:val="15"/>
        <w:spacing w:beforeLines="0" w:before="93"/>
        <w:ind w:firstLineChars="196" w:firstLine="627"/>
      </w:pPr>
      <w:r>
        <w:rPr>
          <w:rStyle w:val="22"/>
          <w:rFonts w:ascii="仿宋" w:eastAsia="仿宋" w:hint="eastAsia"/>
          <w:bCs/>
          <w:sz w:val="32"/>
          <w:szCs w:val="32"/>
        </w:rPr>
        <w:t>组织事务32（款）其他组织事务支出99（项）</w:t>
      </w:r>
      <w:r>
        <w:rPr>
          <w:rStyle w:val="22"/>
          <w:rFonts w:ascii="仿宋" w:eastAsia="仿宋"/>
          <w:bCs/>
          <w:sz w:val="32"/>
          <w:szCs w:val="32"/>
        </w:rPr>
        <w:t>:</w:t>
      </w:r>
      <w:r>
        <w:rPr>
          <w:rStyle w:val="22"/>
          <w:rFonts w:ascii="仿宋" w:eastAsia="仿宋" w:hint="eastAsia"/>
          <w:b w:val="0"/>
          <w:bCs/>
          <w:sz w:val="32"/>
          <w:szCs w:val="32"/>
        </w:rPr>
        <w:t xml:space="preserve"> 支出决算为10.46万元，完成预算100</w:t>
      </w:r>
      <w:r>
        <w:rPr>
          <w:rStyle w:val="22"/>
          <w:rFonts w:ascii="仿宋" w:eastAsia="仿宋"/>
          <w:b w:val="0"/>
          <w:bCs/>
          <w:sz w:val="32"/>
          <w:szCs w:val="32"/>
        </w:rPr>
        <w:t>%</w:t>
      </w:r>
      <w:r>
        <w:rPr>
          <w:rStyle w:val="22"/>
          <w:rFonts w:ascii="仿宋" w:eastAsia="仿宋" w:hint="eastAsia"/>
          <w:b w:val="0"/>
          <w:bCs/>
          <w:sz w:val="32"/>
          <w:szCs w:val="32"/>
        </w:rPr>
        <w:t>。</w:t>
      </w:r>
    </w:p>
    <w:p>
      <w:pPr>
        <w:spacing w:line="600" w:lineRule="exact"/>
        <w:ind w:firstLineChars="200" w:firstLine="640"/>
        <w:rPr>
          <w:rStyle w:val="22"/>
          <w:rFonts w:ascii="仿宋" w:eastAsia="仿宋"/>
          <w:b w:val="0"/>
          <w:bCs/>
          <w:sz w:val="32"/>
          <w:szCs w:val="32"/>
        </w:rPr>
      </w:pPr>
      <w:r>
        <w:rPr>
          <w:rStyle w:val="22"/>
          <w:rFonts w:ascii="仿宋" w:eastAsia="仿宋" w:hint="eastAsia"/>
          <w:bCs/>
          <w:sz w:val="32"/>
          <w:szCs w:val="32"/>
        </w:rPr>
        <w:t>2</w:t>
      </w:r>
      <w:r>
        <w:rPr>
          <w:rStyle w:val="22"/>
          <w:rFonts w:ascii="仿宋" w:eastAsia="仿宋"/>
          <w:bCs/>
          <w:sz w:val="32"/>
          <w:szCs w:val="32"/>
        </w:rPr>
        <w:t>.</w:t>
      </w:r>
      <w:r>
        <w:rPr>
          <w:rStyle w:val="22"/>
          <w:rFonts w:ascii="仿宋" w:eastAsia="仿宋" w:hint="eastAsia"/>
          <w:bCs/>
          <w:sz w:val="32"/>
          <w:szCs w:val="32"/>
        </w:rPr>
        <w:t>社会保障和就业208（类）</w:t>
      </w:r>
    </w:p>
    <w:p>
      <w:pPr>
        <w:pStyle w:val="15"/>
        <w:spacing w:beforeLines="0" w:before="93"/>
        <w:ind w:firstLineChars="196" w:firstLine="627"/>
        <w:rPr>
          <w:rStyle w:val="22"/>
          <w:rFonts w:ascii="仿宋" w:eastAsia="仿宋"/>
          <w:b w:val="0"/>
          <w:bCs/>
          <w:sz w:val="32"/>
          <w:szCs w:val="32"/>
        </w:rPr>
      </w:pPr>
      <w:r>
        <w:rPr>
          <w:rStyle w:val="22"/>
          <w:rFonts w:ascii="仿宋" w:eastAsia="仿宋" w:hint="eastAsia"/>
          <w:bCs/>
          <w:sz w:val="32"/>
          <w:szCs w:val="32"/>
        </w:rPr>
        <w:t>行政事业单位养老支出05（款）行政单位离退休01（项）</w:t>
      </w:r>
      <w:r>
        <w:rPr>
          <w:rStyle w:val="22"/>
          <w:rFonts w:ascii="仿宋" w:eastAsia="仿宋"/>
          <w:bCs/>
          <w:sz w:val="32"/>
          <w:szCs w:val="32"/>
        </w:rPr>
        <w:t>:</w:t>
      </w:r>
      <w:r>
        <w:rPr>
          <w:rStyle w:val="22"/>
          <w:rFonts w:ascii="仿宋" w:eastAsia="仿宋" w:hint="eastAsia"/>
          <w:b w:val="0"/>
          <w:bCs/>
          <w:sz w:val="32"/>
          <w:szCs w:val="32"/>
        </w:rPr>
        <w:t>支出决算为321.65万元，完成预算100</w:t>
      </w:r>
      <w:r>
        <w:rPr>
          <w:rStyle w:val="22"/>
          <w:rFonts w:ascii="仿宋" w:eastAsia="仿宋"/>
          <w:b w:val="0"/>
          <w:bCs/>
          <w:sz w:val="32"/>
          <w:szCs w:val="32"/>
        </w:rPr>
        <w:t>%</w:t>
      </w:r>
      <w:r>
        <w:rPr>
          <w:rStyle w:val="22"/>
          <w:rFonts w:ascii="仿宋" w:eastAsia="仿宋" w:hint="eastAsia"/>
          <w:b w:val="0"/>
          <w:bCs/>
          <w:sz w:val="32"/>
          <w:szCs w:val="32"/>
        </w:rPr>
        <w:t>，</w:t>
      </w:r>
      <w:r>
        <w:rPr>
          <w:rStyle w:val="22"/>
          <w:rFonts w:ascii="仿宋" w:eastAsia="仿宋" w:hint="eastAsia"/>
          <w:bCs/>
          <w:sz w:val="32"/>
          <w:szCs w:val="32"/>
        </w:rPr>
        <w:t>机关事业单位基本养老保险缴费支出05（项）</w:t>
      </w:r>
      <w:r>
        <w:rPr>
          <w:rStyle w:val="22"/>
          <w:rFonts w:ascii="仿宋" w:eastAsia="仿宋"/>
          <w:bCs/>
          <w:sz w:val="32"/>
          <w:szCs w:val="32"/>
        </w:rPr>
        <w:t>:</w:t>
      </w:r>
      <w:r>
        <w:rPr>
          <w:rStyle w:val="22"/>
          <w:rFonts w:ascii="仿宋" w:eastAsia="仿宋" w:hint="eastAsia"/>
          <w:b w:val="0"/>
          <w:bCs/>
          <w:sz w:val="32"/>
          <w:szCs w:val="32"/>
        </w:rPr>
        <w:t>支出决算为49.38万元，完成预算100</w:t>
      </w:r>
      <w:r>
        <w:rPr>
          <w:rStyle w:val="22"/>
          <w:rFonts w:ascii="仿宋" w:eastAsia="仿宋"/>
          <w:b w:val="0"/>
          <w:bCs/>
          <w:sz w:val="32"/>
          <w:szCs w:val="32"/>
        </w:rPr>
        <w:t>%</w:t>
      </w:r>
      <w:r>
        <w:rPr>
          <w:rStyle w:val="22"/>
          <w:rFonts w:ascii="仿宋" w:eastAsia="仿宋" w:hint="eastAsia"/>
          <w:b w:val="0"/>
          <w:bCs/>
          <w:sz w:val="32"/>
          <w:szCs w:val="32"/>
        </w:rPr>
        <w:t>。</w:t>
      </w:r>
    </w:p>
    <w:p>
      <w:pPr>
        <w:pStyle w:val="15"/>
        <w:spacing w:beforeLines="0" w:before="93"/>
        <w:ind w:firstLineChars="196" w:firstLine="627"/>
      </w:pPr>
      <w:r>
        <w:rPr>
          <w:rStyle w:val="22"/>
          <w:rFonts w:ascii="仿宋" w:eastAsia="仿宋" w:hint="eastAsia"/>
          <w:bCs/>
          <w:sz w:val="32"/>
          <w:szCs w:val="32"/>
        </w:rPr>
        <w:t>抚恤08（款）死亡抚恤01（项）</w:t>
      </w:r>
      <w:r>
        <w:rPr>
          <w:rStyle w:val="22"/>
          <w:rFonts w:ascii="仿宋" w:eastAsia="仿宋"/>
          <w:bCs/>
          <w:sz w:val="32"/>
          <w:szCs w:val="32"/>
        </w:rPr>
        <w:t>:</w:t>
      </w:r>
      <w:r>
        <w:rPr>
          <w:rStyle w:val="22"/>
          <w:rFonts w:ascii="仿宋" w:eastAsia="仿宋" w:hint="eastAsia"/>
          <w:b w:val="0"/>
          <w:bCs/>
          <w:sz w:val="32"/>
          <w:szCs w:val="32"/>
        </w:rPr>
        <w:t>支出决算为97.06万元，完成预算100</w:t>
      </w:r>
      <w:r>
        <w:rPr>
          <w:rStyle w:val="22"/>
          <w:rFonts w:ascii="仿宋" w:eastAsia="仿宋"/>
          <w:b w:val="0"/>
          <w:bCs/>
          <w:sz w:val="32"/>
          <w:szCs w:val="32"/>
        </w:rPr>
        <w:t>%</w:t>
      </w:r>
      <w:r>
        <w:rPr>
          <w:rStyle w:val="22"/>
          <w:rFonts w:ascii="仿宋" w:eastAsia="仿宋" w:hint="eastAsia"/>
          <w:b w:val="0"/>
          <w:bCs/>
          <w:sz w:val="32"/>
          <w:szCs w:val="32"/>
        </w:rPr>
        <w:t>。</w:t>
      </w:r>
    </w:p>
    <w:p>
      <w:pPr>
        <w:spacing w:line="600" w:lineRule="exact"/>
        <w:ind w:firstLineChars="200" w:firstLine="640"/>
        <w:rPr>
          <w:rStyle w:val="22"/>
          <w:rFonts w:ascii="仿宋" w:eastAsia="仿宋"/>
          <w:bCs/>
          <w:sz w:val="32"/>
          <w:szCs w:val="32"/>
        </w:rPr>
      </w:pPr>
      <w:r>
        <w:rPr>
          <w:rStyle w:val="22"/>
          <w:rFonts w:ascii="仿宋" w:eastAsia="仿宋" w:hint="eastAsia"/>
          <w:bCs/>
          <w:sz w:val="32"/>
          <w:szCs w:val="32"/>
        </w:rPr>
        <w:t>3</w:t>
      </w:r>
      <w:r>
        <w:rPr>
          <w:rStyle w:val="22"/>
          <w:rFonts w:ascii="仿宋" w:eastAsia="仿宋"/>
          <w:bCs/>
          <w:sz w:val="32"/>
          <w:szCs w:val="32"/>
        </w:rPr>
        <w:t>.</w:t>
      </w:r>
      <w:r>
        <w:rPr>
          <w:rFonts w:hint="eastAsia"/>
        </w:rPr>
        <w:t xml:space="preserve"> </w:t>
      </w:r>
      <w:r>
        <w:rPr>
          <w:rFonts w:ascii="仿宋" w:eastAsia="仿宋" w:hint="eastAsia"/>
          <w:b/>
          <w:bCs/>
          <w:sz w:val="32"/>
          <w:szCs w:val="32"/>
        </w:rPr>
        <w:t>城乡社区支出212</w:t>
      </w:r>
      <w:r>
        <w:rPr>
          <w:rStyle w:val="22"/>
          <w:rFonts w:ascii="仿宋" w:eastAsia="仿宋" w:hint="eastAsia"/>
          <w:bCs/>
          <w:sz w:val="32"/>
          <w:szCs w:val="32"/>
        </w:rPr>
        <w:t>（类）</w:t>
      </w:r>
    </w:p>
    <w:p>
      <w:pPr>
        <w:spacing w:line="600" w:lineRule="exact"/>
        <w:ind w:firstLineChars="200" w:firstLine="640"/>
        <w:rPr>
          <w:rFonts w:ascii="仿宋" w:eastAsia="仿宋"/>
          <w:sz w:val="32"/>
          <w:szCs w:val="32"/>
        </w:rPr>
      </w:pPr>
      <w:r>
        <w:rPr>
          <w:rStyle w:val="22"/>
          <w:rFonts w:ascii="仿宋" w:eastAsia="仿宋" w:hint="eastAsia"/>
          <w:bCs/>
          <w:sz w:val="32"/>
          <w:szCs w:val="32"/>
        </w:rPr>
        <w:t>城乡社区管理事务01（款）行政运行01（项）</w:t>
      </w:r>
      <w:r>
        <w:rPr>
          <w:rStyle w:val="22"/>
          <w:rFonts w:ascii="仿宋" w:eastAsia="仿宋"/>
          <w:bCs/>
          <w:sz w:val="32"/>
          <w:szCs w:val="32"/>
        </w:rPr>
        <w:t>:</w:t>
      </w:r>
      <w:r>
        <w:rPr>
          <w:rStyle w:val="22"/>
          <w:rFonts w:ascii="仿宋" w:eastAsia="仿宋" w:hint="eastAsia"/>
          <w:b w:val="0"/>
          <w:bCs/>
          <w:sz w:val="32"/>
          <w:szCs w:val="32"/>
        </w:rPr>
        <w:t>支出决算为723.68万元，完成预算100</w:t>
      </w:r>
      <w:r>
        <w:rPr>
          <w:rStyle w:val="22"/>
          <w:rFonts w:ascii="仿宋" w:eastAsia="仿宋"/>
          <w:b w:val="0"/>
          <w:bCs/>
          <w:sz w:val="32"/>
          <w:szCs w:val="32"/>
        </w:rPr>
        <w:t>%</w:t>
      </w:r>
      <w:r>
        <w:rPr>
          <w:rStyle w:val="22"/>
          <w:rFonts w:ascii="仿宋" w:eastAsia="仿宋" w:hint="eastAsia"/>
          <w:b w:val="0"/>
          <w:bCs/>
          <w:sz w:val="32"/>
          <w:szCs w:val="32"/>
        </w:rPr>
        <w:t>，</w:t>
      </w:r>
      <w:r>
        <w:rPr>
          <w:rStyle w:val="22"/>
          <w:rFonts w:ascii="仿宋" w:eastAsia="仿宋" w:hint="eastAsia"/>
          <w:bCs/>
          <w:sz w:val="32"/>
          <w:szCs w:val="32"/>
        </w:rPr>
        <w:t>一般行政管理事务02（项）</w:t>
      </w:r>
      <w:r>
        <w:rPr>
          <w:rStyle w:val="22"/>
          <w:rFonts w:ascii="仿宋" w:eastAsia="仿宋"/>
          <w:bCs/>
          <w:sz w:val="32"/>
          <w:szCs w:val="32"/>
        </w:rPr>
        <w:t>:</w:t>
      </w:r>
      <w:r>
        <w:rPr>
          <w:rStyle w:val="22"/>
          <w:rFonts w:ascii="仿宋" w:eastAsia="仿宋" w:hint="eastAsia"/>
          <w:b w:val="0"/>
          <w:bCs/>
          <w:sz w:val="32"/>
          <w:szCs w:val="32"/>
        </w:rPr>
        <w:t xml:space="preserve"> 支出决算为243.17万元，完成预算100</w:t>
      </w:r>
      <w:r>
        <w:rPr>
          <w:rStyle w:val="22"/>
          <w:rFonts w:ascii="仿宋" w:eastAsia="仿宋"/>
          <w:b w:val="0"/>
          <w:bCs/>
          <w:sz w:val="32"/>
          <w:szCs w:val="32"/>
        </w:rPr>
        <w:t>%</w:t>
      </w:r>
      <w:r>
        <w:rPr>
          <w:rFonts w:ascii="仿宋" w:eastAsia="仿宋" w:hint="eastAsia"/>
          <w:sz w:val="32"/>
          <w:szCs w:val="32"/>
        </w:rPr>
        <w:t>。</w:t>
      </w:r>
    </w:p>
    <w:p>
      <w:pPr>
        <w:spacing w:line="600" w:lineRule="exact"/>
        <w:ind w:firstLineChars="200" w:firstLine="640"/>
        <w:rPr>
          <w:rFonts w:ascii="仿宋" w:eastAsia="仿宋"/>
          <w:sz w:val="32"/>
          <w:szCs w:val="32"/>
        </w:rPr>
      </w:pPr>
      <w:r>
        <w:rPr>
          <w:rStyle w:val="22"/>
          <w:rFonts w:ascii="仿宋" w:eastAsia="仿宋" w:hint="eastAsia"/>
          <w:bCs/>
          <w:sz w:val="32"/>
          <w:szCs w:val="32"/>
        </w:rPr>
        <w:t>4</w:t>
      </w:r>
      <w:r>
        <w:rPr>
          <w:rStyle w:val="22"/>
          <w:rFonts w:ascii="仿宋" w:eastAsia="仿宋"/>
          <w:bCs/>
          <w:sz w:val="32"/>
          <w:szCs w:val="32"/>
        </w:rPr>
        <w:t>.</w:t>
      </w:r>
      <w:r>
        <w:rPr>
          <w:rFonts w:hint="eastAsia"/>
        </w:rPr>
        <w:t xml:space="preserve"> </w:t>
      </w:r>
      <w:r>
        <w:rPr>
          <w:rFonts w:ascii="仿宋" w:eastAsia="仿宋" w:hint="eastAsia"/>
          <w:b/>
          <w:bCs/>
          <w:sz w:val="32"/>
          <w:szCs w:val="32"/>
        </w:rPr>
        <w:t>住房保障支出221</w:t>
      </w:r>
      <w:r>
        <w:rPr>
          <w:rStyle w:val="22"/>
          <w:rFonts w:ascii="仿宋" w:eastAsia="仿宋" w:hint="eastAsia"/>
          <w:bCs/>
          <w:sz w:val="32"/>
          <w:szCs w:val="32"/>
        </w:rPr>
        <w:t>（类）住房改革支出02（款）住房公积金01（项）</w:t>
      </w:r>
      <w:r>
        <w:rPr>
          <w:rStyle w:val="22"/>
          <w:rFonts w:ascii="仿宋" w:eastAsia="仿宋"/>
          <w:bCs/>
          <w:sz w:val="32"/>
          <w:szCs w:val="32"/>
        </w:rPr>
        <w:t>:</w:t>
      </w:r>
      <w:r>
        <w:rPr>
          <w:rStyle w:val="22"/>
          <w:rFonts w:ascii="仿宋" w:eastAsia="仿宋" w:hint="eastAsia"/>
          <w:b w:val="0"/>
          <w:bCs/>
          <w:sz w:val="32"/>
          <w:szCs w:val="32"/>
        </w:rPr>
        <w:t>支出决算为72.33万元，完成预算100</w:t>
      </w:r>
      <w:r>
        <w:rPr>
          <w:rStyle w:val="22"/>
          <w:rFonts w:ascii="仿宋" w:eastAsia="仿宋"/>
          <w:b w:val="0"/>
          <w:bCs/>
          <w:sz w:val="32"/>
          <w:szCs w:val="32"/>
        </w:rPr>
        <w:t>%</w:t>
      </w:r>
      <w:r>
        <w:rPr>
          <w:rStyle w:val="22"/>
          <w:rFonts w:ascii="仿宋" w:eastAsia="仿宋" w:hint="eastAsia"/>
          <w:b w:val="0"/>
          <w:bCs/>
          <w:sz w:val="32"/>
          <w:szCs w:val="32"/>
        </w:rPr>
        <w:t>。</w:t>
      </w:r>
    </w:p>
    <w:p>
      <w:pPr>
        <w:pStyle w:val="15"/>
        <w:spacing w:beforeLines="0" w:before="93"/>
        <w:ind w:firstLineChars="196" w:firstLine="627"/>
      </w:pPr>
      <w:r>
        <w:rPr>
          <w:rStyle w:val="22"/>
          <w:rFonts w:ascii="仿宋" w:eastAsia="仿宋" w:hint="eastAsia"/>
          <w:bCs/>
          <w:sz w:val="32"/>
          <w:szCs w:val="32"/>
        </w:rPr>
        <w:t>5</w:t>
      </w:r>
      <w:r>
        <w:rPr>
          <w:rStyle w:val="22"/>
          <w:rFonts w:ascii="仿宋" w:eastAsia="仿宋"/>
          <w:bCs/>
          <w:sz w:val="32"/>
          <w:szCs w:val="32"/>
        </w:rPr>
        <w:t>.</w:t>
      </w:r>
      <w:r>
        <w:rPr>
          <w:rFonts w:hint="eastAsia"/>
        </w:rPr>
        <w:t xml:space="preserve"> </w:t>
      </w:r>
      <w:r>
        <w:rPr>
          <w:rFonts w:ascii="仿宋" w:eastAsia="仿宋" w:hint="eastAsia"/>
          <w:b/>
          <w:bCs/>
          <w:sz w:val="32"/>
          <w:szCs w:val="32"/>
        </w:rPr>
        <w:t>其他支出229</w:t>
      </w:r>
      <w:r>
        <w:rPr>
          <w:rStyle w:val="22"/>
          <w:rFonts w:ascii="仿宋" w:eastAsia="仿宋" w:hint="eastAsia"/>
          <w:bCs/>
          <w:sz w:val="32"/>
          <w:szCs w:val="32"/>
        </w:rPr>
        <w:t>（类）其他支出99（款）其他支出99（项）</w:t>
      </w:r>
      <w:r>
        <w:rPr>
          <w:rStyle w:val="22"/>
          <w:rFonts w:ascii="仿宋" w:eastAsia="仿宋"/>
          <w:bCs/>
          <w:sz w:val="32"/>
          <w:szCs w:val="32"/>
        </w:rPr>
        <w:t>:</w:t>
      </w:r>
      <w:r>
        <w:rPr>
          <w:rStyle w:val="22"/>
          <w:rFonts w:ascii="仿宋" w:eastAsia="仿宋" w:hint="eastAsia"/>
          <w:b w:val="0"/>
          <w:bCs/>
          <w:sz w:val="32"/>
          <w:szCs w:val="32"/>
        </w:rPr>
        <w:t>支出决算为50万元，完成预算100</w:t>
      </w:r>
      <w:r>
        <w:rPr>
          <w:rStyle w:val="22"/>
          <w:rFonts w:ascii="仿宋" w:eastAsia="仿宋"/>
          <w:b w:val="0"/>
          <w:bCs/>
          <w:sz w:val="32"/>
          <w:szCs w:val="32"/>
        </w:rPr>
        <w:t>%</w:t>
      </w:r>
      <w:r>
        <w:rPr>
          <w:rStyle w:val="22"/>
          <w:rFonts w:ascii="仿宋" w:eastAsia="仿宋" w:hint="eastAsia"/>
          <w:b w:val="0"/>
          <w:bCs/>
          <w:sz w:val="32"/>
          <w:szCs w:val="32"/>
        </w:rPr>
        <w:t>。</w:t>
      </w:r>
    </w:p>
    <w:p>
      <w:pPr>
        <w:tabs>
          <w:tab w:val="right" w:pos="8306"/>
        </w:tabs>
        <w:spacing w:line="600" w:lineRule="exact"/>
        <w:ind w:firstLine="640"/>
        <w:outlineLvl w:val="1"/>
        <w:rPr>
          <w:rStyle w:val="2Char"/>
        </w:rPr>
      </w:pPr>
      <w:bookmarkStart w:id="34" w:name="_Toc15396608"/>
      <w:bookmarkStart w:id="35" w:name="_Toc15377214"/>
      <w:r>
        <w:rPr>
          <w:rFonts w:ascii="黑体" w:eastAsia="黑体" w:hint="eastAsia"/>
          <w:sz w:val="32"/>
          <w:szCs w:val="32"/>
        </w:rPr>
        <w:t>六</w:t>
      </w:r>
      <w:r>
        <w:rPr>
          <w:rFonts w:ascii="黑体" w:eastAsia="黑体" w:hint="eastAsia"/>
          <w:b/>
          <w:sz w:val="32"/>
          <w:szCs w:val="32"/>
        </w:rPr>
        <w:t>、一</w:t>
      </w:r>
      <w:r>
        <w:rPr>
          <w:rStyle w:val="2Char"/>
          <w:rFonts w:ascii="黑体" w:eastAsia="黑体" w:hint="eastAsia"/>
          <w:b w:val="0"/>
        </w:rPr>
        <w:t>般公共预算财政拨款基本支出决算情况说明</w:t>
      </w:r>
      <w:bookmarkEnd w:id="34"/>
      <w:bookmarkEnd w:id="35"/>
      <w:r>
        <w:rPr>
          <w:rStyle w:val="2Char"/>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ascii="仿宋" w:eastAsia="仿宋" w:hint="eastAsia"/>
          <w:sz w:val="32"/>
          <w:szCs w:val="32"/>
        </w:rPr>
        <w:t>21年一般公共预算财政拨款基本支出1274.55万元，其中：</w:t>
      </w:r>
    </w:p>
    <w:p>
      <w:pPr>
        <w:spacing w:line="600" w:lineRule="exact"/>
        <w:ind w:firstLine="645"/>
        <w:rPr>
          <w:rFonts w:ascii="仿宋" w:eastAsia="仿宋"/>
          <w:sz w:val="32"/>
          <w:szCs w:val="32"/>
        </w:rPr>
      </w:pPr>
      <w:r>
        <w:rPr>
          <w:rFonts w:ascii="仿宋" w:eastAsia="仿宋" w:hint="eastAsia"/>
          <w:sz w:val="32"/>
          <w:szCs w:val="32"/>
        </w:rPr>
        <w:t>人员经费1129.62万元，主要包括：基本工资、津贴补贴、奖金、机关事业单位基本养老保险缴费、职工基本医疗保险缴费、公务员医疗补助缴费、其他工资福利支出、住房公积金、离休费、抚恤金、生活补助、医疗费补助。</w:t>
      </w:r>
      <w:r>
        <w:rPr>
          <w:rFonts w:ascii="仿宋" w:eastAsia="仿宋"/>
          <w:sz w:val="32"/>
          <w:szCs w:val="32"/>
        </w:rPr>
        <w:br/>
      </w:r>
      <w:r>
        <w:rPr>
          <w:rFonts w:ascii="仿宋" w:eastAsia="仿宋" w:hint="eastAsia"/>
          <w:sz w:val="32"/>
          <w:szCs w:val="32"/>
        </w:rPr>
        <w:t>　　公用经费144.93万元，主要包括：办公费、邮电费、差旅费、维修（护）费、会议费、培训费、公务接待费、劳务费、工会经费、福利费、公务用车运行维护费、其他交通费、其他商品和服务支出、办公设备购置。</w:t>
      </w:r>
    </w:p>
    <w:p>
      <w:pPr>
        <w:spacing w:line="600" w:lineRule="exact"/>
        <w:ind w:firstLine="640"/>
        <w:outlineLvl w:val="1"/>
        <w:rPr>
          <w:rFonts w:ascii="黑体" w:eastAsia="黑体"/>
          <w:sz w:val="32"/>
          <w:szCs w:val="32"/>
        </w:rPr>
      </w:pPr>
      <w:bookmarkStart w:id="36" w:name="_Toc15396609"/>
      <w:bookmarkStart w:id="37" w:name="_Toc15377215"/>
    </w:p>
    <w:p>
      <w:pPr>
        <w:spacing w:line="600" w:lineRule="exact"/>
        <w:ind w:firstLine="640"/>
        <w:outlineLvl w:val="1"/>
        <w:rPr>
          <w:rStyle w:val="2Char"/>
          <w:rFonts w:ascii="黑体" w:eastAsia="黑体"/>
          <w:b w:val="0"/>
        </w:rPr>
      </w:pPr>
      <w:r>
        <w:rPr>
          <w:rFonts w:ascii="黑体" w:eastAsia="黑体" w:hint="eastAsia"/>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36"/>
      <w:bookmarkEnd w:id="37"/>
    </w:p>
    <w:p>
      <w:pPr>
        <w:spacing w:line="600" w:lineRule="exact"/>
        <w:ind w:firstLine="640"/>
        <w:outlineLvl w:val="2"/>
        <w:rPr>
          <w:rFonts w:ascii="仿宋" w:eastAsia="仿宋"/>
          <w:b/>
          <w:sz w:val="32"/>
          <w:szCs w:val="32"/>
        </w:rPr>
      </w:pPr>
      <w:bookmarkStart w:id="38" w:name="_Toc15377216"/>
      <w:r>
        <w:rPr>
          <w:rFonts w:ascii="仿宋" w:eastAsia="仿宋" w:hint="eastAsia"/>
          <w:b/>
          <w:sz w:val="32"/>
          <w:szCs w:val="32"/>
        </w:rPr>
        <w:t>（一）“三公”经费财政拨款支出决算总体情况说明</w:t>
      </w:r>
      <w:bookmarkEnd w:id="38"/>
    </w:p>
    <w:p>
      <w:pPr>
        <w:spacing w:line="600" w:lineRule="exact"/>
        <w:ind w:firstLine="640"/>
        <w:rPr>
          <w:rFonts w:ascii="仿宋" w:eastAsia="仿宋"/>
          <w:sz w:val="32"/>
          <w:szCs w:val="32"/>
        </w:rPr>
      </w:pPr>
      <w:r>
        <w:rPr>
          <w:rFonts w:ascii="仿宋" w:eastAsia="仿宋"/>
          <w:sz w:val="32"/>
          <w:szCs w:val="32"/>
        </w:rPr>
        <w:t>20</w:t>
      </w:r>
      <w:r>
        <w:rPr>
          <w:rFonts w:ascii="仿宋" w:eastAsia="仿宋" w:hint="eastAsia"/>
          <w:sz w:val="32"/>
          <w:szCs w:val="32"/>
        </w:rPr>
        <w:t>21年“三公”经费财政拨款支出决算为6.89万元，完成预算100</w:t>
      </w:r>
      <w:r>
        <w:rPr>
          <w:rFonts w:ascii="仿宋" w:eastAsia="仿宋"/>
          <w:sz w:val="32"/>
          <w:szCs w:val="32"/>
        </w:rPr>
        <w:t>%</w:t>
      </w:r>
      <w:r>
        <w:rPr>
          <w:rFonts w:ascii="仿宋_GB2312" w:eastAsia="仿宋_GB2312" w:hint="eastAsia"/>
          <w:sz w:val="32"/>
          <w:szCs w:val="32"/>
        </w:rPr>
        <w:t>。</w:t>
      </w:r>
    </w:p>
    <w:p>
      <w:pPr>
        <w:spacing w:line="600" w:lineRule="exact"/>
        <w:ind w:firstLine="640"/>
        <w:outlineLvl w:val="2"/>
        <w:rPr>
          <w:rFonts w:ascii="仿宋" w:eastAsia="仿宋"/>
          <w:b/>
          <w:sz w:val="32"/>
          <w:szCs w:val="32"/>
        </w:rPr>
      </w:pPr>
      <w:bookmarkStart w:id="39" w:name="_Toc15377217"/>
      <w:r>
        <w:rPr>
          <w:rFonts w:ascii="仿宋" w:eastAsia="仿宋" w:hint="eastAsia"/>
          <w:b/>
          <w:sz w:val="32"/>
          <w:szCs w:val="32"/>
        </w:rPr>
        <w:t>（二）“三公”经费财政拨款支出决算具体情况说明</w:t>
      </w:r>
      <w:bookmarkEnd w:id="39"/>
    </w:p>
    <w:p>
      <w:pPr>
        <w:spacing w:line="600" w:lineRule="exact"/>
        <w:ind w:firstLine="640"/>
        <w:rPr>
          <w:rFonts w:ascii="仿宋" w:eastAsia="仿宋"/>
          <w:sz w:val="32"/>
          <w:szCs w:val="32"/>
        </w:rPr>
      </w:pPr>
      <w:r>
        <w:rPr>
          <w:rFonts w:ascii="仿宋" w:eastAsia="仿宋"/>
          <w:sz w:val="32"/>
          <w:szCs w:val="32"/>
        </w:rPr>
        <w:t>20</w:t>
      </w:r>
      <w:r>
        <w:rPr>
          <w:rFonts w:ascii="仿宋" w:eastAsia="仿宋" w:hint="eastAsia"/>
          <w:sz w:val="32"/>
          <w:szCs w:val="32"/>
        </w:rPr>
        <w:t>21年“三公”经费财政拨款支出决算中，因公出国（境）费支出决算0万元，占0</w:t>
      </w:r>
      <w:r>
        <w:rPr>
          <w:rFonts w:ascii="仿宋" w:eastAsia="仿宋"/>
          <w:sz w:val="32"/>
          <w:szCs w:val="32"/>
        </w:rPr>
        <w:t>%</w:t>
      </w:r>
      <w:r>
        <w:rPr>
          <w:rFonts w:ascii="仿宋" w:eastAsia="仿宋" w:hint="eastAsia"/>
          <w:sz w:val="32"/>
          <w:szCs w:val="32"/>
        </w:rPr>
        <w:t>；公务用车购置及运行维护费支出决算5.37万元，占77.94</w:t>
      </w:r>
      <w:r>
        <w:rPr>
          <w:rFonts w:ascii="仿宋" w:eastAsia="仿宋"/>
          <w:sz w:val="32"/>
          <w:szCs w:val="32"/>
        </w:rPr>
        <w:t>%</w:t>
      </w:r>
      <w:r>
        <w:rPr>
          <w:rFonts w:ascii="仿宋" w:eastAsia="仿宋" w:hint="eastAsia"/>
          <w:sz w:val="32"/>
          <w:szCs w:val="32"/>
        </w:rPr>
        <w:t>；公务接待费支出决算1.52万元，占22.06</w:t>
      </w:r>
      <w:r>
        <w:rPr>
          <w:rFonts w:ascii="仿宋" w:eastAsia="仿宋"/>
          <w:sz w:val="32"/>
          <w:szCs w:val="32"/>
        </w:rPr>
        <w:t>%</w:t>
      </w:r>
      <w:r>
        <w:rPr>
          <w:rFonts w:ascii="仿宋" w:eastAsia="仿宋" w:hint="eastAsia"/>
          <w:sz w:val="32"/>
          <w:szCs w:val="32"/>
        </w:rPr>
        <w:t>。具体情况如下：</w:t>
      </w:r>
    </w:p>
    <w:p>
      <w:pPr>
        <w:spacing w:line="600" w:lineRule="exact"/>
        <w:rPr>
          <w:rFonts w:ascii="仿宋" w:eastAsia="仿宋"/>
          <w:sz w:val="32"/>
          <w:szCs w:val="32"/>
        </w:rPr>
      </w:pPr>
      <w:r>
        <w:rPr>
          <w:rFonts w:ascii="仿宋" w:eastAsia="仿宋" w:hint="eastAsia"/>
          <w:sz w:val="32"/>
          <w:szCs w:val="32"/>
        </w:rPr>
        <w:t>（图7：“三公”经费财政拨款支出结构）（饼状图）单位：万元</w:t>
      </w:r>
    </w:p>
    <w:p>
      <w:pPr>
        <w:pStyle w:val="15"/>
        <w:spacing w:beforeLines="0" w:before="93"/>
      </w:pPr>
    </w:p>
    <w:p>
      <w:pPr>
        <w:pStyle w:val="15"/>
        <w:spacing w:beforeLines="0" w:before="93"/>
      </w:pPr>
      <w:r>
        <w:drawing>
          <wp:inline distT="0" distB="0" distL="0" distR="0">
            <wp:extent cx="4572000" cy="2743200"/>
            <wp:effectExtent l="0" t="0" r="0" b="0"/>
            <wp:docPr id="7" name="图表 2"/>
            <wp:cNvGraphicFramePr>
              <a:graphicFrameLocks noChangeAspect="0"/>
            </wp:cNvGraphicFramePr>
            <a:graphic>
              <a:graphicData uri="http://schemas.openxmlformats.org/drawingml/2006/chart">
                <c:chart xmlns:c="http://schemas.openxmlformats.org/drawingml/2006/chart" r:id="rId10"/>
              </a:graphicData>
            </a:graphic>
          </wp:inline>
        </w:drawing>
      </w:r>
    </w:p>
    <w:p>
      <w:pPr>
        <w:pStyle w:val="15"/>
        <w:spacing w:beforeLines="0" w:before="93"/>
      </w:pPr>
    </w:p>
    <w:p>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22"/>
          <w:rFonts w:ascii="仿宋" w:eastAsia="仿宋" w:hint="eastAsia"/>
          <w:b w:val="0"/>
          <w:bCs/>
          <w:sz w:val="32"/>
          <w:szCs w:val="32"/>
        </w:rPr>
        <w:t>完成预算0</w:t>
      </w:r>
      <w:r>
        <w:rPr>
          <w:rStyle w:val="22"/>
          <w:rFonts w:ascii="仿宋" w:eastAsia="仿宋"/>
          <w:b w:val="0"/>
          <w:bCs/>
          <w:sz w:val="32"/>
          <w:szCs w:val="32"/>
        </w:rPr>
        <w:t>%</w:t>
      </w:r>
      <w:r>
        <w:rPr>
          <w:rStyle w:val="22"/>
          <w:rFonts w:ascii="仿宋" w:eastAsia="仿宋" w:hint="eastAsia"/>
          <w:b w:val="0"/>
          <w:bCs/>
          <w:sz w:val="32"/>
          <w:szCs w:val="32"/>
        </w:rPr>
        <w:t>。</w:t>
      </w:r>
      <w:r>
        <w:rPr>
          <w:rFonts w:ascii="仿宋_GB2312" w:eastAsia="仿宋_GB2312" w:hint="eastAsia"/>
          <w:sz w:val="32"/>
          <w:szCs w:val="32"/>
        </w:rPr>
        <w:t>全年安排因公出国（境）团组0次，出国（境）0人。因公出国（境）支出决算比</w:t>
      </w:r>
      <w:r>
        <w:rPr>
          <w:rFonts w:ascii="仿宋_GB2312" w:eastAsia="仿宋_GB2312"/>
          <w:sz w:val="32"/>
          <w:szCs w:val="32"/>
        </w:rPr>
        <w:t>20</w:t>
      </w:r>
      <w:r>
        <w:rPr>
          <w:rFonts w:ascii="仿宋_GB2312" w:eastAsia="仿宋_GB2312" w:hint="eastAsia"/>
          <w:sz w:val="32"/>
          <w:szCs w:val="32"/>
        </w:rPr>
        <w:t>20年增加</w:t>
      </w:r>
      <w:r>
        <w:rPr>
          <w:rFonts w:ascii="仿宋_GB2312" w:eastAsia="仿宋_GB2312"/>
          <w:sz w:val="32"/>
          <w:szCs w:val="32"/>
        </w:rPr>
        <w:t>/</w:t>
      </w:r>
      <w:r>
        <w:rPr>
          <w:rFonts w:ascii="仿宋_GB2312" w:eastAsia="仿宋_GB2312" w:hint="eastAsia"/>
          <w:sz w:val="32"/>
          <w:szCs w:val="32"/>
        </w:rPr>
        <w:t>减少0万元，增长</w:t>
      </w:r>
      <w:r>
        <w:rPr>
          <w:rFonts w:ascii="仿宋_GB2312" w:eastAsia="仿宋_GB2312"/>
          <w:sz w:val="32"/>
          <w:szCs w:val="32"/>
        </w:rPr>
        <w:t>/</w:t>
      </w:r>
      <w:r>
        <w:rPr>
          <w:rFonts w:ascii="仿宋_GB2312" w:eastAsia="仿宋_GB2312" w:hint="eastAsia"/>
          <w:sz w:val="32"/>
          <w:szCs w:val="32"/>
        </w:rPr>
        <w:t>下降0</w:t>
      </w:r>
      <w:r>
        <w:rPr>
          <w:rFonts w:ascii="仿宋_GB2312" w:eastAsia="仿宋_GB2312"/>
          <w:sz w:val="32"/>
          <w:szCs w:val="32"/>
        </w:rPr>
        <w:t>%</w:t>
      </w:r>
      <w:r>
        <w:rPr>
          <w:rFonts w:ascii="仿宋_GB2312" w:eastAsia="仿宋_GB2312" w:hint="eastAsia"/>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5.37万元,</w:t>
      </w:r>
      <w:r>
        <w:rPr>
          <w:rStyle w:val="22"/>
          <w:rFonts w:ascii="仿宋" w:eastAsia="仿宋" w:hint="eastAsia"/>
          <w:b w:val="0"/>
          <w:bCs/>
          <w:sz w:val="32"/>
          <w:szCs w:val="32"/>
        </w:rPr>
        <w:t>完成预算100</w:t>
      </w:r>
      <w:r>
        <w:rPr>
          <w:rStyle w:val="22"/>
          <w:rFonts w:ascii="仿宋" w:eastAsia="仿宋"/>
          <w:b w:val="0"/>
          <w:bCs/>
          <w:sz w:val="32"/>
          <w:szCs w:val="32"/>
        </w:rPr>
        <w:t>%</w:t>
      </w:r>
      <w:r>
        <w:rPr>
          <w:rStyle w:val="22"/>
          <w:rFonts w:ascii="仿宋" w:eastAsia="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20年减少1.6万元，下降22.96</w:t>
      </w:r>
      <w:r>
        <w:rPr>
          <w:rFonts w:ascii="仿宋_GB2312" w:eastAsia="仿宋_GB2312"/>
          <w:sz w:val="32"/>
          <w:szCs w:val="32"/>
        </w:rPr>
        <w:t>%</w:t>
      </w:r>
      <w:r>
        <w:rPr>
          <w:rFonts w:ascii="仿宋_GB2312" w:eastAsia="仿宋_GB2312" w:hint="eastAsia"/>
          <w:sz w:val="32"/>
          <w:szCs w:val="32"/>
        </w:rPr>
        <w:t>。主要原因是部分维修费用及洗车费</w:t>
      </w:r>
      <w:r>
        <w:rPr>
          <w:rFonts w:ascii="仿宋_GB2312" w:eastAsia="仿宋_GB2312"/>
          <w:sz w:val="32"/>
          <w:szCs w:val="32"/>
        </w:rPr>
        <w:t>年终未执行</w:t>
      </w:r>
      <w:r>
        <w:rPr>
          <w:rFonts w:ascii="仿宋_GB2312" w:eastAsia="仿宋_GB2312" w:hint="eastAsia"/>
          <w:sz w:val="32"/>
          <w:szCs w:val="32"/>
        </w:rPr>
        <w:t>。</w:t>
      </w:r>
    </w:p>
    <w:p>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月底，单位共有公务用车2辆，其中：轿车1辆、越野车1辆、载客汽车0辆。</w:t>
      </w:r>
    </w:p>
    <w:p>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5.37万元。</w:t>
      </w:r>
      <w:r>
        <w:rPr>
          <w:rFonts w:ascii="仿宋_GB2312" w:eastAsia="仿宋_GB2312" w:hint="eastAsia"/>
          <w:color w:val="000000"/>
          <w:sz w:val="32"/>
          <w:szCs w:val="32"/>
        </w:rPr>
        <w:t>主要用于开展住房保障、建筑质量监督、城乡村镇建设、房地产管理</w:t>
      </w:r>
      <w:r>
        <w:rPr>
          <w:rFonts w:ascii="仿宋_GB2312" w:eastAsia="仿宋_GB2312" w:hint="eastAsia"/>
          <w:sz w:val="32"/>
          <w:szCs w:val="32"/>
        </w:rPr>
        <w:t>、房地产市场专项检查、安全大检查、</w:t>
      </w:r>
      <w:r>
        <w:rPr>
          <w:rFonts w:ascii="仿宋_GB2312" w:eastAsia="仿宋_GB2312" w:hint="eastAsia"/>
          <w:color w:val="000000"/>
          <w:sz w:val="32"/>
          <w:szCs w:val="32"/>
        </w:rPr>
        <w:t>绿色建筑发展及城市更新工作等所需的公务用车燃料费、维修费、过路过桥费、保险费等支出</w:t>
      </w:r>
      <w:r>
        <w:rPr>
          <w:rFonts w:ascii="仿宋_GB2312" w:eastAsia="仿宋_GB2312" w:hint="eastAsia"/>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1.52万元，</w:t>
      </w:r>
      <w:r>
        <w:rPr>
          <w:rStyle w:val="22"/>
          <w:rFonts w:ascii="仿宋" w:eastAsia="仿宋" w:hint="eastAsia"/>
          <w:b w:val="0"/>
          <w:bCs/>
          <w:sz w:val="32"/>
          <w:szCs w:val="32"/>
        </w:rPr>
        <w:t>完成预算100</w:t>
      </w:r>
      <w:r>
        <w:rPr>
          <w:rStyle w:val="22"/>
          <w:rFonts w:ascii="仿宋" w:eastAsia="仿宋"/>
          <w:b w:val="0"/>
          <w:bCs/>
          <w:sz w:val="32"/>
          <w:szCs w:val="32"/>
        </w:rPr>
        <w:t>%</w:t>
      </w:r>
      <w:r>
        <w:rPr>
          <w:rStyle w:val="22"/>
          <w:rFonts w:ascii="仿宋" w:eastAsia="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20年减少1.77万元，下降53.8</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sz w:val="32"/>
          <w:szCs w:val="32"/>
        </w:rPr>
        <w:t>部分支出年终未执行</w:t>
      </w:r>
      <w:r>
        <w:rPr>
          <w:rFonts w:ascii="仿宋_GB2312" w:eastAsia="仿宋_GB2312" w:hint="eastAsia"/>
          <w:sz w:val="32"/>
          <w:szCs w:val="32"/>
        </w:rPr>
        <w:t>。其中：</w:t>
      </w:r>
    </w:p>
    <w:p>
      <w:pPr>
        <w:spacing w:line="600" w:lineRule="exact"/>
        <w:ind w:firstLine="640"/>
        <w:rPr>
          <w:rFonts w:ascii="仿宋_GB2312" w:eastAsia="仿宋_GB2312"/>
          <w:sz w:val="32"/>
          <w:szCs w:val="32"/>
        </w:rPr>
      </w:pPr>
      <w:r>
        <w:rPr>
          <w:rFonts w:ascii="仿宋" w:eastAsia="仿宋" w:hint="eastAsia"/>
          <w:b/>
          <w:sz w:val="32"/>
          <w:szCs w:val="32"/>
        </w:rPr>
        <w:t>国内公务接待支出</w:t>
      </w:r>
      <w:r>
        <w:rPr>
          <w:rFonts w:ascii="仿宋" w:eastAsia="仿宋" w:hint="eastAsia"/>
          <w:sz w:val="32"/>
          <w:szCs w:val="32"/>
        </w:rPr>
        <w:t>1.52</w:t>
      </w:r>
      <w:r>
        <w:rPr>
          <w:rFonts w:ascii="仿宋_GB2312" w:eastAsia="仿宋_GB2312" w:hint="eastAsia"/>
          <w:sz w:val="32"/>
          <w:szCs w:val="32"/>
        </w:rPr>
        <w:t>万元，主要用于</w:t>
      </w:r>
      <w:r>
        <w:rPr>
          <w:rFonts w:ascii="仿宋_GB2312" w:eastAsia="仿宋_GB2312" w:hint="eastAsia"/>
          <w:color w:val="000000"/>
          <w:sz w:val="32"/>
          <w:szCs w:val="32"/>
        </w:rPr>
        <w:t>接待省厅各项检查和执行公务、开展业务活动开支的用餐费</w:t>
      </w:r>
      <w:r>
        <w:rPr>
          <w:rFonts w:ascii="仿宋_GB2312" w:eastAsia="仿宋_GB2312" w:hint="eastAsia"/>
          <w:sz w:val="32"/>
          <w:szCs w:val="32"/>
        </w:rPr>
        <w:t>。国内公务接待10批次，95人次（不包括陪同人员），共计支出1.52万元，具体内容包括：重庆綦江来攀考察学习2149元，省领导赴攀开展</w:t>
      </w:r>
      <w:r>
        <w:rPr>
          <w:rFonts w:ascii="仿宋_GB2312" w:eastAsia="仿宋_GB2312"/>
          <w:sz w:val="32"/>
          <w:szCs w:val="32"/>
        </w:rPr>
        <w:t>“</w:t>
      </w:r>
      <w:r>
        <w:rPr>
          <w:rFonts w:ascii="仿宋_GB2312" w:eastAsia="仿宋_GB2312" w:hint="eastAsia"/>
          <w:sz w:val="32"/>
          <w:szCs w:val="32"/>
        </w:rPr>
        <w:t>十四五</w:t>
      </w:r>
      <w:r>
        <w:rPr>
          <w:rFonts w:ascii="仿宋_GB2312" w:eastAsia="仿宋_GB2312"/>
          <w:sz w:val="32"/>
          <w:szCs w:val="32"/>
        </w:rPr>
        <w:t>”</w:t>
      </w:r>
      <w:r>
        <w:rPr>
          <w:rFonts w:ascii="仿宋_GB2312" w:eastAsia="仿宋_GB2312" w:hint="eastAsia"/>
          <w:sz w:val="32"/>
          <w:szCs w:val="32"/>
        </w:rPr>
        <w:t>规划编制工作</w:t>
      </w:r>
      <w:bookmarkStart w:id="40" w:name="_GoBack"/>
      <w:bookmarkEnd w:id="40"/>
      <w:r>
        <w:rPr>
          <w:rFonts w:ascii="仿宋_GB2312" w:eastAsia="仿宋_GB2312" w:hint="eastAsia"/>
          <w:sz w:val="32"/>
          <w:szCs w:val="32"/>
        </w:rPr>
        <w:t>督导调研2286元，省厅到攀验收长江经济带环境整改工作1210元，省厅到攀开展十四五住房资金使用和房地产督导调研1994元，省厅莅攀督导防汛减灾地质灾害工作1308元，省厅赴攀开展历史文化名城评审工作、房屋建筑安全排查督导工作4028元。</w:t>
      </w:r>
    </w:p>
    <w:p>
      <w:pPr>
        <w:spacing w:line="600" w:lineRule="exact"/>
        <w:ind w:firstLineChars="200" w:firstLine="640"/>
        <w:rPr>
          <w:rFonts w:ascii="仿宋_GB2312" w:eastAsia="仿宋_GB2312"/>
          <w:sz w:val="32"/>
          <w:szCs w:val="32"/>
        </w:rPr>
      </w:pPr>
      <w:r>
        <w:rPr>
          <w:rFonts w:ascii="仿宋" w:eastAsia="仿宋" w:hint="eastAsia"/>
          <w:b/>
          <w:sz w:val="32"/>
          <w:szCs w:val="32"/>
        </w:rPr>
        <w:t>外事接待支出</w:t>
      </w:r>
      <w:r>
        <w:rPr>
          <w:rFonts w:ascii="仿宋" w:eastAsia="仿宋" w:hint="eastAsia"/>
          <w:sz w:val="32"/>
          <w:szCs w:val="32"/>
        </w:rPr>
        <w:t>0</w:t>
      </w:r>
      <w:r>
        <w:rPr>
          <w:rFonts w:ascii="仿宋_GB2312" w:eastAsia="仿宋_GB2312" w:hint="eastAsia"/>
          <w:sz w:val="32"/>
          <w:szCs w:val="32"/>
        </w:rPr>
        <w:t>万元，外事接待0批次，0人，共计支出0万元。</w:t>
      </w:r>
    </w:p>
    <w:p>
      <w:pPr>
        <w:spacing w:line="600" w:lineRule="exact"/>
        <w:ind w:firstLine="640"/>
        <w:outlineLvl w:val="1"/>
        <w:rPr>
          <w:rStyle w:val="2Char"/>
          <w:rFonts w:ascii="黑体" w:eastAsia="黑体"/>
        </w:rPr>
      </w:pPr>
      <w:bookmarkStart w:id="41" w:name="_Toc15396610"/>
      <w:bookmarkStart w:id="42" w:name="_Toc15377218"/>
      <w:r>
        <w:rPr>
          <w:rFonts w:ascii="黑体" w:eastAsia="黑体" w:hint="eastAsia"/>
          <w:sz w:val="32"/>
          <w:szCs w:val="32"/>
        </w:rPr>
        <w:t>八、</w:t>
      </w:r>
      <w:r>
        <w:rPr>
          <w:rStyle w:val="2Char"/>
          <w:rFonts w:ascii="黑体" w:eastAsia="黑体" w:hint="eastAsia"/>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21年政府性基金预算财政拨款支出745.46万元。</w:t>
      </w:r>
    </w:p>
    <w:p>
      <w:pPr>
        <w:numPr>
          <w:ilvl w:val="0"/>
          <w:numId w:val="3"/>
        </w:numPr>
        <w:spacing w:line="600" w:lineRule="exact"/>
        <w:ind w:left="0" w:firstLine="640"/>
        <w:outlineLvl w:val="1"/>
        <w:rPr>
          <w:rStyle w:val="2Char"/>
          <w:rFonts w:ascii="黑体" w:eastAsia="黑体"/>
          <w:b w:val="0"/>
        </w:rPr>
      </w:pPr>
      <w:bookmarkStart w:id="43" w:name="_Toc15377219"/>
      <w:bookmarkStart w:id="44" w:name="_Toc15396611"/>
      <w:r>
        <w:rPr>
          <w:rStyle w:val="2Char"/>
          <w:rFonts w:ascii="黑体" w:eastAsia="黑体" w:hint="eastAsia"/>
          <w:b w:val="0"/>
        </w:rPr>
        <w:t>国有资本经营预算支出决算情况说明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pPr>
        <w:numPr>
          <w:ilvl w:val="0"/>
          <w:numId w:val="3"/>
        </w:numPr>
        <w:spacing w:line="600" w:lineRule="exact"/>
        <w:ind w:left="0" w:firstLine="640"/>
        <w:outlineLvl w:val="1"/>
        <w:rPr>
          <w:rStyle w:val="2Char"/>
          <w:rFonts w:ascii="黑体" w:eastAsia="黑体"/>
          <w:b w:val="0"/>
        </w:rPr>
      </w:pPr>
      <w:bookmarkStart w:id="45" w:name="_Toc15396612"/>
      <w:bookmarkStart w:id="46" w:name="_Toc15377221"/>
      <w:r>
        <w:rPr>
          <w:rStyle w:val="2Char"/>
          <w:rFonts w:ascii="黑体" w:eastAsia="黑体" w:hint="eastAsia"/>
          <w:b w:val="0"/>
        </w:rPr>
        <w:t>其他重要事项的情况说明</w:t>
      </w:r>
      <w:bookmarkEnd w:id="45"/>
      <w:bookmarkEnd w:id="46"/>
    </w:p>
    <w:p>
      <w:pPr>
        <w:spacing w:line="600" w:lineRule="exact"/>
        <w:ind w:firstLineChars="200" w:firstLine="640"/>
        <w:outlineLvl w:val="2"/>
        <w:rPr>
          <w:rFonts w:ascii="仿宋" w:eastAsia="仿宋"/>
          <w:sz w:val="32"/>
          <w:szCs w:val="32"/>
        </w:rPr>
      </w:pPr>
      <w:bookmarkStart w:id="47" w:name="_Toc15377222"/>
      <w:r>
        <w:rPr>
          <w:rFonts w:ascii="仿宋" w:eastAsia="仿宋" w:hint="eastAsia"/>
          <w:b/>
          <w:sz w:val="32"/>
          <w:szCs w:val="32"/>
        </w:rPr>
        <w:t>（一）机关运行经费支出情况</w:t>
      </w:r>
      <w:bookmarkEnd w:id="47"/>
    </w:p>
    <w:p>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21年，市住房城乡建设局机关运行经费支出144.93万元，比</w:t>
      </w:r>
      <w:r>
        <w:rPr>
          <w:rFonts w:ascii="仿宋_GB2312" w:eastAsia="仿宋_GB2312"/>
          <w:sz w:val="32"/>
          <w:szCs w:val="32"/>
        </w:rPr>
        <w:t>20</w:t>
      </w:r>
      <w:r>
        <w:rPr>
          <w:rFonts w:ascii="仿宋_GB2312" w:eastAsia="仿宋_GB2312" w:hint="eastAsia"/>
          <w:sz w:val="32"/>
          <w:szCs w:val="32"/>
        </w:rPr>
        <w:t>20年减少5.81万元，下降3.85</w:t>
      </w:r>
      <w:r>
        <w:rPr>
          <w:rFonts w:ascii="仿宋_GB2312" w:eastAsia="仿宋_GB2312"/>
          <w:sz w:val="32"/>
          <w:szCs w:val="32"/>
        </w:rPr>
        <w:t>%</w:t>
      </w:r>
      <w:r>
        <w:rPr>
          <w:rFonts w:ascii="仿宋_GB2312" w:eastAsia="仿宋_GB2312" w:hint="eastAsia"/>
          <w:sz w:val="32"/>
          <w:szCs w:val="32"/>
        </w:rPr>
        <w:t>，主要原因是压减经费。</w:t>
      </w:r>
    </w:p>
    <w:p>
      <w:pPr>
        <w:autoSpaceDE w:val="0"/>
        <w:autoSpaceDN w:val="0"/>
        <w:adjustRightInd w:val="0"/>
        <w:spacing w:line="600" w:lineRule="exact"/>
        <w:ind w:firstLineChars="200" w:firstLine="640"/>
        <w:jc w:val="left"/>
        <w:outlineLvl w:val="2"/>
        <w:rPr>
          <w:rFonts w:ascii="仿宋" w:eastAsia="仿宋"/>
          <w:b/>
          <w:sz w:val="32"/>
          <w:szCs w:val="32"/>
        </w:rPr>
      </w:pPr>
      <w:bookmarkStart w:id="48" w:name="_Toc15377223"/>
      <w:r>
        <w:rPr>
          <w:rFonts w:ascii="仿宋" w:eastAsia="仿宋" w:hint="eastAsia"/>
          <w:b/>
          <w:sz w:val="32"/>
          <w:szCs w:val="32"/>
        </w:rPr>
        <w:t>（二）政府采购支出情况</w:t>
      </w:r>
      <w:bookmarkEnd w:id="48"/>
    </w:p>
    <w:p>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市住房城乡建设局政府采购支出总额2.52万元，其中：政府采购货物支出2.52万元、政府采购工程支出0万元、政府采购服务支出0万元。主要用于办公设备购置。授予中小企业合同金额0万元，占政府采购支出总额的0</w:t>
      </w:r>
      <w:r>
        <w:rPr>
          <w:rFonts w:ascii="仿宋_GB2312" w:eastAsia="仿宋_GB2312"/>
          <w:sz w:val="32"/>
          <w:szCs w:val="32"/>
        </w:rPr>
        <w:t>%</w:t>
      </w:r>
      <w:r>
        <w:rPr>
          <w:rFonts w:ascii="仿宋_GB2312" w:eastAsia="仿宋_GB2312" w:hint="eastAsia"/>
          <w:sz w:val="32"/>
          <w:szCs w:val="32"/>
        </w:rPr>
        <w:t>，其中：授予小微企业合同金额0万元，占政府采购支出总额的0</w:t>
      </w:r>
      <w:r>
        <w:rPr>
          <w:rFonts w:ascii="仿宋_GB2312" w:eastAsia="仿宋_GB2312"/>
          <w:sz w:val="32"/>
          <w:szCs w:val="32"/>
        </w:rPr>
        <w:t>%</w:t>
      </w:r>
      <w:r>
        <w:rPr>
          <w:rFonts w:ascii="仿宋_GB2312" w:eastAsia="仿宋_GB2312" w:hint="eastAsia"/>
          <w:sz w:val="32"/>
          <w:szCs w:val="32"/>
        </w:rPr>
        <w:t>。</w:t>
      </w:r>
    </w:p>
    <w:p>
      <w:pPr>
        <w:autoSpaceDE w:val="0"/>
        <w:autoSpaceDN w:val="0"/>
        <w:adjustRightInd w:val="0"/>
        <w:spacing w:line="600" w:lineRule="exact"/>
        <w:ind w:firstLineChars="200" w:firstLine="640"/>
        <w:jc w:val="left"/>
        <w:outlineLvl w:val="2"/>
        <w:rPr>
          <w:rFonts w:ascii="仿宋" w:eastAsia="仿宋"/>
          <w:b/>
          <w:sz w:val="32"/>
          <w:szCs w:val="32"/>
        </w:rPr>
      </w:pPr>
      <w:bookmarkStart w:id="49" w:name="_Toc15377224"/>
      <w:r>
        <w:rPr>
          <w:rFonts w:ascii="仿宋" w:eastAsia="仿宋" w:hint="eastAsia"/>
          <w:b/>
          <w:sz w:val="32"/>
          <w:szCs w:val="32"/>
        </w:rPr>
        <w:t>（三）国有资产占有使用情况</w:t>
      </w:r>
      <w:bookmarkEnd w:id="49"/>
    </w:p>
    <w:p>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日，市住房城乡建设局共有车辆2辆，其中：主要领导干部用车0辆、机要通信用车0辆、应急保障用车0辆、其他用车2辆，主要是用于住建各项业务工作，单价</w:t>
      </w:r>
      <w:r>
        <w:rPr>
          <w:rFonts w:ascii="仿宋_GB2312" w:eastAsia="仿宋_GB2312"/>
          <w:sz w:val="32"/>
          <w:szCs w:val="32"/>
        </w:rPr>
        <w:t>50</w:t>
      </w:r>
      <w:r>
        <w:rPr>
          <w:rFonts w:ascii="仿宋_GB2312" w:eastAsia="仿宋_GB2312" w:hint="eastAsia"/>
          <w:sz w:val="32"/>
          <w:szCs w:val="32"/>
        </w:rPr>
        <w:t>万元以上通用设备0台（套），单价</w:t>
      </w:r>
      <w:r>
        <w:rPr>
          <w:rFonts w:ascii="仿宋_GB2312" w:eastAsia="仿宋_GB2312"/>
          <w:sz w:val="32"/>
          <w:szCs w:val="32"/>
        </w:rPr>
        <w:t>100</w:t>
      </w:r>
      <w:r>
        <w:rPr>
          <w:rFonts w:ascii="仿宋_GB2312" w:eastAsia="仿宋_GB2312" w:hint="eastAsia"/>
          <w:sz w:val="32"/>
          <w:szCs w:val="32"/>
        </w:rPr>
        <w:t>万元以上专用设备0台（套）。</w:t>
      </w:r>
    </w:p>
    <w:p>
      <w:pPr>
        <w:autoSpaceDE w:val="0"/>
        <w:autoSpaceDN w:val="0"/>
        <w:adjustRightInd w:val="0"/>
        <w:spacing w:line="600" w:lineRule="exact"/>
        <w:ind w:firstLineChars="200" w:firstLine="640"/>
        <w:jc w:val="left"/>
        <w:outlineLvl w:val="2"/>
        <w:rPr>
          <w:rFonts w:ascii="仿宋" w:eastAsia="仿宋"/>
          <w:b/>
          <w:sz w:val="32"/>
          <w:szCs w:val="32"/>
        </w:rPr>
      </w:pPr>
      <w:r>
        <w:rPr>
          <w:rFonts w:ascii="仿宋" w:eastAsia="仿宋" w:hint="eastAsia"/>
          <w:b/>
          <w:sz w:val="32"/>
          <w:szCs w:val="32"/>
        </w:rPr>
        <w:t>（四）预算绩效管理情况</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本单位在2021年度预算编制阶段，组织对“专项经费（含征收管理、业务运行）”“观音岩引水工程立法工作经费”“十四五住房发展规划编制经费”“编外用工人员经费”“办公楼物业管理费及车位管理经费”项目开展了预算事前绩效评估，对5个项目编制了绩效目标，预算执行过程中，对5个项目开展绩效监控，年终执行完毕后，对5个项目开展了绩效自评，2021年特定目标类部门预算项目绩效目标自评表见附件（第四部分）。</w:t>
      </w:r>
    </w:p>
    <w:p>
      <w:pPr>
        <w:pStyle w:val="15"/>
        <w:spacing w:beforeLines="0"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left="0" w:firstLineChars="150" w:firstLine="660"/>
        <w:jc w:val="center"/>
        <w:outlineLvl w:val="0"/>
        <w:rPr>
          <w:rStyle w:val="1Char"/>
          <w:rFonts w:ascii="黑体" w:eastAsia="黑体"/>
          <w:b w:val="0"/>
        </w:rPr>
      </w:pPr>
      <w:bookmarkStart w:id="50" w:name="_Toc15396613"/>
      <w:bookmarkStart w:id="51" w:name="_Toc15377225"/>
      <w:r>
        <w:rPr>
          <w:rFonts w:ascii="黑体" w:eastAsia="黑体" w:hint="eastAsia"/>
          <w:sz w:val="44"/>
          <w:szCs w:val="44"/>
        </w:rPr>
        <w:t>名</w:t>
      </w:r>
      <w:r>
        <w:rPr>
          <w:rStyle w:val="1Char"/>
          <w:rFonts w:ascii="黑体" w:eastAsia="黑体" w:hint="eastAsia"/>
          <w:b w:val="0"/>
        </w:rPr>
        <w:t>词解释</w:t>
      </w:r>
      <w:bookmarkEnd w:id="50"/>
      <w:bookmarkEnd w:id="51"/>
    </w:p>
    <w:p>
      <w:pPr>
        <w:spacing w:line="600" w:lineRule="exact"/>
        <w:jc w:val="left"/>
        <w:rPr>
          <w:rFonts w:ascii="宋体"/>
          <w:b/>
          <w:sz w:val="44"/>
          <w:szCs w:val="44"/>
        </w:rPr>
      </w:pPr>
    </w:p>
    <w:p>
      <w:pPr>
        <w:pStyle w:val="27"/>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pPr>
        <w:pStyle w:val="27"/>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Pr>
          <w:rFonts w:ascii="仿宋_GB2312" w:eastAsia="仿宋_GB2312"/>
          <w:color w:val="auto"/>
          <w:sz w:val="32"/>
          <w:szCs w:val="32"/>
        </w:rPr>
        <w:t>.</w:t>
      </w:r>
      <w:r>
        <w:rPr>
          <w:rFonts w:ascii="仿宋_GB2312" w:eastAsia="仿宋_GB2312" w:hint="eastAsia"/>
          <w:color w:val="auto"/>
          <w:sz w:val="32"/>
          <w:szCs w:val="32"/>
        </w:rPr>
        <w:t>其他收入：指单位取得的除上述收入以外的各项收入。</w:t>
      </w:r>
    </w:p>
    <w:p>
      <w:pPr>
        <w:pStyle w:val="27"/>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w:t>
      </w:r>
      <w:r>
        <w:rPr>
          <w:rFonts w:ascii="仿宋_GB2312" w:eastAsia="仿宋_GB2312"/>
          <w:color w:val="auto"/>
          <w:sz w:val="32"/>
          <w:szCs w:val="32"/>
        </w:rPr>
        <w:t>.</w:t>
      </w:r>
      <w:r>
        <w:rPr>
          <w:rFonts w:ascii="仿宋_GB2312" w:eastAsia="仿宋_GB2312" w:hint="eastAsia"/>
          <w:color w:val="auto"/>
          <w:sz w:val="32"/>
          <w:szCs w:val="32"/>
        </w:rPr>
        <w:t>年初结转和结余：指以前年度尚未完成、结转到本年按有关规定继续使用的资金。</w:t>
      </w:r>
    </w:p>
    <w:p>
      <w:pPr>
        <w:pStyle w:val="27"/>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4、年末结转和结余：指单位按有关规定结转到下年或以后年度继续使用的资金。</w:t>
      </w:r>
    </w:p>
    <w:p>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一般公共服务（类）</w:t>
      </w:r>
      <w:r>
        <w:rPr>
          <w:rFonts w:ascii="仿宋_GB2312" w:eastAsia="仿宋_GB2312" w:hint="eastAsia"/>
          <w:color w:val="000000"/>
          <w:sz w:val="32"/>
          <w:szCs w:val="32"/>
        </w:rPr>
        <w:t>商贸事务</w:t>
      </w:r>
      <w:r>
        <w:rPr>
          <w:rStyle w:val="22"/>
          <w:rFonts w:ascii="仿宋_GB2312" w:eastAsia="仿宋_GB2312" w:hint="eastAsia"/>
          <w:b w:val="0"/>
          <w:bCs/>
          <w:color w:val="000000"/>
          <w:sz w:val="32"/>
          <w:szCs w:val="32"/>
        </w:rPr>
        <w:t>（款）招商引资（项）:</w:t>
      </w:r>
      <w:r>
        <w:rPr>
          <w:rFonts w:ascii="仿宋_GB2312" w:eastAsia="仿宋_GB2312" w:hint="eastAsia"/>
          <w:color w:val="000000"/>
          <w:sz w:val="32"/>
          <w:szCs w:val="32"/>
        </w:rPr>
        <w:t xml:space="preserve"> 指反映用于招商引资、优化经济环境等方面的支出</w:t>
      </w:r>
      <w:r>
        <w:rPr>
          <w:rFonts w:ascii="仿宋_GB2312" w:eastAsia="仿宋_GB2312" w:hint="eastAsia"/>
          <w:sz w:val="32"/>
          <w:szCs w:val="32"/>
        </w:rPr>
        <w:t>。</w:t>
      </w:r>
      <w:r>
        <w:rPr>
          <w:rStyle w:val="22"/>
          <w:rFonts w:ascii="仿宋_GB2312" w:eastAsia="仿宋_GB2312" w:hint="eastAsia"/>
          <w:b w:val="0"/>
          <w:bCs/>
          <w:color w:val="000000"/>
          <w:sz w:val="32"/>
          <w:szCs w:val="32"/>
        </w:rPr>
        <w:t>组织事务（款）其他组织事务支出（项）:</w:t>
      </w:r>
      <w:r>
        <w:rPr>
          <w:rFonts w:ascii="仿宋_GB2312" w:eastAsia="仿宋_GB2312" w:hint="eastAsia"/>
          <w:color w:val="000000"/>
          <w:sz w:val="32"/>
          <w:szCs w:val="32"/>
        </w:rPr>
        <w:t>指反映除上述项目以外其他用于中国共产党组织部门的事务支出。</w:t>
      </w:r>
    </w:p>
    <w:p>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社会保障和就业（类）</w:t>
      </w:r>
      <w:r>
        <w:rPr>
          <w:rStyle w:val="22"/>
          <w:rFonts w:ascii="仿宋_GB2312" w:eastAsia="仿宋_GB2312" w:hint="eastAsia"/>
          <w:b w:val="0"/>
          <w:bCs/>
          <w:color w:val="000000"/>
          <w:sz w:val="32"/>
          <w:szCs w:val="32"/>
        </w:rPr>
        <w:t>行政事业单位养老支出（款）行政单位离退休（项）：</w:t>
      </w:r>
      <w:r>
        <w:rPr>
          <w:rFonts w:ascii="仿宋_GB2312" w:eastAsia="仿宋_GB2312" w:hint="eastAsia"/>
          <w:color w:val="000000"/>
          <w:sz w:val="32"/>
          <w:szCs w:val="32"/>
        </w:rPr>
        <w:t>指反映行政单位（包括实行公务员管理的事业单位）开支的离退休经费。机关事业单位基本养老保险缴费支出（项）：指反映机关事业单位实施养老保险制度由单位缴纳的基本养老保险费支出。</w:t>
      </w:r>
      <w:r>
        <w:rPr>
          <w:rStyle w:val="22"/>
          <w:rFonts w:ascii="仿宋_GB2312" w:eastAsia="仿宋_GB2312" w:hint="eastAsia"/>
          <w:b w:val="0"/>
          <w:bCs/>
          <w:color w:val="000000"/>
          <w:sz w:val="32"/>
          <w:szCs w:val="32"/>
        </w:rPr>
        <w:t>抚恤（款）死亡抚恤（项）：</w:t>
      </w:r>
      <w:r>
        <w:rPr>
          <w:rFonts w:ascii="仿宋_GB2312" w:eastAsia="仿宋_GB2312" w:hint="eastAsia"/>
          <w:sz w:val="32"/>
          <w:szCs w:val="32"/>
        </w:rPr>
        <w:t>反映按规定用于烈士和牺牲、病故人员家属的一次性和定期抚恤金以及丧葬补助费。</w:t>
      </w:r>
    </w:p>
    <w:p>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城乡社区（类）</w:t>
      </w:r>
      <w:r>
        <w:rPr>
          <w:rStyle w:val="22"/>
          <w:rFonts w:ascii="仿宋_GB2312" w:eastAsia="仿宋_GB2312" w:hint="eastAsia"/>
          <w:b w:val="0"/>
          <w:bCs/>
          <w:color w:val="000000"/>
          <w:sz w:val="32"/>
          <w:szCs w:val="32"/>
        </w:rPr>
        <w:t>城乡社区管理事务（款）行政运行（项）:</w:t>
      </w:r>
      <w:r>
        <w:rPr>
          <w:rFonts w:ascii="仿宋_GB2312" w:eastAsia="仿宋_GB2312" w:hint="eastAsia"/>
          <w:sz w:val="32"/>
          <w:szCs w:val="32"/>
        </w:rPr>
        <w:t xml:space="preserve"> 指反映行政单位（包括实行公务员管理的事业单位）的基本支出。</w:t>
      </w:r>
      <w:r>
        <w:rPr>
          <w:rStyle w:val="22"/>
          <w:rFonts w:ascii="仿宋_GB2312" w:eastAsia="仿宋_GB2312" w:hint="eastAsia"/>
          <w:b w:val="0"/>
          <w:bCs/>
          <w:color w:val="000000"/>
          <w:sz w:val="32"/>
          <w:szCs w:val="32"/>
        </w:rPr>
        <w:t>一般行政管理事务（项）</w:t>
      </w:r>
      <w:r>
        <w:rPr>
          <w:rStyle w:val="22"/>
          <w:rFonts w:ascii="仿宋_GB2312" w:eastAsia="仿宋_GB2312" w:hint="eastAsia"/>
          <w:bCs/>
          <w:color w:val="000000"/>
          <w:sz w:val="32"/>
          <w:szCs w:val="32"/>
        </w:rPr>
        <w:t>:</w:t>
      </w:r>
      <w:r>
        <w:rPr>
          <w:rFonts w:ascii="仿宋_GB2312" w:eastAsia="仿宋_GB2312" w:hint="eastAsia"/>
          <w:sz w:val="32"/>
          <w:szCs w:val="32"/>
        </w:rPr>
        <w:t xml:space="preserve"> 指反映行政单位（包括实行公务员管理的事业单位）未单独设置项级科目的其他项目支出。国有土地使用权出让收入安排的支出</w:t>
      </w:r>
      <w:r>
        <w:rPr>
          <w:rStyle w:val="22"/>
          <w:rFonts w:ascii="仿宋_GB2312" w:eastAsia="仿宋_GB2312" w:hint="eastAsia"/>
          <w:b w:val="0"/>
          <w:bCs/>
          <w:color w:val="000000"/>
          <w:sz w:val="32"/>
          <w:szCs w:val="32"/>
        </w:rPr>
        <w:t>（款）土地开发支出（项）:指反映新疆生产建设兵团和地方政府用于前期土地开发性支出以及与前期土地开发相关的费用等支出</w:t>
      </w:r>
      <w:r>
        <w:rPr>
          <w:rFonts w:ascii="仿宋_GB2312" w:eastAsia="仿宋_GB2312" w:hint="eastAsia"/>
          <w:sz w:val="32"/>
          <w:szCs w:val="32"/>
        </w:rPr>
        <w:t>。城市基础设施配套费安排的支出</w:t>
      </w:r>
      <w:r>
        <w:rPr>
          <w:rStyle w:val="22"/>
          <w:rFonts w:ascii="仿宋_GB2312" w:eastAsia="仿宋_GB2312" w:hint="eastAsia"/>
          <w:b w:val="0"/>
          <w:bCs/>
          <w:color w:val="000000"/>
          <w:sz w:val="32"/>
          <w:szCs w:val="32"/>
        </w:rPr>
        <w:t>（款）其他城市基础设施配套费安排的支出（项）:指反映上述项目以外的城市基础设施配套费支出。</w:t>
      </w:r>
    </w:p>
    <w:p>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hint="eastAsia"/>
          <w:sz w:val="32"/>
          <w:szCs w:val="32"/>
        </w:rPr>
        <w:t>住房保障（类）</w:t>
      </w:r>
      <w:r>
        <w:rPr>
          <w:rStyle w:val="22"/>
          <w:rFonts w:ascii="仿宋_GB2312" w:eastAsia="仿宋_GB2312" w:hint="eastAsia"/>
          <w:b w:val="0"/>
          <w:bCs/>
          <w:color w:val="000000"/>
          <w:sz w:val="32"/>
          <w:szCs w:val="32"/>
        </w:rPr>
        <w:t xml:space="preserve">住房改革支出（款）住房公积金（项）: </w:t>
      </w:r>
      <w:r>
        <w:rPr>
          <w:rFonts w:ascii="仿宋_GB2312" w:eastAsia="仿宋_GB2312" w:hint="eastAsia"/>
          <w:sz w:val="32"/>
          <w:szCs w:val="32"/>
        </w:rPr>
        <w:t>反映行政事业单位按人力资源和社会保障部、财政部规定的基本工资和津贴补贴以及规定比例为职工缴纳的住房公积金。</w:t>
      </w:r>
    </w:p>
    <w:p>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Style w:val="1Char"/>
          <w:rFonts w:ascii="仿宋_GB2312" w:eastAsia="仿宋_GB2312" w:hint="eastAsia"/>
          <w:b w:val="0"/>
          <w:bCs w:val="0"/>
          <w:color w:val="000000"/>
          <w:sz w:val="32"/>
          <w:szCs w:val="32"/>
        </w:rPr>
        <w:t xml:space="preserve"> </w:t>
      </w:r>
      <w:r>
        <w:rPr>
          <w:rStyle w:val="22"/>
          <w:rFonts w:ascii="仿宋_GB2312" w:eastAsia="仿宋_GB2312" w:hint="eastAsia"/>
          <w:b w:val="0"/>
          <w:bCs/>
          <w:color w:val="000000"/>
          <w:sz w:val="32"/>
          <w:szCs w:val="32"/>
        </w:rPr>
        <w:t>其他支出（类）其他支出（款）其他支出（项）：</w:t>
      </w:r>
      <w:r>
        <w:rPr>
          <w:rFonts w:ascii="仿宋_GB2312" w:eastAsia="仿宋_GB2312" w:hint="eastAsia"/>
          <w:sz w:val="32"/>
          <w:szCs w:val="32"/>
        </w:rPr>
        <w:t>反映除上述项目以外其他不能划分到具体功能科目中的支出项目。</w:t>
      </w:r>
    </w:p>
    <w:p>
      <w:pPr>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p>
    <w:p>
      <w:pPr>
        <w:pStyle w:val="27"/>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12</w:t>
      </w:r>
      <w:r>
        <w:rPr>
          <w:rFonts w:ascii="仿宋_GB2312" w:eastAsia="仿宋_GB2312"/>
          <w:color w:val="auto"/>
          <w:sz w:val="32"/>
          <w:szCs w:val="32"/>
        </w:rPr>
        <w:t>.</w:t>
      </w:r>
      <w:r>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13</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Char"/>
          <w:rFonts w:ascii="黑体" w:eastAsia="黑体"/>
          <w:b w:val="0"/>
        </w:rPr>
      </w:pPr>
      <w:bookmarkStart w:id="52" w:name="_Toc15377226"/>
      <w:r>
        <w:rPr>
          <w:rFonts w:ascii="宋体"/>
          <w:b/>
          <w:sz w:val="44"/>
          <w:szCs w:val="44"/>
        </w:rPr>
        <w:br w:type="page"/>
      </w:r>
      <w:bookmarkStart w:id="53" w:name="_Toc15396614"/>
      <w:r>
        <w:rPr>
          <w:rFonts w:ascii="黑体" w:eastAsia="黑体" w:hint="eastAsia"/>
          <w:sz w:val="44"/>
          <w:szCs w:val="44"/>
        </w:rPr>
        <w:t>第</w:t>
      </w:r>
      <w:r>
        <w:rPr>
          <w:rStyle w:val="1Char"/>
          <w:rFonts w:ascii="黑体" w:eastAsia="黑体" w:hint="eastAsia"/>
          <w:b w:val="0"/>
        </w:rPr>
        <w:t>四部分 附件</w:t>
      </w:r>
      <w:bookmarkEnd w:id="53"/>
    </w:p>
    <w:p>
      <w:pPr>
        <w:spacing w:line="572" w:lineRule="exact"/>
        <w:jc w:val="left"/>
        <w:outlineLvl w:val="0"/>
        <w:rPr>
          <w:rFonts w:ascii="仿宋_GB2312" w:eastAsia="仿宋_GB2312" w:cs="仿宋_GB2312"/>
          <w:sz w:val="32"/>
          <w:szCs w:val="32"/>
        </w:rPr>
      </w:pPr>
      <w:r>
        <w:rPr>
          <w:rFonts w:ascii="黑体" w:eastAsia="黑体" w:cs="黑体" w:hint="eastAsia"/>
          <w:sz w:val="32"/>
          <w:szCs w:val="32"/>
        </w:rPr>
        <w:t>附件</w:t>
      </w:r>
    </w:p>
    <w:tbl>
      <w:tblPr>
        <w:tblpPr w:leftFromText="180" w:rightFromText="180" w:vertAnchor="text" w:horzAnchor="page" w:tblpX="1281" w:tblpY="660"/>
        <w:tblOverlap w:val="never"/>
        <w:tblW w:w="98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76"/>
        <w:gridCol w:w="1142"/>
        <w:gridCol w:w="1635"/>
        <w:gridCol w:w="1189"/>
        <w:gridCol w:w="1224"/>
        <w:gridCol w:w="2409"/>
        <w:gridCol w:w="236"/>
      </w:tblGrid>
      <w:tr>
        <w:trPr>
          <w:trHeight w:val="675"/>
        </w:trPr>
        <w:tc>
          <w:tcPr>
            <w:tcW w:w="9575" w:type="dxa"/>
            <w:gridSpan w:val="6"/>
            <w:tcBorders>
              <w:top w:val="nil"/>
              <w:left w:val="nil"/>
              <w:bottom w:val="nil"/>
              <w:right w:val="nil"/>
            </w:tcBorders>
            <w:shd w:val="clear" w:color="auto" w:fill="auto"/>
            <w:vAlign w:val="center"/>
          </w:tcPr>
          <w:p>
            <w:pPr>
              <w:widowControl/>
              <w:jc w:val="center"/>
              <w:textAlignment w:val="center"/>
              <w:rPr>
                <w:rFonts w:ascii="宋体" w:cs="宋体"/>
                <w:b/>
                <w:sz w:val="32"/>
                <w:szCs w:val="32"/>
              </w:rPr>
            </w:pPr>
            <w:bookmarkStart w:id="54" w:name="_Toc15396618"/>
            <w:r>
              <w:rPr>
                <w:rFonts w:ascii="宋体" w:cs="宋体" w:hint="eastAsia"/>
                <w:b/>
                <w:sz w:val="32"/>
                <w:szCs w:val="32"/>
              </w:rPr>
              <w:t>2021年特定目标类部门预算项目绩效目标自评</w:t>
            </w:r>
          </w:p>
          <w:p>
            <w:pPr>
              <w:pStyle w:val="15"/>
              <w:spacing w:beforeLines="0" w:before="93"/>
              <w:jc w:val="center"/>
            </w:pPr>
            <w:r>
              <w:rPr>
                <w:rFonts w:hint="eastAsia"/>
              </w:rPr>
              <w:t>专项经费（含征收管理、业务运行）</w:t>
            </w:r>
          </w:p>
        </w:tc>
        <w:tc>
          <w:tcPr>
            <w:tcW w:w="236" w:type="dxa"/>
            <w:tcBorders>
              <w:top w:val="nil"/>
              <w:left w:val="nil"/>
              <w:bottom w:val="nil"/>
              <w:right w:val="nil"/>
            </w:tcBorders>
            <w:shd w:val="clear" w:color="auto" w:fill="auto"/>
            <w:vAlign w:val="center"/>
          </w:tcPr>
          <w:p>
            <w:pPr>
              <w:widowControl/>
              <w:jc w:val="center"/>
              <w:textAlignment w:val="center"/>
              <w:rPr>
                <w:rFonts w:ascii="宋体" w:cs="宋体"/>
                <w:b/>
                <w:kern w:val="0"/>
                <w:sz w:val="32"/>
                <w:szCs w:val="32"/>
              </w:rPr>
            </w:pPr>
          </w:p>
        </w:tc>
      </w:tr>
      <w:tr>
        <w:trPr>
          <w:trHeight w:val="254"/>
          <w:gridAfter w:val="1"/>
          <w:wAfter w:w="236" w:type="dxa"/>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  801001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实施单位</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w:t>
            </w:r>
          </w:p>
        </w:tc>
      </w:tr>
      <w:tr>
        <w:trPr>
          <w:trHeight w:val="341"/>
          <w:gridAfter w:val="1"/>
          <w:wAfter w:w="236" w:type="dxa"/>
        </w:trPr>
        <w:tc>
          <w:tcPr>
            <w:tcW w:w="3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项目预算</w:t>
              <w:br/>
              <w:t>执行情况</w:t>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14.65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执行数：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14.65</w:t>
            </w:r>
          </w:p>
        </w:tc>
      </w:tr>
      <w:tr>
        <w:trPr>
          <w:trHeight w:val="555"/>
          <w:gridAfter w:val="1"/>
          <w:wAfter w:w="236" w:type="dxa"/>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14.65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14.65</w:t>
            </w:r>
          </w:p>
        </w:tc>
      </w:tr>
      <w:tr>
        <w:trPr>
          <w:trHeight w:val="341"/>
          <w:gridAfter w:val="1"/>
          <w:wAfter w:w="236" w:type="dxa"/>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r>
      <w:tr>
        <w:trPr>
          <w:trHeight w:val="217"/>
          <w:gridAfter w:val="1"/>
          <w:wAfter w:w="236" w:type="dxa"/>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年度总体目标</w:t>
            </w:r>
          </w:p>
          <w:p>
            <w:pPr>
              <w:widowControl/>
              <w:spacing w:line="320" w:lineRule="exact"/>
              <w:jc w:val="center"/>
              <w:textAlignment w:val="center"/>
              <w:rPr>
                <w:rFonts w:ascii="宋体" w:cs="宋体"/>
                <w:sz w:val="24"/>
              </w:rPr>
            </w:pPr>
            <w:r>
              <w:rPr>
                <w:rFonts w:ascii="宋体" w:cs="宋体" w:hint="eastAsia"/>
                <w:kern w:val="0"/>
                <w:sz w:val="24"/>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预期目标</w:t>
            </w:r>
          </w:p>
        </w:tc>
        <w:tc>
          <w:tcPr>
            <w:tcW w:w="3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目标实际完成情况</w:t>
            </w:r>
          </w:p>
        </w:tc>
      </w:tr>
      <w:tr>
        <w:trPr>
          <w:trHeight w:val="797"/>
          <w:gridAfter w:val="1"/>
          <w:wAfter w:w="236" w:type="dxa"/>
        </w:trPr>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top"/>
              <w:rPr>
                <w:rFonts w:ascii="宋体" w:cs="宋体"/>
                <w:sz w:val="24"/>
              </w:rPr>
            </w:pPr>
            <w:r>
              <w:rPr>
                <w:rFonts w:ascii="宋体" w:cs="宋体" w:hint="eastAsia"/>
                <w:sz w:val="24"/>
              </w:rPr>
              <w:t>主要用于弥补工作经费不足，保障单位日常工作正常开展</w:t>
            </w:r>
          </w:p>
        </w:tc>
        <w:tc>
          <w:tcPr>
            <w:tcW w:w="3633"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top"/>
              <w:rPr>
                <w:rFonts w:ascii="宋体" w:cs="宋体"/>
                <w:sz w:val="24"/>
              </w:rPr>
            </w:pPr>
            <w:r>
              <w:rPr>
                <w:rFonts w:ascii="宋体" w:cs="宋体" w:hint="eastAsia"/>
                <w:sz w:val="24"/>
              </w:rPr>
              <w:t>反映办公费、印刷费、差旅费等运行经费，满足单位工作正常开展。</w:t>
            </w:r>
          </w:p>
        </w:tc>
      </w:tr>
      <w:tr>
        <w:trPr>
          <w:trHeight w:val="693"/>
          <w:gridAfter w:val="1"/>
          <w:wAfter w:w="236" w:type="dxa"/>
        </w:trPr>
        <w:tc>
          <w:tcPr>
            <w:tcW w:w="1976"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一级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二级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三级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预期指标值</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实际完成指标值</w:t>
            </w:r>
          </w:p>
        </w:tc>
      </w:tr>
      <w:tr>
        <w:trPr>
          <w:trHeight w:val="415"/>
          <w:gridAfter w:val="1"/>
          <w:wAfter w:w="236" w:type="dxa"/>
        </w:trPr>
        <w:tc>
          <w:tcPr>
            <w:tcW w:w="1976" w:type="dxa"/>
            <w:vMerge/>
            <w:tcBorders>
              <w:left w:val="single" w:sz="4" w:space="0" w:color="000000"/>
              <w:right w:val="single" w:sz="4" w:space="0" w:color="000000"/>
            </w:tcBorders>
            <w:shd w:val="clear" w:color="auto" w:fill="auto"/>
            <w:vAlign w:val="center"/>
          </w:tc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完成</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工作经费</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18"/>
                <w:szCs w:val="18"/>
              </w:rPr>
            </w:pPr>
            <w:r>
              <w:rPr>
                <w:rFonts w:ascii="仿宋_GB2312" w:eastAsia="仿宋_GB2312" w:cs="仿宋_GB2312" w:hint="eastAsia"/>
                <w:sz w:val="18"/>
                <w:szCs w:val="18"/>
              </w:rPr>
              <w:t>因工作需要，发生办公费、印刷费、差旅费、公务用车运行维护费、劳务费、委托业务费等。</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18"/>
                <w:szCs w:val="18"/>
              </w:rPr>
            </w:pPr>
            <w:r>
              <w:rPr>
                <w:rFonts w:ascii="仿宋_GB2312" w:eastAsia="仿宋_GB2312" w:cs="仿宋_GB2312" w:hint="eastAsia"/>
                <w:sz w:val="18"/>
                <w:szCs w:val="18"/>
              </w:rPr>
              <w:t>办公用品、耗材，印刷2次，邮电1次，差旅6次，会议1次，劳务费3次、委托业务1次等，办公设备购置2次</w:t>
            </w:r>
          </w:p>
        </w:tc>
      </w:tr>
      <w:tr>
        <w:trPr>
          <w:trHeight w:val="415"/>
          <w:gridAfter w:val="1"/>
          <w:wAfter w:w="236" w:type="dxa"/>
        </w:trPr>
        <w:tc>
          <w:tcPr>
            <w:tcW w:w="1976" w:type="dxa"/>
            <w:vMerge/>
            <w:tcBorders>
              <w:left w:val="single" w:sz="4" w:space="0" w:color="000000"/>
              <w:right w:val="single" w:sz="4" w:space="0" w:color="000000"/>
            </w:tcBorders>
            <w:shd w:val="clear" w:color="auto" w:fill="auto"/>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满足工作需要</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确保工作开展</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保障了各项工作的顺利推进</w:t>
            </w:r>
          </w:p>
        </w:tc>
      </w:tr>
      <w:tr>
        <w:trPr>
          <w:trHeight w:val="415"/>
          <w:gridAfter w:val="1"/>
          <w:wAfter w:w="236" w:type="dxa"/>
        </w:trPr>
        <w:tc>
          <w:tcPr>
            <w:tcW w:w="1976" w:type="dxa"/>
            <w:vMerge/>
            <w:tcBorders>
              <w:left w:val="single" w:sz="4" w:space="0" w:color="000000"/>
              <w:right w:val="single" w:sz="4" w:space="0" w:color="000000"/>
            </w:tcBorders>
            <w:shd w:val="clear" w:color="auto" w:fill="auto"/>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完成工作时间</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2021年</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2021年</w:t>
            </w:r>
          </w:p>
        </w:tc>
      </w:tr>
      <w:tr>
        <w:trPr>
          <w:trHeight w:val="480"/>
          <w:gridAfter w:val="1"/>
          <w:wAfter w:w="236" w:type="dxa"/>
        </w:trPr>
        <w:tc>
          <w:tcPr>
            <w:tcW w:w="1976" w:type="dxa"/>
            <w:vMerge/>
            <w:tcBorders>
              <w:left w:val="single" w:sz="4" w:space="0" w:color="000000"/>
              <w:right w:val="single" w:sz="4" w:space="0" w:color="000000"/>
            </w:tcBorders>
            <w:shd w:val="clear" w:color="auto" w:fill="auto"/>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办公、邮电、差旅等工作经费</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14.65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14.65</w:t>
            </w:r>
          </w:p>
        </w:tc>
      </w:tr>
      <w:tr>
        <w:trPr>
          <w:trHeight w:val="480"/>
          <w:gridAfter w:val="1"/>
          <w:wAfter w:w="236" w:type="dxa"/>
        </w:trPr>
        <w:tc>
          <w:tcPr>
            <w:tcW w:w="1976" w:type="dxa"/>
            <w:vMerge/>
            <w:tcBorders>
              <w:left w:val="single" w:sz="4" w:space="0" w:color="000000"/>
              <w:right w:val="single" w:sz="4" w:space="0" w:color="000000"/>
            </w:tcBorders>
            <w:shd w:val="clear" w:color="auto" w:fill="auto"/>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各项工作顺利开展</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≥95%</w:t>
            </w:r>
          </w:p>
        </w:tc>
      </w:tr>
      <w:tr>
        <w:trPr>
          <w:trHeight w:val="530"/>
          <w:gridAfter w:val="1"/>
          <w:wAfter w:w="236" w:type="dxa"/>
        </w:trPr>
        <w:tc>
          <w:tcPr>
            <w:tcW w:w="1976" w:type="dxa"/>
            <w:vMerge/>
            <w:tcBorders>
              <w:left w:val="single" w:sz="4" w:space="0" w:color="000000"/>
              <w:bottom w:val="single" w:sz="4" w:space="0" w:color="000000"/>
              <w:right w:val="single" w:sz="4" w:space="0" w:color="000000"/>
            </w:tcBorders>
            <w:shd w:val="clear" w:color="auto" w:fill="auto"/>
            <w:vAlign w:val="center"/>
          </w:tc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满意</w:t>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满意度</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职工满意度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≥90%</w:t>
            </w:r>
          </w:p>
        </w:tc>
      </w:tr>
    </w:tbl>
    <w:p>
      <w:pPr>
        <w:pStyle w:val="15"/>
        <w:spacing w:beforeLines="0" w:before="93"/>
      </w:pPr>
    </w:p>
    <w:tbl>
      <w:tblPr>
        <w:tblpPr w:leftFromText="180" w:rightFromText="180" w:vertAnchor="text" w:horzAnchor="page" w:tblpX="1281" w:tblpY="660"/>
        <w:tblOverlap w:val="never"/>
        <w:tblW w:w="98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025"/>
        <w:gridCol w:w="1170"/>
        <w:gridCol w:w="1675"/>
        <w:gridCol w:w="1218"/>
        <w:gridCol w:w="1254"/>
        <w:gridCol w:w="279"/>
        <w:gridCol w:w="2190"/>
      </w:tblGrid>
      <w:tr>
        <w:trPr>
          <w:trHeight w:val="675"/>
        </w:trPr>
        <w:tc>
          <w:tcPr>
            <w:tcW w:w="9811" w:type="dxa"/>
            <w:gridSpan w:val="7"/>
            <w:tcBorders>
              <w:top w:val="nil"/>
              <w:left w:val="nil"/>
              <w:bottom w:val="nil"/>
              <w:right w:val="nil"/>
            </w:tcBorders>
            <w:shd w:val="clear" w:color="auto" w:fill="auto"/>
            <w:vAlign w:val="center"/>
          </w:tcPr>
          <w:p>
            <w:pPr>
              <w:widowControl/>
              <w:jc w:val="center"/>
              <w:textAlignment w:val="center"/>
              <w:rPr>
                <w:rFonts w:ascii="宋体" w:cs="宋体"/>
                <w:b/>
                <w:sz w:val="32"/>
                <w:szCs w:val="32"/>
              </w:rPr>
            </w:pPr>
            <w:r>
              <w:rPr>
                <w:rFonts w:ascii="宋体" w:cs="宋体" w:hint="eastAsia"/>
                <w:b/>
                <w:sz w:val="32"/>
                <w:szCs w:val="32"/>
              </w:rPr>
              <w:t>2021年特定目标类部门预算项目绩效目标自评</w:t>
            </w:r>
          </w:p>
          <w:p>
            <w:pPr>
              <w:pStyle w:val="15"/>
              <w:spacing w:beforeLines="0" w:before="93"/>
              <w:jc w:val="center"/>
            </w:pPr>
            <w:r>
              <w:rPr>
                <w:rFonts w:hint="eastAsia"/>
              </w:rPr>
              <w:t>观音岩引水工程立法工作经费</w:t>
            </w:r>
          </w:p>
        </w:tc>
      </w:tr>
      <w:tr>
        <w:trPr>
          <w:trHeight w:val="254"/>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主管部门及代码</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  801001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实施单位</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w:t>
            </w:r>
          </w:p>
        </w:tc>
      </w:tr>
      <w:tr>
        <w:trPr>
          <w:trHeight w:val="341"/>
        </w:trPr>
        <w:tc>
          <w:tcPr>
            <w:tcW w:w="3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项目预算</w:t>
              <w:br/>
              <w:t>执行情况</w:t>
              <w:br/>
              <w:t>（万元）</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预算数：</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14.92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执行数：</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ind w:right="480"/>
              <w:jc w:val="center"/>
              <w:textAlignment w:val="center"/>
              <w:rPr>
                <w:rFonts w:ascii="宋体" w:cs="宋体"/>
                <w:sz w:val="24"/>
              </w:rPr>
            </w:pPr>
            <w:r>
              <w:rPr>
                <w:rFonts w:ascii="宋体" w:cs="宋体" w:hint="eastAsia"/>
                <w:sz w:val="24"/>
              </w:rPr>
              <w:t>14.92</w:t>
            </w:r>
          </w:p>
        </w:tc>
      </w:tr>
      <w:tr>
        <w:trPr>
          <w:trHeight w:val="555"/>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14.92</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ind w:firstLineChars="250" w:firstLine="600"/>
              <w:textAlignment w:val="center"/>
              <w:rPr>
                <w:rFonts w:ascii="宋体" w:cs="宋体"/>
                <w:sz w:val="24"/>
              </w:rPr>
            </w:pPr>
            <w:r>
              <w:rPr>
                <w:rFonts w:ascii="宋体" w:cs="宋体" w:hint="eastAsia"/>
                <w:sz w:val="24"/>
              </w:rPr>
              <w:t>14.92</w:t>
            </w:r>
          </w:p>
        </w:tc>
      </w:tr>
      <w:tr>
        <w:trPr>
          <w:trHeight w:val="341"/>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r>
      <w:tr>
        <w:trPr>
          <w:trHeight w:val="217"/>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年度总体目标</w:t>
            </w:r>
          </w:p>
          <w:p>
            <w:pPr>
              <w:widowControl/>
              <w:spacing w:line="320" w:lineRule="exact"/>
              <w:jc w:val="center"/>
              <w:textAlignment w:val="center"/>
              <w:rPr>
                <w:rFonts w:ascii="宋体" w:cs="宋体"/>
                <w:sz w:val="24"/>
              </w:rPr>
            </w:pPr>
            <w:r>
              <w:rPr>
                <w:rFonts w:ascii="宋体" w:cs="宋体" w:hint="eastAsia"/>
                <w:kern w:val="0"/>
                <w:sz w:val="24"/>
              </w:rPr>
              <w:t>完成情况</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预期目标</w:t>
            </w:r>
          </w:p>
        </w:tc>
        <w:tc>
          <w:tcPr>
            <w:tcW w:w="3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目标实际完成情况</w:t>
            </w:r>
          </w:p>
        </w:tc>
      </w:tr>
      <w:tr>
        <w:trPr>
          <w:trHeight w:val="797"/>
        </w:trPr>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top"/>
              <w:rPr>
                <w:rFonts w:ascii="宋体" w:cs="宋体"/>
                <w:sz w:val="24"/>
              </w:rPr>
            </w:pPr>
            <w:r>
              <w:rPr>
                <w:rFonts w:ascii="宋体" w:cs="宋体" w:hint="eastAsia"/>
                <w:sz w:val="24"/>
              </w:rPr>
              <w:t>保障观音岩引水工程立法工作顺利开展。</w:t>
            </w:r>
          </w:p>
        </w:tc>
        <w:tc>
          <w:tcPr>
            <w:tcW w:w="3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top"/>
              <w:rPr>
                <w:rFonts w:ascii="宋体" w:cs="宋体"/>
                <w:sz w:val="24"/>
              </w:rPr>
            </w:pPr>
            <w:r>
              <w:rPr>
                <w:rFonts w:ascii="宋体" w:cs="宋体" w:hint="eastAsia"/>
                <w:sz w:val="24"/>
              </w:rPr>
              <w:t>组织开展《攀枝花市观音岩引水工程管理规定》的地方性立法相关服务研究项目工作，包括立法调研、听证、专家论证、社会稳定风险评估、可行性评估等工作。</w:t>
            </w:r>
          </w:p>
        </w:tc>
      </w:tr>
      <w:tr>
        <w:trPr>
          <w:trHeight w:val="693"/>
        </w:trPr>
        <w:tc>
          <w:tcPr>
            <w:tcW w:w="2025"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年度绩效指标完成情况</w:t>
            </w:r>
          </w:p>
        </w:tc>
        <w:tc>
          <w:tcPr>
            <w:tcW w:w="1170"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一级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二级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三级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预期指标值</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实际完成指标值</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完成</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数量指标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观音岩引水工程立法工作</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完成观音岩引水工程立法工作</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1项</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left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质量指标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工作质量</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高质量完成立法工作</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高质量完成立法工作</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left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时效指标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各项工作完成时间</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2021年</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2021年</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left w:val="single" w:sz="4" w:space="0" w:color="000000"/>
              <w:right w:val="single" w:sz="4" w:space="0" w:color="000000"/>
            </w:tcBorders>
            <w:shd w:val="clear" w:color="auto" w:fill="auto"/>
            <w:vAlign w:val="center"/>
          </w:tcPr>
          <w:p/>
        </w:tc>
        <w:tc>
          <w:tcPr>
            <w:tcW w:w="1675"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成本指标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打印装订相关资料</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印刷费</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1.03万元</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left w:val="single" w:sz="4" w:space="0" w:color="000000"/>
              <w:right w:val="single" w:sz="4" w:space="0" w:color="000000"/>
            </w:tcBorders>
            <w:shd w:val="clear" w:color="auto" w:fill="auto"/>
            <w:vAlign w:val="center"/>
          </w:tcPr>
          <w:p/>
        </w:tc>
        <w:tc>
          <w:tcPr>
            <w:tcW w:w="1675" w:type="dxa"/>
            <w:vMerge/>
            <w:tcBorders>
              <w:left w:val="single" w:sz="4" w:space="0" w:color="000000"/>
              <w:right w:val="single" w:sz="4" w:space="0" w:color="000000"/>
            </w:tcBorders>
            <w:shd w:val="clear" w:color="auto" w:fill="auto"/>
            <w:vAlign w:val="center"/>
          </w:tc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会议、差旅费</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会议、差旅费</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0.3万元</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left w:val="single" w:sz="4" w:space="0" w:color="000000"/>
              <w:bottom w:val="single" w:sz="4" w:space="0" w:color="000000"/>
              <w:right w:val="single" w:sz="4" w:space="0" w:color="000000"/>
            </w:tcBorders>
            <w:shd w:val="clear" w:color="auto" w:fill="auto"/>
            <w:vAlign w:val="center"/>
          </w:tcPr>
          <w:p/>
        </w:tc>
        <w:tc>
          <w:tcPr>
            <w:tcW w:w="1675" w:type="dxa"/>
            <w:vMerge/>
            <w:tcBorders>
              <w:left w:val="single" w:sz="4" w:space="0" w:color="000000"/>
              <w:bottom w:val="single" w:sz="4" w:space="0" w:color="000000"/>
              <w:right w:val="single" w:sz="4" w:space="0" w:color="000000"/>
            </w:tcBorders>
            <w:shd w:val="clear" w:color="auto" w:fill="auto"/>
            <w:vAlign w:val="center"/>
          </w:tc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编制服务费</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编制服务费</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11.4万元</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20" w:lineRule="exact"/>
              <w:jc w:val="center"/>
              <w:rPr>
                <w:rFonts w:ascii="仿宋_GB2312" w:eastAsia="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社会效益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提升立法水平</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提升立法水平，满足城市发展需要</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提升立法水平，满足城市发展需要</w:t>
            </w:r>
          </w:p>
        </w:tc>
      </w:tr>
      <w:tr>
        <w:trPr>
          <w:trHeight w:val="577"/>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ind w:leftChars="87" w:left="463" w:hangingChars="100" w:hanging="280"/>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生态效益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保障观音岩引水工程安全稳定运营</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推动我市山水宜居公园城市建设，让这一民生水利项目更好惠及于民</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推动我市山水宜居公园城市建设，让这一民生水利项目更好惠及于民</w:t>
            </w:r>
          </w:p>
        </w:tc>
      </w:tr>
      <w:tr>
        <w:trPr>
          <w:trHeight w:val="530"/>
        </w:trPr>
        <w:tc>
          <w:tcPr>
            <w:tcW w:w="2025" w:type="dxa"/>
            <w:vMerge/>
            <w:tcBorders>
              <w:left w:val="single" w:sz="4" w:space="0" w:color="000000"/>
              <w:bottom w:val="single" w:sz="4" w:space="0" w:color="000000"/>
              <w:right w:val="single" w:sz="4" w:space="0" w:color="000000"/>
            </w:tcBorders>
            <w:shd w:val="clear" w:color="auto" w:fill="auto"/>
            <w:vAlign w:val="center"/>
          </w:tc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满意</w:t>
              <w:br/>
              <w:t>度指标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满意度</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群众满意度</w:t>
            </w: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≥90%</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≥90%</w:t>
            </w:r>
          </w:p>
        </w:tc>
      </w:tr>
    </w:tbl>
    <w:p>
      <w:pPr>
        <w:pStyle w:val="15"/>
        <w:spacing w:beforeLines="0" w:before="93"/>
        <w:jc w:val="center"/>
      </w:pPr>
    </w:p>
    <w:tbl>
      <w:tblPr>
        <w:tblpPr w:leftFromText="180" w:rightFromText="180" w:vertAnchor="text" w:horzAnchor="page" w:tblpX="1281" w:tblpY="660"/>
        <w:tblOverlap w:val="never"/>
        <w:tblW w:w="98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025"/>
        <w:gridCol w:w="1170"/>
        <w:gridCol w:w="1675"/>
        <w:gridCol w:w="1218"/>
        <w:gridCol w:w="1254"/>
        <w:gridCol w:w="421"/>
        <w:gridCol w:w="2048"/>
      </w:tblGrid>
      <w:tr>
        <w:trPr>
          <w:trHeight w:val="675"/>
        </w:trPr>
        <w:tc>
          <w:tcPr>
            <w:tcW w:w="9811" w:type="dxa"/>
            <w:gridSpan w:val="7"/>
            <w:tcBorders>
              <w:top w:val="nil"/>
              <w:left w:val="nil"/>
              <w:bottom w:val="nil"/>
              <w:right w:val="nil"/>
            </w:tcBorders>
            <w:shd w:val="clear" w:color="auto" w:fill="auto"/>
            <w:vAlign w:val="center"/>
          </w:tcPr>
          <w:p>
            <w:pPr>
              <w:widowControl/>
              <w:jc w:val="center"/>
              <w:textAlignment w:val="center"/>
              <w:rPr>
                <w:rFonts w:ascii="宋体" w:cs="宋体"/>
                <w:b/>
                <w:sz w:val="32"/>
                <w:szCs w:val="32"/>
              </w:rPr>
            </w:pPr>
            <w:r>
              <w:rPr>
                <w:rFonts w:ascii="宋体" w:cs="宋体" w:hint="eastAsia"/>
                <w:b/>
                <w:sz w:val="32"/>
                <w:szCs w:val="32"/>
              </w:rPr>
              <w:t>2021年特定目标类部门预算项目绩效目标自评</w:t>
            </w:r>
          </w:p>
          <w:p>
            <w:pPr>
              <w:pStyle w:val="15"/>
              <w:spacing w:beforeLines="0" w:before="93"/>
              <w:jc w:val="center"/>
            </w:pPr>
            <w:r>
              <w:rPr>
                <w:rFonts w:hint="eastAsia"/>
              </w:rPr>
              <w:t>“十四五”住房发展规划编制经费</w:t>
            </w:r>
          </w:p>
        </w:tc>
      </w:tr>
      <w:tr>
        <w:trPr>
          <w:trHeight w:val="254"/>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主管部门及代码</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  801001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实施单位</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w:t>
            </w:r>
          </w:p>
        </w:tc>
      </w:tr>
      <w:tr>
        <w:trPr>
          <w:trHeight w:val="341"/>
        </w:trPr>
        <w:tc>
          <w:tcPr>
            <w:tcW w:w="3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项目预算</w:t>
              <w:br/>
              <w:t>执行情况</w:t>
              <w:br/>
              <w:t>（万元）</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预算数：</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13.5</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执行数：</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13.5</w:t>
            </w:r>
          </w:p>
        </w:tc>
      </w:tr>
      <w:tr>
        <w:trPr>
          <w:trHeight w:val="555"/>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13.5</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13.5</w:t>
            </w:r>
          </w:p>
        </w:tc>
      </w:tr>
      <w:tr>
        <w:trPr>
          <w:trHeight w:val="341"/>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r>
      <w:tr>
        <w:trPr>
          <w:trHeight w:val="217"/>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年度总体目标</w:t>
            </w:r>
          </w:p>
          <w:p>
            <w:pPr>
              <w:widowControl/>
              <w:spacing w:line="320" w:lineRule="exact"/>
              <w:jc w:val="center"/>
              <w:textAlignment w:val="center"/>
              <w:rPr>
                <w:rFonts w:ascii="宋体" w:cs="宋体"/>
                <w:sz w:val="24"/>
              </w:rPr>
            </w:pPr>
            <w:r>
              <w:rPr>
                <w:rFonts w:ascii="宋体" w:cs="宋体" w:hint="eastAsia"/>
                <w:kern w:val="0"/>
                <w:sz w:val="24"/>
              </w:rPr>
              <w:t>完成情况</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预期目标</w:t>
            </w:r>
          </w:p>
        </w:tc>
        <w:tc>
          <w:tcPr>
            <w:tcW w:w="3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目标实际完成情况</w:t>
            </w:r>
          </w:p>
        </w:tc>
      </w:tr>
      <w:tr>
        <w:trPr>
          <w:trHeight w:val="797"/>
        </w:trPr>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top"/>
              <w:rPr>
                <w:rFonts w:ascii="宋体" w:cs="宋体"/>
                <w:sz w:val="24"/>
              </w:rPr>
            </w:pPr>
            <w:r>
              <w:rPr>
                <w:rFonts w:ascii="宋体" w:cs="宋体" w:hint="eastAsia"/>
                <w:sz w:val="24"/>
              </w:rPr>
              <w:t>按照《四川省住房城乡建设厅关于转发〈住房和城乡建设部办公厅关于开展“十四五”住房发展规划编制工作的通知〉的通知》（川建房发〔2020〕106号）要求，住房城乡建设厅要求2021年6月完成规划编制工作。</w:t>
            </w:r>
          </w:p>
        </w:tc>
        <w:tc>
          <w:tcPr>
            <w:tcW w:w="3723"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top"/>
              <w:rPr>
                <w:rFonts w:ascii="宋体" w:cs="宋体"/>
                <w:sz w:val="24"/>
              </w:rPr>
            </w:pPr>
            <w:r>
              <w:rPr>
                <w:rFonts w:ascii="宋体" w:cs="宋体" w:hint="eastAsia"/>
                <w:sz w:val="24"/>
              </w:rPr>
              <w:t>按照《四川省住房城乡建设厅关于转发〈住房和城乡建设部办公厅关于开展“十四五”住房发展规划编制工作的通知〉的通知》（川建房发〔2020〕106号）要求，完成规划编制工作。位工作正常开展。</w:t>
            </w:r>
          </w:p>
        </w:tc>
      </w:tr>
      <w:tr>
        <w:trPr>
          <w:trHeight w:val="693"/>
        </w:trPr>
        <w:tc>
          <w:tcPr>
            <w:tcW w:w="2025"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年度绩效指标完成情况</w:t>
            </w:r>
          </w:p>
        </w:tc>
        <w:tc>
          <w:tcPr>
            <w:tcW w:w="1170"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一级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二级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三级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预期指标值</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实际完成指标值</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完成</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数量指标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规划编制</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对三区住房发展规划进行编制</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完成三区住房发展规划编制</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质量指标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编制质量</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形成符合要求的市辖区“十四五”住房发展规划和新型城镇化“十四五”规划书面编制成果</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已形成书面编制成果</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时效指标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完成工作时间</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2021年</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2021年</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成本指标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第一期规划编制经费</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按合同履约进度支付</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13.5万元</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效益</w:t>
              <w:br/>
              <w:t>指标</w:t>
            </w:r>
          </w:p>
        </w:tc>
        <w:tc>
          <w:tcPr>
            <w:tcW w:w="1675" w:type="dxa"/>
            <w:tcBorders>
              <w:top w:val="single" w:sz="4" w:space="0" w:color="000000"/>
              <w:left w:val="single" w:sz="4" w:space="0" w:color="000000"/>
              <w:right w:val="single" w:sz="4" w:space="0" w:color="000000"/>
            </w:tcBorders>
            <w:shd w:val="clear" w:color="auto" w:fill="auto"/>
            <w:vAlign w:val="center"/>
          </w:tcPr>
          <w:p>
            <w:pPr>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社会效益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“十四五”住房发展规划编制成果</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以满足攀枝花市不同收入家庭合理住房需求为导向，以住房供求总量基本平衡、结构基本合理、价格基本稳定为原则，促进住房发展与经济社会发展相协调，充分发挥住房作为国民经济基础性配套设施的重要作用</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促进了住房发展与经济社会发展相协调，充分发挥住房作为国民经济基础性配套设施的重要作用</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可持续影响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“三稳”持续影响五年以上</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促进我市房地产市场平稳健康发展，落实稳地价、稳房价、稳预期“三稳”责任</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促进我市房地产市场平稳健康发展，落实稳地价、稳房价、稳预期“三稳”责任</w:t>
            </w:r>
          </w:p>
        </w:tc>
      </w:tr>
      <w:tr>
        <w:trPr>
          <w:trHeight w:val="530"/>
        </w:trPr>
        <w:tc>
          <w:tcPr>
            <w:tcW w:w="2025" w:type="dxa"/>
            <w:vMerge/>
            <w:tcBorders>
              <w:left w:val="single" w:sz="4" w:space="0" w:color="000000"/>
              <w:bottom w:val="single" w:sz="4" w:space="0" w:color="000000"/>
              <w:right w:val="single" w:sz="4" w:space="0" w:color="000000"/>
            </w:tcBorders>
            <w:shd w:val="clear" w:color="auto" w:fill="auto"/>
            <w:vAlign w:val="center"/>
          </w:tc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满意</w:t>
              <w:br/>
              <w:t>度指标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满意度</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群众满意度</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≥90%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≥90%</w:t>
            </w:r>
          </w:p>
        </w:tc>
      </w:tr>
    </w:tbl>
    <w:p>
      <w:pPr>
        <w:pStyle w:val="15"/>
        <w:spacing w:beforeLines="0" w:before="93"/>
      </w:pPr>
    </w:p>
    <w:tbl>
      <w:tblPr>
        <w:tblpPr w:leftFromText="180" w:rightFromText="180" w:vertAnchor="text" w:horzAnchor="page" w:tblpX="1281" w:tblpY="660"/>
        <w:tblOverlap w:val="never"/>
        <w:tblW w:w="98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025"/>
        <w:gridCol w:w="1170"/>
        <w:gridCol w:w="1675"/>
        <w:gridCol w:w="1218"/>
        <w:gridCol w:w="1254"/>
        <w:gridCol w:w="2469"/>
      </w:tblGrid>
      <w:tr>
        <w:trPr>
          <w:trHeight w:val="675"/>
        </w:trPr>
        <w:tc>
          <w:tcPr>
            <w:tcW w:w="9811" w:type="dxa"/>
            <w:gridSpan w:val="6"/>
            <w:tcBorders>
              <w:top w:val="nil"/>
              <w:left w:val="nil"/>
              <w:bottom w:val="nil"/>
              <w:right w:val="nil"/>
            </w:tcBorders>
            <w:shd w:val="clear" w:color="auto" w:fill="auto"/>
            <w:vAlign w:val="center"/>
          </w:tcPr>
          <w:p>
            <w:pPr>
              <w:widowControl/>
              <w:jc w:val="center"/>
              <w:textAlignment w:val="center"/>
              <w:rPr>
                <w:rFonts w:ascii="宋体" w:cs="宋体"/>
                <w:b/>
                <w:sz w:val="32"/>
                <w:szCs w:val="32"/>
              </w:rPr>
            </w:pPr>
            <w:r>
              <w:rPr>
                <w:rFonts w:ascii="宋体" w:cs="宋体" w:hint="eastAsia"/>
                <w:b/>
                <w:sz w:val="32"/>
                <w:szCs w:val="32"/>
              </w:rPr>
              <w:t>2021年特定目标类部门预算项目绩效目标自评</w:t>
            </w:r>
          </w:p>
          <w:p>
            <w:pPr>
              <w:pStyle w:val="15"/>
              <w:spacing w:beforeLines="0" w:before="93"/>
              <w:jc w:val="center"/>
            </w:pPr>
            <w:r>
              <w:rPr>
                <w:rFonts w:hint="eastAsia"/>
              </w:rPr>
              <w:t>（编外用工人员经费）</w:t>
            </w:r>
          </w:p>
        </w:tc>
      </w:tr>
      <w:tr>
        <w:trPr>
          <w:trHeight w:val="254"/>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主管部门及代码</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  801001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实施单位</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w:t>
            </w:r>
          </w:p>
        </w:tc>
      </w:tr>
      <w:tr>
        <w:trPr>
          <w:trHeight w:val="341"/>
        </w:trPr>
        <w:tc>
          <w:tcPr>
            <w:tcW w:w="3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项目预算</w:t>
              <w:br/>
              <w:t>执行情况</w:t>
              <w:br/>
              <w:t>（万元）</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预算数：</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160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执行数：</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160</w:t>
            </w:r>
          </w:p>
        </w:tc>
      </w:tr>
      <w:tr>
        <w:trPr>
          <w:trHeight w:val="555"/>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160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160</w:t>
            </w:r>
          </w:p>
        </w:tc>
      </w:tr>
      <w:tr>
        <w:trPr>
          <w:trHeight w:val="341"/>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r>
      <w:tr>
        <w:trPr>
          <w:trHeight w:val="217"/>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年度总体目标</w:t>
            </w:r>
          </w:p>
          <w:p>
            <w:pPr>
              <w:widowControl/>
              <w:spacing w:line="320" w:lineRule="exact"/>
              <w:jc w:val="center"/>
              <w:textAlignment w:val="center"/>
              <w:rPr>
                <w:rFonts w:ascii="宋体" w:cs="宋体"/>
                <w:sz w:val="24"/>
              </w:rPr>
            </w:pPr>
            <w:r>
              <w:rPr>
                <w:rFonts w:ascii="宋体" w:cs="宋体" w:hint="eastAsia"/>
                <w:kern w:val="0"/>
                <w:sz w:val="24"/>
              </w:rPr>
              <w:t>完成情况</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预期目标</w:t>
            </w:r>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目标实际完成情况</w:t>
            </w:r>
          </w:p>
        </w:tc>
      </w:tr>
      <w:tr>
        <w:trPr>
          <w:trHeight w:val="797"/>
        </w:trPr>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top"/>
              <w:rPr>
                <w:rFonts w:ascii="宋体" w:cs="宋体"/>
                <w:sz w:val="24"/>
              </w:rPr>
            </w:pPr>
            <w:r>
              <w:rPr>
                <w:rFonts w:ascii="宋体" w:cs="宋体" w:hint="eastAsia"/>
                <w:sz w:val="24"/>
              </w:rPr>
              <w:t>购买服务，用于支付我局编外聘用人员工资。</w:t>
            </w:r>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top"/>
              <w:rPr>
                <w:rFonts w:ascii="宋体" w:cs="宋体"/>
                <w:sz w:val="24"/>
              </w:rPr>
            </w:pPr>
            <w:r>
              <w:rPr>
                <w:rFonts w:ascii="宋体" w:cs="宋体" w:hint="eastAsia"/>
                <w:sz w:val="24"/>
              </w:rPr>
              <w:t>全年按时足额支付了编外聘用人员工资及五险一金。</w:t>
            </w:r>
          </w:p>
        </w:tc>
      </w:tr>
      <w:tr>
        <w:trPr>
          <w:trHeight w:val="693"/>
        </w:trPr>
        <w:tc>
          <w:tcPr>
            <w:tcW w:w="2025"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年度绩效指标完成情况</w:t>
            </w:r>
          </w:p>
        </w:tc>
        <w:tc>
          <w:tcPr>
            <w:tcW w:w="1170"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一级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二级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三级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预期指标值</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实际完成指标值</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完成</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数量指标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编外聘用人员</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38人</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38人</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质量指标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完成年度工作</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保证年度工作如期完成</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年度工作如期完成</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时效指标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完成时间</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2021年</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2021年</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成本指标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劳务费</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编外聘用人员38人，共计160万元</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160万元</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效益</w:t>
              <w:br/>
              <w:t>指标</w:t>
            </w:r>
          </w:p>
        </w:tc>
        <w:tc>
          <w:tcPr>
            <w:tcW w:w="1675" w:type="dxa"/>
            <w:vMerge w:val="restart"/>
            <w:tcBorders>
              <w:top w:val="single" w:sz="4" w:space="0" w:color="000000"/>
              <w:left w:val="single" w:sz="4" w:space="0" w:color="000000"/>
              <w:right w:val="single" w:sz="4" w:space="0" w:color="000000"/>
            </w:tcBorders>
            <w:shd w:val="clear" w:color="auto" w:fill="auto"/>
            <w:vAlign w:val="center"/>
          </w:tcPr>
          <w:p>
            <w:pPr>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社会效益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保证编外用工人员经费及时发放</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及时支付编外用工人员经费</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按时足额支付</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vMerge/>
            <w:tcBorders>
              <w:left w:val="single" w:sz="4" w:space="0" w:color="000000"/>
              <w:bottom w:val="single" w:sz="4" w:space="0" w:color="000000"/>
              <w:right w:val="single" w:sz="4" w:space="0" w:color="000000"/>
            </w:tcBorders>
            <w:shd w:val="clear" w:color="auto" w:fill="auto"/>
            <w:vAlign w:val="center"/>
          </w:tc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就业率</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提高劳动者就业率</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为劳动者提供就业机会</w:t>
            </w:r>
          </w:p>
        </w:tc>
      </w:tr>
      <w:tr>
        <w:trPr>
          <w:trHeight w:val="530"/>
        </w:trPr>
        <w:tc>
          <w:tcPr>
            <w:tcW w:w="2025" w:type="dxa"/>
            <w:vMerge/>
            <w:tcBorders>
              <w:left w:val="single" w:sz="4" w:space="0" w:color="000000"/>
              <w:bottom w:val="single" w:sz="4" w:space="0" w:color="000000"/>
              <w:right w:val="single" w:sz="4" w:space="0" w:color="000000"/>
            </w:tcBorders>
            <w:shd w:val="clear" w:color="auto" w:fill="auto"/>
            <w:vAlign w:val="center"/>
          </w:tc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满意</w:t>
              <w:br/>
              <w:t>度指标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满意度</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编外聘用人员满意度</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≥90%</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≥90%</w:t>
            </w:r>
          </w:p>
        </w:tc>
      </w:tr>
    </w:tbl>
    <w:p>
      <w:pPr>
        <w:pStyle w:val="15"/>
        <w:spacing w:beforeLines="0" w:before="93"/>
      </w:pPr>
    </w:p>
    <w:p>
      <w:pPr>
        <w:pStyle w:val="15"/>
        <w:spacing w:beforeLines="0" w:before="93"/>
      </w:pPr>
    </w:p>
    <w:tbl>
      <w:tblPr>
        <w:tblpPr w:leftFromText="180" w:rightFromText="180" w:vertAnchor="text" w:horzAnchor="page" w:tblpX="1281" w:tblpY="660"/>
        <w:tblOverlap w:val="never"/>
        <w:tblW w:w="98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025"/>
        <w:gridCol w:w="1170"/>
        <w:gridCol w:w="1675"/>
        <w:gridCol w:w="1218"/>
        <w:gridCol w:w="1254"/>
        <w:gridCol w:w="704"/>
        <w:gridCol w:w="1765"/>
      </w:tblGrid>
      <w:tr>
        <w:trPr>
          <w:trHeight w:val="675"/>
        </w:trPr>
        <w:tc>
          <w:tcPr>
            <w:tcW w:w="9811" w:type="dxa"/>
            <w:gridSpan w:val="7"/>
            <w:tcBorders>
              <w:top w:val="nil"/>
              <w:left w:val="nil"/>
              <w:bottom w:val="nil"/>
              <w:right w:val="nil"/>
            </w:tcBorders>
            <w:shd w:val="clear" w:color="auto" w:fill="auto"/>
            <w:vAlign w:val="center"/>
          </w:tcPr>
          <w:p>
            <w:pPr>
              <w:widowControl/>
              <w:jc w:val="center"/>
              <w:textAlignment w:val="center"/>
              <w:rPr>
                <w:rFonts w:ascii="宋体" w:cs="宋体"/>
                <w:b/>
                <w:sz w:val="32"/>
                <w:szCs w:val="32"/>
              </w:rPr>
            </w:pPr>
            <w:r>
              <w:rPr>
                <w:rFonts w:ascii="宋体" w:cs="宋体" w:hint="eastAsia"/>
                <w:b/>
                <w:sz w:val="32"/>
                <w:szCs w:val="32"/>
              </w:rPr>
              <w:t>2021年特定目标类部门预算项目绩效目标自评</w:t>
            </w:r>
          </w:p>
          <w:p>
            <w:pPr>
              <w:pStyle w:val="15"/>
              <w:spacing w:beforeLines="0" w:before="93"/>
              <w:jc w:val="center"/>
            </w:pPr>
            <w:r>
              <w:rPr>
                <w:rFonts w:hint="eastAsia"/>
              </w:rPr>
              <w:t>（</w:t>
            </w:r>
            <w:r>
              <w:rPr>
                <w:rFonts w:cs="仿宋_GB2312" w:hint="eastAsia"/>
                <w:sz w:val="32"/>
                <w:szCs w:val="32"/>
              </w:rPr>
              <w:t>办公楼物业管理费及车位管理经费</w:t>
            </w:r>
            <w:r>
              <w:rPr>
                <w:rFonts w:hint="eastAsia"/>
              </w:rPr>
              <w:t>）</w:t>
            </w:r>
          </w:p>
        </w:tc>
      </w:tr>
      <w:tr>
        <w:trPr>
          <w:trHeight w:val="254"/>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主管部门及代码</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  801001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实施单位</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攀枝花市住房和城乡建设局</w:t>
            </w:r>
          </w:p>
        </w:tc>
      </w:tr>
      <w:tr>
        <w:trPr>
          <w:trHeight w:val="341"/>
        </w:trPr>
        <w:tc>
          <w:tcPr>
            <w:tcW w:w="3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项目预算</w:t>
              <w:br/>
              <w:t>执行情况</w:t>
              <w:br/>
              <w:t>（万元）</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预算数：</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40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执行数：</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40</w:t>
            </w:r>
          </w:p>
        </w:tc>
      </w:tr>
      <w:tr>
        <w:trPr>
          <w:trHeight w:val="555"/>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40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其中：</w:t>
            </w:r>
          </w:p>
          <w:p>
            <w:pPr>
              <w:widowControl/>
              <w:spacing w:line="320" w:lineRule="exact"/>
              <w:jc w:val="center"/>
              <w:textAlignment w:val="center"/>
              <w:rPr>
                <w:rFonts w:ascii="宋体" w:cs="宋体"/>
                <w:sz w:val="24"/>
              </w:rPr>
            </w:pPr>
            <w:r>
              <w:rPr>
                <w:rFonts w:ascii="宋体" w:cs="宋体" w:hint="eastAsia"/>
                <w:kern w:val="0"/>
                <w:sz w:val="24"/>
              </w:rPr>
              <w:t>财政拨款</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40</w:t>
            </w:r>
          </w:p>
        </w:tc>
      </w:tr>
      <w:tr>
        <w:trPr>
          <w:trHeight w:val="341"/>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其他资金</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sz w:val="24"/>
              </w:rPr>
              <w:t>0</w:t>
            </w:r>
          </w:p>
        </w:tc>
      </w:tr>
      <w:tr>
        <w:trPr>
          <w:trHeight w:val="217"/>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kern w:val="0"/>
                <w:sz w:val="24"/>
              </w:rPr>
            </w:pPr>
            <w:r>
              <w:rPr>
                <w:rFonts w:ascii="宋体" w:cs="宋体" w:hint="eastAsia"/>
                <w:kern w:val="0"/>
                <w:sz w:val="24"/>
              </w:rPr>
              <w:t>年度总体目标</w:t>
            </w:r>
          </w:p>
          <w:p>
            <w:pPr>
              <w:widowControl/>
              <w:spacing w:line="320" w:lineRule="exact"/>
              <w:jc w:val="center"/>
              <w:textAlignment w:val="center"/>
              <w:rPr>
                <w:rFonts w:ascii="宋体" w:cs="宋体"/>
                <w:sz w:val="24"/>
              </w:rPr>
            </w:pPr>
            <w:r>
              <w:rPr>
                <w:rFonts w:ascii="宋体" w:cs="宋体" w:hint="eastAsia"/>
                <w:kern w:val="0"/>
                <w:sz w:val="24"/>
              </w:rPr>
              <w:t>完成情况</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预期目标</w:t>
            </w:r>
          </w:p>
        </w:tc>
        <w:tc>
          <w:tcPr>
            <w:tcW w:w="3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sz w:val="24"/>
              </w:rPr>
            </w:pPr>
            <w:r>
              <w:rPr>
                <w:rFonts w:ascii="宋体" w:cs="宋体" w:hint="eastAsia"/>
                <w:kern w:val="0"/>
                <w:sz w:val="24"/>
              </w:rPr>
              <w:t>目标实际完成情况</w:t>
            </w:r>
          </w:p>
        </w:tc>
      </w:tr>
      <w:tr>
        <w:trPr>
          <w:trHeight w:val="797"/>
        </w:trPr>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top"/>
              <w:rPr>
                <w:rFonts w:ascii="宋体" w:cs="宋体"/>
                <w:sz w:val="24"/>
              </w:rPr>
            </w:pPr>
            <w:r>
              <w:rPr>
                <w:rFonts w:ascii="宋体" w:cs="宋体" w:hint="eastAsia"/>
                <w:sz w:val="24"/>
              </w:rPr>
              <w:t>支付我局办公楼的物业管理费、水费、电费，以保证工作正常开展。</w:t>
            </w:r>
          </w:p>
        </w:tc>
        <w:tc>
          <w:tcPr>
            <w:tcW w:w="3723"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top"/>
              <w:rPr>
                <w:rFonts w:ascii="宋体" w:cs="宋体"/>
                <w:sz w:val="24"/>
              </w:rPr>
            </w:pPr>
            <w:r>
              <w:rPr>
                <w:rFonts w:ascii="宋体" w:cs="宋体" w:hint="eastAsia"/>
                <w:sz w:val="24"/>
              </w:rPr>
              <w:t>按期支付物业公司局办公楼的物业管理费、水费、电费，保证了工作正常开展。</w:t>
            </w:r>
          </w:p>
        </w:tc>
      </w:tr>
      <w:tr>
        <w:trPr>
          <w:trHeight w:val="693"/>
        </w:trPr>
        <w:tc>
          <w:tcPr>
            <w:tcW w:w="2025"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年度绩效指标完成情况</w:t>
            </w:r>
          </w:p>
        </w:tc>
        <w:tc>
          <w:tcPr>
            <w:tcW w:w="1170"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一级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二级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kern w:val="0"/>
                <w:sz w:val="28"/>
                <w:szCs w:val="28"/>
              </w:rPr>
            </w:pPr>
            <w:r>
              <w:rPr>
                <w:rFonts w:ascii="仿宋_GB2312" w:eastAsia="仿宋_GB2312" w:cs="仿宋_GB2312" w:hint="eastAsia"/>
                <w:kern w:val="0"/>
                <w:sz w:val="28"/>
                <w:szCs w:val="28"/>
              </w:rPr>
              <w:t>三级</w:t>
            </w:r>
          </w:p>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指标</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预期指标值</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eastAsia="仿宋_GB2312" w:cs="仿宋_GB2312"/>
                <w:sz w:val="28"/>
                <w:szCs w:val="28"/>
              </w:rPr>
            </w:pPr>
            <w:r>
              <w:rPr>
                <w:rFonts w:ascii="仿宋_GB2312" w:eastAsia="仿宋_GB2312" w:cs="仿宋_GB2312" w:hint="eastAsia"/>
                <w:kern w:val="0"/>
                <w:sz w:val="28"/>
                <w:szCs w:val="28"/>
              </w:rPr>
              <w:t>实际完成指标值</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完成</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675"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数量指标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水电费</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按照水、电表计算</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按照水、电表计算</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vMerge/>
            <w:tcBorders>
              <w:left w:val="single" w:sz="4" w:space="0" w:color="000000"/>
              <w:bottom w:val="single" w:sz="4" w:space="0" w:color="000000"/>
              <w:right w:val="single" w:sz="4" w:space="0" w:color="000000"/>
            </w:tcBorders>
            <w:shd w:val="clear" w:color="auto" w:fill="auto"/>
            <w:vAlign w:val="center"/>
          </w:tc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物管费</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房屋产权面积4318.646平方米，车位面积730.2平方米</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房屋产权面积4318.646平方米，车位面积730.2平方米</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质量指标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水电费</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满足办公楼水电需要</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满足办公楼水电需要</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vMerge/>
            <w:tcBorders>
              <w:left w:val="single" w:sz="4" w:space="0" w:color="000000"/>
              <w:bottom w:val="single" w:sz="4" w:space="0" w:color="000000"/>
              <w:right w:val="single" w:sz="4" w:space="0" w:color="000000"/>
            </w:tcBorders>
            <w:shd w:val="clear" w:color="auto" w:fill="auto"/>
            <w:vAlign w:val="center"/>
          </w:tc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物管费</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保持办公区域干净、整洁、安全</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保持办公区域干净、整洁、安全</w:t>
            </w:r>
          </w:p>
        </w:tc>
      </w:tr>
      <w:tr>
        <w:trPr>
          <w:trHeight w:val="415"/>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时效指标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完成工作时间</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2021年</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2021年</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成本指标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水电费</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按照水、电表计算</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11.7万元</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20" w:lineRule="exact"/>
              <w:jc w:val="center"/>
              <w:rPr>
                <w:rFonts w:ascii="仿宋_GB2312" w:eastAsia="仿宋_GB2312" w:cs="仿宋_GB2312"/>
                <w:sz w:val="28"/>
                <w:szCs w:val="28"/>
              </w:rPr>
            </w:pPr>
          </w:p>
        </w:tc>
        <w:tc>
          <w:tcPr>
            <w:tcW w:w="1675" w:type="dxa"/>
            <w:vMerge/>
            <w:tcBorders>
              <w:left w:val="single" w:sz="4" w:space="0" w:color="000000"/>
              <w:bottom w:val="single" w:sz="4" w:space="0" w:color="000000"/>
              <w:right w:val="single" w:sz="4" w:space="0" w:color="000000"/>
            </w:tcBorders>
            <w:shd w:val="clear" w:color="auto" w:fill="auto"/>
            <w:vAlign w:val="center"/>
          </w:tc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物管费</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办公楼4318.646平米*3元/平米*12个月=15.55万元，车位管理费730.2平米*4元/平米*12个月=3.5万元，办公楼安保服务费11.52万元。共计约30.5万。</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Cs w:val="21"/>
              </w:rPr>
            </w:pPr>
            <w:r>
              <w:rPr>
                <w:rFonts w:ascii="仿宋_GB2312" w:eastAsia="仿宋_GB2312" w:cs="仿宋_GB2312" w:hint="eastAsia"/>
                <w:szCs w:val="21"/>
              </w:rPr>
              <w:t>物管费及办公楼维修改造费等28.3万元</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效益</w:t>
              <w:br/>
              <w:t>指标</w:t>
            </w:r>
          </w:p>
        </w:tc>
        <w:tc>
          <w:tcPr>
            <w:tcW w:w="1675" w:type="dxa"/>
            <w:vMerge w:val="restart"/>
            <w:tcBorders>
              <w:top w:val="single" w:sz="4" w:space="0" w:color="000000"/>
              <w:left w:val="single" w:sz="4" w:space="0" w:color="000000"/>
              <w:right w:val="single" w:sz="4" w:space="0" w:color="000000"/>
            </w:tcBorders>
            <w:shd w:val="clear" w:color="auto" w:fill="auto"/>
            <w:vAlign w:val="center"/>
          </w:tcPr>
          <w:p>
            <w:pPr>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社会效益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水电费</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能满足工作需要</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满足了工作需要</w:t>
            </w:r>
          </w:p>
        </w:tc>
      </w:tr>
      <w:tr>
        <w:trPr>
          <w:trHeight w:val="480"/>
        </w:trPr>
        <w:tc>
          <w:tcPr>
            <w:tcW w:w="2025" w:type="dxa"/>
            <w:vMerge/>
            <w:tcBorders>
              <w:left w:val="single" w:sz="4" w:space="0" w:color="000000"/>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vMerge/>
            <w:tcBorders>
              <w:left w:val="single" w:sz="4" w:space="0" w:color="000000"/>
              <w:bottom w:val="single" w:sz="4" w:space="0" w:color="000000"/>
              <w:right w:val="single" w:sz="4" w:space="0" w:color="000000"/>
            </w:tcBorders>
            <w:shd w:val="clear" w:color="auto" w:fill="auto"/>
            <w:vAlign w:val="center"/>
          </w:tc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物管费</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保障办公及办事人员和国家财产安全</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保障了办公及办事人员和国家财产安全</w:t>
            </w:r>
          </w:p>
        </w:tc>
      </w:tr>
      <w:tr>
        <w:trPr>
          <w:trHeight w:val="530"/>
        </w:trPr>
        <w:tc>
          <w:tcPr>
            <w:tcW w:w="2025" w:type="dxa"/>
            <w:vMerge/>
            <w:tcBorders>
              <w:left w:val="single" w:sz="4" w:space="0" w:color="000000"/>
              <w:bottom w:val="single" w:sz="4" w:space="0" w:color="000000"/>
              <w:right w:val="single" w:sz="4" w:space="0" w:color="000000"/>
            </w:tcBorders>
            <w:shd w:val="clear" w:color="auto" w:fill="auto"/>
            <w:vAlign w:val="center"/>
          </w:tc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满意</w:t>
              <w:br/>
              <w:t>度指标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kern w:val="0"/>
                <w:sz w:val="28"/>
                <w:szCs w:val="28"/>
              </w:rPr>
            </w:pPr>
            <w:r>
              <w:rPr>
                <w:rFonts w:ascii="仿宋_GB2312" w:eastAsia="仿宋_GB2312" w:cs="仿宋_GB2312" w:hint="eastAsia"/>
                <w:kern w:val="0"/>
                <w:sz w:val="28"/>
                <w:szCs w:val="28"/>
              </w:rPr>
              <w:t>满意度</w:t>
            </w:r>
          </w:p>
          <w:p>
            <w:pPr>
              <w:widowControl/>
              <w:spacing w:line="320" w:lineRule="exact"/>
              <w:jc w:val="center"/>
              <w:textAlignment w:val="bottom"/>
              <w:rPr>
                <w:rFonts w:ascii="仿宋_GB2312" w:eastAsia="仿宋_GB2312" w:cs="仿宋_GB2312"/>
                <w:sz w:val="28"/>
                <w:szCs w:val="28"/>
              </w:rPr>
            </w:pPr>
            <w:r>
              <w:rPr>
                <w:rFonts w:ascii="仿宋_GB2312" w:eastAsia="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职工满意度</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≥90%</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eastAsia="仿宋_GB2312" w:cs="仿宋_GB2312"/>
                <w:sz w:val="24"/>
              </w:rPr>
            </w:pPr>
            <w:r>
              <w:rPr>
                <w:rFonts w:ascii="仿宋_GB2312" w:eastAsia="仿宋_GB2312" w:cs="仿宋_GB2312" w:hint="eastAsia"/>
                <w:sz w:val="24"/>
              </w:rPr>
              <w:t>≥90%</w:t>
            </w:r>
          </w:p>
        </w:tc>
      </w:tr>
    </w:tbl>
    <w:p>
      <w:pPr>
        <w:pStyle w:val="15"/>
        <w:spacing w:beforeLines="0" w:before="93"/>
      </w:pPr>
    </w:p>
    <w:p>
      <w:pPr>
        <w:spacing w:line="600" w:lineRule="exact"/>
        <w:jc w:val="center"/>
        <w:outlineLvl w:val="0"/>
        <w:rPr>
          <w:rFonts w:ascii="仿宋_GB2312" w:eastAsia="仿宋_GB2312" w:cs="宋体"/>
          <w:color w:val="000000"/>
          <w:kern w:val="0"/>
          <w:sz w:val="32"/>
          <w:szCs w:val="32"/>
          <w:shd w:val="clear" w:color="auto" w:fill="FFFFFF"/>
        </w:rPr>
      </w:pPr>
    </w:p>
    <w:p>
      <w:pPr>
        <w:pStyle w:val="15"/>
        <w:spacing w:beforeLines="0" w:before="93"/>
      </w:pPr>
    </w:p>
    <w:p>
      <w:pPr>
        <w:spacing w:line="600" w:lineRule="exact"/>
        <w:jc w:val="center"/>
        <w:outlineLvl w:val="0"/>
        <w:rPr>
          <w:rFonts w:ascii="黑体" w:eastAsia="黑体"/>
          <w:sz w:val="44"/>
          <w:szCs w:val="44"/>
        </w:rPr>
      </w:pPr>
    </w:p>
    <w:p>
      <w:pPr>
        <w:spacing w:line="600" w:lineRule="exact"/>
        <w:jc w:val="center"/>
        <w:outlineLvl w:val="0"/>
        <w:rPr>
          <w:rFonts w:ascii="仿宋" w:eastAsia="仿宋"/>
        </w:rPr>
      </w:pPr>
      <w:r>
        <w:rPr>
          <w:rFonts w:ascii="黑体" w:eastAsia="黑体" w:hint="eastAsia"/>
          <w:sz w:val="44"/>
          <w:szCs w:val="44"/>
        </w:rPr>
        <w:t>第</w:t>
      </w:r>
      <w:r>
        <w:rPr>
          <w:rStyle w:val="1Char"/>
          <w:rFonts w:ascii="黑体" w:eastAsia="黑体" w:hint="eastAsia"/>
          <w:b w:val="0"/>
        </w:rPr>
        <w:t>五部分 附表</w:t>
      </w:r>
      <w:bookmarkStart w:id="55" w:name="_Toc15396619"/>
      <w:bookmarkEnd w:id="52"/>
      <w:bookmarkEnd w:id="54"/>
    </w:p>
    <w:p>
      <w:pPr>
        <w:pStyle w:val="2"/>
        <w:rPr>
          <w:rFonts w:ascii="仿宋" w:eastAsia="仿宋"/>
          <w:b w:val="0"/>
          <w:bCs w:val="0"/>
        </w:rPr>
      </w:pPr>
      <w:r>
        <w:rPr>
          <w:rFonts w:ascii="仿宋" w:eastAsia="仿宋" w:hint="eastAsia"/>
          <w:b w:val="0"/>
          <w:bCs w:val="0"/>
        </w:rPr>
        <w:t>一、收</w:t>
      </w:r>
      <w:r>
        <w:rPr>
          <w:rStyle w:val="2Char"/>
          <w:rFonts w:ascii="仿宋" w:eastAsia="仿宋" w:hint="eastAsia"/>
          <w:b w:val="0"/>
          <w:bCs w:val="0"/>
        </w:rPr>
        <w:t>入支出决算总表</w:t>
      </w:r>
      <w:bookmarkEnd w:id="55"/>
    </w:p>
    <w:p>
      <w:pPr>
        <w:pStyle w:val="2"/>
        <w:rPr>
          <w:rFonts w:ascii="仿宋" w:eastAsia="仿宋"/>
          <w:b w:val="0"/>
          <w:bCs w:val="0"/>
        </w:rPr>
      </w:pPr>
      <w:bookmarkStart w:id="56" w:name="_Toc15396620"/>
      <w:r>
        <w:rPr>
          <w:rFonts w:ascii="仿宋" w:eastAsia="仿宋" w:hint="eastAsia"/>
          <w:b w:val="0"/>
          <w:bCs w:val="0"/>
        </w:rPr>
        <w:t>二、收</w:t>
      </w:r>
      <w:r>
        <w:rPr>
          <w:rStyle w:val="2Char"/>
          <w:rFonts w:ascii="仿宋" w:eastAsia="仿宋" w:hint="eastAsia"/>
          <w:b w:val="0"/>
          <w:bCs w:val="0"/>
        </w:rPr>
        <w:t>入决算表</w:t>
      </w:r>
      <w:bookmarkEnd w:id="56"/>
    </w:p>
    <w:p>
      <w:pPr>
        <w:pStyle w:val="2"/>
        <w:rPr>
          <w:rFonts w:ascii="仿宋" w:eastAsia="仿宋"/>
          <w:b w:val="0"/>
          <w:bCs w:val="0"/>
        </w:rPr>
      </w:pPr>
      <w:bookmarkStart w:id="57" w:name="_Toc15396621"/>
      <w:r>
        <w:rPr>
          <w:rStyle w:val="2Char"/>
          <w:rFonts w:ascii="仿宋" w:eastAsia="仿宋" w:hint="eastAsia"/>
          <w:b w:val="0"/>
          <w:bCs w:val="0"/>
        </w:rPr>
        <w:t>三、</w:t>
      </w:r>
      <w:r>
        <w:rPr>
          <w:rFonts w:ascii="仿宋" w:eastAsia="仿宋" w:hint="eastAsia"/>
          <w:b w:val="0"/>
          <w:bCs w:val="0"/>
        </w:rPr>
        <w:t>支</w:t>
      </w:r>
      <w:r>
        <w:rPr>
          <w:rStyle w:val="2Char"/>
          <w:rFonts w:ascii="仿宋" w:eastAsia="仿宋" w:hint="eastAsia"/>
          <w:b w:val="0"/>
          <w:bCs w:val="0"/>
        </w:rPr>
        <w:t>出决算表</w:t>
      </w:r>
      <w:bookmarkEnd w:id="57"/>
    </w:p>
    <w:p>
      <w:pPr>
        <w:pStyle w:val="2"/>
        <w:rPr>
          <w:rFonts w:ascii="仿宋" w:eastAsia="仿宋"/>
          <w:b w:val="0"/>
          <w:bCs w:val="0"/>
        </w:rPr>
      </w:pPr>
      <w:bookmarkStart w:id="58" w:name="_Toc15396622"/>
      <w:r>
        <w:rPr>
          <w:rStyle w:val="2Char"/>
          <w:rFonts w:ascii="仿宋" w:eastAsia="仿宋" w:hint="eastAsia"/>
          <w:b w:val="0"/>
          <w:bCs w:val="0"/>
        </w:rPr>
        <w:t>四、</w:t>
      </w:r>
      <w:r>
        <w:rPr>
          <w:rFonts w:ascii="仿宋" w:eastAsia="仿宋" w:hint="eastAsia"/>
          <w:b w:val="0"/>
          <w:bCs w:val="0"/>
        </w:rPr>
        <w:t>财</w:t>
      </w:r>
      <w:r>
        <w:rPr>
          <w:rStyle w:val="2Char"/>
          <w:rFonts w:ascii="仿宋" w:eastAsia="仿宋" w:hint="eastAsia"/>
          <w:b w:val="0"/>
          <w:bCs w:val="0"/>
        </w:rPr>
        <w:t>政拨款收入支出决算总表</w:t>
      </w:r>
      <w:bookmarkEnd w:id="58"/>
    </w:p>
    <w:p>
      <w:pPr>
        <w:pStyle w:val="2"/>
        <w:rPr>
          <w:rStyle w:val="2Char"/>
          <w:rFonts w:ascii="仿宋" w:eastAsia="仿宋"/>
          <w:b w:val="0"/>
          <w:bCs w:val="0"/>
        </w:rPr>
      </w:pPr>
      <w:bookmarkStart w:id="59" w:name="_Toc15396623"/>
      <w:r>
        <w:rPr>
          <w:rStyle w:val="2Char"/>
          <w:rFonts w:ascii="仿宋" w:eastAsia="仿宋" w:hint="eastAsia"/>
          <w:b w:val="0"/>
          <w:bCs w:val="0"/>
        </w:rPr>
        <w:t>五、</w:t>
      </w:r>
      <w:r>
        <w:rPr>
          <w:rFonts w:ascii="仿宋" w:eastAsia="仿宋" w:hint="eastAsia"/>
          <w:b w:val="0"/>
          <w:bCs w:val="0"/>
        </w:rPr>
        <w:t>财</w:t>
      </w:r>
      <w:r>
        <w:rPr>
          <w:rStyle w:val="2Char"/>
          <w:rFonts w:ascii="仿宋" w:eastAsia="仿宋" w:hint="eastAsia"/>
          <w:b w:val="0"/>
          <w:bCs w:val="0"/>
        </w:rPr>
        <w:t>政拨款支出决算明细表</w:t>
      </w:r>
      <w:bookmarkStart w:id="60" w:name="_Toc15396624"/>
      <w:bookmarkEnd w:id="59"/>
    </w:p>
    <w:p>
      <w:pPr>
        <w:pStyle w:val="2"/>
        <w:rPr>
          <w:rFonts w:ascii="仿宋" w:eastAsia="仿宋"/>
          <w:b w:val="0"/>
          <w:bCs w:val="0"/>
        </w:rPr>
      </w:pPr>
      <w:r>
        <w:rPr>
          <w:rStyle w:val="2Char"/>
          <w:rFonts w:ascii="仿宋" w:eastAsia="仿宋" w:hint="eastAsia"/>
          <w:b w:val="0"/>
          <w:bCs w:val="0"/>
        </w:rPr>
        <w:t>六、</w:t>
      </w:r>
      <w:r>
        <w:rPr>
          <w:rFonts w:ascii="仿宋" w:eastAsia="仿宋" w:hint="eastAsia"/>
          <w:b w:val="0"/>
          <w:bCs w:val="0"/>
        </w:rPr>
        <w:t>一</w:t>
      </w:r>
      <w:r>
        <w:rPr>
          <w:rStyle w:val="2Char"/>
          <w:rFonts w:ascii="仿宋" w:eastAsia="仿宋" w:hint="eastAsia"/>
          <w:b w:val="0"/>
          <w:bCs w:val="0"/>
        </w:rPr>
        <w:t>般公共预算财政拨款支出决算表</w:t>
      </w:r>
      <w:bookmarkEnd w:id="60"/>
    </w:p>
    <w:p>
      <w:pPr>
        <w:pStyle w:val="2"/>
        <w:rPr>
          <w:rFonts w:ascii="仿宋" w:eastAsia="仿宋"/>
          <w:b w:val="0"/>
          <w:bCs w:val="0"/>
        </w:rPr>
      </w:pPr>
      <w:bookmarkStart w:id="61" w:name="_Toc15396625"/>
      <w:r>
        <w:rPr>
          <w:rStyle w:val="2Char"/>
          <w:rFonts w:ascii="仿宋" w:eastAsia="仿宋" w:hint="eastAsia"/>
          <w:b w:val="0"/>
          <w:bCs w:val="0"/>
        </w:rPr>
        <w:t>七、</w:t>
      </w:r>
      <w:r>
        <w:rPr>
          <w:rFonts w:ascii="仿宋" w:eastAsia="仿宋" w:hint="eastAsia"/>
          <w:b w:val="0"/>
          <w:bCs w:val="0"/>
        </w:rPr>
        <w:t>一</w:t>
      </w:r>
      <w:r>
        <w:rPr>
          <w:rStyle w:val="2Char"/>
          <w:rFonts w:ascii="仿宋" w:eastAsia="仿宋" w:hint="eastAsia"/>
          <w:b w:val="0"/>
          <w:bCs w:val="0"/>
        </w:rPr>
        <w:t>般公共预算财政拨款支出决算明细表</w:t>
      </w:r>
      <w:bookmarkEnd w:id="61"/>
    </w:p>
    <w:p>
      <w:pPr>
        <w:pStyle w:val="2"/>
        <w:rPr>
          <w:rFonts w:ascii="仿宋" w:eastAsia="仿宋"/>
          <w:b w:val="0"/>
          <w:bCs w:val="0"/>
        </w:rPr>
      </w:pPr>
      <w:bookmarkStart w:id="62" w:name="_Toc15396626"/>
      <w:r>
        <w:rPr>
          <w:rStyle w:val="2Char"/>
          <w:rFonts w:ascii="仿宋" w:eastAsia="仿宋" w:hint="eastAsia"/>
          <w:b w:val="0"/>
          <w:bCs w:val="0"/>
        </w:rPr>
        <w:t>八、</w:t>
      </w:r>
      <w:r>
        <w:rPr>
          <w:rFonts w:ascii="仿宋" w:eastAsia="仿宋" w:hint="eastAsia"/>
          <w:b w:val="0"/>
          <w:bCs w:val="0"/>
        </w:rPr>
        <w:t>一</w:t>
      </w:r>
      <w:r>
        <w:rPr>
          <w:rStyle w:val="2Char"/>
          <w:rFonts w:ascii="仿宋" w:eastAsia="仿宋" w:hint="eastAsia"/>
          <w:b w:val="0"/>
          <w:bCs w:val="0"/>
        </w:rPr>
        <w:t>般公共预算财政拨款基本支出决算表</w:t>
      </w:r>
      <w:bookmarkEnd w:id="62"/>
    </w:p>
    <w:p>
      <w:pPr>
        <w:pStyle w:val="2"/>
        <w:rPr>
          <w:rFonts w:ascii="仿宋" w:eastAsia="仿宋"/>
          <w:b w:val="0"/>
          <w:bCs w:val="0"/>
        </w:rPr>
      </w:pPr>
      <w:bookmarkStart w:id="63" w:name="_Toc15396627"/>
      <w:r>
        <w:rPr>
          <w:rStyle w:val="2Char"/>
          <w:rFonts w:ascii="仿宋" w:eastAsia="仿宋" w:hint="eastAsia"/>
          <w:b w:val="0"/>
          <w:bCs w:val="0"/>
        </w:rPr>
        <w:t>九、</w:t>
      </w:r>
      <w:r>
        <w:rPr>
          <w:rFonts w:ascii="仿宋" w:eastAsia="仿宋" w:hint="eastAsia"/>
          <w:b w:val="0"/>
          <w:bCs w:val="0"/>
        </w:rPr>
        <w:t>一</w:t>
      </w:r>
      <w:r>
        <w:rPr>
          <w:rStyle w:val="2Char"/>
          <w:rFonts w:ascii="仿宋" w:eastAsia="仿宋" w:hint="eastAsia"/>
          <w:b w:val="0"/>
          <w:bCs w:val="0"/>
        </w:rPr>
        <w:t>般公共预算财政拨款项目支出决算表</w:t>
      </w:r>
      <w:bookmarkEnd w:id="63"/>
    </w:p>
    <w:p>
      <w:pPr>
        <w:pStyle w:val="2"/>
        <w:rPr>
          <w:rFonts w:ascii="仿宋" w:eastAsia="仿宋"/>
          <w:b w:val="0"/>
          <w:bCs w:val="0"/>
        </w:rPr>
      </w:pPr>
      <w:bookmarkStart w:id="64" w:name="_Toc15396628"/>
      <w:r>
        <w:rPr>
          <w:rStyle w:val="2Char"/>
          <w:rFonts w:ascii="仿宋" w:eastAsia="仿宋" w:hint="eastAsia"/>
          <w:b w:val="0"/>
          <w:bCs w:val="0"/>
        </w:rPr>
        <w:t>十、</w:t>
      </w:r>
      <w:r>
        <w:rPr>
          <w:rFonts w:ascii="仿宋" w:eastAsia="仿宋" w:hint="eastAsia"/>
          <w:b w:val="0"/>
          <w:bCs w:val="0"/>
        </w:rPr>
        <w:t>一</w:t>
      </w:r>
      <w:r>
        <w:rPr>
          <w:rStyle w:val="2Char"/>
          <w:rFonts w:ascii="仿宋" w:eastAsia="仿宋" w:hint="eastAsia"/>
          <w:b w:val="0"/>
          <w:bCs w:val="0"/>
        </w:rPr>
        <w:t>般公共预算财政拨款“三公”经费支出决算表</w:t>
      </w:r>
      <w:bookmarkEnd w:id="64"/>
    </w:p>
    <w:p>
      <w:pPr>
        <w:pStyle w:val="2"/>
        <w:rPr>
          <w:rFonts w:ascii="仿宋" w:eastAsia="仿宋"/>
          <w:b w:val="0"/>
          <w:bCs w:val="0"/>
        </w:rPr>
      </w:pPr>
      <w:bookmarkStart w:id="65" w:name="_Toc15396629"/>
      <w:r>
        <w:rPr>
          <w:rStyle w:val="2Char"/>
          <w:rFonts w:ascii="仿宋" w:eastAsia="仿宋" w:hint="eastAsia"/>
          <w:b w:val="0"/>
          <w:bCs w:val="0"/>
        </w:rPr>
        <w:t>十一、</w:t>
      </w:r>
      <w:r>
        <w:rPr>
          <w:rFonts w:ascii="仿宋" w:eastAsia="仿宋" w:hint="eastAsia"/>
          <w:b w:val="0"/>
          <w:bCs w:val="0"/>
        </w:rPr>
        <w:t>政</w:t>
      </w:r>
      <w:r>
        <w:rPr>
          <w:rStyle w:val="2Char"/>
          <w:rFonts w:ascii="仿宋" w:eastAsia="仿宋" w:hint="eastAsia"/>
          <w:b w:val="0"/>
          <w:bCs w:val="0"/>
        </w:rPr>
        <w:t>府性基金预算财政拨款收入支出决算表</w:t>
      </w:r>
      <w:bookmarkEnd w:id="65"/>
    </w:p>
    <w:p>
      <w:pPr>
        <w:pStyle w:val="2"/>
        <w:rPr>
          <w:rFonts w:ascii="仿宋" w:eastAsia="仿宋"/>
          <w:b w:val="0"/>
          <w:bCs w:val="0"/>
        </w:rPr>
      </w:pPr>
      <w:bookmarkStart w:id="66" w:name="_Toc15396630"/>
      <w:r>
        <w:rPr>
          <w:rStyle w:val="2Char"/>
          <w:rFonts w:ascii="仿宋" w:eastAsia="仿宋" w:hint="eastAsia"/>
          <w:b w:val="0"/>
          <w:bCs w:val="0"/>
        </w:rPr>
        <w:t>十二、</w:t>
      </w:r>
      <w:r>
        <w:rPr>
          <w:rFonts w:ascii="仿宋" w:eastAsia="仿宋" w:hint="eastAsia"/>
          <w:b w:val="0"/>
          <w:bCs w:val="0"/>
        </w:rPr>
        <w:t>政</w:t>
      </w:r>
      <w:r>
        <w:rPr>
          <w:rStyle w:val="2Char"/>
          <w:rFonts w:ascii="仿宋" w:eastAsia="仿宋" w:hint="eastAsia"/>
          <w:b w:val="0"/>
          <w:bCs w:val="0"/>
        </w:rPr>
        <w:t>府性基金预算财政拨款“三公”经费支出决算表</w:t>
      </w:r>
      <w:bookmarkEnd w:id="66"/>
    </w:p>
    <w:p>
      <w:pPr>
        <w:pStyle w:val="2"/>
        <w:rPr>
          <w:rStyle w:val="2Char"/>
          <w:rFonts w:ascii="仿宋" w:eastAsia="仿宋"/>
          <w:b w:val="0"/>
          <w:bCs w:val="0"/>
        </w:rPr>
      </w:pPr>
      <w:bookmarkStart w:id="67" w:name="_Toc15396631"/>
      <w:r>
        <w:rPr>
          <w:rStyle w:val="2Char"/>
          <w:rFonts w:ascii="仿宋" w:eastAsia="仿宋" w:hint="eastAsia"/>
          <w:b w:val="0"/>
          <w:bCs w:val="0"/>
        </w:rPr>
        <w:t>十三、</w:t>
      </w:r>
      <w:r>
        <w:rPr>
          <w:rFonts w:ascii="仿宋" w:eastAsia="仿宋" w:hint="eastAsia"/>
          <w:b w:val="0"/>
          <w:bCs w:val="0"/>
        </w:rPr>
        <w:t>国</w:t>
      </w:r>
      <w:r>
        <w:rPr>
          <w:rStyle w:val="2Char"/>
          <w:rFonts w:ascii="仿宋" w:eastAsia="仿宋" w:hint="eastAsia"/>
          <w:b w:val="0"/>
          <w:bCs w:val="0"/>
        </w:rPr>
        <w:t>有资本经营预算财政拨款收入支出决算表</w:t>
      </w:r>
      <w:bookmarkEnd w:id="67"/>
      <w:r>
        <w:rPr>
          <w:rStyle w:val="2Char"/>
          <w:rFonts w:ascii="仿宋" w:eastAsia="仿宋" w:hint="eastAsia"/>
          <w:b w:val="0"/>
          <w:bCs w:val="0"/>
        </w:rPr>
        <w:t>（此表无数据）</w:t>
      </w:r>
    </w:p>
    <w:p>
      <w:pPr>
        <w:rPr>
          <w:rFonts w:eastAsia="仿宋"/>
        </w:rPr>
      </w:pPr>
      <w:r>
        <w:rPr>
          <w:rStyle w:val="2Char"/>
          <w:rFonts w:ascii="仿宋" w:eastAsia="仿宋" w:hint="eastAsia"/>
          <w:b w:val="0"/>
          <w:bCs w:val="0"/>
        </w:rPr>
        <w:t>十四、国有资本经营预算财政拨款支出决算表（此表无数据）</w:t>
      </w:r>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ial Unicode MS"/>
    <w:panose1 w:val="00000000000000000000"/>
    <w:charset w:val="86"/>
    <w:family w:val="script"/>
    <w:pitch w:val="variable"/>
    <w:sig w:usb0="00000000"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方正仿宋_GBK-WinCharSetFFFF-H">
    <w:altName w:val="黑体"/>
    <w:panose1 w:val="00000000000000000000"/>
    <w:charset w:val="86"/>
    <w:family w:val="auto"/>
    <w:pitch w:val="variable"/>
    <w:sig w:usb0="00000001" w:usb1="080E0000" w:usb2="00000010" w:usb3="00000000" w:csb0="00040000" w:csb1="00000000"/>
  </w:font>
  <w:font w:name="方正楷体_GBK">
    <w:altName w:val="Arial Unicode MS"/>
    <w:panose1 w:val="00000000000000000000"/>
    <w:charset w:val="86"/>
    <w:family w:val="auto"/>
    <w:pitch w:val="variable"/>
    <w:sig w:usb0="00000000" w:usb1="0800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altName w:val="DejaVu Sans"/>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448108341"/>
    </w:sdtPr>
    <w:sdtContent>
      <w:p>
        <w:pPr>
          <w:pStyle w:val="18"/>
          <w:tabs>
            <w:tab w:val="center" w:pos="4153"/>
            <w:tab w:val="right" w:pos="8306"/>
          </w:tabs>
          <w:jc w:val="center"/>
        </w:pPr>
        <w:r>
          <w:fldChar w:fldCharType="begin"/>
        </w:r>
        <w:r>
          <w:instrText>PAGE   \* MERGEFORMAT</w:instrText>
        </w:r>
        <w:r>
          <w:fldChar w:fldCharType="separate"/>
        </w:r>
        <w:r>
          <w:rPr>
            <w:lang w:val="zh-CN"/>
          </w:rPr>
          <w:t>6</w:t>
        </w:r>
        <w:r>
          <w:fldChar w:fldCharType="end"/>
        </w:r>
      </w:p>
    </w:sdtContent>
  </w:sdt>
  <w:p>
    <w:pPr>
      <w:pStyle w:val="18"/>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2466409"/>
    <w:multiLevelType w:val="hybridMultilevel"/>
    <w:tmpl w:val="27AEB13A"/>
    <w:lvl w:ilvl="0">
      <w:start w:val="1"/>
      <w:numFmt w:val="japaneseCounting"/>
      <w:lvlRestart w:val="0"/>
      <w:lvlText w:val="%1、"/>
      <w:lvlJc w:val="left"/>
      <w:pPr>
        <w:tabs>
          <w:tab w:val="num" w:pos="0"/>
        </w:tabs>
        <w:ind w:left="660" w:hanging="6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1272550B"/>
    <w:multiLevelType w:val="multilevel"/>
    <w:tmpl w:val="1272550B"/>
    <w:lvl w:ilvl="0">
      <w:start w:val="1"/>
      <w:numFmt w:val="japaneseCounting"/>
      <w:lvlRestart w:val="0"/>
      <w:lvlText w:val="%1、"/>
      <w:lvlJc w:val="left"/>
      <w:pPr>
        <w:tabs>
          <w:tab w:val="num" w:pos="0"/>
        </w:tabs>
        <w:ind w:left="1360" w:hanging="720"/>
      </w:pPr>
      <w:rPr>
        <w:rFonts w:hint="default"/>
        <w:b w:val="0"/>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2">
    <w:nsid w:val="CF652CEC"/>
    <w:multiLevelType w:val="singleLevel"/>
    <w:tmpl w:val="CF652CEC"/>
    <w:lvl w:ilvl="0">
      <w:start w:val="9"/>
      <w:numFmt w:val="chineseCounting"/>
      <w:lvlRestart w:val="0"/>
      <w:suff w:val="nothing"/>
      <w:lvlText w:val="%1、"/>
      <w:lvlJc w:val="left"/>
      <w:pPr>
        <w:tabs>
          <w:tab w:val="num" w:pos="0"/>
        </w:tabs>
        <w:ind w:left="0" w:hanging="0"/>
      </w:pPr>
      <w:rPr>
        <w:rFonts w:hint="eastAsia"/>
      </w:rPr>
    </w:lvl>
  </w:abstractNum>
  <w:abstractNum w:abstractNumId="3">
    <w:nsid w:val="E2FA047D"/>
    <w:multiLevelType w:val="singleLevel"/>
    <w:tmpl w:val="E2FA047D"/>
    <w:lvl w:ilvl="0">
      <w:start w:val="3"/>
      <w:numFmt w:val="chineseCounting"/>
      <w:lvlRestart w:val="0"/>
      <w:suff w:val="space"/>
      <w:lvlText w:val="第%1部分"/>
      <w:lvlJc w:val="left"/>
      <w:pPr>
        <w:tabs>
          <w:tab w:val="num" w:pos="0"/>
        </w:tabs>
        <w:ind w:left="0" w:hanging="0"/>
      </w:pPr>
      <w:rPr>
        <w:rFonts w:ascii="黑体" w:hAnsi="黑体" w:eastAsia="黑体" w:cs="黑体" w:hint="eastAsia"/>
        <w:sz w:val="44"/>
        <w:szCs w:val="44"/>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30"/>
    </w:rPr>
  </w:style>
  <w:style w:type="paragraph" w:styleId="16">
    <w:name w:val="toc 3"/>
    <w:basedOn w:val="0"/>
    <w:next w:val="0"/>
    <w:pPr>
      <w:tabs>
        <w:tab w:val="right" w:leader="dot" w:pos="8296"/>
      </w:tabs>
      <w:ind w:leftChars="400" w:left="400"/>
    </w:p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rFonts w:ascii="Calibri" w:hAnsi="Calibri"/>
      <w:kern w:val="0"/>
      <w:sz w:val="18"/>
      <w:szCs w:val="18"/>
    </w:rPr>
  </w:style>
  <w:style w:type="paragraph" w:styleId="19">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0">
    <w:name w:val="toc 1"/>
    <w:basedOn w:val="0"/>
    <w:next w:val="0"/>
    <w:pPr>
      <w:tabs>
        <w:tab w:val="right" w:leader="dot" w:pos="8296"/>
      </w:tabs>
      <w:spacing w:before="93"/>
      <w:jc w:val="center"/>
    </w:pPr>
    <w:rPr>
      <w:rFonts w:ascii="仿宋" w:eastAsia="仿宋"/>
      <w:sz w:val="28"/>
      <w:szCs w:val="28"/>
    </w:rPr>
  </w:style>
  <w:style w:type="paragraph" w:styleId="21">
    <w:name w:val="toc 2"/>
    <w:basedOn w:val="0"/>
    <w:next w:val="0"/>
    <w:pPr>
      <w:tabs>
        <w:tab w:val="right" w:leader="dot" w:pos="8296"/>
      </w:tabs>
      <w:ind w:leftChars="200" w:left="200"/>
    </w:pPr>
  </w:style>
  <w:style w:type="character" w:styleId="22">
    <w:name w:val="Strong"/>
    <w:basedOn w:val="10"/>
    <w:rPr>
      <w:b/>
    </w:rPr>
  </w:style>
  <w:style w:type="character" w:styleId="23">
    <w:name w:val="Hyperlink"/>
    <w:basedOn w:val="10"/>
    <w:rPr>
      <w:color w:val="0000FF"/>
      <w:u w:val="single"/>
    </w:rPr>
  </w:style>
  <w:style w:type="character" w:customStyle="1" w:styleId="24">
    <w:name w:val="Header Char"/>
    <w:basedOn w:val="10"/>
    <w:rPr>
      <w:rFonts w:ascii="Times New Roman" w:hAnsi="Times New Roman"/>
      <w:sz w:val="18"/>
      <w:szCs w:val="18"/>
    </w:rPr>
  </w:style>
  <w:style w:type="character" w:customStyle="1" w:styleId="25">
    <w:name w:val="Footer Char"/>
    <w:basedOn w:val="10"/>
    <w:rPr>
      <w:rFonts w:ascii="Times New Roman" w:hAnsi="Times New Roman"/>
      <w:sz w:val="18"/>
      <w:szCs w:val="18"/>
    </w:rPr>
  </w:style>
  <w:style w:type="character" w:customStyle="1" w:styleId="26">
    <w:name w:val="Body Text Char"/>
    <w:basedOn w:val="10"/>
    <w:rPr>
      <w:rFonts w:ascii="Times New Roman" w:hAnsi="Times New Roman"/>
      <w:szCs w:val="24"/>
    </w:rPr>
  </w:style>
  <w:style w:type="paragraph" w:customStyle="1" w:styleId="27">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28">
    <w:name w:val="List Paragraph"/>
    <w:basedOn w:val="0"/>
    <w:pPr>
      <w:ind w:firstLineChars="200" w:firstLine="200"/>
    </w:pPr>
  </w:style>
  <w:style w:type="paragraph" w:customStyle="1" w:styleId="29">
    <w:name w:val="TOC 标题1"/>
    <w:basedOn w:val="1"/>
    <w:next w:val="0"/>
    <w:pPr>
      <w:keepNext/>
      <w:keepLines/>
      <w:widowControl/>
      <w:spacing w:before="480" w:after="0" w:line="276" w:lineRule="auto"/>
      <w:jc w:val="left"/>
      <w:outlineLvl w:val="9"/>
    </w:pPr>
    <w:rPr>
      <w:rFonts w:ascii="Cambria" w:eastAsia="宋体" w:cs="Times New Roman" w:hAnsi="Cambria"/>
      <w:color w:val="365F91"/>
      <w:kern w:val="0"/>
      <w:sz w:val="28"/>
      <w:szCs w:val="28"/>
    </w:rPr>
  </w:style>
  <w:style w:type="paragraph" w:customStyle="1" w:styleId="30">
    <w:name w:val="TOC 标题2"/>
    <w:basedOn w:val="1"/>
    <w:next w:val="0"/>
    <w:pPr>
      <w:keepNext/>
      <w:keepLines/>
      <w:widowControl/>
      <w:spacing w:before="480" w:after="0" w:line="276" w:lineRule="auto"/>
      <w:jc w:val="left"/>
      <w:outlineLvl w:val="9"/>
    </w:pPr>
    <w:rPr>
      <w:rFonts w:ascii="Cambria" w:eastAsia="宋体" w:cs="Times New Roman" w:hAnsi="Cambria"/>
      <w:color w:val="365F91"/>
      <w:kern w:val="0"/>
      <w:sz w:val="28"/>
      <w:szCs w:val="28"/>
    </w:rPr>
  </w:style>
  <w:style w:type="paragraph" w:styleId="31">
    <w:name w:val="Body Text Indent"/>
    <w:basedOn w:val="0"/>
    <w:pPr>
      <w:spacing w:after="120"/>
      <w:ind w:leftChars="200" w:left="200"/>
    </w:pPr>
  </w:style>
  <w:style w:type="paragraph" w:styleId="32">
    <w:name w:val="Body Text First Indent 2"/>
    <w:basedOn w:val="31"/>
    <w:pPr>
      <w:ind w:firstLineChars="200" w:firstLine="200"/>
    </w:pPr>
  </w:style>
  <w:style w:type="character" w:customStyle="1" w:styleId="33">
    <w:name w:val="NormalCharacte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a:t>收、支决算总计变动情况图</a:t>
            </a:r>
          </a:p>
        </c:rich>
      </c:tx>
      <c:layout/>
      <c:overlay val="0"/>
      <c:spPr>
        <a:ln>
          <a:noFill/>
        </a:ln>
      </c:spPr>
    </c:title>
    <c:autoTitleDeleted val="1"/>
    <c:plotArea>
      <c:layout>
        <c:manualLayout>
          <c:layoutTarget val="inner"/>
          <c:xMode val="edge"/>
          <c:yMode val="edge"/>
          <c:x val="0.11265507"/>
          <c:y val="0.20140055"/>
          <c:w val="0.6734991"/>
          <c:h val="0.6445447"/>
        </c:manualLayout>
      </c:layout>
      <c:barChart>
        <c:barDir val="col"/>
        <c:grouping val="stacked"/>
        <c:varyColors val="0"/>
        <c:ser>
          <c:idx val="0"/>
          <c:order val="0"/>
          <c:tx>
            <c:v>收、支决算总计变动情况图</c:v>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dLbl>
              <c:idx val="0"/>
              <c:layout>
                <c:manualLayout>
                  <c:x val="0.002777559"/>
                  <c:y val="-0.3148148"/>
                </c:manualLayout>
              </c:layout>
              <c:numFmt formatCode="General" sourceLinked="0"/>
              <c:txPr>
                <a:bodyPr vert="horz"/>
                <a:lstStyle/>
                <a:p>
                  <a:pPr>
                    <a:defRPr sz="1000" b="0" i="0" u="none" strike="noStrike" baseline="0">
                      <a:solidFill>
                        <a:srgbClr val="000000"/>
                      </a:solidFill>
                      <a:latin typeface="Times New Roman"/>
                      <a:ea typeface="宋体"/>
                      <a:cs typeface="Lucida Sans"/>
                    </a:defRPr>
                  </a:pPr>
                  <a:endParaRPr lang="zh-CN"/>
                </a:p>
              </c:txPr>
              <c:showLegendKey val="0"/>
              <c:showVal val="1"/>
              <c:showCatName val="0"/>
              <c:showSerName val="0"/>
              <c:showPercent val="0"/>
              <c:showBubbleSize val="0"/>
            </c:dLbl>
            <c:dLbl>
              <c:idx val="1"/>
              <c:layout>
                <c:manualLayout>
                  <c:x val="-2.1872266E-7"/>
                  <c:y val="-0.1388889"/>
                </c:manualLayout>
              </c:layout>
              <c:numFmt formatCode="General" sourceLinked="0"/>
              <c:txPr>
                <a:bodyPr vert="horz"/>
                <a:lstStyle/>
                <a:p>
                  <a:pPr>
                    <a:defRPr sz="1000" b="0" i="0" u="none" strike="noStrike" baseline="0">
                      <a:solidFill>
                        <a:srgbClr val="000000"/>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0"/>
          </c:dLbls>
          <c:cat>
            <c:strLit>
              <c:ptCount val="2"/>
              <c:pt idx="0">
                <c:v>2020年</c:v>
              </c:pt>
              <c:pt idx="1">
                <c:v>2021年</c:v>
              </c:pt>
            </c:strLit>
          </c:cat>
          <c:val>
            <c:numRef>
              <c:f/>
              <c:numCache>
                <c:formatCode>General</c:formatCode>
                <c:ptCount val="2"/>
                <c:pt idx="0">
                  <c:v>7004.41</c:v>
                </c:pt>
                <c:pt idx="1">
                  <c:v>2329.5</c:v>
                </c:pt>
              </c:numCache>
            </c:numRef>
          </c:val>
        </c:ser>
        <c:overlap val="100"/>
        <c:gapWidth val="150"/>
        <c:axId val="0"/>
        <c:axId val="1"/>
      </c:barChart>
      <c:catAx>
        <c:axId val="0"/>
        <c:scaling>
          <c:orientation val="minMax"/>
        </c:scaling>
        <c:delete val="0"/>
        <c:axPos val="b"/>
        <c:numFmt formatCode="General" sourceLinked="0"/>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At val="1.0"/>
        <c:crossBetween val="between"/>
        <c:crossAx val="0"/>
      </c:valAx>
      <c:spPr>
        <a:noFill/>
      </c:spPr>
    </c:plotArea>
    <c:legend>
      <c:legendPos val="r"/>
      <c:layout>
        <c:manualLayout>
          <c:xMode val="edge"/>
          <c:yMode val="edge"/>
          <c:x val="0.76948756"/>
          <c:y val="0.5051717"/>
          <c:w val="0.2138458"/>
          <c:h val="0.1396566"/>
        </c:manualLayout>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a:t>收入决算结构图</a:t>
            </a:r>
          </a:p>
        </c:rich>
      </c:tx>
      <c:layout/>
      <c:overlay val="0"/>
      <c:spPr>
        <a:ln>
          <a:noFill/>
        </a:ln>
      </c:spPr>
    </c:title>
    <c:autoTitleDeleted val="1"/>
    <c:plotArea>
      <c:layout/>
      <c:pieChart>
        <c:varyColors val="1"/>
        <c:ser>
          <c:idx val="0"/>
          <c:order val="0"/>
          <c:tx>
            <c:v>收入决算结构图</c:v>
          </c:tx>
          <c:spPr>
            <a:solidFill>
              <a:srgbClr val="4F81BD"/>
            </a:solidFill>
            <a:ln>
              <a:noFill/>
            </a:ln>
          </c:spPr>
          <c:explosion val="25"/>
          <c:dPt>
            <c:idx val="0"/>
            <c:bubble3D val="0"/>
            <c:spPr>
              <a:solidFill>
                <a:srgbClr val="4F81BD"/>
              </a:solidFill>
              <a:ln>
                <a:noFill/>
              </a:ln>
            </c:spPr>
          </c:dPt>
          <c:dPt>
            <c:idx val="1"/>
            <c:bubble3D val="0"/>
            <c:explosion val="0"/>
            <c:spPr>
              <a:solidFill>
                <a:srgbClr val="C0504D"/>
              </a:solidFill>
              <a:ln>
                <a:noFill/>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1"/>
            <c:showCatName val="0"/>
            <c:showSerName val="0"/>
            <c:showPercent val="0"/>
            <c:showBubbleSize val="0"/>
            <c:showLeaderLines val="1"/>
          </c:dLbls>
          <c:cat>
            <c:strLit>
              <c:ptCount val="2"/>
              <c:pt idx="0">
                <c:v>一般公共预算财政拨款收入</c:v>
              </c:pt>
              <c:pt idx="1">
                <c:v>政府性基金预算财政拨款收入</c:v>
              </c:pt>
            </c:strLit>
          </c:cat>
          <c:val>
            <c:numRef>
              <c:f/>
              <c:numCache>
                <c:formatCode>General</c:formatCode>
                <c:ptCount val="2"/>
                <c:pt idx="0">
                  <c:v>1534.03</c:v>
                </c:pt>
                <c:pt idx="1">
                  <c:v>745.4599999999995</c:v>
                </c:pt>
              </c:numCache>
            </c:numRef>
          </c:val>
        </c:ser>
        <c:firstSliceAng val="0"/>
      </c:pieChart>
      <c:spPr>
        <a:noFill/>
      </c:spPr>
    </c:plotArea>
    <c:legend>
      <c:legendPos val="r"/>
      <c:layout>
        <c:manualLayout>
          <c:xMode val="edge"/>
          <c:yMode val="edge"/>
          <c:x val="0.60249096"/>
          <c:y val="0.43534338"/>
          <c:w val="0.38160706"/>
          <c:h val="0.2793132"/>
        </c:manualLayout>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a:t>支出决算结构图</a:t>
            </a:r>
          </a:p>
        </c:rich>
      </c:tx>
      <c:layout/>
      <c:overlay val="0"/>
      <c:spPr>
        <a:ln>
          <a:noFill/>
        </a:ln>
      </c:spPr>
    </c:title>
    <c:autoTitleDeleted val="1"/>
    <c:plotArea>
      <c:layout/>
      <c:pieChart>
        <c:varyColors val="1"/>
        <c:ser>
          <c:idx val="0"/>
          <c:order val="0"/>
          <c:tx>
            <c:v>支出决算结构图</c:v>
          </c:tx>
          <c:spPr>
            <a:solidFill>
              <a:srgbClr val="4F81BD"/>
            </a:solidFill>
            <a:ln>
              <a:noFill/>
            </a:ln>
          </c:spPr>
          <c:explosion val="25"/>
          <c:dPt>
            <c:idx val="0"/>
            <c:bubble3D val="0"/>
            <c:spPr>
              <a:solidFill>
                <a:srgbClr val="4F81BD"/>
              </a:solidFill>
              <a:ln>
                <a:noFill/>
              </a:ln>
            </c:spPr>
          </c:dPt>
          <c:dPt>
            <c:idx val="1"/>
            <c:bubble3D val="0"/>
            <c:explosion val="0"/>
            <c:spPr>
              <a:solidFill>
                <a:srgbClr val="C0504D"/>
              </a:solidFill>
              <a:ln>
                <a:noFill/>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1"/>
            <c:showCatName val="0"/>
            <c:showSerName val="0"/>
            <c:showPercent val="0"/>
            <c:showBubbleSize val="0"/>
            <c:showLeaderLines val="1"/>
          </c:dLbls>
          <c:cat>
            <c:strLit>
              <c:ptCount val="2"/>
              <c:pt idx="0">
                <c:v>基本支出</c:v>
              </c:pt>
              <c:pt idx="1">
                <c:v>项目支出</c:v>
              </c:pt>
            </c:strLit>
          </c:cat>
          <c:val>
            <c:numRef>
              <c:f/>
              <c:numCache>
                <c:formatCode>General</c:formatCode>
                <c:ptCount val="2"/>
                <c:pt idx="0">
                  <c:v>715.1700000000005</c:v>
                </c:pt>
                <c:pt idx="1">
                  <c:v>217.2</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a:t>财政拨款收、支决算总计变动情况</a:t>
            </a:r>
          </a:p>
        </c:rich>
      </c:tx>
      <c:layout/>
      <c:overlay val="0"/>
      <c:spPr>
        <a:ln>
          <a:noFill/>
        </a:ln>
      </c:spPr>
    </c:title>
    <c:autoTitleDeleted val="1"/>
    <c:plotArea>
      <c:layout>
        <c:manualLayout>
          <c:layoutTarget val="inner"/>
          <c:xMode val="edge"/>
          <c:yMode val="edge"/>
          <c:x val="0.11265507"/>
          <c:y val="0.20140055"/>
          <c:w val="0.6040547"/>
          <c:h val="0.6445447"/>
        </c:manualLayout>
      </c:layout>
      <c:barChart>
        <c:barDir val="col"/>
        <c:grouping val="stacked"/>
        <c:varyColors val="0"/>
        <c:ser>
          <c:idx val="0"/>
          <c:order val="0"/>
          <c:tx>
            <c:v>财政拨款收、支决算总计变动情况</c:v>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dLbl>
              <c:idx val="0"/>
              <c:layout>
                <c:manualLayout>
                  <c:x val="-2.5462669E-17"/>
                  <c:y val="-0.31944445"/>
                </c:manualLayout>
              </c:layout>
              <c:numFmt formatCode="General" sourceLinked="0"/>
              <c:txPr>
                <a:bodyPr vert="horz"/>
                <a:lstStyle/>
                <a:p>
                  <a:pPr>
                    <a:defRPr sz="1000" b="0" i="0" u="none" strike="noStrike" baseline="0">
                      <a:solidFill>
                        <a:srgbClr val="000000"/>
                      </a:solidFill>
                      <a:latin typeface="Times New Roman"/>
                      <a:ea typeface="宋体"/>
                      <a:cs typeface="Lucida Sans"/>
                    </a:defRPr>
                  </a:pPr>
                  <a:endParaRPr lang="zh-CN"/>
                </a:p>
              </c:txPr>
              <c:showLegendKey val="0"/>
              <c:showVal val="1"/>
              <c:showCatName val="0"/>
              <c:showSerName val="0"/>
              <c:showPercent val="0"/>
              <c:showBubbleSize val="0"/>
            </c:dLbl>
            <c:dLbl>
              <c:idx val="1"/>
              <c:layout>
                <c:manualLayout>
                  <c:x val="0.0"/>
                  <c:y val="-0.13425925"/>
                </c:manualLayout>
              </c:layout>
              <c:numFmt formatCode="General" sourceLinked="0"/>
              <c:txPr>
                <a:bodyPr vert="horz"/>
                <a:lstStyle/>
                <a:p>
                  <a:pPr>
                    <a:defRPr sz="1000" b="0" i="0" u="none" strike="noStrike" baseline="0">
                      <a:solidFill>
                        <a:srgbClr val="000000"/>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0"/>
          </c:dLbls>
          <c:cat>
            <c:strLit>
              <c:ptCount val="2"/>
              <c:pt idx="0">
                <c:v>2020年</c:v>
              </c:pt>
              <c:pt idx="1">
                <c:v>2021年</c:v>
              </c:pt>
            </c:strLit>
          </c:cat>
          <c:val>
            <c:numRef>
              <c:f/>
              <c:numCache>
                <c:formatCode>General</c:formatCode>
                <c:ptCount val="2"/>
                <c:pt idx="0">
                  <c:v>7003.63</c:v>
                </c:pt>
                <c:pt idx="1">
                  <c:v>2329.5</c:v>
                </c:pt>
              </c:numCache>
            </c:numRef>
          </c:val>
        </c:ser>
        <c:overlap val="100"/>
        <c:gapWidth val="150"/>
        <c:axId val="0"/>
        <c:axId val="1"/>
      </c:barChart>
      <c:catAx>
        <c:axId val="0"/>
        <c:scaling>
          <c:orientation val="minMax"/>
        </c:scaling>
        <c:delete val="0"/>
        <c:axPos val="b"/>
        <c:numFmt formatCode="General" sourceLinked="0"/>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At val="1.0"/>
        <c:crossBetween val="between"/>
        <c:crossAx val="0"/>
      </c:valAx>
      <c:spPr>
        <a:noFill/>
      </c:spPr>
    </c:plotArea>
    <c:legend>
      <c:legendPos val="r"/>
      <c:layout>
        <c:manualLayout>
          <c:xMode val="edge"/>
          <c:yMode val="edge"/>
          <c:x val="0.71948755"/>
          <c:y val="0.5051717"/>
          <c:w val="0.2638458"/>
          <c:h val="0.1396566"/>
        </c:manualLayout>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Times New Roman"/>
                <a:ea typeface="宋体"/>
                <a:cs typeface="Lucida Sans"/>
              </a:defRPr>
            </a:pPr>
            <a:r>
              <a:rPr lang="zh-CN"/>
              <a:t>一般公共预算财政拨款支出决算变动情况</a:t>
            </a:r>
          </a:p>
        </c:rich>
      </c:tx>
      <c:layout>
        <c:manualLayout>
          <c:xMode val="edge"/>
          <c:yMode val="edge"/>
          <c:x val="0.13575025"/>
          <c:y val="0.027777778"/>
        </c:manualLayout>
      </c:layout>
      <c:overlay val="0"/>
      <c:spPr>
        <a:ln>
          <a:noFill/>
        </a:ln>
      </c:spPr>
    </c:title>
    <c:autoTitleDeleted val="1"/>
    <c:plotArea>
      <c:layout>
        <c:manualLayout>
          <c:layoutTarget val="inner"/>
          <c:xMode val="edge"/>
          <c:yMode val="edge"/>
          <c:x val="0.11265507"/>
          <c:y val="0.3097339"/>
          <c:w val="0.63119036"/>
          <c:h val="0.5362114"/>
        </c:manualLayout>
      </c:layout>
      <c:barChart>
        <c:barDir val="col"/>
        <c:grouping val="stacked"/>
        <c:varyColors val="0"/>
        <c:ser>
          <c:idx val="0"/>
          <c:order val="0"/>
          <c:tx>
            <c:v>一般公共预算财政拨款支出决算变动情况</c:v>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dLbl>
              <c:idx val="0"/>
              <c:layout>
                <c:manualLayout>
                  <c:x val="-2.5462669E-17"/>
                  <c:y val="-0.2777778"/>
                </c:manualLayout>
              </c:layout>
              <c:numFmt formatCode="General" sourceLinked="0"/>
              <c:txPr>
                <a:bodyPr vert="horz"/>
                <a:lstStyle/>
                <a:p>
                  <a:pPr>
                    <a:defRPr sz="1000" b="0" i="0" u="none" strike="noStrike" baseline="0">
                      <a:solidFill>
                        <a:srgbClr val="000000"/>
                      </a:solidFill>
                      <a:latin typeface="Times New Roman"/>
                      <a:ea typeface="宋体"/>
                      <a:cs typeface="Lucida Sans"/>
                    </a:defRPr>
                  </a:pPr>
                  <a:endParaRPr lang="zh-CN"/>
                </a:p>
              </c:txPr>
              <c:showLegendKey val="0"/>
              <c:showVal val="1"/>
              <c:showCatName val="0"/>
              <c:showSerName val="0"/>
              <c:showPercent val="0"/>
              <c:showBubbleSize val="0"/>
            </c:dLbl>
            <c:dLbl>
              <c:idx val="1"/>
              <c:layout>
                <c:manualLayout>
                  <c:x val="0.0"/>
                  <c:y val="-0.11111111"/>
                </c:manualLayout>
              </c:layout>
              <c:numFmt formatCode="General" sourceLinked="0"/>
              <c:txPr>
                <a:bodyPr vert="horz"/>
                <a:lstStyle/>
                <a:p>
                  <a:pPr>
                    <a:defRPr sz="1000" b="0" i="0" u="none" strike="noStrike" baseline="0">
                      <a:solidFill>
                        <a:srgbClr val="000000"/>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0"/>
          </c:dLbls>
          <c:cat>
            <c:strLit>
              <c:ptCount val="2"/>
              <c:pt idx="0">
                <c:v>2020年</c:v>
              </c:pt>
              <c:pt idx="1">
                <c:v>2021年</c:v>
              </c:pt>
            </c:strLit>
          </c:cat>
          <c:val>
            <c:numRef>
              <c:f/>
              <c:numCache>
                <c:formatCode>General</c:formatCode>
                <c:ptCount val="2"/>
                <c:pt idx="0">
                  <c:v>6877.48</c:v>
                </c:pt>
                <c:pt idx="1">
                  <c:v>1584.03</c:v>
                </c:pt>
              </c:numCache>
            </c:numRef>
          </c:val>
        </c:ser>
        <c:overlap val="100"/>
        <c:gapWidth val="150"/>
        <c:axId val="0"/>
        <c:axId val="1"/>
      </c:barChart>
      <c:catAx>
        <c:axId val="0"/>
        <c:scaling>
          <c:orientation val="minMax"/>
        </c:scaling>
        <c:delete val="0"/>
        <c:axPos val="b"/>
        <c:numFmt formatCode="General" sourceLinked="0"/>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At val="1.0"/>
        <c:crossBetween val="between"/>
        <c:crossAx val="0"/>
      </c:valAx>
      <c:spPr>
        <a:noFill/>
      </c:spPr>
    </c:plotArea>
    <c:legend>
      <c:legendPos val="r"/>
      <c:layout>
        <c:manualLayout>
          <c:xMode val="edge"/>
          <c:yMode val="edge"/>
          <c:x val="0.74136657"/>
          <c:y val="0.5593384"/>
          <c:w val="0.25677416"/>
          <c:h val="0.1396566"/>
        </c:manualLayout>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a:t>一般公共预算财政拨款支出决算结构</a:t>
            </a:r>
          </a:p>
        </c:rich>
      </c:tx>
      <c:layout/>
      <c:overlay val="0"/>
      <c:spPr>
        <a:ln>
          <a:noFill/>
        </a:ln>
      </c:spPr>
    </c:title>
    <c:autoTitleDeleted val="1"/>
    <c:plotArea>
      <c:layout/>
      <c:pieChart>
        <c:varyColors val="1"/>
        <c:ser>
          <c:idx val="0"/>
          <c:order val="0"/>
          <c:tx>
            <c:v>一般公共预算财政拨款支出决算结构</c:v>
          </c:tx>
          <c:spPr>
            <a:solidFill>
              <a:srgbClr val="4F81BD"/>
            </a:solidFill>
            <a:ln>
              <a:noFill/>
            </a:ln>
          </c:spPr>
          <c:explosion val="25"/>
          <c:dPt>
            <c:idx val="0"/>
            <c:bubble3D val="0"/>
            <c:spPr>
              <a:solidFill>
                <a:srgbClr val="4F81BD"/>
              </a:solidFill>
              <a:ln>
                <a:noFill/>
              </a:ln>
            </c:spPr>
          </c:dPt>
          <c:dPt>
            <c:idx val="1"/>
            <c:bubble3D val="0"/>
            <c:explosion val="12"/>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1"/>
            <c:showCatName val="0"/>
            <c:showSerName val="0"/>
            <c:showPercent val="0"/>
            <c:showBubbleSize val="0"/>
            <c:showLeaderLines val="1"/>
          </c:dLbls>
          <c:cat>
            <c:strLit>
              <c:ptCount val="5"/>
              <c:pt idx="0">
                <c:v>一般公共服务支出</c:v>
              </c:pt>
              <c:pt idx="1">
                <c:v>社会保障和就业支出</c:v>
              </c:pt>
              <c:pt idx="2">
                <c:v>城乡社区支出</c:v>
              </c:pt>
              <c:pt idx="3">
                <c:v>住房保障支出</c:v>
              </c:pt>
              <c:pt idx="4">
                <c:v>其他支出</c:v>
              </c:pt>
            </c:strLit>
          </c:cat>
          <c:val>
            <c:numRef>
              <c:f/>
              <c:numCache>
                <c:formatCode>General</c:formatCode>
                <c:ptCount val="5"/>
                <c:pt idx="0">
                  <c:v>26.77</c:v>
                </c:pt>
                <c:pt idx="1">
                  <c:v>468.09</c:v>
                </c:pt>
                <c:pt idx="2">
                  <c:v>966.849999999998</c:v>
                </c:pt>
                <c:pt idx="3">
                  <c:v>72.33</c:v>
                </c:pt>
                <c:pt idx="4">
                  <c:v>50.0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a:t>“三公”经费财政拨款支出结构</a:t>
            </a:r>
          </a:p>
        </c:rich>
      </c:tx>
      <c:layout/>
      <c:overlay val="0"/>
      <c:spPr>
        <a:ln>
          <a:noFill/>
        </a:ln>
      </c:spPr>
    </c:title>
    <c:autoTitleDeleted val="1"/>
    <c:plotArea>
      <c:layout/>
      <c:pieChart>
        <c:varyColors val="1"/>
        <c:ser>
          <c:idx val="0"/>
          <c:order val="0"/>
          <c:tx>
            <c:v>“三公”经费财政拨款支出结构</c:v>
          </c:tx>
          <c:spPr>
            <a:solidFill>
              <a:srgbClr val="4F81BD"/>
            </a:solidFill>
            <a:ln>
              <a:noFill/>
            </a:ln>
          </c:spPr>
          <c:explosion val="25"/>
          <c:dPt>
            <c:idx val="0"/>
            <c:bubble3D val="0"/>
            <c:spPr>
              <a:solidFill>
                <a:srgbClr val="4F81BD"/>
              </a:solidFill>
              <a:ln>
                <a:noFill/>
              </a:ln>
            </c:spPr>
          </c:dPt>
          <c:dPt>
            <c:idx val="1"/>
            <c:bubble3D val="0"/>
            <c:explosion val="5"/>
            <c:spPr>
              <a:solidFill>
                <a:srgbClr val="C0504D"/>
              </a:solidFill>
              <a:ln>
                <a:noFill/>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0%" sourceLinked="0"/>
            <c:dLbl>
              <c:idx val="1"/>
              <c:layout>
                <c:manualLayout>
                  <c:x val="0.093560696"/>
                  <c:y val="0.118100755"/>
                </c:manualLayout>
              </c:layout>
              <c:numFmt formatCode="0%" sourceLinked="0"/>
              <c:txPr>
                <a:bodyPr vert="horz"/>
                <a:lstStyle/>
                <a:p>
                  <a:pPr>
                    <a:defRPr sz="1000" b="0" i="0" u="none" strike="noStrike" baseline="0">
                      <a:solidFill>
                        <a:srgbClr val="000000"/>
                      </a:solidFill>
                      <a:latin typeface="Times New Roman"/>
                      <a:ea typeface="宋体"/>
                      <a:cs typeface="Lucida Sans"/>
                    </a:defRPr>
                  </a:pPr>
                  <a:endParaRPr lang="zh-CN"/>
                </a:p>
              </c:txPr>
              <c:showLegendKey val="0"/>
              <c:showVal val="0"/>
              <c:showCatName val="1"/>
              <c:showSerName val="0"/>
              <c:showPercent val="1"/>
              <c:showBubbleSize val="0"/>
            </c:dLbl>
            <c:showLegendKey val="0"/>
            <c:showVal val="0"/>
            <c:showCatName val="1"/>
            <c:showSerName val="0"/>
            <c:showPercent val="1"/>
            <c:showBubbleSize val="0"/>
            <c:showLeaderLines val="1"/>
          </c:dLbls>
          <c:cat>
            <c:strLit>
              <c:ptCount val="2"/>
              <c:pt idx="0">
                <c:v>公务用车运行维护费</c:v>
              </c:pt>
              <c:pt idx="1">
                <c:v>公务接待费</c:v>
              </c:pt>
            </c:strLit>
          </c:cat>
          <c:val>
            <c:numRef>
              <c:f/>
              <c:numCache>
                <c:formatCode>General</c:formatCode>
                <c:ptCount val="2"/>
                <c:pt idx="0">
                  <c:v>5.37</c:v>
                </c:pt>
                <c:pt idx="1">
                  <c:v>1.52</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3173</TotalTime>
  <Application>Yozo_Office27021597764231179</Application>
  <Pages>29</Pages>
  <Words>10586</Words>
  <Characters>13454</Characters>
  <Lines>985</Lines>
  <Paragraphs>496</Paragraphs>
  <CharactersWithSpaces>13543</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58</cp:revision>
  <cp:lastPrinted>2022-08-06T02:23:00Z</cp:lastPrinted>
  <dcterms:created xsi:type="dcterms:W3CDTF">2020-08-05T01:49:00Z</dcterms:created>
  <dcterms:modified xsi:type="dcterms:W3CDTF">2026-01-19T03:12:50Z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2052-11.8.2.8361</vt:lpwstr>
  </property>
</Properties>
</file>