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bookmarkStart w:id="0" w:name="_Toc15377193"/>
      <w:bookmarkStart w:id="1" w:name="_Toc15396597"/>
      <w:bookmarkStart w:id="2" w:name="_Toc15396475"/>
      <w:bookmarkStart w:id="3" w:name="_Toc15377425"/>
      <w:bookmarkStart w:id="4" w:name="_Toc15378441"/>
      <w:bookmarkStart w:id="5" w:name="_Toc15306267"/>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7194"/>
      <w:bookmarkStart w:id="7" w:name="_Toc15377426"/>
      <w:bookmarkStart w:id="8" w:name="_Toc15396476"/>
      <w:bookmarkStart w:id="9" w:name="_Toc15396598"/>
      <w:bookmarkStart w:id="10" w:name="_Toc15378442"/>
      <w:r>
        <w:rPr>
          <w:rFonts w:hint="eastAsia" w:ascii="Times New Roman" w:hAnsi="Times New Roman" w:eastAsia="方正小标宋简体" w:cs="Times New Roman"/>
          <w:color w:val="auto"/>
          <w:kern w:val="2"/>
          <w:sz w:val="44"/>
          <w:szCs w:val="44"/>
          <w:highlight w:val="none"/>
          <w:lang w:val="en-US" w:eastAsia="zh-CN" w:bidi="ar-SA"/>
        </w:rPr>
        <w:t>2024年度</w:t>
      </w:r>
    </w:p>
    <w:p>
      <w:pPr>
        <w:pStyle w:val="8"/>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攀枝花市住房和城乡建设局</w:t>
      </w: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部门决算</w:t>
      </w:r>
      <w:bookmarkEnd w:id="6"/>
      <w:bookmarkEnd w:id="7"/>
      <w:bookmarkEnd w:id="8"/>
      <w:bookmarkEnd w:id="9"/>
      <w:bookmarkEnd w:id="10"/>
      <w:bookmarkEnd w:id="11"/>
    </w:p>
    <w:p>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4"/>
        <w:rPr>
          <w:rFonts w:ascii="Times New Roman" w:hAnsi="Times New Roman"/>
          <w:color w:val="auto"/>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17 </w:t>
      </w:r>
      <w:r>
        <w:rPr>
          <w:rFonts w:hint="eastAsia" w:ascii="Times New Roman" w:hAnsi="Times New Roman"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215037218"/>
        <w:docPartObj>
          <w:docPartGallery w:val="Table of Contents"/>
          <w:docPartUnique/>
        </w:docPartObj>
      </w:sdtPr>
      <w:sdtEndPr>
        <w:rPr>
          <w:rFonts w:ascii="宋体" w:hAnsi="宋体"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12" w:name="_Toc1454715548_WPSOffice_Type2"/>
        </w:p>
        <w:p>
          <w:pPr>
            <w:pStyle w:val="3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sz w:val="32"/>
              <w:szCs w:val="32"/>
            </w:rPr>
            <w:instrText xml:space="preserve"> HYPERLINK \l _Toc118000229_WPSOffice_Level1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dcdac86a-0acc-4c8c-a403-55e728598543}"/>
              </w:placeholder>
            </w:sdtPr>
            <w:sdtEndPr>
              <w:rPr>
                <w:rFonts w:hint="eastAsia" w:ascii="黑体" w:hAnsi="黑体" w:eastAsia="黑体" w:cs="黑体"/>
                <w:b w:val="0"/>
                <w:bCs w:val="0"/>
                <w:kern w:val="44"/>
                <w:sz w:val="32"/>
                <w:szCs w:val="32"/>
                <w:lang w:val="en-US" w:eastAsia="zh-CN" w:bidi="ar-SA"/>
              </w:rPr>
            </w:sdtEndPr>
            <w:sdtContent>
              <w:r>
                <w:rPr>
                  <w:rFonts w:hint="eastAsia" w:ascii="黑体" w:hAnsi="黑体" w:eastAsia="黑体" w:cs="黑体"/>
                  <w:b w:val="0"/>
                  <w:bCs w:val="0"/>
                  <w:sz w:val="32"/>
                  <w:szCs w:val="32"/>
                </w:rPr>
                <w:t>第一部分  部门概况</w:t>
              </w:r>
            </w:sdtContent>
          </w:sdt>
          <w:r>
            <w:rPr>
              <w:rFonts w:hint="eastAsia" w:ascii="黑体" w:hAnsi="黑体" w:eastAsia="黑体" w:cs="黑体"/>
              <w:b w:val="0"/>
              <w:bCs w:val="0"/>
              <w:sz w:val="32"/>
              <w:szCs w:val="32"/>
            </w:rPr>
            <w:tab/>
          </w:r>
          <w:bookmarkStart w:id="13" w:name="_Toc118000229_WPSOffice_Level1Page"/>
          <w:r>
            <w:rPr>
              <w:rFonts w:hint="eastAsia" w:ascii="黑体" w:hAnsi="黑体" w:eastAsia="黑体" w:cs="黑体"/>
              <w:b w:val="0"/>
              <w:bCs w:val="0"/>
              <w:sz w:val="32"/>
              <w:szCs w:val="32"/>
            </w:rPr>
            <w:t>1</w:t>
          </w:r>
          <w:bookmarkEnd w:id="13"/>
          <w:r>
            <w:rPr>
              <w:rFonts w:hint="eastAsia" w:ascii="仿宋_GB2312" w:hAnsi="仿宋_GB2312" w:eastAsia="仿宋_GB2312" w:cs="仿宋_GB2312"/>
              <w:b/>
              <w:bCs/>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_Toc1454715548_WPSOffice_Level2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26ff176a-2638-4204-8c16-13d586417d70}"/>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一、 部门职责</w:t>
              </w:r>
            </w:sdtContent>
          </w:sdt>
          <w:r>
            <w:rPr>
              <w:rFonts w:hint="eastAsia" w:ascii="仿宋_GB2312" w:hAnsi="仿宋_GB2312" w:eastAsia="仿宋_GB2312" w:cs="仿宋_GB2312"/>
              <w:sz w:val="32"/>
              <w:szCs w:val="32"/>
            </w:rPr>
            <w:tab/>
          </w:r>
          <w:bookmarkStart w:id="14" w:name="_Toc1454715548_WPSOffice_Level2Page"/>
          <w:r>
            <w:rPr>
              <w:rFonts w:hint="eastAsia" w:ascii="仿宋_GB2312" w:hAnsi="仿宋_GB2312" w:eastAsia="仿宋_GB2312" w:cs="仿宋_GB2312"/>
              <w:sz w:val="32"/>
              <w:szCs w:val="32"/>
            </w:rPr>
            <w:t>1</w:t>
          </w:r>
          <w:bookmarkEnd w:id="14"/>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_Toc512533620_WPSOffice_Level2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7d7116b3-3c56-4823-a092-b1c7d546ba4b}"/>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二、机构设置</w:t>
              </w:r>
            </w:sdtContent>
          </w:sdt>
          <w:r>
            <w:rPr>
              <w:rFonts w:hint="eastAsia" w:ascii="仿宋_GB2312" w:hAnsi="仿宋_GB2312" w:eastAsia="仿宋_GB2312" w:cs="仿宋_GB2312"/>
              <w:sz w:val="32"/>
              <w:szCs w:val="32"/>
            </w:rPr>
            <w:tab/>
          </w:r>
          <w:bookmarkStart w:id="15" w:name="_Toc512533620_WPSOffice_Level2Page"/>
          <w:r>
            <w:rPr>
              <w:rFonts w:hint="eastAsia" w:ascii="仿宋_GB2312" w:hAnsi="仿宋_GB2312" w:eastAsia="仿宋_GB2312" w:cs="仿宋_GB2312"/>
              <w:sz w:val="32"/>
              <w:szCs w:val="32"/>
            </w:rPr>
            <w:t>3</w:t>
          </w:r>
          <w:bookmarkEnd w:id="15"/>
          <w:r>
            <w:rPr>
              <w:rFonts w:hint="eastAsia" w:ascii="仿宋_GB2312" w:hAnsi="仿宋_GB2312" w:eastAsia="仿宋_GB2312" w:cs="仿宋_GB2312"/>
              <w:sz w:val="32"/>
              <w:szCs w:val="32"/>
            </w:rPr>
            <w:fldChar w:fldCharType="end"/>
          </w:r>
        </w:p>
        <w:p>
          <w:pPr>
            <w:pStyle w:val="3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sz w:val="32"/>
              <w:szCs w:val="32"/>
            </w:rPr>
            <w:instrText xml:space="preserve"> HYPERLINK \l _Toc1454715548_WPSOffice_Level1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08862dcc-7d9b-4db5-860b-567cba8ea1e5}"/>
              </w:placeholder>
            </w:sdtPr>
            <w:sdtEndPr>
              <w:rPr>
                <w:rFonts w:hint="eastAsia" w:ascii="黑体" w:hAnsi="黑体" w:eastAsia="黑体" w:cs="黑体"/>
                <w:b w:val="0"/>
                <w:bCs w:val="0"/>
                <w:kern w:val="44"/>
                <w:sz w:val="32"/>
                <w:szCs w:val="32"/>
                <w:lang w:val="en-US" w:eastAsia="zh-CN" w:bidi="ar-SA"/>
              </w:rPr>
            </w:sdtEndPr>
            <w:sdtContent>
              <w:r>
                <w:rPr>
                  <w:rFonts w:hint="eastAsia" w:ascii="黑体" w:hAnsi="黑体" w:eastAsia="黑体" w:cs="黑体"/>
                  <w:b w:val="0"/>
                  <w:bCs w:val="0"/>
                  <w:sz w:val="32"/>
                  <w:szCs w:val="32"/>
                </w:rPr>
                <w:t>第二部分  2024年度部门决算情况说明</w:t>
              </w:r>
            </w:sdtContent>
          </w:sdt>
          <w:r>
            <w:rPr>
              <w:rFonts w:hint="eastAsia" w:ascii="黑体" w:hAnsi="黑体" w:eastAsia="黑体" w:cs="黑体"/>
              <w:b w:val="0"/>
              <w:bCs w:val="0"/>
              <w:sz w:val="32"/>
              <w:szCs w:val="32"/>
            </w:rPr>
            <w:tab/>
          </w:r>
          <w:bookmarkStart w:id="16" w:name="_Toc1454715548_WPSOffice_Level1Page"/>
          <w:r>
            <w:rPr>
              <w:rFonts w:hint="eastAsia" w:ascii="黑体" w:hAnsi="黑体" w:eastAsia="黑体" w:cs="黑体"/>
              <w:b w:val="0"/>
              <w:bCs w:val="0"/>
              <w:sz w:val="32"/>
              <w:szCs w:val="32"/>
            </w:rPr>
            <w:t>5</w:t>
          </w:r>
          <w:bookmarkEnd w:id="16"/>
          <w:r>
            <w:rPr>
              <w:rFonts w:hint="eastAsia" w:ascii="仿宋_GB2312" w:hAnsi="仿宋_GB2312" w:eastAsia="仿宋_GB2312" w:cs="仿宋_GB2312"/>
              <w:b/>
              <w:bCs/>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_Toc198175476_WPSOffice_Level2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114832f3-215e-4fb8-a7a0-41bd4d2bec30}"/>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一、收入支出决算总体情况说明</w:t>
              </w:r>
            </w:sdtContent>
          </w:sdt>
          <w:r>
            <w:rPr>
              <w:rFonts w:hint="eastAsia" w:ascii="仿宋_GB2312" w:hAnsi="仿宋_GB2312" w:eastAsia="仿宋_GB2312" w:cs="仿宋_GB2312"/>
              <w:sz w:val="32"/>
              <w:szCs w:val="32"/>
            </w:rPr>
            <w:tab/>
          </w:r>
          <w:bookmarkStart w:id="17" w:name="_Toc198175476_WPSOffice_Level2Page"/>
          <w:r>
            <w:rPr>
              <w:rFonts w:hint="eastAsia" w:ascii="仿宋_GB2312" w:hAnsi="仿宋_GB2312" w:eastAsia="仿宋_GB2312" w:cs="仿宋_GB2312"/>
              <w:sz w:val="32"/>
              <w:szCs w:val="32"/>
            </w:rPr>
            <w:t>5</w:t>
          </w:r>
          <w:bookmarkEnd w:id="17"/>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_Toc895583686_WPSOffice_Level2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59d440bc-15db-48ee-afbd-32840bab68cc}"/>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二、收入决算情况说明</w:t>
              </w:r>
            </w:sdtContent>
          </w:sdt>
          <w:r>
            <w:rPr>
              <w:rFonts w:hint="eastAsia" w:ascii="仿宋_GB2312" w:hAnsi="仿宋_GB2312" w:eastAsia="仿宋_GB2312" w:cs="仿宋_GB2312"/>
              <w:sz w:val="32"/>
              <w:szCs w:val="32"/>
            </w:rPr>
            <w:tab/>
          </w:r>
          <w:bookmarkStart w:id="18" w:name="_Toc895583686_WPSOffice_Level2Page"/>
          <w:r>
            <w:rPr>
              <w:rFonts w:hint="eastAsia" w:ascii="仿宋_GB2312" w:hAnsi="仿宋_GB2312" w:eastAsia="仿宋_GB2312" w:cs="仿宋_GB2312"/>
              <w:sz w:val="32"/>
              <w:szCs w:val="32"/>
            </w:rPr>
            <w:t>5</w:t>
          </w:r>
          <w:bookmarkEnd w:id="18"/>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_Toc2036990912_WPSOffice_Level2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d049ff8c-c9cf-40a5-b701-8b9ab507cc9e}"/>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三、支出决算情况说明</w:t>
              </w:r>
            </w:sdtContent>
          </w:sdt>
          <w:r>
            <w:rPr>
              <w:rFonts w:hint="eastAsia" w:ascii="仿宋_GB2312" w:hAnsi="仿宋_GB2312" w:eastAsia="仿宋_GB2312" w:cs="仿宋_GB2312"/>
              <w:sz w:val="32"/>
              <w:szCs w:val="32"/>
            </w:rPr>
            <w:tab/>
          </w:r>
          <w:bookmarkStart w:id="19" w:name="_Toc2036990912_WPSOffice_Level2Page"/>
          <w:r>
            <w:rPr>
              <w:rFonts w:hint="eastAsia" w:ascii="仿宋_GB2312" w:hAnsi="仿宋_GB2312" w:eastAsia="仿宋_GB2312" w:cs="仿宋_GB2312"/>
              <w:sz w:val="32"/>
              <w:szCs w:val="32"/>
            </w:rPr>
            <w:t>6</w:t>
          </w:r>
          <w:bookmarkEnd w:id="19"/>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_Toc240315044_WPSOffice_Level2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7eebce5d-9da3-4e38-b577-6ced869c1ade}"/>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四、财政拨款收入支出决算总体情况说明</w:t>
              </w:r>
            </w:sdtContent>
          </w:sdt>
          <w:r>
            <w:rPr>
              <w:rFonts w:hint="eastAsia" w:ascii="仿宋_GB2312" w:hAnsi="仿宋_GB2312" w:eastAsia="仿宋_GB2312" w:cs="仿宋_GB2312"/>
              <w:sz w:val="32"/>
              <w:szCs w:val="32"/>
            </w:rPr>
            <w:tab/>
          </w:r>
          <w:bookmarkStart w:id="20" w:name="_Toc240315044_WPSOffice_Level2Page"/>
          <w:r>
            <w:rPr>
              <w:rFonts w:hint="eastAsia" w:ascii="仿宋_GB2312" w:hAnsi="仿宋_GB2312" w:eastAsia="仿宋_GB2312" w:cs="仿宋_GB2312"/>
              <w:sz w:val="32"/>
              <w:szCs w:val="32"/>
            </w:rPr>
            <w:t>7</w:t>
          </w:r>
          <w:bookmarkEnd w:id="20"/>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_Toc1119188202_WPSOffice_Level2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c32a50ed-99a6-4283-bedd-241ada10a07a}"/>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五、一般公共预算财政拨款支出决算情况说明</w:t>
              </w:r>
            </w:sdtContent>
          </w:sdt>
          <w:r>
            <w:rPr>
              <w:rFonts w:hint="eastAsia" w:ascii="仿宋_GB2312" w:hAnsi="仿宋_GB2312" w:eastAsia="仿宋_GB2312" w:cs="仿宋_GB2312"/>
              <w:sz w:val="32"/>
              <w:szCs w:val="32"/>
            </w:rPr>
            <w:tab/>
          </w:r>
          <w:bookmarkStart w:id="21" w:name="_Toc1119188202_WPSOffice_Level2Page"/>
          <w:r>
            <w:rPr>
              <w:rFonts w:hint="eastAsia" w:ascii="仿宋_GB2312" w:hAnsi="仿宋_GB2312" w:eastAsia="仿宋_GB2312" w:cs="仿宋_GB2312"/>
              <w:sz w:val="32"/>
              <w:szCs w:val="32"/>
            </w:rPr>
            <w:t>7</w:t>
          </w:r>
          <w:bookmarkEnd w:id="21"/>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_Toc999994828_WPSOffice_Level2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e9443553-dbb9-44c2-9b0a-79e3f1077352}"/>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六、一般公共预算财政拨款基本支出决算情况说明</w:t>
              </w:r>
            </w:sdtContent>
          </w:sdt>
          <w:r>
            <w:rPr>
              <w:rFonts w:hint="eastAsia" w:ascii="仿宋_GB2312" w:hAnsi="仿宋_GB2312" w:eastAsia="仿宋_GB2312" w:cs="仿宋_GB2312"/>
              <w:sz w:val="32"/>
              <w:szCs w:val="32"/>
            </w:rPr>
            <w:tab/>
          </w:r>
          <w:bookmarkStart w:id="22" w:name="_Toc999994828_WPSOffice_Level2Page"/>
          <w:r>
            <w:rPr>
              <w:rFonts w:hint="eastAsia" w:ascii="仿宋_GB2312" w:hAnsi="仿宋_GB2312" w:eastAsia="仿宋_GB2312" w:cs="仿宋_GB2312"/>
              <w:sz w:val="32"/>
              <w:szCs w:val="32"/>
            </w:rPr>
            <w:t>11</w:t>
          </w:r>
          <w:bookmarkEnd w:id="22"/>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_Toc1716834477_WPSOffice_Level2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8cd46d97-9498-426a-897d-1c51f9ea0a4a}"/>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七、财政拨款“三公”经费支出决算情况说明</w:t>
              </w:r>
            </w:sdtContent>
          </w:sdt>
          <w:r>
            <w:rPr>
              <w:rFonts w:hint="eastAsia" w:ascii="仿宋_GB2312" w:hAnsi="仿宋_GB2312" w:eastAsia="仿宋_GB2312" w:cs="仿宋_GB2312"/>
              <w:sz w:val="32"/>
              <w:szCs w:val="32"/>
            </w:rPr>
            <w:tab/>
          </w:r>
          <w:bookmarkStart w:id="23" w:name="_Toc1716834477_WPSOffice_Level2Page"/>
          <w:r>
            <w:rPr>
              <w:rFonts w:hint="eastAsia" w:ascii="仿宋_GB2312" w:hAnsi="仿宋_GB2312" w:eastAsia="仿宋_GB2312" w:cs="仿宋_GB2312"/>
              <w:sz w:val="32"/>
              <w:szCs w:val="32"/>
            </w:rPr>
            <w:t>12</w:t>
          </w:r>
          <w:bookmarkEnd w:id="23"/>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_Toc779095112_WPSOffice_Level2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5d7f47e3-1ab0-4976-85a7-d53758713202}"/>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八、政府性基金预算支出决算情况说明</w:t>
              </w:r>
            </w:sdtContent>
          </w:sdt>
          <w:r>
            <w:rPr>
              <w:rFonts w:hint="eastAsia" w:ascii="仿宋_GB2312" w:hAnsi="仿宋_GB2312" w:eastAsia="仿宋_GB2312" w:cs="仿宋_GB2312"/>
              <w:sz w:val="32"/>
              <w:szCs w:val="32"/>
            </w:rPr>
            <w:tab/>
          </w:r>
          <w:bookmarkStart w:id="24" w:name="_Toc779095112_WPSOffice_Level2Page"/>
          <w:r>
            <w:rPr>
              <w:rFonts w:hint="eastAsia" w:ascii="仿宋_GB2312" w:hAnsi="仿宋_GB2312" w:eastAsia="仿宋_GB2312" w:cs="仿宋_GB2312"/>
              <w:sz w:val="32"/>
              <w:szCs w:val="32"/>
            </w:rPr>
            <w:t>14</w:t>
          </w:r>
          <w:bookmarkEnd w:id="24"/>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_Toc397735526_WPSOffice_Level2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9b3f7ef7-1db4-4407-98d5-a900f69bb059}"/>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九、国有资本经营预算支出决算情况说明</w:t>
              </w:r>
            </w:sdtContent>
          </w:sdt>
          <w:r>
            <w:rPr>
              <w:rFonts w:hint="eastAsia" w:ascii="仿宋_GB2312" w:hAnsi="仿宋_GB2312" w:eastAsia="仿宋_GB2312" w:cs="仿宋_GB2312"/>
              <w:sz w:val="32"/>
              <w:szCs w:val="32"/>
            </w:rPr>
            <w:tab/>
          </w:r>
          <w:bookmarkStart w:id="25" w:name="_Toc397735526_WPSOffice_Level2Page"/>
          <w:r>
            <w:rPr>
              <w:rFonts w:hint="eastAsia" w:ascii="仿宋_GB2312" w:hAnsi="仿宋_GB2312" w:eastAsia="仿宋_GB2312" w:cs="仿宋_GB2312"/>
              <w:sz w:val="32"/>
              <w:szCs w:val="32"/>
            </w:rPr>
            <w:t>15</w:t>
          </w:r>
          <w:bookmarkEnd w:id="25"/>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_Toc1043805782_WPSOffice_Level2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e4e8ea9b-8640-446c-af59-c3a37693c10d}"/>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十、其他重要事项的情况说明</w:t>
              </w:r>
            </w:sdtContent>
          </w:sdt>
          <w:r>
            <w:rPr>
              <w:rFonts w:hint="eastAsia" w:ascii="仿宋_GB2312" w:hAnsi="仿宋_GB2312" w:eastAsia="仿宋_GB2312" w:cs="仿宋_GB2312"/>
              <w:sz w:val="32"/>
              <w:szCs w:val="32"/>
            </w:rPr>
            <w:tab/>
          </w:r>
          <w:bookmarkStart w:id="26" w:name="_Toc1043805782_WPSOffice_Level2Page"/>
          <w:r>
            <w:rPr>
              <w:rFonts w:hint="eastAsia" w:ascii="仿宋_GB2312" w:hAnsi="仿宋_GB2312" w:eastAsia="仿宋_GB2312" w:cs="仿宋_GB2312"/>
              <w:sz w:val="32"/>
              <w:szCs w:val="32"/>
            </w:rPr>
            <w:t>15</w:t>
          </w:r>
          <w:bookmarkEnd w:id="26"/>
          <w:r>
            <w:rPr>
              <w:rFonts w:hint="eastAsia" w:ascii="仿宋_GB2312" w:hAnsi="仿宋_GB2312" w:eastAsia="仿宋_GB2312" w:cs="仿宋_GB2312"/>
              <w:sz w:val="32"/>
              <w:szCs w:val="32"/>
            </w:rPr>
            <w:fldChar w:fldCharType="end"/>
          </w:r>
        </w:p>
        <w:p>
          <w:pPr>
            <w:pStyle w:val="38"/>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_Toc512533620_WPSOffice_Level1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44"/>
                <w:sz w:val="32"/>
                <w:szCs w:val="32"/>
                <w:lang w:val="en-US" w:eastAsia="zh-CN" w:bidi="ar-SA"/>
              </w:rPr>
              <w:id w:val="215037218"/>
              <w:placeholder>
                <w:docPart w:val="{4a11a76f-4e5d-46ee-aaf8-529e4cf816d9}"/>
              </w:placeholder>
            </w:sdtPr>
            <w:sdtEndPr>
              <w:rPr>
                <w:rFonts w:hint="eastAsia" w:ascii="黑体" w:hAnsi="黑体" w:eastAsia="黑体" w:cs="黑体"/>
                <w:b w:val="0"/>
                <w:bCs w:val="0"/>
                <w:kern w:val="44"/>
                <w:sz w:val="32"/>
                <w:szCs w:val="32"/>
                <w:lang w:val="en-US" w:eastAsia="zh-CN" w:bidi="ar-SA"/>
              </w:rPr>
            </w:sdtEndPr>
            <w:sdtContent>
              <w:r>
                <w:rPr>
                  <w:rFonts w:hint="eastAsia" w:ascii="黑体" w:hAnsi="黑体" w:eastAsia="黑体" w:cs="黑体"/>
                  <w:b w:val="0"/>
                  <w:bCs w:val="0"/>
                  <w:sz w:val="32"/>
                  <w:szCs w:val="32"/>
                </w:rPr>
                <w:t>第三部分  名词解释</w:t>
              </w:r>
            </w:sdtContent>
          </w:sdt>
          <w:r>
            <w:rPr>
              <w:rFonts w:hint="eastAsia" w:ascii="黑体" w:hAnsi="黑体" w:eastAsia="黑体" w:cs="黑体"/>
              <w:b w:val="0"/>
              <w:bCs w:val="0"/>
              <w:sz w:val="32"/>
              <w:szCs w:val="32"/>
            </w:rPr>
            <w:tab/>
          </w:r>
          <w:bookmarkStart w:id="27" w:name="_Toc512533620_WPSOffice_Level1Page"/>
          <w:r>
            <w:rPr>
              <w:rFonts w:hint="eastAsia" w:ascii="黑体" w:hAnsi="黑体" w:eastAsia="黑体" w:cs="黑体"/>
              <w:b w:val="0"/>
              <w:bCs w:val="0"/>
              <w:sz w:val="32"/>
              <w:szCs w:val="32"/>
            </w:rPr>
            <w:t>19</w:t>
          </w:r>
          <w:bookmarkEnd w:id="27"/>
          <w:r>
            <w:rPr>
              <w:rFonts w:hint="eastAsia" w:ascii="黑体" w:hAnsi="黑体" w:eastAsia="黑体" w:cs="黑体"/>
              <w:b w:val="0"/>
              <w:bCs w:val="0"/>
              <w:sz w:val="32"/>
              <w:szCs w:val="32"/>
            </w:rPr>
            <w:fldChar w:fldCharType="end"/>
          </w:r>
        </w:p>
        <w:p>
          <w:pPr>
            <w:pStyle w:val="38"/>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_Toc198175476_WPSOffice_Level1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44"/>
                <w:sz w:val="32"/>
                <w:szCs w:val="32"/>
                <w:lang w:val="en-US" w:eastAsia="zh-CN" w:bidi="ar-SA"/>
              </w:rPr>
              <w:id w:val="215037218"/>
              <w:placeholder>
                <w:docPart w:val="{0a2f3ebc-1a4c-4eb4-aab9-a89d990bb643}"/>
              </w:placeholder>
            </w:sdtPr>
            <w:sdtEndPr>
              <w:rPr>
                <w:rFonts w:hint="eastAsia" w:ascii="黑体" w:hAnsi="黑体" w:eastAsia="黑体" w:cs="黑体"/>
                <w:b w:val="0"/>
                <w:bCs w:val="0"/>
                <w:kern w:val="44"/>
                <w:sz w:val="32"/>
                <w:szCs w:val="32"/>
                <w:lang w:val="en-US" w:eastAsia="zh-CN" w:bidi="ar-SA"/>
              </w:rPr>
            </w:sdtEndPr>
            <w:sdtContent>
              <w:r>
                <w:rPr>
                  <w:rFonts w:hint="eastAsia" w:ascii="黑体" w:hAnsi="黑体" w:eastAsia="黑体" w:cs="黑体"/>
                  <w:b w:val="0"/>
                  <w:bCs w:val="0"/>
                  <w:sz w:val="32"/>
                  <w:szCs w:val="32"/>
                </w:rPr>
                <w:t>第四部分  附件</w:t>
              </w:r>
            </w:sdtContent>
          </w:sdt>
          <w:r>
            <w:rPr>
              <w:rFonts w:hint="eastAsia" w:ascii="黑体" w:hAnsi="黑体" w:eastAsia="黑体" w:cs="黑体"/>
              <w:b w:val="0"/>
              <w:bCs w:val="0"/>
              <w:sz w:val="32"/>
              <w:szCs w:val="32"/>
            </w:rPr>
            <w:tab/>
          </w:r>
          <w:bookmarkStart w:id="28" w:name="_Toc198175476_WPSOffice_Level1Page"/>
          <w:r>
            <w:rPr>
              <w:rFonts w:hint="eastAsia" w:ascii="黑体" w:hAnsi="黑体" w:eastAsia="黑体" w:cs="黑体"/>
              <w:b w:val="0"/>
              <w:bCs w:val="0"/>
              <w:sz w:val="32"/>
              <w:szCs w:val="32"/>
            </w:rPr>
            <w:t>23</w:t>
          </w:r>
          <w:bookmarkEnd w:id="28"/>
          <w:r>
            <w:rPr>
              <w:rFonts w:hint="eastAsia" w:ascii="黑体" w:hAnsi="黑体" w:eastAsia="黑体" w:cs="黑体"/>
              <w:b w:val="0"/>
              <w:bCs w:val="0"/>
              <w:sz w:val="32"/>
              <w:szCs w:val="32"/>
            </w:rPr>
            <w:fldChar w:fldCharType="end"/>
          </w:r>
        </w:p>
        <w:p>
          <w:pPr>
            <w:pStyle w:val="38"/>
            <w:tabs>
              <w:tab w:val="right" w:leader="dot" w:pos="8306"/>
            </w:tabs>
            <w:rPr>
              <w:rFonts w:hint="eastAsia" w:ascii="仿宋_GB2312" w:hAnsi="仿宋_GB2312" w:eastAsia="仿宋_GB2312" w:cs="仿宋_GB2312"/>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_Toc895583686_WPSOffice_Level1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44"/>
                <w:sz w:val="32"/>
                <w:szCs w:val="32"/>
                <w:lang w:val="en-US" w:eastAsia="zh-CN" w:bidi="ar-SA"/>
              </w:rPr>
              <w:id w:val="215037218"/>
              <w:placeholder>
                <w:docPart w:val="{ca98029b-b0a3-4c44-b983-c03003632081}"/>
              </w:placeholder>
            </w:sdtPr>
            <w:sdtEndPr>
              <w:rPr>
                <w:rFonts w:hint="eastAsia" w:ascii="黑体" w:hAnsi="黑体" w:eastAsia="黑体" w:cs="黑体"/>
                <w:b w:val="0"/>
                <w:bCs w:val="0"/>
                <w:kern w:val="44"/>
                <w:sz w:val="32"/>
                <w:szCs w:val="32"/>
                <w:lang w:val="en-US" w:eastAsia="zh-CN" w:bidi="ar-SA"/>
              </w:rPr>
            </w:sdtEndPr>
            <w:sdtContent>
              <w:r>
                <w:rPr>
                  <w:rFonts w:hint="eastAsia" w:ascii="黑体" w:hAnsi="黑体" w:eastAsia="黑体" w:cs="黑体"/>
                  <w:b w:val="0"/>
                  <w:bCs w:val="0"/>
                  <w:sz w:val="32"/>
                  <w:szCs w:val="32"/>
                </w:rPr>
                <w:t>第五部分 附表</w:t>
              </w:r>
            </w:sdtContent>
          </w:sdt>
          <w:r>
            <w:rPr>
              <w:rFonts w:hint="eastAsia" w:ascii="黑体" w:hAnsi="黑体" w:eastAsia="黑体" w:cs="黑体"/>
              <w:b w:val="0"/>
              <w:bCs w:val="0"/>
              <w:sz w:val="32"/>
              <w:szCs w:val="32"/>
            </w:rPr>
            <w:tab/>
          </w:r>
          <w:bookmarkStart w:id="29" w:name="_Toc895583686_WPSOffice_Level1Page"/>
          <w:r>
            <w:rPr>
              <w:rFonts w:hint="eastAsia" w:ascii="黑体" w:hAnsi="黑体" w:eastAsia="黑体" w:cs="黑体"/>
              <w:b w:val="0"/>
              <w:bCs w:val="0"/>
              <w:sz w:val="32"/>
              <w:szCs w:val="32"/>
            </w:rPr>
            <w:t>56</w:t>
          </w:r>
          <w:bookmarkEnd w:id="29"/>
          <w:r>
            <w:rPr>
              <w:rFonts w:hint="eastAsia" w:ascii="黑体" w:hAnsi="黑体" w:eastAsia="黑体" w:cs="黑体"/>
              <w:b w:val="0"/>
              <w:bCs w:val="0"/>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_Toc217130332_WPSOffice_Level2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334567db-6464-4f81-b673-107b547e936c}"/>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一、收入支出决算总表</w:t>
              </w:r>
            </w:sdtContent>
          </w:sdt>
          <w:r>
            <w:rPr>
              <w:rFonts w:hint="eastAsia" w:ascii="仿宋_GB2312" w:hAnsi="仿宋_GB2312" w:eastAsia="仿宋_GB2312" w:cs="仿宋_GB2312"/>
              <w:sz w:val="32"/>
              <w:szCs w:val="32"/>
            </w:rPr>
            <w:tab/>
          </w:r>
          <w:bookmarkStart w:id="30" w:name="_Toc217130332_WPSOffice_Level2Page"/>
          <w:r>
            <w:rPr>
              <w:rFonts w:hint="eastAsia" w:ascii="仿宋_GB2312" w:hAnsi="仿宋_GB2312" w:eastAsia="仿宋_GB2312" w:cs="仿宋_GB2312"/>
              <w:sz w:val="32"/>
              <w:szCs w:val="32"/>
            </w:rPr>
            <w:t>56</w:t>
          </w:r>
          <w:bookmarkEnd w:id="30"/>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_Toc1615280478_WPSOffice_Level2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24674a03-a474-4f63-9b5d-9a9860e5dbfd}"/>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二、收入决算表</w:t>
              </w:r>
            </w:sdtContent>
          </w:sdt>
          <w:r>
            <w:rPr>
              <w:rFonts w:hint="eastAsia" w:ascii="仿宋_GB2312" w:hAnsi="仿宋_GB2312" w:eastAsia="仿宋_GB2312" w:cs="仿宋_GB2312"/>
              <w:sz w:val="32"/>
              <w:szCs w:val="32"/>
            </w:rPr>
            <w:tab/>
          </w:r>
          <w:bookmarkStart w:id="31" w:name="_Toc1615280478_WPSOffice_Level2Page"/>
          <w:r>
            <w:rPr>
              <w:rFonts w:hint="eastAsia" w:ascii="仿宋_GB2312" w:hAnsi="仿宋_GB2312" w:eastAsia="仿宋_GB2312" w:cs="仿宋_GB2312"/>
              <w:sz w:val="32"/>
              <w:szCs w:val="32"/>
            </w:rPr>
            <w:t>56</w:t>
          </w:r>
          <w:bookmarkEnd w:id="31"/>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_Toc1663205298_WPSOffice_Level2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8471df41-9b23-4781-9725-5ab6c90401d1}"/>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三、支出决算表</w:t>
              </w:r>
            </w:sdtContent>
          </w:sdt>
          <w:r>
            <w:rPr>
              <w:rFonts w:hint="eastAsia" w:ascii="仿宋_GB2312" w:hAnsi="仿宋_GB2312" w:eastAsia="仿宋_GB2312" w:cs="仿宋_GB2312"/>
              <w:sz w:val="32"/>
              <w:szCs w:val="32"/>
            </w:rPr>
            <w:tab/>
          </w:r>
          <w:bookmarkStart w:id="32" w:name="_Toc1663205298_WPSOffice_Level2Page"/>
          <w:r>
            <w:rPr>
              <w:rFonts w:hint="eastAsia" w:ascii="仿宋_GB2312" w:hAnsi="仿宋_GB2312" w:eastAsia="仿宋_GB2312" w:cs="仿宋_GB2312"/>
              <w:sz w:val="32"/>
              <w:szCs w:val="32"/>
            </w:rPr>
            <w:t>56</w:t>
          </w:r>
          <w:bookmarkEnd w:id="32"/>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_Toc1375194581_WPSOffice_Level2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5380289e-43b6-4e7c-8abb-c94826d01ddb}"/>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四、财政拨款收入支出决算总表</w:t>
              </w:r>
            </w:sdtContent>
          </w:sdt>
          <w:r>
            <w:rPr>
              <w:rFonts w:hint="eastAsia" w:ascii="仿宋_GB2312" w:hAnsi="仿宋_GB2312" w:eastAsia="仿宋_GB2312" w:cs="仿宋_GB2312"/>
              <w:sz w:val="32"/>
              <w:szCs w:val="32"/>
            </w:rPr>
            <w:tab/>
          </w:r>
          <w:bookmarkStart w:id="33" w:name="_Toc1375194581_WPSOffice_Level2Page"/>
          <w:r>
            <w:rPr>
              <w:rFonts w:hint="eastAsia" w:ascii="仿宋_GB2312" w:hAnsi="仿宋_GB2312" w:eastAsia="仿宋_GB2312" w:cs="仿宋_GB2312"/>
              <w:sz w:val="32"/>
              <w:szCs w:val="32"/>
            </w:rPr>
            <w:t>56</w:t>
          </w:r>
          <w:bookmarkEnd w:id="33"/>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_Toc111928804_WPSOffice_Level2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4602585d-a9fb-4361-8ee3-26df450f391b}"/>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五、财政拨款支出决算明细表</w:t>
              </w:r>
            </w:sdtContent>
          </w:sdt>
          <w:r>
            <w:rPr>
              <w:rFonts w:hint="eastAsia" w:ascii="仿宋_GB2312" w:hAnsi="仿宋_GB2312" w:eastAsia="仿宋_GB2312" w:cs="仿宋_GB2312"/>
              <w:sz w:val="32"/>
              <w:szCs w:val="32"/>
            </w:rPr>
            <w:tab/>
          </w:r>
          <w:bookmarkStart w:id="34" w:name="_Toc111928804_WPSOffice_Level2Page"/>
          <w:r>
            <w:rPr>
              <w:rFonts w:hint="eastAsia" w:ascii="仿宋_GB2312" w:hAnsi="仿宋_GB2312" w:eastAsia="仿宋_GB2312" w:cs="仿宋_GB2312"/>
              <w:sz w:val="32"/>
              <w:szCs w:val="32"/>
            </w:rPr>
            <w:t>56</w:t>
          </w:r>
          <w:bookmarkEnd w:id="34"/>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_Toc1258610313_WPSOffice_Level2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bf263fba-4252-4a9d-9a9f-35893ad2eb4c}"/>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六、一般公共预算财政拨款支出决算表</w:t>
              </w:r>
            </w:sdtContent>
          </w:sdt>
          <w:r>
            <w:rPr>
              <w:rFonts w:hint="eastAsia" w:ascii="仿宋_GB2312" w:hAnsi="仿宋_GB2312" w:eastAsia="仿宋_GB2312" w:cs="仿宋_GB2312"/>
              <w:sz w:val="32"/>
              <w:szCs w:val="32"/>
            </w:rPr>
            <w:tab/>
          </w:r>
          <w:bookmarkStart w:id="35" w:name="_Toc1258610313_WPSOffice_Level2Page"/>
          <w:r>
            <w:rPr>
              <w:rFonts w:hint="eastAsia" w:ascii="仿宋_GB2312" w:hAnsi="仿宋_GB2312" w:eastAsia="仿宋_GB2312" w:cs="仿宋_GB2312"/>
              <w:sz w:val="32"/>
              <w:szCs w:val="32"/>
            </w:rPr>
            <w:t>56</w:t>
          </w:r>
          <w:bookmarkEnd w:id="35"/>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_Toc736351853_WPSOffice_Level2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3fd3d44f-f5cf-4557-9d27-73a3bbb0d5bb}"/>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七、一般公共预算财政拨款支出决算明细表</w:t>
              </w:r>
            </w:sdtContent>
          </w:sdt>
          <w:r>
            <w:rPr>
              <w:rFonts w:hint="eastAsia" w:ascii="仿宋_GB2312" w:hAnsi="仿宋_GB2312" w:eastAsia="仿宋_GB2312" w:cs="仿宋_GB2312"/>
              <w:sz w:val="32"/>
              <w:szCs w:val="32"/>
            </w:rPr>
            <w:tab/>
          </w:r>
          <w:bookmarkStart w:id="36" w:name="_Toc736351853_WPSOffice_Level2Page"/>
          <w:r>
            <w:rPr>
              <w:rFonts w:hint="eastAsia" w:ascii="仿宋_GB2312" w:hAnsi="仿宋_GB2312" w:eastAsia="仿宋_GB2312" w:cs="仿宋_GB2312"/>
              <w:sz w:val="32"/>
              <w:szCs w:val="32"/>
            </w:rPr>
            <w:t>56</w:t>
          </w:r>
          <w:bookmarkEnd w:id="36"/>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_Toc1843627968_WPSOffice_Level2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3d01154d-2a05-4a75-8beb-9df1c77b9bc3}"/>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八、一般公共预算财政拨款基本支出决算表</w:t>
              </w:r>
            </w:sdtContent>
          </w:sdt>
          <w:r>
            <w:rPr>
              <w:rFonts w:hint="eastAsia" w:ascii="仿宋_GB2312" w:hAnsi="仿宋_GB2312" w:eastAsia="仿宋_GB2312" w:cs="仿宋_GB2312"/>
              <w:sz w:val="32"/>
              <w:szCs w:val="32"/>
            </w:rPr>
            <w:tab/>
          </w:r>
          <w:bookmarkStart w:id="37" w:name="_Toc1843627968_WPSOffice_Level2Page"/>
          <w:r>
            <w:rPr>
              <w:rFonts w:hint="eastAsia" w:ascii="仿宋_GB2312" w:hAnsi="仿宋_GB2312" w:eastAsia="仿宋_GB2312" w:cs="仿宋_GB2312"/>
              <w:sz w:val="32"/>
              <w:szCs w:val="32"/>
            </w:rPr>
            <w:t>56</w:t>
          </w:r>
          <w:bookmarkEnd w:id="37"/>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_Toc82065435_WPSOffice_Level2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f6279ee6-0439-4455-9772-5dcf24dbb9c9}"/>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九、一般公共预算财政拨款项目支出决算表</w:t>
              </w:r>
            </w:sdtContent>
          </w:sdt>
          <w:r>
            <w:rPr>
              <w:rFonts w:hint="eastAsia" w:ascii="仿宋_GB2312" w:hAnsi="仿宋_GB2312" w:eastAsia="仿宋_GB2312" w:cs="仿宋_GB2312"/>
              <w:sz w:val="32"/>
              <w:szCs w:val="32"/>
            </w:rPr>
            <w:tab/>
          </w:r>
          <w:bookmarkStart w:id="38" w:name="_Toc82065435_WPSOffice_Level2Page"/>
          <w:r>
            <w:rPr>
              <w:rFonts w:hint="eastAsia" w:ascii="仿宋_GB2312" w:hAnsi="仿宋_GB2312" w:eastAsia="仿宋_GB2312" w:cs="仿宋_GB2312"/>
              <w:sz w:val="32"/>
              <w:szCs w:val="32"/>
            </w:rPr>
            <w:t>56</w:t>
          </w:r>
          <w:bookmarkEnd w:id="38"/>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_Toc1195968034_WPSOffice_Level2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49591165-5e48-47a2-a6f8-b8293668ed27}"/>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十、政府性基金预算财政拨款收入支出决算表</w:t>
              </w:r>
            </w:sdtContent>
          </w:sdt>
          <w:r>
            <w:rPr>
              <w:rFonts w:hint="eastAsia" w:ascii="仿宋_GB2312" w:hAnsi="仿宋_GB2312" w:eastAsia="仿宋_GB2312" w:cs="仿宋_GB2312"/>
              <w:sz w:val="32"/>
              <w:szCs w:val="32"/>
            </w:rPr>
            <w:tab/>
          </w:r>
          <w:bookmarkStart w:id="39" w:name="_Toc1195968034_WPSOffice_Level2Page"/>
          <w:r>
            <w:rPr>
              <w:rFonts w:hint="eastAsia" w:ascii="仿宋_GB2312" w:hAnsi="仿宋_GB2312" w:eastAsia="仿宋_GB2312" w:cs="仿宋_GB2312"/>
              <w:sz w:val="32"/>
              <w:szCs w:val="32"/>
            </w:rPr>
            <w:t>56</w:t>
          </w:r>
          <w:bookmarkEnd w:id="39"/>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_Toc1299601169_WPSOffice_Level2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f48e0d90-8675-4f79-888b-0964144ce84b}"/>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十一、国有资本经营预算财政拨款收入支出决算表</w:t>
              </w:r>
            </w:sdtContent>
          </w:sdt>
          <w:r>
            <w:rPr>
              <w:rFonts w:hint="eastAsia" w:ascii="仿宋_GB2312" w:hAnsi="仿宋_GB2312" w:eastAsia="仿宋_GB2312" w:cs="仿宋_GB2312"/>
              <w:sz w:val="32"/>
              <w:szCs w:val="32"/>
            </w:rPr>
            <w:tab/>
          </w:r>
          <w:bookmarkStart w:id="40" w:name="_Toc1299601169_WPSOffice_Level2Page"/>
          <w:r>
            <w:rPr>
              <w:rFonts w:hint="eastAsia" w:ascii="仿宋_GB2312" w:hAnsi="仿宋_GB2312" w:eastAsia="仿宋_GB2312" w:cs="仿宋_GB2312"/>
              <w:sz w:val="32"/>
              <w:szCs w:val="32"/>
            </w:rPr>
            <w:t>56</w:t>
          </w:r>
          <w:bookmarkEnd w:id="40"/>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_Toc837966987_WPSOffice_Level2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42434bbd-50d8-40fe-8b40-49a0e00f5e3b}"/>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十二、国有资本经营预算财政拨款支出决算表</w:t>
              </w:r>
            </w:sdtContent>
          </w:sdt>
          <w:r>
            <w:rPr>
              <w:rFonts w:hint="eastAsia" w:ascii="仿宋_GB2312" w:hAnsi="仿宋_GB2312" w:eastAsia="仿宋_GB2312" w:cs="仿宋_GB2312"/>
              <w:sz w:val="32"/>
              <w:szCs w:val="32"/>
            </w:rPr>
            <w:tab/>
          </w:r>
          <w:bookmarkStart w:id="41" w:name="_Toc837966987_WPSOffice_Level2Page"/>
          <w:r>
            <w:rPr>
              <w:rFonts w:hint="eastAsia" w:ascii="仿宋_GB2312" w:hAnsi="仿宋_GB2312" w:eastAsia="仿宋_GB2312" w:cs="仿宋_GB2312"/>
              <w:sz w:val="32"/>
              <w:szCs w:val="32"/>
            </w:rPr>
            <w:t>56</w:t>
          </w:r>
          <w:bookmarkEnd w:id="41"/>
          <w:r>
            <w:rPr>
              <w:rFonts w:hint="eastAsia" w:ascii="仿宋_GB2312" w:hAnsi="仿宋_GB2312" w:eastAsia="仿宋_GB2312" w:cs="仿宋_GB2312"/>
              <w:sz w:val="32"/>
              <w:szCs w:val="32"/>
            </w:rPr>
            <w:fldChar w:fldCharType="end"/>
          </w:r>
        </w:p>
        <w:p>
          <w:pPr>
            <w:pStyle w:val="39"/>
            <w:tabs>
              <w:tab w:val="right" w:leader="dot" w:pos="830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_Toc962816116_WPSOffice_Level2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215037218"/>
              <w:placeholder>
                <w:docPart w:val="{a1f24134-5b21-4fe2-a85e-3393070cb905}"/>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十三、财政拨款“三公”经费支出决算表</w:t>
              </w:r>
            </w:sdtContent>
          </w:sdt>
          <w:r>
            <w:rPr>
              <w:rFonts w:hint="eastAsia" w:ascii="仿宋_GB2312" w:hAnsi="仿宋_GB2312" w:eastAsia="仿宋_GB2312" w:cs="仿宋_GB2312"/>
              <w:sz w:val="32"/>
              <w:szCs w:val="32"/>
            </w:rPr>
            <w:tab/>
          </w:r>
          <w:bookmarkStart w:id="42" w:name="_Toc962816116_WPSOffice_Level2Page"/>
          <w:r>
            <w:rPr>
              <w:rFonts w:hint="eastAsia" w:ascii="仿宋_GB2312" w:hAnsi="仿宋_GB2312" w:eastAsia="仿宋_GB2312" w:cs="仿宋_GB2312"/>
              <w:sz w:val="32"/>
              <w:szCs w:val="32"/>
            </w:rPr>
            <w:t>56</w:t>
          </w:r>
          <w:bookmarkEnd w:id="42"/>
          <w:r>
            <w:rPr>
              <w:rFonts w:hint="eastAsia" w:ascii="仿宋_GB2312" w:hAnsi="仿宋_GB2312" w:eastAsia="仿宋_GB2312" w:cs="仿宋_GB2312"/>
              <w:sz w:val="32"/>
              <w:szCs w:val="32"/>
            </w:rPr>
            <w:fldChar w:fldCharType="end"/>
          </w:r>
          <w:bookmarkEnd w:id="12"/>
        </w:p>
      </w:sdtContent>
    </w:sdt>
    <w:p>
      <w:pPr>
        <w:pStyle w:val="5"/>
        <w:jc w:val="center"/>
        <w:rPr>
          <w:rFonts w:hint="eastAsia" w:ascii="Times New Roman" w:hAnsi="Times New Roman" w:eastAsia="方正小标宋简体" w:cs="方正小标宋简体"/>
          <w:b w:val="0"/>
          <w:color w:val="auto"/>
          <w:highlight w:val="none"/>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pStyle w:val="5"/>
        <w:jc w:val="center"/>
        <w:rPr>
          <w:rStyle w:val="31"/>
          <w:rFonts w:hint="eastAsia" w:ascii="Times New Roman" w:hAnsi="Times New Roman" w:eastAsia="方正小标宋简体" w:cs="方正小标宋简体"/>
          <w:b/>
          <w:bCs w:val="0"/>
          <w:color w:val="auto"/>
          <w:highlight w:val="none"/>
        </w:rPr>
      </w:pPr>
      <w:bookmarkStart w:id="43" w:name="_Toc118000229_WPSOffice_Level1"/>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1"/>
          <w:rFonts w:hint="eastAsia" w:ascii="Times New Roman" w:hAnsi="Times New Roman" w:eastAsia="方正小标宋简体" w:cs="方正小标宋简体"/>
          <w:b w:val="0"/>
          <w:bCs w:val="0"/>
          <w:color w:val="auto"/>
          <w:highlight w:val="none"/>
        </w:rPr>
        <w:t>部门概况</w:t>
      </w:r>
      <w:bookmarkEnd w:id="43"/>
    </w:p>
    <w:p>
      <w:pPr>
        <w:widowControl/>
        <w:jc w:val="left"/>
        <w:rPr>
          <w:rFonts w:ascii="Times New Roman" w:hAnsi="Times New Roman" w:eastAsia="黑体"/>
          <w:color w:val="auto"/>
          <w:sz w:val="32"/>
          <w:szCs w:val="32"/>
          <w:highlight w:val="none"/>
        </w:rPr>
      </w:pPr>
    </w:p>
    <w:p>
      <w:pPr>
        <w:pStyle w:val="6"/>
        <w:numPr>
          <w:ilvl w:val="0"/>
          <w:numId w:val="1"/>
        </w:numPr>
        <w:rPr>
          <w:rFonts w:hint="eastAsia" w:ascii="Times New Roman" w:hAnsi="Times New Roman" w:eastAsia="黑体"/>
          <w:b w:val="0"/>
          <w:color w:val="auto"/>
          <w:highlight w:val="none"/>
          <w:lang w:eastAsia="zh-CN"/>
        </w:rPr>
      </w:pPr>
      <w:bookmarkStart w:id="44" w:name="_Toc1454715548_WPSOffice_Level2"/>
      <w:r>
        <w:rPr>
          <w:rFonts w:hint="eastAsia" w:ascii="Times New Roman" w:hAnsi="Times New Roman" w:eastAsia="黑体"/>
          <w:b w:val="0"/>
          <w:color w:val="auto"/>
          <w:highlight w:val="none"/>
          <w:lang w:eastAsia="zh-CN"/>
        </w:rPr>
        <w:t>部门职责</w:t>
      </w:r>
      <w:bookmarkEnd w:id="44"/>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lang w:eastAsia="zh-CN"/>
        </w:rPr>
      </w:pPr>
      <w:r>
        <w:rPr>
          <w:rFonts w:hint="eastAsia" w:ascii="仿宋_GB2312" w:hAnsi="仿宋" w:eastAsia="仿宋_GB2312"/>
          <w:sz w:val="32"/>
          <w:szCs w:val="32"/>
          <w:lang w:eastAsia="zh-CN"/>
        </w:rPr>
        <w:t>四川省</w:t>
      </w:r>
      <w:r>
        <w:rPr>
          <w:rFonts w:hint="eastAsia" w:ascii="仿宋_GB2312" w:hAnsi="仿宋" w:eastAsia="仿宋_GB2312"/>
          <w:sz w:val="32"/>
          <w:szCs w:val="32"/>
        </w:rPr>
        <w:t>攀</w:t>
      </w:r>
      <w:r>
        <w:rPr>
          <w:rFonts w:hint="eastAsia" w:ascii="仿宋_GB2312" w:eastAsia="仿宋_GB2312"/>
          <w:bCs/>
          <w:sz w:val="32"/>
          <w:szCs w:val="32"/>
        </w:rPr>
        <w:t>枝花市住房和城乡建设局为市政府工作部门，主要职责是：</w:t>
      </w:r>
      <w:r>
        <w:rPr>
          <w:rFonts w:hint="eastAsia" w:ascii="仿宋_GB2312" w:eastAsia="仿宋_GB2312" w:cs="方正仿宋_GBK-WinCharSetFFFF-H"/>
          <w:sz w:val="33"/>
          <w:szCs w:val="33"/>
        </w:rPr>
        <w:t>负责城市市政设施年度建设计划编制。指导和督促城市市政设施建设。协调、处理城市市政设施建设过程中的有关问题。参与城市总体规划和专项规划编制和审核。拟订全市村镇建设的发展规划并监督实施</w:t>
      </w:r>
      <w:r>
        <w:rPr>
          <w:rFonts w:hint="eastAsia" w:ascii="仿宋_GB2312" w:eastAsia="仿宋_GB2312" w:cs="方正仿宋_GBK-WinCharSetFFFF-H"/>
          <w:sz w:val="33"/>
          <w:szCs w:val="33"/>
          <w:lang w:eastAsia="zh-CN"/>
        </w:rPr>
        <w:t>，</w:t>
      </w:r>
      <w:r>
        <w:rPr>
          <w:rFonts w:hint="eastAsia" w:ascii="仿宋_GB2312" w:eastAsia="仿宋_GB2312" w:cs="方正仿宋_GBK-WinCharSetFFFF-H"/>
          <w:sz w:val="33"/>
          <w:szCs w:val="33"/>
        </w:rPr>
        <w:t>指导全市乡镇和村庄建设、全市农村住房建设及危房改造、农村建筑工匠培训和管理、农村公用设施建设和小城镇建设，组织开展全市</w:t>
      </w:r>
      <w:r>
        <w:rPr>
          <w:rFonts w:hint="eastAsia" w:ascii="仿宋_GB2312" w:eastAsia="仿宋_GB2312" w:cs="TimesNewRoman"/>
          <w:sz w:val="33"/>
          <w:szCs w:val="33"/>
        </w:rPr>
        <w:t>“</w:t>
      </w:r>
      <w:r>
        <w:rPr>
          <w:rFonts w:hint="eastAsia" w:ascii="仿宋_GB2312" w:eastAsia="仿宋_GB2312" w:cs="方正仿宋_GBK-WinCharSetFFFF-H"/>
          <w:sz w:val="33"/>
          <w:szCs w:val="33"/>
        </w:rPr>
        <w:t>特色小城镇</w:t>
      </w:r>
      <w:r>
        <w:rPr>
          <w:rFonts w:hint="eastAsia" w:ascii="仿宋_GB2312" w:eastAsia="仿宋_GB2312" w:cs="TimesNewRoman"/>
          <w:sz w:val="33"/>
          <w:szCs w:val="33"/>
        </w:rPr>
        <w:t>”</w:t>
      </w:r>
      <w:r>
        <w:rPr>
          <w:rFonts w:hint="eastAsia" w:ascii="仿宋_GB2312" w:eastAsia="仿宋_GB2312" w:cs="方正仿宋_GBK-WinCharSetFFFF-H"/>
          <w:sz w:val="33"/>
          <w:szCs w:val="33"/>
        </w:rPr>
        <w:t>培育创建和开展村镇建设试点工作。拟订建筑业中长期规划、行业政策，承担建筑市场及本地建筑施工企业资质的监督管理和注册建造师的注册、执业活动的监督管理事项。参与房建和市政设施项目施工招投标活动监督。协助处理建设工程农民工拖欠工资。负责城市建设档案管理工作。负责散装水泥发展和应用的监督检查。负责材料价格信息、工程造价管理工作。负责施工合同备案管理。贯彻执行工程质量监督政策和管理规章。研究拟订建筑行业安全保护措施。全面贯彻安全生产劳动保护的法律、法规及标准。负责房屋建筑和市政基础设施工程的施工质量、安全生产和文明施工管理工作。负责工程质量竣工验收备案管理。负责行业安全生产综合监督管理和考核。负责组织建设工程质量安全生产大检查。指挥、处理房屋建筑和市政基础设施建设工程质量和安全突发应急事件。组织或参与重大工程质量问题、安全事故调查处理。负责建设工程消防竣工验收、抽查职责。研究拟订全市房地产业的发展规划、产业政策和规章制度。负责全市房地产业监督管理工作。负责房地产开发经营管理、物业管理、房屋产权交易和权属管理、房地产中介机管理工作。负责房地产市场秩序的整治与监管。参与全市城镇土地开发项目土地拍卖条件意见及规划编制方案审核工作。参与协调处理房地产交易的矛盾纠纷。承担全市勘察设计行业综合管理的具体工作。参与建设工程勘察设计招标管理。参与勘察设计违法违规行为的查处。负责大型房屋建筑和市政基础设施工程、超限工程的抗震设防专项审查和初步设计审查的组织上报。组织中小型房屋建筑和市政基础设施的初步设计审查工作。负责施工图审查备案工作。负责全市建设工程抗震设防标准的管理。指导、监督抗震设防专项论证工作。组织各类房屋建筑和市政工程设计抗震设计检查。参与抗震设计审查。指导村镇建设抗震防灾工作。负责本系统科研项目的初审和申报工作。负责行业新技术、新工艺、新材料、新设备的推广和应用工作。拟订建筑垃圾资源化再利用的整体规划和政策措施，综合协调建筑垃圾资源化再利用工作。负责机关信息化建设工作，指导所属事业单位信息化工作。负责建设工程消防安全性施工图审查及备案。负责对实施工程建设设计强制性标准进行监督检</w:t>
      </w:r>
      <w:r>
        <w:rPr>
          <w:rFonts w:hint="eastAsia" w:ascii="仿宋_GB2312" w:eastAsia="仿宋_GB2312"/>
          <w:sz w:val="32"/>
          <w:szCs w:val="32"/>
        </w:rPr>
        <w:t>查。负责对房屋建筑工程抗震设防实施情况的监督检查。负责行业体制改革的政策研究。负责行业规范性文件合法性审查工作。负责本系统法律、法规、规章贯彻执行情况的监督、检查、评估工作。负责行业的法制建设、法制宣传和培训工作。负责行业行政复议、行政诉讼等法律服务工作。负责本系统执法人员培训、考核、年审、换证及执法人员信息录入上传工作。负责全局法治考核工作。负责做好立法调研和草案起草工作。配合上位法修订工作。承办市本系统行政审批事项。负责行政许可事项和政务服务事项的公开、公示、告知工作。负责进驻政务服务中心窗口的组织协调和审批项目的受理、审核及办理工作。负责城市基础设施配套费的征收。</w:t>
      </w:r>
    </w:p>
    <w:p>
      <w:pPr>
        <w:pStyle w:val="6"/>
        <w:rPr>
          <w:rStyle w:val="32"/>
          <w:rFonts w:ascii="Times New Roman" w:hAnsi="Times New Roman"/>
          <w:b w:val="0"/>
          <w:bCs w:val="0"/>
          <w:color w:val="auto"/>
          <w:highlight w:val="none"/>
        </w:rPr>
      </w:pPr>
      <w:bookmarkStart w:id="45" w:name="_Toc512533620_WPSOffice_Level2"/>
      <w:bookmarkStart w:id="46" w:name="_Toc15377200"/>
      <w:bookmarkStart w:id="47" w:name="_Toc15396601"/>
      <w:r>
        <w:rPr>
          <w:rFonts w:hint="eastAsia" w:ascii="Times New Roman" w:hAnsi="Times New Roman" w:eastAsia="黑体"/>
          <w:b w:val="0"/>
          <w:color w:val="auto"/>
          <w:highlight w:val="none"/>
        </w:rPr>
        <w:t>二、机</w:t>
      </w:r>
      <w:r>
        <w:rPr>
          <w:rStyle w:val="32"/>
          <w:rFonts w:hint="eastAsia" w:ascii="Times New Roman" w:hAnsi="Times New Roman" w:eastAsia="黑体"/>
          <w:b w:val="0"/>
          <w:bCs w:val="0"/>
          <w:color w:val="auto"/>
          <w:highlight w:val="none"/>
        </w:rPr>
        <w:t>构设置</w:t>
      </w:r>
      <w:bookmarkEnd w:id="45"/>
      <w:bookmarkEnd w:id="46"/>
      <w:bookmarkEnd w:id="47"/>
    </w:p>
    <w:p>
      <w:pPr>
        <w:keepNext w:val="0"/>
        <w:keepLines w:val="0"/>
        <w:pageBreakBefore w:val="0"/>
        <w:widowControl w:val="0"/>
        <w:kinsoku/>
        <w:wordWrap/>
        <w:overflowPunct/>
        <w:topLinePunct w:val="0"/>
        <w:autoSpaceDE/>
        <w:autoSpaceDN/>
        <w:bidi w:val="0"/>
        <w:spacing w:line="578" w:lineRule="exact"/>
        <w:ind w:firstLine="800" w:firstLineChars="250"/>
        <w:textAlignment w:val="auto"/>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四川省攀枝花市住房和城乡建设局</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个。</w:t>
      </w:r>
    </w:p>
    <w:p>
      <w:pPr>
        <w:pStyle w:val="8"/>
        <w:keepNext w:val="0"/>
        <w:keepLines w:val="0"/>
        <w:pageBreakBefore w:val="0"/>
        <w:widowControl w:val="0"/>
        <w:kinsoku/>
        <w:wordWrap/>
        <w:overflowPunct/>
        <w:topLinePunct w:val="0"/>
        <w:autoSpaceDE/>
        <w:autoSpaceDN/>
        <w:bidi w:val="0"/>
        <w:adjustRightInd w:val="0"/>
        <w:snapToGrid w:val="0"/>
        <w:spacing w:before="93" w:line="578" w:lineRule="exact"/>
        <w:ind w:firstLine="672" w:firstLineChars="21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纳入</w:t>
      </w:r>
      <w:r>
        <w:rPr>
          <w:sz w:val="32"/>
          <w:szCs w:val="32"/>
        </w:rPr>
        <w:t>四川省攀枝花市住房和城乡建设局</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SA"/>
        </w:rPr>
        <w:t>1.市城市基本建设档案馆</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SA"/>
        </w:rPr>
        <w:t>2.市市政公用设施服务中心</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SA"/>
        </w:rPr>
        <w:t>3.市建设工程消防和勘察设计技术中心</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SA"/>
        </w:rPr>
        <w:t>4.市城市建设资金中心</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SA"/>
        </w:rPr>
        <w:t>5.市建设工程造价站</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SA"/>
        </w:rPr>
        <w:t>6.市房地产事务中心</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SA"/>
        </w:rPr>
        <w:t>7.市建设工程质量安全站</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SA"/>
        </w:rPr>
        <w:t>8.市建筑节能和绿色建筑发展中心</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仿宋" w:eastAsia="仿宋"/>
          <w:sz w:val="32"/>
          <w:szCs w:val="32"/>
        </w:rPr>
      </w:pPr>
      <w:r>
        <w:rPr>
          <w:rFonts w:hint="eastAsia" w:ascii="仿宋_GB2312" w:hAnsi="仿宋_GB2312" w:eastAsia="仿宋_GB2312" w:cs="仿宋_GB2312"/>
          <w:sz w:val="32"/>
          <w:szCs w:val="32"/>
        </w:rPr>
        <w:t>9.市住房保障和建设项目服务中心</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5"/>
        <w:jc w:val="center"/>
        <w:rPr>
          <w:rFonts w:hint="eastAsia" w:ascii="Times New Roman" w:hAnsi="Times New Roman" w:eastAsia="方正小标宋简体" w:cs="方正小标宋简体"/>
          <w:b w:val="0"/>
          <w:color w:val="auto"/>
          <w:highlight w:val="none"/>
        </w:rPr>
      </w:pPr>
      <w:bookmarkStart w:id="48" w:name="_Toc15396602"/>
      <w:bookmarkStart w:id="49" w:name="_Toc1454715548_WPSOffice_Level1"/>
      <w:bookmarkStart w:id="50"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48"/>
      <w:bookmarkEnd w:id="49"/>
      <w:bookmarkEnd w:id="50"/>
    </w:p>
    <w:p>
      <w:pPr>
        <w:rPr>
          <w:rFonts w:ascii="Times New Roman" w:hAnsi="Times New Roman"/>
          <w:color w:val="auto"/>
          <w:highlight w:val="none"/>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2"/>
          <w:rFonts w:hint="eastAsia" w:ascii="Times New Roman" w:hAnsi="Times New Roman" w:eastAsia="黑体"/>
          <w:b w:val="0"/>
          <w:color w:val="auto"/>
          <w:highlight w:val="none"/>
        </w:rPr>
      </w:pPr>
      <w:bookmarkStart w:id="51" w:name="_Toc15377205"/>
      <w:bookmarkStart w:id="52" w:name="_Toc15396603"/>
      <w:bookmarkStart w:id="53" w:name="_Toc198175476_WPSOffice_Level2"/>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2"/>
          <w:rFonts w:hint="eastAsia" w:ascii="Times New Roman" w:hAnsi="Times New Roman" w:eastAsia="黑体"/>
          <w:b w:val="0"/>
          <w:color w:val="auto"/>
          <w:highlight w:val="none"/>
        </w:rPr>
        <w:t>入支出决算总体情况说明</w:t>
      </w:r>
      <w:bookmarkEnd w:id="51"/>
      <w:bookmarkEnd w:id="52"/>
      <w:bookmarkEnd w:id="53"/>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仿宋_GB2312" w:eastAsia="仿宋_GB2312"/>
          <w:sz w:val="32"/>
          <w:szCs w:val="32"/>
        </w:rPr>
      </w:pPr>
      <w:r>
        <w:rPr>
          <w:rFonts w:hint="eastAsia" w:ascii="Times New Roman" w:hAnsi="Times New Roman" w:eastAsia="仿宋_GB2312" w:cs="仿宋_GB2312"/>
          <w:color w:val="auto"/>
          <w:sz w:val="32"/>
          <w:szCs w:val="32"/>
          <w:highlight w:val="none"/>
          <w:lang w:eastAsia="zh-CN"/>
        </w:rPr>
        <w:t>2024年度收入为</w:t>
      </w:r>
      <w:r>
        <w:rPr>
          <w:rFonts w:hint="eastAsia" w:eastAsia="仿宋_GB2312" w:cs="仿宋_GB2312"/>
          <w:color w:val="auto"/>
          <w:sz w:val="32"/>
          <w:szCs w:val="32"/>
          <w:highlight w:val="none"/>
          <w:lang w:val="en-US" w:eastAsia="zh-CN"/>
        </w:rPr>
        <w:t>38312</w:t>
      </w:r>
      <w:r>
        <w:rPr>
          <w:rFonts w:hint="eastAsia" w:ascii="仿宋_GB2312" w:hAnsi="仿宋_GB2312" w:eastAsia="仿宋_GB2312" w:cs="仿宋_GB2312"/>
          <w:sz w:val="32"/>
          <w:szCs w:val="32"/>
        </w:rPr>
        <w:t>.</w:t>
      </w:r>
      <w:r>
        <w:rPr>
          <w:rFonts w:hint="eastAsia" w:eastAsia="仿宋_GB2312" w:cs="仿宋_GB2312"/>
          <w:color w:val="auto"/>
          <w:sz w:val="32"/>
          <w:szCs w:val="32"/>
          <w:highlight w:val="none"/>
          <w:lang w:val="en-US" w:eastAsia="zh-CN"/>
        </w:rPr>
        <w:t>76</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仿宋_GB2312" w:hAnsi="仿宋_GB2312" w:eastAsia="仿宋_GB2312" w:cs="仿宋_GB2312"/>
          <w:sz w:val="32"/>
          <w:szCs w:val="32"/>
        </w:rPr>
        <w:t>收、支总计各增加</w:t>
      </w:r>
      <w:r>
        <w:rPr>
          <w:rFonts w:hint="eastAsia" w:eastAsia="仿宋_GB2312" w:cs="仿宋_GB2312"/>
          <w:color w:val="auto"/>
          <w:sz w:val="32"/>
          <w:szCs w:val="32"/>
          <w:highlight w:val="none"/>
          <w:lang w:val="en-US" w:eastAsia="zh-CN"/>
        </w:rPr>
        <w:t>4245.92</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12.46%。</w:t>
      </w:r>
      <w:r>
        <w:rPr>
          <w:rFonts w:hint="eastAsia" w:ascii="Times New Roman" w:hAnsi="Times New Roman" w:eastAsia="仿宋_GB2312" w:cs="仿宋_GB2312"/>
          <w:color w:val="auto"/>
          <w:sz w:val="32"/>
          <w:szCs w:val="32"/>
          <w:highlight w:val="none"/>
        </w:rPr>
        <w:t>主要变动原因是</w:t>
      </w:r>
      <w:r>
        <w:rPr>
          <w:rFonts w:hint="eastAsia" w:ascii="仿宋_GB2312" w:hAnsi="宋体" w:eastAsia="仿宋_GB2312" w:cs="宋体"/>
          <w:color w:val="000000"/>
          <w:kern w:val="0"/>
          <w:sz w:val="32"/>
          <w:szCs w:val="32"/>
          <w:lang w:bidi="ar"/>
        </w:rPr>
        <w:t>局机关</w:t>
      </w:r>
      <w:r>
        <w:rPr>
          <w:rFonts w:hint="eastAsia" w:ascii="仿宋_GB2312" w:eastAsia="仿宋_GB2312"/>
          <w:sz w:val="32"/>
          <w:szCs w:val="32"/>
        </w:rPr>
        <w:t>生活污水处理设施建设PPP项目、主城区排水管网排查检测项目等项目支出较上年共增加</w:t>
      </w:r>
      <w:r>
        <w:rPr>
          <w:rFonts w:hint="eastAsia" w:eastAsia="仿宋_GB2312" w:cs="仿宋_GB2312"/>
          <w:color w:val="auto"/>
          <w:sz w:val="32"/>
          <w:szCs w:val="32"/>
          <w:highlight w:val="none"/>
          <w:lang w:val="en-US" w:eastAsia="zh-CN"/>
        </w:rPr>
        <w:t>718</w:t>
      </w:r>
      <w:r>
        <w:rPr>
          <w:rFonts w:hint="eastAsia" w:ascii="仿宋_GB2312"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市市政服务中心</w:t>
      </w:r>
      <w:r>
        <w:rPr>
          <w:rFonts w:hint="eastAsia" w:ascii="仿宋_GB2312" w:eastAsia="仿宋_GB2312"/>
          <w:sz w:val="32"/>
          <w:szCs w:val="32"/>
        </w:rPr>
        <w:t>项目支出较上年增加了</w:t>
      </w:r>
      <w:r>
        <w:rPr>
          <w:rFonts w:hint="eastAsia" w:eastAsia="仿宋_GB2312" w:cs="仿宋_GB2312"/>
          <w:color w:val="auto"/>
          <w:sz w:val="32"/>
          <w:szCs w:val="32"/>
          <w:highlight w:val="none"/>
          <w:lang w:val="en-US" w:eastAsia="zh-CN"/>
        </w:rPr>
        <w:t>4525</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hAnsi="仿宋_GB2312" w:eastAsia="仿宋_GB2312" w:cs="仿宋_GB2312"/>
          <w:sz w:val="32"/>
          <w:szCs w:val="32"/>
        </w:rPr>
        <w:t>城市排水防涝设施功能提升改造项目</w:t>
      </w:r>
      <w:r>
        <w:rPr>
          <w:rFonts w:hint="eastAsia" w:ascii="仿宋_GB2312" w:hAnsi="仿宋_GB2312" w:eastAsia="仿宋_GB2312" w:cs="仿宋_GB2312"/>
          <w:sz w:val="32"/>
          <w:szCs w:val="32"/>
          <w:lang w:eastAsia="zh-CN"/>
        </w:rPr>
        <w:t>较上年增加了</w:t>
      </w:r>
      <w:r>
        <w:rPr>
          <w:rFonts w:hint="eastAsia" w:ascii="仿宋_GB2312" w:hAnsi="仿宋_GB2312" w:eastAsia="仿宋_GB2312" w:cs="仿宋_GB2312"/>
          <w:sz w:val="32"/>
          <w:szCs w:val="32"/>
          <w:lang w:val="en-US" w:eastAsia="zh-CN"/>
        </w:rPr>
        <w:t>4377.77万元</w:t>
      </w:r>
      <w:r>
        <w:rPr>
          <w:rFonts w:hint="eastAsia" w:ascii="仿宋_GB2312" w:eastAsia="仿宋_GB2312"/>
          <w:sz w:val="32"/>
          <w:szCs w:val="32"/>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54" w:name="_Toc15377206"/>
      <w:bookmarkStart w:id="55" w:name="_Toc895583686_WPSOffice_Level2"/>
      <w:bookmarkStart w:id="56" w:name="_Toc15396604"/>
      <w:r>
        <w:rPr>
          <w:rFonts w:hint="eastAsia" w:ascii="Times New Roman" w:hAnsi="Times New Roman" w:eastAsia="黑体"/>
          <w:color w:val="auto"/>
          <w:sz w:val="32"/>
          <w:szCs w:val="32"/>
          <w:highlight w:val="none"/>
          <w:lang w:eastAsia="zh-CN"/>
        </w:rPr>
        <w:t>二、收入决算情况说明</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eastAsia="仿宋_GB2312" w:cs="仿宋_GB2312"/>
          <w:color w:val="auto"/>
          <w:sz w:val="32"/>
          <w:szCs w:val="32"/>
          <w:highlight w:val="none"/>
          <w:lang w:val="en-US" w:eastAsia="zh-CN"/>
        </w:rPr>
        <w:t>38276.37</w:t>
      </w:r>
      <w:r>
        <w:rPr>
          <w:rFonts w:hint="eastAsia" w:ascii="仿宋_GB2312" w:hAnsi="仿宋_GB2312" w:eastAsia="仿宋_GB2312" w:cs="仿宋_GB2312"/>
          <w:sz w:val="32"/>
          <w:szCs w:val="32"/>
        </w:rPr>
        <w:t>万元，其中：一般公共预算财政拨款收入</w:t>
      </w:r>
      <w:r>
        <w:rPr>
          <w:rFonts w:hint="eastAsia" w:eastAsia="仿宋_GB2312" w:cs="仿宋_GB2312"/>
          <w:color w:val="auto"/>
          <w:sz w:val="32"/>
          <w:szCs w:val="32"/>
          <w:highlight w:val="none"/>
          <w:lang w:val="en-US" w:eastAsia="zh-CN"/>
        </w:rPr>
        <w:t>15630.4</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40.84%</w:t>
      </w:r>
      <w:r>
        <w:rPr>
          <w:rFonts w:hint="eastAsia" w:ascii="仿宋_GB2312" w:hAnsi="仿宋_GB2312" w:eastAsia="仿宋_GB2312" w:cs="仿宋_GB2312"/>
          <w:color w:val="auto"/>
          <w:sz w:val="32"/>
          <w:szCs w:val="32"/>
          <w:highlight w:val="none"/>
          <w:lang w:eastAsia="zh-CN"/>
        </w:rPr>
        <w:t>；政府性基金预算财政拨款收入</w:t>
      </w:r>
      <w:r>
        <w:rPr>
          <w:rFonts w:hint="eastAsia" w:eastAsia="仿宋_GB2312" w:cs="仿宋_GB2312"/>
          <w:color w:val="auto"/>
          <w:sz w:val="32"/>
          <w:szCs w:val="32"/>
          <w:highlight w:val="none"/>
          <w:lang w:val="en-US" w:eastAsia="zh-CN"/>
        </w:rPr>
        <w:t>22645.97</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59.16%</w:t>
      </w:r>
      <w:r>
        <w:rPr>
          <w:rFonts w:hint="eastAsia" w:ascii="仿宋_GB2312" w:hAnsi="仿宋_GB2312" w:eastAsia="仿宋_GB2312" w:cs="仿宋_GB2312"/>
          <w:color w:val="auto"/>
          <w:sz w:val="32"/>
          <w:szCs w:val="32"/>
          <w:highlight w:val="none"/>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2"/>
          <w:rFonts w:hint="eastAsia" w:ascii="Times New Roman" w:hAnsi="Times New Roman" w:eastAsia="黑体"/>
          <w:b w:val="0"/>
          <w:color w:val="auto"/>
          <w:highlight w:val="none"/>
        </w:rPr>
      </w:pPr>
      <w:bookmarkStart w:id="57" w:name="_Toc2036990912_WPSOffice_Level2"/>
      <w:bookmarkStart w:id="58" w:name="_Toc15377207"/>
      <w:bookmarkStart w:id="59"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2"/>
          <w:rFonts w:hint="eastAsia" w:ascii="Times New Roman" w:hAnsi="Times New Roman" w:eastAsia="黑体"/>
          <w:b w:val="0"/>
          <w:color w:val="auto"/>
          <w:highlight w:val="none"/>
        </w:rPr>
        <w:t>出决算情况说明</w:t>
      </w:r>
      <w:bookmarkEnd w:id="57"/>
      <w:bookmarkEnd w:id="58"/>
      <w:bookmarkEnd w:id="59"/>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仿宋_GB2312"/>
          <w:b/>
          <w:bCs/>
          <w:color w:val="auto"/>
          <w:sz w:val="32"/>
          <w:szCs w:val="32"/>
          <w:highlight w:val="none"/>
          <w:lang w:eastAsia="zh-CN"/>
        </w:rPr>
      </w:pPr>
      <w:r>
        <w:rPr>
          <w:rFonts w:hint="eastAsia"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eastAsia="zh-CN"/>
        </w:rPr>
        <w:t>年度本年支出合计</w:t>
      </w:r>
      <w:r>
        <w:rPr>
          <w:rFonts w:hint="eastAsia" w:eastAsia="仿宋_GB2312" w:cs="仿宋_GB2312"/>
          <w:color w:val="auto"/>
          <w:sz w:val="32"/>
          <w:szCs w:val="32"/>
          <w:highlight w:val="none"/>
          <w:lang w:val="en-US" w:eastAsia="zh-CN"/>
        </w:rPr>
        <w:t>38276</w:t>
      </w:r>
      <w:r>
        <w:rPr>
          <w:rFonts w:hint="eastAsia" w:ascii="仿宋_GB2312" w:hAnsi="仿宋_GB2312" w:eastAsia="仿宋_GB2312" w:cs="仿宋_GB2312"/>
          <w:sz w:val="32"/>
          <w:szCs w:val="32"/>
        </w:rPr>
        <w:t>.</w:t>
      </w:r>
      <w:r>
        <w:rPr>
          <w:rFonts w:hint="eastAsia"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lang w:eastAsia="zh-CN"/>
        </w:rPr>
        <w:t>万元，其中：基本支出</w:t>
      </w:r>
      <w:r>
        <w:rPr>
          <w:rFonts w:hint="eastAsia" w:eastAsia="仿宋_GB2312" w:cs="仿宋_GB2312"/>
          <w:color w:val="auto"/>
          <w:sz w:val="32"/>
          <w:szCs w:val="32"/>
          <w:highlight w:val="none"/>
          <w:lang w:val="en-US" w:eastAsia="zh-CN"/>
        </w:rPr>
        <w:t>8558.17</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22.36%</w:t>
      </w:r>
      <w:r>
        <w:rPr>
          <w:rFonts w:hint="eastAsia" w:ascii="仿宋_GB2312" w:hAnsi="仿宋_GB2312" w:eastAsia="仿宋_GB2312" w:cs="仿宋_GB2312"/>
          <w:color w:val="auto"/>
          <w:sz w:val="32"/>
          <w:szCs w:val="32"/>
          <w:highlight w:val="none"/>
          <w:lang w:eastAsia="zh-CN"/>
        </w:rPr>
        <w:t>；项目支出</w:t>
      </w:r>
      <w:r>
        <w:rPr>
          <w:rFonts w:hint="eastAsia" w:eastAsia="仿宋_GB2312" w:cs="仿宋_GB2312"/>
          <w:color w:val="auto"/>
          <w:sz w:val="32"/>
          <w:szCs w:val="32"/>
          <w:highlight w:val="none"/>
          <w:lang w:val="en-US" w:eastAsia="zh-CN"/>
        </w:rPr>
        <w:t>29718.2</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77.64%</w:t>
      </w:r>
      <w:r>
        <w:rPr>
          <w:rFonts w:hint="eastAsia" w:ascii="仿宋_GB2312" w:hAnsi="仿宋_GB2312" w:eastAsia="仿宋_GB2312" w:cs="仿宋_GB2312"/>
          <w:color w:val="auto"/>
          <w:sz w:val="32"/>
          <w:szCs w:val="32"/>
          <w:highlight w:val="none"/>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32"/>
          <w:rFonts w:ascii="Times New Roman" w:hAnsi="Times New Roman" w:eastAsia="黑体"/>
          <w:b w:val="0"/>
          <w:color w:val="auto"/>
          <w:highlight w:val="none"/>
        </w:rPr>
      </w:pPr>
      <w:bookmarkStart w:id="60" w:name="_Toc15396606"/>
      <w:bookmarkStart w:id="61" w:name="_Toc240315044_WPSOffice_Level2"/>
      <w:bookmarkStart w:id="62" w:name="_Toc15377208"/>
      <w:r>
        <w:rPr>
          <w:rFonts w:hint="eastAsia" w:ascii="Times New Roman" w:hAnsi="Times New Roman" w:eastAsia="黑体"/>
          <w:color w:val="auto"/>
          <w:sz w:val="32"/>
          <w:szCs w:val="32"/>
          <w:highlight w:val="none"/>
        </w:rPr>
        <w:t>四、财</w:t>
      </w:r>
      <w:r>
        <w:rPr>
          <w:rStyle w:val="32"/>
          <w:rFonts w:hint="eastAsia" w:ascii="Times New Roman" w:hAnsi="Times New Roman" w:eastAsia="黑体"/>
          <w:b w:val="0"/>
          <w:color w:val="auto"/>
          <w:highlight w:val="none"/>
        </w:rPr>
        <w:t>政拨款收入支出决算总体情况说明</w:t>
      </w:r>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eastAsia="仿宋_GB2312" w:cs="仿宋_GB2312"/>
          <w:color w:val="auto"/>
          <w:sz w:val="32"/>
          <w:szCs w:val="32"/>
          <w:highlight w:val="none"/>
          <w:lang w:val="en-US" w:eastAsia="zh-CN"/>
        </w:rPr>
        <w:t>38276.37</w:t>
      </w:r>
      <w:r>
        <w:rPr>
          <w:rFonts w:hint="eastAsia" w:ascii="Times New Roman" w:hAnsi="Times New Roman" w:eastAsia="仿宋_GB2312" w:cs="仿宋_GB2312"/>
          <w:color w:val="auto"/>
          <w:kern w:val="2"/>
          <w:sz w:val="32"/>
          <w:szCs w:val="32"/>
          <w:highlight w:val="none"/>
          <w:lang w:val="en-US" w:eastAsia="zh-CN" w:bidi="ar-SA"/>
        </w:rPr>
        <w:t>万元。与2023年度相比，</w:t>
      </w:r>
      <w:r>
        <w:rPr>
          <w:rFonts w:hint="eastAsia" w:ascii="Times New Roman" w:hAnsi="Times New Roman" w:eastAsia="仿宋_GB2312" w:cs="仿宋_GB2312"/>
          <w:color w:val="auto"/>
          <w:sz w:val="32"/>
          <w:szCs w:val="32"/>
          <w:highlight w:val="none"/>
          <w:lang w:eastAsia="zh-CN"/>
        </w:rPr>
        <w:t>收</w:t>
      </w:r>
      <w:r>
        <w:rPr>
          <w:rFonts w:hint="eastAsia"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eastAsia="仿宋_GB2312" w:cs="仿宋_GB2312"/>
          <w:color w:val="auto"/>
          <w:sz w:val="32"/>
          <w:szCs w:val="32"/>
          <w:highlight w:val="none"/>
          <w:lang w:eastAsia="zh-CN"/>
        </w:rPr>
        <w:t>各</w:t>
      </w:r>
      <w:r>
        <w:rPr>
          <w:rFonts w:hint="eastAsia" w:ascii="Times New Roman" w:hAnsi="Times New Roman" w:eastAsia="仿宋_GB2312" w:cs="仿宋_GB2312"/>
          <w:color w:val="auto"/>
          <w:sz w:val="32"/>
          <w:szCs w:val="32"/>
          <w:highlight w:val="none"/>
        </w:rPr>
        <w:t>增加</w:t>
      </w:r>
      <w:r>
        <w:rPr>
          <w:rFonts w:hint="eastAsia" w:eastAsia="仿宋_GB2312" w:cs="仿宋_GB2312"/>
          <w:color w:val="auto"/>
          <w:sz w:val="32"/>
          <w:szCs w:val="32"/>
          <w:highlight w:val="none"/>
          <w:lang w:val="en-US" w:eastAsia="zh-CN"/>
        </w:rPr>
        <w:t>4359.53</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12.85%</w:t>
      </w:r>
      <w:r>
        <w:rPr>
          <w:rFonts w:hint="eastAsia" w:ascii="Times New Roman" w:hAnsi="Times New Roman" w:eastAsia="仿宋_GB2312" w:cs="仿宋_GB2312"/>
          <w:color w:val="auto"/>
          <w:sz w:val="32"/>
          <w:szCs w:val="32"/>
          <w:highlight w:val="none"/>
        </w:rPr>
        <w:t>。主要变动原因是</w:t>
      </w:r>
      <w:r>
        <w:rPr>
          <w:rFonts w:hint="eastAsia" w:ascii="仿宋_GB2312" w:hAnsi="宋体" w:eastAsia="仿宋_GB2312" w:cs="宋体"/>
          <w:color w:val="000000"/>
          <w:kern w:val="0"/>
          <w:sz w:val="32"/>
          <w:szCs w:val="32"/>
          <w:lang w:bidi="ar"/>
        </w:rPr>
        <w:t>局机关</w:t>
      </w:r>
      <w:r>
        <w:rPr>
          <w:rFonts w:hint="eastAsia" w:ascii="仿宋_GB2312" w:eastAsia="仿宋_GB2312"/>
          <w:sz w:val="32"/>
          <w:szCs w:val="32"/>
        </w:rPr>
        <w:t>生活污水处理设施建设PPP项目、主城区排水管网排查检测项目等项目支出较上年共增加</w:t>
      </w:r>
      <w:r>
        <w:rPr>
          <w:rFonts w:hint="eastAsia" w:eastAsia="仿宋_GB2312" w:cs="仿宋_GB2312"/>
          <w:color w:val="auto"/>
          <w:sz w:val="32"/>
          <w:szCs w:val="32"/>
          <w:highlight w:val="none"/>
          <w:lang w:val="en-US" w:eastAsia="zh-CN"/>
        </w:rPr>
        <w:t>718</w:t>
      </w:r>
      <w:r>
        <w:rPr>
          <w:rFonts w:hint="eastAsia" w:ascii="仿宋_GB2312"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市市政服务中心</w:t>
      </w:r>
      <w:r>
        <w:rPr>
          <w:rFonts w:hint="eastAsia" w:ascii="仿宋_GB2312" w:eastAsia="仿宋_GB2312"/>
          <w:sz w:val="32"/>
          <w:szCs w:val="32"/>
        </w:rPr>
        <w:t>项目支出较上年增加了</w:t>
      </w:r>
      <w:r>
        <w:rPr>
          <w:rFonts w:hint="eastAsia" w:eastAsia="仿宋_GB2312" w:cs="仿宋_GB2312"/>
          <w:color w:val="auto"/>
          <w:sz w:val="32"/>
          <w:szCs w:val="32"/>
          <w:highlight w:val="none"/>
          <w:lang w:val="en-US" w:eastAsia="zh-CN"/>
        </w:rPr>
        <w:t>4525</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hAnsi="仿宋_GB2312" w:eastAsia="仿宋_GB2312" w:cs="仿宋_GB2312"/>
          <w:sz w:val="32"/>
          <w:szCs w:val="32"/>
        </w:rPr>
        <w:t>城市排水防涝设施功能提升改造项目</w:t>
      </w:r>
      <w:r>
        <w:rPr>
          <w:rFonts w:hint="eastAsia" w:ascii="仿宋_GB2312" w:hAnsi="仿宋_GB2312" w:eastAsia="仿宋_GB2312" w:cs="仿宋_GB2312"/>
          <w:sz w:val="32"/>
          <w:szCs w:val="32"/>
          <w:lang w:eastAsia="zh-CN"/>
        </w:rPr>
        <w:t>较上年增加了</w:t>
      </w:r>
      <w:r>
        <w:rPr>
          <w:rFonts w:hint="eastAsia" w:ascii="仿宋_GB2312" w:hAnsi="仿宋_GB2312" w:eastAsia="仿宋_GB2312" w:cs="仿宋_GB2312"/>
          <w:sz w:val="32"/>
          <w:szCs w:val="32"/>
          <w:lang w:val="en-US" w:eastAsia="zh-CN"/>
        </w:rPr>
        <w:t>4377.77万元</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outlineLvl w:val="1"/>
        <w:rPr>
          <w:rStyle w:val="32"/>
          <w:rFonts w:ascii="Times New Roman" w:hAnsi="Times New Roman" w:eastAsia="黑体"/>
          <w:b w:val="0"/>
          <w:color w:val="auto"/>
          <w:highlight w:val="none"/>
        </w:rPr>
      </w:pPr>
      <w:bookmarkStart w:id="63" w:name="_Toc1119188202_WPSOffice_Level2"/>
      <w:bookmarkStart w:id="64" w:name="_Toc15396607"/>
      <w:bookmarkStart w:id="65"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2"/>
          <w:rFonts w:hint="eastAsia" w:ascii="Times New Roman" w:hAnsi="Times New Roman" w:eastAsia="黑体"/>
          <w:b w:val="0"/>
          <w:color w:val="auto"/>
          <w:highlight w:val="none"/>
        </w:rPr>
        <w:t>般公共预算财政拨款支出决算情况说明</w:t>
      </w:r>
      <w:bookmarkEnd w:id="63"/>
      <w:bookmarkEnd w:id="64"/>
      <w:bookmarkEnd w:id="65"/>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66"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66"/>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仿宋_GB2312" w:eastAsia="仿宋_GB2312"/>
          <w:color w:val="0000FF"/>
          <w:sz w:val="32"/>
          <w:szCs w:val="32"/>
        </w:rPr>
      </w:pPr>
      <w:r>
        <w:rPr>
          <w:rFonts w:hint="eastAsia" w:eastAsia="仿宋_GB2312" w:cs="仿宋_GB2312"/>
          <w:color w:val="auto"/>
          <w:sz w:val="32"/>
          <w:szCs w:val="32"/>
          <w:highlight w:val="none"/>
          <w:lang w:val="en-US" w:eastAsia="zh-CN"/>
        </w:rPr>
        <w:t>2024</w:t>
      </w:r>
      <w:r>
        <w:rPr>
          <w:rFonts w:hint="eastAsia" w:ascii="仿宋_GB2312" w:hAnsi="仿宋_GB2312" w:eastAsia="仿宋_GB2312" w:cs="仿宋_GB2312"/>
          <w:color w:val="auto"/>
          <w:kern w:val="2"/>
          <w:sz w:val="32"/>
          <w:szCs w:val="32"/>
          <w:highlight w:val="none"/>
          <w:lang w:val="en-US" w:eastAsia="zh-CN" w:bidi="ar-SA"/>
        </w:rPr>
        <w:t>年度一般公共预算财政拨款支出</w:t>
      </w:r>
      <w:r>
        <w:rPr>
          <w:rFonts w:hint="eastAsia" w:eastAsia="仿宋_GB2312" w:cs="仿宋_GB2312"/>
          <w:color w:val="auto"/>
          <w:sz w:val="32"/>
          <w:szCs w:val="32"/>
          <w:highlight w:val="none"/>
          <w:lang w:val="en-US" w:eastAsia="zh-CN"/>
        </w:rPr>
        <w:t>15630.4</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eastAsia="仿宋_GB2312" w:cs="仿宋_GB2312"/>
          <w:color w:val="auto"/>
          <w:sz w:val="32"/>
          <w:szCs w:val="32"/>
          <w:highlight w:val="none"/>
          <w:lang w:val="en-US" w:eastAsia="zh-CN"/>
        </w:rPr>
        <w:t>40.84%</w:t>
      </w:r>
      <w:r>
        <w:rPr>
          <w:rFonts w:hint="eastAsia" w:ascii="仿宋_GB2312" w:hAnsi="仿宋_GB2312" w:eastAsia="仿宋_GB2312" w:cs="仿宋_GB2312"/>
          <w:color w:val="auto"/>
          <w:kern w:val="2"/>
          <w:sz w:val="32"/>
          <w:szCs w:val="32"/>
          <w:highlight w:val="none"/>
          <w:lang w:val="en-US" w:eastAsia="zh-CN" w:bidi="ar-SA"/>
        </w:rPr>
        <w:t>。与</w:t>
      </w:r>
      <w:r>
        <w:rPr>
          <w:rFonts w:hint="eastAsia" w:eastAsia="仿宋_GB2312" w:cs="仿宋_GB2312"/>
          <w:color w:val="auto"/>
          <w:sz w:val="32"/>
          <w:szCs w:val="32"/>
          <w:highlight w:val="none"/>
          <w:lang w:val="en-US" w:eastAsia="zh-CN"/>
        </w:rPr>
        <w:t>2023</w:t>
      </w:r>
      <w:r>
        <w:rPr>
          <w:rFonts w:hint="eastAsia" w:ascii="仿宋_GB2312" w:hAnsi="仿宋_GB2312" w:eastAsia="仿宋_GB2312" w:cs="仿宋_GB2312"/>
          <w:color w:val="auto"/>
          <w:kern w:val="2"/>
          <w:sz w:val="32"/>
          <w:szCs w:val="32"/>
          <w:highlight w:val="none"/>
          <w:lang w:val="en-US" w:eastAsia="zh-CN" w:bidi="ar-SA"/>
        </w:rPr>
        <w:t>年度相比，一般公共预算财政拨款支出增加</w:t>
      </w:r>
      <w:r>
        <w:rPr>
          <w:rFonts w:hint="eastAsia" w:eastAsia="仿宋_GB2312" w:cs="仿宋_GB2312"/>
          <w:color w:val="auto"/>
          <w:sz w:val="32"/>
          <w:szCs w:val="32"/>
          <w:highlight w:val="none"/>
          <w:lang w:val="en-US" w:eastAsia="zh-CN"/>
        </w:rPr>
        <w:t>3602.63</w:t>
      </w:r>
      <w:r>
        <w:rPr>
          <w:rFonts w:hint="eastAsia" w:ascii="仿宋_GB2312" w:hAnsi="仿宋_GB2312" w:eastAsia="仿宋_GB2312" w:cs="仿宋_GB2312"/>
          <w:color w:val="auto"/>
          <w:kern w:val="2"/>
          <w:sz w:val="32"/>
          <w:szCs w:val="32"/>
          <w:highlight w:val="none"/>
          <w:lang w:val="en-US" w:eastAsia="zh-CN" w:bidi="ar-SA"/>
        </w:rPr>
        <w:t>万元，增长</w:t>
      </w:r>
      <w:r>
        <w:rPr>
          <w:rFonts w:hint="eastAsia" w:eastAsia="仿宋_GB2312" w:cs="仿宋_GB2312"/>
          <w:color w:val="auto"/>
          <w:sz w:val="32"/>
          <w:szCs w:val="32"/>
          <w:highlight w:val="none"/>
          <w:lang w:val="en-US" w:eastAsia="zh-CN"/>
        </w:rPr>
        <w:t>29.95%</w:t>
      </w:r>
      <w:r>
        <w:rPr>
          <w:rFonts w:hint="eastAsia" w:ascii="仿宋_GB2312" w:hAnsi="仿宋_GB2312" w:eastAsia="仿宋_GB2312" w:cs="仿宋_GB2312"/>
          <w:color w:val="auto"/>
          <w:kern w:val="2"/>
          <w:sz w:val="32"/>
          <w:szCs w:val="32"/>
          <w:highlight w:val="none"/>
          <w:lang w:val="en-US" w:eastAsia="zh-CN" w:bidi="ar-SA"/>
        </w:rPr>
        <w:t>。主要变动原因是</w:t>
      </w:r>
      <w:r>
        <w:rPr>
          <w:rFonts w:hint="eastAsia" w:ascii="仿宋_GB2312" w:hAnsi="仿宋" w:eastAsia="仿宋_GB2312"/>
          <w:color w:val="auto"/>
          <w:sz w:val="32"/>
          <w:szCs w:val="32"/>
        </w:rPr>
        <w:t>市市政服务中心</w:t>
      </w:r>
      <w:r>
        <w:rPr>
          <w:rFonts w:hint="eastAsia" w:ascii="仿宋_GB2312" w:eastAsia="仿宋_GB2312"/>
          <w:color w:val="auto"/>
          <w:sz w:val="32"/>
          <w:szCs w:val="32"/>
        </w:rPr>
        <w:t>项目支出较上年增加了</w:t>
      </w:r>
      <w:r>
        <w:rPr>
          <w:rFonts w:hint="eastAsia" w:eastAsia="仿宋_GB2312" w:cs="仿宋_GB2312"/>
          <w:color w:val="auto"/>
          <w:sz w:val="32"/>
          <w:szCs w:val="32"/>
          <w:highlight w:val="none"/>
          <w:lang w:val="en-US" w:eastAsia="zh-CN"/>
        </w:rPr>
        <w:t>4525</w:t>
      </w:r>
      <w:r>
        <w:rPr>
          <w:rFonts w:hint="eastAsia" w:ascii="仿宋_GB2312" w:eastAsia="仿宋_GB2312"/>
          <w:color w:val="auto"/>
          <w:sz w:val="32"/>
          <w:szCs w:val="32"/>
        </w:rPr>
        <w:t>万元</w:t>
      </w:r>
      <w:r>
        <w:rPr>
          <w:rFonts w:hint="eastAsia" w:ascii="仿宋_GB2312" w:eastAsia="仿宋_GB2312"/>
          <w:color w:val="auto"/>
          <w:sz w:val="32"/>
          <w:szCs w:val="32"/>
          <w:lang w:eastAsia="zh-CN"/>
        </w:rPr>
        <w:t>，其中</w:t>
      </w:r>
      <w:r>
        <w:rPr>
          <w:rFonts w:hint="eastAsia" w:ascii="仿宋_GB2312" w:hAnsi="仿宋_GB2312" w:eastAsia="仿宋_GB2312" w:cs="仿宋_GB2312"/>
          <w:sz w:val="32"/>
          <w:szCs w:val="32"/>
        </w:rPr>
        <w:t>城市排水防涝设施功能提升改造项目</w:t>
      </w:r>
      <w:r>
        <w:rPr>
          <w:rFonts w:hint="eastAsia" w:ascii="仿宋_GB2312" w:hAnsi="仿宋_GB2312" w:eastAsia="仿宋_GB2312" w:cs="仿宋_GB2312"/>
          <w:sz w:val="32"/>
          <w:szCs w:val="32"/>
          <w:lang w:eastAsia="zh-CN"/>
        </w:rPr>
        <w:t>较上年增加了</w:t>
      </w:r>
      <w:r>
        <w:rPr>
          <w:rFonts w:hint="eastAsia" w:ascii="仿宋_GB2312" w:hAnsi="仿宋_GB2312" w:eastAsia="仿宋_GB2312" w:cs="仿宋_GB2312"/>
          <w:sz w:val="32"/>
          <w:szCs w:val="32"/>
          <w:lang w:val="en-US" w:eastAsia="zh-CN"/>
        </w:rPr>
        <w:t>4377.77万元</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color w:val="0000FF"/>
          <w:sz w:val="32"/>
          <w:szCs w:val="32"/>
          <w:lang w:val="en-US" w:eastAsia="zh-CN"/>
        </w:rPr>
      </w:pPr>
      <w:r>
        <w:rPr>
          <w:rFonts w:hint="eastAsia" w:ascii="仿宋_GB2312" w:eastAsia="仿宋_GB2312"/>
          <w:color w:val="0000FF"/>
          <w:sz w:val="32"/>
          <w:szCs w:val="32"/>
          <w:lang w:val="en-US" w:eastAsia="zh-CN"/>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67"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67"/>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eastAsia="仿宋_GB2312" w:cs="仿宋_GB2312"/>
          <w:color w:val="auto"/>
          <w:kern w:val="2"/>
          <w:sz w:val="32"/>
          <w:szCs w:val="32"/>
          <w:highlight w:val="none"/>
          <w:lang w:val="en-US" w:eastAsia="zh-CN" w:bidi="ar-SA"/>
        </w:rPr>
        <w:t>15630.4</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9.38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0.06</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2171.22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13.89%</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358.03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2.29</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城乡社区支出12531.69万元，占80.18%；</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520.08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3.33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其他</w:t>
      </w:r>
      <w:r>
        <w:rPr>
          <w:rFonts w:hint="eastAsia" w:ascii="Times New Roman" w:hAnsi="Times New Roman" w:eastAsia="仿宋_GB2312" w:cs="仿宋_GB2312"/>
          <w:color w:val="auto"/>
          <w:kern w:val="2"/>
          <w:sz w:val="32"/>
          <w:szCs w:val="32"/>
          <w:highlight w:val="none"/>
          <w:lang w:val="en-US" w:eastAsia="zh-CN" w:bidi="ar-SA"/>
        </w:rPr>
        <w:t>支出</w:t>
      </w:r>
      <w:r>
        <w:rPr>
          <w:rFonts w:hint="eastAsia" w:eastAsia="仿宋_GB2312" w:cs="仿宋_GB2312"/>
          <w:color w:val="auto"/>
          <w:kern w:val="2"/>
          <w:sz w:val="32"/>
          <w:szCs w:val="32"/>
          <w:highlight w:val="none"/>
          <w:lang w:val="en-US" w:eastAsia="zh-CN" w:bidi="ar-SA"/>
        </w:rPr>
        <w:t>40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0.25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bidi w:val="0"/>
        <w:adjustRightInd/>
        <w:spacing w:line="578"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68"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68"/>
    </w:p>
    <w:p>
      <w:pPr>
        <w:keepNext w:val="0"/>
        <w:keepLines w:val="0"/>
        <w:pageBreakBefore w:val="0"/>
        <w:widowControl w:val="0"/>
        <w:kinsoku/>
        <w:wordWrap/>
        <w:overflowPunct/>
        <w:topLinePunct w:val="0"/>
        <w:autoSpaceDE/>
        <w:bidi w:val="0"/>
        <w:adjustRightInd/>
        <w:spacing w:line="578"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69" w:name="_Toc15377444"/>
      <w:bookmarkStart w:id="70" w:name="_Toc15377213"/>
      <w:bookmarkStart w:id="71"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eastAsia="仿宋_GB2312" w:cs="仿宋_GB2312"/>
          <w:color w:val="auto"/>
          <w:kern w:val="2"/>
          <w:sz w:val="32"/>
          <w:szCs w:val="32"/>
          <w:highlight w:val="none"/>
          <w:lang w:val="en-US" w:eastAsia="zh-CN" w:bidi="ar-SA"/>
        </w:rPr>
        <w:t>15630.4万元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69"/>
      <w:bookmarkEnd w:id="70"/>
      <w:bookmarkEnd w:id="71"/>
    </w:p>
    <w:p>
      <w:pPr>
        <w:keepNext w:val="0"/>
        <w:keepLines w:val="0"/>
        <w:pageBreakBefore w:val="0"/>
        <w:widowControl w:val="0"/>
        <w:numPr>
          <w:ilvl w:val="0"/>
          <w:numId w:val="0"/>
        </w:numPr>
        <w:kinsoku/>
        <w:wordWrap/>
        <w:overflowPunct/>
        <w:topLinePunct w:val="0"/>
        <w:autoSpaceDE/>
        <w:bidi w:val="0"/>
        <w:adjustRightInd/>
        <w:spacing w:line="578"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一般公共服务（类）</w:t>
      </w:r>
    </w:p>
    <w:p>
      <w:pPr>
        <w:keepNext w:val="0"/>
        <w:keepLines w:val="0"/>
        <w:pageBreakBefore w:val="0"/>
        <w:widowControl w:val="0"/>
        <w:kinsoku/>
        <w:wordWrap/>
        <w:overflowPunct/>
        <w:topLinePunct w:val="0"/>
        <w:autoSpaceDE/>
        <w:bidi w:val="0"/>
        <w:adjustRightInd/>
        <w:spacing w:line="578" w:lineRule="exact"/>
        <w:ind w:firstLine="64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val="0"/>
          <w:bCs/>
          <w:kern w:val="0"/>
          <w:sz w:val="32"/>
          <w:szCs w:val="32"/>
          <w:lang w:bidi="ar"/>
        </w:rPr>
        <w:t>组织事务（款）其他组织事务支出（项）</w:t>
      </w:r>
      <w:r>
        <w:rPr>
          <w:rFonts w:hint="eastAsia" w:ascii="仿宋_GB2312" w:hAnsi="仿宋_GB2312" w:eastAsia="仿宋_GB2312" w:cs="仿宋_GB2312"/>
          <w:b w:val="0"/>
          <w:bCs/>
          <w:kern w:val="0"/>
          <w:sz w:val="32"/>
          <w:szCs w:val="32"/>
          <w:lang w:eastAsia="zh-CN" w:bidi="ar"/>
        </w:rPr>
        <w:t>：</w:t>
      </w:r>
      <w:r>
        <w:rPr>
          <w:rFonts w:hint="eastAsia" w:ascii="仿宋_GB2312" w:hAnsi="仿宋_GB2312" w:eastAsia="仿宋_GB2312" w:cs="仿宋_GB2312"/>
          <w:kern w:val="0"/>
          <w:sz w:val="32"/>
          <w:szCs w:val="32"/>
          <w:lang w:bidi="ar"/>
        </w:rPr>
        <w:t xml:space="preserve"> 支出决算为</w:t>
      </w:r>
      <w:r>
        <w:rPr>
          <w:rFonts w:hint="eastAsia" w:eastAsia="仿宋_GB2312" w:cs="仿宋_GB2312"/>
          <w:color w:val="auto"/>
          <w:kern w:val="2"/>
          <w:sz w:val="32"/>
          <w:szCs w:val="32"/>
          <w:highlight w:val="none"/>
          <w:lang w:val="en-US" w:eastAsia="zh-CN" w:bidi="ar-SA"/>
        </w:rPr>
        <w:t>9.38万元</w:t>
      </w:r>
      <w:r>
        <w:rPr>
          <w:rFonts w:hint="eastAsia" w:ascii="仿宋_GB2312" w:hAnsi="仿宋_GB2312" w:eastAsia="仿宋_GB2312" w:cs="仿宋_GB2312"/>
          <w:kern w:val="0"/>
          <w:sz w:val="32"/>
          <w:szCs w:val="32"/>
          <w:lang w:bidi="ar"/>
        </w:rPr>
        <w:t>，完成预算100%。</w:t>
      </w:r>
    </w:p>
    <w:p>
      <w:pPr>
        <w:keepNext w:val="0"/>
        <w:keepLines w:val="0"/>
        <w:pageBreakBefore w:val="0"/>
        <w:widowControl w:val="0"/>
        <w:numPr>
          <w:ilvl w:val="0"/>
          <w:numId w:val="0"/>
        </w:numPr>
        <w:kinsoku/>
        <w:wordWrap/>
        <w:overflowPunct/>
        <w:topLinePunct w:val="0"/>
        <w:autoSpaceDE/>
        <w:bidi w:val="0"/>
        <w:adjustRightInd/>
        <w:spacing w:line="578"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社会保障和就业（类）</w:t>
      </w:r>
    </w:p>
    <w:p>
      <w:pPr>
        <w:pStyle w:val="17"/>
        <w:keepNext w:val="0"/>
        <w:keepLines w:val="0"/>
        <w:pageBreakBefore w:val="0"/>
        <w:widowControl w:val="0"/>
        <w:kinsoku/>
        <w:wordWrap/>
        <w:overflowPunct/>
        <w:topLinePunct w:val="0"/>
        <w:autoSpaceDE/>
        <w:autoSpaceDN w:val="0"/>
        <w:bidi w:val="0"/>
        <w:adjustRightInd/>
        <w:snapToGrid w:val="0"/>
        <w:spacing w:line="578" w:lineRule="exact"/>
        <w:ind w:firstLine="640" w:firstLineChars="200"/>
        <w:jc w:val="both"/>
        <w:textAlignment w:val="auto"/>
        <w:rPr>
          <w:rStyle w:val="20"/>
          <w:rFonts w:hint="eastAsia" w:ascii="仿宋_GB2312" w:hAnsi="仿宋_GB2312" w:eastAsia="仿宋_GB2312" w:cs="仿宋_GB2312"/>
          <w:b w:val="0"/>
          <w:bCs w:val="0"/>
          <w:snapToGrid w:val="0"/>
          <w:sz w:val="32"/>
          <w:szCs w:val="32"/>
          <w:lang w:eastAsia="zh-CN" w:bidi="ar"/>
        </w:rPr>
      </w:pPr>
      <w:r>
        <w:rPr>
          <w:rStyle w:val="20"/>
          <w:rFonts w:hint="eastAsia" w:ascii="仿宋_GB2312" w:hAnsi="仿宋_GB2312" w:eastAsia="仿宋_GB2312" w:cs="仿宋_GB2312"/>
          <w:b w:val="0"/>
          <w:bCs w:val="0"/>
          <w:snapToGrid w:val="0"/>
          <w:sz w:val="32"/>
          <w:szCs w:val="32"/>
          <w:lang w:bidi="ar"/>
        </w:rPr>
        <w:t>人力资源和社会保障管理事务（款）其他人力资源和社会保障管理事务支出（项）：支出决算为</w:t>
      </w:r>
      <w:r>
        <w:rPr>
          <w:rFonts w:hint="eastAsia" w:ascii="Times New Roman" w:hAnsi="Times New Roman" w:eastAsia="仿宋_GB2312" w:cs="仿宋_GB2312"/>
          <w:color w:val="auto"/>
          <w:kern w:val="2"/>
          <w:sz w:val="32"/>
          <w:szCs w:val="32"/>
          <w:highlight w:val="none"/>
          <w:lang w:val="en-US" w:eastAsia="zh-CN" w:bidi="ar-SA"/>
        </w:rPr>
        <w:t>24.24</w:t>
      </w:r>
      <w:r>
        <w:rPr>
          <w:rStyle w:val="20"/>
          <w:rFonts w:hint="eastAsia" w:ascii="仿宋_GB2312" w:hAnsi="仿宋_GB2312" w:eastAsia="仿宋_GB2312" w:cs="仿宋_GB2312"/>
          <w:b w:val="0"/>
          <w:bCs w:val="0"/>
          <w:snapToGrid w:val="0"/>
          <w:sz w:val="32"/>
          <w:szCs w:val="32"/>
          <w:lang w:bidi="ar"/>
        </w:rPr>
        <w:t>万元，完成预算100%</w:t>
      </w:r>
      <w:r>
        <w:rPr>
          <w:rStyle w:val="20"/>
          <w:rFonts w:hint="eastAsia" w:ascii="仿宋_GB2312" w:hAnsi="仿宋_GB2312" w:eastAsia="仿宋_GB2312" w:cs="仿宋_GB2312"/>
          <w:b w:val="0"/>
          <w:bCs w:val="0"/>
          <w:snapToGrid w:val="0"/>
          <w:sz w:val="32"/>
          <w:szCs w:val="32"/>
          <w:lang w:eastAsia="zh-CN" w:bidi="ar"/>
        </w:rPr>
        <w:t>。</w:t>
      </w:r>
    </w:p>
    <w:p>
      <w:pPr>
        <w:pStyle w:val="17"/>
        <w:keepNext w:val="0"/>
        <w:keepLines w:val="0"/>
        <w:pageBreakBefore w:val="0"/>
        <w:widowControl w:val="0"/>
        <w:kinsoku/>
        <w:wordWrap/>
        <w:overflowPunct/>
        <w:topLinePunct w:val="0"/>
        <w:autoSpaceDE/>
        <w:autoSpaceDN w:val="0"/>
        <w:bidi w:val="0"/>
        <w:adjustRightInd/>
        <w:snapToGrid w:val="0"/>
        <w:spacing w:line="578" w:lineRule="exact"/>
        <w:ind w:firstLine="640" w:firstLineChars="200"/>
        <w:jc w:val="both"/>
        <w:textAlignment w:val="auto"/>
        <w:rPr>
          <w:rStyle w:val="20"/>
          <w:rFonts w:hint="eastAsia" w:ascii="仿宋_GB2312" w:hAnsi="仿宋_GB2312" w:eastAsia="仿宋_GB2312" w:cs="仿宋_GB2312"/>
          <w:b w:val="0"/>
          <w:bCs w:val="0"/>
          <w:snapToGrid w:val="0"/>
          <w:sz w:val="32"/>
          <w:szCs w:val="32"/>
          <w:lang w:bidi="ar"/>
        </w:rPr>
      </w:pPr>
      <w:r>
        <w:rPr>
          <w:rStyle w:val="20"/>
          <w:rFonts w:hint="eastAsia" w:ascii="仿宋_GB2312" w:hAnsi="仿宋_GB2312" w:eastAsia="仿宋_GB2312" w:cs="仿宋_GB2312"/>
          <w:b w:val="0"/>
          <w:bCs w:val="0"/>
          <w:snapToGrid w:val="0"/>
          <w:sz w:val="32"/>
          <w:szCs w:val="32"/>
          <w:lang w:bidi="ar"/>
        </w:rPr>
        <w:t>行政事业单位养老支出（款）行政单位离退休（项）</w:t>
      </w:r>
      <w:r>
        <w:rPr>
          <w:rStyle w:val="20"/>
          <w:rFonts w:hint="eastAsia" w:ascii="仿宋_GB2312" w:hAnsi="仿宋_GB2312" w:eastAsia="仿宋_GB2312" w:cs="仿宋_GB2312"/>
          <w:b w:val="0"/>
          <w:bCs w:val="0"/>
          <w:snapToGrid w:val="0"/>
          <w:sz w:val="32"/>
          <w:szCs w:val="32"/>
          <w:lang w:eastAsia="zh-CN" w:bidi="ar"/>
        </w:rPr>
        <w:t>：</w:t>
      </w:r>
      <w:r>
        <w:rPr>
          <w:rStyle w:val="20"/>
          <w:rFonts w:hint="eastAsia" w:ascii="仿宋_GB2312" w:hAnsi="仿宋_GB2312" w:eastAsia="仿宋_GB2312" w:cs="仿宋_GB2312"/>
          <w:b w:val="0"/>
          <w:bCs w:val="0"/>
          <w:snapToGrid w:val="0"/>
          <w:sz w:val="32"/>
          <w:szCs w:val="32"/>
          <w:lang w:bidi="ar"/>
        </w:rPr>
        <w:t xml:space="preserve"> 支出决算为</w:t>
      </w:r>
      <w:r>
        <w:rPr>
          <w:rFonts w:hint="eastAsia" w:ascii="Times New Roman" w:hAnsi="Times New Roman" w:eastAsia="仿宋_GB2312" w:cs="仿宋_GB2312"/>
          <w:color w:val="auto"/>
          <w:kern w:val="2"/>
          <w:sz w:val="32"/>
          <w:szCs w:val="32"/>
          <w:highlight w:val="none"/>
          <w:lang w:val="en-US" w:eastAsia="zh-CN" w:bidi="ar-SA"/>
        </w:rPr>
        <w:t>484.62</w:t>
      </w:r>
      <w:r>
        <w:rPr>
          <w:rStyle w:val="20"/>
          <w:rFonts w:hint="eastAsia" w:ascii="仿宋_GB2312" w:hAnsi="仿宋_GB2312" w:eastAsia="仿宋_GB2312" w:cs="仿宋_GB2312"/>
          <w:b w:val="0"/>
          <w:bCs w:val="0"/>
          <w:snapToGrid w:val="0"/>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20"/>
          <w:rFonts w:hint="eastAsia" w:ascii="仿宋_GB2312" w:hAnsi="仿宋_GB2312" w:eastAsia="仿宋_GB2312" w:cs="仿宋_GB2312"/>
          <w:b w:val="0"/>
          <w:bCs w:val="0"/>
          <w:snapToGrid w:val="0"/>
          <w:sz w:val="32"/>
          <w:szCs w:val="32"/>
          <w:lang w:bidi="ar"/>
        </w:rPr>
        <w:t>事业单位离退休（项）：支出决算为</w:t>
      </w:r>
      <w:r>
        <w:rPr>
          <w:rFonts w:hint="eastAsia" w:ascii="Times New Roman" w:hAnsi="Times New Roman" w:eastAsia="仿宋_GB2312" w:cs="仿宋_GB2312"/>
          <w:color w:val="auto"/>
          <w:kern w:val="2"/>
          <w:sz w:val="32"/>
          <w:szCs w:val="32"/>
          <w:highlight w:val="none"/>
          <w:lang w:val="en-US" w:eastAsia="zh-CN" w:bidi="ar-SA"/>
        </w:rPr>
        <w:t>775.17</w:t>
      </w:r>
      <w:r>
        <w:rPr>
          <w:rStyle w:val="20"/>
          <w:rFonts w:hint="eastAsia" w:ascii="仿宋_GB2312" w:hAnsi="仿宋_GB2312" w:eastAsia="仿宋_GB2312" w:cs="仿宋_GB2312"/>
          <w:b w:val="0"/>
          <w:bCs w:val="0"/>
          <w:snapToGrid w:val="0"/>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20"/>
          <w:rFonts w:hint="eastAsia" w:ascii="仿宋_GB2312" w:hAnsi="仿宋_GB2312" w:eastAsia="仿宋_GB2312" w:cs="仿宋_GB2312"/>
          <w:b w:val="0"/>
          <w:bCs w:val="0"/>
          <w:snapToGrid w:val="0"/>
          <w:sz w:val="32"/>
          <w:szCs w:val="32"/>
          <w:lang w:bidi="ar"/>
        </w:rPr>
        <w:t>；机关事业单位基本养老保险缴费支出（项）：支出决算为</w:t>
      </w:r>
      <w:r>
        <w:rPr>
          <w:rFonts w:hint="eastAsia" w:ascii="Times New Roman" w:hAnsi="Times New Roman" w:eastAsia="仿宋_GB2312" w:cs="仿宋_GB2312"/>
          <w:color w:val="auto"/>
          <w:kern w:val="2"/>
          <w:sz w:val="32"/>
          <w:szCs w:val="32"/>
          <w:highlight w:val="none"/>
          <w:lang w:val="en-US" w:eastAsia="zh-CN" w:bidi="ar-SA"/>
        </w:rPr>
        <w:t>663.12</w:t>
      </w:r>
      <w:r>
        <w:rPr>
          <w:rStyle w:val="20"/>
          <w:rFonts w:hint="eastAsia" w:ascii="仿宋_GB2312" w:hAnsi="仿宋_GB2312" w:eastAsia="仿宋_GB2312" w:cs="仿宋_GB2312"/>
          <w:b w:val="0"/>
          <w:bCs w:val="0"/>
          <w:snapToGrid w:val="0"/>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20"/>
          <w:rFonts w:hint="eastAsia" w:ascii="仿宋_GB2312" w:hAnsi="仿宋_GB2312" w:eastAsia="仿宋_GB2312" w:cs="仿宋_GB2312"/>
          <w:b w:val="0"/>
          <w:bCs w:val="0"/>
          <w:snapToGrid w:val="0"/>
          <w:sz w:val="32"/>
          <w:szCs w:val="32"/>
          <w:lang w:bidi="ar"/>
        </w:rPr>
        <w:t>；机关事业单位职业年金缴费支出（项）：支出决算为</w:t>
      </w:r>
      <w:r>
        <w:rPr>
          <w:rFonts w:hint="eastAsia" w:ascii="Times New Roman" w:hAnsi="Times New Roman" w:eastAsia="仿宋_GB2312" w:cs="仿宋_GB2312"/>
          <w:color w:val="auto"/>
          <w:kern w:val="2"/>
          <w:sz w:val="32"/>
          <w:szCs w:val="32"/>
          <w:highlight w:val="none"/>
          <w:lang w:val="en-US" w:eastAsia="zh-CN" w:bidi="ar-SA"/>
        </w:rPr>
        <w:t>48.9</w:t>
      </w:r>
      <w:r>
        <w:rPr>
          <w:rStyle w:val="20"/>
          <w:rFonts w:hint="eastAsia" w:ascii="仿宋_GB2312" w:hAnsi="仿宋_GB2312" w:eastAsia="仿宋_GB2312" w:cs="仿宋_GB2312"/>
          <w:b w:val="0"/>
          <w:bCs w:val="0"/>
          <w:snapToGrid w:val="0"/>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20"/>
          <w:rFonts w:hint="eastAsia" w:ascii="仿宋_GB2312" w:hAnsi="仿宋_GB2312" w:eastAsia="仿宋_GB2312" w:cs="仿宋_GB2312"/>
          <w:b w:val="0"/>
          <w:bCs w:val="0"/>
          <w:snapToGrid w:val="0"/>
          <w:sz w:val="32"/>
          <w:szCs w:val="32"/>
          <w:lang w:bidi="ar"/>
        </w:rPr>
        <w:t>。</w:t>
      </w:r>
    </w:p>
    <w:p>
      <w:pPr>
        <w:pStyle w:val="17"/>
        <w:keepNext w:val="0"/>
        <w:keepLines w:val="0"/>
        <w:pageBreakBefore w:val="0"/>
        <w:widowControl w:val="0"/>
        <w:kinsoku/>
        <w:wordWrap/>
        <w:overflowPunct/>
        <w:topLinePunct w:val="0"/>
        <w:autoSpaceDE/>
        <w:autoSpaceDN w:val="0"/>
        <w:bidi w:val="0"/>
        <w:adjustRightInd/>
        <w:snapToGrid w:val="0"/>
        <w:spacing w:line="578" w:lineRule="exact"/>
        <w:ind w:firstLine="640" w:firstLineChars="200"/>
        <w:jc w:val="both"/>
        <w:textAlignment w:val="auto"/>
        <w:rPr>
          <w:rStyle w:val="20"/>
          <w:rFonts w:hint="eastAsia" w:ascii="仿宋_GB2312" w:hAnsi="仿宋_GB2312" w:eastAsia="仿宋_GB2312" w:cs="仿宋_GB2312"/>
          <w:b w:val="0"/>
          <w:bCs w:val="0"/>
          <w:snapToGrid w:val="0"/>
          <w:sz w:val="32"/>
          <w:szCs w:val="32"/>
          <w:lang w:bidi="ar"/>
        </w:rPr>
      </w:pPr>
      <w:r>
        <w:rPr>
          <w:rStyle w:val="20"/>
          <w:rFonts w:hint="eastAsia" w:ascii="仿宋_GB2312" w:hAnsi="仿宋_GB2312" w:eastAsia="仿宋_GB2312" w:cs="仿宋_GB2312"/>
          <w:b w:val="0"/>
          <w:bCs w:val="0"/>
          <w:snapToGrid w:val="0"/>
          <w:sz w:val="32"/>
          <w:szCs w:val="32"/>
          <w:lang w:bidi="ar"/>
        </w:rPr>
        <w:t>抚恤（款）死亡抚恤（项）：支出决算为</w:t>
      </w:r>
      <w:r>
        <w:rPr>
          <w:rFonts w:hint="eastAsia" w:ascii="Times New Roman" w:hAnsi="Times New Roman" w:eastAsia="仿宋_GB2312" w:cs="仿宋_GB2312"/>
          <w:color w:val="auto"/>
          <w:kern w:val="2"/>
          <w:sz w:val="32"/>
          <w:szCs w:val="32"/>
          <w:highlight w:val="none"/>
          <w:lang w:val="en-US" w:eastAsia="zh-CN" w:bidi="ar-SA"/>
        </w:rPr>
        <w:t>172.32</w:t>
      </w:r>
      <w:r>
        <w:rPr>
          <w:rStyle w:val="20"/>
          <w:rFonts w:hint="eastAsia" w:ascii="仿宋_GB2312" w:hAnsi="仿宋_GB2312" w:eastAsia="仿宋_GB2312" w:cs="仿宋_GB2312"/>
          <w:b w:val="0"/>
          <w:bCs w:val="0"/>
          <w:snapToGrid w:val="0"/>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20"/>
          <w:rFonts w:hint="eastAsia" w:ascii="仿宋_GB2312" w:hAnsi="仿宋_GB2312" w:eastAsia="仿宋_GB2312" w:cs="仿宋_GB2312"/>
          <w:b w:val="0"/>
          <w:bCs w:val="0"/>
          <w:snapToGrid w:val="0"/>
          <w:sz w:val="32"/>
          <w:szCs w:val="32"/>
          <w:lang w:bidi="ar"/>
        </w:rPr>
        <w:t>。</w:t>
      </w:r>
    </w:p>
    <w:p>
      <w:pPr>
        <w:pStyle w:val="17"/>
        <w:keepNext w:val="0"/>
        <w:keepLines w:val="0"/>
        <w:pageBreakBefore w:val="0"/>
        <w:widowControl w:val="0"/>
        <w:kinsoku/>
        <w:wordWrap/>
        <w:overflowPunct/>
        <w:topLinePunct w:val="0"/>
        <w:autoSpaceDE/>
        <w:autoSpaceDN w:val="0"/>
        <w:bidi w:val="0"/>
        <w:adjustRightInd/>
        <w:snapToGrid w:val="0"/>
        <w:spacing w:line="578" w:lineRule="exact"/>
        <w:ind w:firstLine="640" w:firstLineChars="200"/>
        <w:jc w:val="both"/>
        <w:textAlignment w:val="auto"/>
        <w:rPr>
          <w:rStyle w:val="20"/>
          <w:rFonts w:hint="eastAsia" w:ascii="仿宋_GB2312" w:hAnsi="仿宋_GB2312" w:eastAsia="仿宋_GB2312" w:cs="仿宋_GB2312"/>
          <w:b w:val="0"/>
          <w:bCs w:val="0"/>
          <w:snapToGrid w:val="0"/>
          <w:sz w:val="32"/>
          <w:szCs w:val="32"/>
          <w:lang w:eastAsia="zh-CN" w:bidi="ar"/>
        </w:rPr>
      </w:pPr>
      <w:r>
        <w:rPr>
          <w:rStyle w:val="20"/>
          <w:rFonts w:hint="eastAsia" w:ascii="仿宋_GB2312" w:hAnsi="仿宋_GB2312" w:eastAsia="仿宋_GB2312" w:cs="仿宋_GB2312"/>
          <w:b w:val="0"/>
          <w:bCs w:val="0"/>
          <w:snapToGrid w:val="0"/>
          <w:sz w:val="32"/>
          <w:szCs w:val="32"/>
          <w:lang w:bidi="ar"/>
        </w:rPr>
        <w:t>社会福利（款）儿童福利（项）：支出决算为</w:t>
      </w:r>
      <w:r>
        <w:rPr>
          <w:rFonts w:hint="eastAsia" w:ascii="Times New Roman" w:hAnsi="Times New Roman" w:eastAsia="仿宋_GB2312" w:cs="仿宋_GB2312"/>
          <w:color w:val="auto"/>
          <w:kern w:val="2"/>
          <w:sz w:val="32"/>
          <w:szCs w:val="32"/>
          <w:highlight w:val="none"/>
          <w:lang w:val="en-US" w:eastAsia="zh-CN" w:bidi="ar-SA"/>
        </w:rPr>
        <w:t>0.6</w:t>
      </w:r>
      <w:r>
        <w:rPr>
          <w:rFonts w:hint="eastAsia" w:eastAsia="仿宋_GB2312" w:cs="仿宋_GB2312"/>
          <w:color w:val="auto"/>
          <w:kern w:val="2"/>
          <w:sz w:val="32"/>
          <w:szCs w:val="32"/>
          <w:highlight w:val="none"/>
          <w:lang w:val="en-US" w:eastAsia="zh-CN" w:bidi="ar-SA"/>
        </w:rPr>
        <w:t>3</w:t>
      </w:r>
      <w:r>
        <w:rPr>
          <w:rStyle w:val="20"/>
          <w:rFonts w:hint="eastAsia" w:ascii="仿宋_GB2312" w:hAnsi="仿宋_GB2312" w:eastAsia="仿宋_GB2312" w:cs="仿宋_GB2312"/>
          <w:b w:val="0"/>
          <w:bCs w:val="0"/>
          <w:snapToGrid w:val="0"/>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20"/>
          <w:rFonts w:hint="eastAsia" w:ascii="仿宋_GB2312" w:hAnsi="仿宋_GB2312" w:eastAsia="仿宋_GB2312" w:cs="仿宋_GB2312"/>
          <w:b w:val="0"/>
          <w:bCs w:val="0"/>
          <w:snapToGrid w:val="0"/>
          <w:sz w:val="32"/>
          <w:szCs w:val="32"/>
          <w:lang w:eastAsia="zh-CN" w:bidi="ar"/>
        </w:rPr>
        <w:t>。</w:t>
      </w:r>
    </w:p>
    <w:p>
      <w:pPr>
        <w:pStyle w:val="17"/>
        <w:keepNext w:val="0"/>
        <w:keepLines w:val="0"/>
        <w:pageBreakBefore w:val="0"/>
        <w:widowControl w:val="0"/>
        <w:kinsoku/>
        <w:wordWrap/>
        <w:overflowPunct/>
        <w:topLinePunct w:val="0"/>
        <w:autoSpaceDE/>
        <w:autoSpaceDN w:val="0"/>
        <w:bidi w:val="0"/>
        <w:adjustRightInd/>
        <w:snapToGrid w:val="0"/>
        <w:spacing w:line="578" w:lineRule="exact"/>
        <w:ind w:firstLine="640" w:firstLineChars="200"/>
        <w:jc w:val="both"/>
        <w:textAlignment w:val="auto"/>
        <w:rPr>
          <w:rFonts w:hint="eastAsia" w:ascii="仿宋" w:eastAsia="仿宋"/>
          <w:b w:val="0"/>
          <w:bCs w:val="0"/>
          <w:snapToGrid w:val="0"/>
          <w:color w:val="0000FF"/>
          <w:sz w:val="32"/>
          <w:szCs w:val="32"/>
          <w:lang w:bidi="ar"/>
        </w:rPr>
      </w:pPr>
      <w:r>
        <w:rPr>
          <w:rStyle w:val="20"/>
          <w:rFonts w:hint="eastAsia" w:ascii="仿宋_GB2312" w:hAnsi="仿宋_GB2312" w:eastAsia="仿宋_GB2312" w:cs="仿宋_GB2312"/>
          <w:b w:val="0"/>
          <w:bCs w:val="0"/>
          <w:snapToGrid w:val="0"/>
          <w:sz w:val="32"/>
          <w:szCs w:val="32"/>
          <w:lang w:eastAsia="zh-CN" w:bidi="ar"/>
        </w:rPr>
        <w:t>退役军人管理事务（款）其他退役军人管理事务（项）</w:t>
      </w:r>
      <w:r>
        <w:rPr>
          <w:rStyle w:val="20"/>
          <w:rFonts w:hint="eastAsia" w:ascii="仿宋_GB2312" w:hAnsi="仿宋_GB2312" w:eastAsia="仿宋_GB2312" w:cs="仿宋_GB2312"/>
          <w:b w:val="0"/>
          <w:bCs w:val="0"/>
          <w:snapToGrid w:val="0"/>
          <w:sz w:val="32"/>
          <w:szCs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2.22</w:t>
      </w:r>
      <w:r>
        <w:rPr>
          <w:rStyle w:val="20"/>
          <w:rFonts w:hint="eastAsia" w:ascii="仿宋_GB2312" w:hAnsi="仿宋_GB2312" w:eastAsia="仿宋_GB2312" w:cs="仿宋_GB2312"/>
          <w:b w:val="0"/>
          <w:bCs w:val="0"/>
          <w:snapToGrid w:val="0"/>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20"/>
          <w:rFonts w:hint="eastAsia" w:ascii="仿宋_GB2312" w:hAnsi="仿宋_GB2312" w:eastAsia="仿宋_GB2312" w:cs="仿宋_GB2312"/>
          <w:b w:val="0"/>
          <w:bCs w:val="0"/>
          <w:snapToGrid w:val="0"/>
          <w:sz w:val="32"/>
          <w:szCs w:val="32"/>
          <w:lang w:bidi="ar"/>
        </w:rPr>
        <w:t>。</w:t>
      </w:r>
    </w:p>
    <w:p>
      <w:pPr>
        <w:keepNext w:val="0"/>
        <w:keepLines w:val="0"/>
        <w:pageBreakBefore w:val="0"/>
        <w:widowControl w:val="0"/>
        <w:numPr>
          <w:ilvl w:val="0"/>
          <w:numId w:val="0"/>
        </w:numPr>
        <w:kinsoku/>
        <w:wordWrap/>
        <w:overflowPunct/>
        <w:topLinePunct w:val="0"/>
        <w:autoSpaceDE/>
        <w:bidi w:val="0"/>
        <w:adjustRightInd/>
        <w:spacing w:line="578" w:lineRule="exact"/>
        <w:ind w:left="640" w:leftChars="0"/>
        <w:jc w:val="both"/>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eastAsia="仿宋_GB2312" w:cs="仿宋_GB2312"/>
          <w:b w:val="0"/>
          <w:bCs w:val="0"/>
          <w:color w:val="auto"/>
          <w:kern w:val="2"/>
          <w:sz w:val="32"/>
          <w:szCs w:val="32"/>
          <w:highlight w:val="none"/>
          <w:lang w:val="en-US" w:eastAsia="zh-CN" w:bidi="ar-SA"/>
        </w:rPr>
        <w:t>3.</w:t>
      </w:r>
      <w:r>
        <w:rPr>
          <w:rFonts w:hint="eastAsia" w:ascii="Times New Roman" w:hAnsi="Times New Roman" w:eastAsia="仿宋_GB2312" w:cs="仿宋_GB2312"/>
          <w:b w:val="0"/>
          <w:bCs w:val="0"/>
          <w:color w:val="auto"/>
          <w:kern w:val="2"/>
          <w:sz w:val="32"/>
          <w:szCs w:val="32"/>
          <w:highlight w:val="none"/>
          <w:lang w:val="en-US" w:eastAsia="zh-CN" w:bidi="ar-SA"/>
        </w:rPr>
        <w:t>卫生健康（类）</w:t>
      </w:r>
    </w:p>
    <w:p>
      <w:pPr>
        <w:pStyle w:val="17"/>
        <w:keepNext w:val="0"/>
        <w:keepLines w:val="0"/>
        <w:pageBreakBefore w:val="0"/>
        <w:widowControl w:val="0"/>
        <w:kinsoku/>
        <w:wordWrap/>
        <w:overflowPunct/>
        <w:topLinePunct w:val="0"/>
        <w:autoSpaceDE/>
        <w:autoSpaceDN w:val="0"/>
        <w:bidi w:val="0"/>
        <w:adjustRightInd/>
        <w:snapToGrid w:val="0"/>
        <w:spacing w:line="578" w:lineRule="exact"/>
        <w:ind w:firstLine="640" w:firstLineChars="200"/>
        <w:jc w:val="both"/>
        <w:textAlignment w:val="auto"/>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bidi="ar"/>
        </w:rPr>
        <w:t>行政事业单位医疗（款）行政单位医疗（项）</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124.71</w:t>
      </w:r>
      <w:r>
        <w:rPr>
          <w:rFonts w:hint="eastAsia" w:ascii="仿宋_GB2312" w:hAnsi="仿宋_GB2312" w:eastAsia="仿宋_GB2312" w:cs="仿宋_GB2312"/>
          <w:b w:val="0"/>
          <w:bCs w:val="0"/>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eastAsia="仿宋_GB2312" w:cs="仿宋_GB2312"/>
          <w:color w:val="auto"/>
          <w:kern w:val="2"/>
          <w:sz w:val="32"/>
          <w:szCs w:val="32"/>
          <w:highlight w:val="none"/>
          <w:lang w:val="en-US" w:eastAsia="zh-CN" w:bidi="ar-SA"/>
        </w:rPr>
        <w:t>；</w:t>
      </w:r>
      <w:r>
        <w:rPr>
          <w:rFonts w:hint="eastAsia" w:ascii="仿宋_GB2312" w:hAnsi="仿宋_GB2312" w:eastAsia="仿宋_GB2312" w:cs="仿宋_GB2312"/>
          <w:b w:val="0"/>
          <w:bCs w:val="0"/>
          <w:sz w:val="32"/>
          <w:szCs w:val="32"/>
          <w:lang w:bidi="ar"/>
        </w:rPr>
        <w:t>事业单位医疗（项）</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154.19万</w:t>
      </w:r>
      <w:r>
        <w:rPr>
          <w:rFonts w:hint="eastAsia" w:ascii="仿宋_GB2312" w:hAnsi="仿宋_GB2312" w:eastAsia="仿宋_GB2312" w:cs="仿宋_GB2312"/>
          <w:b w:val="0"/>
          <w:bCs w:val="0"/>
          <w:sz w:val="32"/>
          <w:szCs w:val="32"/>
          <w:lang w:bidi="ar"/>
        </w:rPr>
        <w:t>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eastAsia="仿宋_GB2312" w:cs="仿宋_GB2312"/>
          <w:color w:val="auto"/>
          <w:kern w:val="2"/>
          <w:sz w:val="32"/>
          <w:szCs w:val="32"/>
          <w:highlight w:val="none"/>
          <w:lang w:val="en-US" w:eastAsia="zh-CN" w:bidi="ar-SA"/>
        </w:rPr>
        <w:t>；</w:t>
      </w:r>
      <w:r>
        <w:rPr>
          <w:rFonts w:hint="eastAsia" w:ascii="仿宋_GB2312" w:hAnsi="仿宋_GB2312" w:eastAsia="仿宋_GB2312" w:cs="仿宋_GB2312"/>
          <w:b w:val="0"/>
          <w:bCs w:val="0"/>
          <w:sz w:val="32"/>
          <w:szCs w:val="32"/>
          <w:lang w:bidi="ar"/>
        </w:rPr>
        <w:t>公务员医疗补助（项）</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38.76</w:t>
      </w:r>
      <w:r>
        <w:rPr>
          <w:rFonts w:hint="eastAsia" w:ascii="仿宋_GB2312" w:hAnsi="仿宋_GB2312" w:eastAsia="仿宋_GB2312" w:cs="仿宋_GB2312"/>
          <w:b w:val="0"/>
          <w:bCs w:val="0"/>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eastAsia="仿宋_GB2312" w:cs="仿宋_GB2312"/>
          <w:color w:val="auto"/>
          <w:kern w:val="2"/>
          <w:sz w:val="32"/>
          <w:szCs w:val="32"/>
          <w:highlight w:val="none"/>
          <w:lang w:val="en-US" w:eastAsia="zh-CN" w:bidi="ar-SA"/>
        </w:rPr>
        <w:t>；</w:t>
      </w:r>
      <w:r>
        <w:rPr>
          <w:rFonts w:hint="eastAsia" w:ascii="仿宋_GB2312" w:hAnsi="仿宋_GB2312" w:eastAsia="仿宋_GB2312" w:cs="仿宋_GB2312"/>
          <w:b w:val="0"/>
          <w:bCs w:val="0"/>
          <w:sz w:val="32"/>
          <w:szCs w:val="32"/>
          <w:lang w:bidi="ar"/>
        </w:rPr>
        <w:t>其他行政事业单位医疗支出（项）</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39.62</w:t>
      </w:r>
      <w:r>
        <w:rPr>
          <w:rFonts w:hint="eastAsia" w:ascii="仿宋_GB2312" w:hAnsi="仿宋_GB2312" w:eastAsia="仿宋_GB2312" w:cs="仿宋_GB2312"/>
          <w:b w:val="0"/>
          <w:bCs w:val="0"/>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b w:val="0"/>
          <w:bCs w:val="0"/>
          <w:sz w:val="32"/>
          <w:szCs w:val="32"/>
          <w:lang w:bidi="ar"/>
        </w:rPr>
        <w:t>。</w:t>
      </w:r>
    </w:p>
    <w:p>
      <w:pPr>
        <w:pStyle w:val="17"/>
        <w:keepNext w:val="0"/>
        <w:keepLines w:val="0"/>
        <w:pageBreakBefore w:val="0"/>
        <w:widowControl w:val="0"/>
        <w:kinsoku/>
        <w:wordWrap/>
        <w:overflowPunct/>
        <w:topLinePunct w:val="0"/>
        <w:autoSpaceDE/>
        <w:autoSpaceDN w:val="0"/>
        <w:bidi w:val="0"/>
        <w:adjustRightInd/>
        <w:snapToGrid w:val="0"/>
        <w:spacing w:line="578" w:lineRule="exact"/>
        <w:ind w:firstLine="640" w:firstLineChars="200"/>
        <w:jc w:val="both"/>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sz w:val="32"/>
          <w:szCs w:val="32"/>
          <w:lang w:bidi="ar"/>
        </w:rPr>
        <w:t>其他卫生健康支出（款）其他卫生健康支出（项）：支出决算为</w:t>
      </w:r>
      <w:r>
        <w:rPr>
          <w:rFonts w:hint="eastAsia" w:ascii="Times New Roman" w:hAnsi="Times New Roman" w:eastAsia="仿宋_GB2312" w:cs="仿宋_GB2312"/>
          <w:color w:val="auto"/>
          <w:kern w:val="2"/>
          <w:sz w:val="32"/>
          <w:szCs w:val="32"/>
          <w:highlight w:val="none"/>
          <w:lang w:val="en-US" w:eastAsia="zh-CN" w:bidi="ar-SA"/>
        </w:rPr>
        <w:t>0.75</w:t>
      </w:r>
      <w:r>
        <w:rPr>
          <w:rFonts w:hint="eastAsia" w:ascii="仿宋_GB2312" w:hAnsi="仿宋_GB2312" w:eastAsia="仿宋_GB2312" w:cs="仿宋_GB2312"/>
          <w:b w:val="0"/>
          <w:bCs w:val="0"/>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eastAsia="仿宋_GB2312" w:cs="仿宋_GB2312"/>
          <w:color w:val="auto"/>
          <w:kern w:val="2"/>
          <w:sz w:val="32"/>
          <w:szCs w:val="32"/>
          <w:highlight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val="0"/>
        <w:bidi w:val="0"/>
        <w:adjustRightInd/>
        <w:spacing w:line="578" w:lineRule="exact"/>
        <w:ind w:firstLine="640" w:firstLineChars="200"/>
        <w:jc w:val="both"/>
        <w:textAlignment w:val="auto"/>
        <w:rPr>
          <w:rFonts w:hint="eastAsia" w:ascii="仿宋_GB2312" w:hAnsi="仿宋_GB2312" w:eastAsia="仿宋_GB2312" w:cs="仿宋_GB2312"/>
          <w:b w:val="0"/>
          <w:bCs w:val="0"/>
          <w:sz w:val="32"/>
          <w:lang w:bidi="ar"/>
        </w:rPr>
      </w:pPr>
      <w:r>
        <w:rPr>
          <w:rFonts w:hint="eastAsia" w:eastAsia="仿宋_GB2312" w:cs="仿宋_GB2312"/>
          <w:b w:val="0"/>
          <w:bCs w:val="0"/>
          <w:sz w:val="32"/>
          <w:lang w:val="en-US" w:eastAsia="zh-CN" w:bidi="ar"/>
        </w:rPr>
        <w:t>4.</w:t>
      </w:r>
      <w:r>
        <w:rPr>
          <w:rFonts w:hint="eastAsia" w:ascii="仿宋_GB2312" w:hAnsi="仿宋_GB2312" w:eastAsia="仿宋_GB2312" w:cs="仿宋_GB2312"/>
          <w:b w:val="0"/>
          <w:bCs w:val="0"/>
          <w:sz w:val="32"/>
          <w:lang w:bidi="ar"/>
        </w:rPr>
        <w:t>城乡社区(类)</w:t>
      </w:r>
    </w:p>
    <w:p>
      <w:pPr>
        <w:pStyle w:val="3"/>
        <w:keepNext w:val="0"/>
        <w:keepLines w:val="0"/>
        <w:pageBreakBefore w:val="0"/>
        <w:widowControl w:val="0"/>
        <w:kinsoku/>
        <w:wordWrap/>
        <w:overflowPunct/>
        <w:topLinePunct w:val="0"/>
        <w:autoSpaceDE/>
        <w:autoSpaceDN w:val="0"/>
        <w:bidi w:val="0"/>
        <w:adjustRightInd/>
        <w:snapToGrid/>
        <w:spacing w:line="578" w:lineRule="exact"/>
        <w:ind w:left="0" w:leftChars="0" w:firstLine="640" w:firstLineChars="200"/>
        <w:jc w:val="both"/>
        <w:textAlignment w:val="auto"/>
        <w:rPr>
          <w:rFonts w:hint="eastAsia" w:ascii="仿宋_GB2312" w:hAnsi="仿宋_GB2312" w:eastAsia="仿宋_GB2312" w:cs="仿宋_GB2312"/>
          <w:b w:val="0"/>
          <w:bCs w:val="0"/>
          <w:sz w:val="32"/>
          <w:highlight w:val="none"/>
          <w:lang w:bidi="ar-SA"/>
        </w:rPr>
      </w:pPr>
      <w:r>
        <w:rPr>
          <w:rFonts w:hint="eastAsia" w:ascii="仿宋_GB2312" w:hAnsi="仿宋_GB2312" w:eastAsia="仿宋_GB2312" w:cs="仿宋_GB2312"/>
          <w:b w:val="0"/>
          <w:bCs w:val="0"/>
          <w:sz w:val="32"/>
          <w:lang w:bidi="ar-SA"/>
        </w:rPr>
        <w:t>城乡社区管理事务（款）行政运行（项）</w:t>
      </w:r>
      <w:r>
        <w:rPr>
          <w:rFonts w:hint="eastAsia" w:hAnsi="仿宋_GB2312" w:eastAsia="仿宋_GB2312" w:cs="仿宋_GB2312"/>
          <w:b w:val="0"/>
          <w:bCs w:val="0"/>
          <w:sz w:val="32"/>
          <w:lang w:eastAsia="zh-CN" w:bidi="ar-SA"/>
        </w:rPr>
        <w:t>：</w:t>
      </w:r>
      <w:r>
        <w:rPr>
          <w:rFonts w:hint="eastAsia" w:ascii="仿宋_GB2312" w:hAnsi="仿宋_GB2312" w:eastAsia="仿宋_GB2312" w:cs="仿宋_GB2312"/>
          <w:b w:val="0"/>
          <w:bCs w:val="0"/>
          <w:sz w:val="32"/>
          <w:lang w:bidi="ar-SA"/>
        </w:rPr>
        <w:t>支出决算为</w:t>
      </w:r>
      <w:r>
        <w:rPr>
          <w:rFonts w:hint="eastAsia" w:ascii="Times New Roman" w:hAnsi="Times New Roman" w:eastAsia="仿宋_GB2312" w:cs="仿宋_GB2312"/>
          <w:color w:val="auto"/>
          <w:kern w:val="2"/>
          <w:sz w:val="32"/>
          <w:szCs w:val="32"/>
          <w:highlight w:val="none"/>
          <w:lang w:val="en-US" w:eastAsia="zh-CN" w:bidi="ar-SA"/>
        </w:rPr>
        <w:t>2334.7</w:t>
      </w:r>
      <w:r>
        <w:rPr>
          <w:rFonts w:hint="eastAsia" w:ascii="仿宋_GB2312" w:hAnsi="仿宋_GB2312" w:eastAsia="仿宋_GB2312" w:cs="仿宋_GB2312"/>
          <w:b w:val="0"/>
          <w:bCs w:val="0"/>
          <w:sz w:val="32"/>
          <w:lang w:bidi="ar-SA"/>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Times New Roman" w:eastAsia="仿宋_GB2312" w:cs="仿宋_GB2312"/>
          <w:color w:val="auto"/>
          <w:kern w:val="2"/>
          <w:sz w:val="32"/>
          <w:szCs w:val="32"/>
          <w:highlight w:val="none"/>
          <w:lang w:val="en-US" w:eastAsia="zh-CN" w:bidi="ar-SA"/>
        </w:rPr>
        <w:t>；</w:t>
      </w:r>
      <w:r>
        <w:rPr>
          <w:rFonts w:hint="eastAsia" w:ascii="仿宋_GB2312" w:hAnsi="仿宋_GB2312" w:eastAsia="仿宋_GB2312" w:cs="仿宋_GB2312"/>
          <w:b w:val="0"/>
          <w:bCs w:val="0"/>
          <w:sz w:val="32"/>
          <w:lang w:bidi="ar-SA"/>
        </w:rPr>
        <w:t>一般行政管理事务（项）</w:t>
      </w:r>
      <w:r>
        <w:rPr>
          <w:rFonts w:hint="eastAsia" w:hAnsi="仿宋_GB2312" w:eastAsia="仿宋_GB2312" w:cs="仿宋_GB2312"/>
          <w:b w:val="0"/>
          <w:bCs w:val="0"/>
          <w:sz w:val="32"/>
          <w:lang w:eastAsia="zh-CN" w:bidi="ar-SA"/>
        </w:rPr>
        <w:t>：</w:t>
      </w:r>
      <w:r>
        <w:rPr>
          <w:rFonts w:hint="eastAsia" w:ascii="仿宋_GB2312" w:hAnsi="仿宋_GB2312" w:eastAsia="仿宋_GB2312" w:cs="仿宋_GB2312"/>
          <w:b w:val="0"/>
          <w:bCs w:val="0"/>
          <w:sz w:val="32"/>
          <w:lang w:bidi="ar-SA"/>
        </w:rPr>
        <w:t>支出决算为</w:t>
      </w:r>
      <w:r>
        <w:rPr>
          <w:rFonts w:hint="eastAsia" w:ascii="Times New Roman" w:hAnsi="Times New Roman" w:eastAsia="仿宋_GB2312" w:cs="仿宋_GB2312"/>
          <w:color w:val="auto"/>
          <w:kern w:val="2"/>
          <w:sz w:val="32"/>
          <w:szCs w:val="32"/>
          <w:highlight w:val="none"/>
          <w:lang w:val="en-US" w:eastAsia="zh-CN" w:bidi="ar-SA"/>
        </w:rPr>
        <w:t>230.53</w:t>
      </w:r>
      <w:r>
        <w:rPr>
          <w:rFonts w:hint="eastAsia" w:ascii="仿宋_GB2312" w:hAnsi="仿宋_GB2312" w:eastAsia="仿宋_GB2312" w:cs="仿宋_GB2312"/>
          <w:b w:val="0"/>
          <w:bCs w:val="0"/>
          <w:sz w:val="32"/>
          <w:lang w:bidi="ar-SA"/>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Times New Roman" w:eastAsia="仿宋_GB2312" w:cs="仿宋_GB2312"/>
          <w:color w:val="auto"/>
          <w:kern w:val="2"/>
          <w:sz w:val="32"/>
          <w:szCs w:val="32"/>
          <w:highlight w:val="none"/>
          <w:lang w:val="en-US" w:eastAsia="zh-CN" w:bidi="ar-SA"/>
        </w:rPr>
        <w:t>；</w:t>
      </w:r>
      <w:r>
        <w:rPr>
          <w:rFonts w:hint="eastAsia" w:ascii="仿宋_GB2312" w:hAnsi="仿宋_GB2312" w:eastAsia="仿宋_GB2312" w:cs="仿宋_GB2312"/>
          <w:b w:val="0"/>
          <w:bCs w:val="0"/>
          <w:sz w:val="32"/>
          <w:lang w:bidi="ar-SA"/>
        </w:rPr>
        <w:t>工程建设标准规范编制与监管（项）</w:t>
      </w:r>
      <w:r>
        <w:rPr>
          <w:rFonts w:hint="eastAsia" w:hAnsi="仿宋_GB2312" w:eastAsia="仿宋_GB2312" w:cs="仿宋_GB2312"/>
          <w:b w:val="0"/>
          <w:bCs w:val="0"/>
          <w:sz w:val="32"/>
          <w:lang w:eastAsia="zh-CN" w:bidi="ar-SA"/>
        </w:rPr>
        <w:t>：</w:t>
      </w:r>
      <w:r>
        <w:rPr>
          <w:rFonts w:hint="eastAsia" w:ascii="仿宋_GB2312" w:hAnsi="仿宋_GB2312" w:eastAsia="仿宋_GB2312" w:cs="仿宋_GB2312"/>
          <w:b w:val="0"/>
          <w:bCs w:val="0"/>
          <w:sz w:val="32"/>
          <w:lang w:bidi="ar-SA"/>
        </w:rPr>
        <w:t>支出决算为</w:t>
      </w:r>
      <w:r>
        <w:rPr>
          <w:rFonts w:hint="eastAsia" w:ascii="Times New Roman" w:hAnsi="Times New Roman" w:eastAsia="仿宋_GB2312" w:cs="仿宋_GB2312"/>
          <w:color w:val="auto"/>
          <w:kern w:val="2"/>
          <w:sz w:val="32"/>
          <w:szCs w:val="32"/>
          <w:highlight w:val="none"/>
          <w:lang w:val="en-US" w:eastAsia="zh-CN" w:bidi="ar-SA"/>
        </w:rPr>
        <w:t>233.64</w:t>
      </w:r>
      <w:r>
        <w:rPr>
          <w:rFonts w:hint="eastAsia" w:ascii="仿宋_GB2312" w:hAnsi="仿宋_GB2312" w:eastAsia="仿宋_GB2312" w:cs="仿宋_GB2312"/>
          <w:b w:val="0"/>
          <w:bCs w:val="0"/>
          <w:sz w:val="32"/>
          <w:lang w:bidi="ar-SA"/>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hAnsi="仿宋_GB2312" w:eastAsia="仿宋_GB2312" w:cs="仿宋_GB2312"/>
          <w:b w:val="0"/>
          <w:bCs w:val="0"/>
          <w:sz w:val="32"/>
          <w:lang w:eastAsia="zh-CN" w:bidi="ar-SA"/>
        </w:rPr>
        <w:t>；</w:t>
      </w:r>
      <w:r>
        <w:rPr>
          <w:rFonts w:hint="eastAsia" w:ascii="仿宋_GB2312" w:hAnsi="仿宋_GB2312" w:eastAsia="仿宋_GB2312" w:cs="仿宋_GB2312"/>
          <w:b w:val="0"/>
          <w:bCs w:val="0"/>
          <w:sz w:val="32"/>
          <w:lang w:bidi="ar-SA"/>
        </w:rPr>
        <w:t>其他城乡社区管理事务支出（项）</w:t>
      </w:r>
      <w:r>
        <w:rPr>
          <w:rFonts w:hint="eastAsia" w:hAnsi="仿宋_GB2312" w:eastAsia="仿宋_GB2312" w:cs="仿宋_GB2312"/>
          <w:b w:val="0"/>
          <w:bCs w:val="0"/>
          <w:sz w:val="32"/>
          <w:lang w:eastAsia="zh-CN" w:bidi="ar-SA"/>
        </w:rPr>
        <w:t>：</w:t>
      </w:r>
      <w:r>
        <w:rPr>
          <w:rFonts w:hint="eastAsia" w:ascii="仿宋_GB2312" w:hAnsi="仿宋_GB2312" w:eastAsia="仿宋_GB2312" w:cs="仿宋_GB2312"/>
          <w:b w:val="0"/>
          <w:bCs w:val="0"/>
          <w:sz w:val="32"/>
          <w:highlight w:val="none"/>
          <w:lang w:bidi="ar-SA"/>
        </w:rPr>
        <w:t>支出决算为</w:t>
      </w:r>
      <w:r>
        <w:rPr>
          <w:rFonts w:hint="eastAsia" w:ascii="Times New Roman" w:hAnsi="Times New Roman" w:eastAsia="仿宋_GB2312" w:cs="仿宋_GB2312"/>
          <w:color w:val="auto"/>
          <w:kern w:val="2"/>
          <w:sz w:val="32"/>
          <w:szCs w:val="32"/>
          <w:highlight w:val="none"/>
          <w:lang w:val="en-US" w:eastAsia="zh-CN" w:bidi="ar-SA"/>
        </w:rPr>
        <w:t>1472.83</w:t>
      </w:r>
      <w:r>
        <w:rPr>
          <w:rFonts w:hint="eastAsia" w:ascii="仿宋_GB2312" w:hAnsi="仿宋_GB2312" w:eastAsia="仿宋_GB2312" w:cs="仿宋_GB2312"/>
          <w:b w:val="0"/>
          <w:bCs w:val="0"/>
          <w:sz w:val="32"/>
          <w:highlight w:val="none"/>
          <w:lang w:bidi="ar-SA"/>
        </w:rPr>
        <w:t>万元</w:t>
      </w:r>
      <w:r>
        <w:rPr>
          <w:rFonts w:hint="eastAsia" w:ascii="仿宋_GB2312" w:hAnsi="仿宋_GB2312" w:eastAsia="仿宋_GB2312" w:cs="仿宋_GB2312"/>
          <w:b w:val="0"/>
          <w:bCs w:val="0"/>
          <w:color w:val="auto"/>
          <w:sz w:val="32"/>
          <w:highlight w:val="none"/>
          <w:lang w:bidi="ar-SA"/>
        </w:rPr>
        <w:t>，完成预算</w:t>
      </w:r>
      <w:r>
        <w:rPr>
          <w:rFonts w:hint="eastAsia" w:hAnsi="仿宋_GB2312" w:eastAsia="仿宋_GB2312" w:cs="仿宋_GB2312"/>
          <w:b w:val="0"/>
          <w:bCs w:val="0"/>
          <w:color w:val="auto"/>
          <w:sz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hAnsi="仿宋_GB2312" w:eastAsia="仿宋_GB2312" w:cs="仿宋_GB2312"/>
          <w:b w:val="0"/>
          <w:bCs w:val="0"/>
          <w:sz w:val="32"/>
          <w:highlight w:val="none"/>
          <w:lang w:bidi="ar-SA"/>
        </w:rPr>
        <w:t>。</w:t>
      </w:r>
    </w:p>
    <w:p>
      <w:pPr>
        <w:pStyle w:val="3"/>
        <w:keepNext w:val="0"/>
        <w:keepLines w:val="0"/>
        <w:pageBreakBefore w:val="0"/>
        <w:widowControl w:val="0"/>
        <w:kinsoku/>
        <w:wordWrap/>
        <w:overflowPunct/>
        <w:topLinePunct w:val="0"/>
        <w:autoSpaceDE/>
        <w:autoSpaceDN w:val="0"/>
        <w:bidi w:val="0"/>
        <w:adjustRightInd/>
        <w:snapToGrid/>
        <w:spacing w:line="578" w:lineRule="exact"/>
        <w:ind w:left="0" w:leftChars="0" w:firstLine="640" w:firstLineChars="200"/>
        <w:jc w:val="both"/>
        <w:textAlignment w:val="auto"/>
        <w:rPr>
          <w:rFonts w:hint="eastAsia" w:ascii="仿宋_GB2312" w:hAnsi="仿宋_GB2312" w:eastAsia="仿宋_GB2312" w:cs="仿宋_GB2312"/>
          <w:b w:val="0"/>
          <w:bCs w:val="0"/>
          <w:sz w:val="32"/>
          <w:lang w:bidi="ar-SA"/>
        </w:rPr>
      </w:pPr>
      <w:r>
        <w:rPr>
          <w:rFonts w:hint="eastAsia" w:ascii="仿宋_GB2312" w:hAnsi="仿宋_GB2312" w:eastAsia="仿宋_GB2312" w:cs="仿宋_GB2312"/>
          <w:b w:val="0"/>
          <w:bCs w:val="0"/>
          <w:sz w:val="32"/>
          <w:lang w:bidi="ar-SA"/>
        </w:rPr>
        <w:t>城乡社区公共设施（款）其他城乡社区公共设施支出（项）：支出决算为</w:t>
      </w:r>
      <w:r>
        <w:rPr>
          <w:rFonts w:hint="eastAsia" w:ascii="Times New Roman" w:hAnsi="Times New Roman" w:eastAsia="仿宋_GB2312" w:cs="仿宋_GB2312"/>
          <w:color w:val="auto"/>
          <w:kern w:val="2"/>
          <w:sz w:val="32"/>
          <w:szCs w:val="32"/>
          <w:highlight w:val="none"/>
          <w:lang w:val="en-US" w:eastAsia="zh-CN" w:bidi="ar-SA"/>
        </w:rPr>
        <w:t>7768.38万</w:t>
      </w:r>
      <w:r>
        <w:rPr>
          <w:rFonts w:hint="eastAsia" w:ascii="仿宋_GB2312" w:hAnsi="仿宋_GB2312" w:eastAsia="仿宋_GB2312" w:cs="仿宋_GB2312"/>
          <w:b w:val="0"/>
          <w:bCs w:val="0"/>
          <w:sz w:val="32"/>
          <w:lang w:bidi="ar-SA"/>
        </w:rPr>
        <w:t>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b w:val="0"/>
          <w:bCs w:val="0"/>
          <w:sz w:val="32"/>
          <w:lang w:bidi="ar-SA"/>
        </w:rPr>
        <w:t>。</w:t>
      </w:r>
    </w:p>
    <w:p>
      <w:pPr>
        <w:pStyle w:val="3"/>
        <w:keepNext w:val="0"/>
        <w:keepLines w:val="0"/>
        <w:pageBreakBefore w:val="0"/>
        <w:widowControl w:val="0"/>
        <w:kinsoku/>
        <w:wordWrap/>
        <w:overflowPunct/>
        <w:topLinePunct w:val="0"/>
        <w:autoSpaceDE/>
        <w:autoSpaceDN w:val="0"/>
        <w:bidi w:val="0"/>
        <w:adjustRightInd/>
        <w:snapToGrid/>
        <w:spacing w:line="578" w:lineRule="exact"/>
        <w:ind w:left="0" w:leftChars="0" w:firstLine="640" w:firstLineChars="200"/>
        <w:jc w:val="both"/>
        <w:textAlignment w:val="auto"/>
        <w:rPr>
          <w:rFonts w:hint="eastAsia" w:ascii="仿宋_GB2312" w:hAnsi="仿宋_GB2312" w:eastAsia="仿宋_GB2312" w:cs="仿宋_GB2312"/>
          <w:b w:val="0"/>
          <w:bCs w:val="0"/>
          <w:sz w:val="32"/>
          <w:lang w:bidi="ar-SA"/>
        </w:rPr>
      </w:pPr>
      <w:r>
        <w:rPr>
          <w:rFonts w:hint="eastAsia" w:ascii="仿宋_GB2312" w:hAnsi="仿宋_GB2312" w:eastAsia="仿宋_GB2312" w:cs="仿宋_GB2312"/>
          <w:b w:val="0"/>
          <w:bCs w:val="0"/>
          <w:sz w:val="32"/>
          <w:lang w:bidi="ar-SA"/>
        </w:rPr>
        <w:t>建设市场管理与监督（款）建设市场管理与监督（项）：支出决算为</w:t>
      </w:r>
      <w:r>
        <w:rPr>
          <w:rFonts w:hint="eastAsia" w:ascii="Times New Roman" w:hAnsi="Times New Roman" w:eastAsia="仿宋_GB2312" w:cs="仿宋_GB2312"/>
          <w:color w:val="auto"/>
          <w:kern w:val="2"/>
          <w:sz w:val="32"/>
          <w:szCs w:val="32"/>
          <w:highlight w:val="none"/>
          <w:lang w:val="en-US" w:eastAsia="zh-CN" w:bidi="ar-SA"/>
        </w:rPr>
        <w:t>8万</w:t>
      </w:r>
      <w:r>
        <w:rPr>
          <w:rFonts w:hint="eastAsia" w:ascii="仿宋_GB2312" w:hAnsi="仿宋_GB2312" w:eastAsia="仿宋_GB2312" w:cs="仿宋_GB2312"/>
          <w:b w:val="0"/>
          <w:bCs w:val="0"/>
          <w:sz w:val="32"/>
          <w:lang w:bidi="ar-SA"/>
        </w:rPr>
        <w:t>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b w:val="0"/>
          <w:bCs w:val="0"/>
          <w:sz w:val="32"/>
          <w:lang w:bidi="ar-SA"/>
        </w:rPr>
        <w:t>。</w:t>
      </w:r>
    </w:p>
    <w:p>
      <w:pPr>
        <w:pStyle w:val="3"/>
        <w:keepNext w:val="0"/>
        <w:keepLines w:val="0"/>
        <w:pageBreakBefore w:val="0"/>
        <w:widowControl w:val="0"/>
        <w:kinsoku/>
        <w:wordWrap/>
        <w:overflowPunct/>
        <w:topLinePunct w:val="0"/>
        <w:autoSpaceDE/>
        <w:autoSpaceDN w:val="0"/>
        <w:bidi w:val="0"/>
        <w:adjustRightInd/>
        <w:snapToGrid/>
        <w:spacing w:line="578" w:lineRule="exact"/>
        <w:ind w:left="0" w:leftChars="0" w:firstLine="640" w:firstLineChars="200"/>
        <w:jc w:val="both"/>
        <w:textAlignment w:val="auto"/>
        <w:rPr>
          <w:rFonts w:hint="eastAsia" w:ascii="仿宋_GB2312" w:hAnsi="仿宋_GB2312" w:eastAsia="仿宋_GB2312" w:cs="仿宋_GB2312"/>
          <w:b w:val="0"/>
          <w:bCs w:val="0"/>
          <w:sz w:val="32"/>
          <w:lang w:bidi="ar"/>
        </w:rPr>
      </w:pPr>
      <w:r>
        <w:rPr>
          <w:rFonts w:hint="eastAsia" w:ascii="仿宋_GB2312" w:hAnsi="仿宋_GB2312" w:eastAsia="仿宋_GB2312" w:cs="仿宋_GB2312"/>
          <w:b w:val="0"/>
          <w:bCs w:val="0"/>
          <w:sz w:val="32"/>
          <w:lang w:bidi="ar-SA"/>
        </w:rPr>
        <w:t>其他城乡社区支出（款）其他城乡社区支出（项）：支出决算为</w:t>
      </w:r>
      <w:r>
        <w:rPr>
          <w:rFonts w:hint="eastAsia" w:ascii="Times New Roman" w:hAnsi="Times New Roman" w:eastAsia="仿宋_GB2312" w:cs="仿宋_GB2312"/>
          <w:color w:val="auto"/>
          <w:kern w:val="2"/>
          <w:sz w:val="32"/>
          <w:szCs w:val="32"/>
          <w:highlight w:val="none"/>
          <w:lang w:val="en-US" w:eastAsia="zh-CN" w:bidi="ar-SA"/>
        </w:rPr>
        <w:t>483.61</w:t>
      </w:r>
      <w:r>
        <w:rPr>
          <w:rFonts w:hint="eastAsia" w:ascii="仿宋_GB2312" w:hAnsi="仿宋_GB2312" w:eastAsia="仿宋_GB2312" w:cs="仿宋_GB2312"/>
          <w:b w:val="0"/>
          <w:bCs w:val="0"/>
          <w:sz w:val="32"/>
          <w:lang w:bidi="ar-SA"/>
        </w:rPr>
        <w:t>万元，完成预算100%。</w:t>
      </w:r>
    </w:p>
    <w:p>
      <w:pPr>
        <w:pStyle w:val="17"/>
        <w:keepNext w:val="0"/>
        <w:keepLines w:val="0"/>
        <w:pageBreakBefore w:val="0"/>
        <w:widowControl w:val="0"/>
        <w:numPr>
          <w:ilvl w:val="0"/>
          <w:numId w:val="0"/>
        </w:numPr>
        <w:kinsoku/>
        <w:wordWrap/>
        <w:overflowPunct/>
        <w:topLinePunct w:val="0"/>
        <w:autoSpaceDE/>
        <w:autoSpaceDN w:val="0"/>
        <w:bidi w:val="0"/>
        <w:adjustRightInd/>
        <w:spacing w:after="120" w:line="578" w:lineRule="exact"/>
        <w:ind w:firstLine="640" w:firstLineChars="200"/>
        <w:jc w:val="both"/>
        <w:textAlignment w:val="auto"/>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val="en-US" w:eastAsia="zh-CN" w:bidi="ar"/>
        </w:rPr>
        <w:t>5.</w:t>
      </w:r>
      <w:r>
        <w:rPr>
          <w:rFonts w:hint="eastAsia" w:ascii="仿宋_GB2312" w:hAnsi="仿宋_GB2312" w:eastAsia="仿宋_GB2312" w:cs="仿宋_GB2312"/>
          <w:b w:val="0"/>
          <w:bCs w:val="0"/>
          <w:sz w:val="32"/>
          <w:szCs w:val="32"/>
          <w:lang w:bidi="ar"/>
        </w:rPr>
        <w:t>住房保障(类)</w:t>
      </w:r>
    </w:p>
    <w:p>
      <w:pPr>
        <w:pStyle w:val="17"/>
        <w:keepNext w:val="0"/>
        <w:keepLines w:val="0"/>
        <w:pageBreakBefore w:val="0"/>
        <w:widowControl w:val="0"/>
        <w:kinsoku/>
        <w:wordWrap/>
        <w:overflowPunct/>
        <w:topLinePunct w:val="0"/>
        <w:autoSpaceDE/>
        <w:autoSpaceDN w:val="0"/>
        <w:bidi w:val="0"/>
        <w:adjustRightInd/>
        <w:spacing w:after="120" w:line="578" w:lineRule="exact"/>
        <w:ind w:firstLine="627" w:firstLineChars="196"/>
        <w:jc w:val="both"/>
        <w:textAlignment w:val="auto"/>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bidi="ar"/>
        </w:rPr>
        <w:t>住房改革支出（款）住房公积金（项）</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520.08</w:t>
      </w:r>
      <w:r>
        <w:rPr>
          <w:rFonts w:hint="eastAsia" w:ascii="仿宋_GB2312" w:hAnsi="仿宋_GB2312" w:eastAsia="仿宋_GB2312" w:cs="仿宋_GB2312"/>
          <w:b w:val="0"/>
          <w:bCs w:val="0"/>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b w:val="0"/>
          <w:bCs w:val="0"/>
          <w:sz w:val="32"/>
          <w:szCs w:val="32"/>
          <w:lang w:bidi="ar"/>
        </w:rPr>
        <w:t>。</w:t>
      </w:r>
    </w:p>
    <w:p>
      <w:pPr>
        <w:pStyle w:val="17"/>
        <w:keepNext w:val="0"/>
        <w:keepLines w:val="0"/>
        <w:pageBreakBefore w:val="0"/>
        <w:widowControl w:val="0"/>
        <w:numPr>
          <w:ilvl w:val="0"/>
          <w:numId w:val="0"/>
        </w:numPr>
        <w:kinsoku/>
        <w:wordWrap/>
        <w:overflowPunct/>
        <w:topLinePunct w:val="0"/>
        <w:autoSpaceDE/>
        <w:autoSpaceDN w:val="0"/>
        <w:bidi w:val="0"/>
        <w:adjustRightInd/>
        <w:spacing w:after="120" w:line="578" w:lineRule="exact"/>
        <w:ind w:firstLine="640" w:firstLineChars="200"/>
        <w:jc w:val="both"/>
        <w:textAlignment w:val="auto"/>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val="en-US" w:eastAsia="zh-CN" w:bidi="ar"/>
        </w:rPr>
        <w:t>6.</w:t>
      </w:r>
      <w:r>
        <w:rPr>
          <w:rFonts w:hint="eastAsia" w:ascii="仿宋_GB2312" w:hAnsi="仿宋_GB2312" w:eastAsia="仿宋_GB2312" w:cs="仿宋_GB2312"/>
          <w:b w:val="0"/>
          <w:bCs w:val="0"/>
          <w:sz w:val="32"/>
          <w:szCs w:val="32"/>
          <w:lang w:bidi="ar"/>
        </w:rPr>
        <w:t>其他支出(类)</w:t>
      </w:r>
    </w:p>
    <w:p>
      <w:pPr>
        <w:keepNext w:val="0"/>
        <w:keepLines w:val="0"/>
        <w:pageBreakBefore w:val="0"/>
        <w:widowControl w:val="0"/>
        <w:kinsoku/>
        <w:wordWrap/>
        <w:overflowPunct/>
        <w:topLinePunct w:val="0"/>
        <w:autoSpaceDE/>
        <w:bidi w:val="0"/>
        <w:adjustRightInd/>
        <w:spacing w:line="578" w:lineRule="exact"/>
        <w:ind w:firstLine="640"/>
        <w:jc w:val="both"/>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val="0"/>
          <w:bCs w:val="0"/>
          <w:sz w:val="32"/>
          <w:szCs w:val="32"/>
          <w:lang w:bidi="ar"/>
        </w:rPr>
        <w:t>其他支出（款）其他支出（项）</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sz w:val="32"/>
          <w:szCs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40</w:t>
      </w:r>
      <w:r>
        <w:rPr>
          <w:rFonts w:hint="eastAsia" w:ascii="仿宋_GB2312" w:hAnsi="仿宋_GB2312" w:eastAsia="仿宋_GB2312" w:cs="仿宋_GB2312"/>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p>
    <w:p>
      <w:pPr>
        <w:keepNext w:val="0"/>
        <w:keepLines w:val="0"/>
        <w:pageBreakBefore w:val="0"/>
        <w:widowControl w:val="0"/>
        <w:kinsoku/>
        <w:wordWrap/>
        <w:overflowPunct/>
        <w:topLinePunct w:val="0"/>
        <w:autoSpaceDE/>
        <w:bidi w:val="0"/>
        <w:adjustRightIn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tabs>
          <w:tab w:val="right" w:pos="8306"/>
        </w:tabs>
        <w:kinsoku/>
        <w:wordWrap/>
        <w:overflowPunct/>
        <w:topLinePunct w:val="0"/>
        <w:autoSpaceDE/>
        <w:bidi w:val="0"/>
        <w:adjustRightInd/>
        <w:spacing w:line="578" w:lineRule="exact"/>
        <w:ind w:firstLine="640"/>
        <w:textAlignment w:val="auto"/>
        <w:outlineLvl w:val="1"/>
        <w:rPr>
          <w:rStyle w:val="32"/>
          <w:rFonts w:ascii="Times New Roman" w:hAnsi="Times New Roman"/>
          <w:color w:val="auto"/>
          <w:highlight w:val="none"/>
        </w:rPr>
      </w:pPr>
      <w:bookmarkStart w:id="72" w:name="_Toc999994828_WPSOffice_Level2"/>
      <w:bookmarkStart w:id="73" w:name="_Toc15396608"/>
      <w:bookmarkStart w:id="74"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2"/>
          <w:rFonts w:hint="eastAsia" w:ascii="Times New Roman" w:hAnsi="Times New Roman" w:eastAsia="黑体"/>
          <w:b w:val="0"/>
          <w:color w:val="auto"/>
          <w:highlight w:val="none"/>
        </w:rPr>
        <w:t>般公共预算财政拨款基本支出决算情况说明</w:t>
      </w:r>
      <w:bookmarkEnd w:id="72"/>
      <w:bookmarkEnd w:id="73"/>
      <w:bookmarkEnd w:id="74"/>
      <w:r>
        <w:rPr>
          <w:rStyle w:val="32"/>
          <w:rFonts w:ascii="Times New Roman" w:hAnsi="Times New Roman" w:eastAsia="黑体"/>
          <w:b w:val="0"/>
          <w:color w:val="auto"/>
          <w:highlight w:val="none"/>
        </w:rPr>
        <w:tab/>
      </w:r>
    </w:p>
    <w:p>
      <w:pPr>
        <w:keepNext w:val="0"/>
        <w:keepLines w:val="0"/>
        <w:pageBreakBefore w:val="0"/>
        <w:widowControl w:val="0"/>
        <w:kinsoku/>
        <w:wordWrap/>
        <w:overflowPunct/>
        <w:topLinePunct w:val="0"/>
        <w:autoSpaceDE/>
        <w:bidi w:val="0"/>
        <w:adjustRightIn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2024年度一般公共预算财政拨款基本支出8558.17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keepNext w:val="0"/>
        <w:keepLines w:val="0"/>
        <w:pageBreakBefore w:val="0"/>
        <w:widowControl w:val="0"/>
        <w:kinsoku/>
        <w:wordWrap/>
        <w:overflowPunct/>
        <w:topLinePunct w:val="0"/>
        <w:autoSpaceDE/>
        <w:bidi w:val="0"/>
        <w:adjustRightIn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人员经费7938.79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绩效工资、机关事业单位基本养老保险缴费、职业年金缴费、职工基本医疗保险缴费、公务员医疗补助缴费、其他社会保障缴费、住房公积金、其他工资福利支出、离休费、抚恤金、生活补助、医疗费补助、奖励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公用经费619.38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水费、电费、邮电费、物业管理费、差旅费、维修（护）费、会议费、培训费、公务接待费、劳务费、委托业务费、工会经费、福利费、公务用车运行维护费、其他交通费用、其他商品和服务支出、信息网络及软件购置更新等。</w:t>
      </w:r>
    </w:p>
    <w:p>
      <w:pPr>
        <w:keepNext w:val="0"/>
        <w:keepLines w:val="0"/>
        <w:pageBreakBefore w:val="0"/>
        <w:widowControl w:val="0"/>
        <w:kinsoku/>
        <w:wordWrap/>
        <w:overflowPunct/>
        <w:topLinePunct w:val="0"/>
        <w:autoSpaceDE/>
        <w:bidi w:val="0"/>
        <w:adjustRightInd/>
        <w:spacing w:line="578" w:lineRule="exact"/>
        <w:ind w:firstLine="640"/>
        <w:textAlignment w:val="auto"/>
        <w:outlineLvl w:val="1"/>
        <w:rPr>
          <w:rStyle w:val="32"/>
          <w:rFonts w:ascii="Times New Roman" w:hAnsi="Times New Roman" w:eastAsia="黑体"/>
          <w:b w:val="0"/>
          <w:color w:val="auto"/>
          <w:highlight w:val="none"/>
        </w:rPr>
      </w:pPr>
      <w:bookmarkStart w:id="75" w:name="_Toc1716834477_WPSOffice_Level2"/>
      <w:bookmarkStart w:id="76" w:name="_Toc15396609"/>
      <w:bookmarkStart w:id="77" w:name="_Toc15377215"/>
      <w:r>
        <w:rPr>
          <w:rFonts w:hint="eastAsia" w:ascii="Times New Roman" w:hAnsi="Times New Roman" w:eastAsia="黑体"/>
          <w:color w:val="auto"/>
          <w:sz w:val="32"/>
          <w:szCs w:val="32"/>
          <w:highlight w:val="none"/>
        </w:rPr>
        <w:t>七、</w:t>
      </w:r>
      <w:r>
        <w:rPr>
          <w:rStyle w:val="32"/>
          <w:rFonts w:hint="eastAsia" w:ascii="Times New Roman" w:hAnsi="Times New Roman" w:eastAsia="黑体"/>
          <w:b w:val="0"/>
          <w:color w:val="auto"/>
          <w:highlight w:val="none"/>
        </w:rPr>
        <w:t>财政拨款</w:t>
      </w:r>
      <w:r>
        <w:rPr>
          <w:rStyle w:val="32"/>
          <w:rFonts w:hint="eastAsia" w:ascii="Times New Roman" w:hAnsi="Times New Roman" w:eastAsia="黑体"/>
          <w:color w:val="auto"/>
          <w:highlight w:val="none"/>
        </w:rPr>
        <w:t>“</w:t>
      </w:r>
      <w:r>
        <w:rPr>
          <w:rStyle w:val="32"/>
          <w:rFonts w:hint="eastAsia" w:ascii="Times New Roman" w:hAnsi="Times New Roman" w:eastAsia="黑体"/>
          <w:b w:val="0"/>
          <w:color w:val="auto"/>
          <w:highlight w:val="none"/>
        </w:rPr>
        <w:t>三公”经费支出决算情况说明</w:t>
      </w:r>
      <w:bookmarkEnd w:id="75"/>
      <w:bookmarkEnd w:id="76"/>
      <w:bookmarkEnd w:id="77"/>
    </w:p>
    <w:p>
      <w:pPr>
        <w:keepNext w:val="0"/>
        <w:keepLines w:val="0"/>
        <w:pageBreakBefore w:val="0"/>
        <w:widowControl w:val="0"/>
        <w:kinsoku/>
        <w:wordWrap/>
        <w:overflowPunct/>
        <w:topLinePunct w:val="0"/>
        <w:autoSpaceDE/>
        <w:bidi w:val="0"/>
        <w:adjustRightInd/>
        <w:spacing w:line="578"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7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78"/>
    </w:p>
    <w:p>
      <w:pPr>
        <w:keepNext w:val="0"/>
        <w:keepLines w:val="0"/>
        <w:pageBreakBefore w:val="0"/>
        <w:widowControl w:val="0"/>
        <w:kinsoku/>
        <w:wordWrap/>
        <w:overflowPunct/>
        <w:topLinePunct w:val="0"/>
        <w:autoSpaceDE/>
        <w:bidi w:val="0"/>
        <w:adjustRightInd/>
        <w:spacing w:line="578" w:lineRule="exact"/>
        <w:ind w:firstLine="640"/>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2024年度“三公”经费财政拨款支出决算为110.34</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Times New Roman" w:hAnsi="Times New Roman" w:eastAsia="仿宋_GB2312" w:cs="仿宋_GB2312"/>
          <w:color w:val="auto"/>
          <w:kern w:val="2"/>
          <w:sz w:val="32"/>
          <w:szCs w:val="32"/>
          <w:highlight w:val="none"/>
          <w:lang w:val="en-US" w:eastAsia="zh-CN" w:bidi="ar-SA"/>
        </w:rPr>
        <w:t>100%，较上年度增加22.45万元，增长</w:t>
      </w:r>
      <w:r>
        <w:rPr>
          <w:rFonts w:hint="eastAsia" w:eastAsia="仿宋_GB2312" w:cs="仿宋_GB2312"/>
          <w:color w:val="auto"/>
          <w:kern w:val="2"/>
          <w:sz w:val="32"/>
          <w:szCs w:val="32"/>
          <w:highlight w:val="none"/>
          <w:lang w:val="en-US" w:eastAsia="zh-CN" w:bidi="ar-SA"/>
        </w:rPr>
        <w:t>25.54</w:t>
      </w:r>
      <w:r>
        <w:rPr>
          <w:rFonts w:hint="eastAsia" w:ascii="Times New Roman" w:hAnsi="Times New Roman" w:eastAsia="仿宋_GB2312" w:cs="仿宋_GB2312"/>
          <w:color w:val="auto"/>
          <w:kern w:val="2"/>
          <w:sz w:val="32"/>
          <w:szCs w:val="32"/>
          <w:highlight w:val="none"/>
          <w:lang w:val="en-US" w:eastAsia="zh-CN" w:bidi="ar-SA"/>
        </w:rPr>
        <w:t>%。决算数与预算数持平</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bidi w:val="0"/>
        <w:adjustRightInd/>
        <w:spacing w:line="578"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7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79"/>
    </w:p>
    <w:p>
      <w:pPr>
        <w:keepNext w:val="0"/>
        <w:keepLines w:val="0"/>
        <w:pageBreakBefore w:val="0"/>
        <w:widowControl w:val="0"/>
        <w:kinsoku/>
        <w:wordWrap/>
        <w:overflowPunct/>
        <w:topLinePunct w:val="0"/>
        <w:autoSpaceDE/>
        <w:bidi w:val="0"/>
        <w:adjustRightInd/>
        <w:spacing w:line="578"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万元，占</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；公务用车购置及运行维护费支出决算</w:t>
      </w:r>
      <w:r>
        <w:rPr>
          <w:rFonts w:hint="eastAsia" w:ascii="Times New Roman" w:hAnsi="Times New Roman" w:eastAsia="仿宋_GB2312" w:cs="仿宋_GB2312"/>
          <w:color w:val="auto"/>
          <w:kern w:val="2"/>
          <w:sz w:val="32"/>
          <w:szCs w:val="32"/>
          <w:highlight w:val="none"/>
          <w:lang w:val="en-US" w:eastAsia="zh-CN" w:bidi="ar-SA"/>
        </w:rPr>
        <w:t>106.68</w:t>
      </w:r>
      <w:r>
        <w:rPr>
          <w:rFonts w:hint="eastAsia" w:ascii="仿宋_GB2312" w:hAnsi="仿宋_GB2312" w:eastAsia="仿宋_GB2312" w:cs="仿宋_GB2312"/>
          <w:color w:val="auto"/>
          <w:kern w:val="2"/>
          <w:sz w:val="32"/>
          <w:szCs w:val="32"/>
          <w:highlight w:val="none"/>
          <w:lang w:val="en-US" w:eastAsia="zh-CN" w:bidi="ar-SA"/>
        </w:rPr>
        <w:t>万元，占</w:t>
      </w:r>
      <w:r>
        <w:rPr>
          <w:rFonts w:hint="eastAsia" w:ascii="Times New Roman" w:hAnsi="Times New Roman" w:eastAsia="仿宋_GB2312" w:cs="仿宋_GB2312"/>
          <w:color w:val="auto"/>
          <w:kern w:val="2"/>
          <w:sz w:val="32"/>
          <w:szCs w:val="32"/>
          <w:highlight w:val="none"/>
          <w:lang w:val="en-US" w:eastAsia="zh-CN" w:bidi="ar-SA"/>
        </w:rPr>
        <w:t>96.68%</w:t>
      </w:r>
      <w:r>
        <w:rPr>
          <w:rFonts w:hint="eastAsia" w:ascii="仿宋_GB2312" w:hAnsi="仿宋_GB2312" w:eastAsia="仿宋_GB2312" w:cs="仿宋_GB2312"/>
          <w:color w:val="auto"/>
          <w:kern w:val="2"/>
          <w:sz w:val="32"/>
          <w:szCs w:val="32"/>
          <w:highlight w:val="none"/>
          <w:lang w:val="en-US" w:eastAsia="zh-CN" w:bidi="ar-SA"/>
        </w:rPr>
        <w:t>；公务接待费支出决算</w:t>
      </w:r>
      <w:r>
        <w:rPr>
          <w:rFonts w:hint="eastAsia" w:ascii="Times New Roman" w:hAnsi="Times New Roman" w:eastAsia="仿宋_GB2312" w:cs="仿宋_GB2312"/>
          <w:color w:val="auto"/>
          <w:kern w:val="2"/>
          <w:sz w:val="32"/>
          <w:szCs w:val="32"/>
          <w:highlight w:val="none"/>
          <w:lang w:val="en-US" w:eastAsia="zh-CN" w:bidi="ar-SA"/>
        </w:rPr>
        <w:t>3.66</w:t>
      </w:r>
      <w:r>
        <w:rPr>
          <w:rFonts w:hint="eastAsia" w:ascii="仿宋_GB2312" w:hAnsi="仿宋_GB2312" w:eastAsia="仿宋_GB2312" w:cs="仿宋_GB2312"/>
          <w:color w:val="auto"/>
          <w:kern w:val="2"/>
          <w:sz w:val="32"/>
          <w:szCs w:val="32"/>
          <w:highlight w:val="none"/>
          <w:lang w:val="en-US" w:eastAsia="zh-CN" w:bidi="ar-SA"/>
        </w:rPr>
        <w:t>万元，占</w:t>
      </w:r>
      <w:r>
        <w:rPr>
          <w:rFonts w:hint="eastAsia" w:ascii="Times New Roman" w:hAnsi="Times New Roman" w:eastAsia="仿宋_GB2312" w:cs="仿宋_GB2312"/>
          <w:color w:val="auto"/>
          <w:kern w:val="2"/>
          <w:sz w:val="32"/>
          <w:szCs w:val="32"/>
          <w:highlight w:val="none"/>
          <w:lang w:val="en-US" w:eastAsia="zh-CN" w:bidi="ar-SA"/>
        </w:rPr>
        <w:t>3.32%</w:t>
      </w:r>
      <w:r>
        <w:rPr>
          <w:rFonts w:hint="eastAsia" w:ascii="仿宋_GB2312" w:hAnsi="仿宋_GB2312" w:eastAsia="仿宋_GB2312" w:cs="仿宋_GB2312"/>
          <w:color w:val="auto"/>
          <w:kern w:val="2"/>
          <w:sz w:val="32"/>
          <w:szCs w:val="32"/>
          <w:highlight w:val="none"/>
          <w:lang w:val="en-US" w:eastAsia="zh-CN" w:bidi="ar-SA"/>
        </w:rPr>
        <w:t>。具体情况如下：</w:t>
      </w:r>
    </w:p>
    <w:p>
      <w:pPr>
        <w:pStyle w:val="2"/>
        <w:rPr>
          <w:rFonts w:hint="eastAsia"/>
          <w:lang w:val="en-US" w:eastAsia="zh-CN"/>
        </w:rPr>
      </w:pPr>
      <w:r>
        <w:rPr>
          <w:rFonts w:hint="eastAsia"/>
          <w:lang w:val="en-US"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Times New Roman" w:hAnsi="Times New Roman" w:eastAsia="仿宋_GB2312" w:cs="仿宋_GB2312"/>
          <w:color w:val="auto"/>
          <w:kern w:val="2"/>
          <w:sz w:val="32"/>
          <w:szCs w:val="32"/>
          <w:highlight w:val="none"/>
          <w:lang w:val="en-US" w:eastAsia="zh-CN" w:bidi="ar-SA"/>
        </w:rPr>
        <w:t>0次，出国（境）0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2.公务用车购置及运行维护费支出106.68</w:t>
      </w:r>
      <w:r>
        <w:rPr>
          <w:rFonts w:hint="eastAsia" w:ascii="仿宋_GB2312" w:hAnsi="仿宋_GB2312" w:eastAsia="仿宋_GB2312" w:cs="仿宋_GB2312"/>
          <w:b/>
          <w:bCs/>
          <w:color w:val="auto"/>
          <w:kern w:val="2"/>
          <w:sz w:val="32"/>
          <w:szCs w:val="32"/>
          <w:highlight w:val="none"/>
          <w:lang w:val="en-US" w:eastAsia="zh-CN" w:bidi="ar-SA"/>
        </w:rPr>
        <w:t>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完成预算100%。</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w:t>
      </w:r>
      <w:r>
        <w:rPr>
          <w:rFonts w:hint="eastAsia" w:eastAsia="仿宋_GB2312" w:cs="仿宋_GB2312"/>
          <w:color w:val="auto"/>
          <w:kern w:val="2"/>
          <w:sz w:val="32"/>
          <w:szCs w:val="32"/>
          <w:highlight w:val="none"/>
          <w:lang w:val="en-US" w:eastAsia="zh-CN" w:bidi="ar-SA"/>
        </w:rPr>
        <w:t>23.13</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27.68</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hAnsi="仿宋" w:eastAsia="仿宋_GB2312" w:cs="仿宋_GB2312"/>
          <w:sz w:val="32"/>
          <w:szCs w:val="32"/>
          <w:lang w:bidi="ar"/>
        </w:rPr>
        <w:t>为保障各项重点工作及重点项目的顺利推进，</w:t>
      </w:r>
      <w:r>
        <w:rPr>
          <w:rFonts w:hint="eastAsia" w:ascii="仿宋_GB2312" w:hAnsi="仿宋" w:eastAsia="仿宋_GB2312"/>
          <w:sz w:val="32"/>
          <w:szCs w:val="32"/>
        </w:rPr>
        <w:t>局机关</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 w:eastAsia="仿宋_GB2312" w:cs="仿宋_GB2312"/>
          <w:sz w:val="32"/>
          <w:szCs w:val="32"/>
          <w:lang w:bidi="ar"/>
        </w:rPr>
        <w:t>年新购置专业技术用车</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hAnsi="仿宋" w:eastAsia="仿宋_GB2312" w:cs="仿宋_GB2312"/>
          <w:sz w:val="32"/>
          <w:szCs w:val="32"/>
          <w:lang w:bidi="ar"/>
        </w:rPr>
        <w:t>辆</w:t>
      </w:r>
      <w:r>
        <w:rPr>
          <w:rFonts w:hint="eastAsia" w:ascii="仿宋_GB2312" w:hAnsi="仿宋" w:eastAsia="仿宋_GB2312" w:cs="仿宋_GB2312"/>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30万元。全年按规定更新购置公务用车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30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ascii="仿宋_GB2312" w:hAnsi="仿宋" w:eastAsia="仿宋_GB2312" w:cs="仿宋_GB2312"/>
          <w:sz w:val="32"/>
          <w:szCs w:val="32"/>
          <w:lang w:bidi="ar"/>
        </w:rPr>
        <w:t>保障各项重点工作及重点项目的顺利推进</w:t>
      </w:r>
      <w:r>
        <w:rPr>
          <w:rFonts w:hint="eastAsia" w:ascii="Times New Roman" w:hAnsi="Times New Roman" w:eastAsia="仿宋_GB2312" w:cs="仿宋_GB2312"/>
          <w:color w:val="auto"/>
          <w:kern w:val="2"/>
          <w:sz w:val="32"/>
          <w:szCs w:val="32"/>
          <w:highlight w:val="none"/>
          <w:lang w:val="en-US" w:eastAsia="zh-CN" w:bidi="ar-SA"/>
        </w:rPr>
        <w:t>。截至2024年12月31日，单位共有公务用车</w:t>
      </w:r>
      <w:r>
        <w:rPr>
          <w:rFonts w:hint="eastAsia" w:eastAsia="仿宋_GB2312" w:cs="仿宋_GB2312"/>
          <w:color w:val="auto"/>
          <w:kern w:val="2"/>
          <w:sz w:val="32"/>
          <w:szCs w:val="32"/>
          <w:highlight w:val="none"/>
          <w:lang w:val="en-US" w:eastAsia="zh-CN" w:bidi="ar-SA"/>
        </w:rPr>
        <w:t>56</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r>
        <w:rPr>
          <w:rFonts w:hint="eastAsia" w:eastAsia="仿宋_GB2312" w:cs="仿宋_GB2312"/>
          <w:color w:val="auto"/>
          <w:kern w:val="2"/>
          <w:sz w:val="32"/>
          <w:szCs w:val="32"/>
          <w:highlight w:val="none"/>
          <w:lang w:val="en-US" w:eastAsia="zh-CN" w:bidi="ar-SA"/>
        </w:rPr>
        <w:t>、货车及特种作业38辆</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76.68万元。主要用于</w:t>
      </w:r>
      <w:r>
        <w:rPr>
          <w:rFonts w:hint="eastAsia" w:ascii="仿宋_GB2312" w:hAnsi="仿宋_GB2312" w:eastAsia="仿宋_GB2312" w:cs="仿宋_GB2312"/>
          <w:sz w:val="32"/>
          <w:szCs w:val="32"/>
        </w:rPr>
        <w:t>开展城市更新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住房保障、老旧小区改造、农村危房改造、建筑质量</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监督、零碳示范村、绿色建</w:t>
      </w:r>
      <w:r>
        <w:rPr>
          <w:rFonts w:hint="eastAsia" w:ascii="仿宋_GB2312" w:hAnsi="仿宋_GB2312" w:eastAsia="仿宋_GB2312" w:cs="仿宋_GB2312"/>
          <w:color w:val="auto"/>
          <w:sz w:val="32"/>
          <w:szCs w:val="32"/>
        </w:rPr>
        <w:t>筑发展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市政公用设施维修维护</w:t>
      </w:r>
      <w:r>
        <w:rPr>
          <w:rFonts w:hint="eastAsia" w:ascii="仿宋_GB2312" w:hAnsi="仿宋_GB2312" w:eastAsia="仿宋_GB2312" w:cs="仿宋_GB2312"/>
          <w:color w:val="auto"/>
          <w:sz w:val="32"/>
          <w:szCs w:val="32"/>
          <w:lang w:eastAsia="zh-CN"/>
        </w:rPr>
        <w:t>、</w:t>
      </w:r>
      <w:r>
        <w:rPr>
          <w:rFonts w:hint="eastAsia" w:eastAsia="仿宋_GB2312" w:cs="仿宋_GB2312"/>
          <w:color w:val="auto"/>
          <w:sz w:val="32"/>
          <w:szCs w:val="32"/>
        </w:rPr>
        <w:t>白蚁防治施工、</w:t>
      </w:r>
      <w:r>
        <w:rPr>
          <w:rFonts w:eastAsia="仿宋_GB2312" w:cs="仿宋_GB2312"/>
          <w:color w:val="auto"/>
          <w:sz w:val="32"/>
          <w:szCs w:val="32"/>
        </w:rPr>
        <w:t>公房维修、维修基金拨付现场勘查</w:t>
      </w:r>
      <w:r>
        <w:rPr>
          <w:rFonts w:hint="eastAsia" w:eastAsia="仿宋_GB2312" w:cs="仿宋_GB2312"/>
          <w:color w:val="auto"/>
          <w:sz w:val="32"/>
          <w:szCs w:val="32"/>
          <w:lang w:eastAsia="zh-CN"/>
        </w:rPr>
        <w:t>等</w:t>
      </w:r>
      <w:r>
        <w:rPr>
          <w:rFonts w:hint="eastAsia" w:ascii="仿宋_GB2312" w:hAnsi="仿宋_GB2312" w:eastAsia="仿宋_GB2312" w:cs="仿宋_GB2312"/>
          <w:color w:val="auto"/>
          <w:sz w:val="32"/>
          <w:szCs w:val="32"/>
        </w:rPr>
        <w:t>工作</w:t>
      </w:r>
      <w:r>
        <w:rPr>
          <w:rFonts w:hint="eastAsia" w:ascii="Times New Roman" w:hAnsi="Times New Roman" w:eastAsia="仿宋_GB2312" w:cs="仿宋_GB2312"/>
          <w:color w:val="auto"/>
          <w:kern w:val="2"/>
          <w:sz w:val="32"/>
          <w:szCs w:val="32"/>
          <w:highlight w:val="none"/>
          <w:lang w:val="en-US" w:eastAsia="zh-CN" w:bidi="ar-SA"/>
        </w:rPr>
        <w:t>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3.公务接待费支出3.66</w:t>
      </w:r>
      <w:r>
        <w:rPr>
          <w:rFonts w:hint="eastAsia" w:ascii="仿宋_GB2312" w:hAnsi="仿宋_GB2312" w:eastAsia="仿宋_GB2312" w:cs="仿宋_GB2312"/>
          <w:b/>
          <w:bCs/>
          <w:color w:val="auto"/>
          <w:kern w:val="2"/>
          <w:sz w:val="32"/>
          <w:szCs w:val="32"/>
          <w:highlight w:val="none"/>
          <w:lang w:val="en-US" w:eastAsia="zh-CN" w:bidi="ar-SA"/>
        </w:rPr>
        <w:t>万</w:t>
      </w:r>
      <w:r>
        <w:rPr>
          <w:rFonts w:hint="eastAsia" w:ascii="Times New Roman" w:hAnsi="Times New Roman" w:eastAsia="仿宋_GB2312" w:cs="仿宋_GB2312"/>
          <w:b/>
          <w:bCs/>
          <w:color w:val="auto"/>
          <w:kern w:val="2"/>
          <w:sz w:val="32"/>
          <w:szCs w:val="32"/>
          <w:highlight w:val="none"/>
          <w:lang w:val="en-US" w:eastAsia="zh-CN" w:bidi="ar-SA"/>
        </w:rPr>
        <w:t>元，完成预算100%。</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公务接待费支出决算比2023年度减少0.6</w:t>
      </w: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15.86</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hAnsi="仿宋" w:eastAsia="仿宋_GB2312"/>
          <w:sz w:val="32"/>
          <w:szCs w:val="32"/>
        </w:rPr>
        <w:t>厉行节约，公务接待费减少</w:t>
      </w:r>
      <w:r>
        <w:rPr>
          <w:rFonts w:hint="eastAsia" w:ascii="Times New Roman" w:hAnsi="Times New Roman" w:eastAsia="仿宋_GB2312" w:cs="仿宋_GB2312"/>
          <w:color w:val="auto"/>
          <w:kern w:val="2"/>
          <w:sz w:val="32"/>
          <w:szCs w:val="32"/>
          <w:highlight w:val="none"/>
          <w:lang w:val="en-US" w:eastAsia="zh-CN" w:bidi="ar-SA"/>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3.66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w:t>
      </w:r>
      <w:r>
        <w:rPr>
          <w:rFonts w:hint="eastAsia" w:ascii="仿宋_GB2312" w:hAnsi="仿宋_GB2312" w:eastAsia="仿宋_GB2312" w:cs="仿宋_GB2312"/>
          <w:sz w:val="32"/>
          <w:szCs w:val="32"/>
        </w:rPr>
        <w:t>接待省厅各项检查和执行公务、开展业务活动</w:t>
      </w:r>
      <w:r>
        <w:rPr>
          <w:rFonts w:hint="eastAsia" w:ascii="仿宋_GB2312" w:hAnsi="仿宋_GB2312" w:eastAsia="仿宋_GB2312" w:cs="仿宋_GB2312"/>
          <w:sz w:val="32"/>
          <w:szCs w:val="32"/>
          <w:lang w:eastAsia="zh-CN"/>
        </w:rPr>
        <w:t>，以及各市州调研发生的接待</w:t>
      </w:r>
      <w:r>
        <w:rPr>
          <w:rFonts w:hint="eastAsia" w:ascii="仿宋_GB2312" w:hAnsi="仿宋_GB2312" w:eastAsia="仿宋_GB2312" w:cs="仿宋_GB2312"/>
          <w:sz w:val="32"/>
          <w:szCs w:val="32"/>
        </w:rPr>
        <w:t>餐费</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Times New Roman" w:hAnsi="Times New Roman" w:eastAsia="仿宋_GB2312" w:cs="仿宋_GB2312"/>
          <w:color w:val="auto"/>
          <w:kern w:val="2"/>
          <w:sz w:val="32"/>
          <w:szCs w:val="32"/>
          <w:highlight w:val="none"/>
          <w:lang w:val="en-US" w:eastAsia="zh-CN" w:bidi="ar-SA"/>
        </w:rPr>
        <w:t>30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Times New Roman" w:hAnsi="Times New Roman" w:eastAsia="仿宋_GB2312" w:cs="仿宋_GB2312"/>
          <w:color w:val="auto"/>
          <w:kern w:val="2"/>
          <w:sz w:val="32"/>
          <w:szCs w:val="32"/>
          <w:highlight w:val="none"/>
          <w:lang w:val="en-US" w:eastAsia="zh-CN" w:bidi="ar-SA"/>
        </w:rPr>
        <w:t>224人次（不包括陪同人员），共计支出</w:t>
      </w:r>
      <w:r>
        <w:rPr>
          <w:rFonts w:hint="eastAsia" w:eastAsia="仿宋_GB2312" w:cs="仿宋_GB2312"/>
          <w:color w:val="auto"/>
          <w:kern w:val="2"/>
          <w:sz w:val="32"/>
          <w:szCs w:val="32"/>
          <w:highlight w:val="none"/>
          <w:lang w:val="en-US" w:eastAsia="zh-CN" w:bidi="ar-SA"/>
        </w:rPr>
        <w:t>3.66</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接待住建部村庄里的中国纪录片调研采访餐费2680元，接待住房城乡建设厅质量安全检查督导组餐费851元，接待住房城乡建设厅专家组调研城市更新试点餐费</w:t>
      </w:r>
      <w:r>
        <w:rPr>
          <w:rFonts w:hint="eastAsia" w:ascii="Times New Roman" w:hAnsi="Times New Roman" w:eastAsia="仿宋_GB2312" w:cs="仿宋_GB2312"/>
          <w:color w:val="auto"/>
          <w:kern w:val="2"/>
          <w:sz w:val="32"/>
          <w:szCs w:val="32"/>
          <w:highlight w:val="none"/>
          <w:lang w:val="en-US" w:eastAsia="zh-CN" w:bidi="ar-SA"/>
        </w:rPr>
        <w:t>1343</w:t>
      </w:r>
      <w:r>
        <w:rPr>
          <w:rFonts w:hint="eastAsia" w:eastAsia="仿宋_GB2312" w:cs="仿宋_GB2312"/>
          <w:color w:val="auto"/>
          <w:kern w:val="2"/>
          <w:sz w:val="32"/>
          <w:szCs w:val="32"/>
          <w:highlight w:val="none"/>
          <w:lang w:val="en-US" w:eastAsia="zh-CN" w:bidi="ar-SA"/>
        </w:rPr>
        <w:t>元，接待遂宁住建局调研绿色建筑餐费1797元，接待住房城乡建设厅住建领域防风险保稳定综合调研餐费1702.55元，接待住房城乡建设厅建筑领域综合调研接待费1620元，接待达州市房地产事务中心学习物业智慧管理平台建设及房产交易电子数据异地灾备及安全校验餐费1080元等</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bookmarkStart w:id="80" w:name="_Toc15396610"/>
      <w:bookmarkStart w:id="81" w:name="_Toc15377218"/>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1"/>
        <w:rPr>
          <w:rStyle w:val="32"/>
          <w:rFonts w:ascii="Times New Roman" w:hAnsi="Times New Roman" w:eastAsia="黑体"/>
          <w:color w:val="auto"/>
          <w:highlight w:val="none"/>
        </w:rPr>
      </w:pPr>
      <w:bookmarkStart w:id="82" w:name="_Toc779095112_WPSOffice_Level2"/>
      <w:r>
        <w:rPr>
          <w:rFonts w:hint="eastAsia" w:ascii="Times New Roman" w:hAnsi="Times New Roman" w:eastAsia="黑体"/>
          <w:color w:val="auto"/>
          <w:sz w:val="32"/>
          <w:szCs w:val="32"/>
          <w:highlight w:val="none"/>
        </w:rPr>
        <w:t>八、</w:t>
      </w:r>
      <w:r>
        <w:rPr>
          <w:rStyle w:val="32"/>
          <w:rFonts w:hint="eastAsia" w:ascii="Times New Roman" w:hAnsi="Times New Roman" w:eastAsia="黑体"/>
          <w:b w:val="0"/>
          <w:color w:val="auto"/>
          <w:highlight w:val="none"/>
        </w:rPr>
        <w:t>政府性基金预算支出决算情况说明</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年度政府性基金预算财政拨款支出</w:t>
      </w:r>
      <w:r>
        <w:rPr>
          <w:rFonts w:hint="eastAsia" w:eastAsia="仿宋_GB2312" w:cs="仿宋_GB2312"/>
          <w:color w:val="auto"/>
          <w:kern w:val="2"/>
          <w:sz w:val="32"/>
          <w:szCs w:val="32"/>
          <w:highlight w:val="none"/>
          <w:lang w:val="en-US" w:eastAsia="zh-CN" w:bidi="ar-SA"/>
        </w:rPr>
        <w:t>22645.97</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eastAsia="仿宋_GB2312" w:cs="仿宋_GB2312"/>
          <w:color w:val="auto"/>
          <w:kern w:val="2"/>
          <w:sz w:val="32"/>
          <w:szCs w:val="32"/>
          <w:highlight w:val="none"/>
          <w:lang w:val="en-US" w:eastAsia="zh-CN" w:bidi="ar-SA"/>
        </w:rPr>
        <w:t>59.16%</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w:t>
      </w:r>
      <w:r>
        <w:rPr>
          <w:rFonts w:hint="eastAsia" w:eastAsia="仿宋_GB2312" w:cs="仿宋_GB2312"/>
          <w:color w:val="auto"/>
          <w:kern w:val="2"/>
          <w:sz w:val="32"/>
          <w:szCs w:val="32"/>
          <w:highlight w:val="none"/>
          <w:lang w:val="en-US" w:eastAsia="zh-CN" w:bidi="ar-SA"/>
        </w:rPr>
        <w:t>757.66</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3.46</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仿宋_GB2312" w:eastAsia="仿宋_GB2312"/>
          <w:sz w:val="32"/>
          <w:szCs w:val="32"/>
        </w:rPr>
        <w:t>生活污水处理设施建设</w:t>
      </w:r>
      <w:r>
        <w:rPr>
          <w:rFonts w:hint="eastAsia" w:ascii="Times New Roman" w:hAnsi="Times New Roman" w:eastAsia="仿宋_GB2312" w:cs="仿宋_GB2312"/>
          <w:color w:val="auto"/>
          <w:kern w:val="2"/>
          <w:sz w:val="32"/>
          <w:szCs w:val="32"/>
          <w:highlight w:val="none"/>
          <w:lang w:val="en-US" w:eastAsia="zh-CN" w:bidi="ar-SA"/>
        </w:rPr>
        <w:t>PPP</w:t>
      </w:r>
      <w:r>
        <w:rPr>
          <w:rFonts w:hint="eastAsia" w:ascii="仿宋_GB2312" w:eastAsia="仿宋_GB2312"/>
          <w:sz w:val="32"/>
          <w:szCs w:val="32"/>
        </w:rPr>
        <w:t>项目</w:t>
      </w:r>
      <w:r>
        <w:rPr>
          <w:rFonts w:hint="eastAsia" w:ascii="仿宋_GB2312" w:eastAsia="仿宋_GB2312"/>
          <w:sz w:val="32"/>
          <w:szCs w:val="32"/>
          <w:lang w:eastAsia="zh-CN"/>
        </w:rPr>
        <w:t>支出</w:t>
      </w:r>
      <w:r>
        <w:rPr>
          <w:rFonts w:hint="eastAsia" w:ascii="仿宋_GB2312" w:eastAsia="仿宋_GB2312"/>
          <w:sz w:val="32"/>
          <w:szCs w:val="32"/>
        </w:rPr>
        <w:t>较上年增</w:t>
      </w:r>
      <w:r>
        <w:rPr>
          <w:rFonts w:hint="eastAsia" w:ascii="仿宋_GB2312" w:eastAsia="仿宋_GB2312"/>
          <w:color w:val="auto"/>
          <w:sz w:val="32"/>
          <w:szCs w:val="32"/>
        </w:rPr>
        <w:t>加</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0" w:leftChars="0"/>
        <w:textAlignment w:val="auto"/>
        <w:outlineLvl w:val="1"/>
        <w:rPr>
          <w:rStyle w:val="32"/>
          <w:rFonts w:ascii="Times New Roman" w:hAnsi="Times New Roman" w:eastAsia="黑体"/>
          <w:b w:val="0"/>
          <w:color w:val="auto"/>
          <w:highlight w:val="none"/>
        </w:rPr>
      </w:pPr>
      <w:bookmarkStart w:id="83" w:name="_Toc15377219"/>
      <w:bookmarkStart w:id="84" w:name="_Toc15396611"/>
      <w:bookmarkStart w:id="85" w:name="_Toc397735526_WPSOffice_Level2"/>
      <w:r>
        <w:rPr>
          <w:rStyle w:val="32"/>
          <w:rFonts w:hint="eastAsia" w:ascii="Times New Roman" w:hAnsi="Times New Roman" w:eastAsia="黑体"/>
          <w:b w:val="0"/>
          <w:color w:val="auto"/>
          <w:highlight w:val="none"/>
          <w:lang w:eastAsia="zh-CN"/>
        </w:rPr>
        <w:t>九、</w:t>
      </w:r>
      <w:r>
        <w:rPr>
          <w:rStyle w:val="32"/>
          <w:rFonts w:hint="eastAsia" w:ascii="Times New Roman" w:hAnsi="Times New Roman" w:eastAsia="黑体"/>
          <w:b w:val="0"/>
          <w:color w:val="auto"/>
          <w:highlight w:val="none"/>
        </w:rPr>
        <w:t>国有资本经营预算支出决算情况说明</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0" w:leftChars="0"/>
        <w:textAlignment w:val="auto"/>
        <w:outlineLvl w:val="1"/>
        <w:rPr>
          <w:rStyle w:val="32"/>
          <w:rFonts w:hint="eastAsia" w:ascii="Times New Roman" w:hAnsi="Times New Roman" w:eastAsia="黑体"/>
          <w:b w:val="0"/>
          <w:color w:val="auto"/>
          <w:highlight w:val="none"/>
        </w:rPr>
      </w:pPr>
      <w:bookmarkStart w:id="86" w:name="_Toc1043805782_WPSOffice_Level2"/>
      <w:bookmarkStart w:id="87" w:name="_Toc15396612"/>
      <w:bookmarkStart w:id="88" w:name="_Toc15377221"/>
      <w:r>
        <w:rPr>
          <w:rStyle w:val="32"/>
          <w:rFonts w:hint="eastAsia" w:ascii="Times New Roman" w:hAnsi="Times New Roman" w:eastAsia="黑体"/>
          <w:b w:val="0"/>
          <w:color w:val="auto"/>
          <w:highlight w:val="none"/>
          <w:lang w:eastAsia="zh-CN"/>
        </w:rPr>
        <w:t>十、</w:t>
      </w:r>
      <w:r>
        <w:rPr>
          <w:rStyle w:val="32"/>
          <w:rFonts w:hint="eastAsia" w:ascii="Times New Roman" w:hAnsi="Times New Roman" w:eastAsia="黑体"/>
          <w:b w:val="0"/>
          <w:color w:val="auto"/>
          <w:highlight w:val="none"/>
        </w:rPr>
        <w:t>其他重要事项的情况说明</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89" w:name="_Toc15377222"/>
      <w:r>
        <w:rPr>
          <w:rFonts w:hint="eastAsia" w:ascii="Times New Roman" w:hAnsi="Times New Roman" w:eastAsia="楷体_GB2312" w:cs="楷体_GB2312"/>
          <w:b/>
          <w:color w:val="auto"/>
          <w:sz w:val="32"/>
          <w:szCs w:val="32"/>
          <w:highlight w:val="none"/>
        </w:rPr>
        <w:t>（一）机关运行经费支出情况</w:t>
      </w:r>
      <w:bookmarkEnd w:id="89"/>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四川省攀枝花市住房和城乡建设局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Times New Roman" w:hAnsi="Times New Roman" w:eastAsia="仿宋_GB2312" w:cs="仿宋_GB2312"/>
          <w:color w:val="auto"/>
          <w:kern w:val="2"/>
          <w:sz w:val="32"/>
          <w:szCs w:val="32"/>
          <w:highlight w:val="none"/>
          <w:lang w:val="en-US" w:eastAsia="zh-CN" w:bidi="ar-SA"/>
        </w:rPr>
        <w:t>373.05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21.9</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5.55</w:t>
      </w:r>
      <w:r>
        <w:rPr>
          <w:rFonts w:hint="eastAsia" w:ascii="Times New Roman" w:hAnsi="Times New Roman" w:eastAsia="仿宋_GB2312" w:cs="仿宋_GB2312"/>
          <w:color w:val="auto"/>
          <w:kern w:val="2"/>
          <w:sz w:val="32"/>
          <w:szCs w:val="32"/>
          <w:highlight w:val="none"/>
          <w:lang w:val="en-US" w:eastAsia="zh-CN" w:bidi="ar-SA"/>
        </w:rPr>
        <w:t>%。主要原因是2024年单位人员减少，财政预算拨</w:t>
      </w:r>
      <w:r>
        <w:rPr>
          <w:rFonts w:hint="eastAsia" w:eastAsia="仿宋_GB2312" w:cs="仿宋_GB2312"/>
          <w:color w:val="auto"/>
          <w:kern w:val="2"/>
          <w:sz w:val="32"/>
          <w:szCs w:val="32"/>
          <w:highlight w:val="none"/>
          <w:lang w:val="en-US" w:eastAsia="zh-CN" w:bidi="ar-SA"/>
        </w:rPr>
        <w:t>入</w:t>
      </w:r>
      <w:r>
        <w:rPr>
          <w:rFonts w:hint="eastAsia" w:ascii="Times New Roman" w:hAnsi="Times New Roman" w:eastAsia="仿宋_GB2312" w:cs="仿宋_GB2312"/>
          <w:color w:val="auto"/>
          <w:kern w:val="2"/>
          <w:sz w:val="32"/>
          <w:szCs w:val="32"/>
          <w:highlight w:val="none"/>
          <w:lang w:val="en-US" w:eastAsia="zh-CN" w:bidi="ar-SA"/>
        </w:rPr>
        <w:t>减少</w:t>
      </w:r>
      <w:r>
        <w:rPr>
          <w:rFonts w:hint="eastAsia" w:eastAsia="仿宋_GB2312" w:cs="仿宋_GB2312"/>
          <w:color w:val="auto"/>
          <w:kern w:val="2"/>
          <w:sz w:val="32"/>
          <w:szCs w:val="32"/>
          <w:highlight w:val="none"/>
          <w:lang w:val="en-US" w:eastAsia="zh-CN" w:bidi="ar-SA"/>
        </w:rPr>
        <w:t>，相应支出减少</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90" w:name="_Toc15377223"/>
      <w:r>
        <w:rPr>
          <w:rFonts w:hint="eastAsia" w:ascii="Times New Roman" w:hAnsi="Times New Roman" w:eastAsia="楷体_GB2312" w:cs="楷体_GB2312"/>
          <w:b/>
          <w:color w:val="auto"/>
          <w:sz w:val="32"/>
          <w:szCs w:val="32"/>
          <w:highlight w:val="none"/>
        </w:rPr>
        <w:t>（二）政府采购支出情况</w:t>
      </w:r>
      <w:bookmarkEnd w:id="90"/>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eastAsia="仿宋_GB2312" w:cs="仿宋_GB2312"/>
          <w:color w:val="auto"/>
          <w:sz w:val="32"/>
          <w:szCs w:val="32"/>
          <w:lang w:val="en-US" w:eastAsia="zh-CN"/>
        </w:rPr>
        <w:t>2024</w:t>
      </w:r>
      <w:r>
        <w:rPr>
          <w:rFonts w:hint="eastAsia" w:ascii="仿宋_GB2312" w:hAnsi="仿宋_GB2312" w:eastAsia="仿宋_GB2312" w:cs="仿宋_GB2312"/>
          <w:color w:val="auto"/>
          <w:kern w:val="2"/>
          <w:sz w:val="32"/>
          <w:szCs w:val="32"/>
          <w:highlight w:val="none"/>
          <w:lang w:val="en-US" w:eastAsia="zh-CN" w:bidi="ar-SA"/>
        </w:rPr>
        <w:t>年度，</w:t>
      </w:r>
      <w:r>
        <w:rPr>
          <w:rFonts w:hint="eastAsia" w:ascii="仿宋_GB2312" w:hAnsi="仿宋_GB2312" w:eastAsia="仿宋_GB2312" w:cs="仿宋_GB2312"/>
          <w:sz w:val="32"/>
          <w:szCs w:val="32"/>
        </w:rPr>
        <w:t>四川省攀枝花市住房和城乡建设局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eastAsia="仿宋_GB2312" w:cs="仿宋_GB2312"/>
          <w:color w:val="auto"/>
          <w:sz w:val="32"/>
          <w:szCs w:val="32"/>
          <w:lang w:val="en-US" w:eastAsia="zh-CN"/>
        </w:rPr>
        <w:t>5666.37</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eastAsia="仿宋_GB2312" w:cs="仿宋_GB2312"/>
          <w:color w:val="auto"/>
          <w:sz w:val="32"/>
          <w:szCs w:val="32"/>
          <w:lang w:val="en-US" w:eastAsia="zh-CN"/>
        </w:rPr>
        <w:t>34.07</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eastAsia="仿宋_GB2312" w:cs="仿宋_GB2312"/>
          <w:color w:val="auto"/>
          <w:sz w:val="32"/>
          <w:szCs w:val="32"/>
          <w:lang w:val="en-US" w:eastAsia="zh-CN"/>
        </w:rPr>
        <w:t>5266.78</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eastAsia="仿宋_GB2312" w:cs="仿宋_GB2312"/>
          <w:color w:val="auto"/>
          <w:sz w:val="32"/>
          <w:szCs w:val="32"/>
          <w:lang w:val="en-US" w:eastAsia="zh-CN"/>
        </w:rPr>
        <w:t>365.52</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仿宋_GB2312" w:hAnsi="仿宋_GB2312" w:eastAsia="仿宋_GB2312" w:cs="仿宋_GB2312"/>
          <w:color w:val="auto"/>
          <w:sz w:val="32"/>
          <w:szCs w:val="32"/>
        </w:rPr>
        <w:t>主要用于国家零碳建筑示范城市方案规划编制</w:t>
      </w:r>
      <w:r>
        <w:rPr>
          <w:rFonts w:hint="eastAsia" w:ascii="仿宋_GB2312" w:hAnsi="仿宋_GB2312" w:eastAsia="仿宋_GB2312" w:cs="仿宋_GB2312"/>
          <w:color w:val="auto"/>
          <w:sz w:val="32"/>
          <w:szCs w:val="32"/>
          <w:lang w:eastAsia="zh-CN"/>
        </w:rPr>
        <w:t>，</w:t>
      </w:r>
      <w:r>
        <w:rPr>
          <w:rFonts w:hint="eastAsia"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市政公用设施</w:t>
      </w:r>
      <w:r>
        <w:rPr>
          <w:rFonts w:hint="eastAsia" w:ascii="仿宋_GB2312" w:hAnsi="仿宋_GB2312" w:eastAsia="仿宋_GB2312" w:cs="仿宋_GB2312"/>
          <w:color w:val="auto"/>
          <w:sz w:val="32"/>
          <w:szCs w:val="32"/>
        </w:rPr>
        <w:t>变压器及夜景照明设施维护服务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房地产市场信息平台运维服务、城市桥梁常规定期检测</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市</w:t>
      </w:r>
      <w:r>
        <w:rPr>
          <w:rFonts w:hint="eastAsia" w:eastAsia="仿宋_GB2312" w:cs="仿宋_GB2312"/>
          <w:color w:val="auto"/>
          <w:sz w:val="32"/>
          <w:szCs w:val="32"/>
        </w:rPr>
        <w:t>2022</w:t>
      </w:r>
      <w:r>
        <w:rPr>
          <w:rFonts w:hint="eastAsia" w:ascii="仿宋_GB2312" w:hAnsi="仿宋_GB2312" w:eastAsia="仿宋_GB2312" w:cs="仿宋_GB2312"/>
          <w:color w:val="auto"/>
          <w:sz w:val="32"/>
          <w:szCs w:val="32"/>
        </w:rPr>
        <w:t>年城市体检技术服务、</w:t>
      </w:r>
      <w:r>
        <w:rPr>
          <w:rFonts w:hint="eastAsia" w:eastAsia="仿宋_GB2312" w:cs="仿宋_GB2312"/>
          <w:color w:val="auto"/>
          <w:sz w:val="32"/>
          <w:szCs w:val="32"/>
        </w:rPr>
        <w:t>2024</w:t>
      </w:r>
      <w:r>
        <w:rPr>
          <w:rFonts w:hint="eastAsia" w:ascii="仿宋_GB2312" w:hAnsi="仿宋_GB2312" w:eastAsia="仿宋_GB2312" w:cs="仿宋_GB2312"/>
          <w:color w:val="auto"/>
          <w:sz w:val="32"/>
          <w:szCs w:val="32"/>
        </w:rPr>
        <w:t>年城市体检技术服务</w:t>
      </w:r>
      <w:r>
        <w:rPr>
          <w:rFonts w:hint="eastAsia" w:ascii="仿宋_GB2312" w:hAnsi="仿宋_GB2312" w:eastAsia="仿宋_GB2312" w:cs="仿宋_GB2312"/>
          <w:color w:val="auto"/>
          <w:sz w:val="32"/>
          <w:szCs w:val="32"/>
          <w:lang w:eastAsia="zh-CN"/>
        </w:rPr>
        <w:t>等项目，以</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满足工作需要购置的办公设备。</w:t>
      </w:r>
      <w:r>
        <w:rPr>
          <w:rFonts w:hint="eastAsia" w:ascii="仿宋_GB2312" w:hAnsi="仿宋_GB2312" w:eastAsia="仿宋_GB2312" w:cs="仿宋_GB2312"/>
          <w:color w:val="auto"/>
          <w:kern w:val="2"/>
          <w:sz w:val="32"/>
          <w:szCs w:val="32"/>
          <w:highlight w:val="none"/>
          <w:lang w:val="en-US" w:eastAsia="zh-CN" w:bidi="ar-SA"/>
        </w:rPr>
        <w:t>授予中小企业合同金额</w:t>
      </w:r>
      <w:r>
        <w:rPr>
          <w:rFonts w:hint="eastAsia" w:eastAsia="仿宋_GB2312" w:cs="仿宋_GB2312"/>
          <w:color w:val="auto"/>
          <w:sz w:val="32"/>
          <w:szCs w:val="32"/>
          <w:lang w:val="en-US" w:eastAsia="zh-CN"/>
        </w:rPr>
        <w:t>5521</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eastAsia="仿宋_GB2312" w:cs="仿宋_GB2312"/>
          <w:color w:val="auto"/>
          <w:sz w:val="32"/>
          <w:szCs w:val="32"/>
          <w:lang w:val="en-US" w:eastAsia="zh-CN"/>
        </w:rPr>
        <w:t>97.43%</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eastAsia="仿宋_GB2312" w:cs="仿宋_GB2312"/>
          <w:color w:val="auto"/>
          <w:sz w:val="32"/>
          <w:szCs w:val="32"/>
          <w:lang w:val="en-US" w:eastAsia="zh-CN"/>
        </w:rPr>
        <w:t>5455.13</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eastAsia="仿宋_GB2312" w:cs="仿宋_GB2312"/>
          <w:color w:val="auto"/>
          <w:sz w:val="32"/>
          <w:szCs w:val="32"/>
          <w:lang w:val="en-US" w:eastAsia="zh-CN"/>
        </w:rPr>
        <w:t>96.27%</w:t>
      </w:r>
      <w:r>
        <w:rPr>
          <w:rFonts w:hint="eastAsia" w:ascii="仿宋_GB2312" w:hAnsi="仿宋_GB2312" w:eastAsia="仿宋_GB2312" w:cs="仿宋_GB2312"/>
          <w:color w:val="auto"/>
          <w:kern w:val="2"/>
          <w:sz w:val="32"/>
          <w:szCs w:val="32"/>
          <w:highlight w:val="none"/>
          <w:lang w:val="en-US" w:eastAsia="zh-CN" w:bidi="ar-SA"/>
        </w:rPr>
        <w:t>。</w:t>
      </w:r>
      <w:bookmarkStart w:id="205" w:name="_GoBack"/>
      <w:bookmarkEnd w:id="205"/>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91" w:name="_Toc15377224"/>
      <w:r>
        <w:rPr>
          <w:rFonts w:hint="eastAsia" w:ascii="Times New Roman" w:hAnsi="Times New Roman" w:eastAsia="楷体_GB2312" w:cs="楷体_GB2312"/>
          <w:b/>
          <w:color w:val="auto"/>
          <w:sz w:val="32"/>
          <w:szCs w:val="32"/>
          <w:highlight w:val="none"/>
        </w:rPr>
        <w:t>（三）国有资产占有使用情况</w:t>
      </w:r>
      <w:bookmarkEnd w:id="91"/>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w:t>
      </w:r>
      <w:r>
        <w:rPr>
          <w:rFonts w:hint="eastAsia" w:eastAsia="仿宋_GB2312" w:cs="仿宋_GB2312"/>
          <w:color w:val="auto"/>
          <w:sz w:val="32"/>
          <w:szCs w:val="32"/>
          <w:lang w:val="en-US" w:eastAsia="zh-CN"/>
        </w:rPr>
        <w:t>2024</w:t>
      </w:r>
      <w:r>
        <w:rPr>
          <w:rFonts w:hint="eastAsia" w:ascii="仿宋_GB2312" w:hAnsi="仿宋_GB2312" w:eastAsia="仿宋_GB2312" w:cs="仿宋_GB2312"/>
          <w:color w:val="auto"/>
          <w:kern w:val="2"/>
          <w:sz w:val="32"/>
          <w:szCs w:val="32"/>
          <w:highlight w:val="none"/>
          <w:lang w:val="en-US" w:eastAsia="zh-CN" w:bidi="ar-SA"/>
        </w:rPr>
        <w:t>年</w:t>
      </w:r>
      <w:r>
        <w:rPr>
          <w:rFonts w:hint="eastAsia" w:eastAsia="仿宋_GB2312" w:cs="仿宋_GB2312"/>
          <w:color w:val="auto"/>
          <w:sz w:val="32"/>
          <w:szCs w:val="32"/>
          <w:lang w:val="en-US" w:eastAsia="zh-CN"/>
        </w:rPr>
        <w:t>12</w:t>
      </w:r>
      <w:r>
        <w:rPr>
          <w:rFonts w:hint="eastAsia" w:ascii="仿宋_GB2312" w:hAnsi="仿宋_GB2312" w:eastAsia="仿宋_GB2312" w:cs="仿宋_GB2312"/>
          <w:color w:val="auto"/>
          <w:kern w:val="2"/>
          <w:sz w:val="32"/>
          <w:szCs w:val="32"/>
          <w:highlight w:val="none"/>
          <w:lang w:val="en-US" w:eastAsia="zh-CN" w:bidi="ar-SA"/>
        </w:rPr>
        <w:t>月</w:t>
      </w:r>
      <w:r>
        <w:rPr>
          <w:rFonts w:hint="eastAsia" w:eastAsia="仿宋_GB2312" w:cs="仿宋_GB2312"/>
          <w:color w:val="auto"/>
          <w:sz w:val="32"/>
          <w:szCs w:val="32"/>
          <w:lang w:val="en-US" w:eastAsia="zh-CN"/>
        </w:rPr>
        <w:t>31</w:t>
      </w:r>
      <w:r>
        <w:rPr>
          <w:rFonts w:hint="eastAsia" w:ascii="仿宋_GB2312" w:hAnsi="仿宋_GB2312" w:eastAsia="仿宋_GB2312" w:cs="仿宋_GB2312"/>
          <w:color w:val="auto"/>
          <w:kern w:val="2"/>
          <w:sz w:val="32"/>
          <w:szCs w:val="32"/>
          <w:highlight w:val="none"/>
          <w:lang w:val="en-US" w:eastAsia="zh-CN" w:bidi="ar-SA"/>
        </w:rPr>
        <w:t>日，</w:t>
      </w:r>
      <w:r>
        <w:rPr>
          <w:rFonts w:hint="eastAsia" w:ascii="仿宋_GB2312" w:hAnsi="仿宋_GB2312" w:eastAsia="仿宋_GB2312" w:cs="仿宋_GB2312"/>
          <w:sz w:val="32"/>
          <w:szCs w:val="32"/>
        </w:rPr>
        <w:t>四川省攀枝花市住房和城乡建设局</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eastAsia="仿宋_GB2312" w:cs="仿宋_GB2312"/>
          <w:color w:val="auto"/>
          <w:sz w:val="32"/>
          <w:szCs w:val="32"/>
          <w:lang w:val="en-US" w:eastAsia="zh-CN"/>
        </w:rPr>
        <w:t>56</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eastAsia="仿宋_GB2312" w:cs="仿宋_GB2312"/>
          <w:color w:val="auto"/>
          <w:sz w:val="32"/>
          <w:szCs w:val="32"/>
          <w:lang w:val="en-US" w:eastAsia="zh-CN"/>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eastAsia="仿宋_GB2312" w:cs="仿宋_GB2312"/>
          <w:color w:val="auto"/>
          <w:sz w:val="32"/>
          <w:szCs w:val="32"/>
          <w:lang w:val="en-US" w:eastAsia="zh-CN"/>
        </w:rPr>
        <w:t>0</w:t>
      </w:r>
      <w:r>
        <w:rPr>
          <w:rFonts w:hint="eastAsia" w:ascii="仿宋_GB2312" w:hAnsi="仿宋_GB2312" w:eastAsia="仿宋_GB2312" w:cs="仿宋_GB2312"/>
          <w:color w:val="auto"/>
          <w:kern w:val="2"/>
          <w:sz w:val="32"/>
          <w:szCs w:val="32"/>
          <w:highlight w:val="none"/>
          <w:lang w:val="en-US" w:eastAsia="zh-CN" w:bidi="ar-SA"/>
        </w:rPr>
        <w:t>辆、特种专业技术用</w:t>
      </w:r>
      <w:r>
        <w:rPr>
          <w:rFonts w:hint="eastAsia" w:eastAsia="仿宋_GB2312" w:cs="仿宋_GB2312"/>
          <w:color w:val="auto"/>
          <w:sz w:val="32"/>
          <w:szCs w:val="32"/>
          <w:lang w:val="en-US" w:eastAsia="zh-CN"/>
        </w:rPr>
        <w:t>车44</w:t>
      </w:r>
      <w:r>
        <w:rPr>
          <w:rFonts w:hint="eastAsia" w:ascii="仿宋_GB2312" w:hAnsi="仿宋_GB2312" w:eastAsia="仿宋_GB2312" w:cs="仿宋_GB2312"/>
          <w:color w:val="auto"/>
          <w:kern w:val="2"/>
          <w:sz w:val="32"/>
          <w:szCs w:val="32"/>
          <w:highlight w:val="none"/>
          <w:lang w:val="en-US" w:eastAsia="zh-CN" w:bidi="ar-SA"/>
        </w:rPr>
        <w:t>辆、应急保障用</w:t>
      </w:r>
      <w:r>
        <w:rPr>
          <w:rFonts w:hint="eastAsia" w:eastAsia="仿宋_GB2312" w:cs="仿宋_GB2312"/>
          <w:color w:val="auto"/>
          <w:sz w:val="32"/>
          <w:szCs w:val="32"/>
          <w:lang w:val="en-US" w:eastAsia="zh-CN"/>
        </w:rPr>
        <w:t>车5</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eastAsia="仿宋_GB2312" w:cs="仿宋_GB2312"/>
          <w:color w:val="auto"/>
          <w:sz w:val="32"/>
          <w:szCs w:val="32"/>
          <w:lang w:val="en-US" w:eastAsia="zh-CN"/>
        </w:rPr>
        <w:t>7</w:t>
      </w:r>
      <w:r>
        <w:rPr>
          <w:rFonts w:hint="eastAsia" w:ascii="仿宋_GB2312" w:hAnsi="仿宋_GB2312" w:eastAsia="仿宋_GB2312" w:cs="仿宋_GB2312"/>
          <w:color w:val="auto"/>
          <w:kern w:val="2"/>
          <w:sz w:val="32"/>
          <w:szCs w:val="32"/>
          <w:highlight w:val="none"/>
          <w:lang w:val="en-US" w:eastAsia="zh-CN" w:bidi="ar-SA"/>
        </w:rPr>
        <w:t>辆，其他用车主要是用于住房保障、建筑质量监督、城乡村镇建设、房地产管理、房地产市场专项检查、安全大检查、工程监督检查、稽查投诉、白蚁防治施工、公房维修、工程质量安全监督检查巡查、城市基础设施配套费征收、商品房维修资金使用现场勘查、市政公用设施维修维护及城建档案业务指导、验收、声像档案拍摄等。单价</w:t>
      </w:r>
      <w:r>
        <w:rPr>
          <w:rFonts w:hint="eastAsia" w:eastAsia="仿宋_GB2312" w:cs="仿宋_GB2312"/>
          <w:color w:val="auto"/>
          <w:sz w:val="32"/>
          <w:szCs w:val="32"/>
          <w:lang w:val="en-US" w:eastAsia="zh-CN"/>
        </w:rPr>
        <w:t>100</w:t>
      </w:r>
      <w:r>
        <w:rPr>
          <w:rFonts w:hint="eastAsia" w:ascii="仿宋_GB2312" w:hAnsi="仿宋_GB2312" w:eastAsia="仿宋_GB2312" w:cs="仿宋_GB2312"/>
          <w:color w:val="auto"/>
          <w:kern w:val="2"/>
          <w:sz w:val="32"/>
          <w:szCs w:val="32"/>
          <w:highlight w:val="none"/>
          <w:lang w:val="en-US" w:eastAsia="zh-CN" w:bidi="ar-SA"/>
        </w:rPr>
        <w:t>万元（含）以上设备（不含车辆）</w:t>
      </w:r>
      <w:r>
        <w:rPr>
          <w:rFonts w:hint="eastAsia" w:eastAsia="仿宋_GB2312" w:cs="仿宋_GB2312"/>
          <w:color w:val="auto"/>
          <w:sz w:val="32"/>
          <w:szCs w:val="32"/>
          <w:lang w:val="en-US" w:eastAsia="zh-CN"/>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ascii="仿宋_GB2312" w:hAnsi="仿宋_GB2312" w:eastAsia="仿宋_GB2312" w:cs="仿宋_GB2312"/>
          <w:sz w:val="32"/>
          <w:szCs w:val="32"/>
        </w:rPr>
        <w:t>四川省攀枝花市住房和城乡建设局</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ascii="仿宋_GB2312" w:hAnsi="仿宋" w:eastAsia="仿宋_GB2312"/>
          <w:sz w:val="32"/>
          <w:szCs w:val="32"/>
        </w:rPr>
        <w:t>攀枝花市</w:t>
      </w:r>
      <w:r>
        <w:rPr>
          <w:rFonts w:hint="eastAsia" w:ascii="Times New Roman" w:hAnsi="Times New Roman" w:eastAsia="仿宋_GB2312" w:cs="仿宋_GB2312"/>
          <w:color w:val="auto"/>
          <w:kern w:val="2"/>
          <w:sz w:val="32"/>
          <w:szCs w:val="32"/>
          <w:highlight w:val="none"/>
          <w:lang w:val="en-US" w:eastAsia="zh-CN" w:bidi="ar-SA"/>
        </w:rPr>
        <w:t>2024年</w:t>
      </w:r>
      <w:r>
        <w:rPr>
          <w:rFonts w:hint="eastAsia" w:ascii="仿宋_GB2312" w:hAnsi="仿宋" w:eastAsia="仿宋_GB2312"/>
          <w:sz w:val="32"/>
          <w:szCs w:val="32"/>
        </w:rPr>
        <w:t>城市体检技术服务</w:t>
      </w:r>
      <w:r>
        <w:rPr>
          <w:rFonts w:hint="eastAsia" w:ascii="仿宋_GB2312" w:hAnsi="仿宋" w:eastAsia="仿宋_GB2312"/>
          <w:sz w:val="32"/>
          <w:szCs w:val="32"/>
          <w:lang w:eastAsia="zh-CN"/>
        </w:rPr>
        <w:t>、</w:t>
      </w:r>
      <w:r>
        <w:rPr>
          <w:rFonts w:hint="eastAsia" w:ascii="仿宋_GB2312" w:hAnsi="仿宋" w:eastAsia="仿宋_GB2312"/>
          <w:sz w:val="32"/>
          <w:szCs w:val="32"/>
        </w:rPr>
        <w:t>攀枝花火车南站</w:t>
      </w:r>
      <w:r>
        <w:rPr>
          <w:rFonts w:hint="eastAsia" w:ascii="Times New Roman" w:hAnsi="Times New Roman" w:eastAsia="仿宋_GB2312" w:cs="仿宋_GB2312"/>
          <w:color w:val="auto"/>
          <w:kern w:val="2"/>
          <w:sz w:val="32"/>
          <w:szCs w:val="32"/>
          <w:highlight w:val="none"/>
          <w:lang w:val="en-US" w:eastAsia="zh-CN" w:bidi="ar-SA"/>
        </w:rPr>
        <w:t>PPP</w:t>
      </w:r>
      <w:r>
        <w:rPr>
          <w:rFonts w:hint="eastAsia" w:ascii="仿宋_GB2312" w:hAnsi="仿宋" w:eastAsia="仿宋_GB2312"/>
          <w:sz w:val="32"/>
          <w:szCs w:val="32"/>
          <w:lang w:eastAsia="zh-CN"/>
        </w:rPr>
        <w:t>、城建档案查询利用复印工本费</w:t>
      </w:r>
      <w:r>
        <w:rPr>
          <w:rFonts w:hint="eastAsia" w:ascii="仿宋_GB2312" w:hAnsi="仿宋" w:eastAsia="仿宋_GB2312"/>
          <w:color w:val="auto"/>
          <w:sz w:val="32"/>
          <w:szCs w:val="32"/>
          <w:lang w:eastAsia="zh-CN"/>
        </w:rPr>
        <w:t>、城市配</w:t>
      </w:r>
      <w:r>
        <w:rPr>
          <w:rFonts w:hint="eastAsia" w:ascii="仿宋_GB2312" w:hAnsi="仿宋" w:eastAsia="仿宋_GB2312"/>
          <w:sz w:val="32"/>
          <w:szCs w:val="32"/>
          <w:lang w:eastAsia="zh-CN"/>
        </w:rPr>
        <w:t>套费征收成本（含房改房维修资金管理运行成本）、既有房屋建筑安全管理及公房维修经费、白蚁防治管理资金、预拌行业管理</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61</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61</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59</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组织对2024年度一般公共预算、政府性基金预算等全面开展绩效自评，形成</w:t>
      </w:r>
      <w:r>
        <w:rPr>
          <w:rFonts w:hint="eastAsia" w:ascii="仿宋_GB2312" w:hAnsi="仿宋" w:eastAsia="仿宋_GB2312"/>
          <w:sz w:val="32"/>
          <w:szCs w:val="32"/>
          <w:lang w:eastAsia="zh-CN"/>
        </w:rPr>
        <w:t>四川省</w:t>
      </w:r>
      <w:r>
        <w:rPr>
          <w:rFonts w:hint="eastAsia" w:ascii="仿宋_GB2312" w:hAnsi="仿宋" w:eastAsia="仿宋_GB2312"/>
          <w:sz w:val="32"/>
          <w:szCs w:val="32"/>
        </w:rPr>
        <w:t>攀</w:t>
      </w:r>
      <w:r>
        <w:rPr>
          <w:rFonts w:hint="eastAsia" w:ascii="仿宋_GB2312" w:eastAsia="仿宋_GB2312"/>
          <w:bCs/>
          <w:sz w:val="32"/>
          <w:szCs w:val="32"/>
        </w:rPr>
        <w:t>枝花市住房和城乡建设局</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w:t>
      </w:r>
      <w:r>
        <w:rPr>
          <w:rFonts w:hint="eastAsia" w:ascii="仿宋_GB2312" w:hAnsi="仿宋" w:eastAsia="仿宋_GB2312"/>
          <w:sz w:val="32"/>
          <w:szCs w:val="32"/>
        </w:rPr>
        <w:t>攀枝花市</w:t>
      </w:r>
      <w:r>
        <w:rPr>
          <w:rFonts w:hint="eastAsia" w:ascii="Times New Roman" w:hAnsi="Times New Roman" w:eastAsia="仿宋_GB2312" w:cs="仿宋_GB2312"/>
          <w:color w:val="auto"/>
          <w:kern w:val="2"/>
          <w:sz w:val="32"/>
          <w:szCs w:val="32"/>
          <w:highlight w:val="none"/>
          <w:lang w:val="en-US" w:eastAsia="zh-CN" w:bidi="ar-SA"/>
        </w:rPr>
        <w:t>2024年</w:t>
      </w:r>
      <w:r>
        <w:rPr>
          <w:rFonts w:hint="eastAsia" w:ascii="仿宋_GB2312" w:hAnsi="仿宋" w:eastAsia="仿宋_GB2312"/>
          <w:sz w:val="32"/>
          <w:szCs w:val="32"/>
        </w:rPr>
        <w:t>城市体检技术服务项目</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4个</w:t>
      </w:r>
      <w:r>
        <w:rPr>
          <w:rFonts w:hint="eastAsia" w:ascii="Times New Roman" w:hAnsi="Times New Roman" w:eastAsia="仿宋_GB2312" w:cs="仿宋_GB2312"/>
          <w:color w:val="auto"/>
          <w:kern w:val="2"/>
          <w:sz w:val="32"/>
          <w:szCs w:val="32"/>
          <w:highlight w:val="none"/>
          <w:lang w:val="en-US" w:eastAsia="zh-CN" w:bidi="ar-SA"/>
        </w:rPr>
        <w:t>专项预算项目绩效自评报告，其中</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eastAsia="仿宋_GB2312"/>
          <w:sz w:val="32"/>
          <w:szCs w:val="32"/>
        </w:rPr>
        <w:t>攀枝花市城市排水防涝设施功能提升改造项目</w:t>
      </w:r>
      <w:r>
        <w:rPr>
          <w:rFonts w:hint="eastAsia" w:ascii="Times New Roman" w:hAnsi="Times New Roman" w:eastAsia="仿宋_GB2312" w:cs="仿宋_GB2312"/>
          <w:color w:val="auto"/>
          <w:kern w:val="2"/>
          <w:sz w:val="32"/>
          <w:szCs w:val="32"/>
          <w:highlight w:val="none"/>
          <w:lang w:val="en-US" w:eastAsia="zh-CN" w:bidi="ar-SA"/>
        </w:rPr>
        <w:t>绩效自评得分为</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项目实施中无违反工程建设各方责任主体有关质量管理规定的行为，未出现影响结构安全的质量问题，完成质量较高。根据进度计划和项目安全风险情况，推进工期控制，确保按时效指标完成项目。截至评价时点的数量指标、质量指标、时效指标全面完成。施工过程中采取控制工程量等措施有效控制成本。</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攀枝花火车南站PPP项目</w:t>
      </w:r>
      <w:r>
        <w:rPr>
          <w:rFonts w:hint="eastAsia" w:ascii="Times New Roman" w:hAnsi="Times New Roman" w:eastAsia="仿宋_GB2312" w:cs="仿宋_GB2312"/>
          <w:color w:val="auto"/>
          <w:kern w:val="2"/>
          <w:sz w:val="32"/>
          <w:szCs w:val="32"/>
          <w:highlight w:val="none"/>
          <w:lang w:val="en-US" w:eastAsia="zh-CN" w:bidi="ar-SA"/>
        </w:rPr>
        <w:t>专项预算项目绩效自评得分为100分，绩效自评综述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项目按照立项批复完成了站前交通枢纽及附属设施、市政道路及附属设施建设。项目进入运维期后，站前交通枢纽及附属设施、市政道路及附属设施等正常运转，运维费用控制在主管部门核定金额内，并通过了年度运营期绩效考核</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eastAsia="仿宋_GB2312"/>
          <w:kern w:val="0"/>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3.白蚁防治管理资金预算项目绩效自评得分为100分，绩效自评综述</w:t>
      </w:r>
      <w:r>
        <w:rPr>
          <w:rFonts w:hint="eastAsia" w:eastAsia="仿宋_GB2312" w:cs="仿宋_GB2312"/>
          <w:color w:val="auto"/>
          <w:kern w:val="2"/>
          <w:sz w:val="32"/>
          <w:szCs w:val="32"/>
          <w:highlight w:val="none"/>
          <w:lang w:val="en-US" w:eastAsia="zh-CN" w:bidi="ar-SA"/>
        </w:rPr>
        <w:t>：</w:t>
      </w:r>
      <w:r>
        <w:rPr>
          <w:rFonts w:hint="eastAsia" w:ascii="仿宋_GB2312" w:eastAsia="仿宋_GB2312"/>
          <w:kern w:val="0"/>
          <w:sz w:val="32"/>
          <w:szCs w:val="32"/>
        </w:rPr>
        <w:t>监控全市白蚁蚁情，确认危害我市房屋住用安全的白蚁蚁种、危害程度及分布范围</w:t>
      </w:r>
      <w:r>
        <w:rPr>
          <w:rFonts w:hint="eastAsia" w:ascii="仿宋_GB2312" w:eastAsia="仿宋_GB2312"/>
          <w:kern w:val="0"/>
          <w:sz w:val="32"/>
          <w:szCs w:val="32"/>
          <w:lang w:eastAsia="zh-CN"/>
        </w:rPr>
        <w:t>，</w:t>
      </w:r>
      <w:r>
        <w:rPr>
          <w:rFonts w:hint="eastAsia" w:ascii="仿宋_GB2312" w:eastAsia="仿宋_GB2312"/>
          <w:kern w:val="0"/>
          <w:sz w:val="32"/>
          <w:szCs w:val="32"/>
        </w:rPr>
        <w:t>摸清我市白蚁种群分布及白蚁危害种类，有效减轻白蚁危害在我市的蔓延，增加房屋建筑住用寿命增强人民群众对白蚁防治的必要性、重要性的认识</w:t>
      </w:r>
      <w:r>
        <w:rPr>
          <w:rFonts w:hint="eastAsia" w:ascii="仿宋_GB2312"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.攀枝花市2024年城市体检技术服务专项预算项目绩效自评得分为100分，绩效自评综述</w:t>
      </w:r>
      <w:r>
        <w:rPr>
          <w:rFonts w:hint="eastAsia" w:eastAsia="仿宋_GB2312" w:cs="仿宋_GB2312"/>
          <w:color w:val="auto"/>
          <w:kern w:val="2"/>
          <w:sz w:val="32"/>
          <w:szCs w:val="32"/>
          <w:highlight w:val="none"/>
          <w:lang w:val="en-US" w:eastAsia="zh-CN" w:bidi="ar-SA"/>
        </w:rPr>
        <w:t>：通过城市体检评估，有针对性地制定对策措施，助力城市建设质量和效果提升。以城市体检为基础，推动城市体检成果运用，精准识别问题短板，系统谋划城市更新项目库，为形成我市城市有机更新攻坚行动方案提供了有力支撑</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绩效自评报告详见附件。</w:t>
      </w: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92" w:name="_Toc15377225"/>
      <w:bookmarkStart w:id="93" w:name="_Toc15396613"/>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both"/>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94" w:name="_Toc512533620_WPSOffice_Level1"/>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92"/>
      <w:bookmarkEnd w:id="93"/>
      <w:bookmarkEnd w:id="94"/>
    </w:p>
    <w:p>
      <w:pPr>
        <w:spacing w:line="600" w:lineRule="exact"/>
        <w:jc w:val="left"/>
        <w:rPr>
          <w:rFonts w:ascii="Times New Roman" w:hAnsi="Times New Roman"/>
          <w:b/>
          <w:color w:val="auto"/>
          <w:sz w:val="44"/>
          <w:szCs w:val="44"/>
          <w:highlight w:val="none"/>
        </w:rPr>
      </w:pPr>
    </w:p>
    <w:p>
      <w:pPr>
        <w:pStyle w:val="2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eastAsia="仿宋_GB2312"/>
          <w:color w:val="auto"/>
          <w:sz w:val="32"/>
          <w:szCs w:val="32"/>
        </w:rPr>
        <w:t>财政拨款收入：指单位从同级财政部门取得的财政预算资金。</w:t>
      </w:r>
    </w:p>
    <w:p>
      <w:pPr>
        <w:pStyle w:val="2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ascii="仿宋_GB2312" w:eastAsia="仿宋_GB2312"/>
          <w:color w:val="auto"/>
          <w:sz w:val="32"/>
          <w:szCs w:val="32"/>
        </w:rPr>
        <w:t xml:space="preserve">事业收入：指事业单位开展专业业务活动及辅助活动取得的收入。 </w:t>
      </w:r>
    </w:p>
    <w:p>
      <w:pPr>
        <w:pStyle w:val="2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仿宋_GB2312" w:eastAsia="仿宋_GB2312"/>
          <w:color w:val="auto"/>
          <w:sz w:val="32"/>
          <w:szCs w:val="32"/>
        </w:rPr>
        <w:t xml:space="preserve">年初结转和结余：指以前年度尚未完成、结转到本年按有关规定继续使用的资金。 </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4.</w:t>
      </w:r>
      <w:r>
        <w:rPr>
          <w:rFonts w:hint="eastAsia" w:ascii="仿宋_GB2312" w:eastAsia="仿宋_GB2312"/>
          <w:sz w:val="32"/>
          <w:szCs w:val="32"/>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cs="仿宋_GB2312"/>
          <w:sz w:val="32"/>
          <w:szCs w:val="32"/>
          <w:lang w:bidi="ar"/>
        </w:rPr>
      </w:pPr>
      <w:r>
        <w:rPr>
          <w:rFonts w:hint="eastAsia" w:ascii="Times New Roman" w:hAnsi="Times New Roman" w:eastAsia="仿宋_GB2312" w:cs="仿宋_GB2312"/>
          <w:color w:val="auto"/>
          <w:kern w:val="2"/>
          <w:sz w:val="32"/>
          <w:szCs w:val="32"/>
          <w:highlight w:val="none"/>
          <w:lang w:val="en-US" w:eastAsia="zh-CN" w:bidi="ar-SA"/>
        </w:rPr>
        <w:t>5.</w:t>
      </w:r>
      <w:r>
        <w:rPr>
          <w:rFonts w:hint="eastAsia" w:ascii="仿宋_GB2312" w:eastAsia="仿宋_GB2312" w:cs="仿宋_GB2312"/>
          <w:sz w:val="32"/>
          <w:szCs w:val="32"/>
          <w:lang w:bidi="ar"/>
        </w:rPr>
        <w:t>一般公共服务（类）组织事务（款）其他组织事务支出（项）：反映</w:t>
      </w:r>
      <w:r>
        <w:rPr>
          <w:rFonts w:hint="eastAsia" w:ascii="仿宋_GB2312" w:eastAsia="仿宋_GB2312" w:cs="仿宋_GB2312"/>
          <w:kern w:val="0"/>
          <w:sz w:val="32"/>
          <w:szCs w:val="32"/>
          <w:lang w:bidi="ar"/>
        </w:rPr>
        <w:t>除上述项目以外的</w:t>
      </w:r>
      <w:r>
        <w:rPr>
          <w:rFonts w:hint="eastAsia" w:ascii="仿宋_GB2312" w:eastAsia="仿宋_GB2312" w:cs="仿宋_GB2312"/>
          <w:sz w:val="32"/>
          <w:szCs w:val="32"/>
          <w:lang w:bidi="ar"/>
        </w:rPr>
        <w:t>其他用于中国共产党组织部门的事务支出；市场监督管理事务（款）食品安全监管（项）</w:t>
      </w:r>
      <w:r>
        <w:rPr>
          <w:rFonts w:hint="eastAsia" w:ascii="仿宋_GB2312" w:eastAsia="仿宋_GB2312" w:cs="仿宋_GB2312"/>
          <w:sz w:val="32"/>
          <w:szCs w:val="32"/>
          <w:lang w:eastAsia="zh-CN" w:bidi="ar"/>
        </w:rPr>
        <w:t>：</w:t>
      </w:r>
      <w:r>
        <w:rPr>
          <w:rFonts w:hint="eastAsia" w:ascii="仿宋_GB2312" w:eastAsia="仿宋_GB2312" w:cs="仿宋_GB2312"/>
          <w:sz w:val="32"/>
          <w:szCs w:val="32"/>
          <w:lang w:bidi="ar"/>
        </w:rPr>
        <w:t>反映食品安全监管等专项工作支出。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ascii="仿宋_GB2312" w:eastAsia="仿宋_GB2312"/>
          <w:sz w:val="32"/>
          <w:szCs w:val="32"/>
        </w:rPr>
        <w:t>社会保障和就业（类）人力资源和社会保障管理事务（款）其他人力资源和社会保障管理事务支出（项）：反映除上述项目以外其他用于人力资源和社会保障管理事务方面的支出。行政事业单位养老支出（款）行政单位离退休（项）：指反映行政单位（包括实行公务员管理的事业单位）开支的离退休经费；事业单位离退休（项）：反映事业单位开支的离退休经费；机关事业单位基本养老保险缴费支出（项）：指反映机关事业单位实施养老保险制度由单位缴纳的基本养老保险费支出；机关事业单位职业年金缴费支出（项）：指反映机关事业单位缴纳的职业年金支出。抚恤（款）死亡抚恤（项）：反映按规定用于烈士和牺牲、病故人员家属的一次性和定期抚恤金以及丧葬补助费。社会福利（款）儿童福利（项）：反映对儿童提供福利服务方面的支出。</w:t>
      </w:r>
    </w:p>
    <w:p>
      <w:pPr>
        <w:pStyle w:val="17"/>
        <w:keepNext w:val="0"/>
        <w:keepLines w:val="0"/>
        <w:pageBreakBefore w:val="0"/>
        <w:widowControl w:val="0"/>
        <w:suppressAutoHyphens w:val="0"/>
        <w:kinsoku/>
        <w:wordWrap/>
        <w:overflowPunct/>
        <w:topLinePunct w:val="0"/>
        <w:autoSpaceDN w:val="0"/>
        <w:bidi w:val="0"/>
        <w:snapToGrid/>
        <w:spacing w:before="93" w:line="578"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7.</w:t>
      </w:r>
      <w:r>
        <w:rPr>
          <w:rFonts w:hint="eastAsia" w:ascii="仿宋_GB2312" w:eastAsia="仿宋_GB2312" w:cs="仿宋_GB2312"/>
          <w:kern w:val="0"/>
          <w:sz w:val="32"/>
          <w:szCs w:val="32"/>
          <w:lang w:bidi="ar"/>
        </w:rPr>
        <w:t>卫生健康（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事业单位医疗（项）：反映财政部门安排的事业单位基本医疗保险缴费经费，未参加医疗保险的事业单位的公费医疗经费，按国家规定享受离休人员待遇的医疗经费；公务员医疗补助（项）：反映财政部门安排的公务员医疗补助经费；其他行政事业单位医疗支出（项）：反映除上述项目以外的其他用于行政事业单位医疗方面的支出。其他卫生健康支出（款）其他卫生健康支出（项）</w:t>
      </w:r>
      <w:r>
        <w:rPr>
          <w:rFonts w:hint="eastAsia" w:ascii="仿宋_GB2312" w:eastAsia="仿宋_GB2312" w:cs="仿宋_GB2312"/>
          <w:kern w:val="0"/>
          <w:sz w:val="32"/>
          <w:szCs w:val="32"/>
          <w:lang w:eastAsia="zh-CN" w:bidi="ar"/>
        </w:rPr>
        <w:t>：</w:t>
      </w:r>
      <w:r>
        <w:rPr>
          <w:rFonts w:hint="eastAsia" w:ascii="仿宋_GB2312" w:eastAsia="仿宋_GB2312" w:cs="仿宋_GB2312"/>
          <w:kern w:val="0"/>
          <w:sz w:val="32"/>
          <w:szCs w:val="32"/>
          <w:lang w:bidi="ar"/>
        </w:rPr>
        <w:t>反映除上述项目以外其他用于卫生健康管理事务方面的支出。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8.</w:t>
      </w:r>
      <w:r>
        <w:rPr>
          <w:rFonts w:hint="eastAsia" w:ascii="仿宋_GB2312" w:eastAsia="仿宋_GB2312"/>
          <w:sz w:val="32"/>
          <w:szCs w:val="32"/>
        </w:rPr>
        <w:t>城乡社区（类）城乡社区管理事务（款）行政运行（项）</w:t>
      </w:r>
      <w:r>
        <w:rPr>
          <w:rFonts w:hint="eastAsia" w:ascii="仿宋_GB2312" w:eastAsia="仿宋_GB2312"/>
          <w:sz w:val="32"/>
          <w:szCs w:val="32"/>
          <w:lang w:eastAsia="zh-CN"/>
        </w:rPr>
        <w:t>：</w:t>
      </w:r>
      <w:r>
        <w:rPr>
          <w:rFonts w:hint="eastAsia" w:ascii="仿宋_GB2312" w:eastAsia="仿宋_GB2312"/>
          <w:sz w:val="32"/>
          <w:szCs w:val="32"/>
        </w:rPr>
        <w:t xml:space="preserve"> 反映行政单位（包括实行公务员管理的事业单位）的基本支出；一般行政管理事务（项）</w:t>
      </w:r>
      <w:r>
        <w:rPr>
          <w:rFonts w:hint="eastAsia" w:ascii="仿宋_GB2312" w:eastAsia="仿宋_GB2312"/>
          <w:sz w:val="32"/>
          <w:szCs w:val="32"/>
          <w:lang w:eastAsia="zh-CN"/>
        </w:rPr>
        <w:t>：</w:t>
      </w:r>
      <w:r>
        <w:rPr>
          <w:rFonts w:hint="eastAsia" w:ascii="仿宋_GB2312" w:eastAsia="仿宋_GB2312"/>
          <w:sz w:val="32"/>
          <w:szCs w:val="32"/>
        </w:rPr>
        <w:t>反映行政单位（包括实行公务员管理的事业单位）未单独设置项级科目的其他项目支出；工程建设标准规范编制与监管（项）</w:t>
      </w:r>
      <w:r>
        <w:rPr>
          <w:rFonts w:hint="eastAsia" w:ascii="仿宋_GB2312" w:eastAsia="仿宋_GB2312"/>
          <w:sz w:val="32"/>
          <w:szCs w:val="32"/>
          <w:lang w:eastAsia="zh-CN"/>
        </w:rPr>
        <w:t>：</w:t>
      </w:r>
      <w:r>
        <w:rPr>
          <w:rFonts w:hint="eastAsia" w:ascii="仿宋_GB2312" w:eastAsia="仿宋_GB2312"/>
          <w:sz w:val="32"/>
          <w:szCs w:val="32"/>
        </w:rPr>
        <w:t>反映拟定工程建设国家标准和部管行业标准、监督指导各类工程建设标准定额的实施、管理工程造价等方面的支出；其他城乡社区管理事务支出（项）</w:t>
      </w:r>
      <w:r>
        <w:rPr>
          <w:rFonts w:hint="eastAsia" w:ascii="仿宋_GB2312" w:eastAsia="仿宋_GB2312"/>
          <w:sz w:val="32"/>
          <w:szCs w:val="32"/>
          <w:lang w:eastAsia="zh-CN"/>
        </w:rPr>
        <w:t>：</w:t>
      </w:r>
      <w:r>
        <w:rPr>
          <w:rFonts w:hint="eastAsia" w:ascii="仿宋_GB2312" w:eastAsia="仿宋_GB2312"/>
          <w:sz w:val="32"/>
          <w:szCs w:val="32"/>
        </w:rPr>
        <w:t>其他城乡社区管理事务支出反映除上述项目以外其他用于城乡社区管理事务方面的支出。城乡社区公共设施（款）其他城乡社区公共设施支出（项）</w:t>
      </w:r>
      <w:r>
        <w:rPr>
          <w:rFonts w:hint="eastAsia" w:ascii="仿宋_GB2312" w:eastAsia="仿宋_GB2312"/>
          <w:sz w:val="32"/>
          <w:szCs w:val="32"/>
          <w:lang w:eastAsia="zh-CN"/>
        </w:rPr>
        <w:t>：</w:t>
      </w:r>
      <w:r>
        <w:rPr>
          <w:rFonts w:hint="eastAsia" w:ascii="仿宋_GB2312" w:eastAsia="仿宋_GB2312"/>
          <w:sz w:val="32"/>
          <w:szCs w:val="32"/>
        </w:rPr>
        <w:t>反映其他用于城乡社区公共设施其他方面的支出。建设市场管理与监督（款）建设市场管理与监督（项）</w:t>
      </w:r>
      <w:r>
        <w:rPr>
          <w:rFonts w:hint="eastAsia" w:ascii="仿宋_GB2312" w:eastAsia="仿宋_GB2312"/>
          <w:sz w:val="32"/>
          <w:szCs w:val="32"/>
          <w:lang w:eastAsia="zh-CN"/>
        </w:rPr>
        <w:t>：</w:t>
      </w:r>
      <w:r>
        <w:rPr>
          <w:rFonts w:hint="eastAsia" w:ascii="仿宋_GB2312" w:eastAsia="仿宋_GB2312"/>
          <w:sz w:val="32"/>
          <w:szCs w:val="32"/>
        </w:rPr>
        <w:t>反映各类建筑工程强制性和推荐性标准及规定的制定与修改、建筑工程招投标等市场管理、建筑工程质量与安全监督等方面的支出。国有土地使用权出让收入安排的支出（款）土地开发支出（项）：反映新疆生产建设兵团和地方政府用于前期土地开发性支出以及与前期土地开发相关的费用等支出；其他国有土地使用权出让收入安排的支出（项）：反映土地出让收入用于其他方面的支出</w:t>
      </w:r>
      <w:r>
        <w:rPr>
          <w:rFonts w:hint="eastAsia" w:ascii="仿宋_GB2312" w:eastAsia="仿宋_GB2312"/>
          <w:sz w:val="32"/>
          <w:szCs w:val="32"/>
          <w:lang w:eastAsia="zh-CN"/>
        </w:rPr>
        <w:t>，</w:t>
      </w:r>
      <w:r>
        <w:rPr>
          <w:rFonts w:hint="eastAsia" w:ascii="仿宋_GB2312" w:eastAsia="仿宋_GB2312"/>
          <w:sz w:val="32"/>
          <w:szCs w:val="32"/>
        </w:rPr>
        <w:t>不包括市县级政府当年按规定用土地出让收入向中央和省级政府缴纳的新增建设用地土地有偿使用费的支出。城市基础设施配套费安排的支出（款）其他城市基础设施配套费安排的支出（项）：反映上述项目以外的城市基础设施配套费支出。污水处理费安排的支出（款）其他污水处理费安排的支出（项）：反映用污水处理费安排的其他支出。其他城乡社区支出（款）其他城乡社区支出（项）</w:t>
      </w:r>
      <w:r>
        <w:rPr>
          <w:rFonts w:hint="eastAsia" w:ascii="仿宋_GB2312" w:eastAsia="仿宋_GB2312"/>
          <w:sz w:val="32"/>
          <w:szCs w:val="32"/>
          <w:lang w:eastAsia="zh-CN"/>
        </w:rPr>
        <w:t>：</w:t>
      </w:r>
      <w:r>
        <w:rPr>
          <w:rFonts w:hint="eastAsia" w:ascii="仿宋_GB2312" w:eastAsia="仿宋_GB2312"/>
          <w:sz w:val="32"/>
          <w:szCs w:val="32"/>
        </w:rPr>
        <w:t>其他用于城乡社区方面的支出。</w:t>
      </w:r>
      <w:r>
        <w:rPr>
          <w:rFonts w:ascii="仿宋_GB2312" w:hAnsi="仿宋_GB2312" w:eastAsia="仿宋_GB2312" w:cs="仿宋_GB2312"/>
          <w:color w:val="auto"/>
          <w:sz w:val="32"/>
          <w:szCs w:val="32"/>
          <w:lang w:bidi="ar"/>
        </w:rPr>
        <w:t>退役军人管理事务</w:t>
      </w:r>
      <w:r>
        <w:rPr>
          <w:rFonts w:hint="eastAsia" w:ascii="仿宋_GB2312" w:hAnsi="仿宋_GB2312" w:eastAsia="仿宋_GB2312" w:cs="仿宋_GB2312"/>
          <w:color w:val="auto"/>
          <w:sz w:val="32"/>
          <w:szCs w:val="32"/>
          <w:lang w:bidi="ar"/>
        </w:rPr>
        <w:t>（款）</w:t>
      </w:r>
      <w:r>
        <w:rPr>
          <w:rFonts w:ascii="仿宋_GB2312" w:hAnsi="仿宋_GB2312" w:eastAsia="仿宋_GB2312" w:cs="仿宋_GB2312"/>
          <w:color w:val="auto"/>
          <w:sz w:val="32"/>
          <w:szCs w:val="32"/>
          <w:lang w:bidi="ar"/>
        </w:rPr>
        <w:t>其他退役军人事务管理支出</w:t>
      </w:r>
      <w:r>
        <w:rPr>
          <w:rFonts w:hint="eastAsia" w:ascii="仿宋_GB2312" w:hAnsi="仿宋_GB2312" w:eastAsia="仿宋_GB2312" w:cs="仿宋_GB2312"/>
          <w:color w:val="auto"/>
          <w:sz w:val="32"/>
          <w:szCs w:val="32"/>
          <w:lang w:bidi="ar"/>
        </w:rPr>
        <w:t>（项）：反映</w:t>
      </w:r>
      <w:r>
        <w:rPr>
          <w:rFonts w:hint="eastAsia" w:ascii="仿宋_GB2312" w:hAnsi="仿宋_GB2312" w:eastAsia="仿宋_GB2312" w:cs="仿宋_GB2312"/>
          <w:color w:val="auto"/>
          <w:kern w:val="0"/>
          <w:sz w:val="32"/>
          <w:szCs w:val="32"/>
          <w:lang w:bidi="ar"/>
        </w:rPr>
        <w:t>除上述项目以外</w:t>
      </w:r>
      <w:r>
        <w:rPr>
          <w:rFonts w:hint="eastAsia" w:ascii="仿宋_GB2312" w:hAnsi="仿宋_GB2312" w:eastAsia="仿宋_GB2312" w:cs="仿宋_GB2312"/>
          <w:color w:val="auto"/>
          <w:sz w:val="32"/>
          <w:szCs w:val="32"/>
          <w:lang w:bidi="ar"/>
        </w:rPr>
        <w:t>其他用于退役军人事务管理方面的支出。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w:t>
      </w:r>
      <w:r>
        <w:rPr>
          <w:rFonts w:hint="eastAsia" w:ascii="仿宋_GB2312" w:eastAsia="仿宋_GB2312"/>
          <w:sz w:val="32"/>
          <w:szCs w:val="32"/>
        </w:rPr>
        <w:t>住房保障（类）保障性安居工程支出（款）公共租赁住房（项）：反映用于新建、改建、购买、租赁、维护和管理公共租赁住房支出；住房改革支出（款）住房公积金（项）</w:t>
      </w:r>
      <w:r>
        <w:rPr>
          <w:rFonts w:hint="eastAsia" w:ascii="仿宋_GB2312" w:eastAsia="仿宋_GB2312"/>
          <w:sz w:val="32"/>
          <w:szCs w:val="32"/>
          <w:lang w:eastAsia="zh-CN"/>
        </w:rPr>
        <w:t>：</w:t>
      </w:r>
      <w:r>
        <w:rPr>
          <w:rFonts w:hint="eastAsia" w:ascii="仿宋_GB2312" w:eastAsia="仿宋_GB2312"/>
          <w:sz w:val="32"/>
          <w:szCs w:val="32"/>
        </w:rPr>
        <w:t xml:space="preserve"> 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578" w:lineRule="exact"/>
        <w:textAlignment w:val="auto"/>
      </w:pPr>
      <w:r>
        <w:rPr>
          <w:rFonts w:hint="eastAsia" w:ascii="Times New Roman" w:hAnsi="Times New Roman" w:eastAsia="仿宋_GB2312" w:cs="仿宋_GB2312"/>
          <w:color w:val="auto"/>
          <w:kern w:val="2"/>
          <w:sz w:val="32"/>
          <w:szCs w:val="32"/>
          <w:highlight w:val="none"/>
          <w:lang w:val="en-US" w:eastAsia="zh-CN" w:bidi="ar-SA"/>
        </w:rPr>
        <w:t xml:space="preserve">    10.</w:t>
      </w:r>
      <w:r>
        <w:rPr>
          <w:rFonts w:hint="eastAsia" w:ascii="仿宋_GB2312" w:eastAsia="仿宋_GB2312"/>
          <w:sz w:val="32"/>
          <w:szCs w:val="32"/>
        </w:rPr>
        <w:t>其他支出（类）其他支出（款）其他支出（项）：反映除上述项目以外其他不能划分到具体功能科目中的支出项目。</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11.</w:t>
      </w:r>
      <w:r>
        <w:rPr>
          <w:rFonts w:hint="eastAsia" w:ascii="仿宋_GB2312" w:eastAsia="仿宋_GB2312"/>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12.</w:t>
      </w:r>
      <w:r>
        <w:rPr>
          <w:rFonts w:hint="eastAsia" w:ascii="仿宋_GB2312" w:eastAsia="仿宋_GB2312"/>
          <w:sz w:val="32"/>
          <w:szCs w:val="32"/>
        </w:rPr>
        <w:t>项目支出：指在基本支出之外为完成特定行政任务和事业发展目标所发生的支出。</w:t>
      </w:r>
    </w:p>
    <w:p>
      <w:pPr>
        <w:pStyle w:val="2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13.</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578" w:lineRule="exact"/>
        <w:ind w:firstLine="640"/>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14.</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600" w:lineRule="exact"/>
        <w:jc w:val="center"/>
        <w:rPr>
          <w:rStyle w:val="31"/>
          <w:rFonts w:hint="eastAsia" w:ascii="Times New Roman" w:hAnsi="Times New Roman" w:eastAsia="黑体"/>
          <w:b w:val="0"/>
          <w:color w:val="auto"/>
          <w:highlight w:val="none"/>
          <w:lang w:eastAsia="zh-CN"/>
        </w:rPr>
      </w:pPr>
      <w:bookmarkStart w:id="9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96" w:name="_Toc15396614"/>
      <w:bookmarkStart w:id="97" w:name="_Toc198175476_WPSOffice_Level1"/>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96"/>
      <w:bookmarkEnd w:id="97"/>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bookmarkStart w:id="98" w:name="_Toc1140223996_WPSOffice_Level2"/>
      <w:bookmarkStart w:id="99" w:name="_Toc204448144_WPSOffice_Level2"/>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eastAsia" w:eastAsia="方正小标宋简体" w:cs="Times New Roman"/>
          <w:b w:val="0"/>
          <w:bCs/>
          <w:sz w:val="44"/>
          <w:szCs w:val="44"/>
          <w:highlight w:val="none"/>
          <w:shd w:val="clear" w:color="auto" w:fill="FFFFFF"/>
          <w:lang w:eastAsia="zh-CN"/>
        </w:rPr>
        <w:t>整体</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bookmarkEnd w:id="98"/>
      <w:bookmarkEnd w:id="99"/>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bookmarkStart w:id="100" w:name="_Toc118000229_WPSOffice_Level2"/>
      <w:bookmarkStart w:id="101" w:name="_Toc227454945_WPSOffice_Level2"/>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bookmarkEnd w:id="100"/>
      <w:bookmarkEnd w:id="101"/>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p>
    <w:p>
      <w:pPr>
        <w:pStyle w:val="2"/>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rPr>
          <w:rFonts w:hint="default"/>
        </w:rPr>
      </w:pPr>
      <w:r>
        <w:rPr>
          <w:rFonts w:hint="eastAsia" w:ascii="仿宋_GB2312" w:hAnsi="仿宋_GB2312" w:eastAsia="仿宋_GB2312" w:cs="仿宋_GB2312"/>
          <w:sz w:val="32"/>
          <w:szCs w:val="32"/>
        </w:rPr>
        <w:t>攀枝花市住房和城乡建设局为市政府工作部门，内设</w:t>
      </w:r>
      <w:r>
        <w:rPr>
          <w:rFonts w:hint="eastAsia" w:ascii="Times New Roman" w:hAnsi="Times New Roman" w:eastAsia="仿宋_GB2312" w:cs="仿宋_GB2312"/>
          <w:color w:val="auto"/>
          <w:kern w:val="2"/>
          <w:sz w:val="32"/>
          <w:szCs w:val="32"/>
          <w:highlight w:val="none"/>
          <w:lang w:val="en-US" w:eastAsia="zh-CN" w:bidi="ar-SA"/>
        </w:rPr>
        <w:t>14</w:t>
      </w:r>
      <w:r>
        <w:rPr>
          <w:rFonts w:hint="eastAsia" w:ascii="仿宋_GB2312" w:hAnsi="仿宋_GB2312" w:eastAsia="仿宋_GB2312" w:cs="仿宋_GB2312"/>
          <w:sz w:val="32"/>
          <w:szCs w:val="32"/>
        </w:rPr>
        <w:t>个科室，下属</w:t>
      </w:r>
      <w:r>
        <w:rPr>
          <w:rFonts w:hint="eastAsia" w:ascii="Times New Roman" w:hAnsi="Times New Roman" w:eastAsia="仿宋_GB2312" w:cs="仿宋_GB2312"/>
          <w:color w:val="auto"/>
          <w:kern w:val="2"/>
          <w:sz w:val="32"/>
          <w:szCs w:val="32"/>
          <w:highlight w:val="none"/>
          <w:lang w:val="en-US" w:eastAsia="zh-CN" w:bidi="ar-SA"/>
        </w:rPr>
        <w:t>9</w:t>
      </w:r>
      <w:r>
        <w:rPr>
          <w:rFonts w:hint="eastAsia" w:ascii="仿宋_GB2312" w:hAnsi="仿宋_GB2312" w:eastAsia="仿宋_GB2312" w:cs="仿宋_GB2312"/>
          <w:sz w:val="32"/>
          <w:szCs w:val="32"/>
        </w:rPr>
        <w:t>个二级单位，其中参照公务员法管理的事业单位</w:t>
      </w:r>
      <w:r>
        <w:rPr>
          <w:rFonts w:hint="eastAsia" w:ascii="Times New Roman" w:hAnsi="Times New Roman" w:eastAsia="仿宋_GB2312" w:cs="仿宋_GB2312"/>
          <w:color w:val="auto"/>
          <w:kern w:val="2"/>
          <w:sz w:val="32"/>
          <w:szCs w:val="32"/>
          <w:highlight w:val="none"/>
          <w:lang w:val="en-US" w:eastAsia="zh-CN" w:bidi="ar-SA"/>
        </w:rPr>
        <w:t>3</w:t>
      </w:r>
      <w:r>
        <w:rPr>
          <w:rFonts w:hint="eastAsia" w:ascii="仿宋_GB2312" w:hAnsi="仿宋_GB2312" w:eastAsia="仿宋_GB2312" w:cs="仿宋_GB2312"/>
          <w:sz w:val="32"/>
          <w:szCs w:val="32"/>
        </w:rPr>
        <w:t>个，分别是：市房地产事务中心、市建设工程质量安全站、市建筑节能和绿色建筑发展中心，其他事业单位</w:t>
      </w:r>
      <w:r>
        <w:rPr>
          <w:rFonts w:hint="eastAsia" w:ascii="Times New Roman" w:hAnsi="Times New Roman" w:eastAsia="仿宋_GB2312" w:cs="仿宋_GB2312"/>
          <w:color w:val="auto"/>
          <w:kern w:val="2"/>
          <w:sz w:val="32"/>
          <w:szCs w:val="32"/>
          <w:highlight w:val="none"/>
          <w:lang w:val="en-US" w:eastAsia="zh-CN" w:bidi="ar-SA"/>
        </w:rPr>
        <w:t>6</w:t>
      </w:r>
      <w:r>
        <w:rPr>
          <w:rFonts w:hint="eastAsia" w:ascii="仿宋_GB2312" w:hAnsi="仿宋_GB2312" w:eastAsia="仿宋_GB2312" w:cs="仿宋_GB2312"/>
          <w:sz w:val="32"/>
          <w:szCs w:val="32"/>
        </w:rPr>
        <w:t>个，分别是：市市政公用设施服务中心、市建设工程造价站、市建设工程消防和勘察设计技术中心、市城市建设资金中心、市城市基本建设档案馆、市住房保障和建设项目服务中心。</w:t>
      </w:r>
      <w:r>
        <w:rPr>
          <w:rFonts w:hint="eastAsia" w:ascii="Times New Roman" w:hAnsi="Times New Roman" w:eastAsia="仿宋_GB2312"/>
          <w:sz w:val="32"/>
          <w:szCs w:val="32"/>
        </w:rPr>
        <w:t xml:space="preserve">   </w:t>
      </w:r>
    </w:p>
    <w:p>
      <w:pPr>
        <w:keepNext w:val="0"/>
        <w:keepLines w:val="0"/>
        <w:pageBreakBefore w:val="0"/>
        <w:widowControl/>
        <w:numPr>
          <w:ilvl w:val="0"/>
          <w:numId w:val="2"/>
        </w:numPr>
        <w:suppressAutoHyphens/>
        <w:kinsoku/>
        <w:wordWrap/>
        <w:overflowPunct/>
        <w:topLinePunct w:val="0"/>
        <w:bidi w:val="0"/>
        <w:adjustRightInd w:val="0"/>
        <w:snapToGrid w:val="0"/>
        <w:spacing w:line="578" w:lineRule="exact"/>
        <w:ind w:firstLine="642" w:firstLineChars="200"/>
        <w:contextualSpacing/>
        <w:jc w:val="both"/>
        <w:textAlignment w:val="auto"/>
        <w:rPr>
          <w:rFonts w:hint="eastAsia" w:ascii="Times New Roman" w:hAnsi="Times New Roman" w:eastAsia="楷体_GB2312" w:cs="楷体_GB2312"/>
          <w:b/>
          <w:color w:val="auto"/>
          <w:sz w:val="32"/>
          <w:szCs w:val="32"/>
          <w:highlight w:val="none"/>
          <w:lang w:val="zh-CN"/>
        </w:rPr>
      </w:pPr>
      <w:r>
        <w:rPr>
          <w:rFonts w:hint="default" w:ascii="Times New Roman" w:hAnsi="Times New Roman" w:eastAsia="楷体_GB2312" w:cs="楷体_GB2312"/>
          <w:b/>
          <w:color w:val="auto"/>
          <w:sz w:val="32"/>
          <w:szCs w:val="32"/>
          <w:highlight w:val="none"/>
          <w:lang w:val="zh-CN"/>
        </w:rPr>
        <w:t>机构职能</w:t>
      </w:r>
      <w:r>
        <w:rPr>
          <w:rFonts w:hint="eastAsia" w:ascii="Times New Roman" w:hAnsi="Times New Roman" w:eastAsia="楷体_GB2312" w:cs="楷体_GB2312"/>
          <w:b/>
          <w:color w:val="auto"/>
          <w:sz w:val="32"/>
          <w:szCs w:val="32"/>
          <w:highlight w:val="none"/>
          <w:lang w:val="zh-CN"/>
        </w:rPr>
        <w:t>。</w:t>
      </w:r>
    </w:p>
    <w:p>
      <w:pPr>
        <w:keepNext w:val="0"/>
        <w:keepLines w:val="0"/>
        <w:pageBreakBefore w:val="0"/>
        <w:widowControl/>
        <w:numPr>
          <w:ilvl w:val="0"/>
          <w:numId w:val="0"/>
        </w:numPr>
        <w:suppressAutoHyphens/>
        <w:kinsoku/>
        <w:wordWrap/>
        <w:overflowPunct/>
        <w:topLinePunct w:val="0"/>
        <w:bidi w:val="0"/>
        <w:adjustRightInd w:val="0"/>
        <w:snapToGrid w:val="0"/>
        <w:spacing w:line="578" w:lineRule="exact"/>
        <w:ind w:firstLine="640" w:firstLineChars="200"/>
        <w:contextualSpacing/>
        <w:jc w:val="both"/>
        <w:textAlignment w:val="auto"/>
        <w:rPr>
          <w:rFonts w:hint="eastAsia" w:ascii="Times New Roman" w:hAnsi="Times New Roman" w:eastAsia="楷体_GB2312" w:cs="Times New Roman"/>
          <w:b/>
          <w:bCs/>
          <w:color w:val="000000"/>
          <w:kern w:val="0"/>
          <w:szCs w:val="32"/>
          <w:highlight w:val="none"/>
          <w:shd w:val="clear" w:color="auto" w:fill="FFFFFF"/>
          <w:lang w:val="en-US" w:eastAsia="zh-CN"/>
        </w:rPr>
      </w:pPr>
      <w:r>
        <w:rPr>
          <w:rFonts w:hint="eastAsia" w:ascii="仿宋_GB2312" w:hAnsi="仿宋_GB2312" w:eastAsia="仿宋_GB2312" w:cs="仿宋_GB2312"/>
          <w:sz w:val="32"/>
          <w:szCs w:val="32"/>
        </w:rPr>
        <w:t>负责城市市政设施年度建设计划编制。指导和督促城市市政设施建设。协调、处理城市市政设施建设过程中的有关问题。参与城市总体规划和专项规划编制和审核。拟订全市村镇建设的发展规划并监督实施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全市乡镇和村庄建设、全市农村住房建设及危房改造、农村建筑工匠培训和管理、农村公用设施建设，组织开展全市“特色小城镇”培育创建和开展村镇建设试点工作。拟订建筑业中长期规划、行业政策，承担建筑市场及本地建筑施工企业资质的监督管理和注册建造师的注册、执业活动的监督管理事项。参与房建和市政设施项目施工招投标活动监督。协助处理建设工程农民工拖欠工资。负责全市房地产业监督管理工作。负责房地产市场秩序的整治与监管。参与协调处理房地产交易的矛盾纠纷。承担全市勘察设计行业综合管理的具体工作。负责全市建设工程抗震设防标准的管理。指导、监督抗震设防专项论证工作。组织各类房屋建筑和市政工程设计抗震设计检查。参与抗震设计审查。指导村镇建设抗震防灾工作。拟订建筑垃圾资源化再利用的整体规划和政策措施，综合协调建筑垃圾资源化再利用工作。负责信息化建设工作。负责对实施工程建设设计强制性标准进行监督检查。负责对房屋建筑工程抗震设防实施情况的监督检查。负责行业体制改革的政策研究。负责行业规范性文件合法性审查工作。负责法治考核工作。负责做好立法调研和草案起草工作。配合上位法修订工作。负责行政许可事项和政务服务事项的公开公示、告知工作。负责进驻政务服务中心窗口的组织协调和审批项目的受理、审核及办理工作。</w:t>
      </w:r>
    </w:p>
    <w:p>
      <w:pPr>
        <w:keepNext w:val="0"/>
        <w:keepLines w:val="0"/>
        <w:pageBreakBefore w:val="0"/>
        <w:kinsoku/>
        <w:wordWrap/>
        <w:overflowPunct/>
        <w:topLinePunct w:val="0"/>
        <w:bidi w:val="0"/>
        <w:snapToGrid w:val="0"/>
        <w:spacing w:line="578" w:lineRule="exact"/>
        <w:ind w:firstLine="642" w:firstLineChars="200"/>
        <w:jc w:val="both"/>
        <w:textAlignment w:val="auto"/>
        <w:rPr>
          <w:rFonts w:hint="default" w:ascii="Times New Roman" w:hAnsi="Times New Roman" w:cs="Times New Roman"/>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szCs w:val="32"/>
          <w:lang w:val="en-US" w:eastAsia="zh-CN"/>
        </w:rPr>
        <w:t>截至</w:t>
      </w:r>
      <w:r>
        <w:rPr>
          <w:rFonts w:hint="default" w:ascii="Times New Roman" w:hAnsi="Times New Roman" w:eastAsia="仿宋_GB2312" w:cs="仿宋_GB2312"/>
          <w:color w:val="auto"/>
          <w:kern w:val="2"/>
          <w:sz w:val="32"/>
          <w:szCs w:val="32"/>
          <w:highlight w:val="none"/>
          <w:lang w:val="en-US" w:eastAsia="zh-CN" w:bidi="ar-SA"/>
        </w:rPr>
        <w:t>202</w:t>
      </w: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Times New Roman"/>
          <w:sz w:val="32"/>
          <w:szCs w:val="32"/>
          <w:lang w:val="en-US" w:eastAsia="zh-CN"/>
        </w:rPr>
        <w:t>年末，</w:t>
      </w:r>
      <w:r>
        <w:rPr>
          <w:rFonts w:hint="eastAsia" w:ascii="仿宋_GB2312" w:hAnsi="仿宋" w:eastAsia="仿宋_GB2312" w:cs="仿宋"/>
          <w:color w:val="000000"/>
          <w:sz w:val="32"/>
          <w:szCs w:val="32"/>
        </w:rPr>
        <w:t>住建系统在职人员实有人数</w:t>
      </w:r>
      <w:r>
        <w:rPr>
          <w:rFonts w:hint="eastAsia" w:ascii="Times New Roman" w:hAnsi="Times New Roman" w:eastAsia="仿宋_GB2312" w:cs="仿宋_GB2312"/>
          <w:color w:val="auto"/>
          <w:kern w:val="2"/>
          <w:sz w:val="32"/>
          <w:szCs w:val="32"/>
          <w:highlight w:val="none"/>
          <w:lang w:val="en-US" w:eastAsia="zh-CN" w:bidi="ar-SA"/>
        </w:rPr>
        <w:t>344</w:t>
      </w:r>
      <w:r>
        <w:rPr>
          <w:rFonts w:hint="eastAsia" w:ascii="仿宋_GB2312" w:hAnsi="仿宋" w:eastAsia="仿宋_GB2312" w:cs="仿宋"/>
          <w:color w:val="000000"/>
          <w:sz w:val="32"/>
          <w:szCs w:val="32"/>
        </w:rPr>
        <w:t>人，</w:t>
      </w:r>
      <w:r>
        <w:rPr>
          <w:rFonts w:hint="eastAsia" w:ascii="仿宋_GB2312" w:hAnsi="仿宋" w:eastAsia="仿宋_GB2312" w:cs="仿宋"/>
          <w:color w:val="auto"/>
          <w:sz w:val="32"/>
          <w:szCs w:val="32"/>
        </w:rPr>
        <w:t>本年调入</w:t>
      </w:r>
      <w:r>
        <w:rPr>
          <w:rFonts w:hint="eastAsia" w:ascii="仿宋_GB2312" w:hAnsi="仿宋" w:eastAsia="仿宋_GB2312"/>
          <w:color w:val="auto"/>
          <w:sz w:val="32"/>
          <w:szCs w:val="32"/>
        </w:rPr>
        <w:t>、调出以及退休，净增加</w:t>
      </w:r>
      <w:r>
        <w:rPr>
          <w:rFonts w:hint="eastAsia" w:eastAsia="仿宋_GB2312" w:cs="仿宋_GB2312"/>
          <w:color w:val="auto"/>
          <w:sz w:val="32"/>
          <w:szCs w:val="32"/>
        </w:rPr>
        <w:t>4</w:t>
      </w:r>
      <w:r>
        <w:rPr>
          <w:rFonts w:hint="eastAsia" w:ascii="仿宋_GB2312" w:hAnsi="仿宋" w:eastAsia="仿宋_GB2312"/>
          <w:color w:val="auto"/>
          <w:sz w:val="32"/>
          <w:szCs w:val="32"/>
        </w:rPr>
        <w:t>人</w:t>
      </w:r>
      <w:r>
        <w:rPr>
          <w:rFonts w:hint="eastAsia" w:ascii="仿宋_GB2312" w:hAnsi="仿宋" w:eastAsia="仿宋_GB2312" w:cs="仿宋"/>
          <w:color w:val="auto"/>
          <w:sz w:val="32"/>
          <w:szCs w:val="32"/>
        </w:rPr>
        <w:t>。离休人员</w:t>
      </w:r>
      <w:r>
        <w:rPr>
          <w:rFonts w:hint="eastAsia" w:eastAsia="仿宋_GB2312" w:cs="仿宋_GB2312"/>
          <w:color w:val="auto"/>
          <w:sz w:val="32"/>
          <w:szCs w:val="32"/>
        </w:rPr>
        <w:t>2</w:t>
      </w:r>
      <w:r>
        <w:rPr>
          <w:rFonts w:hint="eastAsia" w:ascii="仿宋_GB2312" w:hAnsi="仿宋" w:eastAsia="仿宋_GB2312" w:cs="仿宋"/>
          <w:color w:val="auto"/>
          <w:sz w:val="32"/>
          <w:szCs w:val="32"/>
        </w:rPr>
        <w:t>人。</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bookmarkStart w:id="102" w:name="_Toc254222041_WPSOffice_Level2"/>
      <w:bookmarkStart w:id="103" w:name="_Toc851782729_WPSOffice_Level2"/>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bookmarkEnd w:id="102"/>
      <w:bookmarkEnd w:id="103"/>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both"/>
        <w:textAlignment w:val="auto"/>
        <w:outlineLvl w:val="9"/>
        <w:rPr>
          <w:rFonts w:hint="default" w:ascii="Times New Roman" w:hAnsi="Times New Roman" w:eastAsia="楷体_GB2312" w:cs="Times New Roman"/>
          <w:b/>
          <w:bCs/>
          <w:color w:val="000000"/>
          <w:kern w:val="0"/>
          <w:szCs w:val="32"/>
          <w:highlight w:val="none"/>
          <w:shd w:val="clear" w:color="auto" w:fill="FFFFFF"/>
          <w:lang w:val="en-US"/>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sz w:val="32"/>
          <w:szCs w:val="32"/>
        </w:rPr>
        <w:t>四川省攀枝花市住房和城乡建设局</w:t>
      </w:r>
      <w:r>
        <w:rPr>
          <w:rFonts w:hint="eastAsia" w:ascii="Times New Roman" w:hAnsi="Times New Roman" w:eastAsia="仿宋_GB2312" w:cs="仿宋_GB2312"/>
          <w:color w:val="auto"/>
          <w:kern w:val="2"/>
          <w:sz w:val="32"/>
          <w:szCs w:val="32"/>
          <w:highlight w:val="none"/>
          <w:lang w:val="en-US" w:eastAsia="zh-CN" w:bidi="ar-SA"/>
        </w:rPr>
        <w:t>2024年</w:t>
      </w:r>
      <w:r>
        <w:rPr>
          <w:rFonts w:hint="eastAsia" w:ascii="仿宋_GB2312" w:hAnsi="仿宋" w:eastAsia="仿宋_GB2312"/>
          <w:sz w:val="32"/>
          <w:szCs w:val="32"/>
        </w:rPr>
        <w:t>住建系统年初预算安排数</w:t>
      </w:r>
      <w:r>
        <w:rPr>
          <w:rFonts w:hint="eastAsia" w:ascii="Times New Roman" w:hAnsi="Times New Roman" w:eastAsia="仿宋_GB2312" w:cs="仿宋_GB2312"/>
          <w:color w:val="auto"/>
          <w:kern w:val="2"/>
          <w:sz w:val="32"/>
          <w:szCs w:val="32"/>
          <w:highlight w:val="none"/>
          <w:lang w:val="en-US" w:eastAsia="zh-CN" w:bidi="ar-SA"/>
        </w:rPr>
        <w:t>9881.66</w:t>
      </w:r>
      <w:r>
        <w:rPr>
          <w:rFonts w:hint="eastAsia" w:eastAsia="仿宋_GB2312" w:cs="仿宋_GB2312"/>
          <w:color w:val="auto"/>
          <w:kern w:val="2"/>
          <w:sz w:val="32"/>
          <w:szCs w:val="32"/>
          <w:highlight w:val="none"/>
          <w:lang w:val="en-US" w:eastAsia="zh-CN" w:bidi="ar-SA"/>
        </w:rPr>
        <w:t>万</w:t>
      </w:r>
      <w:r>
        <w:rPr>
          <w:rFonts w:hint="eastAsia" w:ascii="仿宋_GB2312" w:hAnsi="仿宋" w:eastAsia="仿宋_GB2312"/>
          <w:sz w:val="32"/>
          <w:szCs w:val="32"/>
        </w:rPr>
        <w:t>元</w:t>
      </w:r>
      <w:r>
        <w:rPr>
          <w:rFonts w:hint="eastAsia" w:ascii="仿宋_GB2312" w:hAnsi="仿宋" w:eastAsia="仿宋_GB2312"/>
          <w:sz w:val="32"/>
          <w:szCs w:val="32"/>
          <w:lang w:eastAsia="zh-CN"/>
        </w:rPr>
        <w:t>（含市房地产事务中心年中财政下达的市房地产市场信息平台运行维护费</w:t>
      </w:r>
      <w:r>
        <w:rPr>
          <w:rFonts w:hint="eastAsia" w:ascii="Times New Roman" w:hAnsi="Times New Roman" w:eastAsia="仿宋_GB2312" w:cs="仿宋_GB2312"/>
          <w:color w:val="auto"/>
          <w:kern w:val="2"/>
          <w:sz w:val="32"/>
          <w:szCs w:val="32"/>
          <w:highlight w:val="none"/>
          <w:lang w:val="en-US" w:eastAsia="zh-CN" w:bidi="ar-SA"/>
        </w:rPr>
        <w:t>35</w:t>
      </w:r>
      <w:r>
        <w:rPr>
          <w:rFonts w:hint="eastAsia" w:ascii="仿宋_GB2312" w:hAnsi="仿宋" w:eastAsia="仿宋_GB2312"/>
          <w:sz w:val="32"/>
          <w:szCs w:val="32"/>
          <w:lang w:eastAsia="zh-CN"/>
        </w:rPr>
        <w:t>万元，其资金来源为年初预算）</w:t>
      </w:r>
      <w:r>
        <w:rPr>
          <w:rFonts w:hint="eastAsia" w:ascii="Times New Roman" w:hAnsi="Times New Roman" w:eastAsia="仿宋_GB2312" w:cs="Times New Roman"/>
          <w:sz w:val="32"/>
          <w:szCs w:val="32"/>
          <w:lang w:val="en-US" w:eastAsia="zh-CN"/>
        </w:rPr>
        <w:t>、决算报表</w:t>
      </w:r>
      <w:r>
        <w:rPr>
          <w:rFonts w:hint="eastAsia" w:eastAsia="仿宋_GB2312" w:cs="Times New Roman"/>
          <w:sz w:val="32"/>
          <w:szCs w:val="32"/>
          <w:lang w:val="en-US" w:eastAsia="zh-CN"/>
        </w:rPr>
        <w:t>本年</w:t>
      </w:r>
      <w:r>
        <w:rPr>
          <w:rFonts w:hint="eastAsia" w:ascii="Times New Roman" w:hAnsi="Times New Roman" w:eastAsia="仿宋_GB2312" w:cs="Times New Roman"/>
          <w:sz w:val="32"/>
          <w:szCs w:val="32"/>
          <w:lang w:val="en-US" w:eastAsia="zh-CN"/>
        </w:rPr>
        <w:t>收入</w:t>
      </w:r>
      <w:r>
        <w:rPr>
          <w:rFonts w:hint="eastAsia" w:ascii="Times New Roman" w:hAnsi="Times New Roman" w:eastAsia="仿宋_GB2312" w:cs="仿宋_GB2312"/>
          <w:color w:val="auto"/>
          <w:kern w:val="2"/>
          <w:sz w:val="32"/>
          <w:szCs w:val="32"/>
          <w:highlight w:val="none"/>
          <w:lang w:val="en-US" w:eastAsia="zh-CN" w:bidi="ar-SA"/>
        </w:rPr>
        <w:t>38276.37</w:t>
      </w:r>
      <w:r>
        <w:rPr>
          <w:rFonts w:hint="eastAsia"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both"/>
        <w:textAlignment w:val="auto"/>
        <w:outlineLvl w:val="9"/>
        <w:rPr>
          <w:rFonts w:hint="default" w:ascii="Times New Roman" w:hAnsi="Times New Roman" w:cs="Times New Roman"/>
          <w:szCs w:val="32"/>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sz w:val="32"/>
          <w:szCs w:val="32"/>
        </w:rPr>
        <w:t>四川省攀枝花市住房和城乡建设局</w:t>
      </w:r>
      <w:r>
        <w:rPr>
          <w:rFonts w:hint="eastAsia" w:ascii="Times New Roman" w:hAnsi="Times New Roman" w:eastAsia="仿宋_GB2312" w:cs="Times New Roman"/>
          <w:sz w:val="32"/>
          <w:szCs w:val="32"/>
          <w:lang w:val="en-US" w:eastAsia="zh-CN"/>
        </w:rPr>
        <w:t>2024年</w:t>
      </w:r>
      <w:r>
        <w:rPr>
          <w:rFonts w:hint="eastAsia" w:ascii="仿宋_GB2312" w:hAnsi="仿宋_GB2312" w:eastAsia="仿宋_GB2312" w:cs="仿宋_GB2312"/>
          <w:sz w:val="32"/>
          <w:szCs w:val="32"/>
          <w:lang w:val="zh-CN" w:eastAsia="zh-CN"/>
        </w:rPr>
        <w:t>预算支出</w:t>
      </w:r>
      <w:r>
        <w:rPr>
          <w:rFonts w:hint="eastAsia" w:ascii="Times New Roman" w:hAnsi="Times New Roman" w:eastAsia="仿宋_GB2312" w:cs="仿宋_GB2312"/>
          <w:color w:val="auto"/>
          <w:kern w:val="2"/>
          <w:sz w:val="32"/>
          <w:szCs w:val="32"/>
          <w:highlight w:val="none"/>
          <w:lang w:val="en-US" w:eastAsia="zh-CN" w:bidi="ar-SA"/>
        </w:rPr>
        <w:t>9881.66</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zh-CN" w:eastAsia="zh-CN"/>
        </w:rPr>
        <w:t>元，决算报表本年支出</w:t>
      </w:r>
      <w:r>
        <w:rPr>
          <w:rFonts w:hint="eastAsia" w:ascii="Times New Roman" w:hAnsi="Times New Roman" w:eastAsia="仿宋_GB2312" w:cs="仿宋_GB2312"/>
          <w:color w:val="auto"/>
          <w:kern w:val="2"/>
          <w:sz w:val="32"/>
          <w:szCs w:val="32"/>
          <w:highlight w:val="none"/>
          <w:lang w:val="zh-CN" w:eastAsia="zh-CN" w:bidi="ar-SA"/>
        </w:rPr>
        <w:t>38276.37</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both"/>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仿宋_GB2312" w:hAnsi="仿宋_GB2312" w:eastAsia="仿宋_GB2312" w:cs="仿宋_GB2312"/>
          <w:sz w:val="32"/>
          <w:szCs w:val="32"/>
        </w:rPr>
        <w:t>四川省攀枝花市住房和城乡建设局</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Times New Roman" w:hAnsi="Times New Roman" w:eastAsia="仿宋_GB2312" w:cs="Times New Roman"/>
          <w:sz w:val="32"/>
          <w:szCs w:val="32"/>
          <w:lang w:val="en-US" w:eastAsia="zh-CN"/>
        </w:rPr>
        <w:t>年决算报表</w:t>
      </w:r>
      <w:r>
        <w:rPr>
          <w:rFonts w:hint="eastAsia" w:ascii="仿宋_GB2312" w:hAnsi="仿宋_GB2312" w:eastAsia="仿宋_GB2312" w:cs="仿宋_GB2312"/>
          <w:sz w:val="32"/>
          <w:szCs w:val="32"/>
        </w:rPr>
        <w:t>年末结转和结余</w:t>
      </w:r>
      <w:r>
        <w:rPr>
          <w:rFonts w:hint="eastAsia" w:ascii="Times New Roman" w:hAnsi="Times New Roman" w:eastAsia="仿宋_GB2312" w:cs="仿宋_GB2312"/>
          <w:color w:val="auto"/>
          <w:kern w:val="2"/>
          <w:sz w:val="32"/>
          <w:szCs w:val="32"/>
          <w:highlight w:val="none"/>
          <w:lang w:val="en-US" w:eastAsia="zh-CN" w:bidi="ar-SA"/>
        </w:rPr>
        <w:t>36.39</w:t>
      </w:r>
      <w:r>
        <w:rPr>
          <w:rFonts w:hint="eastAsia" w:ascii="仿宋_GB2312" w:hAnsi="仿宋_GB2312" w:eastAsia="仿宋_GB2312" w:cs="仿宋_GB2312"/>
          <w:sz w:val="32"/>
          <w:szCs w:val="32"/>
        </w:rPr>
        <w:t>万元</w:t>
      </w:r>
      <w:r>
        <w:rPr>
          <w:rFonts w:hint="default"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bookmarkStart w:id="104" w:name="_Toc1757231493_WPSOffice_Level2"/>
      <w:bookmarkStart w:id="105" w:name="_Toc1550411899_WPSOffice_Level2"/>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bookmarkEnd w:id="104"/>
      <w:bookmarkEnd w:id="105"/>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zh-CN" w:eastAsia="zh-CN" w:bidi="ar-SA"/>
        </w:rPr>
        <w:t>2024年，</w:t>
      </w:r>
      <w:r>
        <w:rPr>
          <w:rFonts w:hint="eastAsia" w:ascii="仿宋_GB2312" w:hAnsi="仿宋" w:eastAsia="仿宋_GB2312"/>
          <w:sz w:val="32"/>
          <w:szCs w:val="32"/>
          <w:lang w:eastAsia="zh-CN"/>
        </w:rPr>
        <w:t>四川省</w:t>
      </w:r>
      <w:r>
        <w:rPr>
          <w:rFonts w:hint="eastAsia" w:ascii="仿宋_GB2312" w:hAnsi="仿宋" w:eastAsia="仿宋_GB2312"/>
          <w:sz w:val="32"/>
          <w:szCs w:val="32"/>
        </w:rPr>
        <w:t>攀</w:t>
      </w:r>
      <w:r>
        <w:rPr>
          <w:rFonts w:hint="eastAsia" w:ascii="仿宋_GB2312" w:eastAsia="仿宋_GB2312"/>
          <w:bCs/>
          <w:sz w:val="32"/>
          <w:szCs w:val="32"/>
        </w:rPr>
        <w:t>枝花市住房和城乡建设局</w:t>
      </w:r>
      <w:r>
        <w:rPr>
          <w:rFonts w:hint="default" w:ascii="Times New Roman" w:hAnsi="Times New Roman" w:eastAsia="仿宋_GB2312" w:cs="仿宋_GB2312"/>
          <w:color w:val="auto"/>
          <w:kern w:val="2"/>
          <w:sz w:val="32"/>
          <w:szCs w:val="32"/>
          <w:highlight w:val="none"/>
          <w:lang w:val="zh-CN" w:eastAsia="zh-CN" w:bidi="ar-SA"/>
        </w:rPr>
        <w:t>以</w:t>
      </w:r>
      <w:r>
        <w:rPr>
          <w:rFonts w:hint="eastAsia" w:ascii="仿宋_GB2312" w:hAnsi="仿宋_GB2312" w:eastAsia="仿宋_GB2312" w:cs="仿宋_GB2312"/>
          <w:color w:val="auto"/>
          <w:kern w:val="2"/>
          <w:sz w:val="32"/>
          <w:szCs w:val="32"/>
          <w:highlight w:val="none"/>
          <w:lang w:val="zh-CN" w:eastAsia="zh-CN" w:bidi="ar-SA"/>
        </w:rPr>
        <w:t>“创优争先”为</w:t>
      </w:r>
      <w:r>
        <w:rPr>
          <w:rFonts w:hint="default" w:ascii="Times New Roman" w:hAnsi="Times New Roman" w:eastAsia="仿宋_GB2312" w:cs="仿宋_GB2312"/>
          <w:color w:val="auto"/>
          <w:kern w:val="2"/>
          <w:sz w:val="32"/>
          <w:szCs w:val="32"/>
          <w:highlight w:val="none"/>
          <w:lang w:val="zh-CN" w:eastAsia="zh-CN" w:bidi="ar-SA"/>
        </w:rPr>
        <w:t>基本目标，始终坚持稳中求进工作总基调，充分发挥政策激励作用，促进房地产和建筑业健康发展。积极开展攀枝花大桥、渡口路等项目前期工作，逐步畅通各组团间交通联系。以夯实基础、深化改革为主线，紧抓城市更新、项目建设和行业发展，扎实推动我市住房城乡建设工作提质增效。</w:t>
      </w:r>
    </w:p>
    <w:p>
      <w:pPr>
        <w:keepNext w:val="0"/>
        <w:keepLines w:val="0"/>
        <w:pageBreakBefore w:val="0"/>
        <w:kinsoku/>
        <w:wordWrap/>
        <w:overflowPunct/>
        <w:topLinePunct w:val="0"/>
        <w:bidi w:val="0"/>
        <w:adjustRightInd w:val="0"/>
        <w:snapToGrid w:val="0"/>
        <w:spacing w:line="578" w:lineRule="exact"/>
        <w:ind w:firstLine="642" w:firstLineChars="200"/>
        <w:contextualSpacing/>
        <w:jc w:val="both"/>
        <w:textAlignment w:val="auto"/>
        <w:rPr>
          <w:rFonts w:hint="eastAsia" w:eastAsia="仿宋_GB2312" w:cs="仿宋_GB2312"/>
          <w:b/>
          <w:color w:val="auto"/>
          <w:sz w:val="32"/>
          <w:szCs w:val="32"/>
          <w:lang w:val="zh-CN"/>
        </w:rPr>
      </w:pPr>
      <w:r>
        <w:rPr>
          <w:rFonts w:hint="eastAsia" w:eastAsia="仿宋_GB2312" w:cs="仿宋_GB2312"/>
          <w:b/>
          <w:color w:val="auto"/>
          <w:sz w:val="32"/>
          <w:szCs w:val="32"/>
        </w:rPr>
        <w:t>1.</w:t>
      </w:r>
      <w:r>
        <w:rPr>
          <w:rFonts w:hint="eastAsia" w:eastAsia="仿宋_GB2312" w:cs="仿宋_GB2312"/>
          <w:b/>
          <w:color w:val="auto"/>
          <w:sz w:val="32"/>
          <w:szCs w:val="32"/>
          <w:lang w:val="zh-CN"/>
        </w:rPr>
        <w:t>履职效能。</w:t>
      </w:r>
    </w:p>
    <w:p>
      <w:pPr>
        <w:keepNext w:val="0"/>
        <w:keepLines w:val="0"/>
        <w:pageBreakBefore w:val="0"/>
        <w:kinsoku/>
        <w:wordWrap/>
        <w:overflowPunct/>
        <w:topLinePunct w:val="0"/>
        <w:bidi w:val="0"/>
        <w:spacing w:line="578" w:lineRule="exact"/>
        <w:ind w:firstLine="314" w:firstLineChars="98"/>
        <w:jc w:val="both"/>
        <w:textAlignment w:val="auto"/>
        <w:rPr>
          <w:rFonts w:eastAsia="仿宋_GB2312"/>
          <w:bCs/>
          <w:color w:val="auto"/>
          <w:sz w:val="32"/>
          <w:szCs w:val="32"/>
          <w:lang w:bidi="he-IL"/>
        </w:rPr>
      </w:pPr>
      <w:r>
        <w:rPr>
          <w:rFonts w:hint="eastAsia" w:ascii="楷体" w:hAnsi="楷体" w:eastAsia="楷体" w:cs="楷体"/>
          <w:b/>
          <w:bCs/>
          <w:color w:val="auto"/>
          <w:sz w:val="32"/>
          <w:szCs w:val="32"/>
        </w:rPr>
        <w:t xml:space="preserve"> </w:t>
      </w:r>
      <w:r>
        <w:rPr>
          <w:rFonts w:hint="eastAsia" w:ascii="仿宋_GB2312" w:hAnsi="楷体" w:eastAsia="仿宋_GB2312" w:cs="楷体"/>
          <w:bCs/>
          <w:color w:val="auto"/>
          <w:sz w:val="32"/>
          <w:szCs w:val="32"/>
        </w:rPr>
        <w:t>（1）持续提升城市功能品质。</w:t>
      </w:r>
      <w:r>
        <w:rPr>
          <w:rFonts w:ascii="仿宋_GB2312" w:eastAsia="仿宋_GB2312"/>
          <w:color w:val="auto"/>
          <w:sz w:val="32"/>
          <w:szCs w:val="32"/>
        </w:rPr>
        <w:t>抢抓</w:t>
      </w:r>
      <w:r>
        <w:rPr>
          <w:rFonts w:hint="eastAsia" w:ascii="仿宋_GB2312" w:hAnsi="仿宋_GB2312" w:eastAsia="仿宋_GB2312" w:cs="仿宋_GB2312"/>
          <w:color w:val="auto"/>
          <w:sz w:val="32"/>
          <w:szCs w:val="32"/>
        </w:rPr>
        <w:t>“两重”“两新”</w:t>
      </w:r>
      <w:r>
        <w:rPr>
          <w:rFonts w:ascii="仿宋_GB2312" w:eastAsia="仿宋_GB2312"/>
          <w:color w:val="auto"/>
          <w:sz w:val="32"/>
          <w:szCs w:val="32"/>
        </w:rPr>
        <w:t>政策机遇</w:t>
      </w:r>
      <w:r>
        <w:rPr>
          <w:rFonts w:hint="eastAsia" w:ascii="仿宋_GB2312" w:eastAsia="仿宋_GB2312"/>
          <w:color w:val="auto"/>
          <w:sz w:val="32"/>
          <w:szCs w:val="32"/>
        </w:rPr>
        <w:t>，</w:t>
      </w:r>
      <w:r>
        <w:rPr>
          <w:rFonts w:ascii="仿宋_GB2312" w:eastAsia="仿宋_GB2312"/>
          <w:color w:val="auto"/>
          <w:sz w:val="32"/>
          <w:szCs w:val="32"/>
        </w:rPr>
        <w:t>谋划储备城市地下管网、保障性安居工程、城镇污水垃圾收集处理设施、城市道路等不同类型项目</w:t>
      </w:r>
      <w:r>
        <w:rPr>
          <w:rFonts w:hint="eastAsia" w:eastAsia="仿宋_GB2312" w:cs="仿宋_GB2312"/>
          <w:color w:val="auto"/>
          <w:sz w:val="32"/>
          <w:szCs w:val="32"/>
        </w:rPr>
        <w:t>100个</w:t>
      </w:r>
      <w:r>
        <w:rPr>
          <w:rFonts w:ascii="仿宋_GB2312" w:eastAsia="仿宋_GB2312"/>
          <w:color w:val="auto"/>
          <w:sz w:val="32"/>
          <w:szCs w:val="32"/>
        </w:rPr>
        <w:t>、计划总投资</w:t>
      </w:r>
      <w:r>
        <w:rPr>
          <w:rFonts w:hint="eastAsia" w:eastAsia="仿宋_GB2312" w:cs="仿宋_GB2312"/>
          <w:color w:val="auto"/>
          <w:sz w:val="32"/>
          <w:szCs w:val="32"/>
        </w:rPr>
        <w:t>126.2</w:t>
      </w:r>
      <w:r>
        <w:rPr>
          <w:rFonts w:ascii="仿宋_GB2312" w:eastAsia="仿宋_GB2312"/>
          <w:color w:val="auto"/>
          <w:sz w:val="32"/>
          <w:szCs w:val="32"/>
        </w:rPr>
        <w:t>亿元。</w:t>
      </w:r>
      <w:r>
        <w:rPr>
          <w:rFonts w:hint="eastAsia" w:ascii="仿宋_GB2312" w:eastAsia="仿宋_GB2312"/>
          <w:color w:val="auto"/>
          <w:sz w:val="32"/>
          <w:szCs w:val="32"/>
        </w:rPr>
        <w:t>同步</w:t>
      </w:r>
      <w:r>
        <w:rPr>
          <w:rFonts w:ascii="仿宋_GB2312" w:eastAsia="仿宋_GB2312"/>
          <w:color w:val="auto"/>
          <w:sz w:val="32"/>
          <w:szCs w:val="32"/>
        </w:rPr>
        <w:t>围绕资金申报要求，争取到</w:t>
      </w:r>
      <w:r>
        <w:rPr>
          <w:rFonts w:hint="eastAsia" w:ascii="仿宋_GB2312" w:eastAsia="仿宋_GB2312"/>
          <w:color w:val="auto"/>
          <w:sz w:val="32"/>
          <w:szCs w:val="32"/>
        </w:rPr>
        <w:t>国债资金、中央预算内资金、中省财政资金共计</w:t>
      </w:r>
      <w:r>
        <w:rPr>
          <w:rFonts w:hint="eastAsia" w:eastAsia="仿宋_GB2312" w:cs="仿宋_GB2312"/>
          <w:color w:val="auto"/>
          <w:sz w:val="32"/>
          <w:szCs w:val="32"/>
        </w:rPr>
        <w:t>56822</w:t>
      </w:r>
      <w:r>
        <w:rPr>
          <w:rFonts w:hint="eastAsia" w:ascii="仿宋_GB2312" w:eastAsia="仿宋_GB2312"/>
          <w:color w:val="auto"/>
          <w:sz w:val="32"/>
          <w:szCs w:val="32"/>
        </w:rPr>
        <w:t>万元</w:t>
      </w:r>
      <w:r>
        <w:rPr>
          <w:rFonts w:ascii="仿宋_GB2312" w:eastAsia="仿宋_GB2312"/>
          <w:color w:val="auto"/>
          <w:sz w:val="32"/>
          <w:szCs w:val="32"/>
        </w:rPr>
        <w:t>，为推进</w:t>
      </w:r>
      <w:r>
        <w:rPr>
          <w:rFonts w:hint="eastAsia" w:ascii="仿宋_GB2312" w:eastAsia="仿宋_GB2312"/>
          <w:color w:val="auto"/>
          <w:sz w:val="32"/>
          <w:szCs w:val="32"/>
        </w:rPr>
        <w:t>城镇老旧小区改造、城市排水防涝等民生项目建设</w:t>
      </w:r>
      <w:r>
        <w:rPr>
          <w:rFonts w:ascii="仿宋_GB2312" w:eastAsia="仿宋_GB2312"/>
          <w:color w:val="auto"/>
          <w:sz w:val="32"/>
          <w:szCs w:val="32"/>
        </w:rPr>
        <w:t>提供有力保障。</w:t>
      </w:r>
      <w:r>
        <w:rPr>
          <w:rFonts w:hint="eastAsia" w:eastAsia="仿宋_GB2312"/>
          <w:b/>
          <w:color w:val="auto"/>
          <w:sz w:val="32"/>
          <w:szCs w:val="32"/>
          <w:lang w:bidi="he-IL"/>
        </w:rPr>
        <w:t>一是在城市更新上大抓落实。</w:t>
      </w:r>
      <w:r>
        <w:rPr>
          <w:rFonts w:hint="eastAsia" w:ascii="仿宋_GB2312" w:eastAsia="仿宋_GB2312"/>
          <w:color w:val="auto"/>
          <w:sz w:val="32"/>
          <w:szCs w:val="32"/>
        </w:rPr>
        <w:t>制定《攀枝花市推进城市更新大抓落实工作方案》，重点围绕“三旧一村”改造、棚改土地综合利用、历史文化保护传承等深入实施城市更新行动。全市</w:t>
      </w:r>
      <w:r>
        <w:rPr>
          <w:rFonts w:hint="eastAsia" w:eastAsia="仿宋_GB2312" w:cs="仿宋_GB2312"/>
          <w:color w:val="auto"/>
          <w:sz w:val="32"/>
          <w:szCs w:val="32"/>
        </w:rPr>
        <w:t>2023</w:t>
      </w:r>
      <w:r>
        <w:rPr>
          <w:rFonts w:hint="eastAsia" w:ascii="仿宋_GB2312" w:eastAsia="仿宋_GB2312"/>
          <w:color w:val="auto"/>
          <w:sz w:val="32"/>
          <w:szCs w:val="32"/>
        </w:rPr>
        <w:t>年开工改造的</w:t>
      </w:r>
      <w:r>
        <w:rPr>
          <w:rFonts w:hint="eastAsia" w:eastAsia="仿宋_GB2312" w:cs="仿宋_GB2312"/>
          <w:color w:val="auto"/>
          <w:sz w:val="32"/>
          <w:szCs w:val="32"/>
        </w:rPr>
        <w:t>46</w:t>
      </w:r>
      <w:r>
        <w:rPr>
          <w:rFonts w:hint="eastAsia" w:ascii="仿宋_GB2312" w:eastAsia="仿宋_GB2312"/>
          <w:color w:val="auto"/>
          <w:sz w:val="32"/>
          <w:szCs w:val="32"/>
        </w:rPr>
        <w:t>个老旧小区已全部完工，</w:t>
      </w:r>
      <w:r>
        <w:rPr>
          <w:rFonts w:hint="eastAsia" w:eastAsia="仿宋_GB2312" w:cs="仿宋_GB2312"/>
          <w:color w:val="auto"/>
          <w:sz w:val="32"/>
          <w:szCs w:val="32"/>
        </w:rPr>
        <w:t>2024</w:t>
      </w:r>
      <w:r>
        <w:rPr>
          <w:rFonts w:hint="eastAsia" w:ascii="仿宋_GB2312" w:eastAsia="仿宋_GB2312"/>
          <w:color w:val="auto"/>
          <w:sz w:val="32"/>
          <w:szCs w:val="32"/>
        </w:rPr>
        <w:t>年计划改造的</w:t>
      </w:r>
      <w:r>
        <w:rPr>
          <w:rFonts w:hint="eastAsia" w:eastAsia="仿宋_GB2312" w:cs="仿宋_GB2312"/>
          <w:color w:val="auto"/>
          <w:sz w:val="32"/>
          <w:szCs w:val="32"/>
        </w:rPr>
        <w:t>97</w:t>
      </w:r>
      <w:r>
        <w:rPr>
          <w:rFonts w:hint="eastAsia" w:ascii="仿宋_GB2312" w:eastAsia="仿宋_GB2312"/>
          <w:color w:val="auto"/>
          <w:sz w:val="32"/>
          <w:szCs w:val="32"/>
        </w:rPr>
        <w:t>个老旧小区已全部开工，完成既有住宅增设电梯</w:t>
      </w:r>
      <w:r>
        <w:rPr>
          <w:rFonts w:hint="eastAsia" w:eastAsia="仿宋_GB2312" w:cs="仿宋_GB2312"/>
          <w:color w:val="auto"/>
          <w:sz w:val="32"/>
          <w:szCs w:val="32"/>
        </w:rPr>
        <w:t>100</w:t>
      </w:r>
      <w:r>
        <w:rPr>
          <w:rFonts w:hint="eastAsia" w:ascii="仿宋_GB2312" w:eastAsia="仿宋_GB2312"/>
          <w:color w:val="auto"/>
          <w:sz w:val="32"/>
          <w:szCs w:val="32"/>
        </w:rPr>
        <w:t>部，此项工作在全省排名前列。积极盘活利用棚改土地，</w:t>
      </w:r>
      <w:r>
        <w:rPr>
          <w:rFonts w:hint="eastAsia" w:eastAsia="仿宋_GB2312" w:cs="仿宋_GB2312"/>
          <w:color w:val="auto"/>
          <w:sz w:val="32"/>
          <w:szCs w:val="32"/>
        </w:rPr>
        <w:t>7</w:t>
      </w:r>
      <w:r>
        <w:rPr>
          <w:rFonts w:hint="eastAsia" w:ascii="仿宋_GB2312" w:eastAsia="仿宋_GB2312"/>
          <w:color w:val="auto"/>
          <w:sz w:val="32"/>
          <w:szCs w:val="32"/>
        </w:rPr>
        <w:t>宗</w:t>
      </w:r>
      <w:r>
        <w:rPr>
          <w:rFonts w:hint="eastAsia" w:eastAsia="仿宋_GB2312" w:cs="仿宋_GB2312"/>
          <w:color w:val="auto"/>
          <w:sz w:val="32"/>
          <w:szCs w:val="32"/>
        </w:rPr>
        <w:t>70</w:t>
      </w:r>
      <w:r>
        <w:rPr>
          <w:rFonts w:hint="eastAsia" w:ascii="仿宋_GB2312" w:eastAsia="仿宋_GB2312"/>
          <w:color w:val="auto"/>
          <w:sz w:val="32"/>
          <w:szCs w:val="32"/>
        </w:rPr>
        <w:t>亩棚改土地整合周边资源进行出让开发，</w:t>
      </w:r>
      <w:r>
        <w:rPr>
          <w:rFonts w:hint="eastAsia" w:eastAsia="仿宋_GB2312" w:cs="仿宋_GB2312"/>
          <w:color w:val="auto"/>
          <w:sz w:val="32"/>
          <w:szCs w:val="32"/>
        </w:rPr>
        <w:t>5</w:t>
      </w:r>
      <w:r>
        <w:rPr>
          <w:rFonts w:hint="eastAsia" w:ascii="仿宋_GB2312" w:eastAsia="仿宋_GB2312"/>
          <w:color w:val="auto"/>
          <w:sz w:val="32"/>
          <w:szCs w:val="32"/>
        </w:rPr>
        <w:t>宗</w:t>
      </w:r>
      <w:r>
        <w:rPr>
          <w:rFonts w:hint="eastAsia" w:eastAsia="仿宋_GB2312" w:cs="仿宋_GB2312"/>
          <w:color w:val="auto"/>
          <w:sz w:val="32"/>
          <w:szCs w:val="32"/>
        </w:rPr>
        <w:t>20</w:t>
      </w:r>
      <w:r>
        <w:rPr>
          <w:rFonts w:hint="eastAsia" w:ascii="仿宋_GB2312" w:eastAsia="仿宋_GB2312"/>
          <w:color w:val="auto"/>
          <w:sz w:val="32"/>
          <w:szCs w:val="32"/>
        </w:rPr>
        <w:t>亩用于停车场、广场等公服设施建设。加快“复兴炳草岗”步伐，推动望江片区城市更新项目年度完成投资</w:t>
      </w:r>
      <w:r>
        <w:rPr>
          <w:rFonts w:hint="eastAsia" w:eastAsia="仿宋_GB2312" w:cs="仿宋_GB2312"/>
          <w:color w:val="auto"/>
          <w:sz w:val="32"/>
          <w:szCs w:val="32"/>
        </w:rPr>
        <w:t>8000</w:t>
      </w:r>
      <w:r>
        <w:rPr>
          <w:rFonts w:hint="eastAsia" w:ascii="仿宋_GB2312" w:eastAsia="仿宋_GB2312"/>
          <w:color w:val="auto"/>
          <w:sz w:val="32"/>
          <w:szCs w:val="32"/>
        </w:rPr>
        <w:t>万元；攀宾片区更新项目开工建设，西海岸片区城市更新完成方案编制等前期工作。省级城市更新试点通过终期评估，东区桃源街棚改土地再利用、渡口记忆街区三线文化再保护、西区乌龟井片区深化老旧小区改造等有关经验做法在全省进行推广。同时，扎实有序推进历史文化名城申报创建工作，</w:t>
      </w:r>
      <w:r>
        <w:rPr>
          <w:rFonts w:hint="eastAsia" w:eastAsia="仿宋_GB2312" w:cs="仿宋_GB2312"/>
          <w:color w:val="auto"/>
          <w:sz w:val="32"/>
          <w:szCs w:val="32"/>
        </w:rPr>
        <w:t>今年1月</w:t>
      </w:r>
      <w:r>
        <w:rPr>
          <w:rFonts w:hint="eastAsia" w:ascii="仿宋_GB2312" w:eastAsia="仿宋_GB2312"/>
          <w:color w:val="auto"/>
          <w:sz w:val="32"/>
          <w:szCs w:val="32"/>
        </w:rPr>
        <w:t>经省政府批复同意，攀枝花市正式列为四川省历史文化名城。</w:t>
      </w:r>
      <w:r>
        <w:rPr>
          <w:rFonts w:eastAsia="仿宋_GB2312"/>
          <w:b/>
          <w:color w:val="auto"/>
          <w:sz w:val="32"/>
          <w:szCs w:val="32"/>
          <w:lang w:bidi="he-IL"/>
        </w:rPr>
        <w:t>二是在重点项目建设上力见成效。</w:t>
      </w:r>
      <w:r>
        <w:rPr>
          <w:rFonts w:ascii="仿宋_GB2312" w:eastAsia="仿宋_GB2312"/>
          <w:color w:val="auto"/>
          <w:sz w:val="32"/>
          <w:szCs w:val="32"/>
        </w:rPr>
        <w:t>统筹推动全市</w:t>
      </w:r>
      <w:r>
        <w:rPr>
          <w:rFonts w:hint="eastAsia" w:eastAsia="仿宋_GB2312" w:cs="仿宋_GB2312"/>
          <w:color w:val="auto"/>
          <w:sz w:val="32"/>
          <w:szCs w:val="32"/>
        </w:rPr>
        <w:t>城建</w:t>
      </w:r>
      <w:r>
        <w:rPr>
          <w:rFonts w:ascii="仿宋_GB2312" w:eastAsia="仿宋_GB2312"/>
          <w:color w:val="auto"/>
          <w:sz w:val="32"/>
          <w:szCs w:val="32"/>
        </w:rPr>
        <w:t>项目加快建设，</w:t>
      </w:r>
      <w:r>
        <w:rPr>
          <w:rFonts w:hint="eastAsia" w:ascii="仿宋_GB2312" w:eastAsia="仿宋_GB2312"/>
          <w:color w:val="auto"/>
          <w:sz w:val="32"/>
          <w:szCs w:val="32"/>
        </w:rPr>
        <w:t>全年新（续）建项目</w:t>
      </w:r>
      <w:r>
        <w:rPr>
          <w:rFonts w:hint="eastAsia" w:eastAsia="仿宋_GB2312" w:cs="仿宋_GB2312"/>
          <w:color w:val="auto"/>
          <w:sz w:val="32"/>
          <w:szCs w:val="32"/>
        </w:rPr>
        <w:t>80</w:t>
      </w:r>
      <w:r>
        <w:rPr>
          <w:rFonts w:hint="eastAsia" w:ascii="仿宋_GB2312" w:eastAsia="仿宋_GB2312"/>
          <w:color w:val="auto"/>
          <w:sz w:val="32"/>
          <w:szCs w:val="32"/>
        </w:rPr>
        <w:t>个、总投资</w:t>
      </w:r>
      <w:r>
        <w:rPr>
          <w:rFonts w:hint="eastAsia" w:eastAsia="仿宋_GB2312" w:cs="仿宋_GB2312"/>
          <w:color w:val="auto"/>
          <w:sz w:val="32"/>
          <w:szCs w:val="32"/>
        </w:rPr>
        <w:t>132.7</w:t>
      </w:r>
      <w:r>
        <w:rPr>
          <w:rFonts w:hint="eastAsia" w:ascii="仿宋_GB2312" w:eastAsia="仿宋_GB2312"/>
          <w:color w:val="auto"/>
          <w:sz w:val="32"/>
          <w:szCs w:val="32"/>
        </w:rPr>
        <w:t>亿元，累计完成投资</w:t>
      </w:r>
      <w:r>
        <w:rPr>
          <w:rFonts w:hint="eastAsia" w:eastAsia="仿宋_GB2312" w:cs="仿宋_GB2312"/>
          <w:color w:val="auto"/>
          <w:sz w:val="32"/>
          <w:szCs w:val="32"/>
        </w:rPr>
        <w:t>64</w:t>
      </w:r>
      <w:r>
        <w:rPr>
          <w:rFonts w:hint="eastAsia" w:ascii="仿宋_GB2312" w:eastAsia="仿宋_GB2312"/>
          <w:color w:val="auto"/>
          <w:sz w:val="32"/>
          <w:szCs w:val="32"/>
        </w:rPr>
        <w:t>亿元，其中</w:t>
      </w:r>
      <w:r>
        <w:rPr>
          <w:rFonts w:hint="eastAsia" w:eastAsia="仿宋_GB2312" w:cs="仿宋_GB2312"/>
          <w:color w:val="auto"/>
          <w:sz w:val="32"/>
          <w:szCs w:val="32"/>
        </w:rPr>
        <w:t>26</w:t>
      </w:r>
      <w:r>
        <w:rPr>
          <w:rFonts w:hint="eastAsia" w:ascii="仿宋_GB2312" w:eastAsia="仿宋_GB2312"/>
          <w:color w:val="auto"/>
          <w:sz w:val="32"/>
          <w:szCs w:val="32"/>
        </w:rPr>
        <w:t>个项目已于年内建成投用。</w:t>
      </w:r>
      <w:r>
        <w:rPr>
          <w:rFonts w:ascii="仿宋_GB2312" w:eastAsia="仿宋_GB2312"/>
          <w:color w:val="auto"/>
          <w:sz w:val="32"/>
          <w:szCs w:val="32"/>
        </w:rPr>
        <w:t>重点推进“山海湖”</w:t>
      </w:r>
      <w:r>
        <w:rPr>
          <w:rFonts w:hint="eastAsia" w:ascii="仿宋_GB2312" w:eastAsia="仿宋_GB2312"/>
          <w:color w:val="auto"/>
          <w:sz w:val="32"/>
          <w:szCs w:val="32"/>
        </w:rPr>
        <w:t>“纽扣计划”</w:t>
      </w:r>
      <w:r>
        <w:rPr>
          <w:rFonts w:ascii="仿宋_GB2312" w:eastAsia="仿宋_GB2312"/>
          <w:color w:val="auto"/>
          <w:sz w:val="32"/>
          <w:szCs w:val="32"/>
        </w:rPr>
        <w:t>等城市品质提升工程，</w:t>
      </w:r>
      <w:r>
        <w:rPr>
          <w:rFonts w:hint="eastAsia" w:ascii="仿宋_GB2312" w:eastAsia="仿宋_GB2312"/>
          <w:color w:val="auto"/>
          <w:sz w:val="32"/>
          <w:szCs w:val="32"/>
        </w:rPr>
        <w:t>推动东华山山地体育公园开展文创店及甜品店等消费业态打造；阿署达花海开展核心花瓣区、花田区提升改造及配套设施建设，今年底实现首开区建成开园；银江湖滨江生态步道工程一期“银江沙滩”“草坪集市”“十里花街”等节点于国庆节实现对外开放，</w:t>
      </w:r>
      <w:r>
        <w:rPr>
          <w:rFonts w:hint="eastAsia" w:eastAsia="仿宋_GB2312" w:cs="仿宋_GB2312"/>
          <w:color w:val="auto"/>
          <w:sz w:val="32"/>
          <w:szCs w:val="32"/>
        </w:rPr>
        <w:t>2024</w:t>
      </w:r>
      <w:r>
        <w:rPr>
          <w:rFonts w:hint="eastAsia" w:ascii="仿宋_GB2312" w:eastAsia="仿宋_GB2312"/>
          <w:color w:val="auto"/>
          <w:sz w:val="32"/>
          <w:szCs w:val="32"/>
        </w:rPr>
        <w:t>年年底建成投用。持续实施“纽扣计划”，阳光大道南延线、龙滩路、龙滩箐隧道等</w:t>
      </w:r>
      <w:r>
        <w:rPr>
          <w:rFonts w:hint="eastAsia" w:eastAsia="仿宋_GB2312" w:cs="仿宋_GB2312"/>
          <w:color w:val="auto"/>
          <w:sz w:val="32"/>
          <w:szCs w:val="32"/>
        </w:rPr>
        <w:t>10</w:t>
      </w:r>
      <w:r>
        <w:rPr>
          <w:rFonts w:hint="eastAsia" w:ascii="仿宋_GB2312" w:eastAsia="仿宋_GB2312"/>
          <w:color w:val="auto"/>
          <w:sz w:val="32"/>
          <w:szCs w:val="32"/>
        </w:rPr>
        <w:t>余条主次干路实施建设，其中龙滩箐隧道进行暗洞掘进施工、龙滩路计划今年底路基贯通、阳光大道南延线实现隧道工程贯通。积极开展攀枝花大桥、渡口路等项目前期工作，逐步畅通各组团间交通联系。</w:t>
      </w:r>
      <w:r>
        <w:rPr>
          <w:rFonts w:eastAsia="仿宋_GB2312"/>
          <w:b/>
          <w:color w:val="auto"/>
          <w:sz w:val="32"/>
          <w:szCs w:val="32"/>
          <w:lang w:bidi="he-IL"/>
        </w:rPr>
        <w:t>三是在市政设施完善上补短攻坚。</w:t>
      </w:r>
      <w:r>
        <w:rPr>
          <w:rFonts w:hint="eastAsia" w:ascii="仿宋_GB2312" w:eastAsia="仿宋_GB2312"/>
          <w:color w:val="auto"/>
          <w:sz w:val="32"/>
          <w:szCs w:val="32"/>
        </w:rPr>
        <w:t>实施</w:t>
      </w:r>
      <w:r>
        <w:rPr>
          <w:rFonts w:ascii="仿宋_GB2312" w:eastAsia="仿宋_GB2312"/>
          <w:color w:val="auto"/>
          <w:sz w:val="32"/>
          <w:szCs w:val="32"/>
        </w:rPr>
        <w:t>攀枝花市城市排水防涝设施功能提升改造项目和东区城镇排洪防涝基础设施建设项目</w:t>
      </w:r>
      <w:r>
        <w:rPr>
          <w:rFonts w:hint="eastAsia" w:ascii="仿宋_GB2312" w:eastAsia="仿宋_GB2312"/>
          <w:color w:val="auto"/>
          <w:sz w:val="32"/>
          <w:szCs w:val="32"/>
        </w:rPr>
        <w:t>，项目</w:t>
      </w:r>
      <w:r>
        <w:rPr>
          <w:rFonts w:ascii="仿宋_GB2312" w:eastAsia="仿宋_GB2312"/>
          <w:color w:val="auto"/>
          <w:sz w:val="32"/>
          <w:szCs w:val="32"/>
        </w:rPr>
        <w:t>于</w:t>
      </w:r>
      <w:r>
        <w:rPr>
          <w:rFonts w:hint="eastAsia" w:eastAsia="仿宋_GB2312" w:cs="仿宋_GB2312"/>
          <w:color w:val="auto"/>
          <w:sz w:val="32"/>
          <w:szCs w:val="32"/>
        </w:rPr>
        <w:t>2024</w:t>
      </w:r>
      <w:r>
        <w:rPr>
          <w:rFonts w:hint="eastAsia" w:ascii="仿宋_GB2312" w:eastAsia="仿宋_GB2312"/>
          <w:color w:val="auto"/>
          <w:sz w:val="32"/>
          <w:szCs w:val="32"/>
        </w:rPr>
        <w:t>年</w:t>
      </w:r>
      <w:r>
        <w:rPr>
          <w:rFonts w:hint="eastAsia" w:eastAsia="仿宋_GB2312" w:cs="仿宋_GB2312"/>
          <w:color w:val="auto"/>
          <w:sz w:val="32"/>
          <w:szCs w:val="32"/>
        </w:rPr>
        <w:t>4</w:t>
      </w:r>
      <w:r>
        <w:rPr>
          <w:rFonts w:ascii="仿宋_GB2312" w:eastAsia="仿宋_GB2312"/>
          <w:color w:val="auto"/>
          <w:sz w:val="32"/>
          <w:szCs w:val="32"/>
        </w:rPr>
        <w:t>月开工建设，</w:t>
      </w:r>
      <w:r>
        <w:rPr>
          <w:rFonts w:hint="eastAsia" w:ascii="仿宋_GB2312" w:eastAsia="仿宋_GB2312"/>
          <w:color w:val="auto"/>
          <w:sz w:val="32"/>
          <w:szCs w:val="32"/>
        </w:rPr>
        <w:t>现均已完工</w:t>
      </w:r>
      <w:r>
        <w:rPr>
          <w:rFonts w:ascii="仿宋_GB2312" w:eastAsia="仿宋_GB2312"/>
          <w:color w:val="auto"/>
          <w:sz w:val="32"/>
          <w:szCs w:val="32"/>
        </w:rPr>
        <w:t>。持续推进城市供排水管网建设，新改建生活污水管网</w:t>
      </w:r>
      <w:r>
        <w:rPr>
          <w:rFonts w:hint="eastAsia" w:eastAsia="仿宋_GB2312" w:cs="仿宋_GB2312"/>
          <w:color w:val="auto"/>
          <w:sz w:val="32"/>
          <w:szCs w:val="32"/>
        </w:rPr>
        <w:t>92.11</w:t>
      </w:r>
      <w:r>
        <w:rPr>
          <w:rFonts w:ascii="仿宋_GB2312" w:eastAsia="仿宋_GB2312"/>
          <w:color w:val="auto"/>
          <w:sz w:val="32"/>
          <w:szCs w:val="32"/>
        </w:rPr>
        <w:t>公里，新改建供水管网</w:t>
      </w:r>
      <w:r>
        <w:rPr>
          <w:rFonts w:hint="eastAsia" w:eastAsia="仿宋_GB2312" w:cs="仿宋_GB2312"/>
          <w:color w:val="auto"/>
          <w:sz w:val="32"/>
          <w:szCs w:val="32"/>
        </w:rPr>
        <w:t>20</w:t>
      </w:r>
      <w:r>
        <w:rPr>
          <w:rFonts w:ascii="仿宋_GB2312" w:eastAsia="仿宋_GB2312"/>
          <w:color w:val="auto"/>
          <w:sz w:val="32"/>
          <w:szCs w:val="32"/>
        </w:rPr>
        <w:t>公里</w:t>
      </w:r>
      <w:r>
        <w:rPr>
          <w:rFonts w:hint="eastAsia" w:ascii="仿宋_GB2312" w:eastAsia="仿宋_GB2312"/>
          <w:color w:val="auto"/>
          <w:sz w:val="32"/>
          <w:szCs w:val="32"/>
        </w:rPr>
        <w:t>，城市生活污水集中收集率</w:t>
      </w:r>
      <w:r>
        <w:rPr>
          <w:rFonts w:hint="eastAsia" w:eastAsia="仿宋_GB2312" w:cs="仿宋_GB2312"/>
          <w:color w:val="auto"/>
          <w:sz w:val="32"/>
          <w:szCs w:val="32"/>
        </w:rPr>
        <w:t>从2023</w:t>
      </w:r>
      <w:r>
        <w:rPr>
          <w:rFonts w:hint="eastAsia" w:ascii="仿宋_GB2312" w:eastAsia="仿宋_GB2312"/>
          <w:color w:val="auto"/>
          <w:sz w:val="32"/>
          <w:szCs w:val="32"/>
        </w:rPr>
        <w:t>年的</w:t>
      </w:r>
      <w:r>
        <w:rPr>
          <w:rFonts w:hint="eastAsia" w:eastAsia="仿宋_GB2312" w:cs="仿宋_GB2312"/>
          <w:color w:val="auto"/>
          <w:sz w:val="32"/>
          <w:szCs w:val="32"/>
        </w:rPr>
        <w:t>67.92%</w:t>
      </w:r>
      <w:r>
        <w:rPr>
          <w:rFonts w:hint="eastAsia" w:ascii="仿宋_GB2312" w:eastAsia="仿宋_GB2312"/>
          <w:color w:val="auto"/>
          <w:sz w:val="32"/>
          <w:szCs w:val="32"/>
        </w:rPr>
        <w:t>提升至</w:t>
      </w:r>
      <w:r>
        <w:rPr>
          <w:rFonts w:hint="eastAsia" w:eastAsia="仿宋_GB2312" w:cs="仿宋_GB2312"/>
          <w:color w:val="auto"/>
          <w:sz w:val="32"/>
          <w:szCs w:val="32"/>
        </w:rPr>
        <w:t>70.95%。</w:t>
      </w:r>
      <w:r>
        <w:rPr>
          <w:rFonts w:hint="eastAsia" w:ascii="仿宋_GB2312" w:eastAsia="仿宋_GB2312"/>
          <w:color w:val="auto"/>
          <w:sz w:val="32"/>
          <w:szCs w:val="32"/>
        </w:rPr>
        <w:t>推进城市道路及人行道维修整治，完成苏铁中路、格萨拉大道、攀枝花大道南段等路段维修整治，整治道路约</w:t>
      </w:r>
      <w:r>
        <w:rPr>
          <w:rFonts w:hint="eastAsia" w:eastAsia="仿宋_GB2312" w:cs="仿宋_GB2312"/>
          <w:color w:val="auto"/>
          <w:sz w:val="32"/>
          <w:szCs w:val="32"/>
        </w:rPr>
        <w:t>14.3</w:t>
      </w:r>
      <w:r>
        <w:rPr>
          <w:rFonts w:hint="eastAsia" w:ascii="仿宋_GB2312" w:eastAsia="仿宋_GB2312"/>
          <w:color w:val="auto"/>
          <w:sz w:val="32"/>
          <w:szCs w:val="32"/>
        </w:rPr>
        <w:t>公里，人行道</w:t>
      </w:r>
      <w:r>
        <w:rPr>
          <w:rFonts w:hint="eastAsia" w:eastAsia="仿宋_GB2312" w:cs="仿宋_GB2312"/>
          <w:color w:val="auto"/>
          <w:sz w:val="32"/>
          <w:szCs w:val="32"/>
        </w:rPr>
        <w:t>34.7</w:t>
      </w:r>
      <w:r>
        <w:rPr>
          <w:rFonts w:hint="eastAsia" w:ascii="仿宋_GB2312" w:eastAsia="仿宋_GB2312"/>
          <w:color w:val="auto"/>
          <w:sz w:val="32"/>
          <w:szCs w:val="32"/>
        </w:rPr>
        <w:t>万平方米。</w:t>
      </w:r>
      <w:r>
        <w:rPr>
          <w:rFonts w:ascii="仿宋_GB2312" w:eastAsia="仿宋_GB2312"/>
          <w:color w:val="auto"/>
          <w:sz w:val="32"/>
          <w:szCs w:val="32"/>
        </w:rPr>
        <w:t>深入开展路灯整治专项行动，确保城市道路路灯应装尽装，应亮尽亮</w:t>
      </w:r>
      <w:r>
        <w:rPr>
          <w:rFonts w:hint="eastAsia" w:ascii="仿宋_GB2312" w:eastAsia="仿宋_GB2312"/>
          <w:color w:val="auto"/>
          <w:sz w:val="32"/>
          <w:szCs w:val="32"/>
        </w:rPr>
        <w:t>，累计维修</w:t>
      </w:r>
      <w:r>
        <w:rPr>
          <w:rFonts w:hint="eastAsia" w:eastAsia="仿宋_GB2312" w:cs="仿宋_GB2312"/>
          <w:color w:val="auto"/>
          <w:sz w:val="32"/>
          <w:szCs w:val="32"/>
        </w:rPr>
        <w:t>7992</w:t>
      </w:r>
      <w:r>
        <w:rPr>
          <w:rFonts w:hint="eastAsia" w:ascii="仿宋_GB2312" w:eastAsia="仿宋_GB2312"/>
          <w:color w:val="auto"/>
          <w:sz w:val="32"/>
          <w:szCs w:val="32"/>
        </w:rPr>
        <w:t>盏</w:t>
      </w:r>
      <w:r>
        <w:rPr>
          <w:rFonts w:ascii="仿宋_GB2312" w:eastAsia="仿宋_GB2312"/>
          <w:color w:val="auto"/>
          <w:sz w:val="32"/>
          <w:szCs w:val="32"/>
        </w:rPr>
        <w:t>；统筹做好窨井盖安全管理，推进防坠落网安装，</w:t>
      </w:r>
      <w:r>
        <w:rPr>
          <w:rFonts w:hint="eastAsia" w:ascii="仿宋_GB2312" w:eastAsia="仿宋_GB2312"/>
          <w:color w:val="auto"/>
          <w:sz w:val="32"/>
          <w:szCs w:val="32"/>
        </w:rPr>
        <w:t>累计</w:t>
      </w:r>
      <w:r>
        <w:rPr>
          <w:rFonts w:ascii="仿宋_GB2312" w:eastAsia="仿宋_GB2312"/>
          <w:color w:val="auto"/>
          <w:sz w:val="32"/>
          <w:szCs w:val="32"/>
        </w:rPr>
        <w:t>完成</w:t>
      </w:r>
      <w:r>
        <w:rPr>
          <w:rFonts w:hint="eastAsia" w:eastAsia="仿宋_GB2312" w:cs="仿宋_GB2312"/>
          <w:color w:val="auto"/>
          <w:sz w:val="32"/>
          <w:szCs w:val="32"/>
        </w:rPr>
        <w:t>14730</w:t>
      </w:r>
      <w:r>
        <w:rPr>
          <w:rFonts w:ascii="仿宋_GB2312" w:eastAsia="仿宋_GB2312"/>
          <w:color w:val="auto"/>
          <w:sz w:val="32"/>
          <w:szCs w:val="32"/>
        </w:rPr>
        <w:t>张防坠网安全更换，有效保障人民群众“脚下安全”。</w:t>
      </w:r>
    </w:p>
    <w:p>
      <w:pPr>
        <w:keepNext w:val="0"/>
        <w:keepLines w:val="0"/>
        <w:pageBreakBefore w:val="0"/>
        <w:kinsoku/>
        <w:wordWrap/>
        <w:overflowPunct/>
        <w:topLinePunct w:val="0"/>
        <w:bidi w:val="0"/>
        <w:adjustRightInd w:val="0"/>
        <w:snapToGrid w:val="0"/>
        <w:spacing w:line="578" w:lineRule="exact"/>
        <w:ind w:firstLine="640" w:firstLineChars="200"/>
        <w:jc w:val="both"/>
        <w:textAlignment w:val="auto"/>
        <w:rPr>
          <w:rFonts w:hint="eastAsia" w:eastAsia="仿宋_GB2312"/>
          <w:bCs/>
          <w:color w:val="auto"/>
          <w:sz w:val="32"/>
          <w:szCs w:val="32"/>
          <w:lang w:bidi="he-IL"/>
        </w:rPr>
      </w:pPr>
      <w:r>
        <w:rPr>
          <w:rFonts w:hint="eastAsia" w:ascii="仿宋_GB2312" w:eastAsia="仿宋_GB2312"/>
          <w:bCs/>
          <w:color w:val="auto"/>
          <w:sz w:val="32"/>
          <w:szCs w:val="32"/>
        </w:rPr>
        <w:t>（2）奋力推动行业健康发展</w:t>
      </w:r>
      <w:r>
        <w:rPr>
          <w:rFonts w:hint="eastAsia" w:eastAsia="楷体"/>
          <w:b w:val="0"/>
          <w:bCs w:val="0"/>
          <w:color w:val="auto"/>
          <w:sz w:val="32"/>
          <w:szCs w:val="32"/>
        </w:rPr>
        <w:t>。</w:t>
      </w:r>
      <w:r>
        <w:rPr>
          <w:rFonts w:hint="eastAsia" w:ascii="仿宋_GB2312" w:eastAsia="仿宋_GB2312"/>
          <w:color w:val="auto"/>
          <w:sz w:val="32"/>
          <w:szCs w:val="32"/>
        </w:rPr>
        <w:t>始终坚持稳中求进工作总基调，充分发挥政策激励作用，促进房地产和建筑业健康发展。</w:t>
      </w:r>
      <w:r>
        <w:rPr>
          <w:rFonts w:eastAsia="仿宋_GB2312"/>
          <w:b/>
          <w:color w:val="auto"/>
          <w:sz w:val="32"/>
          <w:szCs w:val="32"/>
          <w:lang w:bidi="he-IL"/>
        </w:rPr>
        <w:t>建筑业发展方面，</w:t>
      </w:r>
      <w:r>
        <w:rPr>
          <w:rFonts w:ascii="仿宋_GB2312" w:eastAsia="仿宋_GB2312"/>
          <w:color w:val="auto"/>
          <w:sz w:val="32"/>
          <w:szCs w:val="32"/>
        </w:rPr>
        <w:t>印发《攀枝花市支持建筑业企业发展若干措施》，</w:t>
      </w:r>
      <w:r>
        <w:rPr>
          <w:rFonts w:hint="eastAsia" w:ascii="仿宋_GB2312" w:eastAsia="仿宋_GB2312"/>
          <w:color w:val="auto"/>
          <w:sz w:val="32"/>
          <w:szCs w:val="32"/>
        </w:rPr>
        <w:t>全年培育</w:t>
      </w:r>
      <w:r>
        <w:rPr>
          <w:rFonts w:hint="eastAsia" w:eastAsia="仿宋_GB2312" w:cs="仿宋_GB2312"/>
          <w:color w:val="auto"/>
          <w:sz w:val="32"/>
          <w:szCs w:val="32"/>
        </w:rPr>
        <w:t>3</w:t>
      </w:r>
      <w:r>
        <w:rPr>
          <w:rFonts w:hint="eastAsia" w:ascii="仿宋_GB2312" w:eastAsia="仿宋_GB2312"/>
          <w:color w:val="auto"/>
          <w:sz w:val="32"/>
          <w:szCs w:val="32"/>
        </w:rPr>
        <w:t>家企业晋升施工总承包一级资质，实现近</w:t>
      </w:r>
      <w:r>
        <w:rPr>
          <w:rFonts w:hint="eastAsia" w:eastAsia="仿宋_GB2312" w:cs="仿宋_GB2312"/>
          <w:color w:val="auto"/>
          <w:sz w:val="32"/>
          <w:szCs w:val="32"/>
        </w:rPr>
        <w:t>10</w:t>
      </w:r>
      <w:r>
        <w:rPr>
          <w:rFonts w:hint="eastAsia" w:ascii="仿宋_GB2312" w:eastAsia="仿宋_GB2312"/>
          <w:color w:val="auto"/>
          <w:sz w:val="32"/>
          <w:szCs w:val="32"/>
        </w:rPr>
        <w:t>年来零的突破；</w:t>
      </w:r>
      <w:r>
        <w:rPr>
          <w:rFonts w:hint="eastAsia" w:eastAsia="仿宋_GB2312" w:cs="仿宋_GB2312"/>
          <w:color w:val="auto"/>
          <w:sz w:val="32"/>
          <w:szCs w:val="32"/>
        </w:rPr>
        <w:t>190</w:t>
      </w:r>
      <w:r>
        <w:rPr>
          <w:rFonts w:hint="eastAsia" w:ascii="仿宋_GB2312" w:eastAsia="仿宋_GB2312"/>
          <w:color w:val="auto"/>
          <w:sz w:val="32"/>
          <w:szCs w:val="32"/>
        </w:rPr>
        <w:t>家企业晋升二级资质</w:t>
      </w:r>
      <w:r>
        <w:rPr>
          <w:rFonts w:hint="eastAsia" w:eastAsia="仿宋_GB2312" w:cs="仿宋_GB2312"/>
          <w:color w:val="auto"/>
          <w:sz w:val="32"/>
          <w:szCs w:val="32"/>
        </w:rPr>
        <w:t>，7</w:t>
      </w:r>
      <w:r>
        <w:rPr>
          <w:rFonts w:hint="eastAsia" w:ascii="仿宋_GB2312" w:eastAsia="仿宋_GB2312"/>
          <w:color w:val="auto"/>
          <w:sz w:val="32"/>
          <w:szCs w:val="32"/>
        </w:rPr>
        <w:t>家企业获评四川省建筑业骨干企业，4家企业获评四川对外开拓先进建筑业企业。</w:t>
      </w:r>
      <w:r>
        <w:rPr>
          <w:rFonts w:ascii="仿宋_GB2312" w:eastAsia="仿宋_GB2312"/>
          <w:color w:val="auto"/>
          <w:sz w:val="32"/>
          <w:szCs w:val="32"/>
        </w:rPr>
        <w:t>建立重点建筑业“企业”和“项目”两本</w:t>
      </w:r>
      <w:r>
        <w:rPr>
          <w:rFonts w:eastAsia="仿宋_GB2312"/>
          <w:bCs/>
          <w:color w:val="auto"/>
          <w:sz w:val="32"/>
          <w:szCs w:val="32"/>
          <w:lang w:bidi="he-IL"/>
        </w:rPr>
        <w:t>台</w:t>
      </w:r>
      <w:r>
        <w:rPr>
          <w:rFonts w:ascii="仿宋_GB2312" w:eastAsia="仿宋_GB2312"/>
          <w:color w:val="auto"/>
          <w:sz w:val="32"/>
          <w:szCs w:val="32"/>
        </w:rPr>
        <w:t>账，定期开展调度，促进产值应统尽统。</w:t>
      </w:r>
      <w:r>
        <w:rPr>
          <w:rFonts w:hint="eastAsia" w:eastAsia="仿宋_GB2312" w:cs="仿宋_GB2312"/>
          <w:color w:val="auto"/>
          <w:sz w:val="32"/>
          <w:szCs w:val="32"/>
        </w:rPr>
        <w:t>2024</w:t>
      </w:r>
      <w:r>
        <w:rPr>
          <w:rFonts w:hint="eastAsia" w:ascii="仿宋_GB2312" w:eastAsia="仿宋_GB2312"/>
          <w:color w:val="auto"/>
          <w:sz w:val="32"/>
          <w:szCs w:val="32"/>
        </w:rPr>
        <w:t>年全市完成建筑业总产值</w:t>
      </w:r>
      <w:r>
        <w:rPr>
          <w:rFonts w:hint="eastAsia" w:eastAsia="仿宋_GB2312" w:cs="仿宋_GB2312"/>
          <w:color w:val="auto"/>
          <w:sz w:val="32"/>
          <w:szCs w:val="32"/>
        </w:rPr>
        <w:t>369.93</w:t>
      </w:r>
      <w:r>
        <w:rPr>
          <w:rFonts w:hint="eastAsia" w:ascii="仿宋_GB2312" w:eastAsia="仿宋_GB2312"/>
          <w:color w:val="auto"/>
          <w:sz w:val="32"/>
          <w:szCs w:val="32"/>
        </w:rPr>
        <w:t>亿元</w:t>
      </w:r>
      <w:r>
        <w:rPr>
          <w:rFonts w:hint="eastAsia" w:eastAsia="仿宋_GB2312"/>
          <w:bCs/>
          <w:color w:val="auto"/>
          <w:sz w:val="32"/>
          <w:szCs w:val="32"/>
          <w:lang w:bidi="he-IL"/>
        </w:rPr>
        <w:t>、增速</w:t>
      </w:r>
      <w:r>
        <w:rPr>
          <w:rFonts w:hint="eastAsia" w:eastAsia="仿宋_GB2312" w:cs="仿宋_GB2312"/>
          <w:color w:val="auto"/>
          <w:sz w:val="32"/>
          <w:szCs w:val="32"/>
        </w:rPr>
        <w:t>7.5%</w:t>
      </w:r>
      <w:r>
        <w:rPr>
          <w:rFonts w:hint="eastAsia" w:eastAsia="仿宋_GB2312"/>
          <w:bCs/>
          <w:color w:val="auto"/>
          <w:sz w:val="32"/>
          <w:szCs w:val="32"/>
          <w:lang w:bidi="he-IL"/>
        </w:rPr>
        <w:t>，完成建筑业增加值</w:t>
      </w:r>
      <w:r>
        <w:rPr>
          <w:rFonts w:hint="eastAsia" w:eastAsia="仿宋_GB2312" w:cs="仿宋_GB2312"/>
          <w:color w:val="auto"/>
          <w:sz w:val="32"/>
          <w:szCs w:val="32"/>
        </w:rPr>
        <w:t>89.72</w:t>
      </w:r>
      <w:r>
        <w:rPr>
          <w:rFonts w:hint="eastAsia" w:ascii="仿宋_GB2312" w:eastAsia="仿宋_GB2312"/>
          <w:color w:val="auto"/>
          <w:sz w:val="32"/>
          <w:szCs w:val="32"/>
        </w:rPr>
        <w:t>亿</w:t>
      </w:r>
      <w:r>
        <w:rPr>
          <w:rFonts w:hint="eastAsia" w:eastAsia="仿宋_GB2312"/>
          <w:bCs/>
          <w:color w:val="auto"/>
          <w:sz w:val="32"/>
          <w:szCs w:val="32"/>
          <w:lang w:bidi="he-IL"/>
        </w:rPr>
        <w:t>元，增速</w:t>
      </w:r>
      <w:r>
        <w:rPr>
          <w:rFonts w:hint="eastAsia" w:eastAsia="仿宋_GB2312" w:cs="仿宋_GB2312"/>
          <w:color w:val="auto"/>
          <w:sz w:val="32"/>
          <w:szCs w:val="32"/>
        </w:rPr>
        <w:t>5.5%</w:t>
      </w:r>
      <w:r>
        <w:rPr>
          <w:rFonts w:hint="eastAsia" w:eastAsia="仿宋_GB2312"/>
          <w:bCs/>
          <w:color w:val="auto"/>
          <w:sz w:val="32"/>
          <w:szCs w:val="32"/>
          <w:lang w:bidi="he-IL"/>
        </w:rPr>
        <w:t>。同时，推动建筑业绿色转型发展，深入开展绿色建筑创建行动，2024年城镇竣工民用建筑中绿色建筑占比达98.5%；有序实施既有建筑节能改造，望江片区既有建筑节能改造项目通过绿色化改造实现建筑运行期“净零碳排放”，获得中国建筑节能协会颁发“近零碳建筑”认证标识；建成国家大宗固体废弃物综合利用示范基地</w:t>
      </w:r>
      <w:r>
        <w:rPr>
          <w:rFonts w:hint="eastAsia" w:eastAsia="仿宋_GB2312" w:cs="仿宋_GB2312"/>
          <w:color w:val="auto"/>
          <w:sz w:val="32"/>
          <w:szCs w:val="32"/>
        </w:rPr>
        <w:t>2</w:t>
      </w:r>
      <w:r>
        <w:rPr>
          <w:rFonts w:hint="eastAsia" w:eastAsia="仿宋_GB2312"/>
          <w:bCs/>
          <w:color w:val="auto"/>
          <w:sz w:val="32"/>
          <w:szCs w:val="32"/>
          <w:lang w:bidi="he-IL"/>
        </w:rPr>
        <w:t>个，全市年综合利用工业固废约</w:t>
      </w:r>
      <w:r>
        <w:rPr>
          <w:rFonts w:hint="eastAsia" w:eastAsia="仿宋_GB2312" w:cs="仿宋_GB2312"/>
          <w:color w:val="auto"/>
          <w:sz w:val="32"/>
          <w:szCs w:val="32"/>
        </w:rPr>
        <w:t>600</w:t>
      </w:r>
      <w:r>
        <w:rPr>
          <w:rFonts w:hint="eastAsia" w:eastAsia="仿宋_GB2312"/>
          <w:bCs/>
          <w:color w:val="auto"/>
          <w:sz w:val="32"/>
          <w:szCs w:val="32"/>
          <w:lang w:bidi="he-IL"/>
        </w:rPr>
        <w:t>万吨作为原材料生产绿色建材；城市艺术中心、天星湖文旅综合项目纳入四川省智能建造试点项目；</w:t>
      </w:r>
      <w:r>
        <w:rPr>
          <w:rFonts w:eastAsia="仿宋_GB2312"/>
          <w:b/>
          <w:color w:val="auto"/>
          <w:sz w:val="32"/>
          <w:szCs w:val="32"/>
          <w:lang w:bidi="he-IL"/>
        </w:rPr>
        <w:t>房地产发展方面，</w:t>
      </w:r>
      <w:r>
        <w:rPr>
          <w:rFonts w:eastAsia="仿宋_GB2312"/>
          <w:bCs/>
          <w:color w:val="auto"/>
          <w:sz w:val="32"/>
          <w:szCs w:val="32"/>
          <w:lang w:bidi="he-IL"/>
        </w:rPr>
        <w:t>建立全市房地产融资协调机制，</w:t>
      </w:r>
      <w:r>
        <w:rPr>
          <w:rFonts w:hint="eastAsia" w:eastAsia="仿宋_GB2312"/>
          <w:bCs/>
          <w:color w:val="auto"/>
          <w:sz w:val="32"/>
          <w:szCs w:val="32"/>
          <w:lang w:val="en" w:bidi="he-IL"/>
        </w:rPr>
        <w:t>向金融机构梳理推送</w:t>
      </w:r>
      <w:r>
        <w:rPr>
          <w:rFonts w:hint="eastAsia" w:eastAsia="仿宋_GB2312" w:cs="仿宋_GB2312"/>
          <w:color w:val="auto"/>
          <w:sz w:val="32"/>
          <w:szCs w:val="32"/>
        </w:rPr>
        <w:t>14</w:t>
      </w:r>
      <w:r>
        <w:rPr>
          <w:rFonts w:hint="eastAsia" w:eastAsia="仿宋_GB2312"/>
          <w:bCs/>
          <w:color w:val="auto"/>
          <w:sz w:val="32"/>
          <w:szCs w:val="32"/>
          <w:lang w:bidi="he-IL"/>
        </w:rPr>
        <w:t>个</w:t>
      </w:r>
      <w:r>
        <w:rPr>
          <w:rFonts w:hint="eastAsia" w:eastAsia="仿宋_GB2312"/>
          <w:bCs/>
          <w:color w:val="auto"/>
          <w:sz w:val="32"/>
          <w:szCs w:val="32"/>
          <w:lang w:val="en" w:bidi="he-IL"/>
        </w:rPr>
        <w:t>房地产项目进入“白名单”，累计</w:t>
      </w:r>
      <w:r>
        <w:rPr>
          <w:rFonts w:hint="eastAsia" w:eastAsia="仿宋_GB2312"/>
          <w:bCs/>
          <w:color w:val="auto"/>
          <w:sz w:val="32"/>
          <w:szCs w:val="32"/>
          <w:lang w:bidi="he-IL"/>
        </w:rPr>
        <w:t>获得11.65亿元融资授信，发放金融贷款6.53亿元（含展期）。成立保交房工作领导小组，出台“1+3+20”一揽子政策方案，全市25个项目、5560套房屋纳入保交房任务，现已交付房屋5253套、交付率94.5%，确保完成年底交付房屋80%的底线目标。出台支持房地产平稳健康发展</w:t>
      </w:r>
      <w:r>
        <w:rPr>
          <w:rFonts w:hint="eastAsia" w:eastAsia="仿宋_GB2312" w:cs="仿宋_GB2312"/>
          <w:color w:val="auto"/>
          <w:sz w:val="32"/>
          <w:szCs w:val="32"/>
        </w:rPr>
        <w:t>9</w:t>
      </w:r>
      <w:r>
        <w:rPr>
          <w:rFonts w:hint="eastAsia" w:eastAsia="仿宋_GB2312"/>
          <w:bCs/>
          <w:color w:val="auto"/>
          <w:sz w:val="32"/>
          <w:szCs w:val="32"/>
          <w:lang w:bidi="he-IL"/>
        </w:rPr>
        <w:t>条措施，积极开展住房“以旧换新”和房地产营销活动，推动房地产市场加速回暖。完成印发</w:t>
      </w:r>
      <w:r>
        <w:rPr>
          <w:rFonts w:eastAsia="仿宋_GB2312"/>
          <w:bCs/>
          <w:color w:val="auto"/>
          <w:sz w:val="32"/>
          <w:szCs w:val="32"/>
          <w:lang w:bidi="he-IL"/>
        </w:rPr>
        <w:t>《攀枝花市物业管理办法》。持续规范整治房地产市场秩序，强化预售资金监管，已为</w:t>
      </w:r>
      <w:r>
        <w:rPr>
          <w:rFonts w:hint="eastAsia" w:eastAsia="仿宋_GB2312"/>
          <w:bCs/>
          <w:color w:val="auto"/>
          <w:sz w:val="32"/>
          <w:szCs w:val="32"/>
          <w:lang w:bidi="he-IL"/>
        </w:rPr>
        <w:t>48</w:t>
      </w:r>
      <w:r>
        <w:rPr>
          <w:rFonts w:eastAsia="仿宋_GB2312"/>
          <w:bCs/>
          <w:color w:val="auto"/>
          <w:sz w:val="32"/>
          <w:szCs w:val="32"/>
          <w:lang w:bidi="he-IL"/>
        </w:rPr>
        <w:t>个房地产项目拨付预售资金</w:t>
      </w:r>
      <w:r>
        <w:rPr>
          <w:rFonts w:hint="eastAsia" w:eastAsia="仿宋_GB2312"/>
          <w:bCs/>
          <w:color w:val="auto"/>
          <w:sz w:val="32"/>
          <w:szCs w:val="32"/>
          <w:lang w:bidi="he-IL"/>
        </w:rPr>
        <w:t>2674</w:t>
      </w:r>
      <w:r>
        <w:rPr>
          <w:rFonts w:eastAsia="仿宋_GB2312"/>
          <w:bCs/>
          <w:color w:val="auto"/>
          <w:sz w:val="32"/>
          <w:szCs w:val="32"/>
          <w:lang w:bidi="he-IL"/>
        </w:rPr>
        <w:t>笔，共计</w:t>
      </w:r>
      <w:r>
        <w:rPr>
          <w:rFonts w:hint="eastAsia" w:eastAsia="仿宋_GB2312"/>
          <w:bCs/>
          <w:color w:val="auto"/>
          <w:sz w:val="32"/>
          <w:szCs w:val="32"/>
          <w:lang w:bidi="he-IL"/>
        </w:rPr>
        <w:t>26.88</w:t>
      </w:r>
      <w:r>
        <w:rPr>
          <w:rFonts w:eastAsia="仿宋_GB2312"/>
          <w:bCs/>
          <w:color w:val="auto"/>
          <w:sz w:val="32"/>
          <w:szCs w:val="32"/>
          <w:lang w:bidi="he-IL"/>
        </w:rPr>
        <w:t>亿元。</w:t>
      </w:r>
      <w:r>
        <w:rPr>
          <w:rFonts w:hint="eastAsia" w:eastAsia="仿宋_GB2312"/>
          <w:bCs/>
          <w:color w:val="auto"/>
          <w:sz w:val="32"/>
          <w:szCs w:val="32"/>
          <w:lang w:bidi="he-IL"/>
        </w:rPr>
        <w:t>1-12月</w:t>
      </w:r>
      <w:r>
        <w:rPr>
          <w:rFonts w:eastAsia="仿宋_GB2312"/>
          <w:bCs/>
          <w:color w:val="auto"/>
          <w:sz w:val="32"/>
          <w:szCs w:val="32"/>
          <w:lang w:bidi="he-IL"/>
        </w:rPr>
        <w:t>，全市房地产开发投资</w:t>
      </w:r>
      <w:r>
        <w:rPr>
          <w:rFonts w:hint="eastAsia" w:eastAsia="仿宋_GB2312"/>
          <w:bCs/>
          <w:color w:val="auto"/>
          <w:sz w:val="32"/>
          <w:szCs w:val="32"/>
          <w:lang w:bidi="he-IL"/>
        </w:rPr>
        <w:t>57.15</w:t>
      </w:r>
      <w:r>
        <w:rPr>
          <w:rFonts w:eastAsia="仿宋_GB2312"/>
          <w:bCs/>
          <w:color w:val="auto"/>
          <w:sz w:val="32"/>
          <w:szCs w:val="32"/>
          <w:lang w:bidi="he-IL"/>
        </w:rPr>
        <w:t>亿元，同比下降</w:t>
      </w:r>
      <w:r>
        <w:rPr>
          <w:rFonts w:hint="eastAsia" w:eastAsia="仿宋_GB2312"/>
          <w:bCs/>
          <w:color w:val="auto"/>
          <w:sz w:val="32"/>
          <w:szCs w:val="32"/>
          <w:lang w:bidi="he-IL"/>
        </w:rPr>
        <w:t>30.7%</w:t>
      </w:r>
      <w:r>
        <w:rPr>
          <w:rFonts w:eastAsia="仿宋_GB2312"/>
          <w:bCs/>
          <w:color w:val="auto"/>
          <w:sz w:val="32"/>
          <w:szCs w:val="32"/>
          <w:lang w:bidi="he-IL"/>
        </w:rPr>
        <w:t>；全市商品房销售面积</w:t>
      </w:r>
      <w:r>
        <w:rPr>
          <w:rFonts w:hint="eastAsia" w:eastAsia="仿宋_GB2312"/>
          <w:bCs/>
          <w:color w:val="auto"/>
          <w:sz w:val="32"/>
          <w:szCs w:val="32"/>
          <w:lang w:bidi="he-IL"/>
        </w:rPr>
        <w:t>82.86</w:t>
      </w:r>
      <w:r>
        <w:rPr>
          <w:rFonts w:eastAsia="仿宋_GB2312"/>
          <w:bCs/>
          <w:color w:val="auto"/>
          <w:sz w:val="32"/>
          <w:szCs w:val="32"/>
          <w:lang w:bidi="he-IL"/>
        </w:rPr>
        <w:t>万平方米，同比下降</w:t>
      </w:r>
      <w:r>
        <w:rPr>
          <w:rFonts w:hint="eastAsia" w:eastAsia="仿宋_GB2312"/>
          <w:bCs/>
          <w:color w:val="auto"/>
          <w:sz w:val="32"/>
          <w:szCs w:val="32"/>
          <w:lang w:bidi="he-IL"/>
        </w:rPr>
        <w:t>15.4%。</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eastAsia="仿宋_GB2312"/>
          <w:bCs/>
          <w:color w:val="auto"/>
          <w:sz w:val="32"/>
          <w:szCs w:val="32"/>
          <w:lang w:bidi="he-IL"/>
        </w:rPr>
      </w:pPr>
      <w:r>
        <w:rPr>
          <w:rFonts w:hint="eastAsia" w:ascii="仿宋_GB2312" w:hAnsi="楷体" w:eastAsia="仿宋_GB2312" w:cs="楷体"/>
          <w:bCs/>
          <w:color w:val="auto"/>
          <w:sz w:val="32"/>
          <w:szCs w:val="32"/>
          <w:lang w:eastAsia="zh-CN"/>
        </w:rPr>
        <w:t>（</w:t>
      </w:r>
      <w:r>
        <w:rPr>
          <w:rFonts w:hint="eastAsia" w:ascii="仿宋_GB2312" w:hAnsi="楷体" w:eastAsia="仿宋_GB2312" w:cs="楷体"/>
          <w:bCs/>
          <w:color w:val="auto"/>
          <w:sz w:val="32"/>
          <w:szCs w:val="32"/>
        </w:rPr>
        <w:t>3</w:t>
      </w:r>
      <w:r>
        <w:rPr>
          <w:rFonts w:hint="eastAsia" w:ascii="仿宋_GB2312" w:hAnsi="楷体" w:eastAsia="仿宋_GB2312" w:cs="楷体"/>
          <w:bCs/>
          <w:color w:val="auto"/>
          <w:sz w:val="32"/>
          <w:szCs w:val="32"/>
          <w:lang w:eastAsia="zh-CN"/>
        </w:rPr>
        <w:t>）</w:t>
      </w:r>
      <w:r>
        <w:rPr>
          <w:rFonts w:hint="eastAsia" w:ascii="仿宋_GB2312" w:hAnsi="楷体" w:eastAsia="仿宋_GB2312" w:cs="楷体"/>
          <w:bCs/>
          <w:color w:val="auto"/>
          <w:sz w:val="32"/>
          <w:szCs w:val="32"/>
        </w:rPr>
        <w:t>积极促进城乡融合发展。</w:t>
      </w:r>
      <w:r>
        <w:rPr>
          <w:rFonts w:eastAsia="仿宋_GB2312"/>
          <w:b/>
          <w:color w:val="auto"/>
          <w:sz w:val="32"/>
          <w:szCs w:val="32"/>
          <w:lang w:bidi="he-IL"/>
        </w:rPr>
        <w:t>一是扎实推进以县城为重要载体的城镇化建设。</w:t>
      </w:r>
      <w:r>
        <w:rPr>
          <w:rFonts w:eastAsia="仿宋_GB2312"/>
          <w:bCs/>
          <w:color w:val="auto"/>
          <w:sz w:val="32"/>
          <w:szCs w:val="32"/>
          <w:lang w:bidi="he-IL"/>
        </w:rPr>
        <w:t>指导两县实施公共停车场、口袋公园、日间照料中心等县城精修细补十项民生工程，国防教育主题园、婚恋广场等项目建设完成投入使用，有序补齐县城环境卫生设施、市政公用设施、公共服务设施、产业配套设施短板弱项</w:t>
      </w:r>
      <w:r>
        <w:rPr>
          <w:rFonts w:hint="eastAsia" w:eastAsia="仿宋_GB2312"/>
          <w:bCs/>
          <w:color w:val="auto"/>
          <w:sz w:val="32"/>
          <w:szCs w:val="32"/>
          <w:lang w:bidi="he-IL"/>
        </w:rPr>
        <w:t>。</w:t>
      </w:r>
      <w:r>
        <w:rPr>
          <w:rFonts w:eastAsia="仿宋_GB2312"/>
          <w:bCs/>
          <w:color w:val="auto"/>
          <w:sz w:val="32"/>
          <w:szCs w:val="32"/>
          <w:lang w:bidi="he-IL"/>
        </w:rPr>
        <w:t>深化完整社区试点建设，推动东区新源路社区、西区杨家坪社区、仁和区弯腰树社区围绕完善公共服务设施、健全市政配套设施、拓展公共活动空间、健全社区治理机制四个方面建设完整社区，构建</w:t>
      </w:r>
      <w:r>
        <w:rPr>
          <w:rFonts w:eastAsia="仿宋_GB2312"/>
          <w:bCs/>
          <w:color w:val="auto"/>
          <w:sz w:val="32"/>
          <w:szCs w:val="32"/>
          <w:lang w:val="en" w:bidi="he-IL"/>
        </w:rPr>
        <w:t>15</w:t>
      </w:r>
      <w:r>
        <w:rPr>
          <w:rFonts w:eastAsia="仿宋_GB2312"/>
          <w:bCs/>
          <w:color w:val="auto"/>
          <w:sz w:val="32"/>
          <w:szCs w:val="32"/>
          <w:lang w:bidi="he-IL"/>
        </w:rPr>
        <w:t>分钟生活圈</w:t>
      </w:r>
      <w:r>
        <w:rPr>
          <w:rFonts w:hint="eastAsia" w:eastAsia="仿宋_GB2312"/>
          <w:bCs/>
          <w:color w:val="auto"/>
          <w:sz w:val="32"/>
          <w:szCs w:val="32"/>
          <w:lang w:val="en" w:eastAsia="zh-CN" w:bidi="he-IL"/>
        </w:rPr>
        <w:t>，</w:t>
      </w:r>
      <w:r>
        <w:rPr>
          <w:rFonts w:eastAsia="仿宋_GB2312"/>
          <w:bCs/>
          <w:color w:val="auto"/>
          <w:sz w:val="32"/>
          <w:szCs w:val="32"/>
          <w:lang w:bidi="he-IL"/>
        </w:rPr>
        <w:t>累计投入资金约</w:t>
      </w:r>
      <w:r>
        <w:rPr>
          <w:rFonts w:hint="eastAsia" w:eastAsia="仿宋_GB2312"/>
          <w:bCs/>
          <w:color w:val="auto"/>
          <w:sz w:val="32"/>
          <w:szCs w:val="32"/>
          <w:lang w:bidi="he-IL"/>
        </w:rPr>
        <w:t>1.6</w:t>
      </w:r>
      <w:r>
        <w:rPr>
          <w:rFonts w:eastAsia="仿宋_GB2312"/>
          <w:bCs/>
          <w:color w:val="auto"/>
          <w:sz w:val="32"/>
          <w:szCs w:val="32"/>
          <w:lang w:bidi="he-IL"/>
        </w:rPr>
        <w:t>亿元</w:t>
      </w:r>
      <w:r>
        <w:rPr>
          <w:rFonts w:hint="eastAsia" w:eastAsia="仿宋_GB2312"/>
          <w:bCs/>
          <w:color w:val="auto"/>
          <w:sz w:val="32"/>
          <w:szCs w:val="32"/>
          <w:lang w:bidi="he-IL"/>
        </w:rPr>
        <w:t>。</w:t>
      </w:r>
      <w:r>
        <w:rPr>
          <w:rFonts w:eastAsia="仿宋_GB2312"/>
          <w:b/>
          <w:color w:val="auto"/>
          <w:sz w:val="32"/>
          <w:szCs w:val="32"/>
          <w:lang w:bidi="he-IL"/>
        </w:rPr>
        <w:t>二是推进中心镇培育发展。</w:t>
      </w:r>
      <w:r>
        <w:rPr>
          <w:rFonts w:hint="eastAsia" w:eastAsia="仿宋_GB2312"/>
          <w:bCs/>
          <w:color w:val="auto"/>
          <w:sz w:val="32"/>
          <w:szCs w:val="32"/>
          <w:lang w:bidi="he-IL"/>
        </w:rPr>
        <w:t>印发《攀枝花市2024年中心镇培育发展重点工作任务》和《省级百强中心镇项目实施方案》，从财政金融保障、用地保障等方面研究制定优化措施16条。对照省级百强中心镇考核指标，组织对12个中心镇开展综合评估，加快实施白马镇、银江镇、平地镇、渔门镇提档升级工程，为申报省级百强中心镇奠定基础。2024年，争取省级百强中心镇方向专项建设资金2279万元，进一步夯实中心镇基础设施建设。</w:t>
      </w:r>
      <w:r>
        <w:rPr>
          <w:rFonts w:eastAsia="仿宋_GB2312"/>
          <w:b/>
          <w:color w:val="auto"/>
          <w:sz w:val="32"/>
          <w:szCs w:val="32"/>
          <w:lang w:bidi="he-IL"/>
        </w:rPr>
        <w:t>三是建设和美宜居乡村。</w:t>
      </w:r>
      <w:r>
        <w:rPr>
          <w:rFonts w:hint="eastAsia" w:eastAsia="仿宋_GB2312"/>
          <w:bCs/>
          <w:color w:val="auto"/>
          <w:sz w:val="32"/>
          <w:szCs w:val="32"/>
          <w:lang w:bidi="he-IL"/>
        </w:rPr>
        <w:t>2023年120户农村危房改造项目已全面竣工验收，2024年危房改造和农房抗震改造任务102户，已全部开工、竣工100户。遴选首批40个村庄开展农房和村庄建设现代化试点，美化及整治“蓝顶子”291处，39314平方米。持续做好乡村建设工匠培训，建立乡村规划建筑师制度，全市首批22名乡村规划建筑师全部上岗。持续探索</w:t>
      </w:r>
      <w:r>
        <w:rPr>
          <w:rFonts w:eastAsia="仿宋_GB2312"/>
          <w:bCs/>
          <w:color w:val="auto"/>
          <w:sz w:val="32"/>
          <w:szCs w:val="32"/>
          <w:lang w:bidi="he-IL"/>
        </w:rPr>
        <w:t>零碳村庄建设</w:t>
      </w:r>
      <w:r>
        <w:rPr>
          <w:rFonts w:hint="eastAsia" w:eastAsia="仿宋_GB2312"/>
          <w:bCs/>
          <w:color w:val="auto"/>
          <w:sz w:val="32"/>
          <w:szCs w:val="32"/>
          <w:lang w:bidi="he-IL"/>
        </w:rPr>
        <w:t>，目前正以仁和区红旗村为样板，</w:t>
      </w:r>
      <w:r>
        <w:rPr>
          <w:rFonts w:eastAsia="仿宋_GB2312"/>
          <w:bCs/>
          <w:color w:val="auto"/>
          <w:sz w:val="32"/>
          <w:szCs w:val="32"/>
          <w:lang w:bidi="he-IL"/>
        </w:rPr>
        <w:t>围绕能源、产业、环境等方面进行</w:t>
      </w:r>
      <w:r>
        <w:rPr>
          <w:rFonts w:hint="eastAsia" w:eastAsia="仿宋_GB2312"/>
          <w:bCs/>
          <w:color w:val="auto"/>
          <w:sz w:val="32"/>
          <w:szCs w:val="32"/>
          <w:lang w:bidi="he-IL"/>
        </w:rPr>
        <w:t>村庄</w:t>
      </w:r>
      <w:r>
        <w:rPr>
          <w:rFonts w:eastAsia="仿宋_GB2312"/>
          <w:bCs/>
          <w:color w:val="auto"/>
          <w:sz w:val="32"/>
          <w:szCs w:val="32"/>
          <w:lang w:bidi="he-IL"/>
        </w:rPr>
        <w:t>绿色化改造，</w:t>
      </w:r>
      <w:r>
        <w:rPr>
          <w:rFonts w:hint="eastAsia" w:eastAsia="仿宋_GB2312"/>
          <w:bCs/>
          <w:color w:val="auto"/>
          <w:sz w:val="32"/>
          <w:szCs w:val="32"/>
          <w:lang w:bidi="he-IL"/>
        </w:rPr>
        <w:t>通过绿色发展赋能农村地区共同富裕；今年，我市零碳村庄建设经验在2024国际零碳城市乡村与零碳建筑大会上进行交流。</w:t>
      </w:r>
    </w:p>
    <w:p>
      <w:pPr>
        <w:keepNext w:val="0"/>
        <w:keepLines w:val="0"/>
        <w:pageBreakBefore w:val="0"/>
        <w:kinsoku/>
        <w:wordWrap/>
        <w:overflowPunct/>
        <w:topLinePunct w:val="0"/>
        <w:bidi w:val="0"/>
        <w:snapToGrid w:val="0"/>
        <w:spacing w:line="578" w:lineRule="exact"/>
        <w:ind w:firstLine="640" w:firstLineChars="200"/>
        <w:jc w:val="both"/>
        <w:textAlignment w:val="auto"/>
        <w:rPr>
          <w:rFonts w:hint="eastAsia" w:eastAsia="仿宋_GB2312" w:cs="仿宋_GB2312"/>
          <w:color w:val="auto"/>
          <w:sz w:val="32"/>
          <w:szCs w:val="32"/>
          <w:lang w:val="zh-CN"/>
        </w:rPr>
      </w:pPr>
      <w:r>
        <w:rPr>
          <w:rFonts w:hint="eastAsia" w:ascii="仿宋_GB2312" w:hAnsi="楷体" w:eastAsia="仿宋_GB2312" w:cs="楷体"/>
          <w:bCs/>
          <w:color w:val="auto"/>
          <w:sz w:val="32"/>
          <w:szCs w:val="32"/>
        </w:rPr>
        <w:t>（4）持续夯实幸福安居基础。</w:t>
      </w:r>
      <w:r>
        <w:rPr>
          <w:rFonts w:eastAsia="仿宋_GB2312"/>
          <w:b/>
          <w:bCs/>
          <w:color w:val="auto"/>
          <w:sz w:val="32"/>
          <w:szCs w:val="32"/>
          <w:lang w:bidi="he-IL"/>
        </w:rPr>
        <w:t>一是稳步推进保障性住房</w:t>
      </w:r>
      <w:r>
        <w:rPr>
          <w:rFonts w:hint="eastAsia" w:eastAsia="仿宋_GB2312"/>
          <w:b/>
          <w:bCs/>
          <w:color w:val="auto"/>
          <w:sz w:val="32"/>
          <w:szCs w:val="32"/>
          <w:lang w:bidi="he-IL"/>
        </w:rPr>
        <w:t>建设</w:t>
      </w:r>
      <w:r>
        <w:rPr>
          <w:rFonts w:eastAsia="仿宋_GB2312"/>
          <w:b/>
          <w:bCs/>
          <w:color w:val="auto"/>
          <w:sz w:val="32"/>
          <w:szCs w:val="32"/>
          <w:lang w:bidi="he-IL"/>
        </w:rPr>
        <w:t>。</w:t>
      </w:r>
      <w:r>
        <w:rPr>
          <w:rFonts w:ascii="仿宋_GB2312" w:hAnsi="仿宋" w:eastAsia="仿宋_GB2312"/>
          <w:color w:val="auto"/>
          <w:sz w:val="32"/>
          <w:szCs w:val="32"/>
        </w:rPr>
        <w:t>印发《攀枝花市公共租赁住房租赁补贴实施意见》，将符合条件的城镇中等偏下收入住房困难家庭、新就业无房职工、稳定就业的无房外来务工人员纳入租赁补贴保障范围，统筹做好租赁补贴扩面提标和公租房实物配租工作；</w:t>
      </w:r>
      <w:r>
        <w:rPr>
          <w:rFonts w:hint="eastAsia" w:ascii="仿宋_GB2312" w:hAnsi="仿宋" w:eastAsia="仿宋_GB2312"/>
          <w:color w:val="auto"/>
          <w:sz w:val="32"/>
          <w:szCs w:val="32"/>
        </w:rPr>
        <w:t>今年新增分配公租房</w:t>
      </w:r>
      <w:r>
        <w:rPr>
          <w:rFonts w:hint="eastAsia" w:eastAsia="仿宋_GB2312"/>
          <w:bCs/>
          <w:color w:val="auto"/>
          <w:sz w:val="32"/>
          <w:szCs w:val="32"/>
          <w:lang w:bidi="he-IL"/>
        </w:rPr>
        <w:t>399</w:t>
      </w:r>
      <w:r>
        <w:rPr>
          <w:rFonts w:hint="eastAsia" w:ascii="仿宋_GB2312" w:hAnsi="仿宋" w:eastAsia="仿宋_GB2312"/>
          <w:color w:val="auto"/>
          <w:sz w:val="32"/>
          <w:szCs w:val="32"/>
        </w:rPr>
        <w:t>套，发放公租房租赁补贴</w:t>
      </w:r>
      <w:r>
        <w:rPr>
          <w:rFonts w:hint="eastAsia" w:eastAsia="仿宋_GB2312"/>
          <w:bCs/>
          <w:color w:val="auto"/>
          <w:sz w:val="32"/>
          <w:szCs w:val="32"/>
          <w:lang w:bidi="he-IL"/>
        </w:rPr>
        <w:t>492</w:t>
      </w:r>
      <w:r>
        <w:rPr>
          <w:rFonts w:hint="eastAsia" w:ascii="仿宋_GB2312" w:hAnsi="仿宋" w:eastAsia="仿宋_GB2312"/>
          <w:color w:val="auto"/>
          <w:sz w:val="32"/>
          <w:szCs w:val="32"/>
        </w:rPr>
        <w:t>户，发放补贴资金约</w:t>
      </w:r>
      <w:r>
        <w:rPr>
          <w:rFonts w:hint="eastAsia" w:eastAsia="仿宋_GB2312" w:cs="仿宋_GB2312"/>
          <w:color w:val="auto"/>
          <w:sz w:val="32"/>
          <w:szCs w:val="32"/>
        </w:rPr>
        <w:t>52.15</w:t>
      </w:r>
      <w:r>
        <w:rPr>
          <w:rFonts w:hint="eastAsia" w:ascii="仿宋_GB2312" w:hAnsi="仿宋" w:eastAsia="仿宋_GB2312"/>
          <w:color w:val="auto"/>
          <w:sz w:val="32"/>
          <w:szCs w:val="32"/>
        </w:rPr>
        <w:t>万元，已完成省上下达我市公租房租赁补贴发放目标任务</w:t>
      </w:r>
      <w:r>
        <w:rPr>
          <w:rFonts w:hint="eastAsia" w:eastAsia="仿宋_GB2312" w:cs="仿宋_GB2312"/>
          <w:color w:val="auto"/>
          <w:sz w:val="32"/>
          <w:szCs w:val="32"/>
        </w:rPr>
        <w:t>420</w:t>
      </w:r>
      <w:r>
        <w:rPr>
          <w:rFonts w:hint="eastAsia" w:ascii="仿宋_GB2312" w:hAnsi="仿宋" w:eastAsia="仿宋_GB2312"/>
          <w:color w:val="auto"/>
          <w:sz w:val="32"/>
          <w:szCs w:val="32"/>
        </w:rPr>
        <w:t>户，完成率</w:t>
      </w:r>
      <w:r>
        <w:rPr>
          <w:rFonts w:hint="eastAsia" w:eastAsia="仿宋_GB2312"/>
          <w:bCs/>
          <w:color w:val="auto"/>
          <w:sz w:val="32"/>
          <w:szCs w:val="32"/>
          <w:lang w:bidi="he-IL"/>
        </w:rPr>
        <w:t xml:space="preserve">112.38 </w:t>
      </w:r>
      <w:r>
        <w:rPr>
          <w:rFonts w:hint="eastAsia" w:ascii="仿宋_GB2312" w:hAnsi="仿宋" w:eastAsia="仿宋_GB2312"/>
          <w:color w:val="auto"/>
          <w:sz w:val="32"/>
          <w:szCs w:val="32"/>
        </w:rPr>
        <w:t>%。加快发展保障性租赁住房，持续推进</w:t>
      </w:r>
      <w:r>
        <w:rPr>
          <w:rFonts w:hint="eastAsia" w:eastAsia="仿宋_GB2312" w:cs="仿宋_GB2312"/>
          <w:color w:val="auto"/>
          <w:sz w:val="32"/>
          <w:szCs w:val="32"/>
        </w:rPr>
        <w:t>2022—2023</w:t>
      </w:r>
      <w:r>
        <w:rPr>
          <w:rFonts w:hint="eastAsia" w:ascii="仿宋_GB2312" w:hAnsi="仿宋" w:eastAsia="仿宋_GB2312"/>
          <w:color w:val="auto"/>
          <w:sz w:val="32"/>
          <w:szCs w:val="32"/>
        </w:rPr>
        <w:t>年</w:t>
      </w:r>
      <w:r>
        <w:rPr>
          <w:rFonts w:hint="eastAsia" w:eastAsia="仿宋_GB2312" w:cs="仿宋_GB2312"/>
          <w:color w:val="auto"/>
          <w:sz w:val="32"/>
          <w:szCs w:val="32"/>
        </w:rPr>
        <w:t>1559</w:t>
      </w:r>
      <w:r>
        <w:rPr>
          <w:rFonts w:hint="eastAsia" w:ascii="仿宋_GB2312" w:hAnsi="仿宋" w:eastAsia="仿宋_GB2312"/>
          <w:color w:val="auto"/>
          <w:sz w:val="32"/>
          <w:szCs w:val="32"/>
        </w:rPr>
        <w:t>套（间）续建项目建设，重点做好2024年新筹集</w:t>
      </w:r>
      <w:r>
        <w:rPr>
          <w:rFonts w:hint="eastAsia" w:eastAsia="仿宋_GB2312" w:cs="仿宋_GB2312"/>
          <w:color w:val="auto"/>
          <w:sz w:val="32"/>
          <w:szCs w:val="32"/>
        </w:rPr>
        <w:t>462</w:t>
      </w:r>
      <w:r>
        <w:rPr>
          <w:rFonts w:hint="eastAsia" w:ascii="仿宋_GB2312" w:hAnsi="仿宋" w:eastAsia="仿宋_GB2312"/>
          <w:color w:val="auto"/>
          <w:sz w:val="32"/>
          <w:szCs w:val="32"/>
        </w:rPr>
        <w:t>套（间）新建项目建设，目前已全部开工，累计完成投资</w:t>
      </w:r>
      <w:r>
        <w:rPr>
          <w:rFonts w:hint="eastAsia" w:eastAsia="仿宋_GB2312"/>
          <w:bCs/>
          <w:color w:val="auto"/>
          <w:sz w:val="32"/>
          <w:szCs w:val="32"/>
          <w:lang w:bidi="he-IL"/>
        </w:rPr>
        <w:t>7450</w:t>
      </w:r>
      <w:r>
        <w:rPr>
          <w:rFonts w:hint="eastAsia" w:ascii="仿宋_GB2312" w:hAnsi="仿宋" w:eastAsia="仿宋_GB2312"/>
          <w:color w:val="auto"/>
          <w:sz w:val="32"/>
          <w:szCs w:val="32"/>
        </w:rPr>
        <w:t>万元。</w:t>
      </w:r>
      <w:r>
        <w:rPr>
          <w:rFonts w:eastAsia="仿宋_GB2312"/>
          <w:b/>
          <w:color w:val="auto"/>
          <w:sz w:val="32"/>
          <w:szCs w:val="32"/>
          <w:lang w:bidi="he-IL"/>
        </w:rPr>
        <w:t>二是统筹做好C、D级危房消底攻坚。</w:t>
      </w:r>
      <w:r>
        <w:rPr>
          <w:rFonts w:hint="eastAsia" w:ascii="仿宋_GB2312" w:hAnsi="仿宋" w:eastAsia="仿宋_GB2312"/>
          <w:color w:val="auto"/>
          <w:sz w:val="32"/>
          <w:szCs w:val="32"/>
        </w:rPr>
        <w:t>印发</w:t>
      </w:r>
      <w:r>
        <w:rPr>
          <w:rFonts w:ascii="仿宋_GB2312" w:hAnsi="仿宋" w:eastAsia="仿宋_GB2312"/>
          <w:color w:val="auto"/>
          <w:sz w:val="32"/>
          <w:szCs w:val="32"/>
        </w:rPr>
        <w:t>《关于加快推进既有房屋建筑C、D级危房工程整治的实施方案》</w:t>
      </w:r>
      <w:r>
        <w:rPr>
          <w:rFonts w:hint="eastAsia" w:ascii="仿宋_GB2312" w:hAnsi="仿宋" w:eastAsia="仿宋_GB2312"/>
          <w:color w:val="auto"/>
          <w:sz w:val="32"/>
          <w:szCs w:val="32"/>
        </w:rPr>
        <w:t>，</w:t>
      </w:r>
      <w:r>
        <w:rPr>
          <w:rFonts w:ascii="仿宋_GB2312" w:hAnsi="仿宋" w:eastAsia="仿宋_GB2312"/>
          <w:color w:val="auto"/>
          <w:sz w:val="32"/>
          <w:szCs w:val="32"/>
        </w:rPr>
        <w:t>持续强化既有房屋安全监管，充分调动发挥县（区）主体责任，深化自建房和C、D级危房专项整治，</w:t>
      </w:r>
      <w:r>
        <w:rPr>
          <w:rFonts w:hint="eastAsia" w:ascii="仿宋_GB2312" w:hAnsi="仿宋" w:eastAsia="仿宋_GB2312"/>
          <w:color w:val="auto"/>
          <w:sz w:val="32"/>
          <w:szCs w:val="32"/>
        </w:rPr>
        <w:t>危房整治工作经验做法得到住建厅和住建部肯定。截至目前，全市C、D级危房整治销号任务</w:t>
      </w:r>
      <w:r>
        <w:rPr>
          <w:rFonts w:hint="eastAsia" w:eastAsia="仿宋_GB2312" w:cs="仿宋_GB2312"/>
          <w:color w:val="auto"/>
          <w:sz w:val="32"/>
          <w:szCs w:val="32"/>
        </w:rPr>
        <w:t>1779</w:t>
      </w:r>
      <w:r>
        <w:rPr>
          <w:rFonts w:hint="eastAsia" w:ascii="仿宋_GB2312" w:hAnsi="仿宋" w:eastAsia="仿宋_GB2312"/>
          <w:color w:val="auto"/>
          <w:sz w:val="32"/>
          <w:szCs w:val="32"/>
        </w:rPr>
        <w:t>栋，现已完成销号</w:t>
      </w:r>
      <w:r>
        <w:rPr>
          <w:rFonts w:hint="eastAsia" w:eastAsia="仿宋_GB2312"/>
          <w:bCs/>
          <w:color w:val="auto"/>
          <w:sz w:val="32"/>
          <w:szCs w:val="32"/>
          <w:lang w:bidi="he-IL"/>
        </w:rPr>
        <w:t>1595</w:t>
      </w:r>
      <w:r>
        <w:rPr>
          <w:rFonts w:hint="eastAsia" w:ascii="仿宋_GB2312" w:hAnsi="仿宋" w:eastAsia="仿宋_GB2312"/>
          <w:color w:val="auto"/>
          <w:sz w:val="32"/>
          <w:szCs w:val="32"/>
        </w:rPr>
        <w:t>栋，整治率</w:t>
      </w:r>
      <w:r>
        <w:rPr>
          <w:rFonts w:hint="eastAsia" w:eastAsia="仿宋_GB2312"/>
          <w:bCs/>
          <w:color w:val="auto"/>
          <w:sz w:val="32"/>
          <w:szCs w:val="32"/>
          <w:lang w:bidi="he-IL"/>
        </w:rPr>
        <w:t>89.7%</w:t>
      </w:r>
      <w:r>
        <w:rPr>
          <w:rFonts w:hint="eastAsia" w:ascii="仿宋_GB2312" w:hAnsi="仿宋" w:eastAsia="仿宋_GB2312"/>
          <w:color w:val="auto"/>
          <w:sz w:val="32"/>
          <w:szCs w:val="32"/>
        </w:rPr>
        <w:t>；自建房整治率</w:t>
      </w:r>
      <w:r>
        <w:rPr>
          <w:rFonts w:hint="eastAsia" w:eastAsia="仿宋_GB2312"/>
          <w:bCs/>
          <w:color w:val="auto"/>
          <w:sz w:val="32"/>
          <w:szCs w:val="32"/>
          <w:lang w:bidi="he-IL"/>
        </w:rPr>
        <w:t>91.6%</w:t>
      </w:r>
      <w:r>
        <w:rPr>
          <w:rFonts w:hint="eastAsia" w:ascii="仿宋_GB2312" w:hAnsi="仿宋" w:eastAsia="仿宋_GB2312"/>
          <w:color w:val="auto"/>
          <w:sz w:val="32"/>
          <w:szCs w:val="32"/>
        </w:rPr>
        <w:t>，全省排名第一。</w:t>
      </w:r>
      <w:r>
        <w:rPr>
          <w:rFonts w:eastAsia="仿宋_GB2312"/>
          <w:b/>
          <w:color w:val="auto"/>
          <w:sz w:val="32"/>
          <w:szCs w:val="32"/>
          <w:lang w:bidi="he-IL"/>
        </w:rPr>
        <w:t>三是加强行业安全监管。</w:t>
      </w:r>
      <w:r>
        <w:rPr>
          <w:rFonts w:ascii="仿宋_GB2312" w:hAnsi="仿宋" w:eastAsia="仿宋_GB2312"/>
          <w:color w:val="auto"/>
          <w:sz w:val="32"/>
          <w:szCs w:val="32"/>
        </w:rPr>
        <w:t>持续强化房屋市政工程安全监管和隐患排查整治，深入排查整治施工现场各类安全隐患和违法违规行为。截至目前，发现重大事故隐患</w:t>
      </w:r>
      <w:r>
        <w:rPr>
          <w:rFonts w:hint="eastAsia" w:eastAsia="仿宋_GB2312" w:cs="仿宋_GB2312"/>
          <w:color w:val="auto"/>
          <w:sz w:val="32"/>
          <w:szCs w:val="32"/>
        </w:rPr>
        <w:t>15</w:t>
      </w:r>
      <w:r>
        <w:rPr>
          <w:rFonts w:ascii="仿宋_GB2312" w:hAnsi="仿宋" w:eastAsia="仿宋_GB2312"/>
          <w:color w:val="auto"/>
          <w:sz w:val="32"/>
          <w:szCs w:val="32"/>
        </w:rPr>
        <w:t>条、一般安全隐患</w:t>
      </w:r>
      <w:r>
        <w:rPr>
          <w:rFonts w:hint="eastAsia" w:eastAsia="仿宋_GB2312" w:cs="仿宋_GB2312"/>
          <w:color w:val="auto"/>
          <w:sz w:val="32"/>
          <w:szCs w:val="32"/>
        </w:rPr>
        <w:t>3092</w:t>
      </w:r>
      <w:r>
        <w:rPr>
          <w:rFonts w:ascii="仿宋_GB2312" w:hAnsi="仿宋" w:eastAsia="仿宋_GB2312"/>
          <w:color w:val="auto"/>
          <w:sz w:val="32"/>
          <w:szCs w:val="32"/>
        </w:rPr>
        <w:t>条，整改率</w:t>
      </w:r>
      <w:r>
        <w:rPr>
          <w:rFonts w:hint="eastAsia" w:eastAsia="仿宋_GB2312"/>
          <w:bCs/>
          <w:color w:val="auto"/>
          <w:sz w:val="32"/>
          <w:szCs w:val="32"/>
          <w:lang w:bidi="he-IL"/>
        </w:rPr>
        <w:t>100%</w:t>
      </w:r>
      <w:r>
        <w:rPr>
          <w:rFonts w:ascii="仿宋_GB2312" w:hAnsi="仿宋" w:eastAsia="仿宋_GB2312"/>
          <w:color w:val="auto"/>
          <w:sz w:val="32"/>
          <w:szCs w:val="32"/>
        </w:rPr>
        <w:t>，下发停工、限期整改通知</w:t>
      </w:r>
      <w:r>
        <w:rPr>
          <w:rFonts w:hint="eastAsia" w:eastAsia="仿宋_GB2312" w:cs="仿宋_GB2312"/>
          <w:color w:val="auto"/>
          <w:sz w:val="32"/>
          <w:szCs w:val="32"/>
        </w:rPr>
        <w:t>312</w:t>
      </w:r>
      <w:r>
        <w:rPr>
          <w:rFonts w:ascii="仿宋_GB2312" w:hAnsi="仿宋" w:eastAsia="仿宋_GB2312"/>
          <w:color w:val="auto"/>
          <w:sz w:val="32"/>
          <w:szCs w:val="32"/>
        </w:rPr>
        <w:t>份，对</w:t>
      </w:r>
      <w:r>
        <w:rPr>
          <w:rFonts w:hint="eastAsia" w:eastAsia="仿宋_GB2312" w:cs="仿宋_GB2312"/>
          <w:color w:val="auto"/>
          <w:sz w:val="32"/>
          <w:szCs w:val="32"/>
        </w:rPr>
        <w:t>32</w:t>
      </w:r>
      <w:r>
        <w:rPr>
          <w:rFonts w:ascii="仿宋_GB2312" w:hAnsi="仿宋" w:eastAsia="仿宋_GB2312"/>
          <w:color w:val="auto"/>
          <w:sz w:val="32"/>
          <w:szCs w:val="32"/>
        </w:rPr>
        <w:t>个企业和个人进行不良行为记录共</w:t>
      </w:r>
      <w:r>
        <w:rPr>
          <w:rFonts w:hint="eastAsia" w:eastAsia="仿宋_GB2312" w:cs="仿宋_GB2312"/>
          <w:color w:val="auto"/>
          <w:sz w:val="32"/>
          <w:szCs w:val="32"/>
        </w:rPr>
        <w:t>137</w:t>
      </w:r>
      <w:r>
        <w:rPr>
          <w:rFonts w:ascii="仿宋_GB2312" w:hAnsi="仿宋" w:eastAsia="仿宋_GB2312"/>
          <w:color w:val="auto"/>
          <w:sz w:val="32"/>
          <w:szCs w:val="32"/>
        </w:rPr>
        <w:t>分，向城管执法部门移交违法线索</w:t>
      </w:r>
      <w:r>
        <w:rPr>
          <w:rFonts w:hint="eastAsia" w:eastAsia="仿宋_GB2312" w:cs="仿宋_GB2312"/>
          <w:color w:val="auto"/>
          <w:sz w:val="32"/>
          <w:szCs w:val="32"/>
        </w:rPr>
        <w:t>44</w:t>
      </w:r>
      <w:r>
        <w:rPr>
          <w:rFonts w:ascii="仿宋_GB2312" w:hAnsi="仿宋" w:eastAsia="仿宋_GB2312"/>
          <w:color w:val="auto"/>
          <w:sz w:val="32"/>
          <w:szCs w:val="32"/>
        </w:rPr>
        <w:t>份，累计处罚</w:t>
      </w:r>
      <w:r>
        <w:rPr>
          <w:rFonts w:hint="eastAsia" w:eastAsia="仿宋_GB2312" w:cs="仿宋_GB2312"/>
          <w:color w:val="auto"/>
          <w:sz w:val="32"/>
          <w:szCs w:val="32"/>
        </w:rPr>
        <w:t>33.4</w:t>
      </w:r>
      <w:r>
        <w:rPr>
          <w:rFonts w:ascii="仿宋_GB2312" w:hAnsi="仿宋" w:eastAsia="仿宋_GB2312"/>
          <w:color w:val="auto"/>
          <w:sz w:val="32"/>
          <w:szCs w:val="32"/>
        </w:rPr>
        <w:t>万元。坚持做好城市道路、桥梁、隧道、路灯、过街天桥、地下通道及供排水厂站等安全隐患排查和维修维护，持续推进汛前清淤疏浚工作，全力保障城市运行安全。</w:t>
      </w:r>
    </w:p>
    <w:p>
      <w:pPr>
        <w:keepNext w:val="0"/>
        <w:keepLines w:val="0"/>
        <w:pageBreakBefore w:val="0"/>
        <w:kinsoku/>
        <w:wordWrap/>
        <w:overflowPunct/>
        <w:topLinePunct w:val="0"/>
        <w:bidi w:val="0"/>
        <w:adjustRightInd w:val="0"/>
        <w:snapToGrid w:val="0"/>
        <w:spacing w:line="578" w:lineRule="exact"/>
        <w:ind w:firstLine="642" w:firstLineChars="200"/>
        <w:contextualSpacing/>
        <w:jc w:val="both"/>
        <w:textAlignment w:val="auto"/>
        <w:rPr>
          <w:rFonts w:hint="eastAsia" w:ascii="仿宋_GB2312" w:hAnsi="Calibri" w:eastAsia="仿宋_GB2312" w:cs="仿宋_GB2312"/>
          <w:color w:val="auto"/>
          <w:sz w:val="32"/>
          <w:szCs w:val="32"/>
          <w:lang w:bidi="ar"/>
        </w:rPr>
      </w:pPr>
      <w:r>
        <w:rPr>
          <w:rFonts w:hint="eastAsia" w:eastAsia="仿宋_GB2312" w:cs="仿宋_GB2312"/>
          <w:b/>
          <w:color w:val="auto"/>
          <w:sz w:val="32"/>
          <w:szCs w:val="32"/>
        </w:rPr>
        <w:t>2.</w:t>
      </w:r>
      <w:r>
        <w:rPr>
          <w:rFonts w:eastAsia="仿宋_GB2312" w:cs="仿宋_GB2312"/>
          <w:b/>
          <w:color w:val="auto"/>
          <w:sz w:val="32"/>
          <w:szCs w:val="32"/>
          <w:lang w:val="zh-CN"/>
        </w:rPr>
        <w:t>预算管理</w:t>
      </w:r>
      <w:r>
        <w:rPr>
          <w:rFonts w:hint="eastAsia" w:eastAsia="仿宋_GB2312" w:cs="仿宋_GB2312"/>
          <w:b/>
          <w:color w:val="auto"/>
          <w:sz w:val="32"/>
          <w:szCs w:val="32"/>
          <w:lang w:val="zh-CN"/>
        </w:rPr>
        <w:t>。</w:t>
      </w:r>
      <w:r>
        <w:rPr>
          <w:rFonts w:hint="eastAsia" w:ascii="仿宋_GB2312" w:hAnsi="仿宋" w:eastAsia="仿宋_GB2312"/>
          <w:sz w:val="32"/>
          <w:szCs w:val="32"/>
          <w:lang w:eastAsia="zh-CN"/>
        </w:rPr>
        <w:t>四川省</w:t>
      </w:r>
      <w:r>
        <w:rPr>
          <w:rFonts w:hint="eastAsia" w:ascii="仿宋_GB2312" w:hAnsi="仿宋" w:eastAsia="仿宋_GB2312"/>
          <w:sz w:val="32"/>
          <w:szCs w:val="32"/>
        </w:rPr>
        <w:t>攀</w:t>
      </w:r>
      <w:r>
        <w:rPr>
          <w:rFonts w:hint="eastAsia" w:ascii="仿宋_GB2312" w:eastAsia="仿宋_GB2312"/>
          <w:bCs/>
          <w:sz w:val="32"/>
          <w:szCs w:val="32"/>
        </w:rPr>
        <w:t>枝花市住房和城乡建设局</w:t>
      </w:r>
      <w:r>
        <w:rPr>
          <w:rFonts w:ascii="仿宋_GB2312" w:hAnsi="Calibri" w:eastAsia="仿宋_GB2312" w:cs="仿宋_GB2312"/>
          <w:color w:val="auto"/>
          <w:sz w:val="32"/>
          <w:szCs w:val="32"/>
          <w:lang w:bidi="ar"/>
        </w:rPr>
        <w:t>按照预算管理科学化和精细化的要求，</w:t>
      </w:r>
      <w:r>
        <w:rPr>
          <w:rFonts w:hint="eastAsia" w:ascii="仿宋_GB2312" w:hAnsi="Calibri" w:eastAsia="仿宋_GB2312" w:cs="仿宋_GB2312"/>
          <w:color w:val="auto"/>
          <w:sz w:val="32"/>
          <w:szCs w:val="32"/>
          <w:lang w:eastAsia="zh-CN" w:bidi="ar"/>
        </w:rPr>
        <w:t>结合实际</w:t>
      </w:r>
      <w:r>
        <w:rPr>
          <w:rFonts w:ascii="仿宋_GB2312" w:hAnsi="Calibri" w:eastAsia="仿宋_GB2312" w:cs="仿宋_GB2312"/>
          <w:color w:val="auto"/>
          <w:sz w:val="32"/>
          <w:szCs w:val="32"/>
          <w:lang w:bidi="ar"/>
        </w:rPr>
        <w:t>，经过充分调查、</w:t>
      </w:r>
      <w:r>
        <w:rPr>
          <w:rFonts w:hint="eastAsia" w:ascii="仿宋_GB2312" w:hAnsi="Calibri" w:eastAsia="仿宋_GB2312" w:cs="仿宋_GB2312"/>
          <w:color w:val="auto"/>
          <w:sz w:val="32"/>
          <w:szCs w:val="32"/>
          <w:lang w:eastAsia="zh-CN" w:bidi="ar"/>
        </w:rPr>
        <w:t>科学</w:t>
      </w:r>
      <w:r>
        <w:rPr>
          <w:rFonts w:ascii="仿宋_GB2312" w:hAnsi="Calibri" w:eastAsia="仿宋_GB2312" w:cs="仿宋_GB2312"/>
          <w:color w:val="auto"/>
          <w:sz w:val="32"/>
          <w:szCs w:val="32"/>
          <w:lang w:bidi="ar"/>
        </w:rPr>
        <w:t>论证</w:t>
      </w:r>
      <w:r>
        <w:rPr>
          <w:rFonts w:hint="eastAsia" w:ascii="仿宋_GB2312" w:hAnsi="Calibri" w:eastAsia="仿宋_GB2312" w:cs="仿宋_GB2312"/>
          <w:color w:val="auto"/>
          <w:sz w:val="32"/>
          <w:szCs w:val="32"/>
          <w:lang w:eastAsia="zh-CN" w:bidi="ar"/>
        </w:rPr>
        <w:t>和</w:t>
      </w:r>
      <w:r>
        <w:rPr>
          <w:rFonts w:ascii="仿宋_GB2312" w:hAnsi="Calibri" w:eastAsia="仿宋_GB2312" w:cs="仿宋_GB2312"/>
          <w:color w:val="auto"/>
          <w:sz w:val="32"/>
          <w:szCs w:val="32"/>
          <w:lang w:bidi="ar"/>
        </w:rPr>
        <w:t>测算，</w:t>
      </w:r>
      <w:r>
        <w:rPr>
          <w:rFonts w:hint="eastAsia" w:ascii="仿宋_GB2312" w:hAnsi="Calibri" w:eastAsia="仿宋_GB2312" w:cs="仿宋_GB2312"/>
          <w:color w:val="auto"/>
          <w:sz w:val="32"/>
          <w:szCs w:val="32"/>
          <w:lang w:eastAsia="zh-CN" w:bidi="ar"/>
        </w:rPr>
        <w:t>规范</w:t>
      </w:r>
      <w:r>
        <w:rPr>
          <w:rFonts w:ascii="仿宋_GB2312" w:hAnsi="Calibri" w:eastAsia="仿宋_GB2312" w:cs="仿宋_GB2312"/>
          <w:color w:val="auto"/>
          <w:sz w:val="32"/>
          <w:szCs w:val="32"/>
          <w:lang w:bidi="ar"/>
        </w:rPr>
        <w:t>合理编制预算，严格执行预算管理集体决策程序。</w:t>
      </w:r>
      <w:r>
        <w:rPr>
          <w:rFonts w:hint="eastAsia" w:ascii="仿宋_GB2312" w:hAnsi="Calibri" w:eastAsia="仿宋_GB2312" w:cs="仿宋_GB2312"/>
          <w:color w:val="auto"/>
          <w:sz w:val="32"/>
          <w:szCs w:val="32"/>
          <w:lang w:eastAsia="zh-CN" w:bidi="ar"/>
        </w:rPr>
        <w:t>落实</w:t>
      </w:r>
      <w:r>
        <w:rPr>
          <w:rFonts w:hint="eastAsia" w:ascii="仿宋_GB2312" w:hAnsi="Calibri" w:eastAsia="仿宋_GB2312" w:cs="仿宋_GB2312"/>
          <w:color w:val="auto"/>
          <w:sz w:val="32"/>
          <w:szCs w:val="32"/>
          <w:lang w:bidi="ar"/>
        </w:rPr>
        <w:t>预算管理改革,</w:t>
      </w:r>
      <w:r>
        <w:rPr>
          <w:rFonts w:hint="eastAsia" w:ascii="仿宋_GB2312" w:hAnsi="Calibri" w:eastAsia="仿宋_GB2312" w:cs="仿宋_GB2312"/>
          <w:color w:val="auto"/>
          <w:sz w:val="32"/>
          <w:szCs w:val="32"/>
          <w:lang w:eastAsia="zh-CN" w:bidi="ar"/>
        </w:rPr>
        <w:t>和</w:t>
      </w:r>
      <w:r>
        <w:rPr>
          <w:rFonts w:hint="eastAsia" w:ascii="仿宋_GB2312" w:hAnsi="Calibri" w:eastAsia="仿宋_GB2312" w:cs="仿宋_GB2312"/>
          <w:color w:val="auto"/>
          <w:sz w:val="32"/>
          <w:szCs w:val="32"/>
          <w:lang w:bidi="ar"/>
        </w:rPr>
        <w:t>预算管理主体责任,加强部门各类资源统筹,强化预算刚性约束,进一步严肃财经纪律</w:t>
      </w:r>
      <w:r>
        <w:rPr>
          <w:rFonts w:hint="eastAsia" w:ascii="仿宋_GB2312" w:hAnsi="Calibri" w:eastAsia="仿宋_GB2312" w:cs="仿宋_GB2312"/>
          <w:color w:val="auto"/>
          <w:sz w:val="32"/>
          <w:szCs w:val="32"/>
          <w:lang w:eastAsia="zh-CN" w:bidi="ar"/>
        </w:rPr>
        <w:t>。</w:t>
      </w:r>
      <w:r>
        <w:rPr>
          <w:rFonts w:hint="eastAsia" w:ascii="仿宋_GB2312" w:hAnsi="Calibri" w:eastAsia="仿宋_GB2312" w:cs="仿宋_GB2312"/>
          <w:color w:val="auto"/>
          <w:sz w:val="32"/>
          <w:szCs w:val="32"/>
          <w:lang w:bidi="ar"/>
        </w:rPr>
        <w:t>对专项资金预算执行进度和绩效目标实现程度进行动态“双监控”</w:t>
      </w:r>
      <w:r>
        <w:rPr>
          <w:rFonts w:ascii="仿宋_GB2312" w:hAnsi="Calibri" w:eastAsia="仿宋_GB2312" w:cs="仿宋_GB2312"/>
          <w:color w:val="auto"/>
          <w:sz w:val="32"/>
          <w:szCs w:val="32"/>
          <w:lang w:bidi="ar"/>
        </w:rPr>
        <w:t>，各项经费严格按照时间节点及工作进度编制用款计划</w:t>
      </w:r>
      <w:r>
        <w:rPr>
          <w:rFonts w:hint="eastAsia" w:ascii="仿宋_GB2312" w:hAnsi="Calibri" w:eastAsia="仿宋_GB2312" w:cs="仿宋_GB2312"/>
          <w:color w:val="auto"/>
          <w:sz w:val="32"/>
          <w:szCs w:val="32"/>
          <w:lang w:eastAsia="zh-CN" w:bidi="ar"/>
        </w:rPr>
        <w:t>。</w:t>
      </w:r>
      <w:r>
        <w:rPr>
          <w:rFonts w:ascii="仿宋_GB2312" w:hAnsi="Calibri" w:eastAsia="仿宋_GB2312" w:cs="仿宋_GB2312"/>
          <w:color w:val="auto"/>
          <w:sz w:val="32"/>
          <w:szCs w:val="32"/>
          <w:lang w:bidi="ar"/>
        </w:rPr>
        <w:t>坚持把财政资金用在刀刃上，</w:t>
      </w:r>
      <w:r>
        <w:rPr>
          <w:rFonts w:hint="eastAsia" w:ascii="仿宋_GB2312" w:hAnsi="Calibri" w:eastAsia="仿宋_GB2312" w:cs="仿宋_GB2312"/>
          <w:color w:val="auto"/>
          <w:sz w:val="32"/>
          <w:szCs w:val="32"/>
          <w:lang w:bidi="ar"/>
        </w:rPr>
        <w:t>努力降低行政运行成本。</w:t>
      </w:r>
    </w:p>
    <w:p>
      <w:pPr>
        <w:keepNext w:val="0"/>
        <w:keepLines w:val="0"/>
        <w:pageBreakBefore w:val="0"/>
        <w:kinsoku/>
        <w:wordWrap/>
        <w:overflowPunct/>
        <w:topLinePunct w:val="0"/>
        <w:bidi w:val="0"/>
        <w:adjustRightInd w:val="0"/>
        <w:snapToGrid w:val="0"/>
        <w:spacing w:line="578" w:lineRule="exact"/>
        <w:ind w:firstLine="642" w:firstLineChars="200"/>
        <w:contextualSpacing/>
        <w:jc w:val="both"/>
        <w:textAlignment w:val="auto"/>
        <w:rPr>
          <w:rFonts w:hint="eastAsia" w:eastAsia="仿宋_GB2312" w:cs="仿宋_GB2312"/>
          <w:color w:val="auto"/>
          <w:sz w:val="32"/>
          <w:szCs w:val="32"/>
          <w:lang w:val="zh-CN"/>
        </w:rPr>
      </w:pPr>
      <w:r>
        <w:rPr>
          <w:rFonts w:hint="eastAsia" w:eastAsia="仿宋_GB2312" w:cs="仿宋_GB2312"/>
          <w:b/>
          <w:color w:val="auto"/>
          <w:sz w:val="32"/>
          <w:szCs w:val="32"/>
        </w:rPr>
        <w:t>3.</w:t>
      </w:r>
      <w:r>
        <w:rPr>
          <w:rFonts w:eastAsia="仿宋_GB2312" w:cs="仿宋_GB2312"/>
          <w:b/>
          <w:color w:val="auto"/>
          <w:sz w:val="32"/>
          <w:szCs w:val="32"/>
          <w:lang w:val="zh-CN"/>
        </w:rPr>
        <w:t>财务管理</w:t>
      </w:r>
      <w:r>
        <w:rPr>
          <w:rFonts w:hint="eastAsia" w:eastAsia="仿宋_GB2312" w:cs="仿宋_GB2312"/>
          <w:b/>
          <w:color w:val="auto"/>
          <w:sz w:val="32"/>
          <w:szCs w:val="32"/>
          <w:lang w:val="zh-CN"/>
        </w:rPr>
        <w:t>。</w:t>
      </w:r>
      <w:r>
        <w:rPr>
          <w:rFonts w:ascii="仿宋_GB2312" w:hAnsi="Calibri" w:eastAsia="仿宋_GB2312" w:cs="仿宋_GB2312"/>
          <w:color w:val="auto"/>
          <w:sz w:val="32"/>
          <w:szCs w:val="32"/>
          <w:lang w:bidi="ar"/>
        </w:rPr>
        <w:t>严格执行会计法、行政事业单位会计制度及各项财经制度，财务岗位设置合理，职责清晰，按规定设置了财务负责人、会计、出纳、资产管理等岗位。会计核算规范，</w:t>
      </w:r>
      <w:r>
        <w:rPr>
          <w:rFonts w:hint="eastAsia" w:ascii="仿宋_GB2312" w:hAnsi="Calibri" w:eastAsia="仿宋_GB2312" w:cs="仿宋_GB2312"/>
          <w:color w:val="auto"/>
          <w:sz w:val="32"/>
          <w:szCs w:val="32"/>
          <w:lang w:eastAsia="zh-CN" w:bidi="ar"/>
        </w:rPr>
        <w:t>严格</w:t>
      </w:r>
      <w:r>
        <w:rPr>
          <w:rFonts w:ascii="仿宋_GB2312" w:hAnsi="Calibri" w:eastAsia="仿宋_GB2312" w:cs="仿宋_GB2312"/>
          <w:color w:val="auto"/>
          <w:sz w:val="32"/>
          <w:szCs w:val="32"/>
          <w:lang w:bidi="ar"/>
        </w:rPr>
        <w:t>“三公经费”管理。细化收支业务管理、采购管理、固定资产管理等制度，不断健全内控制度，不断规范收支行为。</w:t>
      </w:r>
    </w:p>
    <w:p>
      <w:pPr>
        <w:keepNext w:val="0"/>
        <w:keepLines w:val="0"/>
        <w:pageBreakBefore w:val="0"/>
        <w:kinsoku/>
        <w:wordWrap/>
        <w:overflowPunct/>
        <w:topLinePunct w:val="0"/>
        <w:bidi w:val="0"/>
        <w:adjustRightInd w:val="0"/>
        <w:snapToGrid w:val="0"/>
        <w:spacing w:line="578" w:lineRule="exact"/>
        <w:ind w:firstLine="642" w:firstLineChars="200"/>
        <w:contextualSpacing/>
        <w:jc w:val="both"/>
        <w:textAlignment w:val="auto"/>
        <w:rPr>
          <w:rFonts w:hint="eastAsia" w:eastAsia="仿宋_GB2312" w:cs="仿宋_GB2312"/>
          <w:color w:val="auto"/>
          <w:sz w:val="32"/>
          <w:szCs w:val="32"/>
          <w:lang w:val="zh-CN"/>
        </w:rPr>
      </w:pPr>
      <w:r>
        <w:rPr>
          <w:rFonts w:hint="eastAsia" w:eastAsia="仿宋_GB2312" w:cs="仿宋_GB2312"/>
          <w:b/>
          <w:color w:val="auto"/>
          <w:sz w:val="32"/>
          <w:szCs w:val="32"/>
        </w:rPr>
        <w:t>4.</w:t>
      </w:r>
      <w:r>
        <w:rPr>
          <w:rFonts w:eastAsia="仿宋_GB2312" w:cs="仿宋_GB2312"/>
          <w:b/>
          <w:color w:val="auto"/>
          <w:sz w:val="32"/>
          <w:szCs w:val="32"/>
          <w:lang w:val="zh-CN"/>
        </w:rPr>
        <w:t>资产管理</w:t>
      </w:r>
      <w:r>
        <w:rPr>
          <w:rFonts w:hint="eastAsia" w:eastAsia="仿宋_GB2312" w:cs="仿宋_GB2312"/>
          <w:b/>
          <w:color w:val="auto"/>
          <w:sz w:val="32"/>
          <w:szCs w:val="32"/>
          <w:lang w:val="zh-CN"/>
        </w:rPr>
        <w:t>。</w:t>
      </w:r>
      <w:r>
        <w:rPr>
          <w:rFonts w:hint="eastAsia" w:eastAsia="仿宋_GB2312" w:cs="仿宋_GB2312"/>
          <w:color w:val="auto"/>
          <w:sz w:val="32"/>
          <w:szCs w:val="32"/>
          <w:lang w:val="zh-CN"/>
        </w:rPr>
        <w:t>人均资产变化率下降9.28%，主要变化原因是固定资产折旧增加，净值减少；住建系统人员变动较上年净增加4人；资产利用率方面，部分单位办公设备超最低使用年限仍然在继续合理地利用；办公用房由机关事务管理局安排，无闲置用房。资产多为房屋、车辆和办公设备，无盘活和可利用条件。</w:t>
      </w:r>
    </w:p>
    <w:p>
      <w:pPr>
        <w:keepNext w:val="0"/>
        <w:keepLines w:val="0"/>
        <w:pageBreakBefore w:val="0"/>
        <w:kinsoku/>
        <w:wordWrap/>
        <w:overflowPunct/>
        <w:topLinePunct w:val="0"/>
        <w:bidi w:val="0"/>
        <w:adjustRightInd w:val="0"/>
        <w:snapToGrid w:val="0"/>
        <w:spacing w:line="578" w:lineRule="exact"/>
        <w:ind w:firstLine="642" w:firstLineChars="200"/>
        <w:contextualSpacing/>
        <w:jc w:val="both"/>
        <w:textAlignment w:val="auto"/>
        <w:rPr>
          <w:rFonts w:hint="eastAsia" w:eastAsia="仿宋_GB2312" w:cs="仿宋_GB2312"/>
          <w:color w:val="0000FF"/>
          <w:sz w:val="32"/>
          <w:szCs w:val="32"/>
          <w:lang w:val="zh-CN"/>
        </w:rPr>
      </w:pPr>
      <w:r>
        <w:rPr>
          <w:rFonts w:hint="eastAsia" w:eastAsia="仿宋_GB2312" w:cs="仿宋_GB2312"/>
          <w:b/>
          <w:color w:val="auto"/>
          <w:sz w:val="32"/>
          <w:szCs w:val="32"/>
        </w:rPr>
        <w:t>5.</w:t>
      </w:r>
      <w:r>
        <w:rPr>
          <w:rFonts w:eastAsia="仿宋_GB2312" w:cs="仿宋_GB2312"/>
          <w:b/>
          <w:color w:val="auto"/>
          <w:sz w:val="32"/>
          <w:szCs w:val="32"/>
          <w:lang w:val="zh-CN"/>
        </w:rPr>
        <w:t>采购管理</w:t>
      </w:r>
      <w:r>
        <w:rPr>
          <w:rFonts w:hint="eastAsia" w:eastAsia="仿宋_GB2312" w:cs="仿宋_GB2312"/>
          <w:b/>
          <w:color w:val="auto"/>
          <w:sz w:val="32"/>
          <w:szCs w:val="32"/>
          <w:lang w:val="zh-CN"/>
        </w:rPr>
        <w:t>。</w:t>
      </w:r>
      <w:r>
        <w:rPr>
          <w:rFonts w:hint="eastAsia" w:eastAsia="仿宋_GB2312" w:cs="仿宋_GB2312"/>
          <w:color w:val="auto"/>
          <w:sz w:val="32"/>
          <w:szCs w:val="32"/>
          <w:lang w:val="zh-CN"/>
        </w:rPr>
        <w:t>2024年度</w:t>
      </w:r>
      <w:r>
        <w:rPr>
          <w:rFonts w:hint="eastAsia" w:ascii="仿宋_GB2312" w:hAnsi="仿宋" w:eastAsia="仿宋_GB2312"/>
          <w:sz w:val="32"/>
          <w:szCs w:val="32"/>
          <w:lang w:eastAsia="zh-CN"/>
        </w:rPr>
        <w:t>四川省</w:t>
      </w:r>
      <w:r>
        <w:rPr>
          <w:rFonts w:hint="eastAsia" w:ascii="仿宋_GB2312" w:hAnsi="仿宋" w:eastAsia="仿宋_GB2312"/>
          <w:sz w:val="32"/>
          <w:szCs w:val="32"/>
        </w:rPr>
        <w:t>攀</w:t>
      </w:r>
      <w:r>
        <w:rPr>
          <w:rFonts w:hint="eastAsia" w:ascii="仿宋_GB2312" w:eastAsia="仿宋_GB2312"/>
          <w:bCs/>
          <w:sz w:val="32"/>
          <w:szCs w:val="32"/>
        </w:rPr>
        <w:t>枝花市住房和城乡建设局</w:t>
      </w:r>
      <w:r>
        <w:rPr>
          <w:rFonts w:hint="eastAsia" w:eastAsia="仿宋_GB2312" w:cs="仿宋_GB2312"/>
          <w:color w:val="auto"/>
          <w:sz w:val="32"/>
          <w:szCs w:val="32"/>
          <w:lang w:val="zh-CN"/>
        </w:rPr>
        <w:t>系统政府采购支出总额5666.37万元，其中：政府采购货物支出34.07万元、政府采购服务支出365.52万元，政府采购工程支出5266.78万元。政府采购服务支出主要为攀枝花市城市排水防涝设施功能提升改造项目、国家零碳建筑示范城市方案规划编制项目、攀枝花市城市体检技术服务等。授予中小企业合同金额5521万元</w:t>
      </w:r>
      <w:r>
        <w:rPr>
          <w:rFonts w:hint="eastAsia" w:eastAsia="仿宋_GB2312" w:cs="仿宋_GB2312"/>
          <w:color w:val="auto"/>
          <w:sz w:val="32"/>
          <w:szCs w:val="32"/>
        </w:rPr>
        <w:t>，</w:t>
      </w:r>
      <w:r>
        <w:rPr>
          <w:rFonts w:hint="eastAsia" w:ascii="仿宋_GB2312" w:hAnsi="仿宋_GB2312" w:eastAsia="仿宋_GB2312" w:cs="仿宋_GB2312"/>
          <w:color w:val="auto"/>
          <w:sz w:val="32"/>
          <w:szCs w:val="32"/>
        </w:rPr>
        <w:t>其中：授予小微企业合同金额</w:t>
      </w:r>
      <w:r>
        <w:rPr>
          <w:rFonts w:hint="eastAsia" w:eastAsia="仿宋_GB2312" w:cs="仿宋_GB2312"/>
          <w:color w:val="auto"/>
          <w:sz w:val="32"/>
          <w:szCs w:val="32"/>
        </w:rPr>
        <w:t>5455.13</w:t>
      </w:r>
      <w:r>
        <w:rPr>
          <w:rFonts w:hint="eastAsia" w:ascii="仿宋_GB2312" w:hAnsi="仿宋_GB2312" w:eastAsia="仿宋_GB2312" w:cs="仿宋_GB2312"/>
          <w:color w:val="auto"/>
          <w:sz w:val="32"/>
          <w:szCs w:val="32"/>
        </w:rPr>
        <w:t>万元</w:t>
      </w:r>
      <w:r>
        <w:rPr>
          <w:rFonts w:hint="eastAsia" w:eastAsia="仿宋_GB2312" w:cs="仿宋_GB2312"/>
          <w:color w:val="auto"/>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常年项目绩效分析。该类项目总数5个，涉及预算总金额131.46万元，1—12月预算执行总体进度为100%，其中：预算结余率大于10%的项目共计0个。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阶段（含一次性）项目绩效分析。该类项目总数67个，涉及预算总金额29766.45万元，1—12月预算执行总体进度为100%，其中：预算结余率大于10%的项目共计0个。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项目决策。</w:t>
      </w:r>
      <w:r>
        <w:rPr>
          <w:rFonts w:hint="eastAsia" w:ascii="Times New Roman" w:hAnsi="Times New Roman" w:eastAsia="仿宋" w:cs="Times New Roman"/>
          <w:sz w:val="32"/>
          <w:szCs w:val="32"/>
          <w:lang w:eastAsia="zh-CN"/>
        </w:rPr>
        <w:t>建立“近期</w:t>
      </w:r>
      <w:r>
        <w:rPr>
          <w:rFonts w:hint="eastAsia" w:ascii="Times New Roman" w:hAnsi="Times New Roman" w:eastAsia="仿宋" w:cs="Times New Roman"/>
          <w:sz w:val="32"/>
          <w:szCs w:val="32"/>
          <w:lang w:val="en-US" w:eastAsia="zh-CN"/>
        </w:rPr>
        <w:t>申报</w:t>
      </w:r>
      <w:r>
        <w:rPr>
          <w:rFonts w:hint="eastAsia" w:ascii="Times New Roman" w:hAnsi="Times New Roman" w:eastAsia="仿宋" w:cs="Times New Roman"/>
          <w:sz w:val="32"/>
          <w:szCs w:val="32"/>
          <w:lang w:eastAsia="zh-CN"/>
        </w:rPr>
        <w:t>、中期</w:t>
      </w:r>
      <w:r>
        <w:rPr>
          <w:rFonts w:hint="eastAsia" w:ascii="Times New Roman" w:hAnsi="Times New Roman" w:eastAsia="仿宋" w:cs="Times New Roman"/>
          <w:sz w:val="32"/>
          <w:szCs w:val="32"/>
          <w:lang w:val="en-US" w:eastAsia="zh-CN"/>
        </w:rPr>
        <w:t>储备</w:t>
      </w:r>
      <w:r>
        <w:rPr>
          <w:rFonts w:hint="eastAsia" w:ascii="Times New Roman" w:hAnsi="Times New Roman" w:eastAsia="仿宋" w:cs="Times New Roman"/>
          <w:sz w:val="32"/>
          <w:szCs w:val="32"/>
          <w:lang w:eastAsia="zh-CN"/>
        </w:rPr>
        <w:t>、远期谋划”三级储备滚动更新项目库，不断提高债券项目储备精准度和成熟度。</w:t>
      </w:r>
      <w:r>
        <w:rPr>
          <w:rFonts w:hint="eastAsia" w:ascii="Times New Roman" w:hAnsi="Times New Roman" w:eastAsia="仿宋_GB2312" w:cs="仿宋_GB2312"/>
          <w:color w:val="auto"/>
          <w:kern w:val="2"/>
          <w:sz w:val="32"/>
          <w:szCs w:val="32"/>
          <w:highlight w:val="none"/>
          <w:lang w:val="zh-CN" w:eastAsia="zh-CN" w:bidi="ar-SA"/>
        </w:rPr>
        <w:t>项目决策程序严格按照有关规定执行，强化项目评审论证</w:t>
      </w:r>
      <w:r>
        <w:rPr>
          <w:rFonts w:hint="eastAsia" w:eastAsia="仿宋_GB2312" w:cs="仿宋_GB2312"/>
          <w:color w:val="auto"/>
          <w:kern w:val="2"/>
          <w:sz w:val="32"/>
          <w:szCs w:val="32"/>
          <w:highlight w:val="none"/>
          <w:lang w:val="zh-CN" w:eastAsia="zh-CN" w:bidi="ar-SA"/>
        </w:rPr>
        <w:t>，</w:t>
      </w:r>
      <w:r>
        <w:rPr>
          <w:rFonts w:hint="eastAsia" w:ascii="Times New Roman" w:hAnsi="Times New Roman" w:eastAsia="仿宋_GB2312" w:cs="仿宋_GB2312"/>
          <w:color w:val="auto"/>
          <w:kern w:val="2"/>
          <w:sz w:val="32"/>
          <w:szCs w:val="32"/>
          <w:highlight w:val="none"/>
          <w:lang w:val="zh-CN" w:eastAsia="zh-CN" w:bidi="ar-SA"/>
        </w:rPr>
        <w:t>完善逐级审核机制</w:t>
      </w:r>
      <w:r>
        <w:rPr>
          <w:rFonts w:hint="eastAsia" w:eastAsia="仿宋_GB2312" w:cs="仿宋_GB2312"/>
          <w:color w:val="auto"/>
          <w:kern w:val="2"/>
          <w:sz w:val="32"/>
          <w:szCs w:val="32"/>
          <w:highlight w:val="none"/>
          <w:lang w:val="zh-CN" w:eastAsia="zh-CN" w:bidi="ar-SA"/>
        </w:rPr>
        <w:t>，</w:t>
      </w:r>
      <w:r>
        <w:rPr>
          <w:rFonts w:hint="eastAsia" w:ascii="Times New Roman" w:hAnsi="Times New Roman" w:eastAsia="仿宋_GB2312" w:cs="仿宋_GB2312"/>
          <w:color w:val="auto"/>
          <w:kern w:val="2"/>
          <w:sz w:val="32"/>
          <w:szCs w:val="32"/>
          <w:highlight w:val="none"/>
          <w:lang w:val="zh-CN" w:eastAsia="zh-CN" w:bidi="ar-SA"/>
        </w:rPr>
        <w:t>确保项目合理性、必要性</w:t>
      </w:r>
      <w:r>
        <w:rPr>
          <w:rFonts w:hint="eastAsia" w:eastAsia="仿宋_GB2312" w:cs="仿宋_GB2312"/>
          <w:color w:val="auto"/>
          <w:kern w:val="2"/>
          <w:sz w:val="32"/>
          <w:szCs w:val="32"/>
          <w:highlight w:val="none"/>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2.项目执行</w:t>
      </w:r>
      <w:r>
        <w:rPr>
          <w:rFonts w:hint="eastAsia" w:ascii="Times New Roman" w:hAnsi="Times New Roman" w:eastAsia="仿宋_GB2312" w:cs="仿宋_GB2312"/>
          <w:color w:val="auto"/>
          <w:kern w:val="2"/>
          <w:sz w:val="32"/>
          <w:szCs w:val="32"/>
          <w:highlight w:val="none"/>
          <w:lang w:val="zh-CN" w:eastAsia="zh-CN" w:bidi="ar-SA"/>
        </w:rPr>
        <w:t>。强化绩效管理，加大绩效管理力度，积极做好项目事前、事中、事后绩效工作。项目实施过程</w:t>
      </w:r>
      <w:r>
        <w:rPr>
          <w:rFonts w:hint="eastAsia" w:eastAsia="仿宋_GB2312" w:cs="仿宋_GB2312"/>
          <w:color w:val="auto"/>
          <w:kern w:val="2"/>
          <w:sz w:val="32"/>
          <w:szCs w:val="32"/>
          <w:highlight w:val="none"/>
          <w:lang w:val="zh-CN" w:eastAsia="zh-CN" w:bidi="ar-SA"/>
        </w:rPr>
        <w:t>中</w:t>
      </w:r>
      <w:r>
        <w:rPr>
          <w:rFonts w:hint="eastAsia" w:ascii="Times New Roman" w:hAnsi="Times New Roman" w:eastAsia="仿宋_GB2312" w:cs="仿宋_GB2312"/>
          <w:color w:val="auto"/>
          <w:kern w:val="2"/>
          <w:sz w:val="32"/>
          <w:szCs w:val="32"/>
          <w:highlight w:val="none"/>
          <w:lang w:val="zh-CN" w:eastAsia="zh-CN" w:bidi="ar-SA"/>
        </w:rPr>
        <w:t>，督促相关人员严格按照程序规范实施，并将绩效目标落实到项目管理过程中，定期检查进度完成情况，资金投向符合有关资金管理要求。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目标实现。严格控制各项支出，当年预算支出完成率100%，实际支出按预算执行，无违规记录等情况。项目任务量完成较好、质量和时效符合要求，成本控制较好，基本实现既定目标任务。</w:t>
      </w:r>
    </w:p>
    <w:p>
      <w:pPr>
        <w:keepNext w:val="0"/>
        <w:keepLines w:val="0"/>
        <w:pageBreakBefore w:val="0"/>
        <w:numPr>
          <w:ilvl w:val="0"/>
          <w:numId w:val="2"/>
        </w:numPr>
        <w:kinsoku/>
        <w:wordWrap/>
        <w:overflowPunct/>
        <w:topLinePunct w:val="0"/>
        <w:bidi w:val="0"/>
        <w:snapToGrid w:val="0"/>
        <w:spacing w:line="578" w:lineRule="exact"/>
        <w:ind w:left="0" w:leftChars="0" w:firstLine="642" w:firstLineChars="200"/>
        <w:jc w:val="both"/>
        <w:textAlignment w:val="auto"/>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zh-CN" w:eastAsia="zh-CN" w:bidi="ar-SA"/>
        </w:rPr>
        <w:t>在部门预算绩效管理工作中，围绕预算管理全流程，多维度深化绩效结果应用，切实提升财政资金使用效益。强化项目动态管理，以绩效评价发现的问题为导向，针对部门项目执行进度滞后问题，加强部门协同，推进项目执行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zh-CN" w:eastAsia="zh-CN" w:bidi="ar-SA"/>
        </w:rPr>
        <w:t>严格落实信息公开制度，年初部门预算下达后，项目绩效目标与部门预算在政府门户网站进行了公布，年中按要求进行了中期绩效监控，自觉接待社会公众监督，有效增强财政资金使用的透明度。不断加强改进，健全机制，促进住房城乡建设事业健康发展</w:t>
      </w:r>
      <w:r>
        <w:rPr>
          <w:rFonts w:hint="eastAsia" w:ascii="Times New Roman" w:hAnsi="Times New Roman" w:eastAsia="仿宋_GB2312" w:cs="仿宋_GB2312"/>
          <w:color w:val="auto"/>
          <w:kern w:val="2"/>
          <w:sz w:val="32"/>
          <w:szCs w:val="32"/>
          <w:highlight w:val="none"/>
          <w:lang w:val="zh-CN"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bookmarkStart w:id="106" w:name="_Toc1882097762_WPSOffice_Level2"/>
      <w:bookmarkStart w:id="107" w:name="_Toc1113967530_WPSOffice_Level2"/>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bookmarkEnd w:id="106"/>
      <w:bookmarkEnd w:id="107"/>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both"/>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zh-CN" w:eastAsia="zh-CN" w:bidi="ar-SA"/>
        </w:rPr>
        <w:t>资金使用过程中，本着节约原则，既保障工作开展，又符合各项制度政策；同时对资金使用加以分析，以提高资金使用效益，强化资金管理责任，更好地把握财政政策的经济性、效率性、效益性、公平性和可持续性。综合自评得分99.78分。</w:t>
      </w:r>
    </w:p>
    <w:p>
      <w:pPr>
        <w:keepNext w:val="0"/>
        <w:keepLines w:val="0"/>
        <w:pageBreakBefore w:val="0"/>
        <w:widowControl/>
        <w:numPr>
          <w:ilvl w:val="0"/>
          <w:numId w:val="3"/>
        </w:numPr>
        <w:kinsoku/>
        <w:wordWrap/>
        <w:overflowPunct/>
        <w:topLinePunct w:val="0"/>
        <w:bidi w:val="0"/>
        <w:adjustRightInd w:val="0"/>
        <w:snapToGrid w:val="0"/>
        <w:spacing w:line="578" w:lineRule="exact"/>
        <w:ind w:firstLine="629" w:firstLineChars="196"/>
        <w:contextualSpacing/>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存在问题。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b/>
          <w:bCs/>
          <w:color w:val="auto"/>
          <w:kern w:val="2"/>
          <w:sz w:val="32"/>
          <w:szCs w:val="32"/>
          <w:highlight w:val="none"/>
          <w:lang w:val="zh-CN" w:eastAsia="zh-CN" w:bidi="ar-SA"/>
        </w:rPr>
        <w:t>一是</w:t>
      </w:r>
      <w:r>
        <w:rPr>
          <w:rFonts w:hint="eastAsia" w:ascii="Times New Roman" w:hAnsi="Times New Roman" w:eastAsia="仿宋_GB2312" w:cs="仿宋_GB2312"/>
          <w:color w:val="auto"/>
          <w:kern w:val="2"/>
          <w:sz w:val="32"/>
          <w:szCs w:val="32"/>
          <w:highlight w:val="none"/>
          <w:lang w:val="zh-CN" w:eastAsia="zh-CN" w:bidi="ar-SA"/>
        </w:rPr>
        <w:t>预算编制的科学性还需加强，实际年初预算安排与实际需求存在较大差距，难以满足全年工作开展。</w:t>
      </w:r>
      <w:r>
        <w:rPr>
          <w:rFonts w:hint="eastAsia" w:ascii="Times New Roman" w:hAnsi="Times New Roman" w:eastAsia="仿宋_GB2312" w:cs="仿宋_GB2312"/>
          <w:b/>
          <w:bCs/>
          <w:color w:val="auto"/>
          <w:kern w:val="2"/>
          <w:sz w:val="32"/>
          <w:szCs w:val="32"/>
          <w:highlight w:val="none"/>
          <w:lang w:val="zh-CN" w:eastAsia="zh-CN" w:bidi="ar-SA"/>
        </w:rPr>
        <w:t>二是</w:t>
      </w:r>
      <w:r>
        <w:rPr>
          <w:rFonts w:hint="eastAsia" w:ascii="Times New Roman" w:hAnsi="Times New Roman" w:eastAsia="仿宋_GB2312" w:cs="仿宋_GB2312"/>
          <w:color w:val="auto"/>
          <w:kern w:val="2"/>
          <w:sz w:val="32"/>
          <w:szCs w:val="32"/>
          <w:highlight w:val="none"/>
          <w:lang w:val="zh-CN" w:eastAsia="zh-CN" w:bidi="ar-SA"/>
        </w:rPr>
        <w:t>项目实施进度已达到资金支付条件，但资金支付计划审核未与之同步，资金未及时到位，导致项目推进滞后。</w:t>
      </w:r>
    </w:p>
    <w:p>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left="0" w:leftChars="0" w:firstLine="629" w:firstLineChars="196"/>
        <w:contextualSpacing/>
        <w:jc w:val="both"/>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改进建议。</w:t>
      </w:r>
    </w:p>
    <w:p>
      <w:pPr>
        <w:pStyle w:val="3"/>
        <w:keepNext w:val="0"/>
        <w:keepLines w:val="0"/>
        <w:pageBreakBefore w:val="0"/>
        <w:numPr>
          <w:ilvl w:val="0"/>
          <w:numId w:val="0"/>
        </w:numPr>
        <w:kinsoku/>
        <w:wordWrap/>
        <w:overflowPunct/>
        <w:topLinePunct w:val="0"/>
        <w:autoSpaceDE/>
        <w:autoSpaceDN/>
        <w:bidi w:val="0"/>
        <w:spacing w:line="578" w:lineRule="exact"/>
        <w:ind w:firstLine="640" w:firstLineChars="200"/>
        <w:jc w:val="both"/>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加强与机关业务科室和财政相关部门的沟通协调，提高预算编制的科学性，缩小预算和项目实际需求之间的差距，合理争取项目资金，保障项目实施进度。</w:t>
      </w:r>
    </w:p>
    <w:p>
      <w:pPr>
        <w:pStyle w:val="3"/>
        <w:keepNext w:val="0"/>
        <w:keepLines w:val="0"/>
        <w:pageBreakBefore w:val="0"/>
        <w:numPr>
          <w:ilvl w:val="0"/>
          <w:numId w:val="0"/>
        </w:numPr>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pPr>
        <w:pStyle w:val="3"/>
        <w:keepNext w:val="0"/>
        <w:keepLines w:val="0"/>
        <w:pageBreakBefore w:val="0"/>
        <w:numPr>
          <w:ilvl w:val="0"/>
          <w:numId w:val="0"/>
        </w:numPr>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Times New Roman" w:hAnsi="Times New Roman" w:eastAsia="仿宋_GB2312" w:cs="Times New Roman"/>
          <w:kern w:val="2"/>
          <w:sz w:val="32"/>
          <w:szCs w:val="32"/>
          <w:u w:val="none"/>
          <w:lang w:val="en-US" w:eastAsia="zh-CN" w:bidi="ar"/>
        </w:rPr>
        <w:t>年度）</w:t>
      </w:r>
    </w:p>
    <w:p>
      <w:pPr>
        <w:pStyle w:val="3"/>
        <w:keepNext w:val="0"/>
        <w:keepLines w:val="0"/>
        <w:pageBreakBefore w:val="0"/>
        <w:numPr>
          <w:ilvl w:val="0"/>
          <w:numId w:val="0"/>
        </w:numPr>
        <w:kinsoku/>
        <w:wordWrap/>
        <w:overflowPunct/>
        <w:topLinePunct w:val="0"/>
        <w:autoSpaceDE/>
        <w:autoSpaceDN/>
        <w:bidi w:val="0"/>
        <w:spacing w:line="578" w:lineRule="exact"/>
        <w:textAlignment w:val="auto"/>
        <w:rPr>
          <w:rFonts w:hint="eastAsia" w:ascii="Times New Roman" w:hAnsi="Times New Roman" w:cs="Times New Roman"/>
          <w:sz w:val="32"/>
          <w:szCs w:val="32"/>
          <w:highlight w:val="yellow"/>
          <w:lang w:val="zh-CN" w:eastAsia="zh-CN"/>
        </w:rPr>
      </w:pPr>
    </w:p>
    <w:p>
      <w:pPr>
        <w:pStyle w:val="8"/>
        <w:keepNext w:val="0"/>
        <w:keepLines w:val="0"/>
        <w:pageBreakBefore w:val="0"/>
        <w:kinsoku/>
        <w:wordWrap/>
        <w:overflowPunct/>
        <w:topLinePunct w:val="0"/>
        <w:bidi w:val="0"/>
        <w:spacing w:line="578" w:lineRule="exact"/>
        <w:textAlignment w:val="auto"/>
        <w:rPr>
          <w:rFonts w:hint="eastAsia" w:ascii="Times New Roman" w:hAnsi="Times New Roman" w:cs="宋体"/>
          <w:color w:val="FF0000"/>
          <w:kern w:val="0"/>
          <w:sz w:val="32"/>
          <w:szCs w:val="32"/>
          <w:highlight w:val="yellow"/>
          <w:shd w:val="clear" w:color="auto" w:fill="FFFFFF"/>
          <w:lang w:val="zh-CN"/>
        </w:rPr>
      </w:pPr>
    </w:p>
    <w:p>
      <w:pPr>
        <w:keepNext w:val="0"/>
        <w:keepLines w:val="0"/>
        <w:pageBreakBefore w:val="0"/>
        <w:kinsoku/>
        <w:wordWrap/>
        <w:overflowPunct/>
        <w:topLinePunct w:val="0"/>
        <w:bidi w:val="0"/>
        <w:spacing w:line="578" w:lineRule="exact"/>
        <w:textAlignment w:val="auto"/>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pStyle w:val="8"/>
        <w:keepNext w:val="0"/>
        <w:keepLines w:val="0"/>
        <w:pageBreakBefore w:val="0"/>
        <w:kinsoku/>
        <w:wordWrap/>
        <w:overflowPunct/>
        <w:topLinePunct w:val="0"/>
        <w:bidi w:val="0"/>
        <w:spacing w:line="578" w:lineRule="exact"/>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pPr>
        <w:pStyle w:val="37"/>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default" w:ascii="Times New Roman" w:hAnsi="Times New Roman" w:eastAsia="方正小标宋简体" w:cs="方正小标宋简体"/>
          <w:color w:val="auto"/>
          <w:kern w:val="2"/>
          <w:sz w:val="44"/>
          <w:szCs w:val="44"/>
          <w:highlight w:val="none"/>
          <w:lang w:val="en-US" w:eastAsia="zh-CN"/>
        </w:rPr>
      </w:pPr>
      <w:bookmarkStart w:id="108" w:name="_Toc554009318_WPSOffice_Level2"/>
      <w:bookmarkStart w:id="109" w:name="_Toc630618619_WPSOffice_Level2"/>
      <w:r>
        <w:rPr>
          <w:rFonts w:hint="eastAsia" w:ascii="Times New Roman" w:hAnsi="Times New Roman" w:eastAsia="方正小标宋简体" w:cs="方正小标宋简体"/>
          <w:color w:val="auto"/>
          <w:kern w:val="2"/>
          <w:sz w:val="44"/>
          <w:szCs w:val="44"/>
          <w:highlight w:val="none"/>
          <w:lang w:val="en-US" w:eastAsia="zh-CN"/>
        </w:rPr>
        <w:t>攀枝花市火车南站PPP项目</w:t>
      </w:r>
      <w:bookmarkEnd w:id="108"/>
      <w:bookmarkEnd w:id="109"/>
    </w:p>
    <w:p>
      <w:pPr>
        <w:pStyle w:val="37"/>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bookmarkStart w:id="110" w:name="_Toc1047746514_WPSOffice_Level2"/>
      <w:bookmarkStart w:id="111" w:name="_Toc688941276_WPSOffice_Level2"/>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bookmarkEnd w:id="110"/>
      <w:bookmarkEnd w:id="111"/>
    </w:p>
    <w:p>
      <w:pPr>
        <w:pStyle w:val="37"/>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Times New Roman" w:hAnsi="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Times New Roman" w:hAnsi="Times New Roman" w:eastAsia="黑体"/>
          <w:sz w:val="32"/>
          <w:szCs w:val="32"/>
          <w:highlight w:val="none"/>
          <w:lang w:val="zh-CN"/>
        </w:rPr>
      </w:pPr>
      <w:bookmarkStart w:id="112" w:name="_Toc343587038_WPSOffice_Level2"/>
      <w:bookmarkStart w:id="113" w:name="_Toc1146800480_WPSOffice_Level2"/>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lang w:val="zh-CN"/>
        </w:rPr>
        <w:t>项目概况</w:t>
      </w:r>
      <w:bookmarkEnd w:id="112"/>
      <w:bookmarkEnd w:id="113"/>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both"/>
        <w:textAlignment w:val="auto"/>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（一）设立背景及基本情况。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eastAsia="仿宋_GB2312" w:cs="仿宋_GB2312"/>
          <w:sz w:val="32"/>
          <w:szCs w:val="32"/>
          <w:shd w:val="clear" w:color="auto" w:fill="FFFFFF"/>
          <w:lang w:val="zh-CN" w:eastAsia="zh-CN" w:bidi="ar-SA"/>
        </w:rPr>
      </w:pPr>
      <w:r>
        <w:rPr>
          <w:rFonts w:ascii="Times New Roman" w:hAnsi="Times New Roman" w:eastAsia="仿宋_GB2312" w:cs="仿宋_GB2312"/>
          <w:color w:val="auto"/>
          <w:kern w:val="0"/>
          <w:sz w:val="32"/>
          <w:szCs w:val="32"/>
          <w:highlight w:val="none"/>
          <w:u w:val="none"/>
          <w:shd w:val="clear" w:color="auto" w:fill="FFFFFF"/>
          <w:lang w:val="zh-CN" w:eastAsia="zh-CN" w:bidi="ar-SA"/>
        </w:rPr>
        <w:t>1.</w:t>
      </w:r>
      <w:r>
        <w:rPr>
          <w:rFonts w:eastAsia="仿宋_GB2312" w:cs="仿宋_GB2312"/>
          <w:sz w:val="32"/>
          <w:szCs w:val="32"/>
          <w:shd w:val="clear" w:color="auto" w:fill="FFFFFF"/>
          <w:lang w:val="zh-CN" w:eastAsia="zh-CN" w:bidi="ar-SA"/>
        </w:rPr>
        <w:t>项目主要内容。</w:t>
      </w:r>
      <w:r>
        <w:rPr>
          <w:rFonts w:hint="eastAsia" w:eastAsia="仿宋_GB2312" w:cs="仿宋_GB2312"/>
          <w:sz w:val="32"/>
          <w:szCs w:val="32"/>
          <w:shd w:val="clear" w:color="auto" w:fill="FFFFFF"/>
          <w:lang w:val="zh-CN" w:eastAsia="zh-CN" w:bidi="ar-SA"/>
        </w:rPr>
        <w:t>本项目包含站前交通枢纽及附属设施和市政道路及附属设施两部分。站前交通枢纽及附属设施包括建筑面积44427平方米的建筑用房、79136平方米的绿地以及17979平方米的硬质铺装等。市政道路及附属设施包括6条总长8186米的市政道路及附属设施、三条总长6935米的排洪涵等。</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eastAsia="仿宋_GB2312" w:cs="仿宋_GB2312"/>
          <w:sz w:val="32"/>
          <w:szCs w:val="32"/>
          <w:shd w:val="clear" w:color="auto" w:fill="FFFFFF"/>
          <w:lang w:val="zh-CN" w:eastAsia="zh-CN" w:bidi="ar-SA"/>
        </w:rPr>
      </w:pPr>
      <w:r>
        <w:rPr>
          <w:rFonts w:eastAsia="仿宋_GB2312" w:cs="仿宋_GB2312"/>
          <w:sz w:val="32"/>
          <w:szCs w:val="32"/>
          <w:shd w:val="clear" w:color="auto" w:fill="FFFFFF"/>
          <w:lang w:val="en-US" w:eastAsia="zh-CN" w:bidi="ar-SA"/>
        </w:rPr>
        <w:t>2.</w:t>
      </w:r>
      <w:r>
        <w:rPr>
          <w:rFonts w:hint="eastAsia" w:eastAsia="仿宋_GB2312" w:cs="仿宋_GB2312"/>
          <w:sz w:val="32"/>
          <w:szCs w:val="32"/>
          <w:shd w:val="clear" w:color="auto" w:fill="FFFFFF"/>
          <w:lang w:val="zh-CN" w:eastAsia="zh-CN" w:bidi="ar-SA"/>
        </w:rPr>
        <w:t>项目立项、资金申报的依据。2016年</w:t>
      </w:r>
      <w:r>
        <w:rPr>
          <w:rFonts w:eastAsia="仿宋_GB2312" w:cs="仿宋_GB2312"/>
          <w:sz w:val="32"/>
          <w:szCs w:val="32"/>
          <w:shd w:val="clear" w:color="auto" w:fill="FFFFFF"/>
          <w:lang w:val="zh-CN" w:eastAsia="zh-CN" w:bidi="ar-SA"/>
        </w:rPr>
        <w:t>7月10日，市发改委批复项目可行性研究报告</w:t>
      </w:r>
      <w:r>
        <w:rPr>
          <w:rFonts w:hint="eastAsia" w:eastAsia="仿宋_GB2312" w:cs="仿宋_GB2312"/>
          <w:sz w:val="32"/>
          <w:szCs w:val="32"/>
          <w:shd w:val="clear" w:color="auto" w:fill="FFFFFF"/>
          <w:lang w:val="zh-CN" w:eastAsia="zh-CN" w:bidi="ar-SA"/>
        </w:rPr>
        <w:t>（攀发改函﹝2016﹞142号）</w:t>
      </w:r>
      <w:r>
        <w:rPr>
          <w:rFonts w:eastAsia="仿宋_GB2312" w:cs="仿宋_GB2312"/>
          <w:sz w:val="32"/>
          <w:szCs w:val="32"/>
          <w:shd w:val="clear" w:color="auto" w:fill="FFFFFF"/>
          <w:lang w:val="zh-CN" w:eastAsia="zh-CN" w:bidi="ar-SA"/>
        </w:rPr>
        <w:t>，项目总投资1</w:t>
      </w:r>
      <w:r>
        <w:rPr>
          <w:rFonts w:hint="eastAsia" w:eastAsia="仿宋_GB2312" w:cs="仿宋_GB2312"/>
          <w:sz w:val="32"/>
          <w:szCs w:val="32"/>
          <w:shd w:val="clear" w:color="auto" w:fill="FFFFFF"/>
          <w:lang w:val="zh-CN" w:eastAsia="zh-CN" w:bidi="ar-SA"/>
        </w:rPr>
        <w:t>98000万</w:t>
      </w:r>
      <w:r>
        <w:rPr>
          <w:rFonts w:eastAsia="仿宋_GB2312" w:cs="仿宋_GB2312"/>
          <w:sz w:val="32"/>
          <w:szCs w:val="32"/>
          <w:shd w:val="clear" w:color="auto" w:fill="FFFFFF"/>
          <w:lang w:val="zh-CN" w:eastAsia="zh-CN" w:bidi="ar-SA"/>
        </w:rPr>
        <w:t>元（含征地拆迁费5</w:t>
      </w:r>
      <w:r>
        <w:rPr>
          <w:rFonts w:hint="eastAsia" w:eastAsia="仿宋_GB2312" w:cs="仿宋_GB2312"/>
          <w:sz w:val="32"/>
          <w:szCs w:val="32"/>
          <w:shd w:val="clear" w:color="auto" w:fill="FFFFFF"/>
          <w:lang w:val="zh-CN" w:eastAsia="zh-CN" w:bidi="ar-SA"/>
        </w:rPr>
        <w:t>6000万</w:t>
      </w:r>
      <w:r>
        <w:rPr>
          <w:rFonts w:eastAsia="仿宋_GB2312" w:cs="仿宋_GB2312"/>
          <w:sz w:val="32"/>
          <w:szCs w:val="32"/>
          <w:shd w:val="clear" w:color="auto" w:fill="FFFFFF"/>
          <w:lang w:val="zh-CN" w:eastAsia="zh-CN" w:bidi="ar-SA"/>
        </w:rPr>
        <w:t>元）</w:t>
      </w:r>
      <w:r>
        <w:rPr>
          <w:rFonts w:hint="eastAsia" w:eastAsia="仿宋_GB2312" w:cs="仿宋_GB2312"/>
          <w:sz w:val="32"/>
          <w:szCs w:val="32"/>
          <w:shd w:val="clear" w:color="auto" w:fill="FFFFFF"/>
          <w:lang w:val="zh-CN" w:eastAsia="zh-CN" w:bidi="ar-SA"/>
        </w:rPr>
        <w:t>。申报符合合同约定和资金管理办法等相关规定。</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eastAsia" w:ascii="Times New Roman" w:hAnsi="Times New Roman" w:eastAsia="仿宋_GB2312" w:cs="仿宋_GB2312"/>
          <w:color w:val="auto"/>
          <w:kern w:val="0"/>
          <w:sz w:val="32"/>
          <w:szCs w:val="32"/>
          <w:highlight w:val="none"/>
          <w:u w:val="none"/>
          <w:shd w:val="clear" w:color="auto" w:fill="FFFFFF"/>
          <w:lang w:val="zh-CN"/>
        </w:rPr>
      </w:pPr>
      <w:r>
        <w:rPr>
          <w:rFonts w:eastAsia="仿宋_GB2312" w:cs="仿宋_GB2312"/>
          <w:sz w:val="32"/>
          <w:szCs w:val="32"/>
          <w:shd w:val="clear" w:color="auto" w:fill="FFFFFF"/>
          <w:lang w:val="zh-CN" w:eastAsia="zh-CN" w:bidi="ar-SA"/>
        </w:rPr>
        <w:t>3.</w:t>
      </w:r>
      <w:r>
        <w:rPr>
          <w:rFonts w:hint="eastAsia" w:eastAsia="仿宋_GB2312" w:cs="仿宋_GB2312"/>
          <w:sz w:val="32"/>
          <w:szCs w:val="32"/>
          <w:shd w:val="clear" w:color="auto" w:fill="FFFFFF"/>
          <w:lang w:val="zh-CN" w:eastAsia="zh-CN" w:bidi="ar-SA"/>
        </w:rPr>
        <w:t>项目主管部门（单位）在该项目管理中的职能。本项目监督部门为市住房城乡建设局，职责如下：会同市财政局、市城管执法局等有关部门审核年度运维方案并提出审核意见；会同市财政局等有关部门审核运维单位招标文件、评标办法、合同草案等，全程参与并监督第三方社会化专业公司招采；对本项目投资范围内的房屋场地、广告位、地下停车场、零星商铺及其它经营项目的招租过程、经营合同的执行情况进行监督；接收项目公司提交的项目运维相关请示并回复；审阅有关项目运维情况的报告及其它相关资料；对本项目运维情况进行入场检查，并对运维效果定期考核；协调解决项目公司在运维活动中遇到的有关问题；履行运维绩效服务费支付有关流程。</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jc w:val="both"/>
        <w:textAlignment w:val="auto"/>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b/>
          <w:color w:val="auto"/>
          <w:sz w:val="32"/>
          <w:szCs w:val="32"/>
          <w:highlight w:val="none"/>
          <w:u w:val="none"/>
          <w:lang w:val="zh-CN"/>
        </w:rPr>
        <w:t>（</w:t>
      </w:r>
      <w:r>
        <w:rPr>
          <w:rFonts w:hint="eastAsia"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r>
        <w:rPr>
          <w:rFonts w:hint="eastAsia" w:ascii="Times New Roman" w:hAnsi="Times New Roman" w:eastAsia="楷体_GB2312" w:cs="Times New Roman"/>
          <w:b/>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eastAsia="仿宋_GB2312" w:cs="仿宋_GB2312"/>
          <w:sz w:val="32"/>
          <w:szCs w:val="32"/>
          <w:lang w:val="zh-CN" w:eastAsia="zh-CN" w:bidi="ar-SA"/>
        </w:rPr>
        <w:t>资金管理办法制定情况，资金支持具体项目的条件、范围与支持方式概况。制定了项目支出审批流程，项目资金严格按照合同约定和绩效考核结果进行支出，并履行主管部门决策程序。项目资金用于支付项目可用性服务费和运营维护绩效服务费。</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both"/>
        <w:textAlignment w:val="auto"/>
        <w:rPr>
          <w:rFonts w:hint="eastAsia" w:ascii="Times New Roman" w:hAnsi="Times New Roman" w:eastAsia="楷体_GB2312" w:cs="Times New Roman"/>
          <w:b/>
          <w:color w:val="auto"/>
          <w:sz w:val="32"/>
          <w:szCs w:val="32"/>
          <w:highlight w:val="none"/>
          <w:u w:val="none"/>
          <w:lang w:val="zh-CN" w:eastAsia="zh-CN"/>
        </w:rPr>
      </w:pPr>
      <w:r>
        <w:rPr>
          <w:rFonts w:hint="eastAsia" w:ascii="Times New Roman" w:hAnsi="Times New Roman" w:eastAsia="楷体_GB2312" w:cs="Times New Roman"/>
          <w:b/>
          <w:color w:val="auto"/>
          <w:sz w:val="32"/>
          <w:szCs w:val="32"/>
          <w:highlight w:val="none"/>
          <w:u w:val="none"/>
          <w:lang w:val="zh-CN" w:eastAsia="zh-CN"/>
        </w:rPr>
        <w:t>（三）</w:t>
      </w: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eastAsia" w:ascii="Times New Roman" w:hAnsi="Times New Roman" w:eastAsia="楷体_GB2312" w:cs="Times New Roman"/>
          <w:b/>
          <w:color w:val="auto"/>
          <w:sz w:val="32"/>
          <w:szCs w:val="32"/>
          <w:highlight w:val="none"/>
          <w:u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jc w:val="both"/>
        <w:textAlignment w:val="auto"/>
        <w:rPr>
          <w:rFonts w:eastAsia="仿宋_GB2312" w:cs="仿宋_GB2312"/>
          <w:sz w:val="32"/>
          <w:szCs w:val="32"/>
          <w:highlight w:val="none"/>
          <w:lang w:val="en-US" w:eastAsia="zh-CN" w:bidi="ar-SA"/>
        </w:rPr>
      </w:pPr>
      <w:r>
        <w:rPr>
          <w:rFonts w:eastAsia="仿宋_GB2312" w:cs="仿宋_GB2312"/>
          <w:sz w:val="32"/>
          <w:szCs w:val="32"/>
          <w:lang w:val="en-US" w:eastAsia="zh-CN" w:bidi="ar-SA"/>
        </w:rPr>
        <w:t>1.</w:t>
      </w:r>
      <w:r>
        <w:rPr>
          <w:rFonts w:eastAsia="仿宋_GB2312" w:cs="仿宋_GB2312"/>
          <w:sz w:val="32"/>
          <w:szCs w:val="32"/>
          <w:highlight w:val="none"/>
          <w:lang w:val="zh-CN" w:eastAsia="zh-CN" w:bidi="ar-SA"/>
        </w:rPr>
        <w:t>资金计划。</w:t>
      </w:r>
      <w:r>
        <w:rPr>
          <w:rFonts w:hint="eastAsia" w:eastAsia="仿宋_GB2312" w:cs="仿宋_GB2312"/>
          <w:sz w:val="32"/>
          <w:szCs w:val="32"/>
          <w:highlight w:val="none"/>
          <w:lang w:val="zh-CN" w:eastAsia="zh-CN" w:bidi="ar-SA"/>
        </w:rPr>
        <w:t>计划申报市级财政资金</w:t>
      </w:r>
      <w:r>
        <w:rPr>
          <w:rFonts w:eastAsia="仿宋_GB2312" w:cs="仿宋_GB2312"/>
          <w:sz w:val="32"/>
          <w:szCs w:val="32"/>
          <w:highlight w:val="none"/>
          <w:lang w:val="en-US" w:eastAsia="zh-CN" w:bidi="ar-SA"/>
        </w:rPr>
        <w:t>9839.4</w:t>
      </w:r>
      <w:r>
        <w:rPr>
          <w:rFonts w:hint="eastAsia" w:eastAsia="仿宋_GB2312" w:cs="仿宋_GB2312"/>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adjustRightInd w:val="0"/>
        <w:snapToGrid w:val="0"/>
        <w:spacing w:line="578" w:lineRule="exact"/>
        <w:ind w:firstLine="640"/>
        <w:jc w:val="both"/>
        <w:textAlignment w:val="auto"/>
        <w:rPr>
          <w:rFonts w:eastAsia="仿宋_GB2312" w:cs="仿宋_GB2312"/>
          <w:sz w:val="32"/>
          <w:szCs w:val="32"/>
          <w:highlight w:val="none"/>
          <w:lang w:val="zh-CN" w:eastAsia="zh-CN" w:bidi="ar-SA"/>
        </w:rPr>
      </w:pPr>
      <w:r>
        <w:rPr>
          <w:rFonts w:eastAsia="仿宋_GB2312" w:cs="仿宋_GB2312"/>
          <w:sz w:val="32"/>
          <w:szCs w:val="32"/>
          <w:highlight w:val="none"/>
          <w:lang w:val="zh-CN" w:eastAsia="zh-CN" w:bidi="ar-SA"/>
        </w:rPr>
        <w:t>2.资金到位。</w:t>
      </w:r>
      <w:r>
        <w:rPr>
          <w:rFonts w:eastAsia="仿宋_GB2312" w:cs="仿宋_GB2312"/>
          <w:sz w:val="32"/>
          <w:szCs w:val="32"/>
          <w:highlight w:val="none"/>
          <w:lang w:val="en-US" w:eastAsia="zh-CN" w:bidi="ar-SA"/>
        </w:rPr>
        <w:t>9839.4</w:t>
      </w:r>
      <w:r>
        <w:rPr>
          <w:rFonts w:hint="eastAsia" w:eastAsia="仿宋_GB2312" w:cs="仿宋_GB2312"/>
          <w:sz w:val="32"/>
          <w:szCs w:val="32"/>
          <w:highlight w:val="none"/>
          <w:lang w:val="en-US" w:eastAsia="zh-CN" w:bidi="ar-SA"/>
        </w:rPr>
        <w:t>万元</w:t>
      </w:r>
      <w:r>
        <w:rPr>
          <w:rFonts w:hint="eastAsia" w:eastAsia="仿宋_GB2312" w:cs="仿宋_GB2312"/>
          <w:sz w:val="32"/>
          <w:szCs w:val="32"/>
          <w:highlight w:val="none"/>
          <w:lang w:val="zh-CN" w:eastAsia="zh-CN" w:bidi="ar-SA"/>
        </w:rPr>
        <w:t>市级财政资金已及时到位</w:t>
      </w:r>
      <w:r>
        <w:rPr>
          <w:rFonts w:hint="eastAsia" w:eastAsia="仿宋_GB2312" w:cs="仿宋_GB2312"/>
          <w:sz w:val="32"/>
          <w:szCs w:val="32"/>
          <w:highlight w:val="none"/>
          <w:lang w:val="en-US" w:eastAsia="zh-CN" w:bidi="ar-SA"/>
        </w:rPr>
        <w:t>，</w:t>
      </w:r>
      <w:r>
        <w:rPr>
          <w:rFonts w:eastAsia="仿宋_GB2312" w:cs="仿宋_GB2312"/>
          <w:sz w:val="32"/>
          <w:szCs w:val="32"/>
          <w:highlight w:val="none"/>
          <w:lang w:val="zh-CN" w:eastAsia="zh-CN" w:bidi="ar-SA"/>
        </w:rPr>
        <w:t>到位率</w:t>
      </w:r>
      <w:r>
        <w:rPr>
          <w:rFonts w:hint="eastAsia" w:eastAsia="仿宋_GB2312" w:cs="仿宋_GB2312"/>
          <w:sz w:val="32"/>
          <w:szCs w:val="32"/>
          <w:highlight w:val="none"/>
          <w:lang w:val="en-US" w:eastAsia="zh-CN" w:bidi="ar-SA"/>
        </w:rPr>
        <w:t>100%</w:t>
      </w:r>
      <w:r>
        <w:rPr>
          <w:rFonts w:eastAsia="仿宋_GB2312" w:cs="仿宋_GB2312"/>
          <w:sz w:val="32"/>
          <w:szCs w:val="32"/>
          <w:highlight w:val="none"/>
          <w:lang w:val="zh-CN" w:eastAsia="zh-CN" w:bidi="ar-SA"/>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eastAsia="仿宋_GB2312" w:cs="仿宋_GB2312"/>
          <w:sz w:val="32"/>
          <w:szCs w:val="32"/>
          <w:lang w:val="zh-CN" w:eastAsia="zh-CN" w:bidi="ar-SA"/>
        </w:rPr>
      </w:pPr>
      <w:r>
        <w:rPr>
          <w:rFonts w:eastAsia="仿宋_GB2312" w:cs="仿宋_GB2312"/>
          <w:sz w:val="32"/>
          <w:szCs w:val="32"/>
          <w:highlight w:val="none"/>
          <w:lang w:val="zh-CN" w:eastAsia="zh-CN" w:bidi="ar-SA"/>
        </w:rPr>
        <w:t>3.资金使用。</w:t>
      </w:r>
      <w:r>
        <w:rPr>
          <w:rFonts w:eastAsia="仿宋_GB2312" w:cs="仿宋_GB2312"/>
          <w:sz w:val="32"/>
          <w:szCs w:val="32"/>
          <w:highlight w:val="none"/>
          <w:lang w:val="en-US" w:eastAsia="zh-CN" w:bidi="ar-SA"/>
        </w:rPr>
        <w:t>9839.4</w:t>
      </w:r>
      <w:r>
        <w:rPr>
          <w:rFonts w:hint="eastAsia" w:eastAsia="仿宋_GB2312" w:cs="仿宋_GB2312"/>
          <w:sz w:val="32"/>
          <w:szCs w:val="32"/>
          <w:highlight w:val="none"/>
          <w:lang w:val="en-US" w:eastAsia="zh-CN" w:bidi="ar-SA"/>
        </w:rPr>
        <w:t>万元</w:t>
      </w:r>
      <w:r>
        <w:rPr>
          <w:rFonts w:hint="eastAsia" w:eastAsia="仿宋_GB2312" w:cs="仿宋_GB2312"/>
          <w:sz w:val="32"/>
          <w:szCs w:val="32"/>
          <w:highlight w:val="none"/>
          <w:lang w:val="zh-CN" w:eastAsia="zh-CN" w:bidi="ar-SA"/>
        </w:rPr>
        <w:t>市</w:t>
      </w:r>
      <w:r>
        <w:rPr>
          <w:rFonts w:hint="eastAsia" w:eastAsia="仿宋_GB2312" w:cs="仿宋_GB2312"/>
          <w:sz w:val="32"/>
          <w:szCs w:val="32"/>
          <w:lang w:val="zh-CN" w:eastAsia="zh-CN" w:bidi="ar-SA"/>
        </w:rPr>
        <w:t>级财政资金使用符合项目合同约定和资金管理办法有关规定，及时足额支付至</w:t>
      </w:r>
      <w:r>
        <w:rPr>
          <w:rFonts w:hint="eastAsia" w:eastAsia="仿宋_GB2312" w:cs="仿宋_GB2312"/>
          <w:snapToGrid w:val="0"/>
          <w:sz w:val="32"/>
          <w:szCs w:val="32"/>
          <w:lang w:val="en-US" w:eastAsia="zh-CN" w:bidi="ar-SA"/>
        </w:rPr>
        <w:t>攀枝花融兴城市建设发展有限公司</w:t>
      </w:r>
      <w:r>
        <w:rPr>
          <w:rFonts w:eastAsia="仿宋_GB2312" w:cs="仿宋_GB2312"/>
          <w:sz w:val="32"/>
          <w:szCs w:val="32"/>
          <w:lang w:val="zh-CN" w:eastAsia="zh-CN" w:bidi="ar-SA"/>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eastAsia="仿宋_GB2312" w:cs="仿宋_GB2312"/>
          <w:sz w:val="32"/>
          <w:szCs w:val="32"/>
          <w:lang w:val="zh-CN" w:eastAsia="zh-CN" w:bidi="ar-SA"/>
        </w:rPr>
      </w:pPr>
      <w:r>
        <w:rPr>
          <w:rFonts w:eastAsia="仿宋_GB2312" w:cs="仿宋_GB2312"/>
          <w:sz w:val="32"/>
          <w:szCs w:val="32"/>
          <w:lang w:val="zh-CN" w:eastAsia="zh-CN" w:bidi="ar-SA"/>
        </w:rPr>
        <w:t>4.</w:t>
      </w:r>
      <w:r>
        <w:rPr>
          <w:rFonts w:hint="eastAsia" w:eastAsia="仿宋_GB2312" w:cs="仿宋_GB2312"/>
          <w:sz w:val="32"/>
          <w:szCs w:val="32"/>
          <w:lang w:val="zh-CN" w:eastAsia="zh-CN" w:bidi="ar-SA"/>
        </w:rPr>
        <w:t>资金分配的原则及考虑因素。项目资金按照合同有关约定和绩效考核结果确定支付金额和比例。</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jc w:val="both"/>
        <w:textAlignment w:val="auto"/>
        <w:rPr>
          <w:rFonts w:hint="eastAsia" w:ascii="Times New Roman" w:hAnsi="Times New Roman" w:eastAsia="楷体_GB2312" w:cs="Times New Roman"/>
          <w:b/>
          <w:color w:val="auto"/>
          <w:sz w:val="32"/>
          <w:szCs w:val="32"/>
          <w:highlight w:val="none"/>
          <w:u w:val="none"/>
          <w:lang w:val="zh-CN" w:eastAsia="zh-CN"/>
        </w:rPr>
      </w:pPr>
      <w:r>
        <w:rPr>
          <w:rFonts w:hint="eastAsia" w:ascii="Times New Roman" w:hAnsi="Times New Roman" w:eastAsia="楷体_GB2312" w:cs="Times New Roman"/>
          <w:b/>
          <w:color w:val="auto"/>
          <w:sz w:val="32"/>
          <w:szCs w:val="32"/>
          <w:highlight w:val="none"/>
          <w:u w:val="none"/>
          <w:lang w:val="zh-CN" w:eastAsia="zh-CN"/>
        </w:rPr>
        <w:t>（四）项目绩效目标设置。</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eastAsia="仿宋_GB2312" w:cs="仿宋_GB2312"/>
          <w:sz w:val="32"/>
          <w:szCs w:val="32"/>
          <w:lang w:val="zh-CN" w:eastAsia="zh-CN" w:bidi="ar-SA"/>
        </w:rPr>
      </w:pPr>
      <w:r>
        <w:rPr>
          <w:rFonts w:hint="eastAsia" w:eastAsia="仿宋_GB2312" w:cs="仿宋_GB2312"/>
          <w:sz w:val="32"/>
          <w:szCs w:val="32"/>
          <w:lang w:val="zh-CN" w:eastAsia="zh-CN" w:bidi="ar-SA"/>
        </w:rPr>
        <w:t>项目应建成站前交通枢纽及附属设施、市政道路及附属设施等立项批复内容并通过建设期绩效考核。项目进入运维期后，对站前交通枢纽及附属设施、市政道路及附属设施等进行运维，通过年度运营期绩效考核。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jc w:val="both"/>
        <w:textAlignment w:val="auto"/>
        <w:outlineLvl w:val="9"/>
        <w:rPr>
          <w:rFonts w:hint="eastAsia" w:ascii="Times New Roman" w:hAnsi="Times New Roman" w:eastAsia="黑体"/>
          <w:sz w:val="32"/>
          <w:szCs w:val="32"/>
          <w:highlight w:val="none"/>
          <w:lang w:eastAsia="zh-CN"/>
        </w:rPr>
      </w:pPr>
      <w:r>
        <w:rPr>
          <w:rFonts w:hint="eastAsia" w:eastAsia="黑体"/>
          <w:sz w:val="32"/>
          <w:szCs w:val="32"/>
          <w:highlight w:val="none"/>
          <w:lang w:val="en-US" w:eastAsia="zh-CN"/>
        </w:rPr>
        <w:t xml:space="preserve">    </w:t>
      </w:r>
      <w:bookmarkStart w:id="114" w:name="_Toc472814094_WPSOffice_Level2"/>
      <w:bookmarkStart w:id="115" w:name="_Toc881360613_WPSOffice_Level2"/>
      <w:r>
        <w:rPr>
          <w:rFonts w:hint="eastAsia" w:eastAsia="黑体"/>
          <w:sz w:val="32"/>
          <w:szCs w:val="32"/>
          <w:highlight w:val="none"/>
          <w:lang w:eastAsia="zh-CN"/>
        </w:rPr>
        <w:t>二、</w:t>
      </w:r>
      <w:r>
        <w:rPr>
          <w:rFonts w:hint="eastAsia" w:ascii="Times New Roman" w:hAnsi="Times New Roman" w:eastAsia="黑体"/>
          <w:sz w:val="32"/>
          <w:szCs w:val="32"/>
          <w:highlight w:val="none"/>
          <w:lang w:eastAsia="zh-CN"/>
        </w:rPr>
        <w:t>评价实施</w:t>
      </w:r>
      <w:bookmarkEnd w:id="114"/>
      <w:bookmarkEnd w:id="115"/>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Times New Roman"/>
          <w:bCs/>
          <w:lang w:eastAsia="zh-CN"/>
        </w:rPr>
      </w:pPr>
      <w:r>
        <w:rPr>
          <w:rFonts w:eastAsia="仿宋_GB2312" w:cs="仿宋_GB2312"/>
          <w:sz w:val="32"/>
          <w:szCs w:val="32"/>
          <w:lang w:val="zh-CN" w:eastAsia="zh-CN" w:bidi="ar-SA"/>
        </w:rPr>
        <w:t>项目绩效自评采用的组织实施步骤及方法。</w:t>
      </w:r>
      <w:r>
        <w:rPr>
          <w:rFonts w:hint="eastAsia" w:eastAsia="仿宋_GB2312" w:cs="仿宋_GB2312"/>
          <w:sz w:val="32"/>
          <w:szCs w:val="32"/>
          <w:lang w:val="zh-CN" w:eastAsia="zh-CN" w:bidi="ar-SA"/>
        </w:rPr>
        <w:t>建立由项目单位分管绩效评价的领导为组长、财务部门和业务部门等有关人员为成员的绩效自评工作组，将项目有关的法律法规、行业标准、项目合同、年度绩效考核结果等作为依据，制定自评方案，确定自评方法并组织实施。</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116" w:name="_Toc746836599_WPSOffice_Level2"/>
      <w:bookmarkStart w:id="117" w:name="_Toc1701560576_WPSOffice_Level2"/>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绩效分析</w:t>
      </w:r>
      <w:bookmarkEnd w:id="116"/>
      <w:bookmarkEnd w:id="117"/>
      <w:r>
        <w:rPr>
          <w:rFonts w:hint="eastAsia" w:ascii="Times New Roman" w:hAnsi="Times New Roman"/>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9"/>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cs="Times New Roman"/>
          <w:b/>
          <w:color w:val="auto"/>
          <w:sz w:val="32"/>
          <w:szCs w:val="32"/>
          <w:highlight w:val="none"/>
          <w:u w:val="none"/>
          <w:lang w:val="zh-CN"/>
        </w:rPr>
        <w:t>（一）</w:t>
      </w:r>
      <w:r>
        <w:rPr>
          <w:rFonts w:hint="eastAsia"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kern w:val="0"/>
          <w:position w:val="0"/>
          <w:sz w:val="32"/>
          <w:szCs w:val="32"/>
          <w:highlight w:val="none"/>
          <w:lang w:val="zh-CN" w:eastAsia="zh-CN" w:bidi="ar-SA"/>
        </w:rPr>
      </w:pPr>
      <w:r>
        <w:rPr>
          <w:rFonts w:hint="eastAsia" w:ascii="Times New Roman" w:hAnsi="Times New Roman" w:eastAsia="仿宋_GB2312" w:cs="仿宋_GB2312"/>
          <w:kern w:val="0"/>
          <w:position w:val="0"/>
          <w:sz w:val="32"/>
          <w:szCs w:val="32"/>
          <w:highlight w:val="none"/>
          <w:lang w:val="en-US" w:eastAsia="zh-CN" w:bidi="ar-SA"/>
        </w:rPr>
        <w:t>1.</w:t>
      </w:r>
      <w:r>
        <w:rPr>
          <w:rFonts w:hint="eastAsia" w:ascii="Times New Roman" w:hAnsi="Times New Roman" w:eastAsia="仿宋_GB2312" w:cs="仿宋_GB2312"/>
          <w:kern w:val="0"/>
          <w:position w:val="0"/>
          <w:sz w:val="32"/>
          <w:szCs w:val="32"/>
          <w:highlight w:val="none"/>
          <w:lang w:val="zh-CN" w:eastAsia="zh-CN" w:bidi="ar-SA"/>
        </w:rPr>
        <w:t>项目决策。</w:t>
      </w:r>
      <w:r>
        <w:rPr>
          <w:rFonts w:hint="eastAsia" w:eastAsia="仿宋_GB2312" w:cs="仿宋_GB2312"/>
          <w:kern w:val="0"/>
          <w:sz w:val="32"/>
          <w:szCs w:val="32"/>
          <w:lang w:val="zh-CN" w:eastAsia="zh-CN" w:bidi="ar-SA"/>
        </w:rPr>
        <w:t>项目采用政府和社会资本合作（PPP）模式建设，项目实施机构为市住房城乡建设局，社会资本投资方为中国十九冶集团有限公司牵头组成的联合体，社会资本方与政府方出资代表原攀枝花建设（集团）有限责任公司组建项目公司，负责项目建设和运营。</w:t>
      </w:r>
    </w:p>
    <w:p>
      <w:pPr>
        <w:keepNext w:val="0"/>
        <w:keepLines w:val="0"/>
        <w:pageBreakBefore w:val="0"/>
        <w:widowControl w:val="0"/>
        <w:kinsoku/>
        <w:wordWrap/>
        <w:overflowPunct/>
        <w:topLinePunct w:val="0"/>
        <w:autoSpaceDE/>
        <w:autoSpaceDN/>
        <w:bidi w:val="0"/>
        <w:spacing w:line="578" w:lineRule="exact"/>
        <w:ind w:firstLine="640"/>
        <w:jc w:val="both"/>
        <w:textAlignment w:val="auto"/>
        <w:rPr>
          <w:rFonts w:hint="eastAsia" w:ascii="Times New Roman" w:hAnsi="Times New Roman" w:eastAsia="仿宋_GB2312" w:cs="仿宋_GB2312"/>
          <w:kern w:val="0"/>
          <w:position w:val="0"/>
          <w:sz w:val="32"/>
          <w:szCs w:val="32"/>
          <w:highlight w:val="none"/>
          <w:lang w:val="zh-CN" w:eastAsia="zh-CN" w:bidi="ar-SA"/>
        </w:rPr>
      </w:pPr>
      <w:r>
        <w:rPr>
          <w:rFonts w:hint="eastAsia" w:ascii="Times New Roman" w:hAnsi="Times New Roman" w:eastAsia="仿宋_GB2312" w:cs="仿宋_GB2312"/>
          <w:kern w:val="0"/>
          <w:position w:val="0"/>
          <w:sz w:val="32"/>
          <w:szCs w:val="32"/>
          <w:highlight w:val="none"/>
          <w:lang w:val="en-US" w:eastAsia="zh-CN" w:bidi="ar-SA"/>
        </w:rPr>
        <w:t>2.</w:t>
      </w:r>
      <w:r>
        <w:rPr>
          <w:rFonts w:hint="eastAsia" w:ascii="Times New Roman" w:hAnsi="Times New Roman" w:eastAsia="仿宋_GB2312" w:cs="仿宋_GB2312"/>
          <w:kern w:val="0"/>
          <w:position w:val="0"/>
          <w:sz w:val="32"/>
          <w:szCs w:val="32"/>
          <w:highlight w:val="none"/>
          <w:lang w:val="zh-CN" w:eastAsia="zh-CN" w:bidi="ar-SA"/>
        </w:rPr>
        <w:t>项目管理。</w:t>
      </w:r>
      <w:r>
        <w:rPr>
          <w:rFonts w:hint="eastAsia" w:eastAsia="仿宋_GB2312" w:cs="仿宋_GB2312"/>
          <w:sz w:val="32"/>
          <w:szCs w:val="32"/>
          <w:lang w:val="zh-CN" w:eastAsia="zh-CN" w:bidi="ar-SA"/>
        </w:rPr>
        <w:t>项目按照</w:t>
      </w:r>
      <w:r>
        <w:rPr>
          <w:rFonts w:hint="eastAsia" w:eastAsia="仿宋_GB2312" w:cs="仿宋_GB2312"/>
          <w:sz w:val="32"/>
          <w:szCs w:val="32"/>
          <w:lang w:val="en-US" w:eastAsia="zh-CN" w:bidi="ar-SA"/>
        </w:rPr>
        <w:t>PPP项目相关政策文件进行建设和管理，项目建设按照《关于印发政府和社会资本合作模式操作指南（试行）的通知》（财金〔2014〕113号）有关要求执行，项目运营符合有关行业规范和合同约定，项目</w:t>
      </w:r>
      <w:r>
        <w:rPr>
          <w:rFonts w:eastAsia="仿宋_GB2312" w:cs="仿宋_GB2312"/>
          <w:sz w:val="32"/>
          <w:szCs w:val="32"/>
          <w:lang w:val="zh-CN" w:eastAsia="zh-CN" w:bidi="ar-SA"/>
        </w:rPr>
        <w:t>实施单位</w:t>
      </w:r>
      <w:r>
        <w:rPr>
          <w:rFonts w:hint="eastAsia" w:eastAsia="仿宋_GB2312" w:cs="仿宋_GB2312"/>
          <w:sz w:val="32"/>
          <w:szCs w:val="32"/>
          <w:lang w:val="zh-CN" w:eastAsia="zh-CN" w:bidi="ar-SA"/>
        </w:rPr>
        <w:t>对项目招投标、日常运营等工作严格进行监督，并按照合同约定进行绩效考核和按效付费。</w:t>
      </w:r>
    </w:p>
    <w:p>
      <w:pPr>
        <w:keepNext w:val="0"/>
        <w:keepLines w:val="0"/>
        <w:pageBreakBefore w:val="0"/>
        <w:widowControl w:val="0"/>
        <w:kinsoku/>
        <w:wordWrap/>
        <w:overflowPunct/>
        <w:topLinePunct w:val="0"/>
        <w:autoSpaceDE/>
        <w:autoSpaceDN/>
        <w:bidi w:val="0"/>
        <w:spacing w:line="578" w:lineRule="exact"/>
        <w:ind w:firstLine="640"/>
        <w:jc w:val="both"/>
        <w:textAlignment w:val="auto"/>
        <w:rPr>
          <w:rFonts w:eastAsia="仿宋_GB2312" w:cs="仿宋_GB231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kern w:val="0"/>
          <w:position w:val="0"/>
          <w:sz w:val="32"/>
          <w:szCs w:val="32"/>
          <w:highlight w:val="none"/>
          <w:lang w:val="en-US" w:eastAsia="zh-CN" w:bidi="ar-SA"/>
        </w:rPr>
        <w:t>项目实施。</w:t>
      </w:r>
      <w:r>
        <w:rPr>
          <w:rFonts w:hint="eastAsia" w:eastAsia="仿宋_GB2312" w:cs="仿宋_GB2312"/>
          <w:sz w:val="32"/>
          <w:szCs w:val="32"/>
          <w:lang w:val="zh-CN" w:eastAsia="zh-CN" w:bidi="ar-SA"/>
        </w:rPr>
        <w:t>2016年7月10日，市发改委批复项目可行性研究报告（攀发改函﹝2016﹞142号），项目总投资198000万元（含征地拆迁费56000万元）</w:t>
      </w:r>
      <w:r>
        <w:rPr>
          <w:rFonts w:hint="eastAsia" w:eastAsia="仿宋_GB2312" w:cs="仿宋_GB2312"/>
          <w:sz w:val="32"/>
          <w:szCs w:val="32"/>
          <w:highlight w:val="none"/>
          <w:lang w:val="zh-CN" w:eastAsia="zh-CN" w:bidi="ar-SA"/>
        </w:rPr>
        <w:t>。</w:t>
      </w:r>
      <w:r>
        <w:rPr>
          <w:rFonts w:hint="eastAsia" w:eastAsia="仿宋_GB2312" w:cs="仿宋_GB2312"/>
          <w:sz w:val="32"/>
          <w:szCs w:val="32"/>
          <w:highlight w:val="none"/>
          <w:lang w:val="en-US" w:eastAsia="zh-CN" w:bidi="ar-SA"/>
        </w:rPr>
        <w:t>202</w:t>
      </w:r>
      <w:r>
        <w:rPr>
          <w:rFonts w:eastAsia="仿宋_GB2312" w:cs="仿宋_GB2312"/>
          <w:sz w:val="32"/>
          <w:szCs w:val="32"/>
          <w:highlight w:val="none"/>
          <w:lang w:val="en-US" w:eastAsia="zh-CN" w:bidi="ar-SA"/>
        </w:rPr>
        <w:t>4</w:t>
      </w:r>
      <w:r>
        <w:rPr>
          <w:rFonts w:hint="eastAsia" w:eastAsia="仿宋_GB2312" w:cs="仿宋_GB2312"/>
          <w:sz w:val="32"/>
          <w:szCs w:val="32"/>
          <w:highlight w:val="none"/>
          <w:lang w:val="en-US" w:eastAsia="zh-CN" w:bidi="ar-SA"/>
        </w:rPr>
        <w:t>年度根据</w:t>
      </w:r>
      <w:r>
        <w:rPr>
          <w:rFonts w:hint="eastAsia" w:eastAsia="仿宋_GB2312" w:cs="仿宋_GB2312"/>
          <w:sz w:val="32"/>
          <w:szCs w:val="32"/>
          <w:highlight w:val="none"/>
          <w:lang w:val="zh-CN" w:eastAsia="zh-CN" w:bidi="ar-SA"/>
        </w:rPr>
        <w:t>合同约定和项目运行实际，申请项目2023年可用性服务费</w:t>
      </w:r>
      <w:r>
        <w:rPr>
          <w:rFonts w:eastAsia="仿宋_GB2312" w:cs="仿宋_GB2312"/>
          <w:sz w:val="32"/>
          <w:szCs w:val="32"/>
          <w:highlight w:val="none"/>
          <w:lang w:val="zh-CN" w:eastAsia="zh-CN" w:bidi="ar-SA"/>
        </w:rPr>
        <w:t>9839.4</w:t>
      </w:r>
      <w:r>
        <w:rPr>
          <w:rFonts w:hint="eastAsia" w:eastAsia="仿宋_GB2312" w:cs="仿宋_GB2312"/>
          <w:sz w:val="32"/>
          <w:szCs w:val="32"/>
          <w:highlight w:val="none"/>
          <w:lang w:val="zh-CN" w:eastAsia="zh-CN" w:bidi="ar-SA"/>
        </w:rPr>
        <w:t>万元。</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kern w:val="0"/>
          <w:position w:val="0"/>
          <w:sz w:val="32"/>
          <w:szCs w:val="32"/>
          <w:highlight w:val="none"/>
          <w:lang w:val="en-US" w:eastAsia="zh-CN" w:bidi="ar-SA"/>
        </w:rPr>
        <w:t>4.项目结果。</w:t>
      </w:r>
      <w:r>
        <w:rPr>
          <w:rFonts w:hint="eastAsia" w:eastAsia="仿宋_GB2312" w:cs="仿宋_GB2312"/>
          <w:sz w:val="32"/>
          <w:szCs w:val="32"/>
          <w:lang w:val="zh-CN" w:eastAsia="zh-CN" w:bidi="ar-SA"/>
        </w:rPr>
        <w:t>项目按照立项批复完成了站前交通枢纽及附属设施、市政道路及附属设施建设，</w:t>
      </w:r>
      <w:r>
        <w:rPr>
          <w:rFonts w:eastAsia="仿宋_GB2312" w:cs="仿宋_GB2312"/>
          <w:sz w:val="32"/>
          <w:szCs w:val="32"/>
          <w:lang w:eastAsia="zh-CN" w:bidi="ar-SA"/>
        </w:rPr>
        <w:t>获得</w:t>
      </w:r>
      <w:r>
        <w:rPr>
          <w:rFonts w:hint="eastAsia" w:eastAsia="仿宋_GB2312" w:cs="仿宋_GB2312"/>
          <w:sz w:val="32"/>
          <w:szCs w:val="32"/>
          <w:lang w:eastAsia="zh-CN" w:bidi="ar-SA"/>
        </w:rPr>
        <w:t>了</w:t>
      </w:r>
      <w:r>
        <w:rPr>
          <w:rFonts w:eastAsia="仿宋_GB2312" w:cs="仿宋_GB2312"/>
          <w:sz w:val="32"/>
          <w:szCs w:val="32"/>
          <w:lang w:eastAsia="zh-CN" w:bidi="ar-SA"/>
        </w:rPr>
        <w:t>中国施工企业管理协会颁发的</w:t>
      </w:r>
      <w:r>
        <w:rPr>
          <w:rFonts w:hint="eastAsia" w:eastAsia="仿宋_GB2312" w:cs="仿宋_GB2312"/>
          <w:sz w:val="32"/>
          <w:szCs w:val="32"/>
          <w:lang w:eastAsia="zh-CN" w:bidi="ar-SA"/>
        </w:rPr>
        <w:t>“</w:t>
      </w:r>
      <w:r>
        <w:rPr>
          <w:rFonts w:eastAsia="仿宋_GB2312" w:cs="仿宋_GB2312"/>
          <w:sz w:val="32"/>
          <w:szCs w:val="32"/>
          <w:lang w:eastAsia="zh-CN" w:bidi="ar-SA"/>
        </w:rPr>
        <w:t>2022-2023年度国家优质工程奖</w:t>
      </w:r>
      <w:r>
        <w:rPr>
          <w:rFonts w:hint="eastAsia" w:eastAsia="仿宋_GB2312" w:cs="仿宋_GB2312"/>
          <w:sz w:val="32"/>
          <w:szCs w:val="32"/>
          <w:lang w:eastAsia="zh-CN" w:bidi="ar-SA"/>
        </w:rPr>
        <w:t>”，</w:t>
      </w:r>
      <w:r>
        <w:rPr>
          <w:rFonts w:hint="eastAsia" w:eastAsia="仿宋_GB2312" w:cs="仿宋_GB2312"/>
          <w:sz w:val="32"/>
          <w:szCs w:val="32"/>
          <w:lang w:val="zh-CN" w:eastAsia="zh-CN" w:bidi="ar-SA"/>
        </w:rPr>
        <w:t>通过了建设期绩效考核。项目进入运维期后，站前交通枢纽及附属设施、市政道路及附属设施等正常运转，运维费用控制在主管部门核定金额内，并通过了年度运营期绩效考核。</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color w:val="auto"/>
          <w:sz w:val="32"/>
          <w:szCs w:val="32"/>
          <w:highlight w:val="none"/>
          <w:u w:val="none"/>
          <w:lang w:val="zh-CN"/>
        </w:rPr>
        <w:t>（二）</w:t>
      </w:r>
      <w:r>
        <w:rPr>
          <w:rFonts w:hint="eastAsia"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kern w:val="0"/>
          <w:sz w:val="32"/>
          <w:szCs w:val="32"/>
          <w:lang w:val="zh-CN" w:eastAsia="zh-CN" w:bidi="ar-SA"/>
        </w:rPr>
        <w:t>项目于2016年11月启动建设，2019年12月25日完成竣工验收，2020年1月9日正式投入使用。</w:t>
      </w:r>
      <w:r>
        <w:rPr>
          <w:rFonts w:hint="eastAsia" w:eastAsia="仿宋_GB2312" w:cs="仿宋_GB2312"/>
          <w:sz w:val="32"/>
          <w:szCs w:val="32"/>
          <w:lang w:val="zh-CN" w:eastAsia="zh-CN" w:bidi="ar-SA"/>
        </w:rPr>
        <w:t>申报内容及目标严格按照项目合同有关约定执行，结合项目建设和运营情况按效付费。</w:t>
      </w:r>
      <w:r>
        <w:rPr>
          <w:rFonts w:eastAsia="仿宋_GB2312" w:cs="仿宋_GB2312"/>
          <w:sz w:val="32"/>
          <w:szCs w:val="32"/>
          <w:lang w:eastAsia="zh-CN" w:bidi="ar-SA"/>
        </w:rPr>
        <w:t>项目</w:t>
      </w:r>
      <w:r>
        <w:rPr>
          <w:rFonts w:eastAsia="仿宋_GB2312" w:cs="仿宋_GB2312"/>
          <w:sz w:val="32"/>
          <w:szCs w:val="32"/>
          <w:lang w:bidi="ar-SA"/>
        </w:rPr>
        <w:t>是集火车站、长途客运站、公交客运站及社会车辆停车库等功能于一体的大型综合枢纽</w:t>
      </w:r>
      <w:r>
        <w:rPr>
          <w:rFonts w:hint="eastAsia" w:eastAsia="仿宋_GB2312" w:cs="仿宋_GB2312"/>
          <w:sz w:val="32"/>
          <w:szCs w:val="32"/>
          <w:lang w:eastAsia="zh-CN" w:bidi="ar-SA"/>
        </w:rPr>
        <w:t>，项目</w:t>
      </w:r>
      <w:r>
        <w:rPr>
          <w:rFonts w:hint="eastAsia" w:eastAsia="仿宋_GB2312" w:cs="仿宋_GB2312"/>
          <w:sz w:val="32"/>
          <w:szCs w:val="32"/>
          <w:lang w:val="zh-CN" w:eastAsia="zh-CN" w:bidi="ar-SA"/>
        </w:rPr>
        <w:t>的建设运营有效带动了旅游、康养及房地产业等发展，为公众提供了更优质的服务，有效促进了交通节能减排，项目持续发挥交通枢纽作用，人民群众满意度达</w:t>
      </w:r>
      <w:r>
        <w:rPr>
          <w:rFonts w:hint="eastAsia" w:eastAsia="仿宋_GB2312" w:cs="仿宋_GB2312"/>
          <w:sz w:val="32"/>
          <w:szCs w:val="32"/>
          <w:lang w:val="en-US" w:eastAsia="zh-CN" w:bidi="ar-SA"/>
        </w:rPr>
        <w:t>97%。</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黑体" w:hAnsi="黑体" w:eastAsia="黑体" w:cs="黑体"/>
          <w:b w:val="0"/>
          <w:bCs w:val="0"/>
          <w:kern w:val="0"/>
          <w:position w:val="0"/>
          <w:sz w:val="32"/>
          <w:szCs w:val="32"/>
          <w:highlight w:val="none"/>
          <w:lang w:val="en-US" w:eastAsia="zh-CN" w:bidi="ar-SA"/>
        </w:rPr>
      </w:pPr>
      <w:bookmarkStart w:id="118" w:name="_Toc76477021_WPSOffice_Level2"/>
      <w:bookmarkStart w:id="119" w:name="_Toc1158064249_WPSOffice_Level2"/>
      <w:r>
        <w:rPr>
          <w:rFonts w:hint="eastAsia" w:ascii="黑体" w:hAnsi="黑体" w:eastAsia="黑体" w:cs="黑体"/>
          <w:b w:val="0"/>
          <w:bCs w:val="0"/>
          <w:kern w:val="0"/>
          <w:position w:val="0"/>
          <w:sz w:val="32"/>
          <w:szCs w:val="32"/>
          <w:highlight w:val="none"/>
          <w:lang w:val="en-US" w:eastAsia="zh-CN" w:bidi="ar-SA"/>
        </w:rPr>
        <w:t>四、评价结论</w:t>
      </w:r>
      <w:bookmarkEnd w:id="118"/>
      <w:bookmarkEnd w:id="119"/>
    </w:p>
    <w:p>
      <w:pPr>
        <w:keepNext w:val="0"/>
        <w:keepLines w:val="0"/>
        <w:pageBreakBefore w:val="0"/>
        <w:widowControl w:val="0"/>
        <w:kinsoku/>
        <w:wordWrap/>
        <w:overflowPunct/>
        <w:topLinePunct w:val="0"/>
        <w:autoSpaceDE/>
        <w:autoSpaceDN/>
        <w:bidi w:val="0"/>
        <w:spacing w:line="578" w:lineRule="exact"/>
        <w:ind w:firstLine="640"/>
        <w:jc w:val="both"/>
        <w:textAlignment w:val="auto"/>
        <w:rPr>
          <w:rFonts w:hint="eastAsia" w:ascii="Times New Roman" w:hAnsi="Times New Roman" w:eastAsia="仿宋_GB2312" w:cs="仿宋_GB2312"/>
          <w:kern w:val="0"/>
          <w:position w:val="0"/>
          <w:sz w:val="32"/>
          <w:szCs w:val="32"/>
          <w:highlight w:val="none"/>
          <w:lang w:val="en-US" w:eastAsia="zh-CN" w:bidi="ar-SA"/>
        </w:rPr>
      </w:pPr>
      <w:r>
        <w:rPr>
          <w:rFonts w:hint="eastAsia" w:eastAsia="仿宋_GB2312" w:cs="仿宋_GB2312"/>
          <w:sz w:val="32"/>
          <w:szCs w:val="32"/>
          <w:lang w:val="zh-CN" w:eastAsia="zh-CN" w:bidi="ar-SA"/>
        </w:rPr>
        <w:t>项目完成了立项批复的建设内容，项目的建成投用对提升我市对外形象、改善交通出行状况、促进交通节能减排、拉动仁和区仁和镇片区土地增值、推进城镇化建设等效益明显。</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黑体" w:hAnsi="黑体" w:eastAsia="黑体" w:cs="黑体"/>
          <w:b w:val="0"/>
          <w:bCs w:val="0"/>
          <w:kern w:val="0"/>
          <w:position w:val="0"/>
          <w:sz w:val="32"/>
          <w:szCs w:val="32"/>
          <w:highlight w:val="none"/>
          <w:lang w:val="en-US" w:eastAsia="zh-CN" w:bidi="ar-SA"/>
        </w:rPr>
      </w:pPr>
      <w:bookmarkStart w:id="120" w:name="_Toc644131973_WPSOffice_Level2"/>
      <w:bookmarkStart w:id="121" w:name="_Toc1895840641_WPSOffice_Level2"/>
      <w:r>
        <w:rPr>
          <w:rFonts w:hint="eastAsia" w:ascii="黑体" w:hAnsi="黑体" w:eastAsia="黑体" w:cs="黑体"/>
          <w:b w:val="0"/>
          <w:bCs w:val="0"/>
          <w:kern w:val="0"/>
          <w:position w:val="0"/>
          <w:sz w:val="32"/>
          <w:szCs w:val="32"/>
          <w:highlight w:val="none"/>
          <w:lang w:val="en-US" w:eastAsia="zh-CN" w:bidi="ar-SA"/>
        </w:rPr>
        <w:t>五、存在主要问题</w:t>
      </w:r>
      <w:bookmarkEnd w:id="120"/>
      <w:bookmarkEnd w:id="121"/>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无。</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zh-CN" w:eastAsia="zh-CN" w:bidi="ar-SA"/>
        </w:rPr>
      </w:pPr>
      <w:bookmarkStart w:id="122" w:name="_Toc730138190_WPSOffice_Level2"/>
      <w:bookmarkStart w:id="123" w:name="_Toc1742888663_WPSOffice_Level2"/>
      <w:r>
        <w:rPr>
          <w:rFonts w:hint="eastAsia" w:ascii="黑体" w:hAnsi="黑体" w:eastAsia="黑体" w:cs="黑体"/>
          <w:b w:val="0"/>
          <w:bCs w:val="0"/>
          <w:kern w:val="0"/>
          <w:position w:val="0"/>
          <w:sz w:val="32"/>
          <w:szCs w:val="32"/>
          <w:highlight w:val="none"/>
          <w:lang w:val="zh-CN" w:eastAsia="zh-CN" w:bidi="ar-SA"/>
        </w:rPr>
        <w:t>六、改进建议</w:t>
      </w:r>
      <w:bookmarkEnd w:id="122"/>
      <w:bookmarkEnd w:id="123"/>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方正小标宋简体" w:cs="方正小标宋简体"/>
          <w:color w:val="auto"/>
          <w:kern w:val="2"/>
          <w:sz w:val="44"/>
          <w:szCs w:val="44"/>
          <w:highlight w:val="none"/>
          <w:lang w:val="en-US" w:eastAsia="zh-CN"/>
        </w:rPr>
      </w:pPr>
      <w:r>
        <w:rPr>
          <w:rFonts w:hint="eastAsia" w:eastAsia="仿宋_GB2312" w:cs="仿宋_GB2312"/>
          <w:b w:val="0"/>
          <w:bCs w:val="0"/>
          <w:kern w:val="0"/>
          <w:position w:val="0"/>
          <w:sz w:val="32"/>
          <w:szCs w:val="32"/>
          <w:highlight w:val="none"/>
          <w:lang w:val="en-US" w:eastAsia="zh-CN" w:bidi="ar-SA"/>
        </w:rPr>
        <w:t>无。</w:t>
      </w:r>
    </w:p>
    <w:p>
      <w:pPr>
        <w:pStyle w:val="37"/>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bookmarkStart w:id="124" w:name="_Toc1508640920_WPSOffice_Level2"/>
      <w:bookmarkStart w:id="125" w:name="_Toc1943908593_WPSOffice_Level2"/>
      <w:r>
        <w:rPr>
          <w:rFonts w:hint="eastAsia" w:ascii="Times New Roman" w:hAnsi="Times New Roman" w:eastAsia="方正小标宋简体" w:cs="方正小标宋简体"/>
          <w:color w:val="auto"/>
          <w:kern w:val="2"/>
          <w:sz w:val="44"/>
          <w:szCs w:val="44"/>
          <w:highlight w:val="none"/>
          <w:lang w:val="en-US" w:eastAsia="zh-CN"/>
        </w:rPr>
        <w:t>攀枝花市2024年城市体检技术服务项目</w:t>
      </w:r>
      <w:bookmarkEnd w:id="124"/>
      <w:bookmarkEnd w:id="125"/>
    </w:p>
    <w:p>
      <w:pPr>
        <w:pStyle w:val="37"/>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bookmarkStart w:id="126" w:name="_Toc282823008_WPSOffice_Level2"/>
      <w:bookmarkStart w:id="127" w:name="_Toc1731699164_WPSOffice_Level2"/>
      <w:r>
        <w:rPr>
          <w:rFonts w:hint="eastAsia" w:ascii="Times New Roman" w:hAnsi="Times New Roman" w:eastAsia="方正小标宋简体" w:cs="方正小标宋简体"/>
          <w:color w:val="auto"/>
          <w:kern w:val="2"/>
          <w:sz w:val="44"/>
          <w:szCs w:val="44"/>
          <w:highlight w:val="none"/>
          <w:lang w:val="en-US" w:eastAsia="zh-CN"/>
        </w:rPr>
        <w:t>绩效评价报告</w:t>
      </w:r>
      <w:bookmarkEnd w:id="126"/>
      <w:bookmarkEnd w:id="127"/>
    </w:p>
    <w:p>
      <w:pPr>
        <w:pStyle w:val="37"/>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Times New Roman" w:hAnsi="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Times New Roman" w:hAnsi="Times New Roman" w:eastAsia="黑体"/>
          <w:sz w:val="32"/>
          <w:szCs w:val="32"/>
          <w:highlight w:val="none"/>
          <w:lang w:val="zh-CN"/>
        </w:rPr>
      </w:pPr>
      <w:bookmarkStart w:id="128" w:name="_Toc970938770_WPSOffice_Level2"/>
      <w:bookmarkStart w:id="129" w:name="_Toc821899892_WPSOffice_Level2"/>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lang w:val="zh-CN"/>
        </w:rPr>
        <w:t>项目概况</w:t>
      </w:r>
      <w:bookmarkEnd w:id="128"/>
      <w:bookmarkEnd w:id="129"/>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both"/>
        <w:textAlignment w:val="auto"/>
        <w:rPr>
          <w:rFonts w:hint="eastAsia" w:ascii="Times New Roman" w:hAnsi="Times New Roman" w:eastAsia="仿宋_GB2312" w:cs="仿宋_GB2312"/>
          <w:color w:val="auto"/>
          <w:kern w:val="0"/>
          <w:sz w:val="32"/>
          <w:szCs w:val="32"/>
          <w:highlight w:val="none"/>
          <w:u w:val="none"/>
          <w:shd w:val="clear" w:color="auto" w:fill="FFFFFF"/>
          <w:lang w:val="zh-CN"/>
        </w:rPr>
      </w:pPr>
      <w:r>
        <w:rPr>
          <w:rFonts w:hint="eastAsia" w:ascii="Times New Roman" w:hAnsi="Times New Roman" w:eastAsia="楷体_GB2312"/>
          <w:b/>
          <w:color w:val="auto"/>
          <w:sz w:val="32"/>
          <w:szCs w:val="32"/>
          <w:highlight w:val="none"/>
          <w:u w:val="none"/>
          <w:lang w:val="zh-CN"/>
        </w:rPr>
        <w:t>（一）设立背景及基本情况。</w:t>
      </w:r>
      <w:r>
        <w:rPr>
          <w:rFonts w:hint="eastAsia" w:ascii="Times New Roman" w:hAnsi="Times New Roman" w:eastAsia="仿宋_GB2312" w:cs="仿宋_GB2312"/>
          <w:color w:val="auto"/>
          <w:kern w:val="0"/>
          <w:sz w:val="32"/>
          <w:szCs w:val="32"/>
          <w:highlight w:val="none"/>
          <w:u w:val="none"/>
          <w:shd w:val="clear" w:color="auto" w:fill="FFFFFF"/>
          <w:lang w:val="zh-CN"/>
        </w:rPr>
        <w:t>根据《四川省住房和城乡建设厅关于开展</w:t>
      </w:r>
      <w:r>
        <w:rPr>
          <w:rFonts w:hint="eastAsia" w:eastAsia="仿宋_GB2312" w:cs="仿宋_GB2312"/>
          <w:color w:val="auto"/>
          <w:kern w:val="0"/>
          <w:sz w:val="32"/>
          <w:szCs w:val="32"/>
          <w:highlight w:val="none"/>
          <w:u w:val="none"/>
          <w:shd w:val="clear" w:color="auto" w:fill="FFFFFF"/>
          <w:lang w:val="en-US" w:eastAsia="zh-CN"/>
        </w:rPr>
        <w:t>全面开展城市体检工作</w:t>
      </w:r>
      <w:r>
        <w:rPr>
          <w:rFonts w:hint="eastAsia" w:ascii="Times New Roman" w:hAnsi="Times New Roman" w:eastAsia="仿宋_GB2312" w:cs="仿宋_GB2312"/>
          <w:color w:val="auto"/>
          <w:kern w:val="0"/>
          <w:sz w:val="32"/>
          <w:szCs w:val="32"/>
          <w:highlight w:val="none"/>
          <w:u w:val="none"/>
          <w:shd w:val="clear" w:color="auto" w:fill="FFFFFF"/>
          <w:lang w:val="zh-CN"/>
        </w:rPr>
        <w:t>的通知》（川建景园函〔202</w:t>
      </w:r>
      <w:r>
        <w:rPr>
          <w:rFonts w:hint="eastAsia" w:eastAsia="仿宋_GB2312" w:cs="仿宋_GB2312"/>
          <w:color w:val="auto"/>
          <w:kern w:val="0"/>
          <w:sz w:val="32"/>
          <w:szCs w:val="32"/>
          <w:highlight w:val="none"/>
          <w:u w:val="none"/>
          <w:shd w:val="clear" w:color="auto" w:fill="FFFFFF"/>
          <w:lang w:val="en-US" w:eastAsia="zh-CN"/>
        </w:rPr>
        <w:t>4</w:t>
      </w:r>
      <w:r>
        <w:rPr>
          <w:rFonts w:hint="eastAsia" w:ascii="Times New Roman" w:hAnsi="Times New Roman" w:eastAsia="仿宋_GB2312" w:cs="仿宋_GB2312"/>
          <w:color w:val="auto"/>
          <w:kern w:val="0"/>
          <w:sz w:val="32"/>
          <w:szCs w:val="32"/>
          <w:highlight w:val="none"/>
          <w:u w:val="none"/>
          <w:shd w:val="clear" w:color="auto" w:fill="FFFFFF"/>
          <w:lang w:val="zh-CN"/>
        </w:rPr>
        <w:t>〕</w:t>
      </w:r>
      <w:r>
        <w:rPr>
          <w:rFonts w:hint="eastAsia" w:eastAsia="仿宋_GB2312" w:cs="仿宋_GB2312"/>
          <w:color w:val="auto"/>
          <w:kern w:val="0"/>
          <w:sz w:val="32"/>
          <w:szCs w:val="32"/>
          <w:highlight w:val="none"/>
          <w:u w:val="none"/>
          <w:shd w:val="clear" w:color="auto" w:fill="FFFFFF"/>
          <w:lang w:val="en-US" w:eastAsia="zh-CN"/>
        </w:rPr>
        <w:t>828</w:t>
      </w:r>
      <w:r>
        <w:rPr>
          <w:rFonts w:hint="eastAsia" w:ascii="Times New Roman" w:hAnsi="Times New Roman" w:eastAsia="仿宋_GB2312" w:cs="仿宋_GB2312"/>
          <w:color w:val="auto"/>
          <w:kern w:val="0"/>
          <w:sz w:val="32"/>
          <w:szCs w:val="32"/>
          <w:highlight w:val="none"/>
          <w:u w:val="none"/>
          <w:shd w:val="clear" w:color="auto" w:fill="FFFFFF"/>
          <w:lang w:val="zh-CN"/>
        </w:rPr>
        <w:t>号）、《攀枝花市城市更新工作领导小组办公室关于印发〈攀枝花市202</w:t>
      </w:r>
      <w:r>
        <w:rPr>
          <w:rFonts w:hint="eastAsia" w:eastAsia="仿宋_GB2312" w:cs="仿宋_GB2312"/>
          <w:color w:val="auto"/>
          <w:kern w:val="0"/>
          <w:sz w:val="32"/>
          <w:szCs w:val="32"/>
          <w:highlight w:val="none"/>
          <w:u w:val="none"/>
          <w:shd w:val="clear" w:color="auto" w:fill="FFFFFF"/>
          <w:lang w:val="en-US" w:eastAsia="zh-CN"/>
        </w:rPr>
        <w:t>4</w:t>
      </w:r>
      <w:r>
        <w:rPr>
          <w:rFonts w:hint="eastAsia" w:ascii="Times New Roman" w:hAnsi="Times New Roman" w:eastAsia="仿宋_GB2312" w:cs="仿宋_GB2312"/>
          <w:color w:val="auto"/>
          <w:kern w:val="0"/>
          <w:sz w:val="32"/>
          <w:szCs w:val="32"/>
          <w:highlight w:val="none"/>
          <w:u w:val="none"/>
          <w:shd w:val="clear" w:color="auto" w:fill="FFFFFF"/>
          <w:lang w:val="zh-CN"/>
        </w:rPr>
        <w:t>年城市体检工作方案〉的通知》有关要求，市住房城乡建设局为城市体检的牵头单位。市住房城乡建设局开展政府采购，以竞争性磋商方式，确定四川省城乡建设研究院为城市体检技术服务供应商。本项目按照数量、质量、效果、社会效益、经济效益、可持续影响、满意度等指标对供应商的技术服务进行评判，按与供应商签定的技术服务合同拨付服务费。</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jc w:val="both"/>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w:t>
      </w:r>
      <w:r>
        <w:rPr>
          <w:rFonts w:hint="eastAsia"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r>
        <w:rPr>
          <w:rFonts w:hint="eastAsia" w:ascii="Times New Roman" w:hAnsi="Times New Roman" w:eastAsia="楷体_GB2312" w:cs="Times New Roman"/>
          <w:b/>
          <w:color w:val="auto"/>
          <w:sz w:val="32"/>
          <w:szCs w:val="32"/>
          <w:highlight w:val="none"/>
          <w:u w:val="none"/>
          <w:lang w:val="en-US" w:eastAsia="zh-CN"/>
        </w:rPr>
        <w:t>。</w:t>
      </w:r>
      <w:r>
        <w:rPr>
          <w:rFonts w:hint="eastAsia" w:ascii="Times New Roman" w:hAnsi="Times New Roman" w:eastAsia="仿宋_GB2312" w:cs="仿宋_GB2312"/>
          <w:b w:val="0"/>
          <w:bCs w:val="0"/>
          <w:kern w:val="0"/>
          <w:position w:val="0"/>
          <w:sz w:val="32"/>
          <w:szCs w:val="32"/>
          <w:highlight w:val="none"/>
          <w:lang w:val="zh-CN" w:eastAsia="zh-CN" w:bidi="ar-SA"/>
        </w:rPr>
        <w:t>按照《</w:t>
      </w:r>
      <w:r>
        <w:rPr>
          <w:rFonts w:hint="eastAsia" w:ascii="Times New Roman" w:hAnsi="Times New Roman" w:eastAsia="仿宋_GB2312" w:cs="仿宋_GB2312"/>
          <w:color w:val="auto"/>
          <w:kern w:val="0"/>
          <w:sz w:val="32"/>
          <w:szCs w:val="32"/>
          <w:highlight w:val="none"/>
          <w:u w:val="none"/>
          <w:shd w:val="clear" w:color="auto" w:fill="FFFFFF"/>
          <w:lang w:val="zh-CN"/>
        </w:rPr>
        <w:t>《四川省住房和城乡建设厅关于开展</w:t>
      </w:r>
      <w:r>
        <w:rPr>
          <w:rFonts w:hint="eastAsia" w:eastAsia="仿宋_GB2312" w:cs="仿宋_GB2312"/>
          <w:color w:val="auto"/>
          <w:kern w:val="0"/>
          <w:sz w:val="32"/>
          <w:szCs w:val="32"/>
          <w:highlight w:val="none"/>
          <w:u w:val="none"/>
          <w:shd w:val="clear" w:color="auto" w:fill="FFFFFF"/>
          <w:lang w:val="en-US" w:eastAsia="zh-CN"/>
        </w:rPr>
        <w:t>全面开展城市体检工作</w:t>
      </w:r>
      <w:r>
        <w:rPr>
          <w:rFonts w:hint="eastAsia" w:ascii="Times New Roman" w:hAnsi="Times New Roman" w:eastAsia="仿宋_GB2312" w:cs="仿宋_GB2312"/>
          <w:color w:val="auto"/>
          <w:kern w:val="0"/>
          <w:sz w:val="32"/>
          <w:szCs w:val="32"/>
          <w:highlight w:val="none"/>
          <w:u w:val="none"/>
          <w:shd w:val="clear" w:color="auto" w:fill="FFFFFF"/>
          <w:lang w:val="zh-CN"/>
        </w:rPr>
        <w:t>的通知》（川建景园函〔202</w:t>
      </w:r>
      <w:r>
        <w:rPr>
          <w:rFonts w:hint="eastAsia" w:eastAsia="仿宋_GB2312" w:cs="仿宋_GB2312"/>
          <w:color w:val="auto"/>
          <w:kern w:val="0"/>
          <w:sz w:val="32"/>
          <w:szCs w:val="32"/>
          <w:highlight w:val="none"/>
          <w:u w:val="none"/>
          <w:shd w:val="clear" w:color="auto" w:fill="FFFFFF"/>
          <w:lang w:val="en-US" w:eastAsia="zh-CN"/>
        </w:rPr>
        <w:t>4</w:t>
      </w:r>
      <w:r>
        <w:rPr>
          <w:rFonts w:hint="eastAsia" w:ascii="Times New Roman" w:hAnsi="Times New Roman" w:eastAsia="仿宋_GB2312" w:cs="仿宋_GB2312"/>
          <w:color w:val="auto"/>
          <w:kern w:val="0"/>
          <w:sz w:val="32"/>
          <w:szCs w:val="32"/>
          <w:highlight w:val="none"/>
          <w:u w:val="none"/>
          <w:shd w:val="clear" w:color="auto" w:fill="FFFFFF"/>
          <w:lang w:val="zh-CN"/>
        </w:rPr>
        <w:t>〕</w:t>
      </w:r>
      <w:r>
        <w:rPr>
          <w:rFonts w:hint="eastAsia" w:eastAsia="仿宋_GB2312" w:cs="仿宋_GB2312"/>
          <w:color w:val="auto"/>
          <w:kern w:val="0"/>
          <w:sz w:val="32"/>
          <w:szCs w:val="32"/>
          <w:highlight w:val="none"/>
          <w:u w:val="none"/>
          <w:shd w:val="clear" w:color="auto" w:fill="FFFFFF"/>
          <w:lang w:val="en-US" w:eastAsia="zh-CN"/>
        </w:rPr>
        <w:t>828</w:t>
      </w:r>
      <w:r>
        <w:rPr>
          <w:rFonts w:hint="eastAsia" w:ascii="Times New Roman" w:hAnsi="Times New Roman" w:eastAsia="仿宋_GB2312" w:cs="仿宋_GB2312"/>
          <w:color w:val="auto"/>
          <w:kern w:val="0"/>
          <w:sz w:val="32"/>
          <w:szCs w:val="32"/>
          <w:highlight w:val="none"/>
          <w:u w:val="none"/>
          <w:shd w:val="clear" w:color="auto" w:fill="FFFFFF"/>
          <w:lang w:val="zh-CN"/>
        </w:rPr>
        <w:t>号）、《攀枝花市城市更新工作领导小组办公室关于印发〈攀枝花市202</w:t>
      </w:r>
      <w:r>
        <w:rPr>
          <w:rFonts w:hint="eastAsia" w:eastAsia="仿宋_GB2312" w:cs="仿宋_GB2312"/>
          <w:color w:val="auto"/>
          <w:kern w:val="0"/>
          <w:sz w:val="32"/>
          <w:szCs w:val="32"/>
          <w:highlight w:val="none"/>
          <w:u w:val="none"/>
          <w:shd w:val="clear" w:color="auto" w:fill="FFFFFF"/>
          <w:lang w:val="en-US" w:eastAsia="zh-CN"/>
        </w:rPr>
        <w:t>4</w:t>
      </w:r>
      <w:r>
        <w:rPr>
          <w:rFonts w:hint="eastAsia" w:ascii="Times New Roman" w:hAnsi="Times New Roman" w:eastAsia="仿宋_GB2312" w:cs="仿宋_GB2312"/>
          <w:color w:val="auto"/>
          <w:kern w:val="0"/>
          <w:sz w:val="32"/>
          <w:szCs w:val="32"/>
          <w:highlight w:val="none"/>
          <w:u w:val="none"/>
          <w:shd w:val="clear" w:color="auto" w:fill="FFFFFF"/>
          <w:lang w:val="zh-CN"/>
        </w:rPr>
        <w:t>年城市体检工作方案〉的通知》</w:t>
      </w:r>
      <w:r>
        <w:rPr>
          <w:rFonts w:hint="eastAsia" w:ascii="Times New Roman" w:hAnsi="Times New Roman" w:eastAsia="仿宋_GB2312" w:cs="仿宋_GB2312"/>
          <w:b w:val="0"/>
          <w:bCs w:val="0"/>
          <w:kern w:val="0"/>
          <w:position w:val="0"/>
          <w:sz w:val="32"/>
          <w:szCs w:val="32"/>
          <w:highlight w:val="none"/>
          <w:lang w:val="zh-CN" w:eastAsia="zh-CN" w:bidi="ar-SA"/>
        </w:rPr>
        <w:t>有关要求，开展攀枝花市2024年城市体检工作，通过城市体检指标数据采集、社会问卷调查等方式，系统分析产生城市问题的原因，查找城市建设和发展中的“短板”和“弱项”提出有针对性对策和建议，编制城市体检报告。</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both"/>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eastAsia="zh-CN"/>
        </w:rPr>
        <w:t>（三）</w:t>
      </w: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eastAsia" w:ascii="Times New Roman" w:hAnsi="Times New Roman" w:eastAsia="楷体_GB2312" w:cs="Times New Roman"/>
          <w:b/>
          <w:color w:val="auto"/>
          <w:sz w:val="32"/>
          <w:szCs w:val="32"/>
          <w:highlight w:val="none"/>
          <w:u w:val="none"/>
          <w:lang w:val="zh-CN" w:eastAsia="zh-CN"/>
        </w:rPr>
        <w:t>。</w:t>
      </w:r>
      <w:r>
        <w:rPr>
          <w:rFonts w:hint="eastAsia" w:eastAsia="仿宋_GB2312" w:cs="仿宋_GB2312"/>
          <w:b w:val="0"/>
          <w:bCs w:val="0"/>
          <w:kern w:val="0"/>
          <w:position w:val="0"/>
          <w:sz w:val="32"/>
          <w:szCs w:val="32"/>
          <w:highlight w:val="none"/>
          <w:lang w:val="en-US" w:eastAsia="zh-CN" w:bidi="ar-SA"/>
        </w:rPr>
        <w:t>本项目2024年申报资金48万元，市和区按照</w:t>
      </w:r>
      <w:r>
        <w:rPr>
          <w:rFonts w:hint="eastAsia" w:ascii="Times New Roman" w:hAnsi="Times New Roman" w:eastAsia="仿宋_GB2312" w:cs="仿宋_GB2312"/>
          <w:b w:val="0"/>
          <w:bCs w:val="0"/>
          <w:kern w:val="0"/>
          <w:position w:val="0"/>
          <w:sz w:val="32"/>
          <w:szCs w:val="32"/>
          <w:highlight w:val="none"/>
          <w:lang w:val="en-US" w:eastAsia="zh-CN" w:bidi="ar-SA"/>
        </w:rPr>
        <w:t>35%：65%</w:t>
      </w:r>
      <w:r>
        <w:rPr>
          <w:rFonts w:hint="eastAsia" w:eastAsia="仿宋_GB2312" w:cs="仿宋_GB2312"/>
          <w:b w:val="0"/>
          <w:bCs w:val="0"/>
          <w:kern w:val="0"/>
          <w:position w:val="0"/>
          <w:sz w:val="32"/>
          <w:szCs w:val="32"/>
          <w:highlight w:val="none"/>
          <w:lang w:val="en-US" w:eastAsia="zh-CN" w:bidi="ar-SA"/>
        </w:rPr>
        <w:t>比例承担，并在年底由市和区进行结算。市级部分从2024年“共同富裕专项资金”中解决。</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jc w:val="both"/>
        <w:textAlignment w:val="auto"/>
        <w:rPr>
          <w:rFonts w:hint="default"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eastAsia="zh-CN"/>
        </w:rPr>
        <w:t>（四）项目绩效目标设置。</w:t>
      </w:r>
      <w:r>
        <w:rPr>
          <w:rFonts w:hint="eastAsia" w:ascii="Times New Roman" w:hAnsi="Times New Roman" w:eastAsia="仿宋_GB2312" w:cs="仿宋_GB2312"/>
          <w:b w:val="0"/>
          <w:bCs w:val="0"/>
          <w:kern w:val="0"/>
          <w:position w:val="0"/>
          <w:sz w:val="32"/>
          <w:szCs w:val="32"/>
          <w:highlight w:val="none"/>
          <w:lang w:val="zh-CN" w:eastAsia="zh-CN" w:bidi="ar-SA"/>
        </w:rPr>
        <w:t>构建符合要求的指标体系，完成城市体检数据采集、满意度调查，根据体检数据查找问题短板，完成城市体检报告编制，达到相应的完成度、社会效益、经济效益指标。</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outlineLvl w:val="9"/>
        <w:rPr>
          <w:rFonts w:hint="eastAsia" w:ascii="Times New Roman" w:hAnsi="Times New Roman" w:eastAsia="黑体"/>
          <w:color w:val="auto"/>
          <w:sz w:val="32"/>
          <w:szCs w:val="32"/>
          <w:highlight w:val="none"/>
          <w:lang w:eastAsia="zh-CN"/>
        </w:rPr>
      </w:pPr>
      <w:bookmarkStart w:id="130" w:name="_Toc1079444417_WPSOffice_Level2"/>
      <w:bookmarkStart w:id="131" w:name="_Toc459616181_WPSOffice_Level2"/>
      <w:r>
        <w:rPr>
          <w:rFonts w:hint="eastAsia" w:ascii="Times New Roman" w:hAnsi="Times New Roman" w:eastAsia="黑体"/>
          <w:color w:val="auto"/>
          <w:sz w:val="32"/>
          <w:szCs w:val="32"/>
          <w:highlight w:val="none"/>
        </w:rPr>
        <w:t>二、</w:t>
      </w:r>
      <w:r>
        <w:rPr>
          <w:rFonts w:hint="eastAsia" w:ascii="Times New Roman" w:hAnsi="Times New Roman" w:eastAsia="黑体"/>
          <w:color w:val="auto"/>
          <w:sz w:val="32"/>
          <w:szCs w:val="32"/>
          <w:highlight w:val="none"/>
          <w:lang w:eastAsia="zh-CN"/>
        </w:rPr>
        <w:t>评价实施</w:t>
      </w:r>
      <w:bookmarkEnd w:id="130"/>
      <w:bookmarkEnd w:id="131"/>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default" w:ascii="Times New Roman" w:hAnsi="Times New Roman" w:eastAsia="仿宋_GB2312" w:cs="仿宋_GB2312"/>
          <w:b w:val="0"/>
          <w:bCs w:val="0"/>
          <w:color w:val="auto"/>
          <w:kern w:val="0"/>
          <w:position w:val="0"/>
          <w:sz w:val="32"/>
          <w:szCs w:val="32"/>
          <w:highlight w:val="none"/>
          <w:lang w:val="en-US" w:eastAsia="zh-CN" w:bidi="ar-SA"/>
        </w:rPr>
      </w:pPr>
      <w:r>
        <w:rPr>
          <w:rFonts w:hint="eastAsia" w:ascii="Times New Roman" w:hAnsi="Times New Roman" w:eastAsia="楷体_GB2312"/>
          <w:b/>
          <w:color w:val="auto"/>
          <w:sz w:val="32"/>
          <w:szCs w:val="32"/>
          <w:highlight w:val="none"/>
          <w:u w:val="none"/>
          <w:lang w:val="zh-CN"/>
        </w:rPr>
        <w:t>（一）评价目的。</w:t>
      </w:r>
      <w:r>
        <w:rPr>
          <w:rFonts w:hint="eastAsia" w:ascii="Times New Roman" w:hAnsi="Times New Roman" w:eastAsia="仿宋_GB2312" w:cs="仿宋_GB2312"/>
          <w:b w:val="0"/>
          <w:bCs w:val="0"/>
          <w:color w:val="auto"/>
          <w:kern w:val="0"/>
          <w:position w:val="0"/>
          <w:sz w:val="32"/>
          <w:szCs w:val="32"/>
          <w:highlight w:val="none"/>
          <w:lang w:val="zh-CN" w:eastAsia="zh-CN" w:bidi="ar-SA"/>
        </w:rPr>
        <w:t>通过项目绩效自评</w:t>
      </w:r>
      <w:r>
        <w:rPr>
          <w:rFonts w:hint="eastAsia" w:eastAsia="仿宋_GB2312" w:cs="仿宋_GB2312"/>
          <w:b w:val="0"/>
          <w:bCs w:val="0"/>
          <w:color w:val="auto"/>
          <w:kern w:val="0"/>
          <w:position w:val="0"/>
          <w:sz w:val="32"/>
          <w:szCs w:val="32"/>
          <w:highlight w:val="none"/>
          <w:lang w:val="en-US" w:eastAsia="zh-CN" w:bidi="ar-SA"/>
        </w:rPr>
        <w:t>分析评价申报内容是否与实际相符，申报目标是否合理可行，资金支出使用流程是否符合规范。</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jc w:val="both"/>
        <w:textAlignment w:val="auto"/>
        <w:outlineLvl w:val="9"/>
        <w:rPr>
          <w:rFonts w:hint="default" w:ascii="Times New Roman" w:hAnsi="Times New Roman" w:eastAsia="仿宋_GB2312" w:cs="仿宋_GB2312"/>
          <w:b w:val="0"/>
          <w:bCs w:val="0"/>
          <w:color w:val="auto"/>
          <w:kern w:val="0"/>
          <w:position w:val="0"/>
          <w:sz w:val="32"/>
          <w:szCs w:val="32"/>
          <w:highlight w:val="none"/>
          <w:lang w:val="en-US" w:eastAsia="zh-CN" w:bidi="ar-SA"/>
        </w:rPr>
      </w:pPr>
      <w:r>
        <w:rPr>
          <w:rFonts w:hint="eastAsia" w:ascii="Times New Roman" w:hAnsi="Times New Roman" w:eastAsia="楷体_GB2312"/>
          <w:b/>
          <w:color w:val="auto"/>
          <w:sz w:val="32"/>
          <w:szCs w:val="32"/>
          <w:highlight w:val="none"/>
          <w:u w:val="none"/>
          <w:lang w:val="zh-CN"/>
        </w:rPr>
        <w:t>（二）预设问题及评价重点。</w:t>
      </w:r>
      <w:r>
        <w:rPr>
          <w:rFonts w:hint="eastAsia" w:ascii="Times New Roman" w:hAnsi="Times New Roman" w:eastAsia="仿宋_GB2312" w:cs="仿宋_GB2312"/>
          <w:b w:val="0"/>
          <w:bCs w:val="0"/>
          <w:color w:val="auto"/>
          <w:kern w:val="0"/>
          <w:position w:val="0"/>
          <w:sz w:val="32"/>
          <w:szCs w:val="32"/>
          <w:highlight w:val="none"/>
          <w:lang w:val="zh-CN" w:eastAsia="zh-CN" w:bidi="ar-SA"/>
        </w:rPr>
        <w:t>总体评价各项目实施单位财务管理制度是否健全，是否严格执行财务管理制度，账务处理是否及时，会计核算是否规范等。</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楷体_GB2312"/>
          <w:b/>
          <w:color w:val="auto"/>
          <w:sz w:val="32"/>
          <w:szCs w:val="32"/>
          <w:highlight w:val="none"/>
          <w:u w:val="none"/>
          <w:lang w:val="zh-CN" w:eastAsia="zh-CN"/>
        </w:rPr>
      </w:pPr>
      <w:r>
        <w:rPr>
          <w:rFonts w:hint="eastAsia" w:ascii="Times New Roman" w:hAnsi="Times New Roman" w:eastAsia="楷体_GB2312"/>
          <w:b/>
          <w:color w:val="auto"/>
          <w:sz w:val="32"/>
          <w:szCs w:val="32"/>
          <w:highlight w:val="none"/>
          <w:u w:val="none"/>
          <w:lang w:val="zh-CN"/>
        </w:rPr>
        <w:t>（三）评价选点。</w:t>
      </w:r>
      <w:r>
        <w:rPr>
          <w:rFonts w:hint="eastAsia" w:eastAsia="仿宋_GB2312" w:cs="仿宋_GB2312"/>
          <w:b w:val="0"/>
          <w:color w:val="auto"/>
          <w:kern w:val="0"/>
          <w:sz w:val="32"/>
          <w:szCs w:val="32"/>
          <w:highlight w:val="none"/>
          <w:u w:val="none"/>
          <w:lang w:val="en-US" w:eastAsia="zh-CN"/>
        </w:rPr>
        <w:t>东区炳草岗街道，西区格里坪街道，仁和区仁和镇。</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（四）评价方法。</w:t>
      </w:r>
      <w:r>
        <w:rPr>
          <w:rFonts w:hint="eastAsia" w:ascii="Times New Roman" w:hAnsi="Times New Roman" w:eastAsia="仿宋_GB2312" w:cs="仿宋_GB2312"/>
          <w:b w:val="0"/>
          <w:bCs w:val="0"/>
          <w:color w:val="auto"/>
          <w:kern w:val="0"/>
          <w:position w:val="0"/>
          <w:sz w:val="32"/>
          <w:szCs w:val="32"/>
          <w:highlight w:val="none"/>
          <w:lang w:val="zh-CN" w:eastAsia="zh-CN" w:bidi="ar-SA"/>
        </w:rPr>
        <w:t>组织专家对成果编制的规范性、科学性、可操作性等方面进行评审，通过专家评审、市级有关部门审核、攀枝花市人民政府审定，确保报告编制质量。</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default" w:ascii="Times New Roman" w:hAnsi="Times New Roman" w:eastAsia="仿宋_GB2312" w:cs="Times New Roman"/>
          <w:bCs/>
          <w:color w:val="auto"/>
          <w:highlight w:val="none"/>
          <w:lang w:val="en-US" w:eastAsia="zh-CN"/>
        </w:rPr>
      </w:pPr>
      <w:r>
        <w:rPr>
          <w:rFonts w:hint="eastAsia" w:ascii="Times New Roman" w:hAnsi="Times New Roman" w:eastAsia="楷体_GB2312"/>
          <w:b/>
          <w:color w:val="auto"/>
          <w:sz w:val="32"/>
          <w:szCs w:val="32"/>
          <w:highlight w:val="none"/>
          <w:u w:val="none"/>
          <w:lang w:val="zh-CN"/>
        </w:rPr>
        <w:t>（五）评价组织。</w:t>
      </w:r>
      <w:r>
        <w:rPr>
          <w:rFonts w:hint="eastAsia" w:eastAsia="仿宋_GB2312" w:cs="仿宋_GB2312"/>
          <w:b w:val="0"/>
          <w:bCs w:val="0"/>
          <w:color w:val="auto"/>
          <w:kern w:val="0"/>
          <w:position w:val="0"/>
          <w:sz w:val="32"/>
          <w:szCs w:val="32"/>
          <w:highlight w:val="none"/>
          <w:lang w:val="en-US" w:eastAsia="zh-CN" w:bidi="ar-SA"/>
        </w:rPr>
        <w:t>市住房城乡建设局财审科、城市更新专班工作人员对项目进行评价。</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132" w:name="_Toc1775068569_WPSOffice_Level2"/>
      <w:bookmarkStart w:id="133" w:name="_Toc1603456849_WPSOffice_Level2"/>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绩效分析</w:t>
      </w:r>
      <w:bookmarkEnd w:id="132"/>
      <w:bookmarkEnd w:id="133"/>
      <w:r>
        <w:rPr>
          <w:rFonts w:hint="eastAsia" w:ascii="Times New Roman" w:hAnsi="Times New Roman"/>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9"/>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cs="Times New Roman"/>
          <w:b/>
          <w:color w:val="auto"/>
          <w:sz w:val="32"/>
          <w:szCs w:val="32"/>
          <w:highlight w:val="none"/>
          <w:u w:val="none"/>
          <w:lang w:val="zh-CN"/>
        </w:rPr>
        <w:t>（一）</w:t>
      </w:r>
      <w:r>
        <w:rPr>
          <w:rFonts w:hint="eastAsia"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b w:val="0"/>
          <w:bCs w:val="0"/>
          <w:kern w:val="0"/>
          <w:position w:val="0"/>
          <w:sz w:val="32"/>
          <w:szCs w:val="32"/>
          <w:highlight w:val="none"/>
          <w:lang w:val="zh-CN" w:eastAsia="zh-CN" w:bidi="ar-SA"/>
        </w:rPr>
        <w:t>项目决策。项目由市住房城乡建设局负责，下属科室城市更新专班具体经办，通过政府购买服务方式采购技术服务。</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zh-CN" w:eastAsia="zh-CN" w:bidi="ar-SA"/>
        </w:rPr>
        <w:t>项目管理。采购代理机构为四川锦创全过程工程项目管理有限公司，竞争性磋商公告发布时间为2024年4月23日，中标（成交）结果公告发布时间为2024年4月29日。采购全程在政府采购一体化平台上开展，过程</w:t>
      </w:r>
      <w:r>
        <w:rPr>
          <w:rFonts w:hint="eastAsia" w:eastAsia="仿宋_GB2312" w:cs="仿宋_GB2312"/>
          <w:b w:val="0"/>
          <w:bCs w:val="0"/>
          <w:kern w:val="0"/>
          <w:position w:val="0"/>
          <w:sz w:val="32"/>
          <w:szCs w:val="32"/>
          <w:highlight w:val="none"/>
          <w:lang w:val="zh-CN" w:eastAsia="zh-CN" w:bidi="ar-SA"/>
        </w:rPr>
        <w:t>遵</w:t>
      </w:r>
      <w:r>
        <w:rPr>
          <w:rFonts w:hint="eastAsia" w:ascii="Times New Roman" w:hAnsi="Times New Roman" w:eastAsia="仿宋_GB2312" w:cs="仿宋_GB2312"/>
          <w:b w:val="0"/>
          <w:bCs w:val="0"/>
          <w:kern w:val="0"/>
          <w:position w:val="0"/>
          <w:sz w:val="32"/>
          <w:szCs w:val="32"/>
          <w:highlight w:val="none"/>
          <w:lang w:val="zh-CN" w:eastAsia="zh-CN" w:bidi="ar-SA"/>
        </w:rPr>
        <w:t>守《四川省政府购买服务管理办法》等相关法律法规法规。</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3.项目实施。</w:t>
      </w:r>
      <w:r>
        <w:rPr>
          <w:rFonts w:hint="eastAsia" w:ascii="Times New Roman" w:hAnsi="Times New Roman" w:eastAsia="仿宋_GB2312" w:cs="仿宋_GB2312"/>
          <w:b w:val="0"/>
          <w:bCs w:val="0"/>
          <w:kern w:val="0"/>
          <w:position w:val="0"/>
          <w:sz w:val="32"/>
          <w:szCs w:val="32"/>
          <w:highlight w:val="none"/>
          <w:lang w:val="zh-CN" w:eastAsia="zh-CN" w:bidi="ar-SA"/>
        </w:rPr>
        <w:t>2024年12月，根据与供应商</w:t>
      </w:r>
      <w:r>
        <w:rPr>
          <w:rFonts w:hint="eastAsia" w:eastAsia="仿宋_GB2312" w:cs="仿宋_GB2312"/>
          <w:b w:val="0"/>
          <w:bCs w:val="0"/>
          <w:kern w:val="0"/>
          <w:position w:val="0"/>
          <w:sz w:val="32"/>
          <w:szCs w:val="32"/>
          <w:highlight w:val="none"/>
          <w:lang w:val="zh-CN" w:eastAsia="zh-CN" w:bidi="ar-SA"/>
        </w:rPr>
        <w:t>签订</w:t>
      </w:r>
      <w:r>
        <w:rPr>
          <w:rFonts w:hint="eastAsia" w:ascii="Times New Roman" w:hAnsi="Times New Roman" w:eastAsia="仿宋_GB2312" w:cs="仿宋_GB2312"/>
          <w:b w:val="0"/>
          <w:bCs w:val="0"/>
          <w:kern w:val="0"/>
          <w:position w:val="0"/>
          <w:sz w:val="32"/>
          <w:szCs w:val="32"/>
          <w:highlight w:val="none"/>
          <w:lang w:val="zh-CN" w:eastAsia="zh-CN" w:bidi="ar-SA"/>
        </w:rPr>
        <w:t>的技术服务合同，使用47.75万元，拨付至四川省城乡建设研究院。</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default"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4.项目结果。</w:t>
      </w:r>
      <w:r>
        <w:rPr>
          <w:rFonts w:hint="eastAsia" w:eastAsia="仿宋_GB2312" w:cs="仿宋_GB2312"/>
          <w:b w:val="0"/>
          <w:bCs w:val="0"/>
          <w:kern w:val="0"/>
          <w:position w:val="0"/>
          <w:sz w:val="32"/>
          <w:szCs w:val="32"/>
          <w:highlight w:val="none"/>
          <w:lang w:val="en-US" w:eastAsia="zh-CN" w:bidi="ar-SA"/>
        </w:rPr>
        <w:t>围绕编制2024年城市体检报告目标开展工作</w:t>
      </w:r>
      <w:r>
        <w:rPr>
          <w:rFonts w:hint="eastAsia" w:ascii="Times New Roman" w:hAnsi="Times New Roman" w:eastAsia="仿宋_GB2312" w:cs="仿宋_GB2312"/>
          <w:b w:val="0"/>
          <w:bCs w:val="0"/>
          <w:kern w:val="0"/>
          <w:position w:val="0"/>
          <w:sz w:val="32"/>
          <w:szCs w:val="32"/>
          <w:highlight w:val="none"/>
          <w:lang w:val="zh-CN" w:eastAsia="zh-CN" w:bidi="ar-SA"/>
        </w:rPr>
        <w:t>，通过城市体检指标数据采集、社会问卷调查等方式，系统分析产生城市问题的原因，查找</w:t>
      </w:r>
      <w:r>
        <w:rPr>
          <w:rFonts w:hint="eastAsia" w:ascii="仿宋_GB2312" w:hAnsi="Times New Roman" w:eastAsia="仿宋_GB2312" w:cs="Times New Roman"/>
          <w:kern w:val="0"/>
          <w:sz w:val="32"/>
          <w:szCs w:val="32"/>
          <w:lang w:val="zh-CN" w:eastAsia="zh-CN" w:bidi="ar-SA"/>
        </w:rPr>
        <w:t>城市</w:t>
      </w:r>
      <w:r>
        <w:rPr>
          <w:rFonts w:hint="eastAsia" w:ascii="Times New Roman" w:hAnsi="Times New Roman" w:eastAsia="仿宋_GB2312" w:cs="仿宋_GB2312"/>
          <w:b w:val="0"/>
          <w:bCs w:val="0"/>
          <w:kern w:val="0"/>
          <w:position w:val="0"/>
          <w:sz w:val="32"/>
          <w:szCs w:val="32"/>
          <w:highlight w:val="none"/>
          <w:lang w:val="zh-CN" w:eastAsia="zh-CN" w:bidi="ar-SA"/>
        </w:rPr>
        <w:t>建设和发展中的“短板”和“弱项”提出有针对性对策和建议，</w:t>
      </w:r>
      <w:r>
        <w:rPr>
          <w:rFonts w:hint="eastAsia" w:eastAsia="仿宋_GB2312" w:cs="仿宋_GB2312"/>
          <w:b w:val="0"/>
          <w:bCs w:val="0"/>
          <w:kern w:val="0"/>
          <w:position w:val="0"/>
          <w:sz w:val="32"/>
          <w:szCs w:val="32"/>
          <w:highlight w:val="none"/>
          <w:lang w:val="en-US" w:eastAsia="zh-CN" w:bidi="ar-SA"/>
        </w:rPr>
        <w:t>已按要求</w:t>
      </w:r>
      <w:r>
        <w:rPr>
          <w:rFonts w:hint="eastAsia" w:ascii="Times New Roman" w:hAnsi="Times New Roman" w:eastAsia="仿宋_GB2312" w:cs="仿宋_GB2312"/>
          <w:b w:val="0"/>
          <w:bCs w:val="0"/>
          <w:kern w:val="0"/>
          <w:position w:val="0"/>
          <w:sz w:val="32"/>
          <w:szCs w:val="32"/>
          <w:highlight w:val="none"/>
          <w:lang w:val="zh-CN" w:eastAsia="zh-CN" w:bidi="ar-SA"/>
        </w:rPr>
        <w:t>编制</w:t>
      </w:r>
      <w:r>
        <w:rPr>
          <w:rFonts w:hint="eastAsia" w:eastAsia="仿宋_GB2312" w:cs="仿宋_GB2312"/>
          <w:b w:val="0"/>
          <w:bCs w:val="0"/>
          <w:kern w:val="0"/>
          <w:position w:val="0"/>
          <w:sz w:val="32"/>
          <w:szCs w:val="32"/>
          <w:highlight w:val="none"/>
          <w:lang w:val="en-US" w:eastAsia="zh-CN" w:bidi="ar-SA"/>
        </w:rPr>
        <w:t>形成</w:t>
      </w:r>
      <w:r>
        <w:rPr>
          <w:rFonts w:hint="eastAsia" w:ascii="Times New Roman" w:hAnsi="Times New Roman" w:eastAsia="仿宋_GB2312" w:cs="仿宋_GB2312"/>
          <w:b w:val="0"/>
          <w:bCs w:val="0"/>
          <w:kern w:val="0"/>
          <w:position w:val="0"/>
          <w:sz w:val="32"/>
          <w:szCs w:val="32"/>
          <w:highlight w:val="none"/>
          <w:lang w:val="zh-CN" w:eastAsia="zh-CN" w:bidi="ar-SA"/>
        </w:rPr>
        <w:t>城市体检报告</w:t>
      </w:r>
      <w:r>
        <w:rPr>
          <w:rFonts w:hint="eastAsia" w:eastAsia="仿宋_GB2312" w:cs="仿宋_GB2312"/>
          <w:b w:val="0"/>
          <w:bCs w:val="0"/>
          <w:kern w:val="0"/>
          <w:position w:val="0"/>
          <w:sz w:val="32"/>
          <w:szCs w:val="32"/>
          <w:highlight w:val="none"/>
          <w:lang w:val="zh-CN" w:eastAsia="zh-CN" w:bidi="ar-SA"/>
        </w:rPr>
        <w:t>，</w:t>
      </w:r>
      <w:r>
        <w:rPr>
          <w:rFonts w:hint="eastAsia" w:eastAsia="仿宋_GB2312" w:cs="仿宋_GB2312"/>
          <w:b w:val="0"/>
          <w:bCs w:val="0"/>
          <w:kern w:val="0"/>
          <w:position w:val="0"/>
          <w:sz w:val="32"/>
          <w:szCs w:val="32"/>
          <w:highlight w:val="none"/>
          <w:lang w:val="en-US" w:eastAsia="zh-CN" w:bidi="ar-SA"/>
        </w:rPr>
        <w:t>并通过市政府审定后印发实施。</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rPr>
        <w:t>（二）</w:t>
      </w:r>
      <w:r>
        <w:rPr>
          <w:rFonts w:hint="eastAsia"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仿宋_GB2312"/>
          <w:b w:val="0"/>
          <w:bCs w:val="0"/>
          <w:kern w:val="0"/>
          <w:position w:val="0"/>
          <w:sz w:val="32"/>
          <w:szCs w:val="32"/>
          <w:highlight w:val="none"/>
          <w:lang w:val="zh-CN" w:eastAsia="zh-CN" w:bidi="ar-SA"/>
        </w:rPr>
        <w:t>根据</w:t>
      </w:r>
      <w:r>
        <w:rPr>
          <w:rFonts w:hint="eastAsia" w:ascii="Times New Roman" w:hAnsi="Times New Roman" w:eastAsia="仿宋_GB2312" w:cs="仿宋_GB2312"/>
          <w:b w:val="0"/>
          <w:bCs w:val="0"/>
          <w:kern w:val="0"/>
          <w:position w:val="0"/>
          <w:sz w:val="32"/>
          <w:szCs w:val="32"/>
          <w:highlight w:val="none"/>
          <w:lang w:val="en-US" w:eastAsia="zh-CN" w:bidi="ar-SA"/>
        </w:rPr>
        <w:t>专项预算项目资金支持对象选择所属指标进行绩效分析。支持对象</w:t>
      </w:r>
      <w:r>
        <w:rPr>
          <w:rFonts w:hint="eastAsia" w:ascii="Times New Roman" w:hAnsi="Times New Roman" w:eastAsia="仿宋_GB2312" w:cs="仿宋_GB2312"/>
          <w:b w:val="0"/>
          <w:bCs w:val="0"/>
          <w:kern w:val="0"/>
          <w:position w:val="0"/>
          <w:sz w:val="32"/>
          <w:szCs w:val="32"/>
          <w:highlight w:val="none"/>
          <w:lang w:val="zh-CN" w:eastAsia="zh-CN" w:bidi="ar-SA"/>
        </w:rPr>
        <w:t>包括产业发展、民生保障、基础设施、行政运转等方面。</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1.产业发展。</w:t>
      </w:r>
      <w:r>
        <w:rPr>
          <w:rFonts w:hint="eastAsia" w:eastAsia="仿宋_GB2312" w:cs="仿宋_GB2312"/>
          <w:b w:val="0"/>
          <w:bCs w:val="0"/>
          <w:kern w:val="0"/>
          <w:position w:val="0"/>
          <w:sz w:val="32"/>
          <w:szCs w:val="32"/>
          <w:highlight w:val="none"/>
          <w:lang w:val="en-US" w:eastAsia="zh-CN" w:bidi="ar-SA"/>
        </w:rPr>
        <w:t>项目产业发展</w:t>
      </w:r>
      <w:r>
        <w:rPr>
          <w:rFonts w:hint="eastAsia" w:ascii="Times New Roman" w:hAnsi="Times New Roman" w:eastAsia="仿宋_GB2312" w:cs="仿宋_GB2312"/>
          <w:b w:val="0"/>
          <w:bCs w:val="0"/>
          <w:kern w:val="0"/>
          <w:position w:val="0"/>
          <w:sz w:val="32"/>
          <w:szCs w:val="32"/>
          <w:highlight w:val="none"/>
          <w:lang w:val="en-US" w:eastAsia="zh-CN" w:bidi="ar-SA"/>
        </w:rPr>
        <w:t>方面落实精明增长的建设理念，通过城市体检评估，有针对性地制定对策措施，助力城市建设质量和效果提升。</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zh-CN" w:eastAsia="zh-CN" w:bidi="ar-SA"/>
        </w:rPr>
        <w:t>民生保障。</w:t>
      </w:r>
      <w:r>
        <w:rPr>
          <w:rFonts w:hint="eastAsia" w:eastAsia="仿宋_GB2312" w:cs="仿宋_GB2312"/>
          <w:b w:val="0"/>
          <w:bCs w:val="0"/>
          <w:kern w:val="0"/>
          <w:position w:val="0"/>
          <w:sz w:val="32"/>
          <w:szCs w:val="32"/>
          <w:highlight w:val="none"/>
          <w:lang w:val="en-US" w:eastAsia="zh-CN" w:bidi="ar-SA"/>
        </w:rPr>
        <w:t>项目民生保障</w:t>
      </w:r>
      <w:r>
        <w:rPr>
          <w:rFonts w:hint="eastAsia" w:ascii="Times New Roman" w:hAnsi="Times New Roman" w:eastAsia="仿宋_GB2312" w:cs="仿宋_GB2312"/>
          <w:b w:val="0"/>
          <w:bCs w:val="0"/>
          <w:kern w:val="0"/>
          <w:position w:val="0"/>
          <w:sz w:val="32"/>
          <w:szCs w:val="32"/>
          <w:highlight w:val="none"/>
          <w:lang w:val="zh-CN" w:eastAsia="zh-CN" w:bidi="ar-SA"/>
        </w:rPr>
        <w:t>方面充分收集居民对城市建设工作的意见和建议，并将调查情况融入城市体检报告，助力群众对城市建设满意度的提高</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3.基础设施。</w:t>
      </w:r>
      <w:r>
        <w:rPr>
          <w:rFonts w:hint="eastAsia" w:eastAsia="仿宋_GB2312" w:cs="仿宋_GB2312"/>
          <w:b w:val="0"/>
          <w:bCs w:val="0"/>
          <w:kern w:val="0"/>
          <w:position w:val="0"/>
          <w:sz w:val="32"/>
          <w:szCs w:val="32"/>
          <w:highlight w:val="none"/>
          <w:lang w:val="en-US" w:eastAsia="zh-CN" w:bidi="ar-SA"/>
        </w:rPr>
        <w:t>项目基础设施方面</w:t>
      </w:r>
      <w:r>
        <w:rPr>
          <w:rFonts w:hint="eastAsia" w:ascii="Times New Roman" w:hAnsi="Times New Roman" w:eastAsia="仿宋_GB2312" w:cs="仿宋_GB2312"/>
          <w:b w:val="0"/>
          <w:bCs w:val="0"/>
          <w:kern w:val="0"/>
          <w:position w:val="0"/>
          <w:sz w:val="32"/>
          <w:szCs w:val="32"/>
          <w:highlight w:val="none"/>
          <w:lang w:val="en-US" w:eastAsia="zh-CN" w:bidi="ar-SA"/>
        </w:rPr>
        <w:t>以城市体检为基础，推动城市体检成果运用，精准识别问题短板，系统谋划城市更新项目库，为形成我市城市有机更新攻坚行动方案提供了有力支撑。</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4.</w:t>
      </w:r>
      <w:r>
        <w:rPr>
          <w:rFonts w:hint="eastAsia" w:ascii="Times New Roman" w:hAnsi="Times New Roman" w:eastAsia="仿宋_GB2312" w:cs="仿宋_GB2312"/>
          <w:b w:val="0"/>
          <w:bCs w:val="0"/>
          <w:kern w:val="0"/>
          <w:position w:val="0"/>
          <w:sz w:val="32"/>
          <w:szCs w:val="32"/>
          <w:highlight w:val="none"/>
          <w:lang w:val="zh-CN" w:eastAsia="zh-CN" w:bidi="ar-SA"/>
        </w:rPr>
        <w:t>行政运转。</w:t>
      </w:r>
      <w:r>
        <w:rPr>
          <w:rFonts w:hint="eastAsia" w:eastAsia="仿宋_GB2312" w:cs="仿宋_GB2312"/>
          <w:b w:val="0"/>
          <w:bCs w:val="0"/>
          <w:kern w:val="0"/>
          <w:position w:val="0"/>
          <w:sz w:val="32"/>
          <w:szCs w:val="32"/>
          <w:highlight w:val="none"/>
          <w:lang w:val="en-US" w:eastAsia="zh-CN" w:bidi="ar-SA"/>
        </w:rPr>
        <w:t>项目行政运转方面，在项目设立、资金拨付、资金使用、项目实施等方面均具有</w:t>
      </w:r>
      <w:r>
        <w:rPr>
          <w:rFonts w:hint="eastAsia" w:ascii="Times New Roman" w:hAnsi="Times New Roman" w:eastAsia="仿宋_GB2312" w:cs="仿宋_GB2312"/>
          <w:b w:val="0"/>
          <w:bCs w:val="0"/>
          <w:kern w:val="0"/>
          <w:position w:val="0"/>
          <w:sz w:val="32"/>
          <w:szCs w:val="32"/>
          <w:highlight w:val="none"/>
          <w:lang w:val="zh-CN" w:eastAsia="zh-CN" w:bidi="ar-SA"/>
        </w:rPr>
        <w:t>合规性。</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楷体_GB2312" w:cs="Times New Roman"/>
          <w:b/>
          <w:color w:val="auto"/>
          <w:sz w:val="32"/>
          <w:szCs w:val="32"/>
          <w:highlight w:val="none"/>
          <w:u w:val="none"/>
          <w:lang w:val="zh-CN"/>
        </w:rPr>
        <w:t>（三）</w:t>
      </w:r>
      <w:r>
        <w:rPr>
          <w:rFonts w:hint="eastAsia" w:ascii="Times New Roman" w:hAnsi="Times New Roman"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仿宋_GB2312"/>
          <w:b w:val="0"/>
          <w:bCs w:val="0"/>
          <w:kern w:val="0"/>
          <w:position w:val="0"/>
          <w:sz w:val="32"/>
          <w:szCs w:val="32"/>
          <w:highlight w:val="none"/>
          <w:lang w:val="zh-CN" w:eastAsia="zh-CN" w:bidi="ar-SA"/>
        </w:rPr>
        <w:t>项目完成度方面，已完成体检指标数据采集和城市体检报告编制；项目社会效益方面充分收集居民对城市建设工作的意见和建议，并将调查情况融入城市体检报告，助力群众对城市建设满意度的提高；经济效益方面落实精明增长的建设理念，通过城市体检评估，有针对性地制定对策措施，助力城市</w:t>
      </w:r>
      <w:r>
        <w:rPr>
          <w:rFonts w:hint="eastAsia" w:ascii="仿宋_GB2312" w:hAnsi="Times New Roman" w:eastAsia="仿宋_GB2312" w:cs="Times New Roman"/>
          <w:kern w:val="0"/>
          <w:sz w:val="32"/>
          <w:szCs w:val="32"/>
          <w:lang w:val="zh-CN" w:eastAsia="zh-CN" w:bidi="ar-SA"/>
        </w:rPr>
        <w:t>建设</w:t>
      </w:r>
      <w:r>
        <w:rPr>
          <w:rFonts w:hint="eastAsia" w:ascii="Times New Roman" w:hAnsi="Times New Roman" w:eastAsia="仿宋_GB2312" w:cs="仿宋_GB2312"/>
          <w:b w:val="0"/>
          <w:bCs w:val="0"/>
          <w:kern w:val="0"/>
          <w:position w:val="0"/>
          <w:sz w:val="32"/>
          <w:szCs w:val="32"/>
          <w:highlight w:val="none"/>
          <w:lang w:val="zh-CN" w:eastAsia="zh-CN" w:bidi="ar-SA"/>
        </w:rPr>
        <w:t>质量和效果提升。以城市体检为基础，推动城市体检成果运用，精准识别问题短板，系统谋划城市更新项目库，为形成我市城市有机更新攻坚行动方案提供了有力支撑。</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黑体" w:hAnsi="黑体" w:eastAsia="黑体" w:cs="黑体"/>
          <w:b w:val="0"/>
          <w:bCs w:val="0"/>
          <w:kern w:val="0"/>
          <w:position w:val="0"/>
          <w:sz w:val="32"/>
          <w:szCs w:val="32"/>
          <w:highlight w:val="none"/>
          <w:lang w:val="en-US" w:eastAsia="zh-CN" w:bidi="ar-SA"/>
        </w:rPr>
      </w:pPr>
      <w:bookmarkStart w:id="134" w:name="_Toc355810034_WPSOffice_Level2"/>
      <w:bookmarkStart w:id="135" w:name="_Toc755901551_WPSOffice_Level2"/>
      <w:r>
        <w:rPr>
          <w:rFonts w:hint="eastAsia" w:ascii="黑体" w:hAnsi="黑体" w:eastAsia="黑体" w:cs="黑体"/>
          <w:b w:val="0"/>
          <w:bCs w:val="0"/>
          <w:kern w:val="0"/>
          <w:position w:val="0"/>
          <w:sz w:val="32"/>
          <w:szCs w:val="32"/>
          <w:highlight w:val="none"/>
          <w:lang w:val="en-US" w:eastAsia="zh-CN" w:bidi="ar-SA"/>
        </w:rPr>
        <w:t>四、评价结论</w:t>
      </w:r>
      <w:bookmarkEnd w:id="134"/>
      <w:bookmarkEnd w:id="135"/>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yellow"/>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项目实施满足绩效评价。</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黑体" w:hAnsi="黑体" w:eastAsia="黑体" w:cs="黑体"/>
          <w:b w:val="0"/>
          <w:bCs w:val="0"/>
          <w:kern w:val="0"/>
          <w:position w:val="0"/>
          <w:sz w:val="32"/>
          <w:szCs w:val="32"/>
          <w:highlight w:val="none"/>
          <w:lang w:val="en-US" w:eastAsia="zh-CN" w:bidi="ar-SA"/>
        </w:rPr>
      </w:pPr>
      <w:bookmarkStart w:id="136" w:name="_Toc1713346036_WPSOffice_Level2"/>
      <w:bookmarkStart w:id="137" w:name="_Toc1914331729_WPSOffice_Level2"/>
      <w:r>
        <w:rPr>
          <w:rFonts w:hint="eastAsia" w:ascii="黑体" w:hAnsi="黑体" w:eastAsia="黑体" w:cs="黑体"/>
          <w:b w:val="0"/>
          <w:bCs w:val="0"/>
          <w:kern w:val="0"/>
          <w:position w:val="0"/>
          <w:sz w:val="32"/>
          <w:szCs w:val="32"/>
          <w:highlight w:val="none"/>
          <w:lang w:val="en-US" w:eastAsia="zh-CN" w:bidi="ar-SA"/>
        </w:rPr>
        <w:t>五、存在主要问题</w:t>
      </w:r>
      <w:bookmarkEnd w:id="136"/>
      <w:bookmarkEnd w:id="137"/>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无</w:t>
      </w:r>
      <w:r>
        <w:rPr>
          <w:rFonts w:hint="eastAsia" w:ascii="Times New Roman" w:hAnsi="Times New Roman" w:eastAsia="仿宋_GB2312" w:cs="仿宋_GB2312"/>
          <w:b w:val="0"/>
          <w:bCs w:val="0"/>
          <w:kern w:val="0"/>
          <w:positio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ascii="黑体" w:hAnsi="黑体" w:eastAsia="黑体" w:cs="黑体"/>
          <w:b w:val="0"/>
          <w:bCs w:val="0"/>
          <w:kern w:val="0"/>
          <w:position w:val="0"/>
          <w:sz w:val="32"/>
          <w:szCs w:val="32"/>
          <w:highlight w:val="none"/>
          <w:lang w:val="zh-CN" w:eastAsia="zh-CN" w:bidi="ar-SA"/>
        </w:rPr>
      </w:pPr>
      <w:bookmarkStart w:id="138" w:name="_Toc1393678411_WPSOffice_Level2"/>
      <w:bookmarkStart w:id="139" w:name="_Toc2115990469_WPSOffice_Level2"/>
      <w:r>
        <w:rPr>
          <w:rFonts w:hint="eastAsia" w:ascii="黑体" w:hAnsi="黑体" w:eastAsia="黑体" w:cs="黑体"/>
          <w:b w:val="0"/>
          <w:bCs w:val="0"/>
          <w:kern w:val="0"/>
          <w:position w:val="0"/>
          <w:sz w:val="32"/>
          <w:szCs w:val="32"/>
          <w:highlight w:val="none"/>
          <w:lang w:val="zh-CN" w:eastAsia="zh-CN" w:bidi="ar-SA"/>
        </w:rPr>
        <w:t>六、改进建议</w:t>
      </w:r>
      <w:bookmarkEnd w:id="138"/>
      <w:bookmarkEnd w:id="139"/>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hint="eastAsia"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无</w:t>
      </w:r>
    </w:p>
    <w:p>
      <w:pPr>
        <w:pStyle w:val="3"/>
        <w:keepNext w:val="0"/>
        <w:keepLines w:val="0"/>
        <w:pageBreakBefore w:val="0"/>
        <w:kinsoku/>
        <w:wordWrap/>
        <w:overflowPunct/>
        <w:topLinePunct w:val="0"/>
        <w:bidi w:val="0"/>
        <w:spacing w:line="578" w:lineRule="exact"/>
        <w:ind w:left="0" w:leftChars="0" w:firstLine="0" w:firstLineChars="0"/>
        <w:textAlignment w:val="auto"/>
        <w:rPr>
          <w:rFonts w:hint="eastAsia"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pStyle w:val="2"/>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ind w:left="0" w:leftChars="0" w:firstLine="0" w:firstLineChars="0"/>
        <w:rPr>
          <w:rFonts w:hint="eastAsia" w:ascii="Times New Roman" w:hAnsi="Times New Roman" w:eastAsia="仿宋_GB2312" w:cs="仿宋_GB2312"/>
          <w:b w:val="0"/>
          <w:bCs w:val="0"/>
          <w:kern w:val="0"/>
          <w:position w:val="0"/>
          <w:sz w:val="32"/>
          <w:szCs w:val="32"/>
          <w:highlight w:val="none"/>
          <w:lang w:val="en-US" w:eastAsia="zh-CN" w:bidi="ar-SA"/>
        </w:rPr>
      </w:pPr>
    </w:p>
    <w:p>
      <w:pPr>
        <w:pStyle w:val="37"/>
        <w:keepNext w:val="0"/>
        <w:keepLines w:val="0"/>
        <w:pageBreakBefore w:val="0"/>
        <w:kinsoku/>
        <w:wordWrap/>
        <w:overflowPunct/>
        <w:topLinePunct w:val="0"/>
        <w:bidi w:val="0"/>
        <w:spacing w:line="578" w:lineRule="exact"/>
        <w:jc w:val="center"/>
        <w:textAlignment w:val="auto"/>
        <w:rPr>
          <w:rFonts w:hint="eastAsia" w:ascii="方正小标宋简体" w:eastAsia="方正小标宋简体"/>
          <w:kern w:val="2"/>
          <w:sz w:val="44"/>
          <w:szCs w:val="44"/>
        </w:rPr>
      </w:pPr>
      <w:bookmarkStart w:id="140" w:name="_Toc954077028_WPSOffice_Level2"/>
      <w:bookmarkStart w:id="141" w:name="_Toc1697674496_WPSOffice_Level2"/>
      <w:r>
        <w:rPr>
          <w:rFonts w:hint="eastAsia" w:ascii="方正小标宋简体" w:eastAsia="方正小标宋简体"/>
          <w:kern w:val="2"/>
          <w:sz w:val="44"/>
          <w:szCs w:val="44"/>
        </w:rPr>
        <w:t>白蚁防治管理资金</w:t>
      </w:r>
      <w:bookmarkEnd w:id="140"/>
      <w:bookmarkEnd w:id="141"/>
    </w:p>
    <w:p>
      <w:pPr>
        <w:pStyle w:val="37"/>
        <w:keepNext w:val="0"/>
        <w:keepLines w:val="0"/>
        <w:pageBreakBefore w:val="0"/>
        <w:kinsoku/>
        <w:wordWrap/>
        <w:overflowPunct/>
        <w:topLinePunct w:val="0"/>
        <w:bidi w:val="0"/>
        <w:spacing w:line="578" w:lineRule="exact"/>
        <w:jc w:val="center"/>
        <w:textAlignment w:val="auto"/>
        <w:rPr>
          <w:rFonts w:hint="eastAsia" w:ascii="方正小标宋简体" w:eastAsia="方正小标宋简体"/>
          <w:kern w:val="2"/>
          <w:sz w:val="44"/>
          <w:szCs w:val="44"/>
        </w:rPr>
      </w:pPr>
      <w:bookmarkStart w:id="142" w:name="_Toc662431767_WPSOffice_Level2"/>
      <w:bookmarkStart w:id="143" w:name="_Toc2073496819_WPSOffice_Level2"/>
      <w:r>
        <w:rPr>
          <w:rFonts w:hint="eastAsia" w:ascii="方正小标宋简体" w:eastAsia="方正小标宋简体"/>
          <w:kern w:val="2"/>
          <w:sz w:val="44"/>
          <w:szCs w:val="44"/>
        </w:rPr>
        <w:t>专项预算项目绩效评价报告</w:t>
      </w:r>
      <w:bookmarkEnd w:id="142"/>
      <w:bookmarkEnd w:id="143"/>
    </w:p>
    <w:p>
      <w:pPr>
        <w:pStyle w:val="37"/>
        <w:keepNext w:val="0"/>
        <w:keepLines w:val="0"/>
        <w:pageBreakBefore w:val="0"/>
        <w:kinsoku/>
        <w:wordWrap/>
        <w:overflowPunct/>
        <w:topLinePunct w:val="0"/>
        <w:bidi w:val="0"/>
        <w:spacing w:line="578" w:lineRule="exact"/>
        <w:ind w:firstLine="640"/>
        <w:jc w:val="center"/>
        <w:textAlignment w:val="auto"/>
        <w:rPr>
          <w:rFonts w:hint="eastAsia" w:ascii="宋体"/>
          <w:kern w:val="2"/>
          <w:sz w:val="32"/>
          <w:szCs w:val="32"/>
        </w:rPr>
      </w:pPr>
    </w:p>
    <w:p>
      <w:pPr>
        <w:keepNext w:val="0"/>
        <w:keepLines w:val="0"/>
        <w:pageBreakBefore w:val="0"/>
        <w:kinsoku/>
        <w:wordWrap/>
        <w:overflowPunct/>
        <w:topLinePunct w:val="0"/>
        <w:bidi w:val="0"/>
        <w:adjustRightInd w:val="0"/>
        <w:snapToGrid w:val="0"/>
        <w:spacing w:line="578" w:lineRule="exact"/>
        <w:ind w:firstLine="640" w:firstLineChars="200"/>
        <w:textAlignment w:val="auto"/>
        <w:rPr>
          <w:rFonts w:hint="eastAsia" w:ascii="黑体" w:eastAsia="黑体"/>
          <w:sz w:val="32"/>
          <w:szCs w:val="32"/>
        </w:rPr>
      </w:pPr>
      <w:bookmarkStart w:id="144" w:name="_Toc2005497734_WPSOffice_Level2"/>
      <w:bookmarkStart w:id="145" w:name="_Toc1953341092_WPSOffice_Level2"/>
      <w:r>
        <w:rPr>
          <w:rFonts w:hint="eastAsia" w:ascii="黑体" w:eastAsia="黑体"/>
          <w:sz w:val="32"/>
          <w:szCs w:val="32"/>
        </w:rPr>
        <w:t>一、项目概况</w:t>
      </w:r>
      <w:bookmarkEnd w:id="144"/>
      <w:bookmarkEnd w:id="145"/>
    </w:p>
    <w:p>
      <w:pPr>
        <w:keepNext w:val="0"/>
        <w:keepLines w:val="0"/>
        <w:pageBreakBefore w:val="0"/>
        <w:widowControl/>
        <w:kinsoku/>
        <w:wordWrap/>
        <w:overflowPunct/>
        <w:topLinePunct w:val="0"/>
        <w:bidi w:val="0"/>
        <w:adjustRightInd w:val="0"/>
        <w:snapToGrid w:val="0"/>
        <w:spacing w:line="578" w:lineRule="exact"/>
        <w:ind w:firstLine="642" w:firstLineChars="200"/>
        <w:contextualSpacing/>
        <w:textAlignment w:val="auto"/>
        <w:rPr>
          <w:rFonts w:hint="eastAsia" w:ascii="仿宋_GB2312" w:eastAsia="仿宋_GB2312"/>
          <w:kern w:val="0"/>
          <w:sz w:val="32"/>
          <w:szCs w:val="32"/>
        </w:rPr>
      </w:pPr>
      <w:r>
        <w:rPr>
          <w:rFonts w:hint="eastAsia" w:ascii="楷体_GB2312" w:eastAsia="楷体_GB2312"/>
          <w:b/>
          <w:bCs/>
          <w:sz w:val="32"/>
          <w:szCs w:val="32"/>
        </w:rPr>
        <w:t>（一）设立背景及基本情况。</w:t>
      </w:r>
      <w:r>
        <w:rPr>
          <w:rFonts w:hint="eastAsia" w:ascii="仿宋_GB2312" w:eastAsia="仿宋_GB2312"/>
          <w:kern w:val="0"/>
          <w:sz w:val="32"/>
          <w:szCs w:val="32"/>
        </w:rPr>
        <w:t>根据《城市房屋白蚁防治管理规定》（建设部令第</w:t>
      </w:r>
      <w:r>
        <w:rPr>
          <w:rFonts w:hint="eastAsia" w:ascii="Times New Roman" w:hAnsi="Times New Roman" w:eastAsia="仿宋_GB2312" w:cs="仿宋_GB2312"/>
          <w:color w:val="auto"/>
          <w:kern w:val="2"/>
          <w:sz w:val="32"/>
          <w:szCs w:val="32"/>
          <w:highlight w:val="none"/>
          <w:lang w:val="en-US" w:eastAsia="zh-CN" w:bidi="ar-SA"/>
        </w:rPr>
        <w:t>130</w:t>
      </w:r>
      <w:r>
        <w:rPr>
          <w:rFonts w:hint="eastAsia" w:ascii="仿宋_GB2312" w:eastAsia="仿宋_GB2312"/>
          <w:kern w:val="0"/>
          <w:sz w:val="32"/>
          <w:szCs w:val="32"/>
        </w:rPr>
        <w:t>号）及部门职能，</w:t>
      </w:r>
      <w:r>
        <w:rPr>
          <w:rFonts w:hint="eastAsia" w:ascii="仿宋_GB2312" w:eastAsia="仿宋_GB2312"/>
          <w:kern w:val="0"/>
          <w:sz w:val="32"/>
          <w:szCs w:val="32"/>
          <w:lang w:eastAsia="zh-CN"/>
        </w:rPr>
        <w:t>市房地产事务</w:t>
      </w:r>
      <w:r>
        <w:rPr>
          <w:rFonts w:hint="eastAsia" w:ascii="仿宋_GB2312" w:eastAsia="仿宋_GB2312"/>
          <w:kern w:val="0"/>
          <w:sz w:val="32"/>
          <w:szCs w:val="32"/>
        </w:rPr>
        <w:t>中心负责对三区内新建、改建、扩建、装饰装修等房屋的白蚁预防和对原有房屋的白蚁检查与灭治的管理。同时负责监控全市白蚁蚁情，确认危害我市房屋住用安全的白蚁蚁种、危害程度及分布范围。</w:t>
      </w:r>
    </w:p>
    <w:p>
      <w:pPr>
        <w:keepNext w:val="0"/>
        <w:keepLines w:val="0"/>
        <w:pageBreakBefore w:val="0"/>
        <w:widowControl/>
        <w:kinsoku/>
        <w:wordWrap/>
        <w:overflowPunct/>
        <w:topLinePunct w:val="0"/>
        <w:bidi w:val="0"/>
        <w:adjustRightInd w:val="0"/>
        <w:snapToGrid w:val="0"/>
        <w:spacing w:line="578" w:lineRule="exact"/>
        <w:ind w:firstLine="642" w:firstLineChars="200"/>
        <w:contextualSpacing/>
        <w:textAlignment w:val="auto"/>
        <w:rPr>
          <w:rFonts w:hint="eastAsia" w:ascii="仿宋_GB2312" w:eastAsia="仿宋_GB2312"/>
          <w:kern w:val="0"/>
          <w:sz w:val="32"/>
          <w:szCs w:val="32"/>
        </w:rPr>
      </w:pPr>
      <w:r>
        <w:rPr>
          <w:rFonts w:hint="eastAsia" w:ascii="楷体_GB2312" w:eastAsia="楷体_GB2312"/>
          <w:b/>
          <w:bCs/>
          <w:sz w:val="32"/>
          <w:szCs w:val="32"/>
        </w:rPr>
        <w:t>（二）实施目的及支持方向。</w:t>
      </w:r>
      <w:r>
        <w:rPr>
          <w:rFonts w:hint="eastAsia" w:ascii="仿宋_GB2312" w:eastAsia="仿宋_GB2312"/>
          <w:kern w:val="0"/>
          <w:sz w:val="32"/>
          <w:szCs w:val="32"/>
        </w:rPr>
        <w:t>本项目的主要内容是承担我市东区、西区、仁和区城市规划区范围内新建房屋白蚁预防及旧有房屋白蚁危害灭治工作。</w:t>
      </w:r>
    </w:p>
    <w:p>
      <w:pPr>
        <w:keepNext w:val="0"/>
        <w:keepLines w:val="0"/>
        <w:pageBreakBefore w:val="0"/>
        <w:kinsoku/>
        <w:wordWrap/>
        <w:overflowPunct/>
        <w:topLinePunct w:val="0"/>
        <w:bidi w:val="0"/>
        <w:adjustRightInd w:val="0"/>
        <w:snapToGrid w:val="0"/>
        <w:spacing w:line="578" w:lineRule="exact"/>
        <w:ind w:firstLine="720"/>
        <w:textAlignment w:val="auto"/>
        <w:rPr>
          <w:rFonts w:hint="eastAsia" w:ascii="仿宋_GB2312" w:eastAsia="仿宋_GB2312"/>
          <w:kern w:val="0"/>
          <w:sz w:val="32"/>
          <w:szCs w:val="32"/>
        </w:rPr>
      </w:pPr>
      <w:r>
        <w:rPr>
          <w:rFonts w:hint="eastAsia" w:ascii="楷体_GB2312" w:eastAsia="楷体_GB2312"/>
          <w:b/>
          <w:bCs/>
          <w:sz w:val="32"/>
          <w:szCs w:val="32"/>
        </w:rPr>
        <w:t>（三）预算安排及分配管理。</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eastAsia="仿宋_GB2312"/>
          <w:kern w:val="0"/>
          <w:sz w:val="32"/>
          <w:szCs w:val="32"/>
        </w:rPr>
        <w:t>年度该项目预算申报</w:t>
      </w:r>
      <w:r>
        <w:rPr>
          <w:rFonts w:hint="eastAsia" w:ascii="Times New Roman" w:hAnsi="Times New Roman" w:eastAsia="仿宋_GB2312" w:cs="仿宋_GB2312"/>
          <w:color w:val="auto"/>
          <w:kern w:val="2"/>
          <w:sz w:val="32"/>
          <w:szCs w:val="32"/>
          <w:highlight w:val="none"/>
          <w:lang w:val="en-US" w:eastAsia="zh-CN" w:bidi="ar-SA"/>
        </w:rPr>
        <w:t>160</w:t>
      </w:r>
      <w:r>
        <w:rPr>
          <w:rFonts w:hint="eastAsia" w:ascii="仿宋_GB2312" w:eastAsia="仿宋_GB2312"/>
          <w:kern w:val="0"/>
          <w:sz w:val="32"/>
          <w:szCs w:val="32"/>
        </w:rPr>
        <w:t>万元，预算批复为</w:t>
      </w:r>
      <w:r>
        <w:rPr>
          <w:rFonts w:hint="eastAsia" w:ascii="Times New Roman" w:hAnsi="Times New Roman" w:eastAsia="仿宋_GB2312" w:cs="仿宋_GB2312"/>
          <w:color w:val="auto"/>
          <w:kern w:val="2"/>
          <w:sz w:val="32"/>
          <w:szCs w:val="32"/>
          <w:highlight w:val="none"/>
          <w:lang w:val="en-US" w:eastAsia="zh-CN" w:bidi="ar-SA"/>
        </w:rPr>
        <w:t>10</w:t>
      </w:r>
      <w:r>
        <w:rPr>
          <w:rFonts w:hint="eastAsia" w:ascii="仿宋_GB2312" w:eastAsia="仿宋_GB2312"/>
          <w:kern w:val="0"/>
          <w:sz w:val="32"/>
          <w:szCs w:val="32"/>
        </w:rPr>
        <w:t>万元。该项目遵照政府会计准则制度进行核算，设财务主管</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eastAsia="仿宋_GB2312"/>
          <w:kern w:val="0"/>
          <w:sz w:val="32"/>
          <w:szCs w:val="32"/>
        </w:rPr>
        <w:t>人、会计</w:t>
      </w:r>
      <w:r>
        <w:rPr>
          <w:rFonts w:hint="eastAsia" w:ascii="Times New Roman" w:hAnsi="Times New Roman" w:eastAsia="仿宋_GB2312" w:cs="仿宋_GB2312"/>
          <w:color w:val="auto"/>
          <w:kern w:val="2"/>
          <w:sz w:val="32"/>
          <w:szCs w:val="32"/>
          <w:highlight w:val="none"/>
          <w:lang w:val="en-US" w:eastAsia="zh-CN" w:bidi="ar-SA"/>
        </w:rPr>
        <w:t>2</w:t>
      </w:r>
      <w:r>
        <w:rPr>
          <w:rFonts w:hint="eastAsia" w:ascii="仿宋_GB2312" w:eastAsia="仿宋_GB2312"/>
          <w:kern w:val="0"/>
          <w:sz w:val="32"/>
          <w:szCs w:val="32"/>
        </w:rPr>
        <w:t>人、出纳</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eastAsia="仿宋_GB2312"/>
          <w:kern w:val="0"/>
          <w:sz w:val="32"/>
          <w:szCs w:val="32"/>
        </w:rPr>
        <w:t>人，在中心行政</w:t>
      </w:r>
      <w:r>
        <w:rPr>
          <w:rFonts w:hint="eastAsia" w:ascii="仿宋_GB2312" w:eastAsia="仿宋_GB2312"/>
          <w:kern w:val="0"/>
          <w:sz w:val="32"/>
          <w:szCs w:val="32"/>
          <w:lang w:eastAsia="zh-CN"/>
        </w:rPr>
        <w:t>账</w:t>
      </w:r>
      <w:r>
        <w:rPr>
          <w:rFonts w:hint="eastAsia" w:ascii="仿宋_GB2312" w:eastAsia="仿宋_GB2312"/>
          <w:kern w:val="0"/>
          <w:sz w:val="32"/>
          <w:szCs w:val="32"/>
        </w:rPr>
        <w:t>中统一</w:t>
      </w:r>
      <w:r>
        <w:rPr>
          <w:rFonts w:hint="eastAsia" w:ascii="仿宋_GB2312" w:hAnsi="Times New Roman" w:eastAsia="仿宋_GB2312" w:cs="Times New Roman"/>
          <w:kern w:val="0"/>
          <w:sz w:val="32"/>
          <w:szCs w:val="32"/>
          <w:lang w:val="en-US" w:eastAsia="zh-CN" w:bidi="ar-SA"/>
        </w:rPr>
        <w:t>核算</w:t>
      </w:r>
      <w:r>
        <w:rPr>
          <w:rFonts w:hint="eastAsia" w:ascii="仿宋_GB2312" w:eastAsia="仿宋_GB2312"/>
          <w:kern w:val="0"/>
          <w:sz w:val="32"/>
          <w:szCs w:val="32"/>
        </w:rPr>
        <w:t>，并设有明细账。该项目严格执行财务管理制度、财务处理</w:t>
      </w:r>
      <w:r>
        <w:rPr>
          <w:rFonts w:hint="eastAsia" w:ascii="仿宋_GB2312" w:hAnsi="Times New Roman" w:eastAsia="仿宋_GB2312" w:cs="Times New Roman"/>
          <w:kern w:val="0"/>
          <w:sz w:val="32"/>
          <w:szCs w:val="32"/>
          <w:lang w:val="en-US" w:eastAsia="zh-CN" w:bidi="ar-SA"/>
        </w:rPr>
        <w:t>及时</w:t>
      </w:r>
      <w:r>
        <w:rPr>
          <w:rFonts w:hint="eastAsia" w:ascii="仿宋_GB2312" w:eastAsia="仿宋_GB2312"/>
          <w:kern w:val="0"/>
          <w:sz w:val="32"/>
          <w:szCs w:val="32"/>
        </w:rPr>
        <w:t>、会计核算规范。</w:t>
      </w:r>
    </w:p>
    <w:p>
      <w:pPr>
        <w:keepNext w:val="0"/>
        <w:keepLines w:val="0"/>
        <w:pageBreakBefore w:val="0"/>
        <w:kinsoku/>
        <w:wordWrap/>
        <w:overflowPunct/>
        <w:topLinePunct w:val="0"/>
        <w:bidi w:val="0"/>
        <w:adjustRightInd w:val="0"/>
        <w:snapToGrid w:val="0"/>
        <w:spacing w:line="578" w:lineRule="exact"/>
        <w:ind w:firstLine="642" w:firstLineChars="200"/>
        <w:textAlignment w:val="auto"/>
        <w:rPr>
          <w:rFonts w:hint="eastAsia" w:ascii="仿宋_GB2312" w:eastAsia="仿宋_GB2312"/>
          <w:kern w:val="0"/>
          <w:sz w:val="32"/>
          <w:szCs w:val="32"/>
        </w:rPr>
      </w:pPr>
      <w:r>
        <w:rPr>
          <w:rFonts w:hint="eastAsia" w:ascii="楷体_GB2312" w:eastAsia="楷体_GB2312"/>
          <w:b/>
          <w:bCs/>
          <w:sz w:val="32"/>
          <w:szCs w:val="32"/>
        </w:rPr>
        <w:t>（四）项目绩效目标设置。</w:t>
      </w:r>
      <w:r>
        <w:rPr>
          <w:rFonts w:hint="eastAsia" w:ascii="仿宋_GB2312" w:eastAsia="仿宋_GB2312"/>
          <w:kern w:val="0"/>
          <w:sz w:val="32"/>
          <w:szCs w:val="32"/>
        </w:rPr>
        <w:t>全年计划购新增白蚁防治面积</w:t>
      </w:r>
      <w:r>
        <w:rPr>
          <w:rFonts w:hint="eastAsia" w:ascii="Times New Roman" w:hAnsi="Times New Roman" w:eastAsia="仿宋_GB2312" w:cs="仿宋_GB2312"/>
          <w:color w:val="auto"/>
          <w:kern w:val="2"/>
          <w:sz w:val="32"/>
          <w:szCs w:val="32"/>
          <w:highlight w:val="none"/>
          <w:lang w:val="en-US" w:eastAsia="zh-CN" w:bidi="ar-SA"/>
        </w:rPr>
        <w:t>4</w:t>
      </w:r>
      <w:r>
        <w:rPr>
          <w:rFonts w:hint="eastAsia" w:ascii="仿宋_GB2312" w:eastAsia="仿宋_GB2312"/>
          <w:kern w:val="0"/>
          <w:sz w:val="32"/>
          <w:szCs w:val="32"/>
        </w:rPr>
        <w:t>万平方米，白蚁灭治合格率</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eastAsia="仿宋_GB2312"/>
          <w:kern w:val="0"/>
          <w:sz w:val="32"/>
          <w:szCs w:val="32"/>
        </w:rPr>
        <w:t>，按照预约时间施工率</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eastAsia="仿宋_GB2312"/>
          <w:kern w:val="0"/>
          <w:sz w:val="32"/>
          <w:szCs w:val="32"/>
          <w:lang w:eastAsia="zh-CN"/>
        </w:rPr>
        <w:t>，</w:t>
      </w:r>
      <w:r>
        <w:rPr>
          <w:rFonts w:hint="eastAsia" w:ascii="仿宋_GB2312" w:eastAsia="仿宋_GB2312"/>
          <w:kern w:val="0"/>
          <w:sz w:val="32"/>
          <w:szCs w:val="32"/>
        </w:rPr>
        <w:t>白蚁防治药品采购成本不高于</w:t>
      </w:r>
      <w:r>
        <w:rPr>
          <w:rFonts w:hint="eastAsia" w:ascii="Times New Roman" w:hAnsi="Times New Roman" w:eastAsia="仿宋_GB2312" w:cs="仿宋_GB2312"/>
          <w:color w:val="auto"/>
          <w:kern w:val="2"/>
          <w:sz w:val="32"/>
          <w:szCs w:val="32"/>
          <w:highlight w:val="none"/>
          <w:lang w:val="en-US" w:eastAsia="zh-CN" w:bidi="ar-SA"/>
        </w:rPr>
        <w:t>10</w:t>
      </w:r>
      <w:r>
        <w:rPr>
          <w:rFonts w:hint="eastAsia" w:ascii="仿宋_GB2312" w:eastAsia="仿宋_GB2312"/>
          <w:kern w:val="0"/>
          <w:sz w:val="32"/>
          <w:szCs w:val="32"/>
        </w:rPr>
        <w:t>万元/吨。项目年度绩效目标与中长期规划一致。</w:t>
      </w:r>
    </w:p>
    <w:p>
      <w:pPr>
        <w:keepNext w:val="0"/>
        <w:keepLines w:val="0"/>
        <w:pageBreakBefore w:val="0"/>
        <w:kinsoku/>
        <w:wordWrap/>
        <w:overflowPunct/>
        <w:topLinePunct w:val="0"/>
        <w:bidi w:val="0"/>
        <w:adjustRightInd w:val="0"/>
        <w:snapToGrid w:val="0"/>
        <w:spacing w:line="578" w:lineRule="exact"/>
        <w:ind w:firstLine="640" w:firstLineChars="200"/>
        <w:textAlignment w:val="auto"/>
        <w:rPr>
          <w:rFonts w:hint="eastAsia" w:ascii="黑体" w:eastAsia="黑体"/>
          <w:sz w:val="32"/>
          <w:szCs w:val="32"/>
        </w:rPr>
      </w:pPr>
      <w:bookmarkStart w:id="146" w:name="_Toc1194392072_WPSOffice_Level2"/>
      <w:bookmarkStart w:id="147" w:name="_Toc1596730299_WPSOffice_Level2"/>
      <w:r>
        <w:rPr>
          <w:rFonts w:hint="eastAsia" w:ascii="黑体" w:eastAsia="黑体"/>
          <w:sz w:val="32"/>
          <w:szCs w:val="32"/>
        </w:rPr>
        <w:t>二、评价实施</w:t>
      </w:r>
      <w:bookmarkEnd w:id="146"/>
      <w:bookmarkEnd w:id="147"/>
    </w:p>
    <w:p>
      <w:pPr>
        <w:keepNext w:val="0"/>
        <w:keepLines w:val="0"/>
        <w:pageBreakBefore w:val="0"/>
        <w:kinsoku/>
        <w:wordWrap/>
        <w:overflowPunct/>
        <w:topLinePunct w:val="0"/>
        <w:bidi w:val="0"/>
        <w:spacing w:line="578" w:lineRule="exact"/>
        <w:ind w:firstLine="640"/>
        <w:textAlignment w:val="auto"/>
        <w:rPr>
          <w:rFonts w:hint="eastAsia" w:ascii="楷体_GB2312" w:eastAsia="楷体_GB2312"/>
          <w:b/>
          <w:bCs/>
          <w:sz w:val="32"/>
          <w:szCs w:val="32"/>
        </w:rPr>
      </w:pPr>
      <w:r>
        <w:rPr>
          <w:rFonts w:hint="eastAsia" w:ascii="楷体_GB2312" w:eastAsia="楷体_GB2312"/>
          <w:b/>
          <w:bCs/>
          <w:sz w:val="32"/>
          <w:szCs w:val="32"/>
        </w:rPr>
        <w:t>（一）评价目的。</w:t>
      </w:r>
    </w:p>
    <w:p>
      <w:pPr>
        <w:keepNext w:val="0"/>
        <w:keepLines w:val="0"/>
        <w:pageBreakBefore w:val="0"/>
        <w:kinsoku/>
        <w:wordWrap/>
        <w:overflowPunct/>
        <w:topLinePunct w:val="0"/>
        <w:bidi w:val="0"/>
        <w:spacing w:line="578" w:lineRule="exact"/>
        <w:ind w:firstLine="640"/>
        <w:textAlignment w:val="auto"/>
        <w:rPr>
          <w:rFonts w:hint="eastAsia" w:ascii="仿宋_GB2312" w:eastAsia="仿宋_GB2312"/>
          <w:kern w:val="0"/>
          <w:sz w:val="32"/>
          <w:szCs w:val="32"/>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eastAsia="仿宋_GB2312"/>
          <w:kern w:val="0"/>
          <w:sz w:val="32"/>
          <w:szCs w:val="32"/>
        </w:rPr>
        <w:t>评估项目资金使用的效率和效果。</w:t>
      </w:r>
    </w:p>
    <w:p>
      <w:pPr>
        <w:keepNext w:val="0"/>
        <w:keepLines w:val="0"/>
        <w:pageBreakBefore w:val="0"/>
        <w:kinsoku/>
        <w:wordWrap/>
        <w:overflowPunct/>
        <w:topLinePunct w:val="0"/>
        <w:bidi w:val="0"/>
        <w:spacing w:line="578" w:lineRule="exact"/>
        <w:ind w:firstLine="640"/>
        <w:textAlignment w:val="auto"/>
        <w:rPr>
          <w:rFonts w:hint="eastAsia" w:ascii="仿宋_GB2312" w:eastAsia="仿宋_GB2312"/>
          <w:kern w:val="0"/>
          <w:sz w:val="32"/>
          <w:szCs w:val="32"/>
        </w:rPr>
      </w:pPr>
      <w:r>
        <w:rPr>
          <w:rFonts w:hint="eastAsia" w:ascii="Times New Roman" w:hAnsi="Times New Roman" w:eastAsia="仿宋_GB2312" w:cs="仿宋_GB2312"/>
          <w:color w:val="auto"/>
          <w:kern w:val="2"/>
          <w:sz w:val="32"/>
          <w:szCs w:val="32"/>
          <w:highlight w:val="none"/>
          <w:lang w:val="en-US" w:eastAsia="zh-CN" w:bidi="ar-SA"/>
        </w:rPr>
        <w:t>2.发</w:t>
      </w:r>
      <w:r>
        <w:rPr>
          <w:rFonts w:hint="eastAsia" w:ascii="仿宋_GB2312" w:eastAsia="仿宋_GB2312"/>
          <w:kern w:val="0"/>
          <w:sz w:val="32"/>
          <w:szCs w:val="32"/>
        </w:rPr>
        <w:t>现项目实施过程中存在的问题，提出改进建议。</w:t>
      </w:r>
    </w:p>
    <w:p>
      <w:pPr>
        <w:keepNext w:val="0"/>
        <w:keepLines w:val="0"/>
        <w:pageBreakBefore w:val="0"/>
        <w:kinsoku/>
        <w:wordWrap/>
        <w:overflowPunct/>
        <w:topLinePunct w:val="0"/>
        <w:bidi w:val="0"/>
        <w:spacing w:line="578" w:lineRule="exact"/>
        <w:ind w:firstLine="640"/>
        <w:textAlignment w:val="auto"/>
        <w:rPr>
          <w:rFonts w:hint="eastAsia" w:ascii="仿宋_GB2312" w:eastAsia="仿宋_GB2312"/>
          <w:kern w:val="0"/>
          <w:sz w:val="32"/>
          <w:szCs w:val="32"/>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仿宋_GB2312" w:hAnsi="Times New Roman" w:eastAsia="仿宋_GB2312" w:cs="Times New Roman"/>
          <w:kern w:val="0"/>
          <w:sz w:val="32"/>
          <w:szCs w:val="32"/>
          <w:lang w:val="en-US" w:eastAsia="zh-CN" w:bidi="ar-SA"/>
        </w:rPr>
        <w:t>为后续白蚁防治管理资金预算编制和项目实施提供参考依据。</w:t>
      </w:r>
    </w:p>
    <w:p>
      <w:pPr>
        <w:pStyle w:val="8"/>
        <w:keepNext w:val="0"/>
        <w:keepLines w:val="0"/>
        <w:pageBreakBefore w:val="0"/>
        <w:kinsoku/>
        <w:wordWrap/>
        <w:overflowPunct/>
        <w:topLinePunct w:val="0"/>
        <w:bidi w:val="0"/>
        <w:spacing w:line="578" w:lineRule="exact"/>
        <w:ind w:firstLine="642" w:firstLineChars="200"/>
        <w:textAlignment w:val="auto"/>
        <w:rPr>
          <w:rFonts w:hint="eastAsia" w:ascii="仿宋_GB2312" w:eastAsia="仿宋_GB2312"/>
          <w:kern w:val="0"/>
          <w:sz w:val="32"/>
          <w:szCs w:val="32"/>
        </w:rPr>
      </w:pPr>
      <w:r>
        <w:rPr>
          <w:rFonts w:hint="eastAsia" w:ascii="楷体_GB2312" w:eastAsia="楷体_GB2312"/>
          <w:b/>
          <w:bCs/>
          <w:sz w:val="32"/>
          <w:szCs w:val="32"/>
        </w:rPr>
        <w:t>（二）预设问题及评价重点。</w:t>
      </w:r>
      <w:r>
        <w:rPr>
          <w:rFonts w:hint="eastAsia" w:ascii="仿宋_GB2312" w:hAnsi="Times New Roman" w:eastAsia="仿宋_GB2312" w:cs="Times New Roman"/>
          <w:kern w:val="0"/>
          <w:sz w:val="32"/>
          <w:szCs w:val="32"/>
        </w:rPr>
        <w:t>按照绩效评价指标体系，对资金支出使用中白蚁防治的预防面积、工程施工合格率、群众满意度等方面进行了评价。</w:t>
      </w:r>
    </w:p>
    <w:p>
      <w:pPr>
        <w:pStyle w:val="8"/>
        <w:keepNext w:val="0"/>
        <w:keepLines w:val="0"/>
        <w:pageBreakBefore w:val="0"/>
        <w:kinsoku/>
        <w:wordWrap/>
        <w:overflowPunct/>
        <w:topLinePunct w:val="0"/>
        <w:bidi w:val="0"/>
        <w:spacing w:line="578" w:lineRule="exact"/>
        <w:ind w:firstLine="642" w:firstLineChars="200"/>
        <w:textAlignment w:val="auto"/>
        <w:rPr>
          <w:rFonts w:hint="eastAsia" w:ascii="仿宋_GB2312" w:eastAsia="仿宋_GB2312"/>
          <w:kern w:val="0"/>
          <w:sz w:val="32"/>
          <w:szCs w:val="32"/>
        </w:rPr>
      </w:pPr>
      <w:r>
        <w:rPr>
          <w:rFonts w:hint="eastAsia" w:ascii="楷体_GB2312" w:eastAsia="楷体_GB2312"/>
          <w:b/>
          <w:bCs/>
          <w:sz w:val="32"/>
          <w:szCs w:val="32"/>
        </w:rPr>
        <w:t>（三）评价选点。</w:t>
      </w:r>
      <w:r>
        <w:rPr>
          <w:rFonts w:hint="eastAsia" w:ascii="仿宋_GB2312" w:eastAsia="仿宋_GB2312"/>
          <w:kern w:val="0"/>
          <w:sz w:val="32"/>
          <w:szCs w:val="32"/>
        </w:rPr>
        <w:t>本年分别于对</w:t>
      </w:r>
      <w:r>
        <w:rPr>
          <w:rFonts w:hint="eastAsia" w:ascii="Times New Roman" w:hAnsi="Times New Roman" w:eastAsia="仿宋_GB2312" w:cs="仿宋_GB2312"/>
          <w:color w:val="auto"/>
          <w:kern w:val="2"/>
          <w:sz w:val="32"/>
          <w:szCs w:val="32"/>
          <w:highlight w:val="none"/>
          <w:lang w:val="en-US" w:eastAsia="zh-CN" w:bidi="ar-SA"/>
        </w:rPr>
        <w:t>1—8</w:t>
      </w:r>
      <w:r>
        <w:rPr>
          <w:rFonts w:hint="eastAsia" w:ascii="仿宋_GB2312" w:eastAsia="仿宋_GB2312"/>
          <w:kern w:val="0"/>
          <w:sz w:val="32"/>
          <w:szCs w:val="32"/>
        </w:rPr>
        <w:t>月及</w:t>
      </w:r>
      <w:r>
        <w:rPr>
          <w:rFonts w:hint="eastAsia" w:ascii="Times New Roman" w:hAnsi="Times New Roman" w:eastAsia="仿宋_GB2312" w:cs="仿宋_GB2312"/>
          <w:color w:val="auto"/>
          <w:kern w:val="2"/>
          <w:sz w:val="32"/>
          <w:szCs w:val="32"/>
          <w:highlight w:val="none"/>
          <w:lang w:val="en-US" w:eastAsia="zh-CN" w:bidi="ar-SA"/>
        </w:rPr>
        <w:t>1—12</w:t>
      </w:r>
      <w:r>
        <w:rPr>
          <w:rFonts w:hint="eastAsia" w:ascii="仿宋_GB2312" w:eastAsia="仿宋_GB2312"/>
          <w:kern w:val="0"/>
          <w:sz w:val="32"/>
          <w:szCs w:val="32"/>
        </w:rPr>
        <w:t>月的项目完成情况进行了两次评价。</w:t>
      </w:r>
    </w:p>
    <w:p>
      <w:pPr>
        <w:pStyle w:val="8"/>
        <w:keepNext w:val="0"/>
        <w:keepLines w:val="0"/>
        <w:pageBreakBefore w:val="0"/>
        <w:kinsoku/>
        <w:wordWrap/>
        <w:overflowPunct/>
        <w:topLinePunct w:val="0"/>
        <w:bidi w:val="0"/>
        <w:spacing w:line="578" w:lineRule="exact"/>
        <w:ind w:firstLine="642" w:firstLineChars="200"/>
        <w:textAlignment w:val="auto"/>
        <w:rPr>
          <w:rFonts w:hint="eastAsia" w:ascii="仿宋_GB2312" w:eastAsia="仿宋_GB2312"/>
          <w:kern w:val="0"/>
          <w:sz w:val="32"/>
          <w:szCs w:val="32"/>
        </w:rPr>
      </w:pPr>
      <w:r>
        <w:rPr>
          <w:rFonts w:hint="eastAsia" w:ascii="楷体_GB2312" w:eastAsia="楷体_GB2312"/>
          <w:b/>
          <w:bCs/>
          <w:sz w:val="32"/>
          <w:szCs w:val="32"/>
        </w:rPr>
        <w:t>（四）评价方法。</w:t>
      </w:r>
      <w:r>
        <w:rPr>
          <w:rFonts w:hint="eastAsia" w:ascii="仿宋_GB2312" w:eastAsia="仿宋_GB2312"/>
          <w:kern w:val="0"/>
          <w:sz w:val="32"/>
          <w:szCs w:val="32"/>
        </w:rPr>
        <w:t>根据项目情况和评价重点，采用成本效益分析法、单位自评法等多种方法</w:t>
      </w:r>
      <w:r>
        <w:rPr>
          <w:rFonts w:hint="eastAsia" w:ascii="仿宋_GB2312" w:hAnsi="Times New Roman" w:eastAsia="仿宋_GB2312" w:cs="Times New Roman"/>
          <w:kern w:val="0"/>
          <w:sz w:val="32"/>
          <w:szCs w:val="32"/>
        </w:rPr>
        <w:t>收集</w:t>
      </w:r>
      <w:r>
        <w:rPr>
          <w:rFonts w:hint="eastAsia" w:ascii="仿宋_GB2312" w:eastAsia="仿宋_GB2312"/>
          <w:kern w:val="0"/>
          <w:sz w:val="32"/>
          <w:szCs w:val="32"/>
        </w:rPr>
        <w:t>相关材料和开展具体评价。</w:t>
      </w:r>
    </w:p>
    <w:p>
      <w:pPr>
        <w:pStyle w:val="8"/>
        <w:keepNext w:val="0"/>
        <w:keepLines w:val="0"/>
        <w:pageBreakBefore w:val="0"/>
        <w:kinsoku/>
        <w:wordWrap/>
        <w:overflowPunct/>
        <w:topLinePunct w:val="0"/>
        <w:bidi w:val="0"/>
        <w:spacing w:line="578" w:lineRule="exact"/>
        <w:ind w:firstLine="642" w:firstLineChars="200"/>
        <w:textAlignment w:val="auto"/>
        <w:rPr>
          <w:rFonts w:hint="eastAsia" w:eastAsia="仿宋_GB2312"/>
          <w:szCs w:val="21"/>
        </w:rPr>
      </w:pPr>
      <w:r>
        <w:rPr>
          <w:rFonts w:hint="eastAsia" w:ascii="楷体_GB2312" w:eastAsia="楷体_GB2312"/>
          <w:b/>
          <w:bCs/>
          <w:sz w:val="32"/>
          <w:szCs w:val="32"/>
        </w:rPr>
        <w:t>（五）评价组织。</w:t>
      </w:r>
      <w:r>
        <w:rPr>
          <w:rFonts w:hint="eastAsia" w:ascii="仿宋_GB2312" w:eastAsia="仿宋_GB2312"/>
          <w:kern w:val="0"/>
          <w:sz w:val="32"/>
          <w:szCs w:val="32"/>
        </w:rPr>
        <w:t>评价组由计划</w:t>
      </w:r>
      <w:r>
        <w:rPr>
          <w:rFonts w:hint="eastAsia" w:ascii="仿宋_GB2312" w:hAnsi="Times New Roman" w:eastAsia="仿宋_GB2312" w:cs="Times New Roman"/>
          <w:kern w:val="0"/>
          <w:sz w:val="32"/>
          <w:szCs w:val="32"/>
        </w:rPr>
        <w:t>财务科</w:t>
      </w:r>
      <w:r>
        <w:rPr>
          <w:rFonts w:hint="eastAsia" w:ascii="仿宋_GB2312" w:eastAsia="仿宋_GB2312"/>
          <w:kern w:val="0"/>
          <w:sz w:val="32"/>
          <w:szCs w:val="32"/>
        </w:rPr>
        <w:t>成员担任，姚国龙同志任组长，蔺雪及卢飞同志任组员。</w:t>
      </w:r>
    </w:p>
    <w:p>
      <w:pPr>
        <w:keepNext w:val="0"/>
        <w:keepLines w:val="0"/>
        <w:pageBreakBefore w:val="0"/>
        <w:kinsoku/>
        <w:wordWrap/>
        <w:overflowPunct/>
        <w:topLinePunct w:val="0"/>
        <w:bidi w:val="0"/>
        <w:adjustRightInd w:val="0"/>
        <w:snapToGrid w:val="0"/>
        <w:spacing w:line="578" w:lineRule="exact"/>
        <w:ind w:firstLine="640" w:firstLineChars="200"/>
        <w:textAlignment w:val="auto"/>
        <w:rPr>
          <w:rFonts w:hint="eastAsia" w:ascii="仿宋_GB2312" w:eastAsia="仿宋_GB2312"/>
          <w:sz w:val="32"/>
          <w:szCs w:val="32"/>
        </w:rPr>
      </w:pPr>
      <w:bookmarkStart w:id="148" w:name="_Toc1363862569_WPSOffice_Level2"/>
      <w:bookmarkStart w:id="149" w:name="_Toc1781619969_WPSOffice_Level2"/>
      <w:r>
        <w:rPr>
          <w:rFonts w:hint="eastAsia" w:ascii="黑体" w:eastAsia="黑体"/>
          <w:sz w:val="32"/>
          <w:szCs w:val="32"/>
        </w:rPr>
        <w:t>三、绩效分析</w:t>
      </w:r>
      <w:bookmarkEnd w:id="148"/>
      <w:bookmarkEnd w:id="149"/>
      <w:r>
        <w:rPr>
          <w:rFonts w:hint="eastAsia" w:ascii="仿宋_GB2312" w:hAnsi="仿宋_GB2312"/>
          <w:sz w:val="32"/>
          <w:szCs w:val="32"/>
        </w:rPr>
        <w:tab/>
      </w:r>
    </w:p>
    <w:p>
      <w:pPr>
        <w:keepNext w:val="0"/>
        <w:keepLines w:val="0"/>
        <w:pageBreakBefore w:val="0"/>
        <w:kinsoku/>
        <w:wordWrap/>
        <w:overflowPunct/>
        <w:topLinePunct w:val="0"/>
        <w:bidi w:val="0"/>
        <w:spacing w:line="578" w:lineRule="exact"/>
        <w:ind w:firstLine="640"/>
        <w:textAlignment w:val="auto"/>
        <w:rPr>
          <w:rFonts w:hint="eastAsia" w:ascii="楷体_GB2312" w:eastAsia="楷体_GB2312"/>
          <w:b/>
          <w:bCs/>
          <w:sz w:val="32"/>
          <w:szCs w:val="32"/>
        </w:rPr>
      </w:pPr>
      <w:r>
        <w:rPr>
          <w:rFonts w:hint="eastAsia" w:ascii="楷体_GB2312" w:eastAsia="楷体_GB2312"/>
          <w:b/>
          <w:bCs/>
          <w:sz w:val="32"/>
          <w:szCs w:val="32"/>
        </w:rPr>
        <w:t>（一）通用指标</w:t>
      </w:r>
      <w:r>
        <w:rPr>
          <w:rFonts w:hint="eastAsia" w:ascii="楷体_GB2312" w:eastAsia="楷体_GB2312"/>
          <w:b/>
          <w:bCs/>
          <w:kern w:val="0"/>
          <w:sz w:val="32"/>
          <w:szCs w:val="32"/>
          <w:shd w:val="clear" w:color="auto" w:fill="FFFFFF"/>
        </w:rPr>
        <w:t>绩效分析。</w:t>
      </w:r>
    </w:p>
    <w:p>
      <w:pPr>
        <w:pStyle w:val="8"/>
        <w:keepNext w:val="0"/>
        <w:keepLines w:val="0"/>
        <w:pageBreakBefore w:val="0"/>
        <w:kinsoku/>
        <w:wordWrap/>
        <w:overflowPunct/>
        <w:topLinePunct w:val="0"/>
        <w:bidi w:val="0"/>
        <w:spacing w:line="578" w:lineRule="exact"/>
        <w:ind w:firstLine="640" w:firstLineChars="200"/>
        <w:textAlignment w:val="auto"/>
        <w:rPr>
          <w:rFonts w:hint="eastAsia" w:ascii="仿宋_GB2312" w:eastAsia="仿宋_GB2312"/>
          <w:kern w:val="0"/>
          <w:sz w:val="32"/>
          <w:szCs w:val="32"/>
        </w:rPr>
      </w:pPr>
      <w:r>
        <w:rPr>
          <w:rFonts w:hint="eastAsia" w:ascii="楷体_GB2312" w:eastAsia="楷体_GB2312"/>
          <w:sz w:val="32"/>
          <w:szCs w:val="32"/>
        </w:rPr>
        <w:t>1.项目决策。</w:t>
      </w:r>
      <w:r>
        <w:rPr>
          <w:rFonts w:hint="eastAsia" w:ascii="仿宋_GB2312" w:eastAsia="仿宋_GB2312"/>
          <w:kern w:val="0"/>
          <w:sz w:val="32"/>
          <w:szCs w:val="32"/>
        </w:rPr>
        <w:t>根据《城市房屋白蚁防治管理规定》（建设部令第</w:t>
      </w:r>
      <w:r>
        <w:rPr>
          <w:rFonts w:hint="eastAsia" w:ascii="Times New Roman" w:hAnsi="Times New Roman" w:eastAsia="仿宋_GB2312" w:cs="仿宋_GB2312"/>
          <w:color w:val="auto"/>
          <w:kern w:val="2"/>
          <w:sz w:val="32"/>
          <w:szCs w:val="32"/>
          <w:highlight w:val="none"/>
          <w:lang w:val="en-US" w:eastAsia="zh-CN" w:bidi="ar-SA"/>
        </w:rPr>
        <w:t>130</w:t>
      </w:r>
      <w:r>
        <w:rPr>
          <w:rFonts w:hint="eastAsia" w:ascii="仿宋_GB2312" w:eastAsia="仿宋_GB2312"/>
          <w:kern w:val="0"/>
          <w:sz w:val="32"/>
          <w:szCs w:val="32"/>
        </w:rPr>
        <w:t>号）及</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eastAsia="仿宋_GB2312"/>
          <w:kern w:val="0"/>
          <w:sz w:val="32"/>
          <w:szCs w:val="32"/>
        </w:rPr>
        <w:t>年度预算批复文件，明确资金使用范围，不得挪作他用。</w:t>
      </w:r>
    </w:p>
    <w:p>
      <w:pPr>
        <w:pStyle w:val="8"/>
        <w:keepNext w:val="0"/>
        <w:keepLines w:val="0"/>
        <w:pageBreakBefore w:val="0"/>
        <w:kinsoku/>
        <w:wordWrap/>
        <w:overflowPunct/>
        <w:topLinePunct w:val="0"/>
        <w:bidi w:val="0"/>
        <w:spacing w:line="578" w:lineRule="exact"/>
        <w:ind w:firstLine="640" w:firstLineChars="200"/>
        <w:textAlignment w:val="auto"/>
        <w:rPr>
          <w:rFonts w:hint="eastAsia" w:ascii="仿宋_GB2312" w:eastAsia="仿宋_GB2312"/>
          <w:kern w:val="0"/>
          <w:sz w:val="32"/>
          <w:szCs w:val="32"/>
        </w:rPr>
      </w:pPr>
      <w:r>
        <w:rPr>
          <w:rFonts w:hint="eastAsia" w:ascii="楷体_GB2312" w:eastAsia="楷体_GB2312"/>
          <w:sz w:val="32"/>
          <w:szCs w:val="32"/>
        </w:rPr>
        <w:t>2.项目管理。</w:t>
      </w:r>
      <w:r>
        <w:rPr>
          <w:rFonts w:hint="eastAsia" w:ascii="仿宋_GB2312" w:eastAsia="仿宋_GB2312"/>
          <w:kern w:val="0"/>
          <w:sz w:val="32"/>
          <w:szCs w:val="32"/>
        </w:rPr>
        <w:t>攀枝花市市区新建房屋白蚁预防由攀枝花市白蚁防治中心负责组织实施，职责分工明确，制度齐全，实施过程如下：市白蚁防治中心和项目单位先签</w:t>
      </w:r>
      <w:r>
        <w:rPr>
          <w:rFonts w:hint="eastAsia"/>
          <w:kern w:val="0"/>
          <w:sz w:val="32"/>
          <w:szCs w:val="32"/>
          <w:lang w:eastAsia="zh-CN"/>
        </w:rPr>
        <w:t>订</w:t>
      </w:r>
      <w:r>
        <w:rPr>
          <w:rFonts w:hint="eastAsia" w:ascii="仿宋_GB2312" w:eastAsia="仿宋_GB2312"/>
          <w:kern w:val="0"/>
          <w:sz w:val="32"/>
          <w:szCs w:val="32"/>
        </w:rPr>
        <w:t>《攀枝花市新建房屋白蚁预防公共服务协议》，然后按协议由市白蚁防治中心组织施工人员对项目进行施工勘察，并向项目告知白蚁预防相关注意事项及白蚁预防施工节点时间；到达白蚁预防施工节点后，由项目单位提前通知白蚁中心对其进行白蚁预防施工并由项目单位对施工质量、竣工等进行签字确认；白蚁预防施工完成后，白蚁防治中心向项目单位发放《白蚁预防实施证明》。</w:t>
      </w:r>
    </w:p>
    <w:p>
      <w:pPr>
        <w:pStyle w:val="8"/>
        <w:keepNext w:val="0"/>
        <w:keepLines w:val="0"/>
        <w:pageBreakBefore w:val="0"/>
        <w:kinsoku/>
        <w:wordWrap/>
        <w:overflowPunct/>
        <w:topLinePunct w:val="0"/>
        <w:bidi w:val="0"/>
        <w:spacing w:line="578" w:lineRule="exact"/>
        <w:ind w:firstLine="640" w:firstLineChars="200"/>
        <w:textAlignment w:val="auto"/>
        <w:rPr>
          <w:rFonts w:hint="eastAsia" w:ascii="仿宋_GB2312" w:eastAsia="仿宋_GB2312"/>
          <w:kern w:val="0"/>
          <w:sz w:val="32"/>
          <w:szCs w:val="32"/>
        </w:rPr>
      </w:pPr>
      <w:r>
        <w:rPr>
          <w:rFonts w:hint="eastAsia" w:ascii="楷体_GB2312" w:eastAsia="楷体_GB2312"/>
          <w:sz w:val="32"/>
          <w:szCs w:val="32"/>
        </w:rPr>
        <w:t>3.项目实施。</w:t>
      </w:r>
      <w:r>
        <w:rPr>
          <w:rFonts w:hint="eastAsia" w:ascii="仿宋_GB2312" w:eastAsia="仿宋_GB2312"/>
          <w:kern w:val="0"/>
          <w:sz w:val="32"/>
          <w:szCs w:val="32"/>
        </w:rPr>
        <w:t>该项目实际完成新增白蚁防治面积</w:t>
      </w:r>
      <w:r>
        <w:rPr>
          <w:rFonts w:ascii="仿宋_GB2312" w:eastAsia="仿宋_GB2312"/>
          <w:kern w:val="0"/>
          <w:sz w:val="32"/>
          <w:szCs w:val="32"/>
        </w:rPr>
        <w:t>5</w:t>
      </w:r>
      <w:r>
        <w:rPr>
          <w:rFonts w:hint="eastAsia" w:ascii="仿宋_GB2312" w:eastAsia="仿宋_GB2312"/>
          <w:kern w:val="0"/>
          <w:sz w:val="32"/>
          <w:szCs w:val="32"/>
        </w:rPr>
        <w:t>万平方米完成年初绩效的</w:t>
      </w:r>
      <w:r>
        <w:rPr>
          <w:rFonts w:hint="eastAsia" w:ascii="Times New Roman" w:hAnsi="Times New Roman" w:eastAsia="仿宋_GB2312" w:cs="仿宋_GB2312"/>
          <w:color w:val="auto"/>
          <w:kern w:val="2"/>
          <w:sz w:val="32"/>
          <w:szCs w:val="32"/>
          <w:highlight w:val="none"/>
          <w:lang w:val="en-US" w:eastAsia="zh-CN" w:bidi="ar-SA"/>
        </w:rPr>
        <w:t>125%</w:t>
      </w:r>
      <w:r>
        <w:rPr>
          <w:rFonts w:hint="eastAsia" w:ascii="仿宋_GB2312" w:eastAsia="仿宋_GB2312"/>
          <w:kern w:val="0"/>
          <w:sz w:val="32"/>
          <w:szCs w:val="32"/>
        </w:rPr>
        <w:t>，白蚁灭治合格率</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eastAsia="仿宋_GB2312"/>
          <w:kern w:val="0"/>
          <w:sz w:val="32"/>
          <w:szCs w:val="32"/>
        </w:rPr>
        <w:t>，按照预约时间施工率</w:t>
      </w:r>
      <w:r>
        <w:rPr>
          <w:rFonts w:hint="eastAsia" w:ascii="Times New Roman" w:hAnsi="Times New Roman" w:eastAsia="仿宋_GB2312" w:cs="仿宋_GB2312"/>
          <w:color w:val="auto"/>
          <w:kern w:val="2"/>
          <w:sz w:val="32"/>
          <w:szCs w:val="32"/>
          <w:highlight w:val="none"/>
          <w:lang w:val="en-US" w:eastAsia="zh-CN" w:bidi="ar-SA"/>
        </w:rPr>
        <w:t>100%</w:t>
      </w:r>
      <w:r>
        <w:rPr>
          <w:rFonts w:hint="eastAsia"/>
          <w:kern w:val="0"/>
          <w:sz w:val="32"/>
          <w:szCs w:val="32"/>
          <w:lang w:eastAsia="zh-CN"/>
        </w:rPr>
        <w:t>，</w:t>
      </w:r>
      <w:r>
        <w:rPr>
          <w:rFonts w:hint="eastAsia" w:ascii="仿宋_GB2312" w:eastAsia="仿宋_GB2312"/>
          <w:kern w:val="0"/>
          <w:sz w:val="32"/>
          <w:szCs w:val="32"/>
        </w:rPr>
        <w:t>白蚁防治药品采购成本</w:t>
      </w:r>
      <w:r>
        <w:rPr>
          <w:rFonts w:hint="eastAsia" w:ascii="Times New Roman" w:hAnsi="Times New Roman" w:eastAsia="仿宋_GB2312" w:cs="仿宋_GB2312"/>
          <w:color w:val="auto"/>
          <w:kern w:val="2"/>
          <w:sz w:val="32"/>
          <w:szCs w:val="32"/>
          <w:highlight w:val="none"/>
          <w:lang w:val="en-US" w:eastAsia="zh-CN" w:bidi="ar-SA"/>
        </w:rPr>
        <w:t>9.8</w:t>
      </w:r>
      <w:r>
        <w:rPr>
          <w:rFonts w:hint="eastAsia" w:ascii="仿宋_GB2312" w:eastAsia="仿宋_GB2312"/>
          <w:kern w:val="0"/>
          <w:sz w:val="32"/>
          <w:szCs w:val="32"/>
        </w:rPr>
        <w:t>万元/吨。年终无资金结余，无违规记录。</w:t>
      </w:r>
    </w:p>
    <w:p>
      <w:pPr>
        <w:pStyle w:val="8"/>
        <w:keepNext w:val="0"/>
        <w:keepLines w:val="0"/>
        <w:pageBreakBefore w:val="0"/>
        <w:kinsoku/>
        <w:wordWrap/>
        <w:overflowPunct/>
        <w:topLinePunct w:val="0"/>
        <w:bidi w:val="0"/>
        <w:spacing w:line="578" w:lineRule="exact"/>
        <w:ind w:firstLine="640" w:firstLineChars="200"/>
        <w:textAlignment w:val="auto"/>
        <w:rPr>
          <w:rFonts w:hint="eastAsia" w:ascii="仿宋_GB2312" w:eastAsia="仿宋_GB2312"/>
          <w:kern w:val="0"/>
          <w:sz w:val="32"/>
          <w:szCs w:val="32"/>
        </w:rPr>
      </w:pPr>
      <w:r>
        <w:rPr>
          <w:rFonts w:hint="eastAsia" w:ascii="楷体_GB2312" w:eastAsia="楷体_GB2312"/>
          <w:sz w:val="32"/>
          <w:szCs w:val="32"/>
        </w:rPr>
        <w:t>4.项目结果。</w:t>
      </w:r>
      <w:r>
        <w:rPr>
          <w:rFonts w:hint="eastAsia" w:ascii="仿宋_GB2312" w:eastAsia="仿宋_GB2312"/>
          <w:kern w:val="0"/>
          <w:sz w:val="32"/>
          <w:szCs w:val="32"/>
        </w:rPr>
        <w:t>完成了对三区内新建、改建、扩建、装饰装修等房屋的白蚁预防和对原有房屋的白蚁检查与灭治的管理。同时监控了全市白蚁蚁情，确认危害我市房屋住用安全的白蚁蚁种、危害程度及分布范围。</w:t>
      </w:r>
    </w:p>
    <w:p>
      <w:pPr>
        <w:keepNext w:val="0"/>
        <w:keepLines w:val="0"/>
        <w:pageBreakBefore w:val="0"/>
        <w:kinsoku/>
        <w:wordWrap/>
        <w:overflowPunct/>
        <w:topLinePunct w:val="0"/>
        <w:bidi w:val="0"/>
        <w:adjustRightInd w:val="0"/>
        <w:snapToGrid w:val="0"/>
        <w:spacing w:line="578" w:lineRule="exact"/>
        <w:ind w:firstLine="720"/>
        <w:textAlignment w:val="auto"/>
        <w:rPr>
          <w:rFonts w:hint="eastAsia" w:ascii="仿宋_GB2312" w:hAnsi="仿宋_GB2312" w:cs="仿宋_GB2312"/>
          <w:kern w:val="0"/>
          <w:sz w:val="31"/>
          <w:szCs w:val="31"/>
        </w:rPr>
      </w:pPr>
      <w:r>
        <w:rPr>
          <w:rFonts w:hint="eastAsia" w:ascii="楷体_GB2312" w:eastAsia="楷体_GB2312"/>
          <w:b/>
          <w:bCs/>
          <w:sz w:val="32"/>
          <w:szCs w:val="32"/>
        </w:rPr>
        <w:t>（二）专用指标</w:t>
      </w:r>
      <w:r>
        <w:rPr>
          <w:rFonts w:hint="eastAsia" w:ascii="楷体_GB2312" w:eastAsia="楷体_GB2312"/>
          <w:b/>
          <w:bCs/>
          <w:kern w:val="0"/>
          <w:sz w:val="32"/>
          <w:szCs w:val="32"/>
          <w:shd w:val="clear" w:color="auto" w:fill="FFFFFF"/>
        </w:rPr>
        <w:t>绩效分析。</w:t>
      </w:r>
    </w:p>
    <w:p>
      <w:pPr>
        <w:pStyle w:val="8"/>
        <w:keepNext w:val="0"/>
        <w:keepLines w:val="0"/>
        <w:pageBreakBefore w:val="0"/>
        <w:kinsoku/>
        <w:wordWrap/>
        <w:overflowPunct/>
        <w:topLinePunct w:val="0"/>
        <w:bidi w:val="0"/>
        <w:spacing w:line="578"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民生保障方面，该项目摸清我市白蚁</w:t>
      </w:r>
      <w:r>
        <w:rPr>
          <w:rFonts w:hint="eastAsia" w:ascii="仿宋_GB2312" w:hAnsi="Times New Roman" w:eastAsia="仿宋_GB2312" w:cs="Times New Roman"/>
          <w:kern w:val="0"/>
          <w:sz w:val="32"/>
          <w:szCs w:val="32"/>
        </w:rPr>
        <w:t>种群</w:t>
      </w:r>
      <w:r>
        <w:rPr>
          <w:rFonts w:hint="eastAsia" w:ascii="仿宋_GB2312" w:eastAsia="仿宋_GB2312"/>
          <w:kern w:val="0"/>
          <w:sz w:val="32"/>
          <w:szCs w:val="32"/>
        </w:rPr>
        <w:t>分布及白蚁危害种类，有效减轻白蚁危害在我市的蔓延，增加房屋建筑住用寿命</w:t>
      </w:r>
      <w:r>
        <w:rPr>
          <w:rFonts w:hint="eastAsia"/>
          <w:kern w:val="0"/>
          <w:sz w:val="32"/>
          <w:szCs w:val="32"/>
          <w:lang w:eastAsia="zh-CN"/>
        </w:rPr>
        <w:t>，</w:t>
      </w:r>
      <w:r>
        <w:rPr>
          <w:rFonts w:hint="eastAsia" w:ascii="仿宋_GB2312" w:eastAsia="仿宋_GB2312"/>
          <w:kern w:val="0"/>
          <w:sz w:val="32"/>
          <w:szCs w:val="32"/>
        </w:rPr>
        <w:t>增强人民群众对白蚁防治的必要性、重要性的认识。</w:t>
      </w:r>
    </w:p>
    <w:p>
      <w:pPr>
        <w:pStyle w:val="8"/>
        <w:keepNext w:val="0"/>
        <w:keepLines w:val="0"/>
        <w:pageBreakBefore w:val="0"/>
        <w:kinsoku/>
        <w:wordWrap/>
        <w:overflowPunct/>
        <w:topLinePunct w:val="0"/>
        <w:bidi w:val="0"/>
        <w:spacing w:line="578" w:lineRule="exact"/>
        <w:ind w:firstLine="642" w:firstLineChars="200"/>
        <w:textAlignment w:val="auto"/>
        <w:rPr>
          <w:rFonts w:hint="eastAsia" w:ascii="仿宋_GB2312" w:eastAsia="仿宋_GB2312"/>
          <w:kern w:val="0"/>
          <w:sz w:val="32"/>
          <w:szCs w:val="32"/>
        </w:rPr>
      </w:pPr>
      <w:r>
        <w:rPr>
          <w:rFonts w:hint="eastAsia" w:ascii="楷体_GB2312" w:eastAsia="楷体_GB2312"/>
          <w:b/>
          <w:bCs/>
          <w:sz w:val="32"/>
          <w:szCs w:val="32"/>
        </w:rPr>
        <w:t>（三）个性指标</w:t>
      </w:r>
      <w:r>
        <w:rPr>
          <w:rFonts w:hint="eastAsia" w:ascii="楷体_GB2312" w:eastAsia="楷体_GB2312"/>
          <w:b/>
          <w:bCs/>
          <w:kern w:val="0"/>
          <w:sz w:val="32"/>
          <w:szCs w:val="32"/>
          <w:shd w:val="clear" w:color="auto" w:fill="FFFFFF"/>
        </w:rPr>
        <w:t>绩效分析。</w:t>
      </w:r>
      <w:r>
        <w:rPr>
          <w:rFonts w:hint="eastAsia" w:ascii="仿宋_GB2312" w:eastAsia="仿宋_GB2312"/>
          <w:kern w:val="0"/>
          <w:sz w:val="32"/>
          <w:szCs w:val="32"/>
        </w:rPr>
        <w:t>该</w:t>
      </w:r>
      <w:r>
        <w:rPr>
          <w:rFonts w:hint="eastAsia" w:ascii="仿宋_GB2312" w:hAnsi="Times New Roman" w:eastAsia="仿宋_GB2312" w:cs="Times New Roman"/>
          <w:kern w:val="0"/>
          <w:sz w:val="32"/>
          <w:szCs w:val="32"/>
        </w:rPr>
        <w:t>项目</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eastAsia="仿宋_GB2312"/>
          <w:kern w:val="0"/>
          <w:sz w:val="32"/>
          <w:szCs w:val="32"/>
        </w:rPr>
        <w:t>使用国家批准的防治药品，白蚁预防项目实施后，保质期</w:t>
      </w:r>
      <w:r>
        <w:rPr>
          <w:rFonts w:hint="eastAsia" w:ascii="Times New Roman" w:hAnsi="Times New Roman" w:eastAsia="仿宋_GB2312" w:cs="仿宋_GB2312"/>
          <w:color w:val="auto"/>
          <w:kern w:val="2"/>
          <w:sz w:val="32"/>
          <w:szCs w:val="32"/>
          <w:highlight w:val="none"/>
          <w:lang w:val="en-US" w:eastAsia="zh-CN" w:bidi="ar-SA"/>
        </w:rPr>
        <w:t>15</w:t>
      </w:r>
      <w:r>
        <w:rPr>
          <w:rFonts w:hint="eastAsia" w:ascii="仿宋_GB2312" w:eastAsia="仿宋_GB2312"/>
          <w:kern w:val="0"/>
          <w:sz w:val="32"/>
          <w:szCs w:val="32"/>
        </w:rPr>
        <w:t>年。</w:t>
      </w:r>
    </w:p>
    <w:p>
      <w:pPr>
        <w:keepNext w:val="0"/>
        <w:keepLines w:val="0"/>
        <w:pageBreakBefore w:val="0"/>
        <w:kinsoku/>
        <w:wordWrap/>
        <w:overflowPunct/>
        <w:topLinePunct w:val="0"/>
        <w:bidi w:val="0"/>
        <w:spacing w:line="578" w:lineRule="exact"/>
        <w:ind w:firstLine="640"/>
        <w:textAlignment w:val="auto"/>
        <w:rPr>
          <w:rFonts w:hint="eastAsia" w:ascii="黑体" w:eastAsia="黑体"/>
          <w:sz w:val="32"/>
          <w:szCs w:val="32"/>
        </w:rPr>
      </w:pPr>
      <w:bookmarkStart w:id="150" w:name="_Toc644876999_WPSOffice_Level2"/>
      <w:bookmarkStart w:id="151" w:name="_Toc858008914_WPSOffice_Level2"/>
      <w:r>
        <w:rPr>
          <w:rFonts w:hint="eastAsia" w:ascii="黑体" w:eastAsia="黑体"/>
          <w:sz w:val="32"/>
          <w:szCs w:val="32"/>
        </w:rPr>
        <w:t>四、评价结论</w:t>
      </w:r>
      <w:bookmarkEnd w:id="150"/>
      <w:bookmarkEnd w:id="151"/>
    </w:p>
    <w:p>
      <w:pPr>
        <w:pStyle w:val="8"/>
        <w:keepNext w:val="0"/>
        <w:keepLines w:val="0"/>
        <w:pageBreakBefore w:val="0"/>
        <w:kinsoku/>
        <w:wordWrap/>
        <w:overflowPunct/>
        <w:topLinePunct w:val="0"/>
        <w:bidi w:val="0"/>
        <w:spacing w:line="578"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通过自评，总体得分</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eastAsia="仿宋_GB2312"/>
          <w:kern w:val="0"/>
          <w:sz w:val="32"/>
          <w:szCs w:val="32"/>
        </w:rPr>
        <w:t>分，其中执行情况得分</w:t>
      </w:r>
      <w:r>
        <w:rPr>
          <w:rFonts w:hint="eastAsia" w:ascii="Times New Roman" w:hAnsi="Times New Roman" w:eastAsia="仿宋_GB2312" w:cs="仿宋_GB2312"/>
          <w:color w:val="auto"/>
          <w:kern w:val="2"/>
          <w:sz w:val="32"/>
          <w:szCs w:val="32"/>
          <w:highlight w:val="none"/>
          <w:lang w:val="en-US" w:eastAsia="zh-CN" w:bidi="ar-SA"/>
        </w:rPr>
        <w:t>10</w:t>
      </w:r>
      <w:r>
        <w:rPr>
          <w:rFonts w:hint="eastAsia" w:ascii="仿宋_GB2312" w:eastAsia="仿宋_GB2312"/>
          <w:kern w:val="0"/>
          <w:sz w:val="32"/>
          <w:szCs w:val="32"/>
        </w:rPr>
        <w:t>分，产出指标得分</w:t>
      </w:r>
      <w:r>
        <w:rPr>
          <w:rFonts w:hint="eastAsia" w:ascii="Times New Roman" w:hAnsi="Times New Roman" w:eastAsia="仿宋_GB2312" w:cs="仿宋_GB2312"/>
          <w:color w:val="auto"/>
          <w:kern w:val="2"/>
          <w:sz w:val="32"/>
          <w:szCs w:val="32"/>
          <w:highlight w:val="none"/>
          <w:lang w:val="en-US" w:eastAsia="zh-CN" w:bidi="ar-SA"/>
        </w:rPr>
        <w:t>50</w:t>
      </w:r>
      <w:r>
        <w:rPr>
          <w:rFonts w:hint="eastAsia" w:ascii="仿宋_GB2312" w:eastAsia="仿宋_GB2312"/>
          <w:kern w:val="0"/>
          <w:sz w:val="32"/>
          <w:szCs w:val="32"/>
        </w:rPr>
        <w:t>分，效益指标得分</w:t>
      </w:r>
      <w:r>
        <w:rPr>
          <w:rFonts w:hint="eastAsia" w:ascii="Times New Roman" w:hAnsi="Times New Roman" w:eastAsia="仿宋_GB2312" w:cs="仿宋_GB2312"/>
          <w:color w:val="auto"/>
          <w:kern w:val="2"/>
          <w:sz w:val="32"/>
          <w:szCs w:val="32"/>
          <w:highlight w:val="none"/>
          <w:lang w:val="en-US" w:eastAsia="zh-CN" w:bidi="ar-SA"/>
        </w:rPr>
        <w:t>30</w:t>
      </w:r>
      <w:r>
        <w:rPr>
          <w:rFonts w:hint="eastAsia" w:ascii="仿宋_GB2312" w:eastAsia="仿宋_GB2312"/>
          <w:kern w:val="0"/>
          <w:sz w:val="32"/>
          <w:szCs w:val="32"/>
        </w:rPr>
        <w:t>分，满意度指标得分</w:t>
      </w:r>
      <w:r>
        <w:rPr>
          <w:rFonts w:hint="eastAsia" w:ascii="Times New Roman" w:hAnsi="Times New Roman" w:eastAsia="仿宋_GB2312" w:cs="仿宋_GB2312"/>
          <w:color w:val="auto"/>
          <w:kern w:val="2"/>
          <w:sz w:val="32"/>
          <w:szCs w:val="32"/>
          <w:highlight w:val="none"/>
          <w:lang w:val="en-US" w:eastAsia="zh-CN" w:bidi="ar-SA"/>
        </w:rPr>
        <w:t>10</w:t>
      </w:r>
      <w:r>
        <w:rPr>
          <w:rFonts w:hint="eastAsia" w:ascii="仿宋_GB2312" w:eastAsia="仿宋_GB2312"/>
          <w:kern w:val="0"/>
          <w:sz w:val="32"/>
          <w:szCs w:val="32"/>
        </w:rPr>
        <w:t>分，达到预期指标。</w:t>
      </w:r>
    </w:p>
    <w:p>
      <w:pPr>
        <w:pStyle w:val="8"/>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eastAsia="黑体"/>
          <w:sz w:val="32"/>
          <w:szCs w:val="32"/>
        </w:rPr>
      </w:pPr>
      <w:bookmarkStart w:id="152" w:name="_Toc763742901_WPSOffice_Level2"/>
      <w:bookmarkStart w:id="153" w:name="_Toc648705091_WPSOffice_Level2"/>
      <w:r>
        <w:rPr>
          <w:rFonts w:hint="eastAsia" w:ascii="黑体" w:eastAsia="黑体"/>
          <w:sz w:val="32"/>
          <w:szCs w:val="32"/>
        </w:rPr>
        <w:t>五、存在主要问题</w:t>
      </w:r>
      <w:bookmarkEnd w:id="152"/>
      <w:bookmarkEnd w:id="153"/>
    </w:p>
    <w:p>
      <w:pPr>
        <w:pStyle w:val="8"/>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color w:val="auto"/>
          <w:kern w:val="0"/>
          <w:sz w:val="32"/>
          <w:szCs w:val="32"/>
          <w:lang w:eastAsia="zh-CN"/>
        </w:rPr>
      </w:pPr>
      <w:r>
        <w:rPr>
          <w:rFonts w:hint="eastAsia"/>
          <w:color w:val="auto"/>
          <w:kern w:val="0"/>
          <w:sz w:val="32"/>
          <w:szCs w:val="32"/>
          <w:lang w:eastAsia="zh-CN"/>
        </w:rPr>
        <w:t>无。</w:t>
      </w:r>
    </w:p>
    <w:p>
      <w:pPr>
        <w:pStyle w:val="8"/>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eastAsia="黑体"/>
          <w:color w:val="auto"/>
          <w:kern w:val="0"/>
          <w:position w:val="3"/>
          <w:sz w:val="32"/>
          <w:szCs w:val="32"/>
        </w:rPr>
      </w:pPr>
      <w:bookmarkStart w:id="154" w:name="_Toc413231433_WPSOffice_Level2"/>
      <w:bookmarkStart w:id="155" w:name="_Toc116454360_WPSOffice_Level2"/>
      <w:r>
        <w:rPr>
          <w:rFonts w:hint="eastAsia" w:ascii="黑体" w:eastAsia="黑体"/>
          <w:color w:val="auto"/>
          <w:kern w:val="0"/>
          <w:position w:val="3"/>
          <w:sz w:val="32"/>
          <w:szCs w:val="32"/>
        </w:rPr>
        <w:t>六、改进建议</w:t>
      </w:r>
      <w:bookmarkEnd w:id="154"/>
      <w:bookmarkEnd w:id="155"/>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仿宋_GB2312"/>
          <w:b w:val="0"/>
          <w:bCs w:val="0"/>
          <w:color w:val="auto"/>
          <w:kern w:val="0"/>
          <w:position w:val="0"/>
          <w:sz w:val="32"/>
          <w:szCs w:val="32"/>
          <w:highlight w:val="none"/>
          <w:lang w:val="en-US" w:eastAsia="zh-CN" w:bidi="ar-SA"/>
        </w:rPr>
      </w:pPr>
      <w:r>
        <w:rPr>
          <w:rFonts w:hint="eastAsia" w:ascii="仿宋_GB2312" w:eastAsia="仿宋_GB2312"/>
          <w:color w:val="auto"/>
          <w:kern w:val="0"/>
          <w:sz w:val="32"/>
          <w:szCs w:val="32"/>
          <w:lang w:eastAsia="zh-CN"/>
        </w:rPr>
        <w:t>无。</w:t>
      </w:r>
    </w:p>
    <w:p>
      <w:pPr>
        <w:pStyle w:val="2"/>
        <w:keepNext w:val="0"/>
        <w:keepLines w:val="0"/>
        <w:pageBreakBefore w:val="0"/>
        <w:kinsoku/>
        <w:wordWrap/>
        <w:overflowPunct/>
        <w:topLinePunct w:val="0"/>
        <w:bidi w:val="0"/>
        <w:spacing w:line="578"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
        <w:keepNext w:val="0"/>
        <w:keepLines w:val="0"/>
        <w:pageBreakBefore w:val="0"/>
        <w:kinsoku/>
        <w:wordWrap/>
        <w:overflowPunct/>
        <w:topLinePunct w:val="0"/>
        <w:bidi w:val="0"/>
        <w:spacing w:line="578"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
        <w:keepNext w:val="0"/>
        <w:keepLines w:val="0"/>
        <w:pageBreakBefore w:val="0"/>
        <w:kinsoku/>
        <w:wordWrap/>
        <w:overflowPunct/>
        <w:topLinePunct w:val="0"/>
        <w:bidi w:val="0"/>
        <w:spacing w:line="578"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
        <w:keepNext w:val="0"/>
        <w:keepLines w:val="0"/>
        <w:pageBreakBefore w:val="0"/>
        <w:kinsoku/>
        <w:wordWrap/>
        <w:overflowPunct/>
        <w:topLinePunct w:val="0"/>
        <w:bidi w:val="0"/>
        <w:spacing w:line="578"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
        <w:keepNext w:val="0"/>
        <w:keepLines w:val="0"/>
        <w:pageBreakBefore w:val="0"/>
        <w:kinsoku/>
        <w:wordWrap/>
        <w:overflowPunct/>
        <w:topLinePunct w:val="0"/>
        <w:bidi w:val="0"/>
        <w:spacing w:line="578"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
        <w:keepNext w:val="0"/>
        <w:keepLines w:val="0"/>
        <w:pageBreakBefore w:val="0"/>
        <w:kinsoku/>
        <w:wordWrap/>
        <w:overflowPunct/>
        <w:topLinePunct w:val="0"/>
        <w:bidi w:val="0"/>
        <w:spacing w:line="578"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
        <w:keepNext w:val="0"/>
        <w:keepLines w:val="0"/>
        <w:pageBreakBefore w:val="0"/>
        <w:kinsoku/>
        <w:wordWrap/>
        <w:overflowPunct/>
        <w:topLinePunct w:val="0"/>
        <w:bidi w:val="0"/>
        <w:spacing w:line="578"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
        <w:keepNext w:val="0"/>
        <w:keepLines w:val="0"/>
        <w:pageBreakBefore w:val="0"/>
        <w:kinsoku/>
        <w:wordWrap/>
        <w:overflowPunct/>
        <w:topLinePunct w:val="0"/>
        <w:bidi w:val="0"/>
        <w:spacing w:line="578"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
        <w:keepNext w:val="0"/>
        <w:keepLines w:val="0"/>
        <w:pageBreakBefore w:val="0"/>
        <w:kinsoku/>
        <w:wordWrap/>
        <w:overflowPunct/>
        <w:topLinePunct w:val="0"/>
        <w:bidi w:val="0"/>
        <w:spacing w:line="578"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
        <w:keepNext w:val="0"/>
        <w:keepLines w:val="0"/>
        <w:pageBreakBefore w:val="0"/>
        <w:kinsoku/>
        <w:wordWrap/>
        <w:overflowPunct/>
        <w:topLinePunct w:val="0"/>
        <w:bidi w:val="0"/>
        <w:spacing w:line="578"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
        <w:keepNext w:val="0"/>
        <w:keepLines w:val="0"/>
        <w:pageBreakBefore w:val="0"/>
        <w:kinsoku/>
        <w:wordWrap/>
        <w:overflowPunct/>
        <w:topLinePunct w:val="0"/>
        <w:bidi w:val="0"/>
        <w:spacing w:line="578"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
        <w:keepNext w:val="0"/>
        <w:keepLines w:val="0"/>
        <w:pageBreakBefore w:val="0"/>
        <w:kinsoku/>
        <w:wordWrap/>
        <w:overflowPunct/>
        <w:topLinePunct w:val="0"/>
        <w:bidi w:val="0"/>
        <w:spacing w:line="578"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
        <w:keepNext w:val="0"/>
        <w:keepLines w:val="0"/>
        <w:pageBreakBefore w:val="0"/>
        <w:kinsoku/>
        <w:wordWrap/>
        <w:overflowPunct/>
        <w:topLinePunct w:val="0"/>
        <w:bidi w:val="0"/>
        <w:spacing w:line="578"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
        <w:keepNext w:val="0"/>
        <w:keepLines w:val="0"/>
        <w:pageBreakBefore w:val="0"/>
        <w:kinsoku/>
        <w:wordWrap/>
        <w:overflowPunct/>
        <w:topLinePunct w:val="0"/>
        <w:bidi w:val="0"/>
        <w:spacing w:line="578"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
        <w:keepNext w:val="0"/>
        <w:keepLines w:val="0"/>
        <w:pageBreakBefore w:val="0"/>
        <w:kinsoku/>
        <w:wordWrap/>
        <w:overflowPunct/>
        <w:topLinePunct w:val="0"/>
        <w:bidi w:val="0"/>
        <w:spacing w:line="578" w:lineRule="exact"/>
        <w:ind w:left="0" w:leftChars="0" w:firstLine="0" w:firstLineChars="0"/>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pStyle w:val="37"/>
        <w:keepNext w:val="0"/>
        <w:keepLines w:val="0"/>
        <w:pageBreakBefore w:val="0"/>
        <w:kinsoku/>
        <w:wordWrap/>
        <w:overflowPunct/>
        <w:topLinePunct w:val="0"/>
        <w:bidi w:val="0"/>
        <w:spacing w:line="578" w:lineRule="exact"/>
        <w:jc w:val="center"/>
        <w:textAlignment w:val="auto"/>
        <w:rPr>
          <w:rFonts w:hint="eastAsia" w:ascii="Times New Roman" w:hAnsi="Times New Roman" w:eastAsia="方正小标宋简体" w:cs="方正小标宋简体"/>
          <w:color w:val="auto"/>
          <w:kern w:val="2"/>
          <w:sz w:val="44"/>
          <w:szCs w:val="44"/>
          <w:lang w:val="en-US"/>
        </w:rPr>
      </w:pPr>
      <w:bookmarkStart w:id="156" w:name="_Toc1255744440_WPSOffice_Level2"/>
      <w:bookmarkStart w:id="157" w:name="_Toc2089929157_WPSOffice_Level2"/>
      <w:r>
        <w:rPr>
          <w:rFonts w:hint="eastAsia" w:ascii="Times New Roman" w:hAnsi="Times New Roman" w:eastAsia="方正小标宋简体" w:cs="方正小标宋简体"/>
          <w:color w:val="auto"/>
          <w:kern w:val="2"/>
          <w:sz w:val="44"/>
          <w:szCs w:val="44"/>
          <w:lang w:val="en-US"/>
        </w:rPr>
        <w:t>攀枝花市城市排水防涝设施功能</w:t>
      </w:r>
      <w:bookmarkEnd w:id="156"/>
      <w:bookmarkEnd w:id="157"/>
    </w:p>
    <w:p>
      <w:pPr>
        <w:pStyle w:val="37"/>
        <w:keepNext w:val="0"/>
        <w:keepLines w:val="0"/>
        <w:pageBreakBefore w:val="0"/>
        <w:kinsoku/>
        <w:wordWrap/>
        <w:overflowPunct/>
        <w:topLinePunct w:val="0"/>
        <w:bidi w:val="0"/>
        <w:spacing w:line="578" w:lineRule="exact"/>
        <w:jc w:val="center"/>
        <w:textAlignment w:val="auto"/>
        <w:rPr>
          <w:rFonts w:hint="eastAsia" w:ascii="Times New Roman" w:hAnsi="Times New Roman" w:eastAsia="方正小标宋简体" w:cs="方正小标宋简体"/>
          <w:color w:val="auto"/>
          <w:kern w:val="2"/>
          <w:sz w:val="44"/>
          <w:szCs w:val="44"/>
          <w:lang w:val="en-US"/>
        </w:rPr>
      </w:pPr>
      <w:bookmarkStart w:id="158" w:name="_Toc1985909748_WPSOffice_Level2"/>
      <w:bookmarkStart w:id="159" w:name="_Toc1807548683_WPSOffice_Level2"/>
      <w:r>
        <w:rPr>
          <w:rFonts w:hint="eastAsia" w:ascii="Times New Roman" w:hAnsi="Times New Roman" w:eastAsia="方正小标宋简体" w:cs="方正小标宋简体"/>
          <w:color w:val="auto"/>
          <w:kern w:val="2"/>
          <w:sz w:val="44"/>
          <w:szCs w:val="44"/>
          <w:lang w:val="en-US"/>
        </w:rPr>
        <w:t>提升改造项目专项预算项目</w:t>
      </w:r>
      <w:bookmarkEnd w:id="158"/>
      <w:bookmarkEnd w:id="159"/>
    </w:p>
    <w:p>
      <w:pPr>
        <w:pStyle w:val="37"/>
        <w:keepNext w:val="0"/>
        <w:keepLines w:val="0"/>
        <w:pageBreakBefore w:val="0"/>
        <w:kinsoku/>
        <w:wordWrap/>
        <w:overflowPunct/>
        <w:topLinePunct w:val="0"/>
        <w:bidi w:val="0"/>
        <w:spacing w:line="578" w:lineRule="exact"/>
        <w:jc w:val="center"/>
        <w:textAlignment w:val="auto"/>
        <w:rPr>
          <w:rFonts w:ascii="Times New Roman" w:hAnsi="Times New Roman" w:eastAsia="方正小标宋简体" w:cs="方正小标宋简体"/>
          <w:color w:val="auto"/>
          <w:kern w:val="2"/>
          <w:sz w:val="44"/>
          <w:szCs w:val="44"/>
          <w:lang w:val="en-US"/>
        </w:rPr>
      </w:pPr>
      <w:bookmarkStart w:id="160" w:name="_Toc1256678357_WPSOffice_Level2"/>
      <w:bookmarkStart w:id="161" w:name="_Toc617679577_WPSOffice_Level2"/>
      <w:r>
        <w:rPr>
          <w:rFonts w:hint="eastAsia" w:ascii="Times New Roman" w:hAnsi="Times New Roman" w:eastAsia="方正小标宋简体" w:cs="方正小标宋简体"/>
          <w:color w:val="auto"/>
          <w:kern w:val="2"/>
          <w:sz w:val="44"/>
          <w:szCs w:val="44"/>
          <w:lang w:val="en-US"/>
        </w:rPr>
        <w:t>绩效评价报告范本</w:t>
      </w:r>
      <w:bookmarkEnd w:id="160"/>
      <w:bookmarkEnd w:id="161"/>
    </w:p>
    <w:p>
      <w:pPr>
        <w:pStyle w:val="37"/>
        <w:keepNext w:val="0"/>
        <w:keepLines w:val="0"/>
        <w:pageBreakBefore w:val="0"/>
        <w:kinsoku/>
        <w:wordWrap/>
        <w:overflowPunct/>
        <w:topLinePunct w:val="0"/>
        <w:bidi w:val="0"/>
        <w:spacing w:line="578" w:lineRule="exact"/>
        <w:ind w:firstLine="640"/>
        <w:jc w:val="center"/>
        <w:textAlignment w:val="auto"/>
        <w:rPr>
          <w:rFonts w:ascii="Times New Roman" w:hAnsi="Times New Roman"/>
          <w:color w:val="auto"/>
          <w:kern w:val="2"/>
          <w:sz w:val="32"/>
          <w:szCs w:val="32"/>
        </w:rPr>
      </w:pPr>
    </w:p>
    <w:p>
      <w:pPr>
        <w:keepNext w:val="0"/>
        <w:keepLines w:val="0"/>
        <w:pageBreakBefore w:val="0"/>
        <w:kinsoku/>
        <w:wordWrap/>
        <w:overflowPunct/>
        <w:topLinePunct w:val="0"/>
        <w:bidi w:val="0"/>
        <w:adjustRightInd w:val="0"/>
        <w:snapToGrid w:val="0"/>
        <w:spacing w:line="578" w:lineRule="exact"/>
        <w:ind w:firstLine="640" w:firstLineChars="200"/>
        <w:jc w:val="both"/>
        <w:textAlignment w:val="auto"/>
        <w:rPr>
          <w:rFonts w:eastAsia="黑体"/>
          <w:sz w:val="32"/>
          <w:szCs w:val="32"/>
          <w:lang w:val="zh-CN"/>
        </w:rPr>
      </w:pPr>
      <w:bookmarkStart w:id="162" w:name="_Toc60445739_WPSOffice_Level2"/>
      <w:bookmarkStart w:id="163" w:name="_Toc1483199385_WPSOffice_Level2"/>
      <w:r>
        <w:rPr>
          <w:rFonts w:hint="eastAsia" w:eastAsia="黑体"/>
          <w:sz w:val="32"/>
          <w:szCs w:val="32"/>
        </w:rPr>
        <w:t>一、</w:t>
      </w:r>
      <w:r>
        <w:rPr>
          <w:rFonts w:hint="eastAsia" w:eastAsia="黑体"/>
          <w:sz w:val="32"/>
          <w:szCs w:val="32"/>
          <w:lang w:val="zh-CN"/>
        </w:rPr>
        <w:t>项目概况</w:t>
      </w:r>
      <w:bookmarkEnd w:id="162"/>
      <w:bookmarkEnd w:id="163"/>
    </w:p>
    <w:p>
      <w:pPr>
        <w:keepNext w:val="0"/>
        <w:keepLines w:val="0"/>
        <w:pageBreakBefore w:val="0"/>
        <w:kinsoku/>
        <w:wordWrap/>
        <w:overflowPunct/>
        <w:topLinePunct w:val="0"/>
        <w:bidi w:val="0"/>
        <w:adjustRightInd w:val="0"/>
        <w:snapToGrid w:val="0"/>
        <w:spacing w:line="578" w:lineRule="exact"/>
        <w:ind w:firstLine="720"/>
        <w:jc w:val="both"/>
        <w:textAlignment w:val="auto"/>
        <w:rPr>
          <w:rFonts w:hint="eastAsia" w:eastAsia="仿宋_GB2312" w:cs="仿宋_GB2312"/>
          <w:kern w:val="0"/>
          <w:sz w:val="32"/>
          <w:szCs w:val="32"/>
        </w:rPr>
      </w:pPr>
      <w:r>
        <w:rPr>
          <w:rFonts w:hint="eastAsia" w:eastAsia="楷体_GB2312"/>
          <w:b/>
          <w:sz w:val="32"/>
          <w:szCs w:val="32"/>
          <w:lang w:val="zh-CN"/>
        </w:rPr>
        <w:t>（一）设立背景及基本情况。</w:t>
      </w:r>
    </w:p>
    <w:p>
      <w:pPr>
        <w:keepNext w:val="0"/>
        <w:keepLines w:val="0"/>
        <w:pageBreakBefore w:val="0"/>
        <w:kinsoku/>
        <w:wordWrap/>
        <w:overflowPunct/>
        <w:topLinePunct w:val="0"/>
        <w:bidi w:val="0"/>
        <w:adjustRightInd w:val="0"/>
        <w:snapToGrid w:val="0"/>
        <w:spacing w:line="578" w:lineRule="exact"/>
        <w:ind w:firstLine="720"/>
        <w:jc w:val="both"/>
        <w:textAlignment w:val="auto"/>
        <w:rPr>
          <w:rFonts w:eastAsia="仿宋_GB2312" w:cs="仿宋_GB2312"/>
          <w:color w:val="FF0000"/>
          <w:kern w:val="0"/>
          <w:sz w:val="32"/>
          <w:szCs w:val="32"/>
          <w:lang w:val="zh-CN"/>
        </w:rPr>
      </w:pPr>
      <w:r>
        <w:rPr>
          <w:rFonts w:hint="eastAsia" w:ascii="仿宋_GB2312" w:hAnsi="Times New Roman" w:eastAsia="仿宋_GB2312" w:cs="Times New Roman"/>
          <w:kern w:val="0"/>
          <w:sz w:val="32"/>
          <w:szCs w:val="32"/>
        </w:rPr>
        <w:t>项目设立原因及背景：</w:t>
      </w:r>
      <w:r>
        <w:rPr>
          <w:rFonts w:hint="eastAsia" w:ascii="仿宋_GB2312" w:hAnsi="Times New Roman" w:eastAsia="仿宋_GB2312" w:cs="Times New Roman"/>
          <w:kern w:val="0"/>
          <w:sz w:val="32"/>
          <w:szCs w:val="32"/>
          <w:lang w:val="zh-CN"/>
        </w:rPr>
        <w:t>针对城市主干道排水防涝设施功能提升改造</w:t>
      </w:r>
      <w:r>
        <w:rPr>
          <w:rFonts w:hint="eastAsia" w:ascii="仿宋_GB2312" w:eastAsia="仿宋_GB2312" w:cs="Times New Roman"/>
          <w:kern w:val="0"/>
          <w:sz w:val="32"/>
          <w:szCs w:val="32"/>
          <w:lang w:val="zh-CN"/>
        </w:rPr>
        <w:t>，</w:t>
      </w:r>
      <w:r>
        <w:rPr>
          <w:rFonts w:hint="eastAsia" w:ascii="仿宋_GB2312" w:hAnsi="Times New Roman" w:eastAsia="仿宋_GB2312" w:cs="Times New Roman"/>
          <w:kern w:val="0"/>
          <w:sz w:val="32"/>
          <w:szCs w:val="32"/>
          <w:lang w:val="zh-CN"/>
        </w:rPr>
        <w:t>包括主干道易涝点排洪涵提升改造、主干道易涝点管网提升改造、主干道易涝点地下通道提升改造、主干道桥梁基础安全隐患整治，项目实施后达到提升城市主干道排水防涝设施功能的目的，确保城市主干道安全运行。</w:t>
      </w:r>
    </w:p>
    <w:p>
      <w:pPr>
        <w:keepNext w:val="0"/>
        <w:keepLines w:val="0"/>
        <w:pageBreakBefore w:val="0"/>
        <w:kinsoku/>
        <w:wordWrap/>
        <w:overflowPunct/>
        <w:topLinePunct w:val="0"/>
        <w:bidi w:val="0"/>
        <w:spacing w:line="578" w:lineRule="exact"/>
        <w:ind w:firstLine="640" w:firstLineChars="200"/>
        <w:jc w:val="both"/>
        <w:textAlignment w:val="auto"/>
        <w:rPr>
          <w:rFonts w:eastAsia="仿宋_GB2312" w:cs="仿宋_GB2312"/>
          <w:color w:val="auto"/>
          <w:kern w:val="0"/>
          <w:sz w:val="32"/>
          <w:szCs w:val="32"/>
          <w:lang w:val="zh-CN"/>
        </w:rPr>
      </w:pPr>
      <w:r>
        <w:rPr>
          <w:rFonts w:hint="eastAsia" w:ascii="仿宋_GB2312" w:hAnsi="Times New Roman" w:eastAsia="仿宋_GB2312" w:cs="Times New Roman"/>
          <w:kern w:val="0"/>
          <w:sz w:val="32"/>
          <w:szCs w:val="32"/>
          <w:lang w:val="zh-CN"/>
        </w:rPr>
        <w:t>项目立项：</w:t>
      </w:r>
      <w:r>
        <w:rPr>
          <w:rFonts w:hint="eastAsia" w:ascii="Times New Roman" w:hAnsi="Times New Roman" w:eastAsia="仿宋_GB2312" w:cs="仿宋_GB2312"/>
          <w:color w:val="auto"/>
          <w:kern w:val="2"/>
          <w:sz w:val="32"/>
          <w:szCs w:val="32"/>
          <w:highlight w:val="none"/>
          <w:lang w:val="zh-CN" w:eastAsia="zh-CN" w:bidi="ar-SA"/>
        </w:rPr>
        <w:t>2023</w:t>
      </w:r>
      <w:r>
        <w:rPr>
          <w:rFonts w:hint="eastAsia" w:ascii="仿宋_GB2312" w:hAnsi="Times New Roman" w:eastAsia="仿宋_GB2312" w:cs="Times New Roman"/>
          <w:kern w:val="0"/>
          <w:sz w:val="32"/>
          <w:szCs w:val="32"/>
          <w:lang w:val="zh-CN"/>
        </w:rPr>
        <w:t>年</w:t>
      </w:r>
      <w:r>
        <w:rPr>
          <w:rFonts w:hint="eastAsia" w:ascii="Times New Roman" w:hAnsi="Times New Roman" w:eastAsia="仿宋_GB2312" w:cs="仿宋_GB2312"/>
          <w:color w:val="auto"/>
          <w:kern w:val="2"/>
          <w:sz w:val="32"/>
          <w:szCs w:val="32"/>
          <w:highlight w:val="none"/>
          <w:lang w:val="zh-CN" w:eastAsia="zh-CN" w:bidi="ar-SA"/>
        </w:rPr>
        <w:t>10</w:t>
      </w:r>
      <w:r>
        <w:rPr>
          <w:rFonts w:hint="eastAsia" w:ascii="仿宋_GB2312" w:hAnsi="Times New Roman" w:eastAsia="仿宋_GB2312" w:cs="Times New Roman"/>
          <w:kern w:val="0"/>
          <w:sz w:val="32"/>
          <w:szCs w:val="32"/>
          <w:lang w:val="zh-CN"/>
        </w:rPr>
        <w:t>月市发改委下发《攀枝花市发展和改革委员会关于攀枝花市城市排水防涝设施功能提升改造项目可行性研究报告的批复》（攀发改函</w:t>
      </w:r>
      <w:r>
        <w:rPr>
          <w:rFonts w:hint="eastAsia" w:eastAsia="仿宋_GB2312" w:cs="仿宋_GB2312"/>
          <w:color w:val="auto"/>
          <w:kern w:val="0"/>
          <w:sz w:val="32"/>
          <w:szCs w:val="32"/>
          <w:lang w:val="zh-CN"/>
        </w:rPr>
        <w:t>〔2023〕309</w:t>
      </w:r>
      <w:r>
        <w:rPr>
          <w:rFonts w:hint="eastAsia" w:ascii="仿宋_GB2312" w:hAnsi="Times New Roman" w:eastAsia="仿宋_GB2312" w:cs="Times New Roman"/>
          <w:kern w:val="0"/>
          <w:sz w:val="32"/>
          <w:szCs w:val="32"/>
          <w:lang w:val="zh-CN"/>
        </w:rPr>
        <w:t>号），项目估算总投资</w:t>
      </w:r>
      <w:r>
        <w:rPr>
          <w:rFonts w:hint="eastAsia" w:ascii="Times New Roman" w:hAnsi="Times New Roman" w:eastAsia="仿宋_GB2312" w:cs="仿宋_GB2312"/>
          <w:color w:val="auto"/>
          <w:kern w:val="2"/>
          <w:sz w:val="32"/>
          <w:szCs w:val="32"/>
          <w:highlight w:val="none"/>
          <w:lang w:val="zh-CN" w:eastAsia="zh-CN" w:bidi="ar-SA"/>
        </w:rPr>
        <w:t>7216.28</w:t>
      </w:r>
      <w:r>
        <w:rPr>
          <w:rFonts w:hint="eastAsia" w:eastAsia="仿宋_GB2312" w:cs="仿宋_GB2312"/>
          <w:color w:val="auto"/>
          <w:kern w:val="0"/>
          <w:sz w:val="32"/>
          <w:szCs w:val="32"/>
          <w:lang w:val="zh-CN"/>
        </w:rPr>
        <w:t>万元。</w:t>
      </w:r>
    </w:p>
    <w:p>
      <w:pPr>
        <w:keepNext w:val="0"/>
        <w:keepLines w:val="0"/>
        <w:pageBreakBefore w:val="0"/>
        <w:kinsoku/>
        <w:wordWrap/>
        <w:overflowPunct/>
        <w:topLinePunct w:val="0"/>
        <w:bidi w:val="0"/>
        <w:spacing w:line="578" w:lineRule="exact"/>
        <w:ind w:firstLine="640" w:firstLineChars="200"/>
        <w:jc w:val="both"/>
        <w:textAlignment w:val="auto"/>
        <w:rPr>
          <w:rFonts w:hint="eastAsia" w:eastAsia="仿宋_GB2312" w:cs="仿宋_GB2312"/>
          <w:color w:val="FF0000"/>
          <w:kern w:val="0"/>
          <w:sz w:val="32"/>
          <w:szCs w:val="32"/>
          <w:lang w:val="zh-CN"/>
        </w:rPr>
      </w:pPr>
      <w:r>
        <w:rPr>
          <w:rFonts w:hint="eastAsia" w:ascii="仿宋_GB2312" w:hAnsi="Times New Roman" w:eastAsia="仿宋_GB2312" w:cs="Times New Roman"/>
          <w:kern w:val="0"/>
          <w:sz w:val="32"/>
          <w:szCs w:val="32"/>
          <w:lang w:val="zh-CN"/>
        </w:rPr>
        <w:t>资金申报的依据：攀枝花市发展和改革委员会关于下达</w:t>
      </w:r>
      <w:r>
        <w:rPr>
          <w:rFonts w:hint="eastAsia" w:eastAsia="仿宋_GB2312" w:cs="仿宋_GB2312"/>
          <w:color w:val="auto"/>
          <w:kern w:val="0"/>
          <w:sz w:val="32"/>
          <w:szCs w:val="32"/>
          <w:lang w:val="zh-CN"/>
        </w:rPr>
        <w:t>2023</w:t>
      </w:r>
      <w:r>
        <w:rPr>
          <w:rFonts w:hint="eastAsia" w:ascii="仿宋_GB2312" w:hAnsi="Times New Roman" w:eastAsia="仿宋_GB2312" w:cs="Times New Roman"/>
          <w:kern w:val="0"/>
          <w:sz w:val="32"/>
          <w:szCs w:val="32"/>
          <w:lang w:val="zh-CN"/>
        </w:rPr>
        <w:t>年增发国债第二批项目清单的通知</w:t>
      </w:r>
      <w:r>
        <w:rPr>
          <w:rFonts w:hint="eastAsia" w:ascii="仿宋_GB2312" w:eastAsia="仿宋_GB2312" w:cs="Times New Roman"/>
          <w:kern w:val="0"/>
          <w:sz w:val="32"/>
          <w:szCs w:val="32"/>
          <w:lang w:val="zh-CN"/>
        </w:rPr>
        <w:t>（</w:t>
      </w:r>
      <w:r>
        <w:rPr>
          <w:rFonts w:hint="eastAsia" w:ascii="仿宋_GB2312" w:hAnsi="Times New Roman" w:eastAsia="仿宋_GB2312" w:cs="Times New Roman"/>
          <w:kern w:val="0"/>
          <w:sz w:val="32"/>
          <w:szCs w:val="32"/>
          <w:lang w:val="zh-CN"/>
        </w:rPr>
        <w:t>攀发改投资</w:t>
      </w:r>
      <w:r>
        <w:rPr>
          <w:rFonts w:hint="eastAsia" w:eastAsia="仿宋_GB2312" w:cs="仿宋_GB2312"/>
          <w:color w:val="auto"/>
          <w:kern w:val="0"/>
          <w:sz w:val="32"/>
          <w:szCs w:val="32"/>
          <w:lang w:val="zh-CN"/>
        </w:rPr>
        <w:t>〔2024〕2</w:t>
      </w:r>
      <w:r>
        <w:rPr>
          <w:rFonts w:hint="eastAsia" w:ascii="仿宋_GB2312" w:hAnsi="Times New Roman" w:eastAsia="仿宋_GB2312" w:cs="Times New Roman"/>
          <w:kern w:val="0"/>
          <w:sz w:val="32"/>
          <w:szCs w:val="32"/>
          <w:lang w:val="zh-CN"/>
        </w:rPr>
        <w:t>号</w:t>
      </w:r>
      <w:r>
        <w:rPr>
          <w:rFonts w:hint="eastAsia" w:ascii="仿宋_GB2312" w:eastAsia="仿宋_GB2312" w:cs="Times New Roman"/>
          <w:kern w:val="0"/>
          <w:sz w:val="32"/>
          <w:szCs w:val="32"/>
          <w:lang w:val="zh-CN"/>
        </w:rPr>
        <w:t>）</w:t>
      </w:r>
      <w:r>
        <w:rPr>
          <w:rFonts w:hint="eastAsia" w:ascii="仿宋_GB2312" w:hAnsi="Times New Roman" w:eastAsia="仿宋_GB2312" w:cs="Times New Roman"/>
          <w:kern w:val="0"/>
          <w:sz w:val="32"/>
          <w:szCs w:val="32"/>
          <w:lang w:val="zh-CN"/>
        </w:rPr>
        <w:t>，四川省财政厅关于下达增发</w:t>
      </w:r>
      <w:r>
        <w:rPr>
          <w:rFonts w:hint="eastAsia" w:eastAsia="仿宋_GB2312" w:cs="仿宋_GB2312"/>
          <w:color w:val="auto"/>
          <w:kern w:val="0"/>
          <w:sz w:val="32"/>
          <w:szCs w:val="32"/>
          <w:lang w:val="zh-CN"/>
        </w:rPr>
        <w:t>2023</w:t>
      </w:r>
      <w:r>
        <w:rPr>
          <w:rFonts w:hint="eastAsia" w:ascii="仿宋_GB2312" w:hAnsi="Times New Roman" w:eastAsia="仿宋_GB2312" w:cs="Times New Roman"/>
          <w:kern w:val="0"/>
          <w:sz w:val="32"/>
          <w:szCs w:val="32"/>
          <w:lang w:val="zh-CN"/>
        </w:rPr>
        <w:t>年国债城市排水防涝能力提升补助资金预算的通知(川财建</w:t>
      </w:r>
      <w:r>
        <w:rPr>
          <w:rFonts w:hint="eastAsia" w:eastAsia="仿宋_GB2312" w:cs="仿宋_GB2312"/>
          <w:color w:val="auto"/>
          <w:kern w:val="0"/>
          <w:sz w:val="32"/>
          <w:szCs w:val="32"/>
          <w:lang w:val="zh-CN"/>
        </w:rPr>
        <w:t>〔2024)5</w:t>
      </w:r>
      <w:r>
        <w:rPr>
          <w:rFonts w:hint="eastAsia" w:ascii="仿宋_GB2312" w:hAnsi="Times New Roman" w:eastAsia="仿宋_GB2312" w:cs="Times New Roman"/>
          <w:kern w:val="0"/>
          <w:sz w:val="32"/>
          <w:szCs w:val="32"/>
          <w:lang w:val="zh-CN"/>
        </w:rPr>
        <w:t>号)</w:t>
      </w:r>
      <w:r>
        <w:rPr>
          <w:rFonts w:hint="eastAsia" w:eastAsia="仿宋_GB2312" w:cs="仿宋_GB2312"/>
          <w:color w:val="auto"/>
          <w:kern w:val="0"/>
          <w:sz w:val="32"/>
          <w:szCs w:val="32"/>
          <w:lang w:val="zh-CN"/>
        </w:rPr>
        <w:t>。</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项目主要内容：针对城市主干道排水防涝设施功能提升改造</w:t>
      </w:r>
      <w:r>
        <w:rPr>
          <w:rFonts w:hint="eastAsia" w:ascii="仿宋_GB2312" w:eastAsia="仿宋_GB2312" w:cs="Times New Roman"/>
          <w:kern w:val="0"/>
          <w:sz w:val="32"/>
          <w:szCs w:val="32"/>
          <w:lang w:val="zh-CN"/>
        </w:rPr>
        <w:t>，</w:t>
      </w:r>
      <w:r>
        <w:rPr>
          <w:rFonts w:hint="eastAsia" w:ascii="仿宋_GB2312" w:hAnsi="Times New Roman" w:eastAsia="仿宋_GB2312" w:cs="Times New Roman"/>
          <w:kern w:val="0"/>
          <w:sz w:val="32"/>
          <w:szCs w:val="32"/>
          <w:lang w:val="zh-CN"/>
        </w:rPr>
        <w:t>包括主干道易涝点排洪涵提升改造、主干道易涝点管网提升改造、主干道易涝点地下通道提升改造、主干道桥梁基础安全隐患整治。主要包括涵洞</w:t>
      </w:r>
      <w:r>
        <w:rPr>
          <w:rFonts w:hint="eastAsia" w:eastAsia="仿宋_GB2312" w:cs="仿宋_GB2312"/>
          <w:color w:val="auto"/>
          <w:kern w:val="0"/>
          <w:sz w:val="32"/>
          <w:szCs w:val="32"/>
          <w:lang w:val="zh-CN"/>
        </w:rPr>
        <w:t>265m</w:t>
      </w:r>
      <w:r>
        <w:rPr>
          <w:rFonts w:hint="eastAsia" w:ascii="仿宋_GB2312" w:hAnsi="Times New Roman" w:eastAsia="仿宋_GB2312" w:cs="Times New Roman"/>
          <w:kern w:val="0"/>
          <w:sz w:val="32"/>
          <w:szCs w:val="32"/>
          <w:lang w:val="zh-CN"/>
        </w:rPr>
        <w:t>安装排水管道9</w:t>
      </w:r>
      <w:r>
        <w:rPr>
          <w:rFonts w:hint="eastAsia" w:eastAsia="仿宋_GB2312" w:cs="仿宋_GB2312"/>
          <w:color w:val="auto"/>
          <w:kern w:val="0"/>
          <w:sz w:val="32"/>
          <w:szCs w:val="32"/>
          <w:lang w:val="zh-CN"/>
        </w:rPr>
        <w:t>000m、</w:t>
      </w:r>
      <w:r>
        <w:rPr>
          <w:rFonts w:hint="eastAsia" w:ascii="仿宋_GB2312" w:hAnsi="Times New Roman" w:eastAsia="仿宋_GB2312" w:cs="Times New Roman"/>
          <w:kern w:val="0"/>
          <w:sz w:val="32"/>
          <w:szCs w:val="32"/>
          <w:lang w:val="zh-CN"/>
        </w:rPr>
        <w:t>雨水口安装</w:t>
      </w:r>
      <w:r>
        <w:rPr>
          <w:rFonts w:hint="eastAsia" w:eastAsia="仿宋_GB2312" w:cs="仿宋_GB2312"/>
          <w:color w:val="auto"/>
          <w:kern w:val="0"/>
          <w:sz w:val="32"/>
          <w:szCs w:val="32"/>
          <w:lang w:val="zh-CN"/>
        </w:rPr>
        <w:t>480</w:t>
      </w:r>
      <w:r>
        <w:rPr>
          <w:rFonts w:hint="eastAsia" w:ascii="仿宋_GB2312" w:hAnsi="Times New Roman" w:eastAsia="仿宋_GB2312" w:cs="Times New Roman"/>
          <w:kern w:val="0"/>
          <w:sz w:val="32"/>
          <w:szCs w:val="32"/>
          <w:lang w:val="zh-CN"/>
        </w:rPr>
        <w:t>组、检查井</w:t>
      </w:r>
      <w:r>
        <w:rPr>
          <w:rFonts w:hint="eastAsia" w:eastAsia="仿宋_GB2312" w:cs="仿宋_GB2312"/>
          <w:color w:val="auto"/>
          <w:kern w:val="0"/>
          <w:sz w:val="32"/>
          <w:szCs w:val="32"/>
          <w:lang w:val="zh-CN"/>
        </w:rPr>
        <w:t>310</w:t>
      </w:r>
      <w:r>
        <w:rPr>
          <w:rFonts w:hint="eastAsia" w:ascii="仿宋_GB2312" w:hAnsi="Times New Roman" w:eastAsia="仿宋_GB2312" w:cs="Times New Roman"/>
          <w:kern w:val="0"/>
          <w:sz w:val="32"/>
          <w:szCs w:val="32"/>
          <w:lang w:val="zh-CN"/>
        </w:rPr>
        <w:t>座、砼包管</w:t>
      </w:r>
      <w:r>
        <w:rPr>
          <w:rFonts w:hint="eastAsia" w:eastAsia="仿宋_GB2312" w:cs="仿宋_GB2312"/>
          <w:color w:val="auto"/>
          <w:kern w:val="0"/>
          <w:sz w:val="32"/>
          <w:szCs w:val="32"/>
          <w:lang w:val="zh-CN"/>
        </w:rPr>
        <w:t>17000m</w:t>
      </w:r>
      <w:r>
        <w:rPr>
          <w:rFonts w:hint="eastAsia" w:eastAsia="仿宋_GB2312" w:cs="仿宋_GB2312"/>
          <w:color w:val="auto"/>
          <w:kern w:val="0"/>
          <w:sz w:val="32"/>
          <w:szCs w:val="32"/>
          <w:vertAlign w:val="superscript"/>
          <w:lang w:val="zh-CN"/>
        </w:rPr>
        <w:t>3</w:t>
      </w:r>
      <w:r>
        <w:rPr>
          <w:rFonts w:hint="eastAsia" w:ascii="仿宋_GB2312" w:eastAsia="仿宋_GB2312"/>
          <w:color w:val="auto"/>
          <w:kern w:val="0"/>
          <w:sz w:val="32"/>
          <w:szCs w:val="32"/>
          <w:lang w:val="zh-CN"/>
        </w:rPr>
        <w:t>、砼盖板</w:t>
      </w:r>
      <w:r>
        <w:rPr>
          <w:rFonts w:hint="eastAsia" w:eastAsia="仿宋_GB2312" w:cs="仿宋_GB2312"/>
          <w:color w:val="auto"/>
          <w:kern w:val="0"/>
          <w:sz w:val="32"/>
          <w:szCs w:val="32"/>
          <w:lang w:val="zh-CN"/>
        </w:rPr>
        <w:t>1088m</w:t>
      </w:r>
      <w:r>
        <w:rPr>
          <w:rFonts w:hint="eastAsia" w:eastAsia="仿宋_GB2312" w:cs="仿宋_GB2312"/>
          <w:color w:val="auto"/>
          <w:kern w:val="0"/>
          <w:sz w:val="32"/>
          <w:szCs w:val="32"/>
          <w:vertAlign w:val="superscript"/>
          <w:lang w:val="zh-CN"/>
        </w:rPr>
        <w:t>3</w:t>
      </w:r>
      <w:r>
        <w:rPr>
          <w:rFonts w:hint="eastAsia" w:ascii="仿宋_GB2312" w:eastAsia="仿宋_GB2312"/>
          <w:color w:val="auto"/>
          <w:kern w:val="0"/>
          <w:sz w:val="32"/>
          <w:szCs w:val="32"/>
          <w:lang w:val="zh-CN"/>
        </w:rPr>
        <w:t>、片石砼浇筑</w:t>
      </w:r>
      <w:r>
        <w:rPr>
          <w:rFonts w:hint="eastAsia" w:eastAsia="仿宋_GB2312" w:cs="仿宋_GB2312"/>
          <w:color w:val="auto"/>
          <w:kern w:val="0"/>
          <w:sz w:val="32"/>
          <w:szCs w:val="32"/>
          <w:lang w:val="zh-CN"/>
        </w:rPr>
        <w:t>1400m</w:t>
      </w:r>
      <w:r>
        <w:rPr>
          <w:rFonts w:hint="eastAsia" w:eastAsia="仿宋_GB2312" w:cs="仿宋_GB2312"/>
          <w:color w:val="auto"/>
          <w:kern w:val="0"/>
          <w:sz w:val="32"/>
          <w:szCs w:val="32"/>
          <w:vertAlign w:val="superscript"/>
          <w:lang w:val="zh-CN"/>
        </w:rPr>
        <w:t>3</w:t>
      </w:r>
      <w:r>
        <w:rPr>
          <w:rFonts w:hint="eastAsia" w:ascii="仿宋_GB2312" w:eastAsia="仿宋_GB2312"/>
          <w:color w:val="auto"/>
          <w:kern w:val="0"/>
          <w:sz w:val="32"/>
          <w:szCs w:val="32"/>
          <w:lang w:val="zh-CN"/>
        </w:rPr>
        <w:t>、钢结构雨棚</w:t>
      </w:r>
      <w:r>
        <w:rPr>
          <w:rFonts w:hint="eastAsia" w:eastAsia="仿宋_GB2312" w:cs="仿宋_GB2312"/>
          <w:color w:val="auto"/>
          <w:kern w:val="0"/>
          <w:sz w:val="32"/>
          <w:szCs w:val="32"/>
          <w:lang w:val="zh-CN"/>
        </w:rPr>
        <w:t>1680m</w:t>
      </w:r>
      <w:r>
        <w:rPr>
          <w:rFonts w:hint="eastAsia" w:ascii="宋体" w:hAnsi="宋体" w:cs="宋体"/>
          <w:color w:val="auto"/>
          <w:kern w:val="0"/>
          <w:sz w:val="32"/>
          <w:szCs w:val="32"/>
          <w:lang w:val="zh-CN"/>
        </w:rPr>
        <w:t>²</w:t>
      </w:r>
      <w:r>
        <w:rPr>
          <w:rFonts w:hint="eastAsia" w:ascii="仿宋" w:hAnsi="仿宋" w:eastAsia="仿宋" w:cs="仿宋"/>
          <w:color w:val="auto"/>
          <w:kern w:val="0"/>
          <w:sz w:val="32"/>
          <w:szCs w:val="32"/>
          <w:lang w:val="zh-CN"/>
        </w:rPr>
        <w:t>、</w:t>
      </w:r>
      <w:r>
        <w:rPr>
          <w:rFonts w:hint="eastAsia" w:ascii="仿宋_GB2312" w:hAnsi="Times New Roman" w:eastAsia="仿宋_GB2312" w:cs="Times New Roman"/>
          <w:kern w:val="0"/>
          <w:sz w:val="32"/>
          <w:szCs w:val="32"/>
          <w:lang w:val="zh-CN"/>
        </w:rPr>
        <w:t>钢筋砼支护桩相关基础设施等。</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主管部门职能：攀枝花市市政公用设施服务中心为项目业主，具体职能为组织项目实施，控制项目进度、安全、造价等，确保项目按合同约定内容完工，资金合理使用。</w:t>
      </w:r>
    </w:p>
    <w:p>
      <w:pPr>
        <w:keepNext w:val="0"/>
        <w:keepLines w:val="0"/>
        <w:pageBreakBefore w:val="0"/>
        <w:kinsoku/>
        <w:wordWrap/>
        <w:overflowPunct/>
        <w:topLinePunct w:val="0"/>
        <w:bidi w:val="0"/>
        <w:adjustRightInd w:val="0"/>
        <w:snapToGrid w:val="0"/>
        <w:spacing w:line="578" w:lineRule="exact"/>
        <w:ind w:firstLine="720"/>
        <w:jc w:val="both"/>
        <w:textAlignment w:val="auto"/>
        <w:rPr>
          <w:rFonts w:hint="eastAsia" w:eastAsia="仿宋_GB2312" w:cs="仿宋_GB2312"/>
          <w:kern w:val="0"/>
          <w:sz w:val="32"/>
          <w:szCs w:val="32"/>
          <w:lang w:val="zh-CN"/>
        </w:rPr>
      </w:pPr>
      <w:r>
        <w:rPr>
          <w:rFonts w:hint="eastAsia" w:eastAsia="楷体_GB2312"/>
          <w:b/>
          <w:sz w:val="32"/>
          <w:szCs w:val="32"/>
          <w:lang w:eastAsia="zh-CN"/>
        </w:rPr>
        <w:t>（二）</w:t>
      </w:r>
      <w:r>
        <w:rPr>
          <w:rFonts w:eastAsia="楷体_GB2312"/>
          <w:b/>
          <w:sz w:val="32"/>
          <w:szCs w:val="32"/>
        </w:rPr>
        <w:t>实施目的及支持方向</w:t>
      </w:r>
      <w:r>
        <w:rPr>
          <w:rFonts w:hint="eastAsia" w:eastAsia="楷体_GB2312"/>
          <w:b/>
          <w:sz w:val="32"/>
          <w:szCs w:val="32"/>
        </w:rPr>
        <w:t>。</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rPr>
        <w:t>项目资金</w:t>
      </w:r>
      <w:r>
        <w:rPr>
          <w:rFonts w:hint="eastAsia" w:ascii="仿宋_GB2312" w:hAnsi="Times New Roman" w:eastAsia="仿宋_GB2312" w:cs="Times New Roman"/>
          <w:kern w:val="0"/>
          <w:sz w:val="32"/>
          <w:szCs w:val="32"/>
          <w:lang w:val="zh-CN"/>
        </w:rPr>
        <w:t>管理办法制定情况：专款专用。</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项目实施目的和主要工作任务：本项目建设后能够提升</w:t>
      </w:r>
    </w:p>
    <w:p>
      <w:pPr>
        <w:keepNext w:val="0"/>
        <w:keepLines w:val="0"/>
        <w:pageBreakBefore w:val="0"/>
        <w:kinsoku/>
        <w:wordWrap/>
        <w:overflowPunct/>
        <w:topLinePunct w:val="0"/>
        <w:bidi w:val="0"/>
        <w:spacing w:line="578" w:lineRule="exact"/>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城市主干道排水防涝系统功能，消除城市主干道内涝风险；提升城市主干道低洼防洪排涝水平，消除城市主干道易涝积水点；提升中心城区排水防涝能力，有效应对城市内涝防治标准内的降雨，内涝治理工作取得明显成效。因此，本项目的建设是必要的。</w:t>
      </w:r>
    </w:p>
    <w:p>
      <w:pPr>
        <w:keepNext w:val="0"/>
        <w:keepLines w:val="0"/>
        <w:pageBreakBefore w:val="0"/>
        <w:kinsoku/>
        <w:wordWrap/>
        <w:overflowPunct/>
        <w:topLinePunct w:val="0"/>
        <w:bidi w:val="0"/>
        <w:spacing w:line="578" w:lineRule="exact"/>
        <w:ind w:firstLine="640" w:firstLineChars="200"/>
        <w:jc w:val="both"/>
        <w:textAlignment w:val="auto"/>
        <w:rPr>
          <w:rFonts w:hint="eastAsia" w:eastAsia="仿宋_GB2312" w:cs="仿宋_GB2312"/>
          <w:kern w:val="0"/>
          <w:sz w:val="32"/>
          <w:szCs w:val="32"/>
          <w:lang w:val="zh-CN"/>
        </w:rPr>
      </w:pPr>
      <w:r>
        <w:rPr>
          <w:rFonts w:hint="eastAsia" w:ascii="仿宋_GB2312" w:hAnsi="Times New Roman" w:eastAsia="仿宋_GB2312" w:cs="Times New Roman"/>
          <w:kern w:val="0"/>
          <w:sz w:val="32"/>
          <w:szCs w:val="32"/>
          <w:lang w:val="zh-CN"/>
        </w:rPr>
        <w:t>项目支持方向：排水防涝。</w:t>
      </w:r>
    </w:p>
    <w:p>
      <w:pPr>
        <w:keepNext w:val="0"/>
        <w:keepLines w:val="0"/>
        <w:pageBreakBefore w:val="0"/>
        <w:kinsoku/>
        <w:wordWrap/>
        <w:overflowPunct/>
        <w:topLinePunct w:val="0"/>
        <w:bidi w:val="0"/>
        <w:adjustRightInd w:val="0"/>
        <w:snapToGrid w:val="0"/>
        <w:spacing w:line="578" w:lineRule="exact"/>
        <w:ind w:firstLine="642" w:firstLineChars="200"/>
        <w:jc w:val="both"/>
        <w:textAlignment w:val="auto"/>
        <w:rPr>
          <w:rFonts w:eastAsia="仿宋_GB2312" w:cs="仿宋_GB2312"/>
          <w:kern w:val="0"/>
          <w:sz w:val="32"/>
          <w:szCs w:val="32"/>
          <w:lang w:val="zh-CN"/>
        </w:rPr>
      </w:pPr>
      <w:r>
        <w:rPr>
          <w:rFonts w:eastAsia="楷体_GB2312"/>
          <w:b/>
          <w:sz w:val="32"/>
          <w:szCs w:val="32"/>
        </w:rPr>
        <w:t>预算安排及分配管理</w:t>
      </w:r>
      <w:r>
        <w:rPr>
          <w:rFonts w:hint="eastAsia" w:eastAsia="楷体_GB2312"/>
          <w:b/>
          <w:sz w:val="32"/>
          <w:szCs w:val="32"/>
          <w:lang w:val="zh-CN"/>
        </w:rPr>
        <w:t>。</w:t>
      </w:r>
      <w:r>
        <w:rPr>
          <w:rFonts w:hint="eastAsia" w:ascii="仿宋_GB2312" w:hAnsi="Times New Roman" w:eastAsia="仿宋_GB2312" w:cs="Times New Roman"/>
          <w:kern w:val="0"/>
          <w:sz w:val="32"/>
          <w:szCs w:val="32"/>
          <w:lang w:val="zh-CN"/>
        </w:rPr>
        <w:t>项目预算安排情况，项目资金分配原则及考虑因素，项目资金分配情况。</w:t>
      </w:r>
    </w:p>
    <w:p>
      <w:pPr>
        <w:keepNext w:val="0"/>
        <w:keepLines w:val="0"/>
        <w:pageBreakBefore w:val="0"/>
        <w:kinsoku/>
        <w:wordWrap/>
        <w:overflowPunct/>
        <w:topLinePunct w:val="0"/>
        <w:bidi w:val="0"/>
        <w:spacing w:line="578" w:lineRule="exact"/>
        <w:ind w:firstLine="640" w:firstLineChars="200"/>
        <w:jc w:val="both"/>
        <w:textAlignment w:val="auto"/>
        <w:rPr>
          <w:rFonts w:eastAsia="仿宋_GB2312" w:cs="仿宋_GB2312"/>
          <w:color w:val="auto"/>
          <w:kern w:val="0"/>
          <w:sz w:val="32"/>
          <w:szCs w:val="32"/>
          <w:lang w:val="zh-CN"/>
        </w:rPr>
      </w:pPr>
      <w:r>
        <w:rPr>
          <w:rFonts w:hint="eastAsia" w:ascii="仿宋_GB2312" w:hAnsi="Times New Roman" w:eastAsia="仿宋_GB2312" w:cs="Times New Roman"/>
          <w:kern w:val="0"/>
          <w:sz w:val="32"/>
          <w:szCs w:val="32"/>
          <w:lang w:val="zh-CN"/>
        </w:rPr>
        <w:t>依据施工方案，根据《四川省建设工程工程量清单计价定额》及相关文件规定编制工程预算，工程预算经过攀枝花市投资评审中心评审。本项目估算总投资</w:t>
      </w:r>
      <w:r>
        <w:rPr>
          <w:rFonts w:hint="eastAsia" w:ascii="Times New Roman" w:hAnsi="Times New Roman" w:eastAsia="仿宋_GB2312" w:cs="仿宋_GB2312"/>
          <w:color w:val="auto"/>
          <w:kern w:val="0"/>
          <w:sz w:val="32"/>
          <w:szCs w:val="32"/>
          <w:lang w:val="zh-CN"/>
        </w:rPr>
        <w:t>7216.28</w:t>
      </w:r>
      <w:r>
        <w:rPr>
          <w:rFonts w:hint="eastAsia" w:ascii="仿宋_GB2312" w:hAnsi="黑体" w:eastAsia="仿宋_GB2312"/>
          <w:color w:val="auto"/>
          <w:sz w:val="32"/>
          <w:szCs w:val="32"/>
        </w:rPr>
        <w:t>万</w:t>
      </w:r>
      <w:r>
        <w:rPr>
          <w:rFonts w:hint="eastAsia" w:ascii="仿宋_GB2312" w:hAnsi="Times New Roman" w:eastAsia="仿宋_GB2312" w:cs="Times New Roman"/>
          <w:kern w:val="0"/>
          <w:sz w:val="32"/>
          <w:szCs w:val="32"/>
          <w:lang w:val="zh-CN"/>
        </w:rPr>
        <w:t>元，其中工程费用</w:t>
      </w:r>
      <w:r>
        <w:rPr>
          <w:rFonts w:hint="eastAsia" w:ascii="Times New Roman" w:hAnsi="Times New Roman" w:eastAsia="仿宋_GB2312" w:cs="仿宋_GB2312"/>
          <w:color w:val="auto"/>
          <w:kern w:val="0"/>
          <w:sz w:val="32"/>
          <w:szCs w:val="32"/>
          <w:lang w:val="zh-CN"/>
        </w:rPr>
        <w:t>5790.52</w:t>
      </w:r>
      <w:r>
        <w:rPr>
          <w:rFonts w:hint="eastAsia" w:ascii="仿宋_GB2312" w:hAnsi="Times New Roman" w:eastAsia="仿宋_GB2312" w:cs="Times New Roman"/>
          <w:kern w:val="0"/>
          <w:sz w:val="32"/>
          <w:szCs w:val="32"/>
          <w:lang w:val="zh-CN"/>
        </w:rPr>
        <w:t>万元，其他工程费用</w:t>
      </w:r>
      <w:r>
        <w:rPr>
          <w:rFonts w:hint="eastAsia" w:ascii="Times New Roman" w:hAnsi="Times New Roman" w:eastAsia="仿宋_GB2312" w:cs="仿宋_GB2312"/>
          <w:color w:val="auto"/>
          <w:kern w:val="0"/>
          <w:sz w:val="32"/>
          <w:szCs w:val="32"/>
          <w:lang w:val="zh-CN"/>
        </w:rPr>
        <w:t>769.73</w:t>
      </w:r>
      <w:r>
        <w:rPr>
          <w:rFonts w:hint="eastAsia" w:ascii="仿宋_GB2312" w:hAnsi="黑体" w:eastAsia="仿宋_GB2312"/>
          <w:color w:val="auto"/>
          <w:sz w:val="32"/>
          <w:szCs w:val="32"/>
        </w:rPr>
        <w:t xml:space="preserve"> 万元，</w:t>
      </w:r>
      <w:r>
        <w:rPr>
          <w:rFonts w:hint="eastAsia" w:ascii="仿宋_GB2312" w:hAnsi="Times New Roman" w:eastAsia="仿宋_GB2312" w:cs="Times New Roman"/>
          <w:kern w:val="0"/>
          <w:sz w:val="32"/>
          <w:szCs w:val="32"/>
          <w:lang w:val="zh-CN"/>
        </w:rPr>
        <w:t>基中本预备费</w:t>
      </w:r>
      <w:r>
        <w:rPr>
          <w:rFonts w:hint="eastAsia" w:ascii="仿宋_GB2312" w:hAnsi="黑体" w:eastAsia="仿宋_GB2312"/>
          <w:color w:val="auto"/>
          <w:sz w:val="32"/>
          <w:szCs w:val="32"/>
        </w:rPr>
        <w:t>用</w:t>
      </w:r>
      <w:r>
        <w:rPr>
          <w:rFonts w:hint="eastAsia" w:ascii="Times New Roman" w:hAnsi="Times New Roman" w:eastAsia="仿宋_GB2312" w:cs="仿宋_GB2312"/>
          <w:color w:val="auto"/>
          <w:kern w:val="0"/>
          <w:sz w:val="32"/>
          <w:szCs w:val="32"/>
          <w:lang w:val="zh-CN"/>
        </w:rPr>
        <w:t>656.03</w:t>
      </w:r>
      <w:r>
        <w:rPr>
          <w:rFonts w:hint="eastAsia" w:ascii="仿宋_GB2312" w:hAnsi="黑体" w:eastAsia="仿宋_GB2312"/>
          <w:color w:val="auto"/>
          <w:sz w:val="32"/>
          <w:szCs w:val="32"/>
        </w:rPr>
        <w:t>万元。资金来源为</w:t>
      </w:r>
      <w:r>
        <w:rPr>
          <w:rFonts w:hint="eastAsia" w:ascii="Times New Roman" w:hAnsi="Times New Roman" w:eastAsia="仿宋_GB2312" w:cs="仿宋_GB2312"/>
          <w:color w:val="auto"/>
          <w:kern w:val="0"/>
          <w:sz w:val="32"/>
          <w:szCs w:val="32"/>
          <w:lang w:val="zh-CN"/>
        </w:rPr>
        <w:t>2023</w:t>
      </w:r>
      <w:r>
        <w:rPr>
          <w:rFonts w:hint="eastAsia" w:ascii="仿宋_GB2312" w:hAnsi="黑体" w:eastAsia="仿宋_GB2312"/>
          <w:color w:val="auto"/>
          <w:sz w:val="32"/>
          <w:szCs w:val="32"/>
        </w:rPr>
        <w:t>年增发国债及市本级财政投入。</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eastAsia="仿宋_GB2312" w:cs="仿宋_GB2312"/>
          <w:kern w:val="0"/>
          <w:sz w:val="32"/>
          <w:szCs w:val="32"/>
          <w:lang w:val="zh-CN"/>
        </w:rPr>
      </w:pPr>
      <w:r>
        <w:rPr>
          <w:rFonts w:hint="eastAsia" w:eastAsia="楷体_GB2312"/>
          <w:b/>
          <w:sz w:val="32"/>
          <w:szCs w:val="32"/>
          <w:lang w:val="zh-CN"/>
        </w:rPr>
        <w:t>（三）项目绩效目标设置。</w:t>
      </w:r>
      <w:r>
        <w:rPr>
          <w:rFonts w:hint="eastAsia" w:ascii="仿宋_GB2312" w:hAnsi="Times New Roman" w:eastAsia="仿宋_GB2312" w:cs="Times New Roman"/>
          <w:kern w:val="0"/>
          <w:sz w:val="32"/>
          <w:szCs w:val="32"/>
          <w:lang w:val="zh-CN"/>
        </w:rPr>
        <w:t>项目整体、区域和具体绩效目标设置情况，项目自评工作开展情况。</w:t>
      </w:r>
    </w:p>
    <w:p>
      <w:pPr>
        <w:keepNext w:val="0"/>
        <w:keepLines w:val="0"/>
        <w:pageBreakBefore w:val="0"/>
        <w:widowControl w:val="0"/>
        <w:kinsoku/>
        <w:wordWrap/>
        <w:overflowPunct/>
        <w:topLinePunct w:val="0"/>
        <w:autoSpaceDE/>
        <w:autoSpaceDN/>
        <w:bidi w:val="0"/>
        <w:spacing w:line="578" w:lineRule="exact"/>
        <w:ind w:firstLine="640" w:firstLineChars="200"/>
        <w:jc w:val="both"/>
        <w:textAlignment w:val="auto"/>
        <w:rPr>
          <w:rFonts w:eastAsia="仿宋_GB2312" w:cs="仿宋_GB2312"/>
          <w:color w:val="auto"/>
          <w:kern w:val="0"/>
          <w:sz w:val="36"/>
          <w:szCs w:val="36"/>
          <w:lang w:val="zh-CN"/>
        </w:rPr>
      </w:pPr>
      <w:r>
        <w:rPr>
          <w:rFonts w:hint="eastAsia" w:ascii="仿宋_GB2312" w:hAnsi="Times New Roman" w:eastAsia="仿宋_GB2312" w:cs="Times New Roman"/>
          <w:kern w:val="0"/>
          <w:sz w:val="32"/>
          <w:szCs w:val="32"/>
          <w:lang w:val="zh-CN"/>
        </w:rPr>
        <w:t>（1）数量指标：排水管道安装</w:t>
      </w:r>
      <w:r>
        <w:rPr>
          <w:rFonts w:hint="eastAsia" w:ascii="Times New Roman" w:hAnsi="Times New Roman" w:eastAsia="仿宋_GB2312" w:cs="仿宋_GB2312"/>
          <w:color w:val="auto"/>
          <w:kern w:val="0"/>
          <w:sz w:val="32"/>
          <w:szCs w:val="32"/>
          <w:lang w:val="zh-CN"/>
        </w:rPr>
        <w:t>9000</w:t>
      </w:r>
      <w:r>
        <w:rPr>
          <w:rFonts w:hint="eastAsia" w:ascii="仿宋_GB2312" w:hAnsi="Times New Roman" w:eastAsia="仿宋_GB2312" w:cs="Times New Roman"/>
          <w:kern w:val="0"/>
          <w:sz w:val="32"/>
          <w:szCs w:val="32"/>
          <w:lang w:val="zh-CN"/>
        </w:rPr>
        <w:t>米；涵洞安装</w:t>
      </w:r>
      <w:r>
        <w:rPr>
          <w:rFonts w:hint="eastAsia" w:ascii="Times New Roman" w:hAnsi="Times New Roman" w:eastAsia="仿宋_GB2312" w:cs="仿宋_GB2312"/>
          <w:color w:val="auto"/>
          <w:kern w:val="0"/>
          <w:sz w:val="32"/>
          <w:szCs w:val="32"/>
          <w:lang w:val="zh-CN"/>
        </w:rPr>
        <w:t>265</w:t>
      </w:r>
      <w:r>
        <w:rPr>
          <w:rFonts w:hint="eastAsia" w:ascii="仿宋_GB2312" w:hAnsi="Times New Roman" w:eastAsia="仿宋_GB2312" w:cs="Times New Roman"/>
          <w:kern w:val="0"/>
          <w:sz w:val="32"/>
          <w:szCs w:val="32"/>
          <w:lang w:val="zh-CN"/>
        </w:rPr>
        <w:t>米，建设规模</w:t>
      </w:r>
      <w:r>
        <w:rPr>
          <w:rFonts w:hint="eastAsia" w:ascii="Times New Roman" w:hAnsi="Times New Roman" w:eastAsia="仿宋_GB2312" w:cs="仿宋_GB2312"/>
          <w:color w:val="auto"/>
          <w:kern w:val="0"/>
          <w:sz w:val="32"/>
          <w:szCs w:val="32"/>
          <w:lang w:val="zh-CN"/>
        </w:rPr>
        <w:t>1</w:t>
      </w:r>
      <w:r>
        <w:rPr>
          <w:rFonts w:hint="eastAsia" w:ascii="仿宋_GB2312" w:hAnsi="Times New Roman" w:eastAsia="仿宋_GB2312" w:cs="Times New Roman"/>
          <w:kern w:val="0"/>
          <w:sz w:val="32"/>
          <w:szCs w:val="32"/>
          <w:lang w:val="zh-CN"/>
        </w:rPr>
        <w:t>项。</w:t>
      </w:r>
    </w:p>
    <w:p>
      <w:pPr>
        <w:keepNext w:val="0"/>
        <w:keepLines w:val="0"/>
        <w:pageBreakBefore w:val="0"/>
        <w:widowControl w:val="0"/>
        <w:kinsoku/>
        <w:wordWrap/>
        <w:overflowPunct/>
        <w:topLinePunct w:val="0"/>
        <w:autoSpaceDE/>
        <w:autoSpaceDN/>
        <w:bidi w:val="0"/>
        <w:spacing w:line="578" w:lineRule="exact"/>
        <w:ind w:firstLine="640" w:firstLineChars="200"/>
        <w:jc w:val="both"/>
        <w:textAlignment w:val="auto"/>
        <w:rPr>
          <w:rFonts w:eastAsia="仿宋_GB2312" w:cs="仿宋_GB2312"/>
          <w:color w:val="auto"/>
          <w:kern w:val="0"/>
          <w:sz w:val="36"/>
          <w:szCs w:val="36"/>
          <w:lang w:val="zh-CN"/>
        </w:rPr>
      </w:pPr>
      <w:r>
        <w:rPr>
          <w:rFonts w:hint="eastAsia" w:ascii="仿宋_GB2312" w:hAnsi="Times New Roman" w:eastAsia="仿宋_GB2312" w:cs="Times New Roman"/>
          <w:kern w:val="0"/>
          <w:sz w:val="32"/>
          <w:szCs w:val="32"/>
          <w:lang w:val="zh-CN"/>
        </w:rPr>
        <w:t>（2）质量指标：工程质量满足国家规范要求。</w:t>
      </w:r>
    </w:p>
    <w:p>
      <w:pPr>
        <w:keepNext w:val="0"/>
        <w:keepLines w:val="0"/>
        <w:pageBreakBefore w:val="0"/>
        <w:widowControl w:val="0"/>
        <w:kinsoku/>
        <w:wordWrap/>
        <w:overflowPunct/>
        <w:topLinePunct w:val="0"/>
        <w:autoSpaceDE/>
        <w:autoSpaceDN/>
        <w:bidi w:val="0"/>
        <w:spacing w:line="578" w:lineRule="exact"/>
        <w:ind w:firstLine="640" w:firstLineChars="200"/>
        <w:jc w:val="both"/>
        <w:textAlignment w:val="auto"/>
        <w:rPr>
          <w:rFonts w:eastAsia="仿宋_GB2312" w:cs="仿宋_GB2312"/>
          <w:color w:val="auto"/>
          <w:kern w:val="0"/>
          <w:sz w:val="36"/>
          <w:szCs w:val="36"/>
          <w:lang w:val="zh-CN"/>
        </w:rPr>
      </w:pPr>
      <w:r>
        <w:rPr>
          <w:rFonts w:hint="eastAsia" w:ascii="仿宋_GB2312" w:hAnsi="Times New Roman" w:eastAsia="仿宋_GB2312" w:cs="Times New Roman"/>
          <w:kern w:val="0"/>
          <w:sz w:val="32"/>
          <w:szCs w:val="32"/>
          <w:lang w:val="zh-CN"/>
        </w:rPr>
        <w:t>（3）时效指标：工程建设期</w:t>
      </w:r>
      <w:r>
        <w:rPr>
          <w:rFonts w:hint="eastAsia" w:ascii="Times New Roman" w:hAnsi="Times New Roman" w:eastAsia="仿宋_GB2312" w:cs="仿宋_GB2312"/>
          <w:color w:val="auto"/>
          <w:kern w:val="0"/>
          <w:sz w:val="32"/>
          <w:szCs w:val="32"/>
          <w:lang w:val="zh-CN"/>
        </w:rPr>
        <w:t>2024</w:t>
      </w:r>
      <w:r>
        <w:rPr>
          <w:rFonts w:hint="eastAsia" w:ascii="仿宋_GB2312" w:hAnsi="Times New Roman" w:eastAsia="仿宋_GB2312" w:cs="Times New Roman"/>
          <w:kern w:val="0"/>
          <w:sz w:val="32"/>
          <w:szCs w:val="32"/>
          <w:lang w:val="zh-CN"/>
        </w:rPr>
        <w:t>年至</w:t>
      </w:r>
      <w:r>
        <w:rPr>
          <w:rFonts w:hint="eastAsia" w:ascii="Times New Roman" w:hAnsi="Times New Roman" w:eastAsia="仿宋_GB2312" w:cs="仿宋_GB2312"/>
          <w:color w:val="auto"/>
          <w:kern w:val="0"/>
          <w:sz w:val="32"/>
          <w:szCs w:val="32"/>
          <w:lang w:val="zh-CN"/>
        </w:rPr>
        <w:t>2025</w:t>
      </w:r>
      <w:r>
        <w:rPr>
          <w:rFonts w:hint="eastAsia" w:ascii="仿宋_GB2312" w:hAnsi="Times New Roman" w:eastAsia="仿宋_GB2312" w:cs="Times New Roman"/>
          <w:kern w:val="0"/>
          <w:sz w:val="32"/>
          <w:szCs w:val="32"/>
          <w:lang w:val="zh-CN"/>
        </w:rPr>
        <w:t>年。</w:t>
      </w:r>
    </w:p>
    <w:p>
      <w:pPr>
        <w:keepNext w:val="0"/>
        <w:keepLines w:val="0"/>
        <w:pageBreakBefore w:val="0"/>
        <w:widowControl w:val="0"/>
        <w:kinsoku/>
        <w:wordWrap/>
        <w:overflowPunct/>
        <w:topLinePunct w:val="0"/>
        <w:autoSpaceDE/>
        <w:autoSpaceDN/>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（4）经济效益指标：利于经济社会发展。</w:t>
      </w:r>
    </w:p>
    <w:p>
      <w:pPr>
        <w:keepNext w:val="0"/>
        <w:keepLines w:val="0"/>
        <w:pageBreakBefore w:val="0"/>
        <w:widowControl w:val="0"/>
        <w:kinsoku/>
        <w:wordWrap/>
        <w:overflowPunct/>
        <w:topLinePunct w:val="0"/>
        <w:autoSpaceDE/>
        <w:autoSpaceDN/>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（5）社会效益指标：城市排水防涝设施功能提升。</w:t>
      </w:r>
    </w:p>
    <w:p>
      <w:pPr>
        <w:keepNext w:val="0"/>
        <w:keepLines w:val="0"/>
        <w:pageBreakBefore w:val="0"/>
        <w:widowControl w:val="0"/>
        <w:kinsoku/>
        <w:wordWrap/>
        <w:overflowPunct/>
        <w:topLinePunct w:val="0"/>
        <w:autoSpaceDE/>
        <w:autoSpaceDN/>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（6）生态效益指标：保护水质。</w:t>
      </w:r>
    </w:p>
    <w:p>
      <w:pPr>
        <w:keepNext w:val="0"/>
        <w:keepLines w:val="0"/>
        <w:pageBreakBefore w:val="0"/>
        <w:widowControl w:val="0"/>
        <w:kinsoku/>
        <w:wordWrap/>
        <w:overflowPunct/>
        <w:topLinePunct w:val="0"/>
        <w:autoSpaceDE/>
        <w:autoSpaceDN/>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（7）可持续影响指标：人居环境改善。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eastAsia="仿宋_GB2312" w:cs="仿宋_GB2312"/>
          <w:color w:val="auto"/>
          <w:kern w:val="0"/>
          <w:sz w:val="36"/>
          <w:szCs w:val="36"/>
          <w:lang w:val="zh-CN"/>
        </w:rPr>
      </w:pPr>
      <w:r>
        <w:rPr>
          <w:rFonts w:hint="eastAsia" w:ascii="仿宋_GB2312" w:hAnsi="Times New Roman" w:eastAsia="仿宋_GB2312" w:cs="Times New Roman"/>
          <w:kern w:val="0"/>
          <w:sz w:val="32"/>
          <w:szCs w:val="32"/>
          <w:lang w:val="zh-CN"/>
        </w:rPr>
        <w:t>（8）服务对象满意度指标：市民满意度≥</w:t>
      </w:r>
      <w:r>
        <w:rPr>
          <w:rFonts w:hint="eastAsia" w:ascii="Times New Roman" w:hAnsi="Times New Roman" w:eastAsia="仿宋_GB2312" w:cs="仿宋_GB2312"/>
          <w:color w:val="auto"/>
          <w:kern w:val="0"/>
          <w:sz w:val="32"/>
          <w:szCs w:val="32"/>
          <w:lang w:val="zh-CN"/>
        </w:rPr>
        <w:t>95%</w:t>
      </w:r>
      <w:r>
        <w:rPr>
          <w:rFonts w:hint="eastAsia" w:eastAsia="仿宋_GB2312" w:cs="仿宋_GB2312"/>
          <w:color w:val="auto"/>
          <w:kern w:val="0"/>
          <w:sz w:val="36"/>
          <w:szCs w:val="36"/>
          <w:lang w:val="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eastAsia="仿宋_GB2312" w:cs="仿宋_GB2312"/>
          <w:color w:val="auto"/>
          <w:kern w:val="0"/>
          <w:sz w:val="36"/>
          <w:szCs w:val="36"/>
          <w:lang w:val="zh-CN"/>
        </w:rPr>
      </w:pPr>
      <w:r>
        <w:rPr>
          <w:rFonts w:hint="eastAsia" w:ascii="仿宋_GB2312" w:hAnsi="Times New Roman" w:eastAsia="仿宋_GB2312" w:cs="Times New Roman"/>
          <w:kern w:val="0"/>
          <w:sz w:val="32"/>
          <w:szCs w:val="32"/>
          <w:lang w:val="zh-CN"/>
        </w:rPr>
        <w:t>（9）经济成本指标：工程总投资</w:t>
      </w:r>
      <w:r>
        <w:rPr>
          <w:rFonts w:hint="eastAsia" w:ascii="Times New Roman" w:hAnsi="Times New Roman" w:eastAsia="仿宋_GB2312" w:cs="仿宋_GB2312"/>
          <w:color w:val="auto"/>
          <w:kern w:val="0"/>
          <w:sz w:val="32"/>
          <w:szCs w:val="32"/>
          <w:lang w:val="zh-CN"/>
        </w:rPr>
        <w:t>5987</w:t>
      </w:r>
      <w:r>
        <w:rPr>
          <w:rFonts w:hint="eastAsia" w:ascii="仿宋_GB2312" w:hAnsi="Times New Roman" w:eastAsia="仿宋_GB2312" w:cs="Times New Roman"/>
          <w:kern w:val="0"/>
          <w:sz w:val="32"/>
          <w:szCs w:val="32"/>
          <w:lang w:val="zh-CN"/>
        </w:rPr>
        <w:t>万元。</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项目自评工作开展情况：按照有关规定和工作安排，我单位开展自行评估，通过自行成立方式组建评估组，采取收集被评估项目相关基础资料，并查阅资料、收集数据信息等，深入现场，集中座谈论证分析后，形成绩效评估报告。从项目决策、项目管理、项目绩效三个方面开展了绩效评价。总体认为：项目实施完成的工程内容基本达到了预期目标。</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项目实施中合理安排工作计划，编制实施方案，无违反有关质量管理规定的行为，完成质量较高。截至评价时点的数量指标、质量指标、时效指标全面完成。通过采取技术方案优化、控制工程量等措施有效控制成本。项目自评得分：100分。项目实施完成后该路段照度指标达到规范要求，确保市了民安全通行，取得良好社会效益。</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具体评价工作步骤如下</w:t>
      </w:r>
      <w:r>
        <w:rPr>
          <w:rFonts w:hint="eastAsia" w:ascii="仿宋_GB2312" w:eastAsia="仿宋_GB2312" w:cs="Times New Roman"/>
          <w:kern w:val="0"/>
          <w:sz w:val="32"/>
          <w:szCs w:val="32"/>
          <w:lang w:val="zh-CN"/>
        </w:rPr>
        <w:t>。</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步骤一：准备评估</w:t>
      </w:r>
    </w:p>
    <w:p>
      <w:pPr>
        <w:keepNext w:val="0"/>
        <w:keepLines w:val="0"/>
        <w:pageBreakBefore w:val="0"/>
        <w:kinsoku/>
        <w:wordWrap/>
        <w:overflowPunct/>
        <w:topLinePunct w:val="0"/>
        <w:bidi w:val="0"/>
        <w:spacing w:line="578" w:lineRule="exact"/>
        <w:ind w:firstLine="640" w:firstLineChars="200"/>
        <w:jc w:val="both"/>
        <w:textAlignment w:val="auto"/>
        <w:rPr>
          <w:rFonts w:ascii="华文仿宋" w:hAnsi="华文仿宋" w:eastAsia="华文仿宋"/>
          <w:color w:val="auto"/>
          <w:kern w:val="0"/>
          <w:sz w:val="32"/>
          <w:szCs w:val="32"/>
        </w:rPr>
      </w:pPr>
      <w:r>
        <w:rPr>
          <w:rFonts w:hint="eastAsia" w:ascii="Times New Roman" w:hAnsi="Times New Roman" w:eastAsia="仿宋_GB2312" w:cs="仿宋_GB2312"/>
          <w:color w:val="auto"/>
          <w:kern w:val="0"/>
          <w:sz w:val="32"/>
          <w:szCs w:val="32"/>
          <w:lang w:val="zh-CN"/>
        </w:rPr>
        <w:t>1.</w:t>
      </w:r>
      <w:r>
        <w:rPr>
          <w:rFonts w:hint="eastAsia" w:ascii="仿宋_GB2312" w:hAnsi="Times New Roman" w:eastAsia="仿宋_GB2312" w:cs="Times New Roman"/>
          <w:kern w:val="0"/>
          <w:sz w:val="32"/>
          <w:szCs w:val="32"/>
          <w:lang w:val="zh-CN"/>
        </w:rPr>
        <w:t>明确评估目标和范围。</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Times New Roman" w:hAnsi="Times New Roman" w:eastAsia="仿宋_GB2312" w:cs="仿宋_GB2312"/>
          <w:color w:val="auto"/>
          <w:kern w:val="0"/>
          <w:sz w:val="32"/>
          <w:szCs w:val="32"/>
          <w:lang w:val="zh-CN"/>
        </w:rPr>
        <w:t>2.</w:t>
      </w:r>
      <w:r>
        <w:rPr>
          <w:rFonts w:hint="eastAsia" w:ascii="仿宋_GB2312" w:hAnsi="Times New Roman" w:eastAsia="仿宋_GB2312" w:cs="Times New Roman"/>
          <w:kern w:val="0"/>
          <w:sz w:val="32"/>
          <w:szCs w:val="32"/>
          <w:lang w:val="zh-CN"/>
        </w:rPr>
        <w:t>收集项目数据。</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步骤二：组织评估</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Times New Roman" w:hAnsi="Times New Roman" w:eastAsia="仿宋_GB2312" w:cs="仿宋_GB2312"/>
          <w:color w:val="auto"/>
          <w:kern w:val="0"/>
          <w:sz w:val="32"/>
          <w:szCs w:val="32"/>
          <w:lang w:val="zh-CN"/>
        </w:rPr>
        <w:t>1.</w:t>
      </w:r>
      <w:r>
        <w:rPr>
          <w:rFonts w:hint="eastAsia" w:ascii="仿宋_GB2312" w:hAnsi="Times New Roman" w:eastAsia="仿宋_GB2312" w:cs="Times New Roman"/>
          <w:kern w:val="0"/>
          <w:sz w:val="32"/>
          <w:szCs w:val="32"/>
          <w:lang w:val="zh-CN"/>
        </w:rPr>
        <w:t>进行数据分析和评估。</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Times New Roman" w:hAnsi="Times New Roman" w:eastAsia="仿宋_GB2312" w:cs="仿宋_GB2312"/>
          <w:color w:val="auto"/>
          <w:kern w:val="0"/>
          <w:sz w:val="32"/>
          <w:szCs w:val="32"/>
          <w:lang w:val="zh-CN"/>
        </w:rPr>
        <w:t>2.</w:t>
      </w:r>
      <w:r>
        <w:rPr>
          <w:rFonts w:hint="eastAsia" w:ascii="仿宋_GB2312" w:hAnsi="Times New Roman" w:eastAsia="仿宋_GB2312" w:cs="Times New Roman"/>
          <w:kern w:val="0"/>
          <w:sz w:val="32"/>
          <w:szCs w:val="32"/>
          <w:lang w:val="zh-CN"/>
        </w:rPr>
        <w:t>分析问题和提出下一步完善建议。</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步骤三：编制绩效自评报告。</w:t>
      </w:r>
    </w:p>
    <w:p>
      <w:pPr>
        <w:keepNext w:val="0"/>
        <w:keepLines w:val="0"/>
        <w:pageBreakBefore w:val="0"/>
        <w:kinsoku/>
        <w:wordWrap/>
        <w:overflowPunct/>
        <w:topLinePunct w:val="0"/>
        <w:bidi w:val="0"/>
        <w:adjustRightInd w:val="0"/>
        <w:snapToGrid w:val="0"/>
        <w:spacing w:line="578" w:lineRule="exact"/>
        <w:ind w:firstLine="640" w:firstLineChars="200"/>
        <w:jc w:val="both"/>
        <w:textAlignment w:val="auto"/>
        <w:rPr>
          <w:rFonts w:eastAsia="黑体"/>
          <w:sz w:val="32"/>
          <w:szCs w:val="32"/>
        </w:rPr>
      </w:pPr>
      <w:bookmarkStart w:id="164" w:name="_Toc92648141_WPSOffice_Level2"/>
      <w:bookmarkStart w:id="165" w:name="_Toc511847764_WPSOffice_Level2"/>
      <w:r>
        <w:rPr>
          <w:rFonts w:hint="eastAsia" w:eastAsia="黑体"/>
          <w:sz w:val="32"/>
          <w:szCs w:val="32"/>
        </w:rPr>
        <w:t>二、评价实施</w:t>
      </w:r>
      <w:bookmarkEnd w:id="164"/>
      <w:bookmarkEnd w:id="165"/>
    </w:p>
    <w:p>
      <w:pPr>
        <w:keepNext w:val="0"/>
        <w:keepLines w:val="0"/>
        <w:pageBreakBefore w:val="0"/>
        <w:kinsoku/>
        <w:wordWrap/>
        <w:overflowPunct/>
        <w:topLinePunct w:val="0"/>
        <w:bidi w:val="0"/>
        <w:spacing w:line="578" w:lineRule="exact"/>
        <w:ind w:firstLine="642" w:firstLineChars="200"/>
        <w:jc w:val="both"/>
        <w:textAlignment w:val="auto"/>
        <w:rPr>
          <w:rFonts w:hint="eastAsia" w:ascii="仿宋_GB2312" w:hAnsi="Times New Roman" w:eastAsia="仿宋_GB2312" w:cs="Times New Roman"/>
          <w:kern w:val="0"/>
          <w:sz w:val="32"/>
          <w:szCs w:val="32"/>
          <w:lang w:val="zh-CN"/>
        </w:rPr>
      </w:pPr>
      <w:r>
        <w:rPr>
          <w:rFonts w:hint="eastAsia" w:eastAsia="楷体_GB2312"/>
          <w:b/>
          <w:sz w:val="32"/>
          <w:szCs w:val="32"/>
          <w:lang w:val="zh-CN"/>
        </w:rPr>
        <w:t>（一）评价目的。</w:t>
      </w:r>
      <w:r>
        <w:rPr>
          <w:rFonts w:hint="eastAsia" w:ascii="仿宋_GB2312" w:hAnsi="Times New Roman" w:eastAsia="仿宋_GB2312" w:cs="Times New Roman"/>
          <w:kern w:val="0"/>
          <w:sz w:val="32"/>
          <w:szCs w:val="32"/>
          <w:lang w:val="zh-CN"/>
        </w:rPr>
        <w:t>通过项目绩效自评要实现的目的。</w:t>
      </w:r>
    </w:p>
    <w:p>
      <w:pPr>
        <w:keepNext w:val="0"/>
        <w:keepLines w:val="0"/>
        <w:pageBreakBefore w:val="0"/>
        <w:kinsoku/>
        <w:wordWrap/>
        <w:overflowPunct/>
        <w:topLinePunct w:val="0"/>
        <w:bidi w:val="0"/>
        <w:spacing w:line="578" w:lineRule="exact"/>
        <w:ind w:firstLine="640" w:firstLineChars="200"/>
        <w:jc w:val="both"/>
        <w:textAlignment w:val="auto"/>
        <w:rPr>
          <w:rFonts w:ascii="华文仿宋" w:hAnsi="华文仿宋" w:eastAsia="华文仿宋"/>
          <w:color w:val="auto"/>
          <w:kern w:val="0"/>
          <w:sz w:val="32"/>
          <w:szCs w:val="32"/>
          <w:lang w:val="zh-CN"/>
        </w:rPr>
      </w:pPr>
      <w:r>
        <w:rPr>
          <w:rFonts w:hint="eastAsia" w:ascii="仿宋_GB2312" w:hAnsi="Times New Roman" w:eastAsia="仿宋_GB2312" w:cs="Times New Roman"/>
          <w:kern w:val="0"/>
          <w:sz w:val="32"/>
          <w:szCs w:val="32"/>
          <w:lang w:val="zh-CN"/>
        </w:rPr>
        <w:t>通过项目绩效自评要实现的目的：绩效评价有助于识别项目中可能存在的风险，如技术难题、市场变化等，并制定相应的应对策略，减少这些风险对项目的影响，同时控制项目成本，避免浪费。保证项目成功实施，通过定量、直观地评价项目预算执行情况和项目进度偏差，确保项目能够按照预定的时间表和预算完成，保证项目的成功实施。</w:t>
      </w:r>
    </w:p>
    <w:p>
      <w:pPr>
        <w:keepNext w:val="0"/>
        <w:keepLines w:val="0"/>
        <w:pageBreakBefore w:val="0"/>
        <w:kinsoku/>
        <w:wordWrap/>
        <w:overflowPunct/>
        <w:topLinePunct w:val="0"/>
        <w:bidi w:val="0"/>
        <w:spacing w:line="578" w:lineRule="exact"/>
        <w:ind w:firstLine="642" w:firstLineChars="200"/>
        <w:jc w:val="both"/>
        <w:textAlignment w:val="auto"/>
        <w:rPr>
          <w:rFonts w:hint="eastAsia" w:ascii="仿宋_GB2312" w:hAnsi="Times New Roman" w:eastAsia="仿宋_GB2312" w:cs="Times New Roman"/>
          <w:kern w:val="0"/>
          <w:sz w:val="32"/>
          <w:szCs w:val="32"/>
          <w:lang w:val="zh-CN"/>
        </w:rPr>
      </w:pPr>
      <w:r>
        <w:rPr>
          <w:rFonts w:hint="eastAsia" w:eastAsia="楷体_GB2312"/>
          <w:b/>
          <w:sz w:val="32"/>
          <w:szCs w:val="32"/>
          <w:lang w:val="zh-CN"/>
        </w:rPr>
        <w:t>（二）预设问题及评价重点。</w:t>
      </w:r>
      <w:r>
        <w:rPr>
          <w:rFonts w:hint="eastAsia" w:ascii="仿宋_GB2312" w:hAnsi="Times New Roman" w:eastAsia="仿宋_GB2312" w:cs="Times New Roman"/>
          <w:kern w:val="0"/>
          <w:sz w:val="32"/>
          <w:szCs w:val="32"/>
          <w:lang w:val="zh-CN"/>
        </w:rPr>
        <w:t>按照绩效评价指标体系，对资金支出使用全过程及其实施效果进行综合评价和判断。</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资金支出使用全过程：由收款方填报《工程项目资金拨款申请表》——监理及时审核工程量和工程质量，中心生产科、计划科审核完成工程内容及工程质量→计划科审核是否按合同规定执行→财务人员审核会计资料是否完整→分管领导审核→分管财务领导审核→单位负责人审批签字（大额资金上中心党委会审批）。</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华文仿宋" w:hAnsi="华文仿宋" w:eastAsia="华文仿宋"/>
          <w:color w:val="auto"/>
          <w:kern w:val="0"/>
          <w:sz w:val="32"/>
          <w:szCs w:val="32"/>
          <w:lang w:val="zh-CN"/>
        </w:rPr>
        <w:t>2.</w:t>
      </w:r>
      <w:r>
        <w:rPr>
          <w:rFonts w:hint="eastAsia" w:ascii="仿宋_GB2312" w:hAnsi="Times New Roman" w:eastAsia="仿宋_GB2312" w:cs="Times New Roman"/>
          <w:kern w:val="0"/>
          <w:sz w:val="32"/>
          <w:szCs w:val="32"/>
          <w:lang w:val="zh-CN"/>
        </w:rPr>
        <w:t>由项目对应科室填写费用报销单</w:t>
      </w:r>
      <w:r>
        <w:rPr>
          <w:rFonts w:hint="eastAsia" w:ascii="仿宋_GB2312" w:eastAsia="仿宋_GB2312" w:cs="Times New Roman"/>
          <w:kern w:val="0"/>
          <w:sz w:val="32"/>
          <w:szCs w:val="32"/>
          <w:lang w:val="zh-CN"/>
        </w:rPr>
        <w:t>：</w:t>
      </w:r>
      <w:r>
        <w:rPr>
          <w:rFonts w:hint="eastAsia" w:ascii="仿宋_GB2312" w:hAnsi="Times New Roman" w:eastAsia="仿宋_GB2312" w:cs="Times New Roman"/>
          <w:kern w:val="0"/>
          <w:sz w:val="32"/>
          <w:szCs w:val="32"/>
          <w:lang w:val="zh-CN"/>
        </w:rPr>
        <w:t>报销人→科室（站所）</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负责人审核→分管领导审核→财务科负责人审核→分管财务领导审批→交出纳报销支付→财政部门审批通过的程序予以拨付。账务处理上设置了专项会计科目，会计核算清晰，相关附件完整。财务收支符合相关财经法规的规定。</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实施效果进行综合评价和判断：资金支付后保证项目顺利实施，达到了消除边坡安全隐患，改善道路通行环境，确保道路安全通行的年度目标</w:t>
      </w:r>
    </w:p>
    <w:p>
      <w:pPr>
        <w:keepNext w:val="0"/>
        <w:keepLines w:val="0"/>
        <w:pageBreakBefore w:val="0"/>
        <w:kinsoku/>
        <w:wordWrap/>
        <w:overflowPunct/>
        <w:topLinePunct w:val="0"/>
        <w:bidi w:val="0"/>
        <w:spacing w:line="578" w:lineRule="exact"/>
        <w:ind w:firstLine="642" w:firstLineChars="200"/>
        <w:jc w:val="both"/>
        <w:textAlignment w:val="auto"/>
        <w:rPr>
          <w:rFonts w:hint="eastAsia" w:ascii="仿宋_GB2312" w:hAnsi="Times New Roman" w:eastAsia="仿宋_GB2312" w:cs="Times New Roman"/>
          <w:kern w:val="0"/>
          <w:sz w:val="32"/>
          <w:szCs w:val="32"/>
          <w:lang w:val="zh-CN"/>
        </w:rPr>
      </w:pPr>
      <w:r>
        <w:rPr>
          <w:rFonts w:hint="eastAsia" w:eastAsia="楷体_GB2312"/>
          <w:b/>
          <w:sz w:val="32"/>
          <w:szCs w:val="32"/>
          <w:lang w:val="zh-CN"/>
        </w:rPr>
        <w:t>（三）评价选点。</w:t>
      </w:r>
      <w:r>
        <w:rPr>
          <w:rFonts w:hint="eastAsia" w:ascii="仿宋_GB2312" w:hAnsi="Times New Roman" w:eastAsia="仿宋_GB2312" w:cs="Times New Roman"/>
          <w:kern w:val="0"/>
          <w:sz w:val="32"/>
          <w:szCs w:val="32"/>
          <w:lang w:val="zh-CN"/>
        </w:rPr>
        <w:t>项目绩效自评所抽样点位情况。每个专项预算项目应选取专项资金分配涉及市县总数的20%、总计不超过20个的市县点位进行实地踏勘，且点位清单应作为自评附表。</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项目已完工，并进行了绩效自评。</w:t>
      </w:r>
    </w:p>
    <w:p>
      <w:pPr>
        <w:keepNext w:val="0"/>
        <w:keepLines w:val="0"/>
        <w:pageBreakBefore w:val="0"/>
        <w:kinsoku/>
        <w:wordWrap/>
        <w:overflowPunct/>
        <w:topLinePunct w:val="0"/>
        <w:bidi w:val="0"/>
        <w:spacing w:line="578" w:lineRule="exact"/>
        <w:ind w:firstLine="642" w:firstLineChars="200"/>
        <w:jc w:val="both"/>
        <w:textAlignment w:val="auto"/>
        <w:rPr>
          <w:rFonts w:eastAsia="仿宋_GB2312" w:cs="仿宋_GB2312"/>
          <w:kern w:val="0"/>
          <w:sz w:val="32"/>
          <w:szCs w:val="32"/>
          <w:lang w:val="zh-CN"/>
        </w:rPr>
      </w:pPr>
      <w:r>
        <w:rPr>
          <w:rFonts w:hint="eastAsia" w:eastAsia="楷体_GB2312"/>
          <w:b/>
          <w:sz w:val="32"/>
          <w:szCs w:val="32"/>
          <w:lang w:val="zh-CN"/>
        </w:rPr>
        <w:t>（四）评价方法。</w:t>
      </w:r>
      <w:r>
        <w:rPr>
          <w:rFonts w:hint="eastAsia" w:ascii="仿宋_GB2312" w:hAnsi="Times New Roman" w:eastAsia="仿宋_GB2312" w:cs="Times New Roman"/>
          <w:kern w:val="0"/>
          <w:sz w:val="32"/>
          <w:szCs w:val="32"/>
          <w:lang w:val="zh-CN"/>
        </w:rPr>
        <w:t>根据项目情况和评价重点，用来收集相关材料和开展具体评价的方法。包括：采用成本效益分析法、标杆管理法、案卷研究法、单位自评法、实地勘察法、问卷调查法、座谈调研法等多种方法。</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主要采用单位自评法、查阅研究法、实地勘察法、座谈调研分析后形成绩效评估报告。</w:t>
      </w:r>
    </w:p>
    <w:p>
      <w:pPr>
        <w:keepNext w:val="0"/>
        <w:keepLines w:val="0"/>
        <w:pageBreakBefore w:val="0"/>
        <w:kinsoku/>
        <w:wordWrap/>
        <w:overflowPunct/>
        <w:topLinePunct w:val="0"/>
        <w:bidi w:val="0"/>
        <w:spacing w:line="578" w:lineRule="exact"/>
        <w:ind w:firstLine="642" w:firstLineChars="200"/>
        <w:jc w:val="both"/>
        <w:textAlignment w:val="auto"/>
        <w:rPr>
          <w:rFonts w:hint="eastAsia" w:ascii="仿宋_GB2312" w:hAnsi="Times New Roman" w:eastAsia="仿宋_GB2312" w:cs="Times New Roman"/>
          <w:kern w:val="0"/>
          <w:sz w:val="32"/>
          <w:szCs w:val="32"/>
          <w:lang w:val="zh-CN"/>
        </w:rPr>
      </w:pPr>
      <w:r>
        <w:rPr>
          <w:rFonts w:hint="eastAsia" w:ascii="Times New Roman" w:hAnsi="Times New Roman" w:eastAsia="楷体_GB2312" w:cs="Times New Roman"/>
          <w:b/>
          <w:sz w:val="32"/>
          <w:szCs w:val="32"/>
          <w:lang w:val="zh-CN"/>
        </w:rPr>
        <w:t>（五）</w:t>
      </w:r>
      <w:r>
        <w:rPr>
          <w:rFonts w:hint="eastAsia" w:eastAsia="楷体_GB2312"/>
          <w:b/>
          <w:sz w:val="32"/>
          <w:szCs w:val="32"/>
          <w:lang w:val="zh-CN"/>
        </w:rPr>
        <w:t>评价组织。</w:t>
      </w:r>
      <w:r>
        <w:rPr>
          <w:rFonts w:hint="eastAsia" w:ascii="仿宋_GB2312" w:hAnsi="Times New Roman" w:eastAsia="仿宋_GB2312" w:cs="Times New Roman"/>
          <w:kern w:val="0"/>
          <w:sz w:val="32"/>
          <w:szCs w:val="32"/>
          <w:lang w:val="zh-CN"/>
        </w:rPr>
        <w:t>评价组人员构成和职责分工。</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评价组成员：分管项目领导、分管财务领导及财务科、生产科、计划科、质安科负责人。</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eastAsia="仿宋_GB2312" w:cs="Times New Roman"/>
          <w:kern w:val="0"/>
          <w:sz w:val="32"/>
          <w:szCs w:val="32"/>
          <w:lang w:val="en-US" w:eastAsia="zh-CN"/>
        </w:rPr>
        <w:t>1.</w:t>
      </w:r>
      <w:r>
        <w:rPr>
          <w:rFonts w:hint="eastAsia" w:ascii="仿宋_GB2312" w:hAnsi="Times New Roman" w:eastAsia="仿宋_GB2312" w:cs="Times New Roman"/>
          <w:kern w:val="0"/>
          <w:sz w:val="32"/>
          <w:szCs w:val="32"/>
          <w:lang w:val="zh-CN"/>
        </w:rPr>
        <w:t>评价组组长：负责全面主持工程绩效评价工作，组织讨论项目绩效评价结论，审阅评价报告，向单位报告绩效评价工作情况和报告内容。</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华文仿宋" w:hAnsi="华文仿宋" w:eastAsia="华文仿宋"/>
          <w:color w:val="auto"/>
          <w:kern w:val="0"/>
          <w:sz w:val="32"/>
          <w:szCs w:val="32"/>
          <w:lang w:val="zh-CN"/>
        </w:rPr>
        <w:t>2.</w:t>
      </w:r>
      <w:r>
        <w:rPr>
          <w:rFonts w:hint="eastAsia" w:ascii="仿宋_GB2312" w:hAnsi="Times New Roman" w:eastAsia="仿宋_GB2312" w:cs="Times New Roman"/>
          <w:kern w:val="0"/>
          <w:sz w:val="32"/>
          <w:szCs w:val="32"/>
          <w:lang w:val="zh-CN"/>
        </w:rPr>
        <w:t>绩效自评相关科室负责分管指标的确定和评价内容完成情况。</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财务科：做好资金管理及监督，资金使用审核及支付。</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计划科：编制绩效指标，对成本指标、资金使用、资金绩效结论等评价内容完成情况进行编制。</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生产科：编制项目方案、申报、组织项目实施，负责数量指标、时效指标及评价内容完成情况编制。</w:t>
      </w:r>
    </w:p>
    <w:p>
      <w:pPr>
        <w:keepNext w:val="0"/>
        <w:keepLines w:val="0"/>
        <w:pageBreakBefore w:val="0"/>
        <w:kinsoku/>
        <w:wordWrap/>
        <w:overflowPunct/>
        <w:topLinePunct w:val="0"/>
        <w:bidi w:val="0"/>
        <w:spacing w:line="578" w:lineRule="exact"/>
        <w:ind w:firstLine="640" w:firstLineChars="200"/>
        <w:jc w:val="both"/>
        <w:textAlignment w:val="auto"/>
        <w:rPr>
          <w:rFonts w:eastAsia="仿宋_GB2312" w:cs="仿宋_GB2312"/>
          <w:color w:val="auto"/>
          <w:kern w:val="0"/>
          <w:sz w:val="32"/>
          <w:szCs w:val="32"/>
          <w:lang w:val="zh-CN"/>
        </w:rPr>
      </w:pPr>
      <w:r>
        <w:rPr>
          <w:rFonts w:hint="eastAsia" w:ascii="仿宋_GB2312" w:hAnsi="Times New Roman" w:eastAsia="仿宋_GB2312" w:cs="Times New Roman"/>
          <w:kern w:val="0"/>
          <w:sz w:val="32"/>
          <w:szCs w:val="32"/>
          <w:lang w:val="zh-CN"/>
        </w:rPr>
        <w:t>质安科：负责质量指标及评价内容</w:t>
      </w:r>
      <w:bookmarkStart w:id="166" w:name="OLE_LINK8"/>
      <w:bookmarkStart w:id="167" w:name="OLE_LINK7"/>
      <w:r>
        <w:rPr>
          <w:rFonts w:hint="eastAsia" w:ascii="仿宋_GB2312" w:hAnsi="Times New Roman" w:eastAsia="仿宋_GB2312" w:cs="Times New Roman"/>
          <w:kern w:val="0"/>
          <w:sz w:val="32"/>
          <w:szCs w:val="32"/>
          <w:lang w:val="zh-CN"/>
        </w:rPr>
        <w:t>完成情况编制</w:t>
      </w:r>
      <w:bookmarkEnd w:id="166"/>
      <w:bookmarkEnd w:id="167"/>
      <w:r>
        <w:rPr>
          <w:rFonts w:hint="eastAsia" w:ascii="仿宋_GB2312" w:hAnsi="Times New Roman" w:eastAsia="仿宋_GB2312" w:cs="Times New Roman"/>
          <w:kern w:val="0"/>
          <w:sz w:val="32"/>
          <w:szCs w:val="32"/>
          <w:lang w:val="zh-CN"/>
        </w:rPr>
        <w:t>。</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bookmarkStart w:id="168" w:name="_Toc227427422_WPSOffice_Level2"/>
      <w:bookmarkStart w:id="169" w:name="_Toc659606608_WPSOffice_Level2"/>
      <w:r>
        <w:rPr>
          <w:rFonts w:hint="eastAsia" w:eastAsia="黑体"/>
          <w:sz w:val="32"/>
          <w:szCs w:val="32"/>
        </w:rPr>
        <w:t>三、绩效分析</w:t>
      </w:r>
      <w:bookmarkEnd w:id="168"/>
      <w:bookmarkEnd w:id="169"/>
      <w:r>
        <w:rPr>
          <w:rFonts w:hint="eastAsia"/>
          <w:sz w:val="32"/>
          <w:szCs w:val="32"/>
          <w:lang w:val="zh-CN"/>
        </w:rPr>
        <w:tab/>
      </w:r>
    </w:p>
    <w:p>
      <w:pPr>
        <w:keepNext w:val="0"/>
        <w:keepLines w:val="0"/>
        <w:pageBreakBefore w:val="0"/>
        <w:kinsoku/>
        <w:wordWrap/>
        <w:overflowPunct/>
        <w:topLinePunct w:val="0"/>
        <w:bidi w:val="0"/>
        <w:spacing w:line="578" w:lineRule="exact"/>
        <w:ind w:firstLine="640"/>
        <w:jc w:val="both"/>
        <w:textAlignment w:val="auto"/>
        <w:rPr>
          <w:rFonts w:eastAsia="楷体_GB2312"/>
          <w:b/>
          <w:sz w:val="32"/>
          <w:szCs w:val="32"/>
        </w:rPr>
      </w:pPr>
      <w:r>
        <w:rPr>
          <w:rFonts w:hint="eastAsia" w:eastAsia="楷体_GB2312"/>
          <w:b/>
          <w:sz w:val="32"/>
          <w:szCs w:val="32"/>
          <w:lang w:val="zh-CN"/>
        </w:rPr>
        <w:t>（一）</w:t>
      </w:r>
      <w:r>
        <w:rPr>
          <w:rFonts w:hint="eastAsia" w:eastAsia="楷体_GB2312"/>
          <w:b/>
          <w:sz w:val="32"/>
          <w:szCs w:val="32"/>
        </w:rPr>
        <w:t>通用指标</w:t>
      </w:r>
      <w:r>
        <w:rPr>
          <w:rFonts w:eastAsia="楷体_GB2312"/>
          <w:b/>
          <w:bCs/>
          <w:color w:val="000000"/>
          <w:kern w:val="0"/>
          <w:sz w:val="32"/>
          <w:szCs w:val="32"/>
          <w:shd w:val="clear" w:color="auto" w:fill="FFFFFF"/>
          <w:lang w:val="zh-CN"/>
        </w:rPr>
        <w:t>绩效分析。</w:t>
      </w:r>
    </w:p>
    <w:p>
      <w:pPr>
        <w:keepNext w:val="0"/>
        <w:keepLines w:val="0"/>
        <w:pageBreakBefore w:val="0"/>
        <w:kinsoku/>
        <w:wordWrap/>
        <w:overflowPunct/>
        <w:topLinePunct w:val="0"/>
        <w:bidi w:val="0"/>
        <w:spacing w:line="578" w:lineRule="exact"/>
        <w:ind w:firstLine="640"/>
        <w:jc w:val="both"/>
        <w:textAlignment w:val="auto"/>
        <w:rPr>
          <w:rFonts w:eastAsia="仿宋_GB2312" w:cs="仿宋_GB2312"/>
          <w:kern w:val="0"/>
          <w:sz w:val="32"/>
          <w:szCs w:val="32"/>
          <w:lang w:val="zh-CN"/>
        </w:rPr>
      </w:pPr>
      <w:r>
        <w:rPr>
          <w:rFonts w:hint="eastAsia" w:eastAsia="仿宋_GB2312" w:cs="仿宋_GB2312"/>
          <w:kern w:val="0"/>
          <w:sz w:val="32"/>
          <w:szCs w:val="32"/>
        </w:rPr>
        <w:t>1.</w:t>
      </w:r>
      <w:r>
        <w:rPr>
          <w:rFonts w:hint="eastAsia" w:ascii="仿宋_GB2312" w:hAnsi="Times New Roman" w:eastAsia="仿宋_GB2312" w:cs="Times New Roman"/>
          <w:kern w:val="0"/>
          <w:sz w:val="32"/>
          <w:szCs w:val="32"/>
          <w:lang w:val="zh-CN"/>
        </w:rPr>
        <w:t>项目决策。围绕决策程序、规划论证、资金投向进行绩效分析。</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针对城市主干道排水防涝设施功能提升改造</w:t>
      </w:r>
      <w:r>
        <w:rPr>
          <w:rFonts w:hint="eastAsia" w:ascii="仿宋_GB2312" w:eastAsia="仿宋_GB2312" w:cs="Times New Roman"/>
          <w:kern w:val="0"/>
          <w:sz w:val="32"/>
          <w:szCs w:val="32"/>
          <w:lang w:val="zh-CN"/>
        </w:rPr>
        <w:t>，</w:t>
      </w:r>
      <w:r>
        <w:rPr>
          <w:rFonts w:hint="eastAsia" w:ascii="仿宋_GB2312" w:hAnsi="Times New Roman" w:eastAsia="仿宋_GB2312" w:cs="Times New Roman"/>
          <w:kern w:val="0"/>
          <w:sz w:val="32"/>
          <w:szCs w:val="32"/>
          <w:lang w:val="zh-CN"/>
        </w:rPr>
        <w:t>包括主干道易涝点排洪涵提升改造、主干道易涝点管网提升改造、主干道易涝点地下通道提升改造、主干道桥梁基础安全隐患整治。按照政府投资项目管理规定上报实施项目请示，并经批准组织实施。财政下达该项目资金，做到专款专用。</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Times New Roman" w:hAnsi="Times New Roman" w:eastAsia="仿宋_GB2312" w:cs="仿宋_GB2312"/>
          <w:kern w:val="0"/>
          <w:sz w:val="32"/>
          <w:szCs w:val="32"/>
          <w:lang w:val="en-US" w:eastAsia="zh-CN"/>
        </w:rPr>
        <w:t>2.</w:t>
      </w:r>
      <w:r>
        <w:rPr>
          <w:rFonts w:hint="eastAsia" w:ascii="仿宋_GB2312" w:hAnsi="Times New Roman" w:eastAsia="仿宋_GB2312" w:cs="Times New Roman"/>
          <w:kern w:val="0"/>
          <w:sz w:val="32"/>
          <w:szCs w:val="32"/>
          <w:lang w:val="zh-CN"/>
        </w:rPr>
        <w:t>项目管理。围绕制度办法、分配管理、绩效监管进行绩效分析。</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督促代建、监理单位严格按照建设项目相关程序及规范实施本项目，并将绩效目标落实到项目管理过程中，定期检查数量指标、质量指标、进度完成情况等，控制项目绩效指标值，并通过造价过程管理、技术方案优化、控制工程量等措施有效控制成本，为完成绩效目标做好监督工作。</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eastAsia="仿宋_GB2312" w:cs="仿宋_GB2312"/>
          <w:kern w:val="0"/>
          <w:sz w:val="32"/>
          <w:szCs w:val="32"/>
        </w:rPr>
        <w:t>3.</w:t>
      </w:r>
      <w:r>
        <w:rPr>
          <w:rFonts w:hint="eastAsia" w:ascii="仿宋_GB2312" w:hAnsi="Times New Roman" w:eastAsia="仿宋_GB2312" w:cs="Times New Roman"/>
          <w:kern w:val="0"/>
          <w:sz w:val="32"/>
          <w:szCs w:val="32"/>
          <w:lang w:val="zh-CN"/>
        </w:rPr>
        <w:t>项目实施。围绕预算执行、资金使用进行绩效分析。</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bookmarkStart w:id="170" w:name="OLE_LINK18"/>
      <w:r>
        <w:rPr>
          <w:rFonts w:hint="eastAsia" w:ascii="仿宋_GB2312" w:hAnsi="Times New Roman" w:eastAsia="仿宋_GB2312" w:cs="Times New Roman"/>
          <w:kern w:val="0"/>
          <w:sz w:val="32"/>
          <w:szCs w:val="32"/>
          <w:lang w:val="zh-CN"/>
        </w:rPr>
        <w:t>截至评价时点的数量指标、质量指标、时效指标全面完成。</w:t>
      </w:r>
      <w:bookmarkEnd w:id="170"/>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eastAsia="仿宋_GB2312" w:cs="仿宋_GB2312"/>
          <w:kern w:val="0"/>
          <w:sz w:val="32"/>
          <w:szCs w:val="32"/>
        </w:rPr>
        <w:t>4.</w:t>
      </w:r>
      <w:r>
        <w:rPr>
          <w:rFonts w:hint="eastAsia" w:ascii="仿宋_GB2312" w:hAnsi="Times New Roman" w:eastAsia="仿宋_GB2312" w:cs="Times New Roman"/>
          <w:kern w:val="0"/>
          <w:sz w:val="32"/>
          <w:szCs w:val="32"/>
          <w:lang w:val="zh-CN"/>
        </w:rPr>
        <w:t>项目结果。围绕目标完成、完成时效进行绩效分析。</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本项目按合同约定时间于</w:t>
      </w:r>
      <w:r>
        <w:rPr>
          <w:rFonts w:hint="eastAsia" w:ascii="Times New Roman" w:hAnsi="Times New Roman" w:eastAsia="仿宋_GB2312" w:cs="仿宋_GB2312"/>
          <w:color w:val="auto"/>
          <w:kern w:val="0"/>
          <w:sz w:val="32"/>
          <w:szCs w:val="32"/>
          <w:lang w:val="zh-CN"/>
        </w:rPr>
        <w:t>2024</w:t>
      </w:r>
      <w:r>
        <w:rPr>
          <w:rFonts w:hint="eastAsia" w:ascii="仿宋_GB2312" w:hAnsi="Times New Roman" w:eastAsia="仿宋_GB2312" w:cs="Times New Roman"/>
          <w:kern w:val="0"/>
          <w:sz w:val="32"/>
          <w:szCs w:val="32"/>
          <w:lang w:val="zh-CN"/>
        </w:rPr>
        <w:t>年</w:t>
      </w:r>
      <w:r>
        <w:rPr>
          <w:rFonts w:hint="eastAsia" w:ascii="Times New Roman" w:hAnsi="Times New Roman" w:eastAsia="仿宋_GB2312" w:cs="仿宋_GB2312"/>
          <w:color w:val="auto"/>
          <w:kern w:val="0"/>
          <w:sz w:val="32"/>
          <w:szCs w:val="32"/>
          <w:lang w:val="zh-CN"/>
        </w:rPr>
        <w:t>11</w:t>
      </w:r>
      <w:r>
        <w:rPr>
          <w:rFonts w:hint="eastAsia" w:ascii="仿宋_GB2312" w:hAnsi="Times New Roman" w:eastAsia="仿宋_GB2312" w:cs="Times New Roman"/>
          <w:kern w:val="0"/>
          <w:sz w:val="32"/>
          <w:szCs w:val="32"/>
          <w:lang w:val="zh-CN"/>
        </w:rPr>
        <w:t>月完工，并验收合格。</w:t>
      </w:r>
    </w:p>
    <w:p>
      <w:pPr>
        <w:keepNext w:val="0"/>
        <w:keepLines w:val="0"/>
        <w:pageBreakBefore w:val="0"/>
        <w:kinsoku/>
        <w:wordWrap/>
        <w:overflowPunct/>
        <w:topLinePunct w:val="0"/>
        <w:bidi w:val="0"/>
        <w:spacing w:line="578" w:lineRule="exact"/>
        <w:ind w:firstLine="640"/>
        <w:jc w:val="both"/>
        <w:textAlignment w:val="auto"/>
        <w:rPr>
          <w:rFonts w:hint="eastAsia" w:ascii="仿宋_GB2312" w:hAnsi="Times New Roman" w:eastAsia="仿宋_GB2312" w:cs="Times New Roman"/>
          <w:kern w:val="0"/>
          <w:sz w:val="32"/>
          <w:szCs w:val="32"/>
          <w:lang w:val="zh-CN"/>
        </w:rPr>
      </w:pPr>
      <w:r>
        <w:rPr>
          <w:rFonts w:hint="eastAsia" w:eastAsia="楷体_GB2312"/>
          <w:b/>
          <w:sz w:val="32"/>
          <w:szCs w:val="32"/>
          <w:lang w:val="zh-CN"/>
        </w:rPr>
        <w:t>（二）</w:t>
      </w:r>
      <w:r>
        <w:rPr>
          <w:rFonts w:hint="eastAsia" w:eastAsia="楷体_GB2312"/>
          <w:b/>
          <w:sz w:val="32"/>
          <w:szCs w:val="32"/>
        </w:rPr>
        <w:t>专用指标</w:t>
      </w:r>
      <w:r>
        <w:rPr>
          <w:rFonts w:eastAsia="楷体_GB2312"/>
          <w:b/>
          <w:bCs/>
          <w:color w:val="000000"/>
          <w:kern w:val="0"/>
          <w:sz w:val="32"/>
          <w:szCs w:val="32"/>
          <w:shd w:val="clear" w:color="auto" w:fill="FFFFFF"/>
          <w:lang w:val="zh-CN"/>
        </w:rPr>
        <w:t>绩效分析。</w:t>
      </w:r>
      <w:r>
        <w:rPr>
          <w:rFonts w:hint="eastAsia" w:ascii="仿宋_GB2312" w:hAnsi="Times New Roman" w:eastAsia="仿宋_GB2312" w:cs="Times New Roman"/>
          <w:kern w:val="0"/>
          <w:sz w:val="32"/>
          <w:szCs w:val="32"/>
          <w:lang w:val="zh-CN"/>
        </w:rPr>
        <w:t>根据专项预算项目资金支持对象选择所属指标进行绩效分析。支持对象包括产业发展、民生保障、基础设施、行政运转等方面。</w:t>
      </w:r>
    </w:p>
    <w:p>
      <w:pPr>
        <w:keepNext w:val="0"/>
        <w:keepLines w:val="0"/>
        <w:pageBreakBefore w:val="0"/>
        <w:kinsoku/>
        <w:wordWrap/>
        <w:overflowPunct/>
        <w:topLinePunct w:val="0"/>
        <w:bidi w:val="0"/>
        <w:spacing w:line="578" w:lineRule="exact"/>
        <w:ind w:firstLine="640"/>
        <w:jc w:val="both"/>
        <w:textAlignment w:val="auto"/>
        <w:rPr>
          <w:rFonts w:hint="eastAsia" w:ascii="仿宋_GB2312" w:hAnsi="Times New Roman" w:eastAsia="仿宋_GB2312" w:cs="Times New Roman"/>
          <w:kern w:val="0"/>
          <w:sz w:val="32"/>
          <w:szCs w:val="32"/>
          <w:lang w:val="zh-CN"/>
        </w:rPr>
      </w:pPr>
      <w:r>
        <w:rPr>
          <w:rFonts w:hint="eastAsia" w:ascii="Times New Roman" w:hAnsi="Times New Roman" w:eastAsia="仿宋_GB2312" w:cs="仿宋_GB2312"/>
          <w:color w:val="auto"/>
          <w:kern w:val="0"/>
          <w:sz w:val="32"/>
          <w:szCs w:val="32"/>
          <w:lang w:val="zh-CN"/>
        </w:rPr>
        <w:t>1.</w:t>
      </w:r>
      <w:r>
        <w:rPr>
          <w:rFonts w:hint="eastAsia" w:ascii="仿宋_GB2312" w:hAnsi="Times New Roman" w:eastAsia="仿宋_GB2312" w:cs="Times New Roman"/>
          <w:kern w:val="0"/>
          <w:sz w:val="32"/>
          <w:szCs w:val="32"/>
          <w:lang w:val="zh-CN"/>
        </w:rPr>
        <w:t>产业发展。围绕符合性、成长性、经济性进行绩效分析。</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Times New Roman" w:hAnsi="Times New Roman" w:eastAsia="仿宋_GB2312" w:cs="仿宋_GB2312"/>
          <w:color w:val="auto"/>
          <w:kern w:val="0"/>
          <w:sz w:val="32"/>
          <w:szCs w:val="32"/>
          <w:lang w:val="zh-CN"/>
        </w:rPr>
        <w:t>2.</w:t>
      </w:r>
      <w:r>
        <w:rPr>
          <w:rFonts w:hint="eastAsia" w:eastAsia="仿宋_GB2312" w:cs="仿宋_GB2312"/>
          <w:kern w:val="0"/>
          <w:sz w:val="32"/>
          <w:szCs w:val="32"/>
          <w:lang w:val="zh-CN"/>
        </w:rPr>
        <w:t>民</w:t>
      </w:r>
      <w:r>
        <w:rPr>
          <w:rFonts w:hint="eastAsia" w:ascii="仿宋_GB2312" w:hAnsi="Times New Roman" w:eastAsia="仿宋_GB2312" w:cs="Times New Roman"/>
          <w:kern w:val="0"/>
          <w:sz w:val="32"/>
          <w:szCs w:val="32"/>
          <w:lang w:val="zh-CN"/>
        </w:rPr>
        <w:t>生保障。围绕区域均衡性、对象精准性、标准合理性、群众满意度进行绩效分析。</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针对城市主干道排水防涝设施功能提升改造</w:t>
      </w:r>
      <w:r>
        <w:rPr>
          <w:rFonts w:hint="eastAsia" w:ascii="仿宋_GB2312" w:eastAsia="仿宋_GB2312" w:cs="Times New Roman"/>
          <w:kern w:val="0"/>
          <w:sz w:val="32"/>
          <w:szCs w:val="32"/>
          <w:lang w:val="zh-CN"/>
        </w:rPr>
        <w:t>，</w:t>
      </w:r>
      <w:r>
        <w:rPr>
          <w:rFonts w:hint="eastAsia" w:ascii="仿宋_GB2312" w:hAnsi="Times New Roman" w:eastAsia="仿宋_GB2312" w:cs="Times New Roman"/>
          <w:kern w:val="0"/>
          <w:sz w:val="32"/>
          <w:szCs w:val="32"/>
          <w:lang w:val="zh-CN"/>
        </w:rPr>
        <w:t>包括主干道易涝点排洪涵提升改造、主干道易涝点管网提升改造、主干道易涝点地下通道提升改造、主干道桥梁基础安全隐患整治。</w:t>
      </w:r>
    </w:p>
    <w:p>
      <w:pPr>
        <w:keepNext w:val="0"/>
        <w:keepLines w:val="0"/>
        <w:pageBreakBefore w:val="0"/>
        <w:kinsoku/>
        <w:wordWrap/>
        <w:overflowPunct/>
        <w:topLinePunct w:val="0"/>
        <w:bidi w:val="0"/>
        <w:spacing w:line="578" w:lineRule="exact"/>
        <w:ind w:firstLine="640"/>
        <w:jc w:val="both"/>
        <w:textAlignment w:val="auto"/>
        <w:rPr>
          <w:rFonts w:eastAsia="仿宋_GB2312" w:cs="仿宋_GB2312"/>
          <w:color w:val="auto"/>
          <w:kern w:val="0"/>
          <w:sz w:val="32"/>
          <w:szCs w:val="32"/>
        </w:rPr>
      </w:pPr>
      <w:r>
        <w:rPr>
          <w:rFonts w:hint="eastAsia" w:ascii="仿宋_GB2312" w:hAnsi="Times New Roman" w:eastAsia="仿宋_GB2312" w:cs="Times New Roman"/>
          <w:kern w:val="0"/>
          <w:sz w:val="32"/>
          <w:szCs w:val="32"/>
          <w:lang w:val="zh-CN"/>
        </w:rPr>
        <w:t>项目实施有较高的精准性、工程技术标准合理、市民满意度</w:t>
      </w:r>
      <w:r>
        <w:rPr>
          <w:rFonts w:hint="eastAsia" w:eastAsia="仿宋_GB2312" w:cs="仿宋_GB2312"/>
          <w:color w:val="auto"/>
          <w:kern w:val="0"/>
          <w:sz w:val="32"/>
          <w:szCs w:val="32"/>
          <w:lang w:val="zh-CN"/>
        </w:rPr>
        <w:t>≥95%</w:t>
      </w:r>
      <w:r>
        <w:rPr>
          <w:rFonts w:hint="eastAsia" w:eastAsia="仿宋_GB2312" w:cs="仿宋_GB2312"/>
          <w:color w:val="auto"/>
          <w:kern w:val="0"/>
          <w:sz w:val="32"/>
          <w:szCs w:val="32"/>
        </w:rPr>
        <w:t>。</w:t>
      </w:r>
    </w:p>
    <w:p>
      <w:pPr>
        <w:keepNext w:val="0"/>
        <w:keepLines w:val="0"/>
        <w:pageBreakBefore w:val="0"/>
        <w:kinsoku/>
        <w:wordWrap/>
        <w:overflowPunct/>
        <w:topLinePunct w:val="0"/>
        <w:bidi w:val="0"/>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Times New Roman" w:hAnsi="Times New Roman" w:eastAsia="仿宋_GB2312" w:cs="仿宋_GB2312"/>
          <w:color w:val="auto"/>
          <w:kern w:val="0"/>
          <w:sz w:val="32"/>
          <w:szCs w:val="32"/>
          <w:lang w:val="en-US" w:eastAsia="zh-CN"/>
        </w:rPr>
        <w:t>3.</w:t>
      </w:r>
      <w:r>
        <w:rPr>
          <w:rFonts w:hint="eastAsia" w:ascii="仿宋_GB2312" w:hAnsi="Times New Roman" w:eastAsia="仿宋_GB2312" w:cs="Times New Roman"/>
          <w:kern w:val="0"/>
          <w:sz w:val="32"/>
          <w:szCs w:val="32"/>
          <w:lang w:val="zh-CN"/>
        </w:rPr>
        <w:t>基础设施。在建项目围绕工程进度和资金拨付进行绩效分析；建成项目围绕项目验收、功能实现、后续管护进行绩效分析。</w:t>
      </w:r>
    </w:p>
    <w:p>
      <w:pPr>
        <w:keepNext w:val="0"/>
        <w:keepLines w:val="0"/>
        <w:pageBreakBefore w:val="0"/>
        <w:kinsoku/>
        <w:wordWrap/>
        <w:overflowPunct/>
        <w:topLinePunct w:val="0"/>
        <w:bidi w:val="0"/>
        <w:spacing w:line="578" w:lineRule="exact"/>
        <w:ind w:firstLine="640" w:firstLineChars="200"/>
        <w:jc w:val="both"/>
        <w:textAlignment w:val="auto"/>
        <w:rPr>
          <w:rFonts w:eastAsia="仿宋_GB2312" w:cs="仿宋_GB2312"/>
          <w:kern w:val="0"/>
          <w:sz w:val="32"/>
          <w:szCs w:val="32"/>
        </w:rPr>
      </w:pPr>
      <w:r>
        <w:rPr>
          <w:rFonts w:hint="eastAsia" w:ascii="仿宋_GB2312" w:hAnsi="Times New Roman" w:eastAsia="仿宋_GB2312" w:cs="Times New Roman"/>
          <w:kern w:val="0"/>
          <w:sz w:val="32"/>
          <w:szCs w:val="32"/>
          <w:lang w:val="zh-CN"/>
        </w:rPr>
        <w:t>项目竣工验收合格。本项目的实施对城市排水防涝设施功能、改善城市的环境质量水平以及人居环境起到重要作用，对城市发展具有积极作用，后续管护有保障，社会效益显著。</w:t>
      </w:r>
    </w:p>
    <w:p>
      <w:pPr>
        <w:keepNext w:val="0"/>
        <w:keepLines w:val="0"/>
        <w:pageBreakBefore w:val="0"/>
        <w:kinsoku/>
        <w:wordWrap/>
        <w:overflowPunct/>
        <w:topLinePunct w:val="0"/>
        <w:bidi w:val="0"/>
        <w:spacing w:line="578" w:lineRule="exact"/>
        <w:ind w:firstLine="640"/>
        <w:jc w:val="both"/>
        <w:textAlignment w:val="auto"/>
        <w:rPr>
          <w:rFonts w:eastAsia="仿宋_GB2312" w:cs="仿宋_GB2312"/>
          <w:kern w:val="0"/>
          <w:sz w:val="32"/>
          <w:szCs w:val="32"/>
        </w:rPr>
      </w:pPr>
      <w:r>
        <w:rPr>
          <w:rFonts w:hint="eastAsia" w:ascii="Times New Roman" w:hAnsi="Times New Roman" w:eastAsia="仿宋_GB2312" w:cs="仿宋_GB2312"/>
          <w:color w:val="auto"/>
          <w:kern w:val="0"/>
          <w:sz w:val="32"/>
          <w:szCs w:val="32"/>
          <w:lang w:val="zh-CN"/>
        </w:rPr>
        <w:t>4.</w:t>
      </w:r>
      <w:r>
        <w:rPr>
          <w:rFonts w:hint="eastAsia" w:ascii="仿宋_GB2312" w:hAnsi="Times New Roman" w:eastAsia="仿宋_GB2312" w:cs="Times New Roman"/>
          <w:kern w:val="0"/>
          <w:sz w:val="32"/>
          <w:szCs w:val="32"/>
          <w:lang w:val="zh-CN"/>
        </w:rPr>
        <w:t>行政运转。围绕用途合规性、程序合规性、标准合规性进行绩效分析。</w:t>
      </w:r>
    </w:p>
    <w:p>
      <w:pPr>
        <w:keepNext w:val="0"/>
        <w:keepLines w:val="0"/>
        <w:pageBreakBefore w:val="0"/>
        <w:kinsoku/>
        <w:wordWrap/>
        <w:overflowPunct/>
        <w:topLinePunct w:val="0"/>
        <w:bidi w:val="0"/>
        <w:spacing w:line="578" w:lineRule="exact"/>
        <w:ind w:firstLine="640"/>
        <w:jc w:val="both"/>
        <w:textAlignment w:val="auto"/>
        <w:rPr>
          <w:rFonts w:hint="eastAsia" w:ascii="仿宋_GB2312" w:hAnsi="Times New Roman" w:eastAsia="仿宋_GB2312" w:cs="Times New Roman"/>
          <w:kern w:val="0"/>
          <w:sz w:val="32"/>
          <w:szCs w:val="32"/>
          <w:lang w:val="zh-CN"/>
        </w:rPr>
      </w:pPr>
      <w:r>
        <w:rPr>
          <w:rFonts w:hint="eastAsia" w:eastAsia="楷体_GB2312"/>
          <w:b/>
          <w:sz w:val="32"/>
          <w:szCs w:val="32"/>
          <w:lang w:val="zh-CN"/>
        </w:rPr>
        <w:t>（三）</w:t>
      </w:r>
      <w:r>
        <w:rPr>
          <w:rFonts w:hint="eastAsia" w:eastAsia="楷体_GB2312"/>
          <w:b/>
          <w:sz w:val="32"/>
          <w:szCs w:val="32"/>
        </w:rPr>
        <w:t>个性指标</w:t>
      </w:r>
      <w:r>
        <w:rPr>
          <w:rFonts w:eastAsia="楷体_GB2312"/>
          <w:b/>
          <w:bCs/>
          <w:color w:val="000000"/>
          <w:kern w:val="0"/>
          <w:sz w:val="32"/>
          <w:szCs w:val="32"/>
          <w:shd w:val="clear" w:color="auto" w:fill="FFFFFF"/>
          <w:lang w:val="zh-CN"/>
        </w:rPr>
        <w:t>绩效分析。</w:t>
      </w:r>
      <w:r>
        <w:rPr>
          <w:rFonts w:hint="eastAsia" w:ascii="仿宋_GB2312" w:hAnsi="Times New Roman" w:eastAsia="仿宋_GB2312" w:cs="Times New Roman"/>
          <w:kern w:val="0"/>
          <w:sz w:val="32"/>
          <w:szCs w:val="32"/>
          <w:lang w:val="zh-CN"/>
        </w:rPr>
        <w:t>根据项目个性自行设定部分指标，反映该项指标执行完成情况。</w:t>
      </w:r>
    </w:p>
    <w:p>
      <w:pPr>
        <w:keepNext w:val="0"/>
        <w:keepLines w:val="0"/>
        <w:pageBreakBefore w:val="0"/>
        <w:kinsoku/>
        <w:wordWrap/>
        <w:overflowPunct/>
        <w:topLinePunct w:val="0"/>
        <w:bidi w:val="0"/>
        <w:spacing w:line="578" w:lineRule="exact"/>
        <w:ind w:firstLine="640"/>
        <w:jc w:val="both"/>
        <w:textAlignment w:val="auto"/>
        <w:rPr>
          <w:rFonts w:ascii="黑体" w:hAnsi="黑体" w:eastAsia="黑体" w:cs="黑体"/>
          <w:kern w:val="0"/>
          <w:sz w:val="32"/>
          <w:szCs w:val="32"/>
        </w:rPr>
      </w:pPr>
      <w:bookmarkStart w:id="171" w:name="_Toc1217813499_WPSOffice_Level2"/>
      <w:bookmarkStart w:id="172" w:name="_Toc1174413269_WPSOffice_Level2"/>
      <w:r>
        <w:rPr>
          <w:rFonts w:hint="eastAsia" w:ascii="黑体" w:hAnsi="黑体" w:eastAsia="黑体" w:cs="黑体"/>
          <w:kern w:val="0"/>
          <w:sz w:val="32"/>
          <w:szCs w:val="32"/>
        </w:rPr>
        <w:t>四、评价结论</w:t>
      </w:r>
      <w:bookmarkEnd w:id="171"/>
      <w:bookmarkEnd w:id="172"/>
    </w:p>
    <w:p>
      <w:pPr>
        <w:keepNext w:val="0"/>
        <w:keepLines w:val="0"/>
        <w:pageBreakBefore w:val="0"/>
        <w:kinsoku/>
        <w:wordWrap/>
        <w:overflowPunct/>
        <w:topLinePunct w:val="0"/>
        <w:bidi w:val="0"/>
        <w:spacing w:line="578" w:lineRule="exact"/>
        <w:ind w:firstLine="640" w:firstLineChars="200"/>
        <w:jc w:val="both"/>
        <w:textAlignment w:val="auto"/>
        <w:rPr>
          <w:rFonts w:eastAsia="仿宋_GB2312" w:cs="仿宋_GB2312"/>
          <w:kern w:val="0"/>
          <w:sz w:val="32"/>
          <w:szCs w:val="32"/>
        </w:rPr>
      </w:pPr>
      <w:r>
        <w:rPr>
          <w:rFonts w:hint="eastAsia" w:ascii="仿宋_GB2312" w:hAnsi="Times New Roman" w:eastAsia="仿宋_GB2312" w:cs="Times New Roman"/>
          <w:kern w:val="0"/>
          <w:sz w:val="32"/>
          <w:szCs w:val="32"/>
          <w:lang w:val="zh-CN"/>
        </w:rPr>
        <w:t>项目实施中合理安排工作计划，编制实施方案，无违反有关质量管理规定的行为，完成质量较高。截至评价时点的数量指标、质量指标、时效指标全面完成。通过采取技术方案优化、控制工程量等措施有效控制成本。项目自评得分：100分。项目实施后达到了提升城市主干道排水防涝设施功能的目的，确保城市主干道安全运行，取得良好社会效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黑体" w:hAnsi="黑体" w:eastAsia="黑体" w:cs="黑体"/>
          <w:kern w:val="0"/>
          <w:sz w:val="32"/>
          <w:szCs w:val="32"/>
        </w:rPr>
      </w:pPr>
      <w:bookmarkStart w:id="173" w:name="_Toc646657460_WPSOffice_Level2"/>
      <w:bookmarkStart w:id="174" w:name="_Toc1142466384_WPSOffice_Level2"/>
      <w:r>
        <w:rPr>
          <w:rFonts w:hint="eastAsia" w:ascii="黑体" w:hAnsi="黑体" w:eastAsia="黑体" w:cs="黑体"/>
          <w:kern w:val="0"/>
          <w:sz w:val="32"/>
          <w:szCs w:val="32"/>
        </w:rPr>
        <w:t>五、存在主要问题</w:t>
      </w:r>
      <w:bookmarkEnd w:id="173"/>
      <w:bookmarkEnd w:id="17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eastAsia="仿宋_GB2312" w:cs="仿宋_GB2312"/>
          <w:kern w:val="0"/>
          <w:sz w:val="32"/>
          <w:szCs w:val="32"/>
        </w:rPr>
      </w:pPr>
      <w:r>
        <w:rPr>
          <w:rFonts w:hint="eastAsia" w:ascii="仿宋_GB2312" w:hAnsi="Times New Roman" w:eastAsia="仿宋_GB2312" w:cs="Times New Roman"/>
          <w:kern w:val="0"/>
          <w:sz w:val="32"/>
          <w:szCs w:val="32"/>
          <w:lang w:val="zh-CN" w:eastAsia="zh-CN"/>
        </w:rPr>
        <w:t>无</w:t>
      </w:r>
      <w:r>
        <w:rPr>
          <w:rFonts w:hint="eastAsia" w:ascii="仿宋_GB2312" w:hAnsi="Times New Roman" w:eastAsia="仿宋_GB2312" w:cs="Times New Roman"/>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黑体" w:hAnsi="黑体" w:eastAsia="黑体" w:cs="黑体"/>
          <w:kern w:val="0"/>
          <w:sz w:val="32"/>
          <w:szCs w:val="32"/>
          <w:lang w:val="zh-CN"/>
        </w:rPr>
      </w:pPr>
      <w:bookmarkStart w:id="175" w:name="_Toc916368698_WPSOffice_Level2"/>
      <w:bookmarkStart w:id="176" w:name="_Toc1707353122_WPSOffice_Level2"/>
      <w:r>
        <w:rPr>
          <w:rFonts w:hint="eastAsia" w:ascii="黑体" w:hAnsi="黑体" w:eastAsia="黑体" w:cs="黑体"/>
          <w:kern w:val="0"/>
          <w:sz w:val="32"/>
          <w:szCs w:val="32"/>
          <w:lang w:val="zh-CN"/>
        </w:rPr>
        <w:t>六、改进建议</w:t>
      </w:r>
      <w:bookmarkEnd w:id="175"/>
      <w:bookmarkEnd w:id="17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eastAsia="zh-CN"/>
        </w:rPr>
        <w:t>无</w:t>
      </w:r>
      <w:r>
        <w:rPr>
          <w:rFonts w:hint="eastAsia" w:ascii="仿宋_GB2312" w:hAnsi="Times New Roman" w:eastAsia="仿宋_GB2312" w:cs="Times New Roman"/>
          <w:kern w:val="0"/>
          <w:sz w:val="32"/>
          <w:szCs w:val="32"/>
          <w:lang w:val="zh-CN"/>
        </w:rPr>
        <w:t>。</w:t>
      </w:r>
    </w:p>
    <w:p>
      <w:pPr>
        <w:pStyle w:val="3"/>
        <w:keepNext w:val="0"/>
        <w:keepLines w:val="0"/>
        <w:pageBreakBefore w:val="0"/>
        <w:kinsoku/>
        <w:wordWrap/>
        <w:overflowPunct/>
        <w:topLinePunct w:val="0"/>
        <w:bidi w:val="0"/>
        <w:spacing w:line="578" w:lineRule="exact"/>
        <w:ind w:left="0" w:leftChars="0" w:firstLine="0" w:firstLineChars="0"/>
        <w:textAlignment w:val="auto"/>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177"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keepNext w:val="0"/>
        <w:keepLines w:val="0"/>
        <w:pageBreakBefore w:val="0"/>
        <w:widowControl/>
        <w:kinsoku/>
        <w:wordWrap/>
        <w:overflowPunct/>
        <w:topLinePunct w:val="0"/>
        <w:bidi w:val="0"/>
        <w:spacing w:line="578" w:lineRule="exact"/>
        <w:jc w:val="center"/>
        <w:textAlignment w:val="auto"/>
        <w:rPr>
          <w:rFonts w:hint="eastAsia" w:ascii="Times New Roman" w:hAnsi="Times New Roman" w:eastAsia="仿宋"/>
          <w:b w:val="0"/>
          <w:color w:val="auto"/>
          <w:highlight w:val="none"/>
        </w:rPr>
      </w:pPr>
      <w:bookmarkStart w:id="178" w:name="_Toc895583686_WPSOffice_Level1"/>
      <w:r>
        <w:rPr>
          <w:rFonts w:hint="eastAsia" w:ascii="Times New Roman" w:hAnsi="Times New Roman" w:eastAsia="黑体"/>
          <w:color w:val="auto"/>
          <w:sz w:val="44"/>
          <w:szCs w:val="44"/>
          <w:highlight w:val="none"/>
        </w:rPr>
        <w:t>第</w:t>
      </w:r>
      <w:r>
        <w:rPr>
          <w:rStyle w:val="31"/>
          <w:rFonts w:hint="eastAsia" w:ascii="Times New Roman" w:hAnsi="Times New Roman" w:eastAsia="黑体"/>
          <w:b w:val="0"/>
          <w:color w:val="auto"/>
          <w:highlight w:val="none"/>
        </w:rPr>
        <w:t>五部分 附表</w:t>
      </w:r>
      <w:bookmarkEnd w:id="95"/>
      <w:bookmarkEnd w:id="177"/>
      <w:bookmarkEnd w:id="178"/>
      <w:bookmarkStart w:id="179" w:name="_Toc15396619"/>
    </w:p>
    <w:p>
      <w:pPr>
        <w:pStyle w:val="15"/>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Times New Roman" w:hAnsi="Times New Roman" w:eastAsia="仿宋_GB2312" w:cs="仿宋_GB2312"/>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78" w:lineRule="exact"/>
        <w:jc w:val="both"/>
        <w:textAlignment w:val="auto"/>
        <w:rPr>
          <w:rFonts w:hint="eastAsia" w:ascii="Times New Roman" w:hAnsi="Times New Roman" w:eastAsia="仿宋_GB2312" w:cs="仿宋_GB2312"/>
          <w:color w:val="auto"/>
          <w:sz w:val="32"/>
          <w:szCs w:val="32"/>
          <w:highlight w:val="none"/>
        </w:rPr>
      </w:pPr>
      <w:bookmarkStart w:id="180" w:name="_Toc217130332_WPSOffice_Level2"/>
      <w:r>
        <w:rPr>
          <w:rFonts w:hint="eastAsia" w:ascii="Times New Roman" w:hAnsi="Times New Roman" w:eastAsia="仿宋_GB2312" w:cs="仿宋_GB2312"/>
          <w:color w:val="auto"/>
          <w:sz w:val="32"/>
          <w:szCs w:val="32"/>
          <w:highlight w:val="none"/>
        </w:rPr>
        <w:t>一、收入支出决算总表</w:t>
      </w:r>
      <w:bookmarkEnd w:id="179"/>
      <w:bookmarkEnd w:id="180"/>
    </w:p>
    <w:p>
      <w:pPr>
        <w:pStyle w:val="15"/>
        <w:keepNext w:val="0"/>
        <w:keepLines w:val="0"/>
        <w:pageBreakBefore w:val="0"/>
        <w:kinsoku/>
        <w:wordWrap/>
        <w:overflowPunct/>
        <w:topLinePunct w:val="0"/>
        <w:autoSpaceDE/>
        <w:autoSpaceDN/>
        <w:bidi w:val="0"/>
        <w:adjustRightInd w:val="0"/>
        <w:snapToGrid w:val="0"/>
        <w:spacing w:line="578" w:lineRule="exact"/>
        <w:jc w:val="both"/>
        <w:textAlignment w:val="auto"/>
        <w:rPr>
          <w:rFonts w:hint="eastAsia" w:ascii="Times New Roman" w:hAnsi="Times New Roman" w:eastAsia="仿宋_GB2312" w:cs="仿宋_GB2312"/>
          <w:color w:val="auto"/>
          <w:sz w:val="32"/>
          <w:szCs w:val="32"/>
          <w:highlight w:val="none"/>
        </w:rPr>
      </w:pPr>
      <w:bookmarkStart w:id="181" w:name="_Toc1615280478_WPSOffice_Level2"/>
      <w:bookmarkStart w:id="182" w:name="_Toc15396620"/>
      <w:r>
        <w:rPr>
          <w:rFonts w:hint="eastAsia" w:ascii="Times New Roman" w:hAnsi="Times New Roman" w:eastAsia="仿宋_GB2312" w:cs="仿宋_GB2312"/>
          <w:color w:val="auto"/>
          <w:sz w:val="32"/>
          <w:szCs w:val="32"/>
          <w:highlight w:val="none"/>
        </w:rPr>
        <w:t>二、收入决算表</w:t>
      </w:r>
      <w:bookmarkEnd w:id="181"/>
      <w:bookmarkEnd w:id="182"/>
    </w:p>
    <w:p>
      <w:pPr>
        <w:pStyle w:val="15"/>
        <w:keepNext w:val="0"/>
        <w:keepLines w:val="0"/>
        <w:pageBreakBefore w:val="0"/>
        <w:kinsoku/>
        <w:wordWrap/>
        <w:overflowPunct/>
        <w:topLinePunct w:val="0"/>
        <w:autoSpaceDE/>
        <w:autoSpaceDN/>
        <w:bidi w:val="0"/>
        <w:adjustRightInd w:val="0"/>
        <w:snapToGrid w:val="0"/>
        <w:spacing w:line="578" w:lineRule="exact"/>
        <w:jc w:val="both"/>
        <w:textAlignment w:val="auto"/>
        <w:rPr>
          <w:rFonts w:hint="eastAsia" w:ascii="Times New Roman" w:hAnsi="Times New Roman" w:eastAsia="仿宋_GB2312" w:cs="仿宋_GB2312"/>
          <w:color w:val="auto"/>
          <w:sz w:val="32"/>
          <w:szCs w:val="32"/>
          <w:highlight w:val="none"/>
        </w:rPr>
      </w:pPr>
      <w:bookmarkStart w:id="183" w:name="_Toc1663205298_WPSOffice_Level2"/>
      <w:bookmarkStart w:id="184" w:name="_Toc15396621"/>
      <w:r>
        <w:rPr>
          <w:rFonts w:hint="eastAsia" w:ascii="Times New Roman" w:hAnsi="Times New Roman" w:eastAsia="仿宋_GB2312" w:cs="仿宋_GB2312"/>
          <w:color w:val="auto"/>
          <w:sz w:val="32"/>
          <w:szCs w:val="32"/>
          <w:highlight w:val="none"/>
        </w:rPr>
        <w:t>三、支出决算表</w:t>
      </w:r>
      <w:bookmarkEnd w:id="183"/>
      <w:bookmarkEnd w:id="184"/>
    </w:p>
    <w:p>
      <w:pPr>
        <w:pStyle w:val="15"/>
        <w:keepNext w:val="0"/>
        <w:keepLines w:val="0"/>
        <w:pageBreakBefore w:val="0"/>
        <w:kinsoku/>
        <w:wordWrap/>
        <w:overflowPunct/>
        <w:topLinePunct w:val="0"/>
        <w:autoSpaceDE/>
        <w:autoSpaceDN/>
        <w:bidi w:val="0"/>
        <w:adjustRightInd w:val="0"/>
        <w:snapToGrid w:val="0"/>
        <w:spacing w:line="578" w:lineRule="exact"/>
        <w:jc w:val="both"/>
        <w:textAlignment w:val="auto"/>
        <w:rPr>
          <w:rFonts w:hint="eastAsia" w:ascii="Times New Roman" w:hAnsi="Times New Roman" w:eastAsia="仿宋_GB2312" w:cs="仿宋_GB2312"/>
          <w:color w:val="auto"/>
          <w:sz w:val="32"/>
          <w:szCs w:val="32"/>
          <w:highlight w:val="none"/>
        </w:rPr>
      </w:pPr>
      <w:bookmarkStart w:id="185" w:name="_Toc1375194581_WPSOffice_Level2"/>
      <w:bookmarkStart w:id="186" w:name="_Toc15396622"/>
      <w:r>
        <w:rPr>
          <w:rFonts w:hint="eastAsia" w:ascii="Times New Roman" w:hAnsi="Times New Roman" w:eastAsia="仿宋_GB2312" w:cs="仿宋_GB2312"/>
          <w:color w:val="auto"/>
          <w:sz w:val="32"/>
          <w:szCs w:val="32"/>
          <w:highlight w:val="none"/>
        </w:rPr>
        <w:t>四、财政拨款收入支出决算总表</w:t>
      </w:r>
      <w:bookmarkEnd w:id="185"/>
      <w:bookmarkEnd w:id="186"/>
    </w:p>
    <w:p>
      <w:pPr>
        <w:pStyle w:val="15"/>
        <w:keepNext w:val="0"/>
        <w:keepLines w:val="0"/>
        <w:pageBreakBefore w:val="0"/>
        <w:kinsoku/>
        <w:wordWrap/>
        <w:overflowPunct/>
        <w:topLinePunct w:val="0"/>
        <w:autoSpaceDE/>
        <w:autoSpaceDN/>
        <w:bidi w:val="0"/>
        <w:adjustRightInd w:val="0"/>
        <w:snapToGrid w:val="0"/>
        <w:spacing w:line="578" w:lineRule="exact"/>
        <w:jc w:val="both"/>
        <w:textAlignment w:val="auto"/>
        <w:rPr>
          <w:rFonts w:hint="eastAsia" w:ascii="Times New Roman" w:hAnsi="Times New Roman" w:eastAsia="仿宋_GB2312" w:cs="仿宋_GB2312"/>
          <w:color w:val="auto"/>
          <w:sz w:val="32"/>
          <w:szCs w:val="32"/>
          <w:highlight w:val="none"/>
        </w:rPr>
      </w:pPr>
      <w:bookmarkStart w:id="187" w:name="_Toc15396623"/>
      <w:bookmarkStart w:id="188" w:name="_Toc111928804_WPSOffice_Level2"/>
      <w:r>
        <w:rPr>
          <w:rFonts w:hint="eastAsia" w:ascii="Times New Roman" w:hAnsi="Times New Roman" w:eastAsia="仿宋_GB2312" w:cs="仿宋_GB2312"/>
          <w:color w:val="auto"/>
          <w:sz w:val="32"/>
          <w:szCs w:val="32"/>
          <w:highlight w:val="none"/>
        </w:rPr>
        <w:t>五、财政拨款支出决算明细表</w:t>
      </w:r>
      <w:bookmarkEnd w:id="187"/>
      <w:bookmarkEnd w:id="188"/>
      <w:bookmarkStart w:id="189" w:name="_Toc15396624"/>
    </w:p>
    <w:p>
      <w:pPr>
        <w:pStyle w:val="15"/>
        <w:keepNext w:val="0"/>
        <w:keepLines w:val="0"/>
        <w:pageBreakBefore w:val="0"/>
        <w:kinsoku/>
        <w:wordWrap/>
        <w:overflowPunct/>
        <w:topLinePunct w:val="0"/>
        <w:autoSpaceDE/>
        <w:autoSpaceDN/>
        <w:bidi w:val="0"/>
        <w:adjustRightInd w:val="0"/>
        <w:snapToGrid w:val="0"/>
        <w:spacing w:line="578" w:lineRule="exact"/>
        <w:jc w:val="both"/>
        <w:textAlignment w:val="auto"/>
        <w:rPr>
          <w:rFonts w:hint="eastAsia" w:ascii="Times New Roman" w:hAnsi="Times New Roman" w:eastAsia="仿宋_GB2312" w:cs="仿宋_GB2312"/>
          <w:color w:val="auto"/>
          <w:sz w:val="32"/>
          <w:szCs w:val="32"/>
          <w:highlight w:val="none"/>
        </w:rPr>
      </w:pPr>
      <w:bookmarkStart w:id="190" w:name="_Toc1258610313_WPSOffice_Level2"/>
      <w:r>
        <w:rPr>
          <w:rFonts w:hint="eastAsia" w:ascii="Times New Roman" w:hAnsi="Times New Roman" w:eastAsia="仿宋_GB2312" w:cs="仿宋_GB2312"/>
          <w:color w:val="auto"/>
          <w:sz w:val="32"/>
          <w:szCs w:val="32"/>
          <w:highlight w:val="none"/>
        </w:rPr>
        <w:t>六、一般公共预算财政拨款支出决算表</w:t>
      </w:r>
      <w:bookmarkEnd w:id="189"/>
      <w:bookmarkEnd w:id="190"/>
    </w:p>
    <w:p>
      <w:pPr>
        <w:pStyle w:val="15"/>
        <w:keepNext w:val="0"/>
        <w:keepLines w:val="0"/>
        <w:pageBreakBefore w:val="0"/>
        <w:kinsoku/>
        <w:wordWrap/>
        <w:overflowPunct/>
        <w:topLinePunct w:val="0"/>
        <w:autoSpaceDE/>
        <w:autoSpaceDN/>
        <w:bidi w:val="0"/>
        <w:adjustRightInd w:val="0"/>
        <w:snapToGrid w:val="0"/>
        <w:spacing w:line="578" w:lineRule="exact"/>
        <w:jc w:val="both"/>
        <w:textAlignment w:val="auto"/>
        <w:rPr>
          <w:rFonts w:hint="eastAsia" w:ascii="Times New Roman" w:hAnsi="Times New Roman" w:eastAsia="仿宋_GB2312" w:cs="仿宋_GB2312"/>
          <w:color w:val="auto"/>
          <w:sz w:val="32"/>
          <w:szCs w:val="32"/>
          <w:highlight w:val="none"/>
        </w:rPr>
      </w:pPr>
      <w:bookmarkStart w:id="191" w:name="_Toc15396625"/>
      <w:bookmarkStart w:id="192" w:name="_Toc736351853_WPSOffice_Level2"/>
      <w:r>
        <w:rPr>
          <w:rFonts w:hint="eastAsia" w:ascii="Times New Roman" w:hAnsi="Times New Roman" w:eastAsia="仿宋_GB2312" w:cs="仿宋_GB2312"/>
          <w:color w:val="auto"/>
          <w:sz w:val="32"/>
          <w:szCs w:val="32"/>
          <w:highlight w:val="none"/>
        </w:rPr>
        <w:t>七、一般公共预算财政拨款支出决算明细表</w:t>
      </w:r>
      <w:bookmarkEnd w:id="191"/>
      <w:bookmarkEnd w:id="192"/>
    </w:p>
    <w:p>
      <w:pPr>
        <w:pStyle w:val="15"/>
        <w:keepNext w:val="0"/>
        <w:keepLines w:val="0"/>
        <w:pageBreakBefore w:val="0"/>
        <w:kinsoku/>
        <w:wordWrap/>
        <w:overflowPunct/>
        <w:topLinePunct w:val="0"/>
        <w:autoSpaceDE/>
        <w:autoSpaceDN/>
        <w:bidi w:val="0"/>
        <w:adjustRightInd w:val="0"/>
        <w:snapToGrid w:val="0"/>
        <w:spacing w:line="578" w:lineRule="exact"/>
        <w:jc w:val="both"/>
        <w:textAlignment w:val="auto"/>
        <w:rPr>
          <w:rFonts w:hint="eastAsia" w:ascii="Times New Roman" w:hAnsi="Times New Roman" w:eastAsia="仿宋_GB2312" w:cs="仿宋_GB2312"/>
          <w:color w:val="auto"/>
          <w:sz w:val="32"/>
          <w:szCs w:val="32"/>
          <w:highlight w:val="none"/>
        </w:rPr>
      </w:pPr>
      <w:bookmarkStart w:id="193" w:name="_Toc15396626"/>
      <w:bookmarkStart w:id="194" w:name="_Toc1843627968_WPSOffice_Level2"/>
      <w:r>
        <w:rPr>
          <w:rFonts w:hint="eastAsia" w:ascii="Times New Roman" w:hAnsi="Times New Roman" w:eastAsia="仿宋_GB2312" w:cs="仿宋_GB2312"/>
          <w:color w:val="auto"/>
          <w:sz w:val="32"/>
          <w:szCs w:val="32"/>
          <w:highlight w:val="none"/>
        </w:rPr>
        <w:t>八、一般公共预算财政拨款基本支出决算表</w:t>
      </w:r>
      <w:bookmarkEnd w:id="193"/>
      <w:bookmarkEnd w:id="194"/>
    </w:p>
    <w:p>
      <w:pPr>
        <w:pStyle w:val="15"/>
        <w:keepNext w:val="0"/>
        <w:keepLines w:val="0"/>
        <w:pageBreakBefore w:val="0"/>
        <w:kinsoku/>
        <w:wordWrap/>
        <w:overflowPunct/>
        <w:topLinePunct w:val="0"/>
        <w:autoSpaceDE/>
        <w:autoSpaceDN/>
        <w:bidi w:val="0"/>
        <w:adjustRightInd w:val="0"/>
        <w:snapToGrid w:val="0"/>
        <w:spacing w:line="578" w:lineRule="exact"/>
        <w:jc w:val="both"/>
        <w:textAlignment w:val="auto"/>
        <w:rPr>
          <w:rFonts w:hint="eastAsia" w:ascii="Times New Roman" w:hAnsi="Times New Roman" w:eastAsia="仿宋_GB2312" w:cs="仿宋_GB2312"/>
          <w:color w:val="auto"/>
          <w:sz w:val="32"/>
          <w:szCs w:val="32"/>
          <w:highlight w:val="none"/>
        </w:rPr>
      </w:pPr>
      <w:bookmarkStart w:id="195" w:name="_Toc82065435_WPSOffice_Level2"/>
      <w:bookmarkStart w:id="196" w:name="_Toc15396627"/>
      <w:r>
        <w:rPr>
          <w:rFonts w:hint="eastAsia" w:ascii="Times New Roman" w:hAnsi="Times New Roman" w:eastAsia="仿宋_GB2312" w:cs="仿宋_GB2312"/>
          <w:color w:val="auto"/>
          <w:sz w:val="32"/>
          <w:szCs w:val="32"/>
          <w:highlight w:val="none"/>
        </w:rPr>
        <w:t>九、一般公共预算财政拨款项目支出决算表</w:t>
      </w:r>
      <w:bookmarkEnd w:id="195"/>
      <w:bookmarkEnd w:id="196"/>
    </w:p>
    <w:p>
      <w:pPr>
        <w:pStyle w:val="15"/>
        <w:keepNext w:val="0"/>
        <w:keepLines w:val="0"/>
        <w:pageBreakBefore w:val="0"/>
        <w:kinsoku/>
        <w:wordWrap/>
        <w:overflowPunct/>
        <w:topLinePunct w:val="0"/>
        <w:autoSpaceDE/>
        <w:autoSpaceDN/>
        <w:bidi w:val="0"/>
        <w:adjustRightInd w:val="0"/>
        <w:snapToGrid w:val="0"/>
        <w:spacing w:line="578" w:lineRule="exact"/>
        <w:jc w:val="both"/>
        <w:textAlignment w:val="auto"/>
        <w:rPr>
          <w:rFonts w:hint="eastAsia" w:ascii="Times New Roman" w:hAnsi="Times New Roman" w:eastAsia="仿宋_GB2312" w:cs="仿宋_GB2312"/>
          <w:color w:val="auto"/>
          <w:sz w:val="32"/>
          <w:szCs w:val="32"/>
          <w:highlight w:val="none"/>
        </w:rPr>
      </w:pPr>
      <w:bookmarkStart w:id="197" w:name="_Toc15396628"/>
      <w:bookmarkStart w:id="198" w:name="_Toc1195968034_WPSOffice_Level2"/>
      <w:r>
        <w:rPr>
          <w:rFonts w:hint="eastAsia" w:ascii="Times New Roman" w:hAnsi="Times New Roman" w:eastAsia="仿宋_GB2312" w:cs="仿宋_GB2312"/>
          <w:color w:val="auto"/>
          <w:sz w:val="32"/>
          <w:szCs w:val="32"/>
          <w:highlight w:val="none"/>
        </w:rPr>
        <w:t>十、</w:t>
      </w:r>
      <w:bookmarkEnd w:id="197"/>
      <w:r>
        <w:rPr>
          <w:rFonts w:hint="eastAsia" w:ascii="Times New Roman" w:hAnsi="Times New Roman" w:eastAsia="仿宋_GB2312" w:cs="仿宋_GB2312"/>
          <w:color w:val="auto"/>
          <w:sz w:val="32"/>
          <w:szCs w:val="32"/>
          <w:highlight w:val="none"/>
        </w:rPr>
        <w:t>政府性基金预算财政拨款收入支出决算表</w:t>
      </w:r>
      <w:bookmarkEnd w:id="198"/>
    </w:p>
    <w:p>
      <w:pPr>
        <w:pStyle w:val="15"/>
        <w:keepNext w:val="0"/>
        <w:keepLines w:val="0"/>
        <w:pageBreakBefore w:val="0"/>
        <w:kinsoku/>
        <w:wordWrap/>
        <w:overflowPunct/>
        <w:topLinePunct w:val="0"/>
        <w:autoSpaceDE/>
        <w:autoSpaceDN/>
        <w:bidi w:val="0"/>
        <w:adjustRightInd w:val="0"/>
        <w:snapToGrid w:val="0"/>
        <w:spacing w:line="578" w:lineRule="exact"/>
        <w:jc w:val="both"/>
        <w:textAlignment w:val="auto"/>
        <w:rPr>
          <w:rFonts w:hint="eastAsia" w:ascii="Times New Roman" w:hAnsi="Times New Roman" w:eastAsia="仿宋_GB2312" w:cs="仿宋_GB2312"/>
          <w:color w:val="auto"/>
          <w:sz w:val="32"/>
          <w:szCs w:val="32"/>
          <w:highlight w:val="none"/>
        </w:rPr>
      </w:pPr>
      <w:bookmarkStart w:id="199" w:name="_Toc15396629"/>
      <w:bookmarkStart w:id="200" w:name="_Toc1299601169_WPSOffice_Level2"/>
      <w:r>
        <w:rPr>
          <w:rFonts w:hint="eastAsia" w:ascii="Times New Roman" w:hAnsi="Times New Roman" w:eastAsia="仿宋_GB2312" w:cs="仿宋_GB2312"/>
          <w:color w:val="auto"/>
          <w:sz w:val="32"/>
          <w:szCs w:val="32"/>
          <w:highlight w:val="none"/>
        </w:rPr>
        <w:t>十一、</w:t>
      </w:r>
      <w:bookmarkEnd w:id="199"/>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200"/>
    </w:p>
    <w:p>
      <w:pPr>
        <w:pStyle w:val="15"/>
        <w:keepNext w:val="0"/>
        <w:keepLines w:val="0"/>
        <w:pageBreakBefore w:val="0"/>
        <w:kinsoku/>
        <w:wordWrap/>
        <w:overflowPunct/>
        <w:topLinePunct w:val="0"/>
        <w:autoSpaceDE/>
        <w:autoSpaceDN/>
        <w:bidi w:val="0"/>
        <w:adjustRightInd w:val="0"/>
        <w:snapToGrid w:val="0"/>
        <w:spacing w:line="578" w:lineRule="exact"/>
        <w:jc w:val="both"/>
        <w:textAlignment w:val="auto"/>
        <w:rPr>
          <w:rFonts w:hint="eastAsia" w:ascii="Times New Roman" w:hAnsi="Times New Roman" w:eastAsia="仿宋_GB2312" w:cs="仿宋_GB2312"/>
          <w:color w:val="auto"/>
          <w:sz w:val="32"/>
          <w:szCs w:val="32"/>
          <w:highlight w:val="none"/>
        </w:rPr>
      </w:pPr>
      <w:bookmarkStart w:id="201" w:name="_Toc15396630"/>
      <w:bookmarkStart w:id="202" w:name="_Toc837966987_WPSOffice_Level2"/>
      <w:r>
        <w:rPr>
          <w:rFonts w:hint="eastAsia" w:ascii="Times New Roman" w:hAnsi="Times New Roman" w:eastAsia="仿宋_GB2312" w:cs="仿宋_GB2312"/>
          <w:color w:val="auto"/>
          <w:sz w:val="32"/>
          <w:szCs w:val="32"/>
          <w:highlight w:val="none"/>
        </w:rPr>
        <w:t>十二、</w:t>
      </w:r>
      <w:bookmarkEnd w:id="201"/>
      <w:r>
        <w:rPr>
          <w:rFonts w:hint="eastAsia" w:ascii="Times New Roman" w:hAnsi="Times New Roman" w:eastAsia="仿宋_GB2312" w:cs="仿宋_GB2312"/>
          <w:color w:val="auto"/>
          <w:sz w:val="32"/>
          <w:szCs w:val="32"/>
          <w:highlight w:val="none"/>
          <w:lang w:eastAsia="zh-CN"/>
        </w:rPr>
        <w:t>国有资本经营预算财政拨款支出决算表</w:t>
      </w:r>
      <w:bookmarkEnd w:id="202"/>
    </w:p>
    <w:p>
      <w:pPr>
        <w:pStyle w:val="15"/>
        <w:keepNext w:val="0"/>
        <w:keepLines w:val="0"/>
        <w:pageBreakBefore w:val="0"/>
        <w:kinsoku/>
        <w:wordWrap/>
        <w:overflowPunct/>
        <w:topLinePunct w:val="0"/>
        <w:autoSpaceDE/>
        <w:autoSpaceDN/>
        <w:bidi w:val="0"/>
        <w:adjustRightInd w:val="0"/>
        <w:snapToGrid w:val="0"/>
        <w:spacing w:line="578" w:lineRule="exact"/>
        <w:jc w:val="both"/>
        <w:textAlignment w:val="auto"/>
        <w:rPr>
          <w:rFonts w:hint="eastAsia" w:ascii="Times New Roman" w:hAnsi="Times New Roman" w:eastAsia="仿宋_GB2312" w:cs="仿宋_GB2312"/>
          <w:color w:val="auto"/>
          <w:sz w:val="32"/>
          <w:szCs w:val="32"/>
          <w:highlight w:val="none"/>
          <w:lang w:eastAsia="zh-CN"/>
        </w:rPr>
      </w:pPr>
      <w:bookmarkStart w:id="203" w:name="_Toc15396631"/>
      <w:bookmarkStart w:id="204" w:name="_Toc962816116_WPSOffice_Level2"/>
      <w:r>
        <w:rPr>
          <w:rFonts w:hint="eastAsia" w:ascii="Times New Roman" w:hAnsi="Times New Roman" w:eastAsia="仿宋_GB2312" w:cs="仿宋_GB2312"/>
          <w:color w:val="auto"/>
          <w:sz w:val="32"/>
          <w:szCs w:val="32"/>
          <w:highlight w:val="none"/>
        </w:rPr>
        <w:t>十三、</w:t>
      </w:r>
      <w:bookmarkEnd w:id="203"/>
      <w:r>
        <w:rPr>
          <w:rFonts w:hint="eastAsia" w:ascii="Times New Roman" w:hAnsi="Times New Roman" w:eastAsia="仿宋_GB2312" w:cs="仿宋_GB2312"/>
          <w:color w:val="auto"/>
          <w:sz w:val="32"/>
          <w:szCs w:val="32"/>
          <w:highlight w:val="none"/>
          <w:lang w:eastAsia="zh-CN"/>
        </w:rPr>
        <w:t>财政拨款“三公”经费支出决算表</w:t>
      </w:r>
      <w:bookmarkEnd w:id="204"/>
    </w:p>
    <w:p>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仿宋_GBK-WinCharSetFFFF-H">
    <w:altName w:val="黑体"/>
    <w:panose1 w:val="00000000000000000000"/>
    <w:charset w:val="86"/>
    <w:family w:val="auto"/>
    <w:pitch w:val="default"/>
    <w:sig w:usb0="00000000" w:usb1="00000000" w:usb2="00000010" w:usb3="00000000" w:csb0="00040000" w:csb1="00000000"/>
  </w:font>
  <w:font w:name="TimesNewRoman">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41B4"/>
    <w:multiLevelType w:val="singleLevel"/>
    <w:tmpl w:val="920C41B4"/>
    <w:lvl w:ilvl="0" w:tentative="0">
      <w:start w:val="1"/>
      <w:numFmt w:val="chineseCounting"/>
      <w:suff w:val="nothing"/>
      <w:lvlText w:val="%1、"/>
      <w:lvlJc w:val="left"/>
      <w:rPr>
        <w:rFonts w:hint="eastAsia"/>
      </w:rPr>
    </w:lvl>
  </w:abstractNum>
  <w:abstractNum w:abstractNumId="1">
    <w:nsid w:val="B925FFBB"/>
    <w:multiLevelType w:val="singleLevel"/>
    <w:tmpl w:val="B925FFBB"/>
    <w:lvl w:ilvl="0" w:tentative="0">
      <w:start w:val="2"/>
      <w:numFmt w:val="chineseCounting"/>
      <w:suff w:val="nothing"/>
      <w:lvlText w:val="（%1）"/>
      <w:lvlJc w:val="left"/>
      <w:rPr>
        <w:rFonts w:hint="eastAsia"/>
      </w:rPr>
    </w:lvl>
  </w:abstractNum>
  <w:abstractNum w:abstractNumId="2">
    <w:nsid w:val="FD192ADF"/>
    <w:multiLevelType w:val="singleLevel"/>
    <w:tmpl w:val="FD192ADF"/>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EE67801"/>
    <w:rsid w:val="0F98263C"/>
    <w:rsid w:val="101860EC"/>
    <w:rsid w:val="101F47CC"/>
    <w:rsid w:val="10B9590C"/>
    <w:rsid w:val="10C055FF"/>
    <w:rsid w:val="11694EBD"/>
    <w:rsid w:val="11772AA4"/>
    <w:rsid w:val="118107EC"/>
    <w:rsid w:val="12E24EE2"/>
    <w:rsid w:val="13D50BC4"/>
    <w:rsid w:val="14B17F78"/>
    <w:rsid w:val="165E0673"/>
    <w:rsid w:val="16B831D5"/>
    <w:rsid w:val="16BB723D"/>
    <w:rsid w:val="17E50567"/>
    <w:rsid w:val="186504BB"/>
    <w:rsid w:val="19A445FC"/>
    <w:rsid w:val="1B4E269A"/>
    <w:rsid w:val="1BE8440E"/>
    <w:rsid w:val="1C54167C"/>
    <w:rsid w:val="1D155CEE"/>
    <w:rsid w:val="1D1638FE"/>
    <w:rsid w:val="1E312DEB"/>
    <w:rsid w:val="1E740ACF"/>
    <w:rsid w:val="1EFF4A54"/>
    <w:rsid w:val="1F436E2F"/>
    <w:rsid w:val="1FF35744"/>
    <w:rsid w:val="1FF6BC77"/>
    <w:rsid w:val="2186353C"/>
    <w:rsid w:val="23860B96"/>
    <w:rsid w:val="240371BF"/>
    <w:rsid w:val="244F3473"/>
    <w:rsid w:val="24C97D99"/>
    <w:rsid w:val="25A718F0"/>
    <w:rsid w:val="25BB59F6"/>
    <w:rsid w:val="25F761B8"/>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1B2BECE"/>
    <w:rsid w:val="32BD1EF1"/>
    <w:rsid w:val="3304709D"/>
    <w:rsid w:val="33A773CB"/>
    <w:rsid w:val="349D6851"/>
    <w:rsid w:val="360F2FEB"/>
    <w:rsid w:val="36AA5135"/>
    <w:rsid w:val="36BE0DA7"/>
    <w:rsid w:val="376B6AA6"/>
    <w:rsid w:val="376D39B2"/>
    <w:rsid w:val="37BEA927"/>
    <w:rsid w:val="37E16F03"/>
    <w:rsid w:val="37F53A3B"/>
    <w:rsid w:val="389B6C89"/>
    <w:rsid w:val="38D469F0"/>
    <w:rsid w:val="39627CCD"/>
    <w:rsid w:val="397BAF1F"/>
    <w:rsid w:val="3AB79AF3"/>
    <w:rsid w:val="3AE834C0"/>
    <w:rsid w:val="3B7EF35A"/>
    <w:rsid w:val="3B9FDB6C"/>
    <w:rsid w:val="3BF5BC2F"/>
    <w:rsid w:val="3BFF756A"/>
    <w:rsid w:val="3CEBA265"/>
    <w:rsid w:val="3D98207C"/>
    <w:rsid w:val="3DEE7CF3"/>
    <w:rsid w:val="3E740A63"/>
    <w:rsid w:val="3E78745D"/>
    <w:rsid w:val="3EE17838"/>
    <w:rsid w:val="3EFF212E"/>
    <w:rsid w:val="3F55381A"/>
    <w:rsid w:val="3F7F7599"/>
    <w:rsid w:val="3FF4CAE0"/>
    <w:rsid w:val="3FF7B227"/>
    <w:rsid w:val="44E268DA"/>
    <w:rsid w:val="450D13D7"/>
    <w:rsid w:val="452F5F7D"/>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4FFB1B27"/>
    <w:rsid w:val="537E6D0A"/>
    <w:rsid w:val="53F74C96"/>
    <w:rsid w:val="543365E8"/>
    <w:rsid w:val="55170BA8"/>
    <w:rsid w:val="553218C9"/>
    <w:rsid w:val="567E1AA5"/>
    <w:rsid w:val="56E47B74"/>
    <w:rsid w:val="57175D52"/>
    <w:rsid w:val="57BD3DD4"/>
    <w:rsid w:val="59C7404D"/>
    <w:rsid w:val="5AF92295"/>
    <w:rsid w:val="5B250254"/>
    <w:rsid w:val="5BDD79E6"/>
    <w:rsid w:val="5BF561CA"/>
    <w:rsid w:val="5BFF5DFC"/>
    <w:rsid w:val="5CD39493"/>
    <w:rsid w:val="5CD71FC4"/>
    <w:rsid w:val="5D1F11B5"/>
    <w:rsid w:val="5D695134"/>
    <w:rsid w:val="5DAE1B18"/>
    <w:rsid w:val="5DE7D9E5"/>
    <w:rsid w:val="5E791E9F"/>
    <w:rsid w:val="5ECEC941"/>
    <w:rsid w:val="5FBF9FF3"/>
    <w:rsid w:val="5FCD4E2C"/>
    <w:rsid w:val="5FEF394A"/>
    <w:rsid w:val="5FF67715"/>
    <w:rsid w:val="62BF3928"/>
    <w:rsid w:val="63B3701E"/>
    <w:rsid w:val="647F5392"/>
    <w:rsid w:val="651EC467"/>
    <w:rsid w:val="65E66580"/>
    <w:rsid w:val="664B1D71"/>
    <w:rsid w:val="664B4E8E"/>
    <w:rsid w:val="67277B67"/>
    <w:rsid w:val="67AA3209"/>
    <w:rsid w:val="698D0931"/>
    <w:rsid w:val="6A7FE5F3"/>
    <w:rsid w:val="6B053271"/>
    <w:rsid w:val="6BDD78B3"/>
    <w:rsid w:val="6C4A05C8"/>
    <w:rsid w:val="6C8742B8"/>
    <w:rsid w:val="6DBF5E93"/>
    <w:rsid w:val="6DC97D17"/>
    <w:rsid w:val="6DF68D8F"/>
    <w:rsid w:val="6DFF077E"/>
    <w:rsid w:val="6E714EF0"/>
    <w:rsid w:val="6E7E3605"/>
    <w:rsid w:val="6E7FDCC7"/>
    <w:rsid w:val="6ED6A62E"/>
    <w:rsid w:val="6EE00B15"/>
    <w:rsid w:val="6F6FB3EB"/>
    <w:rsid w:val="6F7F204C"/>
    <w:rsid w:val="6F8731EA"/>
    <w:rsid w:val="6FCE6052"/>
    <w:rsid w:val="6FD57C00"/>
    <w:rsid w:val="6FEFFFD8"/>
    <w:rsid w:val="6FF5CC65"/>
    <w:rsid w:val="6FFB47EC"/>
    <w:rsid w:val="6FFDDF1D"/>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CF96F8"/>
    <w:rsid w:val="75DEEEC2"/>
    <w:rsid w:val="75E32345"/>
    <w:rsid w:val="762BDC11"/>
    <w:rsid w:val="76E3355F"/>
    <w:rsid w:val="76FF5125"/>
    <w:rsid w:val="773AD861"/>
    <w:rsid w:val="776F6FFA"/>
    <w:rsid w:val="778769C8"/>
    <w:rsid w:val="77A75DCA"/>
    <w:rsid w:val="77DC22F5"/>
    <w:rsid w:val="783E271A"/>
    <w:rsid w:val="78616DE9"/>
    <w:rsid w:val="786186DE"/>
    <w:rsid w:val="78E875D7"/>
    <w:rsid w:val="79086DAD"/>
    <w:rsid w:val="79D7FD79"/>
    <w:rsid w:val="79EE5BA4"/>
    <w:rsid w:val="7A894339"/>
    <w:rsid w:val="7AD284E8"/>
    <w:rsid w:val="7AFF7572"/>
    <w:rsid w:val="7B6C7DFB"/>
    <w:rsid w:val="7BBFBED0"/>
    <w:rsid w:val="7BC3E394"/>
    <w:rsid w:val="7BEF8A7F"/>
    <w:rsid w:val="7C1F3737"/>
    <w:rsid w:val="7CBFC87B"/>
    <w:rsid w:val="7CFE0F48"/>
    <w:rsid w:val="7D272ABC"/>
    <w:rsid w:val="7D7EC23E"/>
    <w:rsid w:val="7E7DAD19"/>
    <w:rsid w:val="7E8ADEBF"/>
    <w:rsid w:val="7EE94ABE"/>
    <w:rsid w:val="7EEF11D3"/>
    <w:rsid w:val="7EFE4840"/>
    <w:rsid w:val="7F0971A6"/>
    <w:rsid w:val="7F1D62E7"/>
    <w:rsid w:val="7F3F679B"/>
    <w:rsid w:val="7F4FC4EF"/>
    <w:rsid w:val="7F5E4D54"/>
    <w:rsid w:val="7F6E0135"/>
    <w:rsid w:val="7F79F205"/>
    <w:rsid w:val="7F8DC617"/>
    <w:rsid w:val="7FA30C79"/>
    <w:rsid w:val="7FA79C44"/>
    <w:rsid w:val="7FAF8ABF"/>
    <w:rsid w:val="7FB7269E"/>
    <w:rsid w:val="7FB74D60"/>
    <w:rsid w:val="7FC96657"/>
    <w:rsid w:val="7FDA9588"/>
    <w:rsid w:val="7FDF220F"/>
    <w:rsid w:val="7FEDC5F7"/>
    <w:rsid w:val="7FEDD9DE"/>
    <w:rsid w:val="7FF5890D"/>
    <w:rsid w:val="7FF93490"/>
    <w:rsid w:val="7FFEB2B1"/>
    <w:rsid w:val="8FBA63D7"/>
    <w:rsid w:val="99FF2014"/>
    <w:rsid w:val="9BEFA0FB"/>
    <w:rsid w:val="A6DD0D7F"/>
    <w:rsid w:val="ACFF4FBB"/>
    <w:rsid w:val="ADC6F725"/>
    <w:rsid w:val="B6DE43A0"/>
    <w:rsid w:val="B7CF06AB"/>
    <w:rsid w:val="B7CFA926"/>
    <w:rsid w:val="B7F8786B"/>
    <w:rsid w:val="B7FB5290"/>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BEF81EA"/>
    <w:rsid w:val="DCEFB006"/>
    <w:rsid w:val="DD1FB521"/>
    <w:rsid w:val="DEFBFEAE"/>
    <w:rsid w:val="DF1F3B80"/>
    <w:rsid w:val="DF6F9789"/>
    <w:rsid w:val="DFE9BE81"/>
    <w:rsid w:val="DFFB509D"/>
    <w:rsid w:val="DFFFA9E8"/>
    <w:rsid w:val="E5F4E9DC"/>
    <w:rsid w:val="E70FE695"/>
    <w:rsid w:val="EB2E368B"/>
    <w:rsid w:val="ECFED1BC"/>
    <w:rsid w:val="ED1D69BB"/>
    <w:rsid w:val="ED7FD312"/>
    <w:rsid w:val="EE3F14F2"/>
    <w:rsid w:val="EF2E1AC6"/>
    <w:rsid w:val="EF53993F"/>
    <w:rsid w:val="EF6FD633"/>
    <w:rsid w:val="EFBFB2F4"/>
    <w:rsid w:val="EFBFFA21"/>
    <w:rsid w:val="EFDC7BA0"/>
    <w:rsid w:val="F1BDDC35"/>
    <w:rsid w:val="F2BEBCB8"/>
    <w:rsid w:val="F36FB518"/>
    <w:rsid w:val="F3DE1A04"/>
    <w:rsid w:val="F3F722E5"/>
    <w:rsid w:val="F4FBCD07"/>
    <w:rsid w:val="FA5F1E70"/>
    <w:rsid w:val="FA5FDB97"/>
    <w:rsid w:val="FB57638E"/>
    <w:rsid w:val="FB7F486A"/>
    <w:rsid w:val="FBAF9D36"/>
    <w:rsid w:val="FBF7CBF9"/>
    <w:rsid w:val="FBFF5B2E"/>
    <w:rsid w:val="FD3FFEA8"/>
    <w:rsid w:val="FD7FFE2B"/>
    <w:rsid w:val="FDB27233"/>
    <w:rsid w:val="FDEE196B"/>
    <w:rsid w:val="FDFE6575"/>
    <w:rsid w:val="FEDFDDC2"/>
    <w:rsid w:val="FEED32F6"/>
    <w:rsid w:val="FEF781DD"/>
    <w:rsid w:val="FEFCA474"/>
    <w:rsid w:val="FF3F7E3F"/>
    <w:rsid w:val="FF4B365A"/>
    <w:rsid w:val="FFB3DFCA"/>
    <w:rsid w:val="FFBA12D7"/>
    <w:rsid w:val="FFCBD314"/>
    <w:rsid w:val="FFDFF58B"/>
    <w:rsid w:val="FFDFF91C"/>
    <w:rsid w:val="FFDFFAEE"/>
    <w:rsid w:val="FFE8C998"/>
    <w:rsid w:val="FFEF6777"/>
    <w:rsid w:val="FFF3D817"/>
    <w:rsid w:val="FFF9B57B"/>
    <w:rsid w:val="FFFC530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8"/>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99"/>
    <w:rPr>
      <w:rFonts w:ascii="宋体"/>
    </w:rPr>
  </w:style>
  <w:style w:type="paragraph" w:styleId="11">
    <w:name w:val="Balloon Text"/>
    <w:basedOn w:val="1"/>
    <w:link w:val="34"/>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HTML Preformatted"/>
    <w:next w:val="8"/>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Times New Roman" w:eastAsia="宋体" w:cs="Times New Roman"/>
      <w:sz w:val="24"/>
      <w:szCs w:val="24"/>
      <w:lang w:val="en-US" w:eastAsia="zh-CN" w:bidi="ar-SA"/>
    </w:rPr>
  </w:style>
  <w:style w:type="paragraph" w:styleId="17">
    <w:name w:val="Normal (Web)"/>
    <w:basedOn w:val="1"/>
    <w:qFormat/>
    <w:uiPriority w:val="0"/>
    <w:rPr>
      <w:sz w:val="24"/>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3"/>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12"/>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8"/>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link w:val="5"/>
    <w:qFormat/>
    <w:uiPriority w:val="9"/>
    <w:rPr>
      <w:rFonts w:ascii="Times New Roman" w:hAnsi="Times New Roman"/>
      <w:b/>
      <w:bCs/>
      <w:kern w:val="44"/>
      <w:sz w:val="44"/>
      <w:szCs w:val="44"/>
    </w:rPr>
  </w:style>
  <w:style w:type="character" w:customStyle="1" w:styleId="32">
    <w:name w:val="标题 2 Char"/>
    <w:basedOn w:val="19"/>
    <w:link w:val="6"/>
    <w:qFormat/>
    <w:uiPriority w:val="9"/>
    <w:rPr>
      <w:rFonts w:asciiTheme="majorHAnsi" w:hAnsiTheme="majorHAnsi" w:eastAsiaTheme="majorEastAsia" w:cstheme="majorBidi"/>
      <w:b/>
      <w:bCs/>
      <w:kern w:val="2"/>
      <w:sz w:val="32"/>
      <w:szCs w:val="32"/>
    </w:rPr>
  </w:style>
  <w:style w:type="paragraph" w:customStyle="1" w:styleId="33">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9"/>
    <w:link w:val="11"/>
    <w:semiHidden/>
    <w:qFormat/>
    <w:uiPriority w:val="99"/>
    <w:rPr>
      <w:rFonts w:ascii="Times New Roman" w:hAnsi="Times New Roman"/>
      <w:kern w:val="2"/>
      <w:sz w:val="18"/>
      <w:szCs w:val="18"/>
    </w:rPr>
  </w:style>
  <w:style w:type="character" w:customStyle="1" w:styleId="35">
    <w:name w:val="标题 3 Char"/>
    <w:basedOn w:val="19"/>
    <w:link w:val="7"/>
    <w:qFormat/>
    <w:uiPriority w:val="9"/>
    <w:rPr>
      <w:rFonts w:ascii="Times New Roman" w:hAnsi="Times New Roman"/>
      <w:b/>
      <w:bCs/>
      <w:kern w:val="2"/>
      <w:sz w:val="32"/>
      <w:szCs w:val="32"/>
    </w:rPr>
  </w:style>
  <w:style w:type="paragraph" w:customStyle="1" w:styleId="36">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8">
    <w:name w:val="WPSOffice手动目录 1"/>
    <w:qFormat/>
    <w:uiPriority w:val="0"/>
    <w:pPr>
      <w:ind w:leftChars="0"/>
    </w:pPr>
    <w:rPr>
      <w:rFonts w:asciiTheme="minorHAnsi" w:hAnsiTheme="minorHAnsi" w:eastAsiaTheme="minorEastAsia" w:cstheme="minorBidi"/>
      <w:sz w:val="20"/>
      <w:szCs w:val="20"/>
    </w:rPr>
  </w:style>
  <w:style w:type="paragraph" w:customStyle="1" w:styleId="3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altLang="en-US"/>
              <a:t>收入、支出决算总计变动情况图</a:t>
            </a:r>
            <a:r>
              <a:rPr lang="en-US" altLang="zh-CN"/>
              <a:t>  </a:t>
            </a:r>
            <a:r>
              <a:rPr altLang="en-US"/>
              <a:t>（单位：万元）</a:t>
            </a:r>
            <a:endParaRPr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2024</c:v>
                </c:pt>
              </c:numCache>
            </c:numRef>
          </c:cat>
          <c:val>
            <c:numRef>
              <c:f>Sheet1!$B$2:$B$3</c:f>
              <c:numCache>
                <c:formatCode>General</c:formatCode>
                <c:ptCount val="2"/>
                <c:pt idx="0">
                  <c:v>34066.84</c:v>
                </c:pt>
                <c:pt idx="1">
                  <c:v>38312.76</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2024</c:v>
                </c:pt>
              </c:numCache>
            </c:numRef>
          </c:cat>
          <c:val>
            <c:numRef>
              <c:f>Sheet1!$C$2:$C$3</c:f>
              <c:numCache>
                <c:formatCode>General</c:formatCode>
                <c:ptCount val="2"/>
                <c:pt idx="0">
                  <c:v>34066.84</c:v>
                </c:pt>
                <c:pt idx="1">
                  <c:v>38312.76</c:v>
                </c:pt>
              </c:numCache>
            </c:numRef>
          </c:val>
        </c:ser>
        <c:dLbls>
          <c:showLegendKey val="false"/>
          <c:showVal val="true"/>
          <c:showCatName val="false"/>
          <c:showSerName val="false"/>
          <c:showPercent val="false"/>
          <c:showBubbleSize val="false"/>
        </c:dLbls>
        <c:gapWidth val="246"/>
        <c:overlap val="-28"/>
        <c:axId val="894953583"/>
        <c:axId val="292097734"/>
      </c:barChart>
      <c:catAx>
        <c:axId val="89495358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92097734"/>
        <c:crosses val="autoZero"/>
        <c:auto val="true"/>
        <c:lblAlgn val="ctr"/>
        <c:lblOffset val="100"/>
        <c:noMultiLvlLbl val="false"/>
      </c:catAx>
      <c:valAx>
        <c:axId val="292097734"/>
        <c:scaling>
          <c:orientation val="minMax"/>
          <c:min val="0"/>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9495358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tx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收入决算结构图  （单位：万元）</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dLbl>
              <c:idx val="0"/>
              <c:layout>
                <c:manualLayout>
                  <c:x val="0.0290798119987324"/>
                  <c:y val="-0.0573403454682255"/>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43027537111001"/>
                  <c:y val="-0.0665217294640872"/>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c:v>
                </c:pt>
                <c:pt idx="1">
                  <c:v>政府性基金预算</c:v>
                </c:pt>
              </c:strCache>
            </c:strRef>
          </c:cat>
          <c:val>
            <c:numRef>
              <c:f>Sheet1!$B$2:$B$3</c:f>
              <c:numCache>
                <c:formatCode>General</c:formatCode>
                <c:ptCount val="2"/>
                <c:pt idx="0">
                  <c:v>15630.4</c:v>
                </c:pt>
                <c:pt idx="1">
                  <c:v>22645.97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tx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支出决算结构图  （单位：万元）</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dLbl>
              <c:idx val="0"/>
              <c:layout>
                <c:manualLayout>
                  <c:x val="0.0794098809556342"/>
                  <c:y val="0.0516013490515414"/>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110214397194521"/>
                  <c:y val="-0.108974892780914"/>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8558.17</c:v>
                </c:pt>
                <c:pt idx="1">
                  <c:v>29718.2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altLang="en-US"/>
              <a:t>财政拨款收、支出决算总计变动情况图</a:t>
            </a:r>
            <a:r>
              <a:rPr lang="en-US" altLang="zh-CN"/>
              <a:t>  </a:t>
            </a:r>
            <a:endParaRPr lang="en-US" altLang="zh-CN"/>
          </a:p>
          <a:p>
            <a:pPr defTabSz="914400">
              <a:defRPr lang="zh-CN" sz="1400" b="1" i="0" u="none" strike="noStrike" kern="1200" baseline="0">
                <a:solidFill>
                  <a:schemeClr val="tx1">
                    <a:lumMod val="75000"/>
                    <a:lumOff val="25000"/>
                  </a:schemeClr>
                </a:solidFill>
                <a:latin typeface="+mn-lt"/>
                <a:ea typeface="+mn-ea"/>
                <a:cs typeface="+mn-cs"/>
              </a:defRPr>
            </a:pPr>
            <a:r>
              <a:rPr altLang="en-US"/>
              <a:t>（单位：万元）</a:t>
            </a:r>
            <a:endParaRPr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2024</c:v>
                </c:pt>
              </c:numCache>
            </c:numRef>
          </c:cat>
          <c:val>
            <c:numRef>
              <c:f>Sheet1!$B$2:$B$3</c:f>
              <c:numCache>
                <c:formatCode>General</c:formatCode>
                <c:ptCount val="2"/>
                <c:pt idx="0">
                  <c:v>33916.84</c:v>
                </c:pt>
                <c:pt idx="1">
                  <c:v>38276.37</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2024</c:v>
                </c:pt>
              </c:numCache>
            </c:numRef>
          </c:cat>
          <c:val>
            <c:numRef>
              <c:f>Sheet1!$C$2:$C$3</c:f>
              <c:numCache>
                <c:formatCode>General</c:formatCode>
                <c:ptCount val="2"/>
                <c:pt idx="0">
                  <c:v>33916.84</c:v>
                </c:pt>
                <c:pt idx="1">
                  <c:v>38276.37</c:v>
                </c:pt>
              </c:numCache>
            </c:numRef>
          </c:val>
        </c:ser>
        <c:dLbls>
          <c:showLegendKey val="false"/>
          <c:showVal val="true"/>
          <c:showCatName val="false"/>
          <c:showSerName val="false"/>
          <c:showPercent val="false"/>
          <c:showBubbleSize val="false"/>
        </c:dLbls>
        <c:gapWidth val="246"/>
        <c:overlap val="-28"/>
        <c:axId val="894953583"/>
        <c:axId val="292097734"/>
      </c:barChart>
      <c:catAx>
        <c:axId val="89495358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92097734"/>
        <c:crosses val="autoZero"/>
        <c:auto val="true"/>
        <c:lblAlgn val="ctr"/>
        <c:lblOffset val="100"/>
        <c:noMultiLvlLbl val="false"/>
      </c:catAx>
      <c:valAx>
        <c:axId val="292097734"/>
        <c:scaling>
          <c:orientation val="minMax"/>
          <c:min val="0"/>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9495358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一般公共预算财政拨款支出决算变动情况图</a:t>
            </a:r>
            <a:r>
              <a:rPr lang="en-US" altLang="zh-CN"/>
              <a:t>  </a:t>
            </a:r>
            <a:endParaRPr lang="en-US" altLang="zh-CN"/>
          </a:p>
          <a:p>
            <a:pPr defTabSz="914400">
              <a:defRPr lang="zh-CN" sz="1400" b="1" i="0" u="none" strike="noStrike" kern="1200" baseline="0">
                <a:solidFill>
                  <a:schemeClr val="tx1">
                    <a:lumMod val="75000"/>
                    <a:lumOff val="25000"/>
                  </a:schemeClr>
                </a:solidFill>
                <a:latin typeface="+mn-lt"/>
                <a:ea typeface="+mn-ea"/>
                <a:cs typeface="+mn-cs"/>
              </a:defRPr>
            </a:pPr>
            <a:r>
              <a:rPr altLang="en-US"/>
              <a:t>（单位：万元）</a:t>
            </a:r>
            <a:endParaRPr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2023</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12027.77</c:v>
                </c:pt>
              </c:numCache>
            </c:numRef>
          </c:val>
        </c:ser>
        <c:ser>
          <c:idx val="1"/>
          <c:order val="1"/>
          <c:tx>
            <c:strRef>
              <c:f>Sheet1!$C$1</c:f>
              <c:strCache>
                <c:ptCount val="1"/>
                <c:pt idx="0">
                  <c:v>2024</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15630.4</c:v>
                </c:pt>
              </c:numCache>
            </c:numRef>
          </c:val>
        </c:ser>
        <c:dLbls>
          <c:showLegendKey val="false"/>
          <c:showVal val="true"/>
          <c:showCatName val="false"/>
          <c:showSerName val="false"/>
          <c:showPercent val="false"/>
          <c:showBubbleSize val="false"/>
        </c:dLbls>
        <c:gapWidth val="246"/>
        <c:overlap val="-28"/>
        <c:axId val="142881977"/>
        <c:axId val="725572972"/>
      </c:barChart>
      <c:catAx>
        <c:axId val="14288197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5572972"/>
        <c:crosses val="autoZero"/>
        <c:auto val="true"/>
        <c:lblAlgn val="ctr"/>
        <c:lblOffset val="100"/>
        <c:noMultiLvlLbl val="false"/>
      </c:catAx>
      <c:valAx>
        <c:axId val="725572972"/>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288197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一般公共预算财政拨款支出决算结构图  </a:t>
            </a:r>
          </a:p>
          <a:p>
            <a:pPr defTabSz="914400">
              <a:defRPr lang="zh-CN" sz="1400" b="1" i="0" u="none" strike="noStrike" kern="1200" baseline="0">
                <a:solidFill>
                  <a:schemeClr val="tx1">
                    <a:lumMod val="75000"/>
                    <a:lumOff val="25000"/>
                  </a:schemeClr>
                </a:solidFill>
                <a:latin typeface="+mn-lt"/>
                <a:ea typeface="+mn-ea"/>
                <a:cs typeface="+mn-cs"/>
              </a:defRPr>
            </a:pPr>
            <a:r>
              <a:t>（单位：万元）</a:t>
            </a:r>
          </a:p>
        </c:rich>
      </c:tx>
      <c:layout>
        <c:manualLayout>
          <c:xMode val="edge"/>
          <c:yMode val="edge"/>
          <c:x val="0.381130707900459"/>
          <c:y val="0.036761580960476"/>
        </c:manualLayout>
      </c:layout>
      <c:overlay val="false"/>
      <c:spPr>
        <a:noFill/>
        <a:ln>
          <a:noFill/>
        </a:ln>
        <a:effectLst/>
      </c:spPr>
    </c:title>
    <c:autoTitleDeleted val="false"/>
    <c:plotArea>
      <c:layout/>
      <c:pieChart>
        <c:varyColors val="true"/>
        <c:ser>
          <c:idx val="0"/>
          <c:order val="0"/>
          <c:tx>
            <c:strRef>
              <c:f>Sheet1!$B$1</c:f>
              <c:strCache>
                <c:ptCount val="1"/>
                <c:pt idx="0">
                  <c:v>一般公共预算财政拨款支出决算结构图  （单位：万元）</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Pt>
            <c:idx val="4"/>
            <c:bubble3D val="false"/>
            <c:spPr>
              <a:solidFill>
                <a:schemeClr val="accent5"/>
              </a:solidFill>
              <a:ln>
                <a:solidFill>
                  <a:schemeClr val="bg1"/>
                </a:solidFill>
              </a:ln>
              <a:effectLst/>
            </c:spPr>
          </c:dPt>
          <c:dPt>
            <c:idx val="5"/>
            <c:bubble3D val="false"/>
            <c:explosion val="0"/>
            <c:spPr>
              <a:solidFill>
                <a:schemeClr val="accent6"/>
              </a:solidFill>
              <a:ln>
                <a:solidFill>
                  <a:schemeClr val="bg1"/>
                </a:solidFill>
              </a:ln>
              <a:effectLst/>
            </c:spPr>
          </c:dPt>
          <c:dLbls>
            <c:dLbl>
              <c:idx val="0"/>
              <c:layout>
                <c:manualLayout>
                  <c:x val="0.123039675759455"/>
                  <c:y val="0.0216477218778213"/>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920450537175014"/>
                  <c:y val="0.0537290213713365"/>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571607436403676"/>
                  <c:y val="-0.00654127626758232"/>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139694404671669"/>
                  <c:y val="-0.0696364372273442"/>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171623928817268"/>
                  <c:y val="0.049621674490143"/>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5"/>
              <c:layout>
                <c:manualLayout>
                  <c:x val="-0.127893135863938"/>
                  <c:y val="-0.0293540004059702"/>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0.2</a:t>
                    </a:r>
                    <a:r>
                      <a:rPr lang="en-US" altLang="zh-CN"/>
                      <a:t>5</a:t>
                    </a:r>
                    <a:r>
                      <a:t>%</a:t>
                    </a:r>
                  </a:p>
                </c:rich>
              </c:tx>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一般公共服务支出</c:v>
                </c:pt>
                <c:pt idx="1">
                  <c:v>社会保障和就业支出</c:v>
                </c:pt>
                <c:pt idx="2">
                  <c:v>卫生健康支出</c:v>
                </c:pt>
                <c:pt idx="3">
                  <c:v>城乡社区支出</c:v>
                </c:pt>
                <c:pt idx="4">
                  <c:v>住房保障支出</c:v>
                </c:pt>
                <c:pt idx="5">
                  <c:v>其他支出</c:v>
                </c:pt>
              </c:strCache>
            </c:strRef>
          </c:cat>
          <c:val>
            <c:numRef>
              <c:f>Sheet1!$B$2:$B$7</c:f>
              <c:numCache>
                <c:formatCode>General</c:formatCode>
                <c:ptCount val="6"/>
                <c:pt idx="0">
                  <c:v>9.38</c:v>
                </c:pt>
                <c:pt idx="1">
                  <c:v>2171.22</c:v>
                </c:pt>
                <c:pt idx="2">
                  <c:v>358.03</c:v>
                </c:pt>
                <c:pt idx="3">
                  <c:v>12531.69</c:v>
                </c:pt>
                <c:pt idx="4">
                  <c:v>520.08</c:v>
                </c:pt>
                <c:pt idx="5">
                  <c:v>40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69267939115728"/>
          <c:y val="0.0191245218869529"/>
        </c:manualLayout>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tx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
（单位：万元）</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dLbl>
              <c:idx val="0"/>
              <c:layout>
                <c:manualLayout>
                  <c:x val="0.204859123990463"/>
                  <c:y val="-0.148472332201601"/>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181302714533"/>
                  <c:y val="0.0655994088590773"/>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106.68</c:v>
                </c:pt>
                <c:pt idx="1">
                  <c:v>3.66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dac86a-0acc-4c8c-a403-55e728598543}"/>
        <w:style w:val=""/>
        <w:category>
          <w:name w:val="常规"/>
          <w:gallery w:val="placeholder"/>
        </w:category>
        <w:types>
          <w:type w:val="bbPlcHdr"/>
        </w:types>
        <w:behaviors>
          <w:behavior w:val="content"/>
        </w:behaviors>
        <w:description w:val=""/>
        <w:guid w:val="{dcdac86a-0acc-4c8c-a403-55e728598543}"/>
      </w:docPartPr>
      <w:docPartBody>
        <w:p>
          <w:r>
            <w:rPr>
              <w:color w:val="808080"/>
            </w:rPr>
            <w:t>单击此处输入文字。</w:t>
          </w:r>
        </w:p>
      </w:docPartBody>
    </w:docPart>
    <w:docPart>
      <w:docPartPr>
        <w:name w:val="{26ff176a-2638-4204-8c16-13d586417d70}"/>
        <w:style w:val=""/>
        <w:category>
          <w:name w:val="常规"/>
          <w:gallery w:val="placeholder"/>
        </w:category>
        <w:types>
          <w:type w:val="bbPlcHdr"/>
        </w:types>
        <w:behaviors>
          <w:behavior w:val="content"/>
        </w:behaviors>
        <w:description w:val=""/>
        <w:guid w:val="{26ff176a-2638-4204-8c16-13d586417d70}"/>
      </w:docPartPr>
      <w:docPartBody>
        <w:p>
          <w:r>
            <w:rPr>
              <w:color w:val="808080"/>
            </w:rPr>
            <w:t>单击此处输入文字。</w:t>
          </w:r>
        </w:p>
      </w:docPartBody>
    </w:docPart>
    <w:docPart>
      <w:docPartPr>
        <w:name w:val="{7d7116b3-3c56-4823-a092-b1c7d546ba4b}"/>
        <w:style w:val=""/>
        <w:category>
          <w:name w:val="常规"/>
          <w:gallery w:val="placeholder"/>
        </w:category>
        <w:types>
          <w:type w:val="bbPlcHdr"/>
        </w:types>
        <w:behaviors>
          <w:behavior w:val="content"/>
        </w:behaviors>
        <w:description w:val=""/>
        <w:guid w:val="{7d7116b3-3c56-4823-a092-b1c7d546ba4b}"/>
      </w:docPartPr>
      <w:docPartBody>
        <w:p>
          <w:r>
            <w:rPr>
              <w:color w:val="808080"/>
            </w:rPr>
            <w:t>单击此处输入文字。</w:t>
          </w:r>
        </w:p>
      </w:docPartBody>
    </w:docPart>
    <w:docPart>
      <w:docPartPr>
        <w:name w:val="{08862dcc-7d9b-4db5-860b-567cba8ea1e5}"/>
        <w:style w:val=""/>
        <w:category>
          <w:name w:val="常规"/>
          <w:gallery w:val="placeholder"/>
        </w:category>
        <w:types>
          <w:type w:val="bbPlcHdr"/>
        </w:types>
        <w:behaviors>
          <w:behavior w:val="content"/>
        </w:behaviors>
        <w:description w:val=""/>
        <w:guid w:val="{08862dcc-7d9b-4db5-860b-567cba8ea1e5}"/>
      </w:docPartPr>
      <w:docPartBody>
        <w:p>
          <w:r>
            <w:rPr>
              <w:color w:val="808080"/>
            </w:rPr>
            <w:t>单击此处输入文字。</w:t>
          </w:r>
        </w:p>
      </w:docPartBody>
    </w:docPart>
    <w:docPart>
      <w:docPartPr>
        <w:name w:val="{114832f3-215e-4fb8-a7a0-41bd4d2bec30}"/>
        <w:style w:val=""/>
        <w:category>
          <w:name w:val="常规"/>
          <w:gallery w:val="placeholder"/>
        </w:category>
        <w:types>
          <w:type w:val="bbPlcHdr"/>
        </w:types>
        <w:behaviors>
          <w:behavior w:val="content"/>
        </w:behaviors>
        <w:description w:val=""/>
        <w:guid w:val="{114832f3-215e-4fb8-a7a0-41bd4d2bec30}"/>
      </w:docPartPr>
      <w:docPartBody>
        <w:p>
          <w:r>
            <w:rPr>
              <w:color w:val="808080"/>
            </w:rPr>
            <w:t>单击此处输入文字。</w:t>
          </w:r>
        </w:p>
      </w:docPartBody>
    </w:docPart>
    <w:docPart>
      <w:docPartPr>
        <w:name w:val="{59d440bc-15db-48ee-afbd-32840bab68cc}"/>
        <w:style w:val=""/>
        <w:category>
          <w:name w:val="常规"/>
          <w:gallery w:val="placeholder"/>
        </w:category>
        <w:types>
          <w:type w:val="bbPlcHdr"/>
        </w:types>
        <w:behaviors>
          <w:behavior w:val="content"/>
        </w:behaviors>
        <w:description w:val=""/>
        <w:guid w:val="{59d440bc-15db-48ee-afbd-32840bab68cc}"/>
      </w:docPartPr>
      <w:docPartBody>
        <w:p>
          <w:r>
            <w:rPr>
              <w:color w:val="808080"/>
            </w:rPr>
            <w:t>单击此处输入文字。</w:t>
          </w:r>
        </w:p>
      </w:docPartBody>
    </w:docPart>
    <w:docPart>
      <w:docPartPr>
        <w:name w:val="{d049ff8c-c9cf-40a5-b701-8b9ab507cc9e}"/>
        <w:style w:val=""/>
        <w:category>
          <w:name w:val="常规"/>
          <w:gallery w:val="placeholder"/>
        </w:category>
        <w:types>
          <w:type w:val="bbPlcHdr"/>
        </w:types>
        <w:behaviors>
          <w:behavior w:val="content"/>
        </w:behaviors>
        <w:description w:val=""/>
        <w:guid w:val="{d049ff8c-c9cf-40a5-b701-8b9ab507cc9e}"/>
      </w:docPartPr>
      <w:docPartBody>
        <w:p>
          <w:r>
            <w:rPr>
              <w:color w:val="808080"/>
            </w:rPr>
            <w:t>单击此处输入文字。</w:t>
          </w:r>
        </w:p>
      </w:docPartBody>
    </w:docPart>
    <w:docPart>
      <w:docPartPr>
        <w:name w:val="{7eebce5d-9da3-4e38-b577-6ced869c1ade}"/>
        <w:style w:val=""/>
        <w:category>
          <w:name w:val="常规"/>
          <w:gallery w:val="placeholder"/>
        </w:category>
        <w:types>
          <w:type w:val="bbPlcHdr"/>
        </w:types>
        <w:behaviors>
          <w:behavior w:val="content"/>
        </w:behaviors>
        <w:description w:val=""/>
        <w:guid w:val="{7eebce5d-9da3-4e38-b577-6ced869c1ade}"/>
      </w:docPartPr>
      <w:docPartBody>
        <w:p>
          <w:r>
            <w:rPr>
              <w:color w:val="808080"/>
            </w:rPr>
            <w:t>单击此处输入文字。</w:t>
          </w:r>
        </w:p>
      </w:docPartBody>
    </w:docPart>
    <w:docPart>
      <w:docPartPr>
        <w:name w:val="{c32a50ed-99a6-4283-bedd-241ada10a07a}"/>
        <w:style w:val=""/>
        <w:category>
          <w:name w:val="常规"/>
          <w:gallery w:val="placeholder"/>
        </w:category>
        <w:types>
          <w:type w:val="bbPlcHdr"/>
        </w:types>
        <w:behaviors>
          <w:behavior w:val="content"/>
        </w:behaviors>
        <w:description w:val=""/>
        <w:guid w:val="{c32a50ed-99a6-4283-bedd-241ada10a07a}"/>
      </w:docPartPr>
      <w:docPartBody>
        <w:p>
          <w:r>
            <w:rPr>
              <w:color w:val="808080"/>
            </w:rPr>
            <w:t>单击此处输入文字。</w:t>
          </w:r>
        </w:p>
      </w:docPartBody>
    </w:docPart>
    <w:docPart>
      <w:docPartPr>
        <w:name w:val="{e9443553-dbb9-44c2-9b0a-79e3f1077352}"/>
        <w:style w:val=""/>
        <w:category>
          <w:name w:val="常规"/>
          <w:gallery w:val="placeholder"/>
        </w:category>
        <w:types>
          <w:type w:val="bbPlcHdr"/>
        </w:types>
        <w:behaviors>
          <w:behavior w:val="content"/>
        </w:behaviors>
        <w:description w:val=""/>
        <w:guid w:val="{e9443553-dbb9-44c2-9b0a-79e3f1077352}"/>
      </w:docPartPr>
      <w:docPartBody>
        <w:p>
          <w:r>
            <w:rPr>
              <w:color w:val="808080"/>
            </w:rPr>
            <w:t>单击此处输入文字。</w:t>
          </w:r>
        </w:p>
      </w:docPartBody>
    </w:docPart>
    <w:docPart>
      <w:docPartPr>
        <w:name w:val="{8cd46d97-9498-426a-897d-1c51f9ea0a4a}"/>
        <w:style w:val=""/>
        <w:category>
          <w:name w:val="常规"/>
          <w:gallery w:val="placeholder"/>
        </w:category>
        <w:types>
          <w:type w:val="bbPlcHdr"/>
        </w:types>
        <w:behaviors>
          <w:behavior w:val="content"/>
        </w:behaviors>
        <w:description w:val=""/>
        <w:guid w:val="{8cd46d97-9498-426a-897d-1c51f9ea0a4a}"/>
      </w:docPartPr>
      <w:docPartBody>
        <w:p>
          <w:r>
            <w:rPr>
              <w:color w:val="808080"/>
            </w:rPr>
            <w:t>单击此处输入文字。</w:t>
          </w:r>
        </w:p>
      </w:docPartBody>
    </w:docPart>
    <w:docPart>
      <w:docPartPr>
        <w:name w:val="{5d7f47e3-1ab0-4976-85a7-d53758713202}"/>
        <w:style w:val=""/>
        <w:category>
          <w:name w:val="常规"/>
          <w:gallery w:val="placeholder"/>
        </w:category>
        <w:types>
          <w:type w:val="bbPlcHdr"/>
        </w:types>
        <w:behaviors>
          <w:behavior w:val="content"/>
        </w:behaviors>
        <w:description w:val=""/>
        <w:guid w:val="{5d7f47e3-1ab0-4976-85a7-d53758713202}"/>
      </w:docPartPr>
      <w:docPartBody>
        <w:p>
          <w:r>
            <w:rPr>
              <w:color w:val="808080"/>
            </w:rPr>
            <w:t>单击此处输入文字。</w:t>
          </w:r>
        </w:p>
      </w:docPartBody>
    </w:docPart>
    <w:docPart>
      <w:docPartPr>
        <w:name w:val="{9b3f7ef7-1db4-4407-98d5-a900f69bb059}"/>
        <w:style w:val=""/>
        <w:category>
          <w:name w:val="常规"/>
          <w:gallery w:val="placeholder"/>
        </w:category>
        <w:types>
          <w:type w:val="bbPlcHdr"/>
        </w:types>
        <w:behaviors>
          <w:behavior w:val="content"/>
        </w:behaviors>
        <w:description w:val=""/>
        <w:guid w:val="{9b3f7ef7-1db4-4407-98d5-a900f69bb059}"/>
      </w:docPartPr>
      <w:docPartBody>
        <w:p>
          <w:r>
            <w:rPr>
              <w:color w:val="808080"/>
            </w:rPr>
            <w:t>单击此处输入文字。</w:t>
          </w:r>
        </w:p>
      </w:docPartBody>
    </w:docPart>
    <w:docPart>
      <w:docPartPr>
        <w:name w:val="{e4e8ea9b-8640-446c-af59-c3a37693c10d}"/>
        <w:style w:val=""/>
        <w:category>
          <w:name w:val="常规"/>
          <w:gallery w:val="placeholder"/>
        </w:category>
        <w:types>
          <w:type w:val="bbPlcHdr"/>
        </w:types>
        <w:behaviors>
          <w:behavior w:val="content"/>
        </w:behaviors>
        <w:description w:val=""/>
        <w:guid w:val="{e4e8ea9b-8640-446c-af59-c3a37693c10d}"/>
      </w:docPartPr>
      <w:docPartBody>
        <w:p>
          <w:r>
            <w:rPr>
              <w:color w:val="808080"/>
            </w:rPr>
            <w:t>单击此处输入文字。</w:t>
          </w:r>
        </w:p>
      </w:docPartBody>
    </w:docPart>
    <w:docPart>
      <w:docPartPr>
        <w:name w:val="{4a11a76f-4e5d-46ee-aaf8-529e4cf816d9}"/>
        <w:style w:val=""/>
        <w:category>
          <w:name w:val="常规"/>
          <w:gallery w:val="placeholder"/>
        </w:category>
        <w:types>
          <w:type w:val="bbPlcHdr"/>
        </w:types>
        <w:behaviors>
          <w:behavior w:val="content"/>
        </w:behaviors>
        <w:description w:val=""/>
        <w:guid w:val="{4a11a76f-4e5d-46ee-aaf8-529e4cf816d9}"/>
      </w:docPartPr>
      <w:docPartBody>
        <w:p>
          <w:r>
            <w:rPr>
              <w:color w:val="808080"/>
            </w:rPr>
            <w:t>单击此处输入文字。</w:t>
          </w:r>
        </w:p>
      </w:docPartBody>
    </w:docPart>
    <w:docPart>
      <w:docPartPr>
        <w:name w:val="{0a2f3ebc-1a4c-4eb4-aab9-a89d990bb643}"/>
        <w:style w:val=""/>
        <w:category>
          <w:name w:val="常规"/>
          <w:gallery w:val="placeholder"/>
        </w:category>
        <w:types>
          <w:type w:val="bbPlcHdr"/>
        </w:types>
        <w:behaviors>
          <w:behavior w:val="content"/>
        </w:behaviors>
        <w:description w:val=""/>
        <w:guid w:val="{0a2f3ebc-1a4c-4eb4-aab9-a89d990bb643}"/>
      </w:docPartPr>
      <w:docPartBody>
        <w:p>
          <w:r>
            <w:rPr>
              <w:color w:val="808080"/>
            </w:rPr>
            <w:t>单击此处输入文字。</w:t>
          </w:r>
        </w:p>
      </w:docPartBody>
    </w:docPart>
    <w:docPart>
      <w:docPartPr>
        <w:name w:val="{ca98029b-b0a3-4c44-b983-c03003632081}"/>
        <w:style w:val=""/>
        <w:category>
          <w:name w:val="常规"/>
          <w:gallery w:val="placeholder"/>
        </w:category>
        <w:types>
          <w:type w:val="bbPlcHdr"/>
        </w:types>
        <w:behaviors>
          <w:behavior w:val="content"/>
        </w:behaviors>
        <w:description w:val=""/>
        <w:guid w:val="{ca98029b-b0a3-4c44-b983-c03003632081}"/>
      </w:docPartPr>
      <w:docPartBody>
        <w:p>
          <w:r>
            <w:rPr>
              <w:color w:val="808080"/>
            </w:rPr>
            <w:t>单击此处输入文字。</w:t>
          </w:r>
        </w:p>
      </w:docPartBody>
    </w:docPart>
    <w:docPart>
      <w:docPartPr>
        <w:name w:val="{334567db-6464-4f81-b673-107b547e936c}"/>
        <w:style w:val=""/>
        <w:category>
          <w:name w:val="常规"/>
          <w:gallery w:val="placeholder"/>
        </w:category>
        <w:types>
          <w:type w:val="bbPlcHdr"/>
        </w:types>
        <w:behaviors>
          <w:behavior w:val="content"/>
        </w:behaviors>
        <w:description w:val=""/>
        <w:guid w:val="{334567db-6464-4f81-b673-107b547e936c}"/>
      </w:docPartPr>
      <w:docPartBody>
        <w:p>
          <w:r>
            <w:rPr>
              <w:color w:val="808080"/>
            </w:rPr>
            <w:t>单击此处输入文字。</w:t>
          </w:r>
        </w:p>
      </w:docPartBody>
    </w:docPart>
    <w:docPart>
      <w:docPartPr>
        <w:name w:val="{24674a03-a474-4f63-9b5d-9a9860e5dbfd}"/>
        <w:style w:val=""/>
        <w:category>
          <w:name w:val="常规"/>
          <w:gallery w:val="placeholder"/>
        </w:category>
        <w:types>
          <w:type w:val="bbPlcHdr"/>
        </w:types>
        <w:behaviors>
          <w:behavior w:val="content"/>
        </w:behaviors>
        <w:description w:val=""/>
        <w:guid w:val="{24674a03-a474-4f63-9b5d-9a9860e5dbfd}"/>
      </w:docPartPr>
      <w:docPartBody>
        <w:p>
          <w:r>
            <w:rPr>
              <w:color w:val="808080"/>
            </w:rPr>
            <w:t>单击此处输入文字。</w:t>
          </w:r>
        </w:p>
      </w:docPartBody>
    </w:docPart>
    <w:docPart>
      <w:docPartPr>
        <w:name w:val="{8471df41-9b23-4781-9725-5ab6c90401d1}"/>
        <w:style w:val=""/>
        <w:category>
          <w:name w:val="常规"/>
          <w:gallery w:val="placeholder"/>
        </w:category>
        <w:types>
          <w:type w:val="bbPlcHdr"/>
        </w:types>
        <w:behaviors>
          <w:behavior w:val="content"/>
        </w:behaviors>
        <w:description w:val=""/>
        <w:guid w:val="{8471df41-9b23-4781-9725-5ab6c90401d1}"/>
      </w:docPartPr>
      <w:docPartBody>
        <w:p>
          <w:r>
            <w:rPr>
              <w:color w:val="808080"/>
            </w:rPr>
            <w:t>单击此处输入文字。</w:t>
          </w:r>
        </w:p>
      </w:docPartBody>
    </w:docPart>
    <w:docPart>
      <w:docPartPr>
        <w:name w:val="{5380289e-43b6-4e7c-8abb-c94826d01ddb}"/>
        <w:style w:val=""/>
        <w:category>
          <w:name w:val="常规"/>
          <w:gallery w:val="placeholder"/>
        </w:category>
        <w:types>
          <w:type w:val="bbPlcHdr"/>
        </w:types>
        <w:behaviors>
          <w:behavior w:val="content"/>
        </w:behaviors>
        <w:description w:val=""/>
        <w:guid w:val="{5380289e-43b6-4e7c-8abb-c94826d01ddb}"/>
      </w:docPartPr>
      <w:docPartBody>
        <w:p>
          <w:r>
            <w:rPr>
              <w:color w:val="808080"/>
            </w:rPr>
            <w:t>单击此处输入文字。</w:t>
          </w:r>
        </w:p>
      </w:docPartBody>
    </w:docPart>
    <w:docPart>
      <w:docPartPr>
        <w:name w:val="{4602585d-a9fb-4361-8ee3-26df450f391b}"/>
        <w:style w:val=""/>
        <w:category>
          <w:name w:val="常规"/>
          <w:gallery w:val="placeholder"/>
        </w:category>
        <w:types>
          <w:type w:val="bbPlcHdr"/>
        </w:types>
        <w:behaviors>
          <w:behavior w:val="content"/>
        </w:behaviors>
        <w:description w:val=""/>
        <w:guid w:val="{4602585d-a9fb-4361-8ee3-26df450f391b}"/>
      </w:docPartPr>
      <w:docPartBody>
        <w:p>
          <w:r>
            <w:rPr>
              <w:color w:val="808080"/>
            </w:rPr>
            <w:t>单击此处输入文字。</w:t>
          </w:r>
        </w:p>
      </w:docPartBody>
    </w:docPart>
    <w:docPart>
      <w:docPartPr>
        <w:name w:val="{bf263fba-4252-4a9d-9a9f-35893ad2eb4c}"/>
        <w:style w:val=""/>
        <w:category>
          <w:name w:val="常规"/>
          <w:gallery w:val="placeholder"/>
        </w:category>
        <w:types>
          <w:type w:val="bbPlcHdr"/>
        </w:types>
        <w:behaviors>
          <w:behavior w:val="content"/>
        </w:behaviors>
        <w:description w:val=""/>
        <w:guid w:val="{bf263fba-4252-4a9d-9a9f-35893ad2eb4c}"/>
      </w:docPartPr>
      <w:docPartBody>
        <w:p>
          <w:r>
            <w:rPr>
              <w:color w:val="808080"/>
            </w:rPr>
            <w:t>单击此处输入文字。</w:t>
          </w:r>
        </w:p>
      </w:docPartBody>
    </w:docPart>
    <w:docPart>
      <w:docPartPr>
        <w:name w:val="{3fd3d44f-f5cf-4557-9d27-73a3bbb0d5bb}"/>
        <w:style w:val=""/>
        <w:category>
          <w:name w:val="常规"/>
          <w:gallery w:val="placeholder"/>
        </w:category>
        <w:types>
          <w:type w:val="bbPlcHdr"/>
        </w:types>
        <w:behaviors>
          <w:behavior w:val="content"/>
        </w:behaviors>
        <w:description w:val=""/>
        <w:guid w:val="{3fd3d44f-f5cf-4557-9d27-73a3bbb0d5bb}"/>
      </w:docPartPr>
      <w:docPartBody>
        <w:p>
          <w:r>
            <w:rPr>
              <w:color w:val="808080"/>
            </w:rPr>
            <w:t>单击此处输入文字。</w:t>
          </w:r>
        </w:p>
      </w:docPartBody>
    </w:docPart>
    <w:docPart>
      <w:docPartPr>
        <w:name w:val="{3d01154d-2a05-4a75-8beb-9df1c77b9bc3}"/>
        <w:style w:val=""/>
        <w:category>
          <w:name w:val="常规"/>
          <w:gallery w:val="placeholder"/>
        </w:category>
        <w:types>
          <w:type w:val="bbPlcHdr"/>
        </w:types>
        <w:behaviors>
          <w:behavior w:val="content"/>
        </w:behaviors>
        <w:description w:val=""/>
        <w:guid w:val="{3d01154d-2a05-4a75-8beb-9df1c77b9bc3}"/>
      </w:docPartPr>
      <w:docPartBody>
        <w:p>
          <w:r>
            <w:rPr>
              <w:color w:val="808080"/>
            </w:rPr>
            <w:t>单击此处输入文字。</w:t>
          </w:r>
        </w:p>
      </w:docPartBody>
    </w:docPart>
    <w:docPart>
      <w:docPartPr>
        <w:name w:val="{f6279ee6-0439-4455-9772-5dcf24dbb9c9}"/>
        <w:style w:val=""/>
        <w:category>
          <w:name w:val="常规"/>
          <w:gallery w:val="placeholder"/>
        </w:category>
        <w:types>
          <w:type w:val="bbPlcHdr"/>
        </w:types>
        <w:behaviors>
          <w:behavior w:val="content"/>
        </w:behaviors>
        <w:description w:val=""/>
        <w:guid w:val="{f6279ee6-0439-4455-9772-5dcf24dbb9c9}"/>
      </w:docPartPr>
      <w:docPartBody>
        <w:p>
          <w:r>
            <w:rPr>
              <w:color w:val="808080"/>
            </w:rPr>
            <w:t>单击此处输入文字。</w:t>
          </w:r>
        </w:p>
      </w:docPartBody>
    </w:docPart>
    <w:docPart>
      <w:docPartPr>
        <w:name w:val="{49591165-5e48-47a2-a6f8-b8293668ed27}"/>
        <w:style w:val=""/>
        <w:category>
          <w:name w:val="常规"/>
          <w:gallery w:val="placeholder"/>
        </w:category>
        <w:types>
          <w:type w:val="bbPlcHdr"/>
        </w:types>
        <w:behaviors>
          <w:behavior w:val="content"/>
        </w:behaviors>
        <w:description w:val=""/>
        <w:guid w:val="{49591165-5e48-47a2-a6f8-b8293668ed27}"/>
      </w:docPartPr>
      <w:docPartBody>
        <w:p>
          <w:r>
            <w:rPr>
              <w:color w:val="808080"/>
            </w:rPr>
            <w:t>单击此处输入文字。</w:t>
          </w:r>
        </w:p>
      </w:docPartBody>
    </w:docPart>
    <w:docPart>
      <w:docPartPr>
        <w:name w:val="{f48e0d90-8675-4f79-888b-0964144ce84b}"/>
        <w:style w:val=""/>
        <w:category>
          <w:name w:val="常规"/>
          <w:gallery w:val="placeholder"/>
        </w:category>
        <w:types>
          <w:type w:val="bbPlcHdr"/>
        </w:types>
        <w:behaviors>
          <w:behavior w:val="content"/>
        </w:behaviors>
        <w:description w:val=""/>
        <w:guid w:val="{f48e0d90-8675-4f79-888b-0964144ce84b}"/>
      </w:docPartPr>
      <w:docPartBody>
        <w:p>
          <w:r>
            <w:rPr>
              <w:color w:val="808080"/>
            </w:rPr>
            <w:t>单击此处输入文字。</w:t>
          </w:r>
        </w:p>
      </w:docPartBody>
    </w:docPart>
    <w:docPart>
      <w:docPartPr>
        <w:name w:val="{42434bbd-50d8-40fe-8b40-49a0e00f5e3b}"/>
        <w:style w:val=""/>
        <w:category>
          <w:name w:val="常规"/>
          <w:gallery w:val="placeholder"/>
        </w:category>
        <w:types>
          <w:type w:val="bbPlcHdr"/>
        </w:types>
        <w:behaviors>
          <w:behavior w:val="content"/>
        </w:behaviors>
        <w:description w:val=""/>
        <w:guid w:val="{42434bbd-50d8-40fe-8b40-49a0e00f5e3b}"/>
      </w:docPartPr>
      <w:docPartBody>
        <w:p>
          <w:r>
            <w:rPr>
              <w:color w:val="808080"/>
            </w:rPr>
            <w:t>单击此处输入文字。</w:t>
          </w:r>
        </w:p>
      </w:docPartBody>
    </w:docPart>
    <w:docPart>
      <w:docPartPr>
        <w:name w:val="{a1f24134-5b21-4fe2-a85e-3393070cb905}"/>
        <w:style w:val=""/>
        <w:category>
          <w:name w:val="常规"/>
          <w:gallery w:val="placeholder"/>
        </w:category>
        <w:types>
          <w:type w:val="bbPlcHdr"/>
        </w:types>
        <w:behaviors>
          <w:behavior w:val="content"/>
        </w:behaviors>
        <w:description w:val=""/>
        <w:guid w:val="{a1f24134-5b21-4fe2-a85e-3393070cb9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39</Pages>
  <Words>9279</Words>
  <Characters>9907</Characters>
  <Lines>61</Lines>
  <Paragraphs>17</Paragraphs>
  <TotalTime>3</TotalTime>
  <ScaleCrop>false</ScaleCrop>
  <LinksUpToDate>false</LinksUpToDate>
  <CharactersWithSpaces>9942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2020-08-13T09:49:00Z</dcterms:created>
  <dc:creator>曹颖</dc:creator>
  <cp:lastModifiedBy>user</cp:lastModifiedBy>
  <cp:lastPrinted>2025-08-10T17:34:00Z</cp:lastPrinted>
  <dcterms:modified xsi:type="dcterms:W3CDTF">2025-09-16T19:32:57Z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40AA86AFB20040A18FCA5832B134119D_13</vt:lpwstr>
  </property>
  <property fmtid="{D5CDD505-2E9C-101B-9397-08002B2CF9AE}" pid="4" name="KSOTemplateDocerSaveRecord">
    <vt:lpwstr>eyJoZGlkIjoiMWU0MjA2NjUyNGVkZmE0NmFlNzBiZDUyOWQzNDJhYzEiLCJ1c2VySWQiOiI5MTQ2MDk3NTIifQ==</vt:lpwstr>
  </property>
</Properties>
</file>