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rPr>
          <w:rFonts w:hint="eastAsia" w:ascii="Times New Roman" w:hAnsi="Times New Roman" w:eastAsia="方正小标宋简体" w:cs="Times New Roman"/>
          <w:color w:val="auto"/>
          <w:kern w:val="2"/>
          <w:sz w:val="44"/>
          <w:szCs w:val="44"/>
          <w:highlight w:val="none"/>
          <w:lang w:val="en-US" w:eastAsia="zh-CN" w:bidi="ar-SA"/>
        </w:rPr>
      </w:pPr>
      <w:bookmarkStart w:id="0" w:name="_Toc15377425"/>
      <w:bookmarkStart w:id="1" w:name="_Toc15377193"/>
      <w:bookmarkStart w:id="2" w:name="_Toc15396597"/>
      <w:bookmarkStart w:id="3" w:name="_Toc15396475"/>
      <w:bookmarkStart w:id="4" w:name="_Toc15378441"/>
      <w:bookmarkStart w:id="5" w:name="_Toc15306267"/>
    </w:p>
    <w:p>
      <w:pPr>
        <w:pStyle w:val="8"/>
        <w:jc w:val="both"/>
        <w:rPr>
          <w:rFonts w:hint="eastAsia" w:ascii="Times New Roman" w:hAnsi="Times New Roman" w:eastAsia="方正小标宋简体" w:cs="Times New Roman"/>
          <w:color w:val="auto"/>
          <w:kern w:val="2"/>
          <w:sz w:val="44"/>
          <w:szCs w:val="44"/>
          <w:highlight w:val="none"/>
          <w:lang w:val="en-US" w:eastAsia="zh-CN" w:bidi="ar-SA"/>
        </w:rPr>
      </w:pPr>
    </w:p>
    <w:p>
      <w:pPr>
        <w:pStyle w:val="8"/>
        <w:jc w:val="both"/>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7426"/>
      <w:bookmarkStart w:id="7" w:name="_Toc15396598"/>
      <w:bookmarkStart w:id="8" w:name="_Toc15377194"/>
      <w:bookmarkStart w:id="9" w:name="_Toc15378442"/>
      <w:bookmarkStart w:id="10" w:name="_Toc15396476"/>
      <w:r>
        <w:rPr>
          <w:rFonts w:hint="eastAsia" w:ascii="Times New Roman" w:hAnsi="Times New Roman" w:eastAsia="方正小标宋简体" w:cs="Times New Roman"/>
          <w:color w:val="auto"/>
          <w:kern w:val="2"/>
          <w:sz w:val="44"/>
          <w:szCs w:val="44"/>
          <w:highlight w:val="none"/>
          <w:lang w:val="en-US" w:eastAsia="zh-CN" w:bidi="ar-SA"/>
        </w:rPr>
        <w:t>2024年度</w:t>
      </w:r>
    </w:p>
    <w:p>
      <w:pPr>
        <w:pStyle w:val="8"/>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攀枝花市住房和城乡建设局</w:t>
      </w: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ascii="Times New Roman" w:hAnsi="Times New Roman"/>
          <w:color w:val="auto"/>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17 </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849436720"/>
        <w:docPartObj>
          <w:docPartGallery w:val="Table of Contents"/>
          <w:docPartUnique/>
        </w:docPartObj>
      </w:sdtPr>
      <w:sdtEndPr>
        <w:rPr>
          <w:rFonts w:hint="eastAsia" w:ascii="仿宋_GB2312" w:hAnsi="仿宋_GB2312" w:eastAsia="仿宋_GB2312" w:cs="仿宋_GB2312"/>
          <w:kern w:val="2"/>
          <w:sz w:val="32"/>
          <w:szCs w:val="32"/>
          <w:lang w:val="en-US" w:eastAsia="zh-CN" w:bidi="ar-SA"/>
        </w:rPr>
      </w:sdtEndPr>
      <w:sdtContent>
        <w:p>
          <w:pPr>
            <w:spacing w:before="0" w:beforeLines="0" w:after="0" w:afterLines="0" w:line="240" w:lineRule="auto"/>
            <w:ind w:left="0" w:leftChars="0" w:right="0" w:rightChars="0" w:firstLine="0" w:firstLineChars="0"/>
            <w:jc w:val="center"/>
          </w:pPr>
          <w:bookmarkStart w:id="12" w:name="_Toc2011891693_WPSOffice_Type2"/>
        </w:p>
        <w:p>
          <w:pPr>
            <w:pStyle w:val="39"/>
            <w:tabs>
              <w:tab w:val="right" w:leader="dot" w:pos="8306"/>
            </w:tabs>
            <w:rPr>
              <w:rFonts w:hint="eastAsia" w:ascii="黑体" w:hAnsi="黑体" w:eastAsia="黑体" w:cs="黑体"/>
              <w:sz w:val="32"/>
              <w:szCs w:val="32"/>
            </w:rPr>
          </w:pPr>
          <w:r>
            <w:rPr>
              <w:rFonts w:hint="eastAsia" w:ascii="黑体" w:hAnsi="黑体" w:eastAsia="黑体" w:cs="黑体"/>
              <w:b/>
              <w:bCs/>
              <w:sz w:val="32"/>
              <w:szCs w:val="32"/>
            </w:rPr>
            <w:fldChar w:fldCharType="begin"/>
          </w:r>
          <w:r>
            <w:rPr>
              <w:rFonts w:hint="eastAsia" w:ascii="黑体" w:hAnsi="黑体" w:eastAsia="黑体" w:cs="黑体"/>
              <w:sz w:val="32"/>
              <w:szCs w:val="32"/>
            </w:rPr>
            <w:instrText xml:space="preserve"> HYPERLINK \l _Toc2035673916_WPSOffice_Level1 </w:instrText>
          </w:r>
          <w:r>
            <w:rPr>
              <w:rFonts w:hint="eastAsia" w:ascii="黑体" w:hAnsi="黑体" w:eastAsia="黑体" w:cs="黑体"/>
              <w:b/>
              <w:bCs/>
              <w:sz w:val="32"/>
              <w:szCs w:val="32"/>
            </w:rPr>
            <w:fldChar w:fldCharType="separate"/>
          </w:r>
          <w:sdt>
            <w:sdtPr>
              <w:rPr>
                <w:rFonts w:hint="eastAsia" w:ascii="黑体" w:hAnsi="黑体" w:eastAsia="黑体" w:cs="黑体"/>
                <w:b/>
                <w:bCs/>
                <w:kern w:val="44"/>
                <w:sz w:val="32"/>
                <w:szCs w:val="32"/>
                <w:lang w:val="en-US" w:eastAsia="zh-CN" w:bidi="ar-SA"/>
              </w:rPr>
              <w:id w:val="849436720"/>
              <w:placeholder>
                <w:docPart w:val="{841894b0-cfd6-43d5-96b7-ee5ea9e764ea}"/>
              </w:placeholder>
            </w:sdtPr>
            <w:sdtEndPr>
              <w:rPr>
                <w:rFonts w:hint="eastAsia" w:ascii="黑体" w:hAnsi="黑体" w:eastAsia="黑体" w:cs="黑体"/>
                <w:b w:val="0"/>
                <w:bCs w:val="0"/>
                <w:kern w:val="44"/>
                <w:sz w:val="32"/>
                <w:szCs w:val="32"/>
                <w:lang w:val="en-US" w:eastAsia="zh-CN" w:bidi="ar-SA"/>
              </w:rPr>
            </w:sdtEndPr>
            <w:sdtContent>
              <w:r>
                <w:rPr>
                  <w:rFonts w:hint="eastAsia" w:ascii="黑体" w:hAnsi="黑体" w:eastAsia="黑体" w:cs="黑体"/>
                  <w:b w:val="0"/>
                  <w:bCs w:val="0"/>
                  <w:sz w:val="32"/>
                  <w:szCs w:val="32"/>
                </w:rPr>
                <w:t>第一部分  单位概况</w:t>
              </w:r>
            </w:sdtContent>
          </w:sdt>
          <w:r>
            <w:rPr>
              <w:rFonts w:hint="eastAsia" w:ascii="黑体" w:hAnsi="黑体" w:eastAsia="黑体" w:cs="黑体"/>
              <w:b w:val="0"/>
              <w:bCs w:val="0"/>
              <w:sz w:val="32"/>
              <w:szCs w:val="32"/>
            </w:rPr>
            <w:tab/>
          </w:r>
          <w:bookmarkStart w:id="13" w:name="_Toc2035673916_WPSOffice_Level1Page"/>
          <w:r>
            <w:rPr>
              <w:rFonts w:hint="eastAsia" w:ascii="黑体" w:hAnsi="黑体" w:eastAsia="黑体" w:cs="黑体"/>
              <w:b w:val="0"/>
              <w:bCs w:val="0"/>
              <w:sz w:val="32"/>
              <w:szCs w:val="32"/>
            </w:rPr>
            <w:t>1</w:t>
          </w:r>
          <w:bookmarkEnd w:id="13"/>
          <w:r>
            <w:rPr>
              <w:rFonts w:hint="eastAsia" w:ascii="黑体" w:hAnsi="黑体" w:eastAsia="黑体" w:cs="黑体"/>
              <w:b/>
              <w:bCs/>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_Toc2011891693_WPSOffice_Level2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76819b33-a137-4442-af78-11abfd11be14}"/>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一、 单位职责</w:t>
              </w:r>
            </w:sdtContent>
          </w:sdt>
          <w:r>
            <w:rPr>
              <w:rFonts w:hint="eastAsia" w:ascii="仿宋_GB2312" w:hAnsi="仿宋_GB2312" w:eastAsia="仿宋_GB2312" w:cs="仿宋_GB2312"/>
              <w:sz w:val="32"/>
              <w:szCs w:val="32"/>
            </w:rPr>
            <w:tab/>
          </w:r>
          <w:bookmarkStart w:id="14" w:name="_Toc2011891693_WPSOffice_Level2Page"/>
          <w:r>
            <w:rPr>
              <w:rFonts w:hint="eastAsia" w:ascii="仿宋_GB2312" w:hAnsi="仿宋_GB2312" w:eastAsia="仿宋_GB2312" w:cs="仿宋_GB2312"/>
              <w:sz w:val="32"/>
              <w:szCs w:val="32"/>
            </w:rPr>
            <w:t>1</w:t>
          </w:r>
          <w:bookmarkEnd w:id="14"/>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_Toc2034506658_WPSOffice_Level2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07f2b6a4-00ca-40ac-9139-e2bc83f0d3ed}"/>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二、机构设置</w:t>
              </w:r>
            </w:sdtContent>
          </w:sdt>
          <w:r>
            <w:rPr>
              <w:rFonts w:hint="eastAsia" w:ascii="仿宋_GB2312" w:hAnsi="仿宋_GB2312" w:eastAsia="仿宋_GB2312" w:cs="仿宋_GB2312"/>
              <w:sz w:val="32"/>
              <w:szCs w:val="32"/>
            </w:rPr>
            <w:tab/>
          </w:r>
          <w:bookmarkStart w:id="15" w:name="_Toc2034506658_WPSOffice_Level2Page"/>
          <w:r>
            <w:rPr>
              <w:rFonts w:hint="eastAsia" w:ascii="仿宋_GB2312" w:hAnsi="仿宋_GB2312" w:eastAsia="仿宋_GB2312" w:cs="仿宋_GB2312"/>
              <w:sz w:val="32"/>
              <w:szCs w:val="32"/>
            </w:rPr>
            <w:t>2</w:t>
          </w:r>
          <w:bookmarkEnd w:id="15"/>
          <w:r>
            <w:rPr>
              <w:rFonts w:hint="eastAsia" w:ascii="仿宋_GB2312" w:hAnsi="仿宋_GB2312" w:eastAsia="仿宋_GB2312" w:cs="仿宋_GB2312"/>
              <w:sz w:val="32"/>
              <w:szCs w:val="32"/>
            </w:rPr>
            <w:fldChar w:fldCharType="end"/>
          </w:r>
        </w:p>
        <w:p>
          <w:pPr>
            <w:pStyle w:val="39"/>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_Toc2011891693_WPSOffice_Level1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44"/>
                <w:sz w:val="32"/>
                <w:szCs w:val="32"/>
                <w:lang w:val="en-US" w:eastAsia="zh-CN" w:bidi="ar-SA"/>
              </w:rPr>
              <w:id w:val="849436720"/>
              <w:placeholder>
                <w:docPart w:val="{31d3c284-f224-4e4c-9206-5e8eab74bb84}"/>
              </w:placeholder>
            </w:sdtPr>
            <w:sdtEndPr>
              <w:rPr>
                <w:rFonts w:hint="eastAsia" w:ascii="黑体" w:hAnsi="黑体" w:eastAsia="黑体" w:cs="黑体"/>
                <w:b w:val="0"/>
                <w:bCs w:val="0"/>
                <w:kern w:val="44"/>
                <w:sz w:val="32"/>
                <w:szCs w:val="32"/>
                <w:lang w:val="en-US" w:eastAsia="zh-CN" w:bidi="ar-SA"/>
              </w:rPr>
            </w:sdtEndPr>
            <w:sdtContent>
              <w:r>
                <w:rPr>
                  <w:rFonts w:hint="eastAsia" w:ascii="黑体" w:hAnsi="黑体" w:eastAsia="黑体" w:cs="黑体"/>
                  <w:b w:val="0"/>
                  <w:bCs w:val="0"/>
                  <w:sz w:val="32"/>
                  <w:szCs w:val="32"/>
                </w:rPr>
                <w:t>第二部分  2024年度单位决算情况说明</w:t>
              </w:r>
            </w:sdtContent>
          </w:sdt>
          <w:r>
            <w:rPr>
              <w:rFonts w:hint="eastAsia" w:ascii="黑体" w:hAnsi="黑体" w:eastAsia="黑体" w:cs="黑体"/>
              <w:b w:val="0"/>
              <w:bCs w:val="0"/>
              <w:sz w:val="32"/>
              <w:szCs w:val="32"/>
            </w:rPr>
            <w:tab/>
          </w:r>
          <w:bookmarkStart w:id="16" w:name="_Toc2011891693_WPSOffice_Level1Page"/>
          <w:r>
            <w:rPr>
              <w:rFonts w:hint="eastAsia" w:ascii="黑体" w:hAnsi="黑体" w:eastAsia="黑体" w:cs="黑体"/>
              <w:b w:val="0"/>
              <w:bCs w:val="0"/>
              <w:sz w:val="32"/>
              <w:szCs w:val="32"/>
            </w:rPr>
            <w:t>3</w:t>
          </w:r>
          <w:bookmarkEnd w:id="16"/>
          <w:r>
            <w:rPr>
              <w:rFonts w:hint="eastAsia" w:ascii="黑体" w:hAnsi="黑体" w:eastAsia="黑体" w:cs="黑体"/>
              <w:b w:val="0"/>
              <w:bCs w:val="0"/>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_Toc324717386_WPSOffice_Level2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3a99056e-d3e0-46b7-b0d0-5b44d65186a2}"/>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一、收入支出决算总体情况说明</w:t>
              </w:r>
            </w:sdtContent>
          </w:sdt>
          <w:r>
            <w:rPr>
              <w:rFonts w:hint="eastAsia" w:ascii="仿宋_GB2312" w:hAnsi="仿宋_GB2312" w:eastAsia="仿宋_GB2312" w:cs="仿宋_GB2312"/>
              <w:sz w:val="32"/>
              <w:szCs w:val="32"/>
            </w:rPr>
            <w:tab/>
          </w:r>
          <w:bookmarkStart w:id="17" w:name="_Toc324717386_WPSOffice_Level2Page"/>
          <w:r>
            <w:rPr>
              <w:rFonts w:hint="eastAsia" w:ascii="仿宋_GB2312" w:hAnsi="仿宋_GB2312" w:eastAsia="仿宋_GB2312" w:cs="仿宋_GB2312"/>
              <w:sz w:val="32"/>
              <w:szCs w:val="32"/>
            </w:rPr>
            <w:t>3</w:t>
          </w:r>
          <w:bookmarkEnd w:id="17"/>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_Toc268281832_WPSOffice_Level2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584b0a04-124c-497f-a377-54541fab4a9b}"/>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二、收入决算情况说明</w:t>
              </w:r>
            </w:sdtContent>
          </w:sdt>
          <w:r>
            <w:rPr>
              <w:rFonts w:hint="eastAsia" w:ascii="仿宋_GB2312" w:hAnsi="仿宋_GB2312" w:eastAsia="仿宋_GB2312" w:cs="仿宋_GB2312"/>
              <w:sz w:val="32"/>
              <w:szCs w:val="32"/>
            </w:rPr>
            <w:tab/>
          </w:r>
          <w:bookmarkStart w:id="18" w:name="_Toc268281832_WPSOffice_Level2Page"/>
          <w:r>
            <w:rPr>
              <w:rFonts w:hint="eastAsia" w:ascii="仿宋_GB2312" w:hAnsi="仿宋_GB2312" w:eastAsia="仿宋_GB2312" w:cs="仿宋_GB2312"/>
              <w:sz w:val="32"/>
              <w:szCs w:val="32"/>
            </w:rPr>
            <w:t>3</w:t>
          </w:r>
          <w:bookmarkEnd w:id="18"/>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_Toc1346507168_WPSOffice_Level2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589227c3-df13-415f-82ef-1ad4e2700807}"/>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三、支出决算情况说明</w:t>
              </w:r>
            </w:sdtContent>
          </w:sdt>
          <w:r>
            <w:rPr>
              <w:rFonts w:hint="eastAsia" w:ascii="仿宋_GB2312" w:hAnsi="仿宋_GB2312" w:eastAsia="仿宋_GB2312" w:cs="仿宋_GB2312"/>
              <w:sz w:val="32"/>
              <w:szCs w:val="32"/>
            </w:rPr>
            <w:tab/>
          </w:r>
          <w:bookmarkStart w:id="19" w:name="_Toc1346507168_WPSOffice_Level2Page"/>
          <w:r>
            <w:rPr>
              <w:rFonts w:hint="eastAsia" w:ascii="仿宋_GB2312" w:hAnsi="仿宋_GB2312" w:eastAsia="仿宋_GB2312" w:cs="仿宋_GB2312"/>
              <w:sz w:val="32"/>
              <w:szCs w:val="32"/>
            </w:rPr>
            <w:t>4</w:t>
          </w:r>
          <w:bookmarkEnd w:id="19"/>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_Toc194514986_WPSOffice_Level2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cc648ba1-f0c9-4966-b9dd-929cad9c2a23}"/>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四、财政拨款收入支出决算总体情况说明</w:t>
              </w:r>
            </w:sdtContent>
          </w:sdt>
          <w:r>
            <w:rPr>
              <w:rFonts w:hint="eastAsia" w:ascii="仿宋_GB2312" w:hAnsi="仿宋_GB2312" w:eastAsia="仿宋_GB2312" w:cs="仿宋_GB2312"/>
              <w:sz w:val="32"/>
              <w:szCs w:val="32"/>
            </w:rPr>
            <w:tab/>
          </w:r>
          <w:bookmarkStart w:id="20" w:name="_Toc194514986_WPSOffice_Level2Page"/>
          <w:r>
            <w:rPr>
              <w:rFonts w:hint="eastAsia" w:ascii="仿宋_GB2312" w:hAnsi="仿宋_GB2312" w:eastAsia="仿宋_GB2312" w:cs="仿宋_GB2312"/>
              <w:sz w:val="32"/>
              <w:szCs w:val="32"/>
            </w:rPr>
            <w:t>5</w:t>
          </w:r>
          <w:bookmarkEnd w:id="20"/>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_Toc1778240566_WPSOffice_Level2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22b032df-ce65-4935-9f16-420f8fc02ded}"/>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五、一般公共预算财政拨款支出决算情况说明</w:t>
              </w:r>
            </w:sdtContent>
          </w:sdt>
          <w:r>
            <w:rPr>
              <w:rFonts w:hint="eastAsia" w:ascii="仿宋_GB2312" w:hAnsi="仿宋_GB2312" w:eastAsia="仿宋_GB2312" w:cs="仿宋_GB2312"/>
              <w:sz w:val="32"/>
              <w:szCs w:val="32"/>
            </w:rPr>
            <w:tab/>
          </w:r>
          <w:bookmarkStart w:id="21" w:name="_Toc1778240566_WPSOffice_Level2Page"/>
          <w:r>
            <w:rPr>
              <w:rFonts w:hint="eastAsia" w:ascii="仿宋_GB2312" w:hAnsi="仿宋_GB2312" w:eastAsia="仿宋_GB2312" w:cs="仿宋_GB2312"/>
              <w:sz w:val="32"/>
              <w:szCs w:val="32"/>
            </w:rPr>
            <w:t>6</w:t>
          </w:r>
          <w:bookmarkEnd w:id="21"/>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_Toc281310233_WPSOffice_Level2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cb1f89be-8013-488a-a424-1d6ca4920afe}"/>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六、一般公共预算财政拨款基本支出决算情况说明</w:t>
              </w:r>
            </w:sdtContent>
          </w:sdt>
          <w:r>
            <w:rPr>
              <w:rFonts w:hint="eastAsia" w:ascii="仿宋_GB2312" w:hAnsi="仿宋_GB2312" w:eastAsia="仿宋_GB2312" w:cs="仿宋_GB2312"/>
              <w:sz w:val="32"/>
              <w:szCs w:val="32"/>
            </w:rPr>
            <w:tab/>
          </w:r>
          <w:bookmarkStart w:id="22" w:name="_Toc281310233_WPSOffice_Level2Page"/>
          <w:r>
            <w:rPr>
              <w:rFonts w:hint="eastAsia" w:ascii="仿宋_GB2312" w:hAnsi="仿宋_GB2312" w:eastAsia="仿宋_GB2312" w:cs="仿宋_GB2312"/>
              <w:sz w:val="32"/>
              <w:szCs w:val="32"/>
            </w:rPr>
            <w:t>10</w:t>
          </w:r>
          <w:bookmarkEnd w:id="22"/>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_Toc1190334654_WPSOffice_Level2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26ebfc9f-2158-4c0b-be82-4edeb104a73e}"/>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七、财政拨款“三公”经费支出决算情况说明</w:t>
              </w:r>
            </w:sdtContent>
          </w:sdt>
          <w:r>
            <w:rPr>
              <w:rFonts w:hint="eastAsia" w:ascii="仿宋_GB2312" w:hAnsi="仿宋_GB2312" w:eastAsia="仿宋_GB2312" w:cs="仿宋_GB2312"/>
              <w:sz w:val="32"/>
              <w:szCs w:val="32"/>
            </w:rPr>
            <w:tab/>
          </w:r>
          <w:bookmarkStart w:id="23" w:name="_Toc1190334654_WPSOffice_Level2Page"/>
          <w:r>
            <w:rPr>
              <w:rFonts w:hint="eastAsia" w:ascii="仿宋_GB2312" w:hAnsi="仿宋_GB2312" w:eastAsia="仿宋_GB2312" w:cs="仿宋_GB2312"/>
              <w:sz w:val="32"/>
              <w:szCs w:val="32"/>
            </w:rPr>
            <w:t>11</w:t>
          </w:r>
          <w:bookmarkEnd w:id="23"/>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_Toc1046407464_WPSOffice_Level2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128b18cd-544c-481b-8cdd-803d9492447f}"/>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八、政府性基金预算支出决算情况说明</w:t>
              </w:r>
            </w:sdtContent>
          </w:sdt>
          <w:r>
            <w:rPr>
              <w:rFonts w:hint="eastAsia" w:ascii="仿宋_GB2312" w:hAnsi="仿宋_GB2312" w:eastAsia="仿宋_GB2312" w:cs="仿宋_GB2312"/>
              <w:sz w:val="32"/>
              <w:szCs w:val="32"/>
            </w:rPr>
            <w:tab/>
          </w:r>
          <w:bookmarkStart w:id="24" w:name="_Toc1046407464_WPSOffice_Level2Page"/>
          <w:r>
            <w:rPr>
              <w:rFonts w:hint="eastAsia" w:ascii="仿宋_GB2312" w:hAnsi="仿宋_GB2312" w:eastAsia="仿宋_GB2312" w:cs="仿宋_GB2312"/>
              <w:sz w:val="32"/>
              <w:szCs w:val="32"/>
            </w:rPr>
            <w:t>13</w:t>
          </w:r>
          <w:bookmarkEnd w:id="24"/>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_Toc2128144554_WPSOffice_Level2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5ecb60e3-899b-4fb9-81ca-b93ba3810ba7}"/>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九、国有资本经营预算支出决算情况说明</w:t>
              </w:r>
            </w:sdtContent>
          </w:sdt>
          <w:r>
            <w:rPr>
              <w:rFonts w:hint="eastAsia" w:ascii="仿宋_GB2312" w:hAnsi="仿宋_GB2312" w:eastAsia="仿宋_GB2312" w:cs="仿宋_GB2312"/>
              <w:sz w:val="32"/>
              <w:szCs w:val="32"/>
            </w:rPr>
            <w:tab/>
          </w:r>
          <w:bookmarkStart w:id="25" w:name="_Toc2128144554_WPSOffice_Level2Page"/>
          <w:r>
            <w:rPr>
              <w:rFonts w:hint="eastAsia" w:ascii="仿宋_GB2312" w:hAnsi="仿宋_GB2312" w:eastAsia="仿宋_GB2312" w:cs="仿宋_GB2312"/>
              <w:sz w:val="32"/>
              <w:szCs w:val="32"/>
            </w:rPr>
            <w:t>13</w:t>
          </w:r>
          <w:bookmarkEnd w:id="25"/>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_Toc890400508_WPSOffice_Level2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11d8bb43-20bf-4e1c-88f9-5864e9c8d2da}"/>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十、其他重要事项的情况说明</w:t>
              </w:r>
            </w:sdtContent>
          </w:sdt>
          <w:r>
            <w:rPr>
              <w:rFonts w:hint="eastAsia" w:ascii="仿宋_GB2312" w:hAnsi="仿宋_GB2312" w:eastAsia="仿宋_GB2312" w:cs="仿宋_GB2312"/>
              <w:sz w:val="32"/>
              <w:szCs w:val="32"/>
            </w:rPr>
            <w:tab/>
          </w:r>
          <w:bookmarkStart w:id="26" w:name="_Toc890400508_WPSOffice_Level2Page"/>
          <w:r>
            <w:rPr>
              <w:rFonts w:hint="eastAsia" w:ascii="仿宋_GB2312" w:hAnsi="仿宋_GB2312" w:eastAsia="仿宋_GB2312" w:cs="仿宋_GB2312"/>
              <w:sz w:val="32"/>
              <w:szCs w:val="32"/>
            </w:rPr>
            <w:t>13</w:t>
          </w:r>
          <w:bookmarkEnd w:id="26"/>
          <w:r>
            <w:rPr>
              <w:rFonts w:hint="eastAsia" w:ascii="仿宋_GB2312" w:hAnsi="仿宋_GB2312" w:eastAsia="仿宋_GB2312" w:cs="仿宋_GB2312"/>
              <w:sz w:val="32"/>
              <w:szCs w:val="32"/>
            </w:rPr>
            <w:fldChar w:fldCharType="end"/>
          </w:r>
        </w:p>
        <w:p>
          <w:pPr>
            <w:pStyle w:val="39"/>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_Toc2034506658_WPSOffice_Level1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44"/>
                <w:sz w:val="32"/>
                <w:szCs w:val="32"/>
                <w:lang w:val="en-US" w:eastAsia="zh-CN" w:bidi="ar-SA"/>
              </w:rPr>
              <w:id w:val="849436720"/>
              <w:placeholder>
                <w:docPart w:val="{a3f7ed68-211d-4a9f-b6ce-aa6cb17a909f}"/>
              </w:placeholder>
            </w:sdtPr>
            <w:sdtEndPr>
              <w:rPr>
                <w:rFonts w:hint="eastAsia" w:ascii="黑体" w:hAnsi="黑体" w:eastAsia="黑体" w:cs="黑体"/>
                <w:b w:val="0"/>
                <w:bCs w:val="0"/>
                <w:kern w:val="44"/>
                <w:sz w:val="32"/>
                <w:szCs w:val="32"/>
                <w:lang w:val="en-US" w:eastAsia="zh-CN" w:bidi="ar-SA"/>
              </w:rPr>
            </w:sdtEndPr>
            <w:sdtContent>
              <w:r>
                <w:rPr>
                  <w:rFonts w:hint="eastAsia" w:ascii="黑体" w:hAnsi="黑体" w:eastAsia="黑体" w:cs="黑体"/>
                  <w:b w:val="0"/>
                  <w:bCs w:val="0"/>
                  <w:sz w:val="32"/>
                  <w:szCs w:val="32"/>
                </w:rPr>
                <w:t>第三部分  名词解释</w:t>
              </w:r>
            </w:sdtContent>
          </w:sdt>
          <w:r>
            <w:rPr>
              <w:rFonts w:hint="eastAsia" w:ascii="黑体" w:hAnsi="黑体" w:eastAsia="黑体" w:cs="黑体"/>
              <w:b w:val="0"/>
              <w:bCs w:val="0"/>
              <w:sz w:val="32"/>
              <w:szCs w:val="32"/>
            </w:rPr>
            <w:tab/>
          </w:r>
          <w:bookmarkStart w:id="27" w:name="_Toc2034506658_WPSOffice_Level1Page"/>
          <w:r>
            <w:rPr>
              <w:rFonts w:hint="eastAsia" w:ascii="黑体" w:hAnsi="黑体" w:eastAsia="黑体" w:cs="黑体"/>
              <w:b w:val="0"/>
              <w:bCs w:val="0"/>
              <w:sz w:val="32"/>
              <w:szCs w:val="32"/>
            </w:rPr>
            <w:t>15</w:t>
          </w:r>
          <w:bookmarkEnd w:id="27"/>
          <w:r>
            <w:rPr>
              <w:rFonts w:hint="eastAsia" w:ascii="黑体" w:hAnsi="黑体" w:eastAsia="黑体" w:cs="黑体"/>
              <w:b w:val="0"/>
              <w:bCs w:val="0"/>
              <w:sz w:val="32"/>
              <w:szCs w:val="32"/>
            </w:rPr>
            <w:fldChar w:fldCharType="end"/>
          </w:r>
        </w:p>
        <w:p>
          <w:pPr>
            <w:pStyle w:val="39"/>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_Toc324717386_WPSOffice_Level1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44"/>
                <w:sz w:val="32"/>
                <w:szCs w:val="32"/>
                <w:lang w:val="en-US" w:eastAsia="zh-CN" w:bidi="ar-SA"/>
              </w:rPr>
              <w:id w:val="849436720"/>
              <w:placeholder>
                <w:docPart w:val="{dfa9d096-aaef-4379-a0de-9e13531327ed}"/>
              </w:placeholder>
            </w:sdtPr>
            <w:sdtEndPr>
              <w:rPr>
                <w:rFonts w:hint="eastAsia" w:ascii="黑体" w:hAnsi="黑体" w:eastAsia="黑体" w:cs="黑体"/>
                <w:b w:val="0"/>
                <w:bCs w:val="0"/>
                <w:kern w:val="44"/>
                <w:sz w:val="32"/>
                <w:szCs w:val="32"/>
                <w:lang w:val="en-US" w:eastAsia="zh-CN" w:bidi="ar-SA"/>
              </w:rPr>
            </w:sdtEndPr>
            <w:sdtContent>
              <w:r>
                <w:rPr>
                  <w:rFonts w:hint="eastAsia" w:ascii="黑体" w:hAnsi="黑体" w:eastAsia="黑体" w:cs="黑体"/>
                  <w:b w:val="0"/>
                  <w:bCs w:val="0"/>
                  <w:sz w:val="32"/>
                  <w:szCs w:val="32"/>
                </w:rPr>
                <w:t>第四部分  附件</w:t>
              </w:r>
            </w:sdtContent>
          </w:sdt>
          <w:r>
            <w:rPr>
              <w:rFonts w:hint="eastAsia" w:ascii="黑体" w:hAnsi="黑体" w:eastAsia="黑体" w:cs="黑体"/>
              <w:b w:val="0"/>
              <w:bCs w:val="0"/>
              <w:sz w:val="32"/>
              <w:szCs w:val="32"/>
            </w:rPr>
            <w:tab/>
          </w:r>
          <w:bookmarkStart w:id="28" w:name="_Toc324717386_WPSOffice_Level1Page"/>
          <w:r>
            <w:rPr>
              <w:rFonts w:hint="eastAsia" w:ascii="黑体" w:hAnsi="黑体" w:eastAsia="黑体" w:cs="黑体"/>
              <w:b w:val="0"/>
              <w:bCs w:val="0"/>
              <w:sz w:val="32"/>
              <w:szCs w:val="32"/>
            </w:rPr>
            <w:t>20</w:t>
          </w:r>
          <w:bookmarkEnd w:id="28"/>
          <w:r>
            <w:rPr>
              <w:rFonts w:hint="eastAsia" w:ascii="黑体" w:hAnsi="黑体" w:eastAsia="黑体" w:cs="黑体"/>
              <w:b w:val="0"/>
              <w:bCs w:val="0"/>
              <w:sz w:val="32"/>
              <w:szCs w:val="32"/>
            </w:rPr>
            <w:fldChar w:fldCharType="end"/>
          </w:r>
        </w:p>
        <w:p>
          <w:pPr>
            <w:pStyle w:val="39"/>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_Toc268281832_WPSOffice_Level1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kern w:val="44"/>
                <w:sz w:val="32"/>
                <w:szCs w:val="32"/>
                <w:lang w:val="en-US" w:eastAsia="zh-CN" w:bidi="ar-SA"/>
              </w:rPr>
              <w:id w:val="849436720"/>
              <w:placeholder>
                <w:docPart w:val="{15271e6e-1534-47d6-8ef2-67463a42e32e}"/>
              </w:placeholder>
            </w:sdtPr>
            <w:sdtEndPr>
              <w:rPr>
                <w:rFonts w:hint="eastAsia" w:ascii="黑体" w:hAnsi="黑体" w:eastAsia="黑体" w:cs="黑体"/>
                <w:b w:val="0"/>
                <w:bCs w:val="0"/>
                <w:kern w:val="44"/>
                <w:sz w:val="32"/>
                <w:szCs w:val="32"/>
                <w:lang w:val="en-US" w:eastAsia="zh-CN" w:bidi="ar-SA"/>
              </w:rPr>
            </w:sdtEndPr>
            <w:sdtContent>
              <w:r>
                <w:rPr>
                  <w:rFonts w:hint="eastAsia" w:ascii="黑体" w:hAnsi="黑体" w:eastAsia="黑体" w:cs="黑体"/>
                  <w:b w:val="0"/>
                  <w:bCs w:val="0"/>
                  <w:sz w:val="32"/>
                  <w:szCs w:val="32"/>
                </w:rPr>
                <w:t>第五部分 附表</w:t>
              </w:r>
            </w:sdtContent>
          </w:sdt>
          <w:r>
            <w:rPr>
              <w:rFonts w:hint="eastAsia" w:ascii="黑体" w:hAnsi="黑体" w:eastAsia="黑体" w:cs="黑体"/>
              <w:b w:val="0"/>
              <w:bCs w:val="0"/>
              <w:sz w:val="32"/>
              <w:szCs w:val="32"/>
            </w:rPr>
            <w:tab/>
          </w:r>
          <w:bookmarkStart w:id="29" w:name="_Toc268281832_WPSOffice_Level1Page"/>
          <w:r>
            <w:rPr>
              <w:rFonts w:hint="eastAsia" w:ascii="黑体" w:hAnsi="黑体" w:eastAsia="黑体" w:cs="黑体"/>
              <w:b w:val="0"/>
              <w:bCs w:val="0"/>
              <w:sz w:val="32"/>
              <w:szCs w:val="32"/>
            </w:rPr>
            <w:t>21</w:t>
          </w:r>
          <w:bookmarkEnd w:id="29"/>
          <w:r>
            <w:rPr>
              <w:rFonts w:hint="eastAsia" w:ascii="黑体" w:hAnsi="黑体" w:eastAsia="黑体" w:cs="黑体"/>
              <w:b w:val="0"/>
              <w:bCs w:val="0"/>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_Toc456130907_WPSOffice_Level2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54f98172-4662-46b3-ac98-0fba81dc8d42}"/>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一、收入支出决算总表</w:t>
              </w:r>
            </w:sdtContent>
          </w:sdt>
          <w:r>
            <w:rPr>
              <w:rFonts w:hint="eastAsia" w:ascii="仿宋_GB2312" w:hAnsi="仿宋_GB2312" w:eastAsia="仿宋_GB2312" w:cs="仿宋_GB2312"/>
              <w:sz w:val="32"/>
              <w:szCs w:val="32"/>
            </w:rPr>
            <w:tab/>
          </w:r>
          <w:bookmarkStart w:id="30" w:name="_Toc456130907_WPSOffice_Level2Page"/>
          <w:r>
            <w:rPr>
              <w:rFonts w:hint="eastAsia" w:ascii="仿宋_GB2312" w:hAnsi="仿宋_GB2312" w:eastAsia="仿宋_GB2312" w:cs="仿宋_GB2312"/>
              <w:sz w:val="32"/>
              <w:szCs w:val="32"/>
            </w:rPr>
            <w:t>21</w:t>
          </w:r>
          <w:bookmarkEnd w:id="30"/>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_Toc316412319_WPSOffice_Level2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ddbe1d98-faf7-40db-97d5-712f581437dc}"/>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二、收入决算表</w:t>
              </w:r>
            </w:sdtContent>
          </w:sdt>
          <w:r>
            <w:rPr>
              <w:rFonts w:hint="eastAsia" w:ascii="仿宋_GB2312" w:hAnsi="仿宋_GB2312" w:eastAsia="仿宋_GB2312" w:cs="仿宋_GB2312"/>
              <w:sz w:val="32"/>
              <w:szCs w:val="32"/>
            </w:rPr>
            <w:tab/>
          </w:r>
          <w:bookmarkStart w:id="31" w:name="_Toc316412319_WPSOffice_Level2Page"/>
          <w:r>
            <w:rPr>
              <w:rFonts w:hint="eastAsia" w:ascii="仿宋_GB2312" w:hAnsi="仿宋_GB2312" w:eastAsia="仿宋_GB2312" w:cs="仿宋_GB2312"/>
              <w:sz w:val="32"/>
              <w:szCs w:val="32"/>
            </w:rPr>
            <w:t>21</w:t>
          </w:r>
          <w:bookmarkEnd w:id="31"/>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_Toc1847307222_WPSOffice_Level2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24e79d19-c003-4990-be7e-1e210f8a4418}"/>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三、支出决算表</w:t>
              </w:r>
            </w:sdtContent>
          </w:sdt>
          <w:r>
            <w:rPr>
              <w:rFonts w:hint="eastAsia" w:ascii="仿宋_GB2312" w:hAnsi="仿宋_GB2312" w:eastAsia="仿宋_GB2312" w:cs="仿宋_GB2312"/>
              <w:sz w:val="32"/>
              <w:szCs w:val="32"/>
            </w:rPr>
            <w:tab/>
          </w:r>
          <w:bookmarkStart w:id="32" w:name="_Toc1847307222_WPSOffice_Level2Page"/>
          <w:r>
            <w:rPr>
              <w:rFonts w:hint="eastAsia" w:ascii="仿宋_GB2312" w:hAnsi="仿宋_GB2312" w:eastAsia="仿宋_GB2312" w:cs="仿宋_GB2312"/>
              <w:sz w:val="32"/>
              <w:szCs w:val="32"/>
            </w:rPr>
            <w:t>21</w:t>
          </w:r>
          <w:bookmarkEnd w:id="32"/>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_Toc367757096_WPSOffice_Level2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8c984b0a-cdf9-4579-9874-92fb33467fa9}"/>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四、财政拨款收入支出决算总表</w:t>
              </w:r>
            </w:sdtContent>
          </w:sdt>
          <w:r>
            <w:rPr>
              <w:rFonts w:hint="eastAsia" w:ascii="仿宋_GB2312" w:hAnsi="仿宋_GB2312" w:eastAsia="仿宋_GB2312" w:cs="仿宋_GB2312"/>
              <w:sz w:val="32"/>
              <w:szCs w:val="32"/>
            </w:rPr>
            <w:tab/>
          </w:r>
          <w:bookmarkStart w:id="33" w:name="_Toc367757096_WPSOffice_Level2Page"/>
          <w:r>
            <w:rPr>
              <w:rFonts w:hint="eastAsia" w:ascii="仿宋_GB2312" w:hAnsi="仿宋_GB2312" w:eastAsia="仿宋_GB2312" w:cs="仿宋_GB2312"/>
              <w:sz w:val="32"/>
              <w:szCs w:val="32"/>
            </w:rPr>
            <w:t>21</w:t>
          </w:r>
          <w:bookmarkEnd w:id="33"/>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_Toc1861846659_WPSOffice_Level2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5451afb9-3438-4051-b761-d41d4ebd6361}"/>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五、财政拨款支出决算明细表</w:t>
              </w:r>
            </w:sdtContent>
          </w:sdt>
          <w:r>
            <w:rPr>
              <w:rFonts w:hint="eastAsia" w:ascii="仿宋_GB2312" w:hAnsi="仿宋_GB2312" w:eastAsia="仿宋_GB2312" w:cs="仿宋_GB2312"/>
              <w:sz w:val="32"/>
              <w:szCs w:val="32"/>
            </w:rPr>
            <w:tab/>
          </w:r>
          <w:bookmarkStart w:id="34" w:name="_Toc1861846659_WPSOffice_Level2Page"/>
          <w:r>
            <w:rPr>
              <w:rFonts w:hint="eastAsia" w:ascii="仿宋_GB2312" w:hAnsi="仿宋_GB2312" w:eastAsia="仿宋_GB2312" w:cs="仿宋_GB2312"/>
              <w:sz w:val="32"/>
              <w:szCs w:val="32"/>
            </w:rPr>
            <w:t>21</w:t>
          </w:r>
          <w:bookmarkEnd w:id="34"/>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_Toc1237132852_WPSOffice_Level2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12a1ba30-067b-40ec-b405-7413c741cc51}"/>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六、一般公共预算财政拨款支出决算表</w:t>
              </w:r>
            </w:sdtContent>
          </w:sdt>
          <w:r>
            <w:rPr>
              <w:rFonts w:hint="eastAsia" w:ascii="仿宋_GB2312" w:hAnsi="仿宋_GB2312" w:eastAsia="仿宋_GB2312" w:cs="仿宋_GB2312"/>
              <w:sz w:val="32"/>
              <w:szCs w:val="32"/>
            </w:rPr>
            <w:tab/>
          </w:r>
          <w:bookmarkStart w:id="35" w:name="_Toc1237132852_WPSOffice_Level2Page"/>
          <w:r>
            <w:rPr>
              <w:rFonts w:hint="eastAsia" w:ascii="仿宋_GB2312" w:hAnsi="仿宋_GB2312" w:eastAsia="仿宋_GB2312" w:cs="仿宋_GB2312"/>
              <w:sz w:val="32"/>
              <w:szCs w:val="32"/>
            </w:rPr>
            <w:t>21</w:t>
          </w:r>
          <w:bookmarkEnd w:id="35"/>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_Toc1749853417_WPSOffice_Level2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4546d0d4-ceca-4ff3-ab9a-cd5145a6f2db}"/>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七、一般公共预算财政拨款支出决算明细表</w:t>
              </w:r>
            </w:sdtContent>
          </w:sdt>
          <w:r>
            <w:rPr>
              <w:rFonts w:hint="eastAsia" w:ascii="仿宋_GB2312" w:hAnsi="仿宋_GB2312" w:eastAsia="仿宋_GB2312" w:cs="仿宋_GB2312"/>
              <w:sz w:val="32"/>
              <w:szCs w:val="32"/>
            </w:rPr>
            <w:tab/>
          </w:r>
          <w:bookmarkStart w:id="36" w:name="_Toc1749853417_WPSOffice_Level2Page"/>
          <w:r>
            <w:rPr>
              <w:rFonts w:hint="eastAsia" w:ascii="仿宋_GB2312" w:hAnsi="仿宋_GB2312" w:eastAsia="仿宋_GB2312" w:cs="仿宋_GB2312"/>
              <w:sz w:val="32"/>
              <w:szCs w:val="32"/>
            </w:rPr>
            <w:t>21</w:t>
          </w:r>
          <w:bookmarkEnd w:id="36"/>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_Toc2063394758_WPSOffice_Level2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8fe71ed5-7ae3-4686-8be0-048d1b7aff7a}"/>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八、一般公共预算财政拨款基本支出决算表</w:t>
              </w:r>
            </w:sdtContent>
          </w:sdt>
          <w:r>
            <w:rPr>
              <w:rFonts w:hint="eastAsia" w:ascii="仿宋_GB2312" w:hAnsi="仿宋_GB2312" w:eastAsia="仿宋_GB2312" w:cs="仿宋_GB2312"/>
              <w:sz w:val="32"/>
              <w:szCs w:val="32"/>
            </w:rPr>
            <w:tab/>
          </w:r>
          <w:bookmarkStart w:id="37" w:name="_Toc2063394758_WPSOffice_Level2Page"/>
          <w:r>
            <w:rPr>
              <w:rFonts w:hint="eastAsia" w:ascii="仿宋_GB2312" w:hAnsi="仿宋_GB2312" w:eastAsia="仿宋_GB2312" w:cs="仿宋_GB2312"/>
              <w:sz w:val="32"/>
              <w:szCs w:val="32"/>
            </w:rPr>
            <w:t>21</w:t>
          </w:r>
          <w:bookmarkEnd w:id="37"/>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_Toc1928017650_WPSOffice_Level2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5ae88140-272a-473a-afae-35a3c14cdcee}"/>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九、一般公共预算财政拨款项目支出决算表</w:t>
              </w:r>
            </w:sdtContent>
          </w:sdt>
          <w:r>
            <w:rPr>
              <w:rFonts w:hint="eastAsia" w:ascii="仿宋_GB2312" w:hAnsi="仿宋_GB2312" w:eastAsia="仿宋_GB2312" w:cs="仿宋_GB2312"/>
              <w:sz w:val="32"/>
              <w:szCs w:val="32"/>
            </w:rPr>
            <w:tab/>
          </w:r>
          <w:bookmarkStart w:id="38" w:name="_Toc1928017650_WPSOffice_Level2Page"/>
          <w:r>
            <w:rPr>
              <w:rFonts w:hint="eastAsia" w:ascii="仿宋_GB2312" w:hAnsi="仿宋_GB2312" w:eastAsia="仿宋_GB2312" w:cs="仿宋_GB2312"/>
              <w:sz w:val="32"/>
              <w:szCs w:val="32"/>
            </w:rPr>
            <w:t>21</w:t>
          </w:r>
          <w:bookmarkEnd w:id="38"/>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_Toc29845376_WPSOffice_Level2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fe325543-3d97-4823-94ef-da822f466308}"/>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十、政府性基金预算财政拨款收入支出决算表</w:t>
              </w:r>
            </w:sdtContent>
          </w:sdt>
          <w:r>
            <w:rPr>
              <w:rFonts w:hint="eastAsia" w:ascii="仿宋_GB2312" w:hAnsi="仿宋_GB2312" w:eastAsia="仿宋_GB2312" w:cs="仿宋_GB2312"/>
              <w:sz w:val="32"/>
              <w:szCs w:val="32"/>
            </w:rPr>
            <w:tab/>
          </w:r>
          <w:bookmarkStart w:id="39" w:name="_Toc29845376_WPSOffice_Level2Page"/>
          <w:r>
            <w:rPr>
              <w:rFonts w:hint="eastAsia" w:ascii="仿宋_GB2312" w:hAnsi="仿宋_GB2312" w:eastAsia="仿宋_GB2312" w:cs="仿宋_GB2312"/>
              <w:sz w:val="32"/>
              <w:szCs w:val="32"/>
            </w:rPr>
            <w:t>21</w:t>
          </w:r>
          <w:bookmarkEnd w:id="39"/>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_Toc1180654872_WPSOffice_Level2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c930870b-5ba0-46f6-8902-4516fc9f5458}"/>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十一、国有资本经营预算财政拨款收入支出决算表</w:t>
              </w:r>
            </w:sdtContent>
          </w:sdt>
          <w:r>
            <w:rPr>
              <w:rFonts w:hint="eastAsia" w:ascii="仿宋_GB2312" w:hAnsi="仿宋_GB2312" w:eastAsia="仿宋_GB2312" w:cs="仿宋_GB2312"/>
              <w:sz w:val="32"/>
              <w:szCs w:val="32"/>
            </w:rPr>
            <w:tab/>
          </w:r>
          <w:bookmarkStart w:id="40" w:name="_Toc1180654872_WPSOffice_Level2Page"/>
          <w:r>
            <w:rPr>
              <w:rFonts w:hint="eastAsia" w:ascii="仿宋_GB2312" w:hAnsi="仿宋_GB2312" w:eastAsia="仿宋_GB2312" w:cs="仿宋_GB2312"/>
              <w:sz w:val="32"/>
              <w:szCs w:val="32"/>
            </w:rPr>
            <w:t>21</w:t>
          </w:r>
          <w:bookmarkEnd w:id="40"/>
          <w:r>
            <w:rPr>
              <w:rFonts w:hint="eastAsia" w:ascii="仿宋_GB2312" w:hAnsi="仿宋_GB2312" w:eastAsia="仿宋_GB2312" w:cs="仿宋_GB2312"/>
              <w:sz w:val="32"/>
              <w:szCs w:val="32"/>
            </w:rPr>
            <w:fldChar w:fldCharType="end"/>
          </w:r>
        </w:p>
        <w:p>
          <w:pPr>
            <w:pStyle w:val="40"/>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_Toc1179669571_WPSOffice_Level2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89391e86-2f1d-4857-a1af-af8b7a6cc854}"/>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十二、国有资本经营预算财政拨款支出决算表</w:t>
              </w:r>
            </w:sdtContent>
          </w:sdt>
          <w:r>
            <w:rPr>
              <w:rFonts w:hint="eastAsia" w:ascii="仿宋_GB2312" w:hAnsi="仿宋_GB2312" w:eastAsia="仿宋_GB2312" w:cs="仿宋_GB2312"/>
              <w:sz w:val="32"/>
              <w:szCs w:val="32"/>
            </w:rPr>
            <w:tab/>
          </w:r>
          <w:bookmarkStart w:id="41" w:name="_Toc1179669571_WPSOffice_Level2Page"/>
          <w:r>
            <w:rPr>
              <w:rFonts w:hint="eastAsia" w:ascii="仿宋_GB2312" w:hAnsi="仿宋_GB2312" w:eastAsia="仿宋_GB2312" w:cs="仿宋_GB2312"/>
              <w:sz w:val="32"/>
              <w:szCs w:val="32"/>
            </w:rPr>
            <w:t>21</w:t>
          </w:r>
          <w:bookmarkEnd w:id="41"/>
          <w:r>
            <w:rPr>
              <w:rFonts w:hint="eastAsia" w:ascii="仿宋_GB2312" w:hAnsi="仿宋_GB2312" w:eastAsia="仿宋_GB2312" w:cs="仿宋_GB2312"/>
              <w:sz w:val="32"/>
              <w:szCs w:val="32"/>
            </w:rPr>
            <w:fldChar w:fldCharType="end"/>
          </w:r>
        </w:p>
        <w:p>
          <w:pPr>
            <w:pStyle w:val="40"/>
            <w:tabs>
              <w:tab w:val="right" w:leader="dot" w:pos="830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_Toc1686871466_WPSOffice_Level2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b/>
                <w:bCs/>
                <w:kern w:val="44"/>
                <w:sz w:val="32"/>
                <w:szCs w:val="32"/>
                <w:lang w:val="en-US" w:eastAsia="zh-CN" w:bidi="ar-SA"/>
              </w:rPr>
              <w:id w:val="849436720"/>
              <w:placeholder>
                <w:docPart w:val="{9b47b485-2f94-4e25-8e15-3194c04977c6}"/>
              </w:placeholder>
            </w:sdtPr>
            <w:sdtEndPr>
              <w:rPr>
                <w:rFonts w:hint="eastAsia" w:ascii="仿宋_GB2312" w:hAnsi="仿宋_GB2312" w:eastAsia="仿宋_GB2312" w:cs="仿宋_GB2312"/>
                <w:b/>
                <w:bCs/>
                <w:kern w:val="44"/>
                <w:sz w:val="32"/>
                <w:szCs w:val="32"/>
                <w:lang w:val="en-US" w:eastAsia="zh-CN" w:bidi="ar-SA"/>
              </w:rPr>
            </w:sdtEndPr>
            <w:sdtContent>
              <w:r>
                <w:rPr>
                  <w:rFonts w:hint="eastAsia" w:ascii="仿宋_GB2312" w:hAnsi="仿宋_GB2312" w:eastAsia="仿宋_GB2312" w:cs="仿宋_GB2312"/>
                  <w:sz w:val="32"/>
                  <w:szCs w:val="32"/>
                </w:rPr>
                <w:t>十三、财政拨款“三公”经费支出决算表</w:t>
              </w:r>
            </w:sdtContent>
          </w:sdt>
          <w:r>
            <w:rPr>
              <w:rFonts w:hint="eastAsia" w:ascii="仿宋_GB2312" w:hAnsi="仿宋_GB2312" w:eastAsia="仿宋_GB2312" w:cs="仿宋_GB2312"/>
              <w:sz w:val="32"/>
              <w:szCs w:val="32"/>
            </w:rPr>
            <w:tab/>
          </w:r>
          <w:bookmarkStart w:id="42" w:name="_Toc1686871466_WPSOffice_Level2Page"/>
          <w:r>
            <w:rPr>
              <w:rFonts w:hint="eastAsia" w:ascii="仿宋_GB2312" w:hAnsi="仿宋_GB2312" w:eastAsia="仿宋_GB2312" w:cs="仿宋_GB2312"/>
              <w:sz w:val="32"/>
              <w:szCs w:val="32"/>
            </w:rPr>
            <w:t>21</w:t>
          </w:r>
          <w:bookmarkEnd w:id="42"/>
          <w:r>
            <w:rPr>
              <w:rFonts w:hint="eastAsia" w:ascii="仿宋_GB2312" w:hAnsi="仿宋_GB2312" w:eastAsia="仿宋_GB2312" w:cs="仿宋_GB2312"/>
              <w:sz w:val="32"/>
              <w:szCs w:val="32"/>
            </w:rPr>
            <w:fldChar w:fldCharType="end"/>
          </w:r>
          <w:bookmarkEnd w:id="12"/>
        </w:p>
      </w:sdtContent>
    </w:sdt>
    <w:p>
      <w:pPr>
        <w:pStyle w:val="5"/>
        <w:jc w:val="center"/>
        <w:rPr>
          <w:rFonts w:hint="eastAsia" w:ascii="Times New Roman" w:hAnsi="Times New Roman" w:eastAsia="方正小标宋简体" w:cs="方正小标宋简体"/>
          <w:b w:val="0"/>
          <w:color w:val="auto"/>
          <w:highlight w:val="none"/>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pStyle w:val="5"/>
        <w:jc w:val="center"/>
        <w:rPr>
          <w:rStyle w:val="29"/>
          <w:rFonts w:hint="eastAsia" w:ascii="Times New Roman" w:hAnsi="Times New Roman" w:eastAsia="方正小标宋简体" w:cs="方正小标宋简体"/>
          <w:b/>
          <w:bCs w:val="0"/>
          <w:color w:val="auto"/>
          <w:highlight w:val="none"/>
        </w:rPr>
      </w:pPr>
      <w:bookmarkStart w:id="43" w:name="_Toc2035673916_WPSOffice_Level1"/>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eastAsia="zh-CN"/>
        </w:rPr>
        <w:t>单位</w:t>
      </w:r>
      <w:r>
        <w:rPr>
          <w:rStyle w:val="29"/>
          <w:rFonts w:hint="eastAsia" w:ascii="Times New Roman" w:hAnsi="Times New Roman" w:eastAsia="方正小标宋简体" w:cs="方正小标宋简体"/>
          <w:b w:val="0"/>
          <w:bCs w:val="0"/>
          <w:color w:val="auto"/>
          <w:highlight w:val="none"/>
        </w:rPr>
        <w:t>概况</w:t>
      </w:r>
      <w:bookmarkEnd w:id="43"/>
    </w:p>
    <w:p>
      <w:pPr>
        <w:widowControl/>
        <w:jc w:val="left"/>
        <w:rPr>
          <w:rFonts w:ascii="Times New Roman" w:hAnsi="Times New Roman" w:eastAsia="黑体"/>
          <w:color w:val="auto"/>
          <w:sz w:val="32"/>
          <w:szCs w:val="32"/>
          <w:highlight w:val="none"/>
        </w:rPr>
      </w:pPr>
    </w:p>
    <w:p>
      <w:pPr>
        <w:pStyle w:val="6"/>
        <w:numPr>
          <w:ilvl w:val="0"/>
          <w:numId w:val="1"/>
        </w:numPr>
        <w:rPr>
          <w:rFonts w:hint="eastAsia" w:ascii="Times New Roman" w:hAnsi="Times New Roman" w:eastAsia="黑体"/>
          <w:b w:val="0"/>
          <w:color w:val="auto"/>
          <w:highlight w:val="none"/>
          <w:lang w:eastAsia="zh-CN"/>
        </w:rPr>
      </w:pPr>
      <w:bookmarkStart w:id="44" w:name="_Toc2011891693_WPSOffice_Level2"/>
      <w:r>
        <w:rPr>
          <w:rFonts w:hint="eastAsia" w:ascii="Times New Roman" w:hAnsi="Times New Roman" w:eastAsia="黑体"/>
          <w:b w:val="0"/>
          <w:color w:val="auto"/>
          <w:highlight w:val="none"/>
          <w:lang w:eastAsia="zh-CN"/>
        </w:rPr>
        <w:t>单位职责</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s="方正仿宋_GBK-WinCharSetFFFF-H"/>
          <w:sz w:val="33"/>
          <w:szCs w:val="33"/>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r>
        <w:rPr>
          <w:rFonts w:hint="eastAsia" w:ascii="仿宋_GB2312" w:hAnsi="仿宋" w:eastAsia="仿宋_GB2312"/>
          <w:sz w:val="32"/>
          <w:szCs w:val="32"/>
          <w:lang w:eastAsia="zh-CN"/>
        </w:rPr>
        <w:t>四川省</w:t>
      </w:r>
      <w:r>
        <w:rPr>
          <w:rFonts w:hint="eastAsia" w:ascii="仿宋_GB2312" w:hAnsi="仿宋" w:eastAsia="仿宋_GB2312"/>
          <w:sz w:val="32"/>
          <w:szCs w:val="32"/>
        </w:rPr>
        <w:t>攀</w:t>
      </w:r>
      <w:r>
        <w:rPr>
          <w:rFonts w:hint="eastAsia" w:ascii="仿宋_GB2312" w:eastAsia="仿宋_GB2312"/>
          <w:bCs/>
          <w:sz w:val="32"/>
          <w:szCs w:val="32"/>
        </w:rPr>
        <w:t>枝花市住房和城乡建设局为市政府工作部门，主要职责是：</w:t>
      </w:r>
      <w:r>
        <w:rPr>
          <w:rFonts w:hint="eastAsia" w:ascii="仿宋_GB2312" w:eastAsia="仿宋_GB2312" w:cs="方正仿宋_GBK-WinCharSetFFFF-H"/>
          <w:sz w:val="33"/>
          <w:szCs w:val="33"/>
        </w:rPr>
        <w:t>负责城市市政设施年度建设计划编制。指导和督促城市市政设施建设。协调、处理城市市政设施建设过程中的有关问题。参与城市总体规划和专项规划编制和审核。拟订全市村镇建设的发展规划并监督实施</w:t>
      </w:r>
      <w:r>
        <w:rPr>
          <w:rFonts w:hint="eastAsia" w:ascii="仿宋_GB2312" w:eastAsia="仿宋_GB2312" w:cs="方正仿宋_GBK-WinCharSetFFFF-H"/>
          <w:sz w:val="33"/>
          <w:szCs w:val="33"/>
          <w:lang w:eastAsia="zh-CN"/>
        </w:rPr>
        <w:t>，</w:t>
      </w:r>
      <w:r>
        <w:rPr>
          <w:rFonts w:hint="eastAsia" w:ascii="仿宋_GB2312" w:eastAsia="仿宋_GB2312" w:cs="方正仿宋_GBK-WinCharSetFFFF-H"/>
          <w:sz w:val="33"/>
          <w:szCs w:val="33"/>
        </w:rPr>
        <w:t>指导全市乡镇和村庄建设、全市农村住房建设及危房改造、农村建筑工匠培训和管理、农村公用设施建设，组织开展全市</w:t>
      </w:r>
      <w:r>
        <w:rPr>
          <w:rFonts w:hint="eastAsia" w:ascii="仿宋_GB2312" w:eastAsia="仿宋_GB2312" w:cs="TimesNewRoman"/>
          <w:sz w:val="33"/>
          <w:szCs w:val="33"/>
        </w:rPr>
        <w:t>“</w:t>
      </w:r>
      <w:r>
        <w:rPr>
          <w:rFonts w:hint="eastAsia" w:ascii="仿宋_GB2312" w:eastAsia="仿宋_GB2312" w:cs="方正仿宋_GBK-WinCharSetFFFF-H"/>
          <w:sz w:val="33"/>
          <w:szCs w:val="33"/>
        </w:rPr>
        <w:t>特色小城镇</w:t>
      </w:r>
      <w:r>
        <w:rPr>
          <w:rFonts w:hint="eastAsia" w:ascii="仿宋_GB2312" w:eastAsia="仿宋_GB2312" w:cs="TimesNewRoman"/>
          <w:sz w:val="33"/>
          <w:szCs w:val="33"/>
        </w:rPr>
        <w:t>”</w:t>
      </w:r>
      <w:r>
        <w:rPr>
          <w:rFonts w:hint="eastAsia" w:ascii="仿宋_GB2312" w:eastAsia="仿宋_GB2312" w:cs="方正仿宋_GBK-WinCharSetFFFF-H"/>
          <w:sz w:val="33"/>
          <w:szCs w:val="33"/>
        </w:rPr>
        <w:t>培育创建和开展村镇建设试点工作。拟订建筑业中长期规划、行业政策，承担建筑市场及本地建筑施工企业资质的监督管理和注册建造师的注册、执业活动的监督管理事项。参与房建和市政设施项目施工招投标活动监督。协助处理建设工程农民工拖欠工资。负责全市房地产业监督管理工作。负责房地产市场秩序的整治与监管。参与协调处理房地产交易的矛盾纠纷。承担全市勘察设计行业综合管理的具体工作。负责全市建设工程抗震设防标准的管理。指导、监督抗震设防专项论证工作。组织各类房屋建筑和市政工程设计抗震设计检查。参与抗震设计审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60" w:firstLineChars="200"/>
        <w:textAlignment w:val="auto"/>
        <w:rPr>
          <w:rFonts w:hint="eastAsia"/>
          <w:lang w:eastAsia="zh-CN"/>
        </w:rPr>
      </w:pPr>
      <w:r>
        <w:rPr>
          <w:rFonts w:hint="eastAsia" w:ascii="仿宋_GB2312" w:eastAsia="仿宋_GB2312" w:cs="方正仿宋_GBK-WinCharSetFFFF-H"/>
          <w:sz w:val="33"/>
          <w:szCs w:val="33"/>
        </w:rPr>
        <w:t>指导村镇建设抗震防灾工作。拟订建筑垃圾资源化再利用的整体规划和政策措施，综合协调建筑垃圾资源化再利用工作。负责信息化建设工作。负责对实施工程建设设计强制性标准进行监督检</w:t>
      </w:r>
      <w:r>
        <w:rPr>
          <w:rFonts w:hint="eastAsia" w:ascii="仿宋_GB2312" w:eastAsia="仿宋_GB2312"/>
          <w:sz w:val="32"/>
          <w:szCs w:val="32"/>
        </w:rPr>
        <w:t>查。负责对房屋建筑工程抗震设防实施情况的监督检查。负责行业体制改革的政策研究。负责行业规范性文件合法性审查工作。负责法治考核工作。负责做好立法调研和草案起草工作。配合上位法修订工作。负责行政许可事项和政务服务事项的公开、公示、告知工作。负责进驻政务服务中心窗口的组织协调和审批项目的受理、审核及办理工作。</w:t>
      </w:r>
    </w:p>
    <w:p>
      <w:pPr>
        <w:pStyle w:val="6"/>
        <w:rPr>
          <w:rStyle w:val="30"/>
          <w:rFonts w:ascii="Times New Roman" w:hAnsi="Times New Roman"/>
          <w:b w:val="0"/>
          <w:bCs w:val="0"/>
          <w:color w:val="auto"/>
          <w:highlight w:val="none"/>
        </w:rPr>
      </w:pPr>
      <w:bookmarkStart w:id="45" w:name="_Toc15396601"/>
      <w:bookmarkStart w:id="46" w:name="_Toc2034506658_WPSOffice_Level2"/>
      <w:bookmarkStart w:id="47" w:name="_Toc15377200"/>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hAnsi="仿宋" w:eastAsia="仿宋_GB2312"/>
          <w:sz w:val="32"/>
          <w:szCs w:val="32"/>
          <w:lang w:eastAsia="zh-CN"/>
        </w:rPr>
        <w:t>四川省</w:t>
      </w:r>
      <w:r>
        <w:rPr>
          <w:rFonts w:hint="eastAsia" w:ascii="仿宋_GB2312" w:hAnsi="仿宋" w:eastAsia="仿宋_GB2312"/>
          <w:sz w:val="32"/>
          <w:szCs w:val="32"/>
        </w:rPr>
        <w:t>攀</w:t>
      </w:r>
      <w:r>
        <w:rPr>
          <w:rFonts w:hint="eastAsia" w:ascii="仿宋_GB2312" w:eastAsia="仿宋_GB2312"/>
          <w:bCs/>
          <w:sz w:val="32"/>
          <w:szCs w:val="32"/>
        </w:rPr>
        <w:t>枝花市住房和城乡建设局</w:t>
      </w:r>
      <w:r>
        <w:rPr>
          <w:rFonts w:hint="eastAsia" w:ascii="仿宋_GB2312" w:eastAsia="仿宋_GB2312"/>
          <w:sz w:val="32"/>
          <w:szCs w:val="32"/>
        </w:rPr>
        <w:t>设办公室（信访科）、财务审计科、城市建设科、村镇建设科、建筑行业管理科、工程质量安全管理与消防验收科、房地产市场监管科、勘察设计与消防审查科、行政审批科（政策法规科）、市政管理科、人事科、机关党委办公室共</w:t>
      </w:r>
      <w:r>
        <w:rPr>
          <w:rFonts w:hint="eastAsia" w:ascii="Times New Roman" w:hAnsi="Times New Roman" w:eastAsia="仿宋_GB2312" w:cs="仿宋_GB2312"/>
          <w:color w:val="auto"/>
          <w:kern w:val="2"/>
          <w:sz w:val="32"/>
          <w:szCs w:val="32"/>
          <w:highlight w:val="none"/>
          <w:lang w:val="en-US" w:eastAsia="zh-CN" w:bidi="ar-SA"/>
        </w:rPr>
        <w:t>12个</w:t>
      </w:r>
      <w:r>
        <w:rPr>
          <w:rFonts w:hint="eastAsia" w:ascii="仿宋_GB2312" w:eastAsia="仿宋_GB2312"/>
          <w:sz w:val="32"/>
          <w:szCs w:val="32"/>
        </w:rPr>
        <w:t>科室，另有市住房保障办公室和市建设建材工会，共有行政编制</w:t>
      </w:r>
      <w:r>
        <w:rPr>
          <w:rFonts w:hint="eastAsia" w:ascii="Times New Roman" w:hAnsi="Times New Roman" w:eastAsia="仿宋_GB2312" w:cs="仿宋_GB2312"/>
          <w:color w:val="auto"/>
          <w:kern w:val="2"/>
          <w:sz w:val="32"/>
          <w:szCs w:val="32"/>
          <w:highlight w:val="none"/>
          <w:lang w:val="en-US" w:eastAsia="zh-CN" w:bidi="ar-SA"/>
        </w:rPr>
        <w:t>35</w:t>
      </w:r>
      <w:r>
        <w:rPr>
          <w:rFonts w:hint="eastAsia" w:ascii="仿宋_GB2312" w:eastAsia="仿宋_GB2312"/>
          <w:sz w:val="32"/>
          <w:szCs w:val="32"/>
        </w:rPr>
        <w:t>名，工勤人员</w:t>
      </w:r>
      <w:r>
        <w:rPr>
          <w:rFonts w:hint="eastAsia" w:ascii="Times New Roman" w:hAnsi="Times New Roman" w:eastAsia="仿宋_GB2312" w:cs="仿宋_GB2312"/>
          <w:color w:val="auto"/>
          <w:kern w:val="2"/>
          <w:sz w:val="32"/>
          <w:szCs w:val="32"/>
          <w:highlight w:val="none"/>
          <w:lang w:val="en-US" w:eastAsia="zh-CN" w:bidi="ar-SA"/>
        </w:rPr>
        <w:t>9</w:t>
      </w:r>
      <w:r>
        <w:rPr>
          <w:rFonts w:hint="eastAsia" w:ascii="仿宋_GB2312" w:eastAsia="仿宋_GB2312"/>
          <w:sz w:val="32"/>
          <w:szCs w:val="32"/>
        </w:rPr>
        <w:t>名。</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5"/>
        <w:jc w:val="center"/>
        <w:rPr>
          <w:rFonts w:hint="eastAsia" w:ascii="Times New Roman" w:hAnsi="Times New Roman" w:eastAsia="方正小标宋简体" w:cs="方正小标宋简体"/>
          <w:b w:val="0"/>
          <w:color w:val="auto"/>
          <w:highlight w:val="none"/>
        </w:rPr>
      </w:pPr>
      <w:bookmarkStart w:id="48" w:name="_Toc15396602"/>
      <w:bookmarkStart w:id="49" w:name="_Toc15377204"/>
      <w:bookmarkStart w:id="50" w:name="_Toc2011891693_WPSOffice_Level1"/>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rPr>
        <w:t>决算情况说明</w:t>
      </w:r>
      <w:bookmarkEnd w:id="48"/>
      <w:bookmarkEnd w:id="49"/>
      <w:bookmarkEnd w:id="50"/>
    </w:p>
    <w:p>
      <w:pPr>
        <w:rPr>
          <w:rFonts w:ascii="Times New Roman" w:hAnsi="Times New Roman"/>
          <w:color w:val="auto"/>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51" w:name="_Toc324717386_WPSOffice_Level2"/>
      <w:bookmarkStart w:id="52" w:name="_Toc15377205"/>
      <w:bookmarkStart w:id="53"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51"/>
      <w:bookmarkEnd w:id="52"/>
      <w:bookmarkEnd w:id="53"/>
    </w:p>
    <w:p>
      <w:pPr>
        <w:pStyle w:val="36"/>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Times New Roman" w:hAnsi="Times New Roman" w:eastAsia="仿宋_GB2312" w:cs="仿宋_GB2312"/>
          <w:color w:val="auto"/>
          <w:kern w:val="2"/>
          <w:sz w:val="32"/>
          <w:szCs w:val="32"/>
          <w:highlight w:val="none"/>
          <w:lang w:val="en-US" w:eastAsia="zh-CN" w:bidi="ar-SA"/>
        </w:rPr>
        <w:t>24419.61</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56.24</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0.23</w:t>
      </w:r>
      <w:r>
        <w:rPr>
          <w:rFonts w:hint="eastAsia" w:ascii="Times New Roman" w:hAnsi="Times New Roman" w:eastAsia="仿宋_GB2312" w:cs="仿宋_GB2312"/>
          <w:color w:val="auto"/>
          <w:sz w:val="32"/>
          <w:szCs w:val="32"/>
          <w:highlight w:val="none"/>
        </w:rPr>
        <w:t>%。主要变动原因是2024年人员减少，相应的财政预算拨</w:t>
      </w:r>
      <w:r>
        <w:rPr>
          <w:rFonts w:hint="eastAsia" w:eastAsia="仿宋_GB2312" w:cs="仿宋_GB2312"/>
          <w:color w:val="auto"/>
          <w:sz w:val="32"/>
          <w:szCs w:val="32"/>
          <w:highlight w:val="none"/>
          <w:lang w:eastAsia="zh-CN"/>
        </w:rPr>
        <w:t>入</w:t>
      </w:r>
      <w:r>
        <w:rPr>
          <w:rFonts w:hint="eastAsia" w:ascii="Times New Roman" w:hAnsi="Times New Roman" w:eastAsia="仿宋_GB2312" w:cs="仿宋_GB2312"/>
          <w:color w:val="auto"/>
          <w:sz w:val="32"/>
          <w:szCs w:val="32"/>
          <w:highlight w:val="none"/>
        </w:rPr>
        <w:t>减</w:t>
      </w:r>
      <w:r>
        <w:rPr>
          <w:rFonts w:hint="eastAsia" w:eastAsia="仿宋_GB2312" w:cs="仿宋_GB2312"/>
          <w:color w:val="auto"/>
          <w:sz w:val="32"/>
          <w:szCs w:val="32"/>
          <w:highlight w:val="none"/>
          <w:lang w:eastAsia="zh-CN"/>
        </w:rPr>
        <w:t>付</w:t>
      </w:r>
      <w:r>
        <w:rPr>
          <w:rFonts w:hint="eastAsia" w:ascii="Times New Roman" w:hAnsi="Times New Roman" w:eastAsia="仿宋_GB2312" w:cs="仿宋_GB2312"/>
          <w:color w:val="auto"/>
          <w:sz w:val="32"/>
          <w:szCs w:val="32"/>
          <w:highlight w:val="none"/>
        </w:rPr>
        <w:t>少</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火车南站PPP项目较上年减少7809.05万元</w:t>
      </w:r>
      <w:r>
        <w:rPr>
          <w:rFonts w:hint="eastAsia" w:eastAsia="仿宋_GB2312" w:cs="仿宋_GB2312"/>
          <w:color w:val="auto"/>
          <w:sz w:val="32"/>
          <w:szCs w:val="32"/>
          <w:highlight w:val="none"/>
          <w:lang w:eastAsia="zh-CN"/>
        </w:rPr>
        <w:t>；但</w:t>
      </w:r>
      <w:r>
        <w:rPr>
          <w:rFonts w:hint="eastAsia" w:ascii="Times New Roman" w:hAnsi="Times New Roman" w:eastAsia="仿宋_GB2312" w:cs="仿宋_GB2312"/>
          <w:color w:val="auto"/>
          <w:sz w:val="32"/>
          <w:szCs w:val="32"/>
          <w:highlight w:val="none"/>
        </w:rPr>
        <w:t>生活污水处理设施建设PPP项目较上年增加8169.16万元</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攀枝花市主城区排水管网排查检测项目较上年增加69.7万元，</w:t>
      </w:r>
      <w:r>
        <w:rPr>
          <w:rFonts w:hint="eastAsia" w:eastAsia="仿宋_GB2312" w:cs="仿宋_GB2312"/>
          <w:color w:val="auto"/>
          <w:sz w:val="32"/>
          <w:szCs w:val="32"/>
          <w:highlight w:val="none"/>
          <w:lang w:eastAsia="zh-CN"/>
        </w:rPr>
        <w:t>品迭后</w:t>
      </w:r>
      <w:r>
        <w:rPr>
          <w:rFonts w:hint="eastAsia" w:eastAsia="仿宋_GB2312" w:cs="仿宋_GB2312"/>
          <w:color w:val="auto"/>
          <w:sz w:val="32"/>
          <w:szCs w:val="32"/>
          <w:highlight w:val="none"/>
          <w:lang w:val="en-US" w:eastAsia="zh-CN"/>
        </w:rPr>
        <w:t>2024年收入有所</w:t>
      </w:r>
      <w:r>
        <w:rPr>
          <w:rFonts w:hint="eastAsia" w:ascii="Times New Roman" w:hAnsi="Times New Roman" w:eastAsia="仿宋_GB2312" w:cs="仿宋_GB2312"/>
          <w:color w:val="auto"/>
          <w:sz w:val="32"/>
          <w:szCs w:val="32"/>
          <w:highlight w:val="none"/>
        </w:rPr>
        <w:t>增加。</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935" distR="114935">
            <wp:extent cx="5256530" cy="2988310"/>
            <wp:effectExtent l="5080" t="4445" r="15240" b="17145"/>
            <wp:docPr id="1" name="图表 1" descr="7b0a202020202263686172745265734964223a2022343631303335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pStyle w:val="38"/>
        <w:rPr>
          <w:rFonts w:hint="eastAsia"/>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54" w:name="_Toc15377206"/>
      <w:bookmarkStart w:id="55" w:name="_Toc268281832_WPSOffice_Level2"/>
      <w:bookmarkStart w:id="56" w:name="_Toc15396604"/>
      <w:r>
        <w:rPr>
          <w:rFonts w:hint="eastAsia" w:ascii="Times New Roman" w:hAnsi="Times New Roman" w:eastAsia="黑体"/>
          <w:color w:val="auto"/>
          <w:sz w:val="32"/>
          <w:szCs w:val="32"/>
          <w:highlight w:val="none"/>
          <w:lang w:eastAsia="zh-CN"/>
        </w:rPr>
        <w:t>二、收入决算情况说明</w:t>
      </w:r>
      <w:bookmarkEnd w:id="54"/>
      <w:bookmarkEnd w:id="55"/>
      <w:bookmarkEnd w:id="56"/>
    </w:p>
    <w:p>
      <w:pPr>
        <w:pStyle w:val="28"/>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Times New Roman" w:hAnsi="Times New Roman" w:eastAsia="仿宋_GB2312" w:cs="仿宋_GB2312"/>
          <w:color w:val="auto"/>
          <w:kern w:val="2"/>
          <w:sz w:val="32"/>
          <w:szCs w:val="32"/>
          <w:highlight w:val="none"/>
          <w:lang w:val="en-US" w:eastAsia="zh-CN" w:bidi="ar-SA"/>
        </w:rPr>
        <w:t>24419.61</w:t>
      </w:r>
      <w:r>
        <w:rPr>
          <w:rFonts w:hint="eastAsia" w:ascii="仿宋_GB2312" w:hAnsi="仿宋_GB2312" w:eastAsia="仿宋_GB2312" w:cs="仿宋_GB2312"/>
          <w:sz w:val="32"/>
          <w:szCs w:val="32"/>
        </w:rPr>
        <w:t>万元，其中：一般公共预算财政拨款收入</w:t>
      </w:r>
      <w:r>
        <w:rPr>
          <w:rFonts w:hint="eastAsia" w:ascii="Times New Roman" w:hAnsi="Times New Roman" w:eastAsia="仿宋_GB2312" w:cs="仿宋_GB2312"/>
          <w:color w:val="auto"/>
          <w:kern w:val="2"/>
          <w:sz w:val="32"/>
          <w:szCs w:val="32"/>
          <w:highlight w:val="none"/>
          <w:lang w:val="en-US" w:eastAsia="zh-CN" w:bidi="ar-SA"/>
        </w:rPr>
        <w:t>2076.57</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kern w:val="2"/>
          <w:sz w:val="32"/>
          <w:szCs w:val="32"/>
          <w:highlight w:val="none"/>
          <w:lang w:val="en-US" w:eastAsia="zh-CN" w:bidi="ar-SA"/>
        </w:rPr>
        <w:t>8.50%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Times New Roman" w:hAnsi="Times New Roman" w:eastAsia="仿宋_GB2312" w:cs="仿宋_GB2312"/>
          <w:color w:val="auto"/>
          <w:kern w:val="2"/>
          <w:sz w:val="32"/>
          <w:szCs w:val="32"/>
          <w:highlight w:val="none"/>
          <w:lang w:val="en-US" w:eastAsia="zh-CN" w:bidi="ar-SA"/>
        </w:rPr>
        <w:t>22343.04</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kern w:val="2"/>
          <w:sz w:val="32"/>
          <w:szCs w:val="32"/>
          <w:highlight w:val="none"/>
          <w:lang w:val="en-US" w:eastAsia="zh-CN" w:bidi="ar-SA"/>
        </w:rPr>
        <w:t>91.50%</w:t>
      </w:r>
      <w:r>
        <w:rPr>
          <w:rFonts w:hint="eastAsia" w:ascii="仿宋_GB2312" w:hAnsi="仿宋_GB2312" w:eastAsia="仿宋_GB2312" w:cs="仿宋_GB2312"/>
          <w:color w:val="auto"/>
          <w:sz w:val="32"/>
          <w:szCs w:val="32"/>
          <w:highlight w:val="none"/>
          <w:lang w:eastAsia="zh-CN"/>
        </w:rPr>
        <w:t>。</w:t>
      </w:r>
    </w:p>
    <w:p>
      <w:pPr>
        <w:pStyle w:val="28"/>
        <w:keepNext w:val="0"/>
        <w:keepLines w:val="0"/>
        <w:pageBreakBefore w:val="0"/>
        <w:widowControl w:val="0"/>
        <w:numPr>
          <w:ilvl w:val="0"/>
          <w:numId w:val="0"/>
        </w:numPr>
        <w:tabs>
          <w:tab w:val="left" w:pos="433"/>
        </w:tabs>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127" w:name="_GoBack"/>
      <w:bookmarkEnd w:id="127"/>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57" w:name="_Toc15377207"/>
      <w:bookmarkStart w:id="58" w:name="_Toc15396605"/>
      <w:bookmarkStart w:id="59" w:name="_Toc1346507168_WPSOffice_Level2"/>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57"/>
      <w:bookmarkEnd w:id="58"/>
      <w:bookmarkEnd w:id="59"/>
    </w:p>
    <w:p>
      <w:pPr>
        <w:pStyle w:val="28"/>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sz w:val="32"/>
          <w:szCs w:val="32"/>
          <w:highlight w:val="none"/>
          <w:lang w:eastAsia="zh-CN"/>
        </w:rPr>
        <w:t>年度本年支出合计</w:t>
      </w:r>
      <w:r>
        <w:rPr>
          <w:rFonts w:hint="eastAsia" w:ascii="Times New Roman" w:hAnsi="Times New Roman" w:eastAsia="仿宋_GB2312" w:cs="仿宋_GB2312"/>
          <w:color w:val="auto"/>
          <w:kern w:val="2"/>
          <w:sz w:val="32"/>
          <w:szCs w:val="32"/>
          <w:highlight w:val="none"/>
          <w:lang w:val="en-US" w:eastAsia="zh-CN" w:bidi="ar-SA"/>
        </w:rPr>
        <w:t>24419.61</w:t>
      </w:r>
      <w:r>
        <w:rPr>
          <w:rFonts w:hint="eastAsia" w:ascii="仿宋_GB2312" w:hAnsi="仿宋_GB2312" w:eastAsia="仿宋_GB2312" w:cs="仿宋_GB2312"/>
          <w:color w:val="auto"/>
          <w:sz w:val="32"/>
          <w:szCs w:val="32"/>
          <w:highlight w:val="none"/>
          <w:lang w:eastAsia="zh-CN"/>
        </w:rPr>
        <w:t>万元，其中：基本支出</w:t>
      </w:r>
      <w:r>
        <w:rPr>
          <w:rFonts w:hint="eastAsia" w:ascii="Times New Roman" w:hAnsi="Times New Roman" w:eastAsia="仿宋_GB2312" w:cs="仿宋_GB2312"/>
          <w:color w:val="auto"/>
          <w:kern w:val="2"/>
          <w:sz w:val="32"/>
          <w:szCs w:val="32"/>
          <w:highlight w:val="none"/>
          <w:lang w:val="en-US" w:eastAsia="zh-CN" w:bidi="ar-SA"/>
        </w:rPr>
        <w:t>1540.62</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kern w:val="2"/>
          <w:sz w:val="32"/>
          <w:szCs w:val="32"/>
          <w:highlight w:val="none"/>
          <w:lang w:val="en-US" w:eastAsia="zh-CN" w:bidi="ar-SA"/>
        </w:rPr>
        <w:t>6.31%</w:t>
      </w:r>
      <w:r>
        <w:rPr>
          <w:rFonts w:hint="eastAsia"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eastAsia="zh-CN"/>
        </w:rPr>
        <w:t>项目支出</w:t>
      </w:r>
      <w:r>
        <w:rPr>
          <w:rFonts w:hint="eastAsia" w:ascii="Times New Roman" w:hAnsi="Times New Roman" w:eastAsia="仿宋_GB2312" w:cs="仿宋_GB2312"/>
          <w:color w:val="auto"/>
          <w:kern w:val="2"/>
          <w:sz w:val="32"/>
          <w:szCs w:val="32"/>
          <w:highlight w:val="none"/>
          <w:lang w:val="en-US" w:eastAsia="zh-CN" w:bidi="ar-SA"/>
        </w:rPr>
        <w:t>22878.99</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kern w:val="2"/>
          <w:sz w:val="32"/>
          <w:szCs w:val="32"/>
          <w:highlight w:val="none"/>
          <w:lang w:val="en-US" w:eastAsia="zh-CN" w:bidi="ar-SA"/>
        </w:rPr>
        <w:t>93.69%。</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30"/>
          <w:rFonts w:ascii="Times New Roman" w:hAnsi="Times New Roman" w:eastAsia="黑体"/>
          <w:b w:val="0"/>
          <w:color w:val="auto"/>
          <w:highlight w:val="none"/>
        </w:rPr>
      </w:pPr>
      <w:bookmarkStart w:id="60" w:name="_Toc194514986_WPSOffice_Level2"/>
      <w:bookmarkStart w:id="61" w:name="_Toc15396606"/>
      <w:bookmarkStart w:id="62" w:name="_Toc15377208"/>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60"/>
      <w:bookmarkEnd w:id="61"/>
      <w:bookmarkEnd w:id="62"/>
    </w:p>
    <w:p>
      <w:pPr>
        <w:pStyle w:val="36"/>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2024年度财政拨款收入、支出总计均为24419.61万元。与2023年度相比</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财政拨款收入总计、支出总计各增加</w:t>
      </w:r>
      <w:r>
        <w:rPr>
          <w:rFonts w:hint="eastAsia" w:eastAsia="仿宋_GB2312" w:cs="仿宋_GB2312"/>
          <w:color w:val="auto"/>
          <w:kern w:val="2"/>
          <w:sz w:val="32"/>
          <w:szCs w:val="32"/>
          <w:highlight w:val="none"/>
          <w:lang w:val="en-US" w:eastAsia="zh-CN" w:bidi="ar-SA"/>
        </w:rPr>
        <w:t>56.24</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0.23</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Times New Roman" w:hAnsi="Times New Roman" w:eastAsia="仿宋_GB2312" w:cs="仿宋_GB2312"/>
          <w:color w:val="auto"/>
          <w:sz w:val="32"/>
          <w:szCs w:val="32"/>
          <w:highlight w:val="none"/>
        </w:rPr>
        <w:t>2024年人员减少，相应的财政预算拨付减少</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火车南站PPP项目较上年减少7809.05万元</w:t>
      </w:r>
      <w:r>
        <w:rPr>
          <w:rFonts w:hint="eastAsia" w:eastAsia="仿宋_GB2312" w:cs="仿宋_GB2312"/>
          <w:color w:val="auto"/>
          <w:sz w:val="32"/>
          <w:szCs w:val="32"/>
          <w:highlight w:val="none"/>
          <w:lang w:eastAsia="zh-CN"/>
        </w:rPr>
        <w:t>；但</w:t>
      </w:r>
      <w:r>
        <w:rPr>
          <w:rFonts w:hint="eastAsia" w:ascii="Times New Roman" w:hAnsi="Times New Roman" w:eastAsia="仿宋_GB2312" w:cs="仿宋_GB2312"/>
          <w:color w:val="auto"/>
          <w:sz w:val="32"/>
          <w:szCs w:val="32"/>
          <w:highlight w:val="none"/>
        </w:rPr>
        <w:t>生活污水处理设施建设PPP项目较上年增加8169.16万元</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攀枝花市主城区排水管网排查检测项目较上年增加69.7万元，</w:t>
      </w:r>
      <w:r>
        <w:rPr>
          <w:rFonts w:hint="eastAsia" w:eastAsia="仿宋_GB2312" w:cs="仿宋_GB2312"/>
          <w:color w:val="auto"/>
          <w:sz w:val="32"/>
          <w:szCs w:val="32"/>
          <w:highlight w:val="none"/>
          <w:lang w:eastAsia="zh-CN"/>
        </w:rPr>
        <w:t>品迭后</w:t>
      </w:r>
      <w:r>
        <w:rPr>
          <w:rFonts w:hint="eastAsia" w:eastAsia="仿宋_GB2312" w:cs="仿宋_GB2312"/>
          <w:color w:val="auto"/>
          <w:sz w:val="32"/>
          <w:szCs w:val="32"/>
          <w:highlight w:val="none"/>
          <w:lang w:val="en-US" w:eastAsia="zh-CN"/>
        </w:rPr>
        <w:t>2024年收入有所</w:t>
      </w:r>
      <w:r>
        <w:rPr>
          <w:rFonts w:hint="eastAsia" w:ascii="Times New Roman" w:hAnsi="Times New Roman" w:eastAsia="仿宋_GB2312" w:cs="仿宋_GB2312"/>
          <w:color w:val="auto"/>
          <w:sz w:val="32"/>
          <w:szCs w:val="32"/>
          <w:highlight w:val="none"/>
        </w:rPr>
        <w:t>增加。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38"/>
        <w:jc w:val="center"/>
        <w:rPr>
          <w:rFonts w:hint="eastAsia"/>
          <w:lang w:val="en-US" w:eastAsia="zh-CN"/>
        </w:rPr>
      </w:pPr>
      <w:r>
        <w:rPr>
          <w:rFonts w:hint="eastAsia"/>
          <w:lang w:val="en-US"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30"/>
          <w:rFonts w:ascii="Times New Roman" w:hAnsi="Times New Roman" w:eastAsia="黑体"/>
          <w:b w:val="0"/>
          <w:color w:val="auto"/>
          <w:highlight w:val="none"/>
        </w:rPr>
      </w:pPr>
      <w:bookmarkStart w:id="63" w:name="_Toc15377209"/>
      <w:bookmarkStart w:id="64" w:name="_Toc1778240566_WPSOffice_Level2"/>
      <w:bookmarkStart w:id="65"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63"/>
      <w:bookmarkEnd w:id="64"/>
      <w:bookmarkEnd w:id="65"/>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6"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6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年度一般公共预算财政拨款支出</w:t>
      </w:r>
      <w:r>
        <w:rPr>
          <w:rFonts w:hint="eastAsia" w:ascii="Times New Roman" w:hAnsi="Times New Roman" w:eastAsia="仿宋_GB2312" w:cs="仿宋_GB2312"/>
          <w:color w:val="auto"/>
          <w:kern w:val="2"/>
          <w:sz w:val="32"/>
          <w:szCs w:val="32"/>
          <w:highlight w:val="none"/>
          <w:lang w:val="en-US" w:eastAsia="zh-CN" w:bidi="ar-SA"/>
        </w:rPr>
        <w:t>2076.57</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Times New Roman" w:hAnsi="Times New Roman" w:eastAsia="仿宋_GB2312" w:cs="仿宋_GB2312"/>
          <w:color w:val="auto"/>
          <w:kern w:val="2"/>
          <w:sz w:val="32"/>
          <w:szCs w:val="32"/>
          <w:highlight w:val="none"/>
          <w:lang w:val="en-US" w:eastAsia="zh-CN" w:bidi="ar-SA"/>
        </w:rPr>
        <w:t>8.50%</w:t>
      </w:r>
      <w:r>
        <w:rPr>
          <w:rFonts w:hint="eastAsia" w:ascii="仿宋_GB2312" w:hAnsi="仿宋_GB2312"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w:t>
      </w:r>
      <w:r>
        <w:rPr>
          <w:rFonts w:hint="eastAsia" w:ascii="仿宋_GB2312" w:hAnsi="仿宋_GB2312" w:eastAsia="仿宋_GB2312" w:cs="仿宋_GB2312"/>
          <w:color w:val="auto"/>
          <w:kern w:val="2"/>
          <w:sz w:val="32"/>
          <w:szCs w:val="32"/>
          <w:highlight w:val="none"/>
          <w:lang w:val="en-US" w:eastAsia="zh-CN" w:bidi="ar-SA"/>
        </w:rPr>
        <w:t>年度相比，一般公共预算财政拨款支出减少</w:t>
      </w:r>
      <w:r>
        <w:rPr>
          <w:rFonts w:hint="eastAsia" w:ascii="Times New Roman" w:hAnsi="Times New Roman" w:eastAsia="仿宋_GB2312" w:cs="仿宋_GB2312"/>
          <w:color w:val="auto"/>
          <w:kern w:val="2"/>
          <w:sz w:val="32"/>
          <w:szCs w:val="32"/>
          <w:highlight w:val="none"/>
          <w:lang w:val="en-US" w:eastAsia="zh-CN" w:bidi="ar-SA"/>
        </w:rPr>
        <w:t>1240.87</w:t>
      </w:r>
      <w:r>
        <w:rPr>
          <w:rFonts w:hint="eastAsia" w:ascii="仿宋_GB2312" w:hAnsi="仿宋_GB2312" w:eastAsia="仿宋_GB2312" w:cs="仿宋_GB2312"/>
          <w:color w:val="auto"/>
          <w:kern w:val="2"/>
          <w:sz w:val="32"/>
          <w:szCs w:val="32"/>
          <w:highlight w:val="none"/>
          <w:lang w:val="en-US" w:eastAsia="zh-CN" w:bidi="ar-SA"/>
        </w:rPr>
        <w:t>万元，下降</w:t>
      </w:r>
      <w:r>
        <w:rPr>
          <w:rFonts w:hint="eastAsia" w:ascii="Times New Roman" w:hAnsi="Times New Roman" w:eastAsia="仿宋_GB2312" w:cs="仿宋_GB2312"/>
          <w:color w:val="auto"/>
          <w:kern w:val="2"/>
          <w:sz w:val="32"/>
          <w:szCs w:val="32"/>
          <w:highlight w:val="none"/>
          <w:lang w:val="en-US" w:eastAsia="zh-CN" w:bidi="ar-SA"/>
        </w:rPr>
        <w:t>37.40%</w:t>
      </w:r>
      <w:r>
        <w:rPr>
          <w:rFonts w:hint="eastAsia" w:ascii="仿宋_GB2312" w:hAnsi="仿宋_GB2312" w:eastAsia="仿宋_GB2312" w:cs="仿宋_GB2312"/>
          <w:color w:val="auto"/>
          <w:kern w:val="2"/>
          <w:sz w:val="32"/>
          <w:szCs w:val="32"/>
          <w:highlight w:val="none"/>
          <w:lang w:val="en-US" w:eastAsia="zh-CN" w:bidi="ar-SA"/>
        </w:rPr>
        <w:t>。主要变动原因一是</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宋体" w:eastAsia="仿宋_GB2312"/>
          <w:color w:val="auto"/>
          <w:sz w:val="32"/>
          <w:szCs w:val="32"/>
        </w:rPr>
        <w:t>年人员减少，财政预算拨</w:t>
      </w:r>
      <w:r>
        <w:rPr>
          <w:rFonts w:hint="eastAsia" w:ascii="仿宋_GB2312" w:hAnsi="宋体" w:eastAsia="仿宋_GB2312"/>
          <w:color w:val="auto"/>
          <w:sz w:val="32"/>
          <w:szCs w:val="32"/>
          <w:lang w:eastAsia="zh-CN"/>
        </w:rPr>
        <w:t>入</w:t>
      </w:r>
      <w:r>
        <w:rPr>
          <w:rFonts w:hint="eastAsia" w:ascii="仿宋_GB2312" w:hAnsi="宋体" w:eastAsia="仿宋_GB2312"/>
          <w:color w:val="auto"/>
          <w:sz w:val="32"/>
          <w:szCs w:val="32"/>
        </w:rPr>
        <w:t>减少</w:t>
      </w:r>
      <w:r>
        <w:rPr>
          <w:rFonts w:hint="eastAsia" w:ascii="仿宋_GB2312" w:hAnsi="宋体" w:eastAsia="仿宋_GB2312"/>
          <w:color w:val="auto"/>
          <w:sz w:val="32"/>
          <w:szCs w:val="32"/>
          <w:lang w:eastAsia="zh-CN"/>
        </w:rPr>
        <w:t>，相应支出减少，二是本年度</w:t>
      </w:r>
      <w:r>
        <w:rPr>
          <w:rFonts w:hint="eastAsia" w:ascii="仿宋_GB2312" w:hAnsi="宋体" w:eastAsia="仿宋_GB2312"/>
          <w:color w:val="auto"/>
          <w:sz w:val="32"/>
          <w:szCs w:val="32"/>
        </w:rPr>
        <w:t>相关项目使用政府性基金预算财政拨款支出</w:t>
      </w:r>
      <w:r>
        <w:rPr>
          <w:rFonts w:hint="eastAsia" w:ascii="仿宋_GB2312" w:hAnsi="宋体" w:eastAsia="仿宋_GB2312"/>
          <w:color w:val="auto"/>
          <w:sz w:val="32"/>
          <w:szCs w:val="32"/>
          <w:lang w:eastAsia="zh-CN"/>
        </w:rPr>
        <w:t>，而同样项目</w:t>
      </w:r>
      <w:r>
        <w:rPr>
          <w:rFonts w:hint="eastAsia" w:ascii="Times New Roman" w:hAnsi="Times New Roman" w:eastAsia="仿宋_GB2312" w:cs="仿宋_GB2312"/>
          <w:color w:val="auto"/>
          <w:kern w:val="2"/>
          <w:sz w:val="32"/>
          <w:szCs w:val="32"/>
          <w:highlight w:val="none"/>
          <w:lang w:val="en-US" w:eastAsia="zh-CN" w:bidi="ar-SA"/>
        </w:rPr>
        <w:t>2023</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lang w:eastAsia="zh-CN"/>
        </w:rPr>
        <w:t>财政下达预算列入一般公共预算财政拨款</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67"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67"/>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2024年度一般公共预算财政拨款支出2076.57</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6.71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0.32</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482.19</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23.22</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59.48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2.86</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城乡社区支出1413.86万元，</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68.09</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74.33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3.58</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其他</w:t>
      </w:r>
      <w:r>
        <w:rPr>
          <w:rFonts w:hint="eastAsia" w:ascii="Times New Roman" w:hAnsi="Times New Roman" w:eastAsia="仿宋_GB2312" w:cs="仿宋_GB2312"/>
          <w:color w:val="auto"/>
          <w:kern w:val="2"/>
          <w:sz w:val="32"/>
          <w:szCs w:val="32"/>
          <w:highlight w:val="none"/>
          <w:lang w:val="en-US" w:eastAsia="zh-CN" w:bidi="ar-SA"/>
        </w:rPr>
        <w:t>支出</w:t>
      </w:r>
      <w:r>
        <w:rPr>
          <w:rFonts w:hint="eastAsia" w:eastAsia="仿宋_GB2312" w:cs="仿宋_GB2312"/>
          <w:color w:val="auto"/>
          <w:kern w:val="2"/>
          <w:sz w:val="32"/>
          <w:szCs w:val="32"/>
          <w:highlight w:val="none"/>
          <w:lang w:val="en-US" w:eastAsia="zh-CN" w:bidi="ar-SA"/>
        </w:rPr>
        <w:t>40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1.93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pStyle w:val="38"/>
        <w:jc w:val="center"/>
        <w:rPr>
          <w:rFonts w:hint="eastAsia"/>
          <w:lang w:val="en-US" w:eastAsia="zh-CN"/>
        </w:rPr>
      </w:pPr>
      <w:r>
        <w:rPr>
          <w:rFonts w:hint="eastAsia"/>
          <w:lang w:val="en-US"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bidi w:val="0"/>
        <w:adjustRightInd/>
        <w:spacing w:line="578" w:lineRule="exact"/>
        <w:ind w:firstLine="642" w:firstLineChars="200"/>
        <w:jc w:val="both"/>
        <w:textAlignment w:val="auto"/>
        <w:outlineLvl w:val="2"/>
        <w:rPr>
          <w:rFonts w:hint="eastAsia" w:ascii="Times New Roman" w:hAnsi="Times New Roman" w:eastAsia="楷体_GB2312" w:cs="楷体_GB2312"/>
          <w:b/>
          <w:color w:val="auto"/>
          <w:sz w:val="32"/>
          <w:szCs w:val="32"/>
          <w:highlight w:val="none"/>
        </w:rPr>
      </w:pPr>
      <w:bookmarkStart w:id="68"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68"/>
    </w:p>
    <w:p>
      <w:pPr>
        <w:keepNext w:val="0"/>
        <w:keepLines w:val="0"/>
        <w:pageBreakBefore w:val="0"/>
        <w:widowControl w:val="0"/>
        <w:kinsoku/>
        <w:wordWrap/>
        <w:overflowPunct/>
        <w:topLinePunct w:val="0"/>
        <w:autoSpaceDE/>
        <w:bidi w:val="0"/>
        <w:adjustRightInd/>
        <w:spacing w:line="578"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69" w:name="_Toc15377444"/>
      <w:bookmarkStart w:id="70" w:name="_Toc15377213"/>
      <w:bookmarkStart w:id="71"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2024年度一般公共预算财政拨款支出决算数为2076.57</w:t>
      </w:r>
      <w:r>
        <w:rPr>
          <w:rFonts w:hint="eastAsia" w:eastAsia="仿宋_GB2312" w:cs="仿宋_GB2312"/>
          <w:color w:val="auto"/>
          <w:kern w:val="2"/>
          <w:sz w:val="32"/>
          <w:szCs w:val="32"/>
          <w:highlight w:val="none"/>
          <w:lang w:val="en-US" w:eastAsia="zh-CN" w:bidi="ar-SA"/>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完成预算100%。其中：</w:t>
      </w:r>
      <w:bookmarkEnd w:id="69"/>
      <w:bookmarkEnd w:id="70"/>
      <w:bookmarkEnd w:id="71"/>
    </w:p>
    <w:p>
      <w:pPr>
        <w:pStyle w:val="15"/>
        <w:keepNext w:val="0"/>
        <w:keepLines w:val="0"/>
        <w:pageBreakBefore w:val="0"/>
        <w:widowControl w:val="0"/>
        <w:numPr>
          <w:ilvl w:val="0"/>
          <w:numId w:val="0"/>
        </w:numPr>
        <w:suppressAutoHyphens w:val="0"/>
        <w:kinsoku/>
        <w:wordWrap/>
        <w:overflowPunct/>
        <w:topLinePunct w:val="0"/>
        <w:autoSpaceDE/>
        <w:autoSpaceDN w:val="0"/>
        <w:bidi w:val="0"/>
        <w:adjustRightInd/>
        <w:spacing w:before="93" w:beforeLines="30" w:line="578"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一般公共服务（类）</w:t>
      </w:r>
    </w:p>
    <w:p>
      <w:pPr>
        <w:pStyle w:val="15"/>
        <w:keepNext w:val="0"/>
        <w:keepLines w:val="0"/>
        <w:pageBreakBefore w:val="0"/>
        <w:widowControl w:val="0"/>
        <w:numPr>
          <w:ilvl w:val="0"/>
          <w:numId w:val="0"/>
        </w:numPr>
        <w:suppressAutoHyphens w:val="0"/>
        <w:kinsoku/>
        <w:wordWrap/>
        <w:overflowPunct/>
        <w:topLinePunct w:val="0"/>
        <w:autoSpaceDE/>
        <w:autoSpaceDN w:val="0"/>
        <w:bidi w:val="0"/>
        <w:adjustRightInd/>
        <w:spacing w:before="93" w:beforeLines="30" w:line="578"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kern w:val="0"/>
          <w:sz w:val="32"/>
          <w:szCs w:val="32"/>
          <w:lang w:bidi="ar"/>
        </w:rPr>
        <w:t>组织事务（款）其他组织事务支出（项）</w:t>
      </w:r>
      <w:r>
        <w:rPr>
          <w:rFonts w:hint="eastAsia" w:ascii="仿宋_GB2312" w:hAnsi="仿宋_GB2312" w:eastAsia="仿宋_GB2312" w:cs="仿宋_GB2312"/>
          <w:b w:val="0"/>
          <w:bCs/>
          <w:kern w:val="0"/>
          <w:sz w:val="32"/>
          <w:szCs w:val="32"/>
          <w:lang w:eastAsia="zh-CN" w:bidi="ar"/>
        </w:rPr>
        <w:t>：</w:t>
      </w:r>
      <w:r>
        <w:rPr>
          <w:rFonts w:hint="eastAsia" w:ascii="仿宋_GB2312" w:hAnsi="仿宋_GB2312" w:eastAsia="仿宋_GB2312" w:cs="仿宋_GB2312"/>
          <w:kern w:val="0"/>
          <w:sz w:val="32"/>
          <w:szCs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6.71</w:t>
      </w:r>
      <w:r>
        <w:rPr>
          <w:rFonts w:hint="eastAsia" w:ascii="仿宋_GB2312" w:hAnsi="仿宋_GB2312" w:eastAsia="仿宋_GB2312" w:cs="仿宋_GB2312"/>
          <w:kern w:val="0"/>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eastAsia="仿宋_GB2312" w:cs="仿宋_GB2312"/>
          <w:color w:val="auto"/>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2.社会保障和就业（类）</w:t>
      </w:r>
    </w:p>
    <w:p>
      <w:pPr>
        <w:keepNext w:val="0"/>
        <w:keepLines w:val="0"/>
        <w:pageBreakBefore w:val="0"/>
        <w:widowControl w:val="0"/>
        <w:kinsoku/>
        <w:wordWrap/>
        <w:overflowPunct/>
        <w:topLinePunct w:val="0"/>
        <w:autoSpaceDE/>
        <w:bidi w:val="0"/>
        <w:adjustRightInd/>
        <w:spacing w:line="578"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人力资源和社会保障管理事务（款）其他人力资源和社会保障管理事务支出（项）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0.24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bidi w:val="0"/>
        <w:adjustRightInd/>
        <w:spacing w:line="578" w:lineRule="exact"/>
        <w:ind w:firstLine="640" w:firstLineChars="200"/>
        <w:jc w:val="both"/>
        <w:textAlignment w:val="auto"/>
        <w:rPr>
          <w:rStyle w:val="18"/>
          <w:rFonts w:hint="eastAsia" w:ascii="仿宋_GB2312" w:hAnsi="仿宋_GB2312" w:eastAsia="仿宋_GB2312" w:cs="仿宋_GB2312"/>
          <w:b w:val="0"/>
          <w:sz w:val="32"/>
          <w:szCs w:val="32"/>
          <w:lang w:eastAsia="zh-CN"/>
        </w:rPr>
      </w:pPr>
      <w:r>
        <w:rPr>
          <w:rStyle w:val="18"/>
          <w:rFonts w:hint="eastAsia" w:ascii="仿宋_GB2312" w:hAnsi="仿宋_GB2312" w:eastAsia="仿宋_GB2312" w:cs="仿宋_GB2312"/>
          <w:b w:val="0"/>
          <w:bCs w:val="0"/>
          <w:sz w:val="32"/>
          <w:szCs w:val="32"/>
        </w:rPr>
        <w:t>行政事业单位养老支出（款）行政单位离退休（项）</w:t>
      </w:r>
      <w:r>
        <w:rPr>
          <w:rStyle w:val="18"/>
          <w:rFonts w:hint="eastAsia" w:ascii="仿宋_GB2312" w:hAnsi="仿宋_GB2312" w:eastAsia="仿宋_GB2312" w:cs="仿宋_GB2312"/>
          <w:b w:val="0"/>
          <w:bCs w:val="0"/>
          <w:sz w:val="32"/>
          <w:szCs w:val="32"/>
          <w:lang w:eastAsia="zh-CN"/>
        </w:rPr>
        <w:t>：</w:t>
      </w:r>
      <w:r>
        <w:rPr>
          <w:rStyle w:val="18"/>
          <w:rFonts w:hint="eastAsia" w:ascii="仿宋_GB2312" w:hAnsi="仿宋_GB2312" w:eastAsia="仿宋_GB2312" w:cs="仿宋_GB2312"/>
          <w:b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318.83</w:t>
      </w:r>
      <w:r>
        <w:rPr>
          <w:rStyle w:val="18"/>
          <w:rFonts w:hint="eastAsia" w:ascii="仿宋_GB2312" w:hAnsi="仿宋_GB2312" w:eastAsia="仿宋_GB2312" w:cs="仿宋_GB2312"/>
          <w:b w:val="0"/>
          <w:sz w:val="32"/>
          <w:szCs w:val="32"/>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18"/>
          <w:rFonts w:hint="eastAsia" w:ascii="仿宋_GB2312" w:hAnsi="仿宋_GB2312" w:eastAsia="仿宋_GB2312" w:cs="仿宋_GB2312"/>
          <w:b w:val="0"/>
          <w:sz w:val="32"/>
          <w:szCs w:val="32"/>
          <w:lang w:eastAsia="zh-CN"/>
        </w:rPr>
        <w:t>。</w:t>
      </w:r>
    </w:p>
    <w:p>
      <w:pPr>
        <w:keepNext w:val="0"/>
        <w:keepLines w:val="0"/>
        <w:pageBreakBefore w:val="0"/>
        <w:widowControl w:val="0"/>
        <w:kinsoku/>
        <w:wordWrap/>
        <w:overflowPunct/>
        <w:topLinePunct w:val="0"/>
        <w:autoSpaceDE/>
        <w:bidi w:val="0"/>
        <w:adjustRightInd/>
        <w:spacing w:line="578" w:lineRule="exact"/>
        <w:ind w:firstLine="640" w:firstLineChars="200"/>
        <w:jc w:val="both"/>
        <w:textAlignment w:val="auto"/>
        <w:rPr>
          <w:rStyle w:val="18"/>
          <w:rFonts w:hint="eastAsia" w:ascii="仿宋_GB2312" w:hAnsi="仿宋_GB2312" w:eastAsia="仿宋_GB2312" w:cs="仿宋_GB2312"/>
          <w:b w:val="0"/>
          <w:sz w:val="32"/>
          <w:szCs w:val="32"/>
          <w:lang w:eastAsia="zh-CN"/>
        </w:rPr>
      </w:pPr>
      <w:r>
        <w:rPr>
          <w:rStyle w:val="18"/>
          <w:rFonts w:hint="eastAsia" w:ascii="仿宋_GB2312" w:hAnsi="仿宋_GB2312" w:eastAsia="仿宋_GB2312" w:cs="仿宋_GB2312"/>
          <w:b w:val="0"/>
          <w:bCs w:val="0"/>
          <w:sz w:val="32"/>
          <w:szCs w:val="32"/>
        </w:rPr>
        <w:t>行政事业单位养老支出（款）机关事业单位基本养老保险费支出（项）：</w:t>
      </w:r>
      <w:r>
        <w:rPr>
          <w:rStyle w:val="18"/>
          <w:rFonts w:hint="eastAsia" w:ascii="仿宋_GB2312" w:hAnsi="仿宋_GB2312" w:eastAsia="仿宋_GB2312" w:cs="仿宋_GB2312"/>
          <w:b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85.33</w:t>
      </w:r>
      <w:r>
        <w:rPr>
          <w:rStyle w:val="18"/>
          <w:rFonts w:hint="eastAsia" w:ascii="仿宋_GB2312" w:hAnsi="仿宋_GB2312" w:eastAsia="仿宋_GB2312" w:cs="仿宋_GB2312"/>
          <w:b w:val="0"/>
          <w:sz w:val="32"/>
          <w:szCs w:val="32"/>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18"/>
          <w:rFonts w:hint="eastAsia" w:ascii="仿宋_GB2312" w:hAnsi="仿宋_GB2312" w:eastAsia="仿宋_GB2312" w:cs="仿宋_GB2312"/>
          <w:b w:val="0"/>
          <w:sz w:val="32"/>
          <w:szCs w:val="32"/>
          <w:lang w:eastAsia="zh-CN"/>
        </w:rPr>
        <w:t>。</w:t>
      </w:r>
    </w:p>
    <w:p>
      <w:pPr>
        <w:keepNext w:val="0"/>
        <w:keepLines w:val="0"/>
        <w:pageBreakBefore w:val="0"/>
        <w:widowControl w:val="0"/>
        <w:kinsoku/>
        <w:wordWrap/>
        <w:overflowPunct/>
        <w:topLinePunct w:val="0"/>
        <w:autoSpaceDE/>
        <w:bidi w:val="0"/>
        <w:adjustRightInd/>
        <w:spacing w:line="578" w:lineRule="exact"/>
        <w:ind w:firstLine="640" w:firstLineChars="200"/>
        <w:jc w:val="both"/>
        <w:textAlignment w:val="auto"/>
        <w:rPr>
          <w:rStyle w:val="18"/>
          <w:rFonts w:hint="eastAsia" w:ascii="仿宋_GB2312" w:hAnsi="仿宋_GB2312" w:eastAsia="仿宋_GB2312" w:cs="仿宋_GB2312"/>
          <w:b w:val="0"/>
          <w:sz w:val="32"/>
          <w:szCs w:val="32"/>
        </w:rPr>
      </w:pPr>
      <w:r>
        <w:rPr>
          <w:rStyle w:val="18"/>
          <w:rFonts w:hint="eastAsia" w:ascii="仿宋_GB2312" w:hAnsi="仿宋_GB2312" w:eastAsia="仿宋_GB2312" w:cs="仿宋_GB2312"/>
          <w:b w:val="0"/>
          <w:bCs w:val="0"/>
          <w:sz w:val="32"/>
          <w:szCs w:val="32"/>
        </w:rPr>
        <w:t>抚恤（款）死亡抚恤（项）：</w:t>
      </w:r>
      <w:r>
        <w:rPr>
          <w:rStyle w:val="18"/>
          <w:rFonts w:hint="eastAsia" w:ascii="仿宋_GB2312" w:hAnsi="仿宋_GB2312" w:eastAsia="仿宋_GB2312" w:cs="仿宋_GB2312"/>
          <w:b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74.94</w:t>
      </w:r>
      <w:r>
        <w:rPr>
          <w:rStyle w:val="18"/>
          <w:rFonts w:hint="eastAsia" w:ascii="仿宋_GB2312" w:hAnsi="仿宋_GB2312" w:eastAsia="仿宋_GB2312" w:cs="仿宋_GB2312"/>
          <w:b w:val="0"/>
          <w:sz w:val="32"/>
          <w:szCs w:val="32"/>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18"/>
          <w:rFonts w:hint="eastAsia" w:ascii="仿宋_GB2312" w:hAnsi="仿宋_GB2312" w:eastAsia="仿宋_GB2312" w:cs="仿宋_GB2312"/>
          <w:b w:val="0"/>
          <w:sz w:val="32"/>
          <w:szCs w:val="32"/>
        </w:rPr>
        <w:t>。</w:t>
      </w:r>
    </w:p>
    <w:p>
      <w:pPr>
        <w:keepNext w:val="0"/>
        <w:keepLines w:val="0"/>
        <w:pageBreakBefore w:val="0"/>
        <w:widowControl w:val="0"/>
        <w:kinsoku/>
        <w:wordWrap/>
        <w:overflowPunct/>
        <w:topLinePunct w:val="0"/>
        <w:autoSpaceDE/>
        <w:bidi w:val="0"/>
        <w:adjustRightInd/>
        <w:spacing w:line="578" w:lineRule="exact"/>
        <w:ind w:firstLine="640" w:firstLineChars="200"/>
        <w:jc w:val="both"/>
        <w:textAlignment w:val="auto"/>
        <w:rPr>
          <w:rStyle w:val="18"/>
          <w:rFonts w:hint="eastAsia" w:ascii="仿宋_GB2312" w:hAnsi="仿宋_GB2312" w:eastAsia="仿宋_GB2312" w:cs="仿宋_GB2312"/>
          <w:b w:val="0"/>
          <w:sz w:val="32"/>
          <w:szCs w:val="32"/>
        </w:rPr>
      </w:pPr>
      <w:r>
        <w:rPr>
          <w:rStyle w:val="18"/>
          <w:rFonts w:hint="eastAsia" w:ascii="仿宋_GB2312" w:hAnsi="仿宋_GB2312" w:eastAsia="仿宋_GB2312" w:cs="仿宋_GB2312"/>
          <w:b w:val="0"/>
          <w:bCs w:val="0"/>
          <w:sz w:val="32"/>
          <w:szCs w:val="32"/>
        </w:rPr>
        <w:t>社会福利（款）儿童福利（项）：</w:t>
      </w:r>
      <w:r>
        <w:rPr>
          <w:rStyle w:val="18"/>
          <w:rFonts w:hint="eastAsia" w:ascii="仿宋_GB2312" w:hAnsi="仿宋_GB2312" w:eastAsia="仿宋_GB2312" w:cs="仿宋_GB2312"/>
          <w:b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0.63</w:t>
      </w:r>
      <w:r>
        <w:rPr>
          <w:rStyle w:val="18"/>
          <w:rFonts w:hint="eastAsia" w:ascii="仿宋_GB2312" w:hAnsi="仿宋_GB2312" w:eastAsia="仿宋_GB2312" w:cs="仿宋_GB2312"/>
          <w:b w:val="0"/>
          <w:sz w:val="32"/>
          <w:szCs w:val="32"/>
        </w:rPr>
        <w:t>万元，完成预算</w:t>
      </w:r>
      <w:r>
        <w:rPr>
          <w:rFonts w:hint="eastAsia" w:ascii="Times New Roman" w:hAnsi="Times New Roman" w:eastAsia="仿宋_GB2312" w:cs="仿宋_GB2312"/>
          <w:color w:val="auto"/>
          <w:kern w:val="2"/>
          <w:sz w:val="32"/>
          <w:szCs w:val="32"/>
          <w:highlight w:val="none"/>
          <w:lang w:val="en-US" w:eastAsia="zh-CN" w:bidi="ar-SA"/>
        </w:rPr>
        <w:t>100%。</w:t>
      </w:r>
    </w:p>
    <w:p>
      <w:pPr>
        <w:keepNext w:val="0"/>
        <w:keepLines w:val="0"/>
        <w:pageBreakBefore w:val="0"/>
        <w:widowControl w:val="0"/>
        <w:kinsoku/>
        <w:wordWrap/>
        <w:overflowPunct/>
        <w:topLinePunct w:val="0"/>
        <w:autoSpaceDE/>
        <w:bidi w:val="0"/>
        <w:adjustRightInd/>
        <w:spacing w:line="578"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Style w:val="18"/>
          <w:rFonts w:hint="eastAsia" w:ascii="仿宋_GB2312" w:hAnsi="仿宋_GB2312" w:eastAsia="仿宋_GB2312" w:cs="仿宋_GB2312"/>
          <w:b w:val="0"/>
          <w:bCs w:val="0"/>
          <w:sz w:val="32"/>
          <w:szCs w:val="32"/>
        </w:rPr>
        <w:t>退役军人管理事务（款）其他退役军人事务管理支出（项）：</w:t>
      </w:r>
      <w:r>
        <w:rPr>
          <w:rStyle w:val="18"/>
          <w:rFonts w:hint="eastAsia" w:ascii="仿宋_GB2312" w:hAnsi="仿宋_GB2312" w:eastAsia="仿宋_GB2312" w:cs="仿宋_GB2312"/>
          <w:b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2.22</w:t>
      </w:r>
      <w:r>
        <w:rPr>
          <w:rStyle w:val="18"/>
          <w:rFonts w:hint="eastAsia" w:ascii="仿宋_GB2312" w:hAnsi="仿宋_GB2312" w:eastAsia="仿宋_GB2312" w:cs="仿宋_GB2312"/>
          <w:b w:val="0"/>
          <w:sz w:val="32"/>
          <w:szCs w:val="32"/>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18"/>
          <w:rFonts w:hint="eastAsia" w:ascii="仿宋_GB2312" w:hAnsi="仿宋_GB2312" w:eastAsia="仿宋_GB2312" w:cs="仿宋_GB2312"/>
          <w:b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卫生健康（类）</w:t>
      </w:r>
    </w:p>
    <w:p>
      <w:pPr>
        <w:keepNext w:val="0"/>
        <w:keepLines w:val="0"/>
        <w:pageBreakBefore w:val="0"/>
        <w:widowControl w:val="0"/>
        <w:kinsoku/>
        <w:wordWrap/>
        <w:overflowPunct/>
        <w:topLinePunct w:val="0"/>
        <w:autoSpaceDE/>
        <w:bidi w:val="0"/>
        <w:adjustRightInd/>
        <w:spacing w:line="578" w:lineRule="exact"/>
        <w:ind w:firstLine="640" w:firstLineChars="200"/>
        <w:jc w:val="both"/>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b w:val="0"/>
          <w:bCs w:val="0"/>
          <w:sz w:val="32"/>
          <w:szCs w:val="32"/>
          <w:lang w:bidi="ar"/>
        </w:rPr>
        <w:t>行政事业单位医疗（款）</w:t>
      </w:r>
      <w:r>
        <w:rPr>
          <w:rFonts w:hint="eastAsia" w:ascii="仿宋_GB2312" w:hAnsi="仿宋_GB2312" w:eastAsia="仿宋_GB2312" w:cs="仿宋_GB2312"/>
          <w:color w:val="auto"/>
          <w:sz w:val="32"/>
          <w:szCs w:val="32"/>
          <w:lang w:eastAsia="zh-CN" w:bidi="ar"/>
        </w:rPr>
        <w:t>行政单位医疗</w:t>
      </w:r>
      <w:r>
        <w:rPr>
          <w:rFonts w:hint="eastAsia" w:ascii="仿宋_GB2312" w:hAnsi="仿宋_GB2312" w:eastAsia="仿宋_GB2312" w:cs="仿宋_GB2312"/>
          <w:b w:val="0"/>
          <w:bCs w:val="0"/>
          <w:color w:val="auto"/>
          <w:sz w:val="32"/>
          <w:szCs w:val="32"/>
          <w:lang w:bidi="ar"/>
        </w:rPr>
        <w:t>（项）</w:t>
      </w:r>
      <w:r>
        <w:rPr>
          <w:rFonts w:hint="eastAsia" w:ascii="仿宋_GB2312" w:hAnsi="仿宋_GB2312" w:eastAsia="仿宋_GB2312" w:cs="仿宋_GB2312"/>
          <w:b w:val="0"/>
          <w:bCs w:val="0"/>
          <w:color w:val="auto"/>
          <w:sz w:val="32"/>
          <w:szCs w:val="32"/>
          <w:lang w:eastAsia="zh-CN" w:bidi="ar"/>
        </w:rPr>
        <w:t>：</w:t>
      </w:r>
      <w:r>
        <w:rPr>
          <w:rFonts w:hint="eastAsia" w:ascii="仿宋_GB2312" w:hAnsi="仿宋_GB2312" w:eastAsia="仿宋_GB2312" w:cs="仿宋_GB2312"/>
          <w:sz w:val="32"/>
          <w:szCs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48.36</w:t>
      </w:r>
      <w:r>
        <w:rPr>
          <w:rFonts w:hint="eastAsia" w:ascii="仿宋_GB2312" w:hAnsi="仿宋_GB2312" w:eastAsia="仿宋_GB2312" w:cs="仿宋_GB2312"/>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eastAsia="仿宋_GB2312" w:cs="仿宋_GB2312"/>
          <w:color w:val="auto"/>
          <w:kern w:val="2"/>
          <w:sz w:val="32"/>
          <w:szCs w:val="32"/>
          <w:highlight w:val="none"/>
          <w:lang w:val="en-US" w:eastAsia="zh-CN" w:bidi="ar-SA"/>
        </w:rPr>
        <w:t>，</w:t>
      </w:r>
      <w:r>
        <w:rPr>
          <w:rFonts w:hint="eastAsia" w:ascii="仿宋_GB2312" w:hAnsi="仿宋_GB2312" w:eastAsia="仿宋_GB2312" w:cs="仿宋_GB2312"/>
          <w:b w:val="0"/>
          <w:bCs w:val="0"/>
          <w:sz w:val="32"/>
          <w:szCs w:val="32"/>
          <w:lang w:bidi="ar"/>
        </w:rPr>
        <w:t>公务员医疗补助（项）:</w:t>
      </w:r>
      <w:r>
        <w:rPr>
          <w:rFonts w:hint="eastAsia" w:ascii="仿宋_GB2312" w:hAnsi="仿宋_GB2312" w:eastAsia="仿宋_GB2312" w:cs="仿宋_GB2312"/>
          <w:sz w:val="32"/>
          <w:szCs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4.65</w:t>
      </w:r>
      <w:r>
        <w:rPr>
          <w:rFonts w:hint="eastAsia" w:ascii="仿宋_GB2312" w:hAnsi="仿宋_GB2312" w:eastAsia="仿宋_GB2312" w:cs="仿宋_GB2312"/>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eastAsia="仿宋_GB2312" w:cs="仿宋_GB2312"/>
          <w:color w:val="auto"/>
          <w:kern w:val="2"/>
          <w:sz w:val="32"/>
          <w:szCs w:val="32"/>
          <w:highlight w:val="none"/>
          <w:lang w:val="en-US" w:eastAsia="zh-CN" w:bidi="ar-SA"/>
        </w:rPr>
        <w:t>；</w:t>
      </w:r>
      <w:r>
        <w:rPr>
          <w:rFonts w:hint="eastAsia" w:ascii="仿宋_GB2312" w:hAnsi="仿宋_GB2312" w:eastAsia="仿宋_GB2312" w:cs="仿宋_GB2312"/>
          <w:b w:val="0"/>
          <w:bCs w:val="0"/>
          <w:sz w:val="32"/>
          <w:szCs w:val="32"/>
          <w:lang w:bidi="ar"/>
        </w:rPr>
        <w:t>其他行政事业单位医疗支出（项）:</w:t>
      </w:r>
      <w:r>
        <w:rPr>
          <w:rFonts w:hint="eastAsia" w:ascii="仿宋_GB2312" w:hAnsi="仿宋_GB2312" w:eastAsia="仿宋_GB2312" w:cs="仿宋_GB2312"/>
          <w:sz w:val="32"/>
          <w:szCs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5.94</w:t>
      </w:r>
      <w:r>
        <w:rPr>
          <w:rFonts w:hint="eastAsia" w:ascii="仿宋_GB2312" w:hAnsi="仿宋_GB2312" w:eastAsia="仿宋_GB2312" w:cs="仿宋_GB2312"/>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sz w:val="32"/>
          <w:szCs w:val="32"/>
          <w:lang w:eastAsia="zh-CN" w:bidi="ar"/>
        </w:rPr>
        <w:t>。</w:t>
      </w:r>
    </w:p>
    <w:p>
      <w:pPr>
        <w:keepNext w:val="0"/>
        <w:keepLines w:val="0"/>
        <w:pageBreakBefore w:val="0"/>
        <w:widowControl w:val="0"/>
        <w:kinsoku/>
        <w:wordWrap/>
        <w:overflowPunct/>
        <w:topLinePunct w:val="0"/>
        <w:autoSpaceDE/>
        <w:bidi w:val="0"/>
        <w:adjustRightInd/>
        <w:spacing w:line="578"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其他卫生健康支出（款）</w:t>
      </w:r>
      <w:r>
        <w:rPr>
          <w:rFonts w:hint="eastAsia" w:ascii="仿宋_GB2312" w:hAnsi="仿宋_GB2312" w:eastAsia="仿宋_GB2312" w:cs="仿宋_GB2312"/>
          <w:b w:val="0"/>
          <w:bCs w:val="0"/>
          <w:sz w:val="32"/>
          <w:szCs w:val="32"/>
          <w:lang w:bidi="ar"/>
        </w:rPr>
        <w:t>其他卫生健康支出（项）:</w:t>
      </w:r>
      <w:r>
        <w:rPr>
          <w:rFonts w:hint="eastAsia" w:ascii="仿宋_GB2312" w:hAnsi="仿宋_GB2312" w:eastAsia="仿宋_GB2312" w:cs="仿宋_GB2312"/>
          <w:sz w:val="32"/>
          <w:szCs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0.53</w:t>
      </w:r>
      <w:r>
        <w:rPr>
          <w:rFonts w:hint="eastAsia" w:ascii="仿宋_GB2312" w:hAnsi="仿宋_GB2312" w:eastAsia="仿宋_GB2312" w:cs="仿宋_GB2312"/>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sz w:val="32"/>
          <w:szCs w:val="32"/>
          <w:lang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ascii="仿宋_GB2312" w:hAnsi="仿宋_GB2312" w:eastAsia="仿宋_GB2312" w:cs="仿宋_GB2312"/>
          <w:b w:val="0"/>
          <w:bCs w:val="0"/>
          <w:sz w:val="32"/>
        </w:rPr>
        <w:t>城乡社区支出(类)</w:t>
      </w:r>
    </w:p>
    <w:p>
      <w:pPr>
        <w:pStyle w:val="3"/>
        <w:keepNext w:val="0"/>
        <w:keepLines w:val="0"/>
        <w:pageBreakBefore w:val="0"/>
        <w:widowControl w:val="0"/>
        <w:kinsoku/>
        <w:wordWrap/>
        <w:overflowPunct/>
        <w:topLinePunct w:val="0"/>
        <w:autoSpaceDE/>
        <w:bidi w:val="0"/>
        <w:adjustRightInd/>
        <w:spacing w:line="578" w:lineRule="exact"/>
        <w:ind w:left="0" w:leftChars="0" w:firstLine="640" w:firstLineChars="200"/>
        <w:jc w:val="both"/>
        <w:textAlignment w:val="auto"/>
        <w:rPr>
          <w:rFonts w:hint="eastAsia" w:ascii="仿宋_GB2312" w:hAnsi="仿宋_GB2312" w:eastAsia="仿宋_GB2312" w:cs="仿宋_GB2312"/>
          <w:sz w:val="32"/>
          <w:lang w:bidi="ar"/>
        </w:rPr>
      </w:pPr>
      <w:r>
        <w:rPr>
          <w:rFonts w:hint="eastAsia" w:ascii="仿宋_GB2312" w:hAnsi="仿宋_GB2312" w:eastAsia="仿宋_GB2312" w:cs="仿宋_GB2312"/>
          <w:b w:val="0"/>
          <w:bCs w:val="0"/>
          <w:sz w:val="32"/>
          <w:lang w:bidi="ar"/>
        </w:rPr>
        <w:t>城乡社区管理事务（款）行政运行（项）:</w:t>
      </w:r>
      <w:r>
        <w:rPr>
          <w:rFonts w:hint="eastAsia" w:ascii="仿宋_GB2312" w:hAnsi="仿宋_GB2312" w:eastAsia="仿宋_GB2312" w:cs="仿宋_GB2312"/>
          <w:sz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927.46</w:t>
      </w:r>
      <w:r>
        <w:rPr>
          <w:rFonts w:hint="eastAsia" w:ascii="仿宋_GB2312" w:hAnsi="仿宋_GB2312" w:eastAsia="仿宋_GB2312" w:cs="仿宋_GB2312"/>
          <w:sz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hAnsi="仿宋_GB2312" w:eastAsia="仿宋_GB2312" w:cs="仿宋_GB2312"/>
          <w:sz w:val="32"/>
          <w:lang w:eastAsia="zh-CN" w:bidi="ar"/>
        </w:rPr>
        <w:t>；</w:t>
      </w:r>
      <w:r>
        <w:rPr>
          <w:rFonts w:hint="eastAsia" w:ascii="仿宋_GB2312" w:hAnsi="仿宋_GB2312" w:eastAsia="仿宋_GB2312" w:cs="仿宋_GB2312"/>
          <w:b w:val="0"/>
          <w:bCs w:val="0"/>
          <w:sz w:val="32"/>
          <w:lang w:bidi="ar"/>
        </w:rPr>
        <w:t>一般行政管理事务（项）:</w:t>
      </w:r>
      <w:r>
        <w:rPr>
          <w:rFonts w:hint="eastAsia" w:ascii="仿宋_GB2312" w:hAnsi="仿宋_GB2312" w:eastAsia="仿宋_GB2312" w:cs="仿宋_GB2312"/>
          <w:sz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230.53</w:t>
      </w:r>
      <w:r>
        <w:rPr>
          <w:rFonts w:hint="eastAsia" w:ascii="仿宋_GB2312" w:hAnsi="仿宋_GB2312" w:eastAsia="仿宋_GB2312" w:cs="仿宋_GB2312"/>
          <w:sz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Times New Roman" w:eastAsia="仿宋_GB2312" w:cs="仿宋_GB2312"/>
          <w:color w:val="auto"/>
          <w:kern w:val="2"/>
          <w:sz w:val="32"/>
          <w:szCs w:val="32"/>
          <w:highlight w:val="none"/>
          <w:lang w:val="en-US" w:eastAsia="zh-CN" w:bidi="ar-SA"/>
        </w:rPr>
        <w:t>；</w:t>
      </w:r>
      <w:r>
        <w:rPr>
          <w:rFonts w:hint="eastAsia" w:ascii="仿宋_GB2312" w:hAnsi="仿宋_GB2312" w:eastAsia="仿宋_GB2312" w:cs="仿宋_GB2312"/>
          <w:b w:val="0"/>
          <w:bCs w:val="0"/>
          <w:sz w:val="32"/>
          <w:lang w:bidi="ar"/>
        </w:rPr>
        <w:t>其他城乡社区管理事务支出（项）:</w:t>
      </w:r>
      <w:r>
        <w:rPr>
          <w:rFonts w:hint="eastAsia" w:ascii="仿宋_GB2312" w:hAnsi="仿宋_GB2312" w:eastAsia="仿宋_GB2312" w:cs="仿宋_GB2312"/>
          <w:sz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71.40</w:t>
      </w:r>
      <w:r>
        <w:rPr>
          <w:rFonts w:hint="eastAsia" w:ascii="仿宋_GB2312" w:hAnsi="仿宋_GB2312" w:eastAsia="仿宋_GB2312" w:cs="仿宋_GB2312"/>
          <w:sz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sz w:val="32"/>
          <w:lang w:bidi="ar"/>
        </w:rPr>
        <w:t>。</w:t>
      </w:r>
    </w:p>
    <w:p>
      <w:pPr>
        <w:pStyle w:val="3"/>
        <w:keepNext w:val="0"/>
        <w:keepLines w:val="0"/>
        <w:pageBreakBefore w:val="0"/>
        <w:widowControl w:val="0"/>
        <w:kinsoku/>
        <w:wordWrap/>
        <w:overflowPunct/>
        <w:topLinePunct w:val="0"/>
        <w:autoSpaceDE/>
        <w:bidi w:val="0"/>
        <w:adjustRightInd/>
        <w:spacing w:line="578" w:lineRule="exact"/>
        <w:ind w:left="0" w:leftChars="0" w:firstLine="640" w:firstLineChars="200"/>
        <w:jc w:val="both"/>
        <w:textAlignment w:val="auto"/>
        <w:rPr>
          <w:rFonts w:hint="eastAsia" w:ascii="仿宋_GB2312" w:hAnsi="仿宋_GB2312" w:eastAsia="仿宋_GB2312" w:cs="仿宋_GB2312"/>
          <w:sz w:val="32"/>
          <w:lang w:bidi="ar"/>
        </w:rPr>
      </w:pPr>
      <w:r>
        <w:rPr>
          <w:rFonts w:hint="eastAsia" w:ascii="仿宋_GB2312" w:hAnsi="仿宋_GB2312" w:eastAsia="仿宋_GB2312" w:cs="仿宋_GB2312"/>
          <w:b w:val="0"/>
          <w:bCs w:val="0"/>
          <w:sz w:val="32"/>
          <w:lang w:bidi="ar"/>
        </w:rPr>
        <w:t>其他城乡社区支出（款）其他城乡社区支出（项）：</w:t>
      </w:r>
      <w:r>
        <w:rPr>
          <w:rFonts w:hint="eastAsia" w:ascii="仿宋_GB2312" w:hAnsi="仿宋_GB2312" w:eastAsia="仿宋_GB2312" w:cs="仿宋_GB2312"/>
          <w:sz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184.47</w:t>
      </w:r>
      <w:r>
        <w:rPr>
          <w:rFonts w:hint="eastAsia" w:ascii="仿宋_GB2312" w:hAnsi="仿宋_GB2312" w:eastAsia="仿宋_GB2312" w:cs="仿宋_GB2312"/>
          <w:sz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sz w:val="32"/>
          <w:lang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sz w:val="32"/>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ascii="仿宋_GB2312" w:hAnsi="仿宋_GB2312" w:eastAsia="仿宋_GB2312" w:cs="仿宋_GB2312"/>
          <w:b w:val="0"/>
          <w:bCs/>
          <w:sz w:val="32"/>
        </w:rPr>
        <w:t>住房保障支出(类)</w:t>
      </w:r>
    </w:p>
    <w:p>
      <w:pPr>
        <w:pStyle w:val="3"/>
        <w:keepNext w:val="0"/>
        <w:keepLines w:val="0"/>
        <w:pageBreakBefore w:val="0"/>
        <w:widowControl w:val="0"/>
        <w:kinsoku/>
        <w:wordWrap/>
        <w:overflowPunct/>
        <w:topLinePunct w:val="0"/>
        <w:autoSpaceDE/>
        <w:bidi w:val="0"/>
        <w:adjustRightInd/>
        <w:spacing w:line="578" w:lineRule="exact"/>
        <w:ind w:left="0" w:leftChars="0" w:firstLine="640" w:firstLineChars="200"/>
        <w:jc w:val="both"/>
        <w:textAlignment w:val="auto"/>
        <w:rPr>
          <w:rFonts w:hint="eastAsia" w:ascii="仿宋_GB2312" w:hAnsi="仿宋_GB2312" w:eastAsia="仿宋_GB2312" w:cs="仿宋_GB2312"/>
          <w:sz w:val="32"/>
          <w:lang w:bidi="ar"/>
        </w:rPr>
      </w:pPr>
      <w:r>
        <w:rPr>
          <w:rFonts w:hint="eastAsia" w:ascii="仿宋_GB2312" w:hAnsi="仿宋_GB2312" w:eastAsia="仿宋_GB2312" w:cs="仿宋_GB2312"/>
          <w:b w:val="0"/>
          <w:bCs/>
          <w:sz w:val="32"/>
          <w:lang w:bidi="ar"/>
        </w:rPr>
        <w:t>住房改革支出（款）住房公积金（项）:</w:t>
      </w:r>
      <w:r>
        <w:rPr>
          <w:rFonts w:hint="eastAsia" w:ascii="仿宋_GB2312" w:hAnsi="仿宋_GB2312" w:eastAsia="仿宋_GB2312" w:cs="仿宋_GB2312"/>
          <w:sz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74.33</w:t>
      </w:r>
      <w:r>
        <w:rPr>
          <w:rFonts w:hint="eastAsia" w:ascii="仿宋_GB2312" w:hAnsi="仿宋_GB2312" w:eastAsia="仿宋_GB2312" w:cs="仿宋_GB2312"/>
          <w:sz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sz w:val="32"/>
          <w:lang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sz w:val="32"/>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ascii="仿宋_GB2312" w:hAnsi="仿宋_GB2312" w:eastAsia="仿宋_GB2312" w:cs="仿宋_GB2312"/>
          <w:b w:val="0"/>
          <w:bCs/>
          <w:sz w:val="32"/>
        </w:rPr>
        <w:t>其他支出(类)</w:t>
      </w:r>
    </w:p>
    <w:p>
      <w:pPr>
        <w:keepNext w:val="0"/>
        <w:keepLines w:val="0"/>
        <w:pageBreakBefore w:val="0"/>
        <w:widowControl w:val="0"/>
        <w:kinsoku/>
        <w:wordWrap/>
        <w:overflowPunct/>
        <w:topLinePunct w:val="0"/>
        <w:autoSpaceDE/>
        <w:bidi w:val="0"/>
        <w:adjustRightInd/>
        <w:spacing w:line="578" w:lineRule="exact"/>
        <w:ind w:firstLine="640" w:firstLineChars="200"/>
        <w:jc w:val="both"/>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val="0"/>
          <w:bCs/>
          <w:sz w:val="32"/>
          <w:szCs w:val="32"/>
          <w:lang w:bidi="ar"/>
        </w:rPr>
        <w:t>其他支出（款）其他支出（项）:</w:t>
      </w:r>
      <w:r>
        <w:rPr>
          <w:rFonts w:hint="eastAsia" w:ascii="仿宋_GB2312" w:hAnsi="仿宋_GB2312" w:eastAsia="仿宋_GB2312" w:cs="仿宋_GB2312"/>
          <w:sz w:val="32"/>
          <w:szCs w:val="32"/>
          <w:lang w:bidi="ar"/>
        </w:rPr>
        <w:t>支出决算为</w:t>
      </w:r>
      <w:r>
        <w:rPr>
          <w:rFonts w:hint="eastAsia" w:ascii="Times New Roman" w:hAnsi="Times New Roman" w:eastAsia="仿宋_GB2312" w:cs="仿宋_GB2312"/>
          <w:color w:val="auto"/>
          <w:kern w:val="2"/>
          <w:sz w:val="32"/>
          <w:szCs w:val="32"/>
          <w:highlight w:val="none"/>
          <w:lang w:val="en-US" w:eastAsia="zh-CN" w:bidi="ar-SA"/>
        </w:rPr>
        <w:t>40</w:t>
      </w:r>
      <w:r>
        <w:rPr>
          <w:rFonts w:hint="eastAsia" w:ascii="仿宋_GB2312" w:hAnsi="仿宋_GB2312" w:eastAsia="仿宋_GB2312" w:cs="仿宋_GB2312"/>
          <w:sz w:val="32"/>
          <w:szCs w:val="32"/>
          <w:lang w:bidi="ar"/>
        </w:rPr>
        <w:t>万元，完成预算</w:t>
      </w:r>
      <w:r>
        <w:rPr>
          <w:rFonts w:hint="eastAsia" w:ascii="Times New Roman" w:hAnsi="Times New Roman" w:eastAsia="仿宋_GB2312" w:cs="仿宋_GB2312"/>
          <w:color w:val="auto"/>
          <w:kern w:val="2"/>
          <w:sz w:val="32"/>
          <w:szCs w:val="32"/>
          <w:highlight w:val="none"/>
          <w:lang w:val="en-US" w:eastAsia="zh-CN" w:bidi="ar-SA"/>
        </w:rPr>
        <w:t>100%。</w:t>
      </w:r>
    </w:p>
    <w:p>
      <w:pPr>
        <w:keepNext w:val="0"/>
        <w:keepLines w:val="0"/>
        <w:pageBreakBefore w:val="0"/>
        <w:widowControl w:val="0"/>
        <w:kinsoku/>
        <w:wordWrap/>
        <w:overflowPunct/>
        <w:topLinePunct w:val="0"/>
        <w:autoSpaceDE/>
        <w:bidi w:val="0"/>
        <w:adjustRightInd/>
        <w:spacing w:line="578"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tabs>
          <w:tab w:val="right" w:pos="8306"/>
        </w:tabs>
        <w:kinsoku/>
        <w:wordWrap/>
        <w:overflowPunct/>
        <w:topLinePunct w:val="0"/>
        <w:autoSpaceDE/>
        <w:bidi w:val="0"/>
        <w:adjustRightInd/>
        <w:spacing w:line="578" w:lineRule="exact"/>
        <w:ind w:firstLine="640"/>
        <w:jc w:val="both"/>
        <w:textAlignment w:val="auto"/>
        <w:outlineLvl w:val="1"/>
        <w:rPr>
          <w:rStyle w:val="30"/>
          <w:rFonts w:ascii="Times New Roman" w:hAnsi="Times New Roman"/>
          <w:color w:val="auto"/>
          <w:highlight w:val="none"/>
        </w:rPr>
      </w:pPr>
      <w:bookmarkStart w:id="72" w:name="_Toc281310233_WPSOffice_Level2"/>
      <w:bookmarkStart w:id="73" w:name="_Toc15377214"/>
      <w:bookmarkStart w:id="74"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72"/>
      <w:bookmarkEnd w:id="73"/>
      <w:bookmarkEnd w:id="74"/>
      <w:r>
        <w:rPr>
          <w:rStyle w:val="30"/>
          <w:rFonts w:ascii="Times New Roman" w:hAnsi="Times New Roman" w:eastAsia="黑体"/>
          <w:b w:val="0"/>
          <w:color w:val="auto"/>
          <w:highlight w:val="none"/>
        </w:rPr>
        <w:tab/>
      </w:r>
    </w:p>
    <w:p>
      <w:pPr>
        <w:keepNext w:val="0"/>
        <w:keepLines w:val="0"/>
        <w:pageBreakBefore w:val="0"/>
        <w:widowControl w:val="0"/>
        <w:kinsoku/>
        <w:wordWrap/>
        <w:overflowPunct/>
        <w:topLinePunct w:val="0"/>
        <w:autoSpaceDE/>
        <w:bidi w:val="0"/>
        <w:adjustRightInd/>
        <w:spacing w:line="578"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2024年度一般公共预算财政拨款基本支出1540.62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keepNext w:val="0"/>
        <w:keepLines w:val="0"/>
        <w:pageBreakBefore w:val="0"/>
        <w:widowControl w:val="0"/>
        <w:kinsoku/>
        <w:wordWrap/>
        <w:overflowPunct/>
        <w:topLinePunct w:val="0"/>
        <w:autoSpaceDE/>
        <w:bidi w:val="0"/>
        <w:adjustRightInd/>
        <w:spacing w:line="578"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人员经费1404.45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元，主要包括：基本工资、津贴补贴、奖金、机关事业单位基本养老保险缴费、职工基本医疗保险缴费</w:t>
      </w:r>
      <w:r>
        <w:rPr>
          <w:rFonts w:hint="eastAsia" w:eastAsia="仿宋_GB2312" w:cs="仿宋_GB2312"/>
          <w:color w:val="auto"/>
          <w:kern w:val="2"/>
          <w:sz w:val="32"/>
          <w:szCs w:val="32"/>
          <w:highlight w:val="none"/>
          <w:lang w:val="en-US" w:eastAsia="zh-CN" w:bidi="ar-SA"/>
        </w:rPr>
        <w:t>、公务员医疗补助缴费、</w:t>
      </w:r>
      <w:r>
        <w:rPr>
          <w:rFonts w:hint="eastAsia" w:ascii="Times New Roman" w:hAnsi="Times New Roman" w:eastAsia="仿宋_GB2312" w:cs="仿宋_GB2312"/>
          <w:color w:val="auto"/>
          <w:kern w:val="2"/>
          <w:sz w:val="32"/>
          <w:szCs w:val="32"/>
          <w:highlight w:val="none"/>
          <w:lang w:val="en-US" w:eastAsia="zh-CN" w:bidi="ar-SA"/>
        </w:rPr>
        <w:t>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公用经费136.17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w:t>
      </w:r>
      <w:r>
        <w:rPr>
          <w:rFonts w:hint="eastAsia" w:ascii="仿宋_GB2312" w:hAnsi="仿宋_GB2312" w:eastAsia="仿宋_GB2312" w:cs="仿宋_GB2312"/>
          <w:sz w:val="32"/>
          <w:szCs w:val="32"/>
        </w:rPr>
        <w:t>办公费、印刷费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水费、电费、邮电费、差旅费、维修（护）费、会议费、培训费、公务接待费、劳务费、工会经费、福利费、公务用车运行维护费、其他交通费、其他商品和服务支出</w:t>
      </w:r>
      <w:r>
        <w:rPr>
          <w:rFonts w:hint="eastAsia" w:ascii="仿宋_GB2312" w:hAnsi="仿宋_GB2312" w:eastAsia="仿宋_GB2312" w:cs="仿宋_GB2312"/>
          <w:sz w:val="32"/>
          <w:szCs w:val="32"/>
          <w:lang w:eastAsia="zh-CN"/>
        </w:rPr>
        <w:t>、信息网络及软件购置更新</w:t>
      </w:r>
      <w:r>
        <w:rPr>
          <w:rFonts w:hint="eastAsia" w:ascii="仿宋_GB2312" w:hAnsi="仿宋_GB2312" w:eastAsia="仿宋_GB2312" w:cs="仿宋_GB2312"/>
          <w:sz w:val="32"/>
          <w:szCs w:val="32"/>
        </w:rPr>
        <w:t>等</w:t>
      </w:r>
      <w:r>
        <w:rPr>
          <w:rFonts w:hint="eastAsia" w:ascii="Times New Roman" w:hAnsi="Times New Roman" w:eastAsia="仿宋_GB2312" w:cs="仿宋_GB2312"/>
          <w:color w:val="auto"/>
          <w:kern w:val="2"/>
          <w:sz w:val="32"/>
          <w:szCs w:val="32"/>
          <w:highlight w:val="none"/>
          <w:lang w:val="en-US" w:eastAsia="zh-CN" w:bidi="ar-SA"/>
        </w:rPr>
        <w:t>。</w:t>
      </w:r>
    </w:p>
    <w:p>
      <w:pPr>
        <w:pStyle w:val="2"/>
        <w:keepNext w:val="0"/>
        <w:keepLines w:val="0"/>
        <w:pageBreakBefore w:val="0"/>
        <w:widowControl w:val="0"/>
        <w:kinsoku/>
        <w:wordWrap/>
        <w:overflowPunct/>
        <w:topLinePunct w:val="0"/>
        <w:autoSpaceDE/>
        <w:bidi w:val="0"/>
        <w:adjustRightInd/>
        <w:spacing w:line="578" w:lineRule="exact"/>
        <w:jc w:val="both"/>
        <w:textAlignment w:val="auto"/>
        <w:rPr>
          <w:rFonts w:hint="eastAsia"/>
          <w:lang w:val="en-US" w:eastAsia="zh-CN"/>
        </w:rPr>
      </w:pPr>
    </w:p>
    <w:p>
      <w:pPr>
        <w:keepNext w:val="0"/>
        <w:keepLines w:val="0"/>
        <w:pageBreakBefore w:val="0"/>
        <w:widowControl w:val="0"/>
        <w:kinsoku/>
        <w:wordWrap/>
        <w:overflowPunct/>
        <w:topLinePunct w:val="0"/>
        <w:autoSpaceDE/>
        <w:bidi w:val="0"/>
        <w:adjustRightInd/>
        <w:spacing w:line="578" w:lineRule="exact"/>
        <w:ind w:firstLine="640"/>
        <w:jc w:val="both"/>
        <w:textAlignment w:val="auto"/>
        <w:outlineLvl w:val="1"/>
        <w:rPr>
          <w:rStyle w:val="30"/>
          <w:rFonts w:ascii="Times New Roman" w:hAnsi="Times New Roman" w:eastAsia="黑体"/>
          <w:b w:val="0"/>
          <w:color w:val="auto"/>
          <w:highlight w:val="none"/>
        </w:rPr>
      </w:pPr>
      <w:bookmarkStart w:id="75" w:name="_Toc1190334654_WPSOffice_Level2"/>
      <w:bookmarkStart w:id="76" w:name="_Toc15396609"/>
      <w:bookmarkStart w:id="77" w:name="_Toc15377215"/>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75"/>
      <w:bookmarkEnd w:id="76"/>
      <w:bookmarkEnd w:id="77"/>
    </w:p>
    <w:p>
      <w:pPr>
        <w:keepNext w:val="0"/>
        <w:keepLines w:val="0"/>
        <w:pageBreakBefore w:val="0"/>
        <w:widowControl w:val="0"/>
        <w:kinsoku/>
        <w:wordWrap/>
        <w:overflowPunct/>
        <w:topLinePunct w:val="0"/>
        <w:autoSpaceDE/>
        <w:bidi w:val="0"/>
        <w:adjustRightInd/>
        <w:spacing w:line="578" w:lineRule="exact"/>
        <w:ind w:firstLine="642" w:firstLineChars="200"/>
        <w:jc w:val="both"/>
        <w:textAlignment w:val="auto"/>
        <w:outlineLvl w:val="2"/>
        <w:rPr>
          <w:rFonts w:hint="eastAsia" w:ascii="Times New Roman" w:hAnsi="Times New Roman" w:eastAsia="楷体_GB2312" w:cs="楷体_GB2312"/>
          <w:b/>
          <w:color w:val="auto"/>
          <w:sz w:val="32"/>
          <w:szCs w:val="32"/>
          <w:highlight w:val="none"/>
        </w:rPr>
      </w:pPr>
      <w:bookmarkStart w:id="7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78"/>
    </w:p>
    <w:p>
      <w:pPr>
        <w:keepNext w:val="0"/>
        <w:keepLines w:val="0"/>
        <w:pageBreakBefore w:val="0"/>
        <w:widowControl w:val="0"/>
        <w:kinsoku/>
        <w:wordWrap/>
        <w:overflowPunct/>
        <w:topLinePunct w:val="0"/>
        <w:autoSpaceDE/>
        <w:bidi w:val="0"/>
        <w:adjustRightInd/>
        <w:spacing w:line="578" w:lineRule="exact"/>
        <w:ind w:firstLine="640"/>
        <w:jc w:val="both"/>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2024年度“三公”经费财政拨款支出决算为38.63</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29.84</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339.51</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决算数与预算数持平</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bidi w:val="0"/>
        <w:adjustRightInd/>
        <w:spacing w:line="578" w:lineRule="exact"/>
        <w:ind w:firstLine="642" w:firstLineChars="200"/>
        <w:jc w:val="both"/>
        <w:textAlignment w:val="auto"/>
        <w:outlineLvl w:val="2"/>
        <w:rPr>
          <w:rFonts w:hint="eastAsia" w:ascii="Times New Roman" w:hAnsi="Times New Roman" w:eastAsia="楷体_GB2312" w:cs="楷体_GB2312"/>
          <w:b/>
          <w:color w:val="auto"/>
          <w:sz w:val="32"/>
          <w:szCs w:val="32"/>
          <w:highlight w:val="none"/>
        </w:rPr>
      </w:pPr>
      <w:bookmarkStart w:id="7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79"/>
    </w:p>
    <w:p>
      <w:pPr>
        <w:keepNext w:val="0"/>
        <w:keepLines w:val="0"/>
        <w:pageBreakBefore w:val="0"/>
        <w:widowControl w:val="0"/>
        <w:kinsoku/>
        <w:wordWrap/>
        <w:overflowPunct/>
        <w:topLinePunct w:val="0"/>
        <w:autoSpaceDE/>
        <w:bidi w:val="0"/>
        <w:adjustRightInd/>
        <w:spacing w:line="578" w:lineRule="exact"/>
        <w:ind w:firstLine="64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年度“三公”经费财政拨款支出决算中，因公出国（境）费支出决算</w:t>
      </w:r>
      <w:r>
        <w:rPr>
          <w:rFonts w:hint="eastAsia" w:ascii="Times New Roman" w:hAnsi="Times New Roman" w:eastAsia="仿宋_GB2312" w:cs="仿宋_GB2312"/>
          <w:color w:val="auto"/>
          <w:kern w:val="2"/>
          <w:sz w:val="32"/>
          <w:szCs w:val="32"/>
          <w:highlight w:val="none"/>
          <w:lang w:val="en-US" w:eastAsia="zh-CN" w:bidi="ar-SA"/>
        </w:rPr>
        <w:t>0万</w:t>
      </w:r>
      <w:r>
        <w:rPr>
          <w:rFonts w:hint="eastAsia" w:ascii="仿宋_GB2312" w:hAnsi="仿宋_GB2312" w:eastAsia="仿宋_GB2312" w:cs="仿宋_GB2312"/>
          <w:color w:val="auto"/>
          <w:kern w:val="2"/>
          <w:sz w:val="32"/>
          <w:szCs w:val="32"/>
          <w:highlight w:val="none"/>
          <w:lang w:val="en-US" w:eastAsia="zh-CN" w:bidi="ar-SA"/>
        </w:rPr>
        <w:t>元，占</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；公务用车购置及运行维护费支出决算</w:t>
      </w:r>
      <w:r>
        <w:rPr>
          <w:rFonts w:hint="eastAsia" w:ascii="Times New Roman" w:hAnsi="Times New Roman" w:eastAsia="仿宋_GB2312" w:cs="仿宋_GB2312"/>
          <w:color w:val="auto"/>
          <w:kern w:val="2"/>
          <w:sz w:val="32"/>
          <w:szCs w:val="32"/>
          <w:highlight w:val="none"/>
          <w:lang w:val="en-US" w:eastAsia="zh-CN" w:bidi="ar-SA"/>
        </w:rPr>
        <w:t>35.67</w:t>
      </w:r>
      <w:r>
        <w:rPr>
          <w:rFonts w:hint="eastAsia" w:ascii="仿宋_GB2312" w:hAnsi="仿宋_GB2312" w:eastAsia="仿宋_GB2312" w:cs="仿宋_GB2312"/>
          <w:color w:val="auto"/>
          <w:kern w:val="2"/>
          <w:sz w:val="32"/>
          <w:szCs w:val="32"/>
          <w:highlight w:val="none"/>
          <w:lang w:val="en-US" w:eastAsia="zh-CN" w:bidi="ar-SA"/>
        </w:rPr>
        <w:t>万元，占</w:t>
      </w:r>
      <w:r>
        <w:rPr>
          <w:rFonts w:hint="eastAsia" w:ascii="Times New Roman" w:hAnsi="Times New Roman" w:eastAsia="仿宋_GB2312" w:cs="仿宋_GB2312"/>
          <w:color w:val="auto"/>
          <w:kern w:val="2"/>
          <w:sz w:val="32"/>
          <w:szCs w:val="32"/>
          <w:highlight w:val="none"/>
          <w:lang w:val="en-US" w:eastAsia="zh-CN" w:bidi="ar-SA"/>
        </w:rPr>
        <w:t>92.34%</w:t>
      </w:r>
      <w:r>
        <w:rPr>
          <w:rFonts w:hint="eastAsia" w:ascii="仿宋_GB2312" w:hAnsi="仿宋_GB2312" w:eastAsia="仿宋_GB2312" w:cs="仿宋_GB2312"/>
          <w:color w:val="auto"/>
          <w:kern w:val="2"/>
          <w:sz w:val="32"/>
          <w:szCs w:val="32"/>
          <w:highlight w:val="none"/>
          <w:lang w:val="en-US" w:eastAsia="zh-CN" w:bidi="ar-SA"/>
        </w:rPr>
        <w:t>；公务接待费支出决算</w:t>
      </w:r>
      <w:r>
        <w:rPr>
          <w:rFonts w:hint="eastAsia" w:ascii="Times New Roman" w:hAnsi="Times New Roman" w:eastAsia="仿宋_GB2312" w:cs="仿宋_GB2312"/>
          <w:color w:val="auto"/>
          <w:kern w:val="2"/>
          <w:sz w:val="32"/>
          <w:szCs w:val="32"/>
          <w:highlight w:val="none"/>
          <w:lang w:val="en-US" w:eastAsia="zh-CN" w:bidi="ar-SA"/>
        </w:rPr>
        <w:t>2.96</w:t>
      </w:r>
      <w:r>
        <w:rPr>
          <w:rFonts w:hint="eastAsia" w:ascii="仿宋_GB2312" w:hAnsi="仿宋_GB2312" w:eastAsia="仿宋_GB2312" w:cs="仿宋_GB2312"/>
          <w:color w:val="auto"/>
          <w:kern w:val="2"/>
          <w:sz w:val="32"/>
          <w:szCs w:val="32"/>
          <w:highlight w:val="none"/>
          <w:lang w:val="en-US" w:eastAsia="zh-CN" w:bidi="ar-SA"/>
        </w:rPr>
        <w:t>万元，占</w:t>
      </w:r>
      <w:r>
        <w:rPr>
          <w:rFonts w:hint="eastAsia" w:ascii="Times New Roman" w:hAnsi="Times New Roman" w:eastAsia="仿宋_GB2312" w:cs="仿宋_GB2312"/>
          <w:color w:val="auto"/>
          <w:kern w:val="2"/>
          <w:sz w:val="32"/>
          <w:szCs w:val="32"/>
          <w:highlight w:val="none"/>
          <w:lang w:val="en-US" w:eastAsia="zh-CN" w:bidi="ar-SA"/>
        </w:rPr>
        <w:t>7.66%</w:t>
      </w:r>
      <w:r>
        <w:rPr>
          <w:rFonts w:hint="eastAsia" w:ascii="仿宋_GB2312" w:hAnsi="仿宋_GB2312" w:eastAsia="仿宋_GB2312" w:cs="仿宋_GB2312"/>
          <w:color w:val="auto"/>
          <w:kern w:val="2"/>
          <w:sz w:val="32"/>
          <w:szCs w:val="32"/>
          <w:highlight w:val="none"/>
          <w:lang w:val="en-US" w:eastAsia="zh-CN" w:bidi="ar-SA"/>
        </w:rPr>
        <w:t>。具体情况如下：</w:t>
      </w:r>
    </w:p>
    <w:p>
      <w:pPr>
        <w:pStyle w:val="2"/>
        <w:rPr>
          <w:rFonts w:hint="eastAsia"/>
          <w:lang w:val="en-US" w:eastAsia="zh-CN"/>
        </w:rPr>
      </w:pPr>
      <w:r>
        <w:rPr>
          <w:rFonts w:hint="eastAsia"/>
          <w:lang w:val="en-US" w:eastAsia="zh-CN"/>
        </w:rPr>
        <w:drawing>
          <wp:inline distT="0" distB="0" distL="114300" distR="114300">
            <wp:extent cx="5256530" cy="2988310"/>
            <wp:effectExtent l="5080" t="4445" r="152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w:t>
      </w:r>
      <w:r>
        <w:rPr>
          <w:rFonts w:hint="eastAsia" w:eastAsia="仿宋_GB2312" w:cs="仿宋_GB2312"/>
          <w:color w:val="auto"/>
          <w:kern w:val="2"/>
          <w:sz w:val="32"/>
          <w:szCs w:val="32"/>
          <w:highlight w:val="none"/>
          <w:lang w:val="en-US" w:eastAsia="zh-CN" w:bidi="ar-SA"/>
        </w:rPr>
        <w:t>2023</w:t>
      </w:r>
      <w:r>
        <w:rPr>
          <w:rFonts w:hint="eastAsia" w:ascii="Times New Roman" w:hAnsi="Times New Roman" w:eastAsia="仿宋_GB2312" w:cs="仿宋_GB2312"/>
          <w:color w:val="auto"/>
          <w:kern w:val="2"/>
          <w:sz w:val="32"/>
          <w:szCs w:val="32"/>
          <w:highlight w:val="none"/>
          <w:lang w:val="en-US" w:eastAsia="zh-CN" w:bidi="ar-SA"/>
        </w:rPr>
        <w:t>年增加/减少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2.公务用车购置及运行维护费支出35.67</w:t>
      </w:r>
      <w:r>
        <w:rPr>
          <w:rFonts w:hint="eastAsia" w:ascii="仿宋_GB2312" w:hAnsi="仿宋_GB2312" w:eastAsia="仿宋_GB2312" w:cs="仿宋_GB2312"/>
          <w:b/>
          <w:bCs/>
          <w:color w:val="auto"/>
          <w:kern w:val="2"/>
          <w:sz w:val="32"/>
          <w:szCs w:val="32"/>
          <w:highlight w:val="none"/>
          <w:lang w:val="en-US" w:eastAsia="zh-CN" w:bidi="ar-SA"/>
        </w:rPr>
        <w:t>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w:t>
      </w:r>
      <w:r>
        <w:rPr>
          <w:rFonts w:hint="eastAsia" w:eastAsia="仿宋_GB2312" w:cs="仿宋_GB2312"/>
          <w:color w:val="auto"/>
          <w:kern w:val="2"/>
          <w:sz w:val="32"/>
          <w:szCs w:val="32"/>
          <w:highlight w:val="none"/>
          <w:lang w:val="en-US" w:eastAsia="zh-CN" w:bidi="ar-SA"/>
        </w:rPr>
        <w:t>29.84</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511.84</w:t>
      </w:r>
      <w:r>
        <w:rPr>
          <w:rFonts w:hint="eastAsia" w:ascii="Times New Roman" w:hAnsi="Times New Roman" w:eastAsia="仿宋_GB2312" w:cs="仿宋_GB2312"/>
          <w:color w:val="auto"/>
          <w:kern w:val="2"/>
          <w:sz w:val="32"/>
          <w:szCs w:val="32"/>
          <w:highlight w:val="none"/>
          <w:lang w:val="en-US" w:eastAsia="zh-CN" w:bidi="ar-SA"/>
        </w:rPr>
        <w:t>%。主要原因</w:t>
      </w:r>
      <w:r>
        <w:rPr>
          <w:rFonts w:hint="eastAsia" w:ascii="仿宋_GB2312" w:hAnsi="仿宋" w:eastAsia="仿宋_GB2312" w:cs="仿宋_GB2312"/>
          <w:sz w:val="32"/>
          <w:szCs w:val="32"/>
          <w:lang w:bidi="ar"/>
        </w:rPr>
        <w:t>是为保障各项重点工作及重点项目的顺利推进，</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 w:eastAsia="仿宋_GB2312" w:cs="仿宋_GB2312"/>
          <w:sz w:val="32"/>
          <w:szCs w:val="32"/>
          <w:lang w:bidi="ar"/>
        </w:rPr>
        <w:t>年购置专业技术用车</w:t>
      </w:r>
      <w:r>
        <w:rPr>
          <w:rFonts w:hint="eastAsia" w:eastAsia="仿宋_GB2312" w:cs="仿宋_GB2312"/>
          <w:color w:val="auto"/>
          <w:kern w:val="2"/>
          <w:sz w:val="32"/>
          <w:szCs w:val="32"/>
          <w:highlight w:val="none"/>
          <w:lang w:val="en-US" w:eastAsia="zh-CN" w:bidi="ar-SA"/>
        </w:rPr>
        <w:t>1</w:t>
      </w:r>
      <w:r>
        <w:rPr>
          <w:rFonts w:hint="eastAsia" w:ascii="仿宋_GB2312" w:hAnsi="仿宋" w:eastAsia="仿宋_GB2312" w:cs="仿宋_GB2312"/>
          <w:sz w:val="32"/>
          <w:szCs w:val="32"/>
          <w:lang w:bidi="ar"/>
        </w:rPr>
        <w:t>辆</w:t>
      </w:r>
      <w:r>
        <w:rPr>
          <w:rFonts w:hint="eastAsia" w:ascii="仿宋_GB2312" w:hAnsi="仿宋" w:eastAsia="仿宋_GB2312" w:cs="仿宋_GB2312"/>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eastAsia="仿宋_GB2312" w:cs="仿宋_GB2312"/>
          <w:color w:val="auto"/>
          <w:kern w:val="2"/>
          <w:sz w:val="32"/>
          <w:szCs w:val="32"/>
          <w:highlight w:val="none"/>
          <w:lang w:val="en-US" w:eastAsia="zh-CN" w:bidi="ar-SA"/>
        </w:rPr>
        <w:t>30万</w:t>
      </w:r>
      <w:r>
        <w:rPr>
          <w:rFonts w:hint="eastAsia" w:ascii="Times New Roman" w:hAnsi="Times New Roman" w:eastAsia="仿宋_GB2312" w:cs="仿宋_GB2312"/>
          <w:color w:val="auto"/>
          <w:kern w:val="2"/>
          <w:sz w:val="32"/>
          <w:szCs w:val="32"/>
          <w:highlight w:val="none"/>
          <w:lang w:val="en-US" w:eastAsia="zh-CN" w:bidi="ar-SA"/>
        </w:rPr>
        <w:t>元。全年按规定</w:t>
      </w:r>
      <w:r>
        <w:rPr>
          <w:rFonts w:hint="eastAsia" w:eastAsia="仿宋_GB2312" w:cs="仿宋_GB2312"/>
          <w:color w:val="auto"/>
          <w:kern w:val="2"/>
          <w:sz w:val="32"/>
          <w:szCs w:val="32"/>
          <w:highlight w:val="none"/>
          <w:lang w:val="en-US" w:eastAsia="zh-CN" w:bidi="ar-SA"/>
        </w:rPr>
        <w:t>和程序</w:t>
      </w:r>
      <w:r>
        <w:rPr>
          <w:rFonts w:hint="eastAsia" w:ascii="Times New Roman" w:hAnsi="Times New Roman" w:eastAsia="仿宋_GB2312" w:cs="仿宋_GB2312"/>
          <w:color w:val="auto"/>
          <w:kern w:val="2"/>
          <w:sz w:val="32"/>
          <w:szCs w:val="32"/>
          <w:highlight w:val="none"/>
          <w:lang w:val="en-US" w:eastAsia="zh-CN" w:bidi="ar-SA"/>
        </w:rPr>
        <w:t>更新购置公务用车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30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ascii="仿宋_GB2312" w:hAnsi="仿宋" w:eastAsia="仿宋_GB2312" w:cs="仿宋_GB2312"/>
          <w:sz w:val="32"/>
          <w:szCs w:val="32"/>
          <w:lang w:bidi="ar"/>
        </w:rPr>
        <w:t>保障各项重点工作及重点项目的顺利推进</w:t>
      </w:r>
      <w:r>
        <w:rPr>
          <w:rFonts w:hint="eastAsia" w:ascii="Times New Roman" w:hAnsi="Times New Roman" w:eastAsia="仿宋_GB2312" w:cs="仿宋_GB2312"/>
          <w:color w:val="auto"/>
          <w:kern w:val="2"/>
          <w:sz w:val="32"/>
          <w:szCs w:val="32"/>
          <w:highlight w:val="none"/>
          <w:lang w:val="en-US" w:eastAsia="zh-CN" w:bidi="ar-SA"/>
        </w:rPr>
        <w:t>。截至2024年12月31日，单位共有公务用车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eastAsia="仿宋_GB2312" w:cs="仿宋_GB2312"/>
          <w:color w:val="auto"/>
          <w:kern w:val="2"/>
          <w:sz w:val="32"/>
          <w:szCs w:val="32"/>
          <w:highlight w:val="none"/>
          <w:lang w:val="en-US" w:eastAsia="zh-CN" w:bidi="ar-SA"/>
        </w:rPr>
        <w:t>出5.67</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ascii="仿宋_GB2312" w:hAnsi="仿宋_GB2312" w:eastAsia="仿宋_GB2312" w:cs="仿宋_GB2312"/>
          <w:color w:val="000000"/>
          <w:sz w:val="32"/>
          <w:szCs w:val="32"/>
          <w:lang w:bidi="ar"/>
        </w:rPr>
        <w:t>开展城市更新</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住房保障、老旧小区改造、农村危房改造、建筑质量监督、零碳示范、绿色建筑发展</w:t>
      </w:r>
      <w:r>
        <w:rPr>
          <w:rFonts w:hint="eastAsia" w:ascii="仿宋_GB2312" w:hAnsi="仿宋_GB2312" w:eastAsia="仿宋_GB2312" w:cs="仿宋_GB2312"/>
          <w:color w:val="000000"/>
          <w:sz w:val="32"/>
          <w:szCs w:val="32"/>
          <w:lang w:eastAsia="zh-CN" w:bidi="ar"/>
        </w:rPr>
        <w:t>工作</w:t>
      </w:r>
      <w:r>
        <w:rPr>
          <w:rFonts w:hint="eastAsia" w:ascii="仿宋_GB2312" w:hAnsi="仿宋_GB2312" w:eastAsia="仿宋_GB2312" w:cs="仿宋_GB2312"/>
          <w:color w:val="000000"/>
          <w:sz w:val="32"/>
          <w:szCs w:val="32"/>
          <w:lang w:bidi="ar"/>
        </w:rPr>
        <w:t>等</w:t>
      </w:r>
      <w:r>
        <w:rPr>
          <w:rFonts w:hint="eastAsia" w:ascii="Times New Roman" w:hAnsi="Times New Roman" w:eastAsia="仿宋_GB2312" w:cs="仿宋_GB2312"/>
          <w:color w:val="auto"/>
          <w:kern w:val="2"/>
          <w:sz w:val="32"/>
          <w:szCs w:val="32"/>
          <w:highlight w:val="none"/>
          <w:lang w:val="en-US" w:eastAsia="zh-CN" w:bidi="ar-SA"/>
        </w:rPr>
        <w:t>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3.公务接待费支出2.96</w:t>
      </w:r>
      <w:r>
        <w:rPr>
          <w:rFonts w:hint="eastAsia" w:ascii="仿宋_GB2312" w:hAnsi="仿宋_GB2312" w:eastAsia="仿宋_GB2312" w:cs="仿宋_GB2312"/>
          <w:b/>
          <w:bCs/>
          <w:color w:val="auto"/>
          <w:kern w:val="2"/>
          <w:sz w:val="32"/>
          <w:szCs w:val="32"/>
          <w:highlight w:val="none"/>
          <w:lang w:val="en-US" w:eastAsia="zh-CN" w:bidi="ar-SA"/>
        </w:rPr>
        <w:t>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2023年度</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2.96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_GB2312" w:hAnsi="仿宋_GB2312" w:eastAsia="仿宋_GB2312" w:cs="仿宋_GB2312"/>
          <w:sz w:val="32"/>
          <w:szCs w:val="32"/>
        </w:rPr>
        <w:t>主要用于</w:t>
      </w:r>
      <w:r>
        <w:rPr>
          <w:rFonts w:hint="eastAsia" w:ascii="仿宋_GB2312" w:hAnsi="仿宋_GB2312" w:eastAsia="仿宋_GB2312" w:cs="仿宋_GB2312"/>
          <w:color w:val="000000"/>
          <w:sz w:val="32"/>
          <w:szCs w:val="32"/>
          <w:lang w:bidi="ar"/>
        </w:rPr>
        <w:t>接待省厅各项检查和执行公务、开展业务活动开支的用餐费</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Times New Roman" w:hAnsi="Times New Roman" w:eastAsia="仿宋_GB2312" w:cs="仿宋_GB2312"/>
          <w:color w:val="auto"/>
          <w:kern w:val="2"/>
          <w:sz w:val="32"/>
          <w:szCs w:val="32"/>
          <w:highlight w:val="none"/>
          <w:lang w:val="en-US" w:eastAsia="zh-CN" w:bidi="ar-SA"/>
        </w:rPr>
        <w:t>21</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Times New Roman" w:hAnsi="Times New Roman" w:eastAsia="仿宋_GB2312" w:cs="仿宋_GB2312"/>
          <w:color w:val="auto"/>
          <w:kern w:val="2"/>
          <w:sz w:val="32"/>
          <w:szCs w:val="32"/>
          <w:highlight w:val="none"/>
          <w:lang w:val="en-US" w:eastAsia="zh-CN" w:bidi="ar-SA"/>
        </w:rPr>
        <w:t>169人次（不包括陪同人员），共计支出</w:t>
      </w:r>
      <w:r>
        <w:rPr>
          <w:rFonts w:hint="eastAsia" w:eastAsia="仿宋_GB2312" w:cs="仿宋_GB2312"/>
          <w:color w:val="auto"/>
          <w:kern w:val="2"/>
          <w:sz w:val="32"/>
          <w:szCs w:val="32"/>
          <w:highlight w:val="none"/>
          <w:lang w:val="en-US" w:eastAsia="zh-CN" w:bidi="ar-SA"/>
        </w:rPr>
        <w:t>2.96</w:t>
      </w:r>
      <w:r>
        <w:rPr>
          <w:rFonts w:hint="eastAsia" w:ascii="Times New Roman" w:hAnsi="Times New Roman" w:eastAsia="仿宋_GB2312" w:cs="仿宋_GB2312"/>
          <w:color w:val="auto"/>
          <w:kern w:val="2"/>
          <w:sz w:val="32"/>
          <w:szCs w:val="32"/>
          <w:highlight w:val="none"/>
          <w:lang w:val="en-US" w:eastAsia="zh-CN" w:bidi="ar-SA"/>
        </w:rPr>
        <w:t>万元，具体内</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容包括：</w:t>
      </w:r>
      <w:r>
        <w:rPr>
          <w:rFonts w:hint="eastAsia" w:eastAsia="仿宋_GB2312" w:cs="仿宋_GB2312"/>
          <w:color w:val="auto"/>
          <w:kern w:val="2"/>
          <w:sz w:val="32"/>
          <w:szCs w:val="32"/>
          <w:highlight w:val="none"/>
          <w:lang w:val="en-US" w:eastAsia="zh-CN" w:bidi="ar-SA"/>
        </w:rPr>
        <w:t>接待住建部村庄里的中国纪录片调研采访餐费2680元，接待住房城乡建设厅专家组调研城市更新试点餐费</w:t>
      </w:r>
      <w:r>
        <w:rPr>
          <w:rFonts w:hint="eastAsia" w:ascii="Times New Roman" w:hAnsi="Times New Roman" w:eastAsia="仿宋_GB2312" w:cs="仿宋_GB2312"/>
          <w:color w:val="auto"/>
          <w:kern w:val="2"/>
          <w:sz w:val="32"/>
          <w:szCs w:val="32"/>
          <w:highlight w:val="none"/>
          <w:lang w:val="en-US" w:eastAsia="zh-CN" w:bidi="ar-SA"/>
        </w:rPr>
        <w:t>1343</w:t>
      </w:r>
      <w:r>
        <w:rPr>
          <w:rFonts w:hint="eastAsia" w:eastAsia="仿宋_GB2312" w:cs="仿宋_GB2312"/>
          <w:color w:val="auto"/>
          <w:kern w:val="2"/>
          <w:sz w:val="32"/>
          <w:szCs w:val="32"/>
          <w:highlight w:val="none"/>
          <w:lang w:val="en-US" w:eastAsia="zh-CN" w:bidi="ar-SA"/>
        </w:rPr>
        <w:t>元，接待遂宁住建调研绿色建筑餐费1797元，接待住房城乡建设领域防风险保稳定综合调研餐费1702.55元，接待住房城乡建设厅建筑领域综合调研餐费1620元等</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bookmarkStart w:id="80" w:name="_Toc15396610"/>
      <w:bookmarkStart w:id="81" w:name="_Toc15377218"/>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1"/>
        <w:rPr>
          <w:rStyle w:val="30"/>
          <w:rFonts w:ascii="Times New Roman" w:hAnsi="Times New Roman" w:eastAsia="黑体"/>
          <w:color w:val="auto"/>
          <w:highlight w:val="none"/>
        </w:rPr>
      </w:pPr>
      <w:bookmarkStart w:id="82" w:name="_Toc1046407464_WPSOffice_Level2"/>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年度政府性基金预算财政拨款支出</w:t>
      </w:r>
      <w:r>
        <w:rPr>
          <w:rFonts w:hint="eastAsia" w:ascii="Times New Roman" w:hAnsi="Times New Roman" w:eastAsia="仿宋_GB2312" w:cs="仿宋_GB2312"/>
          <w:color w:val="auto"/>
          <w:kern w:val="2"/>
          <w:sz w:val="32"/>
          <w:szCs w:val="32"/>
          <w:highlight w:val="none"/>
          <w:lang w:val="en-US" w:eastAsia="zh-CN" w:bidi="ar-SA"/>
        </w:rPr>
        <w:t>22343.04</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Times New Roman" w:hAnsi="Times New Roman" w:eastAsia="仿宋_GB2312" w:cs="仿宋_GB2312"/>
          <w:color w:val="auto"/>
          <w:kern w:val="2"/>
          <w:sz w:val="32"/>
          <w:szCs w:val="32"/>
          <w:highlight w:val="none"/>
          <w:lang w:val="en-US" w:eastAsia="zh-CN" w:bidi="ar-SA"/>
        </w:rPr>
        <w:t>91.49%。与2023年度相比，政府性基金预算财政拨款支出增加</w:t>
      </w:r>
      <w:r>
        <w:rPr>
          <w:rFonts w:hint="eastAsia" w:eastAsia="仿宋_GB2312" w:cs="仿宋_GB2312"/>
          <w:color w:val="auto"/>
          <w:kern w:val="2"/>
          <w:sz w:val="32"/>
          <w:szCs w:val="32"/>
          <w:highlight w:val="none"/>
          <w:lang w:val="en-US" w:eastAsia="zh-CN" w:bidi="ar-SA"/>
        </w:rPr>
        <w:t>1297.11</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6.16</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仿宋_GB2312" w:eastAsia="仿宋_GB2312"/>
          <w:sz w:val="32"/>
          <w:szCs w:val="32"/>
        </w:rPr>
        <w:t>生活污水处理设施建设</w:t>
      </w:r>
      <w:r>
        <w:rPr>
          <w:rFonts w:hint="eastAsia" w:ascii="Times New Roman" w:hAnsi="Times New Roman" w:eastAsia="仿宋_GB2312" w:cs="仿宋_GB2312"/>
          <w:color w:val="auto"/>
          <w:kern w:val="2"/>
          <w:sz w:val="32"/>
          <w:szCs w:val="32"/>
          <w:highlight w:val="none"/>
          <w:lang w:val="en-US" w:eastAsia="zh-CN" w:bidi="ar-SA"/>
        </w:rPr>
        <w:t>PPP</w:t>
      </w:r>
      <w:r>
        <w:rPr>
          <w:rFonts w:hint="eastAsia" w:ascii="仿宋_GB2312" w:eastAsia="仿宋_GB2312"/>
          <w:sz w:val="32"/>
          <w:szCs w:val="32"/>
        </w:rPr>
        <w:t>项目</w:t>
      </w:r>
      <w:r>
        <w:rPr>
          <w:rFonts w:hint="eastAsia" w:ascii="仿宋_GB2312" w:eastAsia="仿宋_GB2312"/>
          <w:sz w:val="32"/>
          <w:szCs w:val="32"/>
          <w:lang w:eastAsia="zh-CN"/>
        </w:rPr>
        <w:t>支出</w:t>
      </w:r>
      <w:r>
        <w:rPr>
          <w:rFonts w:hint="eastAsia" w:ascii="仿宋_GB2312" w:eastAsia="仿宋_GB2312"/>
          <w:sz w:val="32"/>
          <w:szCs w:val="32"/>
        </w:rPr>
        <w:t>较上年增加</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0" w:leftChars="0"/>
        <w:textAlignment w:val="auto"/>
        <w:outlineLvl w:val="1"/>
        <w:rPr>
          <w:rStyle w:val="30"/>
          <w:rFonts w:ascii="Times New Roman" w:hAnsi="Times New Roman" w:eastAsia="黑体"/>
          <w:b w:val="0"/>
          <w:color w:val="auto"/>
          <w:highlight w:val="none"/>
        </w:rPr>
      </w:pPr>
      <w:bookmarkStart w:id="83" w:name="_Toc15377219"/>
      <w:bookmarkStart w:id="84" w:name="_Toc2128144554_WPSOffice_Level2"/>
      <w:bookmarkStart w:id="85" w:name="_Toc15396611"/>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2024年度国有资本经营预算财政拨款支出0万</w:t>
      </w:r>
      <w:r>
        <w:rPr>
          <w:rFonts w:hint="eastAsia" w:ascii="仿宋_GB2312" w:hAnsi="仿宋_GB2312" w:eastAsia="仿宋_GB2312" w:cs="仿宋_GB2312"/>
          <w:color w:val="auto"/>
          <w:kern w:val="2"/>
          <w:sz w:val="32"/>
          <w:szCs w:val="32"/>
          <w:highlight w:val="none"/>
          <w:lang w:val="en-US" w:eastAsia="zh-CN" w:bidi="ar-SA"/>
        </w:rPr>
        <w:t>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0" w:leftChars="0"/>
        <w:textAlignment w:val="auto"/>
        <w:outlineLvl w:val="1"/>
        <w:rPr>
          <w:rStyle w:val="30"/>
          <w:rFonts w:hint="eastAsia" w:ascii="Times New Roman" w:hAnsi="Times New Roman" w:eastAsia="黑体"/>
          <w:b w:val="0"/>
          <w:color w:val="auto"/>
          <w:highlight w:val="none"/>
        </w:rPr>
      </w:pPr>
      <w:bookmarkStart w:id="86" w:name="_Toc15396612"/>
      <w:bookmarkStart w:id="87" w:name="_Toc15377221"/>
      <w:bookmarkStart w:id="88" w:name="_Toc890400508_WPSOffice_Level2"/>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89" w:name="_Toc15377222"/>
      <w:r>
        <w:rPr>
          <w:rFonts w:hint="eastAsia" w:ascii="Times New Roman" w:hAnsi="Times New Roman" w:eastAsia="楷体_GB2312" w:cs="楷体_GB2312"/>
          <w:b/>
          <w:color w:val="auto"/>
          <w:sz w:val="32"/>
          <w:szCs w:val="32"/>
          <w:highlight w:val="none"/>
        </w:rPr>
        <w:t>（一）机关运行经费支出情况</w:t>
      </w:r>
      <w:bookmarkEnd w:id="89"/>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四川省攀枝花市住房和城乡建设局（本级）</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Times New Roman" w:hAnsi="Times New Roman" w:eastAsia="仿宋_GB2312" w:cs="仿宋_GB2312"/>
          <w:color w:val="auto"/>
          <w:kern w:val="2"/>
          <w:sz w:val="32"/>
          <w:szCs w:val="32"/>
          <w:highlight w:val="none"/>
          <w:lang w:val="en-US" w:eastAsia="zh-CN" w:bidi="ar-SA"/>
        </w:rPr>
        <w:t>136.17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元，比2023年度减少13.2</w:t>
      </w: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8.89</w:t>
      </w:r>
      <w:r>
        <w:rPr>
          <w:rFonts w:hint="eastAsia" w:ascii="Times New Roman" w:hAnsi="Times New Roman" w:eastAsia="仿宋_GB2312" w:cs="仿宋_GB2312"/>
          <w:color w:val="auto"/>
          <w:kern w:val="2"/>
          <w:sz w:val="32"/>
          <w:szCs w:val="32"/>
          <w:highlight w:val="none"/>
          <w:lang w:val="en-US" w:eastAsia="zh-CN" w:bidi="ar-SA"/>
        </w:rPr>
        <w:t>%。主要原因是2024</w:t>
      </w:r>
      <w:r>
        <w:rPr>
          <w:rFonts w:hint="eastAsia" w:ascii="仿宋_GB2312" w:hAnsi="仿宋" w:eastAsia="仿宋_GB2312"/>
          <w:kern w:val="2"/>
          <w:sz w:val="32"/>
        </w:rPr>
        <w:t>年</w:t>
      </w:r>
      <w:r>
        <w:rPr>
          <w:rFonts w:hint="eastAsia" w:ascii="仿宋_GB2312" w:hAnsi="仿宋" w:eastAsia="仿宋_GB2312"/>
          <w:kern w:val="2"/>
          <w:sz w:val="32"/>
          <w:lang w:eastAsia="zh-CN"/>
        </w:rPr>
        <w:t>单位</w:t>
      </w:r>
      <w:r>
        <w:rPr>
          <w:rFonts w:hint="eastAsia" w:ascii="仿宋_GB2312" w:hAnsi="仿宋" w:eastAsia="仿宋_GB2312"/>
          <w:kern w:val="2"/>
          <w:sz w:val="32"/>
        </w:rPr>
        <w:t>人员减少，财政预算拨</w:t>
      </w:r>
      <w:r>
        <w:rPr>
          <w:rFonts w:hint="eastAsia" w:ascii="仿宋_GB2312" w:hAnsi="仿宋" w:eastAsia="仿宋_GB2312"/>
          <w:kern w:val="2"/>
          <w:sz w:val="32"/>
          <w:lang w:eastAsia="zh-CN"/>
        </w:rPr>
        <w:t>入</w:t>
      </w:r>
      <w:r>
        <w:rPr>
          <w:rFonts w:hint="eastAsia" w:ascii="仿宋_GB2312" w:hAnsi="仿宋" w:eastAsia="仿宋_GB2312"/>
          <w:kern w:val="2"/>
          <w:sz w:val="32"/>
        </w:rPr>
        <w:t>减少</w:t>
      </w:r>
      <w:r>
        <w:rPr>
          <w:rFonts w:hint="eastAsia" w:ascii="仿宋_GB2312" w:hAnsi="仿宋" w:eastAsia="仿宋_GB2312"/>
          <w:kern w:val="2"/>
          <w:sz w:val="32"/>
          <w:lang w:eastAsia="zh-CN"/>
        </w:rPr>
        <w:t>，支出相应减少。</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90" w:name="_Toc15377223"/>
      <w:r>
        <w:rPr>
          <w:rFonts w:hint="eastAsia" w:ascii="Times New Roman" w:hAnsi="Times New Roman" w:eastAsia="楷体_GB2312" w:cs="楷体_GB2312"/>
          <w:b/>
          <w:color w:val="auto"/>
          <w:sz w:val="32"/>
          <w:szCs w:val="32"/>
          <w:highlight w:val="none"/>
        </w:rPr>
        <w:t>（二）政府采购支出情况</w:t>
      </w:r>
      <w:bookmarkEnd w:id="90"/>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w:t>
      </w:r>
      <w:r>
        <w:rPr>
          <w:rFonts w:hint="eastAsia" w:ascii="仿宋_GB2312" w:hAnsi="仿宋_GB2312" w:eastAsia="仿宋_GB2312" w:cs="仿宋_GB2312"/>
          <w:sz w:val="32"/>
          <w:szCs w:val="32"/>
        </w:rPr>
        <w:t>四川省攀枝花市住房和城乡建设局（本级）</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Times New Roman" w:hAnsi="Times New Roman" w:eastAsia="仿宋_GB2312" w:cs="仿宋_GB2312"/>
          <w:color w:val="auto"/>
          <w:kern w:val="2"/>
          <w:sz w:val="32"/>
          <w:szCs w:val="32"/>
          <w:highlight w:val="none"/>
          <w:lang w:val="en-US" w:eastAsia="zh-CN" w:bidi="ar-SA"/>
        </w:rPr>
        <w:t>156.93</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Times New Roman" w:hAnsi="Times New Roman" w:eastAsia="仿宋_GB2312" w:cs="仿宋_GB2312"/>
          <w:color w:val="auto"/>
          <w:kern w:val="2"/>
          <w:sz w:val="32"/>
          <w:szCs w:val="32"/>
          <w:highlight w:val="none"/>
          <w:lang w:val="en-US" w:eastAsia="zh-CN" w:bidi="ar-SA"/>
        </w:rPr>
        <w:t>29.48</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Times New Roman" w:hAnsi="Times New Roman" w:eastAsia="仿宋_GB2312" w:cs="仿宋_GB2312"/>
          <w:color w:val="auto"/>
          <w:kern w:val="2"/>
          <w:sz w:val="32"/>
          <w:szCs w:val="32"/>
          <w:highlight w:val="none"/>
          <w:lang w:val="en-US" w:eastAsia="zh-CN" w:bidi="ar-SA"/>
        </w:rPr>
        <w:t>127.45</w:t>
      </w:r>
      <w:r>
        <w:rPr>
          <w:rFonts w:hint="eastAsia" w:ascii="仿宋_GB2312" w:hAnsi="仿宋_GB2312" w:eastAsia="仿宋_GB2312" w:cs="仿宋_GB2312"/>
          <w:color w:val="auto"/>
          <w:kern w:val="2"/>
          <w:sz w:val="32"/>
          <w:szCs w:val="32"/>
          <w:highlight w:val="none"/>
          <w:lang w:val="en-US" w:eastAsia="zh-CN" w:bidi="ar-SA"/>
        </w:rPr>
        <w:t>万元。主要用于</w:t>
      </w:r>
      <w:r>
        <w:rPr>
          <w:rFonts w:hint="eastAsia" w:ascii="仿宋_GB2312" w:hAnsi="仿宋_GB2312" w:eastAsia="仿宋_GB2312" w:cs="仿宋_GB2312"/>
          <w:sz w:val="32"/>
          <w:szCs w:val="32"/>
        </w:rPr>
        <w:t>国家零碳建筑示范城市方案规划编制</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rPr>
        <w:t>、攀枝花市</w:t>
      </w:r>
      <w:r>
        <w:rPr>
          <w:rFonts w:hint="eastAsia" w:ascii="Times New Roman" w:hAnsi="Times New Roman" w:eastAsia="仿宋_GB2312" w:cs="仿宋_GB2312"/>
          <w:color w:val="auto"/>
          <w:kern w:val="2"/>
          <w:sz w:val="32"/>
          <w:szCs w:val="32"/>
          <w:highlight w:val="none"/>
          <w:lang w:val="en-US" w:eastAsia="zh-CN" w:bidi="ar-SA"/>
        </w:rPr>
        <w:t>2022</w:t>
      </w:r>
      <w:r>
        <w:rPr>
          <w:rFonts w:hint="eastAsia" w:ascii="仿宋_GB2312" w:hAnsi="仿宋_GB2312" w:eastAsia="仿宋_GB2312" w:cs="仿宋_GB2312"/>
          <w:sz w:val="32"/>
          <w:szCs w:val="32"/>
        </w:rPr>
        <w:t>年城市体检技术服务</w:t>
      </w:r>
      <w:r>
        <w:rPr>
          <w:rFonts w:hint="eastAsia" w:ascii="仿宋_GB2312" w:hAnsi="仿宋_GB2312" w:eastAsia="仿宋_GB2312" w:cs="仿宋_GB2312"/>
          <w:sz w:val="32"/>
          <w:szCs w:val="32"/>
          <w:lang w:eastAsia="zh-CN"/>
        </w:rPr>
        <w:t>费、</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sz w:val="32"/>
          <w:szCs w:val="32"/>
          <w:lang w:val="en-US" w:eastAsia="zh-CN"/>
        </w:rPr>
        <w:t>年城市体检技术服务费</w:t>
      </w:r>
      <w:r>
        <w:rPr>
          <w:rFonts w:hint="eastAsia" w:ascii="仿宋_GB2312" w:hAnsi="仿宋_GB2312" w:eastAsia="仿宋_GB2312" w:cs="仿宋_GB2312"/>
          <w:color w:val="auto"/>
          <w:kern w:val="2"/>
          <w:sz w:val="32"/>
          <w:szCs w:val="32"/>
          <w:highlight w:val="none"/>
          <w:lang w:val="en-US" w:eastAsia="zh-CN" w:bidi="ar-SA"/>
        </w:rPr>
        <w:t>。授予中小企业合同金额</w:t>
      </w:r>
      <w:r>
        <w:rPr>
          <w:rFonts w:hint="eastAsia" w:ascii="Times New Roman" w:hAnsi="Times New Roman" w:eastAsia="仿宋_GB2312" w:cs="仿宋_GB2312"/>
          <w:color w:val="auto"/>
          <w:kern w:val="2"/>
          <w:sz w:val="32"/>
          <w:szCs w:val="32"/>
          <w:highlight w:val="none"/>
          <w:lang w:val="en-US" w:eastAsia="zh-CN" w:bidi="ar-SA"/>
        </w:rPr>
        <w:t>76</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Times New Roman" w:hAnsi="Times New Roman" w:eastAsia="仿宋_GB2312" w:cs="仿宋_GB2312"/>
          <w:color w:val="auto"/>
          <w:kern w:val="2"/>
          <w:sz w:val="32"/>
          <w:szCs w:val="32"/>
          <w:highlight w:val="none"/>
          <w:lang w:val="en-US" w:eastAsia="zh-CN" w:bidi="ar-SA"/>
        </w:rPr>
        <w:t>48.4</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，其中：授予小微企业合同金</w:t>
      </w:r>
      <w:r>
        <w:rPr>
          <w:rFonts w:hint="eastAsia" w:ascii="Times New Roman" w:hAnsi="Times New Roman" w:eastAsia="仿宋_GB2312" w:cs="仿宋_GB2312"/>
          <w:color w:val="auto"/>
          <w:kern w:val="2"/>
          <w:sz w:val="32"/>
          <w:szCs w:val="32"/>
          <w:highlight w:val="none"/>
          <w:lang w:val="en-US" w:eastAsia="zh-CN" w:bidi="ar-SA"/>
        </w:rPr>
        <w:t>额76</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Times New Roman" w:hAnsi="Times New Roman" w:eastAsia="仿宋_GB2312" w:cs="仿宋_GB2312"/>
          <w:color w:val="auto"/>
          <w:kern w:val="2"/>
          <w:sz w:val="32"/>
          <w:szCs w:val="32"/>
          <w:highlight w:val="none"/>
          <w:lang w:val="en-US" w:eastAsia="zh-CN" w:bidi="ar-SA"/>
        </w:rPr>
        <w:t>48.4</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91" w:name="_Toc15377224"/>
      <w:r>
        <w:rPr>
          <w:rFonts w:hint="eastAsia" w:ascii="Times New Roman" w:hAnsi="Times New Roman" w:eastAsia="楷体_GB2312" w:cs="楷体_GB2312"/>
          <w:b/>
          <w:color w:val="auto"/>
          <w:sz w:val="32"/>
          <w:szCs w:val="32"/>
          <w:highlight w:val="none"/>
        </w:rPr>
        <w:t>（三）国有资产占有使用情况</w:t>
      </w:r>
      <w:bookmarkEnd w:id="91"/>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w:t>
      </w:r>
      <w:r>
        <w:rPr>
          <w:rFonts w:hint="eastAsia" w:ascii="Times New Roman" w:hAnsi="Times New Roman" w:eastAsia="仿宋_GB2312" w:cs="仿宋_GB2312"/>
          <w:color w:val="auto"/>
          <w:kern w:val="2"/>
          <w:sz w:val="32"/>
          <w:szCs w:val="32"/>
          <w:highlight w:val="none"/>
          <w:lang w:val="en-US" w:eastAsia="zh-CN" w:bidi="ar-SA"/>
        </w:rPr>
        <w:t>12</w:t>
      </w:r>
      <w:r>
        <w:rPr>
          <w:rFonts w:hint="eastAsia" w:ascii="仿宋_GB2312" w:hAnsi="仿宋_GB2312" w:eastAsia="仿宋_GB2312" w:cs="仿宋_GB2312"/>
          <w:color w:val="auto"/>
          <w:kern w:val="2"/>
          <w:sz w:val="32"/>
          <w:szCs w:val="32"/>
          <w:highlight w:val="none"/>
          <w:lang w:val="en-US" w:eastAsia="zh-CN" w:bidi="ar-SA"/>
        </w:rPr>
        <w:t>月</w:t>
      </w:r>
      <w:r>
        <w:rPr>
          <w:rFonts w:hint="eastAsia" w:ascii="Times New Roman" w:hAnsi="Times New Roman" w:eastAsia="仿宋_GB2312" w:cs="仿宋_GB2312"/>
          <w:color w:val="auto"/>
          <w:kern w:val="2"/>
          <w:sz w:val="32"/>
          <w:szCs w:val="32"/>
          <w:highlight w:val="none"/>
          <w:lang w:val="en-US" w:eastAsia="zh-CN" w:bidi="ar-SA"/>
        </w:rPr>
        <w:t>31</w:t>
      </w:r>
      <w:r>
        <w:rPr>
          <w:rFonts w:hint="eastAsia" w:ascii="仿宋_GB2312" w:hAnsi="仿宋_GB2312" w:eastAsia="仿宋_GB2312" w:cs="仿宋_GB2312"/>
          <w:color w:val="auto"/>
          <w:kern w:val="2"/>
          <w:sz w:val="32"/>
          <w:szCs w:val="32"/>
          <w:highlight w:val="none"/>
          <w:lang w:val="en-US" w:eastAsia="zh-CN" w:bidi="ar-SA"/>
        </w:rPr>
        <w:t>日，</w:t>
      </w:r>
      <w:r>
        <w:rPr>
          <w:rFonts w:hint="eastAsia" w:ascii="仿宋_GB2312" w:hAnsi="仿宋_GB2312" w:eastAsia="仿宋_GB2312" w:cs="仿宋_GB2312"/>
          <w:sz w:val="32"/>
          <w:szCs w:val="32"/>
        </w:rPr>
        <w:t>四川省攀枝花市住房和城乡建设局（本级）</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Times New Roman" w:hAnsi="Times New Roman"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辆，其中：主要负责人用</w:t>
      </w:r>
      <w:r>
        <w:rPr>
          <w:rFonts w:hint="eastAsia" w:ascii="Times New Roman" w:hAnsi="Times New Roman" w:eastAsia="仿宋_GB2312" w:cs="仿宋_GB2312"/>
          <w:color w:val="auto"/>
          <w:kern w:val="2"/>
          <w:sz w:val="32"/>
          <w:szCs w:val="32"/>
          <w:highlight w:val="none"/>
          <w:lang w:val="en-US" w:eastAsia="zh-CN" w:bidi="ar-SA"/>
        </w:rPr>
        <w:t>车0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辆、特种专业技术用车</w:t>
      </w:r>
      <w:r>
        <w:rPr>
          <w:rFonts w:hint="eastAsia" w:ascii="Times New Roman" w:hAnsi="Times New Roman"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辆。单价</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万元（含）以上设备（不含车辆）</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ascii="仿宋_GB2312" w:hAnsi="仿宋_GB2312" w:eastAsia="仿宋_GB2312" w:cs="仿宋_GB2312"/>
          <w:sz w:val="32"/>
          <w:szCs w:val="32"/>
        </w:rPr>
        <w:t>四川省攀枝花市住房和城乡建设局（本级）</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ascii="仿宋_GB2312" w:hAnsi="仿宋" w:eastAsia="仿宋_GB2312"/>
          <w:sz w:val="32"/>
          <w:szCs w:val="32"/>
        </w:rPr>
        <w:t>国家零碳建筑示范城市方案规划编制项目</w:t>
      </w:r>
      <w:r>
        <w:rPr>
          <w:rFonts w:hint="eastAsia" w:ascii="仿宋_GB2312" w:hAnsi="仿宋" w:eastAsia="仿宋_GB2312"/>
          <w:sz w:val="32"/>
          <w:szCs w:val="32"/>
          <w:lang w:eastAsia="zh-CN"/>
        </w:rPr>
        <w:t>、</w:t>
      </w:r>
      <w:r>
        <w:rPr>
          <w:rFonts w:hint="eastAsia" w:ascii="仿宋_GB2312" w:hAnsi="仿宋" w:eastAsia="仿宋_GB2312"/>
          <w:sz w:val="32"/>
          <w:szCs w:val="32"/>
        </w:rPr>
        <w:t>攀枝花市</w:t>
      </w:r>
      <w:r>
        <w:rPr>
          <w:rFonts w:hint="eastAsia" w:ascii="Times New Roman" w:hAnsi="Times New Roman" w:eastAsia="仿宋_GB2312" w:cs="仿宋_GB2312"/>
          <w:color w:val="auto"/>
          <w:kern w:val="2"/>
          <w:sz w:val="32"/>
          <w:szCs w:val="32"/>
          <w:highlight w:val="none"/>
          <w:lang w:val="en-US" w:eastAsia="zh-CN" w:bidi="ar-SA"/>
        </w:rPr>
        <w:t>2024年</w:t>
      </w:r>
      <w:r>
        <w:rPr>
          <w:rFonts w:hint="eastAsia" w:ascii="仿宋_GB2312" w:hAnsi="仿宋" w:eastAsia="仿宋_GB2312"/>
          <w:sz w:val="32"/>
          <w:szCs w:val="32"/>
        </w:rPr>
        <w:t>城市体检技术服务项目</w:t>
      </w:r>
      <w:r>
        <w:rPr>
          <w:rFonts w:hint="eastAsia" w:ascii="仿宋_GB2312" w:hAnsi="仿宋" w:eastAsia="仿宋_GB2312"/>
          <w:sz w:val="32"/>
          <w:szCs w:val="32"/>
          <w:lang w:eastAsia="zh-CN"/>
        </w:rPr>
        <w:t>、</w:t>
      </w:r>
      <w:r>
        <w:rPr>
          <w:rFonts w:hint="eastAsia" w:ascii="仿宋_GB2312" w:hAnsi="仿宋" w:eastAsia="仿宋_GB2312"/>
          <w:sz w:val="32"/>
          <w:szCs w:val="32"/>
        </w:rPr>
        <w:t>攀枝花火车南站</w:t>
      </w:r>
      <w:r>
        <w:rPr>
          <w:rFonts w:hint="eastAsia" w:ascii="Times New Roman" w:hAnsi="Times New Roman" w:eastAsia="仿宋_GB2312" w:cs="仿宋_GB2312"/>
          <w:color w:val="auto"/>
          <w:kern w:val="2"/>
          <w:sz w:val="32"/>
          <w:szCs w:val="32"/>
          <w:highlight w:val="none"/>
          <w:lang w:val="en-US" w:eastAsia="zh-CN" w:bidi="ar-SA"/>
        </w:rPr>
        <w:t>PPP</w:t>
      </w:r>
      <w:r>
        <w:rPr>
          <w:rFonts w:hint="eastAsia" w:ascii="仿宋_GB2312" w:hAnsi="仿宋" w:eastAsia="仿宋_GB2312"/>
          <w:sz w:val="32"/>
          <w:szCs w:val="32"/>
        </w:rPr>
        <w:t>项目</w:t>
      </w:r>
      <w:r>
        <w:rPr>
          <w:rFonts w:hint="eastAsia" w:ascii="仿宋_GB2312" w:hAnsi="仿宋" w:eastAsia="仿宋_GB2312"/>
          <w:sz w:val="32"/>
          <w:szCs w:val="32"/>
          <w:lang w:eastAsia="zh-CN"/>
        </w:rPr>
        <w:t>、</w:t>
      </w:r>
      <w:r>
        <w:rPr>
          <w:rFonts w:hint="eastAsia" w:ascii="仿宋_GB2312" w:hAnsi="仿宋" w:eastAsia="仿宋_GB2312"/>
          <w:sz w:val="32"/>
          <w:szCs w:val="32"/>
        </w:rPr>
        <w:t>攀枝花市生活污水处理设施建设</w:t>
      </w:r>
      <w:r>
        <w:rPr>
          <w:rFonts w:hint="eastAsia" w:ascii="Times New Roman" w:hAnsi="Times New Roman" w:eastAsia="仿宋_GB2312" w:cs="仿宋_GB2312"/>
          <w:color w:val="auto"/>
          <w:kern w:val="2"/>
          <w:sz w:val="32"/>
          <w:szCs w:val="32"/>
          <w:highlight w:val="none"/>
          <w:lang w:val="en-US" w:eastAsia="zh-CN" w:bidi="ar-SA"/>
        </w:rPr>
        <w:t>PPP</w:t>
      </w:r>
      <w:r>
        <w:rPr>
          <w:rFonts w:hint="eastAsia" w:ascii="仿宋_GB2312" w:hAnsi="仿宋" w:eastAsia="仿宋_GB2312"/>
          <w:sz w:val="32"/>
          <w:szCs w:val="32"/>
        </w:rPr>
        <w:t>项目</w:t>
      </w:r>
      <w:r>
        <w:rPr>
          <w:rFonts w:hint="eastAsia" w:ascii="仿宋_GB2312" w:hAnsi="仿宋" w:eastAsia="仿宋_GB2312"/>
          <w:sz w:val="32"/>
          <w:szCs w:val="32"/>
          <w:lang w:eastAsia="zh-CN"/>
        </w:rPr>
        <w:t>、房改房和经济适用房上市交易</w:t>
      </w:r>
      <w:r>
        <w:rPr>
          <w:rFonts w:hint="eastAsia" w:ascii="仿宋_GB2312" w:hAnsi="仿宋" w:eastAsia="仿宋_GB2312"/>
          <w:color w:val="auto"/>
          <w:sz w:val="32"/>
          <w:szCs w:val="32"/>
          <w:lang w:eastAsia="zh-CN"/>
        </w:rPr>
        <w:t>补交房款收入征收成本</w:t>
      </w:r>
      <w:r>
        <w:rPr>
          <w:rFonts w:hint="eastAsia" w:ascii="仿宋_GB2312" w:hAnsi="仿宋" w:eastAsia="仿宋_GB2312"/>
          <w:sz w:val="32"/>
          <w:szCs w:val="32"/>
          <w:lang w:eastAsia="zh-CN"/>
        </w:rPr>
        <w:t>及其他支出</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000000" w:themeColor="text1"/>
          <w:kern w:val="2"/>
          <w:sz w:val="32"/>
          <w:szCs w:val="32"/>
          <w:highlight w:val="none"/>
          <w:lang w:val="en-US" w:eastAsia="zh-CN" w:bidi="ar-SA"/>
          <w14:textFill>
            <w14:solidFill>
              <w14:schemeClr w14:val="tx1"/>
            </w14:solidFill>
          </w14:textFill>
        </w:rPr>
        <w:t>24</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24</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24</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92" w:name="_Toc15377225"/>
      <w:bookmarkStart w:id="93" w:name="_Toc2034506658_WPSOffice_Level1"/>
      <w:bookmarkStart w:id="94"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92"/>
      <w:bookmarkEnd w:id="93"/>
      <w:bookmarkEnd w:id="94"/>
    </w:p>
    <w:p>
      <w:pPr>
        <w:spacing w:line="600" w:lineRule="exact"/>
        <w:jc w:val="left"/>
        <w:rPr>
          <w:rFonts w:ascii="Times New Roman" w:hAnsi="Times New Roman"/>
          <w:b/>
          <w:color w:val="auto"/>
          <w:sz w:val="44"/>
          <w:szCs w:val="44"/>
          <w:highlight w:val="none"/>
        </w:rPr>
      </w:pPr>
    </w:p>
    <w:p>
      <w:pPr>
        <w:keepNext w:val="0"/>
        <w:keepLines w:val="0"/>
        <w:pageBreakBefore w:val="0"/>
        <w:widowControl w:val="0"/>
        <w:kinsoku/>
        <w:wordWrap/>
        <w:overflowPunct/>
        <w:topLinePunct w:val="0"/>
        <w:autoSpaceDE/>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1.财政拨款收入：指单位从同级财政部门取得的财政预算资金。 </w:t>
      </w:r>
    </w:p>
    <w:p>
      <w:pPr>
        <w:keepNext w:val="0"/>
        <w:keepLines w:val="0"/>
        <w:pageBreakBefore w:val="0"/>
        <w:widowControl w:val="0"/>
        <w:kinsoku/>
        <w:wordWrap/>
        <w:overflowPunct/>
        <w:topLinePunct w:val="0"/>
        <w:autoSpaceDE/>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2.年初结转和结余：指以前年度尚未完成、结转到本年按有关规定继续使用的资金。 </w:t>
      </w:r>
    </w:p>
    <w:p>
      <w:pPr>
        <w:keepNext w:val="0"/>
        <w:keepLines w:val="0"/>
        <w:pageBreakBefore w:val="0"/>
        <w:widowControl w:val="0"/>
        <w:kinsoku/>
        <w:wordWrap/>
        <w:overflowPunct/>
        <w:topLinePunct w:val="0"/>
        <w:autoSpaceDE/>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3.年末结转和结余：指单位按有关规定结转到下年或以后年度继续使用的资金。</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hint="eastAsia" w:ascii="仿宋_GB2312" w:hAnsi="仿宋_GB2312" w:eastAsia="仿宋_GB2312" w:cs="仿宋_GB2312"/>
          <w:sz w:val="32"/>
          <w:szCs w:val="32"/>
          <w:lang w:bidi="ar"/>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ascii="仿宋_GB2312" w:hAnsi="仿宋_GB2312" w:eastAsia="仿宋_GB2312" w:cs="仿宋_GB2312"/>
          <w:sz w:val="32"/>
          <w:szCs w:val="32"/>
          <w:lang w:bidi="ar"/>
        </w:rPr>
        <w:t>一般公共服务（类）组织事务（款）其他组织事务支出（项）：反映</w:t>
      </w:r>
      <w:r>
        <w:rPr>
          <w:rFonts w:hint="eastAsia" w:ascii="仿宋_GB2312" w:hAnsi="仿宋_GB2312" w:eastAsia="仿宋_GB2312" w:cs="仿宋_GB2312"/>
          <w:kern w:val="0"/>
          <w:sz w:val="32"/>
          <w:szCs w:val="32"/>
          <w:lang w:bidi="ar"/>
        </w:rPr>
        <w:t>除上述项目以外的</w:t>
      </w:r>
      <w:r>
        <w:rPr>
          <w:rFonts w:hint="eastAsia" w:ascii="仿宋_GB2312" w:hAnsi="仿宋_GB2312" w:eastAsia="仿宋_GB2312" w:cs="仿宋_GB2312"/>
          <w:sz w:val="32"/>
          <w:szCs w:val="32"/>
          <w:lang w:bidi="ar"/>
        </w:rPr>
        <w:t>其他用于中国共产党组织部门的事务支出。</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ascii="仿宋_GB2312" w:hAnsi="仿宋_GB2312" w:eastAsia="仿宋_GB2312" w:cs="仿宋_GB2312"/>
          <w:color w:val="auto"/>
          <w:sz w:val="32"/>
          <w:szCs w:val="32"/>
          <w:lang w:bidi="ar"/>
        </w:rPr>
        <w:t>社会保障和就业（类）</w:t>
      </w:r>
      <w:r>
        <w:rPr>
          <w:rFonts w:ascii="仿宋_GB2312" w:hAnsi="仿宋_GB2312" w:eastAsia="仿宋_GB2312" w:cs="仿宋_GB2312"/>
          <w:color w:val="auto"/>
          <w:sz w:val="32"/>
          <w:szCs w:val="32"/>
          <w:lang w:bidi="ar"/>
        </w:rPr>
        <w:t>人力资源和社会保障管理事务</w:t>
      </w:r>
      <w:r>
        <w:rPr>
          <w:rFonts w:hint="eastAsia" w:ascii="仿宋_GB2312" w:hAnsi="仿宋_GB2312" w:eastAsia="仿宋_GB2312" w:cs="仿宋_GB2312"/>
          <w:color w:val="auto"/>
          <w:sz w:val="32"/>
          <w:szCs w:val="32"/>
          <w:lang w:bidi="ar"/>
        </w:rPr>
        <w:t>（款）</w:t>
      </w:r>
      <w:r>
        <w:rPr>
          <w:rFonts w:ascii="仿宋_GB2312" w:hAnsi="仿宋_GB2312" w:eastAsia="仿宋_GB2312" w:cs="仿宋_GB2312"/>
          <w:color w:val="auto"/>
          <w:sz w:val="32"/>
          <w:szCs w:val="32"/>
          <w:lang w:bidi="ar"/>
        </w:rPr>
        <w:t>其他人力资源和社会保障管理事务支出</w:t>
      </w:r>
      <w:r>
        <w:rPr>
          <w:rFonts w:hint="eastAsia" w:ascii="仿宋_GB2312" w:hAnsi="仿宋_GB2312" w:eastAsia="仿宋_GB2312" w:cs="仿宋_GB2312"/>
          <w:color w:val="auto"/>
          <w:sz w:val="32"/>
          <w:szCs w:val="32"/>
          <w:lang w:bidi="ar"/>
        </w:rPr>
        <w:t>（项）：反映</w:t>
      </w:r>
      <w:r>
        <w:rPr>
          <w:rFonts w:hint="eastAsia" w:ascii="仿宋_GB2312" w:hAnsi="仿宋_GB2312" w:eastAsia="仿宋_GB2312" w:cs="仿宋_GB2312"/>
          <w:color w:val="auto"/>
          <w:kern w:val="0"/>
          <w:sz w:val="32"/>
          <w:szCs w:val="32"/>
          <w:lang w:bidi="ar"/>
        </w:rPr>
        <w:t>除上述项目以外</w:t>
      </w:r>
      <w:r>
        <w:rPr>
          <w:rFonts w:hint="eastAsia" w:ascii="仿宋_GB2312" w:hAnsi="仿宋_GB2312" w:eastAsia="仿宋_GB2312" w:cs="仿宋_GB2312"/>
          <w:color w:val="auto"/>
          <w:sz w:val="32"/>
          <w:szCs w:val="32"/>
          <w:lang w:bidi="ar"/>
        </w:rPr>
        <w:t>其他用于人力资源和社会保障管理事务方面的支出。</w:t>
      </w:r>
    </w:p>
    <w:p>
      <w:pPr>
        <w:keepNext w:val="0"/>
        <w:keepLines w:val="0"/>
        <w:pageBreakBefore w:val="0"/>
        <w:widowControl w:val="0"/>
        <w:suppressAutoHyphens w:val="0"/>
        <w:kinsoku/>
        <w:wordWrap/>
        <w:overflowPunct/>
        <w:topLinePunct w:val="0"/>
        <w:autoSpaceDE/>
        <w:autoSpaceDN w:val="0"/>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bidi="ar"/>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ascii="仿宋_GB2312" w:hAnsi="仿宋_GB2312" w:eastAsia="仿宋_GB2312" w:cs="仿宋_GB2312"/>
          <w:color w:val="000000"/>
          <w:sz w:val="32"/>
          <w:szCs w:val="32"/>
          <w:lang w:bidi="ar"/>
        </w:rPr>
        <w:t>社会保障和就业（类）行政事业单位养老支出（款）行政单位离退休（项）：指反映行政单位（包括实行公务员管理的事业单位）开支的离退休经费。</w:t>
      </w:r>
    </w:p>
    <w:p>
      <w:pPr>
        <w:keepNext w:val="0"/>
        <w:keepLines w:val="0"/>
        <w:pageBreakBefore w:val="0"/>
        <w:widowControl w:val="0"/>
        <w:suppressAutoHyphens w:val="0"/>
        <w:kinsoku/>
        <w:wordWrap/>
        <w:overflowPunct/>
        <w:topLinePunct w:val="0"/>
        <w:autoSpaceDE/>
        <w:autoSpaceDN w:val="0"/>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bidi="ar"/>
        </w:rPr>
      </w:pPr>
      <w:r>
        <w:rPr>
          <w:rFonts w:hint="eastAsia" w:ascii="Times New Roman" w:hAnsi="Times New Roman" w:eastAsia="仿宋_GB2312" w:cs="仿宋_GB2312"/>
          <w:color w:val="auto"/>
          <w:kern w:val="2"/>
          <w:sz w:val="32"/>
          <w:szCs w:val="32"/>
          <w:highlight w:val="none"/>
          <w:lang w:val="en-US" w:eastAsia="zh-CN" w:bidi="ar-SA"/>
        </w:rPr>
        <w:t>7.</w:t>
      </w:r>
      <w:r>
        <w:rPr>
          <w:rFonts w:hint="eastAsia" w:ascii="仿宋_GB2312" w:hAnsi="仿宋_GB2312" w:eastAsia="仿宋_GB2312" w:cs="仿宋_GB2312"/>
          <w:color w:val="000000"/>
          <w:sz w:val="32"/>
          <w:szCs w:val="32"/>
          <w:lang w:bidi="ar"/>
        </w:rPr>
        <w:t>社会保障和就业（类）行政事业单位养老支出（款）机关事业单位基本养老保险缴费支出（项）：指反映机关事业单位实施养老保险制度由单位缴纳的基本养老保险费支出。</w:t>
      </w:r>
    </w:p>
    <w:p>
      <w:pPr>
        <w:keepNext w:val="0"/>
        <w:keepLines w:val="0"/>
        <w:pageBreakBefore w:val="0"/>
        <w:widowControl w:val="0"/>
        <w:suppressAutoHyphens w:val="0"/>
        <w:kinsoku/>
        <w:wordWrap/>
        <w:overflowPunct/>
        <w:topLinePunct w:val="0"/>
        <w:autoSpaceDE/>
        <w:autoSpaceDN w:val="0"/>
        <w:bidi w:val="0"/>
        <w:adjustRightInd/>
        <w:snapToGrid/>
        <w:spacing w:line="578" w:lineRule="exact"/>
        <w:ind w:firstLine="640" w:firstLineChars="200"/>
        <w:textAlignment w:val="auto"/>
        <w:rPr>
          <w:rFonts w:hint="eastAsia" w:ascii="仿宋_GB2312" w:hAnsi="仿宋_GB2312" w:eastAsia="仿宋_GB2312" w:cs="仿宋_GB2312"/>
          <w:sz w:val="32"/>
          <w:szCs w:val="32"/>
          <w:lang w:bidi="ar"/>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000000"/>
          <w:sz w:val="32"/>
          <w:szCs w:val="32"/>
          <w:lang w:bidi="ar"/>
        </w:rPr>
        <w:t>社会保障和就业（类）抚恤（款）死亡抚恤（项）：</w:t>
      </w:r>
      <w:r>
        <w:rPr>
          <w:rFonts w:hint="eastAsia" w:ascii="仿宋_GB2312" w:hAnsi="仿宋_GB2312" w:eastAsia="仿宋_GB2312" w:cs="仿宋_GB2312"/>
          <w:sz w:val="32"/>
          <w:szCs w:val="32"/>
          <w:lang w:bidi="ar"/>
        </w:rPr>
        <w:t>反映按规定用于烈士和牺牲、病故人员家属的一次性和定期抚恤金以及丧葬补助费。</w:t>
      </w:r>
    </w:p>
    <w:p>
      <w:pPr>
        <w:keepNext w:val="0"/>
        <w:keepLines w:val="0"/>
        <w:pageBreakBefore w:val="0"/>
        <w:widowControl w:val="0"/>
        <w:suppressAutoHyphens w:val="0"/>
        <w:kinsoku/>
        <w:wordWrap/>
        <w:overflowPunct/>
        <w:topLinePunct w:val="0"/>
        <w:autoSpaceDE/>
        <w:autoSpaceDN w:val="0"/>
        <w:bidi w:val="0"/>
        <w:adjustRightInd/>
        <w:snapToGrid/>
        <w:spacing w:line="578" w:lineRule="exact"/>
        <w:ind w:firstLine="640" w:firstLineChars="200"/>
        <w:textAlignment w:val="auto"/>
        <w:rPr>
          <w:rFonts w:hint="eastAsia" w:ascii="仿宋_GB2312" w:hAnsi="仿宋_GB2312" w:eastAsia="仿宋_GB2312" w:cs="仿宋_GB2312"/>
          <w:sz w:val="32"/>
          <w:szCs w:val="32"/>
          <w:lang w:bidi="ar"/>
        </w:rPr>
      </w:pPr>
      <w:r>
        <w:rPr>
          <w:rFonts w:hint="eastAsia" w:ascii="Times New Roman" w:hAnsi="Times New Roman" w:eastAsia="仿宋_GB2312" w:cs="仿宋_GB2312"/>
          <w:color w:val="auto"/>
          <w:kern w:val="2"/>
          <w:sz w:val="32"/>
          <w:szCs w:val="32"/>
          <w:highlight w:val="none"/>
          <w:lang w:val="en-US" w:eastAsia="zh-CN" w:bidi="ar-SA"/>
        </w:rPr>
        <w:t>9.社</w:t>
      </w:r>
      <w:r>
        <w:rPr>
          <w:rFonts w:hint="eastAsia" w:ascii="仿宋_GB2312" w:hAnsi="仿宋_GB2312" w:eastAsia="仿宋_GB2312" w:cs="仿宋_GB2312"/>
          <w:color w:val="000000"/>
          <w:sz w:val="32"/>
          <w:szCs w:val="32"/>
          <w:lang w:bidi="ar"/>
        </w:rPr>
        <w:t>会保障和就业（类）</w:t>
      </w:r>
      <w:r>
        <w:rPr>
          <w:rFonts w:hint="eastAsia" w:ascii="仿宋_GB2312" w:hAnsi="仿宋_GB2312" w:eastAsia="仿宋_GB2312" w:cs="仿宋_GB2312"/>
          <w:sz w:val="32"/>
          <w:szCs w:val="32"/>
          <w:lang w:bidi="ar"/>
        </w:rPr>
        <w:t>社会福利（款）儿童福利（项）：反映对儿童提供福利服务方面的支出。</w:t>
      </w:r>
    </w:p>
    <w:p>
      <w:pPr>
        <w:keepNext w:val="0"/>
        <w:keepLines w:val="0"/>
        <w:pageBreakBefore w:val="0"/>
        <w:widowControl w:val="0"/>
        <w:kinsoku/>
        <w:wordWrap/>
        <w:overflowPunct/>
        <w:topLinePunct w:val="0"/>
        <w:autoSpaceDE/>
        <w:autoSpaceDN w:val="0"/>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Times New Roman" w:hAnsi="Times New Roman" w:eastAsia="仿宋_GB2312" w:cs="仿宋_GB2312"/>
          <w:color w:val="auto"/>
          <w:kern w:val="2"/>
          <w:sz w:val="32"/>
          <w:szCs w:val="32"/>
          <w:highlight w:val="none"/>
          <w:lang w:val="en-US" w:eastAsia="zh-CN" w:bidi="ar-SA"/>
        </w:rPr>
        <w:t>10.</w:t>
      </w:r>
      <w:r>
        <w:rPr>
          <w:rFonts w:hint="eastAsia" w:ascii="仿宋_GB2312" w:hAnsi="仿宋_GB2312" w:eastAsia="仿宋_GB2312" w:cs="仿宋_GB2312"/>
          <w:color w:val="auto"/>
          <w:sz w:val="32"/>
          <w:szCs w:val="32"/>
          <w:lang w:bidi="ar"/>
        </w:rPr>
        <w:t>社会保障和就业（类）</w:t>
      </w:r>
      <w:r>
        <w:rPr>
          <w:rFonts w:ascii="仿宋_GB2312" w:hAnsi="仿宋_GB2312" w:eastAsia="仿宋_GB2312" w:cs="仿宋_GB2312"/>
          <w:color w:val="auto"/>
          <w:sz w:val="32"/>
          <w:szCs w:val="32"/>
          <w:lang w:bidi="ar"/>
        </w:rPr>
        <w:t>退役军人管理事务</w:t>
      </w:r>
      <w:r>
        <w:rPr>
          <w:rFonts w:hint="eastAsia" w:ascii="仿宋_GB2312" w:hAnsi="仿宋_GB2312" w:eastAsia="仿宋_GB2312" w:cs="仿宋_GB2312"/>
          <w:color w:val="auto"/>
          <w:sz w:val="32"/>
          <w:szCs w:val="32"/>
          <w:lang w:bidi="ar"/>
        </w:rPr>
        <w:t>（款）</w:t>
      </w:r>
      <w:r>
        <w:rPr>
          <w:rFonts w:ascii="仿宋_GB2312" w:hAnsi="仿宋_GB2312" w:eastAsia="仿宋_GB2312" w:cs="仿宋_GB2312"/>
          <w:color w:val="auto"/>
          <w:sz w:val="32"/>
          <w:szCs w:val="32"/>
          <w:lang w:bidi="ar"/>
        </w:rPr>
        <w:t>其他退役军人事务管理支出</w:t>
      </w:r>
      <w:r>
        <w:rPr>
          <w:rFonts w:hint="eastAsia" w:ascii="仿宋_GB2312" w:hAnsi="仿宋_GB2312" w:eastAsia="仿宋_GB2312" w:cs="仿宋_GB2312"/>
          <w:color w:val="auto"/>
          <w:sz w:val="32"/>
          <w:szCs w:val="32"/>
          <w:lang w:bidi="ar"/>
        </w:rPr>
        <w:t>（项）：反映</w:t>
      </w:r>
      <w:r>
        <w:rPr>
          <w:rFonts w:hint="eastAsia" w:ascii="仿宋_GB2312" w:hAnsi="仿宋_GB2312" w:eastAsia="仿宋_GB2312" w:cs="仿宋_GB2312"/>
          <w:color w:val="auto"/>
          <w:kern w:val="0"/>
          <w:sz w:val="32"/>
          <w:szCs w:val="32"/>
          <w:lang w:bidi="ar"/>
        </w:rPr>
        <w:t>除上述项目以外</w:t>
      </w:r>
      <w:r>
        <w:rPr>
          <w:rFonts w:hint="eastAsia" w:ascii="仿宋_GB2312" w:hAnsi="仿宋_GB2312" w:eastAsia="仿宋_GB2312" w:cs="仿宋_GB2312"/>
          <w:color w:val="auto"/>
          <w:sz w:val="32"/>
          <w:szCs w:val="32"/>
          <w:lang w:bidi="ar"/>
        </w:rPr>
        <w:t>其他用于退役军人事务管理方面的支出。</w:t>
      </w:r>
    </w:p>
    <w:p>
      <w:pPr>
        <w:pStyle w:val="15"/>
        <w:keepNext w:val="0"/>
        <w:keepLines w:val="0"/>
        <w:pageBreakBefore w:val="0"/>
        <w:widowControl w:val="0"/>
        <w:kinsoku/>
        <w:wordWrap/>
        <w:overflowPunct/>
        <w:topLinePunct w:val="0"/>
        <w:autoSpaceDE/>
        <w:autoSpaceDN w:val="0"/>
        <w:bidi w:val="0"/>
        <w:adjustRightInd/>
        <w:snapToGrid/>
        <w:spacing w:before="93" w:beforeLines="30" w:line="578" w:lineRule="exact"/>
        <w:ind w:firstLine="640" w:firstLineChars="200"/>
        <w:textAlignment w:val="auto"/>
        <w:rPr>
          <w:rFonts w:hint="eastAsia"/>
        </w:rPr>
      </w:pPr>
      <w:r>
        <w:rPr>
          <w:rFonts w:hint="eastAsia" w:ascii="Times New Roman" w:hAnsi="Times New Roman" w:eastAsia="仿宋_GB2312" w:cs="仿宋_GB2312"/>
          <w:color w:val="auto"/>
          <w:kern w:val="2"/>
          <w:sz w:val="32"/>
          <w:szCs w:val="32"/>
          <w:highlight w:val="none"/>
          <w:lang w:val="en-US" w:eastAsia="zh-CN" w:bidi="ar-SA"/>
        </w:rPr>
        <w:t>11.</w:t>
      </w:r>
      <w:r>
        <w:rPr>
          <w:rFonts w:hint="eastAsia" w:ascii="仿宋_GB2312" w:hAnsi="仿宋_GB2312" w:eastAsia="仿宋_GB2312" w:cs="仿宋_GB2312"/>
          <w:color w:val="auto"/>
          <w:sz w:val="32"/>
          <w:szCs w:val="32"/>
          <w:lang w:bidi="ar"/>
        </w:rPr>
        <w:t>卫生健康（类）行政事业单位医疗（款）</w:t>
      </w:r>
      <w:r>
        <w:rPr>
          <w:rFonts w:ascii="仿宋_GB2312" w:hAnsi="仿宋_GB2312" w:eastAsia="仿宋_GB2312" w:cs="仿宋_GB2312"/>
          <w:color w:val="auto"/>
          <w:sz w:val="32"/>
          <w:szCs w:val="32"/>
          <w:lang w:bidi="ar"/>
        </w:rPr>
        <w:t>行政单位医疗</w:t>
      </w:r>
      <w:r>
        <w:rPr>
          <w:rFonts w:hint="eastAsia" w:ascii="仿宋_GB2312" w:hAnsi="仿宋_GB2312" w:eastAsia="仿宋_GB2312" w:cs="仿宋_GB2312"/>
          <w:color w:val="auto"/>
          <w:sz w:val="32"/>
          <w:szCs w:val="32"/>
          <w:lang w:bidi="ar"/>
        </w:rPr>
        <w:t>（项）：反映财政部门安排的行政单位（包括实行公务员管理的事业单位）基本医疗保险缴费经费，未参加医疗保险的行政单位的公费医疗经费，按国家规定享受离休人员、红军老战士待遇人员的医疗经费。</w:t>
      </w:r>
    </w:p>
    <w:p>
      <w:pPr>
        <w:pStyle w:val="15"/>
        <w:keepNext w:val="0"/>
        <w:keepLines w:val="0"/>
        <w:pageBreakBefore w:val="0"/>
        <w:widowControl w:val="0"/>
        <w:suppressAutoHyphens w:val="0"/>
        <w:kinsoku/>
        <w:wordWrap/>
        <w:overflowPunct/>
        <w:topLinePunct w:val="0"/>
        <w:autoSpaceDE/>
        <w:autoSpaceDN w:val="0"/>
        <w:bidi w:val="0"/>
        <w:adjustRightInd/>
        <w:snapToGrid/>
        <w:spacing w:before="93" w:beforeLines="30" w:line="578"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Times New Roman" w:hAnsi="Times New Roman" w:eastAsia="仿宋_GB2312" w:cs="仿宋_GB2312"/>
          <w:color w:val="auto"/>
          <w:kern w:val="2"/>
          <w:sz w:val="32"/>
          <w:szCs w:val="32"/>
          <w:highlight w:val="none"/>
          <w:lang w:val="en-US" w:eastAsia="zh-CN" w:bidi="ar-SA"/>
        </w:rPr>
        <w:t>12.</w:t>
      </w:r>
      <w:r>
        <w:rPr>
          <w:rFonts w:hint="eastAsia" w:ascii="仿宋_GB2312" w:hAnsi="仿宋_GB2312" w:eastAsia="仿宋_GB2312" w:cs="仿宋_GB2312"/>
          <w:kern w:val="0"/>
          <w:sz w:val="32"/>
          <w:szCs w:val="32"/>
          <w:lang w:bidi="ar"/>
        </w:rPr>
        <w:t>卫生健康（类）行政事业单位医疗（款）公务员医疗补助（项）：反映财政部门安排的公务员医疗补助经费。</w:t>
      </w:r>
    </w:p>
    <w:p>
      <w:pPr>
        <w:pStyle w:val="15"/>
        <w:keepNext w:val="0"/>
        <w:keepLines w:val="0"/>
        <w:pageBreakBefore w:val="0"/>
        <w:widowControl w:val="0"/>
        <w:suppressAutoHyphens w:val="0"/>
        <w:kinsoku/>
        <w:wordWrap/>
        <w:overflowPunct/>
        <w:topLinePunct w:val="0"/>
        <w:autoSpaceDE/>
        <w:autoSpaceDN w:val="0"/>
        <w:bidi w:val="0"/>
        <w:adjustRightInd/>
        <w:snapToGrid/>
        <w:spacing w:before="93" w:beforeLines="30" w:line="578"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Times New Roman" w:hAnsi="Times New Roman" w:eastAsia="仿宋_GB2312" w:cs="仿宋_GB2312"/>
          <w:color w:val="auto"/>
          <w:kern w:val="2"/>
          <w:sz w:val="32"/>
          <w:szCs w:val="32"/>
          <w:highlight w:val="none"/>
          <w:lang w:val="en-US" w:eastAsia="zh-CN" w:bidi="ar-SA"/>
        </w:rPr>
        <w:t>13.</w:t>
      </w:r>
      <w:r>
        <w:rPr>
          <w:rFonts w:hint="eastAsia" w:ascii="仿宋_GB2312" w:hAnsi="仿宋_GB2312" w:eastAsia="仿宋_GB2312" w:cs="仿宋_GB2312"/>
          <w:kern w:val="0"/>
          <w:sz w:val="32"/>
          <w:szCs w:val="32"/>
          <w:lang w:bidi="ar"/>
        </w:rPr>
        <w:t>卫生健康（类）行政事业单位医疗（款）其他行政事业单位医疗支出（项）：反映除上述项目以外的其他用于行政事业单位医疗方面的支出。</w:t>
      </w:r>
    </w:p>
    <w:p>
      <w:pPr>
        <w:pStyle w:val="15"/>
        <w:keepNext w:val="0"/>
        <w:keepLines w:val="0"/>
        <w:pageBreakBefore w:val="0"/>
        <w:widowControl w:val="0"/>
        <w:suppressAutoHyphens w:val="0"/>
        <w:kinsoku/>
        <w:wordWrap/>
        <w:overflowPunct/>
        <w:topLinePunct w:val="0"/>
        <w:autoSpaceDE/>
        <w:autoSpaceDN w:val="0"/>
        <w:bidi w:val="0"/>
        <w:adjustRightInd/>
        <w:snapToGrid/>
        <w:spacing w:before="93" w:beforeLines="30" w:line="578"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14.</w:t>
      </w:r>
      <w:r>
        <w:rPr>
          <w:rFonts w:hint="eastAsia" w:ascii="仿宋_GB2312" w:hAnsi="仿宋_GB2312" w:eastAsia="仿宋_GB2312" w:cs="仿宋_GB2312"/>
          <w:kern w:val="0"/>
          <w:sz w:val="32"/>
          <w:szCs w:val="32"/>
          <w:lang w:bidi="ar"/>
        </w:rPr>
        <w:t>卫生健康（类）其他卫生健康支出（款）其他卫生健康支出（项）:反映除上述项目以外其他用于卫生健康管理事务方面的支出。</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15.城</w:t>
      </w:r>
      <w:r>
        <w:rPr>
          <w:rFonts w:hint="eastAsia" w:ascii="仿宋_GB2312" w:eastAsia="仿宋_GB2312"/>
          <w:sz w:val="32"/>
          <w:szCs w:val="32"/>
        </w:rPr>
        <w:t>乡社区（类）城乡社区管理事务（款）行政运行（项）: 反映行政单位（包括实行公务员管理的事业单位）的基本支出。</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16.</w:t>
      </w:r>
      <w:r>
        <w:rPr>
          <w:rFonts w:hint="eastAsia" w:ascii="仿宋_GB2312" w:eastAsia="仿宋_GB2312"/>
          <w:sz w:val="32"/>
          <w:szCs w:val="32"/>
        </w:rPr>
        <w:t>城乡社区（类）城乡社区管理事务（款）一般行政管理事务（项）: 反映行政单位（包括实行公务员管理的事业单位）未单独设置项级科目的其他项目支出。</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17.</w:t>
      </w:r>
      <w:r>
        <w:rPr>
          <w:rFonts w:hint="eastAsia" w:ascii="仿宋_GB2312" w:eastAsia="仿宋_GB2312"/>
          <w:sz w:val="32"/>
          <w:szCs w:val="32"/>
        </w:rPr>
        <w:t>城乡社区（类）城乡社区管理事务（款）其他城乡社区管理事务支出（项）: 其他城乡社区管理事务支出反映除上述项目以外其他用于城乡社区管理事务方面的支出。</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18.</w:t>
      </w:r>
      <w:r>
        <w:rPr>
          <w:rFonts w:hint="eastAsia" w:ascii="仿宋_GB2312" w:eastAsia="仿宋_GB2312"/>
          <w:color w:val="auto"/>
          <w:sz w:val="32"/>
          <w:szCs w:val="32"/>
        </w:rPr>
        <w:t>城乡社区（类）</w:t>
      </w:r>
      <w:r>
        <w:rPr>
          <w:rFonts w:ascii="仿宋_GB2312" w:eastAsia="仿宋_GB2312"/>
          <w:color w:val="auto"/>
          <w:sz w:val="32"/>
          <w:szCs w:val="32"/>
        </w:rPr>
        <w:t>国有土地使用权出让收入安排的支出</w:t>
      </w:r>
      <w:r>
        <w:rPr>
          <w:rFonts w:hint="eastAsia" w:ascii="仿宋_GB2312" w:eastAsia="仿宋_GB2312"/>
          <w:color w:val="auto"/>
          <w:sz w:val="32"/>
          <w:szCs w:val="32"/>
        </w:rPr>
        <w:t>（款）</w:t>
      </w:r>
      <w:r>
        <w:rPr>
          <w:rFonts w:ascii="仿宋_GB2312" w:eastAsia="仿宋_GB2312"/>
          <w:color w:val="auto"/>
          <w:sz w:val="32"/>
          <w:szCs w:val="32"/>
        </w:rPr>
        <w:t>土地开发支出</w:t>
      </w:r>
      <w:r>
        <w:rPr>
          <w:rFonts w:hint="eastAsia" w:ascii="仿宋_GB2312" w:eastAsia="仿宋_GB2312"/>
          <w:color w:val="auto"/>
          <w:sz w:val="32"/>
          <w:szCs w:val="32"/>
        </w:rPr>
        <w:t>（项）:反映新疆生产建设兵团和地方政府用于前期土地开发性支出以及与前期土地开发相关的费用等支出。</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19.</w:t>
      </w:r>
      <w:r>
        <w:rPr>
          <w:rFonts w:hint="eastAsia" w:ascii="仿宋_GB2312" w:eastAsia="仿宋_GB2312"/>
          <w:color w:val="auto"/>
          <w:sz w:val="32"/>
          <w:szCs w:val="32"/>
        </w:rPr>
        <w:t>城乡社区（类）</w:t>
      </w:r>
      <w:r>
        <w:rPr>
          <w:rFonts w:ascii="仿宋_GB2312" w:eastAsia="仿宋_GB2312"/>
          <w:color w:val="auto"/>
          <w:sz w:val="32"/>
          <w:szCs w:val="32"/>
        </w:rPr>
        <w:t>国有土地使用权出让收入安排的支出</w:t>
      </w:r>
      <w:r>
        <w:rPr>
          <w:rFonts w:hint="eastAsia" w:ascii="仿宋_GB2312" w:eastAsia="仿宋_GB2312"/>
          <w:color w:val="auto"/>
          <w:sz w:val="32"/>
          <w:szCs w:val="32"/>
        </w:rPr>
        <w:t>（款）</w:t>
      </w:r>
      <w:r>
        <w:rPr>
          <w:rFonts w:ascii="仿宋_GB2312" w:eastAsia="仿宋_GB2312"/>
          <w:color w:val="auto"/>
          <w:sz w:val="32"/>
          <w:szCs w:val="32"/>
        </w:rPr>
        <w:t>农村基础设施建设支出</w:t>
      </w:r>
      <w:r>
        <w:rPr>
          <w:rFonts w:hint="eastAsia" w:ascii="仿宋_GB2312" w:eastAsia="仿宋_GB2312"/>
          <w:color w:val="auto"/>
          <w:sz w:val="32"/>
          <w:szCs w:val="32"/>
        </w:rPr>
        <w:t>（项）: 反映土地出让收入用于农村供水保障、村庄公共设施建设和管护以及与农业农村直接相关的以工代赈等方面的支出。</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20.</w:t>
      </w:r>
      <w:r>
        <w:rPr>
          <w:rFonts w:hint="eastAsia" w:ascii="仿宋_GB2312" w:eastAsia="仿宋_GB2312"/>
          <w:color w:val="auto"/>
          <w:sz w:val="32"/>
          <w:szCs w:val="32"/>
        </w:rPr>
        <w:t>城乡社区（类）</w:t>
      </w:r>
      <w:r>
        <w:rPr>
          <w:rFonts w:ascii="仿宋_GB2312" w:eastAsia="仿宋_GB2312"/>
          <w:color w:val="auto"/>
          <w:sz w:val="32"/>
          <w:szCs w:val="32"/>
        </w:rPr>
        <w:t>国有土地使用权出让收入安排的支出</w:t>
      </w:r>
      <w:r>
        <w:rPr>
          <w:rFonts w:hint="eastAsia" w:ascii="仿宋_GB2312" w:eastAsia="仿宋_GB2312"/>
          <w:color w:val="auto"/>
          <w:sz w:val="32"/>
          <w:szCs w:val="32"/>
        </w:rPr>
        <w:t>（款）</w:t>
      </w:r>
      <w:r>
        <w:rPr>
          <w:rFonts w:ascii="仿宋_GB2312" w:eastAsia="仿宋_GB2312"/>
          <w:color w:val="auto"/>
          <w:sz w:val="32"/>
          <w:szCs w:val="32"/>
        </w:rPr>
        <w:t>其他国有土地使用权出让收入安排的支出</w:t>
      </w:r>
      <w:r>
        <w:rPr>
          <w:rFonts w:hint="eastAsia" w:ascii="仿宋_GB2312" w:eastAsia="仿宋_GB2312"/>
          <w:color w:val="auto"/>
          <w:sz w:val="32"/>
          <w:szCs w:val="32"/>
        </w:rPr>
        <w:t>（项）: 反映土地出让收入用于其他方面的支出。不包括市县级政府当年按规定用土地出让收入向中央和省级政府缴纳的新增建设用地土地有偿使用费的支出。</w:t>
      </w:r>
    </w:p>
    <w:p>
      <w:pPr>
        <w:keepNext w:val="0"/>
        <w:keepLines w:val="0"/>
        <w:pageBreakBefore w:val="0"/>
        <w:widowControl w:val="0"/>
        <w:kinsoku/>
        <w:wordWrap/>
        <w:overflowPunct/>
        <w:topLinePunct w:val="0"/>
        <w:autoSpaceDE/>
        <w:bidi w:val="0"/>
        <w:adjustRightInd/>
        <w:snapToGrid/>
        <w:spacing w:line="578"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21.</w:t>
      </w:r>
      <w:r>
        <w:rPr>
          <w:rFonts w:hint="eastAsia" w:ascii="仿宋_GB2312" w:eastAsia="仿宋_GB2312"/>
          <w:sz w:val="32"/>
          <w:szCs w:val="32"/>
        </w:rPr>
        <w:t>住房保障（类）住房改革支出（款）住房公积金（项）: 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22.其</w:t>
      </w:r>
      <w:r>
        <w:rPr>
          <w:rFonts w:hint="eastAsia" w:ascii="仿宋_GB2312" w:hAnsi="仿宋" w:eastAsia="仿宋_GB2312"/>
          <w:sz w:val="32"/>
          <w:szCs w:val="32"/>
        </w:rPr>
        <w:t>他支出（类）其他支出（款）其他支出（项）：反映除上述项目以外其他不能划分到具体功能科目中的支出项目。</w:t>
      </w:r>
    </w:p>
    <w:p>
      <w:pPr>
        <w:keepNext w:val="0"/>
        <w:keepLines w:val="0"/>
        <w:pageBreakBefore w:val="0"/>
        <w:widowControl w:val="0"/>
        <w:kinsoku/>
        <w:wordWrap/>
        <w:overflowPunct/>
        <w:topLinePunct w:val="0"/>
        <w:autoSpaceDE/>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23.基本支出：指为保障机构正常运转、完成日常工作任务而发生的人员支出和公用支出。</w:t>
      </w:r>
    </w:p>
    <w:p>
      <w:pPr>
        <w:keepNext w:val="0"/>
        <w:keepLines w:val="0"/>
        <w:pageBreakBefore w:val="0"/>
        <w:widowControl w:val="0"/>
        <w:kinsoku/>
        <w:wordWrap/>
        <w:overflowPunct/>
        <w:topLinePunct w:val="0"/>
        <w:autoSpaceDE/>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24.项目支出：指在基本支出之外为完成特定行政任务和事业发展目标所发生的支出。 </w:t>
      </w:r>
    </w:p>
    <w:p>
      <w:pPr>
        <w:keepNext w:val="0"/>
        <w:keepLines w:val="0"/>
        <w:pageBreakBefore w:val="0"/>
        <w:widowControl w:val="0"/>
        <w:kinsoku/>
        <w:wordWrap/>
        <w:overflowPunct/>
        <w:topLinePunct w:val="0"/>
        <w:autoSpaceDE/>
        <w:bidi w:val="0"/>
        <w:adjustRightInd/>
        <w:snapToGrid/>
        <w:spacing w:line="578"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25.“三公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bidi w:val="0"/>
        <w:adjustRightInd/>
        <w:snapToGrid/>
        <w:spacing w:line="578" w:lineRule="exact"/>
        <w:ind w:firstLine="640"/>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hint="eastAsia" w:ascii="Times New Roman" w:hAnsi="Times New Roman" w:eastAsia="黑体" w:cs="黑体"/>
          <w:color w:val="FF0000"/>
          <w:sz w:val="32"/>
          <w:szCs w:val="32"/>
          <w:highlight w:val="none"/>
        </w:rPr>
      </w:pPr>
      <w:bookmarkStart w:id="9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96" w:name="_Toc324717386_WPSOffice_Level1"/>
      <w:bookmarkStart w:id="97"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96"/>
      <w:bookmarkEnd w:id="97"/>
    </w:p>
    <w:p>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outlineLvl w:val="9"/>
        <w:rPr>
          <w:rFonts w:hint="eastAsia" w:ascii="Times New Roman" w:hAnsi="Times New Roman" w:eastAsia="仿宋_GB2312" w:cs="Times New Roman"/>
          <w:sz w:val="32"/>
          <w:szCs w:val="32"/>
          <w:u w:val="none"/>
          <w:lang w:val="en" w:eastAsia="zh-CN" w:bidi="ar"/>
        </w:rPr>
      </w:pPr>
      <w:bookmarkStart w:id="98" w:name="_Hlk110546638"/>
    </w:p>
    <w:bookmarkEnd w:id="98"/>
    <w:p>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Times New Roman"/>
          <w:kern w:val="2"/>
          <w:sz w:val="32"/>
          <w:szCs w:val="32"/>
          <w:u w:val="none"/>
          <w:lang w:val="en-US" w:eastAsia="zh-CN" w:bidi="ar"/>
        </w:rPr>
        <w:t>部门预算项目支出绩效自评表（</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Times New Roman" w:hAnsi="Times New Roman" w:eastAsia="仿宋_GB2312" w:cs="Times New Roman"/>
          <w:kern w:val="2"/>
          <w:sz w:val="32"/>
          <w:szCs w:val="32"/>
          <w:u w:val="none"/>
          <w:lang w:val="en-US" w:eastAsia="zh-CN" w:bidi="ar"/>
        </w:rPr>
        <w:t>年度）</w:t>
      </w:r>
      <w:r>
        <w:rPr>
          <w:rFonts w:hint="eastAsia" w:ascii="仿宋_GB2312" w:hAnsi="仿宋_GB2312" w:eastAsia="仿宋_GB2312" w:cs="仿宋_GB2312"/>
          <w:sz w:val="32"/>
          <w:szCs w:val="32"/>
          <w:lang w:eastAsia="zh-CN"/>
        </w:rPr>
        <w:t>（见附件</w:t>
      </w:r>
      <w:r>
        <w:rPr>
          <w:rFonts w:hint="eastAsia" w:ascii="Times New Roman" w:hAnsi="Times New Roman" w:eastAsia="仿宋_GB2312" w:cs="仿宋_GB2312"/>
          <w:color w:val="auto"/>
          <w:kern w:val="2"/>
          <w:sz w:val="32"/>
          <w:szCs w:val="32"/>
          <w:highlight w:val="none"/>
          <w:lang w:val="en-US" w:eastAsia="zh-CN" w:bidi="ar-SA"/>
        </w:rPr>
        <w:t>3）</w:t>
      </w:r>
    </w:p>
    <w:p>
      <w:pPr>
        <w:pStyle w:val="8"/>
        <w:rPr>
          <w:rFonts w:hint="eastAsia" w:ascii="Times New Roman" w:hAnsi="Times New Roman" w:cs="宋体"/>
          <w:color w:val="FF0000"/>
          <w:kern w:val="0"/>
          <w:sz w:val="32"/>
          <w:szCs w:val="32"/>
          <w:highlight w:val="yellow"/>
          <w:shd w:val="clear" w:color="auto" w:fill="FFFFFF"/>
          <w:lang w:val="zh-CN"/>
        </w:rPr>
      </w:pPr>
    </w:p>
    <w:p>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widowControl/>
        <w:jc w:val="center"/>
        <w:rPr>
          <w:rFonts w:hint="eastAsia" w:ascii="Times New Roman" w:hAnsi="Times New Roman" w:eastAsia="仿宋"/>
          <w:b w:val="0"/>
          <w:color w:val="auto"/>
          <w:highlight w:val="none"/>
        </w:rPr>
      </w:pPr>
      <w:bookmarkStart w:id="99" w:name="_Toc268281832_WPSOffice_Level1"/>
      <w:bookmarkStart w:id="100" w:name="_Toc15396618"/>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95"/>
      <w:bookmarkEnd w:id="99"/>
      <w:bookmarkEnd w:id="100"/>
      <w:bookmarkStart w:id="101"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rPr>
      </w:pPr>
      <w:bookmarkStart w:id="102" w:name="_Toc456130907_WPSOffice_Level2"/>
      <w:r>
        <w:rPr>
          <w:rFonts w:hint="eastAsia" w:ascii="Times New Roman" w:hAnsi="Times New Roman" w:eastAsia="仿宋_GB2312" w:cs="仿宋_GB2312"/>
          <w:color w:val="auto"/>
          <w:sz w:val="32"/>
          <w:szCs w:val="32"/>
          <w:highlight w:val="none"/>
        </w:rPr>
        <w:t>一、收入支出决算总表</w:t>
      </w:r>
      <w:bookmarkEnd w:id="101"/>
      <w:bookmarkEnd w:id="102"/>
    </w:p>
    <w:p>
      <w:pPr>
        <w:pStyle w:val="14"/>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rPr>
      </w:pPr>
      <w:bookmarkStart w:id="103" w:name="_Toc15396620"/>
      <w:bookmarkStart w:id="104" w:name="_Toc316412319_WPSOffice_Level2"/>
      <w:r>
        <w:rPr>
          <w:rFonts w:hint="eastAsia" w:ascii="Times New Roman" w:hAnsi="Times New Roman" w:eastAsia="仿宋_GB2312" w:cs="仿宋_GB2312"/>
          <w:color w:val="auto"/>
          <w:sz w:val="32"/>
          <w:szCs w:val="32"/>
          <w:highlight w:val="none"/>
        </w:rPr>
        <w:t>二、收入决算表</w:t>
      </w:r>
      <w:bookmarkEnd w:id="103"/>
      <w:bookmarkEnd w:id="104"/>
    </w:p>
    <w:p>
      <w:pPr>
        <w:pStyle w:val="14"/>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rPr>
      </w:pPr>
      <w:bookmarkStart w:id="105" w:name="_Toc15396621"/>
      <w:bookmarkStart w:id="106" w:name="_Toc1847307222_WPSOffice_Level2"/>
      <w:r>
        <w:rPr>
          <w:rFonts w:hint="eastAsia" w:ascii="Times New Roman" w:hAnsi="Times New Roman" w:eastAsia="仿宋_GB2312" w:cs="仿宋_GB2312"/>
          <w:color w:val="auto"/>
          <w:sz w:val="32"/>
          <w:szCs w:val="32"/>
          <w:highlight w:val="none"/>
        </w:rPr>
        <w:t>三、支出决算表</w:t>
      </w:r>
      <w:bookmarkEnd w:id="105"/>
      <w:bookmarkEnd w:id="106"/>
    </w:p>
    <w:p>
      <w:pPr>
        <w:pStyle w:val="14"/>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rPr>
      </w:pPr>
      <w:bookmarkStart w:id="107" w:name="_Toc367757096_WPSOffice_Level2"/>
      <w:bookmarkStart w:id="108" w:name="_Toc15396622"/>
      <w:r>
        <w:rPr>
          <w:rFonts w:hint="eastAsia" w:ascii="Times New Roman" w:hAnsi="Times New Roman" w:eastAsia="仿宋_GB2312" w:cs="仿宋_GB2312"/>
          <w:color w:val="auto"/>
          <w:sz w:val="32"/>
          <w:szCs w:val="32"/>
          <w:highlight w:val="none"/>
        </w:rPr>
        <w:t>四、财政拨款收入支出决算总表</w:t>
      </w:r>
      <w:bookmarkEnd w:id="107"/>
      <w:bookmarkEnd w:id="108"/>
    </w:p>
    <w:p>
      <w:pPr>
        <w:pStyle w:val="14"/>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rPr>
      </w:pPr>
      <w:bookmarkStart w:id="109" w:name="_Toc1861846659_WPSOffice_Level2"/>
      <w:bookmarkStart w:id="110" w:name="_Toc15396623"/>
      <w:r>
        <w:rPr>
          <w:rFonts w:hint="eastAsia" w:ascii="Times New Roman" w:hAnsi="Times New Roman" w:eastAsia="仿宋_GB2312" w:cs="仿宋_GB2312"/>
          <w:color w:val="auto"/>
          <w:sz w:val="32"/>
          <w:szCs w:val="32"/>
          <w:highlight w:val="none"/>
        </w:rPr>
        <w:t>五、财政拨款支出决算明细表</w:t>
      </w:r>
      <w:bookmarkEnd w:id="109"/>
      <w:bookmarkEnd w:id="110"/>
      <w:bookmarkStart w:id="111" w:name="_Toc15396624"/>
    </w:p>
    <w:p>
      <w:pPr>
        <w:pStyle w:val="14"/>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rPr>
      </w:pPr>
      <w:bookmarkStart w:id="112" w:name="_Toc1237132852_WPSOffice_Level2"/>
      <w:r>
        <w:rPr>
          <w:rFonts w:hint="eastAsia" w:ascii="Times New Roman" w:hAnsi="Times New Roman" w:eastAsia="仿宋_GB2312" w:cs="仿宋_GB2312"/>
          <w:color w:val="auto"/>
          <w:sz w:val="32"/>
          <w:szCs w:val="32"/>
          <w:highlight w:val="none"/>
        </w:rPr>
        <w:t>六、一般公共预算财政拨款支出决算表</w:t>
      </w:r>
      <w:bookmarkEnd w:id="111"/>
      <w:bookmarkEnd w:id="112"/>
    </w:p>
    <w:p>
      <w:pPr>
        <w:pStyle w:val="14"/>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rPr>
      </w:pPr>
      <w:bookmarkStart w:id="113" w:name="_Toc15396625"/>
      <w:bookmarkStart w:id="114" w:name="_Toc1749853417_WPSOffice_Level2"/>
      <w:r>
        <w:rPr>
          <w:rFonts w:hint="eastAsia" w:ascii="Times New Roman" w:hAnsi="Times New Roman" w:eastAsia="仿宋_GB2312" w:cs="仿宋_GB2312"/>
          <w:color w:val="auto"/>
          <w:sz w:val="32"/>
          <w:szCs w:val="32"/>
          <w:highlight w:val="none"/>
        </w:rPr>
        <w:t>七、一般公共预算财政拨款支出决算明细表</w:t>
      </w:r>
      <w:bookmarkEnd w:id="113"/>
      <w:bookmarkEnd w:id="114"/>
    </w:p>
    <w:p>
      <w:pPr>
        <w:pStyle w:val="14"/>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rPr>
      </w:pPr>
      <w:bookmarkStart w:id="115" w:name="_Toc2063394758_WPSOffice_Level2"/>
      <w:bookmarkStart w:id="116" w:name="_Toc15396626"/>
      <w:r>
        <w:rPr>
          <w:rFonts w:hint="eastAsia" w:ascii="Times New Roman" w:hAnsi="Times New Roman" w:eastAsia="仿宋_GB2312" w:cs="仿宋_GB2312"/>
          <w:color w:val="auto"/>
          <w:sz w:val="32"/>
          <w:szCs w:val="32"/>
          <w:highlight w:val="none"/>
        </w:rPr>
        <w:t>八、一般公共预算财政拨款基本支出决算表</w:t>
      </w:r>
      <w:bookmarkEnd w:id="115"/>
      <w:bookmarkEnd w:id="116"/>
    </w:p>
    <w:p>
      <w:pPr>
        <w:pStyle w:val="14"/>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rPr>
      </w:pPr>
      <w:bookmarkStart w:id="117" w:name="_Toc1928017650_WPSOffice_Level2"/>
      <w:bookmarkStart w:id="118" w:name="_Toc15396627"/>
      <w:r>
        <w:rPr>
          <w:rFonts w:hint="eastAsia" w:ascii="Times New Roman" w:hAnsi="Times New Roman" w:eastAsia="仿宋_GB2312" w:cs="仿宋_GB2312"/>
          <w:color w:val="auto"/>
          <w:sz w:val="32"/>
          <w:szCs w:val="32"/>
          <w:highlight w:val="none"/>
        </w:rPr>
        <w:t>九、一般公共预算财政拨款项目支出决算表</w:t>
      </w:r>
      <w:bookmarkEnd w:id="117"/>
      <w:bookmarkEnd w:id="118"/>
    </w:p>
    <w:p>
      <w:pPr>
        <w:pStyle w:val="14"/>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rPr>
      </w:pPr>
      <w:bookmarkStart w:id="119" w:name="_Toc15396628"/>
      <w:bookmarkStart w:id="120" w:name="_Toc29845376_WPSOffice_Level2"/>
      <w:r>
        <w:rPr>
          <w:rFonts w:hint="eastAsia" w:ascii="Times New Roman" w:hAnsi="Times New Roman" w:eastAsia="仿宋_GB2312" w:cs="仿宋_GB2312"/>
          <w:color w:val="auto"/>
          <w:sz w:val="32"/>
          <w:szCs w:val="32"/>
          <w:highlight w:val="none"/>
        </w:rPr>
        <w:t>十、</w:t>
      </w:r>
      <w:bookmarkEnd w:id="119"/>
      <w:r>
        <w:rPr>
          <w:rFonts w:hint="eastAsia" w:ascii="Times New Roman" w:hAnsi="Times New Roman" w:eastAsia="仿宋_GB2312" w:cs="仿宋_GB2312"/>
          <w:color w:val="auto"/>
          <w:sz w:val="32"/>
          <w:szCs w:val="32"/>
          <w:highlight w:val="none"/>
        </w:rPr>
        <w:t>政府性基金预算财政拨款收入支出决算表</w:t>
      </w:r>
      <w:bookmarkEnd w:id="120"/>
    </w:p>
    <w:p>
      <w:pPr>
        <w:pStyle w:val="14"/>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rPr>
      </w:pPr>
      <w:bookmarkStart w:id="121" w:name="_Toc15396629"/>
      <w:bookmarkStart w:id="122" w:name="_Toc1180654872_WPSOffice_Level2"/>
      <w:r>
        <w:rPr>
          <w:rFonts w:hint="eastAsia" w:ascii="Times New Roman" w:hAnsi="Times New Roman" w:eastAsia="仿宋_GB2312" w:cs="仿宋_GB2312"/>
          <w:color w:val="auto"/>
          <w:sz w:val="32"/>
          <w:szCs w:val="32"/>
          <w:highlight w:val="none"/>
        </w:rPr>
        <w:t>十一、</w:t>
      </w:r>
      <w:bookmarkEnd w:id="121"/>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22"/>
    </w:p>
    <w:p>
      <w:pPr>
        <w:pStyle w:val="14"/>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rPr>
      </w:pPr>
      <w:bookmarkStart w:id="123" w:name="_Toc15396630"/>
      <w:bookmarkStart w:id="124" w:name="_Toc1179669571_WPSOffice_Level2"/>
      <w:r>
        <w:rPr>
          <w:rFonts w:hint="eastAsia" w:ascii="Times New Roman" w:hAnsi="Times New Roman" w:eastAsia="仿宋_GB2312" w:cs="仿宋_GB2312"/>
          <w:color w:val="auto"/>
          <w:sz w:val="32"/>
          <w:szCs w:val="32"/>
          <w:highlight w:val="none"/>
        </w:rPr>
        <w:t>十二、</w:t>
      </w:r>
      <w:bookmarkEnd w:id="123"/>
      <w:r>
        <w:rPr>
          <w:rFonts w:hint="eastAsia" w:ascii="Times New Roman" w:hAnsi="Times New Roman" w:eastAsia="仿宋_GB2312" w:cs="仿宋_GB2312"/>
          <w:color w:val="auto"/>
          <w:sz w:val="32"/>
          <w:szCs w:val="32"/>
          <w:highlight w:val="none"/>
          <w:lang w:eastAsia="zh-CN"/>
        </w:rPr>
        <w:t>国有资本经营预算财政拨款支出决算表</w:t>
      </w:r>
      <w:bookmarkEnd w:id="124"/>
    </w:p>
    <w:p>
      <w:pPr>
        <w:pStyle w:val="14"/>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eastAsia" w:ascii="Times New Roman" w:hAnsi="Times New Roman" w:eastAsia="仿宋_GB2312" w:cs="仿宋_GB2312"/>
          <w:color w:val="auto"/>
          <w:sz w:val="32"/>
          <w:szCs w:val="32"/>
          <w:highlight w:val="none"/>
          <w:lang w:eastAsia="zh-CN"/>
        </w:rPr>
      </w:pPr>
      <w:bookmarkStart w:id="125" w:name="_Toc15396631"/>
      <w:bookmarkStart w:id="126" w:name="_Toc1686871466_WPSOffice_Level2"/>
      <w:r>
        <w:rPr>
          <w:rFonts w:hint="eastAsia" w:ascii="Times New Roman" w:hAnsi="Times New Roman" w:eastAsia="仿宋_GB2312" w:cs="仿宋_GB2312"/>
          <w:color w:val="auto"/>
          <w:sz w:val="32"/>
          <w:szCs w:val="32"/>
          <w:highlight w:val="none"/>
        </w:rPr>
        <w:t>十三、</w:t>
      </w:r>
      <w:bookmarkEnd w:id="125"/>
      <w:r>
        <w:rPr>
          <w:rFonts w:hint="eastAsia" w:ascii="Times New Roman" w:hAnsi="Times New Roman" w:eastAsia="仿宋_GB2312" w:cs="仿宋_GB2312"/>
          <w:color w:val="auto"/>
          <w:sz w:val="32"/>
          <w:szCs w:val="32"/>
          <w:highlight w:val="none"/>
          <w:lang w:eastAsia="zh-CN"/>
        </w:rPr>
        <w:t>财政拨款“三公”经费支出决算表</w:t>
      </w:r>
      <w:bookmarkEnd w:id="126"/>
    </w:p>
    <w:p>
      <w:pPr>
        <w:rPr>
          <w:rFonts w:hint="eastAsia" w:ascii="Times New Roman" w:hAnsi="Times New Roman"/>
          <w:lang w:eastAsia="zh-CN"/>
        </w:rPr>
      </w:pPr>
    </w:p>
    <w:sectPr>
      <w:footerReference r:id="rId8" w:type="first"/>
      <w:footerReference r:id="rId7" w:type="default"/>
      <w:pgSz w:w="11906" w:h="16838"/>
      <w:pgMar w:top="1440" w:right="1800" w:bottom="1440" w:left="1800"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仿宋_GBK-WinCharSetFFFF-H">
    <w:altName w:val="黑体"/>
    <w:panose1 w:val="00000000000000000000"/>
    <w:charset w:val="86"/>
    <w:family w:val="auto"/>
    <w:pitch w:val="default"/>
    <w:sig w:usb0="00000000" w:usb1="00000000" w:usb2="00000010" w:usb3="00000000" w:csb0="00040000" w:csb1="00000000"/>
  </w:font>
  <w:font w:name="TimesNewRoman">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14450"/>
    <w:multiLevelType w:val="singleLevel"/>
    <w:tmpl w:val="9FB144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7DFDF83"/>
    <w:rsid w:val="09867E8F"/>
    <w:rsid w:val="0A2032A3"/>
    <w:rsid w:val="0BEEC9CC"/>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7FF2373"/>
    <w:rsid w:val="486A6C7A"/>
    <w:rsid w:val="4A627F82"/>
    <w:rsid w:val="4B0E749A"/>
    <w:rsid w:val="4B2477C4"/>
    <w:rsid w:val="4B4F25DA"/>
    <w:rsid w:val="4BE068DB"/>
    <w:rsid w:val="4D132D65"/>
    <w:rsid w:val="4D577224"/>
    <w:rsid w:val="4D9445B8"/>
    <w:rsid w:val="4DBF1CEB"/>
    <w:rsid w:val="4DF0007C"/>
    <w:rsid w:val="4EAB630A"/>
    <w:rsid w:val="4ECE2238"/>
    <w:rsid w:val="4F2F1043"/>
    <w:rsid w:val="4F833267"/>
    <w:rsid w:val="4FE9BD67"/>
    <w:rsid w:val="4FFB052F"/>
    <w:rsid w:val="537E6D0A"/>
    <w:rsid w:val="53F74C96"/>
    <w:rsid w:val="55170BA8"/>
    <w:rsid w:val="553218C9"/>
    <w:rsid w:val="56502E80"/>
    <w:rsid w:val="567E1AA5"/>
    <w:rsid w:val="56E47B74"/>
    <w:rsid w:val="57175D52"/>
    <w:rsid w:val="579D00DB"/>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1FED24B"/>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7237E1"/>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C431B3"/>
    <w:rsid w:val="77DC22F5"/>
    <w:rsid w:val="77FE75B4"/>
    <w:rsid w:val="783E271A"/>
    <w:rsid w:val="78616DE9"/>
    <w:rsid w:val="78E875D7"/>
    <w:rsid w:val="79086DAD"/>
    <w:rsid w:val="79D7FD79"/>
    <w:rsid w:val="79EE5BA4"/>
    <w:rsid w:val="7A894339"/>
    <w:rsid w:val="7AD284E8"/>
    <w:rsid w:val="7ADF6B60"/>
    <w:rsid w:val="7AFF7572"/>
    <w:rsid w:val="7B6C7DFB"/>
    <w:rsid w:val="7BBFBED0"/>
    <w:rsid w:val="7BC3E394"/>
    <w:rsid w:val="7C1F3737"/>
    <w:rsid w:val="7CBFC87B"/>
    <w:rsid w:val="7CFE0F48"/>
    <w:rsid w:val="7D272ABC"/>
    <w:rsid w:val="7D7EC23E"/>
    <w:rsid w:val="7E65C78C"/>
    <w:rsid w:val="7E8ADEBF"/>
    <w:rsid w:val="7EEF11D3"/>
    <w:rsid w:val="7EFE3E58"/>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7B93A81"/>
    <w:rsid w:val="99FF2014"/>
    <w:rsid w:val="A6DD0D7F"/>
    <w:rsid w:val="ACFF4FBB"/>
    <w:rsid w:val="ADC6F725"/>
    <w:rsid w:val="B7CF06AB"/>
    <w:rsid w:val="B7CFA926"/>
    <w:rsid w:val="B7F8786B"/>
    <w:rsid w:val="BABB6AA1"/>
    <w:rsid w:val="BB2F4199"/>
    <w:rsid w:val="BCFFB442"/>
    <w:rsid w:val="BD079C78"/>
    <w:rsid w:val="BD733540"/>
    <w:rsid w:val="BF3735D5"/>
    <w:rsid w:val="BF7B8F02"/>
    <w:rsid w:val="BF7F09AC"/>
    <w:rsid w:val="BFD475C3"/>
    <w:rsid w:val="BFDE5EA6"/>
    <w:rsid w:val="BFFF5A61"/>
    <w:rsid w:val="CF6FC6F3"/>
    <w:rsid w:val="CFD3D3D7"/>
    <w:rsid w:val="CFDF1009"/>
    <w:rsid w:val="D5DF70D9"/>
    <w:rsid w:val="D7D7B16A"/>
    <w:rsid w:val="D8D6DB89"/>
    <w:rsid w:val="DB6F4CAB"/>
    <w:rsid w:val="DB777682"/>
    <w:rsid w:val="DD1FB521"/>
    <w:rsid w:val="DEFBFEAE"/>
    <w:rsid w:val="DF1F3B80"/>
    <w:rsid w:val="DF6F9789"/>
    <w:rsid w:val="DFE9BE81"/>
    <w:rsid w:val="DFFFA9E8"/>
    <w:rsid w:val="DFFFF05F"/>
    <w:rsid w:val="E5F4E9DC"/>
    <w:rsid w:val="E70FE695"/>
    <w:rsid w:val="EAFEEB49"/>
    <w:rsid w:val="EB2E368B"/>
    <w:rsid w:val="ECFED1BC"/>
    <w:rsid w:val="ED1D69BB"/>
    <w:rsid w:val="ED7FD312"/>
    <w:rsid w:val="EDE1D68B"/>
    <w:rsid w:val="EDFE006A"/>
    <w:rsid w:val="EF2E1AC6"/>
    <w:rsid w:val="EF53993F"/>
    <w:rsid w:val="EF6FD633"/>
    <w:rsid w:val="EF797E07"/>
    <w:rsid w:val="EFBFB2F4"/>
    <w:rsid w:val="EFBFFA21"/>
    <w:rsid w:val="F2BEBCB8"/>
    <w:rsid w:val="F36FB518"/>
    <w:rsid w:val="F3DE1A04"/>
    <w:rsid w:val="F3F722E5"/>
    <w:rsid w:val="F4FBCD07"/>
    <w:rsid w:val="FA5F1E70"/>
    <w:rsid w:val="FA5FDB97"/>
    <w:rsid w:val="FB7F486A"/>
    <w:rsid w:val="FB97A63B"/>
    <w:rsid w:val="FBFF5B2E"/>
    <w:rsid w:val="FBFFEF42"/>
    <w:rsid w:val="FD7FFE2B"/>
    <w:rsid w:val="FDEE196B"/>
    <w:rsid w:val="FDFE6575"/>
    <w:rsid w:val="FEDFDDC2"/>
    <w:rsid w:val="FEED32F6"/>
    <w:rsid w:val="FEF781DD"/>
    <w:rsid w:val="FF3F7E3F"/>
    <w:rsid w:val="FF6BDF8C"/>
    <w:rsid w:val="FFBA12D7"/>
    <w:rsid w:val="FFCB284B"/>
    <w:rsid w:val="FFCBD314"/>
    <w:rsid w:val="FFDEAC99"/>
    <w:rsid w:val="FFDF66F6"/>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rPr>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正文-公1"/>
    <w:basedOn w:val="37"/>
    <w:next w:val="1"/>
    <w:qFormat/>
    <w:uiPriority w:val="0"/>
    <w:pPr>
      <w:ind w:firstLine="200" w:firstLineChars="200"/>
    </w:p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BodyText"/>
    <w:basedOn w:val="1"/>
    <w:next w:val="1"/>
    <w:qFormat/>
    <w:uiPriority w:val="99"/>
    <w:rPr>
      <w:kern w:val="0"/>
      <w:szCs w:val="32"/>
    </w:rPr>
  </w:style>
  <w:style w:type="paragraph" w:customStyle="1" w:styleId="39">
    <w:name w:val="WPSOffice手动目录 1"/>
    <w:qFormat/>
    <w:uiPriority w:val="0"/>
    <w:pPr>
      <w:ind w:leftChars="0"/>
    </w:pPr>
    <w:rPr>
      <w:rFonts w:asciiTheme="minorHAnsi" w:hAnsiTheme="minorHAnsi" w:eastAsiaTheme="minorEastAsia" w:cstheme="minorBidi"/>
      <w:sz w:val="20"/>
      <w:szCs w:val="20"/>
    </w:rPr>
  </w:style>
  <w:style w:type="paragraph" w:customStyle="1" w:styleId="40">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altLang="zh-CN"/>
              <a:t>收入、支出决算总计变动情况图</a:t>
            </a:r>
            <a:r>
              <a:rPr lang="en-US" altLang="zh-CN"/>
              <a:t>  </a:t>
            </a:r>
            <a:r>
              <a:rPr altLang="en-US"/>
              <a:t>（单位：万元）</a:t>
            </a:r>
            <a:endParaRPr altLang="en-US"/>
          </a:p>
        </c:rich>
      </c:tx>
      <c:layout/>
      <c:overlay val="false"/>
      <c:spPr>
        <a:noFill/>
        <a:ln>
          <a:noFill/>
        </a:ln>
        <a:effectLst/>
      </c:spPr>
    </c:title>
    <c:autoTitleDeleted val="false"/>
    <c:plotArea>
      <c:layout>
        <c:manualLayout>
          <c:layoutTarget val="inner"/>
          <c:xMode val="edge"/>
          <c:yMode val="edge"/>
          <c:x val="0.0994926310703068"/>
          <c:y val="0.161920951976201"/>
          <c:w val="0.871877265039865"/>
          <c:h val="0.685380365490863"/>
        </c:manualLayout>
      </c:layout>
      <c:barChart>
        <c:barDir val="col"/>
        <c:grouping val="clustered"/>
        <c:varyColors val="false"/>
        <c:ser>
          <c:idx val="0"/>
          <c:order val="0"/>
          <c:tx>
            <c:strRef>
              <c:f>Sheet1!$B$1</c:f>
              <c:strCache>
                <c:ptCount val="1"/>
                <c:pt idx="0">
                  <c:v>2023</c:v>
                </c:pt>
              </c:strCache>
            </c:strRef>
          </c:tx>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24363.37</c:v>
                </c:pt>
              </c:numCache>
            </c:numRef>
          </c:val>
        </c:ser>
        <c:ser>
          <c:idx val="1"/>
          <c:order val="1"/>
          <c:tx>
            <c:strRef>
              <c:f>Sheet1!$C$1</c:f>
              <c:strCache>
                <c:ptCount val="1"/>
                <c:pt idx="0">
                  <c:v>2024</c:v>
                </c:pt>
              </c:strCache>
            </c:strRef>
          </c:tx>
          <c:spPr>
            <a:solidFill>
              <a:schemeClr val="accent2"/>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24419.61</c:v>
                </c:pt>
              </c:numCache>
            </c:numRef>
          </c:val>
        </c:ser>
        <c:dLbls>
          <c:showLegendKey val="false"/>
          <c:showVal val="true"/>
          <c:showCatName val="false"/>
          <c:showSerName val="false"/>
          <c:showPercent val="false"/>
          <c:showBubbleSize val="false"/>
        </c:dLbls>
        <c:gapWidth val="246"/>
        <c:overlap val="-28"/>
        <c:axId val="94741354"/>
        <c:axId val="710576897"/>
      </c:barChart>
      <c:catAx>
        <c:axId val="94741354"/>
        <c:scaling>
          <c:orientation val="minMax"/>
        </c:scaling>
        <c:delete val="false"/>
        <c:axPos val="b"/>
        <c:numFmt formatCode="General" sourceLinked="tru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10576897"/>
        <c:crosses val="autoZero"/>
        <c:auto val="true"/>
        <c:lblAlgn val="ctr"/>
        <c:lblOffset val="100"/>
        <c:noMultiLvlLbl val="false"/>
      </c:catAx>
      <c:valAx>
        <c:axId val="710576897"/>
        <c:scaling>
          <c:orientation val="minMax"/>
          <c:min val="0"/>
        </c:scaling>
        <c:delete val="false"/>
        <c:axPos val="l"/>
        <c:majorGridlines>
          <c:spPr>
            <a:ln w="9525" cap="flat" cmpd="sng" algn="ctr">
              <a:solidFill>
                <a:schemeClr val="lt1">
                  <a:lumMod val="902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74135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r>
              <a:rPr lang="en-US" altLang="zh-CN"/>
              <a:t>  </a:t>
            </a:r>
            <a:r>
              <a:rPr altLang="en-US"/>
              <a:t>（单位：万元）</a:t>
            </a:r>
            <a:endParaRPr altLang="en-US"/>
          </a:p>
        </c:rich>
      </c:tx>
      <c:layout>
        <c:manualLayout>
          <c:xMode val="edge"/>
          <c:yMode val="edge"/>
          <c:x val="0.374003382459531"/>
          <c:y val="0.022311942201445"/>
        </c:manualLayout>
      </c:layout>
      <c:overlay val="false"/>
      <c:spPr>
        <a:noFill/>
        <a:ln>
          <a:noFill/>
        </a:ln>
        <a:effectLst/>
      </c:spPr>
    </c:title>
    <c:autoTitleDeleted val="false"/>
    <c:plotArea>
      <c:layout/>
      <c:pieChart>
        <c:varyColors val="true"/>
        <c:ser>
          <c:idx val="0"/>
          <c:order val="0"/>
          <c:tx>
            <c:strRef>
              <c:f>Sheet1!$B$1</c:f>
              <c:strCache>
                <c:ptCount val="1"/>
                <c:pt idx="0">
                  <c:v>收入决算结构图</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dLbl>
              <c:idx val="0"/>
              <c:layout>
                <c:manualLayout>
                  <c:x val="0.0613251833573756"/>
                  <c:y val="0.0139274910763474"/>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219294600996727"/>
                  <c:y val="-0.0999878352073903"/>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c:v>
                </c:pt>
                <c:pt idx="1">
                  <c:v>政府性基金预算财政拨款</c:v>
                </c:pt>
              </c:strCache>
            </c:strRef>
          </c:cat>
          <c:val>
            <c:numRef>
              <c:f>Sheet1!$B$2:$B$3</c:f>
              <c:numCache>
                <c:formatCode>General</c:formatCode>
                <c:ptCount val="2"/>
                <c:pt idx="0">
                  <c:v>2076.57</c:v>
                </c:pt>
                <c:pt idx="1">
                  <c:v>22343.04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r>
              <a:rPr lang="en-US" altLang="zh-CN"/>
              <a:t>  </a:t>
            </a:r>
            <a:r>
              <a:rPr altLang="en-US"/>
              <a:t>（单位：万元）</a:t>
            </a:r>
            <a:endParaRPr altLang="en-US"/>
          </a:p>
        </c:rich>
      </c:tx>
      <c:layout/>
      <c:overlay val="false"/>
      <c:spPr>
        <a:noFill/>
        <a:ln>
          <a:noFill/>
        </a:ln>
        <a:effectLst/>
      </c:spPr>
    </c:title>
    <c:autoTitleDeleted val="false"/>
    <c:plotArea>
      <c:layout/>
      <c:pieChart>
        <c:varyColors val="true"/>
        <c:ser>
          <c:idx val="0"/>
          <c:order val="0"/>
          <c:tx>
            <c:strRef>
              <c:f>Sheet1!$B$1</c:f>
              <c:strCache>
                <c:ptCount val="1"/>
                <c:pt idx="0">
                  <c:v>支出决算结构图</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dLbl>
              <c:idx val="0"/>
              <c:layout>
                <c:manualLayout>
                  <c:x val="0.144127027051118"/>
                  <c:y val="-0.00467840056036024"/>
                </c:manualLayout>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188270515667628"/>
                  <c:y val="-0.0941149540831053"/>
                </c:manualLayout>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1540.62</c:v>
                </c:pt>
                <c:pt idx="1">
                  <c:v>22878.99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r>
              <a:rPr lang="en-US" altLang="zh-CN"/>
              <a:t>  </a:t>
            </a:r>
            <a:r>
              <a:rPr altLang="en-US"/>
              <a:t>（单位：万元）</a:t>
            </a:r>
            <a:endParaRPr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2023</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24363.37</c:v>
                </c:pt>
              </c:numCache>
            </c:numRef>
          </c:val>
        </c:ser>
        <c:ser>
          <c:idx val="1"/>
          <c:order val="1"/>
          <c:tx>
            <c:strRef>
              <c:f>Sheet1!$C$1</c:f>
              <c:strCache>
                <c:ptCount val="1"/>
                <c:pt idx="0">
                  <c:v>2024</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24419.61</c:v>
                </c:pt>
              </c:numCache>
            </c:numRef>
          </c:val>
        </c:ser>
        <c:dLbls>
          <c:showLegendKey val="false"/>
          <c:showVal val="true"/>
          <c:showCatName val="false"/>
          <c:showSerName val="false"/>
          <c:showPercent val="false"/>
          <c:showBubbleSize val="false"/>
        </c:dLbls>
        <c:gapWidth val="246"/>
        <c:overlap val="-28"/>
        <c:axId val="494466410"/>
        <c:axId val="233449323"/>
      </c:barChart>
      <c:catAx>
        <c:axId val="49446641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33449323"/>
        <c:crosses val="autoZero"/>
        <c:auto val="true"/>
        <c:lblAlgn val="ctr"/>
        <c:lblOffset val="100"/>
        <c:noMultiLvlLbl val="false"/>
      </c:catAx>
      <c:valAx>
        <c:axId val="233449323"/>
        <c:scaling>
          <c:orientation val="minMax"/>
          <c:min val="0"/>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9446641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2023</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24363.37</c:v>
                </c:pt>
              </c:numCache>
            </c:numRef>
          </c:val>
        </c:ser>
        <c:ser>
          <c:idx val="1"/>
          <c:order val="1"/>
          <c:tx>
            <c:strRef>
              <c:f>Sheet1!$C$1</c:f>
              <c:strCache>
                <c:ptCount val="1"/>
                <c:pt idx="0">
                  <c:v>2024</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24419.61</c:v>
                </c:pt>
              </c:numCache>
            </c:numRef>
          </c:val>
        </c:ser>
        <c:dLbls>
          <c:showLegendKey val="false"/>
          <c:showVal val="true"/>
          <c:showCatName val="false"/>
          <c:showSerName val="false"/>
          <c:showPercent val="false"/>
          <c:showBubbleSize val="false"/>
        </c:dLbls>
        <c:gapWidth val="246"/>
        <c:overlap val="-28"/>
        <c:axId val="107528877"/>
        <c:axId val="571720024"/>
      </c:barChart>
      <c:catAx>
        <c:axId val="10752887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71720024"/>
        <c:crosses val="autoZero"/>
        <c:auto val="true"/>
        <c:lblAlgn val="ctr"/>
        <c:lblOffset val="100"/>
        <c:noMultiLvlLbl val="false"/>
      </c:catAx>
      <c:valAx>
        <c:axId val="571720024"/>
        <c:scaling>
          <c:orientation val="minMax"/>
          <c:min val="0"/>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752887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tx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一般公共预算财政拨款支出决算结构图 
 （单位：万元）</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Pt>
            <c:idx val="4"/>
            <c:bubble3D val="false"/>
            <c:spPr>
              <a:solidFill>
                <a:schemeClr val="accent5"/>
              </a:solidFill>
              <a:ln>
                <a:solidFill>
                  <a:schemeClr val="bg1"/>
                </a:solidFill>
              </a:ln>
              <a:effectLst/>
            </c:spPr>
          </c:dPt>
          <c:dPt>
            <c:idx val="5"/>
            <c:bubble3D val="false"/>
            <c:spPr>
              <a:solidFill>
                <a:schemeClr val="accent6"/>
              </a:solidFill>
              <a:ln>
                <a:solidFill>
                  <a:schemeClr val="bg1"/>
                </a:solidFill>
              </a:ln>
              <a:effectLst/>
            </c:spPr>
          </c:dPt>
          <c:dLbls>
            <c:dLbl>
              <c:idx val="0"/>
              <c:layout>
                <c:manualLayout>
                  <c:x val="0.163082870258517"/>
                  <c:y val="0.022311942201445"/>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398647016187485"/>
                  <c:y val="0.0478113047173821"/>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126842232423291"/>
                  <c:y val="0.0541861453463663"/>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380526697269872"/>
                  <c:y val="-0.0509987250318742"/>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0960376902633486"/>
                  <c:y val="0.0509987250318742"/>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5"/>
              <c:layout>
                <c:manualLayout>
                  <c:x val="-0.0688572118869292"/>
                  <c:y val="-0.0382490437739057"/>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社会保障和就业支出</c:v>
                </c:pt>
                <c:pt idx="2">
                  <c:v>卫生健康支出</c:v>
                </c:pt>
                <c:pt idx="3">
                  <c:v>城乡社区支出</c:v>
                </c:pt>
                <c:pt idx="4">
                  <c:v>住房保障支出</c:v>
                </c:pt>
                <c:pt idx="5">
                  <c:v>其他支出</c:v>
                </c:pt>
              </c:strCache>
            </c:strRef>
          </c:cat>
          <c:val>
            <c:numRef>
              <c:f>Sheet1!$B$2:$B$7</c:f>
              <c:numCache>
                <c:formatCode>General</c:formatCode>
                <c:ptCount val="6"/>
                <c:pt idx="0">
                  <c:v>6.71</c:v>
                </c:pt>
                <c:pt idx="1">
                  <c:v>482.19</c:v>
                </c:pt>
                <c:pt idx="2">
                  <c:v>59.48</c:v>
                </c:pt>
                <c:pt idx="3">
                  <c:v>1413.86</c:v>
                </c:pt>
                <c:pt idx="4">
                  <c:v>74.33</c:v>
                </c:pt>
                <c:pt idx="5">
                  <c:v>40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tx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“三公”经费财政拨款支出结构图  （单位：万元）</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dLbl>
              <c:idx val="0"/>
              <c:layout>
                <c:manualLayout>
                  <c:x val="0.141338487557381"/>
                  <c:y val="-0.0637484062898428"/>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779173713457357"/>
                  <c:y val="-0.0286867828304292"/>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35.67</c:v>
                </c:pt>
                <c:pt idx="1">
                  <c:v>2.96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41894b0-cfd6-43d5-96b7-ee5ea9e764ea}"/>
        <w:style w:val=""/>
        <w:category>
          <w:name w:val="常规"/>
          <w:gallery w:val="placeholder"/>
        </w:category>
        <w:types>
          <w:type w:val="bbPlcHdr"/>
        </w:types>
        <w:behaviors>
          <w:behavior w:val="content"/>
        </w:behaviors>
        <w:description w:val=""/>
        <w:guid w:val="{841894b0-cfd6-43d5-96b7-ee5ea9e764ea}"/>
      </w:docPartPr>
      <w:docPartBody>
        <w:p>
          <w:r>
            <w:rPr>
              <w:color w:val="808080"/>
            </w:rPr>
            <w:t>单击此处输入文字。</w:t>
          </w:r>
        </w:p>
      </w:docPartBody>
    </w:docPart>
    <w:docPart>
      <w:docPartPr>
        <w:name w:val="{76819b33-a137-4442-af78-11abfd11be14}"/>
        <w:style w:val=""/>
        <w:category>
          <w:name w:val="常规"/>
          <w:gallery w:val="placeholder"/>
        </w:category>
        <w:types>
          <w:type w:val="bbPlcHdr"/>
        </w:types>
        <w:behaviors>
          <w:behavior w:val="content"/>
        </w:behaviors>
        <w:description w:val=""/>
        <w:guid w:val="{76819b33-a137-4442-af78-11abfd11be14}"/>
      </w:docPartPr>
      <w:docPartBody>
        <w:p>
          <w:r>
            <w:rPr>
              <w:color w:val="808080"/>
            </w:rPr>
            <w:t>单击此处输入文字。</w:t>
          </w:r>
        </w:p>
      </w:docPartBody>
    </w:docPart>
    <w:docPart>
      <w:docPartPr>
        <w:name w:val="{07f2b6a4-00ca-40ac-9139-e2bc83f0d3ed}"/>
        <w:style w:val=""/>
        <w:category>
          <w:name w:val="常规"/>
          <w:gallery w:val="placeholder"/>
        </w:category>
        <w:types>
          <w:type w:val="bbPlcHdr"/>
        </w:types>
        <w:behaviors>
          <w:behavior w:val="content"/>
        </w:behaviors>
        <w:description w:val=""/>
        <w:guid w:val="{07f2b6a4-00ca-40ac-9139-e2bc83f0d3ed}"/>
      </w:docPartPr>
      <w:docPartBody>
        <w:p>
          <w:r>
            <w:rPr>
              <w:color w:val="808080"/>
            </w:rPr>
            <w:t>单击此处输入文字。</w:t>
          </w:r>
        </w:p>
      </w:docPartBody>
    </w:docPart>
    <w:docPart>
      <w:docPartPr>
        <w:name w:val="{31d3c284-f224-4e4c-9206-5e8eab74bb84}"/>
        <w:style w:val=""/>
        <w:category>
          <w:name w:val="常规"/>
          <w:gallery w:val="placeholder"/>
        </w:category>
        <w:types>
          <w:type w:val="bbPlcHdr"/>
        </w:types>
        <w:behaviors>
          <w:behavior w:val="content"/>
        </w:behaviors>
        <w:description w:val=""/>
        <w:guid w:val="{31d3c284-f224-4e4c-9206-5e8eab74bb84}"/>
      </w:docPartPr>
      <w:docPartBody>
        <w:p>
          <w:r>
            <w:rPr>
              <w:color w:val="808080"/>
            </w:rPr>
            <w:t>单击此处输入文字。</w:t>
          </w:r>
        </w:p>
      </w:docPartBody>
    </w:docPart>
    <w:docPart>
      <w:docPartPr>
        <w:name w:val="{3a99056e-d3e0-46b7-b0d0-5b44d65186a2}"/>
        <w:style w:val=""/>
        <w:category>
          <w:name w:val="常规"/>
          <w:gallery w:val="placeholder"/>
        </w:category>
        <w:types>
          <w:type w:val="bbPlcHdr"/>
        </w:types>
        <w:behaviors>
          <w:behavior w:val="content"/>
        </w:behaviors>
        <w:description w:val=""/>
        <w:guid w:val="{3a99056e-d3e0-46b7-b0d0-5b44d65186a2}"/>
      </w:docPartPr>
      <w:docPartBody>
        <w:p>
          <w:r>
            <w:rPr>
              <w:color w:val="808080"/>
            </w:rPr>
            <w:t>单击此处输入文字。</w:t>
          </w:r>
        </w:p>
      </w:docPartBody>
    </w:docPart>
    <w:docPart>
      <w:docPartPr>
        <w:name w:val="{584b0a04-124c-497f-a377-54541fab4a9b}"/>
        <w:style w:val=""/>
        <w:category>
          <w:name w:val="常规"/>
          <w:gallery w:val="placeholder"/>
        </w:category>
        <w:types>
          <w:type w:val="bbPlcHdr"/>
        </w:types>
        <w:behaviors>
          <w:behavior w:val="content"/>
        </w:behaviors>
        <w:description w:val=""/>
        <w:guid w:val="{584b0a04-124c-497f-a377-54541fab4a9b}"/>
      </w:docPartPr>
      <w:docPartBody>
        <w:p>
          <w:r>
            <w:rPr>
              <w:color w:val="808080"/>
            </w:rPr>
            <w:t>单击此处输入文字。</w:t>
          </w:r>
        </w:p>
      </w:docPartBody>
    </w:docPart>
    <w:docPart>
      <w:docPartPr>
        <w:name w:val="{589227c3-df13-415f-82ef-1ad4e2700807}"/>
        <w:style w:val=""/>
        <w:category>
          <w:name w:val="常规"/>
          <w:gallery w:val="placeholder"/>
        </w:category>
        <w:types>
          <w:type w:val="bbPlcHdr"/>
        </w:types>
        <w:behaviors>
          <w:behavior w:val="content"/>
        </w:behaviors>
        <w:description w:val=""/>
        <w:guid w:val="{589227c3-df13-415f-82ef-1ad4e2700807}"/>
      </w:docPartPr>
      <w:docPartBody>
        <w:p>
          <w:r>
            <w:rPr>
              <w:color w:val="808080"/>
            </w:rPr>
            <w:t>单击此处输入文字。</w:t>
          </w:r>
        </w:p>
      </w:docPartBody>
    </w:docPart>
    <w:docPart>
      <w:docPartPr>
        <w:name w:val="{cc648ba1-f0c9-4966-b9dd-929cad9c2a23}"/>
        <w:style w:val=""/>
        <w:category>
          <w:name w:val="常规"/>
          <w:gallery w:val="placeholder"/>
        </w:category>
        <w:types>
          <w:type w:val="bbPlcHdr"/>
        </w:types>
        <w:behaviors>
          <w:behavior w:val="content"/>
        </w:behaviors>
        <w:description w:val=""/>
        <w:guid w:val="{cc648ba1-f0c9-4966-b9dd-929cad9c2a23}"/>
      </w:docPartPr>
      <w:docPartBody>
        <w:p>
          <w:r>
            <w:rPr>
              <w:color w:val="808080"/>
            </w:rPr>
            <w:t>单击此处输入文字。</w:t>
          </w:r>
        </w:p>
      </w:docPartBody>
    </w:docPart>
    <w:docPart>
      <w:docPartPr>
        <w:name w:val="{22b032df-ce65-4935-9f16-420f8fc02ded}"/>
        <w:style w:val=""/>
        <w:category>
          <w:name w:val="常规"/>
          <w:gallery w:val="placeholder"/>
        </w:category>
        <w:types>
          <w:type w:val="bbPlcHdr"/>
        </w:types>
        <w:behaviors>
          <w:behavior w:val="content"/>
        </w:behaviors>
        <w:description w:val=""/>
        <w:guid w:val="{22b032df-ce65-4935-9f16-420f8fc02ded}"/>
      </w:docPartPr>
      <w:docPartBody>
        <w:p>
          <w:r>
            <w:rPr>
              <w:color w:val="808080"/>
            </w:rPr>
            <w:t>单击此处输入文字。</w:t>
          </w:r>
        </w:p>
      </w:docPartBody>
    </w:docPart>
    <w:docPart>
      <w:docPartPr>
        <w:name w:val="{cb1f89be-8013-488a-a424-1d6ca4920afe}"/>
        <w:style w:val=""/>
        <w:category>
          <w:name w:val="常规"/>
          <w:gallery w:val="placeholder"/>
        </w:category>
        <w:types>
          <w:type w:val="bbPlcHdr"/>
        </w:types>
        <w:behaviors>
          <w:behavior w:val="content"/>
        </w:behaviors>
        <w:description w:val=""/>
        <w:guid w:val="{cb1f89be-8013-488a-a424-1d6ca4920afe}"/>
      </w:docPartPr>
      <w:docPartBody>
        <w:p>
          <w:r>
            <w:rPr>
              <w:color w:val="808080"/>
            </w:rPr>
            <w:t>单击此处输入文字。</w:t>
          </w:r>
        </w:p>
      </w:docPartBody>
    </w:docPart>
    <w:docPart>
      <w:docPartPr>
        <w:name w:val="{26ebfc9f-2158-4c0b-be82-4edeb104a73e}"/>
        <w:style w:val=""/>
        <w:category>
          <w:name w:val="常规"/>
          <w:gallery w:val="placeholder"/>
        </w:category>
        <w:types>
          <w:type w:val="bbPlcHdr"/>
        </w:types>
        <w:behaviors>
          <w:behavior w:val="content"/>
        </w:behaviors>
        <w:description w:val=""/>
        <w:guid w:val="{26ebfc9f-2158-4c0b-be82-4edeb104a73e}"/>
      </w:docPartPr>
      <w:docPartBody>
        <w:p>
          <w:r>
            <w:rPr>
              <w:color w:val="808080"/>
            </w:rPr>
            <w:t>单击此处输入文字。</w:t>
          </w:r>
        </w:p>
      </w:docPartBody>
    </w:docPart>
    <w:docPart>
      <w:docPartPr>
        <w:name w:val="{128b18cd-544c-481b-8cdd-803d9492447f}"/>
        <w:style w:val=""/>
        <w:category>
          <w:name w:val="常规"/>
          <w:gallery w:val="placeholder"/>
        </w:category>
        <w:types>
          <w:type w:val="bbPlcHdr"/>
        </w:types>
        <w:behaviors>
          <w:behavior w:val="content"/>
        </w:behaviors>
        <w:description w:val=""/>
        <w:guid w:val="{128b18cd-544c-481b-8cdd-803d9492447f}"/>
      </w:docPartPr>
      <w:docPartBody>
        <w:p>
          <w:r>
            <w:rPr>
              <w:color w:val="808080"/>
            </w:rPr>
            <w:t>单击此处输入文字。</w:t>
          </w:r>
        </w:p>
      </w:docPartBody>
    </w:docPart>
    <w:docPart>
      <w:docPartPr>
        <w:name w:val="{5ecb60e3-899b-4fb9-81ca-b93ba3810ba7}"/>
        <w:style w:val=""/>
        <w:category>
          <w:name w:val="常规"/>
          <w:gallery w:val="placeholder"/>
        </w:category>
        <w:types>
          <w:type w:val="bbPlcHdr"/>
        </w:types>
        <w:behaviors>
          <w:behavior w:val="content"/>
        </w:behaviors>
        <w:description w:val=""/>
        <w:guid w:val="{5ecb60e3-899b-4fb9-81ca-b93ba3810ba7}"/>
      </w:docPartPr>
      <w:docPartBody>
        <w:p>
          <w:r>
            <w:rPr>
              <w:color w:val="808080"/>
            </w:rPr>
            <w:t>单击此处输入文字。</w:t>
          </w:r>
        </w:p>
      </w:docPartBody>
    </w:docPart>
    <w:docPart>
      <w:docPartPr>
        <w:name w:val="{11d8bb43-20bf-4e1c-88f9-5864e9c8d2da}"/>
        <w:style w:val=""/>
        <w:category>
          <w:name w:val="常规"/>
          <w:gallery w:val="placeholder"/>
        </w:category>
        <w:types>
          <w:type w:val="bbPlcHdr"/>
        </w:types>
        <w:behaviors>
          <w:behavior w:val="content"/>
        </w:behaviors>
        <w:description w:val=""/>
        <w:guid w:val="{11d8bb43-20bf-4e1c-88f9-5864e9c8d2da}"/>
      </w:docPartPr>
      <w:docPartBody>
        <w:p>
          <w:r>
            <w:rPr>
              <w:color w:val="808080"/>
            </w:rPr>
            <w:t>单击此处输入文字。</w:t>
          </w:r>
        </w:p>
      </w:docPartBody>
    </w:docPart>
    <w:docPart>
      <w:docPartPr>
        <w:name w:val="{a3f7ed68-211d-4a9f-b6ce-aa6cb17a909f}"/>
        <w:style w:val=""/>
        <w:category>
          <w:name w:val="常规"/>
          <w:gallery w:val="placeholder"/>
        </w:category>
        <w:types>
          <w:type w:val="bbPlcHdr"/>
        </w:types>
        <w:behaviors>
          <w:behavior w:val="content"/>
        </w:behaviors>
        <w:description w:val=""/>
        <w:guid w:val="{a3f7ed68-211d-4a9f-b6ce-aa6cb17a909f}"/>
      </w:docPartPr>
      <w:docPartBody>
        <w:p>
          <w:r>
            <w:rPr>
              <w:color w:val="808080"/>
            </w:rPr>
            <w:t>单击此处输入文字。</w:t>
          </w:r>
        </w:p>
      </w:docPartBody>
    </w:docPart>
    <w:docPart>
      <w:docPartPr>
        <w:name w:val="{dfa9d096-aaef-4379-a0de-9e13531327ed}"/>
        <w:style w:val=""/>
        <w:category>
          <w:name w:val="常规"/>
          <w:gallery w:val="placeholder"/>
        </w:category>
        <w:types>
          <w:type w:val="bbPlcHdr"/>
        </w:types>
        <w:behaviors>
          <w:behavior w:val="content"/>
        </w:behaviors>
        <w:description w:val=""/>
        <w:guid w:val="{dfa9d096-aaef-4379-a0de-9e13531327ed}"/>
      </w:docPartPr>
      <w:docPartBody>
        <w:p>
          <w:r>
            <w:rPr>
              <w:color w:val="808080"/>
            </w:rPr>
            <w:t>单击此处输入文字。</w:t>
          </w:r>
        </w:p>
      </w:docPartBody>
    </w:docPart>
    <w:docPart>
      <w:docPartPr>
        <w:name w:val="{15271e6e-1534-47d6-8ef2-67463a42e32e}"/>
        <w:style w:val=""/>
        <w:category>
          <w:name w:val="常规"/>
          <w:gallery w:val="placeholder"/>
        </w:category>
        <w:types>
          <w:type w:val="bbPlcHdr"/>
        </w:types>
        <w:behaviors>
          <w:behavior w:val="content"/>
        </w:behaviors>
        <w:description w:val=""/>
        <w:guid w:val="{15271e6e-1534-47d6-8ef2-67463a42e32e}"/>
      </w:docPartPr>
      <w:docPartBody>
        <w:p>
          <w:r>
            <w:rPr>
              <w:color w:val="808080"/>
            </w:rPr>
            <w:t>单击此处输入文字。</w:t>
          </w:r>
        </w:p>
      </w:docPartBody>
    </w:docPart>
    <w:docPart>
      <w:docPartPr>
        <w:name w:val="{54f98172-4662-46b3-ac98-0fba81dc8d42}"/>
        <w:style w:val=""/>
        <w:category>
          <w:name w:val="常规"/>
          <w:gallery w:val="placeholder"/>
        </w:category>
        <w:types>
          <w:type w:val="bbPlcHdr"/>
        </w:types>
        <w:behaviors>
          <w:behavior w:val="content"/>
        </w:behaviors>
        <w:description w:val=""/>
        <w:guid w:val="{54f98172-4662-46b3-ac98-0fba81dc8d42}"/>
      </w:docPartPr>
      <w:docPartBody>
        <w:p>
          <w:r>
            <w:rPr>
              <w:color w:val="808080"/>
            </w:rPr>
            <w:t>单击此处输入文字。</w:t>
          </w:r>
        </w:p>
      </w:docPartBody>
    </w:docPart>
    <w:docPart>
      <w:docPartPr>
        <w:name w:val="{ddbe1d98-faf7-40db-97d5-712f581437dc}"/>
        <w:style w:val=""/>
        <w:category>
          <w:name w:val="常规"/>
          <w:gallery w:val="placeholder"/>
        </w:category>
        <w:types>
          <w:type w:val="bbPlcHdr"/>
        </w:types>
        <w:behaviors>
          <w:behavior w:val="content"/>
        </w:behaviors>
        <w:description w:val=""/>
        <w:guid w:val="{ddbe1d98-faf7-40db-97d5-712f581437dc}"/>
      </w:docPartPr>
      <w:docPartBody>
        <w:p>
          <w:r>
            <w:rPr>
              <w:color w:val="808080"/>
            </w:rPr>
            <w:t>单击此处输入文字。</w:t>
          </w:r>
        </w:p>
      </w:docPartBody>
    </w:docPart>
    <w:docPart>
      <w:docPartPr>
        <w:name w:val="{24e79d19-c003-4990-be7e-1e210f8a4418}"/>
        <w:style w:val=""/>
        <w:category>
          <w:name w:val="常规"/>
          <w:gallery w:val="placeholder"/>
        </w:category>
        <w:types>
          <w:type w:val="bbPlcHdr"/>
        </w:types>
        <w:behaviors>
          <w:behavior w:val="content"/>
        </w:behaviors>
        <w:description w:val=""/>
        <w:guid w:val="{24e79d19-c003-4990-be7e-1e210f8a4418}"/>
      </w:docPartPr>
      <w:docPartBody>
        <w:p>
          <w:r>
            <w:rPr>
              <w:color w:val="808080"/>
            </w:rPr>
            <w:t>单击此处输入文字。</w:t>
          </w:r>
        </w:p>
      </w:docPartBody>
    </w:docPart>
    <w:docPart>
      <w:docPartPr>
        <w:name w:val="{8c984b0a-cdf9-4579-9874-92fb33467fa9}"/>
        <w:style w:val=""/>
        <w:category>
          <w:name w:val="常规"/>
          <w:gallery w:val="placeholder"/>
        </w:category>
        <w:types>
          <w:type w:val="bbPlcHdr"/>
        </w:types>
        <w:behaviors>
          <w:behavior w:val="content"/>
        </w:behaviors>
        <w:description w:val=""/>
        <w:guid w:val="{8c984b0a-cdf9-4579-9874-92fb33467fa9}"/>
      </w:docPartPr>
      <w:docPartBody>
        <w:p>
          <w:r>
            <w:rPr>
              <w:color w:val="808080"/>
            </w:rPr>
            <w:t>单击此处输入文字。</w:t>
          </w:r>
        </w:p>
      </w:docPartBody>
    </w:docPart>
    <w:docPart>
      <w:docPartPr>
        <w:name w:val="{5451afb9-3438-4051-b761-d41d4ebd6361}"/>
        <w:style w:val=""/>
        <w:category>
          <w:name w:val="常规"/>
          <w:gallery w:val="placeholder"/>
        </w:category>
        <w:types>
          <w:type w:val="bbPlcHdr"/>
        </w:types>
        <w:behaviors>
          <w:behavior w:val="content"/>
        </w:behaviors>
        <w:description w:val=""/>
        <w:guid w:val="{5451afb9-3438-4051-b761-d41d4ebd6361}"/>
      </w:docPartPr>
      <w:docPartBody>
        <w:p>
          <w:r>
            <w:rPr>
              <w:color w:val="808080"/>
            </w:rPr>
            <w:t>单击此处输入文字。</w:t>
          </w:r>
        </w:p>
      </w:docPartBody>
    </w:docPart>
    <w:docPart>
      <w:docPartPr>
        <w:name w:val="{12a1ba30-067b-40ec-b405-7413c741cc51}"/>
        <w:style w:val=""/>
        <w:category>
          <w:name w:val="常规"/>
          <w:gallery w:val="placeholder"/>
        </w:category>
        <w:types>
          <w:type w:val="bbPlcHdr"/>
        </w:types>
        <w:behaviors>
          <w:behavior w:val="content"/>
        </w:behaviors>
        <w:description w:val=""/>
        <w:guid w:val="{12a1ba30-067b-40ec-b405-7413c741cc51}"/>
      </w:docPartPr>
      <w:docPartBody>
        <w:p>
          <w:r>
            <w:rPr>
              <w:color w:val="808080"/>
            </w:rPr>
            <w:t>单击此处输入文字。</w:t>
          </w:r>
        </w:p>
      </w:docPartBody>
    </w:docPart>
    <w:docPart>
      <w:docPartPr>
        <w:name w:val="{4546d0d4-ceca-4ff3-ab9a-cd5145a6f2db}"/>
        <w:style w:val=""/>
        <w:category>
          <w:name w:val="常规"/>
          <w:gallery w:val="placeholder"/>
        </w:category>
        <w:types>
          <w:type w:val="bbPlcHdr"/>
        </w:types>
        <w:behaviors>
          <w:behavior w:val="content"/>
        </w:behaviors>
        <w:description w:val=""/>
        <w:guid w:val="{4546d0d4-ceca-4ff3-ab9a-cd5145a6f2db}"/>
      </w:docPartPr>
      <w:docPartBody>
        <w:p>
          <w:r>
            <w:rPr>
              <w:color w:val="808080"/>
            </w:rPr>
            <w:t>单击此处输入文字。</w:t>
          </w:r>
        </w:p>
      </w:docPartBody>
    </w:docPart>
    <w:docPart>
      <w:docPartPr>
        <w:name w:val="{8fe71ed5-7ae3-4686-8be0-048d1b7aff7a}"/>
        <w:style w:val=""/>
        <w:category>
          <w:name w:val="常规"/>
          <w:gallery w:val="placeholder"/>
        </w:category>
        <w:types>
          <w:type w:val="bbPlcHdr"/>
        </w:types>
        <w:behaviors>
          <w:behavior w:val="content"/>
        </w:behaviors>
        <w:description w:val=""/>
        <w:guid w:val="{8fe71ed5-7ae3-4686-8be0-048d1b7aff7a}"/>
      </w:docPartPr>
      <w:docPartBody>
        <w:p>
          <w:r>
            <w:rPr>
              <w:color w:val="808080"/>
            </w:rPr>
            <w:t>单击此处输入文字。</w:t>
          </w:r>
        </w:p>
      </w:docPartBody>
    </w:docPart>
    <w:docPart>
      <w:docPartPr>
        <w:name w:val="{5ae88140-272a-473a-afae-35a3c14cdcee}"/>
        <w:style w:val=""/>
        <w:category>
          <w:name w:val="常规"/>
          <w:gallery w:val="placeholder"/>
        </w:category>
        <w:types>
          <w:type w:val="bbPlcHdr"/>
        </w:types>
        <w:behaviors>
          <w:behavior w:val="content"/>
        </w:behaviors>
        <w:description w:val=""/>
        <w:guid w:val="{5ae88140-272a-473a-afae-35a3c14cdcee}"/>
      </w:docPartPr>
      <w:docPartBody>
        <w:p>
          <w:r>
            <w:rPr>
              <w:color w:val="808080"/>
            </w:rPr>
            <w:t>单击此处输入文字。</w:t>
          </w:r>
        </w:p>
      </w:docPartBody>
    </w:docPart>
    <w:docPart>
      <w:docPartPr>
        <w:name w:val="{fe325543-3d97-4823-94ef-da822f466308}"/>
        <w:style w:val=""/>
        <w:category>
          <w:name w:val="常规"/>
          <w:gallery w:val="placeholder"/>
        </w:category>
        <w:types>
          <w:type w:val="bbPlcHdr"/>
        </w:types>
        <w:behaviors>
          <w:behavior w:val="content"/>
        </w:behaviors>
        <w:description w:val=""/>
        <w:guid w:val="{fe325543-3d97-4823-94ef-da822f466308}"/>
      </w:docPartPr>
      <w:docPartBody>
        <w:p>
          <w:r>
            <w:rPr>
              <w:color w:val="808080"/>
            </w:rPr>
            <w:t>单击此处输入文字。</w:t>
          </w:r>
        </w:p>
      </w:docPartBody>
    </w:docPart>
    <w:docPart>
      <w:docPartPr>
        <w:name w:val="{c930870b-5ba0-46f6-8902-4516fc9f5458}"/>
        <w:style w:val=""/>
        <w:category>
          <w:name w:val="常规"/>
          <w:gallery w:val="placeholder"/>
        </w:category>
        <w:types>
          <w:type w:val="bbPlcHdr"/>
        </w:types>
        <w:behaviors>
          <w:behavior w:val="content"/>
        </w:behaviors>
        <w:description w:val=""/>
        <w:guid w:val="{c930870b-5ba0-46f6-8902-4516fc9f5458}"/>
      </w:docPartPr>
      <w:docPartBody>
        <w:p>
          <w:r>
            <w:rPr>
              <w:color w:val="808080"/>
            </w:rPr>
            <w:t>单击此处输入文字。</w:t>
          </w:r>
        </w:p>
      </w:docPartBody>
    </w:docPart>
    <w:docPart>
      <w:docPartPr>
        <w:name w:val="{89391e86-2f1d-4857-a1af-af8b7a6cc854}"/>
        <w:style w:val=""/>
        <w:category>
          <w:name w:val="常规"/>
          <w:gallery w:val="placeholder"/>
        </w:category>
        <w:types>
          <w:type w:val="bbPlcHdr"/>
        </w:types>
        <w:behaviors>
          <w:behavior w:val="content"/>
        </w:behaviors>
        <w:description w:val=""/>
        <w:guid w:val="{89391e86-2f1d-4857-a1af-af8b7a6cc854}"/>
      </w:docPartPr>
      <w:docPartBody>
        <w:p>
          <w:r>
            <w:rPr>
              <w:color w:val="808080"/>
            </w:rPr>
            <w:t>单击此处输入文字。</w:t>
          </w:r>
        </w:p>
      </w:docPartBody>
    </w:docPart>
    <w:docPart>
      <w:docPartPr>
        <w:name w:val="{9b47b485-2f94-4e25-8e15-3194c04977c6}"/>
        <w:style w:val=""/>
        <w:category>
          <w:name w:val="常规"/>
          <w:gallery w:val="placeholder"/>
        </w:category>
        <w:types>
          <w:type w:val="bbPlcHdr"/>
        </w:types>
        <w:behaviors>
          <w:behavior w:val="content"/>
        </w:behaviors>
        <w:description w:val=""/>
        <w:guid w:val="{9b47b485-2f94-4e25-8e15-3194c04977c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7833</Words>
  <Characters>8437</Characters>
  <Lines>61</Lines>
  <Paragraphs>17</Paragraphs>
  <TotalTime>1</TotalTime>
  <ScaleCrop>false</ScaleCrop>
  <LinksUpToDate>false</LinksUpToDate>
  <CharactersWithSpaces>8464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2020-08-12T01:49:00Z</dcterms:created>
  <dc:creator>曹颖</dc:creator>
  <cp:lastModifiedBy>user</cp:lastModifiedBy>
  <cp:lastPrinted>2025-08-09T09:34:00Z</cp:lastPrinted>
  <dcterms:modified xsi:type="dcterms:W3CDTF">2025-09-16T19:26:09Z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2B16279A89A24F26A12E1DBDB8C1948C_13</vt:lpwstr>
  </property>
  <property fmtid="{D5CDD505-2E9C-101B-9397-08002B2CF9AE}" pid="4" name="KSOTemplateDocerSaveRecord">
    <vt:lpwstr>eyJoZGlkIjoiMWU0MjA2NjUyNGVkZmE0NmFlNzBiZDUyOWQzNDJhYzEiLCJ1c2VySWQiOiI5MTQ2MDk3NTIifQ==</vt:lpwstr>
  </property>
</Properties>
</file>