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93"/>
        <w:jc w:val="center"/>
        <w:rPr>
          <w:rFonts w:ascii="Times New Roman" w:eastAsia="方正小标宋简体"/>
          <w:kern w:val="2"/>
          <w:sz w:val="44"/>
          <w:szCs w:val="44"/>
        </w:rPr>
      </w:pPr>
    </w:p>
    <w:p>
      <w:pPr>
        <w:pStyle w:val="4"/>
        <w:spacing w:before="93"/>
        <w:jc w:val="center"/>
        <w:rPr>
          <w:rFonts w:ascii="Times New Roman" w:eastAsia="方正小标宋简体"/>
          <w:kern w:val="2"/>
          <w:sz w:val="44"/>
          <w:szCs w:val="44"/>
        </w:rPr>
      </w:pPr>
    </w:p>
    <w:p>
      <w:pPr>
        <w:pStyle w:val="4"/>
        <w:spacing w:before="93"/>
        <w:jc w:val="center"/>
        <w:rPr>
          <w:rFonts w:ascii="Times New Roman" w:eastAsia="方正小标宋简体"/>
          <w:kern w:val="2"/>
          <w:sz w:val="44"/>
          <w:szCs w:val="44"/>
        </w:rPr>
      </w:pPr>
    </w:p>
    <w:p>
      <w:pPr>
        <w:pStyle w:val="4"/>
        <w:spacing w:before="93"/>
        <w:jc w:val="center"/>
        <w:rPr>
          <w:rFonts w:ascii="Times New Roman" w:eastAsia="方正小标宋简体"/>
          <w:kern w:val="2"/>
          <w:sz w:val="44"/>
          <w:szCs w:val="44"/>
        </w:rPr>
      </w:pPr>
    </w:p>
    <w:p>
      <w:pPr>
        <w:pStyle w:val="4"/>
        <w:spacing w:before="93"/>
        <w:jc w:val="center"/>
        <w:rPr>
          <w:rFonts w:ascii="Times New Roman" w:eastAsia="方正小标宋简体"/>
          <w:kern w:val="2"/>
          <w:sz w:val="44"/>
          <w:szCs w:val="44"/>
        </w:rPr>
      </w:pPr>
    </w:p>
    <w:p>
      <w:pPr>
        <w:pStyle w:val="4"/>
        <w:spacing w:before="93"/>
        <w:jc w:val="center"/>
        <w:rPr>
          <w:rFonts w:hint="eastAsia" w:ascii="Times New Roman" w:eastAsia="方正小标宋简体"/>
          <w:kern w:val="2"/>
          <w:sz w:val="44"/>
          <w:szCs w:val="44"/>
        </w:rPr>
      </w:pPr>
      <w:r>
        <w:rPr>
          <w:rFonts w:hint="eastAsia" w:ascii="Times New Roman" w:eastAsia="方正小标宋简体"/>
          <w:kern w:val="2"/>
          <w:sz w:val="44"/>
          <w:szCs w:val="44"/>
        </w:rPr>
        <w:t>2024年度</w:t>
      </w:r>
    </w:p>
    <w:p>
      <w:pPr>
        <w:pStyle w:val="4"/>
        <w:spacing w:before="93"/>
        <w:jc w:val="center"/>
        <w:rPr>
          <w:rFonts w:hint="eastAsia" w:ascii="Times New Roman" w:eastAsia="方正小标宋简体"/>
          <w:kern w:val="2"/>
          <w:sz w:val="44"/>
          <w:szCs w:val="44"/>
        </w:rPr>
      </w:pPr>
      <w:r>
        <w:rPr>
          <w:rFonts w:hint="eastAsia" w:ascii="Times New Roman" w:eastAsia="方正小标宋简体"/>
          <w:kern w:val="2"/>
          <w:sz w:val="44"/>
          <w:szCs w:val="44"/>
        </w:rPr>
        <w:t>四川省攀枝花市建设工程造价站</w:t>
      </w:r>
    </w:p>
    <w:p>
      <w:pPr>
        <w:pStyle w:val="4"/>
        <w:spacing w:before="93"/>
        <w:jc w:val="center"/>
        <w:rPr>
          <w:rFonts w:cs="仿宋_GB2312"/>
          <w:sz w:val="32"/>
          <w:szCs w:val="32"/>
        </w:rPr>
      </w:pPr>
      <w:bookmarkStart w:id="6" w:name="_GoBack"/>
      <w:bookmarkEnd w:id="6"/>
      <w:r>
        <w:rPr>
          <w:rFonts w:hint="eastAsia" w:ascii="Times New Roman" w:eastAsia="方正小标宋简体"/>
          <w:kern w:val="2"/>
          <w:sz w:val="44"/>
          <w:szCs w:val="44"/>
        </w:rPr>
        <w:t>单位决算</w:t>
      </w:r>
    </w:p>
    <w:p>
      <w:pPr>
        <w:widowControl/>
        <w:jc w:val="center"/>
        <w:rPr>
          <w:rFonts w:eastAsia="黑体"/>
          <w:sz w:val="48"/>
          <w:szCs w:val="48"/>
        </w:rPr>
      </w:pPr>
      <w:r>
        <w:rPr>
          <w:rFonts w:eastAsia="方正小标宋简体"/>
          <w:sz w:val="36"/>
          <w:szCs w:val="36"/>
        </w:rPr>
        <w:br w:type="page"/>
      </w:r>
      <w:r>
        <w:rPr>
          <w:rFonts w:hint="eastAsia" w:eastAsia="黑体"/>
          <w:sz w:val="48"/>
          <w:szCs w:val="48"/>
        </w:rPr>
        <w:t>目录</w:t>
      </w:r>
    </w:p>
    <w:p>
      <w:pPr>
        <w:widowControl/>
        <w:jc w:val="center"/>
        <w:rPr>
          <w:rFonts w:eastAsia="黑体" w:cstheme="minorBidi"/>
          <w:sz w:val="28"/>
          <w:szCs w:val="28"/>
        </w:rPr>
      </w:pPr>
    </w:p>
    <w:p>
      <w:pPr>
        <w:pStyle w:val="9"/>
        <w:jc w:val="center"/>
        <w:rPr>
          <w:rFonts w:hint="eastAsia" w:eastAsia="仿宋_GB2312" w:cs="仿宋_GB2312"/>
          <w:sz w:val="32"/>
          <w:szCs w:val="32"/>
        </w:rPr>
      </w:pPr>
      <w:r>
        <w:rPr>
          <w:rFonts w:hint="eastAsia" w:eastAsia="仿宋_GB2312" w:cs="仿宋_GB2312"/>
          <w:sz w:val="32"/>
          <w:szCs w:val="32"/>
        </w:rPr>
        <w:t>公开时间：2025年9月</w:t>
      </w:r>
      <w:r>
        <w:rPr>
          <w:rFonts w:hint="eastAsia" w:eastAsia="仿宋_GB2312" w:cs="仿宋_GB2312"/>
          <w:sz w:val="32"/>
          <w:szCs w:val="32"/>
          <w:lang w:val="en-US" w:eastAsia="zh-CN"/>
        </w:rPr>
        <w:t>17</w:t>
      </w:r>
      <w:r>
        <w:rPr>
          <w:rFonts w:hint="eastAsia" w:eastAsia="仿宋_GB2312" w:cs="仿宋_GB2312"/>
          <w:sz w:val="32"/>
          <w:szCs w:val="32"/>
        </w:rPr>
        <w:t>日</w:t>
      </w:r>
    </w:p>
    <w:p>
      <w:pPr>
        <w:pStyle w:val="12"/>
        <w:adjustRightInd w:val="0"/>
        <w:snapToGrid w:val="0"/>
        <w:spacing w:line="440" w:lineRule="exact"/>
        <w:ind w:left="0" w:leftChars="0" w:firstLine="0" w:firstLineChars="0"/>
        <w:rPr>
          <w:rFonts w:ascii="仿宋_GB2312" w:hAnsi="宋体" w:eastAsia="仿宋_GB2312"/>
          <w:sz w:val="32"/>
          <w:szCs w:val="32"/>
        </w:rPr>
      </w:pPr>
      <w:r>
        <w:rPr>
          <w:rFonts w:hint="eastAsia" w:ascii="仿宋_GB2312" w:hAnsi="宋体" w:eastAsia="仿宋_GB2312"/>
          <w:sz w:val="32"/>
          <w:szCs w:val="32"/>
          <w:lang w:val="en-US" w:eastAsia="zh-CN"/>
        </w:rPr>
        <w:t>第一部分单位概况</w:t>
      </w:r>
      <w:r>
        <w:rPr>
          <w:rFonts w:hint="eastAsia" w:ascii="仿宋_GB2312" w:hAnsi="宋体" w:eastAsia="仿宋_GB2312"/>
          <w:sz w:val="32"/>
          <w:szCs w:val="32"/>
        </w:rPr>
        <w:tab/>
      </w:r>
      <w:r>
        <w:rPr>
          <w:rFonts w:hint="eastAsia" w:ascii="仿宋_GB2312" w:hAnsi="宋体" w:eastAsia="仿宋_GB2312"/>
          <w:sz w:val="32"/>
          <w:szCs w:val="32"/>
        </w:rPr>
        <w:t>4</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一、主要职责</w:t>
      </w:r>
      <w:r>
        <w:rPr>
          <w:rFonts w:hint="eastAsia" w:ascii="仿宋_GB2312" w:hAnsi="宋体" w:eastAsia="仿宋_GB2312"/>
          <w:sz w:val="32"/>
          <w:szCs w:val="32"/>
        </w:rPr>
        <w:tab/>
      </w:r>
      <w:r>
        <w:rPr>
          <w:rFonts w:hint="eastAsia" w:ascii="仿宋_GB2312" w:hAnsi="宋体" w:eastAsia="仿宋_GB2312"/>
          <w:sz w:val="32"/>
          <w:szCs w:val="32"/>
        </w:rPr>
        <w:t>4</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二、机构设置</w:t>
      </w:r>
      <w:r>
        <w:rPr>
          <w:rFonts w:hint="eastAsia" w:ascii="仿宋_GB2312" w:hAnsi="宋体" w:eastAsia="仿宋_GB2312"/>
          <w:sz w:val="32"/>
          <w:szCs w:val="32"/>
        </w:rPr>
        <w:tab/>
      </w:r>
      <w:r>
        <w:rPr>
          <w:rFonts w:hint="eastAsia" w:ascii="仿宋_GB2312" w:hAnsi="宋体" w:eastAsia="仿宋_GB2312"/>
          <w:sz w:val="32"/>
          <w:szCs w:val="32"/>
        </w:rPr>
        <w:t>4</w:t>
      </w:r>
    </w:p>
    <w:p>
      <w:pPr>
        <w:pStyle w:val="9"/>
        <w:tabs>
          <w:tab w:val="right" w:leader="dot" w:pos="8296"/>
        </w:tabs>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第二部分2024年度单位决算情况说明</w:t>
      </w:r>
      <w:r>
        <w:rPr>
          <w:rFonts w:hint="eastAsia" w:ascii="仿宋_GB2312" w:hAnsi="宋体" w:eastAsia="仿宋_GB2312"/>
          <w:sz w:val="32"/>
          <w:szCs w:val="32"/>
        </w:rPr>
        <w:tab/>
      </w:r>
      <w:r>
        <w:rPr>
          <w:rFonts w:hint="eastAsia" w:ascii="仿宋_GB2312" w:hAnsi="宋体" w:eastAsia="仿宋_GB2312"/>
          <w:sz w:val="32"/>
          <w:szCs w:val="32"/>
        </w:rPr>
        <w:t>5</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一、收入支出决算总体情况说明</w:t>
      </w:r>
      <w:r>
        <w:rPr>
          <w:rFonts w:hint="eastAsia" w:ascii="仿宋_GB2312" w:hAnsi="宋体" w:eastAsia="仿宋_GB2312"/>
          <w:sz w:val="32"/>
          <w:szCs w:val="32"/>
        </w:rPr>
        <w:tab/>
      </w:r>
      <w:r>
        <w:rPr>
          <w:rFonts w:hint="eastAsia" w:ascii="仿宋_GB2312" w:hAnsi="宋体" w:eastAsia="仿宋_GB2312"/>
          <w:sz w:val="32"/>
          <w:szCs w:val="32"/>
        </w:rPr>
        <w:t>5</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二、收入决算情况说明</w:t>
      </w:r>
      <w:r>
        <w:rPr>
          <w:rFonts w:hint="eastAsia" w:ascii="仿宋_GB2312" w:hAnsi="宋体" w:eastAsia="仿宋_GB2312"/>
          <w:sz w:val="32"/>
          <w:szCs w:val="32"/>
        </w:rPr>
        <w:tab/>
      </w:r>
      <w:r>
        <w:rPr>
          <w:rFonts w:hint="eastAsia" w:ascii="仿宋_GB2312" w:hAnsi="宋体" w:eastAsia="仿宋_GB2312"/>
          <w:sz w:val="32"/>
          <w:szCs w:val="32"/>
        </w:rPr>
        <w:t>5</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三、支出决算情况说明</w:t>
      </w:r>
      <w:r>
        <w:rPr>
          <w:rFonts w:hint="eastAsia" w:ascii="仿宋_GB2312" w:hAnsi="宋体" w:eastAsia="仿宋_GB2312"/>
          <w:sz w:val="32"/>
          <w:szCs w:val="32"/>
        </w:rPr>
        <w:tab/>
      </w:r>
      <w:r>
        <w:rPr>
          <w:rFonts w:hint="eastAsia" w:ascii="仿宋_GB2312" w:hAnsi="宋体" w:eastAsia="仿宋_GB2312"/>
          <w:sz w:val="32"/>
          <w:szCs w:val="32"/>
        </w:rPr>
        <w:t>6</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四、财政拨款收入支出决算总体情况说明</w:t>
      </w:r>
      <w:r>
        <w:rPr>
          <w:rFonts w:hint="eastAsia" w:ascii="仿宋_GB2312" w:hAnsi="宋体" w:eastAsia="仿宋_GB2312"/>
          <w:sz w:val="32"/>
          <w:szCs w:val="32"/>
        </w:rPr>
        <w:tab/>
      </w:r>
      <w:r>
        <w:rPr>
          <w:rFonts w:hint="eastAsia" w:ascii="仿宋_GB2312" w:hAnsi="宋体" w:eastAsia="仿宋_GB2312"/>
          <w:sz w:val="32"/>
          <w:szCs w:val="32"/>
        </w:rPr>
        <w:t>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五、一般公共预算财政拨款支出决算情况说明</w:t>
      </w:r>
      <w:r>
        <w:rPr>
          <w:rFonts w:hint="eastAsia" w:ascii="仿宋_GB2312" w:hAnsi="宋体" w:eastAsia="仿宋_GB2312"/>
          <w:sz w:val="32"/>
          <w:szCs w:val="32"/>
        </w:rPr>
        <w:tab/>
      </w:r>
      <w:r>
        <w:rPr>
          <w:rFonts w:hint="eastAsia" w:ascii="仿宋_GB2312" w:hAnsi="宋体" w:eastAsia="仿宋_GB2312"/>
          <w:sz w:val="32"/>
          <w:szCs w:val="32"/>
        </w:rPr>
        <w:t>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六、一般公共预算财政拨款基本支出决算情况说明</w:t>
      </w:r>
      <w:r>
        <w:rPr>
          <w:rFonts w:hint="eastAsia" w:ascii="仿宋_GB2312" w:hAnsi="宋体" w:eastAsia="仿宋_GB2312"/>
          <w:sz w:val="32"/>
          <w:szCs w:val="32"/>
        </w:rPr>
        <w:tab/>
      </w:r>
      <w:r>
        <w:rPr>
          <w:rFonts w:hint="eastAsia" w:ascii="仿宋_GB2312" w:hAnsi="宋体" w:eastAsia="仿宋_GB2312"/>
          <w:sz w:val="32"/>
          <w:szCs w:val="32"/>
        </w:rPr>
        <w:t>9</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七、财政拨款“三公”经费支出决算情况说明</w:t>
      </w:r>
      <w:r>
        <w:rPr>
          <w:rFonts w:hint="eastAsia" w:ascii="仿宋_GB2312" w:hAnsi="宋体" w:eastAsia="仿宋_GB2312"/>
          <w:sz w:val="32"/>
          <w:szCs w:val="32"/>
        </w:rPr>
        <w:tab/>
      </w:r>
      <w:r>
        <w:rPr>
          <w:rFonts w:hint="eastAsia" w:ascii="仿宋_GB2312" w:hAnsi="宋体" w:eastAsia="仿宋_GB2312"/>
          <w:sz w:val="32"/>
          <w:szCs w:val="32"/>
        </w:rPr>
        <w:t>10</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八、政府性基金预算支出决算情况说明</w:t>
      </w:r>
      <w:r>
        <w:rPr>
          <w:rFonts w:hint="eastAsia" w:ascii="仿宋_GB2312" w:hAnsi="宋体" w:eastAsia="仿宋_GB2312"/>
          <w:sz w:val="32"/>
          <w:szCs w:val="32"/>
        </w:rPr>
        <w:tab/>
      </w:r>
      <w:r>
        <w:rPr>
          <w:rFonts w:hint="eastAsia" w:ascii="仿宋_GB2312" w:hAnsi="宋体" w:eastAsia="仿宋_GB2312"/>
          <w:sz w:val="32"/>
          <w:szCs w:val="32"/>
        </w:rPr>
        <w:t>12</w:t>
      </w:r>
    </w:p>
    <w:p>
      <w:pPr>
        <w:pStyle w:val="12"/>
        <w:adjustRightInd w:val="0"/>
        <w:snapToGrid w:val="0"/>
        <w:spacing w:line="440" w:lineRule="exact"/>
        <w:ind w:leftChars="0"/>
        <w:rPr>
          <w:rFonts w:ascii="仿宋_GB2312" w:hAnsi="宋体" w:eastAsia="仿宋_GB2312"/>
          <w:sz w:val="32"/>
          <w:szCs w:val="32"/>
        </w:rPr>
      </w:pPr>
      <w:r>
        <w:rPr>
          <w:rFonts w:hint="eastAsia" w:ascii="仿宋_GB2312" w:hAnsi="宋体" w:eastAsia="仿宋_GB2312"/>
          <w:sz w:val="32"/>
          <w:szCs w:val="32"/>
        </w:rPr>
        <w:t>九、国有资本经营预算支出决算情况说明</w:t>
      </w:r>
      <w:r>
        <w:rPr>
          <w:rFonts w:hint="eastAsia" w:ascii="仿宋_GB2312" w:hAnsi="宋体" w:eastAsia="仿宋_GB2312"/>
          <w:sz w:val="32"/>
          <w:szCs w:val="32"/>
        </w:rPr>
        <w:tab/>
      </w:r>
      <w:r>
        <w:rPr>
          <w:rFonts w:hint="eastAsia" w:ascii="仿宋_GB2312" w:hAnsi="宋体" w:eastAsia="仿宋_GB2312"/>
          <w:sz w:val="32"/>
          <w:szCs w:val="32"/>
        </w:rPr>
        <w:t>12</w:t>
      </w:r>
    </w:p>
    <w:p>
      <w:pPr>
        <w:tabs>
          <w:tab w:val="right" w:leader="dot" w:pos="8306"/>
        </w:tabs>
        <w:adjustRightInd w:val="0"/>
        <w:snapToGrid w:val="0"/>
        <w:spacing w:line="440" w:lineRule="exact"/>
        <w:ind w:firstLine="640" w:firstLineChars="200"/>
        <w:rPr>
          <w:rFonts w:ascii="仿宋_GB2312" w:hAnsi="宋体" w:eastAsia="仿宋_GB2312"/>
          <w:sz w:val="32"/>
          <w:szCs w:val="32"/>
        </w:rPr>
      </w:pPr>
      <w:r>
        <w:rPr>
          <w:rStyle w:val="16"/>
          <w:rFonts w:hint="eastAsia" w:ascii="仿宋_GB2312" w:hAnsi="宋体" w:eastAsia="仿宋_GB2312"/>
          <w:color w:val="000000"/>
          <w:sz w:val="32"/>
          <w:szCs w:val="32"/>
          <w:u w:val="none"/>
        </w:rPr>
        <w:t>十、</w:t>
      </w:r>
      <w:r>
        <w:rPr>
          <w:rFonts w:hint="eastAsia" w:ascii="仿宋_GB2312" w:hAnsi="宋体" w:eastAsia="仿宋_GB2312"/>
          <w:sz w:val="32"/>
          <w:szCs w:val="32"/>
        </w:rPr>
        <w:t>其他重要事项的情况说明</w:t>
      </w:r>
      <w:r>
        <w:rPr>
          <w:rFonts w:hint="eastAsia" w:ascii="仿宋_GB2312" w:hAnsi="宋体" w:eastAsia="仿宋_GB2312"/>
          <w:sz w:val="32"/>
          <w:szCs w:val="32"/>
        </w:rPr>
        <w:tab/>
      </w:r>
      <w:r>
        <w:rPr>
          <w:rFonts w:hint="eastAsia" w:ascii="仿宋_GB2312" w:hAnsi="宋体" w:eastAsia="仿宋_GB2312"/>
          <w:sz w:val="32"/>
          <w:szCs w:val="32"/>
        </w:rPr>
        <w:t>12</w:t>
      </w:r>
    </w:p>
    <w:p>
      <w:pPr>
        <w:pStyle w:val="9"/>
        <w:tabs>
          <w:tab w:val="right" w:leader="dot" w:pos="8296"/>
        </w:tabs>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第三部分名词解释</w:t>
      </w:r>
      <w:r>
        <w:rPr>
          <w:rFonts w:hint="eastAsia" w:ascii="仿宋_GB2312" w:hAnsi="宋体" w:eastAsia="仿宋_GB2312"/>
          <w:sz w:val="32"/>
          <w:szCs w:val="32"/>
        </w:rPr>
        <w:tab/>
      </w:r>
      <w:r>
        <w:rPr>
          <w:rFonts w:hint="eastAsia" w:ascii="仿宋_GB2312" w:hAnsi="宋体" w:eastAsia="仿宋_GB2312"/>
          <w:sz w:val="32"/>
          <w:szCs w:val="32"/>
        </w:rPr>
        <w:t>14</w:t>
      </w:r>
    </w:p>
    <w:p>
      <w:pPr>
        <w:pStyle w:val="9"/>
        <w:tabs>
          <w:tab w:val="right" w:leader="dot" w:pos="8296"/>
        </w:tabs>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第四部分附件</w:t>
      </w:r>
      <w:r>
        <w:rPr>
          <w:rFonts w:hint="eastAsia" w:ascii="仿宋_GB2312" w:hAnsi="宋体" w:eastAsia="仿宋_GB2312"/>
          <w:sz w:val="32"/>
          <w:szCs w:val="32"/>
        </w:rPr>
        <w:tab/>
      </w:r>
      <w:r>
        <w:rPr>
          <w:rFonts w:hint="eastAsia" w:ascii="仿宋_GB2312" w:hAnsi="宋体" w:eastAsia="仿宋_GB2312"/>
          <w:sz w:val="32"/>
          <w:szCs w:val="32"/>
        </w:rPr>
        <w:t>16</w:t>
      </w:r>
    </w:p>
    <w:p>
      <w:pPr>
        <w:pStyle w:val="9"/>
        <w:tabs>
          <w:tab w:val="right" w:leader="dot" w:pos="8296"/>
        </w:tabs>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第五部分附表</w:t>
      </w:r>
      <w:r>
        <w:rPr>
          <w:rFonts w:hint="eastAsia" w:ascii="仿宋_GB2312" w:hAnsi="宋体" w:eastAsia="仿宋_GB2312"/>
          <w:sz w:val="32"/>
          <w:szCs w:val="32"/>
        </w:rPr>
        <w:tab/>
      </w:r>
      <w:bookmarkStart w:id="0" w:name="OLE_LINK8"/>
      <w:bookmarkStart w:id="1" w:name="OLE_LINK9"/>
      <w:r>
        <w:rPr>
          <w:rFonts w:hint="eastAsia" w:ascii="仿宋_GB2312" w:hAnsi="宋体" w:eastAsia="仿宋_GB2312"/>
          <w:sz w:val="32"/>
          <w:szCs w:val="32"/>
        </w:rPr>
        <w:t>1</w:t>
      </w:r>
      <w:bookmarkEnd w:id="0"/>
      <w:bookmarkEnd w:id="1"/>
      <w:r>
        <w:rPr>
          <w:rFonts w:hint="eastAsia" w:ascii="仿宋_GB2312" w:hAnsi="宋体" w:eastAsia="仿宋_GB2312"/>
          <w:sz w:val="32"/>
          <w:szCs w:val="32"/>
        </w:rPr>
        <w:t>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一、收入支出决算总表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二、收入决算表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三、支出决算表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四、财政拨款收入支出决算总表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五、财政拨款支出决算明细表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六、一般公共预算财政拨款支出决算表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七、一般公共预算财政拨款支出决算明细表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八、一般公共预算财政拨款基本支出决算明细表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九、一般公共预算财政拨款项目支出决算表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十、政府性基金预算财政拨款收入支出决算表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十一、国有资本经营预算财政拨款收入支出决算表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十二、国有资本经营预算财政拨款支出决算表</w:t>
      </w:r>
      <w:r>
        <w:rPr>
          <w:rFonts w:hint="eastAsia" w:ascii="仿宋_GB2312" w:hAnsi="宋体" w:eastAsia="仿宋_GB2312"/>
          <w:sz w:val="32"/>
          <w:szCs w:val="32"/>
        </w:rPr>
        <w:tab/>
      </w:r>
      <w:r>
        <w:rPr>
          <w:rFonts w:hint="eastAsia" w:ascii="仿宋_GB2312" w:hAnsi="宋体" w:eastAsia="仿宋_GB2312"/>
          <w:sz w:val="32"/>
          <w:szCs w:val="32"/>
        </w:rPr>
        <w:t>17</w:t>
      </w:r>
    </w:p>
    <w:p>
      <w:pPr>
        <w:pStyle w:val="12"/>
        <w:adjustRightInd w:val="0"/>
        <w:snapToGrid w:val="0"/>
        <w:spacing w:line="440" w:lineRule="exact"/>
        <w:rPr>
          <w:rFonts w:ascii="仿宋_GB2312" w:hAnsi="宋体" w:eastAsia="仿宋_GB2312"/>
          <w:sz w:val="32"/>
          <w:szCs w:val="32"/>
        </w:rPr>
      </w:pPr>
      <w:r>
        <w:rPr>
          <w:rFonts w:hint="eastAsia" w:ascii="仿宋_GB2312" w:hAnsi="宋体" w:eastAsia="仿宋_GB2312"/>
          <w:sz w:val="32"/>
          <w:szCs w:val="32"/>
        </w:rPr>
        <w:t>十三、财政拨款“三公”经费支出决算表</w:t>
      </w:r>
      <w:r>
        <w:rPr>
          <w:rFonts w:hint="eastAsia" w:ascii="仿宋_GB2312" w:hAnsi="宋体" w:eastAsia="仿宋_GB2312"/>
          <w:sz w:val="32"/>
          <w:szCs w:val="32"/>
        </w:rPr>
        <w:tab/>
      </w:r>
      <w:r>
        <w:rPr>
          <w:rFonts w:hint="eastAsia" w:ascii="仿宋_GB2312" w:hAnsi="宋体" w:eastAsia="仿宋_GB2312"/>
          <w:sz w:val="32"/>
          <w:szCs w:val="32"/>
        </w:rPr>
        <w:t>17</w:t>
      </w:r>
    </w:p>
    <w:p>
      <w:pPr>
        <w:widowControl/>
        <w:spacing w:line="440" w:lineRule="exact"/>
        <w:jc w:val="left"/>
        <w:rPr>
          <w:rFonts w:ascii="仿宋_GB2312" w:hAnsi="仿宋" w:eastAsia="仿宋_GB2312"/>
          <w:bCs/>
          <w:kern w:val="44"/>
          <w:sz w:val="32"/>
          <w:szCs w:val="32"/>
        </w:rPr>
      </w:pPr>
      <w:r>
        <w:rPr>
          <w:rFonts w:hint="eastAsia" w:ascii="仿宋_GB2312" w:hAnsi="仿宋" w:eastAsia="仿宋_GB2312"/>
          <w:b/>
          <w:sz w:val="32"/>
          <w:szCs w:val="32"/>
        </w:rPr>
        <w:br w:type="page"/>
      </w:r>
    </w:p>
    <w:p>
      <w:pPr>
        <w:pStyle w:val="2"/>
        <w:jc w:val="center"/>
        <w:rPr>
          <w:rFonts w:eastAsia="方正小标宋简体" w:cs="方正小标宋简体"/>
          <w:b w:val="0"/>
          <w:bCs w:val="0"/>
        </w:rPr>
      </w:pPr>
      <w:bookmarkStart w:id="2" w:name="OLE_LINK1"/>
      <w:bookmarkStart w:id="3" w:name="OLE_LINK2"/>
      <w:r>
        <w:rPr>
          <w:rFonts w:hint="eastAsia" w:eastAsia="方正小标宋简体" w:cs="方正小标宋简体"/>
          <w:b w:val="0"/>
        </w:rPr>
        <w:t>第一部分 单位</w:t>
      </w:r>
      <w:r>
        <w:rPr>
          <w:rStyle w:val="19"/>
          <w:rFonts w:hint="eastAsia" w:eastAsia="方正小标宋简体" w:cs="方正小标宋简体"/>
          <w:b w:val="0"/>
          <w:bCs w:val="0"/>
        </w:rPr>
        <w:t>概况</w:t>
      </w:r>
    </w:p>
    <w:p>
      <w:pPr>
        <w:pStyle w:val="3"/>
        <w:numPr>
          <w:ilvl w:val="0"/>
          <w:numId w:val="1"/>
        </w:numPr>
        <w:spacing w:line="600" w:lineRule="exact"/>
        <w:rPr>
          <w:rFonts w:ascii="Times New Roman" w:hAnsi="Times New Roman" w:eastAsia="黑体"/>
          <w:b w:val="0"/>
        </w:rPr>
      </w:pPr>
      <w:r>
        <w:rPr>
          <w:rFonts w:hint="eastAsia" w:ascii="Times New Roman" w:hAnsi="Times New Roman" w:eastAsia="黑体"/>
          <w:b w:val="0"/>
        </w:rPr>
        <w:t>主要职责</w:t>
      </w:r>
    </w:p>
    <w:p>
      <w:pPr>
        <w:widowControl/>
        <w:spacing w:line="600" w:lineRule="exact"/>
        <w:ind w:firstLine="640" w:firstLineChars="200"/>
        <w:rPr>
          <w:rFonts w:hint="eastAsia"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四川省攀枝花市建设工程造价站是预算内全额拨款事业单位，主要职责是：负责全市建设工程发承包计价等相关事务性工作；负责全市建筑材料价格信息、定额人工费调整系数、工程造价指数等信息收集、整理、上报、发布工作；负责全市建设工程计价纠纷的协调工作；负责全市建设工程安全文明施工费费率测定工作；负责全市《四川省施工企业工程规费计取标准》证书的核发和定额缺项的补充收集工作。</w:t>
      </w:r>
    </w:p>
    <w:p>
      <w:pPr>
        <w:pStyle w:val="3"/>
        <w:ind w:firstLine="640" w:firstLineChars="200"/>
        <w:rPr>
          <w:rStyle w:val="20"/>
          <w:rFonts w:ascii="Times New Roman" w:hAnsi="Times New Roman" w:eastAsia="黑体"/>
          <w:b w:val="0"/>
          <w:bCs w:val="0"/>
        </w:rPr>
      </w:pPr>
      <w:r>
        <w:rPr>
          <w:rFonts w:hint="eastAsia" w:ascii="Times New Roman" w:hAnsi="Times New Roman" w:eastAsia="黑体"/>
          <w:b w:val="0"/>
        </w:rPr>
        <w:t>二、机</w:t>
      </w:r>
      <w:r>
        <w:rPr>
          <w:rStyle w:val="20"/>
          <w:rFonts w:hint="eastAsia" w:ascii="Times New Roman" w:hAnsi="Times New Roman" w:eastAsia="黑体"/>
          <w:b w:val="0"/>
          <w:bCs w:val="0"/>
        </w:rPr>
        <w:t>构设置</w:t>
      </w:r>
    </w:p>
    <w:p>
      <w:pPr>
        <w:autoSpaceDE w:val="0"/>
        <w:autoSpaceDN w:val="0"/>
        <w:adjustRightInd w:val="0"/>
        <w:ind w:firstLine="640" w:firstLineChars="200"/>
        <w:jc w:val="left"/>
        <w:rPr>
          <w:rFonts w:hint="eastAsia" w:ascii="仿宋_GB2312" w:hAnsi="方正仿宋_GB2312" w:eastAsia="仿宋_GB2312" w:cs="方正仿宋_GB2312"/>
          <w:color w:val="000000"/>
          <w:sz w:val="32"/>
          <w:szCs w:val="32"/>
        </w:rPr>
      </w:pPr>
      <w:r>
        <w:rPr>
          <w:rFonts w:hint="eastAsia" w:ascii="仿宋_GB2312" w:hAnsi="仿宋_GB2312" w:eastAsia="仿宋_GB2312" w:cs="仿宋_GB2312"/>
          <w:sz w:val="32"/>
          <w:szCs w:val="32"/>
        </w:rPr>
        <w:t>四川省攀枝花市建设工程造价站</w:t>
      </w:r>
      <w:r>
        <w:rPr>
          <w:rFonts w:hint="eastAsia" w:ascii="仿宋_GB2312" w:hAnsi="方正仿宋_GB2312" w:eastAsia="仿宋_GB2312" w:cs="方正仿宋_GB2312"/>
          <w:kern w:val="0"/>
          <w:sz w:val="32"/>
          <w:szCs w:val="32"/>
        </w:rPr>
        <w:t>为攀枝花市住房和城乡建设局下属公益一类副县级事业单位，下设：办公室、造价科、定额科、价格信息科共四个科室。</w:t>
      </w:r>
    </w:p>
    <w:p>
      <w:pPr>
        <w:widowControl/>
        <w:jc w:val="left"/>
        <w:rPr>
          <w:rFonts w:eastAsia="仿宋"/>
          <w:kern w:val="0"/>
          <w:sz w:val="32"/>
          <w:szCs w:val="32"/>
        </w:rPr>
      </w:pPr>
      <w:r>
        <w:rPr>
          <w:rFonts w:eastAsia="仿宋"/>
          <w:sz w:val="32"/>
          <w:szCs w:val="32"/>
        </w:rPr>
        <w:br w:type="page"/>
      </w:r>
    </w:p>
    <w:p>
      <w:pPr>
        <w:pStyle w:val="2"/>
        <w:jc w:val="center"/>
        <w:rPr>
          <w:rFonts w:eastAsia="方正小标宋简体" w:cs="方正小标宋简体"/>
          <w:b w:val="0"/>
        </w:rPr>
      </w:pPr>
      <w:r>
        <w:rPr>
          <w:rFonts w:hint="eastAsia" w:eastAsia="方正小标宋简体" w:cs="方正小标宋简体"/>
          <w:b w:val="0"/>
        </w:rPr>
        <w:t>第二部分2024年度单位情况说明</w:t>
      </w:r>
    </w:p>
    <w:p/>
    <w:p>
      <w:pPr>
        <w:pStyle w:val="26"/>
        <w:spacing w:line="600" w:lineRule="exact"/>
        <w:ind w:firstLine="640"/>
        <w:outlineLvl w:val="1"/>
        <w:rPr>
          <w:rStyle w:val="20"/>
          <w:rFonts w:eastAsia="黑体"/>
          <w:b w:val="0"/>
        </w:rPr>
      </w:pPr>
      <w:r>
        <w:rPr>
          <w:rFonts w:hint="eastAsia" w:eastAsia="黑体"/>
          <w:sz w:val="32"/>
          <w:szCs w:val="32"/>
        </w:rPr>
        <w:t>一、收</w:t>
      </w:r>
      <w:r>
        <w:rPr>
          <w:rStyle w:val="20"/>
          <w:rFonts w:hint="eastAsia" w:eastAsia="黑体"/>
        </w:rPr>
        <w:t>入支出决算总体情况说明</w:t>
      </w:r>
    </w:p>
    <w:p>
      <w:pPr>
        <w:pStyle w:val="26"/>
        <w:spacing w:line="600" w:lineRule="exact"/>
        <w:ind w:firstLine="640"/>
        <w:outlineLvl w:val="1"/>
        <w:rPr>
          <w:rFonts w:eastAsia="仿宋_GB2312" w:cs="仿宋_GB2312"/>
          <w:sz w:val="32"/>
          <w:szCs w:val="32"/>
        </w:rPr>
      </w:pPr>
      <w:r>
        <w:rPr>
          <w:rFonts w:hint="eastAsia" w:eastAsia="仿宋_GB2312" w:cs="仿宋_GB2312"/>
          <w:sz w:val="32"/>
          <w:szCs w:val="32"/>
        </w:rPr>
        <w:t>2024年度收入、支出总计均为364.93万元。与2023年度相比，收入、支出总计各减少14.86万元，下降3.92%。主要变动原因是厉行节约，合理使用公用经费。</w:t>
      </w:r>
    </w:p>
    <w:p>
      <w:pPr>
        <w:pStyle w:val="26"/>
        <w:spacing w:line="600" w:lineRule="exact"/>
        <w:ind w:firstLine="640"/>
        <w:outlineLvl w:val="1"/>
        <w:rPr>
          <w:rFonts w:eastAsia="仿宋_GB2312" w:cs="仿宋_GB2312"/>
          <w:sz w:val="32"/>
          <w:szCs w:val="32"/>
        </w:rPr>
      </w:pPr>
    </w:p>
    <w:p>
      <w:pPr>
        <w:spacing w:line="600" w:lineRule="exact"/>
        <w:ind w:firstLine="640" w:firstLineChars="200"/>
        <w:rPr>
          <w:rFonts w:ascii="仿宋_GB2312" w:hAnsi="仿宋" w:eastAsia="仿宋_GB2312"/>
          <w:color w:val="000000"/>
          <w:sz w:val="32"/>
          <w:szCs w:val="32"/>
        </w:rPr>
      </w:pPr>
      <w:r>
        <w:rPr>
          <w:rFonts w:ascii="仿宋_GB2312" w:hAnsi="仿宋" w:eastAsia="仿宋_GB2312"/>
          <w:color w:val="000000"/>
          <w:sz w:val="32"/>
          <w:szCs w:val="32"/>
        </w:rPr>
        <w:drawing>
          <wp:anchor distT="0" distB="0" distL="114300" distR="114300" simplePos="0" relativeHeight="251659264" behindDoc="0" locked="0" layoutInCell="1" allowOverlap="1">
            <wp:simplePos x="0" y="0"/>
            <wp:positionH relativeFrom="column">
              <wp:posOffset>397510</wp:posOffset>
            </wp:positionH>
            <wp:positionV relativeFrom="paragraph">
              <wp:posOffset>34290</wp:posOffset>
            </wp:positionV>
            <wp:extent cx="4988560" cy="2728595"/>
            <wp:effectExtent l="4445" t="4445" r="17145" b="10160"/>
            <wp:wrapNone/>
            <wp:docPr id="105" name="对象 15"/>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anchor>
        </w:drawing>
      </w:r>
    </w:p>
    <w:p>
      <w:pPr>
        <w:spacing w:line="600" w:lineRule="exact"/>
        <w:ind w:firstLine="640" w:firstLineChars="200"/>
        <w:rPr>
          <w:rFonts w:ascii="仿宋_GB2312" w:hAnsi="仿宋" w:eastAsia="仿宋_GB2312"/>
          <w:color w:val="000000"/>
          <w:sz w:val="32"/>
          <w:szCs w:val="32"/>
        </w:rPr>
      </w:pPr>
    </w:p>
    <w:p>
      <w:pPr>
        <w:spacing w:line="600" w:lineRule="exact"/>
        <w:ind w:firstLine="640" w:firstLineChars="200"/>
        <w:rPr>
          <w:rFonts w:ascii="仿宋_GB2312" w:hAnsi="仿宋" w:eastAsia="仿宋_GB2312"/>
          <w:color w:val="000000"/>
          <w:sz w:val="32"/>
          <w:szCs w:val="32"/>
        </w:rPr>
      </w:pPr>
    </w:p>
    <w:p>
      <w:pPr>
        <w:spacing w:line="600" w:lineRule="exact"/>
        <w:ind w:firstLine="640" w:firstLineChars="200"/>
        <w:rPr>
          <w:rFonts w:ascii="仿宋_GB2312" w:hAnsi="仿宋" w:eastAsia="仿宋_GB2312"/>
          <w:color w:val="000000"/>
          <w:sz w:val="32"/>
          <w:szCs w:val="32"/>
        </w:rPr>
      </w:pPr>
    </w:p>
    <w:p>
      <w:pPr>
        <w:spacing w:line="600" w:lineRule="exact"/>
        <w:ind w:firstLine="640" w:firstLineChars="200"/>
        <w:rPr>
          <w:rFonts w:ascii="仿宋_GB2312" w:hAnsi="仿宋" w:eastAsia="仿宋_GB2312"/>
          <w:color w:val="000000"/>
          <w:sz w:val="32"/>
          <w:szCs w:val="32"/>
        </w:rPr>
      </w:pPr>
    </w:p>
    <w:p>
      <w:pPr>
        <w:spacing w:line="600" w:lineRule="exact"/>
        <w:ind w:firstLine="320" w:firstLineChars="100"/>
        <w:rPr>
          <w:rFonts w:ascii="仿宋" w:hAnsi="仿宋" w:eastAsia="仿宋"/>
          <w:sz w:val="32"/>
          <w:szCs w:val="32"/>
        </w:rPr>
      </w:pPr>
    </w:p>
    <w:p>
      <w:pPr>
        <w:spacing w:line="600" w:lineRule="exact"/>
        <w:ind w:firstLine="320" w:firstLineChars="100"/>
        <w:rPr>
          <w:rFonts w:ascii="仿宋" w:hAnsi="仿宋" w:eastAsia="仿宋"/>
          <w:sz w:val="32"/>
          <w:szCs w:val="32"/>
        </w:rPr>
      </w:pPr>
    </w:p>
    <w:p>
      <w:pPr>
        <w:spacing w:line="600" w:lineRule="exact"/>
        <w:ind w:firstLine="320" w:firstLineChars="100"/>
        <w:rPr>
          <w:rFonts w:ascii="仿宋" w:hAnsi="仿宋" w:eastAsia="仿宋"/>
          <w:sz w:val="32"/>
          <w:szCs w:val="32"/>
        </w:rPr>
      </w:pPr>
    </w:p>
    <w:p>
      <w:pPr>
        <w:spacing w:line="600" w:lineRule="exact"/>
        <w:ind w:firstLine="800" w:firstLineChars="250"/>
        <w:jc w:val="center"/>
        <w:rPr>
          <w:rFonts w:hint="eastAsia"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（图1：收、支决算总计变动情况图）</w:t>
      </w:r>
    </w:p>
    <w:p>
      <w:pPr>
        <w:pStyle w:val="26"/>
        <w:spacing w:line="600" w:lineRule="exact"/>
        <w:ind w:firstLine="640"/>
        <w:outlineLvl w:val="1"/>
        <w:rPr>
          <w:rFonts w:eastAsia="黑体"/>
          <w:sz w:val="32"/>
          <w:szCs w:val="32"/>
        </w:rPr>
      </w:pPr>
      <w:r>
        <w:rPr>
          <w:rFonts w:hint="eastAsia" w:eastAsia="黑体"/>
          <w:sz w:val="32"/>
          <w:szCs w:val="32"/>
        </w:rPr>
        <w:t>二、收入决算情况说明</w:t>
      </w:r>
    </w:p>
    <w:p>
      <w:pPr>
        <w:pStyle w:val="26"/>
        <w:spacing w:line="600" w:lineRule="exact"/>
        <w:ind w:firstLine="640"/>
        <w:jc w:val="left"/>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2024年度本年收入合计364.93万元，其中：一般公共预算财政拨款收入364.93万元，占100%；政府性基金预算财政拨款收入0万元，占0%；国有资本经营预算财政拨款收入0万元，占0%；上级补助收入0万元，占0%；事业收入0万元，占0%；经营收入0万元，占0%；附属单位上缴收入0万元，占0%；其他收入0万元，占0%。</w:t>
      </w:r>
    </w:p>
    <w:p>
      <w:pPr>
        <w:spacing w:line="600" w:lineRule="exact"/>
        <w:rPr>
          <w:rFonts w:ascii="仿宋_GB2312" w:hAnsi="仿宋" w:eastAsia="仿宋_GB2312"/>
          <w:color w:val="000000"/>
          <w:sz w:val="32"/>
          <w:szCs w:val="32"/>
        </w:rPr>
      </w:pPr>
      <w:r>
        <w:rPr>
          <w:rFonts w:ascii="仿宋_GB2312" w:hAnsi="仿宋" w:eastAsia="仿宋_GB2312"/>
          <w:color w:val="000000"/>
          <w:sz w:val="32"/>
          <w:szCs w:val="32"/>
        </w:rPr>
        <w:drawing>
          <wp:anchor distT="0" distB="0" distL="114300" distR="114300" simplePos="0" relativeHeight="251661312" behindDoc="0" locked="0" layoutInCell="1" allowOverlap="1">
            <wp:simplePos x="0" y="0"/>
            <wp:positionH relativeFrom="column">
              <wp:posOffset>309245</wp:posOffset>
            </wp:positionH>
            <wp:positionV relativeFrom="paragraph">
              <wp:posOffset>167640</wp:posOffset>
            </wp:positionV>
            <wp:extent cx="5190490" cy="2728595"/>
            <wp:effectExtent l="4445" t="4445" r="5715" b="10160"/>
            <wp:wrapNone/>
            <wp:docPr id="106" name="对象 15"/>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pPr>
        <w:spacing w:line="600" w:lineRule="exact"/>
        <w:ind w:firstLine="640" w:firstLineChars="200"/>
        <w:rPr>
          <w:rFonts w:ascii="仿宋_GB2312" w:hAnsi="仿宋" w:eastAsia="仿宋_GB2312"/>
          <w:color w:val="000000"/>
          <w:sz w:val="32"/>
          <w:szCs w:val="32"/>
        </w:rPr>
      </w:pPr>
    </w:p>
    <w:p>
      <w:pPr>
        <w:spacing w:line="600" w:lineRule="exact"/>
        <w:ind w:firstLine="320" w:firstLineChars="100"/>
        <w:rPr>
          <w:rFonts w:ascii="仿宋_GB2312" w:hAnsi="仿宋" w:eastAsia="仿宋_GB2312"/>
          <w:color w:val="000000"/>
          <w:sz w:val="32"/>
          <w:szCs w:val="32"/>
        </w:rPr>
      </w:pPr>
    </w:p>
    <w:p>
      <w:pPr>
        <w:pStyle w:val="4"/>
        <w:spacing w:before="93"/>
      </w:pPr>
    </w:p>
    <w:p>
      <w:pPr>
        <w:pStyle w:val="4"/>
        <w:spacing w:before="93"/>
      </w:pPr>
    </w:p>
    <w:p>
      <w:pPr>
        <w:pStyle w:val="4"/>
        <w:spacing w:before="93"/>
      </w:pPr>
    </w:p>
    <w:p>
      <w:pPr>
        <w:pStyle w:val="4"/>
        <w:spacing w:before="93"/>
      </w:pPr>
    </w:p>
    <w:p>
      <w:pPr>
        <w:pStyle w:val="26"/>
        <w:spacing w:line="600" w:lineRule="exact"/>
        <w:ind w:firstLine="640"/>
        <w:jc w:val="center"/>
        <w:outlineLvl w:val="1"/>
        <w:rPr>
          <w:rFonts w:eastAsia="仿宋_GB2312" w:cs="仿宋_GB2312"/>
          <w:sz w:val="32"/>
          <w:szCs w:val="32"/>
        </w:rPr>
      </w:pPr>
      <w:r>
        <w:rPr>
          <w:rFonts w:hint="eastAsia" w:eastAsia="仿宋_GB2312" w:cs="仿宋_GB2312"/>
          <w:sz w:val="32"/>
          <w:szCs w:val="32"/>
        </w:rPr>
        <w:t>（图2：收入决算结构图）</w:t>
      </w:r>
    </w:p>
    <w:p>
      <w:pPr>
        <w:pStyle w:val="26"/>
        <w:spacing w:line="600" w:lineRule="exact"/>
        <w:ind w:firstLine="640"/>
        <w:outlineLvl w:val="1"/>
        <w:rPr>
          <w:rStyle w:val="20"/>
          <w:rFonts w:eastAsia="黑体"/>
          <w:b w:val="0"/>
        </w:rPr>
      </w:pPr>
      <w:r>
        <w:rPr>
          <w:rFonts w:hint="eastAsia" w:eastAsia="黑体"/>
          <w:sz w:val="32"/>
          <w:szCs w:val="32"/>
        </w:rPr>
        <w:t>三、支</w:t>
      </w:r>
      <w:r>
        <w:rPr>
          <w:rStyle w:val="20"/>
          <w:rFonts w:hint="eastAsia" w:eastAsia="黑体"/>
        </w:rPr>
        <w:t>出决算情况说明</w:t>
      </w:r>
    </w:p>
    <w:p>
      <w:pPr>
        <w:pStyle w:val="26"/>
        <w:spacing w:line="600" w:lineRule="exact"/>
        <w:ind w:firstLine="640"/>
        <w:jc w:val="left"/>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2024年度本年支出合计364.93万元，其中：基本支出359.93万元，占98.62%；项目支出5万元，占1.37%；上缴上级支出0万元，占0%；经营支出0万元，占0%；对附属单位补助支出0万元，占0%。</w:t>
      </w:r>
    </w:p>
    <w:p>
      <w:pPr>
        <w:spacing w:line="600" w:lineRule="exact"/>
        <w:ind w:firstLine="640" w:firstLineChars="200"/>
        <w:outlineLvl w:val="1"/>
        <w:rPr>
          <w:rFonts w:hint="eastAsia" w:ascii="仿宋_GB2312" w:hAnsi="方正仿宋_GB2312" w:eastAsia="仿宋_GB2312" w:cs="方正仿宋_GB2312"/>
          <w:sz w:val="32"/>
          <w:szCs w:val="32"/>
        </w:rPr>
      </w:pPr>
    </w:p>
    <w:p>
      <w:pPr>
        <w:pStyle w:val="4"/>
        <w:spacing w:before="93"/>
      </w:pPr>
      <w:r>
        <w:drawing>
          <wp:anchor distT="0" distB="0" distL="114300" distR="114300" simplePos="0" relativeHeight="251662336" behindDoc="0" locked="0" layoutInCell="1" allowOverlap="1">
            <wp:simplePos x="0" y="0"/>
            <wp:positionH relativeFrom="column">
              <wp:posOffset>360680</wp:posOffset>
            </wp:positionH>
            <wp:positionV relativeFrom="paragraph">
              <wp:posOffset>102870</wp:posOffset>
            </wp:positionV>
            <wp:extent cx="5055235" cy="2259330"/>
            <wp:effectExtent l="4445" t="4445" r="7620" b="22225"/>
            <wp:wrapNone/>
            <wp:docPr id="107" name="对象 17"/>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spacing w:line="600" w:lineRule="exact"/>
        <w:ind w:firstLine="640" w:firstLineChars="200"/>
        <w:rPr>
          <w:rFonts w:ascii="仿宋_GB2312" w:hAnsi="仿宋" w:eastAsia="仿宋_GB2312"/>
          <w:color w:val="000000"/>
          <w:sz w:val="32"/>
          <w:szCs w:val="32"/>
        </w:rPr>
      </w:pPr>
    </w:p>
    <w:p>
      <w:pPr>
        <w:spacing w:line="600" w:lineRule="exact"/>
        <w:ind w:firstLine="640" w:firstLineChars="200"/>
        <w:rPr>
          <w:rFonts w:ascii="仿宋_GB2312" w:hAnsi="仿宋" w:eastAsia="仿宋_GB2312"/>
          <w:color w:val="000000"/>
          <w:sz w:val="32"/>
          <w:szCs w:val="32"/>
        </w:rPr>
      </w:pPr>
    </w:p>
    <w:p>
      <w:pPr>
        <w:spacing w:line="600" w:lineRule="exact"/>
        <w:ind w:firstLine="640" w:firstLineChars="200"/>
        <w:rPr>
          <w:rFonts w:ascii="仿宋_GB2312" w:hAnsi="仿宋" w:eastAsia="仿宋_GB2312"/>
          <w:color w:val="000000"/>
          <w:sz w:val="32"/>
          <w:szCs w:val="32"/>
        </w:rPr>
      </w:pPr>
    </w:p>
    <w:p>
      <w:pPr>
        <w:spacing w:line="600" w:lineRule="exact"/>
        <w:ind w:firstLine="640" w:firstLineChars="200"/>
        <w:outlineLvl w:val="1"/>
        <w:rPr>
          <w:rStyle w:val="20"/>
          <w:rFonts w:ascii="黑体" w:hAnsi="黑体" w:eastAsia="黑体"/>
          <w:b w:val="0"/>
        </w:rPr>
      </w:pPr>
      <w:r>
        <w:rPr>
          <w:rFonts w:hint="eastAsia" w:ascii="黑体" w:hAnsi="黑体" w:eastAsia="黑体"/>
          <w:sz w:val="32"/>
          <w:szCs w:val="32"/>
        </w:rPr>
        <w:t>四、财</w:t>
      </w:r>
      <w:r>
        <w:rPr>
          <w:rStyle w:val="20"/>
          <w:rFonts w:hint="eastAsia" w:ascii="黑体" w:hAnsi="黑体" w:eastAsia="黑体"/>
        </w:rPr>
        <w:t>政拨款收入支出决算总体情况说明</w:t>
      </w:r>
    </w:p>
    <w:p>
      <w:pPr>
        <w:pStyle w:val="4"/>
        <w:spacing w:before="93"/>
      </w:pPr>
    </w:p>
    <w:p>
      <w:pPr>
        <w:spacing w:line="600" w:lineRule="exact"/>
        <w:ind w:firstLine="1120" w:firstLineChars="350"/>
        <w:jc w:val="center"/>
        <w:rPr>
          <w:rFonts w:hint="eastAsia"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（图3：支出决算结构图）</w:t>
      </w:r>
    </w:p>
    <w:p>
      <w:pPr>
        <w:pStyle w:val="4"/>
        <w:spacing w:before="93"/>
        <w:ind w:firstLine="640" w:firstLineChars="200"/>
        <w:rPr>
          <w:rStyle w:val="20"/>
          <w:rFonts w:ascii="Times New Roman" w:eastAsia="黑体"/>
          <w:b w:val="0"/>
        </w:rPr>
      </w:pPr>
      <w:r>
        <w:rPr>
          <w:rFonts w:hint="eastAsia" w:eastAsia="黑体"/>
          <w:sz w:val="32"/>
          <w:szCs w:val="32"/>
        </w:rPr>
        <w:t>四、财</w:t>
      </w:r>
      <w:r>
        <w:rPr>
          <w:rStyle w:val="20"/>
          <w:rFonts w:hint="eastAsia" w:ascii="Times New Roman" w:eastAsia="黑体"/>
        </w:rPr>
        <w:t>政拨款收入支出决算总体情况说明</w:t>
      </w:r>
    </w:p>
    <w:p>
      <w:pPr>
        <w:spacing w:line="600" w:lineRule="exact"/>
        <w:ind w:firstLine="640"/>
        <w:rPr>
          <w:rFonts w:eastAsia="仿宋_GB2312" w:cs="仿宋_GB2312"/>
          <w:sz w:val="32"/>
          <w:szCs w:val="32"/>
        </w:rPr>
      </w:pPr>
      <w:r>
        <w:rPr>
          <w:rFonts w:hint="eastAsia" w:eastAsia="仿宋_GB2312" w:cs="仿宋_GB2312"/>
          <w:sz w:val="32"/>
          <w:szCs w:val="32"/>
        </w:rPr>
        <w:t>2024年度财政拨款收入、支出总计均为</w:t>
      </w:r>
      <w:r>
        <w:rPr>
          <w:rFonts w:eastAsia="仿宋_GB2312" w:cs="仿宋_GB2312"/>
          <w:sz w:val="32"/>
          <w:szCs w:val="32"/>
        </w:rPr>
        <w:t>364.93</w:t>
      </w:r>
      <w:r>
        <w:rPr>
          <w:rFonts w:hint="eastAsia" w:eastAsia="仿宋_GB2312" w:cs="仿宋_GB2312"/>
          <w:sz w:val="32"/>
          <w:szCs w:val="32"/>
        </w:rPr>
        <w:t>万元。与2023年度相比，财政拨款收入总计、支出总计各减少14.86万元，下降3.92%。主要变动原因是厉行节约，合理使用公用经费。</w:t>
      </w:r>
    </w:p>
    <w:p>
      <w:pPr>
        <w:pStyle w:val="4"/>
        <w:spacing w:before="93"/>
      </w:pPr>
      <w:r>
        <w:drawing>
          <wp:anchor distT="0" distB="0" distL="114300" distR="114300" simplePos="0" relativeHeight="251663360" behindDoc="0" locked="0" layoutInCell="1" allowOverlap="1">
            <wp:simplePos x="0" y="0"/>
            <wp:positionH relativeFrom="column">
              <wp:posOffset>202565</wp:posOffset>
            </wp:positionH>
            <wp:positionV relativeFrom="paragraph">
              <wp:posOffset>89535</wp:posOffset>
            </wp:positionV>
            <wp:extent cx="5078095" cy="1917065"/>
            <wp:effectExtent l="4445" t="4445" r="22860" b="21590"/>
            <wp:wrapNone/>
            <wp:docPr id="19" name="对象 19"/>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pStyle w:val="4"/>
        <w:spacing w:before="93"/>
      </w:pPr>
    </w:p>
    <w:p>
      <w:pPr>
        <w:spacing w:line="600" w:lineRule="exact"/>
        <w:rPr>
          <w:rFonts w:ascii="仿宋_GB2312" w:hAnsi="仿宋" w:eastAsia="仿宋_GB2312"/>
          <w:color w:val="000000"/>
          <w:sz w:val="32"/>
          <w:szCs w:val="32"/>
        </w:rPr>
      </w:pPr>
    </w:p>
    <w:p>
      <w:pPr>
        <w:spacing w:line="600" w:lineRule="exact"/>
        <w:rPr>
          <w:rFonts w:ascii="仿宋_GB2312" w:hAnsi="仿宋" w:eastAsia="仿宋_GB2312"/>
          <w:color w:val="000000"/>
          <w:sz w:val="32"/>
          <w:szCs w:val="32"/>
        </w:rPr>
      </w:pPr>
    </w:p>
    <w:p>
      <w:pPr>
        <w:spacing w:line="600" w:lineRule="exact"/>
        <w:rPr>
          <w:rFonts w:ascii="仿宋_GB2312" w:hAnsi="仿宋" w:eastAsia="仿宋_GB2312"/>
          <w:color w:val="000000"/>
          <w:sz w:val="32"/>
          <w:szCs w:val="32"/>
        </w:rPr>
      </w:pPr>
    </w:p>
    <w:p>
      <w:pPr>
        <w:pStyle w:val="4"/>
        <w:spacing w:before="93"/>
        <w:ind w:firstLine="640" w:firstLineChars="200"/>
        <w:rPr>
          <w:rFonts w:cs="仿宋_GB2312"/>
          <w:sz w:val="32"/>
          <w:szCs w:val="32"/>
        </w:rPr>
      </w:pPr>
      <w:r>
        <w:rPr>
          <w:rFonts w:hint="eastAsia" w:cs="仿宋_GB2312"/>
          <w:sz w:val="32"/>
          <w:szCs w:val="32"/>
        </w:rPr>
        <w:t>（图4：财政拨款收、支决算总计变动情况）</w:t>
      </w:r>
    </w:p>
    <w:p>
      <w:pPr>
        <w:spacing w:line="600" w:lineRule="exact"/>
        <w:ind w:firstLine="640" w:firstLineChars="200"/>
        <w:outlineLvl w:val="1"/>
        <w:rPr>
          <w:rStyle w:val="20"/>
          <w:rFonts w:eastAsia="黑体"/>
          <w:b w:val="0"/>
        </w:rPr>
      </w:pPr>
      <w:r>
        <w:rPr>
          <w:rFonts w:hint="eastAsia" w:eastAsia="黑体"/>
          <w:sz w:val="32"/>
          <w:szCs w:val="32"/>
        </w:rPr>
        <w:t>五、</w:t>
      </w:r>
      <w:r>
        <w:rPr>
          <w:rFonts w:hint="eastAsia" w:eastAsia="黑体"/>
          <w:b/>
          <w:sz w:val="32"/>
          <w:szCs w:val="32"/>
        </w:rPr>
        <w:t>一</w:t>
      </w:r>
      <w:r>
        <w:rPr>
          <w:rStyle w:val="20"/>
          <w:rFonts w:hint="eastAsia" w:eastAsia="黑体"/>
        </w:rPr>
        <w:t>般公共预算财政拨款支出决算情况说明</w:t>
      </w:r>
    </w:p>
    <w:p>
      <w:pPr>
        <w:spacing w:line="600" w:lineRule="exact"/>
        <w:ind w:firstLine="642" w:firstLineChars="200"/>
        <w:outlineLvl w:val="2"/>
        <w:rPr>
          <w:rFonts w:eastAsia="楷体_GB2312" w:cs="楷体_GB2312"/>
          <w:b/>
          <w:sz w:val="32"/>
          <w:szCs w:val="32"/>
        </w:rPr>
      </w:pPr>
      <w:r>
        <w:rPr>
          <w:rFonts w:hint="eastAsia" w:eastAsia="楷体_GB2312" w:cs="楷体_GB2312"/>
          <w:b/>
          <w:sz w:val="32"/>
          <w:szCs w:val="32"/>
        </w:rPr>
        <w:t>（一）一般公共预算财政拨款支出决算总体情况</w:t>
      </w:r>
    </w:p>
    <w:p>
      <w:pPr>
        <w:spacing w:line="600" w:lineRule="exact"/>
        <w:ind w:firstLine="640"/>
        <w:rPr>
          <w:rFonts w:eastAsia="仿宋_GB2312" w:cs="仿宋_GB2312"/>
          <w:sz w:val="32"/>
          <w:szCs w:val="32"/>
        </w:rPr>
      </w:pPr>
      <w:r>
        <w:rPr>
          <w:rFonts w:hint="eastAsia" w:ascii="仿宋_GB2312" w:hAnsi="仿宋_GB2312" w:eastAsia="仿宋_GB2312" w:cs="仿宋_GB2312"/>
          <w:sz w:val="32"/>
          <w:szCs w:val="32"/>
        </w:rPr>
        <w:t>2024年度一般公共预算财政拨款支出364.93万元，占本年支出合计的100%。与2023年度相比，一般公共预算财政拨款支出减少14.86万元，下降3.92%。主要变动原因是</w:t>
      </w:r>
      <w:r>
        <w:rPr>
          <w:rFonts w:hint="eastAsia" w:eastAsia="仿宋_GB2312" w:cs="仿宋_GB2312"/>
          <w:sz w:val="32"/>
          <w:szCs w:val="32"/>
        </w:rPr>
        <w:t>厉行节约，合理使用公用经费。</w:t>
      </w:r>
    </w:p>
    <w:p>
      <w:pPr>
        <w:pStyle w:val="10"/>
        <w:rPr>
          <w:rFonts w:eastAsia="仿宋_GB2312" w:cs="仿宋_GB2312"/>
          <w:sz w:val="32"/>
          <w:szCs w:val="32"/>
        </w:rPr>
      </w:pPr>
      <w:r>
        <w:rPr>
          <w:rFonts w:eastAsia="仿宋_GB2312" w:cs="仿宋_GB2312"/>
          <w:sz w:val="32"/>
          <w:szCs w:val="32"/>
        </w:rPr>
        <w:drawing>
          <wp:anchor distT="0" distB="0" distL="114300" distR="114300" simplePos="0" relativeHeight="251660288" behindDoc="0" locked="0" layoutInCell="1" allowOverlap="1">
            <wp:simplePos x="0" y="0"/>
            <wp:positionH relativeFrom="column">
              <wp:posOffset>49530</wp:posOffset>
            </wp:positionH>
            <wp:positionV relativeFrom="paragraph">
              <wp:posOffset>173990</wp:posOffset>
            </wp:positionV>
            <wp:extent cx="4752340" cy="1337310"/>
            <wp:effectExtent l="4445" t="4445" r="5715" b="10795"/>
            <wp:wrapNone/>
            <wp:docPr id="109" name="对象 13"/>
            <wp:cNvGraphicFramePr>
              <a:graphicFrameLocks xmlns:a="http://schemas.openxmlformats.org/drawingml/2006/main" noChangeAspect="tru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spacing w:line="600" w:lineRule="exact"/>
        <w:rPr>
          <w:rFonts w:ascii="仿宋_GB2312" w:hAnsi="仿宋" w:eastAsia="仿宋_GB2312"/>
          <w:color w:val="000000"/>
          <w:sz w:val="32"/>
          <w:szCs w:val="32"/>
        </w:rPr>
      </w:pPr>
    </w:p>
    <w:p>
      <w:pPr>
        <w:spacing w:line="600" w:lineRule="exact"/>
        <w:ind w:firstLine="640" w:firstLineChars="200"/>
        <w:rPr>
          <w:rFonts w:ascii="仿宋_GB2312" w:hAnsi="仿宋" w:eastAsia="仿宋_GB2312"/>
          <w:color w:val="000000"/>
          <w:sz w:val="32"/>
          <w:szCs w:val="32"/>
        </w:rPr>
      </w:pPr>
    </w:p>
    <w:p>
      <w:pPr>
        <w:spacing w:line="600" w:lineRule="exact"/>
        <w:ind w:firstLine="640" w:firstLineChars="200"/>
        <w:rPr>
          <w:rFonts w:ascii="仿宋_GB2312" w:hAnsi="仿宋" w:eastAsia="仿宋_GB2312"/>
          <w:color w:val="000000"/>
          <w:sz w:val="32"/>
          <w:szCs w:val="32"/>
        </w:rPr>
      </w:pPr>
    </w:p>
    <w:p>
      <w:pPr>
        <w:pStyle w:val="10"/>
      </w:pPr>
    </w:p>
    <w:p>
      <w:pPr>
        <w:spacing w:line="600" w:lineRule="exact"/>
        <w:ind w:firstLine="640" w:firstLineChars="200"/>
        <w:rPr>
          <w:rFonts w:eastAsia="仿宋_GB2312" w:cs="仿宋_GB2312"/>
          <w:sz w:val="32"/>
          <w:szCs w:val="32"/>
        </w:rPr>
      </w:pPr>
      <w:r>
        <w:rPr>
          <w:rFonts w:hint="eastAsia" w:eastAsia="仿宋_GB2312" w:cs="仿宋_GB2312"/>
          <w:sz w:val="32"/>
          <w:szCs w:val="32"/>
        </w:rPr>
        <w:t>（图5：一般公共预算财政拨款支出决算变动情况）</w:t>
      </w:r>
    </w:p>
    <w:p>
      <w:pPr>
        <w:spacing w:line="600" w:lineRule="exact"/>
        <w:ind w:firstLine="642" w:firstLineChars="200"/>
        <w:outlineLvl w:val="2"/>
        <w:rPr>
          <w:rFonts w:eastAsia="楷体_GB2312" w:cs="楷体_GB2312"/>
          <w:b/>
          <w:sz w:val="32"/>
          <w:szCs w:val="32"/>
        </w:rPr>
      </w:pPr>
      <w:r>
        <w:rPr>
          <w:rFonts w:hint="eastAsia" w:eastAsia="楷体_GB2312" w:cs="楷体_GB2312"/>
          <w:b/>
          <w:sz w:val="32"/>
          <w:szCs w:val="32"/>
        </w:rPr>
        <w:t>（二）一般公共预算财政拨款支出决算结构情况</w:t>
      </w:r>
    </w:p>
    <w:p>
      <w:pPr>
        <w:spacing w:line="600" w:lineRule="exact"/>
        <w:ind w:firstLine="640"/>
        <w:rPr>
          <w:rFonts w:eastAsia="仿宋_GB2312" w:cs="仿宋_GB2312"/>
          <w:sz w:val="32"/>
          <w:szCs w:val="32"/>
        </w:rPr>
      </w:pPr>
      <w:r>
        <w:rPr>
          <w:rFonts w:hint="eastAsia" w:eastAsia="仿宋_GB2312" w:cs="仿宋_GB2312"/>
          <w:sz w:val="32"/>
          <w:szCs w:val="32"/>
        </w:rPr>
        <w:t>2024年度一般公共预算财政拨款支出</w:t>
      </w:r>
      <w:r>
        <w:rPr>
          <w:rFonts w:hint="eastAsia" w:ascii="仿宋_GB2312" w:hAnsi="仿宋_GB2312" w:eastAsia="仿宋_GB2312" w:cs="仿宋_GB2312"/>
          <w:sz w:val="32"/>
          <w:szCs w:val="32"/>
        </w:rPr>
        <w:t>364.93万元</w:t>
      </w:r>
      <w:r>
        <w:rPr>
          <w:rFonts w:hint="eastAsia" w:eastAsia="仿宋_GB2312" w:cs="仿宋_GB2312"/>
          <w:sz w:val="32"/>
          <w:szCs w:val="32"/>
        </w:rPr>
        <w:t>，主要用于以下方面：</w:t>
      </w:r>
      <w:r>
        <w:rPr>
          <w:rFonts w:eastAsia="仿宋_GB2312" w:cs="仿宋_GB2312"/>
          <w:sz w:val="32"/>
          <w:szCs w:val="32"/>
        </w:rPr>
        <w:t>城乡社区（类）支出</w:t>
      </w:r>
      <w:r>
        <w:rPr>
          <w:rFonts w:hint="eastAsia" w:eastAsia="仿宋_GB2312" w:cs="仿宋_GB2312"/>
          <w:sz w:val="32"/>
          <w:szCs w:val="32"/>
        </w:rPr>
        <w:t>233.64</w:t>
      </w:r>
      <w:r>
        <w:rPr>
          <w:rFonts w:eastAsia="仿宋_GB2312" w:cs="仿宋_GB2312"/>
          <w:sz w:val="32"/>
          <w:szCs w:val="32"/>
        </w:rPr>
        <w:t>万元，占</w:t>
      </w:r>
      <w:r>
        <w:rPr>
          <w:rFonts w:hint="eastAsia" w:eastAsia="仿宋_GB2312" w:cs="仿宋_GB2312"/>
          <w:sz w:val="32"/>
          <w:szCs w:val="32"/>
        </w:rPr>
        <w:t>64.02%</w:t>
      </w:r>
      <w:r>
        <w:rPr>
          <w:rFonts w:eastAsia="仿宋_GB2312" w:cs="仿宋_GB2312"/>
          <w:sz w:val="32"/>
          <w:szCs w:val="32"/>
        </w:rPr>
        <w:t>；社会保障和就业（类）支出</w:t>
      </w:r>
      <w:r>
        <w:rPr>
          <w:rFonts w:hint="eastAsia" w:eastAsia="仿宋_GB2312" w:cs="仿宋_GB2312"/>
          <w:sz w:val="32"/>
          <w:szCs w:val="32"/>
        </w:rPr>
        <w:t>86.45</w:t>
      </w:r>
      <w:r>
        <w:rPr>
          <w:rFonts w:eastAsia="仿宋_GB2312" w:cs="仿宋_GB2312"/>
          <w:sz w:val="32"/>
          <w:szCs w:val="32"/>
        </w:rPr>
        <w:t>万元，占</w:t>
      </w:r>
      <w:r>
        <w:rPr>
          <w:rFonts w:hint="eastAsia" w:eastAsia="仿宋_GB2312" w:cs="仿宋_GB2312"/>
          <w:sz w:val="32"/>
          <w:szCs w:val="32"/>
        </w:rPr>
        <w:t>23.69%</w:t>
      </w:r>
      <w:r>
        <w:rPr>
          <w:rFonts w:eastAsia="仿宋_GB2312" w:cs="仿宋_GB2312"/>
          <w:sz w:val="32"/>
          <w:szCs w:val="32"/>
        </w:rPr>
        <w:t>；卫生健康（类）支出</w:t>
      </w:r>
      <w:r>
        <w:rPr>
          <w:rFonts w:hint="eastAsia" w:eastAsia="仿宋_GB2312" w:cs="仿宋_GB2312"/>
          <w:sz w:val="32"/>
          <w:szCs w:val="32"/>
        </w:rPr>
        <w:t>20.00</w:t>
      </w:r>
      <w:r>
        <w:rPr>
          <w:rFonts w:eastAsia="仿宋_GB2312" w:cs="仿宋_GB2312"/>
          <w:sz w:val="32"/>
          <w:szCs w:val="32"/>
        </w:rPr>
        <w:t>万元，占</w:t>
      </w:r>
      <w:r>
        <w:rPr>
          <w:rFonts w:hint="eastAsia" w:eastAsia="仿宋_GB2312" w:cs="仿宋_GB2312"/>
          <w:sz w:val="32"/>
          <w:szCs w:val="32"/>
        </w:rPr>
        <w:t>5.48%</w:t>
      </w:r>
      <w:r>
        <w:rPr>
          <w:rFonts w:eastAsia="仿宋_GB2312" w:cs="仿宋_GB2312"/>
          <w:sz w:val="32"/>
          <w:szCs w:val="32"/>
        </w:rPr>
        <w:t>；住房保障（类）支出</w:t>
      </w:r>
      <w:r>
        <w:rPr>
          <w:rFonts w:hint="eastAsia" w:eastAsia="仿宋_GB2312" w:cs="仿宋_GB2312"/>
          <w:sz w:val="32"/>
          <w:szCs w:val="32"/>
        </w:rPr>
        <w:t>24.84</w:t>
      </w:r>
      <w:r>
        <w:rPr>
          <w:rFonts w:eastAsia="仿宋_GB2312" w:cs="仿宋_GB2312"/>
          <w:sz w:val="32"/>
          <w:szCs w:val="32"/>
        </w:rPr>
        <w:t>万元，占6.81%。</w:t>
      </w:r>
    </w:p>
    <w:p>
      <w:pPr>
        <w:pStyle w:val="10"/>
        <w:rPr>
          <w:rFonts w:ascii="方正仿宋_GB2312" w:hAnsi="方正仿宋_GB2312" w:eastAsia="方正仿宋_GB2312" w:cs="方正仿宋_GB2312"/>
          <w:sz w:val="32"/>
          <w:szCs w:val="32"/>
        </w:rPr>
      </w:pPr>
    </w:p>
    <w:p>
      <w:pPr>
        <w:pStyle w:val="11"/>
        <w:ind w:left="420"/>
      </w:pPr>
      <w:r>
        <w:drawing>
          <wp:inline distT="0" distB="0" distL="0" distR="0">
            <wp:extent cx="4918075" cy="2150110"/>
            <wp:effectExtent l="5080" t="4445" r="10795" b="17145"/>
            <wp:docPr id="1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600" w:lineRule="exact"/>
        <w:ind w:firstLine="640" w:firstLineChars="200"/>
        <w:rPr>
          <w:rFonts w:eastAsia="仿宋_GB2312" w:cs="仿宋_GB2312"/>
          <w:sz w:val="32"/>
          <w:szCs w:val="32"/>
        </w:rPr>
      </w:pPr>
      <w:r>
        <w:rPr>
          <w:rFonts w:hint="eastAsia" w:eastAsia="仿宋_GB2312" w:cs="仿宋_GB2312"/>
          <w:sz w:val="32"/>
          <w:szCs w:val="32"/>
        </w:rPr>
        <w:t>（图6：一般公共预算财政拨款支出决算结构）</w:t>
      </w:r>
    </w:p>
    <w:p>
      <w:pPr>
        <w:spacing w:line="600" w:lineRule="exact"/>
        <w:ind w:firstLine="642" w:firstLineChars="200"/>
        <w:outlineLvl w:val="2"/>
        <w:rPr>
          <w:rFonts w:eastAsia="楷体_GB2312" w:cs="楷体_GB2312"/>
          <w:b/>
          <w:sz w:val="32"/>
          <w:szCs w:val="32"/>
        </w:rPr>
      </w:pPr>
      <w:r>
        <w:rPr>
          <w:rFonts w:hint="eastAsia" w:eastAsia="楷体_GB2312" w:cs="楷体_GB2312"/>
          <w:b/>
          <w:sz w:val="32"/>
          <w:szCs w:val="32"/>
        </w:rPr>
        <w:t>（三）一般公共预算财政拨款支出决算具体情况</w:t>
      </w:r>
    </w:p>
    <w:p>
      <w:pPr>
        <w:spacing w:line="640" w:lineRule="exact"/>
        <w:ind w:firstLine="640" w:firstLineChars="200"/>
        <w:rPr>
          <w:rFonts w:eastAsia="仿宋_GB2312" w:cs="仿宋_GB2312"/>
          <w:sz w:val="32"/>
          <w:szCs w:val="32"/>
        </w:rPr>
      </w:pPr>
      <w:r>
        <w:rPr>
          <w:rFonts w:hint="eastAsia" w:eastAsia="仿宋_GB2312" w:cs="仿宋_GB2312"/>
          <w:sz w:val="32"/>
          <w:szCs w:val="32"/>
        </w:rPr>
        <w:t>2024年度一般公共预算财政拨款支出决算数为</w:t>
      </w:r>
      <w:r>
        <w:rPr>
          <w:rFonts w:hint="eastAsia" w:ascii="仿宋_GB2312" w:hAnsi="仿宋_GB2312" w:eastAsia="仿宋_GB2312" w:cs="仿宋_GB2312"/>
          <w:sz w:val="32"/>
          <w:szCs w:val="32"/>
        </w:rPr>
        <w:t>364.93万元完成预算100%</w:t>
      </w:r>
      <w:r>
        <w:rPr>
          <w:rFonts w:hint="eastAsia" w:eastAsia="仿宋_GB2312" w:cs="仿宋_GB2312"/>
          <w:sz w:val="32"/>
          <w:szCs w:val="32"/>
        </w:rPr>
        <w:t>。其中：</w:t>
      </w:r>
    </w:p>
    <w:p>
      <w:pPr>
        <w:spacing w:line="640" w:lineRule="exact"/>
        <w:ind w:firstLine="640" w:firstLineChars="200"/>
        <w:rPr>
          <w:rFonts w:hint="eastAsia" w:ascii="仿宋_GB2312" w:hAnsi="方正仿宋_GB2312" w:eastAsia="仿宋_GB2312" w:cs="方正仿宋_GB2312"/>
          <w:b/>
          <w:color w:val="000000"/>
          <w:sz w:val="32"/>
          <w:szCs w:val="32"/>
        </w:rPr>
      </w:pPr>
      <w:r>
        <w:rPr>
          <w:rStyle w:val="15"/>
          <w:rFonts w:hint="eastAsia" w:ascii="仿宋_GB2312" w:hAnsi="方正仿宋_GB2312" w:eastAsia="仿宋_GB2312" w:cs="方正仿宋_GB2312"/>
          <w:b w:val="0"/>
          <w:bCs/>
          <w:color w:val="000000"/>
          <w:sz w:val="32"/>
          <w:szCs w:val="32"/>
        </w:rPr>
        <w:t>1.社会保障和就业（类）行政事业单位养老（款）事业单位离退休（项）:</w:t>
      </w:r>
      <w:r>
        <w:rPr>
          <w:rStyle w:val="15"/>
          <w:rFonts w:hint="eastAsia" w:ascii="仿宋_GB2312" w:hAnsi="方正仿宋_GB2312" w:eastAsia="仿宋_GB2312" w:cs="方正仿宋_GB2312"/>
          <w:b w:val="0"/>
          <w:color w:val="000000"/>
          <w:sz w:val="32"/>
          <w:szCs w:val="32"/>
        </w:rPr>
        <w:t>支出决算为53.15万元，完成预算100%。决算数等于预算数。</w:t>
      </w:r>
    </w:p>
    <w:p>
      <w:pPr>
        <w:spacing w:line="640" w:lineRule="exact"/>
        <w:ind w:firstLine="640" w:firstLineChars="200"/>
        <w:rPr>
          <w:rStyle w:val="15"/>
          <w:rFonts w:hint="eastAsia" w:ascii="仿宋_GB2312" w:hAnsi="方正仿宋_GB2312" w:eastAsia="仿宋_GB2312" w:cs="方正仿宋_GB2312"/>
          <w:b w:val="0"/>
          <w:color w:val="000000"/>
          <w:sz w:val="32"/>
          <w:szCs w:val="32"/>
        </w:rPr>
      </w:pPr>
      <w:r>
        <w:rPr>
          <w:rStyle w:val="15"/>
          <w:rFonts w:hint="eastAsia" w:ascii="仿宋_GB2312" w:hAnsi="方正仿宋_GB2312" w:eastAsia="仿宋_GB2312" w:cs="方正仿宋_GB2312"/>
          <w:b w:val="0"/>
          <w:bCs/>
          <w:color w:val="000000"/>
          <w:sz w:val="32"/>
          <w:szCs w:val="32"/>
        </w:rPr>
        <w:t>2.社会保障和就业（类）行政事业单位养老（款）机关事业单位基本养老保险缴费（项）:</w:t>
      </w:r>
      <w:r>
        <w:rPr>
          <w:rStyle w:val="15"/>
          <w:rFonts w:hint="eastAsia" w:ascii="仿宋_GB2312" w:hAnsi="方正仿宋_GB2312" w:eastAsia="仿宋_GB2312" w:cs="方正仿宋_GB2312"/>
          <w:b w:val="0"/>
          <w:color w:val="000000"/>
          <w:sz w:val="32"/>
          <w:szCs w:val="32"/>
        </w:rPr>
        <w:t>支出决算为33.30万元，完成预算100%。决算数等于预算数。</w:t>
      </w:r>
    </w:p>
    <w:p>
      <w:pPr>
        <w:spacing w:line="600" w:lineRule="exact"/>
        <w:ind w:firstLine="640" w:firstLineChars="200"/>
        <w:rPr>
          <w:rStyle w:val="15"/>
          <w:rFonts w:hint="eastAsia" w:ascii="仿宋_GB2312" w:hAnsi="方正仿宋_GB2312" w:eastAsia="仿宋_GB2312" w:cs="方正仿宋_GB2312"/>
          <w:b w:val="0"/>
          <w:color w:val="000000"/>
          <w:sz w:val="32"/>
          <w:szCs w:val="32"/>
        </w:rPr>
      </w:pPr>
      <w:r>
        <w:rPr>
          <w:rStyle w:val="15"/>
          <w:rFonts w:hint="eastAsia" w:ascii="仿宋_GB2312" w:hAnsi="方正仿宋_GB2312" w:eastAsia="仿宋_GB2312" w:cs="方正仿宋_GB2312"/>
          <w:b w:val="0"/>
          <w:bCs/>
          <w:color w:val="000000"/>
          <w:sz w:val="32"/>
          <w:szCs w:val="32"/>
        </w:rPr>
        <w:t>3.</w:t>
      </w:r>
      <w:r>
        <w:rPr>
          <w:rFonts w:hint="eastAsia" w:ascii="仿宋_GB2312" w:hAnsi="方正仿宋_GB2312" w:eastAsia="仿宋_GB2312" w:cs="方正仿宋_GB2312"/>
          <w:bCs/>
          <w:sz w:val="32"/>
          <w:szCs w:val="32"/>
        </w:rPr>
        <w:t>卫生健康</w:t>
      </w:r>
      <w:r>
        <w:rPr>
          <w:rStyle w:val="15"/>
          <w:rFonts w:hint="eastAsia" w:ascii="仿宋_GB2312" w:hAnsi="方正仿宋_GB2312" w:eastAsia="仿宋_GB2312" w:cs="方正仿宋_GB2312"/>
          <w:bCs/>
          <w:sz w:val="32"/>
          <w:szCs w:val="32"/>
        </w:rPr>
        <w:t>（</w:t>
      </w:r>
      <w:r>
        <w:rPr>
          <w:rStyle w:val="15"/>
          <w:rFonts w:hint="eastAsia" w:ascii="仿宋_GB2312" w:hAnsi="方正仿宋_GB2312" w:eastAsia="仿宋_GB2312" w:cs="方正仿宋_GB2312"/>
          <w:b w:val="0"/>
          <w:bCs/>
          <w:sz w:val="32"/>
          <w:szCs w:val="32"/>
        </w:rPr>
        <w:t>类）行政事业单位医疗（款）事业单位医疗（项）:支出决算为16.03万元，</w:t>
      </w:r>
      <w:r>
        <w:rPr>
          <w:rStyle w:val="15"/>
          <w:rFonts w:hint="eastAsia" w:ascii="仿宋_GB2312" w:hAnsi="方正仿宋_GB2312" w:eastAsia="仿宋_GB2312" w:cs="方正仿宋_GB2312"/>
          <w:b w:val="0"/>
          <w:color w:val="000000"/>
          <w:sz w:val="32"/>
          <w:szCs w:val="32"/>
        </w:rPr>
        <w:t>完成预算100%。决算数等于预算数。</w:t>
      </w:r>
    </w:p>
    <w:p>
      <w:pPr>
        <w:spacing w:line="600" w:lineRule="exact"/>
        <w:ind w:firstLine="640" w:firstLineChars="200"/>
        <w:rPr>
          <w:rStyle w:val="15"/>
          <w:rFonts w:hint="eastAsia" w:ascii="仿宋_GB2312" w:hAnsi="方正仿宋_GB2312" w:eastAsia="仿宋_GB2312" w:cs="方正仿宋_GB2312"/>
          <w:b w:val="0"/>
          <w:color w:val="000000"/>
          <w:sz w:val="32"/>
          <w:szCs w:val="32"/>
        </w:rPr>
      </w:pPr>
      <w:r>
        <w:rPr>
          <w:rStyle w:val="15"/>
          <w:rFonts w:hint="eastAsia" w:ascii="仿宋_GB2312" w:hAnsi="方正仿宋_GB2312" w:eastAsia="仿宋_GB2312" w:cs="方正仿宋_GB2312"/>
          <w:b w:val="0"/>
          <w:bCs/>
          <w:color w:val="000000"/>
          <w:sz w:val="32"/>
          <w:szCs w:val="32"/>
        </w:rPr>
        <w:t>4.</w:t>
      </w:r>
      <w:r>
        <w:rPr>
          <w:rFonts w:hint="eastAsia" w:ascii="仿宋_GB2312" w:hAnsi="方正仿宋_GB2312" w:eastAsia="仿宋_GB2312" w:cs="方正仿宋_GB2312"/>
          <w:bCs/>
          <w:sz w:val="32"/>
          <w:szCs w:val="32"/>
        </w:rPr>
        <w:t>卫生健康</w:t>
      </w:r>
      <w:r>
        <w:rPr>
          <w:rStyle w:val="15"/>
          <w:rFonts w:hint="eastAsia" w:ascii="仿宋_GB2312" w:hAnsi="方正仿宋_GB2312" w:eastAsia="仿宋_GB2312" w:cs="方正仿宋_GB2312"/>
          <w:b w:val="0"/>
          <w:bCs/>
          <w:sz w:val="32"/>
          <w:szCs w:val="32"/>
        </w:rPr>
        <w:t>（类）行政事业单位医疗（款）公务员医疗补助（项）:支出决算为1.94万元，</w:t>
      </w:r>
      <w:r>
        <w:rPr>
          <w:rStyle w:val="15"/>
          <w:rFonts w:hint="eastAsia" w:ascii="仿宋_GB2312" w:hAnsi="方正仿宋_GB2312" w:eastAsia="仿宋_GB2312" w:cs="方正仿宋_GB2312"/>
          <w:b w:val="0"/>
          <w:color w:val="000000"/>
          <w:sz w:val="32"/>
          <w:szCs w:val="32"/>
        </w:rPr>
        <w:t>完成预算100%。决算数等于预算数。</w:t>
      </w:r>
    </w:p>
    <w:p>
      <w:pPr>
        <w:spacing w:line="600" w:lineRule="exact"/>
        <w:ind w:firstLine="640" w:firstLineChars="200"/>
        <w:rPr>
          <w:rStyle w:val="15"/>
          <w:rFonts w:hint="eastAsia" w:ascii="仿宋_GB2312" w:hAnsi="方正仿宋_GB2312" w:eastAsia="仿宋_GB2312" w:cs="方正仿宋_GB2312"/>
          <w:b w:val="0"/>
          <w:color w:val="000000"/>
          <w:sz w:val="32"/>
          <w:szCs w:val="32"/>
        </w:rPr>
      </w:pPr>
      <w:r>
        <w:rPr>
          <w:rStyle w:val="15"/>
          <w:rFonts w:hint="eastAsia" w:ascii="仿宋_GB2312" w:hAnsi="方正仿宋_GB2312" w:eastAsia="仿宋_GB2312" w:cs="方正仿宋_GB2312"/>
          <w:b w:val="0"/>
          <w:bCs/>
          <w:color w:val="000000"/>
          <w:sz w:val="32"/>
          <w:szCs w:val="32"/>
        </w:rPr>
        <w:t>5.</w:t>
      </w:r>
      <w:r>
        <w:rPr>
          <w:rFonts w:hint="eastAsia" w:ascii="仿宋_GB2312" w:hAnsi="方正仿宋_GB2312" w:eastAsia="仿宋_GB2312" w:cs="方正仿宋_GB2312"/>
          <w:bCs/>
          <w:sz w:val="32"/>
          <w:szCs w:val="32"/>
        </w:rPr>
        <w:t>卫生健康</w:t>
      </w:r>
      <w:r>
        <w:rPr>
          <w:rStyle w:val="15"/>
          <w:rFonts w:hint="eastAsia" w:ascii="仿宋_GB2312" w:hAnsi="方正仿宋_GB2312" w:eastAsia="仿宋_GB2312" w:cs="方正仿宋_GB2312"/>
          <w:b w:val="0"/>
          <w:bCs/>
          <w:sz w:val="32"/>
          <w:szCs w:val="32"/>
        </w:rPr>
        <w:t>（类）行政事业单位医疗（款）其他行政事业单位医疗（项）:支出决算为1.92万元，</w:t>
      </w:r>
      <w:r>
        <w:rPr>
          <w:rStyle w:val="15"/>
          <w:rFonts w:hint="eastAsia" w:ascii="仿宋_GB2312" w:hAnsi="方正仿宋_GB2312" w:eastAsia="仿宋_GB2312" w:cs="方正仿宋_GB2312"/>
          <w:b w:val="0"/>
          <w:color w:val="000000"/>
          <w:sz w:val="32"/>
          <w:szCs w:val="32"/>
        </w:rPr>
        <w:t>完成预算100%。决算数等于预算数。</w:t>
      </w:r>
    </w:p>
    <w:p>
      <w:pPr>
        <w:spacing w:line="600" w:lineRule="exact"/>
        <w:ind w:firstLine="640" w:firstLineChars="200"/>
        <w:rPr>
          <w:rStyle w:val="15"/>
          <w:rFonts w:hint="eastAsia" w:ascii="仿宋_GB2312" w:hAnsi="方正仿宋_GB2312" w:eastAsia="仿宋_GB2312" w:cs="方正仿宋_GB2312"/>
          <w:b w:val="0"/>
          <w:color w:val="000000"/>
          <w:sz w:val="32"/>
          <w:szCs w:val="32"/>
        </w:rPr>
      </w:pPr>
      <w:r>
        <w:rPr>
          <w:rStyle w:val="15"/>
          <w:rFonts w:hint="eastAsia" w:ascii="仿宋_GB2312" w:hAnsi="方正仿宋_GB2312" w:eastAsia="仿宋_GB2312" w:cs="方正仿宋_GB2312"/>
          <w:b w:val="0"/>
          <w:bCs/>
          <w:color w:val="000000"/>
          <w:sz w:val="32"/>
          <w:szCs w:val="32"/>
        </w:rPr>
        <w:t>6.</w:t>
      </w:r>
      <w:r>
        <w:rPr>
          <w:rFonts w:hint="eastAsia" w:ascii="仿宋_GB2312" w:hAnsi="方正仿宋_GB2312" w:eastAsia="仿宋_GB2312" w:cs="方正仿宋_GB2312"/>
          <w:bCs/>
          <w:sz w:val="32"/>
          <w:szCs w:val="32"/>
        </w:rPr>
        <w:t>卫生健康</w:t>
      </w:r>
      <w:r>
        <w:rPr>
          <w:rStyle w:val="15"/>
          <w:rFonts w:hint="eastAsia" w:ascii="仿宋_GB2312" w:hAnsi="方正仿宋_GB2312" w:eastAsia="仿宋_GB2312" w:cs="方正仿宋_GB2312"/>
          <w:b w:val="0"/>
          <w:bCs/>
          <w:sz w:val="32"/>
          <w:szCs w:val="32"/>
        </w:rPr>
        <w:t>（类）其他卫生健康（款）其他卫生健康（项）:支出决算为0.11万元，</w:t>
      </w:r>
      <w:r>
        <w:rPr>
          <w:rStyle w:val="15"/>
          <w:rFonts w:hint="eastAsia" w:ascii="仿宋_GB2312" w:hAnsi="方正仿宋_GB2312" w:eastAsia="仿宋_GB2312" w:cs="方正仿宋_GB2312"/>
          <w:b w:val="0"/>
          <w:color w:val="000000"/>
          <w:sz w:val="32"/>
          <w:szCs w:val="32"/>
        </w:rPr>
        <w:t>完成预算100%。决算数等于预算数。</w:t>
      </w:r>
    </w:p>
    <w:p>
      <w:pPr>
        <w:spacing w:line="600" w:lineRule="exact"/>
        <w:ind w:firstLine="640" w:firstLineChars="200"/>
        <w:rPr>
          <w:rFonts w:hint="eastAsia" w:ascii="仿宋_GB2312" w:hAnsi="方正仿宋_GB2312" w:eastAsia="仿宋_GB2312" w:cs="方正仿宋_GB2312"/>
          <w:b/>
          <w:color w:val="000000"/>
          <w:sz w:val="32"/>
          <w:szCs w:val="32"/>
        </w:rPr>
      </w:pPr>
      <w:r>
        <w:rPr>
          <w:rStyle w:val="15"/>
          <w:rFonts w:hint="eastAsia" w:ascii="仿宋_GB2312" w:hAnsi="方正仿宋_GB2312" w:eastAsia="仿宋_GB2312" w:cs="方正仿宋_GB2312"/>
          <w:b w:val="0"/>
          <w:bCs/>
          <w:color w:val="000000"/>
          <w:sz w:val="32"/>
          <w:szCs w:val="32"/>
        </w:rPr>
        <w:t>7.城乡社区（类）城乡社区管理事务（款）工程建设标准规范编制与监管（项）:</w:t>
      </w:r>
      <w:r>
        <w:rPr>
          <w:rStyle w:val="15"/>
          <w:rFonts w:hint="eastAsia" w:ascii="仿宋_GB2312" w:hAnsi="方正仿宋_GB2312" w:eastAsia="仿宋_GB2312" w:cs="方正仿宋_GB2312"/>
          <w:b w:val="0"/>
          <w:color w:val="000000"/>
          <w:sz w:val="32"/>
          <w:szCs w:val="32"/>
        </w:rPr>
        <w:t>支出决算为233.64万元，完成预算100%。决算数等于预算数。</w:t>
      </w:r>
    </w:p>
    <w:p>
      <w:pPr>
        <w:spacing w:line="600" w:lineRule="exact"/>
        <w:ind w:firstLine="640"/>
        <w:rPr>
          <w:rFonts w:eastAsia="仿宋_GB2312" w:cs="仿宋_GB2312"/>
          <w:b/>
          <w:sz w:val="32"/>
          <w:szCs w:val="32"/>
        </w:rPr>
      </w:pPr>
      <w:r>
        <w:rPr>
          <w:rStyle w:val="15"/>
          <w:rFonts w:hint="eastAsia" w:ascii="仿宋_GB2312" w:hAnsi="方正仿宋_GB2312" w:eastAsia="仿宋_GB2312" w:cs="方正仿宋_GB2312"/>
          <w:b w:val="0"/>
          <w:bCs/>
          <w:color w:val="000000"/>
          <w:sz w:val="32"/>
          <w:szCs w:val="32"/>
        </w:rPr>
        <w:t>8.</w:t>
      </w:r>
      <w:r>
        <w:rPr>
          <w:rFonts w:hint="eastAsia" w:ascii="仿宋_GB2312" w:hAnsi="方正仿宋_GB2312" w:eastAsia="仿宋_GB2312" w:cs="方正仿宋_GB2312"/>
          <w:bCs/>
          <w:color w:val="000000"/>
          <w:sz w:val="32"/>
          <w:szCs w:val="32"/>
        </w:rPr>
        <w:t>住房保障</w:t>
      </w:r>
      <w:r>
        <w:rPr>
          <w:rStyle w:val="15"/>
          <w:rFonts w:hint="eastAsia" w:ascii="仿宋_GB2312" w:hAnsi="方正仿宋_GB2312" w:eastAsia="仿宋_GB2312" w:cs="方正仿宋_GB2312"/>
          <w:b w:val="0"/>
          <w:bCs/>
          <w:color w:val="000000"/>
          <w:sz w:val="32"/>
          <w:szCs w:val="32"/>
        </w:rPr>
        <w:t>（类）住房改革（款）住房公积金（项）:</w:t>
      </w:r>
      <w:r>
        <w:rPr>
          <w:rStyle w:val="15"/>
          <w:rFonts w:hint="eastAsia" w:ascii="仿宋_GB2312" w:hAnsi="方正仿宋_GB2312" w:eastAsia="仿宋_GB2312" w:cs="方正仿宋_GB2312"/>
          <w:b w:val="0"/>
          <w:color w:val="000000"/>
          <w:sz w:val="32"/>
          <w:szCs w:val="32"/>
        </w:rPr>
        <w:t>支出决算为24.84万元，完成预算100%。决算数等于预算数。</w:t>
      </w:r>
    </w:p>
    <w:p>
      <w:pPr>
        <w:pStyle w:val="10"/>
        <w:rPr>
          <w:rFonts w:eastAsia="仿宋_GB2312"/>
        </w:rPr>
      </w:pPr>
    </w:p>
    <w:p>
      <w:pPr>
        <w:tabs>
          <w:tab w:val="right" w:pos="8306"/>
        </w:tabs>
        <w:spacing w:line="600" w:lineRule="exact"/>
        <w:ind w:firstLine="640" w:firstLineChars="200"/>
        <w:outlineLvl w:val="1"/>
        <w:rPr>
          <w:rStyle w:val="20"/>
        </w:rPr>
      </w:pPr>
      <w:r>
        <w:rPr>
          <w:rFonts w:hint="eastAsia" w:eastAsia="黑体"/>
          <w:sz w:val="32"/>
          <w:szCs w:val="32"/>
        </w:rPr>
        <w:t>六</w:t>
      </w:r>
      <w:r>
        <w:rPr>
          <w:rFonts w:hint="eastAsia" w:eastAsia="黑体"/>
          <w:b/>
          <w:sz w:val="32"/>
          <w:szCs w:val="32"/>
        </w:rPr>
        <w:t>、一</w:t>
      </w:r>
      <w:r>
        <w:rPr>
          <w:rStyle w:val="20"/>
          <w:rFonts w:hint="eastAsia" w:eastAsia="黑体"/>
        </w:rPr>
        <w:t>般公共预算财政拨款基本支出决算情况说明</w:t>
      </w:r>
      <w:r>
        <w:rPr>
          <w:rStyle w:val="20"/>
          <w:rFonts w:eastAsia="黑体"/>
        </w:rPr>
        <w:tab/>
      </w:r>
    </w:p>
    <w:p>
      <w:pPr>
        <w:spacing w:line="600" w:lineRule="exact"/>
        <w:ind w:firstLine="640"/>
        <w:rPr>
          <w:rFonts w:eastAsia="仿宋_GB2312" w:cs="仿宋_GB2312"/>
          <w:sz w:val="32"/>
          <w:szCs w:val="32"/>
        </w:rPr>
      </w:pPr>
      <w:r>
        <w:rPr>
          <w:rFonts w:hint="eastAsia" w:eastAsia="仿宋_GB2312" w:cs="仿宋_GB2312"/>
          <w:sz w:val="32"/>
          <w:szCs w:val="32"/>
        </w:rPr>
        <w:t>2024年度一般公共预算财政拨款基本支出</w:t>
      </w:r>
      <w:r>
        <w:rPr>
          <w:rFonts w:hint="eastAsia" w:ascii="仿宋_GB2312" w:hAnsi="仿宋_GB2312" w:eastAsia="仿宋_GB2312" w:cs="仿宋_GB2312"/>
          <w:sz w:val="32"/>
          <w:szCs w:val="32"/>
        </w:rPr>
        <w:t>359.93万</w:t>
      </w:r>
      <w:r>
        <w:rPr>
          <w:rFonts w:hint="eastAsia" w:eastAsia="仿宋_GB2312" w:cs="仿宋_GB2312"/>
          <w:sz w:val="32"/>
          <w:szCs w:val="32"/>
        </w:rPr>
        <w:t>元，其中：</w:t>
      </w:r>
    </w:p>
    <w:p>
      <w:pPr>
        <w:spacing w:line="600" w:lineRule="exact"/>
        <w:ind w:firstLine="640"/>
        <w:rPr>
          <w:rFonts w:eastAsia="仿宋_GB2312" w:cs="仿宋_GB2312"/>
          <w:sz w:val="32"/>
          <w:szCs w:val="32"/>
        </w:rPr>
      </w:pPr>
      <w:r>
        <w:rPr>
          <w:rFonts w:hint="eastAsia" w:eastAsia="仿宋_GB2312" w:cs="仿宋_GB2312"/>
          <w:sz w:val="32"/>
          <w:szCs w:val="32"/>
        </w:rPr>
        <w:t>人员经费</w:t>
      </w:r>
      <w:r>
        <w:rPr>
          <w:rFonts w:hint="eastAsia" w:ascii="仿宋_GB2312" w:hAnsi="仿宋_GB2312" w:eastAsia="仿宋_GB2312" w:cs="仿宋_GB2312"/>
          <w:sz w:val="32"/>
          <w:szCs w:val="32"/>
        </w:rPr>
        <w:t>341.77万</w:t>
      </w:r>
      <w:r>
        <w:rPr>
          <w:rFonts w:hint="eastAsia" w:eastAsia="仿宋_GB2312" w:cs="仿宋_GB2312"/>
          <w:sz w:val="32"/>
          <w:szCs w:val="32"/>
        </w:rPr>
        <w:t>元，主要包括：基本工资、津贴补贴、绩效工资、机关事业单位基本养老保险缴费、职业年金缴费、其他社会保障缴费、其他工资福利支出、退休费、生活补助、医疗费补助、奖励金、住房公积金等。</w:t>
      </w:r>
      <w:r>
        <w:rPr>
          <w:rFonts w:hint="eastAsia" w:eastAsia="仿宋_GB2312" w:cs="仿宋_GB2312"/>
          <w:sz w:val="32"/>
          <w:szCs w:val="32"/>
        </w:rPr>
        <w:br w:type="textWrapping"/>
      </w:r>
      <w:r>
        <w:rPr>
          <w:rFonts w:hint="eastAsia" w:eastAsia="仿宋_GB2312" w:cs="仿宋_GB2312"/>
          <w:sz w:val="32"/>
          <w:szCs w:val="32"/>
        </w:rPr>
        <w:t>　　公用经费</w:t>
      </w:r>
      <w:r>
        <w:rPr>
          <w:rFonts w:hint="eastAsia" w:ascii="仿宋_GB2312" w:hAnsi="仿宋_GB2312" w:eastAsia="仿宋_GB2312" w:cs="仿宋_GB2312"/>
          <w:sz w:val="32"/>
          <w:szCs w:val="32"/>
        </w:rPr>
        <w:t>18.16万</w:t>
      </w:r>
      <w:r>
        <w:rPr>
          <w:rFonts w:hint="eastAsia" w:eastAsia="仿宋_GB2312" w:cs="仿宋_GB2312"/>
          <w:sz w:val="32"/>
          <w:szCs w:val="32"/>
        </w:rPr>
        <w:t>元，主要包括：办公费、水费、电费、邮电费、物业管理费、差旅费、劳务费、工会经费、福利费、公务用车运行维护费、其他交通费、其他商品和服务支出、等。</w:t>
      </w:r>
    </w:p>
    <w:p>
      <w:pPr>
        <w:pStyle w:val="10"/>
      </w:pPr>
    </w:p>
    <w:p>
      <w:pPr>
        <w:numPr>
          <w:ilvl w:val="0"/>
          <w:numId w:val="2"/>
        </w:numPr>
        <w:spacing w:line="600" w:lineRule="exact"/>
        <w:ind w:firstLine="963" w:firstLineChars="300"/>
        <w:outlineLvl w:val="1"/>
        <w:rPr>
          <w:rFonts w:eastAsia="楷体_GB2312" w:cs="楷体_GB2312"/>
          <w:b/>
          <w:sz w:val="32"/>
          <w:szCs w:val="32"/>
        </w:rPr>
      </w:pPr>
      <w:r>
        <w:rPr>
          <w:rStyle w:val="20"/>
          <w:rFonts w:hint="eastAsia" w:eastAsia="黑体"/>
        </w:rPr>
        <w:t>财政拨款“三公”经费支出决算情况说明</w:t>
      </w:r>
    </w:p>
    <w:p>
      <w:pPr>
        <w:numPr>
          <w:ilvl w:val="0"/>
          <w:numId w:val="0"/>
        </w:numPr>
        <w:spacing w:line="600" w:lineRule="exact"/>
        <w:ind w:firstLine="963" w:firstLineChars="300"/>
        <w:outlineLvl w:val="1"/>
        <w:rPr>
          <w:rFonts w:eastAsia="楷体_GB2312" w:cs="楷体_GB2312"/>
          <w:b/>
          <w:sz w:val="32"/>
          <w:szCs w:val="32"/>
        </w:rPr>
      </w:pPr>
      <w:r>
        <w:rPr>
          <w:rFonts w:hint="eastAsia" w:eastAsia="楷体_GB2312" w:cs="楷体_GB2312"/>
          <w:b/>
          <w:sz w:val="32"/>
          <w:szCs w:val="32"/>
        </w:rPr>
        <w:t>（一）“三公”经费财政拨款支出决算总体情况说明</w:t>
      </w:r>
    </w:p>
    <w:p>
      <w:pPr>
        <w:spacing w:line="600" w:lineRule="exact"/>
        <w:ind w:firstLine="960" w:firstLineChars="300"/>
        <w:rPr>
          <w:rFonts w:eastAsia="仿宋_GB2312" w:cs="仿宋_GB2312"/>
          <w:sz w:val="32"/>
          <w:szCs w:val="32"/>
        </w:rPr>
      </w:pPr>
      <w:r>
        <w:rPr>
          <w:rFonts w:hint="eastAsia" w:eastAsia="仿宋_GB2312" w:cs="仿宋_GB2312"/>
          <w:sz w:val="32"/>
          <w:szCs w:val="32"/>
        </w:rPr>
        <w:t>2024年度“三公”经费财政拨款支出决算为</w:t>
      </w:r>
      <w:r>
        <w:rPr>
          <w:rFonts w:hint="eastAsia" w:ascii="仿宋_GB2312" w:hAnsi="仿宋_GB2312" w:eastAsia="仿宋_GB2312" w:cs="仿宋_GB2312"/>
          <w:sz w:val="32"/>
          <w:szCs w:val="32"/>
        </w:rPr>
        <w:t>0.89万元，完成预算100%，</w:t>
      </w:r>
      <w:r>
        <w:rPr>
          <w:rFonts w:hint="eastAsia" w:eastAsia="仿宋_GB2312" w:cs="仿宋_GB2312"/>
          <w:sz w:val="32"/>
          <w:szCs w:val="32"/>
        </w:rPr>
        <w:t>较上年度增加0.49万元，增长122.50%。决算数与预算数持平。增长主要原因是2023年度加油使用油卡原有余额，未进行油卡充值，</w:t>
      </w:r>
      <w:r>
        <w:rPr>
          <w:rFonts w:eastAsia="仿宋_GB2312" w:cs="仿宋_GB2312"/>
          <w:sz w:val="32"/>
          <w:szCs w:val="32"/>
        </w:rPr>
        <w:t>20</w:t>
      </w:r>
      <w:r>
        <w:rPr>
          <w:rFonts w:hint="eastAsia" w:eastAsia="仿宋_GB2312" w:cs="仿宋_GB2312"/>
          <w:sz w:val="32"/>
          <w:szCs w:val="32"/>
        </w:rPr>
        <w:t>24年度通过政府采购进行了加油采购服务。</w:t>
      </w:r>
    </w:p>
    <w:p>
      <w:pPr>
        <w:spacing w:line="600" w:lineRule="exact"/>
        <w:ind w:firstLine="963" w:firstLineChars="300"/>
        <w:outlineLvl w:val="2"/>
        <w:rPr>
          <w:rFonts w:eastAsia="楷体_GB2312" w:cs="楷体_GB2312"/>
          <w:b/>
          <w:sz w:val="32"/>
          <w:szCs w:val="32"/>
        </w:rPr>
      </w:pPr>
      <w:r>
        <w:rPr>
          <w:rFonts w:hint="eastAsia" w:eastAsia="楷体_GB2312" w:cs="楷体_GB2312"/>
          <w:b/>
          <w:sz w:val="32"/>
          <w:szCs w:val="32"/>
        </w:rPr>
        <w:t>（二）“三公”经费财政拨款支出决算具体情况说明</w:t>
      </w:r>
    </w:p>
    <w:p>
      <w:pPr>
        <w:spacing w:line="60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2024年度“三公”经费财政拨款支出决算中，因公出国（境）费支出决算0万元，占0%；公务用车购置及运行维护费支出决算0.89万元，占100%；公务接待费支出决算0万元，占0%。具体情况如下：</w:t>
      </w:r>
    </w:p>
    <w:p>
      <w:pPr>
        <w:pStyle w:val="10"/>
        <w:rPr>
          <w:rFonts w:ascii="仿宋_GB2312" w:hAnsi="仿宋_GB2312" w:eastAsia="仿宋_GB2312" w:cs="仿宋_GB2312"/>
          <w:sz w:val="32"/>
          <w:szCs w:val="32"/>
        </w:rPr>
      </w:pPr>
      <w:r>
        <w:drawing>
          <wp:inline distT="0" distB="0" distL="0" distR="0">
            <wp:extent cx="5277485" cy="2969895"/>
            <wp:effectExtent l="4445" t="4445" r="13970" b="16510"/>
            <wp:docPr id="1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640" w:firstLineChars="200"/>
        <w:rPr>
          <w:rFonts w:eastAsia="仿宋_GB2312" w:cs="仿宋_GB2312"/>
          <w:sz w:val="32"/>
          <w:szCs w:val="32"/>
        </w:rPr>
      </w:pPr>
      <w:r>
        <w:rPr>
          <w:rFonts w:hint="eastAsia" w:eastAsia="仿宋_GB2312" w:cs="仿宋_GB2312"/>
          <w:sz w:val="32"/>
          <w:szCs w:val="32"/>
        </w:rPr>
        <w:t>（图7：“三公”经费财政拨款支出结构）</w:t>
      </w:r>
    </w:p>
    <w:p>
      <w:pPr>
        <w:spacing w:line="600" w:lineRule="exact"/>
        <w:ind w:firstLine="640" w:firstLineChars="200"/>
        <w:rPr>
          <w:rFonts w:hint="eastAsia" w:ascii="仿宋_GB2312" w:hAnsi="方正仿宋_GB2312" w:eastAsia="仿宋_GB2312" w:cs="方正仿宋_GB2312"/>
          <w:sz w:val="32"/>
          <w:szCs w:val="32"/>
        </w:rPr>
      </w:pPr>
      <w:r>
        <w:rPr>
          <w:rFonts w:hint="eastAsia" w:eastAsia="仿宋_GB2312" w:cs="仿宋_GB2312"/>
          <w:bCs/>
          <w:sz w:val="32"/>
          <w:szCs w:val="32"/>
        </w:rPr>
        <w:t>1.因公出国（境）经费支出0万元，</w:t>
      </w:r>
      <w:r>
        <w:rPr>
          <w:rFonts w:hint="eastAsia" w:ascii="仿宋_GB2312" w:hAnsi="方正仿宋_GB2312" w:eastAsia="仿宋_GB2312" w:cs="方正仿宋_GB2312"/>
          <w:sz w:val="32"/>
          <w:szCs w:val="32"/>
        </w:rPr>
        <w:t>2024年无</w:t>
      </w:r>
      <w:r>
        <w:rPr>
          <w:rStyle w:val="15"/>
          <w:rFonts w:hint="eastAsia" w:ascii="仿宋_GB2312" w:hAnsi="方正仿宋_GB2312" w:eastAsia="仿宋_GB2312" w:cs="方正仿宋_GB2312"/>
          <w:b w:val="0"/>
          <w:bCs/>
          <w:sz w:val="32"/>
          <w:szCs w:val="32"/>
        </w:rPr>
        <w:t>预算安排</w:t>
      </w:r>
      <w:r>
        <w:rPr>
          <w:rStyle w:val="15"/>
          <w:rFonts w:hint="eastAsia" w:ascii="仿宋_GB2312" w:hAnsi="方正仿宋_GB2312" w:eastAsia="仿宋_GB2312" w:cs="方正仿宋_GB2312"/>
          <w:bCs/>
          <w:sz w:val="32"/>
          <w:szCs w:val="32"/>
        </w:rPr>
        <w:t>。</w:t>
      </w:r>
      <w:r>
        <w:rPr>
          <w:rFonts w:hint="eastAsia" w:ascii="仿宋_GB2312" w:hAnsi="方正仿宋_GB2312" w:eastAsia="仿宋_GB2312" w:cs="方正仿宋_GB2312"/>
          <w:sz w:val="32"/>
          <w:szCs w:val="32"/>
        </w:rPr>
        <w:t>全年安排因公出国（境）团组0次，出国（境）0人。因公出国（境）支出决算与2023年无变化。</w:t>
      </w:r>
    </w:p>
    <w:p>
      <w:pPr>
        <w:spacing w:line="600" w:lineRule="exact"/>
        <w:ind w:firstLine="640"/>
        <w:rPr>
          <w:rFonts w:eastAsia="仿宋_GB2312" w:cs="仿宋_GB2312"/>
          <w:sz w:val="32"/>
          <w:szCs w:val="32"/>
        </w:rPr>
      </w:pPr>
      <w:r>
        <w:rPr>
          <w:rFonts w:hint="eastAsia" w:eastAsia="仿宋_GB2312" w:cs="仿宋_GB2312"/>
          <w:bCs/>
          <w:sz w:val="32"/>
          <w:szCs w:val="32"/>
        </w:rPr>
        <w:t>2.公务用车购置及运行维护费支出</w:t>
      </w:r>
      <w:r>
        <w:rPr>
          <w:rFonts w:hint="eastAsia" w:ascii="仿宋_GB2312" w:hAnsi="仿宋_GB2312" w:eastAsia="仿宋_GB2312" w:cs="仿宋_GB2312"/>
          <w:bCs/>
          <w:sz w:val="32"/>
          <w:szCs w:val="32"/>
        </w:rPr>
        <w:t>0.89万</w:t>
      </w:r>
      <w:r>
        <w:rPr>
          <w:rFonts w:hint="eastAsia" w:eastAsia="仿宋_GB2312" w:cs="仿宋_GB2312"/>
          <w:bCs/>
          <w:sz w:val="32"/>
          <w:szCs w:val="32"/>
        </w:rPr>
        <w:t>元，完成预算100%。</w:t>
      </w:r>
      <w:r>
        <w:rPr>
          <w:rFonts w:hint="eastAsia" w:eastAsia="仿宋_GB2312" w:cs="仿宋_GB2312"/>
          <w:sz w:val="32"/>
          <w:szCs w:val="32"/>
        </w:rPr>
        <w:t>公务用车购置及运行维护费支出决算比2023年度增加0.49万元，增长122.50%。增长主要原因是2023年度加油使用油卡原有余额，未进行油卡充值，</w:t>
      </w:r>
      <w:bookmarkStart w:id="4" w:name="OLE_LINK3"/>
      <w:bookmarkStart w:id="5" w:name="OLE_LINK4"/>
      <w:r>
        <w:rPr>
          <w:rFonts w:hint="eastAsia" w:eastAsia="仿宋_GB2312" w:cs="仿宋_GB2312"/>
          <w:sz w:val="32"/>
          <w:szCs w:val="32"/>
        </w:rPr>
        <w:t>2024年度通过政府采购进行了加油采购服务。</w:t>
      </w:r>
    </w:p>
    <w:bookmarkEnd w:id="4"/>
    <w:bookmarkEnd w:id="5"/>
    <w:p>
      <w:pPr>
        <w:spacing w:line="600" w:lineRule="exact"/>
        <w:ind w:firstLine="640"/>
        <w:rPr>
          <w:rFonts w:eastAsia="仿宋_GB2312" w:cs="仿宋_GB2312"/>
          <w:sz w:val="32"/>
          <w:szCs w:val="32"/>
        </w:rPr>
      </w:pPr>
      <w:r>
        <w:rPr>
          <w:rFonts w:hint="eastAsia" w:eastAsia="仿宋_GB2312" w:cs="仿宋_GB2312"/>
          <w:sz w:val="32"/>
          <w:szCs w:val="32"/>
        </w:rPr>
        <w:t>其中：公务用车购置支</w:t>
      </w:r>
      <w:r>
        <w:rPr>
          <w:rFonts w:hint="eastAsia" w:ascii="仿宋_GB2312" w:hAnsi="仿宋_GB2312" w:eastAsia="仿宋_GB2312" w:cs="仿宋_GB2312"/>
          <w:sz w:val="32"/>
          <w:szCs w:val="32"/>
        </w:rPr>
        <w:t>出0</w:t>
      </w:r>
      <w:r>
        <w:rPr>
          <w:rFonts w:hint="eastAsia" w:eastAsia="仿宋_GB2312" w:cs="仿宋_GB2312"/>
          <w:sz w:val="32"/>
          <w:szCs w:val="32"/>
        </w:rPr>
        <w:t>万元。全年按规定更新购置公务用车0辆，其中：轿车0辆、金额0万元，越野车0辆、金额0万元，载客汽车0辆、金额0万元。截至2024年12月31日，单位共有公务用车1辆，其中：轿车0辆、越野车1辆、载客汽车0辆。</w:t>
      </w:r>
    </w:p>
    <w:p>
      <w:pPr>
        <w:spacing w:line="600" w:lineRule="exact"/>
        <w:ind w:firstLine="640"/>
        <w:rPr>
          <w:rFonts w:eastAsia="仿宋_GB2312" w:cs="仿宋_GB2312"/>
          <w:sz w:val="32"/>
          <w:szCs w:val="32"/>
        </w:rPr>
      </w:pPr>
      <w:r>
        <w:rPr>
          <w:rFonts w:hint="eastAsia" w:eastAsia="仿宋_GB2312" w:cs="仿宋_GB2312"/>
          <w:sz w:val="32"/>
          <w:szCs w:val="32"/>
        </w:rPr>
        <w:t>公务用车运行维护费支</w:t>
      </w:r>
      <w:r>
        <w:rPr>
          <w:rFonts w:hint="eastAsia" w:ascii="仿宋_GB2312" w:hAnsi="仿宋_GB2312" w:eastAsia="仿宋_GB2312" w:cs="仿宋_GB2312"/>
          <w:sz w:val="32"/>
          <w:szCs w:val="32"/>
        </w:rPr>
        <w:t>出0.89</w:t>
      </w:r>
      <w:r>
        <w:rPr>
          <w:rFonts w:hint="eastAsia" w:eastAsia="仿宋_GB2312" w:cs="仿宋_GB2312"/>
          <w:sz w:val="32"/>
          <w:szCs w:val="32"/>
        </w:rPr>
        <w:t>万元。主要用于单位日常工作及建筑业材料和人工费价格调查等工作所需的公务用车燃料费、维修费、过路过桥费、保险费等支出。</w:t>
      </w:r>
    </w:p>
    <w:p>
      <w:pPr>
        <w:spacing w:line="600" w:lineRule="exact"/>
        <w:ind w:firstLine="640"/>
        <w:rPr>
          <w:rFonts w:hint="eastAsia" w:ascii="仿宋_GB2312" w:hAnsi="方正仿宋_GB2312" w:eastAsia="仿宋_GB2312" w:cs="方正仿宋_GB2312"/>
          <w:sz w:val="32"/>
          <w:szCs w:val="32"/>
        </w:rPr>
      </w:pPr>
      <w:r>
        <w:rPr>
          <w:rFonts w:hint="eastAsia" w:eastAsia="仿宋_GB2312" w:cs="仿宋_GB2312"/>
          <w:bCs/>
          <w:sz w:val="32"/>
          <w:szCs w:val="32"/>
        </w:rPr>
        <w:t>3.公务接待费支出</w:t>
      </w:r>
      <w:r>
        <w:rPr>
          <w:rFonts w:hint="eastAsia" w:ascii="仿宋_GB2312" w:hAnsi="仿宋_GB2312" w:eastAsia="仿宋_GB2312" w:cs="仿宋_GB2312"/>
          <w:bCs/>
          <w:sz w:val="32"/>
          <w:szCs w:val="32"/>
        </w:rPr>
        <w:t>0万</w:t>
      </w:r>
      <w:r>
        <w:rPr>
          <w:rFonts w:hint="eastAsia" w:eastAsia="仿宋_GB2312" w:cs="仿宋_GB2312"/>
          <w:bCs/>
          <w:sz w:val="32"/>
          <w:szCs w:val="32"/>
        </w:rPr>
        <w:t>元，完成预算100%。</w:t>
      </w:r>
      <w:r>
        <w:rPr>
          <w:rFonts w:hint="eastAsia" w:ascii="仿宋_GB2312" w:hAnsi="方正仿宋_GB2312" w:eastAsia="仿宋_GB2312" w:cs="方正仿宋_GB2312"/>
          <w:sz w:val="32"/>
          <w:szCs w:val="32"/>
        </w:rPr>
        <w:t>公务接待费支出决算与2023年无变化。其中：</w:t>
      </w:r>
    </w:p>
    <w:p>
      <w:pPr>
        <w:spacing w:line="600" w:lineRule="exact"/>
        <w:ind w:firstLine="640"/>
        <w:rPr>
          <w:rFonts w:eastAsia="仿宋_GB2312" w:cs="仿宋_GB2312"/>
          <w:sz w:val="32"/>
          <w:szCs w:val="32"/>
        </w:rPr>
      </w:pPr>
      <w:r>
        <w:rPr>
          <w:rFonts w:hint="eastAsia" w:eastAsia="仿宋_GB2312" w:cs="仿宋_GB2312"/>
          <w:sz w:val="32"/>
          <w:szCs w:val="32"/>
        </w:rPr>
        <w:t>国内公务接待支</w:t>
      </w:r>
      <w:r>
        <w:rPr>
          <w:rFonts w:hint="eastAsia" w:ascii="仿宋_GB2312" w:hAnsi="仿宋_GB2312" w:eastAsia="仿宋_GB2312" w:cs="仿宋_GB2312"/>
          <w:sz w:val="32"/>
          <w:szCs w:val="32"/>
        </w:rPr>
        <w:t>出0万</w:t>
      </w:r>
      <w:r>
        <w:rPr>
          <w:rFonts w:hint="eastAsia" w:eastAsia="仿宋_GB2312" w:cs="仿宋_GB2312"/>
          <w:sz w:val="32"/>
          <w:szCs w:val="32"/>
        </w:rPr>
        <w:t>元。国内公务接</w:t>
      </w:r>
      <w:r>
        <w:rPr>
          <w:rFonts w:hint="eastAsia" w:ascii="仿宋_GB2312" w:hAnsi="仿宋_GB2312" w:eastAsia="仿宋_GB2312" w:cs="仿宋_GB2312"/>
          <w:sz w:val="32"/>
          <w:szCs w:val="32"/>
        </w:rPr>
        <w:t>待0批次，0</w:t>
      </w:r>
      <w:r>
        <w:rPr>
          <w:rFonts w:hint="eastAsia" w:eastAsia="仿宋_GB2312" w:cs="仿宋_GB2312"/>
          <w:sz w:val="32"/>
          <w:szCs w:val="32"/>
        </w:rPr>
        <w:t>人次（不包括陪同人员），共计支出0万元。</w:t>
      </w:r>
    </w:p>
    <w:p>
      <w:pPr>
        <w:spacing w:line="600" w:lineRule="exact"/>
        <w:ind w:firstLine="640"/>
        <w:rPr>
          <w:rFonts w:eastAsia="仿宋_GB2312" w:cs="仿宋_GB2312"/>
          <w:sz w:val="32"/>
          <w:szCs w:val="32"/>
        </w:rPr>
      </w:pPr>
      <w:r>
        <w:rPr>
          <w:rFonts w:hint="eastAsia" w:eastAsia="仿宋_GB2312" w:cs="仿宋_GB2312"/>
          <w:sz w:val="32"/>
          <w:szCs w:val="32"/>
        </w:rPr>
        <w:t>外事接待支</w:t>
      </w:r>
      <w:r>
        <w:rPr>
          <w:rFonts w:hint="eastAsia" w:ascii="仿宋_GB2312" w:hAnsi="仿宋_GB2312" w:eastAsia="仿宋_GB2312" w:cs="仿宋_GB2312"/>
          <w:sz w:val="32"/>
          <w:szCs w:val="32"/>
        </w:rPr>
        <w:t>出0万元。外事接待0批次，0人次（不包括陪同人员），共计支出0万</w:t>
      </w:r>
      <w:r>
        <w:rPr>
          <w:rFonts w:hint="eastAsia" w:eastAsia="仿宋_GB2312" w:cs="仿宋_GB2312"/>
          <w:sz w:val="32"/>
          <w:szCs w:val="32"/>
        </w:rPr>
        <w:t>元。</w:t>
      </w:r>
    </w:p>
    <w:p>
      <w:pPr>
        <w:spacing w:line="600" w:lineRule="exact"/>
        <w:ind w:firstLine="640"/>
        <w:outlineLvl w:val="1"/>
        <w:rPr>
          <w:rStyle w:val="20"/>
          <w:rFonts w:eastAsia="黑体"/>
        </w:rPr>
      </w:pPr>
      <w:r>
        <w:rPr>
          <w:rFonts w:hint="eastAsia" w:eastAsia="黑体"/>
          <w:sz w:val="32"/>
          <w:szCs w:val="32"/>
        </w:rPr>
        <w:t>八、</w:t>
      </w:r>
      <w:r>
        <w:rPr>
          <w:rStyle w:val="20"/>
          <w:rFonts w:hint="eastAsia" w:eastAsia="黑体"/>
        </w:rPr>
        <w:t>政府性基金预算支出决算情况说明</w:t>
      </w:r>
    </w:p>
    <w:p>
      <w:pPr>
        <w:spacing w:line="600" w:lineRule="exact"/>
        <w:ind w:firstLine="640"/>
        <w:rPr>
          <w:rFonts w:eastAsia="仿宋_GB2312" w:cs="仿宋_GB2312"/>
          <w:sz w:val="32"/>
          <w:szCs w:val="32"/>
        </w:rPr>
      </w:pPr>
      <w:r>
        <w:rPr>
          <w:rFonts w:hint="eastAsia" w:ascii="仿宋_GB2312" w:hAnsi="仿宋_GB2312" w:eastAsia="仿宋_GB2312" w:cs="仿宋_GB2312"/>
          <w:sz w:val="32"/>
          <w:szCs w:val="32"/>
        </w:rPr>
        <w:t>2024年度政府性基金预算财政拨款支出0万元，占本年支出合计的0%</w:t>
      </w:r>
      <w:r>
        <w:rPr>
          <w:rFonts w:hint="eastAsia" w:eastAsia="仿宋_GB2312" w:cs="仿宋_GB2312"/>
          <w:sz w:val="32"/>
          <w:szCs w:val="32"/>
        </w:rPr>
        <w:t>。与2023年度相比，政府性基金预算财政拨款支出一致。</w:t>
      </w:r>
    </w:p>
    <w:p>
      <w:pPr>
        <w:spacing w:line="600" w:lineRule="exact"/>
        <w:ind w:left="630"/>
        <w:outlineLvl w:val="1"/>
        <w:rPr>
          <w:rStyle w:val="20"/>
          <w:rFonts w:eastAsia="黑体"/>
          <w:b w:val="0"/>
        </w:rPr>
      </w:pPr>
      <w:r>
        <w:rPr>
          <w:rStyle w:val="20"/>
          <w:rFonts w:hint="eastAsia" w:eastAsia="黑体"/>
        </w:rPr>
        <w:t>九、国有资本经营预算支出决算情况说明</w:t>
      </w:r>
    </w:p>
    <w:p>
      <w:pPr>
        <w:spacing w:line="600" w:lineRule="exact"/>
        <w:ind w:firstLine="640"/>
        <w:rPr>
          <w:rFonts w:eastAsia="仿宋_GB2312" w:cs="仿宋_GB2312"/>
          <w:sz w:val="32"/>
          <w:szCs w:val="32"/>
        </w:rPr>
      </w:pPr>
      <w:r>
        <w:rPr>
          <w:rFonts w:hint="eastAsia" w:eastAsia="仿宋_GB2312" w:cs="仿宋_GB2312"/>
          <w:sz w:val="32"/>
          <w:szCs w:val="32"/>
        </w:rPr>
        <w:t>2024年度国有资本经营预算财政拨款支出</w:t>
      </w:r>
      <w:r>
        <w:rPr>
          <w:rFonts w:hint="eastAsia" w:ascii="仿宋_GB2312" w:hAnsi="仿宋_GB2312" w:eastAsia="仿宋_GB2312" w:cs="仿宋_GB2312"/>
          <w:sz w:val="32"/>
          <w:szCs w:val="32"/>
        </w:rPr>
        <w:t>0万元，占本年支出合计的0%</w:t>
      </w:r>
      <w:r>
        <w:rPr>
          <w:rFonts w:hint="eastAsia" w:eastAsia="仿宋_GB2312" w:cs="仿宋_GB2312"/>
          <w:sz w:val="32"/>
          <w:szCs w:val="32"/>
        </w:rPr>
        <w:t>。与2023年度相比，国有资本经营预算财政拨款支出一致。</w:t>
      </w:r>
    </w:p>
    <w:p>
      <w:pPr>
        <w:spacing w:line="600" w:lineRule="exact"/>
        <w:ind w:left="630"/>
        <w:outlineLvl w:val="1"/>
        <w:rPr>
          <w:rStyle w:val="20"/>
          <w:rFonts w:eastAsia="黑体"/>
          <w:b w:val="0"/>
        </w:rPr>
      </w:pPr>
      <w:r>
        <w:rPr>
          <w:rStyle w:val="20"/>
          <w:rFonts w:hint="eastAsia" w:eastAsia="黑体"/>
        </w:rPr>
        <w:t>十、其他重要事项的情况说明</w:t>
      </w:r>
    </w:p>
    <w:p>
      <w:pPr>
        <w:spacing w:line="600" w:lineRule="exact"/>
        <w:ind w:firstLine="642" w:firstLineChars="200"/>
        <w:outlineLvl w:val="2"/>
        <w:rPr>
          <w:rFonts w:eastAsia="楷体_GB2312" w:cs="楷体_GB2312"/>
          <w:b/>
          <w:sz w:val="32"/>
          <w:szCs w:val="32"/>
        </w:rPr>
      </w:pPr>
      <w:r>
        <w:rPr>
          <w:rFonts w:hint="eastAsia" w:eastAsia="楷体_GB2312" w:cs="楷体_GB2312"/>
          <w:b/>
          <w:sz w:val="32"/>
          <w:szCs w:val="32"/>
        </w:rPr>
        <w:t>（一）机关运行经费支出情况</w:t>
      </w:r>
    </w:p>
    <w:p>
      <w:pPr>
        <w:spacing w:line="600" w:lineRule="exact"/>
        <w:ind w:firstLine="640" w:firstLineChars="200"/>
        <w:rPr>
          <w:rFonts w:hint="eastAsia" w:ascii="仿宋_GB2312" w:hAnsi="方正仿宋_GB2312" w:eastAsia="仿宋_GB2312" w:cs="方正仿宋_GB2312"/>
          <w:sz w:val="32"/>
          <w:szCs w:val="32"/>
        </w:rPr>
      </w:pPr>
      <w:r>
        <w:rPr>
          <w:rFonts w:hint="eastAsia" w:eastAsia="仿宋_GB2312" w:cs="仿宋_GB2312"/>
          <w:sz w:val="32"/>
          <w:szCs w:val="32"/>
        </w:rPr>
        <w:t>2024年度</w:t>
      </w:r>
      <w:r>
        <w:rPr>
          <w:rFonts w:hint="eastAsia" w:ascii="仿宋_GB2312" w:hAnsi="仿宋_GB2312" w:eastAsia="仿宋_GB2312" w:cs="仿宋_GB2312"/>
          <w:sz w:val="32"/>
          <w:szCs w:val="32"/>
        </w:rPr>
        <w:t>，四川省攀枝花市建设工程造价站机关运行经费支出0万</w:t>
      </w:r>
      <w:r>
        <w:rPr>
          <w:rFonts w:hint="eastAsia" w:eastAsia="仿宋_GB2312" w:cs="仿宋_GB2312"/>
          <w:sz w:val="32"/>
          <w:szCs w:val="32"/>
        </w:rPr>
        <w:t>元，与2023年度决算数持平。主要原因是</w:t>
      </w:r>
      <w:r>
        <w:rPr>
          <w:rFonts w:hint="eastAsia" w:ascii="仿宋_GB2312" w:hAnsi="方正仿宋_GB2312" w:eastAsia="仿宋_GB2312" w:cs="方正仿宋_GB2312"/>
          <w:sz w:val="32"/>
          <w:szCs w:val="32"/>
        </w:rPr>
        <w:t>攀枝花市建设工程造价站系市住建局下属全额拨款事业单位，无机关运行经费。</w:t>
      </w:r>
    </w:p>
    <w:p>
      <w:pPr>
        <w:spacing w:line="600" w:lineRule="exact"/>
        <w:ind w:firstLine="642" w:firstLineChars="200"/>
        <w:outlineLvl w:val="2"/>
        <w:rPr>
          <w:rFonts w:eastAsia="楷体_GB2312" w:cs="楷体_GB2312"/>
          <w:b/>
          <w:sz w:val="32"/>
          <w:szCs w:val="32"/>
        </w:rPr>
      </w:pPr>
      <w:r>
        <w:rPr>
          <w:rFonts w:hint="eastAsia" w:eastAsia="楷体_GB2312" w:cs="楷体_GB2312"/>
          <w:b/>
          <w:sz w:val="32"/>
          <w:szCs w:val="32"/>
        </w:rPr>
        <w:t>（二）政府采购支出情况</w:t>
      </w:r>
    </w:p>
    <w:p>
      <w:pPr>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2024年度，四川省攀枝花市建设工程造价站政府采购支出总额0.6</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万元，其中：政府采购货物支出0万元、政府采购工程支出0万元、政府采购服务支出0.6</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万元。主要用于单位公务用车加油服务。授予中小企业合同金额0.6</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万元，占政府采购支出总额的100%，其中：授予小微企业合同金额0万元，占政府采购支出总额的0%。</w:t>
      </w:r>
    </w:p>
    <w:p>
      <w:pPr>
        <w:spacing w:line="600" w:lineRule="exact"/>
        <w:ind w:firstLine="642" w:firstLineChars="200"/>
        <w:outlineLvl w:val="2"/>
        <w:rPr>
          <w:rFonts w:eastAsia="楷体_GB2312" w:cs="楷体_GB2312"/>
          <w:b/>
          <w:sz w:val="32"/>
          <w:szCs w:val="32"/>
        </w:rPr>
      </w:pPr>
      <w:r>
        <w:rPr>
          <w:rFonts w:hint="eastAsia" w:eastAsia="楷体_GB2312" w:cs="楷体_GB2312"/>
          <w:b/>
          <w:sz w:val="32"/>
          <w:szCs w:val="32"/>
        </w:rPr>
        <w:t>（三）国有资产占有使用情况</w:t>
      </w:r>
    </w:p>
    <w:p>
      <w:pPr>
        <w:spacing w:line="600" w:lineRule="exact"/>
        <w:ind w:firstLine="640"/>
        <w:rPr>
          <w:rFonts w:eastAsia="仿宋_GB2312" w:cs="仿宋_GB2312"/>
          <w:sz w:val="32"/>
          <w:szCs w:val="32"/>
        </w:rPr>
      </w:pPr>
      <w:r>
        <w:rPr>
          <w:rFonts w:hint="eastAsia" w:ascii="仿宋_GB2312" w:hAnsi="仿宋_GB2312" w:eastAsia="仿宋_GB2312" w:cs="仿宋_GB2312"/>
          <w:sz w:val="32"/>
          <w:szCs w:val="32"/>
        </w:rPr>
        <w:t>截至2024年12月31日，四川省攀枝花市建设工程造价站共有车辆1辆，其中：主要负责人用车0辆、机要通信用车0辆、应急保障用车0辆、其他用车1辆，其他用车主要是用于单位日常工作及建筑业材料、人工费价格的采集工作。单价100万元（含）以上设备（不含车辆）0台（套）</w:t>
      </w:r>
      <w:r>
        <w:rPr>
          <w:rFonts w:hint="eastAsia" w:eastAsia="仿宋_GB2312" w:cs="仿宋_GB2312"/>
          <w:sz w:val="32"/>
          <w:szCs w:val="32"/>
        </w:rPr>
        <w:t>。</w:t>
      </w:r>
    </w:p>
    <w:p>
      <w:pPr>
        <w:spacing w:line="600" w:lineRule="exact"/>
        <w:ind w:firstLine="642" w:firstLineChars="200"/>
        <w:outlineLvl w:val="2"/>
        <w:rPr>
          <w:rFonts w:eastAsia="楷体_GB2312" w:cs="楷体_GB2312"/>
          <w:b/>
          <w:sz w:val="32"/>
          <w:szCs w:val="32"/>
        </w:rPr>
      </w:pPr>
      <w:r>
        <w:rPr>
          <w:rFonts w:hint="eastAsia" w:eastAsia="楷体_GB2312" w:cs="楷体_GB2312"/>
          <w:b/>
          <w:sz w:val="32"/>
          <w:szCs w:val="32"/>
        </w:rPr>
        <w:t>（四）预算绩效管理情况</w:t>
      </w:r>
    </w:p>
    <w:p>
      <w:pPr>
        <w:spacing w:line="600" w:lineRule="exact"/>
        <w:ind w:firstLine="640"/>
        <w:rPr>
          <w:rFonts w:eastAsia="仿宋_GB2312" w:cs="仿宋_GB2312"/>
          <w:sz w:val="32"/>
          <w:szCs w:val="32"/>
        </w:rPr>
      </w:pPr>
      <w:r>
        <w:rPr>
          <w:rFonts w:hint="eastAsia" w:eastAsia="仿宋_GB2312" w:cs="仿宋_GB2312"/>
          <w:sz w:val="32"/>
          <w:szCs w:val="32"/>
        </w:rPr>
        <w:t>根据预算绩效管理要求，四川省攀枝花市建设工程造价站在2024年度预算编制阶段，组织对建筑业价格调查等1个项目开展了预算事前绩效评估，对1个项目编制了绩效目标，预算执行过程中，选取1个项目开展绩效监控。</w:t>
      </w:r>
    </w:p>
    <w:p>
      <w:pPr>
        <w:pStyle w:val="2"/>
        <w:jc w:val="center"/>
        <w:rPr>
          <w:rFonts w:eastAsia="方正小标宋简体" w:cs="方正小标宋简体"/>
          <w:b w:val="0"/>
        </w:rPr>
      </w:pPr>
    </w:p>
    <w:p>
      <w:pPr>
        <w:pStyle w:val="2"/>
        <w:jc w:val="center"/>
        <w:rPr>
          <w:rFonts w:eastAsia="方正小标宋简体" w:cs="方正小标宋简体"/>
          <w:b w:val="0"/>
        </w:rPr>
      </w:pPr>
    </w:p>
    <w:p/>
    <w:p>
      <w:pPr>
        <w:pStyle w:val="2"/>
        <w:jc w:val="center"/>
        <w:rPr>
          <w:rStyle w:val="19"/>
          <w:rFonts w:eastAsia="方正小标宋简体" w:cs="方正小标宋简体"/>
          <w:b w:val="0"/>
          <w:bCs/>
        </w:rPr>
      </w:pPr>
      <w:r>
        <w:rPr>
          <w:rFonts w:hint="eastAsia" w:eastAsia="方正小标宋简体" w:cs="方正小标宋简体"/>
          <w:b w:val="0"/>
        </w:rPr>
        <w:t xml:space="preserve">第三部分  </w:t>
      </w:r>
      <w:r>
        <w:rPr>
          <w:rFonts w:hint="eastAsia" w:ascii="黑体" w:hAnsi="黑体" w:eastAsia="黑体"/>
        </w:rPr>
        <w:t>名</w:t>
      </w:r>
      <w:r>
        <w:rPr>
          <w:rStyle w:val="19"/>
          <w:rFonts w:hint="eastAsia" w:ascii="黑体" w:hAnsi="黑体" w:eastAsia="黑体"/>
          <w:b w:val="0"/>
          <w:bCs w:val="0"/>
        </w:rPr>
        <w:t>词解释</w:t>
      </w:r>
    </w:p>
    <w:p>
      <w:pPr>
        <w:spacing w:line="600" w:lineRule="exact"/>
        <w:jc w:val="left"/>
        <w:rPr>
          <w:rFonts w:ascii="宋体"/>
          <w:b/>
        </w:rPr>
      </w:pPr>
    </w:p>
    <w:p>
      <w:pPr>
        <w:pStyle w:val="25"/>
        <w:spacing w:line="640" w:lineRule="exact"/>
        <w:ind w:firstLine="640" w:firstLineChars="200"/>
        <w:rPr>
          <w:rFonts w:hint="eastAsia"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1.财政拨款收入：指单位从同级财政部门取得的财政预算资金。</w:t>
      </w:r>
    </w:p>
    <w:p>
      <w:pPr>
        <w:spacing w:line="640" w:lineRule="exact"/>
        <w:ind w:firstLine="640" w:firstLineChars="200"/>
        <w:rPr>
          <w:rStyle w:val="15"/>
          <w:b w:val="0"/>
          <w:bCs/>
          <w:color w:val="000000"/>
          <w:sz w:val="32"/>
          <w:szCs w:val="32"/>
        </w:rPr>
      </w:pPr>
      <w:r>
        <w:rPr>
          <w:rFonts w:hint="eastAsia" w:ascii="仿宋_GB2312" w:hAnsi="方正仿宋_GB2312" w:eastAsia="仿宋_GB2312" w:cs="方正仿宋_GB2312"/>
          <w:color w:val="000000"/>
          <w:sz w:val="32"/>
          <w:szCs w:val="32"/>
        </w:rPr>
        <w:t>2.社会保障和就业（类）</w:t>
      </w:r>
      <w:r>
        <w:rPr>
          <w:rStyle w:val="15"/>
          <w:rFonts w:hint="eastAsia" w:ascii="仿宋_GB2312" w:hAnsi="方正仿宋_GB2312" w:eastAsia="仿宋_GB2312" w:cs="方正仿宋_GB2312"/>
          <w:b w:val="0"/>
          <w:bCs/>
          <w:color w:val="000000"/>
          <w:sz w:val="32"/>
          <w:szCs w:val="32"/>
        </w:rPr>
        <w:t>行政事业单位养老（款）事业单位离退休（项）：指事业单位开支的离退休经费。</w:t>
      </w:r>
    </w:p>
    <w:p>
      <w:pPr>
        <w:spacing w:line="640" w:lineRule="exact"/>
        <w:ind w:firstLine="640" w:firstLineChars="200"/>
        <w:rPr>
          <w:sz w:val="32"/>
          <w:szCs w:val="32"/>
        </w:rPr>
      </w:pPr>
      <w:r>
        <w:rPr>
          <w:rFonts w:hint="eastAsia" w:ascii="仿宋_GB2312" w:hAnsi="方正仿宋_GB2312" w:eastAsia="仿宋_GB2312" w:cs="方正仿宋_GB2312"/>
          <w:color w:val="000000"/>
          <w:sz w:val="32"/>
          <w:szCs w:val="32"/>
        </w:rPr>
        <w:t>3.社会保障和就业（类）</w:t>
      </w:r>
      <w:r>
        <w:rPr>
          <w:rStyle w:val="15"/>
          <w:rFonts w:hint="eastAsia" w:ascii="仿宋_GB2312" w:hAnsi="方正仿宋_GB2312" w:eastAsia="仿宋_GB2312" w:cs="方正仿宋_GB2312"/>
          <w:b w:val="0"/>
          <w:bCs/>
          <w:color w:val="000000"/>
          <w:sz w:val="32"/>
          <w:szCs w:val="32"/>
        </w:rPr>
        <w:t>行政事业单位养老（款）</w:t>
      </w:r>
      <w:r>
        <w:rPr>
          <w:rFonts w:hint="eastAsia" w:ascii="仿宋_GB2312" w:hAnsi="方正仿宋_GB2312" w:eastAsia="仿宋_GB2312" w:cs="方正仿宋_GB2312"/>
          <w:color w:val="000000"/>
          <w:sz w:val="32"/>
          <w:szCs w:val="32"/>
        </w:rPr>
        <w:t>机关事业单位基本养老保险缴费支出（项）：指机关事业单位实施养老保险制度由单位缴纳的基本养老保险费支出。</w:t>
      </w:r>
    </w:p>
    <w:p>
      <w:pPr>
        <w:pStyle w:val="4"/>
        <w:spacing w:before="93"/>
        <w:ind w:firstLine="640" w:firstLineChars="200"/>
        <w:rPr>
          <w:rFonts w:hint="eastAsia" w:ascii="Times New Roman" w:hAnsi="方正仿宋_GB2312" w:eastAsia="宋体" w:cs="方正仿宋_GB2312"/>
          <w:color w:val="000000"/>
          <w:sz w:val="32"/>
          <w:szCs w:val="32"/>
        </w:rPr>
      </w:pPr>
      <w:r>
        <w:rPr>
          <w:rFonts w:hAnsi="方正仿宋_GB2312" w:cs="方正仿宋_GB2312"/>
          <w:color w:val="000000"/>
          <w:sz w:val="32"/>
          <w:szCs w:val="32"/>
        </w:rPr>
        <w:t>4.</w:t>
      </w:r>
      <w:r>
        <w:rPr>
          <w:rFonts w:hint="eastAsia" w:hAnsi="方正仿宋_GB2312" w:cs="方正仿宋_GB2312"/>
          <w:color w:val="000000"/>
          <w:sz w:val="32"/>
          <w:szCs w:val="32"/>
        </w:rPr>
        <w:t>社会保障和就业（类）</w:t>
      </w:r>
      <w:r>
        <w:rPr>
          <w:rStyle w:val="15"/>
          <w:rFonts w:hint="eastAsia" w:hAnsi="方正仿宋_GB2312" w:cs="方正仿宋_GB2312"/>
          <w:b w:val="0"/>
          <w:bCs/>
          <w:color w:val="000000"/>
          <w:sz w:val="32"/>
          <w:szCs w:val="32"/>
        </w:rPr>
        <w:t>行政事业单位养老（款）机关事业单位职业年金缴费支出</w:t>
      </w:r>
      <w:r>
        <w:rPr>
          <w:rFonts w:hint="eastAsia" w:hAnsi="方正仿宋_GB2312" w:cs="方正仿宋_GB2312"/>
          <w:color w:val="000000"/>
          <w:sz w:val="32"/>
          <w:szCs w:val="32"/>
        </w:rPr>
        <w:t>（项）：指机关事业单位缴纳的职业年金支出。</w:t>
      </w:r>
    </w:p>
    <w:p>
      <w:pPr>
        <w:spacing w:line="600" w:lineRule="exact"/>
        <w:ind w:firstLine="640" w:firstLineChars="200"/>
        <w:rPr>
          <w:rStyle w:val="15"/>
          <w:rFonts w:ascii="仿宋_GB2312" w:eastAsia="仿宋_GB2312"/>
          <w:b w:val="0"/>
          <w:bCs/>
          <w:sz w:val="32"/>
          <w:szCs w:val="32"/>
        </w:rPr>
      </w:pPr>
      <w:r>
        <w:rPr>
          <w:rFonts w:hint="eastAsia" w:ascii="仿宋_GB2312" w:hAnsi="方正仿宋_GB2312" w:eastAsia="仿宋_GB2312" w:cs="方正仿宋_GB2312"/>
          <w:color w:val="000000"/>
          <w:sz w:val="32"/>
          <w:szCs w:val="32"/>
        </w:rPr>
        <w:t>5.</w:t>
      </w:r>
      <w:r>
        <w:rPr>
          <w:rFonts w:hint="eastAsia" w:ascii="仿宋_GB2312" w:hAnsi="方正仿宋_GB2312" w:eastAsia="仿宋_GB2312" w:cs="方正仿宋_GB2312"/>
          <w:bCs/>
          <w:sz w:val="32"/>
          <w:szCs w:val="32"/>
        </w:rPr>
        <w:t>卫生健康</w:t>
      </w:r>
      <w:r>
        <w:rPr>
          <w:rStyle w:val="15"/>
          <w:rFonts w:hint="eastAsia" w:ascii="仿宋_GB2312" w:hAnsi="方正仿宋_GB2312" w:eastAsia="仿宋_GB2312" w:cs="方正仿宋_GB2312"/>
          <w:b w:val="0"/>
          <w:sz w:val="32"/>
          <w:szCs w:val="32"/>
        </w:rPr>
        <w:t>（类）行政事业单位医疗（款）事业单位医疗（项）:</w:t>
      </w:r>
      <w:r>
        <w:rPr>
          <w:rStyle w:val="15"/>
          <w:rFonts w:hint="eastAsia" w:ascii="仿宋_GB2312" w:hAnsi="方正仿宋_GB2312" w:eastAsia="仿宋_GB2312" w:cs="方正仿宋_GB2312"/>
          <w:b w:val="0"/>
          <w:color w:val="000000"/>
          <w:sz w:val="32"/>
          <w:szCs w:val="32"/>
        </w:rPr>
        <w:t xml:space="preserve"> 指事业单位基本医疗保险缴费经费</w:t>
      </w:r>
      <w:r>
        <w:rPr>
          <w:rStyle w:val="15"/>
          <w:rFonts w:hint="eastAsia" w:ascii="仿宋_GB2312" w:hAnsi="方正仿宋_GB2312" w:eastAsia="仿宋_GB2312" w:cs="方正仿宋_GB2312"/>
          <w:b w:val="0"/>
          <w:bCs/>
          <w:color w:val="000000"/>
          <w:sz w:val="32"/>
          <w:szCs w:val="32"/>
        </w:rPr>
        <w:t>。</w:t>
      </w:r>
    </w:p>
    <w:p>
      <w:pPr>
        <w:spacing w:line="600" w:lineRule="exact"/>
        <w:ind w:firstLine="640" w:firstLineChars="200"/>
        <w:rPr>
          <w:rStyle w:val="15"/>
          <w:rFonts w:hint="eastAsia" w:ascii="仿宋_GB2312" w:hAnsi="方正仿宋_GB2312" w:eastAsia="仿宋_GB2312" w:cs="方正仿宋_GB2312"/>
          <w:b w:val="0"/>
          <w:bCs/>
          <w:color w:val="000000"/>
          <w:sz w:val="32"/>
          <w:szCs w:val="32"/>
        </w:rPr>
      </w:pPr>
      <w:r>
        <w:rPr>
          <w:rStyle w:val="15"/>
          <w:rFonts w:hint="eastAsia" w:ascii="仿宋_GB2312" w:hAnsi="方正仿宋_GB2312" w:eastAsia="仿宋_GB2312" w:cs="方正仿宋_GB2312"/>
          <w:b w:val="0"/>
          <w:bCs/>
          <w:color w:val="000000"/>
          <w:sz w:val="32"/>
          <w:szCs w:val="32"/>
        </w:rPr>
        <w:t>6.</w:t>
      </w:r>
      <w:r>
        <w:rPr>
          <w:rFonts w:hint="eastAsia" w:ascii="仿宋_GB2312" w:hAnsi="方正仿宋_GB2312" w:eastAsia="仿宋_GB2312" w:cs="方正仿宋_GB2312"/>
          <w:bCs/>
          <w:sz w:val="32"/>
          <w:szCs w:val="32"/>
        </w:rPr>
        <w:t xml:space="preserve"> 卫生健康</w:t>
      </w:r>
      <w:r>
        <w:rPr>
          <w:rStyle w:val="15"/>
          <w:rFonts w:hint="eastAsia" w:ascii="仿宋_GB2312" w:hAnsi="方正仿宋_GB2312" w:eastAsia="仿宋_GB2312" w:cs="方正仿宋_GB2312"/>
          <w:b w:val="0"/>
          <w:sz w:val="32"/>
          <w:szCs w:val="32"/>
        </w:rPr>
        <w:t>（类）行政事业单位医疗（款）公务员医疗补助（项）:</w:t>
      </w:r>
      <w:r>
        <w:rPr>
          <w:rStyle w:val="15"/>
          <w:rFonts w:hint="eastAsia" w:ascii="仿宋_GB2312" w:hAnsi="方正仿宋_GB2312" w:eastAsia="仿宋_GB2312" w:cs="方正仿宋_GB2312"/>
          <w:b w:val="0"/>
          <w:color w:val="000000"/>
          <w:sz w:val="32"/>
          <w:szCs w:val="32"/>
        </w:rPr>
        <w:t xml:space="preserve"> 指行政事业单位缴纳的公务员医疗补助经费。</w:t>
      </w:r>
    </w:p>
    <w:p>
      <w:pPr>
        <w:spacing w:line="600" w:lineRule="exact"/>
        <w:ind w:firstLine="640" w:firstLineChars="200"/>
        <w:rPr>
          <w:rStyle w:val="15"/>
          <w:rFonts w:hint="eastAsia" w:ascii="仿宋_GB2312" w:hAnsi="方正仿宋_GB2312" w:eastAsia="仿宋_GB2312" w:cs="方正仿宋_GB2312"/>
          <w:b w:val="0"/>
          <w:color w:val="000000"/>
          <w:sz w:val="32"/>
          <w:szCs w:val="32"/>
        </w:rPr>
      </w:pPr>
      <w:r>
        <w:rPr>
          <w:rStyle w:val="15"/>
          <w:rFonts w:hint="eastAsia" w:ascii="仿宋_GB2312" w:hAnsi="方正仿宋_GB2312" w:eastAsia="仿宋_GB2312" w:cs="方正仿宋_GB2312"/>
          <w:b w:val="0"/>
          <w:bCs/>
          <w:color w:val="000000"/>
          <w:sz w:val="32"/>
          <w:szCs w:val="32"/>
        </w:rPr>
        <w:t>7.</w:t>
      </w:r>
      <w:r>
        <w:rPr>
          <w:rFonts w:hint="eastAsia" w:ascii="仿宋_GB2312" w:hAnsi="方正仿宋_GB2312" w:eastAsia="仿宋_GB2312" w:cs="方正仿宋_GB2312"/>
          <w:bCs/>
          <w:sz w:val="32"/>
          <w:szCs w:val="32"/>
        </w:rPr>
        <w:t xml:space="preserve"> 卫生健康</w:t>
      </w:r>
      <w:r>
        <w:rPr>
          <w:rStyle w:val="15"/>
          <w:rFonts w:hint="eastAsia" w:ascii="仿宋_GB2312" w:hAnsi="方正仿宋_GB2312" w:eastAsia="仿宋_GB2312" w:cs="方正仿宋_GB2312"/>
          <w:b w:val="0"/>
          <w:sz w:val="32"/>
          <w:szCs w:val="32"/>
        </w:rPr>
        <w:t>（类）行政事业单位医疗（款）其他行政事业单位医疗（项）:</w:t>
      </w:r>
      <w:r>
        <w:rPr>
          <w:rStyle w:val="15"/>
          <w:rFonts w:hint="eastAsia" w:ascii="仿宋_GB2312" w:hAnsi="方正仿宋_GB2312" w:eastAsia="仿宋_GB2312" w:cs="方正仿宋_GB2312"/>
          <w:b w:val="0"/>
          <w:color w:val="000000"/>
          <w:sz w:val="32"/>
          <w:szCs w:val="32"/>
        </w:rPr>
        <w:t>指行政事业单位医疗方面的支出</w:t>
      </w:r>
      <w:r>
        <w:rPr>
          <w:rStyle w:val="15"/>
          <w:rFonts w:hint="eastAsia" w:ascii="仿宋_GB2312" w:hAnsi="方正仿宋_GB2312" w:eastAsia="仿宋_GB2312" w:cs="方正仿宋_GB2312"/>
          <w:b w:val="0"/>
          <w:bCs/>
          <w:color w:val="000000"/>
          <w:sz w:val="32"/>
          <w:szCs w:val="32"/>
        </w:rPr>
        <w:t>。</w:t>
      </w:r>
    </w:p>
    <w:p>
      <w:pPr>
        <w:pStyle w:val="4"/>
        <w:spacing w:before="93"/>
        <w:ind w:firstLine="640" w:firstLineChars="200"/>
        <w:rPr>
          <w:rFonts w:ascii="Times New Roman" w:eastAsia="宋体"/>
          <w:sz w:val="32"/>
          <w:szCs w:val="32"/>
        </w:rPr>
      </w:pPr>
      <w:r>
        <w:rPr>
          <w:rStyle w:val="15"/>
          <w:rFonts w:hAnsi="方正仿宋_GB2312" w:cs="方正仿宋_GB2312"/>
          <w:b w:val="0"/>
          <w:bCs/>
          <w:color w:val="000000"/>
          <w:sz w:val="32"/>
          <w:szCs w:val="32"/>
        </w:rPr>
        <w:t>8.</w:t>
      </w:r>
      <w:r>
        <w:rPr>
          <w:rFonts w:hint="eastAsia" w:hAnsi="方正仿宋_GB2312" w:cs="方正仿宋_GB2312"/>
          <w:bCs/>
          <w:sz w:val="32"/>
          <w:szCs w:val="32"/>
        </w:rPr>
        <w:t>卫生健康</w:t>
      </w:r>
      <w:r>
        <w:rPr>
          <w:rStyle w:val="15"/>
          <w:rFonts w:hint="eastAsia" w:hAnsi="方正仿宋_GB2312" w:cs="方正仿宋_GB2312"/>
          <w:b w:val="0"/>
          <w:sz w:val="32"/>
          <w:szCs w:val="32"/>
        </w:rPr>
        <w:t>（类）其他卫生健康（款）其他卫生健康（项）</w:t>
      </w:r>
      <w:r>
        <w:rPr>
          <w:rStyle w:val="15"/>
          <w:rFonts w:hAnsi="方正仿宋_GB2312" w:cs="方正仿宋_GB2312"/>
          <w:b w:val="0"/>
          <w:bCs/>
          <w:sz w:val="32"/>
          <w:szCs w:val="32"/>
        </w:rPr>
        <w:t>:</w:t>
      </w:r>
      <w:r>
        <w:rPr>
          <w:rStyle w:val="15"/>
          <w:rFonts w:hint="eastAsia" w:hAnsi="方正仿宋_GB2312" w:cs="方正仿宋_GB2312"/>
          <w:b w:val="0"/>
          <w:bCs/>
          <w:color w:val="000000"/>
          <w:sz w:val="32"/>
          <w:szCs w:val="32"/>
        </w:rPr>
        <w:t>指行政事业单位缴纳的其他卫生健康缴费。</w:t>
      </w:r>
    </w:p>
    <w:p>
      <w:pPr>
        <w:spacing w:line="640" w:lineRule="exact"/>
        <w:ind w:firstLine="640" w:firstLineChars="200"/>
        <w:rPr>
          <w:rStyle w:val="15"/>
          <w:rFonts w:ascii="仿宋_GB2312" w:eastAsia="仿宋_GB2312"/>
          <w:b w:val="0"/>
          <w:sz w:val="32"/>
          <w:szCs w:val="32"/>
        </w:rPr>
      </w:pPr>
      <w:r>
        <w:rPr>
          <w:rFonts w:hint="eastAsia" w:ascii="仿宋_GB2312" w:hAnsi="方正仿宋_GB2312" w:eastAsia="仿宋_GB2312" w:cs="方正仿宋_GB2312"/>
          <w:color w:val="000000"/>
          <w:sz w:val="32"/>
          <w:szCs w:val="32"/>
        </w:rPr>
        <w:t>9.</w:t>
      </w:r>
      <w:r>
        <w:rPr>
          <w:rStyle w:val="15"/>
          <w:rFonts w:hint="eastAsia" w:ascii="仿宋_GB2312" w:hAnsi="方正仿宋_GB2312" w:eastAsia="仿宋_GB2312" w:cs="方正仿宋_GB2312"/>
          <w:b w:val="0"/>
          <w:bCs/>
          <w:color w:val="000000"/>
          <w:sz w:val="32"/>
          <w:szCs w:val="32"/>
        </w:rPr>
        <w:t>城乡社区支出（类）城乡社区管理事务（款）</w:t>
      </w:r>
      <w:r>
        <w:rPr>
          <w:rStyle w:val="15"/>
          <w:rFonts w:hint="eastAsia" w:ascii="仿宋_GB2312" w:hAnsi="方正仿宋_GB2312" w:eastAsia="仿宋_GB2312" w:cs="方正仿宋_GB2312"/>
          <w:b w:val="0"/>
          <w:color w:val="000000"/>
          <w:sz w:val="32"/>
          <w:szCs w:val="32"/>
        </w:rPr>
        <w:t>工程建设标准规范编制与监管</w:t>
      </w:r>
      <w:r>
        <w:rPr>
          <w:rStyle w:val="15"/>
          <w:rFonts w:hint="eastAsia" w:ascii="仿宋_GB2312" w:hAnsi="方正仿宋_GB2312" w:eastAsia="仿宋_GB2312" w:cs="方正仿宋_GB2312"/>
          <w:b w:val="0"/>
          <w:bCs/>
          <w:color w:val="000000"/>
          <w:sz w:val="32"/>
          <w:szCs w:val="32"/>
        </w:rPr>
        <w:t xml:space="preserve">（项）: </w:t>
      </w:r>
      <w:r>
        <w:rPr>
          <w:rFonts w:hint="eastAsia" w:ascii="仿宋_GB2312" w:hAnsi="方正仿宋_GB2312" w:eastAsia="仿宋_GB2312" w:cs="方正仿宋_GB2312"/>
          <w:sz w:val="32"/>
          <w:szCs w:val="32"/>
        </w:rPr>
        <w:t>指用于城乡社区管理事务中</w:t>
      </w:r>
      <w:r>
        <w:rPr>
          <w:rStyle w:val="15"/>
          <w:rFonts w:hint="eastAsia" w:ascii="仿宋_GB2312" w:hAnsi="方正仿宋_GB2312" w:eastAsia="仿宋_GB2312" w:cs="方正仿宋_GB2312"/>
          <w:b w:val="0"/>
          <w:color w:val="000000"/>
          <w:sz w:val="32"/>
          <w:szCs w:val="32"/>
        </w:rPr>
        <w:t>工程建设标准规范编制与监管</w:t>
      </w:r>
      <w:r>
        <w:rPr>
          <w:rFonts w:hint="eastAsia" w:ascii="仿宋_GB2312" w:hAnsi="方正仿宋_GB2312" w:eastAsia="仿宋_GB2312" w:cs="方正仿宋_GB2312"/>
          <w:sz w:val="32"/>
          <w:szCs w:val="32"/>
        </w:rPr>
        <w:t>方面的支出。</w:t>
      </w:r>
    </w:p>
    <w:p>
      <w:pPr>
        <w:spacing w:line="640" w:lineRule="exact"/>
        <w:ind w:firstLine="640" w:firstLineChars="200"/>
        <w:rPr>
          <w:bCs/>
          <w:color w:val="000000"/>
          <w:sz w:val="32"/>
          <w:szCs w:val="32"/>
        </w:rPr>
      </w:pPr>
      <w:r>
        <w:rPr>
          <w:rStyle w:val="15"/>
          <w:rFonts w:hint="eastAsia" w:ascii="仿宋_GB2312" w:hAnsi="方正仿宋_GB2312" w:eastAsia="仿宋_GB2312" w:cs="方正仿宋_GB2312"/>
          <w:b w:val="0"/>
          <w:bCs/>
          <w:color w:val="000000"/>
          <w:sz w:val="32"/>
          <w:szCs w:val="32"/>
        </w:rPr>
        <w:t>10.住房保障支出（类）住房改革（款）住房公积金（项）: 指</w:t>
      </w:r>
      <w:r>
        <w:rPr>
          <w:rFonts w:hint="eastAsia" w:ascii="仿宋_GB2312" w:hAnsi="方正仿宋_GB2312" w:eastAsia="仿宋_GB2312" w:cs="方正仿宋_GB2312"/>
          <w:sz w:val="32"/>
          <w:szCs w:val="32"/>
        </w:rPr>
        <w:t>行政事业单位按人力资源和社会保障部、财政部规定的基本工资和津贴补贴以及规定比例为职工缴纳的住房公积金。</w:t>
      </w:r>
    </w:p>
    <w:p>
      <w:pPr>
        <w:spacing w:line="640" w:lineRule="exact"/>
        <w:ind w:firstLine="640" w:firstLineChars="200"/>
        <w:rPr>
          <w:rFonts w:hint="eastAsia" w:ascii="仿宋_GB2312" w:hAnsi="方正仿宋_GB2312" w:eastAsia="仿宋_GB2312" w:cs="方正仿宋_GB2312"/>
          <w:color w:val="000000"/>
          <w:sz w:val="32"/>
          <w:szCs w:val="32"/>
        </w:rPr>
      </w:pPr>
      <w:r>
        <w:rPr>
          <w:rFonts w:hint="eastAsia" w:ascii="仿宋_GB2312" w:hAnsi="方正仿宋_GB2312" w:eastAsia="仿宋_GB2312" w:cs="方正仿宋_GB2312"/>
          <w:color w:val="000000"/>
          <w:sz w:val="32"/>
          <w:szCs w:val="32"/>
        </w:rPr>
        <w:t>11.基本支出：指为保障机构正常运转、完成日常工作任务而发生的人员支出和公用支出。</w:t>
      </w:r>
    </w:p>
    <w:p>
      <w:pPr>
        <w:spacing w:line="640" w:lineRule="exact"/>
        <w:ind w:firstLine="640" w:firstLineChars="200"/>
        <w:rPr>
          <w:rFonts w:hint="eastAsia" w:ascii="仿宋_GB2312" w:hAnsi="方正仿宋_GB2312" w:eastAsia="仿宋_GB2312" w:cs="方正仿宋_GB2312"/>
          <w:color w:val="000000"/>
          <w:sz w:val="32"/>
          <w:szCs w:val="32"/>
        </w:rPr>
      </w:pPr>
      <w:r>
        <w:rPr>
          <w:rFonts w:hint="eastAsia" w:ascii="仿宋_GB2312" w:hAnsi="方正仿宋_GB2312" w:eastAsia="仿宋_GB2312" w:cs="方正仿宋_GB2312"/>
          <w:color w:val="000000"/>
          <w:sz w:val="32"/>
          <w:szCs w:val="32"/>
        </w:rPr>
        <w:t>12.项目支出：指在基本支出之外为完成特定行政任务和事业发展目标所发生的支出。</w:t>
      </w:r>
    </w:p>
    <w:p>
      <w:pPr>
        <w:pStyle w:val="25"/>
        <w:spacing w:line="640" w:lineRule="exact"/>
        <w:ind w:firstLine="640" w:firstLineChars="200"/>
        <w:rPr>
          <w:rFonts w:hint="eastAsia" w:ascii="仿宋_GB2312" w:hAnsi="方正仿宋_GB2312" w:eastAsia="仿宋_GB2312" w:cs="方正仿宋_GB2312"/>
          <w:sz w:val="32"/>
          <w:szCs w:val="32"/>
        </w:rPr>
      </w:pPr>
      <w:r>
        <w:rPr>
          <w:rFonts w:hint="eastAsia" w:ascii="仿宋_GB2312" w:hAnsi="方正仿宋_GB2312" w:eastAsia="仿宋_GB2312" w:cs="方正仿宋_GB2312"/>
          <w:sz w:val="32"/>
          <w:szCs w:val="32"/>
        </w:rPr>
        <w:t>13.“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5"/>
        <w:spacing w:line="640" w:lineRule="exact"/>
        <w:ind w:firstLine="640" w:firstLineChars="200"/>
        <w:rPr>
          <w:rFonts w:hint="eastAsia" w:ascii="仿宋_GB2312" w:hAnsi="方正仿宋_GB2312" w:eastAsia="仿宋_GB2312" w:cs="方正仿宋_GB2312"/>
          <w:sz w:val="32"/>
          <w:szCs w:val="32"/>
        </w:rPr>
      </w:pPr>
    </w:p>
    <w:p>
      <w:pPr>
        <w:pStyle w:val="25"/>
        <w:spacing w:line="640" w:lineRule="exact"/>
        <w:ind w:firstLine="640" w:firstLineChars="200"/>
        <w:rPr>
          <w:rFonts w:hint="eastAsia" w:ascii="仿宋_GB2312" w:hAnsi="方正仿宋_GB2312" w:eastAsia="仿宋_GB2312" w:cs="方正仿宋_GB2312"/>
          <w:sz w:val="32"/>
          <w:szCs w:val="32"/>
        </w:rPr>
      </w:pPr>
    </w:p>
    <w:p>
      <w:pPr>
        <w:pStyle w:val="25"/>
        <w:spacing w:line="640" w:lineRule="exact"/>
        <w:ind w:firstLine="640" w:firstLineChars="200"/>
        <w:rPr>
          <w:rFonts w:hint="eastAsia" w:ascii="仿宋_GB2312" w:hAnsi="方正仿宋_GB2312" w:eastAsia="仿宋_GB2312" w:cs="方正仿宋_GB2312"/>
          <w:sz w:val="32"/>
          <w:szCs w:val="32"/>
        </w:rPr>
      </w:pPr>
    </w:p>
    <w:p>
      <w:pPr>
        <w:pStyle w:val="25"/>
        <w:spacing w:line="640" w:lineRule="exact"/>
        <w:ind w:firstLine="640" w:firstLineChars="200"/>
        <w:rPr>
          <w:rFonts w:hint="eastAsia" w:ascii="仿宋_GB2312" w:hAnsi="方正仿宋_GB2312" w:eastAsia="仿宋_GB2312" w:cs="方正仿宋_GB2312"/>
          <w:sz w:val="32"/>
          <w:szCs w:val="32"/>
        </w:rPr>
      </w:pPr>
    </w:p>
    <w:p>
      <w:pPr>
        <w:spacing w:line="600" w:lineRule="exact"/>
        <w:jc w:val="center"/>
        <w:rPr>
          <w:rStyle w:val="19"/>
          <w:rFonts w:eastAsia="黑体"/>
          <w:b w:val="0"/>
        </w:rPr>
      </w:pPr>
      <w:r>
        <w:rPr>
          <w:rFonts w:hint="eastAsia" w:eastAsia="黑体"/>
          <w:sz w:val="44"/>
          <w:szCs w:val="44"/>
        </w:rPr>
        <w:t>第四部分附件</w:t>
      </w:r>
    </w:p>
    <w:p>
      <w:pPr>
        <w:spacing w:line="572" w:lineRule="exact"/>
        <w:jc w:val="left"/>
        <w:outlineLvl w:val="0"/>
        <w:rPr>
          <w:rFonts w:eastAsia="黑体" w:cs="黑体"/>
          <w:color w:val="FF0000"/>
          <w:sz w:val="32"/>
          <w:szCs w:val="32"/>
        </w:rPr>
      </w:pPr>
    </w:p>
    <w:p>
      <w:pPr>
        <w:spacing w:line="600" w:lineRule="exact"/>
        <w:jc w:val="left"/>
        <w:outlineLvl w:val="0"/>
        <w:rPr>
          <w:rFonts w:hint="eastAsia" w:ascii="仿宋_GB2312" w:hAnsi="方正仿宋_GB2312" w:eastAsia="仿宋_GB2312" w:cs="方正仿宋_GB2312"/>
          <w:kern w:val="44"/>
          <w:sz w:val="32"/>
          <w:szCs w:val="32"/>
        </w:rPr>
      </w:pPr>
      <w:r>
        <w:rPr>
          <w:rFonts w:hint="eastAsia" w:ascii="仿宋_GB2312" w:hAnsi="方正仿宋_GB2312" w:eastAsia="仿宋_GB2312" w:cs="方正仿宋_GB2312"/>
          <w:kern w:val="44"/>
          <w:sz w:val="32"/>
          <w:szCs w:val="32"/>
        </w:rPr>
        <w:t>部门预算项目支出绩效自评表（2024年度）见附件3</w:t>
      </w:r>
    </w:p>
    <w:p>
      <w:pPr>
        <w:spacing w:line="578" w:lineRule="exact"/>
        <w:ind w:firstLine="640"/>
        <w:rPr>
          <w:rFonts w:eastAsia="仿宋_GB2312" w:cs="仿宋_GB2312"/>
          <w:kern w:val="0"/>
          <w:sz w:val="32"/>
          <w:szCs w:val="32"/>
        </w:rPr>
      </w:pPr>
    </w:p>
    <w:p>
      <w:pPr>
        <w:spacing w:line="578" w:lineRule="exact"/>
        <w:ind w:firstLine="640"/>
        <w:rPr>
          <w:rFonts w:eastAsia="仿宋_GB2312" w:cs="仿宋_GB2312"/>
          <w:kern w:val="0"/>
          <w:sz w:val="32"/>
          <w:szCs w:val="32"/>
        </w:rPr>
      </w:pPr>
    </w:p>
    <w:p>
      <w:pPr>
        <w:spacing w:line="578" w:lineRule="exact"/>
        <w:ind w:firstLine="640"/>
        <w:rPr>
          <w:rFonts w:eastAsia="仿宋_GB2312" w:cs="仿宋_GB2312"/>
          <w:kern w:val="0"/>
          <w:sz w:val="32"/>
          <w:szCs w:val="32"/>
        </w:rPr>
      </w:pPr>
      <w:r>
        <w:rPr>
          <w:rFonts w:hint="eastAsia" w:eastAsia="仿宋_GB2312" w:cs="仿宋_GB2312"/>
          <w:kern w:val="0"/>
          <w:sz w:val="32"/>
          <w:szCs w:val="32"/>
        </w:rPr>
        <w:br w:type="page"/>
      </w:r>
    </w:p>
    <w:p>
      <w:pPr>
        <w:widowControl/>
        <w:jc w:val="center"/>
        <w:rPr>
          <w:rFonts w:eastAsia="仿宋"/>
        </w:rPr>
      </w:pPr>
      <w:r>
        <w:rPr>
          <w:rFonts w:hint="eastAsia" w:eastAsia="黑体"/>
          <w:sz w:val="44"/>
          <w:szCs w:val="44"/>
        </w:rPr>
        <w:t>第</w:t>
      </w:r>
      <w:r>
        <w:rPr>
          <w:rStyle w:val="19"/>
          <w:rFonts w:hint="eastAsia" w:eastAsia="黑体"/>
        </w:rPr>
        <w:t>五部分附表</w:t>
      </w:r>
    </w:p>
    <w:p>
      <w:pPr>
        <w:pStyle w:val="12"/>
        <w:adjustRightInd w:val="0"/>
        <w:snapToGrid w:val="0"/>
        <w:spacing w:line="560" w:lineRule="exact"/>
        <w:jc w:val="left"/>
        <w:rPr>
          <w:rFonts w:eastAsia="仿宋_GB2312" w:cs="仿宋_GB2312"/>
          <w:sz w:val="32"/>
          <w:szCs w:val="32"/>
        </w:rPr>
      </w:pP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一、收入支出决算总表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二、收入决算表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三、支出决算表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四、财政拨款收入支出决算总表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五、财政拨款支出决算明细表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六、一般公共预算财政拨款支出决算表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七、一般公共预算财政拨款支出决算明细表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八、一般公共预算财政拨款基本支出决算表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九、一般公共预算财政拨款项目支出决算表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十、政府性基金预算财政拨款收入支出决算表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十一、国有资本经营预算财政拨款收入支出决算表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十二、国有资本经营预算财政拨款支出决算表</w:t>
      </w:r>
    </w:p>
    <w:p>
      <w:pPr>
        <w:pStyle w:val="12"/>
        <w:adjustRightInd w:val="0"/>
        <w:snapToGrid w:val="0"/>
        <w:spacing w:line="560" w:lineRule="exact"/>
        <w:jc w:val="left"/>
        <w:rPr>
          <w:rFonts w:eastAsia="仿宋_GB2312" w:cs="仿宋_GB2312"/>
          <w:sz w:val="32"/>
          <w:szCs w:val="32"/>
        </w:rPr>
      </w:pPr>
      <w:r>
        <w:rPr>
          <w:rFonts w:hint="eastAsia" w:eastAsia="仿宋_GB2312" w:cs="仿宋_GB2312"/>
          <w:sz w:val="32"/>
          <w:szCs w:val="32"/>
        </w:rPr>
        <w:t>十三、财政拨款“三公”经费支出决算表</w:t>
      </w:r>
    </w:p>
    <w:bookmarkEnd w:id="2"/>
    <w:bookmarkEnd w:id="3"/>
    <w:p>
      <w:pPr>
        <w:widowControl/>
        <w:spacing w:line="440" w:lineRule="exact"/>
        <w:jc w:val="left"/>
        <w:rPr>
          <w:rFonts w:ascii="仿宋_GB2312" w:hAnsi="仿宋" w:eastAsia="仿宋_GB2312"/>
          <w:bCs/>
          <w:kern w:val="44"/>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FreeSerif"/>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方正仿宋_GB2312">
    <w:altName w:val="方正仿宋_GBK"/>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auto"/>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FreeSerif">
    <w:panose1 w:val="02020603050405020304"/>
    <w:charset w:val="00"/>
    <w:family w:val="auto"/>
    <w:pitch w:val="default"/>
    <w:sig w:usb0="E59FAFFF" w:usb1="C200FDFF" w:usb2="43501B29" w:usb3="04000043" w:csb0="600101FF" w:csb1="FFFF0000"/>
  </w:font>
  <w:font w:name="楷体">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4250488"/>
    </w:sdtPr>
    <w:sdtContent>
      <w:p>
        <w:pPr>
          <w:pStyle w:val="7"/>
          <w:jc w:val="center"/>
        </w:pPr>
        <w:r>
          <w:fldChar w:fldCharType="begin"/>
        </w:r>
        <w:r>
          <w:instrText xml:space="preserve"> PAGE   \* MERGEFORMAT </w:instrText>
        </w:r>
        <w:r>
          <w:fldChar w:fldCharType="separate"/>
        </w:r>
        <w:r>
          <w:rPr>
            <w:lang w:val="zh-CN"/>
          </w:rPr>
          <w:t>17</w:t>
        </w:r>
        <w:r>
          <w:rPr>
            <w:lang w:val="zh-CN"/>
          </w:rP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B7F6B7"/>
    <w:multiLevelType w:val="singleLevel"/>
    <w:tmpl w:val="BFB7F6B7"/>
    <w:lvl w:ilvl="0" w:tentative="0">
      <w:start w:val="7"/>
      <w:numFmt w:val="chineseCounting"/>
      <w:suff w:val="nothing"/>
      <w:lvlText w:val="%1、"/>
      <w:lvlJc w:val="left"/>
      <w:rPr>
        <w:rFonts w:hint="eastAsia"/>
      </w:rPr>
    </w:lvl>
  </w:abstractNum>
  <w:abstractNum w:abstractNumId="1">
    <w:nsid w:val="18B34DF7"/>
    <w:multiLevelType w:val="multilevel"/>
    <w:tmpl w:val="18B34DF7"/>
    <w:lvl w:ilvl="0" w:tentative="0">
      <w:start w:val="1"/>
      <w:numFmt w:val="japaneseCounting"/>
      <w:lvlText w:val="%1、"/>
      <w:lvlJc w:val="left"/>
      <w:pPr>
        <w:ind w:left="1440" w:hanging="72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BF4889"/>
    <w:rsid w:val="00067A17"/>
    <w:rsid w:val="00070F49"/>
    <w:rsid w:val="000924FC"/>
    <w:rsid w:val="000B32DD"/>
    <w:rsid w:val="000C6BE4"/>
    <w:rsid w:val="000E0F21"/>
    <w:rsid w:val="000F22D5"/>
    <w:rsid w:val="00143C7A"/>
    <w:rsid w:val="00180DEE"/>
    <w:rsid w:val="001A628F"/>
    <w:rsid w:val="0026410D"/>
    <w:rsid w:val="00321466"/>
    <w:rsid w:val="0056675B"/>
    <w:rsid w:val="00586636"/>
    <w:rsid w:val="006C3DFC"/>
    <w:rsid w:val="007164E5"/>
    <w:rsid w:val="00755D78"/>
    <w:rsid w:val="007C39C6"/>
    <w:rsid w:val="00804DCD"/>
    <w:rsid w:val="009E0ADE"/>
    <w:rsid w:val="00B82DF2"/>
    <w:rsid w:val="00BE6261"/>
    <w:rsid w:val="00BF4889"/>
    <w:rsid w:val="00CB3774"/>
    <w:rsid w:val="00CC1012"/>
    <w:rsid w:val="00D52155"/>
    <w:rsid w:val="00E61897"/>
    <w:rsid w:val="00EB0B57"/>
    <w:rsid w:val="10253DDC"/>
    <w:rsid w:val="1B024DFA"/>
    <w:rsid w:val="23074BE8"/>
    <w:rsid w:val="3920549E"/>
    <w:rsid w:val="433554DF"/>
    <w:rsid w:val="4B4645EC"/>
    <w:rsid w:val="59585DCB"/>
    <w:rsid w:val="5EA677DA"/>
    <w:rsid w:val="7EEF500F"/>
    <w:rsid w:val="CF1FF2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24"/>
    <w:qFormat/>
    <w:uiPriority w:val="99"/>
    <w:pPr>
      <w:spacing w:beforeLines="30"/>
    </w:pPr>
    <w:rPr>
      <w:rFonts w:ascii="仿宋_GB2312" w:eastAsia="仿宋_GB2312"/>
      <w:kern w:val="0"/>
      <w:sz w:val="30"/>
    </w:rPr>
  </w:style>
  <w:style w:type="paragraph" w:styleId="5">
    <w:name w:val="Body Text Indent"/>
    <w:basedOn w:val="1"/>
    <w:link w:val="22"/>
    <w:semiHidden/>
    <w:unhideWhenUsed/>
    <w:qFormat/>
    <w:uiPriority w:val="99"/>
    <w:pPr>
      <w:spacing w:after="120"/>
      <w:ind w:left="420" w:leftChars="200"/>
    </w:pPr>
  </w:style>
  <w:style w:type="paragraph" w:styleId="6">
    <w:name w:val="Balloon Text"/>
    <w:basedOn w:val="1"/>
    <w:link w:val="27"/>
    <w:semiHidden/>
    <w:unhideWhenUsed/>
    <w:qFormat/>
    <w:uiPriority w:val="99"/>
    <w:rPr>
      <w:sz w:val="18"/>
      <w:szCs w:val="18"/>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unhideWhenUsed/>
    <w:qFormat/>
    <w:uiPriority w:val="39"/>
  </w:style>
  <w:style w:type="paragraph" w:styleId="10">
    <w:name w:val="footnote text"/>
    <w:basedOn w:val="1"/>
    <w:next w:val="11"/>
    <w:link w:val="21"/>
    <w:semiHidden/>
    <w:qFormat/>
    <w:uiPriority w:val="0"/>
    <w:pPr>
      <w:snapToGrid w:val="0"/>
      <w:jc w:val="left"/>
    </w:pPr>
    <w:rPr>
      <w:sz w:val="18"/>
      <w:szCs w:val="18"/>
    </w:rPr>
  </w:style>
  <w:style w:type="paragraph" w:styleId="11">
    <w:name w:val="Body Text First Indent 2"/>
    <w:basedOn w:val="5"/>
    <w:link w:val="23"/>
    <w:unhideWhenUsed/>
    <w:qFormat/>
    <w:uiPriority w:val="99"/>
    <w:pPr>
      <w:ind w:left="200" w:firstLine="420" w:firstLineChars="200"/>
    </w:pPr>
    <w:rPr>
      <w:rFonts w:ascii="仿宋_GB2312"/>
      <w:szCs w:val="32"/>
    </w:rPr>
  </w:style>
  <w:style w:type="paragraph" w:styleId="12">
    <w:name w:val="toc 2"/>
    <w:basedOn w:val="1"/>
    <w:next w:val="1"/>
    <w:unhideWhenUsed/>
    <w:qFormat/>
    <w:uiPriority w:val="39"/>
    <w:pPr>
      <w:tabs>
        <w:tab w:val="right" w:leader="dot" w:pos="8296"/>
      </w:tabs>
      <w:ind w:left="420" w:leftChars="200"/>
    </w:pPr>
  </w:style>
  <w:style w:type="character" w:styleId="15">
    <w:name w:val="Strong"/>
    <w:basedOn w:val="14"/>
    <w:qFormat/>
    <w:uiPriority w:val="99"/>
    <w:rPr>
      <w:b/>
    </w:rPr>
  </w:style>
  <w:style w:type="character" w:styleId="16">
    <w:name w:val="Hyperlink"/>
    <w:basedOn w:val="14"/>
    <w:unhideWhenUsed/>
    <w:qFormat/>
    <w:uiPriority w:val="99"/>
    <w:rPr>
      <w:color w:val="0000FF" w:themeColor="hyperlink"/>
      <w:u w:val="single"/>
    </w:rPr>
  </w:style>
  <w:style w:type="character" w:customStyle="1" w:styleId="17">
    <w:name w:val="页眉 Char"/>
    <w:basedOn w:val="14"/>
    <w:link w:val="8"/>
    <w:semiHidden/>
    <w:qFormat/>
    <w:uiPriority w:val="99"/>
    <w:rPr>
      <w:sz w:val="18"/>
      <w:szCs w:val="18"/>
    </w:rPr>
  </w:style>
  <w:style w:type="character" w:customStyle="1" w:styleId="18">
    <w:name w:val="页脚 Char"/>
    <w:basedOn w:val="14"/>
    <w:link w:val="7"/>
    <w:qFormat/>
    <w:uiPriority w:val="99"/>
    <w:rPr>
      <w:sz w:val="18"/>
      <w:szCs w:val="18"/>
    </w:rPr>
  </w:style>
  <w:style w:type="character" w:customStyle="1" w:styleId="19">
    <w:name w:val="标题 1 Char"/>
    <w:basedOn w:val="14"/>
    <w:link w:val="2"/>
    <w:qFormat/>
    <w:uiPriority w:val="9"/>
    <w:rPr>
      <w:rFonts w:ascii="Times New Roman" w:hAnsi="Times New Roman" w:eastAsia="宋体" w:cs="Times New Roman"/>
      <w:b/>
      <w:bCs/>
      <w:kern w:val="44"/>
      <w:sz w:val="44"/>
      <w:szCs w:val="44"/>
    </w:rPr>
  </w:style>
  <w:style w:type="character" w:customStyle="1" w:styleId="20">
    <w:name w:val="标题 2 Char"/>
    <w:basedOn w:val="14"/>
    <w:link w:val="3"/>
    <w:qFormat/>
    <w:uiPriority w:val="9"/>
    <w:rPr>
      <w:rFonts w:asciiTheme="majorHAnsi" w:hAnsiTheme="majorHAnsi" w:eastAsiaTheme="majorEastAsia" w:cstheme="majorBidi"/>
      <w:b/>
      <w:bCs/>
      <w:sz w:val="32"/>
      <w:szCs w:val="32"/>
    </w:rPr>
  </w:style>
  <w:style w:type="character" w:customStyle="1" w:styleId="21">
    <w:name w:val="脚注文本 Char"/>
    <w:basedOn w:val="14"/>
    <w:link w:val="10"/>
    <w:semiHidden/>
    <w:qFormat/>
    <w:uiPriority w:val="0"/>
    <w:rPr>
      <w:rFonts w:ascii="Times New Roman" w:hAnsi="Times New Roman" w:eastAsia="宋体" w:cs="Times New Roman"/>
      <w:sz w:val="18"/>
      <w:szCs w:val="18"/>
    </w:rPr>
  </w:style>
  <w:style w:type="character" w:customStyle="1" w:styleId="22">
    <w:name w:val="正文文本缩进 Char"/>
    <w:basedOn w:val="14"/>
    <w:link w:val="5"/>
    <w:semiHidden/>
    <w:qFormat/>
    <w:uiPriority w:val="99"/>
    <w:rPr>
      <w:rFonts w:ascii="Times New Roman" w:hAnsi="Times New Roman" w:eastAsia="宋体" w:cs="Times New Roman"/>
      <w:szCs w:val="24"/>
    </w:rPr>
  </w:style>
  <w:style w:type="character" w:customStyle="1" w:styleId="23">
    <w:name w:val="正文首行缩进 2 Char"/>
    <w:basedOn w:val="22"/>
    <w:link w:val="11"/>
    <w:qFormat/>
    <w:uiPriority w:val="99"/>
    <w:rPr>
      <w:rFonts w:ascii="仿宋_GB2312"/>
      <w:szCs w:val="32"/>
    </w:rPr>
  </w:style>
  <w:style w:type="character" w:customStyle="1" w:styleId="24">
    <w:name w:val="正文文本 Char"/>
    <w:basedOn w:val="14"/>
    <w:link w:val="4"/>
    <w:qFormat/>
    <w:uiPriority w:val="99"/>
    <w:rPr>
      <w:rFonts w:ascii="仿宋_GB2312" w:hAnsi="Times New Roman" w:eastAsia="仿宋_GB2312" w:cs="Times New Roman"/>
      <w:kern w:val="0"/>
      <w:sz w:val="30"/>
      <w:szCs w:val="24"/>
    </w:rPr>
  </w:style>
  <w:style w:type="paragraph" w:customStyle="1" w:styleId="25">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6">
    <w:name w:val="List Paragraph"/>
    <w:basedOn w:val="1"/>
    <w:qFormat/>
    <w:uiPriority w:val="34"/>
    <w:pPr>
      <w:ind w:firstLine="420" w:firstLineChars="200"/>
    </w:pPr>
  </w:style>
  <w:style w:type="character" w:customStyle="1" w:styleId="27">
    <w:name w:val="批注框文本 Char"/>
    <w:basedOn w:val="14"/>
    <w:link w:val="6"/>
    <w:semiHidden/>
    <w:qFormat/>
    <w:uiPriority w:val="99"/>
    <w:rPr>
      <w:rFonts w:ascii="Times New Roman" w:hAnsi="Times New Roman" w:eastAsia="宋体" w:cs="Times New Roman"/>
      <w:sz w:val="18"/>
      <w:szCs w:val="18"/>
    </w:rPr>
  </w:style>
  <w:style w:type="character" w:customStyle="1" w:styleId="28">
    <w:name w:val="15"/>
    <w:basedOn w:val="14"/>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hart" Target="charts/chart5.xml"/><Relationship Id="rId8" Type="http://schemas.openxmlformats.org/officeDocument/2006/relationships/chart" Target="charts/chart4.xml"/><Relationship Id="rId7" Type="http://schemas.openxmlformats.org/officeDocument/2006/relationships/chart" Target="charts/chart3.xml"/><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chart" Target="charts/chart7.xml"/><Relationship Id="rId10" Type="http://schemas.openxmlformats.org/officeDocument/2006/relationships/chart" Target="charts/chart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algn="l">
              <a:defRPr lang="zh-CN" sz="875" b="0" i="0" u="none" strike="noStrike" kern="1200" baseline="0">
                <a:solidFill>
                  <a:srgbClr val="000000"/>
                </a:solidFill>
                <a:latin typeface="宋体" charset="-122"/>
                <a:ea typeface="宋体" charset="-122"/>
                <a:cs typeface="宋体" charset="-122"/>
              </a:defRPr>
            </a:pPr>
            <a:r>
              <a:rPr lang="zh-CN" altLang="en-US"/>
              <a:t>收、支决算总计变动情况图（单位：万元）</a:t>
            </a:r>
            <a:endParaRPr lang="zh-CN" altLang="en-US"/>
          </a:p>
        </c:rich>
      </c:tx>
      <c:layout>
        <c:manualLayout>
          <c:xMode val="edge"/>
          <c:yMode val="edge"/>
          <c:x val="0.263621566143336"/>
          <c:y val="0.0285395963856857"/>
        </c:manualLayout>
      </c:layout>
      <c:overlay val="false"/>
      <c:spPr>
        <a:noFill/>
        <a:ln w="25400">
          <a:noFill/>
        </a:ln>
      </c:spPr>
    </c:title>
    <c:autoTitleDeleted val="false"/>
    <c:plotArea>
      <c:layout>
        <c:manualLayout>
          <c:layoutTarget val="inner"/>
          <c:xMode val="edge"/>
          <c:yMode val="edge"/>
          <c:x val="0.128289651293586"/>
          <c:y val="0.173668639053254"/>
          <c:w val="0.787272727272727"/>
          <c:h val="0.673076923076923"/>
        </c:manualLayout>
      </c:layout>
      <c:barChart>
        <c:barDir val="col"/>
        <c:grouping val="clustered"/>
        <c:varyColors val="false"/>
        <c:ser>
          <c:idx val="0"/>
          <c:order val="0"/>
          <c:invertIfNegative val="false"/>
          <c:dLbls>
            <c:spPr>
              <a:noFill/>
              <a:ln w="25400">
                <a:noFill/>
              </a:ln>
              <a:effectLst/>
            </c:spPr>
            <c:txPr>
              <a:bodyPr rot="0" spcFirstLastPara="0" vertOverflow="ellipsis" vert="horz" wrap="square" lIns="38100" tIns="19050" rIns="38100" bIns="19050" anchor="ctr" anchorCtr="true">
                <a:spAutoFit/>
              </a:bodyPr>
              <a:lstStyle/>
              <a:p>
                <a:pPr>
                  <a:defRPr lang="zh-CN" sz="875" b="0" i="0" u="none" strike="noStrike" kern="1200" baseline="0">
                    <a:solidFill>
                      <a:srgbClr val="000000"/>
                    </a:solidFill>
                    <a:latin typeface="宋体" charset="-122"/>
                    <a:ea typeface="宋体" charset="-122"/>
                    <a:cs typeface="宋体"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Sheet2!$A$3:$A$4</c:f>
              <c:strCache>
                <c:ptCount val="2"/>
                <c:pt idx="0">
                  <c:v>2023年</c:v>
                </c:pt>
                <c:pt idx="1">
                  <c:v>2024年</c:v>
                </c:pt>
              </c:strCache>
            </c:strRef>
          </c:cat>
          <c:val>
            <c:numRef>
              <c:f>Sheet2!$B$3:$B$4</c:f>
              <c:numCache>
                <c:formatCode>General</c:formatCode>
                <c:ptCount val="2"/>
                <c:pt idx="0">
                  <c:v>379.789999999999</c:v>
                </c:pt>
                <c:pt idx="1">
                  <c:v>364.929999999999</c:v>
                </c:pt>
              </c:numCache>
            </c:numRef>
          </c:val>
        </c:ser>
        <c:dLbls>
          <c:showLegendKey val="false"/>
          <c:showVal val="true"/>
          <c:showCatName val="false"/>
          <c:showSerName val="false"/>
          <c:showPercent val="false"/>
          <c:showBubbleSize val="false"/>
        </c:dLbls>
        <c:gapWidth val="150"/>
        <c:axId val="333816960"/>
        <c:axId val="333818496"/>
      </c:barChart>
      <c:catAx>
        <c:axId val="333816960"/>
        <c:scaling>
          <c:orientation val="minMax"/>
        </c:scaling>
        <c:delete val="false"/>
        <c:axPos val="b"/>
        <c:numFmt formatCode="General" sourceLinked="true"/>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true"/>
          <a:lstStyle/>
          <a:p>
            <a:pPr>
              <a:defRPr lang="zh-CN" sz="875" b="0" i="0" u="none" strike="noStrike" kern="1200" baseline="0">
                <a:solidFill>
                  <a:srgbClr val="000000"/>
                </a:solidFill>
                <a:latin typeface="宋体" charset="-122"/>
                <a:ea typeface="宋体" charset="-122"/>
                <a:cs typeface="宋体" charset="-122"/>
              </a:defRPr>
            </a:pPr>
          </a:p>
        </c:txPr>
        <c:crossAx val="333818496"/>
        <c:crosses val="autoZero"/>
        <c:auto val="true"/>
        <c:lblAlgn val="ctr"/>
        <c:lblOffset val="100"/>
        <c:tickLblSkip val="1"/>
        <c:noMultiLvlLbl val="false"/>
      </c:catAx>
      <c:valAx>
        <c:axId val="333818496"/>
        <c:scaling>
          <c:orientation val="minMax"/>
        </c:scaling>
        <c:delete val="false"/>
        <c:axPos val="l"/>
        <c:majorGridlines>
          <c:spPr>
            <a:ln w="3175" cap="flat" cmpd="sng" algn="ctr">
              <a:solidFill>
                <a:srgbClr val="000000"/>
              </a:solidFill>
              <a:prstDash val="solid"/>
              <a:round/>
            </a:ln>
          </c:spPr>
        </c:majorGridlines>
        <c:numFmt formatCode="General" sourceLinked="true"/>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true"/>
          <a:lstStyle/>
          <a:p>
            <a:pPr>
              <a:defRPr lang="zh-CN" sz="875" b="0" i="0" u="none" strike="noStrike" kern="1200" baseline="0">
                <a:solidFill>
                  <a:srgbClr val="000000"/>
                </a:solidFill>
                <a:latin typeface="宋体" charset="-122"/>
                <a:ea typeface="宋体" charset="-122"/>
                <a:cs typeface="宋体" charset="-122"/>
              </a:defRPr>
            </a:pPr>
          </a:p>
        </c:txPr>
        <c:crossAx val="333816960"/>
        <c:crosses val="autoZero"/>
        <c:crossBetween val="between"/>
      </c:valAx>
      <c:spPr>
        <a:solidFill>
          <a:srgbClr val="C0C0C0"/>
        </a:solidFill>
        <a:ln w="12700">
          <a:solidFill>
            <a:srgbClr val="808080"/>
          </a:solidFill>
          <a:prstDash val="solid"/>
        </a:ln>
      </c:spPr>
    </c:plotArea>
    <c:plotVisOnly val="true"/>
    <c:dispBlanksAs val="gap"/>
    <c:showDLblsOverMax val="false"/>
  </c:chart>
  <c:spPr>
    <a:solidFill>
      <a:srgbClr val="FFFFFF"/>
    </a:solidFill>
    <a:ln w="3175" cap="flat" cmpd="sng" algn="ctr">
      <a:solidFill>
        <a:srgbClr val="000000"/>
      </a:solidFill>
      <a:prstDash val="solid"/>
      <a:round/>
    </a:ln>
  </c:spPr>
  <c:txPr>
    <a:bodyPr/>
    <a:lstStyle/>
    <a:p>
      <a:pPr>
        <a:defRPr lang="zh-CN" sz="875" b="0" i="0" u="none" strike="noStrike" baseline="0">
          <a:solidFill>
            <a:srgbClr val="000000"/>
          </a:solidFill>
          <a:latin typeface="宋体" charset="-122"/>
          <a:ea typeface="宋体" charset="-122"/>
          <a:cs typeface="宋体" charset="-122"/>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a:defRPr lang="zh-CN" sz="875" b="0" i="0" u="none" strike="noStrike" kern="1200" baseline="0">
                <a:solidFill>
                  <a:srgbClr val="000000"/>
                </a:solidFill>
                <a:latin typeface="宋体" charset="-122"/>
                <a:ea typeface="宋体" charset="-122"/>
                <a:cs typeface="宋体" charset="-122"/>
              </a:defRPr>
            </a:pPr>
            <a:r>
              <a:rPr lang="zh-CN" altLang="en-US"/>
              <a:t>收入决算情况图（单位：万元）</a:t>
            </a:r>
            <a:endParaRPr lang="zh-CN" altLang="en-US"/>
          </a:p>
        </c:rich>
      </c:tx>
      <c:layout>
        <c:manualLayout>
          <c:xMode val="edge"/>
          <c:yMode val="edge"/>
          <c:x val="0.365454545454554"/>
          <c:y val="0.0192307692307697"/>
        </c:manualLayout>
      </c:layout>
      <c:overlay val="false"/>
      <c:spPr>
        <a:noFill/>
        <a:ln w="25400">
          <a:noFill/>
        </a:ln>
      </c:spPr>
    </c:title>
    <c:autoTitleDeleted val="false"/>
    <c:plotArea>
      <c:layout>
        <c:manualLayout>
          <c:layoutTarget val="inner"/>
          <c:xMode val="edge"/>
          <c:yMode val="edge"/>
          <c:x val="0.0704907926535674"/>
          <c:y val="0.173668848864395"/>
          <c:w val="0.858703444762651"/>
          <c:h val="0.687966768306153"/>
        </c:manualLayout>
      </c:layout>
      <c:pieChart>
        <c:varyColors val="true"/>
        <c:ser>
          <c:idx val="0"/>
          <c:order val="0"/>
          <c:explosion val="0"/>
          <c:dPt>
            <c:idx val="0"/>
            <c:bubble3D val="false"/>
          </c:dPt>
          <c:dLbls>
            <c:spPr>
              <a:noFill/>
              <a:ln w="25400">
                <a:noFill/>
              </a:ln>
              <a:effectLst/>
            </c:spPr>
            <c:txPr>
              <a:bodyPr rot="0" spcFirstLastPara="0" vertOverflow="ellipsis" vert="horz" wrap="square" lIns="38100" tIns="19050" rIns="38100" bIns="19050" anchor="ctr" anchorCtr="true">
                <a:spAutoFit/>
              </a:bodyPr>
              <a:lstStyle/>
              <a:p>
                <a:pPr>
                  <a:defRPr lang="zh-CN" sz="875" b="0" i="0" u="none" strike="noStrike" kern="1200" baseline="0">
                    <a:solidFill>
                      <a:srgbClr val="000000"/>
                    </a:solidFill>
                    <a:latin typeface="宋体" charset="-122"/>
                    <a:ea typeface="宋体" charset="-122"/>
                    <a:cs typeface="宋体"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Sheet2!$A$3:$A$3</c:f>
              <c:strCache>
                <c:ptCount val="1"/>
                <c:pt idx="0">
                  <c:v>一般公共预算财政拨款收入</c:v>
                </c:pt>
              </c:strCache>
            </c:strRef>
          </c:cat>
          <c:val>
            <c:numRef>
              <c:f>Sheet2!$B$3:$B$3</c:f>
              <c:numCache>
                <c:formatCode>General</c:formatCode>
                <c:ptCount val="1"/>
                <c:pt idx="0">
                  <c:v>364.929999999999</c:v>
                </c:pt>
              </c:numCache>
            </c:numRef>
          </c:val>
        </c:ser>
        <c:dLbls>
          <c:showLegendKey val="false"/>
          <c:showVal val="true"/>
          <c:showCatName val="false"/>
          <c:showSerName val="false"/>
          <c:showPercent val="false"/>
          <c:showBubbleSize val="false"/>
          <c:showLeaderLines val="true"/>
        </c:dLbls>
        <c:firstSliceAng val="0"/>
      </c:pieChart>
      <c:spPr>
        <a:noFill/>
        <a:ln w="25400">
          <a:noFill/>
        </a:ln>
      </c:spPr>
    </c:plotArea>
    <c:legend>
      <c:legendPos val="r"/>
      <c:layout/>
      <c:overlay val="false"/>
      <c:spPr>
        <a:solidFill>
          <a:srgbClr val="FFFFFF"/>
        </a:solidFill>
        <a:ln w="3175">
          <a:solidFill>
            <a:srgbClr val="000000"/>
          </a:solidFill>
          <a:prstDash val="solid"/>
        </a:ln>
      </c:spPr>
      <c:txPr>
        <a:bodyPr rot="0" spcFirstLastPara="0" vertOverflow="ellipsis" vert="horz" wrap="square" anchor="ctr" anchorCtr="true"/>
        <a:lstStyle/>
        <a:p>
          <a:pPr>
            <a:defRPr lang="zh-CN" sz="805" b="0" i="0" u="none" strike="noStrike" kern="1200" baseline="0">
              <a:solidFill>
                <a:srgbClr val="000000"/>
              </a:solidFill>
              <a:latin typeface="宋体" charset="-122"/>
              <a:ea typeface="宋体" charset="-122"/>
              <a:cs typeface="宋体" charset="-122"/>
            </a:defRPr>
          </a:pPr>
        </a:p>
      </c:txPr>
    </c:legend>
    <c:plotVisOnly val="true"/>
    <c:dispBlanksAs val="zero"/>
    <c:showDLblsOverMax val="false"/>
  </c:chart>
  <c:spPr>
    <a:solidFill>
      <a:srgbClr val="FFFFFF"/>
    </a:solidFill>
    <a:ln w="3175" cap="flat" cmpd="sng" algn="ctr">
      <a:solidFill>
        <a:srgbClr val="000000"/>
      </a:solidFill>
      <a:prstDash val="solid"/>
      <a:round/>
    </a:ln>
  </c:spPr>
  <c:txPr>
    <a:bodyPr/>
    <a:lstStyle/>
    <a:p>
      <a:pPr>
        <a:defRPr lang="zh-CN" sz="875" b="0" i="0" u="none" strike="noStrike" baseline="0">
          <a:solidFill>
            <a:srgbClr val="000000"/>
          </a:solidFill>
          <a:latin typeface="宋体" charset="-122"/>
          <a:ea typeface="宋体" charset="-122"/>
          <a:cs typeface="宋体" charset="-122"/>
        </a:defRPr>
      </a:pPr>
    </a:p>
  </c:txPr>
  <c:externalData r:id="rId1">
    <c:autoUpdate val="false"/>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a:defRPr lang="zh-CN" sz="920" b="0" i="0" u="none" strike="noStrike" kern="1200" baseline="0">
                <a:solidFill>
                  <a:srgbClr val="000000"/>
                </a:solidFill>
                <a:latin typeface="宋体" charset="-122"/>
                <a:ea typeface="宋体" charset="-122"/>
                <a:cs typeface="宋体" charset="-122"/>
              </a:defRPr>
            </a:pPr>
            <a:r>
              <a:rPr lang="zh-CN" altLang="en-US"/>
              <a:t>支出决算结构图（单位：万元）</a:t>
            </a:r>
            <a:endParaRPr lang="zh-CN" altLang="en-US"/>
          </a:p>
        </c:rich>
      </c:tx>
      <c:layout>
        <c:manualLayout>
          <c:xMode val="edge"/>
          <c:yMode val="edge"/>
          <c:x val="0.302070032352601"/>
          <c:y val="0.0433177092323831"/>
        </c:manualLayout>
      </c:layout>
      <c:overlay val="false"/>
      <c:spPr>
        <a:noFill/>
        <a:ln w="25315">
          <a:noFill/>
        </a:ln>
      </c:spPr>
    </c:title>
    <c:autoTitleDeleted val="false"/>
    <c:plotArea>
      <c:layout>
        <c:manualLayout>
          <c:layoutTarget val="inner"/>
          <c:xMode val="edge"/>
          <c:yMode val="edge"/>
          <c:x val="0.123728583113745"/>
          <c:y val="0.219092490532413"/>
          <c:w val="0.689423448439057"/>
          <c:h val="0.5125"/>
        </c:manualLayout>
      </c:layout>
      <c:pieChart>
        <c:varyColors val="true"/>
        <c:ser>
          <c:idx val="0"/>
          <c:order val="0"/>
          <c:spPr>
            <a:solidFill>
              <a:srgbClr val="9999FF"/>
            </a:solidFill>
            <a:ln w="12658">
              <a:solidFill>
                <a:srgbClr val="000000"/>
              </a:solidFill>
              <a:prstDash val="solid"/>
            </a:ln>
          </c:spPr>
          <c:explosion val="0"/>
          <c:dPt>
            <c:idx val="0"/>
            <c:bubble3D val="false"/>
            <c:spPr>
              <a:solidFill>
                <a:srgbClr val="9999FF"/>
              </a:solidFill>
              <a:ln w="12658">
                <a:solidFill>
                  <a:srgbClr val="000000"/>
                </a:solidFill>
                <a:prstDash val="solid"/>
              </a:ln>
            </c:spPr>
          </c:dPt>
          <c:dPt>
            <c:idx val="1"/>
            <c:bubble3D val="false"/>
            <c:spPr>
              <a:solidFill>
                <a:srgbClr val="993366"/>
              </a:solidFill>
              <a:ln w="12658">
                <a:solidFill>
                  <a:srgbClr val="000000"/>
                </a:solidFill>
                <a:prstDash val="solid"/>
              </a:ln>
            </c:spPr>
          </c:dPt>
          <c:dLbls>
            <c:spPr>
              <a:noFill/>
              <a:ln w="25315">
                <a:noFill/>
              </a:ln>
              <a:effectLst/>
            </c:spPr>
            <c:txPr>
              <a:bodyPr rot="0" spcFirstLastPara="0" vertOverflow="ellipsis" vert="horz" wrap="square" lIns="38100" tIns="19050" rIns="38100" bIns="19050" anchor="ctr" anchorCtr="true">
                <a:spAutoFit/>
              </a:bodyPr>
              <a:lstStyle/>
              <a:p>
                <a:pPr>
                  <a:defRPr lang="zh-CN" sz="920" b="0" i="0" u="none" strike="noStrike" kern="1200" baseline="0">
                    <a:solidFill>
                      <a:srgbClr val="000000"/>
                    </a:solidFill>
                    <a:latin typeface="宋体" charset="-122"/>
                    <a:ea typeface="宋体" charset="-122"/>
                    <a:cs typeface="宋体" charset="-122"/>
                  </a:defRPr>
                </a:pPr>
              </a:p>
            </c:txPr>
            <c:dLblPos val="bestFit"/>
            <c:showLegendKey val="false"/>
            <c:showVal val="true"/>
            <c:showCatName val="false"/>
            <c:showSerName val="false"/>
            <c:showPercent val="false"/>
            <c:showBubbleSize val="false"/>
            <c:showLeaderLines val="true"/>
            <c:extLst>
              <c:ext xmlns:c15="http://schemas.microsoft.com/office/drawing/2012/chart" uri="{CE6537A1-D6FC-4f65-9D91-7224C49458BB}">
                <c15:layout/>
                <c15:showLeaderLines val="true"/>
                <c15:leaderLines/>
              </c:ext>
            </c:extLst>
          </c:dLbls>
          <c:cat>
            <c:strRef>
              <c:f>Sheet2!$A$10:$A$11</c:f>
              <c:strCache>
                <c:ptCount val="2"/>
                <c:pt idx="0">
                  <c:v>基本支出</c:v>
                </c:pt>
                <c:pt idx="1">
                  <c:v>项目支出</c:v>
                </c:pt>
              </c:strCache>
            </c:strRef>
          </c:cat>
          <c:val>
            <c:numRef>
              <c:f>Sheet2!$B$10:$B$11</c:f>
              <c:numCache>
                <c:formatCode>General</c:formatCode>
                <c:ptCount val="2"/>
                <c:pt idx="0">
                  <c:v>359.929999999999</c:v>
                </c:pt>
                <c:pt idx="1">
                  <c:v>5</c:v>
                </c:pt>
              </c:numCache>
            </c:numRef>
          </c:val>
        </c:ser>
        <c:dLbls>
          <c:showLegendKey val="false"/>
          <c:showVal val="true"/>
          <c:showCatName val="false"/>
          <c:showSerName val="false"/>
          <c:showPercent val="false"/>
          <c:showBubbleSize val="false"/>
          <c:showLeaderLines val="true"/>
        </c:dLbls>
        <c:firstSliceAng val="0"/>
      </c:pieChart>
      <c:spPr>
        <a:noFill/>
        <a:ln w="25315">
          <a:noFill/>
        </a:ln>
      </c:spPr>
    </c:plotArea>
    <c:legend>
      <c:legendPos val="r"/>
      <c:layout>
        <c:manualLayout>
          <c:xMode val="edge"/>
          <c:yMode val="edge"/>
          <c:x val="0.877551020408183"/>
          <c:y val="0.4875"/>
          <c:w val="0.11903498389979"/>
          <c:h val="0.172595056130454"/>
        </c:manualLayout>
      </c:layout>
      <c:overlay val="false"/>
      <c:spPr>
        <a:solidFill>
          <a:srgbClr val="FFFFFF"/>
        </a:solidFill>
        <a:ln w="3164">
          <a:solidFill>
            <a:srgbClr val="000000"/>
          </a:solidFill>
          <a:prstDash val="solid"/>
        </a:ln>
      </c:spPr>
      <c:txPr>
        <a:bodyPr rot="0" spcFirstLastPara="0" vertOverflow="ellipsis" vert="horz" wrap="square" anchor="ctr" anchorCtr="true"/>
        <a:lstStyle/>
        <a:p>
          <a:pPr>
            <a:defRPr lang="zh-CN" sz="845" b="0" i="0" u="none" strike="noStrike" kern="1200" baseline="0">
              <a:solidFill>
                <a:srgbClr val="000000"/>
              </a:solidFill>
              <a:latin typeface="宋体" charset="-122"/>
              <a:ea typeface="宋体" charset="-122"/>
              <a:cs typeface="宋体" charset="-122"/>
            </a:defRPr>
          </a:pPr>
        </a:p>
      </c:txPr>
    </c:legend>
    <c:plotVisOnly val="true"/>
    <c:dispBlanksAs val="zero"/>
    <c:showDLblsOverMax val="false"/>
  </c:chart>
  <c:spPr>
    <a:solidFill>
      <a:srgbClr val="FFFFFF"/>
    </a:solidFill>
    <a:ln w="3164" cap="flat" cmpd="sng" algn="ctr">
      <a:solidFill>
        <a:srgbClr val="000000"/>
      </a:solidFill>
      <a:prstDash val="solid"/>
      <a:round/>
    </a:ln>
  </c:spPr>
  <c:txPr>
    <a:bodyPr/>
    <a:lstStyle/>
    <a:p>
      <a:pPr>
        <a:defRPr lang="zh-CN" sz="920" b="0" i="0" u="none" strike="noStrike" baseline="0">
          <a:solidFill>
            <a:srgbClr val="000000"/>
          </a:solidFill>
          <a:latin typeface="宋体" charset="-122"/>
          <a:ea typeface="宋体" charset="-122"/>
          <a:cs typeface="宋体" charset="-122"/>
        </a:defRPr>
      </a:pPr>
    </a:p>
  </c:txPr>
  <c:externalData r:id="rId1">
    <c:autoUpdate val="false"/>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true"/>
          <a:lstStyle/>
          <a:p>
            <a:pPr>
              <a:defRPr lang="zh-CN" sz="900" b="0" i="0" u="none" strike="noStrike" kern="1200" baseline="0">
                <a:solidFill>
                  <a:srgbClr val="000000"/>
                </a:solidFill>
                <a:latin typeface="宋体" charset="-122"/>
                <a:ea typeface="宋体" charset="-122"/>
                <a:cs typeface="宋体" charset="-122"/>
              </a:defRPr>
            </a:pPr>
            <a:r>
              <a:rPr lang="zh-CN" altLang="en-US"/>
              <a:t>财政拨款收、支决算总计变动情况</a:t>
            </a:r>
            <a:endParaRPr lang="zh-CN" altLang="en-US"/>
          </a:p>
        </c:rich>
      </c:tx>
      <c:layout>
        <c:manualLayout>
          <c:xMode val="edge"/>
          <c:yMode val="edge"/>
          <c:x val="0.340277777777783"/>
          <c:y val="0.0192307692307696"/>
        </c:manualLayout>
      </c:layout>
      <c:overlay val="false"/>
      <c:spPr>
        <a:noFill/>
        <a:ln w="25357">
          <a:noFill/>
        </a:ln>
      </c:spPr>
    </c:title>
    <c:autoTitleDeleted val="false"/>
    <c:plotArea>
      <c:layout>
        <c:manualLayout>
          <c:layoutTarget val="inner"/>
          <c:xMode val="edge"/>
          <c:yMode val="edge"/>
          <c:x val="0.0920138888888889"/>
          <c:y val="0.188461538461542"/>
          <c:w val="0.807291666666669"/>
          <c:h val="0.673076923076923"/>
        </c:manualLayout>
      </c:layout>
      <c:barChart>
        <c:barDir val="col"/>
        <c:grouping val="clustered"/>
        <c:varyColors val="false"/>
        <c:ser>
          <c:idx val="0"/>
          <c:order val="0"/>
          <c:tx>
            <c:strRef>
              <c:f>Sheet2!$A$10</c:f>
              <c:strCache>
                <c:ptCount val="1"/>
                <c:pt idx="0">
                  <c:v>收入</c:v>
                </c:pt>
              </c:strCache>
            </c:strRef>
          </c:tx>
          <c:spPr>
            <a:solidFill>
              <a:srgbClr val="9999FF"/>
            </a:solidFill>
            <a:ln w="12678">
              <a:solidFill>
                <a:srgbClr val="000000"/>
              </a:solidFill>
              <a:prstDash val="solid"/>
            </a:ln>
          </c:spPr>
          <c:invertIfNegative val="false"/>
          <c:dLbls>
            <c:spPr>
              <a:noFill/>
              <a:ln w="25357">
                <a:noFill/>
              </a:ln>
              <a:effectLst/>
            </c:spPr>
            <c:txPr>
              <a:bodyPr rot="0" spcFirstLastPara="0" vertOverflow="ellipsis" vert="horz" wrap="square" lIns="38100" tIns="19050" rIns="38100" bIns="19050" anchor="ctr" anchorCtr="true">
                <a:spAutoFit/>
              </a:bodyPr>
              <a:lstStyle/>
              <a:p>
                <a:pPr>
                  <a:defRPr lang="zh-CN" sz="900" b="0" i="0" u="none" strike="noStrike" kern="1200" baseline="0">
                    <a:solidFill>
                      <a:srgbClr val="000000"/>
                    </a:solidFill>
                    <a:latin typeface="宋体" charset="-122"/>
                    <a:ea typeface="宋体" charset="-122"/>
                    <a:cs typeface="宋体"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Sheet2!$B$9:$C$9</c:f>
              <c:strCache>
                <c:ptCount val="2"/>
                <c:pt idx="0">
                  <c:v>2023年</c:v>
                </c:pt>
                <c:pt idx="1">
                  <c:v>2024年</c:v>
                </c:pt>
              </c:strCache>
            </c:strRef>
          </c:cat>
          <c:val>
            <c:numRef>
              <c:f>Sheet2!$B$10:$C$10</c:f>
              <c:numCache>
                <c:formatCode>General</c:formatCode>
                <c:ptCount val="2"/>
                <c:pt idx="0">
                  <c:v>379.79</c:v>
                </c:pt>
                <c:pt idx="1">
                  <c:v>364.93</c:v>
                </c:pt>
              </c:numCache>
            </c:numRef>
          </c:val>
        </c:ser>
        <c:ser>
          <c:idx val="1"/>
          <c:order val="1"/>
          <c:tx>
            <c:strRef>
              <c:f>Sheet2!$A$11</c:f>
              <c:strCache>
                <c:ptCount val="1"/>
                <c:pt idx="0">
                  <c:v>支出</c:v>
                </c:pt>
              </c:strCache>
            </c:strRef>
          </c:tx>
          <c:spPr>
            <a:solidFill>
              <a:srgbClr val="993366"/>
            </a:solidFill>
            <a:ln w="12678">
              <a:solidFill>
                <a:srgbClr val="000000"/>
              </a:solidFill>
              <a:prstDash val="solid"/>
            </a:ln>
          </c:spPr>
          <c:invertIfNegative val="false"/>
          <c:dLbls>
            <c:spPr>
              <a:noFill/>
              <a:ln w="25357">
                <a:noFill/>
              </a:ln>
              <a:effectLst/>
            </c:spPr>
            <c:txPr>
              <a:bodyPr rot="0" spcFirstLastPara="0" vertOverflow="ellipsis" vert="horz" wrap="square" lIns="38100" tIns="19050" rIns="38100" bIns="19050" anchor="ctr" anchorCtr="true">
                <a:spAutoFit/>
              </a:bodyPr>
              <a:lstStyle/>
              <a:p>
                <a:pPr>
                  <a:defRPr lang="zh-CN" sz="900" b="0" i="0" u="none" strike="noStrike" kern="1200" baseline="0">
                    <a:solidFill>
                      <a:srgbClr val="000000"/>
                    </a:solidFill>
                    <a:latin typeface="宋体" charset="-122"/>
                    <a:ea typeface="宋体" charset="-122"/>
                    <a:cs typeface="宋体" charset="-122"/>
                  </a:defRPr>
                </a:pPr>
              </a:p>
            </c:txPr>
            <c:dLblPos val="outEnd"/>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Sheet2!$B$9:$C$9</c:f>
              <c:strCache>
                <c:ptCount val="2"/>
                <c:pt idx="0">
                  <c:v>2023年</c:v>
                </c:pt>
                <c:pt idx="1">
                  <c:v>2024年</c:v>
                </c:pt>
              </c:strCache>
            </c:strRef>
          </c:cat>
          <c:val>
            <c:numRef>
              <c:f>Sheet2!$B$11:$C$11</c:f>
              <c:numCache>
                <c:formatCode>General</c:formatCode>
                <c:ptCount val="2"/>
                <c:pt idx="0">
                  <c:v>379.79</c:v>
                </c:pt>
                <c:pt idx="1">
                  <c:v>364.93</c:v>
                </c:pt>
              </c:numCache>
            </c:numRef>
          </c:val>
        </c:ser>
        <c:dLbls>
          <c:showLegendKey val="false"/>
          <c:showVal val="true"/>
          <c:showCatName val="false"/>
          <c:showSerName val="false"/>
          <c:showPercent val="false"/>
          <c:showBubbleSize val="false"/>
        </c:dLbls>
        <c:gapWidth val="150"/>
        <c:axId val="335328000"/>
        <c:axId val="335329536"/>
      </c:barChart>
      <c:catAx>
        <c:axId val="335328000"/>
        <c:scaling>
          <c:orientation val="minMax"/>
        </c:scaling>
        <c:delete val="false"/>
        <c:axPos val="b"/>
        <c:numFmt formatCode="General" sourceLinked="true"/>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true"/>
          <a:lstStyle/>
          <a:p>
            <a:pPr>
              <a:defRPr lang="zh-CN" sz="900" b="0" i="0" u="none" strike="noStrike" kern="1200" baseline="0">
                <a:solidFill>
                  <a:srgbClr val="000000"/>
                </a:solidFill>
                <a:latin typeface="宋体" charset="-122"/>
                <a:ea typeface="宋体" charset="-122"/>
                <a:cs typeface="宋体" charset="-122"/>
              </a:defRPr>
            </a:pPr>
          </a:p>
        </c:txPr>
        <c:crossAx val="335329536"/>
        <c:crosses val="autoZero"/>
        <c:auto val="true"/>
        <c:lblAlgn val="ctr"/>
        <c:lblOffset val="100"/>
        <c:tickLblSkip val="1"/>
        <c:noMultiLvlLbl val="false"/>
      </c:catAx>
      <c:valAx>
        <c:axId val="335329536"/>
        <c:scaling>
          <c:orientation val="minMax"/>
        </c:scaling>
        <c:delete val="false"/>
        <c:axPos val="l"/>
        <c:majorGridlines>
          <c:spPr>
            <a:ln w="3170" cap="flat" cmpd="sng" algn="ctr">
              <a:solidFill>
                <a:srgbClr val="000000"/>
              </a:solidFill>
              <a:prstDash val="solid"/>
              <a:round/>
            </a:ln>
          </c:spPr>
        </c:majorGridlines>
        <c:numFmt formatCode="General" sourceLinked="true"/>
        <c:majorTickMark val="in"/>
        <c:minorTickMark val="none"/>
        <c:tickLblPos val="nextTo"/>
        <c:spPr>
          <a:ln w="3170" cap="flat" cmpd="sng" algn="ctr">
            <a:solidFill>
              <a:srgbClr val="000000"/>
            </a:solidFill>
            <a:prstDash val="solid"/>
            <a:round/>
          </a:ln>
        </c:spPr>
        <c:txPr>
          <a:bodyPr rot="0" spcFirstLastPara="0" vertOverflow="ellipsis" vert="horz" wrap="square" anchor="ctr" anchorCtr="true"/>
          <a:lstStyle/>
          <a:p>
            <a:pPr>
              <a:defRPr lang="zh-CN" sz="900" b="0" i="0" u="none" strike="noStrike" kern="1200" baseline="0">
                <a:solidFill>
                  <a:srgbClr val="000000"/>
                </a:solidFill>
                <a:latin typeface="宋体" charset="-122"/>
                <a:ea typeface="宋体" charset="-122"/>
                <a:cs typeface="宋体" charset="-122"/>
              </a:defRPr>
            </a:pPr>
          </a:p>
        </c:txPr>
        <c:crossAx val="335328000"/>
        <c:crosses val="autoZero"/>
        <c:crossBetween val="between"/>
      </c:valAx>
      <c:spPr>
        <a:solidFill>
          <a:srgbClr val="C0C0C0"/>
        </a:solidFill>
        <a:ln w="12678">
          <a:solidFill>
            <a:srgbClr val="808080"/>
          </a:solidFill>
          <a:prstDash val="solid"/>
        </a:ln>
      </c:spPr>
    </c:plotArea>
    <c:legend>
      <c:legendPos val="r"/>
      <c:layout>
        <c:manualLayout>
          <c:xMode val="edge"/>
          <c:yMode val="edge"/>
          <c:x val="0.916666666666667"/>
          <c:y val="0.453846153846154"/>
          <c:w val="0.0763888888888889"/>
          <c:h val="0.134615384615385"/>
        </c:manualLayout>
      </c:layout>
      <c:overlay val="false"/>
      <c:spPr>
        <a:solidFill>
          <a:srgbClr val="FFFFFF"/>
        </a:solidFill>
        <a:ln w="3170">
          <a:solidFill>
            <a:srgbClr val="000000"/>
          </a:solidFill>
          <a:prstDash val="solid"/>
        </a:ln>
      </c:spPr>
      <c:txPr>
        <a:bodyPr rot="0" spcFirstLastPara="0" vertOverflow="ellipsis" vert="horz" wrap="square" anchor="ctr" anchorCtr="true"/>
        <a:lstStyle/>
        <a:p>
          <a:pPr>
            <a:defRPr lang="zh-CN" sz="825" b="0" i="0" u="none" strike="noStrike" kern="1200" baseline="0">
              <a:solidFill>
                <a:srgbClr val="000000"/>
              </a:solidFill>
              <a:latin typeface="宋体" charset="-122"/>
              <a:ea typeface="宋体" charset="-122"/>
              <a:cs typeface="宋体" charset="-122"/>
            </a:defRPr>
          </a:pPr>
        </a:p>
      </c:txPr>
    </c:legend>
    <c:plotVisOnly val="true"/>
    <c:dispBlanksAs val="gap"/>
    <c:showDLblsOverMax val="false"/>
  </c:chart>
  <c:spPr>
    <a:solidFill>
      <a:srgbClr val="FFFFFF"/>
    </a:solidFill>
    <a:ln w="3170" cap="flat" cmpd="sng" algn="ctr">
      <a:solidFill>
        <a:srgbClr val="000000"/>
      </a:solidFill>
      <a:prstDash val="solid"/>
      <a:round/>
    </a:ln>
  </c:spPr>
  <c:txPr>
    <a:bodyPr/>
    <a:lstStyle/>
    <a:p>
      <a:pPr>
        <a:defRPr lang="zh-CN" sz="900" b="0" i="0" u="none" strike="noStrike" baseline="0">
          <a:solidFill>
            <a:srgbClr val="000000"/>
          </a:solidFill>
          <a:latin typeface="宋体" charset="-122"/>
          <a:ea typeface="宋体" charset="-122"/>
          <a:cs typeface="宋体" charset="-122"/>
        </a:defRPr>
      </a:pPr>
    </a:p>
  </c:txPr>
  <c:externalData r:id="rId1">
    <c:autoUpdate val="false"/>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manualLayout>
          <c:layoutTarget val="inner"/>
          <c:xMode val="edge"/>
          <c:yMode val="edge"/>
          <c:x val="0.0905982905982944"/>
          <c:y val="0.0766283524904214"/>
          <c:w val="0.8"/>
          <c:h val="0.78544061302683"/>
        </c:manualLayout>
      </c:layout>
      <c:barChart>
        <c:barDir val="col"/>
        <c:grouping val="stacked"/>
        <c:varyColors val="false"/>
        <c:ser>
          <c:idx val="0"/>
          <c:order val="0"/>
          <c:spPr>
            <a:solidFill>
              <a:srgbClr val="9999FF"/>
            </a:solidFill>
            <a:ln w="12700">
              <a:solidFill>
                <a:srgbClr val="000000"/>
              </a:solidFill>
              <a:prstDash val="solid"/>
            </a:ln>
          </c:spPr>
          <c:invertIfNegative val="false"/>
          <c:dLbls>
            <c:spPr>
              <a:noFill/>
              <a:ln w="25400">
                <a:noFill/>
              </a:ln>
              <a:effectLst/>
            </c:spPr>
            <c:txPr>
              <a:bodyPr rot="0" spcFirstLastPara="0" vertOverflow="ellipsis" vert="horz" wrap="square" lIns="38100" tIns="19050" rIns="38100" bIns="19050" anchor="ctr" anchorCtr="true">
                <a:spAutoFit/>
              </a:bodyPr>
              <a:lstStyle/>
              <a:p>
                <a:pPr>
                  <a:defRPr lang="zh-CN" sz="925" b="0" i="0" u="none" strike="noStrike" kern="1200" baseline="0">
                    <a:solidFill>
                      <a:srgbClr val="000000"/>
                    </a:solidFill>
                    <a:latin typeface="宋体" charset="-122"/>
                    <a:ea typeface="宋体" charset="-122"/>
                    <a:cs typeface="宋体" charset="-122"/>
                  </a:defRPr>
                </a:pPr>
              </a:p>
            </c:txPr>
            <c:dLblPos val="ctr"/>
            <c:showLegendKey val="false"/>
            <c:showVal val="true"/>
            <c:showCatName val="false"/>
            <c:showSerName val="false"/>
            <c:showPercent val="false"/>
            <c:showBubbleSize val="false"/>
            <c:showLeaderLines val="false"/>
            <c:extLst>
              <c:ext xmlns:c15="http://schemas.microsoft.com/office/drawing/2012/chart" uri="{CE6537A1-D6FC-4f65-9D91-7224C49458BB}">
                <c15:layout/>
                <c15:showLeaderLines val="false"/>
                <c15:leaderLines/>
              </c:ext>
            </c:extLst>
          </c:dLbls>
          <c:cat>
            <c:strRef>
              <c:f>Sheet2!$A$2:$A$3</c:f>
              <c:strCache>
                <c:ptCount val="2"/>
                <c:pt idx="1">
                  <c:v>一般公共预算财政拨款支出</c:v>
                </c:pt>
              </c:strCache>
            </c:strRef>
          </c:cat>
          <c:val>
            <c:numRef>
              <c:f>Sheet2!$B$2:$B$3</c:f>
              <c:numCache>
                <c:formatCode>General</c:formatCode>
                <c:ptCount val="2"/>
                <c:pt idx="1">
                  <c:v>364.929999999999</c:v>
                </c:pt>
              </c:numCache>
            </c:numRef>
          </c:val>
        </c:ser>
        <c:dLbls>
          <c:showLegendKey val="false"/>
          <c:showVal val="true"/>
          <c:showCatName val="false"/>
          <c:showSerName val="false"/>
          <c:showPercent val="false"/>
          <c:showBubbleSize val="false"/>
        </c:dLbls>
        <c:gapWidth val="150"/>
        <c:overlap val="100"/>
        <c:axId val="335448320"/>
        <c:axId val="335454208"/>
      </c:barChart>
      <c:catAx>
        <c:axId val="335448320"/>
        <c:scaling>
          <c:orientation val="minMax"/>
        </c:scaling>
        <c:delete val="false"/>
        <c:axPos val="b"/>
        <c:numFmt formatCode="General" sourceLinked="true"/>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true"/>
          <a:lstStyle/>
          <a:p>
            <a:pPr>
              <a:defRPr lang="zh-CN" sz="925" b="0" i="0" u="none" strike="noStrike" kern="1200" baseline="0">
                <a:solidFill>
                  <a:srgbClr val="000000"/>
                </a:solidFill>
                <a:latin typeface="宋体" charset="-122"/>
                <a:ea typeface="宋体" charset="-122"/>
                <a:cs typeface="宋体" charset="-122"/>
              </a:defRPr>
            </a:pPr>
          </a:p>
        </c:txPr>
        <c:crossAx val="335454208"/>
        <c:crosses val="autoZero"/>
        <c:auto val="true"/>
        <c:lblAlgn val="ctr"/>
        <c:lblOffset val="100"/>
        <c:tickLblSkip val="1"/>
        <c:noMultiLvlLbl val="false"/>
      </c:catAx>
      <c:valAx>
        <c:axId val="335454208"/>
        <c:scaling>
          <c:orientation val="minMax"/>
        </c:scaling>
        <c:delete val="false"/>
        <c:axPos val="l"/>
        <c:majorGridlines>
          <c:spPr>
            <a:ln w="3175" cap="flat" cmpd="sng" algn="ctr">
              <a:solidFill>
                <a:srgbClr val="000000"/>
              </a:solidFill>
              <a:prstDash val="solid"/>
              <a:round/>
            </a:ln>
          </c:spPr>
        </c:majorGridlines>
        <c:numFmt formatCode="General" sourceLinked="true"/>
        <c:majorTickMark val="in"/>
        <c:minorTickMark val="none"/>
        <c:tickLblPos val="nextTo"/>
        <c:spPr>
          <a:ln w="3175" cap="flat" cmpd="sng" algn="ctr">
            <a:solidFill>
              <a:srgbClr val="000000"/>
            </a:solidFill>
            <a:prstDash val="solid"/>
            <a:round/>
          </a:ln>
        </c:spPr>
        <c:txPr>
          <a:bodyPr rot="0" spcFirstLastPara="0" vertOverflow="ellipsis" vert="horz" wrap="square" anchor="ctr" anchorCtr="true"/>
          <a:lstStyle/>
          <a:p>
            <a:pPr>
              <a:defRPr lang="zh-CN" sz="925" b="0" i="0" u="none" strike="noStrike" kern="1200" baseline="0">
                <a:solidFill>
                  <a:srgbClr val="000000"/>
                </a:solidFill>
                <a:latin typeface="宋体" charset="-122"/>
                <a:ea typeface="宋体" charset="-122"/>
                <a:cs typeface="宋体" charset="-122"/>
              </a:defRPr>
            </a:pPr>
          </a:p>
        </c:txPr>
        <c:crossAx val="335448320"/>
        <c:crosses val="autoZero"/>
        <c:crossBetween val="between"/>
      </c:valAx>
    </c:plotArea>
    <c:plotVisOnly val="true"/>
    <c:dispBlanksAs val="gap"/>
    <c:showDLblsOverMax val="false"/>
  </c:chart>
  <c:spPr>
    <a:solidFill>
      <a:srgbClr val="FFFFFF"/>
    </a:solidFill>
    <a:ln w="3175" cap="flat" cmpd="sng" algn="ctr">
      <a:solidFill>
        <a:srgbClr val="000000"/>
      </a:solidFill>
      <a:prstDash val="solid"/>
      <a:round/>
    </a:ln>
  </c:spPr>
  <c:txPr>
    <a:bodyPr/>
    <a:lstStyle/>
    <a:p>
      <a:pPr>
        <a:defRPr lang="zh-CN" sz="925" b="0" i="0" u="none" strike="noStrike" baseline="0">
          <a:solidFill>
            <a:srgbClr val="000000"/>
          </a:solidFill>
          <a:latin typeface="宋体" charset="-122"/>
          <a:ea typeface="宋体" charset="-122"/>
          <a:cs typeface="宋体" charset="-122"/>
        </a:defRPr>
      </a:pPr>
    </a:p>
  </c:txPr>
  <c:externalData r:id="rId1">
    <c:autoUpdate val="false"/>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layout/>
      <c:overlay val="false"/>
      <c:txPr>
        <a:bodyPr rot="0" spcFirstLastPara="0" vertOverflow="ellipsis" vert="horz" wrap="square" anchor="ctr" anchorCtr="true"/>
        <a:lstStyle/>
        <a:p>
          <a:pPr>
            <a:defRPr lang="zh-CN" sz="1800" b="1" i="0" u="none" strike="noStrike" kern="1200" baseline="0">
              <a:solidFill>
                <a:schemeClr val="tx1"/>
              </a:solidFill>
              <a:latin typeface="+mn-lt"/>
              <a:ea typeface="+mn-ea"/>
              <a:cs typeface="+mn-cs"/>
            </a:defRPr>
          </a:pPr>
        </a:p>
      </c:txPr>
    </c:title>
    <c:autoTitleDeleted val="false"/>
    <c:plotArea>
      <c:layout/>
      <c:pieChart>
        <c:varyColors val="true"/>
        <c:ser>
          <c:idx val="0"/>
          <c:order val="0"/>
          <c:tx>
            <c:strRef>
              <c:f>Sheet1!$B$1</c:f>
              <c:strCache>
                <c:ptCount val="1"/>
                <c:pt idx="0">
                  <c:v>一般公共预算财政拨款支出决算结构情况</c:v>
                </c:pt>
              </c:strCache>
            </c:strRef>
          </c:tx>
          <c:explosion val="0"/>
          <c:dPt>
            <c:idx val="0"/>
            <c:bubble3D val="false"/>
          </c:dPt>
          <c:dPt>
            <c:idx val="1"/>
            <c:bubble3D val="false"/>
          </c:dPt>
          <c:dPt>
            <c:idx val="2"/>
            <c:bubble3D val="false"/>
          </c:dPt>
          <c:dPt>
            <c:idx val="3"/>
            <c:bubble3D val="false"/>
          </c:dPt>
          <c:dLbls>
            <c:delete val="true"/>
          </c:dLbls>
          <c:cat>
            <c:strRef>
              <c:f>Sheet1!$A$2:$A$5</c:f>
              <c:strCache>
                <c:ptCount val="4"/>
                <c:pt idx="0">
                  <c:v>城乡社区支出</c:v>
                </c:pt>
                <c:pt idx="1">
                  <c:v>社会保障支出</c:v>
                </c:pt>
                <c:pt idx="2">
                  <c:v>卫生健康支出</c:v>
                </c:pt>
                <c:pt idx="3">
                  <c:v>住房保障支出</c:v>
                </c:pt>
              </c:strCache>
            </c:strRef>
          </c:cat>
          <c:val>
            <c:numRef>
              <c:f>Sheet1!$B$2:$B$5</c:f>
              <c:numCache>
                <c:formatCode>General</c:formatCode>
                <c:ptCount val="4"/>
                <c:pt idx="0">
                  <c:v>233.64</c:v>
                </c:pt>
                <c:pt idx="1">
                  <c:v>86.45</c:v>
                </c:pt>
                <c:pt idx="2">
                  <c:v>20</c:v>
                </c:pt>
                <c:pt idx="3">
                  <c:v>24.84</c:v>
                </c:pt>
              </c:numCache>
            </c:numRef>
          </c:val>
        </c:ser>
        <c:dLbls>
          <c:showLegendKey val="false"/>
          <c:showVal val="false"/>
          <c:showCatName val="false"/>
          <c:showSerName val="false"/>
          <c:showPercent val="false"/>
          <c:showBubbleSize val="false"/>
          <c:showLeaderLines val="true"/>
        </c:dLbls>
        <c:firstSliceAng val="0"/>
      </c:pieChart>
    </c:plotArea>
    <c:legend>
      <c:legendPos val="r"/>
      <c:layout/>
      <c:overlay val="false"/>
      <c:txPr>
        <a:bodyPr rot="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legend>
    <c:plotVisOnly val="true"/>
    <c:dispBlanksAs val="zero"/>
    <c:showDLblsOverMax val="false"/>
  </c:chart>
  <c:txPr>
    <a:bodyPr/>
    <a:lstStyle/>
    <a:p>
      <a:pPr>
        <a:defRPr lang="zh-CN"/>
      </a:pPr>
    </a:p>
  </c:txPr>
  <c:externalData r:id="rId1">
    <c:autoUpdate val="false"/>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title>
      <c:layout/>
      <c:overlay val="false"/>
      <c:txPr>
        <a:bodyPr rot="0" spcFirstLastPara="0" vertOverflow="ellipsis" vert="horz" wrap="square" anchor="ctr" anchorCtr="true"/>
        <a:lstStyle/>
        <a:p>
          <a:pPr>
            <a:defRPr lang="zh-CN" sz="1800" b="1" i="0" u="none" strike="noStrike" kern="1200" baseline="0">
              <a:solidFill>
                <a:schemeClr val="tx1"/>
              </a:solidFill>
              <a:latin typeface="+mn-lt"/>
              <a:ea typeface="+mn-ea"/>
              <a:cs typeface="+mn-cs"/>
            </a:defRPr>
          </a:pPr>
        </a:p>
      </c:txPr>
    </c:title>
    <c:autoTitleDeleted val="false"/>
    <c:plotArea>
      <c:layout/>
      <c:pieChart>
        <c:varyColors val="true"/>
        <c:ser>
          <c:idx val="0"/>
          <c:order val="0"/>
          <c:tx>
            <c:strRef>
              <c:f>Sheet1!$B$1</c:f>
              <c:strCache>
                <c:ptCount val="1"/>
                <c:pt idx="0">
                  <c:v>“三公”经费财政拨款支出结构</c:v>
                </c:pt>
              </c:strCache>
            </c:strRef>
          </c:tx>
          <c:explosion val="0"/>
          <c:dPt>
            <c:idx val="0"/>
            <c:bubble3D val="false"/>
          </c:dPt>
          <c:dPt>
            <c:idx val="1"/>
            <c:bubble3D val="false"/>
          </c:dPt>
          <c:dPt>
            <c:idx val="2"/>
            <c:bubble3D val="false"/>
          </c:dPt>
          <c:dPt>
            <c:idx val="3"/>
            <c:bubble3D val="false"/>
          </c:dPt>
          <c:dLbls>
            <c:delete val="true"/>
          </c:dLbls>
          <c:cat>
            <c:strRef>
              <c:f>Sheet1!$A$2:$A$5</c:f>
              <c:strCache>
                <c:ptCount val="4"/>
                <c:pt idx="0">
                  <c:v>公务用车运行维护费</c:v>
                </c:pt>
                <c:pt idx="1">
                  <c:v>公务接待费</c:v>
                </c:pt>
                <c:pt idx="2">
                  <c:v>因公出国（境）经费</c:v>
                </c:pt>
              </c:strCache>
            </c:strRef>
          </c:cat>
          <c:val>
            <c:numRef>
              <c:f>Sheet1!$B$2:$B$5</c:f>
              <c:numCache>
                <c:formatCode>General</c:formatCode>
                <c:ptCount val="4"/>
                <c:pt idx="0">
                  <c:v>0.89</c:v>
                </c:pt>
                <c:pt idx="1">
                  <c:v>0</c:v>
                </c:pt>
                <c:pt idx="2">
                  <c:v>0</c:v>
                </c:pt>
              </c:numCache>
            </c:numRef>
          </c:val>
        </c:ser>
        <c:dLbls>
          <c:showLegendKey val="false"/>
          <c:showVal val="false"/>
          <c:showCatName val="false"/>
          <c:showSerName val="false"/>
          <c:showPercent val="false"/>
          <c:showBubbleSize val="false"/>
          <c:showLeaderLines val="true"/>
        </c:dLbls>
        <c:firstSliceAng val="0"/>
      </c:pieChart>
    </c:plotArea>
    <c:legend>
      <c:legendPos val="r"/>
      <c:legendEntry>
        <c:idx val="3"/>
        <c:delete val="true"/>
      </c:legendEntry>
      <c:layout/>
      <c:overlay val="false"/>
      <c:txPr>
        <a:bodyPr rot="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legend>
    <c:plotVisOnly val="true"/>
    <c:dispBlanksAs val="zero"/>
    <c:showDLblsOverMax val="false"/>
  </c:chart>
  <c:txPr>
    <a:bodyPr/>
    <a:lstStyle/>
    <a:p>
      <a:pPr>
        <a:defRPr lang="zh-CN"/>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17</Pages>
  <Words>4681</Words>
  <Characters>5103</Characters>
  <Lines>38</Lines>
  <Paragraphs>10</Paragraphs>
  <TotalTime>11</TotalTime>
  <ScaleCrop>false</ScaleCrop>
  <LinksUpToDate>false</LinksUpToDate>
  <CharactersWithSpaces>5145</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2025-09-05T09:35:00Z</dcterms:created>
  <dc:creator>Windows User</dc:creator>
  <cp:lastModifiedBy>user</cp:lastModifiedBy>
  <cp:lastPrinted>2025-09-05T16:07:00Z</cp:lastPrinted>
  <dcterms:modified xsi:type="dcterms:W3CDTF">2025-09-16T19:35:31Z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eyJoZGlkIjoiNzg2Yjc4YzgyMjVkYTcwOWY0NGVjNjhmNmE5ODMxYjIifQ==</vt:lpwstr>
  </property>
  <property fmtid="{D5CDD505-2E9C-101B-9397-08002B2CF9AE}" pid="3" name="KSOProductBuildVer">
    <vt:lpwstr>2052-11.8.2.9864</vt:lpwstr>
  </property>
  <property fmtid="{D5CDD505-2E9C-101B-9397-08002B2CF9AE}" pid="4" name="ICV">
    <vt:lpwstr>316EC2EF3E8541BD9BB4815229E8FC0D_12</vt:lpwstr>
  </property>
</Properties>
</file>