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bookmarkStart w:id="0" w:name="_Toc15396475"/>
      <w:bookmarkStart w:id="1" w:name="_Toc15377425"/>
      <w:bookmarkStart w:id="2" w:name="_Toc15378441"/>
      <w:bookmarkStart w:id="3" w:name="_Toc15396597"/>
      <w:bookmarkStart w:id="4" w:name="_Toc15377193"/>
      <w:bookmarkStart w:id="5" w:name="_Toc15306267"/>
    </w:p>
    <w:p>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p>
      <w:pPr>
        <w:pStyle w:val="8"/>
        <w:jc w:val="center"/>
        <w:rPr>
          <w:rFonts w:hint="eastAsia" w:ascii="Times New Roman" w:hAnsi="Times New Roman" w:eastAsia="方正小标宋简体" w:cs="Times New Roman"/>
          <w:color w:val="auto"/>
          <w:kern w:val="2"/>
          <w:sz w:val="44"/>
          <w:szCs w:val="44"/>
          <w:highlight w:val="none"/>
          <w:lang w:val="en-US" w:eastAsia="zh-CN" w:bidi="ar-SA"/>
        </w:rPr>
      </w:pPr>
      <w:bookmarkStart w:id="6" w:name="_Toc15377426"/>
      <w:bookmarkStart w:id="7" w:name="_Toc15377194"/>
      <w:bookmarkStart w:id="8" w:name="_Toc15378442"/>
      <w:bookmarkStart w:id="9" w:name="_Toc15396476"/>
      <w:bookmarkStart w:id="10" w:name="_Toc15396598"/>
      <w:r>
        <w:rPr>
          <w:rFonts w:hint="eastAsia" w:ascii="Times New Roman" w:hAnsi="Times New Roman" w:eastAsia="方正小标宋简体" w:cs="Times New Roman"/>
          <w:color w:val="auto"/>
          <w:kern w:val="2"/>
          <w:sz w:val="44"/>
          <w:szCs w:val="44"/>
          <w:highlight w:val="none"/>
          <w:lang w:val="en-US" w:eastAsia="zh-CN" w:bidi="ar-SA"/>
        </w:rPr>
        <w:t>2024年度</w:t>
      </w:r>
    </w:p>
    <w:p>
      <w:pPr>
        <w:pStyle w:val="8"/>
        <w:jc w:val="center"/>
        <w:rPr>
          <w:rFonts w:hint="eastAsia"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四川省</w:t>
      </w:r>
      <w:bookmarkEnd w:id="5"/>
      <w:bookmarkStart w:id="11" w:name="_Toc15306268"/>
      <w:r>
        <w:rPr>
          <w:rFonts w:hint="eastAsia" w:ascii="Times New Roman" w:eastAsia="方正小标宋简体" w:cs="Times New Roman"/>
          <w:color w:val="auto"/>
          <w:kern w:val="2"/>
          <w:sz w:val="44"/>
          <w:szCs w:val="44"/>
          <w:highlight w:val="none"/>
          <w:lang w:val="en-US" w:eastAsia="zh-CN" w:bidi="ar-SA"/>
        </w:rPr>
        <w:t>攀枝花市建设工程消防和勘察设计技术中心单位</w:t>
      </w:r>
      <w:r>
        <w:rPr>
          <w:rFonts w:hint="eastAsia" w:ascii="Times New Roman" w:hAnsi="Times New Roman" w:eastAsia="方正小标宋简体" w:cs="Times New Roman"/>
          <w:color w:val="auto"/>
          <w:kern w:val="2"/>
          <w:sz w:val="44"/>
          <w:szCs w:val="44"/>
          <w:highlight w:val="none"/>
          <w:lang w:val="en-US" w:eastAsia="zh-CN" w:bidi="ar-SA"/>
        </w:rPr>
        <w:t>决算</w:t>
      </w:r>
      <w:bookmarkEnd w:id="6"/>
      <w:bookmarkEnd w:id="7"/>
      <w:bookmarkEnd w:id="8"/>
      <w:bookmarkEnd w:id="9"/>
      <w:bookmarkEnd w:id="10"/>
      <w:bookmarkEnd w:id="11"/>
    </w:p>
    <w:p>
      <w:pPr>
        <w:widowControl/>
        <w:jc w:val="center"/>
        <w:rPr>
          <w:rFonts w:hint="eastAsia" w:ascii="Times New Roman" w:hAnsi="Times New Roman" w:eastAsia="黑体"/>
          <w:color w:val="auto"/>
          <w:sz w:val="48"/>
          <w:szCs w:val="48"/>
          <w:highlight w:val="none"/>
        </w:rPr>
        <w:sectPr>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p>
    <w:p>
      <w:pPr>
        <w:widowControl/>
        <w:jc w:val="center"/>
        <w:rPr>
          <w:rFonts w:ascii="Times New Roman" w:hAnsi="Times New Roman" w:eastAsia="黑体"/>
          <w:color w:val="auto"/>
          <w:sz w:val="48"/>
          <w:szCs w:val="48"/>
          <w:highlight w:val="none"/>
        </w:rPr>
      </w:pPr>
      <w:r>
        <w:rPr>
          <w:rFonts w:hint="eastAsia" w:ascii="Times New Roman" w:hAnsi="Times New Roman" w:eastAsia="黑体"/>
          <w:color w:val="auto"/>
          <w:sz w:val="48"/>
          <w:szCs w:val="48"/>
          <w:highlight w:val="none"/>
        </w:rPr>
        <w:t>目录</w:t>
      </w:r>
    </w:p>
    <w:p>
      <w:pPr>
        <w:widowControl/>
        <w:jc w:val="center"/>
        <w:rPr>
          <w:rFonts w:ascii="Times New Roman" w:hAnsi="Times New Roman" w:eastAsia="黑体" w:cstheme="minorBidi"/>
          <w:color w:val="auto"/>
          <w:sz w:val="28"/>
          <w:szCs w:val="28"/>
          <w:highlight w:val="none"/>
        </w:rPr>
      </w:pPr>
    </w:p>
    <w:p>
      <w:pPr>
        <w:pStyle w:val="13"/>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17</w:t>
      </w:r>
      <w:r>
        <w:rPr>
          <w:rFonts w:hint="eastAsia" w:ascii="Times New Roman" w:hAnsi="Times New Roman" w:eastAsia="仿宋_GB2312" w:cs="仿宋_GB2312"/>
          <w:color w:val="auto"/>
          <w:sz w:val="32"/>
          <w:szCs w:val="32"/>
          <w:highlight w:val="none"/>
        </w:rPr>
        <w:t>日</w:t>
      </w:r>
    </w:p>
    <w:p>
      <w:pPr>
        <w:rPr>
          <w:rFonts w:ascii="Times New Roman" w:hAnsi="Times New Roman"/>
          <w:color w:val="auto"/>
          <w:highlight w:val="none"/>
        </w:rPr>
      </w:pP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仿宋" w:cs="黑体"/>
          <w:color w:val="auto"/>
          <w:sz w:val="32"/>
          <w:szCs w:val="32"/>
          <w:highlight w:val="none"/>
          <w:lang w:val="en-US" w:eastAsia="zh-CN"/>
        </w:rPr>
      </w:pPr>
      <w:r>
        <w:rPr>
          <w:rFonts w:hint="eastAsia" w:ascii="Times New Roman" w:hAnsi="Times New Roman" w:eastAsia="黑体" w:cs="黑体"/>
          <w:color w:val="auto"/>
          <w:sz w:val="32"/>
          <w:szCs w:val="32"/>
          <w:highlight w:val="none"/>
        </w:rPr>
        <w:t xml:space="preserve">第一部分 </w:t>
      </w:r>
      <w:r>
        <w:rPr>
          <w:rFonts w:hint="eastAsia" w:ascii="Times New Roman" w:hAnsi="Times New Roman" w:eastAsia="黑体" w:cs="黑体"/>
          <w:color w:val="auto"/>
          <w:sz w:val="32"/>
          <w:szCs w:val="32"/>
          <w:highlight w:val="none"/>
          <w:lang w:eastAsia="zh-CN"/>
        </w:rPr>
        <w:t>单位</w:t>
      </w:r>
      <w:r>
        <w:rPr>
          <w:rFonts w:hint="eastAsia" w:ascii="Times New Roman" w:hAnsi="Times New Roman" w:eastAsia="黑体" w:cs="黑体"/>
          <w:color w:val="auto"/>
          <w:sz w:val="32"/>
          <w:szCs w:val="32"/>
          <w:highlight w:val="none"/>
        </w:rPr>
        <w:t>概况</w:t>
      </w:r>
      <w:r>
        <w:rPr>
          <w:sz w:val="24"/>
        </w:rPr>
        <w:tab/>
      </w:r>
      <w:r>
        <w:rPr>
          <w:rFonts w:hint="eastAsia"/>
          <w:sz w:val="24"/>
          <w:lang w:val="en-US" w:eastAsia="zh-CN"/>
        </w:rPr>
        <w:t>3</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一、</w:t>
      </w:r>
      <w:r>
        <w:rPr>
          <w:rFonts w:hint="eastAsia" w:eastAsia="仿宋_GB2312" w:cs="仿宋_GB2312"/>
          <w:color w:val="auto"/>
          <w:sz w:val="32"/>
          <w:szCs w:val="32"/>
          <w:highlight w:val="none"/>
          <w:lang w:eastAsia="zh-CN"/>
        </w:rPr>
        <w:t>单位</w:t>
      </w:r>
      <w:r>
        <w:rPr>
          <w:rFonts w:hint="eastAsia" w:ascii="Times New Roman" w:hAnsi="Times New Roman" w:eastAsia="仿宋_GB2312" w:cs="仿宋_GB2312"/>
          <w:color w:val="auto"/>
          <w:sz w:val="32"/>
          <w:szCs w:val="32"/>
          <w:highlight w:val="none"/>
          <w:lang w:eastAsia="zh-CN"/>
        </w:rPr>
        <w:t>职责</w:t>
      </w:r>
      <w:r>
        <w:rPr>
          <w:sz w:val="24"/>
        </w:rPr>
        <w:tab/>
      </w:r>
      <w:r>
        <w:rPr>
          <w:rFonts w:hint="eastAsia"/>
          <w:sz w:val="24"/>
          <w:lang w:val="en-US" w:eastAsia="zh-CN"/>
        </w:rPr>
        <w:t>3</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二、机构设置</w:t>
      </w:r>
      <w:r>
        <w:rPr>
          <w:sz w:val="24"/>
        </w:rPr>
        <w:tab/>
      </w:r>
      <w:r>
        <w:rPr>
          <w:rFonts w:hint="eastAsia"/>
          <w:sz w:val="24"/>
          <w:lang w:val="en-US" w:eastAsia="zh-CN"/>
        </w:rPr>
        <w:t>3</w:t>
      </w: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仿宋"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第二部分</w:t>
      </w:r>
      <w:r>
        <w:rPr>
          <w:rFonts w:hint="eastAsia" w:ascii="Times New Roman" w:hAnsi="Times New Roman" w:eastAsia="黑体" w:cs="黑体"/>
          <w:color w:val="auto"/>
          <w:sz w:val="32"/>
          <w:szCs w:val="32"/>
          <w:highlight w:val="none"/>
          <w:lang w:val="en-US" w:eastAsia="zh-CN"/>
        </w:rPr>
        <w:t xml:space="preserve"> 2024年度单位</w:t>
      </w:r>
      <w:r>
        <w:rPr>
          <w:rFonts w:hint="eastAsia" w:ascii="Times New Roman" w:hAnsi="Times New Roman" w:eastAsia="黑体" w:cs="黑体"/>
          <w:color w:val="auto"/>
          <w:sz w:val="32"/>
          <w:szCs w:val="32"/>
          <w:highlight w:val="none"/>
        </w:rPr>
        <w:t>决算情况说明</w:t>
      </w:r>
      <w:r>
        <w:rPr>
          <w:sz w:val="24"/>
        </w:rPr>
        <w:tab/>
      </w:r>
      <w:r>
        <w:rPr>
          <w:rFonts w:hint="eastAsia"/>
          <w:sz w:val="24"/>
          <w:lang w:val="en-US" w:eastAsia="zh-CN"/>
        </w:rPr>
        <w:t>4</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一、收入支出决算总体情况说明</w:t>
      </w:r>
      <w:r>
        <w:rPr>
          <w:sz w:val="24"/>
        </w:rPr>
        <w:tab/>
      </w:r>
      <w:r>
        <w:rPr>
          <w:rFonts w:hint="eastAsia"/>
          <w:sz w:val="24"/>
          <w:lang w:val="en-US" w:eastAsia="zh-CN"/>
        </w:rPr>
        <w:t>4</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二、收入决算情况说明</w:t>
      </w:r>
      <w:r>
        <w:rPr>
          <w:sz w:val="24"/>
        </w:rPr>
        <w:tab/>
      </w:r>
      <w:r>
        <w:rPr>
          <w:rFonts w:hint="eastAsia"/>
          <w:sz w:val="24"/>
          <w:lang w:val="en-US" w:eastAsia="zh-CN"/>
        </w:rPr>
        <w:t>4</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三、支出决算情况说明</w:t>
      </w:r>
      <w:r>
        <w:rPr>
          <w:sz w:val="24"/>
        </w:rPr>
        <w:tab/>
      </w:r>
      <w:r>
        <w:rPr>
          <w:rFonts w:hint="eastAsia"/>
          <w:sz w:val="24"/>
          <w:lang w:val="en-US" w:eastAsia="zh-CN"/>
        </w:rPr>
        <w:t>5</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四、财政拨款收入支出决算总体情况说明</w:t>
      </w:r>
      <w:r>
        <w:rPr>
          <w:sz w:val="24"/>
        </w:rPr>
        <w:tab/>
      </w:r>
      <w:r>
        <w:rPr>
          <w:rFonts w:hint="eastAsia"/>
          <w:sz w:val="24"/>
          <w:lang w:val="en-US" w:eastAsia="zh-CN"/>
        </w:rPr>
        <w:t>5</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五、一般公共预算财政拨款支出决算情况说明</w:t>
      </w:r>
      <w:r>
        <w:rPr>
          <w:sz w:val="24"/>
        </w:rPr>
        <w:tab/>
      </w:r>
      <w:r>
        <w:rPr>
          <w:rFonts w:hint="eastAsia"/>
          <w:sz w:val="24"/>
          <w:lang w:val="en-US" w:eastAsia="zh-CN"/>
        </w:rPr>
        <w:t>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六、一般公共预算财政拨款基本支出决算情况说明</w:t>
      </w:r>
      <w:r>
        <w:rPr>
          <w:sz w:val="24"/>
        </w:rPr>
        <w:tab/>
      </w:r>
      <w:r>
        <w:rPr>
          <w:rFonts w:hint="eastAsia"/>
          <w:sz w:val="24"/>
          <w:lang w:val="en-US" w:eastAsia="zh-CN"/>
        </w:rPr>
        <w:t>8</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七、财政拨款</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三公”经费支出决算情况说明</w:t>
      </w:r>
      <w:r>
        <w:rPr>
          <w:sz w:val="24"/>
        </w:rPr>
        <w:tab/>
      </w:r>
      <w:r>
        <w:rPr>
          <w:rFonts w:hint="eastAsia"/>
          <w:sz w:val="24"/>
          <w:lang w:val="en-US" w:eastAsia="zh-CN"/>
        </w:rPr>
        <w:t>9</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八、政府性基金预算支出决算情况说明</w:t>
      </w:r>
      <w:r>
        <w:rPr>
          <w:sz w:val="24"/>
        </w:rPr>
        <w:tab/>
      </w:r>
      <w:r>
        <w:rPr>
          <w:rFonts w:hint="eastAsia"/>
          <w:sz w:val="24"/>
          <w:lang w:val="en-US" w:eastAsia="zh-CN"/>
        </w:rPr>
        <w:t>10</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九、</w:t>
      </w:r>
      <w:r>
        <w:rPr>
          <w:rFonts w:hint="eastAsia" w:ascii="Times New Roman" w:hAnsi="Times New Roman" w:eastAsia="仿宋_GB2312" w:cs="仿宋_GB2312"/>
          <w:color w:val="auto"/>
          <w:sz w:val="32"/>
          <w:szCs w:val="32"/>
          <w:highlight w:val="none"/>
          <w:lang w:eastAsia="zh-CN"/>
        </w:rPr>
        <w:t>国</w:t>
      </w:r>
      <w:r>
        <w:rPr>
          <w:rFonts w:hint="eastAsia" w:ascii="Times New Roman" w:hAnsi="Times New Roman" w:eastAsia="仿宋_GB2312" w:cs="仿宋_GB2312"/>
          <w:color w:val="auto"/>
          <w:sz w:val="32"/>
          <w:szCs w:val="32"/>
          <w:highlight w:val="none"/>
        </w:rPr>
        <w:t>有资本经营预算支出决算情况说明</w:t>
      </w:r>
      <w:r>
        <w:rPr>
          <w:sz w:val="24"/>
        </w:rPr>
        <w:tab/>
      </w:r>
      <w:r>
        <w:rPr>
          <w:rFonts w:hint="eastAsia"/>
          <w:sz w:val="24"/>
          <w:lang w:val="en-US" w:eastAsia="zh-CN"/>
        </w:rPr>
        <w:t>10</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十</w:t>
      </w:r>
      <w:r>
        <w:rPr>
          <w:rFonts w:hint="eastAsia" w:ascii="Times New Roman" w:hAnsi="Times New Roman" w:eastAsia="仿宋_GB2312" w:cs="仿宋_GB2312"/>
          <w:color w:val="auto"/>
          <w:sz w:val="32"/>
          <w:szCs w:val="32"/>
          <w:highlight w:val="none"/>
        </w:rPr>
        <w:t>、其他重要事项的情况说明</w:t>
      </w:r>
      <w:r>
        <w:rPr>
          <w:sz w:val="24"/>
        </w:rPr>
        <w:tab/>
      </w:r>
      <w:r>
        <w:rPr>
          <w:rFonts w:hint="eastAsia"/>
          <w:sz w:val="24"/>
          <w:lang w:val="en-US" w:eastAsia="zh-CN"/>
        </w:rPr>
        <w:t>10</w:t>
      </w: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仿宋"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第三部分 名词解释</w:t>
      </w:r>
      <w:r>
        <w:rPr>
          <w:sz w:val="24"/>
        </w:rPr>
        <w:tab/>
      </w:r>
      <w:r>
        <w:rPr>
          <w:rFonts w:hint="eastAsia"/>
          <w:sz w:val="24"/>
          <w:lang w:val="en-US" w:eastAsia="zh-CN"/>
        </w:rPr>
        <w:t>12</w:t>
      </w: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w:t>
      </w:r>
      <w:r>
        <w:rPr>
          <w:rFonts w:hint="eastAsia" w:ascii="Times New Roman" w:hAnsi="Times New Roman" w:eastAsia="黑体" w:cs="黑体"/>
          <w:color w:val="auto"/>
          <w:sz w:val="32"/>
          <w:szCs w:val="32"/>
          <w:highlight w:val="none"/>
          <w:lang w:eastAsia="zh-CN"/>
        </w:rPr>
        <w:t>四</w:t>
      </w:r>
      <w:r>
        <w:rPr>
          <w:rFonts w:hint="eastAsia" w:ascii="Times New Roman" w:hAnsi="Times New Roman" w:eastAsia="黑体" w:cs="黑体"/>
          <w:color w:val="auto"/>
          <w:sz w:val="32"/>
          <w:szCs w:val="32"/>
          <w:highlight w:val="none"/>
        </w:rPr>
        <w:t>部分 附</w:t>
      </w:r>
      <w:r>
        <w:rPr>
          <w:rFonts w:hint="eastAsia" w:ascii="Times New Roman" w:hAnsi="Times New Roman" w:eastAsia="黑体" w:cs="黑体"/>
          <w:color w:val="auto"/>
          <w:sz w:val="32"/>
          <w:szCs w:val="32"/>
          <w:highlight w:val="none"/>
          <w:lang w:eastAsia="zh-CN"/>
        </w:rPr>
        <w:t>件</w:t>
      </w:r>
      <w:r>
        <w:rPr>
          <w:sz w:val="24"/>
        </w:rPr>
        <w:tab/>
      </w:r>
      <w:r>
        <w:rPr>
          <w:rFonts w:hint="eastAsia"/>
          <w:sz w:val="24"/>
          <w:lang w:val="en-US" w:eastAsia="zh-CN"/>
        </w:rPr>
        <w:t>15</w:t>
      </w: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仿宋"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w:t>
      </w:r>
      <w:r>
        <w:rPr>
          <w:rFonts w:hint="eastAsia" w:ascii="Times New Roman" w:hAnsi="Times New Roman" w:eastAsia="黑体" w:cs="黑体"/>
          <w:color w:val="auto"/>
          <w:sz w:val="32"/>
          <w:szCs w:val="32"/>
          <w:highlight w:val="none"/>
          <w:lang w:eastAsia="zh-CN"/>
        </w:rPr>
        <w:t>四</w:t>
      </w:r>
      <w:r>
        <w:rPr>
          <w:rFonts w:hint="eastAsia" w:ascii="Times New Roman" w:hAnsi="Times New Roman" w:eastAsia="黑体" w:cs="黑体"/>
          <w:color w:val="auto"/>
          <w:sz w:val="32"/>
          <w:szCs w:val="32"/>
          <w:highlight w:val="none"/>
        </w:rPr>
        <w:t>部分 附表</w:t>
      </w:r>
      <w:r>
        <w:rPr>
          <w:sz w:val="24"/>
        </w:rPr>
        <w:tab/>
      </w:r>
      <w:r>
        <w:rPr>
          <w:rFonts w:hint="eastAsia"/>
          <w:sz w:val="24"/>
          <w:lang w:val="en-US" w:eastAsia="zh-CN"/>
        </w:rPr>
        <w:t>16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一、收入支出决算总表</w:t>
      </w:r>
      <w:r>
        <w:rPr>
          <w:sz w:val="24"/>
        </w:rPr>
        <w:tab/>
      </w:r>
      <w:r>
        <w:rPr>
          <w:rFonts w:hint="eastAsia"/>
          <w:sz w:val="24"/>
          <w:lang w:val="en-US" w:eastAsia="zh-CN"/>
        </w:rPr>
        <w:t>16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二、收入决算表</w:t>
      </w:r>
      <w:r>
        <w:rPr>
          <w:sz w:val="24"/>
        </w:rPr>
        <w:tab/>
      </w:r>
      <w:r>
        <w:rPr>
          <w:rFonts w:hint="eastAsia"/>
          <w:sz w:val="24"/>
          <w:lang w:val="en-US" w:eastAsia="zh-CN"/>
        </w:rPr>
        <w:t>16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三、支出决算表</w:t>
      </w:r>
      <w:r>
        <w:rPr>
          <w:sz w:val="24"/>
        </w:rPr>
        <w:tab/>
      </w:r>
      <w:r>
        <w:rPr>
          <w:rFonts w:hint="eastAsia"/>
          <w:sz w:val="24"/>
          <w:lang w:val="en-US" w:eastAsia="zh-CN"/>
        </w:rPr>
        <w:t>16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四、财政拨款收入支出决算总表</w:t>
      </w:r>
      <w:r>
        <w:rPr>
          <w:sz w:val="24"/>
        </w:rPr>
        <w:tab/>
      </w:r>
      <w:r>
        <w:rPr>
          <w:rFonts w:hint="eastAsia"/>
          <w:sz w:val="24"/>
          <w:lang w:val="en-US" w:eastAsia="zh-CN"/>
        </w:rPr>
        <w:t>16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五、财政拨款支出决算明细表</w:t>
      </w:r>
      <w:r>
        <w:rPr>
          <w:sz w:val="24"/>
        </w:rPr>
        <w:tab/>
      </w:r>
      <w:r>
        <w:rPr>
          <w:rFonts w:hint="eastAsia"/>
          <w:sz w:val="24"/>
          <w:lang w:val="en-US" w:eastAsia="zh-CN"/>
        </w:rPr>
        <w:t>16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六、一般公共预算财政拨款支出决算表</w:t>
      </w:r>
      <w:r>
        <w:rPr>
          <w:sz w:val="24"/>
        </w:rPr>
        <w:tab/>
      </w:r>
      <w:r>
        <w:rPr>
          <w:rFonts w:hint="eastAsia"/>
          <w:sz w:val="24"/>
          <w:lang w:val="en-US" w:eastAsia="zh-CN"/>
        </w:rPr>
        <w:t>16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七、一般公共预算财政拨款支出决算明细表</w:t>
      </w:r>
      <w:r>
        <w:rPr>
          <w:sz w:val="24"/>
        </w:rPr>
        <w:tab/>
      </w:r>
      <w:r>
        <w:rPr>
          <w:rFonts w:hint="eastAsia"/>
          <w:sz w:val="24"/>
          <w:lang w:val="en-US" w:eastAsia="zh-CN"/>
        </w:rPr>
        <w:t>16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八、一般公共预算财政拨款基本支出决算</w:t>
      </w:r>
      <w:r>
        <w:rPr>
          <w:rFonts w:hint="eastAsia" w:ascii="Times New Roman" w:hAnsi="Times New Roman" w:eastAsia="仿宋_GB2312" w:cs="仿宋_GB2312"/>
          <w:color w:val="auto"/>
          <w:sz w:val="32"/>
          <w:szCs w:val="32"/>
          <w:highlight w:val="none"/>
          <w:lang w:eastAsia="zh-CN"/>
        </w:rPr>
        <w:t>明细</w:t>
      </w:r>
      <w:r>
        <w:rPr>
          <w:rFonts w:hint="eastAsia" w:ascii="Times New Roman" w:hAnsi="Times New Roman" w:eastAsia="仿宋_GB2312" w:cs="仿宋_GB2312"/>
          <w:color w:val="auto"/>
          <w:sz w:val="32"/>
          <w:szCs w:val="32"/>
          <w:highlight w:val="none"/>
        </w:rPr>
        <w:t>表</w:t>
      </w:r>
      <w:r>
        <w:rPr>
          <w:sz w:val="24"/>
        </w:rPr>
        <w:tab/>
      </w:r>
      <w:r>
        <w:rPr>
          <w:rFonts w:hint="eastAsia"/>
          <w:sz w:val="24"/>
          <w:lang w:val="en-US" w:eastAsia="zh-CN"/>
        </w:rPr>
        <w:t>16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九、一般公共预算财政拨款项目支出决算表</w:t>
      </w:r>
      <w:r>
        <w:rPr>
          <w:sz w:val="24"/>
        </w:rPr>
        <w:tab/>
      </w:r>
      <w:r>
        <w:rPr>
          <w:rFonts w:hint="eastAsia"/>
          <w:sz w:val="24"/>
          <w:lang w:val="en-US" w:eastAsia="zh-CN"/>
        </w:rPr>
        <w:t>16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十、政府性基金预算财政拨款收入支出决算表</w:t>
      </w:r>
      <w:r>
        <w:rPr>
          <w:sz w:val="24"/>
        </w:rPr>
        <w:tab/>
      </w:r>
      <w:r>
        <w:rPr>
          <w:rFonts w:hint="eastAsia"/>
          <w:sz w:val="24"/>
          <w:lang w:val="en-US" w:eastAsia="zh-CN"/>
        </w:rPr>
        <w:t>16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十一、国有资本经营预算财政拨款收入支出决算表</w:t>
      </w:r>
      <w:r>
        <w:rPr>
          <w:sz w:val="24"/>
        </w:rPr>
        <w:tab/>
      </w:r>
      <w:r>
        <w:rPr>
          <w:rFonts w:hint="eastAsia"/>
          <w:sz w:val="24"/>
          <w:lang w:val="en-US" w:eastAsia="zh-CN"/>
        </w:rPr>
        <w:t>16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十二、</w:t>
      </w:r>
      <w:r>
        <w:rPr>
          <w:rFonts w:hint="eastAsia" w:ascii="Times New Roman" w:hAnsi="Times New Roman" w:eastAsia="仿宋_GB2312" w:cs="仿宋_GB2312"/>
          <w:color w:val="auto"/>
          <w:sz w:val="32"/>
          <w:szCs w:val="32"/>
          <w:highlight w:val="none"/>
          <w:lang w:val="en-US" w:eastAsia="zh-CN"/>
        </w:rPr>
        <w:t>国有资本经营预算财政拨款支出决算表</w:t>
      </w:r>
      <w:r>
        <w:rPr>
          <w:sz w:val="24"/>
        </w:rPr>
        <w:tab/>
      </w:r>
      <w:r>
        <w:rPr>
          <w:rFonts w:hint="eastAsia"/>
          <w:sz w:val="24"/>
          <w:lang w:val="en-US" w:eastAsia="zh-CN"/>
        </w:rPr>
        <w:t>16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十三、财政拨款“三公”经费支出决算表</w:t>
      </w:r>
      <w:r>
        <w:rPr>
          <w:sz w:val="24"/>
        </w:rPr>
        <w:tab/>
      </w:r>
      <w:r>
        <w:rPr>
          <w:rFonts w:hint="eastAsia"/>
          <w:sz w:val="24"/>
          <w:lang w:val="en-US" w:eastAsia="zh-CN"/>
        </w:rPr>
        <w:t>16</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Times New Roman" w:hAnsi="Times New Roman" w:eastAsia="仿宋_GB2312" w:cs="仿宋_GB2312"/>
          <w:bCs/>
          <w:color w:val="auto"/>
          <w:kern w:val="44"/>
          <w:sz w:val="32"/>
          <w:szCs w:val="32"/>
          <w:highlight w:val="none"/>
        </w:rPr>
      </w:pPr>
      <w:bookmarkStart w:id="12" w:name="_Toc15377196"/>
      <w:bookmarkStart w:id="13" w:name="_Toc15396599"/>
      <w:r>
        <w:rPr>
          <w:rFonts w:hint="eastAsia" w:ascii="Times New Roman" w:hAnsi="Times New Roman" w:eastAsia="仿宋_GB2312" w:cs="仿宋_GB2312"/>
          <w:b/>
          <w:color w:val="auto"/>
          <w:sz w:val="32"/>
          <w:szCs w:val="32"/>
          <w:highlight w:val="none"/>
        </w:rPr>
        <w:br w:type="page"/>
      </w:r>
    </w:p>
    <w:p>
      <w:pPr>
        <w:pStyle w:val="5"/>
        <w:jc w:val="center"/>
        <w:rPr>
          <w:rStyle w:val="28"/>
          <w:rFonts w:hint="eastAsia" w:ascii="Times New Roman" w:hAnsi="Times New Roman" w:eastAsia="方正小标宋简体" w:cs="方正小标宋简体"/>
          <w:b/>
          <w:bCs w:val="0"/>
          <w:color w:val="auto"/>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eastAsia="方正小标宋简体" w:cs="方正小标宋简体"/>
          <w:b w:val="0"/>
          <w:color w:val="auto"/>
          <w:highlight w:val="none"/>
          <w:lang w:eastAsia="zh-CN"/>
        </w:rPr>
        <w:t>单位</w:t>
      </w:r>
      <w:r>
        <w:rPr>
          <w:rStyle w:val="28"/>
          <w:rFonts w:hint="eastAsia" w:ascii="Times New Roman" w:hAnsi="Times New Roman" w:eastAsia="方正小标宋简体" w:cs="方正小标宋简体"/>
          <w:b w:val="0"/>
          <w:bCs w:val="0"/>
          <w:color w:val="auto"/>
          <w:highlight w:val="none"/>
        </w:rPr>
        <w:t>概况</w:t>
      </w:r>
      <w:bookmarkEnd w:id="12"/>
      <w:bookmarkEnd w:id="13"/>
    </w:p>
    <w:p>
      <w:pPr>
        <w:widowControl/>
        <w:jc w:val="left"/>
        <w:rPr>
          <w:rFonts w:ascii="Times New Roman" w:hAnsi="Times New Roman" w:eastAsia="黑体"/>
          <w:color w:val="auto"/>
          <w:sz w:val="32"/>
          <w:szCs w:val="32"/>
          <w:highlight w:val="none"/>
        </w:rPr>
      </w:pPr>
    </w:p>
    <w:p>
      <w:pPr>
        <w:pStyle w:val="6"/>
        <w:rPr>
          <w:rFonts w:hint="eastAsia" w:ascii="Times New Roman" w:hAnsi="Times New Roman" w:eastAsia="黑体"/>
          <w:b w:val="0"/>
          <w:color w:val="auto"/>
          <w:highlight w:val="none"/>
          <w:lang w:eastAsia="zh-CN"/>
        </w:rPr>
      </w:pPr>
      <w:bookmarkStart w:id="14" w:name="_Toc15396600"/>
      <w:bookmarkStart w:id="15" w:name="_Toc15377197"/>
      <w:r>
        <w:rPr>
          <w:rFonts w:hint="eastAsia" w:ascii="Times New Roman" w:hAnsi="Times New Roman" w:eastAsia="黑体"/>
          <w:b w:val="0"/>
          <w:color w:val="auto"/>
          <w:highlight w:val="none"/>
        </w:rPr>
        <w:t>一、</w:t>
      </w:r>
      <w:bookmarkEnd w:id="14"/>
      <w:bookmarkEnd w:id="15"/>
      <w:r>
        <w:rPr>
          <w:rFonts w:hint="eastAsia" w:ascii="Times New Roman" w:hAnsi="Times New Roman" w:eastAsia="黑体"/>
          <w:b w:val="0"/>
          <w:color w:val="auto"/>
          <w:highlight w:val="none"/>
          <w:lang w:eastAsia="zh-CN"/>
        </w:rPr>
        <w:t>单位职责</w:t>
      </w:r>
    </w:p>
    <w:p>
      <w:pPr>
        <w:pStyle w:val="8"/>
        <w:adjustRightInd w:val="0"/>
        <w:spacing w:before="93" w:beforeLines="0" w:line="580" w:lineRule="exact"/>
        <w:ind w:firstLine="668" w:firstLineChars="209"/>
        <w:rPr>
          <w:rFonts w:hint="eastAsia" w:ascii="Times New Roman" w:hAnsi="Times New Roman" w:eastAsia="仿宋_GB2312" w:cs="仿宋_GB2312"/>
          <w:color w:val="auto"/>
          <w:sz w:val="32"/>
          <w:szCs w:val="32"/>
          <w:highlight w:val="none"/>
          <w:lang w:eastAsia="zh-CN"/>
        </w:rPr>
      </w:pPr>
      <w:r>
        <w:rPr>
          <w:rFonts w:hint="eastAsia" w:ascii="Times New Roman" w:hAnsi="Times New Roman" w:cs="仿宋_GB2312"/>
          <w:sz w:val="32"/>
          <w:szCs w:val="32"/>
          <w:lang w:eastAsia="zh-CN"/>
        </w:rPr>
        <w:t>四川省</w:t>
      </w:r>
      <w:r>
        <w:rPr>
          <w:rFonts w:hint="eastAsia" w:ascii="Times New Roman" w:hAnsi="Times New Roman" w:cs="仿宋_GB2312"/>
          <w:sz w:val="32"/>
          <w:szCs w:val="32"/>
        </w:rPr>
        <w:t>攀枝花市建设工程消防和勘察设计技术中心为全市建设工程勘察设计和建设工程消防设计审查等提供技术服务，为全市建筑抗震设防、勘察设计文件质量和房屋安全检查、鉴定和事故调查、认定等提供技术支持，负责全市建设工程技术专家库管理工作。</w:t>
      </w:r>
    </w:p>
    <w:p>
      <w:pPr>
        <w:pStyle w:val="6"/>
        <w:rPr>
          <w:rStyle w:val="29"/>
          <w:rFonts w:ascii="Times New Roman" w:hAnsi="Times New Roman"/>
          <w:b w:val="0"/>
          <w:bCs w:val="0"/>
          <w:color w:val="auto"/>
          <w:highlight w:val="none"/>
        </w:rPr>
      </w:pPr>
      <w:bookmarkStart w:id="16" w:name="_Toc15396601"/>
      <w:bookmarkStart w:id="17" w:name="_Toc15377200"/>
      <w:r>
        <w:rPr>
          <w:rFonts w:hint="eastAsia" w:ascii="Times New Roman" w:hAnsi="Times New Roman" w:eastAsia="黑体"/>
          <w:b w:val="0"/>
          <w:color w:val="auto"/>
          <w:highlight w:val="none"/>
        </w:rPr>
        <w:t>二、机</w:t>
      </w:r>
      <w:r>
        <w:rPr>
          <w:rStyle w:val="29"/>
          <w:rFonts w:hint="eastAsia" w:ascii="Times New Roman" w:hAnsi="Times New Roman" w:eastAsia="黑体"/>
          <w:b w:val="0"/>
          <w:bCs w:val="0"/>
          <w:color w:val="auto"/>
          <w:highlight w:val="none"/>
        </w:rPr>
        <w:t>构设置</w:t>
      </w:r>
      <w:bookmarkEnd w:id="16"/>
      <w:bookmarkEnd w:id="17"/>
    </w:p>
    <w:p>
      <w:pPr>
        <w:ind w:firstLine="800" w:firstLineChars="25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四川省</w:t>
      </w:r>
      <w:r>
        <w:rPr>
          <w:rFonts w:hint="eastAsia" w:ascii="仿宋_GB2312" w:hAnsi="仿宋_GB2312" w:eastAsia="仿宋_GB2312" w:cs="仿宋_GB2312"/>
          <w:color w:val="auto"/>
          <w:sz w:val="32"/>
          <w:szCs w:val="32"/>
          <w:highlight w:val="none"/>
        </w:rPr>
        <w:t>攀枝花市建设工程消防和勘察设计技术中心</w:t>
      </w:r>
      <w:r>
        <w:rPr>
          <w:rFonts w:hint="eastAsia" w:ascii="仿宋_GB2312" w:hAnsi="仿宋_GB2312" w:eastAsia="仿宋_GB2312" w:cs="仿宋_GB2312"/>
          <w:sz w:val="32"/>
          <w:szCs w:val="32"/>
        </w:rPr>
        <w:t>为攀枝花市住房和城乡建设局所属的公益一类</w:t>
      </w:r>
      <w:r>
        <w:rPr>
          <w:rFonts w:hint="eastAsia" w:ascii="仿宋_GB2312" w:hAnsi="仿宋_GB2312" w:eastAsia="仿宋_GB2312" w:cs="仿宋_GB2312"/>
          <w:sz w:val="32"/>
          <w:szCs w:val="32"/>
          <w:lang w:eastAsia="zh-CN"/>
        </w:rPr>
        <w:t>科级</w:t>
      </w:r>
      <w:r>
        <w:rPr>
          <w:rFonts w:hint="eastAsia" w:ascii="仿宋_GB2312" w:hAnsi="仿宋_GB2312" w:eastAsia="仿宋_GB2312" w:cs="仿宋_GB2312"/>
          <w:sz w:val="32"/>
          <w:szCs w:val="32"/>
        </w:rPr>
        <w:t>事业单位。</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color w:val="auto"/>
          <w:sz w:val="32"/>
          <w:szCs w:val="32"/>
          <w:highlight w:val="none"/>
        </w:rPr>
        <w:t>下属二级</w:t>
      </w:r>
      <w:r>
        <w:rPr>
          <w:rFonts w:hint="eastAsia" w:ascii="仿宋_GB2312" w:hAnsi="仿宋_GB2312" w:eastAsia="仿宋_GB2312" w:cs="仿宋_GB2312"/>
          <w:color w:val="auto"/>
          <w:sz w:val="32"/>
          <w:szCs w:val="32"/>
          <w:highlight w:val="none"/>
          <w:lang w:eastAsia="zh-CN"/>
        </w:rPr>
        <w:t>预算</w:t>
      </w:r>
      <w:r>
        <w:rPr>
          <w:rFonts w:hint="eastAsia" w:ascii="仿宋_GB2312" w:hAnsi="仿宋_GB2312" w:eastAsia="仿宋_GB2312" w:cs="仿宋_GB2312"/>
          <w:color w:val="auto"/>
          <w:sz w:val="32"/>
          <w:szCs w:val="32"/>
          <w:highlight w:val="none"/>
        </w:rPr>
        <w:t>单位。</w:t>
      </w:r>
    </w:p>
    <w:p>
      <w:pPr>
        <w:widowControl/>
        <w:jc w:val="left"/>
        <w:rPr>
          <w:rFonts w:ascii="Times New Roman" w:hAnsi="Times New Roman" w:eastAsia="仿宋"/>
          <w:color w:val="auto"/>
          <w:kern w:val="0"/>
          <w:sz w:val="32"/>
          <w:szCs w:val="32"/>
          <w:highlight w:val="none"/>
        </w:rPr>
      </w:pPr>
      <w:r>
        <w:rPr>
          <w:rFonts w:ascii="Times New Roman" w:hAnsi="Times New Roman" w:eastAsia="仿宋"/>
          <w:color w:val="auto"/>
          <w:sz w:val="32"/>
          <w:szCs w:val="32"/>
          <w:highlight w:val="none"/>
        </w:rPr>
        <w:br w:type="page"/>
      </w:r>
    </w:p>
    <w:p>
      <w:pPr>
        <w:pStyle w:val="5"/>
        <w:jc w:val="center"/>
        <w:rPr>
          <w:rFonts w:hint="eastAsia" w:ascii="Times New Roman" w:hAnsi="Times New Roman" w:eastAsia="方正小标宋简体" w:cs="方正小标宋简体"/>
          <w:b w:val="0"/>
          <w:color w:val="auto"/>
          <w:highlight w:val="none"/>
        </w:rPr>
      </w:pPr>
      <w:bookmarkStart w:id="18" w:name="_Toc15396602"/>
      <w:bookmarkStart w:id="19" w:name="_Toc15377204"/>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eastAsia="方正小标宋简体" w:cs="方正小标宋简体"/>
          <w:b w:val="0"/>
          <w:color w:val="auto"/>
          <w:highlight w:val="none"/>
          <w:lang w:val="en-US" w:eastAsia="zh-CN"/>
        </w:rPr>
        <w:t>单位</w:t>
      </w:r>
      <w:r>
        <w:rPr>
          <w:rFonts w:hint="eastAsia" w:ascii="Times New Roman" w:hAnsi="Times New Roman" w:eastAsia="方正小标宋简体" w:cs="方正小标宋简体"/>
          <w:b w:val="0"/>
          <w:color w:val="auto"/>
          <w:highlight w:val="none"/>
        </w:rPr>
        <w:t>决算情况说明</w:t>
      </w:r>
      <w:bookmarkEnd w:id="18"/>
      <w:bookmarkEnd w:id="19"/>
    </w:p>
    <w:p>
      <w:pPr>
        <w:rPr>
          <w:rFonts w:ascii="Times New Roman" w:hAnsi="Times New Roman"/>
          <w:color w:val="auto"/>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bookmarkStart w:id="20" w:name="_Toc15396603"/>
      <w:bookmarkStart w:id="21" w:name="_Toc15377205"/>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29"/>
          <w:rFonts w:hint="eastAsia" w:ascii="Times New Roman" w:hAnsi="Times New Roman" w:eastAsia="黑体"/>
          <w:b w:val="0"/>
          <w:color w:val="auto"/>
          <w:highlight w:val="none"/>
        </w:rPr>
        <w:t>入支出决算总体情况说明</w:t>
      </w:r>
      <w:bookmarkEnd w:id="20"/>
      <w:bookmarkEnd w:id="21"/>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2024年度收入</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总计</w:t>
      </w:r>
      <w:r>
        <w:rPr>
          <w:rFonts w:hint="eastAsia" w:ascii="仿宋_GB2312" w:hAnsi="仿宋_GB2312" w:eastAsia="仿宋_GB2312" w:cs="仿宋_GB2312"/>
          <w:color w:val="auto"/>
          <w:sz w:val="32"/>
          <w:szCs w:val="32"/>
          <w:highlight w:val="none"/>
          <w:lang w:eastAsia="zh-CN"/>
        </w:rPr>
        <w:t>均为</w:t>
      </w:r>
      <w:r>
        <w:rPr>
          <w:rFonts w:hint="eastAsia" w:ascii="仿宋_GB2312" w:hAnsi="仿宋_GB2312" w:eastAsia="仿宋_GB2312" w:cs="仿宋_GB2312"/>
          <w:sz w:val="32"/>
          <w:szCs w:val="32"/>
        </w:rPr>
        <w:t>176.11</w:t>
      </w:r>
      <w:r>
        <w:rPr>
          <w:rFonts w:hint="eastAsia" w:ascii="仿宋_GB2312" w:hAnsi="仿宋_GB2312" w:eastAsia="仿宋_GB2312" w:cs="仿宋_GB2312"/>
          <w:color w:val="auto"/>
          <w:sz w:val="32"/>
          <w:szCs w:val="32"/>
          <w:highlight w:val="none"/>
        </w:rPr>
        <w:t>万元。与</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rPr>
        <w:t>相比，</w:t>
      </w:r>
      <w:r>
        <w:rPr>
          <w:rFonts w:hint="eastAsia" w:ascii="仿宋_GB2312" w:hAnsi="仿宋_GB2312" w:eastAsia="仿宋_GB2312" w:cs="仿宋_GB2312"/>
          <w:color w:val="auto"/>
          <w:sz w:val="32"/>
          <w:szCs w:val="32"/>
          <w:highlight w:val="none"/>
          <w:lang w:eastAsia="zh-CN"/>
        </w:rPr>
        <w:t>收入</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总计各增加</w:t>
      </w:r>
      <w:r>
        <w:rPr>
          <w:rFonts w:hint="eastAsia" w:ascii="仿宋_GB2312" w:hAnsi="仿宋_GB2312" w:eastAsia="仿宋_GB2312" w:cs="仿宋_GB2312"/>
          <w:color w:val="auto"/>
          <w:sz w:val="32"/>
          <w:szCs w:val="32"/>
          <w:highlight w:val="none"/>
          <w:lang w:val="en-US" w:eastAsia="zh-CN"/>
        </w:rPr>
        <w:t>14.31</w:t>
      </w:r>
      <w:r>
        <w:rPr>
          <w:rFonts w:hint="eastAsia" w:ascii="仿宋_GB2312" w:hAnsi="仿宋_GB2312" w:eastAsia="仿宋_GB2312" w:cs="仿宋_GB2312"/>
          <w:color w:val="auto"/>
          <w:sz w:val="32"/>
          <w:szCs w:val="32"/>
          <w:highlight w:val="none"/>
        </w:rPr>
        <w:t>万元，增长</w:t>
      </w:r>
      <w:r>
        <w:rPr>
          <w:rFonts w:hint="eastAsia" w:ascii="仿宋_GB2312" w:hAnsi="仿宋_GB2312" w:eastAsia="仿宋_GB2312" w:cs="仿宋_GB2312"/>
          <w:color w:val="auto"/>
          <w:sz w:val="32"/>
          <w:szCs w:val="32"/>
          <w:highlight w:val="none"/>
          <w:lang w:val="en-US" w:eastAsia="zh-CN"/>
        </w:rPr>
        <w:t>8.84</w:t>
      </w:r>
      <w:r>
        <w:rPr>
          <w:rFonts w:hint="eastAsia" w:ascii="仿宋_GB2312" w:hAnsi="仿宋_GB2312" w:eastAsia="仿宋_GB2312" w:cs="仿宋_GB2312"/>
          <w:color w:val="auto"/>
          <w:sz w:val="32"/>
          <w:szCs w:val="32"/>
          <w:highlight w:val="none"/>
        </w:rPr>
        <w:t>%。主要变动原因是</w:t>
      </w:r>
      <w:r>
        <w:rPr>
          <w:rFonts w:hint="eastAsia" w:ascii="仿宋_GB2312" w:hAnsi="仿宋_GB2312" w:eastAsia="仿宋_GB2312" w:cs="仿宋_GB2312"/>
          <w:color w:val="auto"/>
          <w:sz w:val="32"/>
          <w:szCs w:val="32"/>
          <w:highlight w:val="none"/>
          <w:lang w:eastAsia="zh-CN"/>
        </w:rPr>
        <w:t>单位人员增加</w:t>
      </w:r>
      <w:r>
        <w:rPr>
          <w:rFonts w:hint="eastAsia" w:ascii="仿宋_GB2312" w:hAnsi="仿宋_GB2312" w:eastAsia="仿宋_GB2312" w:cs="仿宋_GB2312"/>
          <w:sz w:val="32"/>
          <w:szCs w:val="32"/>
        </w:rPr>
        <w:t>，人员经费增加。</w:t>
      </w:r>
    </w:p>
    <w:p>
      <w:pPr>
        <w:keepNext w:val="0"/>
        <w:keepLines w:val="0"/>
        <w:pageBreakBefore w:val="0"/>
        <w:widowControl w:val="0"/>
        <w:kinsoku/>
        <w:wordWrap/>
        <w:overflowPunct/>
        <w:topLinePunct w:val="0"/>
        <w:autoSpaceDE/>
        <w:autoSpaceDN/>
        <w:bidi w:val="0"/>
        <w:adjustRightInd/>
        <w:snapToGrid/>
        <w:jc w:val="center"/>
        <w:textAlignment w:val="auto"/>
      </w:pPr>
      <w:r>
        <w:drawing>
          <wp:inline distT="0" distB="0" distL="114300" distR="114300">
            <wp:extent cx="3819525" cy="2162175"/>
            <wp:effectExtent l="5080" t="4445" r="4445" b="5080"/>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w:t>
      </w:r>
      <w:r>
        <w:rPr>
          <w:rFonts w:hint="eastAsia"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rPr>
        <w:t>单位:万元</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22" w:name="_Toc15396604"/>
      <w:bookmarkStart w:id="23" w:name="_Toc15377206"/>
      <w:r>
        <w:rPr>
          <w:rFonts w:hint="eastAsia" w:ascii="Times New Roman" w:hAnsi="Times New Roman" w:eastAsia="黑体"/>
          <w:color w:val="auto"/>
          <w:sz w:val="32"/>
          <w:szCs w:val="32"/>
          <w:highlight w:val="none"/>
          <w:lang w:eastAsia="zh-CN"/>
        </w:rPr>
        <w:t>二、收入决算情况说明</w:t>
      </w:r>
      <w:bookmarkEnd w:id="22"/>
      <w:bookmarkEnd w:id="23"/>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Times New Roman" w:hAnsi="Times New Roman" w:eastAsia="仿宋_GB2312" w:cs="仿宋_GB2312"/>
          <w:b/>
          <w:bCs/>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rPr>
        <w:t>176.11万元，其中：一般公共预算财政拨款收入176.11</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sz w:val="32"/>
          <w:szCs w:val="32"/>
          <w:highlight w:val="none"/>
          <w:lang w:eastAsia="zh-CN"/>
        </w:rPr>
        <w:t>%。</w:t>
      </w:r>
    </w:p>
    <w:p>
      <w:pPr>
        <w:jc w:val="center"/>
        <w:rPr>
          <w:rFonts w:hint="eastAsia" w:ascii="Times New Roman" w:hAnsi="Times New Roman" w:eastAsia="仿宋_GB2312" w:cs="仿宋_GB2312"/>
          <w:color w:val="auto"/>
          <w:sz w:val="32"/>
          <w:szCs w:val="32"/>
          <w:highlight w:val="none"/>
          <w:lang w:eastAsia="zh-CN"/>
        </w:rPr>
      </w:pPr>
      <w:r>
        <w:drawing>
          <wp:inline distT="0" distB="0" distL="114300" distR="114300">
            <wp:extent cx="3295650" cy="2133600"/>
            <wp:effectExtent l="4445" t="4445" r="14605" b="14605"/>
            <wp:docPr id="102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jc w:val="center"/>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图2：收入决算结构图</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bookmarkStart w:id="24" w:name="_Toc15377207"/>
      <w:bookmarkStart w:id="25" w:name="_Toc15396605"/>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29"/>
          <w:rFonts w:hint="eastAsia" w:ascii="Times New Roman" w:hAnsi="Times New Roman" w:eastAsia="黑体"/>
          <w:b w:val="0"/>
          <w:color w:val="auto"/>
          <w:highlight w:val="none"/>
        </w:rPr>
        <w:t>出决算情况说明</w:t>
      </w:r>
      <w:bookmarkEnd w:id="24"/>
      <w:bookmarkEnd w:id="25"/>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2024年度本年支出合计</w:t>
      </w:r>
      <w:r>
        <w:rPr>
          <w:rFonts w:hint="eastAsia" w:ascii="仿宋_GB2312" w:hAnsi="仿宋_GB2312" w:eastAsia="仿宋_GB2312" w:cs="仿宋_GB2312"/>
          <w:sz w:val="32"/>
          <w:szCs w:val="32"/>
        </w:rPr>
        <w:t>176.11</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sz w:val="32"/>
          <w:szCs w:val="32"/>
        </w:rPr>
        <w:t>168.39</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95.6</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sz w:val="32"/>
          <w:szCs w:val="32"/>
        </w:rPr>
        <w:t>7.72</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4.38</w:t>
      </w:r>
      <w:r>
        <w:rPr>
          <w:rFonts w:hint="eastAsia" w:ascii="仿宋_GB2312" w:hAnsi="仿宋_GB2312" w:eastAsia="仿宋_GB2312" w:cs="仿宋_GB2312"/>
          <w:color w:val="auto"/>
          <w:sz w:val="32"/>
          <w:szCs w:val="32"/>
          <w:highlight w:val="none"/>
          <w:lang w:eastAsia="zh-CN"/>
        </w:rPr>
        <w:t>%。</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1"/>
        <w:rPr>
          <w:rFonts w:hint="eastAsia" w:ascii="仿宋_GB2312" w:hAnsi="仿宋_GB2312" w:eastAsia="仿宋_GB2312" w:cs="仿宋_GB2312"/>
          <w:color w:val="auto"/>
          <w:sz w:val="32"/>
          <w:szCs w:val="32"/>
          <w:highlight w:val="none"/>
          <w:lang w:eastAsia="zh-CN"/>
        </w:rPr>
      </w:pPr>
      <w:r>
        <w:drawing>
          <wp:inline distT="0" distB="0" distL="114300" distR="114300">
            <wp:extent cx="3238500" cy="1857375"/>
            <wp:effectExtent l="4445" t="4445" r="14605" b="5080"/>
            <wp:docPr id="102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jc w:val="center"/>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图3：支出决算结构图</w:t>
      </w:r>
    </w:p>
    <w:p>
      <w:pPr>
        <w:spacing w:line="600" w:lineRule="exact"/>
        <w:ind w:firstLine="640" w:firstLineChars="200"/>
        <w:outlineLvl w:val="1"/>
        <w:rPr>
          <w:rStyle w:val="29"/>
          <w:rFonts w:ascii="Times New Roman" w:hAnsi="Times New Roman" w:eastAsia="黑体"/>
          <w:b w:val="0"/>
          <w:color w:val="auto"/>
          <w:highlight w:val="none"/>
        </w:rPr>
      </w:pPr>
      <w:bookmarkStart w:id="26" w:name="_Toc15377208"/>
      <w:bookmarkStart w:id="27" w:name="_Toc15396606"/>
      <w:r>
        <w:rPr>
          <w:rFonts w:hint="eastAsia" w:ascii="Times New Roman" w:hAnsi="Times New Roman" w:eastAsia="黑体"/>
          <w:color w:val="auto"/>
          <w:sz w:val="32"/>
          <w:szCs w:val="32"/>
          <w:highlight w:val="none"/>
        </w:rPr>
        <w:t>四、财</w:t>
      </w:r>
      <w:r>
        <w:rPr>
          <w:rStyle w:val="29"/>
          <w:rFonts w:hint="eastAsia" w:ascii="Times New Roman" w:hAnsi="Times New Roman" w:eastAsia="黑体"/>
          <w:b w:val="0"/>
          <w:color w:val="auto"/>
          <w:highlight w:val="none"/>
        </w:rPr>
        <w:t>政拨款收入支出决算总体情况说明</w:t>
      </w:r>
      <w:bookmarkEnd w:id="26"/>
      <w:bookmarkEnd w:id="27"/>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2024年度财政拨款收入、支出总计均为</w:t>
      </w:r>
      <w:r>
        <w:rPr>
          <w:rFonts w:hint="eastAsia" w:ascii="仿宋_GB2312" w:hAnsi="仿宋_GB2312" w:eastAsia="仿宋_GB2312" w:cs="仿宋_GB2312"/>
          <w:sz w:val="32"/>
          <w:szCs w:val="32"/>
        </w:rPr>
        <w:t>176.11</w:t>
      </w:r>
      <w:r>
        <w:rPr>
          <w:rFonts w:hint="eastAsia" w:ascii="仿宋_GB2312" w:hAnsi="仿宋_GB2312" w:eastAsia="仿宋_GB2312" w:cs="仿宋_GB2312"/>
          <w:color w:val="auto"/>
          <w:kern w:val="2"/>
          <w:sz w:val="32"/>
          <w:szCs w:val="32"/>
          <w:highlight w:val="none"/>
          <w:lang w:val="en-US" w:eastAsia="zh-CN" w:bidi="ar-SA"/>
        </w:rPr>
        <w:t>万元。与2023年度相比，财政拨款收入总计、支出总计各增加14.31万元，增长8.84%。主要变动原因是</w:t>
      </w:r>
      <w:r>
        <w:rPr>
          <w:rFonts w:hint="eastAsia" w:ascii="仿宋_GB2312" w:hAnsi="仿宋_GB2312" w:eastAsia="仿宋_GB2312" w:cs="仿宋_GB2312"/>
          <w:color w:val="auto"/>
          <w:sz w:val="32"/>
          <w:szCs w:val="32"/>
          <w:highlight w:val="none"/>
          <w:lang w:eastAsia="zh-CN"/>
        </w:rPr>
        <w:t>单位人员增加</w:t>
      </w:r>
      <w:r>
        <w:rPr>
          <w:rFonts w:hint="eastAsia" w:ascii="仿宋_GB2312" w:hAnsi="仿宋_GB2312" w:eastAsia="仿宋_GB2312" w:cs="仿宋_GB2312"/>
          <w:sz w:val="32"/>
          <w:szCs w:val="32"/>
        </w:rPr>
        <w:t>，人员经费增加。</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auto"/>
          <w:kern w:val="2"/>
          <w:sz w:val="32"/>
          <w:szCs w:val="32"/>
          <w:highlight w:val="none"/>
          <w:lang w:val="en-US" w:eastAsia="zh-CN" w:bidi="ar-SA"/>
        </w:rPr>
      </w:pPr>
      <w:r>
        <w:drawing>
          <wp:inline distT="0" distB="0" distL="114300" distR="114300">
            <wp:extent cx="3943350" cy="2667635"/>
            <wp:effectExtent l="4445" t="4445" r="14605" b="13970"/>
            <wp:docPr id="103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jc w:val="center"/>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w:t>
      </w:r>
    </w:p>
    <w:p>
      <w:pPr>
        <w:spacing w:line="600" w:lineRule="exact"/>
        <w:ind w:firstLine="640" w:firstLineChars="200"/>
        <w:outlineLvl w:val="1"/>
        <w:rPr>
          <w:rStyle w:val="29"/>
          <w:rFonts w:ascii="Times New Roman" w:hAnsi="Times New Roman" w:eastAsia="黑体"/>
          <w:b w:val="0"/>
          <w:color w:val="auto"/>
          <w:highlight w:val="none"/>
        </w:rPr>
      </w:pPr>
      <w:bookmarkStart w:id="28" w:name="_Toc15396607"/>
      <w:bookmarkStart w:id="29" w:name="_Toc15377209"/>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般公共预算财政拨款支出决算情况说明</w:t>
      </w:r>
      <w:bookmarkEnd w:id="28"/>
      <w:bookmarkEnd w:id="29"/>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30"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30"/>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176.11</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kern w:val="2"/>
          <w:sz w:val="32"/>
          <w:szCs w:val="32"/>
          <w:highlight w:val="none"/>
          <w:lang w:val="en-US" w:eastAsia="zh-CN" w:bidi="ar-SA"/>
        </w:rPr>
        <w:t>%。与2023年度相比，一般公共预算财政拨款支出增加14.31万元，增长8.84%。主要变动原因是</w:t>
      </w:r>
      <w:r>
        <w:rPr>
          <w:rFonts w:hint="eastAsia" w:eastAsia="仿宋_GB2312" w:cs="仿宋_GB2312"/>
          <w:color w:val="auto"/>
          <w:sz w:val="32"/>
          <w:szCs w:val="32"/>
          <w:highlight w:val="none"/>
          <w:lang w:eastAsia="zh-CN"/>
        </w:rPr>
        <w:t>单位人员增加</w:t>
      </w:r>
      <w:r>
        <w:rPr>
          <w:rFonts w:hint="eastAsia" w:ascii="仿宋_GB2312" w:hAnsi="仿宋_GB2312" w:eastAsia="仿宋_GB2312" w:cs="仿宋_GB2312"/>
          <w:sz w:val="32"/>
          <w:szCs w:val="32"/>
        </w:rPr>
        <w:t>，人员经费增加。</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auto"/>
          <w:kern w:val="2"/>
          <w:sz w:val="32"/>
          <w:szCs w:val="32"/>
          <w:highlight w:val="none"/>
          <w:lang w:val="en-US" w:eastAsia="zh-CN" w:bidi="ar-SA"/>
        </w:rPr>
      </w:pPr>
      <w:r>
        <w:drawing>
          <wp:inline distT="0" distB="0" distL="114300" distR="114300">
            <wp:extent cx="3819525" cy="2162175"/>
            <wp:effectExtent l="5080" t="4445" r="4445" b="5080"/>
            <wp:docPr id="1030"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jc w:val="center"/>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w:t>
      </w:r>
      <w:r>
        <w:rPr>
          <w:rFonts w:hint="eastAsia" w:eastAsia="仿宋_GB2312" w:cs="仿宋_GB2312"/>
          <w:color w:val="auto"/>
          <w:kern w:val="2"/>
          <w:sz w:val="32"/>
          <w:szCs w:val="32"/>
          <w:highlight w:val="none"/>
          <w:lang w:val="en-US" w:eastAsia="zh-CN" w:bidi="ar-SA"/>
        </w:rPr>
        <w:t xml:space="preserve"> </w:t>
      </w:r>
      <w:r>
        <w:rPr>
          <w:rFonts w:hint="eastAsia" w:ascii="仿宋_GB2312" w:hAnsi="仿宋_GB2312" w:eastAsia="仿宋_GB2312" w:cs="仿宋_GB2312"/>
          <w:color w:val="auto"/>
          <w:sz w:val="32"/>
          <w:szCs w:val="32"/>
        </w:rPr>
        <w:t>单位:万元</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31"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31"/>
    </w:p>
    <w:p>
      <w:pPr>
        <w:spacing w:line="60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176.11</w:t>
      </w:r>
      <w:r>
        <w:rPr>
          <w:rFonts w:hint="eastAsia" w:ascii="仿宋_GB2312" w:hAnsi="仿宋_GB2312" w:eastAsia="仿宋_GB2312" w:cs="仿宋_GB2312"/>
          <w:color w:val="auto"/>
          <w:kern w:val="2"/>
          <w:sz w:val="32"/>
          <w:szCs w:val="32"/>
          <w:highlight w:val="none"/>
          <w:lang w:val="en-US" w:eastAsia="zh-CN" w:bidi="ar-SA"/>
        </w:rPr>
        <w:t>万元，主要用于以下方面：社会保障和就业支出43.46万元，占24.68%；卫生健康支出0.29万元，占0.16%；城乡社区支出122.67万元，占69.66%；住房保障支出9.69万元，占5.5%。</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auto"/>
          <w:kern w:val="2"/>
          <w:sz w:val="32"/>
          <w:szCs w:val="32"/>
          <w:highlight w:val="none"/>
          <w:lang w:val="en-US" w:eastAsia="zh-CN" w:bidi="ar-SA"/>
        </w:rPr>
      </w:pPr>
      <w:r>
        <w:drawing>
          <wp:inline distT="0" distB="0" distL="114300" distR="114300">
            <wp:extent cx="4143375" cy="2524125"/>
            <wp:effectExtent l="0" t="0" r="9525" b="9525"/>
            <wp:docPr id="1031"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jc w:val="center"/>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w:t>
      </w:r>
      <w:r>
        <w:rPr>
          <w:rFonts w:hint="eastAsia" w:eastAsia="仿宋_GB2312" w:cs="仿宋_GB2312"/>
          <w:color w:val="auto"/>
          <w:kern w:val="2"/>
          <w:sz w:val="32"/>
          <w:szCs w:val="32"/>
          <w:highlight w:val="none"/>
          <w:lang w:val="en-US" w:eastAsia="zh-CN" w:bidi="ar-SA"/>
        </w:rPr>
        <w:t xml:space="preserve"> </w:t>
      </w:r>
      <w:r>
        <w:rPr>
          <w:rFonts w:hint="eastAsia" w:ascii="仿宋_GB2312" w:hAnsi="仿宋_GB2312" w:eastAsia="仿宋_GB2312" w:cs="仿宋_GB2312"/>
          <w:color w:val="auto"/>
          <w:sz w:val="32"/>
          <w:szCs w:val="32"/>
        </w:rPr>
        <w:t>单位:万元</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32" w:name="_Toc15377212"/>
      <w:r>
        <w:rPr>
          <w:rFonts w:hint="eastAsia" w:ascii="Times New Roman" w:hAnsi="Times New Roman" w:eastAsia="楷体_GB2312" w:cs="楷体_GB2312"/>
          <w:b/>
          <w:color w:val="auto"/>
          <w:sz w:val="32"/>
          <w:szCs w:val="32"/>
          <w:highlight w:val="none"/>
        </w:rPr>
        <w:t>（三）一般公共预算财政拨款支出决算具体情况</w:t>
      </w:r>
      <w:bookmarkEnd w:id="32"/>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bookmarkStart w:id="33" w:name="_Toc15378460"/>
      <w:bookmarkStart w:id="34" w:name="_Toc15377444"/>
      <w:bookmarkStart w:id="35" w:name="_Toc15377213"/>
      <w:r>
        <w:rPr>
          <w:rFonts w:hint="eastAsia" w:ascii="仿宋_GB2312" w:hAnsi="仿宋_GB2312" w:eastAsia="仿宋_GB2312" w:cs="仿宋_GB2312"/>
          <w:color w:val="auto"/>
          <w:kern w:val="2"/>
          <w:sz w:val="32"/>
          <w:szCs w:val="32"/>
          <w:highlight w:val="none"/>
          <w:lang w:val="en-US" w:eastAsia="zh-CN" w:bidi="ar-SA"/>
        </w:rPr>
        <w:t>2024年度一般公共预算财政拨款支出决算数为</w:t>
      </w:r>
      <w:r>
        <w:rPr>
          <w:rFonts w:hint="eastAsia" w:ascii="仿宋_GB2312" w:hAnsi="仿宋_GB2312" w:eastAsia="仿宋_GB2312" w:cs="仿宋_GB2312"/>
          <w:sz w:val="32"/>
          <w:szCs w:val="32"/>
        </w:rPr>
        <w:t>176.11</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color w:val="auto"/>
          <w:kern w:val="2"/>
          <w:sz w:val="32"/>
          <w:szCs w:val="32"/>
          <w:highlight w:val="none"/>
          <w:lang w:val="en-US" w:eastAsia="zh-CN" w:bidi="ar-SA"/>
        </w:rPr>
        <w:t>，完成预算100%。其中：</w:t>
      </w:r>
      <w:bookmarkEnd w:id="33"/>
      <w:bookmarkEnd w:id="34"/>
      <w:bookmarkEnd w:id="35"/>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1.社会保障和就业支出（类）人力资源和社会保障管理事务（款）其他人力资源和社会保障管理事务支出（项）：支出决算为8万元，完成预算100%，决算数等于预算数。</w:t>
      </w:r>
    </w:p>
    <w:p>
      <w:pPr>
        <w:spacing w:line="60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2"/>
          <w:sz w:val="32"/>
          <w:szCs w:val="32"/>
          <w:highlight w:val="none"/>
          <w:lang w:val="en-US" w:eastAsia="zh-CN" w:bidi="ar-SA"/>
        </w:rPr>
        <w:t>2.社会保障和就业支出（类）行政事业单位养老支出（款）事业单位离退休（项）: 支出决算为3.11万元，完成预算100%，决算数等于预算数。</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3.社会保障和就业支出（类）行政事业单位养老支出（款）机关事业单位基本养老保险缴费支出（项）：支出决算为12.95万元，完成预算100%，决算数等于预算数。</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4.社会保障和就业支出（类）行政事业单位养老支出（款）机关事业单位职业年金缴费支出（项）：支出决算为19.4万元，完成预算100%，决算数等于预算数。</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5.卫生健康支出（类）行政事业单位医疗（款）事业单位医疗（项）：支出决算为0.24万元，完成预算100%，决算数等于预算数。</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6.卫生健康支出（类）行政事业单位医疗（款）公务员医疗补助（项）：支出决算为0.05万元，完成预算100%，决算数等于预算数。</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7.城乡社区支出（类）城乡社区管理事务（款）其他城乡社区管理事务支出（项）:支出决算为122.67万元，完成预算100%，决算数等于预算数。</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8.住房保障支出（类）住房改革支出（款）住房公积金（项）:支出决算为9.69万元，完成预算100%，决算数等于预算数。</w:t>
      </w:r>
    </w:p>
    <w:p>
      <w:pPr>
        <w:tabs>
          <w:tab w:val="right" w:pos="8306"/>
        </w:tabs>
        <w:spacing w:line="600" w:lineRule="exact"/>
        <w:ind w:firstLine="640"/>
        <w:outlineLvl w:val="1"/>
        <w:rPr>
          <w:rStyle w:val="29"/>
          <w:rFonts w:ascii="Times New Roman" w:hAnsi="Times New Roman"/>
          <w:color w:val="auto"/>
          <w:highlight w:val="none"/>
        </w:rPr>
      </w:pPr>
      <w:bookmarkStart w:id="36" w:name="_Toc15377214"/>
      <w:bookmarkStart w:id="37" w:name="_Toc15396608"/>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般公共预算财政拨款基本支出决算情况说明</w:t>
      </w:r>
      <w:bookmarkEnd w:id="36"/>
      <w:bookmarkEnd w:id="37"/>
      <w:r>
        <w:rPr>
          <w:rStyle w:val="29"/>
          <w:rFonts w:ascii="Times New Roman" w:hAnsi="Times New Roman" w:eastAsia="黑体"/>
          <w:b w:val="0"/>
          <w:color w:val="auto"/>
          <w:highlight w:val="none"/>
        </w:rPr>
        <w:tab/>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2024年度一般公共预算财政拨款基本支出</w:t>
      </w:r>
      <w:r>
        <w:rPr>
          <w:rFonts w:hint="eastAsia" w:ascii="仿宋_GB2312" w:hAnsi="仿宋_GB2312" w:eastAsia="仿宋_GB2312" w:cs="仿宋_GB2312"/>
          <w:sz w:val="32"/>
          <w:szCs w:val="32"/>
        </w:rPr>
        <w:t>168.39</w:t>
      </w:r>
      <w:r>
        <w:rPr>
          <w:rFonts w:hint="eastAsia" w:ascii="仿宋_GB2312" w:hAnsi="仿宋_GB2312" w:eastAsia="仿宋_GB2312" w:cs="仿宋_GB2312"/>
          <w:color w:val="auto"/>
          <w:kern w:val="2"/>
          <w:sz w:val="32"/>
          <w:szCs w:val="32"/>
          <w:highlight w:val="none"/>
          <w:lang w:val="en-US" w:eastAsia="zh-CN" w:bidi="ar-SA"/>
        </w:rPr>
        <w:t>万元，其中：</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人员经费</w:t>
      </w:r>
      <w:r>
        <w:rPr>
          <w:rFonts w:hint="eastAsia" w:ascii="仿宋_GB2312" w:hAnsi="仿宋_GB2312" w:eastAsia="仿宋_GB2312" w:cs="仿宋_GB2312"/>
          <w:sz w:val="32"/>
          <w:szCs w:val="32"/>
        </w:rPr>
        <w:t>160.65</w:t>
      </w:r>
      <w:r>
        <w:rPr>
          <w:rFonts w:hint="eastAsia" w:ascii="仿宋_GB2312" w:hAnsi="仿宋_GB2312" w:eastAsia="仿宋_GB2312" w:cs="仿宋_GB2312"/>
          <w:color w:val="auto"/>
          <w:kern w:val="2"/>
          <w:sz w:val="32"/>
          <w:szCs w:val="32"/>
          <w:highlight w:val="none"/>
          <w:lang w:val="en-US" w:eastAsia="zh-CN" w:bidi="ar-SA"/>
        </w:rPr>
        <w:t>万元，主要包括：基本工资、津贴补贴、绩效工资、机关事业单位基本养老保险缴费、职业年金缴费、职工基本医疗保险缴费、公务员医疗补助缴费、其他社会保障缴费、住房公积金、生活补助、医疗费补助、奖励金、其他对个人和家庭的补助支出等。</w:t>
      </w:r>
      <w:r>
        <w:rPr>
          <w:rFonts w:hint="eastAsia" w:ascii="仿宋_GB2312" w:hAnsi="仿宋_GB2312" w:eastAsia="仿宋_GB2312" w:cs="仿宋_GB2312"/>
          <w:color w:val="auto"/>
          <w:kern w:val="2"/>
          <w:sz w:val="32"/>
          <w:szCs w:val="32"/>
          <w:highlight w:val="none"/>
          <w:lang w:val="en-US" w:eastAsia="zh-CN" w:bidi="ar-SA"/>
        </w:rPr>
        <w:br w:type="textWrapping"/>
      </w:r>
      <w:r>
        <w:rPr>
          <w:rFonts w:hint="eastAsia" w:ascii="仿宋_GB2312" w:hAnsi="仿宋_GB2312" w:eastAsia="仿宋_GB2312" w:cs="仿宋_GB2312"/>
          <w:color w:val="auto"/>
          <w:kern w:val="2"/>
          <w:sz w:val="32"/>
          <w:szCs w:val="32"/>
          <w:highlight w:val="none"/>
          <w:lang w:val="en-US" w:eastAsia="zh-CN" w:bidi="ar-SA"/>
        </w:rPr>
        <w:t>　　公用经费</w:t>
      </w:r>
      <w:r>
        <w:rPr>
          <w:rFonts w:hint="eastAsia" w:ascii="仿宋_GB2312" w:hAnsi="仿宋_GB2312" w:eastAsia="仿宋_GB2312" w:cs="仿宋_GB2312"/>
          <w:sz w:val="32"/>
          <w:szCs w:val="32"/>
        </w:rPr>
        <w:t>7.7</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color w:val="auto"/>
          <w:kern w:val="2"/>
          <w:sz w:val="32"/>
          <w:szCs w:val="32"/>
          <w:highlight w:val="none"/>
          <w:lang w:val="en-US" w:eastAsia="zh-CN" w:bidi="ar-SA"/>
        </w:rPr>
        <w:t>万元，主要包括：办公费、水费、电费、邮电费、物业管理费、差旅费、培训费、工会经费、福利费、其他交通费、其他商品和服务支出等。</w:t>
      </w:r>
    </w:p>
    <w:p>
      <w:pPr>
        <w:spacing w:line="600" w:lineRule="exact"/>
        <w:ind w:firstLine="640"/>
        <w:outlineLvl w:val="1"/>
        <w:rPr>
          <w:rStyle w:val="29"/>
          <w:rFonts w:ascii="Times New Roman" w:hAnsi="Times New Roman" w:eastAsia="黑体"/>
          <w:b w:val="0"/>
          <w:color w:val="auto"/>
          <w:highlight w:val="none"/>
        </w:rPr>
      </w:pPr>
      <w:bookmarkStart w:id="38" w:name="_Toc15396609"/>
      <w:bookmarkStart w:id="39" w:name="_Toc15377215"/>
      <w:r>
        <w:rPr>
          <w:rFonts w:hint="eastAsia" w:ascii="Times New Roman" w:hAnsi="Times New Roman" w:eastAsia="黑体"/>
          <w:color w:val="auto"/>
          <w:sz w:val="32"/>
          <w:szCs w:val="32"/>
          <w:highlight w:val="none"/>
        </w:rPr>
        <w:t>七、</w:t>
      </w:r>
      <w:r>
        <w:rPr>
          <w:rStyle w:val="29"/>
          <w:rFonts w:hint="eastAsia" w:ascii="Times New Roman" w:hAnsi="Times New Roman" w:eastAsia="黑体"/>
          <w:b w:val="0"/>
          <w:color w:val="auto"/>
          <w:highlight w:val="none"/>
        </w:rPr>
        <w:t>财政拨款</w:t>
      </w:r>
      <w:r>
        <w:rPr>
          <w:rStyle w:val="29"/>
          <w:rFonts w:hint="eastAsia" w:ascii="Times New Roman" w:hAnsi="Times New Roman" w:eastAsia="黑体"/>
          <w:color w:val="auto"/>
          <w:highlight w:val="none"/>
        </w:rPr>
        <w:t>“</w:t>
      </w:r>
      <w:r>
        <w:rPr>
          <w:rStyle w:val="29"/>
          <w:rFonts w:hint="eastAsia" w:ascii="Times New Roman" w:hAnsi="Times New Roman" w:eastAsia="黑体"/>
          <w:b w:val="0"/>
          <w:color w:val="auto"/>
          <w:highlight w:val="none"/>
        </w:rPr>
        <w:t>三公”经费支出决算情况说明</w:t>
      </w:r>
      <w:bookmarkEnd w:id="38"/>
      <w:bookmarkEnd w:id="39"/>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40"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40"/>
    </w:p>
    <w:p>
      <w:pPr>
        <w:spacing w:line="600" w:lineRule="exact"/>
        <w:ind w:firstLine="640"/>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2024年度“三公”经费财政拨款支出决算为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万元，完成预算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%，较上年度持平。决算数与预算数持平的主要原因是</w:t>
      </w:r>
      <w:r>
        <w:rPr>
          <w:rFonts w:hint="eastAsia" w:ascii="仿宋_GB2312" w:hAnsi="仿宋_GB2312" w:eastAsia="仿宋_GB2312" w:cs="仿宋_GB2312"/>
          <w:sz w:val="32"/>
          <w:szCs w:val="32"/>
        </w:rPr>
        <w:t>无公务接待。</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41"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41"/>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2024年度“三公”经费财政拨款支出决算中，因公出国（境）费支出决算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万元，占0%；公务用车购置及运行维护费支出决算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万元，占0%；公务接待费支出决算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万元，占0%。具体情况如下：</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1.因公出国（境）经费支出</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全年安排因公出国（境）团</w:t>
      </w:r>
      <w:r>
        <w:rPr>
          <w:rFonts w:hint="eastAsia" w:ascii="仿宋_GB2312" w:hAnsi="仿宋_GB2312" w:eastAsia="仿宋_GB2312" w:cs="仿宋_GB2312"/>
          <w:color w:val="auto"/>
          <w:kern w:val="2"/>
          <w:sz w:val="32"/>
          <w:szCs w:val="32"/>
          <w:highlight w:val="none"/>
          <w:lang w:val="en-US" w:eastAsia="zh-CN" w:bidi="ar-SA"/>
        </w:rPr>
        <w:t>组</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次，出国（境）</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0万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其中：公务用车购置支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万元。全年按规定更新购置公务用车0辆，其中：轿车0辆、金额0万元，越野车0辆、金额0万元，载客汽车0辆、金额0万元。截至2024年12月31日，单位共有公务用车0辆，其中：轿车0辆、越野车0辆、载客汽车0辆。</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公务用车运行维护费支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w:t>
      </w:r>
    </w:p>
    <w:p>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ascii="仿宋_GB2312" w:hAnsi="仿宋_GB2312" w:eastAsia="仿宋_GB2312" w:cs="仿宋_GB2312"/>
          <w:b/>
          <w:bCs/>
          <w:color w:val="auto"/>
          <w:kern w:val="2"/>
          <w:sz w:val="32"/>
          <w:szCs w:val="32"/>
          <w:highlight w:val="none"/>
          <w:lang w:val="en-US" w:eastAsia="zh-CN" w:bidi="ar-SA"/>
        </w:rPr>
        <w:t>0万</w:t>
      </w:r>
      <w:r>
        <w:rPr>
          <w:rFonts w:hint="eastAsia" w:ascii="Times New Roman" w:hAnsi="Times New Roman" w:eastAsia="仿宋_GB2312" w:cs="仿宋_GB2312"/>
          <w:b/>
          <w:bCs/>
          <w:color w:val="auto"/>
          <w:kern w:val="2"/>
          <w:sz w:val="32"/>
          <w:szCs w:val="32"/>
          <w:highlight w:val="none"/>
          <w:lang w:val="en-US" w:eastAsia="zh-CN" w:bidi="ar-SA"/>
        </w:rPr>
        <w:t>元，完成预算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国内公务接待支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万元。国内公务接</w:t>
      </w:r>
      <w:r>
        <w:rPr>
          <w:rFonts w:hint="eastAsia" w:ascii="仿宋_GB2312" w:hAnsi="仿宋_GB2312" w:eastAsia="仿宋_GB2312" w:cs="仿宋_GB2312"/>
          <w:color w:val="auto"/>
          <w:kern w:val="2"/>
          <w:sz w:val="32"/>
          <w:szCs w:val="32"/>
          <w:highlight w:val="none"/>
          <w:lang w:val="en-US" w:eastAsia="zh-CN" w:bidi="ar-SA"/>
        </w:rPr>
        <w:t>待</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人次（不包括陪同人员），共计支出0万元。</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外事接待支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万元。外事接待</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人次（不包括陪同人员），共计支出0万元。</w:t>
      </w:r>
      <w:bookmarkStart w:id="42" w:name="_Toc15377218"/>
      <w:bookmarkStart w:id="43" w:name="_Toc15396610"/>
    </w:p>
    <w:p>
      <w:pPr>
        <w:spacing w:line="600" w:lineRule="exact"/>
        <w:ind w:firstLine="640"/>
        <w:outlineLvl w:val="1"/>
        <w:rPr>
          <w:rStyle w:val="29"/>
          <w:rFonts w:ascii="Times New Roman" w:hAnsi="Times New Roman" w:eastAsia="黑体"/>
          <w:color w:val="auto"/>
          <w:highlight w:val="none"/>
        </w:rPr>
      </w:pPr>
      <w:r>
        <w:rPr>
          <w:rFonts w:hint="eastAsia" w:ascii="Times New Roman" w:hAnsi="Times New Roman" w:eastAsia="黑体"/>
          <w:color w:val="auto"/>
          <w:sz w:val="32"/>
          <w:szCs w:val="32"/>
          <w:highlight w:val="none"/>
        </w:rPr>
        <w:t>八、</w:t>
      </w:r>
      <w:r>
        <w:rPr>
          <w:rStyle w:val="29"/>
          <w:rFonts w:hint="eastAsia" w:ascii="Times New Roman" w:hAnsi="Times New Roman" w:eastAsia="黑体"/>
          <w:b w:val="0"/>
          <w:color w:val="auto"/>
          <w:highlight w:val="none"/>
        </w:rPr>
        <w:t>政府性基金预算支出决算情况说明</w:t>
      </w:r>
      <w:bookmarkEnd w:id="42"/>
      <w:bookmarkEnd w:id="43"/>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2024年度政府性基金预算财政拨款支出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w:t>
      </w:r>
    </w:p>
    <w:p>
      <w:pPr>
        <w:numPr>
          <w:ilvl w:val="0"/>
          <w:numId w:val="0"/>
        </w:numPr>
        <w:spacing w:line="600" w:lineRule="exact"/>
        <w:ind w:left="630" w:leftChars="0"/>
        <w:outlineLvl w:val="1"/>
        <w:rPr>
          <w:rStyle w:val="29"/>
          <w:rFonts w:ascii="Times New Roman" w:hAnsi="Times New Roman" w:eastAsia="黑体"/>
          <w:b w:val="0"/>
          <w:color w:val="auto"/>
          <w:highlight w:val="none"/>
        </w:rPr>
      </w:pPr>
      <w:bookmarkStart w:id="44" w:name="_Toc15396611"/>
      <w:bookmarkStart w:id="45" w:name="_Toc15377219"/>
      <w:r>
        <w:rPr>
          <w:rStyle w:val="29"/>
          <w:rFonts w:hint="eastAsia" w:ascii="Times New Roman" w:hAnsi="Times New Roman" w:eastAsia="黑体"/>
          <w:b w:val="0"/>
          <w:color w:val="auto"/>
          <w:highlight w:val="none"/>
          <w:lang w:eastAsia="zh-CN"/>
        </w:rPr>
        <w:t>九、</w:t>
      </w:r>
      <w:r>
        <w:rPr>
          <w:rStyle w:val="29"/>
          <w:rFonts w:hint="eastAsia" w:ascii="Times New Roman" w:hAnsi="Times New Roman" w:eastAsia="黑体"/>
          <w:b w:val="0"/>
          <w:color w:val="auto"/>
          <w:highlight w:val="none"/>
        </w:rPr>
        <w:t>国有资本经营预算支出决算情况说明</w:t>
      </w:r>
      <w:bookmarkEnd w:id="44"/>
      <w:bookmarkEnd w:id="45"/>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2024年度国有资本经营预算财政拨款支出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p>
    <w:p>
      <w:pPr>
        <w:numPr>
          <w:ilvl w:val="0"/>
          <w:numId w:val="0"/>
        </w:numPr>
        <w:spacing w:line="600" w:lineRule="exact"/>
        <w:ind w:left="630" w:leftChars="0"/>
        <w:outlineLvl w:val="1"/>
        <w:rPr>
          <w:rStyle w:val="29"/>
          <w:rFonts w:hint="eastAsia" w:ascii="Times New Roman" w:hAnsi="Times New Roman" w:eastAsia="黑体"/>
          <w:b w:val="0"/>
          <w:color w:val="auto"/>
          <w:highlight w:val="none"/>
        </w:rPr>
      </w:pPr>
      <w:bookmarkStart w:id="46" w:name="_Toc15377221"/>
      <w:bookmarkStart w:id="47" w:name="_Toc15396612"/>
      <w:r>
        <w:rPr>
          <w:rStyle w:val="29"/>
          <w:rFonts w:hint="eastAsia" w:ascii="Times New Roman" w:hAnsi="Times New Roman" w:eastAsia="黑体"/>
          <w:b w:val="0"/>
          <w:color w:val="auto"/>
          <w:highlight w:val="none"/>
          <w:lang w:eastAsia="zh-CN"/>
        </w:rPr>
        <w:t>十、</w:t>
      </w:r>
      <w:r>
        <w:rPr>
          <w:rStyle w:val="29"/>
          <w:rFonts w:hint="eastAsia" w:ascii="Times New Roman" w:hAnsi="Times New Roman" w:eastAsia="黑体"/>
          <w:b w:val="0"/>
          <w:color w:val="auto"/>
          <w:highlight w:val="none"/>
        </w:rPr>
        <w:t>其他重要事项的情况说明</w:t>
      </w:r>
      <w:bookmarkEnd w:id="46"/>
      <w:bookmarkEnd w:id="47"/>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48" w:name="_Toc15377222"/>
      <w:r>
        <w:rPr>
          <w:rFonts w:hint="eastAsia" w:ascii="Times New Roman" w:hAnsi="Times New Roman" w:eastAsia="楷体_GB2312" w:cs="楷体_GB2312"/>
          <w:b/>
          <w:color w:val="auto"/>
          <w:sz w:val="32"/>
          <w:szCs w:val="32"/>
          <w:highlight w:val="none"/>
        </w:rPr>
        <w:t>（一）机关运行经费支出情况</w:t>
      </w:r>
      <w:bookmarkEnd w:id="4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rPr>
        <w:t>四川省攀枝花市建设工程消防和勘察设计技术中心</w:t>
      </w:r>
      <w:r>
        <w:rPr>
          <w:rFonts w:hint="eastAsia" w:ascii="仿宋_GB2312" w:hAnsi="仿宋_GB2312" w:eastAsia="仿宋_GB2312" w:cs="仿宋_GB2312"/>
          <w:color w:val="auto"/>
          <w:kern w:val="2"/>
          <w:sz w:val="32"/>
          <w:szCs w:val="32"/>
          <w:highlight w:val="none"/>
          <w:lang w:val="en-US" w:eastAsia="zh-CN" w:bidi="ar-SA"/>
        </w:rPr>
        <w:t>机关运行经费支出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万元，与2023年度决算数持平。</w:t>
      </w:r>
      <w:bookmarkStart w:id="49" w:name="_Toc15377223"/>
      <w:r>
        <w:rPr>
          <w:rFonts w:hint="eastAsia" w:ascii="仿宋_GB2312" w:hAnsi="仿宋_GB2312" w:eastAsia="仿宋_GB2312" w:cs="仿宋_GB2312"/>
          <w:color w:val="auto"/>
          <w:kern w:val="2"/>
          <w:sz w:val="32"/>
          <w:szCs w:val="32"/>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（二）政府采购支出情况</w:t>
      </w:r>
      <w:bookmarkEnd w:id="49"/>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sz w:val="32"/>
          <w:szCs w:val="32"/>
        </w:rPr>
        <w:t>四川省攀枝花市建设工程消防和勘察设计技术中心</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万元，其中：政府采购货物支出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万元、政府采购工程支出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万元、政府采购服务支出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万元。授予中小企业合同金额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%，其中：授予小微企业合同金额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50" w:name="_Toc15377224"/>
      <w:r>
        <w:rPr>
          <w:rFonts w:hint="eastAsia" w:ascii="Times New Roman" w:hAnsi="Times New Roman" w:eastAsia="楷体_GB2312" w:cs="楷体_GB2312"/>
          <w:b/>
          <w:color w:val="auto"/>
          <w:sz w:val="32"/>
          <w:szCs w:val="32"/>
          <w:highlight w:val="none"/>
        </w:rPr>
        <w:t>（三）国有资产占有使用情况</w:t>
      </w:r>
      <w:bookmarkEnd w:id="50"/>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截至2024年12月31日，</w:t>
      </w:r>
      <w:r>
        <w:rPr>
          <w:rFonts w:hint="eastAsia" w:ascii="仿宋_GB2312" w:hAnsi="仿宋_GB2312" w:eastAsia="仿宋_GB2312" w:cs="仿宋_GB2312"/>
          <w:sz w:val="32"/>
          <w:szCs w:val="32"/>
        </w:rPr>
        <w:t>四川省攀枝花市建设工程消防和勘察设计技术中心</w:t>
      </w:r>
      <w:r>
        <w:rPr>
          <w:rFonts w:hint="eastAsia" w:ascii="仿宋_GB2312" w:hAnsi="仿宋_GB2312" w:eastAsia="仿宋_GB2312" w:cs="仿宋_GB2312"/>
          <w:color w:val="auto"/>
          <w:kern w:val="2"/>
          <w:sz w:val="32"/>
          <w:szCs w:val="32"/>
          <w:highlight w:val="none"/>
          <w:lang w:val="en-US" w:eastAsia="zh-CN" w:bidi="ar-SA"/>
        </w:rPr>
        <w:t>共有车辆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辆，其中：主要负责人用车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辆、机要通信用车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辆、应急保障用车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辆、其他用车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辆。单价100万元（含）以上设备（不含车辆）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台（套）</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根据预算绩效管理要求，</w:t>
      </w:r>
      <w:r>
        <w:rPr>
          <w:rFonts w:hint="eastAsia" w:ascii="仿宋_GB2312" w:hAnsi="仿宋_GB2312" w:eastAsia="仿宋_GB2312" w:cs="仿宋_GB2312"/>
          <w:sz w:val="32"/>
          <w:szCs w:val="32"/>
        </w:rPr>
        <w:t>四川省攀枝花市建设工程消防和勘察设计技术中心</w:t>
      </w:r>
      <w:r>
        <w:rPr>
          <w:rFonts w:hint="eastAsia" w:ascii="仿宋_GB2312" w:hAnsi="仿宋_GB2312" w:eastAsia="仿宋_GB2312" w:cs="仿宋_GB2312"/>
          <w:color w:val="auto"/>
          <w:kern w:val="2"/>
          <w:sz w:val="32"/>
          <w:szCs w:val="32"/>
          <w:highlight w:val="none"/>
          <w:lang w:val="en-US" w:eastAsia="zh-CN" w:bidi="ar-SA"/>
        </w:rPr>
        <w:t>在2024年度预算编制阶段，组织对消防和勘察设计审查、房屋抗震、房屋安全检查技术经费1个项目开展了预算事前绩效评估，对1个项目编制了绩效目标，预算执行过程中，选取1个项目开展绩效监控。</w:t>
      </w:r>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rPr>
          <w:rFonts w:hint="eastAsia" w:ascii="Times New Roman" w:hAnsi="Times New Roman" w:eastAsia="黑体"/>
          <w:color w:val="auto"/>
          <w:sz w:val="44"/>
          <w:szCs w:val="44"/>
          <w:highlight w:val="none"/>
        </w:rPr>
      </w:pPr>
      <w:bookmarkStart w:id="51" w:name="_Toc15377225"/>
      <w:bookmarkStart w:id="52" w:name="_Toc15396613"/>
      <w:r>
        <w:rPr>
          <w:rFonts w:hint="eastAsia" w:ascii="Times New Roman" w:hAnsi="Times New Roman" w:eastAsia="黑体"/>
          <w:color w:val="auto"/>
          <w:sz w:val="44"/>
          <w:szCs w:val="44"/>
          <w:highlight w:val="none"/>
        </w:rPr>
        <w:br w:type="page"/>
      </w:r>
    </w:p>
    <w:p>
      <w:pPr>
        <w:numPr>
          <w:ilvl w:val="0"/>
          <w:numId w:val="0"/>
        </w:numPr>
        <w:spacing w:line="600" w:lineRule="exact"/>
        <w:jc w:val="center"/>
        <w:outlineLvl w:val="0"/>
        <w:rPr>
          <w:rFonts w:hint="eastAsia" w:ascii="Times New Roman" w:hAnsi="Times New Roman" w:eastAsia="黑体"/>
          <w:color w:val="auto"/>
          <w:sz w:val="44"/>
          <w:szCs w:val="44"/>
          <w:highlight w:val="none"/>
        </w:rPr>
      </w:pPr>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51"/>
      <w:bookmarkEnd w:id="52"/>
    </w:p>
    <w:p>
      <w:pPr>
        <w:spacing w:line="600" w:lineRule="exact"/>
        <w:jc w:val="left"/>
        <w:rPr>
          <w:rFonts w:ascii="Times New Roman" w:hAnsi="Times New Roman"/>
          <w:b/>
          <w:color w:val="auto"/>
          <w:sz w:val="44"/>
          <w:szCs w:val="44"/>
          <w:highlight w:val="none"/>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1.财政拨款收入：指单位从同级财政部门取得的财政预算资金。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.基本支出：指为保障机构正常运转、完成日常工作任务而发生的人员支出和公用支出。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.项目支出：指在基本支出之外为完成特定行政任务和事业发展目标所发生的支出。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4.社会保障和就业支出</w:t>
      </w:r>
      <w:r>
        <w:rPr>
          <w:rFonts w:hint="eastAsia" w:ascii="Times New Roman" w:hAnsi="Times New Roman" w:eastAsia="仿宋_GB2312" w:cs="仿宋_GB2312"/>
          <w:color w:val="auto"/>
          <w:kern w:val="2"/>
          <w:sz w:val="32"/>
          <w:szCs w:val="32"/>
          <w:highlight w:val="none"/>
          <w:lang w:val="en-US" w:eastAsia="zh-CN" w:bidi="ar-SA"/>
        </w:rPr>
        <w:t>（类）人力资源和社会保障管理事务（款）其他人力资源和社会保障管理事务支出（项）</w:t>
      </w:r>
      <w:r>
        <w:rPr>
          <w:rFonts w:hint="eastAsia" w:eastAsia="仿宋_GB2312" w:cs="仿宋_GB2312"/>
          <w:color w:val="auto"/>
          <w:kern w:val="2"/>
          <w:sz w:val="32"/>
          <w:szCs w:val="32"/>
          <w:highlight w:val="none"/>
          <w:lang w:val="en-US" w:eastAsia="zh-CN" w:bidi="ar-SA"/>
        </w:rPr>
        <w:t>：指其他用于人力资源和社会保障管理事务方面的支出。</w:t>
      </w:r>
    </w:p>
    <w:p>
      <w:pPr>
        <w:spacing w:line="600" w:lineRule="exact"/>
        <w:ind w:firstLine="640"/>
        <w:rPr>
          <w:rFonts w:hint="eastAsia"/>
          <w:lang w:val="en-US" w:eastAsia="zh-CN"/>
        </w:rPr>
      </w:pPr>
      <w:r>
        <w:rPr>
          <w:rFonts w:hint="eastAsia" w:eastAsia="仿宋_GB2312" w:cs="仿宋_GB2312"/>
          <w:color w:val="auto"/>
          <w:kern w:val="2"/>
          <w:sz w:val="32"/>
          <w:szCs w:val="32"/>
          <w:highlight w:val="none"/>
          <w:lang w:val="en-US" w:eastAsia="zh-CN" w:bidi="ar-SA"/>
        </w:rPr>
        <w:t>5</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社会保障和就业支出</w:t>
      </w:r>
      <w:r>
        <w:rPr>
          <w:rFonts w:hint="eastAsia" w:ascii="Times New Roman" w:hAnsi="Times New Roman" w:eastAsia="仿宋_GB2312" w:cs="仿宋_GB2312"/>
          <w:color w:val="auto"/>
          <w:kern w:val="2"/>
          <w:sz w:val="32"/>
          <w:szCs w:val="32"/>
          <w:highlight w:val="none"/>
          <w:lang w:val="en-US" w:eastAsia="zh-CN" w:bidi="ar-SA"/>
        </w:rPr>
        <w:t>（类）行政事业单位养老支出（款）事业单位离退休（项）: 指事业单位开支的离退休经费。</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6</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社会保障和就业支出</w:t>
      </w:r>
      <w:r>
        <w:rPr>
          <w:rFonts w:hint="eastAsia" w:ascii="Times New Roman" w:hAnsi="Times New Roman" w:eastAsia="仿宋_GB2312" w:cs="仿宋_GB2312"/>
          <w:color w:val="auto"/>
          <w:kern w:val="2"/>
          <w:sz w:val="32"/>
          <w:szCs w:val="32"/>
          <w:highlight w:val="none"/>
          <w:lang w:val="en-US" w:eastAsia="zh-CN" w:bidi="ar-SA"/>
        </w:rPr>
        <w:t>（类）行政事业单位养老支出（款）机关事业单位</w:t>
      </w:r>
      <w:r>
        <w:rPr>
          <w:rFonts w:hint="eastAsia" w:eastAsia="仿宋_GB2312" w:cs="仿宋_GB2312"/>
          <w:color w:val="auto"/>
          <w:kern w:val="2"/>
          <w:sz w:val="32"/>
          <w:szCs w:val="32"/>
          <w:highlight w:val="none"/>
          <w:lang w:val="en-US" w:eastAsia="zh-CN" w:bidi="ar-SA"/>
        </w:rPr>
        <w:t>基本养老保险</w:t>
      </w:r>
      <w:r>
        <w:rPr>
          <w:rFonts w:hint="eastAsia" w:ascii="Times New Roman" w:hAnsi="Times New Roman" w:eastAsia="仿宋_GB2312" w:cs="仿宋_GB2312"/>
          <w:color w:val="auto"/>
          <w:kern w:val="2"/>
          <w:sz w:val="32"/>
          <w:szCs w:val="32"/>
          <w:highlight w:val="none"/>
          <w:lang w:val="en-US" w:eastAsia="zh-CN" w:bidi="ar-SA"/>
        </w:rPr>
        <w:t>缴费支出（项）</w:t>
      </w:r>
      <w:r>
        <w:rPr>
          <w:rFonts w:hint="eastAsia"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lang w:eastAsia="zh-CN"/>
        </w:rPr>
        <w:t>指</w:t>
      </w:r>
      <w:r>
        <w:rPr>
          <w:rFonts w:hint="eastAsia" w:ascii="仿宋_GB2312" w:hAnsi="仿宋_GB2312" w:eastAsia="仿宋_GB2312" w:cs="仿宋_GB2312"/>
          <w:sz w:val="32"/>
          <w:szCs w:val="32"/>
        </w:rPr>
        <w:t>机关事业单位实施养老保险制度由单位缴纳的基本养老保险费支出。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7</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社会保障和就业支出</w:t>
      </w:r>
      <w:r>
        <w:rPr>
          <w:rFonts w:hint="eastAsia" w:ascii="Times New Roman" w:hAnsi="Times New Roman" w:eastAsia="仿宋_GB2312" w:cs="仿宋_GB2312"/>
          <w:color w:val="auto"/>
          <w:kern w:val="2"/>
          <w:sz w:val="32"/>
          <w:szCs w:val="32"/>
          <w:highlight w:val="none"/>
          <w:lang w:val="en-US" w:eastAsia="zh-CN" w:bidi="ar-SA"/>
        </w:rPr>
        <w:t>（类）行政事业单位养老支出（款）机关事业单位职业年金缴费支出（项）</w:t>
      </w:r>
      <w:r>
        <w:rPr>
          <w:rFonts w:hint="eastAsia" w:eastAsia="仿宋_GB2312" w:cs="仿宋_GB2312"/>
          <w:color w:val="auto"/>
          <w:kern w:val="2"/>
          <w:sz w:val="32"/>
          <w:szCs w:val="32"/>
          <w:highlight w:val="none"/>
          <w:lang w:val="en-US" w:eastAsia="zh-CN" w:bidi="ar-SA"/>
        </w:rPr>
        <w:t>：指机关事业单位实施养老保险制度由单位实际缴纳的职业年金支出。</w:t>
      </w:r>
    </w:p>
    <w:p>
      <w:pPr>
        <w:spacing w:line="600" w:lineRule="exact"/>
        <w:ind w:firstLine="640"/>
        <w:rPr>
          <w:rFonts w:hint="eastAsia" w:ascii="仿宋_GB2312" w:hAnsi="仿宋_GB2312" w:eastAsia="仿宋_GB2312" w:cs="仿宋_GB2312"/>
          <w:sz w:val="32"/>
          <w:szCs w:val="32"/>
          <w:lang w:val="en-US" w:eastAsia="zh-CN"/>
        </w:rPr>
      </w:pPr>
      <w:r>
        <w:rPr>
          <w:rFonts w:hint="eastAsia" w:eastAsia="仿宋_GB2312" w:cs="仿宋_GB2312"/>
          <w:color w:val="auto"/>
          <w:kern w:val="2"/>
          <w:sz w:val="32"/>
          <w:szCs w:val="32"/>
          <w:highlight w:val="none"/>
          <w:lang w:val="en-US" w:eastAsia="zh-CN" w:bidi="ar-SA"/>
        </w:rPr>
        <w:t>8</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卫生健康支出</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行政事业单位医疗</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事业单位医疗</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lang w:eastAsia="zh-CN"/>
        </w:rPr>
        <w:t>指</w:t>
      </w:r>
      <w:r>
        <w:rPr>
          <w:rFonts w:hint="eastAsia" w:ascii="仿宋_GB2312" w:hAnsi="仿宋_GB2312" w:eastAsia="仿宋_GB2312" w:cs="仿宋_GB2312"/>
          <w:sz w:val="32"/>
          <w:szCs w:val="32"/>
          <w:lang w:val="en-US" w:eastAsia="zh-CN"/>
        </w:rPr>
        <w:t>财政部门安排的事业单位基本医疗保险缴费经费，未参加医疗保险的事业单位的公费医疗经费，按国家规定享受离休人员待遇的医疗经费。</w:t>
      </w:r>
    </w:p>
    <w:p>
      <w:pPr>
        <w:ind w:firstLine="640" w:firstLineChars="200"/>
        <w:rPr>
          <w:rFonts w:hint="eastAsia" w:ascii="仿宋_GB2312" w:hAnsi="仿宋_GB2312" w:eastAsia="仿宋_GB2312" w:cs="仿宋_GB2312"/>
          <w:sz w:val="32"/>
          <w:szCs w:val="32"/>
          <w:lang w:val="en-US" w:eastAsia="zh-CN"/>
        </w:rPr>
      </w:pPr>
      <w:r>
        <w:rPr>
          <w:rFonts w:hint="eastAsia" w:eastAsia="仿宋_GB2312" w:cs="仿宋_GB2312"/>
          <w:color w:val="auto"/>
          <w:kern w:val="2"/>
          <w:sz w:val="32"/>
          <w:szCs w:val="32"/>
          <w:highlight w:val="none"/>
          <w:lang w:val="en-US" w:eastAsia="zh-CN" w:bidi="ar-SA"/>
        </w:rPr>
        <w:t>9</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卫生健康支出</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行政事业单位医疗</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公务员医疗补助</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lang w:eastAsia="zh-CN"/>
        </w:rPr>
        <w:t>指</w:t>
      </w:r>
      <w:r>
        <w:rPr>
          <w:rFonts w:hint="eastAsia" w:ascii="仿宋_GB2312" w:hAnsi="仿宋_GB2312" w:eastAsia="仿宋_GB2312" w:cs="仿宋_GB2312"/>
          <w:sz w:val="32"/>
          <w:szCs w:val="32"/>
          <w:lang w:val="en-US" w:eastAsia="zh-CN"/>
        </w:rPr>
        <w:t>财政部门安排的公务员医疗补助经费。</w:t>
      </w:r>
    </w:p>
    <w:p>
      <w:pPr>
        <w:ind w:firstLine="640" w:firstLineChars="200"/>
        <w:rPr>
          <w:rFonts w:hint="eastAsia" w:ascii="仿宋_GB2312" w:hAnsi="仿宋_GB2312" w:eastAsia="仿宋_GB2312" w:cs="仿宋_GB2312"/>
          <w:sz w:val="32"/>
          <w:szCs w:val="32"/>
        </w:rPr>
      </w:pPr>
      <w:r>
        <w:rPr>
          <w:rStyle w:val="17"/>
          <w:rFonts w:hint="eastAsia" w:ascii="仿宋_GB2312" w:hAnsi="仿宋_GB2312" w:eastAsia="仿宋_GB2312" w:cs="仿宋_GB2312"/>
          <w:b w:val="0"/>
          <w:bCs/>
          <w:sz w:val="32"/>
          <w:szCs w:val="32"/>
          <w:lang w:val="en-US" w:eastAsia="zh-CN"/>
        </w:rPr>
        <w:t>10</w:t>
      </w:r>
      <w:r>
        <w:rPr>
          <w:rStyle w:val="17"/>
          <w:rFonts w:hint="eastAsia" w:ascii="仿宋_GB2312" w:hAnsi="仿宋_GB2312" w:eastAsia="仿宋_GB2312" w:cs="仿宋_GB2312"/>
          <w:b w:val="0"/>
          <w:bCs/>
          <w:sz w:val="32"/>
          <w:szCs w:val="32"/>
        </w:rPr>
        <w:t>.城乡社区支出（类）城乡社区管理事务（款）其他城乡社区管理事务支出（项）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指</w:t>
      </w:r>
      <w:r>
        <w:rPr>
          <w:rFonts w:hint="eastAsia" w:ascii="仿宋_GB2312" w:hAnsi="仿宋_GB2312" w:eastAsia="仿宋_GB2312" w:cs="仿宋_GB2312"/>
          <w:sz w:val="32"/>
          <w:szCs w:val="32"/>
        </w:rPr>
        <w:t>其他用于城乡社区管理事务方面的支出。</w:t>
      </w:r>
    </w:p>
    <w:p>
      <w:pPr>
        <w:pStyle w:val="8"/>
        <w:spacing w:before="93" w:beforeLines="0"/>
        <w:ind w:firstLine="640" w:firstLineChars="200"/>
        <w:rPr>
          <w:rFonts w:hint="eastAsia" w:ascii="仿宋_GB2312" w:hAnsi="仿宋_GB2312" w:eastAsia="仿宋_GB2312" w:cs="仿宋_GB2312"/>
          <w:b/>
          <w:sz w:val="32"/>
          <w:szCs w:val="32"/>
        </w:rPr>
      </w:pPr>
      <w:r>
        <w:rPr>
          <w:rStyle w:val="17"/>
          <w:rFonts w:hint="eastAsia" w:hAnsi="仿宋_GB2312" w:cs="仿宋_GB2312"/>
          <w:b w:val="0"/>
          <w:bCs/>
          <w:sz w:val="32"/>
          <w:szCs w:val="32"/>
          <w:lang w:val="en-US" w:eastAsia="zh-CN"/>
        </w:rPr>
        <w:t>11</w:t>
      </w:r>
      <w:r>
        <w:rPr>
          <w:rStyle w:val="17"/>
          <w:rFonts w:hint="eastAsia" w:ascii="仿宋_GB2312" w:hAnsi="仿宋_GB2312" w:eastAsia="仿宋_GB2312" w:cs="仿宋_GB2312"/>
          <w:b w:val="0"/>
          <w:bCs/>
          <w:sz w:val="32"/>
          <w:szCs w:val="32"/>
        </w:rPr>
        <w:t>.住房保障支出（类）住房改革支出（款）住房公积金（项）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指</w:t>
      </w:r>
      <w:r>
        <w:rPr>
          <w:rFonts w:hint="eastAsia" w:ascii="仿宋_GB2312" w:hAnsi="仿宋_GB2312" w:eastAsia="仿宋_GB2312" w:cs="仿宋_GB2312"/>
          <w:sz w:val="32"/>
          <w:szCs w:val="32"/>
        </w:rPr>
        <w:t>行政事业单位按人力资源和社会保障部、财政部规定的基本工资和津贴补贴以及规定比例为职工缴纳的住房公积金。</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12</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三公</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13</w:t>
      </w:r>
      <w:r>
        <w:rPr>
          <w:rFonts w:hint="eastAsia" w:ascii="Times New Roman" w:hAnsi="Times New Roman" w:eastAsia="仿宋_GB2312" w:cs="仿宋_GB2312"/>
          <w:color w:val="auto"/>
          <w:kern w:val="2"/>
          <w:sz w:val="32"/>
          <w:szCs w:val="32"/>
          <w:highlight w:val="none"/>
          <w:lang w:val="en-US" w:eastAsia="zh-CN" w:bidi="ar-SA"/>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bookmarkStart w:id="53" w:name="_Toc15377226"/>
      <w:r>
        <w:rPr>
          <w:rFonts w:hint="eastAsia" w:ascii="Times New Roman" w:hAnsi="Times New Roman" w:eastAsia="仿宋_GB2312" w:cs="仿宋_GB2312"/>
          <w:color w:val="auto"/>
          <w:kern w:val="2"/>
          <w:sz w:val="32"/>
          <w:szCs w:val="32"/>
          <w:highlight w:val="none"/>
          <w:lang w:val="en-US" w:eastAsia="zh-CN" w:bidi="ar-SA"/>
        </w:rPr>
        <w:br w:type="page"/>
      </w:r>
    </w:p>
    <w:p>
      <w:pPr>
        <w:spacing w:line="600" w:lineRule="exact"/>
        <w:jc w:val="center"/>
        <w:outlineLvl w:val="0"/>
        <w:rPr>
          <w:rStyle w:val="35"/>
          <w:rFonts w:ascii="黑体" w:hAnsi="黑体" w:eastAsia="黑体"/>
          <w:b w:val="0"/>
        </w:rPr>
      </w:pPr>
      <w:bookmarkStart w:id="54" w:name="_Toc15396614"/>
      <w:bookmarkStart w:id="55" w:name="_Toc15396618"/>
      <w:r>
        <w:rPr>
          <w:rFonts w:hint="eastAsia" w:ascii="黑体" w:hAnsi="黑体" w:eastAsia="黑体"/>
          <w:sz w:val="44"/>
          <w:szCs w:val="44"/>
        </w:rPr>
        <w:t>第</w:t>
      </w:r>
      <w:r>
        <w:rPr>
          <w:rStyle w:val="35"/>
          <w:rFonts w:hint="eastAsia" w:ascii="黑体" w:hAnsi="黑体" w:eastAsia="黑体"/>
          <w:b w:val="0"/>
        </w:rPr>
        <w:t>四部分</w:t>
      </w:r>
      <w:r>
        <w:rPr>
          <w:rStyle w:val="35"/>
          <w:rFonts w:ascii="黑体" w:hAnsi="黑体" w:eastAsia="黑体"/>
          <w:b w:val="0"/>
        </w:rPr>
        <w:t xml:space="preserve"> </w:t>
      </w:r>
      <w:r>
        <w:rPr>
          <w:rStyle w:val="35"/>
          <w:rFonts w:hint="eastAsia" w:ascii="黑体" w:hAnsi="黑体" w:eastAsia="黑体"/>
          <w:b w:val="0"/>
        </w:rPr>
        <w:t>附件</w:t>
      </w:r>
      <w:bookmarkEnd w:id="54"/>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部门预算项目支出绩效自评表（202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kern w:val="0"/>
          <w:sz w:val="32"/>
          <w:szCs w:val="32"/>
          <w:lang w:eastAsia="zh-CN"/>
        </w:rPr>
        <w:t>见附件</w:t>
      </w:r>
      <w:r>
        <w:rPr>
          <w:rFonts w:hint="eastAsia" w:ascii="仿宋_GB2312" w:hAnsi="仿宋_GB2312" w:eastAsia="仿宋_GB2312" w:cs="仿宋_GB2312"/>
          <w:kern w:val="0"/>
          <w:sz w:val="32"/>
          <w:szCs w:val="32"/>
          <w:lang w:val="en-US" w:eastAsia="zh-CN"/>
        </w:rPr>
        <w:t>3</w:t>
      </w:r>
      <w:bookmarkStart w:id="69" w:name="_GoBack"/>
      <w:bookmarkEnd w:id="69"/>
    </w:p>
    <w:p>
      <w:pPr>
        <w:rPr>
          <w:rFonts w:hint="eastAsia" w:ascii="Times New Roman" w:hAnsi="Times New Roman" w:eastAsia="黑体"/>
          <w:color w:val="auto"/>
          <w:sz w:val="44"/>
          <w:szCs w:val="44"/>
          <w:highlight w:val="none"/>
        </w:rPr>
      </w:pPr>
      <w:r>
        <w:rPr>
          <w:rFonts w:hint="eastAsia" w:ascii="Times New Roman" w:hAnsi="Times New Roman" w:eastAsia="黑体"/>
          <w:color w:val="auto"/>
          <w:sz w:val="44"/>
          <w:szCs w:val="44"/>
          <w:highlight w:val="none"/>
        </w:rPr>
        <w:br w:type="page"/>
      </w:r>
    </w:p>
    <w:p>
      <w:pPr>
        <w:widowControl/>
        <w:jc w:val="center"/>
        <w:rPr>
          <w:rFonts w:hint="eastAsia" w:ascii="Times New Roman" w:hAnsi="Times New Roman" w:eastAsia="仿宋"/>
          <w:b w:val="0"/>
          <w:color w:val="auto"/>
          <w:highlight w:val="none"/>
        </w:rPr>
      </w:pPr>
      <w:r>
        <w:rPr>
          <w:rFonts w:hint="eastAsia" w:ascii="Times New Roman" w:hAnsi="Times New Roman" w:eastAsia="黑体"/>
          <w:color w:val="auto"/>
          <w:sz w:val="44"/>
          <w:szCs w:val="44"/>
          <w:highlight w:val="none"/>
        </w:rPr>
        <w:t>第</w:t>
      </w:r>
      <w:r>
        <w:rPr>
          <w:rStyle w:val="28"/>
          <w:rFonts w:hint="eastAsia" w:eastAsia="黑体"/>
          <w:b w:val="0"/>
          <w:color w:val="auto"/>
          <w:highlight w:val="none"/>
          <w:lang w:eastAsia="zh-CN"/>
        </w:rPr>
        <w:t>五</w:t>
      </w:r>
      <w:r>
        <w:rPr>
          <w:rStyle w:val="28"/>
          <w:rFonts w:hint="eastAsia" w:ascii="Times New Roman" w:hAnsi="Times New Roman" w:eastAsia="黑体"/>
          <w:b w:val="0"/>
          <w:color w:val="auto"/>
          <w:highlight w:val="none"/>
        </w:rPr>
        <w:t>部分 附表</w:t>
      </w:r>
      <w:bookmarkEnd w:id="53"/>
      <w:bookmarkEnd w:id="55"/>
      <w:bookmarkStart w:id="56" w:name="_Toc15396619"/>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bookmarkEnd w:id="56"/>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7" w:name="_Toc15396620"/>
      <w:r>
        <w:rPr>
          <w:rFonts w:hint="eastAsia" w:ascii="Times New Roman" w:hAnsi="Times New Roman" w:eastAsia="仿宋_GB2312" w:cs="仿宋_GB2312"/>
          <w:color w:val="auto"/>
          <w:sz w:val="32"/>
          <w:szCs w:val="32"/>
          <w:highlight w:val="none"/>
        </w:rPr>
        <w:t>二、收入决算表</w:t>
      </w:r>
      <w:bookmarkEnd w:id="57"/>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8" w:name="_Toc15396621"/>
      <w:r>
        <w:rPr>
          <w:rFonts w:hint="eastAsia" w:ascii="Times New Roman" w:hAnsi="Times New Roman" w:eastAsia="仿宋_GB2312" w:cs="仿宋_GB2312"/>
          <w:color w:val="auto"/>
          <w:sz w:val="32"/>
          <w:szCs w:val="32"/>
          <w:highlight w:val="none"/>
        </w:rPr>
        <w:t>三、支出决算表</w:t>
      </w:r>
      <w:bookmarkEnd w:id="58"/>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9" w:name="_Toc15396622"/>
      <w:r>
        <w:rPr>
          <w:rFonts w:hint="eastAsia" w:ascii="Times New Roman" w:hAnsi="Times New Roman" w:eastAsia="仿宋_GB2312" w:cs="仿宋_GB2312"/>
          <w:color w:val="auto"/>
          <w:sz w:val="32"/>
          <w:szCs w:val="32"/>
          <w:highlight w:val="none"/>
        </w:rPr>
        <w:t>四、财政拨款收入支出决算总表</w:t>
      </w:r>
      <w:bookmarkEnd w:id="59"/>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0" w:name="_Toc15396623"/>
      <w:r>
        <w:rPr>
          <w:rFonts w:hint="eastAsia" w:ascii="Times New Roman" w:hAnsi="Times New Roman" w:eastAsia="仿宋_GB2312" w:cs="仿宋_GB2312"/>
          <w:color w:val="auto"/>
          <w:sz w:val="32"/>
          <w:szCs w:val="32"/>
          <w:highlight w:val="none"/>
        </w:rPr>
        <w:t>五、财政拨款支出决算明细表</w:t>
      </w:r>
      <w:bookmarkEnd w:id="60"/>
      <w:bookmarkStart w:id="61" w:name="_Toc15396624"/>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bookmarkEnd w:id="61"/>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2" w:name="_Toc15396625"/>
      <w:r>
        <w:rPr>
          <w:rFonts w:hint="eastAsia" w:ascii="Times New Roman" w:hAnsi="Times New Roman" w:eastAsia="仿宋_GB2312" w:cs="仿宋_GB2312"/>
          <w:color w:val="auto"/>
          <w:sz w:val="32"/>
          <w:szCs w:val="32"/>
          <w:highlight w:val="none"/>
        </w:rPr>
        <w:t>七、一般公共预算财政拨款支出决算明细表</w:t>
      </w:r>
      <w:bookmarkEnd w:id="62"/>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3" w:name="_Toc15396626"/>
      <w:r>
        <w:rPr>
          <w:rFonts w:hint="eastAsia" w:ascii="Times New Roman" w:hAnsi="Times New Roman" w:eastAsia="仿宋_GB2312" w:cs="仿宋_GB2312"/>
          <w:color w:val="auto"/>
          <w:sz w:val="32"/>
          <w:szCs w:val="32"/>
          <w:highlight w:val="none"/>
        </w:rPr>
        <w:t>八、一般公共预算财政拨款基本支出决算表</w:t>
      </w:r>
      <w:bookmarkEnd w:id="63"/>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4" w:name="_Toc15396627"/>
      <w:r>
        <w:rPr>
          <w:rFonts w:hint="eastAsia" w:ascii="Times New Roman" w:hAnsi="Times New Roman" w:eastAsia="仿宋_GB2312" w:cs="仿宋_GB2312"/>
          <w:color w:val="auto"/>
          <w:sz w:val="32"/>
          <w:szCs w:val="32"/>
          <w:highlight w:val="none"/>
        </w:rPr>
        <w:t>九、一般公共预算财政拨款项目支出决算表</w:t>
      </w:r>
      <w:bookmarkEnd w:id="64"/>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5" w:name="_Toc15396628"/>
      <w:r>
        <w:rPr>
          <w:rFonts w:hint="eastAsia" w:ascii="Times New Roman" w:hAnsi="Times New Roman" w:eastAsia="仿宋_GB2312" w:cs="仿宋_GB2312"/>
          <w:color w:val="auto"/>
          <w:sz w:val="32"/>
          <w:szCs w:val="32"/>
          <w:highlight w:val="none"/>
        </w:rPr>
        <w:t>十、</w:t>
      </w:r>
      <w:bookmarkEnd w:id="65"/>
      <w:r>
        <w:rPr>
          <w:rFonts w:hint="eastAsia" w:ascii="Times New Roman" w:hAnsi="Times New Roman" w:eastAsia="仿宋_GB2312" w:cs="仿宋_GB2312"/>
          <w:color w:val="auto"/>
          <w:sz w:val="32"/>
          <w:szCs w:val="32"/>
          <w:highlight w:val="none"/>
        </w:rPr>
        <w:t>政府性基金预算财政拨款收入支出决算表</w:t>
      </w: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6" w:name="_Toc15396629"/>
      <w:r>
        <w:rPr>
          <w:rFonts w:hint="eastAsia" w:ascii="Times New Roman" w:hAnsi="Times New Roman" w:eastAsia="仿宋_GB2312" w:cs="仿宋_GB2312"/>
          <w:color w:val="auto"/>
          <w:sz w:val="32"/>
          <w:szCs w:val="32"/>
          <w:highlight w:val="none"/>
        </w:rPr>
        <w:t>十一、</w:t>
      </w:r>
      <w:bookmarkEnd w:id="66"/>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7" w:name="_Toc15396630"/>
      <w:r>
        <w:rPr>
          <w:rFonts w:hint="eastAsia" w:ascii="Times New Roman" w:hAnsi="Times New Roman" w:eastAsia="仿宋_GB2312" w:cs="仿宋_GB2312"/>
          <w:color w:val="auto"/>
          <w:sz w:val="32"/>
          <w:szCs w:val="32"/>
          <w:highlight w:val="none"/>
        </w:rPr>
        <w:t>十二、</w:t>
      </w:r>
      <w:bookmarkEnd w:id="67"/>
      <w:r>
        <w:rPr>
          <w:rFonts w:hint="eastAsia" w:ascii="Times New Roman" w:hAnsi="Times New Roman" w:eastAsia="仿宋_GB2312" w:cs="仿宋_GB2312"/>
          <w:color w:val="auto"/>
          <w:sz w:val="32"/>
          <w:szCs w:val="32"/>
          <w:highlight w:val="none"/>
          <w:lang w:eastAsia="zh-CN"/>
        </w:rPr>
        <w:t>国有资本经营预算财政拨款支出决算表</w:t>
      </w: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68" w:name="_Toc15396631"/>
      <w:r>
        <w:rPr>
          <w:rFonts w:hint="eastAsia" w:ascii="Times New Roman" w:hAnsi="Times New Roman" w:eastAsia="仿宋_GB2312" w:cs="仿宋_GB2312"/>
          <w:color w:val="auto"/>
          <w:sz w:val="32"/>
          <w:szCs w:val="32"/>
          <w:highlight w:val="none"/>
        </w:rPr>
        <w:t>十三、</w:t>
      </w:r>
      <w:bookmarkEnd w:id="68"/>
      <w:r>
        <w:rPr>
          <w:rFonts w:hint="eastAsia" w:ascii="Times New Roman" w:hAnsi="Times New Roman" w:eastAsia="仿宋_GB2312" w:cs="仿宋_GB2312"/>
          <w:color w:val="auto"/>
          <w:sz w:val="32"/>
          <w:szCs w:val="32"/>
          <w:highlight w:val="none"/>
          <w:lang w:eastAsia="zh-CN"/>
        </w:rPr>
        <w:t>财政拨款“三公”经费支出决算表</w:t>
      </w:r>
    </w:p>
    <w:p>
      <w:pPr>
        <w:rPr>
          <w:rFonts w:hint="eastAsia" w:ascii="Times New Roman" w:hAnsi="Times New Roman"/>
          <w:lang w:eastAsia="zh-CN"/>
        </w:rPr>
      </w:pPr>
    </w:p>
    <w:sectPr>
      <w:footerReference r:id="rId6" w:type="first"/>
      <w:footerReference r:id="rId5"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仿宋"/>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11"/>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r>
                      <w:rPr>
                        <w:sz w:val="28"/>
                        <w:szCs w:val="28"/>
                      </w:rPr>
                      <w:t xml:space="preserve"> —</w:t>
                    </w:r>
                  </w:p>
                </w:txbxContent>
              </v:textbox>
            </v:shape>
          </w:pict>
        </mc:Fallback>
      </mc:AlternateContent>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11"/>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9867E8F"/>
    <w:rsid w:val="0A2032A3"/>
    <w:rsid w:val="0CA8290A"/>
    <w:rsid w:val="0D35B1ED"/>
    <w:rsid w:val="0E254B6B"/>
    <w:rsid w:val="0EDFBB59"/>
    <w:rsid w:val="0F98263C"/>
    <w:rsid w:val="0FB94C4E"/>
    <w:rsid w:val="101860EC"/>
    <w:rsid w:val="101F47CC"/>
    <w:rsid w:val="10C055FF"/>
    <w:rsid w:val="11694EBD"/>
    <w:rsid w:val="11772AA4"/>
    <w:rsid w:val="118107EC"/>
    <w:rsid w:val="11FD81AE"/>
    <w:rsid w:val="12E24EE2"/>
    <w:rsid w:val="13D50BC4"/>
    <w:rsid w:val="14B17F78"/>
    <w:rsid w:val="165E0673"/>
    <w:rsid w:val="16B831D5"/>
    <w:rsid w:val="16BB723D"/>
    <w:rsid w:val="17E50567"/>
    <w:rsid w:val="186504BB"/>
    <w:rsid w:val="19A445FC"/>
    <w:rsid w:val="1BE8440E"/>
    <w:rsid w:val="1D155CEE"/>
    <w:rsid w:val="1D1638FE"/>
    <w:rsid w:val="1E312DEB"/>
    <w:rsid w:val="1E740ACF"/>
    <w:rsid w:val="1EEBF719"/>
    <w:rsid w:val="1FF10228"/>
    <w:rsid w:val="1FF35744"/>
    <w:rsid w:val="1FF6BC77"/>
    <w:rsid w:val="1FFEFD5C"/>
    <w:rsid w:val="2186353C"/>
    <w:rsid w:val="23860B96"/>
    <w:rsid w:val="240371BF"/>
    <w:rsid w:val="244F3473"/>
    <w:rsid w:val="24C97D99"/>
    <w:rsid w:val="25A718F0"/>
    <w:rsid w:val="25BB59F6"/>
    <w:rsid w:val="25DD9F47"/>
    <w:rsid w:val="260F557C"/>
    <w:rsid w:val="26970054"/>
    <w:rsid w:val="281408E2"/>
    <w:rsid w:val="29FD04D3"/>
    <w:rsid w:val="2BFF7BC6"/>
    <w:rsid w:val="2C8A61B5"/>
    <w:rsid w:val="2DF04E50"/>
    <w:rsid w:val="2E586DFA"/>
    <w:rsid w:val="2F040D46"/>
    <w:rsid w:val="2F6B035B"/>
    <w:rsid w:val="2FAE5751"/>
    <w:rsid w:val="2FB1A395"/>
    <w:rsid w:val="2FCF5A5C"/>
    <w:rsid w:val="2FD9A7D8"/>
    <w:rsid w:val="2FDBF714"/>
    <w:rsid w:val="30AB6865"/>
    <w:rsid w:val="30FF68BF"/>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DF83A9"/>
    <w:rsid w:val="3BF5BC2F"/>
    <w:rsid w:val="3C55D151"/>
    <w:rsid w:val="3CEBA265"/>
    <w:rsid w:val="3D6D249D"/>
    <w:rsid w:val="3D98207C"/>
    <w:rsid w:val="3DEE7CF3"/>
    <w:rsid w:val="3DF94C14"/>
    <w:rsid w:val="3E740A63"/>
    <w:rsid w:val="3E78745D"/>
    <w:rsid w:val="3EE17838"/>
    <w:rsid w:val="3F292DB0"/>
    <w:rsid w:val="3F55381A"/>
    <w:rsid w:val="3F599D01"/>
    <w:rsid w:val="3F7F7599"/>
    <w:rsid w:val="3FDEFB04"/>
    <w:rsid w:val="3FF4CAE0"/>
    <w:rsid w:val="3FF7B227"/>
    <w:rsid w:val="40DD21E8"/>
    <w:rsid w:val="44E268DA"/>
    <w:rsid w:val="450D13D7"/>
    <w:rsid w:val="45506656"/>
    <w:rsid w:val="47C34FE9"/>
    <w:rsid w:val="486A6C7A"/>
    <w:rsid w:val="4A627F82"/>
    <w:rsid w:val="4B0E749A"/>
    <w:rsid w:val="4B2477C4"/>
    <w:rsid w:val="4B4F25DA"/>
    <w:rsid w:val="4BE068DB"/>
    <w:rsid w:val="4D577224"/>
    <w:rsid w:val="4DBF1CEB"/>
    <w:rsid w:val="4DF0007C"/>
    <w:rsid w:val="4E8F6590"/>
    <w:rsid w:val="4EAB630A"/>
    <w:rsid w:val="4ECE2238"/>
    <w:rsid w:val="4EDF9BDD"/>
    <w:rsid w:val="4F7F4C0D"/>
    <w:rsid w:val="4F833267"/>
    <w:rsid w:val="4FE9BD67"/>
    <w:rsid w:val="4FFB052F"/>
    <w:rsid w:val="52DDAE72"/>
    <w:rsid w:val="537E6D0A"/>
    <w:rsid w:val="53F74C96"/>
    <w:rsid w:val="53FE0D45"/>
    <w:rsid w:val="54EB3F7C"/>
    <w:rsid w:val="55170BA8"/>
    <w:rsid w:val="553218C9"/>
    <w:rsid w:val="567E1AA5"/>
    <w:rsid w:val="56BEB80A"/>
    <w:rsid w:val="56E47B74"/>
    <w:rsid w:val="57175D52"/>
    <w:rsid w:val="57BD3DD4"/>
    <w:rsid w:val="57DB57C3"/>
    <w:rsid w:val="5AF92295"/>
    <w:rsid w:val="5B250254"/>
    <w:rsid w:val="5BDD79E6"/>
    <w:rsid w:val="5BDED284"/>
    <w:rsid w:val="5BF561CA"/>
    <w:rsid w:val="5BFF5DFC"/>
    <w:rsid w:val="5CD71FC4"/>
    <w:rsid w:val="5D1F11B5"/>
    <w:rsid w:val="5D695134"/>
    <w:rsid w:val="5DAE1B18"/>
    <w:rsid w:val="5DE7D9E5"/>
    <w:rsid w:val="5ECEC941"/>
    <w:rsid w:val="5F5D5EB3"/>
    <w:rsid w:val="5FBEDD20"/>
    <w:rsid w:val="5FBF9FF3"/>
    <w:rsid w:val="5FCD4E2C"/>
    <w:rsid w:val="5FD9E8B0"/>
    <w:rsid w:val="5FEF394A"/>
    <w:rsid w:val="5FF67715"/>
    <w:rsid w:val="62BF3928"/>
    <w:rsid w:val="63B3701E"/>
    <w:rsid w:val="647F5392"/>
    <w:rsid w:val="65E66580"/>
    <w:rsid w:val="664B1D71"/>
    <w:rsid w:val="664B4E8E"/>
    <w:rsid w:val="670F9484"/>
    <w:rsid w:val="67277B67"/>
    <w:rsid w:val="67AA3209"/>
    <w:rsid w:val="67F7F5F2"/>
    <w:rsid w:val="698D0931"/>
    <w:rsid w:val="69DBDFD2"/>
    <w:rsid w:val="6A7FE5F3"/>
    <w:rsid w:val="6B053271"/>
    <w:rsid w:val="6BDD78B3"/>
    <w:rsid w:val="6C4A05C8"/>
    <w:rsid w:val="6C8742B8"/>
    <w:rsid w:val="6DBF5E93"/>
    <w:rsid w:val="6DFB09F4"/>
    <w:rsid w:val="6DFF077E"/>
    <w:rsid w:val="6E714EF0"/>
    <w:rsid w:val="6E7E3605"/>
    <w:rsid w:val="6E7FDCC7"/>
    <w:rsid w:val="6ECEBC68"/>
    <w:rsid w:val="6ED6A62E"/>
    <w:rsid w:val="6EE00B15"/>
    <w:rsid w:val="6F6FB3EB"/>
    <w:rsid w:val="6F8731EA"/>
    <w:rsid w:val="6FCE6052"/>
    <w:rsid w:val="6FD57C00"/>
    <w:rsid w:val="6FEB0135"/>
    <w:rsid w:val="6FEFFFD8"/>
    <w:rsid w:val="6FF5CC65"/>
    <w:rsid w:val="6FF71402"/>
    <w:rsid w:val="6FFB47EC"/>
    <w:rsid w:val="6FFF034A"/>
    <w:rsid w:val="70484440"/>
    <w:rsid w:val="70EFC416"/>
    <w:rsid w:val="712A28F1"/>
    <w:rsid w:val="715C0E4B"/>
    <w:rsid w:val="71992E7C"/>
    <w:rsid w:val="71FD03D9"/>
    <w:rsid w:val="72233669"/>
    <w:rsid w:val="72343B17"/>
    <w:rsid w:val="72734D90"/>
    <w:rsid w:val="73160E6D"/>
    <w:rsid w:val="7332FE48"/>
    <w:rsid w:val="73AB61DA"/>
    <w:rsid w:val="73AD73D5"/>
    <w:rsid w:val="73B6EB34"/>
    <w:rsid w:val="73EEB563"/>
    <w:rsid w:val="73FA497D"/>
    <w:rsid w:val="744731E5"/>
    <w:rsid w:val="74BBD01D"/>
    <w:rsid w:val="74ED5379"/>
    <w:rsid w:val="75A8A603"/>
    <w:rsid w:val="75DEEEC2"/>
    <w:rsid w:val="75E32345"/>
    <w:rsid w:val="76DFBE17"/>
    <w:rsid w:val="76E3355F"/>
    <w:rsid w:val="76FF5125"/>
    <w:rsid w:val="774D3564"/>
    <w:rsid w:val="776F6FFA"/>
    <w:rsid w:val="777B7D00"/>
    <w:rsid w:val="778769C8"/>
    <w:rsid w:val="77A75DCA"/>
    <w:rsid w:val="77DC22F5"/>
    <w:rsid w:val="77EBD4BE"/>
    <w:rsid w:val="77F6F4DD"/>
    <w:rsid w:val="783E271A"/>
    <w:rsid w:val="78616DE9"/>
    <w:rsid w:val="78E875D7"/>
    <w:rsid w:val="79086DAD"/>
    <w:rsid w:val="79D7FD79"/>
    <w:rsid w:val="79EE5BA4"/>
    <w:rsid w:val="79FDAA5C"/>
    <w:rsid w:val="79FEE7B6"/>
    <w:rsid w:val="7A894339"/>
    <w:rsid w:val="7AD284E8"/>
    <w:rsid w:val="7AFF7572"/>
    <w:rsid w:val="7B4B3E93"/>
    <w:rsid w:val="7B6C7DFB"/>
    <w:rsid w:val="7BBFBED0"/>
    <w:rsid w:val="7BC3E394"/>
    <w:rsid w:val="7BCF0BFB"/>
    <w:rsid w:val="7BDBF2A0"/>
    <w:rsid w:val="7BEB32BD"/>
    <w:rsid w:val="7C1F3737"/>
    <w:rsid w:val="7C7FE122"/>
    <w:rsid w:val="7C9FD5D8"/>
    <w:rsid w:val="7CBFC87B"/>
    <w:rsid w:val="7CF8AC1F"/>
    <w:rsid w:val="7CFE0F48"/>
    <w:rsid w:val="7CFFB000"/>
    <w:rsid w:val="7D272ABC"/>
    <w:rsid w:val="7D7EC23E"/>
    <w:rsid w:val="7D7FA4AA"/>
    <w:rsid w:val="7D7FB1F8"/>
    <w:rsid w:val="7DBCA51B"/>
    <w:rsid w:val="7DFF28B4"/>
    <w:rsid w:val="7E8ADEBF"/>
    <w:rsid w:val="7EBBCE2F"/>
    <w:rsid w:val="7EBF8288"/>
    <w:rsid w:val="7EED1C9D"/>
    <w:rsid w:val="7EEF11D3"/>
    <w:rsid w:val="7EFE4840"/>
    <w:rsid w:val="7F0971A6"/>
    <w:rsid w:val="7F1D62E7"/>
    <w:rsid w:val="7F3F679B"/>
    <w:rsid w:val="7F4FC4EF"/>
    <w:rsid w:val="7F5E4D54"/>
    <w:rsid w:val="7F6E0135"/>
    <w:rsid w:val="7F79F205"/>
    <w:rsid w:val="7F8F3C46"/>
    <w:rsid w:val="7F949B92"/>
    <w:rsid w:val="7F9D2610"/>
    <w:rsid w:val="7FA30C79"/>
    <w:rsid w:val="7FA79C44"/>
    <w:rsid w:val="7FAF8ABF"/>
    <w:rsid w:val="7FB7269E"/>
    <w:rsid w:val="7FC96657"/>
    <w:rsid w:val="7FDA9588"/>
    <w:rsid w:val="7FDF220F"/>
    <w:rsid w:val="7FEDA6B6"/>
    <w:rsid w:val="7FEDC5F7"/>
    <w:rsid w:val="7FEDD9DE"/>
    <w:rsid w:val="7FF5890D"/>
    <w:rsid w:val="7FF93490"/>
    <w:rsid w:val="7FFB11F7"/>
    <w:rsid w:val="86D5F7AB"/>
    <w:rsid w:val="8FC7F0AB"/>
    <w:rsid w:val="95F7F7CE"/>
    <w:rsid w:val="99FF2014"/>
    <w:rsid w:val="9B7F354C"/>
    <w:rsid w:val="9D3E698D"/>
    <w:rsid w:val="9FD9405D"/>
    <w:rsid w:val="A6DD0D7F"/>
    <w:rsid w:val="ACFF4FBB"/>
    <w:rsid w:val="AD77FF4A"/>
    <w:rsid w:val="ADC6F725"/>
    <w:rsid w:val="AF5E43C1"/>
    <w:rsid w:val="B7BF796F"/>
    <w:rsid w:val="B7CF06AB"/>
    <w:rsid w:val="B7CFA926"/>
    <w:rsid w:val="B7F8786B"/>
    <w:rsid w:val="B9FFA17E"/>
    <w:rsid w:val="BABB6AA1"/>
    <w:rsid w:val="BB2F4199"/>
    <w:rsid w:val="BCFFB442"/>
    <w:rsid w:val="BD079C78"/>
    <w:rsid w:val="BD6FB206"/>
    <w:rsid w:val="BD733540"/>
    <w:rsid w:val="BDB78B48"/>
    <w:rsid w:val="BEEF77EE"/>
    <w:rsid w:val="BF3735D5"/>
    <w:rsid w:val="BF3BAD02"/>
    <w:rsid w:val="BF7F09AC"/>
    <w:rsid w:val="BF956098"/>
    <w:rsid w:val="BF9DA879"/>
    <w:rsid w:val="BFBFC145"/>
    <w:rsid w:val="BFD475C3"/>
    <w:rsid w:val="BFDE5EA6"/>
    <w:rsid w:val="BFDEB919"/>
    <w:rsid w:val="BFF12499"/>
    <w:rsid w:val="BFF9A746"/>
    <w:rsid w:val="BFFB54C8"/>
    <w:rsid w:val="CF6FC6F3"/>
    <w:rsid w:val="CFD3D3D7"/>
    <w:rsid w:val="CFDF1009"/>
    <w:rsid w:val="CFE7D01E"/>
    <w:rsid w:val="CFEF0AA7"/>
    <w:rsid w:val="CFFE7836"/>
    <w:rsid w:val="D7D7B16A"/>
    <w:rsid w:val="D8D6DB89"/>
    <w:rsid w:val="D9EB5345"/>
    <w:rsid w:val="D9FD9B27"/>
    <w:rsid w:val="DB6F4CAB"/>
    <w:rsid w:val="DB777682"/>
    <w:rsid w:val="DCF65FBF"/>
    <w:rsid w:val="DD1FB521"/>
    <w:rsid w:val="DE3722F6"/>
    <w:rsid w:val="DEFBFEAE"/>
    <w:rsid w:val="DF1F3B80"/>
    <w:rsid w:val="DF6F9789"/>
    <w:rsid w:val="DFDF9ACD"/>
    <w:rsid w:val="DFE9BE81"/>
    <w:rsid w:val="DFEA2143"/>
    <w:rsid w:val="DFFFA9E8"/>
    <w:rsid w:val="DFFFF7AE"/>
    <w:rsid w:val="E27F8764"/>
    <w:rsid w:val="E5F4E9DC"/>
    <w:rsid w:val="E6E92EB2"/>
    <w:rsid w:val="E70FE695"/>
    <w:rsid w:val="E76FB43C"/>
    <w:rsid w:val="E93D4707"/>
    <w:rsid w:val="EB2E368B"/>
    <w:rsid w:val="EB7DA378"/>
    <w:rsid w:val="EBF76698"/>
    <w:rsid w:val="ECFED1BC"/>
    <w:rsid w:val="ED1D69BB"/>
    <w:rsid w:val="ED7FD312"/>
    <w:rsid w:val="EE363ADF"/>
    <w:rsid w:val="EE3EEAFA"/>
    <w:rsid w:val="EF2E1AC6"/>
    <w:rsid w:val="EF53993F"/>
    <w:rsid w:val="EF6FD633"/>
    <w:rsid w:val="EF7FA163"/>
    <w:rsid w:val="EF97A4BC"/>
    <w:rsid w:val="EFBFB2F4"/>
    <w:rsid w:val="EFBFFA21"/>
    <w:rsid w:val="EFFFF200"/>
    <w:rsid w:val="F2BEBCB8"/>
    <w:rsid w:val="F36FB518"/>
    <w:rsid w:val="F37F0489"/>
    <w:rsid w:val="F3DE1A04"/>
    <w:rsid w:val="F3F2656F"/>
    <w:rsid w:val="F3F722E5"/>
    <w:rsid w:val="F4FBCD07"/>
    <w:rsid w:val="F6FF8027"/>
    <w:rsid w:val="F77E10A7"/>
    <w:rsid w:val="F77F2BAB"/>
    <w:rsid w:val="F79A8495"/>
    <w:rsid w:val="F9D78BAF"/>
    <w:rsid w:val="FA5F1E70"/>
    <w:rsid w:val="FA5FDB97"/>
    <w:rsid w:val="FB7F486A"/>
    <w:rsid w:val="FB9B6878"/>
    <w:rsid w:val="FBBF10F1"/>
    <w:rsid w:val="FBFF5B2E"/>
    <w:rsid w:val="FD761049"/>
    <w:rsid w:val="FD7D8C52"/>
    <w:rsid w:val="FD7FFE2B"/>
    <w:rsid w:val="FDAFA942"/>
    <w:rsid w:val="FDEE196B"/>
    <w:rsid w:val="FDFA6849"/>
    <w:rsid w:val="FDFE6575"/>
    <w:rsid w:val="FDFEB73D"/>
    <w:rsid w:val="FEDFDDC2"/>
    <w:rsid w:val="FEED32F6"/>
    <w:rsid w:val="FEF2F29F"/>
    <w:rsid w:val="FEF781DD"/>
    <w:rsid w:val="FF2FDC80"/>
    <w:rsid w:val="FF3F7E3F"/>
    <w:rsid w:val="FF9F0602"/>
    <w:rsid w:val="FFBA12D7"/>
    <w:rsid w:val="FFCBD314"/>
    <w:rsid w:val="FFDFF91C"/>
    <w:rsid w:val="FFDFFAEE"/>
    <w:rsid w:val="FFEF6777"/>
    <w:rsid w:val="FFF55B36"/>
    <w:rsid w:val="FFF9B57B"/>
    <w:rsid w:val="FFFB98D0"/>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8">
    <w:name w:val="Body Text"/>
    <w:basedOn w:val="1"/>
    <w:link w:val="25"/>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8"/>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5"/>
    <w:qFormat/>
    <w:uiPriority w:val="9"/>
    <w:rPr>
      <w:rFonts w:ascii="Times New Roman" w:hAnsi="Times New Roman"/>
      <w:b/>
      <w:bCs/>
      <w:kern w:val="44"/>
      <w:sz w:val="44"/>
      <w:szCs w:val="44"/>
    </w:rPr>
  </w:style>
  <w:style w:type="character" w:customStyle="1" w:styleId="29">
    <w:name w:val="标题 2 Char"/>
    <w:basedOn w:val="16"/>
    <w:link w:val="6"/>
    <w:qFormat/>
    <w:uiPriority w:val="9"/>
    <w:rPr>
      <w:rFonts w:asciiTheme="majorHAnsi" w:hAnsiTheme="majorHAnsi" w:eastAsiaTheme="majorEastAsia" w:cstheme="majorBidi"/>
      <w:b/>
      <w:bCs/>
      <w:kern w:val="2"/>
      <w:sz w:val="32"/>
      <w:szCs w:val="32"/>
    </w:rPr>
  </w:style>
  <w:style w:type="paragraph" w:customStyle="1" w:styleId="30">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10"/>
    <w:semiHidden/>
    <w:qFormat/>
    <w:uiPriority w:val="99"/>
    <w:rPr>
      <w:rFonts w:ascii="Times New Roman" w:hAnsi="Times New Roman"/>
      <w:kern w:val="2"/>
      <w:sz w:val="18"/>
      <w:szCs w:val="18"/>
    </w:rPr>
  </w:style>
  <w:style w:type="character" w:customStyle="1" w:styleId="32">
    <w:name w:val="标题 3 Char"/>
    <w:basedOn w:val="16"/>
    <w:link w:val="7"/>
    <w:qFormat/>
    <w:uiPriority w:val="9"/>
    <w:rPr>
      <w:rFonts w:ascii="Times New Roman" w:hAnsi="Times New Roman"/>
      <w:b/>
      <w:bCs/>
      <w:kern w:val="2"/>
      <w:sz w:val="32"/>
      <w:szCs w:val="32"/>
    </w:rPr>
  </w:style>
  <w:style w:type="paragraph" w:customStyle="1" w:styleId="33">
    <w:name w:val="TOC Heading"/>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 w:type="character" w:customStyle="1" w:styleId="35">
    <w:name w:val="heading 1 Char"/>
    <w:basedOn w:val="16"/>
    <w:link w:val="5"/>
    <w:qFormat/>
    <w:uiPriority w:val="0"/>
    <w:rPr>
      <w:rFonts w:ascii="Times New Roman" w:hAnsi="Times New Roman" w:eastAsia="宋体" w:cs="Times New Roman"/>
      <w:b/>
      <w:bCs/>
      <w:kern w:val="44"/>
      <w:sz w:val="44"/>
      <w:szCs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home/user/Desktop/24&#24180;&#20915;&#31639;&#20844;&#24320;/&#35828;&#26126;&#32472;&#2227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ome/user/Desktop/24&#24180;&#20915;&#31639;&#20844;&#24320;/&#35828;&#26126;&#32472;&#2227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ome/user/Desktop/24&#24180;&#20915;&#31639;&#20844;&#24320;/&#35828;&#26126;&#32472;&#2227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24037;&#20316;&#34920;%20&#22312;%20&#35828;&#26126;&#32472;&#2227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ome/user/Desktop/24&#24180;&#20915;&#31639;&#20844;&#24320;/&#35828;&#26126;&#32472;&#2227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ome/user/Desktop/24&#24180;&#20915;&#31639;&#20844;&#24320;/&#35828;&#26126;&#32472;&#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200" b="1" i="0" u="none" strike="noStrike" kern="1200" baseline="0">
                <a:solidFill>
                  <a:srgbClr val="000000"/>
                </a:solidFill>
                <a:latin typeface="宋体" charset="-122"/>
                <a:ea typeface="宋体" charset="-122"/>
                <a:cs typeface="宋体" charset="-122"/>
              </a:defRPr>
            </a:pPr>
            <a:r>
              <a:rPr lang="zh-CN" altLang="en-US"/>
              <a:t>收入、支出决算总计变动情况图</a:t>
            </a:r>
            <a:endParaRPr lang="zh-CN" altLang="en-US"/>
          </a:p>
        </c:rich>
      </c:tx>
      <c:layout/>
      <c:overlay val="false"/>
      <c:spPr>
        <a:noFill/>
        <a:ln w="25400">
          <a:noFill/>
        </a:ln>
      </c:spPr>
    </c:title>
    <c:autoTitleDeleted val="false"/>
    <c:plotArea>
      <c:layout>
        <c:manualLayout>
          <c:layoutTarget val="inner"/>
          <c:xMode val="edge"/>
          <c:yMode val="edge"/>
          <c:x val="0.0897755610972569"/>
          <c:y val="0.198237885462555"/>
          <c:w val="0.872817955112219"/>
          <c:h val="0.665198237885463"/>
        </c:manualLayout>
      </c:layout>
      <c:barChart>
        <c:barDir val="col"/>
        <c:grouping val="clustered"/>
        <c:varyColors val="false"/>
        <c:ser>
          <c:idx val="0"/>
          <c:order val="0"/>
          <c:invertIfNegative val="false"/>
          <c:dPt>
            <c:idx val="1"/>
            <c:invertIfNegative val="false"/>
            <c:bubble3D val="false"/>
            <c:spPr>
              <a:solidFill>
                <a:schemeClr val="accent2"/>
              </a:solidFill>
            </c:spPr>
          </c:dPt>
          <c:dLbls>
            <c:spPr>
              <a:noFill/>
              <a:ln w="25400">
                <a:noFill/>
              </a:ln>
              <a:effectLst/>
            </c:spPr>
            <c:txPr>
              <a:bodyPr rot="0" spcFirstLastPara="0" vertOverflow="ellipsis" vert="horz" wrap="square" lIns="38100" tIns="19050" rIns="38100" bIns="19050" anchor="ctr" anchorCtr="true"/>
              <a:lstStyle/>
              <a:p>
                <a:pPr>
                  <a:defRPr lang="zh-CN" sz="800" b="0" i="0" u="none" strike="noStrike" kern="1200" baseline="0">
                    <a:solidFill>
                      <a:srgbClr val="000000"/>
                    </a:solidFill>
                    <a:latin typeface="宋体" charset="-122"/>
                    <a:ea typeface="宋体" charset="-122"/>
                    <a:cs typeface="宋体"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[说明绘图.xlsx]Sheet1!$A$1:$B$1</c:f>
              <c:strCache>
                <c:ptCount val="2"/>
                <c:pt idx="0">
                  <c:v>2023年</c:v>
                </c:pt>
                <c:pt idx="1">
                  <c:v>2024年</c:v>
                </c:pt>
              </c:strCache>
            </c:strRef>
          </c:cat>
          <c:val>
            <c:numRef>
              <c:f>[说明绘图.xlsx]Sheet1!$A$2:$B$2</c:f>
              <c:numCache>
                <c:formatCode>General</c:formatCode>
                <c:ptCount val="2"/>
                <c:pt idx="0">
                  <c:v>161.8</c:v>
                </c:pt>
                <c:pt idx="1" c:formatCode="0.00_ ">
                  <c:v>176.11</c:v>
                </c:pt>
              </c:numCache>
            </c:numRef>
          </c:val>
        </c:ser>
        <c:dLbls>
          <c:showLegendKey val="false"/>
          <c:showVal val="true"/>
          <c:showCatName val="false"/>
          <c:showSerName val="false"/>
          <c:showPercent val="false"/>
          <c:showBubbleSize val="false"/>
        </c:dLbls>
        <c:gapWidth val="500"/>
        <c:axId val="48755072"/>
        <c:axId val="48756608"/>
      </c:barChart>
      <c:catAx>
        <c:axId val="48755072"/>
        <c:scaling>
          <c:orientation val="minMax"/>
        </c:scaling>
        <c:delete val="false"/>
        <c:axPos val="b"/>
        <c:numFmt formatCode="General" sourceLinked="true"/>
        <c:majorTickMark val="out"/>
        <c:minorTickMark val="none"/>
        <c:tickLblPos val="nextTo"/>
        <c:spPr>
          <a:ln w="6350" cap="flat" cmpd="sng" algn="ctr">
            <a:solidFill>
              <a:schemeClr val="tx1">
                <a:lumMod val="50000"/>
                <a:lumOff val="50000"/>
              </a:schemeClr>
            </a:solidFill>
            <a:prstDash val="solid"/>
            <a:round/>
          </a:ln>
        </c:spPr>
        <c:txPr>
          <a:bodyPr rot="0" spcFirstLastPara="0" vertOverflow="ellipsis" vert="horz" wrap="square" anchor="ctr" anchorCtr="true"/>
          <a:lstStyle/>
          <a:p>
            <a:pPr>
              <a:defRPr lang="zh-CN" sz="800" b="0" i="0" u="none" strike="noStrike" kern="1200" baseline="0">
                <a:solidFill>
                  <a:srgbClr val="000000"/>
                </a:solidFill>
                <a:latin typeface="宋体" charset="-122"/>
                <a:ea typeface="宋体" charset="-122"/>
                <a:cs typeface="宋体" charset="-122"/>
              </a:defRPr>
            </a:pPr>
          </a:p>
        </c:txPr>
        <c:crossAx val="48756608"/>
        <c:crosses val="autoZero"/>
        <c:auto val="true"/>
        <c:lblAlgn val="ctr"/>
        <c:lblOffset val="100"/>
        <c:noMultiLvlLbl val="false"/>
      </c:catAx>
      <c:valAx>
        <c:axId val="48756608"/>
        <c:scaling>
          <c:orientation val="minMax"/>
        </c:scaling>
        <c:delete val="false"/>
        <c:axPos val="l"/>
        <c:numFmt formatCode="General" sourceLinked="true"/>
        <c:majorTickMark val="out"/>
        <c:minorTickMark val="none"/>
        <c:tickLblPos val="nextTo"/>
        <c:spPr>
          <a:ln w="6350" cap="flat" cmpd="sng" algn="ctr">
            <a:solidFill>
              <a:schemeClr val="tx1">
                <a:lumMod val="50000"/>
                <a:lumOff val="50000"/>
              </a:schemeClr>
            </a:solidFill>
            <a:prstDash val="solid"/>
            <a:round/>
          </a:ln>
        </c:spPr>
        <c:txPr>
          <a:bodyPr rot="0" spcFirstLastPara="0" vertOverflow="ellipsis" vert="horz" wrap="square" anchor="ctr" anchorCtr="true"/>
          <a:lstStyle/>
          <a:p>
            <a:pPr>
              <a:defRPr lang="zh-CN" sz="800" b="0" i="0" u="none" strike="noStrike" kern="1200" baseline="0">
                <a:solidFill>
                  <a:srgbClr val="000000"/>
                </a:solidFill>
                <a:latin typeface="宋体" charset="-122"/>
                <a:ea typeface="宋体" charset="-122"/>
                <a:cs typeface="宋体" charset="-122"/>
              </a:defRPr>
            </a:pPr>
          </a:p>
        </c:txPr>
        <c:crossAx val="48755072"/>
        <c:crosses val="autoZero"/>
        <c:crossBetween val="between"/>
        <c:majorUnit val="100"/>
      </c:valAx>
      <c:spPr>
        <a:noFill/>
        <a:ln w="25400">
          <a:noFill/>
        </a:ln>
      </c:spPr>
    </c:plotArea>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w="25400">
          <a:noFill/>
        </a:ln>
      </c:spPr>
      <c:txPr>
        <a:bodyPr rot="0" spcFirstLastPara="0" vertOverflow="ellipsis" vert="horz" wrap="square" anchor="ctr" anchorCtr="true"/>
        <a:lstStyle/>
        <a:p>
          <a:pPr>
            <a:defRPr lang="zh-CN" sz="12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[说明绘图.xlsx]Sheet1!$I$1</c:f>
              <c:strCache>
                <c:ptCount val="1"/>
                <c:pt idx="0">
                  <c:v>收入决算结构图</c:v>
                </c:pt>
              </c:strCache>
            </c:strRef>
          </c:tx>
          <c:explosion val="0"/>
          <c:dPt>
            <c:idx val="0"/>
            <c:bubble3D val="false"/>
          </c:dPt>
          <c:dLbls>
            <c:delete val="true"/>
          </c:dLbls>
          <c:cat>
            <c:strRef>
              <c:f>{"一般公共预算财政拨款收入"}</c:f>
              <c:strCache>
                <c:ptCount val="1"/>
                <c:pt idx="0">
                  <c:v>一般公共预算财政拨款收入</c:v>
                </c:pt>
              </c:strCache>
            </c:strRef>
          </c:cat>
          <c:val>
            <c:numRef>
              <c:f>[说明绘图.xlsx]Sheet1!$J$2</c:f>
              <c:numCache>
                <c:formatCode>General</c:formatCode>
                <c:ptCount val="1"/>
                <c:pt idx="0">
                  <c:v>161.8</c:v>
                </c:pt>
              </c:numCache>
            </c:numRef>
          </c:val>
        </c:ser>
        <c:dLbls>
          <c:showLegendKey val="false"/>
          <c:showVal val="false"/>
          <c:showCatName val="false"/>
          <c:showSerName val="false"/>
          <c:showPercent val="false"/>
          <c:showBubbleSize val="false"/>
          <c:showLeaderLines val="true"/>
        </c:dLbls>
        <c:firstSliceAng val="0"/>
      </c:pieChart>
      <c:spPr>
        <a:noFill/>
        <a:ln w="25400">
          <a:noFill/>
        </a:ln>
      </c:spPr>
    </c:plotArea>
    <c:legend>
      <c:legendPos val="r"/>
      <c:layout>
        <c:manualLayout>
          <c:xMode val="edge"/>
          <c:yMode val="edge"/>
          <c:x val="0.660693641618497"/>
          <c:y val="0.536011904761905"/>
          <c:w val="0.289402697495183"/>
          <c:h val="0.423809523809524"/>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200" b="1" i="0" u="none" strike="noStrike" kern="1200" baseline="0">
                <a:solidFill>
                  <a:schemeClr val="tx1"/>
                </a:solidFill>
                <a:latin typeface="+mn-lt"/>
                <a:ea typeface="+mn-ea"/>
                <a:cs typeface="+mn-cs"/>
              </a:defRPr>
            </a:pPr>
            <a:r>
              <a:rPr lang="zh-CN" altLang="en-US" sz="1200"/>
              <a:t>支出决算结构图</a:t>
            </a:r>
            <a:endParaRPr lang="zh-CN" altLang="en-US" sz="1200"/>
          </a:p>
        </c:rich>
      </c:tx>
      <c:layout>
        <c:manualLayout>
          <c:xMode val="edge"/>
          <c:yMode val="edge"/>
          <c:x val="0.29421568627451"/>
          <c:y val="0.0205198358413133"/>
        </c:manualLayout>
      </c:layout>
      <c:overlay val="false"/>
      <c:spPr>
        <a:noFill/>
        <a:ln w="25400">
          <a:noFill/>
        </a:ln>
      </c:spPr>
    </c:title>
    <c:autoTitleDeleted val="false"/>
    <c:plotArea>
      <c:layout/>
      <c:pieChart>
        <c:varyColors val="true"/>
        <c:ser>
          <c:idx val="0"/>
          <c:order val="0"/>
          <c:explosion val="25"/>
          <c:dPt>
            <c:idx val="0"/>
            <c:bubble3D val="false"/>
          </c:dPt>
          <c:dPt>
            <c:idx val="1"/>
            <c:bubble3D val="false"/>
            <c:explosion val="11"/>
          </c:dPt>
          <c:dPt>
            <c:idx val="2"/>
            <c:bubble3D val="false"/>
            <c:spPr>
              <a:ln>
                <a:noFill/>
              </a:ln>
            </c:spPr>
          </c:dPt>
          <c:dLbls>
            <c:dLbl>
              <c:idx val="0"/>
              <c:delete val="true"/>
            </c:dLbl>
            <c:dLbl>
              <c:idx val="1"/>
              <c:layout>
                <c:manualLayout>
                  <c:x val="0.232787063680405"/>
                  <c:y val="-0.0307797537619699"/>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zh-CN" altLang="en-US"/>
                      <a:t>基本支出
</a:t>
                    </a:r>
                    <a:r>
                      <a:rPr lang="en-US" altLang="zh-CN"/>
                      <a:t>95.62%</a:t>
                    </a:r>
                    <a:endParaRPr lang="en-US" altLang="zh-CN"/>
                  </a:p>
                </c:rich>
              </c:tx>
              <c:numFmt formatCode="General" sourceLinked="false"/>
              <c:spPr>
                <a:noFill/>
                <a:ln w="25400">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true"/>
              <c:showSerName val="true"/>
              <c:showPercent val="true"/>
              <c:showBubbleSize val="false"/>
              <c:extLst>
                <c:ext xmlns:c15="http://schemas.microsoft.com/office/drawing/2012/chart" uri="{CE6537A1-D6FC-4f65-9D91-7224C49458BB}">
                  <c15:layout/>
                </c:ext>
              </c:extLst>
            </c:dLbl>
            <c:dLbl>
              <c:idx val="2"/>
              <c:layout>
                <c:manualLayout>
                  <c:x val="-0.175140005847159"/>
                  <c:y val="0.116779828371398"/>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zh-CN" altLang="en-US"/>
                      <a:t>项目支出
</a:t>
                    </a:r>
                    <a:r>
                      <a:rPr lang="en-US" altLang="zh-CN"/>
                      <a:t>4.38% </a:t>
                    </a:r>
                    <a:endParaRPr lang="en-US" altLang="zh-CN"/>
                  </a:p>
                </c:rich>
              </c:tx>
              <c:numFmt formatCode="#,##0.00_);[Red]\(#,##0.00\)" sourceLinked="false"/>
              <c:spPr>
                <a:noFill/>
                <a:ln w="25400">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true"/>
              <c:showSerName val="true"/>
              <c:showPercent val="true"/>
              <c:showBubbleSize val="false"/>
              <c:extLst>
                <c:ext xmlns:c15="http://schemas.microsoft.com/office/drawing/2012/chart" uri="{CE6537A1-D6FC-4f65-9D91-7224C49458BB}">
                  <c15:layout>
                    <c:manualLayout>
                      <c:w val="0.212352941176471"/>
                      <c:h val="0.282393162393162"/>
                    </c:manualLayout>
                  </c15:layout>
                </c:ext>
              </c:extLst>
            </c:dLbl>
            <c:numFmt formatCode="General" sourceLinked="false"/>
            <c:spPr>
              <a:noFill/>
              <a:ln w="25400">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[说明绘图.xlsx]Sheet1!$O$1:$O$3</c:f>
              <c:strCache>
                <c:ptCount val="3"/>
                <c:pt idx="0">
                  <c:v>支出决算结构图</c:v>
                </c:pt>
                <c:pt idx="1">
                  <c:v>基本支出</c:v>
                </c:pt>
                <c:pt idx="2">
                  <c:v>项目支出</c:v>
                </c:pt>
              </c:strCache>
            </c:strRef>
          </c:cat>
          <c:val>
            <c:numRef>
              <c:f>[说明绘图.xlsx]Sheet1!$P$1:$P$3</c:f>
              <c:numCache>
                <c:formatCode>General</c:formatCode>
                <c:ptCount val="3"/>
                <c:pt idx="1">
                  <c:v>168.39</c:v>
                </c:pt>
                <c:pt idx="2">
                  <c:v>7.72</c:v>
                </c:pt>
              </c:numCache>
            </c:numRef>
          </c:val>
        </c:ser>
        <c:ser>
          <c:idx val="1"/>
          <c:order val="1"/>
          <c:explosion val="25"/>
          <c:dPt>
            <c:idx val="0"/>
            <c:bubble3D val="false"/>
          </c:dPt>
          <c:dPt>
            <c:idx val="1"/>
            <c:bubble3D val="false"/>
          </c:dPt>
          <c:dPt>
            <c:idx val="2"/>
            <c:bubble3D val="false"/>
          </c:dPt>
          <c:dLbls>
            <c:spPr>
              <a:noFill/>
              <a:ln w="25400">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[说明绘图.xlsx]Sheet1!$O$1:$O$3</c:f>
              <c:strCache>
                <c:ptCount val="3"/>
                <c:pt idx="0">
                  <c:v>支出决算结构图</c:v>
                </c:pt>
                <c:pt idx="1">
                  <c:v>基本支出</c:v>
                </c:pt>
                <c:pt idx="2">
                  <c:v>项目支出</c:v>
                </c:pt>
              </c:strCache>
            </c:strRef>
          </c:cat>
          <c:val>
            <c:numRef>
              <c:f>[说明绘图.xlsx]Sheet1!$Q$1:$Q$3</c:f>
              <c:numCache>
                <c:formatCode>General</c:formatCode>
                <c:ptCount val="3"/>
                <c:pt idx="1" c:formatCode="0.00%">
                  <c:v>0.9562</c:v>
                </c:pt>
                <c:pt idx="2" c:formatCode="0.00%">
                  <c:v>0.0438</c:v>
                </c:pt>
              </c:numCache>
            </c:numRef>
          </c:val>
        </c:ser>
        <c:dLbls>
          <c:showLegendKey val="false"/>
          <c:showVal val="false"/>
          <c:showCatName val="true"/>
          <c:showSerName val="false"/>
          <c:showPercent val="true"/>
          <c:showBubbleSize val="false"/>
          <c:showLeaderLines val="true"/>
        </c:dLbls>
        <c:firstSliceAng val="0"/>
      </c:pieChart>
      <c:spPr>
        <a:noFill/>
        <a:ln w="25400">
          <a:noFill/>
        </a:ln>
      </c:spPr>
    </c:plotArea>
    <c:plotVisOnly val="true"/>
    <c:dispBlanksAs val="zero"/>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200" b="1" i="0" u="none" strike="noStrike" kern="1200" baseline="0">
                <a:solidFill>
                  <a:srgbClr val="333333"/>
                </a:solidFill>
                <a:latin typeface="宋体" charset="-122"/>
                <a:ea typeface="宋体" charset="-122"/>
                <a:cs typeface="宋体" charset="-122"/>
              </a:defRPr>
            </a:pPr>
            <a:r>
              <a:rPr lang="zh-CN" altLang="en-US" sz="1200" b="1"/>
              <a:t>财政拨款收、支决算总计变动情况</a:t>
            </a:r>
            <a:endParaRPr lang="zh-CN" altLang="en-US" sz="1200" b="1" i="0" u="none" strike="noStrike" baseline="0">
              <a:solidFill>
                <a:srgbClr val="333333">
                  <a:alpha val="100000"/>
                </a:srgbClr>
              </a:solidFill>
              <a:latin typeface="宋体" charset="-122"/>
              <a:ea typeface="宋体" charset="-122"/>
              <a:cs typeface="宋体" charset="-122"/>
            </a:endParaRPr>
          </a:p>
        </c:rich>
      </c:tx>
      <c:layout/>
      <c:overlay val="false"/>
    </c:title>
    <c:autoTitleDeleted val="false"/>
    <c:plotArea>
      <c:layout/>
      <c:barChart>
        <c:barDir val="col"/>
        <c:grouping val="clustered"/>
        <c:varyColors val="false"/>
        <c:ser>
          <c:idx val="0"/>
          <c:order val="0"/>
          <c:tx>
            <c:strRef>
              <c:f>'[工作表 在 说明绘图.xlsx]Sheet1'!$B$3</c:f>
              <c:strCache>
                <c:ptCount val="1"/>
                <c:pt idx="0">
                  <c:v>财政拨款收入</c:v>
                </c:pt>
              </c:strCache>
            </c:strRef>
          </c:tx>
          <c:spPr>
            <a:solidFill>
              <a:schemeClr val="accent1">
                <a:lumMod val="60000"/>
                <a:lumOff val="40000"/>
              </a:schemeClr>
            </a:solidFill>
            <a:ln w="25400">
              <a:noFill/>
            </a:ln>
          </c:spPr>
          <c:invertIfNegative val="false"/>
          <c:dLbls>
            <c:delete val="true"/>
          </c:dLbls>
          <c:cat>
            <c:strRef>
              <c:f>'[工作表 在 说明绘图.xlsx]Sheet1'!$C$2:$D$2</c:f>
              <c:strCache>
                <c:ptCount val="2"/>
                <c:pt idx="0">
                  <c:v>2023年</c:v>
                </c:pt>
                <c:pt idx="1">
                  <c:v>2024年</c:v>
                </c:pt>
              </c:strCache>
            </c:strRef>
          </c:cat>
          <c:val>
            <c:numRef>
              <c:f>'[工作表 在 说明绘图.xlsx]Sheet1'!$C$3:$D$3</c:f>
              <c:numCache>
                <c:formatCode>0.00_ </c:formatCode>
                <c:ptCount val="2"/>
                <c:pt idx="0">
                  <c:v>161.8</c:v>
                </c:pt>
                <c:pt idx="1">
                  <c:v>176.11</c:v>
                </c:pt>
              </c:numCache>
            </c:numRef>
          </c:val>
        </c:ser>
        <c:ser>
          <c:idx val="1"/>
          <c:order val="1"/>
          <c:tx>
            <c:strRef>
              <c:f>'[工作表 在 说明绘图.xlsx]Sheet1'!$B$4</c:f>
              <c:strCache>
                <c:ptCount val="1"/>
                <c:pt idx="0">
                  <c:v>财政拨款支出</c:v>
                </c:pt>
              </c:strCache>
            </c:strRef>
          </c:tx>
          <c:spPr>
            <a:solidFill>
              <a:srgbClr val="ED7D31">
                <a:alpha val="100000"/>
              </a:srgbClr>
            </a:solidFill>
            <a:ln w="3175">
              <a:noFill/>
            </a:ln>
          </c:spPr>
          <c:invertIfNegative val="false"/>
          <c:dPt>
            <c:idx val="0"/>
            <c:invertIfNegative val="false"/>
            <c:bubble3D val="false"/>
            <c:explosion val="0"/>
            <c:spPr>
              <a:solidFill>
                <a:schemeClr val="accent2">
                  <a:lumMod val="60000"/>
                  <a:lumOff val="40000"/>
                </a:schemeClr>
              </a:solidFill>
              <a:ln w="25400">
                <a:noFill/>
              </a:ln>
            </c:spPr>
          </c:dPt>
          <c:dPt>
            <c:idx val="1"/>
            <c:invertIfNegative val="false"/>
            <c:bubble3D val="false"/>
            <c:explosion val="0"/>
            <c:spPr>
              <a:solidFill>
                <a:schemeClr val="accent2">
                  <a:lumMod val="60000"/>
                  <a:lumOff val="40000"/>
                </a:schemeClr>
              </a:solidFill>
              <a:ln w="25400">
                <a:noFill/>
              </a:ln>
            </c:spPr>
          </c:dPt>
          <c:dLbls>
            <c:delete val="true"/>
          </c:dLbls>
          <c:cat>
            <c:strRef>
              <c:f>'[工作表 在 说明绘图.xlsx]Sheet1'!$C$2:$D$2</c:f>
              <c:strCache>
                <c:ptCount val="2"/>
                <c:pt idx="0">
                  <c:v>2023年</c:v>
                </c:pt>
                <c:pt idx="1">
                  <c:v>2024年</c:v>
                </c:pt>
              </c:strCache>
            </c:strRef>
          </c:cat>
          <c:val>
            <c:numRef>
              <c:f>'[工作表 在 说明绘图.xlsx]Sheet1'!$C$4:$D$4</c:f>
              <c:numCache>
                <c:formatCode>0.00_ </c:formatCode>
                <c:ptCount val="2"/>
                <c:pt idx="0">
                  <c:v>161.8</c:v>
                </c:pt>
                <c:pt idx="1">
                  <c:v>176.11</c:v>
                </c:pt>
              </c:numCache>
            </c:numRef>
          </c:val>
        </c:ser>
        <c:ser>
          <c:idx val="2"/>
          <c:order val="2"/>
          <c:tx>
            <c:strRef>
              <c:f>'[工作表 在 说明绘图.xlsx]Sheet1'!$B$5</c:f>
              <c:strCache>
                <c:ptCount val="1"/>
                <c:pt idx="0">
                  <c:v/>
                </c:pt>
              </c:strCache>
            </c:strRef>
          </c:tx>
          <c:spPr>
            <a:solidFill>
              <a:srgbClr val="A5A5A5">
                <a:alpha val="100000"/>
              </a:srgbClr>
            </a:solidFill>
            <a:ln w="3175">
              <a:noFill/>
            </a:ln>
          </c:spPr>
          <c:invertIfNegative val="false"/>
          <c:dLbls>
            <c:delete val="true"/>
          </c:dLbls>
          <c:cat>
            <c:strRef>
              <c:f>'[工作表 在 说明绘图.xlsx]Sheet1'!$C$2:$D$2</c:f>
              <c:strCache>
                <c:ptCount val="2"/>
                <c:pt idx="0">
                  <c:v>2023年</c:v>
                </c:pt>
                <c:pt idx="1">
                  <c:v>2024年</c:v>
                </c:pt>
              </c:strCache>
            </c:strRef>
          </c:cat>
          <c:val>
            <c:numRef>
              <c:f>[000000001]Sheet1!$C$5:$D$5</c:f>
              <c:numCache>
                <c:formatCode>General</c:formatCode>
                <c:ptCount val="2"/>
              </c:numCache>
            </c:numRef>
          </c:val>
        </c:ser>
        <c:dLbls>
          <c:showLegendKey val="false"/>
          <c:showVal val="false"/>
          <c:showCatName val="false"/>
          <c:showSerName val="false"/>
          <c:showPercent val="false"/>
          <c:showBubbleSize val="false"/>
        </c:dLbls>
        <c:gapWidth val="219"/>
        <c:overlap val="-27"/>
        <c:axId val="552251285"/>
        <c:axId val="85561986"/>
      </c:barChart>
      <c:catAx>
        <c:axId val="552251285"/>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horz" wrap="square" anchor="ctr" anchorCtr="true"/>
          <a:lstStyle/>
          <a:p>
            <a:pPr>
              <a:defRPr lang="zh-CN" sz="1000" b="0" i="0" u="none" strike="noStrike" kern="1200" baseline="0">
                <a:solidFill>
                  <a:srgbClr val="333333">
                    <a:alpha val="100000"/>
                  </a:srgbClr>
                </a:solidFill>
                <a:latin typeface="宋体" charset="-122"/>
                <a:ea typeface="宋体" charset="-122"/>
                <a:cs typeface="宋体" charset="-122"/>
              </a:defRPr>
            </a:pPr>
          </a:p>
        </c:txPr>
        <c:crossAx val="85561986"/>
        <c:crosses val="autoZero"/>
        <c:auto val="true"/>
        <c:lblAlgn val="ctr"/>
        <c:lblOffset val="100"/>
        <c:noMultiLvlLbl val="false"/>
      </c:catAx>
      <c:valAx>
        <c:axId val="85561986"/>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0.00_ " sourceLinked="true"/>
        <c:majorTickMark val="none"/>
        <c:minorTickMark val="none"/>
        <c:tickLblPos val="nextTo"/>
        <c:spPr>
          <a:ln w="3175" cap="flat" cmpd="sng" algn="ctr">
            <a:noFill/>
            <a:prstDash val="solid"/>
            <a:round/>
          </a:ln>
        </c:spPr>
        <c:txPr>
          <a:bodyPr rot="0" spcFirstLastPara="0" vertOverflow="ellipsis" vert="horz" wrap="square" anchor="ctr" anchorCtr="true"/>
          <a:lstStyle/>
          <a:p>
            <a:pPr>
              <a:defRPr lang="zh-CN" sz="1000" b="0" i="0" u="none" strike="noStrike" kern="1200" baseline="0">
                <a:solidFill>
                  <a:srgbClr val="333333">
                    <a:alpha val="100000"/>
                  </a:srgbClr>
                </a:solidFill>
                <a:latin typeface="宋体" charset="-122"/>
                <a:ea typeface="宋体" charset="-122"/>
                <a:cs typeface="宋体" charset="-122"/>
              </a:defRPr>
            </a:pPr>
          </a:p>
        </c:txPr>
        <c:crossAx val="552251285"/>
        <c:crosses val="autoZero"/>
        <c:crossBetween val="between"/>
      </c:valAx>
      <c:spPr>
        <a:noFill/>
        <a:ln w="3175">
          <a:noFill/>
        </a:ln>
      </c:spPr>
    </c:plotArea>
    <c:legend>
      <c:legendPos val="b"/>
      <c:legendEntry>
        <c:idx val="2"/>
        <c:delete val="true"/>
      </c:legendEntry>
      <c:layout>
        <c:manualLayout>
          <c:xMode val="edge"/>
          <c:yMode val="edge"/>
          <c:x val="0.345834125806738"/>
          <c:y val="0.892363992135392"/>
          <c:w val="0.377084205054078"/>
          <c:h val="0.0625003057413522"/>
        </c:manualLayout>
      </c:layout>
      <c:overlay val="false"/>
      <c:spPr>
        <a:noFill/>
        <a:ln w="3175">
          <a:noFill/>
        </a:ln>
      </c:spPr>
      <c:txPr>
        <a:bodyPr rot="0" spcFirstLastPara="0" vertOverflow="ellipsis" vert="horz" wrap="square" anchor="ctr" anchorCtr="true"/>
        <a:lstStyle/>
        <a:p>
          <a:pPr>
            <a:defRPr lang="zh-CN" sz="825" b="0" i="0" u="none" strike="noStrike" kern="1200" baseline="0">
              <a:solidFill>
                <a:srgbClr val="333333"/>
              </a:solidFill>
              <a:latin typeface="宋体" charset="-122"/>
              <a:ea typeface="宋体" charset="-122"/>
              <a:cs typeface="宋体" charset="-122"/>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rot="0" wrap="square" anchor="ctr" anchorCtr="true"/>
    <a:lstStyle/>
    <a:p>
      <a:pPr>
        <a:defRPr lang="zh-CN" sz="1000" b="0" i="0" u="none" strike="noStrike" baseline="0">
          <a:solidFill>
            <a:srgbClr val="000000">
              <a:alpha val="100000"/>
            </a:srgbClr>
          </a:solidFill>
          <a:latin typeface="宋体" charset="-122"/>
          <a:ea typeface="宋体" charset="-122"/>
          <a:cs typeface="宋体" charset="-122"/>
        </a:defRPr>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200" b="1" i="0" u="none" strike="noStrike" kern="1200" baseline="0">
                <a:solidFill>
                  <a:srgbClr val="000000"/>
                </a:solidFill>
                <a:latin typeface="宋体" charset="-122"/>
                <a:ea typeface="宋体" charset="-122"/>
                <a:cs typeface="宋体" charset="-122"/>
              </a:defRPr>
            </a:pPr>
            <a:r>
              <a:rPr lang="zh-CN" altLang="en-US" sz="1200" b="1" i="0" u="none" strike="noStrike" kern="1200" baseline="0">
                <a:solidFill>
                  <a:srgbClr val="000000"/>
                </a:solidFill>
                <a:effectLst/>
                <a:latin typeface="宋体" charset="-122"/>
                <a:ea typeface="宋体" charset="-122"/>
                <a:cs typeface="宋体" charset="-122"/>
              </a:rPr>
              <a:t>一般公共预算财政拨款支出决算变动情况 </a:t>
            </a:r>
            <a:endParaRPr lang="zh-CN" altLang="en-US"/>
          </a:p>
        </c:rich>
      </c:tx>
      <c:layout/>
      <c:overlay val="false"/>
      <c:spPr>
        <a:noFill/>
        <a:ln w="25400">
          <a:noFill/>
        </a:ln>
      </c:spPr>
    </c:title>
    <c:autoTitleDeleted val="false"/>
    <c:plotArea>
      <c:layout>
        <c:manualLayout>
          <c:layoutTarget val="inner"/>
          <c:xMode val="edge"/>
          <c:yMode val="edge"/>
          <c:x val="0.0897755610972569"/>
          <c:y val="0.198237885462555"/>
          <c:w val="0.872817955112219"/>
          <c:h val="0.665198237885463"/>
        </c:manualLayout>
      </c:layout>
      <c:barChart>
        <c:barDir val="col"/>
        <c:grouping val="clustered"/>
        <c:varyColors val="false"/>
        <c:ser>
          <c:idx val="0"/>
          <c:order val="0"/>
          <c:invertIfNegative val="false"/>
          <c:dLbls>
            <c:dLbl>
              <c:idx val="1"/>
              <c:layout/>
              <c:tx>
                <c:rich>
                  <a:bodyPr rot="0" spcFirstLastPara="0" vertOverflow="ellipsis" vert="horz" wrap="square" lIns="38100" tIns="19050" rIns="38100" bIns="19050" anchor="ctr" anchorCtr="true"/>
                  <a:lstStyle/>
                  <a:p>
                    <a:pPr>
                      <a:defRPr lang="zh-CN" sz="800" b="0" i="0" u="none" strike="noStrike" kern="1200" baseline="0">
                        <a:solidFill>
                          <a:srgbClr val="000000"/>
                        </a:solidFill>
                        <a:latin typeface="宋体" charset="-122"/>
                        <a:ea typeface="宋体" charset="-122"/>
                        <a:cs typeface="宋体" charset="-122"/>
                      </a:defRPr>
                    </a:pPr>
                    <a:r>
                      <a:rPr lang="en-US" altLang="en-US"/>
                      <a:t>176.11</a:t>
                    </a:r>
                    <a:endParaRPr lang="en-US" altLang="en-US"/>
                  </a:p>
                </c:rich>
              </c:tx>
              <c:numFmt formatCode="General" sourceLinked="true"/>
              <c:spPr>
                <a:noFill/>
                <a:ln w="25400">
                  <a:noFill/>
                </a:ln>
                <a:effectLst/>
              </c:spPr>
              <c:txPr>
                <a:bodyPr rot="0" spcFirstLastPara="0" vertOverflow="ellipsis" vert="horz" wrap="square" lIns="38100" tIns="19050" rIns="38100" bIns="19050" anchor="ctr" anchorCtr="true"/>
                <a:lstStyle/>
                <a:p>
                  <a:pPr>
                    <a:defRPr lang="zh-CN" sz="800" b="0" i="0" u="none" strike="noStrike" kern="1200" baseline="0">
                      <a:solidFill>
                        <a:srgbClr val="000000"/>
                      </a:solidFill>
                      <a:latin typeface="宋体" charset="-122"/>
                      <a:ea typeface="宋体" charset="-122"/>
                      <a:cs typeface="宋体" charset="-122"/>
                    </a:defRPr>
                  </a:pPr>
                </a:p>
              </c:txPr>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w="25400">
                <a:noFill/>
              </a:ln>
              <a:effectLst/>
            </c:spPr>
            <c:txPr>
              <a:bodyPr rot="0" spcFirstLastPara="0" vertOverflow="ellipsis" vert="horz" wrap="square" lIns="38100" tIns="19050" rIns="38100" bIns="19050" anchor="ctr" anchorCtr="true"/>
              <a:lstStyle/>
              <a:p>
                <a:pPr>
                  <a:defRPr lang="zh-CN" sz="800" b="0" i="0" u="none" strike="noStrike" kern="1200" baseline="0">
                    <a:solidFill>
                      <a:srgbClr val="000000"/>
                    </a:solidFill>
                    <a:latin typeface="宋体" charset="-122"/>
                    <a:ea typeface="宋体" charset="-122"/>
                    <a:cs typeface="宋体"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[说明绘图.xlsx]Sheet1!$A$1:$B$1</c:f>
              <c:strCache>
                <c:ptCount val="2"/>
                <c:pt idx="0">
                  <c:v>2023年</c:v>
                </c:pt>
                <c:pt idx="1">
                  <c:v>2024年</c:v>
                </c:pt>
              </c:strCache>
            </c:strRef>
          </c:cat>
          <c:val>
            <c:numRef>
              <c:f>[说明绘图.xlsx]Sheet1!$A$2:$B$2</c:f>
              <c:numCache>
                <c:formatCode>General</c:formatCode>
                <c:ptCount val="2"/>
                <c:pt idx="0">
                  <c:v>161.8</c:v>
                </c:pt>
                <c:pt idx="1" c:formatCode="0.00_ ">
                  <c:v>176.11</c:v>
                </c:pt>
              </c:numCache>
            </c:numRef>
          </c:val>
        </c:ser>
        <c:dLbls>
          <c:showLegendKey val="false"/>
          <c:showVal val="true"/>
          <c:showCatName val="false"/>
          <c:showSerName val="false"/>
          <c:showPercent val="false"/>
          <c:showBubbleSize val="false"/>
        </c:dLbls>
        <c:gapWidth val="500"/>
        <c:axId val="51031040"/>
        <c:axId val="51045120"/>
      </c:barChart>
      <c:catAx>
        <c:axId val="51031040"/>
        <c:scaling>
          <c:orientation val="minMax"/>
        </c:scaling>
        <c:delete val="false"/>
        <c:axPos val="b"/>
        <c:numFmt formatCode="General" sourceLinked="true"/>
        <c:majorTickMark val="out"/>
        <c:minorTickMark val="none"/>
        <c:tickLblPos val="nextTo"/>
        <c:spPr>
          <a:ln w="6350" cap="flat" cmpd="sng" algn="ctr">
            <a:solidFill>
              <a:schemeClr val="tx1">
                <a:lumMod val="50000"/>
                <a:lumOff val="50000"/>
              </a:schemeClr>
            </a:solidFill>
            <a:prstDash val="solid"/>
            <a:round/>
          </a:ln>
        </c:spPr>
        <c:txPr>
          <a:bodyPr rot="0" spcFirstLastPara="0" vertOverflow="ellipsis" vert="horz" wrap="square" anchor="ctr" anchorCtr="true"/>
          <a:lstStyle/>
          <a:p>
            <a:pPr>
              <a:defRPr lang="zh-CN" sz="800" b="0" i="0" u="none" strike="noStrike" kern="1200" baseline="0">
                <a:solidFill>
                  <a:srgbClr val="000000"/>
                </a:solidFill>
                <a:latin typeface="宋体" charset="-122"/>
                <a:ea typeface="宋体" charset="-122"/>
                <a:cs typeface="宋体" charset="-122"/>
              </a:defRPr>
            </a:pPr>
          </a:p>
        </c:txPr>
        <c:crossAx val="51045120"/>
        <c:crosses val="autoZero"/>
        <c:auto val="true"/>
        <c:lblAlgn val="ctr"/>
        <c:lblOffset val="100"/>
        <c:noMultiLvlLbl val="false"/>
      </c:catAx>
      <c:valAx>
        <c:axId val="51045120"/>
        <c:scaling>
          <c:orientation val="minMax"/>
        </c:scaling>
        <c:delete val="false"/>
        <c:axPos val="l"/>
        <c:numFmt formatCode="General" sourceLinked="true"/>
        <c:majorTickMark val="out"/>
        <c:minorTickMark val="none"/>
        <c:tickLblPos val="nextTo"/>
        <c:spPr>
          <a:ln w="6350" cap="flat" cmpd="sng" algn="ctr">
            <a:solidFill>
              <a:schemeClr val="tx1">
                <a:lumMod val="50000"/>
                <a:lumOff val="50000"/>
              </a:schemeClr>
            </a:solidFill>
            <a:prstDash val="solid"/>
            <a:round/>
          </a:ln>
        </c:spPr>
        <c:txPr>
          <a:bodyPr rot="0" spcFirstLastPara="0" vertOverflow="ellipsis" vert="horz" wrap="square" anchor="ctr" anchorCtr="true"/>
          <a:lstStyle/>
          <a:p>
            <a:pPr>
              <a:defRPr lang="zh-CN" sz="800" b="0" i="0" u="none" strike="noStrike" kern="1200" baseline="0">
                <a:solidFill>
                  <a:srgbClr val="000000"/>
                </a:solidFill>
                <a:latin typeface="宋体" charset="-122"/>
                <a:ea typeface="宋体" charset="-122"/>
                <a:cs typeface="宋体" charset="-122"/>
              </a:defRPr>
            </a:pPr>
          </a:p>
        </c:txPr>
        <c:crossAx val="51031040"/>
        <c:crosses val="autoZero"/>
        <c:crossBetween val="between"/>
        <c:majorUnit val="100"/>
      </c:valAx>
      <c:spPr>
        <a:noFill/>
        <a:ln w="25400">
          <a:noFill/>
        </a:ln>
      </c:spPr>
    </c:plotArea>
    <c:plotVisOnly val="true"/>
    <c:dispBlanksAs val="gap"/>
    <c:showDLblsOverMax val="false"/>
  </c:chart>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spPr>
            <a:ln>
              <a:noFill/>
            </a:ln>
          </c:spPr>
          <c:explosion val="0"/>
          <c:dPt>
            <c:idx val="0"/>
            <c:bubble3D val="false"/>
            <c:spPr>
              <a:solidFill>
                <a:schemeClr val="accent3">
                  <a:lumMod val="60000"/>
                  <a:lumOff val="40000"/>
                </a:schemeClr>
              </a:solidFill>
              <a:ln>
                <a:noFill/>
              </a:ln>
            </c:spPr>
          </c:dPt>
          <c:dPt>
            <c:idx val="1"/>
            <c:bubble3D val="false"/>
            <c:spPr>
              <a:solidFill>
                <a:schemeClr val="accent4">
                  <a:lumMod val="60000"/>
                  <a:lumOff val="40000"/>
                </a:schemeClr>
              </a:solidFill>
              <a:ln>
                <a:noFill/>
              </a:ln>
            </c:spPr>
          </c:dPt>
          <c:dPt>
            <c:idx val="2"/>
            <c:bubble3D val="false"/>
            <c:spPr>
              <a:solidFill>
                <a:schemeClr val="accent1">
                  <a:lumMod val="60000"/>
                  <a:lumOff val="40000"/>
                </a:schemeClr>
              </a:solidFill>
              <a:ln>
                <a:noFill/>
              </a:ln>
            </c:spPr>
          </c:dPt>
          <c:dPt>
            <c:idx val="3"/>
            <c:bubble3D val="false"/>
            <c:spPr>
              <a:solidFill>
                <a:schemeClr val="accent2">
                  <a:lumMod val="60000"/>
                  <a:lumOff val="40000"/>
                </a:schemeClr>
              </a:solidFill>
              <a:ln>
                <a:noFill/>
              </a:ln>
            </c:spPr>
          </c:dPt>
          <c:dLbls>
            <c:dLbl>
              <c:idx val="0"/>
              <c:layout>
                <c:manualLayout>
                  <c:x val="-0.00176659858631276"/>
                  <c:y val="0.00794544506897857"/>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117830135057324"/>
                  <c:y val="-0.276941449595546"/>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w="25400">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[说明绘图.xlsx]Sheet1!$I$26:$I$29</c:f>
              <c:strCache>
                <c:ptCount val="4"/>
                <c:pt idx="0">
                  <c:v>社会保障和就业支出</c:v>
                </c:pt>
                <c:pt idx="1">
                  <c:v>卫生健康支出</c:v>
                </c:pt>
                <c:pt idx="2">
                  <c:v>城乡社区支出</c:v>
                </c:pt>
                <c:pt idx="3">
                  <c:v>住房保障支出</c:v>
                </c:pt>
              </c:strCache>
            </c:strRef>
          </c:cat>
          <c:val>
            <c:numRef>
              <c:f>[说明绘图.xlsx]Sheet1!$J$26:$J$29</c:f>
              <c:numCache>
                <c:formatCode>General</c:formatCode>
                <c:ptCount val="4"/>
                <c:pt idx="0">
                  <c:v>43.46</c:v>
                </c:pt>
                <c:pt idx="1">
                  <c:v>0.29</c:v>
                </c:pt>
                <c:pt idx="2">
                  <c:v>122.67</c:v>
                </c:pt>
                <c:pt idx="3">
                  <c:v>9.69</c:v>
                </c:pt>
              </c:numCache>
            </c:numRef>
          </c:val>
        </c:ser>
        <c:ser>
          <c:idx val="1"/>
          <c:order val="1"/>
          <c:explosion val="0"/>
          <c:dPt>
            <c:idx val="0"/>
            <c:bubble3D val="false"/>
          </c:dPt>
          <c:dPt>
            <c:idx val="1"/>
            <c:bubble3D val="false"/>
          </c:dPt>
          <c:dPt>
            <c:idx val="2"/>
            <c:bubble3D val="false"/>
          </c:dPt>
          <c:dPt>
            <c:idx val="3"/>
            <c:bubble3D val="false"/>
          </c:dPt>
          <c:dLbls>
            <c:delete val="true"/>
          </c:dLbls>
          <c:cat>
            <c:strRef>
              <c:f>[说明绘图.xlsx]Sheet1!$I$26:$I$29</c:f>
              <c:strCache>
                <c:ptCount val="4"/>
                <c:pt idx="0">
                  <c:v>社会保障和就业支出</c:v>
                </c:pt>
                <c:pt idx="1">
                  <c:v>卫生健康支出</c:v>
                </c:pt>
                <c:pt idx="2">
                  <c:v>城乡社区支出</c:v>
                </c:pt>
                <c:pt idx="3">
                  <c:v>住房保障支出</c:v>
                </c:pt>
              </c:strCache>
            </c:strRef>
          </c:cat>
          <c:val>
            <c:numRef>
              <c:f>[说明绘图.xlsx]Sheet1!$K$26:$K$29</c:f>
              <c:numCache>
                <c:formatCode>0.00%</c:formatCode>
                <c:ptCount val="4"/>
                <c:pt idx="0">
                  <c:v>0.2468</c:v>
                </c:pt>
                <c:pt idx="1">
                  <c:v>0.0016</c:v>
                </c:pt>
                <c:pt idx="2">
                  <c:v>0.6966</c:v>
                </c:pt>
                <c:pt idx="3">
                  <c:v>0.055</c:v>
                </c:pt>
              </c:numCache>
            </c:numRef>
          </c:val>
        </c:ser>
        <c:dLbls>
          <c:showLegendKey val="false"/>
          <c:showVal val="false"/>
          <c:showCatName val="false"/>
          <c:showSerName val="false"/>
          <c:showPercent val="false"/>
          <c:showBubbleSize val="false"/>
          <c:showLeaderLines val="true"/>
        </c:dLbls>
        <c:firstSliceAng val="0"/>
      </c:pieChart>
      <c:spPr>
        <a:noFill/>
        <a:ln w="25400">
          <a:noFill/>
        </a:ln>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spPr>
    <a:ln w="9525" cap="flat" cmpd="sng" algn="ctr">
      <a:noFill/>
      <a:prstDash val="solid"/>
      <a:round/>
    </a:ln>
  </c:spPr>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17</Pages>
  <Words>1299</Words>
  <Characters>7410</Characters>
  <Lines>61</Lines>
  <Paragraphs>17</Paragraphs>
  <TotalTime>11</TotalTime>
  <ScaleCrop>false</ScaleCrop>
  <LinksUpToDate>false</LinksUpToDate>
  <CharactersWithSpaces>8692</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2020-08-11T17:49:00Z</dcterms:created>
  <dc:creator>曹颖</dc:creator>
  <cp:lastModifiedBy>user</cp:lastModifiedBy>
  <cp:lastPrinted>2025-08-09T01:34:00Z</cp:lastPrinted>
  <dcterms:modified xsi:type="dcterms:W3CDTF">2025-09-16T19:19:56Z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A3C210F3E46E2B2FB953B96859204024_43</vt:lpwstr>
  </property>
</Properties>
</file>