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ascii="Times New Roman" w:eastAsia="方正小标宋简体"/>
          <w:kern w:val="2"/>
          <w:sz w:val="72"/>
          <w:szCs w:val="72"/>
        </w:rPr>
      </w:pPr>
      <w:bookmarkStart w:id="0" w:name="_Toc15396475"/>
      <w:bookmarkStart w:id="1" w:name="_Toc15378441"/>
      <w:bookmarkStart w:id="2" w:name="_Toc15377425"/>
      <w:bookmarkStart w:id="3" w:name="_Toc15377193"/>
      <w:bookmarkStart w:id="4" w:name="_Toc15396597"/>
      <w:bookmarkStart w:id="5" w:name="_Toc15306267"/>
    </w:p>
    <w:p>
      <w:pPr>
        <w:pStyle w:val="8"/>
        <w:spacing w:before="93"/>
        <w:rPr>
          <w:rFonts w:ascii="Times New Roman" w:eastAsia="方正小标宋简体"/>
          <w:kern w:val="2"/>
          <w:sz w:val="72"/>
          <w:szCs w:val="72"/>
        </w:rPr>
      </w:pPr>
    </w:p>
    <w:p>
      <w:pPr>
        <w:pStyle w:val="8"/>
        <w:spacing w:before="93"/>
        <w:rPr>
          <w:rFonts w:ascii="Times New Roman" w:eastAsia="方正小标宋简体"/>
          <w:kern w:val="2"/>
          <w:sz w:val="72"/>
          <w:szCs w:val="72"/>
        </w:rPr>
      </w:pPr>
    </w:p>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hint="eastAsia" w:ascii="Times New Roman" w:eastAsia="方正小标宋简体"/>
          <w:kern w:val="2"/>
          <w:sz w:val="44"/>
          <w:szCs w:val="44"/>
        </w:rPr>
      </w:pPr>
      <w:bookmarkStart w:id="6" w:name="_Toc15377194"/>
      <w:bookmarkStart w:id="7" w:name="_Toc15377426"/>
      <w:bookmarkStart w:id="8" w:name="_Toc15396598"/>
      <w:bookmarkStart w:id="9" w:name="_Toc15378442"/>
      <w:bookmarkStart w:id="10" w:name="_Toc15396476"/>
      <w:r>
        <w:rPr>
          <w:rFonts w:hint="eastAsia" w:ascii="Times New Roman" w:eastAsia="方正小标宋简体"/>
          <w:kern w:val="2"/>
          <w:sz w:val="44"/>
          <w:szCs w:val="44"/>
        </w:rPr>
        <w:t>2024年度</w:t>
      </w: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四川省</w:t>
      </w:r>
      <w:bookmarkEnd w:id="5"/>
      <w:bookmarkStart w:id="11" w:name="_Toc15306268"/>
      <w:r>
        <w:rPr>
          <w:rFonts w:hint="eastAsia" w:ascii="Times New Roman" w:eastAsia="方正小标宋简体"/>
          <w:kern w:val="2"/>
          <w:sz w:val="44"/>
          <w:szCs w:val="44"/>
        </w:rPr>
        <w:t>攀枝花市房地产</w:t>
      </w:r>
      <w:r>
        <w:rPr>
          <w:rFonts w:ascii="Times New Roman" w:eastAsia="方正小标宋简体"/>
          <w:kern w:val="2"/>
          <w:sz w:val="44"/>
          <w:szCs w:val="44"/>
        </w:rPr>
        <w:t>事务中心</w:t>
      </w: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单位决算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月17日</w:t>
      </w:r>
    </w:p>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第一部分单位概况</w:t>
      </w:r>
      <w:r>
        <w:rPr>
          <w:sz w:val="24"/>
        </w:rPr>
        <w:tab/>
      </w:r>
      <w:r>
        <w:rPr>
          <w:sz w:val="24"/>
        </w:rPr>
        <w:t>4</w:t>
      </w:r>
    </w:p>
    <w:p>
      <w:pPr>
        <w:pStyle w:val="15"/>
        <w:adjustRightInd w:val="0"/>
        <w:snapToGrid w:val="0"/>
        <w:spacing w:line="440" w:lineRule="exact"/>
        <w:jc w:val="left"/>
        <w:rPr>
          <w:sz w:val="24"/>
        </w:rPr>
      </w:pPr>
      <w:r>
        <w:rPr>
          <w:rFonts w:hint="eastAsia" w:eastAsia="仿宋_GB2312" w:cs="仿宋_GB2312"/>
          <w:sz w:val="32"/>
          <w:szCs w:val="32"/>
        </w:rPr>
        <w:t xml:space="preserve"> 一、单位职责</w:t>
      </w:r>
      <w:bookmarkStart w:id="12" w:name="OLE_LINK11"/>
      <w:bookmarkStart w:id="13" w:name="OLE_LINK12"/>
      <w:r>
        <w:rPr>
          <w:sz w:val="24"/>
        </w:rPr>
        <w:tab/>
      </w:r>
      <w:r>
        <w:rPr>
          <w:sz w:val="24"/>
        </w:rPr>
        <w:t>4</w:t>
      </w:r>
      <w:bookmarkEnd w:id="12"/>
      <w:bookmarkEnd w:id="13"/>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sz w:val="24"/>
        </w:rPr>
        <w:tab/>
      </w:r>
      <w:r>
        <w:rPr>
          <w:sz w:val="24"/>
        </w:rPr>
        <w:t>4</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r>
        <w:rPr>
          <w:sz w:val="24"/>
        </w:rPr>
        <w:tab/>
      </w:r>
      <w:r>
        <w:rPr>
          <w:sz w:val="24"/>
        </w:rPr>
        <w:t>5</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sz w:val="24"/>
        </w:rPr>
        <w:tab/>
      </w:r>
      <w:r>
        <w:rPr>
          <w:sz w:val="24"/>
        </w:rPr>
        <w:t>5</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sz w:val="24"/>
        </w:rPr>
        <w:tab/>
      </w:r>
      <w:r>
        <w:rPr>
          <w:sz w:val="24"/>
        </w:rPr>
        <w:t>5</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sz w:val="24"/>
        </w:rPr>
        <w:tab/>
      </w:r>
      <w:r>
        <w:rPr>
          <w:sz w:val="24"/>
        </w:rPr>
        <w:t>6</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sz w:val="24"/>
        </w:rPr>
        <w:tab/>
      </w:r>
      <w:r>
        <w:rPr>
          <w:sz w:val="24"/>
        </w:rPr>
        <w:t>6</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sz w:val="24"/>
        </w:rPr>
        <w:tab/>
      </w:r>
      <w:r>
        <w:rPr>
          <w:sz w:val="24"/>
        </w:rPr>
        <w:t>7</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sz w:val="24"/>
        </w:rPr>
        <w:tab/>
      </w:r>
      <w:r>
        <w:rPr>
          <w:sz w:val="24"/>
        </w:rPr>
        <w:t>10</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sz w:val="24"/>
        </w:rPr>
        <w:tab/>
      </w:r>
      <w:r>
        <w:rPr>
          <w:sz w:val="24"/>
        </w:rPr>
        <w:t>11</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sz w:val="24"/>
        </w:rPr>
        <w:tab/>
      </w:r>
      <w:r>
        <w:rPr>
          <w:sz w:val="24"/>
        </w:rPr>
        <w:t>13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sz w:val="24"/>
        </w:rPr>
        <w:tab/>
      </w:r>
      <w:r>
        <w:rPr>
          <w:sz w:val="24"/>
        </w:rPr>
        <w:t>13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sz w:val="24"/>
        </w:rPr>
        <w:tab/>
      </w:r>
      <w:r>
        <w:rPr>
          <w:sz w:val="24"/>
        </w:rPr>
        <w:t>13</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第三部分名词解释</w:t>
      </w:r>
      <w:r>
        <w:rPr>
          <w:sz w:val="24"/>
        </w:rPr>
        <w:tab/>
      </w:r>
      <w:r>
        <w:rPr>
          <w:rFonts w:hint="eastAsia"/>
          <w:sz w:val="24"/>
        </w:rPr>
        <w:t>17</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第四部分附件</w:t>
      </w:r>
      <w:r>
        <w:rPr>
          <w:sz w:val="24"/>
        </w:rPr>
        <w:tab/>
      </w:r>
      <w:r>
        <w:rPr>
          <w:rFonts w:hint="eastAsia"/>
          <w:sz w:val="24"/>
        </w:rPr>
        <w:t>18</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第五部分附表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sz w:val="24"/>
        </w:rPr>
        <w:tab/>
      </w:r>
      <w:r>
        <w:rPr>
          <w:rFonts w:hint="eastAsia"/>
          <w:sz w:val="24"/>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sz w:val="24"/>
        </w:rPr>
        <w:tab/>
      </w:r>
      <w:r>
        <w:rPr>
          <w:sz w:val="24"/>
        </w:rPr>
        <w:t>1</w:t>
      </w:r>
      <w:r>
        <w:rPr>
          <w:rFonts w:hint="eastAsia"/>
          <w:sz w:val="24"/>
        </w:rPr>
        <w:t>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sz w:val="24"/>
        </w:rPr>
        <w:tab/>
      </w:r>
      <w:r>
        <w:rPr>
          <w:sz w:val="24"/>
        </w:rPr>
        <w:t>19</w:t>
      </w:r>
    </w:p>
    <w:p>
      <w:pPr>
        <w:widowControl/>
        <w:spacing w:line="560" w:lineRule="exact"/>
        <w:jc w:val="left"/>
        <w:rPr>
          <w:rFonts w:eastAsia="仿宋_GB2312" w:cs="仿宋_GB2312"/>
          <w:bCs/>
          <w:kern w:val="44"/>
          <w:sz w:val="32"/>
          <w:szCs w:val="32"/>
        </w:rPr>
      </w:pPr>
      <w:bookmarkStart w:id="14" w:name="_Toc15377196"/>
      <w:bookmarkStart w:id="15" w:name="_Toc15396599"/>
      <w:r>
        <w:rPr>
          <w:rFonts w:hint="eastAsia" w:eastAsia="仿宋_GB2312" w:cs="仿宋_GB2312"/>
          <w:b/>
          <w:sz w:val="32"/>
          <w:szCs w:val="32"/>
        </w:rPr>
        <w:br w:type="page"/>
      </w:r>
    </w:p>
    <w:p>
      <w:pPr>
        <w:pStyle w:val="5"/>
        <w:jc w:val="center"/>
        <w:rPr>
          <w:rStyle w:val="29"/>
          <w:rFonts w:eastAsia="方正小标宋简体" w:cs="方正小标宋简体"/>
          <w:b/>
          <w:bCs w:val="0"/>
        </w:rPr>
      </w:pPr>
      <w:r>
        <w:rPr>
          <w:rFonts w:hint="eastAsia" w:eastAsia="方正小标宋简体" w:cs="方正小标宋简体"/>
          <w:b w:val="0"/>
        </w:rPr>
        <w:t>第一部分</w:t>
      </w:r>
      <w:r>
        <w:rPr>
          <w:rStyle w:val="29"/>
          <w:rFonts w:hint="eastAsia" w:eastAsia="方正小标宋简体" w:cs="方正小标宋简体"/>
          <w:b w:val="0"/>
          <w:bCs w:val="0"/>
        </w:rPr>
        <w:t>单位概况</w:t>
      </w:r>
      <w:bookmarkEnd w:id="14"/>
      <w:bookmarkEnd w:id="15"/>
    </w:p>
    <w:p>
      <w:pPr>
        <w:widowControl/>
        <w:jc w:val="left"/>
        <w:rPr>
          <w:rFonts w:eastAsia="黑体"/>
          <w:sz w:val="32"/>
          <w:szCs w:val="32"/>
        </w:rPr>
      </w:pPr>
    </w:p>
    <w:p>
      <w:pPr>
        <w:pStyle w:val="6"/>
        <w:numPr>
          <w:ilvl w:val="0"/>
          <w:numId w:val="1"/>
        </w:numPr>
        <w:rPr>
          <w:rFonts w:ascii="Times New Roman" w:hAnsi="Times New Roman" w:eastAsia="黑体"/>
          <w:b w:val="0"/>
        </w:rPr>
      </w:pPr>
      <w:r>
        <w:rPr>
          <w:rFonts w:hint="eastAsia" w:ascii="Times New Roman" w:hAnsi="Times New Roman" w:eastAsia="黑体"/>
          <w:b w:val="0"/>
        </w:rPr>
        <w:t>单位职责</w:t>
      </w:r>
    </w:p>
    <w:p>
      <w:pPr>
        <w:pStyle w:val="6"/>
        <w:ind w:firstLine="640" w:firstLineChars="200"/>
        <w:rPr>
          <w:rFonts w:ascii="仿宋_GB2312" w:hAnsi="仿宋" w:eastAsia="仿宋_GB2312"/>
          <w:b w:val="0"/>
          <w:bCs w:val="0"/>
        </w:rPr>
      </w:pPr>
      <w:r>
        <w:rPr>
          <w:rFonts w:hint="eastAsia" w:ascii="仿宋_GB2312" w:hAnsi="仿宋" w:eastAsia="仿宋_GB2312"/>
          <w:b w:val="0"/>
          <w:bCs w:val="0"/>
        </w:rPr>
        <w:t>负责管理全市房地产交易市场、指导中介、物服等企业，负责全市房屋产权登记管理工作、商品房维修资金、预售资金管理及监督工作，白蚁防治工作，直管公房管理工作等</w:t>
      </w:r>
    </w:p>
    <w:p>
      <w:pPr>
        <w:pStyle w:val="6"/>
        <w:rPr>
          <w:rStyle w:val="30"/>
          <w:rFonts w:ascii="Times New Roman" w:hAnsi="Times New Roman"/>
          <w:b w:val="0"/>
          <w:bCs w:val="0"/>
        </w:rPr>
      </w:pPr>
      <w:bookmarkStart w:id="16" w:name="_Toc15396601"/>
      <w:bookmarkStart w:id="17"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6"/>
      <w:bookmarkEnd w:id="17"/>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市房地产事务中心由一个参公单位及三个事业单位构成。三个事业单位</w:t>
      </w:r>
      <w:r>
        <w:rPr>
          <w:rFonts w:ascii="仿宋_GB2312" w:hAnsi="仿宋" w:eastAsia="仿宋_GB2312"/>
          <w:sz w:val="32"/>
          <w:szCs w:val="32"/>
        </w:rPr>
        <w:t>分别为</w:t>
      </w:r>
      <w:r>
        <w:rPr>
          <w:rFonts w:hint="eastAsia" w:ascii="仿宋_GB2312" w:hAnsi="仿宋" w:eastAsia="仿宋_GB2312"/>
          <w:sz w:val="32"/>
          <w:szCs w:val="32"/>
        </w:rPr>
        <w:t>：攀枝花</w:t>
      </w:r>
      <w:r>
        <w:rPr>
          <w:rFonts w:ascii="仿宋_GB2312" w:hAnsi="仿宋" w:eastAsia="仿宋_GB2312"/>
          <w:sz w:val="32"/>
          <w:szCs w:val="32"/>
        </w:rPr>
        <w:t>市房屋产权交易中心、</w:t>
      </w:r>
      <w:r>
        <w:rPr>
          <w:rFonts w:hint="eastAsia" w:ascii="仿宋_GB2312" w:hAnsi="仿宋" w:eastAsia="仿宋_GB2312"/>
          <w:sz w:val="32"/>
          <w:szCs w:val="32"/>
        </w:rPr>
        <w:t>攀枝花</w:t>
      </w:r>
      <w:r>
        <w:rPr>
          <w:rFonts w:ascii="仿宋_GB2312" w:hAnsi="仿宋" w:eastAsia="仿宋_GB2312"/>
          <w:sz w:val="32"/>
          <w:szCs w:val="32"/>
        </w:rPr>
        <w:t>市白蚁防治中心、</w:t>
      </w:r>
      <w:bookmarkStart w:id="18" w:name="OLE_LINK1"/>
      <w:bookmarkStart w:id="19" w:name="OLE_LINK2"/>
      <w:r>
        <w:rPr>
          <w:rFonts w:hint="eastAsia" w:ascii="仿宋_GB2312" w:hAnsi="仿宋" w:eastAsia="仿宋_GB2312"/>
          <w:sz w:val="32"/>
          <w:szCs w:val="32"/>
        </w:rPr>
        <w:t>攀枝花</w:t>
      </w:r>
      <w:r>
        <w:rPr>
          <w:rFonts w:ascii="仿宋_GB2312" w:hAnsi="仿宋" w:eastAsia="仿宋_GB2312"/>
          <w:sz w:val="32"/>
          <w:szCs w:val="32"/>
        </w:rPr>
        <w:t>市维修资金管理中心</w:t>
      </w:r>
      <w:bookmarkEnd w:id="18"/>
      <w:bookmarkEnd w:id="19"/>
      <w:r>
        <w:rPr>
          <w:rFonts w:ascii="仿宋_GB2312" w:hAnsi="仿宋" w:eastAsia="仿宋_GB2312"/>
          <w:sz w:val="32"/>
          <w:szCs w:val="32"/>
        </w:rPr>
        <w:t>。</w:t>
      </w:r>
    </w:p>
    <w:p>
      <w:pPr>
        <w:ind w:firstLine="800" w:firstLineChars="250"/>
        <w:rPr>
          <w:rFonts w:ascii="仿宋_GB2312" w:hAnsi="仿宋_GB2312" w:eastAsia="仿宋_GB2312" w:cs="仿宋_GB2312"/>
          <w:sz w:val="32"/>
          <w:szCs w:val="32"/>
        </w:rPr>
      </w:pPr>
    </w:p>
    <w:p>
      <w:pPr>
        <w:pStyle w:val="5"/>
        <w:rPr>
          <w:rFonts w:eastAsia="方正小标宋简体" w:cs="方正小标宋简体"/>
          <w:b w:val="0"/>
        </w:rPr>
      </w:pPr>
      <w:bookmarkStart w:id="20" w:name="_Toc15396602"/>
      <w:bookmarkStart w:id="21" w:name="_Toc15377204"/>
    </w:p>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5"/>
        <w:jc w:val="center"/>
        <w:rPr>
          <w:rFonts w:eastAsia="方正小标宋简体" w:cs="方正小标宋简体"/>
          <w:b w:val="0"/>
        </w:rPr>
      </w:pPr>
      <w:r>
        <w:rPr>
          <w:rFonts w:hint="eastAsia" w:eastAsia="方正小标宋简体" w:cs="方正小标宋简体"/>
          <w:b w:val="0"/>
        </w:rPr>
        <w:t>第二部分  2024年度单位决算情况说明</w:t>
      </w:r>
      <w:bookmarkEnd w:id="20"/>
      <w:bookmarkEnd w:id="21"/>
    </w:p>
    <w:p/>
    <w:p>
      <w:pPr>
        <w:pStyle w:val="28"/>
        <w:spacing w:line="600" w:lineRule="exact"/>
        <w:ind w:firstLine="640"/>
        <w:outlineLvl w:val="1"/>
        <w:rPr>
          <w:rStyle w:val="30"/>
          <w:rFonts w:ascii="Times New Roman" w:hAnsi="Times New Roman" w:eastAsia="黑体"/>
          <w:b w:val="0"/>
        </w:rPr>
      </w:pPr>
      <w:bookmarkStart w:id="22" w:name="_Toc15377205"/>
      <w:bookmarkStart w:id="23"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22"/>
      <w:bookmarkEnd w:id="23"/>
    </w:p>
    <w:p>
      <w:pPr>
        <w:ind w:firstLine="709"/>
        <w:rPr>
          <w:rFonts w:ascii="仿宋_GB2312" w:hAnsi="仿宋" w:eastAsia="仿宋_GB2312" w:cs="仿宋"/>
          <w:color w:val="000000"/>
          <w:sz w:val="32"/>
          <w:szCs w:val="32"/>
        </w:rPr>
      </w:pPr>
      <w:r>
        <w:rPr>
          <w:rFonts w:hint="eastAsia" w:ascii="仿宋_GB2312" w:hAnsi="仿宋" w:eastAsia="仿宋_GB2312"/>
          <w:sz w:val="32"/>
          <w:szCs w:val="32"/>
        </w:rPr>
        <w:t>2</w:t>
      </w:r>
      <w:r>
        <w:rPr>
          <w:rFonts w:ascii="仿宋_GB2312" w:hAnsi="仿宋" w:eastAsia="仿宋_GB2312"/>
          <w:sz w:val="32"/>
          <w:szCs w:val="32"/>
        </w:rPr>
        <w:t>024</w:t>
      </w:r>
      <w:r>
        <w:rPr>
          <w:rFonts w:hint="eastAsia" w:ascii="仿宋_GB2312" w:hAnsi="仿宋" w:eastAsia="仿宋_GB2312"/>
          <w:sz w:val="32"/>
          <w:szCs w:val="32"/>
        </w:rPr>
        <w:t>年收入</w:t>
      </w:r>
      <w:r>
        <w:rPr>
          <w:rFonts w:ascii="仿宋_GB2312" w:hAnsi="仿宋" w:eastAsia="仿宋_GB2312"/>
          <w:sz w:val="32"/>
          <w:szCs w:val="32"/>
        </w:rPr>
        <w:t>2089.34</w:t>
      </w:r>
      <w:r>
        <w:rPr>
          <w:rFonts w:hint="eastAsia" w:ascii="仿宋_GB2312" w:hAnsi="仿宋" w:eastAsia="仿宋_GB2312"/>
          <w:sz w:val="32"/>
          <w:szCs w:val="32"/>
        </w:rPr>
        <w:t>万元，较上年</w:t>
      </w:r>
      <w:r>
        <w:rPr>
          <w:rFonts w:ascii="仿宋_GB2312" w:hAnsi="仿宋" w:eastAsia="仿宋_GB2312"/>
          <w:sz w:val="32"/>
          <w:szCs w:val="32"/>
        </w:rPr>
        <w:t>2218.91</w:t>
      </w:r>
      <w:r>
        <w:rPr>
          <w:rFonts w:hint="eastAsia" w:ascii="仿宋_GB2312" w:hAnsi="仿宋" w:eastAsia="仿宋_GB2312"/>
          <w:sz w:val="32"/>
          <w:szCs w:val="32"/>
        </w:rPr>
        <w:t>万元减少</w:t>
      </w:r>
      <w:r>
        <w:rPr>
          <w:rFonts w:ascii="仿宋_GB2312" w:hAnsi="仿宋" w:eastAsia="仿宋_GB2312"/>
          <w:sz w:val="32"/>
          <w:szCs w:val="32"/>
        </w:rPr>
        <w:t>129.57</w:t>
      </w:r>
      <w:r>
        <w:rPr>
          <w:rFonts w:hint="eastAsia" w:ascii="仿宋_GB2312" w:hAnsi="仿宋" w:eastAsia="仿宋_GB2312"/>
          <w:sz w:val="32"/>
          <w:szCs w:val="32"/>
        </w:rPr>
        <w:t>万元，减少幅度</w:t>
      </w:r>
      <w:r>
        <w:rPr>
          <w:rFonts w:ascii="仿宋_GB2312" w:hAnsi="仿宋" w:eastAsia="仿宋_GB2312"/>
          <w:sz w:val="32"/>
          <w:szCs w:val="32"/>
        </w:rPr>
        <w:t>5.84</w:t>
      </w:r>
      <w:r>
        <w:rPr>
          <w:rFonts w:hint="eastAsia" w:ascii="仿宋_GB2312" w:hAnsi="仿宋" w:eastAsia="仿宋_GB2312"/>
          <w:sz w:val="32"/>
          <w:szCs w:val="32"/>
        </w:rPr>
        <w:t>%，减少原因主要为</w:t>
      </w:r>
      <w:r>
        <w:rPr>
          <w:rFonts w:hint="eastAsia" w:ascii="仿宋_GB2312" w:hAnsi="仿宋" w:eastAsia="仿宋_GB2312" w:cs="仿宋"/>
          <w:color w:val="000000"/>
          <w:sz w:val="32"/>
          <w:szCs w:val="32"/>
        </w:rPr>
        <w:t>白蚁防治管理经费、房地产交易成本、房地产市场信息平台运维费、房地产市场推介费等项目经费拨付减少。</w:t>
      </w:r>
    </w:p>
    <w:p>
      <w:pPr>
        <w:ind w:firstLine="709"/>
        <w:rPr>
          <w:rFonts w:ascii="仿宋_GB2312" w:hAnsi="仿宋" w:eastAsia="仿宋_GB2312" w:cs="仿宋"/>
          <w:color w:val="000000"/>
          <w:sz w:val="32"/>
          <w:szCs w:val="32"/>
        </w:rPr>
      </w:pPr>
      <w:r>
        <w:rPr>
          <w:rFonts w:hint="eastAsia" w:ascii="仿宋_GB2312" w:hAnsi="仿宋" w:eastAsia="仿宋_GB2312"/>
          <w:sz w:val="32"/>
          <w:szCs w:val="32"/>
        </w:rPr>
        <w:t>2</w:t>
      </w:r>
      <w:r>
        <w:rPr>
          <w:rFonts w:ascii="仿宋_GB2312" w:hAnsi="仿宋" w:eastAsia="仿宋_GB2312"/>
          <w:sz w:val="32"/>
          <w:szCs w:val="32"/>
        </w:rPr>
        <w:t>024</w:t>
      </w:r>
      <w:r>
        <w:rPr>
          <w:rFonts w:hint="eastAsia" w:ascii="仿宋_GB2312" w:hAnsi="仿宋" w:eastAsia="仿宋_GB2312"/>
          <w:sz w:val="32"/>
          <w:szCs w:val="32"/>
        </w:rPr>
        <w:t>支出</w:t>
      </w:r>
      <w:r>
        <w:rPr>
          <w:rFonts w:ascii="仿宋_GB2312" w:hAnsi="仿宋" w:eastAsia="仿宋_GB2312"/>
          <w:sz w:val="32"/>
          <w:szCs w:val="32"/>
        </w:rPr>
        <w:t>2089.34</w:t>
      </w:r>
      <w:r>
        <w:rPr>
          <w:rFonts w:hint="eastAsia" w:ascii="仿宋_GB2312" w:hAnsi="仿宋" w:eastAsia="仿宋_GB2312"/>
          <w:sz w:val="32"/>
          <w:szCs w:val="32"/>
        </w:rPr>
        <w:t>万元，较上年</w:t>
      </w:r>
      <w:r>
        <w:rPr>
          <w:rFonts w:ascii="仿宋_GB2312" w:hAnsi="仿宋" w:eastAsia="仿宋_GB2312"/>
          <w:sz w:val="32"/>
          <w:szCs w:val="32"/>
        </w:rPr>
        <w:t>2218.91</w:t>
      </w:r>
      <w:r>
        <w:rPr>
          <w:rFonts w:hint="eastAsia" w:ascii="仿宋_GB2312" w:hAnsi="仿宋" w:eastAsia="仿宋_GB2312"/>
          <w:sz w:val="32"/>
          <w:szCs w:val="32"/>
        </w:rPr>
        <w:t>万元减少</w:t>
      </w:r>
      <w:r>
        <w:rPr>
          <w:rFonts w:ascii="仿宋_GB2312" w:hAnsi="仿宋" w:eastAsia="仿宋_GB2312"/>
          <w:sz w:val="32"/>
          <w:szCs w:val="32"/>
        </w:rPr>
        <w:t>129.57</w:t>
      </w:r>
      <w:r>
        <w:rPr>
          <w:rFonts w:hint="eastAsia" w:ascii="仿宋_GB2312" w:hAnsi="仿宋" w:eastAsia="仿宋_GB2312"/>
          <w:sz w:val="32"/>
          <w:szCs w:val="32"/>
        </w:rPr>
        <w:t>万元，减少幅度</w:t>
      </w:r>
      <w:r>
        <w:rPr>
          <w:rFonts w:ascii="仿宋_GB2312" w:hAnsi="仿宋" w:eastAsia="仿宋_GB2312"/>
          <w:sz w:val="32"/>
          <w:szCs w:val="32"/>
        </w:rPr>
        <w:t>5.84</w:t>
      </w:r>
      <w:r>
        <w:rPr>
          <w:rFonts w:hint="eastAsia" w:ascii="仿宋_GB2312" w:hAnsi="仿宋" w:eastAsia="仿宋_GB2312"/>
          <w:sz w:val="32"/>
          <w:szCs w:val="32"/>
        </w:rPr>
        <w:t>%，减少原因主要为</w:t>
      </w:r>
      <w:r>
        <w:rPr>
          <w:rFonts w:hint="eastAsia" w:ascii="仿宋_GB2312" w:hAnsi="仿宋" w:eastAsia="仿宋_GB2312" w:cs="仿宋"/>
          <w:color w:val="000000"/>
          <w:sz w:val="32"/>
          <w:szCs w:val="32"/>
        </w:rPr>
        <w:t>白蚁防治管理经费、房地产交易成本、房地产市场信息平台运维费、房地产市场推介费等项目经费拨付减少。</w:t>
      </w:r>
    </w:p>
    <w:p>
      <w:pPr>
        <w:ind w:firstLine="420" w:firstLineChars="200"/>
        <w:rPr>
          <w:rFonts w:eastAsia="仿宋_GB2312" w:cs="仿宋_GB2312"/>
          <w:sz w:val="32"/>
          <w:szCs w:val="32"/>
        </w:rPr>
      </w:pPr>
      <w:r>
        <w:drawing>
          <wp:inline distT="0" distB="0" distL="0" distR="0">
            <wp:extent cx="4568825" cy="2294255"/>
            <wp:effectExtent l="0" t="0" r="317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8"/>
        <w:spacing w:line="600" w:lineRule="exact"/>
        <w:ind w:firstLine="640"/>
        <w:jc w:val="center"/>
        <w:outlineLvl w:val="1"/>
        <w:rPr>
          <w:rFonts w:eastAsia="仿宋_GB2312" w:cs="仿宋_GB2312"/>
          <w:sz w:val="32"/>
          <w:szCs w:val="32"/>
        </w:rPr>
      </w:pPr>
      <w:r>
        <w:rPr>
          <w:rFonts w:hint="eastAsia" w:eastAsia="仿宋_GB2312" w:cs="仿宋_GB2312"/>
          <w:sz w:val="32"/>
          <w:szCs w:val="32"/>
        </w:rPr>
        <w:t>（图1：收入、支出决算总计变动情况图）</w:t>
      </w:r>
    </w:p>
    <w:p>
      <w:pPr>
        <w:pStyle w:val="2"/>
      </w:pPr>
    </w:p>
    <w:p>
      <w:pPr>
        <w:pStyle w:val="28"/>
        <w:spacing w:line="600" w:lineRule="exact"/>
        <w:ind w:firstLine="640"/>
        <w:outlineLvl w:val="1"/>
        <w:rPr>
          <w:rFonts w:eastAsia="黑体"/>
          <w:sz w:val="32"/>
          <w:szCs w:val="32"/>
        </w:rPr>
      </w:pPr>
      <w:bookmarkStart w:id="24" w:name="_Toc15377206"/>
      <w:bookmarkStart w:id="25" w:name="_Toc15396604"/>
      <w:r>
        <w:rPr>
          <w:rFonts w:hint="eastAsia" w:eastAsia="黑体"/>
          <w:sz w:val="32"/>
          <w:szCs w:val="32"/>
        </w:rPr>
        <w:t>二、收入决算情况说明</w:t>
      </w:r>
      <w:bookmarkEnd w:id="24"/>
      <w:bookmarkEnd w:id="25"/>
    </w:p>
    <w:p>
      <w:pPr>
        <w:pStyle w:val="28"/>
        <w:spacing w:line="600" w:lineRule="exact"/>
        <w:ind w:firstLine="640"/>
        <w:jc w:val="both"/>
        <w:outlineLvl w:val="1"/>
        <w:rPr>
          <w:rFonts w:hint="eastAsia" w:eastAsia="仿宋_GB2312" w:cs="仿宋_GB2312"/>
          <w:b/>
          <w:bCs/>
          <w:sz w:val="32"/>
          <w:szCs w:val="32"/>
          <w:lang w:eastAsia="zh-CN"/>
        </w:rPr>
      </w:pPr>
      <w:r>
        <w:rPr>
          <w:rFonts w:hint="eastAsia" w:ascii="仿宋_GB2312" w:hAnsi="仿宋_GB2312" w:eastAsia="仿宋_GB2312" w:cs="仿宋_GB2312"/>
          <w:sz w:val="32"/>
          <w:szCs w:val="32"/>
        </w:rPr>
        <w:t>2024年度本年收入合计2089.34万元，其中：一般公共预算财政拨款收入2069.34万元，占99.04%；政府性基金预算财政拨款收入20万元，占0.95%</w:t>
      </w:r>
      <w:r>
        <w:rPr>
          <w:rFonts w:hint="eastAsia" w:ascii="仿宋_GB2312" w:hAnsi="仿宋_GB2312" w:eastAsia="仿宋_GB2312" w:cs="仿宋_GB2312"/>
          <w:sz w:val="32"/>
          <w:szCs w:val="32"/>
          <w:lang w:eastAsia="zh-CN"/>
        </w:rPr>
        <w:t>。</w:t>
      </w:r>
    </w:p>
    <w:p>
      <w:pPr>
        <w:ind w:firstLine="525" w:firstLineChars="250"/>
        <w:rPr>
          <w:rFonts w:eastAsia="仿宋_GB2312" w:cs="仿宋_GB2312"/>
          <w:sz w:val="32"/>
          <w:szCs w:val="32"/>
        </w:rPr>
      </w:pPr>
      <w:r>
        <w:drawing>
          <wp:inline distT="0" distB="0" distL="0" distR="0">
            <wp:extent cx="4568825" cy="2740025"/>
            <wp:effectExtent l="0" t="0" r="3175" b="31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pPr>
        <w:pStyle w:val="2"/>
      </w:pPr>
    </w:p>
    <w:p>
      <w:pPr>
        <w:pStyle w:val="28"/>
        <w:spacing w:line="600" w:lineRule="exact"/>
        <w:ind w:firstLine="640"/>
        <w:outlineLvl w:val="1"/>
        <w:rPr>
          <w:rStyle w:val="30"/>
          <w:rFonts w:ascii="Times New Roman" w:hAnsi="Times New Roman" w:eastAsia="黑体"/>
          <w:b w:val="0"/>
        </w:rPr>
      </w:pPr>
      <w:bookmarkStart w:id="26" w:name="_Toc15396605"/>
      <w:bookmarkStart w:id="27" w:name="_Toc15377207"/>
      <w:r>
        <w:rPr>
          <w:rFonts w:hint="eastAsia" w:eastAsia="黑体"/>
          <w:sz w:val="32"/>
          <w:szCs w:val="32"/>
        </w:rPr>
        <w:t>三、支</w:t>
      </w:r>
      <w:r>
        <w:rPr>
          <w:rStyle w:val="30"/>
          <w:rFonts w:hint="eastAsia" w:ascii="Times New Roman" w:hAnsi="Times New Roman" w:eastAsia="黑体"/>
          <w:b w:val="0"/>
        </w:rPr>
        <w:t>出决算情况说明</w:t>
      </w:r>
      <w:bookmarkEnd w:id="26"/>
      <w:bookmarkEnd w:id="27"/>
    </w:p>
    <w:p>
      <w:pPr>
        <w:pStyle w:val="28"/>
        <w:spacing w:line="600" w:lineRule="exact"/>
        <w:ind w:firstLine="640"/>
        <w:jc w:val="both"/>
        <w:outlineLvl w:val="1"/>
        <w:rPr>
          <w:rFonts w:eastAsia="仿宋_GB2312" w:cs="仿宋_GB2312"/>
          <w:sz w:val="32"/>
          <w:szCs w:val="32"/>
        </w:rPr>
      </w:pPr>
      <w:r>
        <w:rPr>
          <w:rFonts w:hint="eastAsia" w:ascii="仿宋_GB2312" w:hAnsi="仿宋_GB2312" w:eastAsia="仿宋_GB2312" w:cs="仿宋_GB2312"/>
          <w:sz w:val="32"/>
          <w:szCs w:val="32"/>
        </w:rPr>
        <w:t>2024年度本年支出合计2089.34万元，其中：基本支出1836.69万元，占87.91%；项目支出252.65万元，占12.09%。</w:t>
      </w:r>
    </w:p>
    <w:p>
      <w:pPr>
        <w:ind w:firstLine="525" w:firstLineChars="250"/>
        <w:rPr>
          <w:rFonts w:eastAsia="仿宋_GB2312" w:cs="仿宋_GB2312"/>
          <w:sz w:val="32"/>
          <w:szCs w:val="32"/>
        </w:rPr>
      </w:pPr>
      <w: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pPr>
        <w:spacing w:line="600" w:lineRule="exact"/>
        <w:ind w:firstLine="640" w:firstLineChars="200"/>
        <w:outlineLvl w:val="1"/>
        <w:rPr>
          <w:rStyle w:val="30"/>
          <w:rFonts w:ascii="Times New Roman" w:hAnsi="Times New Roman" w:eastAsia="黑体"/>
          <w:b w:val="0"/>
        </w:rPr>
      </w:pPr>
      <w:bookmarkStart w:id="28" w:name="_Toc15377208"/>
      <w:bookmarkStart w:id="2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8"/>
      <w:bookmarkEnd w:id="29"/>
    </w:p>
    <w:p>
      <w:pPr>
        <w:ind w:firstLine="709"/>
        <w:rPr>
          <w:rFonts w:ascii="仿宋_GB2312" w:hAnsi="仿宋" w:eastAsia="仿宋_GB2312" w:cs="仿宋"/>
          <w:color w:val="000000"/>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2089.34</w:t>
      </w:r>
      <w:r>
        <w:rPr>
          <w:rFonts w:hint="eastAsia" w:eastAsia="仿宋_GB2312" w:cs="仿宋_GB2312"/>
          <w:sz w:val="32"/>
          <w:szCs w:val="32"/>
        </w:rPr>
        <w:t>万元。与2023年度相比，财政拨款收入总计、支出总计各</w:t>
      </w:r>
      <w:r>
        <w:rPr>
          <w:rFonts w:hint="eastAsia" w:ascii="仿宋_GB2312" w:hAnsi="仿宋" w:eastAsia="仿宋_GB2312"/>
          <w:sz w:val="32"/>
          <w:szCs w:val="32"/>
        </w:rPr>
        <w:t>较上年均减少</w:t>
      </w:r>
      <w:r>
        <w:rPr>
          <w:rFonts w:ascii="仿宋_GB2312" w:hAnsi="仿宋" w:eastAsia="仿宋_GB2312"/>
          <w:sz w:val="32"/>
          <w:szCs w:val="32"/>
        </w:rPr>
        <w:t>129.57</w:t>
      </w:r>
      <w:r>
        <w:rPr>
          <w:rFonts w:hint="eastAsia" w:ascii="仿宋_GB2312" w:hAnsi="仿宋" w:eastAsia="仿宋_GB2312"/>
          <w:sz w:val="32"/>
          <w:szCs w:val="32"/>
        </w:rPr>
        <w:t>万元，减少幅度</w:t>
      </w:r>
      <w:r>
        <w:rPr>
          <w:rFonts w:ascii="仿宋_GB2312" w:hAnsi="仿宋" w:eastAsia="仿宋_GB2312"/>
          <w:sz w:val="32"/>
          <w:szCs w:val="32"/>
        </w:rPr>
        <w:t>5.84</w:t>
      </w:r>
      <w:r>
        <w:rPr>
          <w:rFonts w:hint="eastAsia" w:ascii="仿宋_GB2312" w:hAnsi="仿宋" w:eastAsia="仿宋_GB2312"/>
          <w:sz w:val="32"/>
          <w:szCs w:val="32"/>
        </w:rPr>
        <w:t>%，减少原因主要为</w:t>
      </w:r>
      <w:r>
        <w:rPr>
          <w:rFonts w:hint="eastAsia" w:ascii="仿宋_GB2312" w:hAnsi="仿宋" w:eastAsia="仿宋_GB2312" w:cs="仿宋"/>
          <w:color w:val="000000"/>
          <w:sz w:val="32"/>
          <w:szCs w:val="32"/>
        </w:rPr>
        <w:t>白蚁防治管理经费、房地产交易成本、房地产市场信息平台运维费、房地产市场推介费等项目经费拨付减少。</w:t>
      </w:r>
    </w:p>
    <w:p>
      <w:pPr>
        <w:spacing w:line="600" w:lineRule="exact"/>
        <w:ind w:firstLine="640"/>
        <w:jc w:val="center"/>
        <w:rPr>
          <w:rFonts w:eastAsia="仿宋_GB2312" w:cs="仿宋_GB2312"/>
          <w:sz w:val="32"/>
          <w:szCs w:val="32"/>
        </w:rPr>
      </w:pPr>
      <w:r>
        <w:rPr>
          <w:rFonts w:hint="eastAsia" w:eastAsia="仿宋_GB2312" w:cs="仿宋_GB2312"/>
          <w:sz w:val="32"/>
          <w:szCs w:val="32"/>
        </w:rPr>
        <w:drawing>
          <wp:anchor distT="0" distB="0" distL="114300" distR="114300" simplePos="0" relativeHeight="251657216" behindDoc="0" locked="0" layoutInCell="1" allowOverlap="1">
            <wp:simplePos x="0" y="0"/>
            <wp:positionH relativeFrom="column">
              <wp:posOffset>-28575</wp:posOffset>
            </wp:positionH>
            <wp:positionV relativeFrom="paragraph">
              <wp:posOffset>228600</wp:posOffset>
            </wp:positionV>
            <wp:extent cx="5372100" cy="2733675"/>
            <wp:effectExtent l="19050" t="0" r="1905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eastAsia="仿宋_GB2312" w:cs="仿宋_GB2312"/>
          <w:sz w:val="32"/>
          <w:szCs w:val="32"/>
        </w:rPr>
        <w:t>（图4：财政拨款收、支决算总计变动情况）</w:t>
      </w:r>
    </w:p>
    <w:p>
      <w:pPr>
        <w:pStyle w:val="2"/>
      </w:pPr>
    </w:p>
    <w:p>
      <w:pPr>
        <w:spacing w:line="600" w:lineRule="exact"/>
        <w:ind w:firstLine="640" w:firstLineChars="200"/>
        <w:outlineLvl w:val="1"/>
        <w:rPr>
          <w:rStyle w:val="30"/>
          <w:rFonts w:ascii="Times New Roman" w:hAnsi="Times New Roman" w:eastAsia="黑体"/>
          <w:b w:val="0"/>
        </w:rPr>
      </w:pPr>
      <w:bookmarkStart w:id="30" w:name="_Toc15377209"/>
      <w:bookmarkStart w:id="31"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0"/>
      <w:r>
        <w:rPr>
          <w:rFonts w:hint="eastAsia" w:eastAsia="楷体_GB2312" w:cs="楷体_GB2312"/>
          <w:b/>
          <w:sz w:val="32"/>
          <w:szCs w:val="32"/>
        </w:rPr>
        <w:t>（一）一般公共预算财政拨款支出决算总体情况</w:t>
      </w:r>
      <w:bookmarkEnd w:id="32"/>
    </w:p>
    <w:p>
      <w:pPr>
        <w:spacing w:line="60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2024年度一般公共预算财政拨款支出2069.34万元，占本年支出合计的99.04%。与2023年度相比，一般公共预算财政拨款支出减少</w:t>
      </w:r>
      <w:r>
        <w:rPr>
          <w:rFonts w:ascii="仿宋_GB2312" w:hAnsi="仿宋" w:eastAsia="仿宋_GB2312" w:cs="仿宋"/>
          <w:color w:val="000000"/>
          <w:sz w:val="32"/>
          <w:szCs w:val="32"/>
        </w:rPr>
        <w:t>149.56</w:t>
      </w:r>
      <w:r>
        <w:rPr>
          <w:rFonts w:hint="eastAsia" w:ascii="仿宋_GB2312" w:hAnsi="仿宋" w:eastAsia="仿宋_GB2312" w:cs="仿宋"/>
          <w:color w:val="000000"/>
          <w:sz w:val="32"/>
          <w:szCs w:val="32"/>
        </w:rPr>
        <w:t>万元，下降</w:t>
      </w:r>
      <w:r>
        <w:rPr>
          <w:rFonts w:ascii="仿宋_GB2312" w:hAnsi="仿宋" w:eastAsia="仿宋_GB2312" w:cs="仿宋"/>
          <w:color w:val="000000"/>
          <w:sz w:val="32"/>
          <w:szCs w:val="32"/>
        </w:rPr>
        <w:t>6.7</w:t>
      </w:r>
      <w:r>
        <w:rPr>
          <w:rFonts w:hint="eastAsia" w:ascii="仿宋_GB2312" w:hAnsi="仿宋" w:eastAsia="仿宋_GB2312" w:cs="仿宋"/>
          <w:color w:val="000000"/>
          <w:sz w:val="32"/>
          <w:szCs w:val="32"/>
        </w:rPr>
        <w:t>%。主要变动原因是白蚁防治管理经费、房地产交易成本、房地产市场信息平台运维费、房地产市场推介费等项目经费拨付减少。</w:t>
      </w:r>
    </w:p>
    <w:p>
      <w:pPr>
        <w:spacing w:line="600" w:lineRule="exact"/>
        <w:ind w:firstLine="640"/>
        <w:rPr>
          <w:rFonts w:eastAsia="仿宋_GB2312" w:cs="仿宋_GB2312"/>
          <w:sz w:val="32"/>
          <w:szCs w:val="32"/>
        </w:rPr>
      </w:pPr>
    </w:p>
    <w:p>
      <w:pPr>
        <w:pStyle w:val="2"/>
      </w:pPr>
    </w:p>
    <w:p>
      <w:pPr>
        <w:spacing w:line="600" w:lineRule="exact"/>
        <w:ind w:firstLine="640"/>
        <w:jc w:val="center"/>
        <w:rPr>
          <w:rFonts w:eastAsia="仿宋_GB2312" w:cs="仿宋_GB2312"/>
          <w:sz w:val="32"/>
          <w:szCs w:val="32"/>
        </w:rPr>
      </w:pPr>
      <w:r>
        <w:rPr>
          <w:rFonts w:hint="eastAsia" w:eastAsia="仿宋_GB2312" w:cs="仿宋_GB2312"/>
          <w:sz w:val="32"/>
          <w:szCs w:val="32"/>
        </w:rPr>
        <w:drawing>
          <wp:anchor distT="0" distB="0" distL="114300" distR="114300" simplePos="0" relativeHeight="251658240" behindDoc="0" locked="0" layoutInCell="1" allowOverlap="1">
            <wp:simplePos x="0" y="0"/>
            <wp:positionH relativeFrom="column">
              <wp:posOffset>95250</wp:posOffset>
            </wp:positionH>
            <wp:positionV relativeFrom="paragraph">
              <wp:posOffset>180975</wp:posOffset>
            </wp:positionV>
            <wp:extent cx="5400675" cy="3162300"/>
            <wp:effectExtent l="19050" t="0" r="9525"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（图5：</w:t>
      </w:r>
      <w:bookmarkStart w:id="33" w:name="OLE_LINK3"/>
      <w:bookmarkStart w:id="34" w:name="OLE_LINK4"/>
      <w:r>
        <w:rPr>
          <w:rFonts w:hint="eastAsia" w:eastAsia="仿宋_GB2312" w:cs="仿宋_GB2312"/>
          <w:sz w:val="32"/>
          <w:szCs w:val="32"/>
        </w:rPr>
        <w:t>一般公共预算财政拨款支出决算变动情况</w:t>
      </w:r>
      <w:bookmarkEnd w:id="33"/>
      <w:bookmarkEnd w:id="34"/>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35" w:name="_Toc15377211"/>
      <w:r>
        <w:rPr>
          <w:rFonts w:hint="eastAsia" w:eastAsia="楷体_GB2312" w:cs="楷体_GB2312"/>
          <w:b/>
          <w:sz w:val="32"/>
          <w:szCs w:val="32"/>
        </w:rPr>
        <w:t>（二）一般公共预算财政拨款支出决算结构情况</w:t>
      </w:r>
      <w:bookmarkEnd w:id="35"/>
    </w:p>
    <w:p>
      <w:pPr>
        <w:spacing w:line="600" w:lineRule="exact"/>
        <w:ind w:firstLine="640"/>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rPr>
        <w:t>2024年度一般公共预算财政拨款支出2069.34万元，主要用于以下方面：一般公共服务支出</w:t>
      </w:r>
      <w:r>
        <w:rPr>
          <w:rFonts w:ascii="仿宋_GB2312" w:hAnsi="仿宋" w:eastAsia="仿宋_GB2312" w:cs="仿宋"/>
          <w:color w:val="000000"/>
          <w:sz w:val="32"/>
          <w:szCs w:val="32"/>
        </w:rPr>
        <w:t>0.64</w:t>
      </w:r>
      <w:r>
        <w:rPr>
          <w:rFonts w:hint="eastAsia" w:ascii="仿宋_GB2312" w:hAnsi="仿宋" w:eastAsia="仿宋_GB2312" w:cs="仿宋"/>
          <w:color w:val="000000"/>
          <w:sz w:val="32"/>
          <w:szCs w:val="32"/>
        </w:rPr>
        <w:t>万元，占</w:t>
      </w:r>
      <w:r>
        <w:rPr>
          <w:rFonts w:ascii="仿宋_GB2312" w:hAnsi="仿宋" w:eastAsia="仿宋_GB2312" w:cs="仿宋"/>
          <w:color w:val="000000"/>
          <w:sz w:val="32"/>
          <w:szCs w:val="32"/>
        </w:rPr>
        <w:t>0.03</w:t>
      </w:r>
      <w:r>
        <w:rPr>
          <w:rFonts w:hint="eastAsia" w:ascii="仿宋_GB2312" w:hAnsi="仿宋" w:eastAsia="仿宋_GB2312" w:cs="仿宋"/>
          <w:color w:val="000000"/>
          <w:sz w:val="32"/>
          <w:szCs w:val="32"/>
        </w:rPr>
        <w:t>%；社会保障和就业支出</w:t>
      </w:r>
      <w:r>
        <w:rPr>
          <w:rFonts w:ascii="仿宋_GB2312" w:hAnsi="仿宋" w:eastAsia="仿宋_GB2312" w:cs="仿宋"/>
          <w:color w:val="000000"/>
          <w:sz w:val="32"/>
          <w:szCs w:val="32"/>
        </w:rPr>
        <w:t>425.69</w:t>
      </w:r>
      <w:r>
        <w:rPr>
          <w:rFonts w:hint="eastAsia" w:ascii="仿宋_GB2312" w:hAnsi="仿宋" w:eastAsia="仿宋_GB2312" w:cs="仿宋"/>
          <w:color w:val="000000"/>
          <w:sz w:val="32"/>
          <w:szCs w:val="32"/>
        </w:rPr>
        <w:t>万元，占</w:t>
      </w:r>
      <w:r>
        <w:rPr>
          <w:rFonts w:ascii="仿宋_GB2312" w:hAnsi="仿宋" w:eastAsia="仿宋_GB2312" w:cs="仿宋"/>
          <w:color w:val="000000"/>
          <w:sz w:val="32"/>
          <w:szCs w:val="32"/>
        </w:rPr>
        <w:t>20.57</w:t>
      </w:r>
      <w:r>
        <w:rPr>
          <w:rFonts w:hint="eastAsia" w:ascii="仿宋_GB2312" w:hAnsi="仿宋" w:eastAsia="仿宋_GB2312" w:cs="仿宋"/>
          <w:color w:val="000000"/>
          <w:sz w:val="32"/>
          <w:szCs w:val="32"/>
        </w:rPr>
        <w:t>%；</w:t>
      </w:r>
      <w:bookmarkStart w:id="36" w:name="OLE_LINK5"/>
      <w:r>
        <w:rPr>
          <w:rFonts w:hint="eastAsia" w:ascii="仿宋_GB2312" w:hAnsi="仿宋" w:eastAsia="仿宋_GB2312" w:cs="仿宋"/>
          <w:color w:val="000000"/>
          <w:sz w:val="32"/>
          <w:szCs w:val="32"/>
        </w:rPr>
        <w:t>卫生健康支出</w:t>
      </w:r>
      <w:r>
        <w:rPr>
          <w:rFonts w:ascii="仿宋_GB2312" w:hAnsi="仿宋" w:eastAsia="仿宋_GB2312" w:cs="仿宋"/>
          <w:color w:val="000000"/>
          <w:sz w:val="32"/>
          <w:szCs w:val="32"/>
        </w:rPr>
        <w:t>51.73</w:t>
      </w:r>
      <w:r>
        <w:rPr>
          <w:rFonts w:hint="eastAsia" w:ascii="仿宋_GB2312" w:hAnsi="仿宋" w:eastAsia="仿宋_GB2312" w:cs="仿宋"/>
          <w:color w:val="000000"/>
          <w:sz w:val="32"/>
          <w:szCs w:val="32"/>
        </w:rPr>
        <w:t>万元，占</w:t>
      </w:r>
      <w:r>
        <w:rPr>
          <w:rFonts w:ascii="仿宋_GB2312" w:hAnsi="仿宋" w:eastAsia="仿宋_GB2312" w:cs="仿宋"/>
          <w:color w:val="000000"/>
          <w:sz w:val="32"/>
          <w:szCs w:val="32"/>
        </w:rPr>
        <w:t>2.5</w:t>
      </w:r>
      <w:r>
        <w:rPr>
          <w:rFonts w:hint="eastAsia" w:ascii="仿宋_GB2312" w:hAnsi="仿宋" w:eastAsia="仿宋_GB2312" w:cs="仿宋"/>
          <w:color w:val="000000"/>
          <w:sz w:val="32"/>
          <w:szCs w:val="32"/>
        </w:rPr>
        <w:t>%；</w:t>
      </w:r>
      <w:bookmarkEnd w:id="36"/>
      <w:r>
        <w:rPr>
          <w:rFonts w:hint="eastAsia" w:ascii="仿宋_GB2312" w:hAnsi="仿宋" w:eastAsia="仿宋_GB2312" w:cs="仿宋"/>
          <w:color w:val="000000"/>
          <w:sz w:val="32"/>
          <w:szCs w:val="32"/>
        </w:rPr>
        <w:t>城乡社区</w:t>
      </w:r>
      <w:r>
        <w:rPr>
          <w:rFonts w:ascii="仿宋_GB2312" w:hAnsi="仿宋" w:eastAsia="仿宋_GB2312" w:cs="仿宋"/>
          <w:color w:val="000000"/>
          <w:sz w:val="32"/>
          <w:szCs w:val="32"/>
        </w:rPr>
        <w:t>支出</w:t>
      </w:r>
      <w:r>
        <w:rPr>
          <w:rFonts w:hint="eastAsia" w:ascii="仿宋_GB2312" w:hAnsi="仿宋" w:eastAsia="仿宋_GB2312" w:cs="仿宋"/>
          <w:color w:val="000000"/>
          <w:sz w:val="32"/>
          <w:szCs w:val="32"/>
        </w:rPr>
        <w:t>14</w:t>
      </w:r>
      <w:r>
        <w:rPr>
          <w:rFonts w:ascii="仿宋_GB2312" w:hAnsi="仿宋" w:eastAsia="仿宋_GB2312" w:cs="仿宋"/>
          <w:color w:val="000000"/>
          <w:sz w:val="32"/>
          <w:szCs w:val="32"/>
        </w:rPr>
        <w:t>7</w:t>
      </w:r>
      <w:r>
        <w:rPr>
          <w:rFonts w:hint="eastAsia" w:ascii="仿宋_GB2312" w:hAnsi="仿宋" w:eastAsia="仿宋_GB2312" w:cs="仿宋"/>
          <w:color w:val="000000"/>
          <w:sz w:val="32"/>
          <w:szCs w:val="32"/>
        </w:rPr>
        <w:t>8.70万元，占</w:t>
      </w:r>
      <w:r>
        <w:rPr>
          <w:rFonts w:ascii="仿宋_GB2312" w:hAnsi="仿宋" w:eastAsia="仿宋_GB2312" w:cs="仿宋"/>
          <w:color w:val="000000"/>
          <w:sz w:val="32"/>
          <w:szCs w:val="32"/>
        </w:rPr>
        <w:t>71.46</w:t>
      </w:r>
      <w:r>
        <w:rPr>
          <w:rFonts w:hint="eastAsia" w:ascii="仿宋_GB2312" w:hAnsi="仿宋" w:eastAsia="仿宋_GB2312" w:cs="仿宋"/>
          <w:color w:val="000000"/>
          <w:sz w:val="32"/>
          <w:szCs w:val="32"/>
        </w:rPr>
        <w:t>%；住房保障支出</w:t>
      </w:r>
      <w:r>
        <w:rPr>
          <w:rFonts w:ascii="仿宋_GB2312" w:hAnsi="仿宋" w:eastAsia="仿宋_GB2312" w:cs="仿宋"/>
          <w:color w:val="000000"/>
          <w:sz w:val="32"/>
          <w:szCs w:val="32"/>
        </w:rPr>
        <w:t>112.58</w:t>
      </w:r>
      <w:r>
        <w:rPr>
          <w:rFonts w:hint="eastAsia" w:ascii="仿宋_GB2312" w:hAnsi="仿宋" w:eastAsia="仿宋_GB2312" w:cs="仿宋"/>
          <w:color w:val="000000"/>
          <w:sz w:val="32"/>
          <w:szCs w:val="32"/>
        </w:rPr>
        <w:t>万元，占</w:t>
      </w:r>
      <w:r>
        <w:rPr>
          <w:rFonts w:ascii="仿宋_GB2312" w:hAnsi="仿宋" w:eastAsia="仿宋_GB2312" w:cs="仿宋"/>
          <w:color w:val="000000"/>
          <w:sz w:val="32"/>
          <w:szCs w:val="32"/>
        </w:rPr>
        <w:t>5.44</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w:t>
      </w:r>
    </w:p>
    <w:p>
      <w:pPr>
        <w:pStyle w:val="2"/>
        <w:jc w:val="center"/>
      </w:pPr>
      <w:r>
        <w:drawing>
          <wp:inline distT="0" distB="0" distL="0" distR="0">
            <wp:extent cx="5191125" cy="2228850"/>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eastAsia="仿宋_GB2312" w:cs="仿宋_GB2312"/>
          <w:sz w:val="32"/>
        </w:rPr>
        <w:t>（图6：</w:t>
      </w:r>
      <w:bookmarkStart w:id="37" w:name="OLE_LINK6"/>
      <w:r>
        <w:rPr>
          <w:rFonts w:hint="eastAsia" w:eastAsia="仿宋_GB2312" w:cs="仿宋_GB2312"/>
          <w:sz w:val="32"/>
        </w:rPr>
        <w:t>一般公共预算财政拨款支出决算结构</w:t>
      </w:r>
      <w:bookmarkEnd w:id="37"/>
      <w:r>
        <w:rPr>
          <w:rFonts w:hint="eastAsia" w:eastAsia="仿宋_GB2312" w:cs="仿宋_GB2312"/>
          <w:sz w:val="32"/>
        </w:rPr>
        <w:t>）</w:t>
      </w:r>
    </w:p>
    <w:p>
      <w:pPr>
        <w:spacing w:line="600" w:lineRule="exact"/>
        <w:ind w:firstLine="642" w:firstLineChars="200"/>
        <w:outlineLvl w:val="2"/>
        <w:rPr>
          <w:rFonts w:eastAsia="楷体_GB2312" w:cs="楷体_GB2312"/>
          <w:b/>
          <w:sz w:val="32"/>
          <w:szCs w:val="32"/>
        </w:rPr>
      </w:pPr>
      <w:bookmarkStart w:id="38" w:name="_Toc15377212"/>
      <w:r>
        <w:rPr>
          <w:rFonts w:hint="eastAsia" w:eastAsia="楷体_GB2312" w:cs="楷体_GB2312"/>
          <w:b/>
          <w:sz w:val="32"/>
          <w:szCs w:val="32"/>
        </w:rPr>
        <w:t>（三）一般公共预算财政拨款支出决算具体情况</w:t>
      </w:r>
      <w:bookmarkEnd w:id="38"/>
    </w:p>
    <w:p>
      <w:pPr>
        <w:spacing w:line="600" w:lineRule="exact"/>
        <w:ind w:firstLine="640"/>
        <w:rPr>
          <w:rFonts w:hint="eastAsia" w:ascii="仿宋_GB2312" w:hAnsi="仿宋_GB2312" w:eastAsia="仿宋_GB2312" w:cs="仿宋_GB2312"/>
          <w:sz w:val="32"/>
          <w:szCs w:val="32"/>
        </w:rPr>
      </w:pPr>
      <w:bookmarkStart w:id="39" w:name="_Toc15377444"/>
      <w:bookmarkStart w:id="40" w:name="_Toc15377213"/>
      <w:bookmarkStart w:id="41" w:name="_Toc15378460"/>
      <w:r>
        <w:rPr>
          <w:rFonts w:hint="eastAsia" w:ascii="仿宋_GB2312" w:hAnsi="仿宋_GB2312" w:eastAsia="仿宋_GB2312" w:cs="仿宋_GB2312"/>
          <w:sz w:val="32"/>
          <w:szCs w:val="32"/>
        </w:rPr>
        <w:t>2024年度一般公共预算财政拨款支出决算数为2069.34，完成预算100%。其中：</w:t>
      </w:r>
      <w:bookmarkEnd w:id="39"/>
      <w:bookmarkEnd w:id="40"/>
      <w:bookmarkEnd w:id="41"/>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1. 一般公共服务支出（类）组织事务支出（款）其他</w:t>
      </w:r>
      <w:bookmarkStart w:id="42" w:name="OLE_LINK7"/>
      <w:bookmarkStart w:id="43" w:name="OLE_LINK8"/>
      <w:r>
        <w:rPr>
          <w:rStyle w:val="18"/>
          <w:rFonts w:hint="eastAsia" w:ascii="仿宋_GB2312" w:hAnsi="仿宋_GB2312" w:eastAsia="仿宋_GB2312" w:cs="仿宋_GB2312"/>
          <w:bCs/>
          <w:sz w:val="32"/>
          <w:szCs w:val="32"/>
        </w:rPr>
        <w:t>组织事务支出</w:t>
      </w:r>
      <w:bookmarkEnd w:id="42"/>
      <w:bookmarkEnd w:id="43"/>
      <w:r>
        <w:rPr>
          <w:rStyle w:val="18"/>
          <w:rFonts w:hint="eastAsia" w:ascii="仿宋_GB2312" w:hAnsi="仿宋_GB2312" w:eastAsia="仿宋_GB2312" w:cs="仿宋_GB2312"/>
          <w:bCs/>
          <w:sz w:val="32"/>
          <w:szCs w:val="32"/>
        </w:rPr>
        <w:t xml:space="preserve">（项）: </w:t>
      </w:r>
      <w:r>
        <w:rPr>
          <w:rFonts w:hint="eastAsia" w:ascii="仿宋_GB2312" w:hAnsi="仿宋_GB2312" w:eastAsia="仿宋_GB2312" w:cs="仿宋_GB2312"/>
          <w:sz w:val="32"/>
          <w:szCs w:val="32"/>
        </w:rPr>
        <w:t>支出决算为0.64万元，完成预算100%，决算数等于预算数。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2.社会保障和就业（类）行政事业单位养老支出（款）行政单位离退休（项）: </w:t>
      </w:r>
      <w:r>
        <w:rPr>
          <w:rFonts w:hint="eastAsia" w:ascii="仿宋_GB2312" w:hAnsi="仿宋_GB2312" w:eastAsia="仿宋_GB2312" w:cs="仿宋_GB2312"/>
          <w:sz w:val="32"/>
          <w:szCs w:val="32"/>
        </w:rPr>
        <w:t>支出决算为55.92万元，完成预算100%，决算数等于预算数。</w:t>
      </w:r>
    </w:p>
    <w:p>
      <w:pPr>
        <w:spacing w:line="600" w:lineRule="exact"/>
        <w:ind w:firstLine="642" w:firstLineChars="200"/>
        <w:rPr>
          <w:rFonts w:hint="eastAsia" w:ascii="仿宋_GB2312" w:hAnsi="仿宋_GB2312" w:eastAsia="仿宋_GB2312" w:cs="仿宋_GB2312"/>
        </w:rPr>
      </w:pPr>
      <w:r>
        <w:rPr>
          <w:rStyle w:val="18"/>
          <w:rFonts w:hint="eastAsia" w:ascii="仿宋_GB2312" w:hAnsi="仿宋_GB2312" w:eastAsia="仿宋_GB2312" w:cs="仿宋_GB2312"/>
          <w:bCs/>
          <w:sz w:val="32"/>
          <w:szCs w:val="32"/>
        </w:rPr>
        <w:t xml:space="preserve">3.社会保障和就业（类）行政事业单位养老支出（款）事业单位离退休（项）: </w:t>
      </w:r>
      <w:r>
        <w:rPr>
          <w:rFonts w:hint="eastAsia" w:ascii="仿宋_GB2312" w:hAnsi="仿宋_GB2312" w:eastAsia="仿宋_GB2312" w:cs="仿宋_GB2312"/>
          <w:sz w:val="32"/>
          <w:szCs w:val="32"/>
        </w:rPr>
        <w:t>支出决算为160.09万元，完成预算100%，决算数等于预算数。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4.社会保障和就业（类）行政事业单位养老支出（款）  机关事业单位基本养老保险缴费支出（项）: </w:t>
      </w:r>
      <w:r>
        <w:rPr>
          <w:rFonts w:hint="eastAsia" w:ascii="仿宋_GB2312" w:hAnsi="仿宋_GB2312" w:eastAsia="仿宋_GB2312" w:cs="仿宋_GB2312"/>
          <w:sz w:val="32"/>
          <w:szCs w:val="32"/>
        </w:rPr>
        <w:t>支出决算为141.79万元，完成预算100%，决算数等于预算数。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5.社会保障和就业（类）行政事业单位养老支出（款）机关事业单位职业年金缴费支出（项）: </w:t>
      </w:r>
      <w:r>
        <w:rPr>
          <w:rFonts w:hint="eastAsia" w:ascii="仿宋_GB2312" w:hAnsi="仿宋_GB2312" w:eastAsia="仿宋_GB2312" w:cs="仿宋_GB2312"/>
          <w:sz w:val="32"/>
          <w:szCs w:val="32"/>
        </w:rPr>
        <w:t>支出决算为15.32万元，完成预算100%，决算数等于预算数。</w:t>
      </w:r>
    </w:p>
    <w:p>
      <w:pPr>
        <w:pStyle w:val="3"/>
        <w:ind w:left="0" w:leftChars="0" w:firstLine="643"/>
        <w:rPr>
          <w:rFonts w:hint="eastAsia" w:ascii="仿宋_GB2312" w:hAnsi="仿宋_GB2312" w:eastAsia="仿宋_GB2312" w:cs="仿宋_GB2312"/>
          <w:b/>
        </w:rPr>
      </w:pPr>
      <w:r>
        <w:rPr>
          <w:rStyle w:val="18"/>
          <w:rFonts w:hint="eastAsia" w:ascii="仿宋_GB2312" w:hAnsi="仿宋_GB2312" w:eastAsia="仿宋_GB2312" w:cs="仿宋_GB2312"/>
          <w:bCs/>
          <w:sz w:val="32"/>
        </w:rPr>
        <w:t xml:space="preserve">6.社会保障和就业（类）抚恤（款）死亡抚恤（项）: </w:t>
      </w:r>
      <w:r>
        <w:rPr>
          <w:rFonts w:hint="eastAsia" w:ascii="仿宋_GB2312" w:hAnsi="仿宋_GB2312" w:eastAsia="仿宋_GB2312" w:cs="仿宋_GB2312"/>
          <w:sz w:val="32"/>
        </w:rPr>
        <w:t>支出决算为52.58万元，完成预算100%，决算数等于预算数。</w:t>
      </w:r>
    </w:p>
    <w:p>
      <w:pPr>
        <w:pStyle w:val="3"/>
        <w:ind w:left="0" w:leftChars="0" w:firstLine="643"/>
        <w:rPr>
          <w:rFonts w:hint="eastAsia" w:ascii="仿宋_GB2312" w:hAnsi="仿宋_GB2312" w:eastAsia="仿宋_GB2312" w:cs="仿宋_GB2312"/>
          <w:b/>
        </w:rPr>
      </w:pPr>
      <w:r>
        <w:rPr>
          <w:rStyle w:val="18"/>
          <w:rFonts w:hint="eastAsia" w:ascii="仿宋_GB2312" w:hAnsi="仿宋_GB2312" w:eastAsia="仿宋_GB2312" w:cs="仿宋_GB2312"/>
          <w:bCs/>
          <w:sz w:val="32"/>
        </w:rPr>
        <w:t xml:space="preserve">7.卫生健康支出（类）行政事业单位医疗（款）行政单位医疗（项）: </w:t>
      </w:r>
      <w:r>
        <w:rPr>
          <w:rFonts w:hint="eastAsia" w:ascii="仿宋_GB2312" w:hAnsi="仿宋_GB2312" w:eastAsia="仿宋_GB2312" w:cs="仿宋_GB2312"/>
          <w:sz w:val="32"/>
        </w:rPr>
        <w:t>支出决算为33.18万元，完成预算100%，决算数等于预算数。</w:t>
      </w:r>
    </w:p>
    <w:p>
      <w:pPr>
        <w:pStyle w:val="3"/>
        <w:ind w:leftChars="0" w:firstLine="643"/>
        <w:rPr>
          <w:rFonts w:hint="eastAsia" w:ascii="仿宋_GB2312" w:hAnsi="仿宋_GB2312" w:eastAsia="仿宋_GB2312" w:cs="仿宋_GB2312"/>
          <w:sz w:val="32"/>
        </w:rPr>
      </w:pPr>
      <w:r>
        <w:rPr>
          <w:rStyle w:val="18"/>
          <w:rFonts w:hint="eastAsia" w:ascii="仿宋_GB2312" w:hAnsi="仿宋_GB2312" w:eastAsia="仿宋_GB2312" w:cs="仿宋_GB2312"/>
          <w:bCs/>
          <w:sz w:val="32"/>
        </w:rPr>
        <w:t>8.卫生健康支出（类）行政事业单位医疗（款）公务员医疗补助（项）:</w:t>
      </w:r>
      <w:r>
        <w:rPr>
          <w:rFonts w:hint="eastAsia" w:ascii="仿宋_GB2312" w:hAnsi="仿宋_GB2312" w:eastAsia="仿宋_GB2312" w:cs="仿宋_GB2312"/>
          <w:sz w:val="32"/>
        </w:rPr>
        <w:t>支出决算为9.13万元，完成预算100%，决算数等于预算数。</w:t>
      </w:r>
    </w:p>
    <w:p>
      <w:pPr>
        <w:pStyle w:val="3"/>
        <w:ind w:leftChars="0" w:firstLine="643"/>
        <w:rPr>
          <w:rFonts w:hint="eastAsia" w:ascii="仿宋_GB2312" w:hAnsi="仿宋_GB2312" w:eastAsia="仿宋_GB2312" w:cs="仿宋_GB2312"/>
          <w:sz w:val="32"/>
        </w:rPr>
      </w:pPr>
      <w:r>
        <w:rPr>
          <w:rStyle w:val="18"/>
          <w:rFonts w:hint="eastAsia" w:ascii="仿宋_GB2312" w:hAnsi="仿宋_GB2312" w:eastAsia="仿宋_GB2312" w:cs="仿宋_GB2312"/>
          <w:bCs/>
          <w:sz w:val="32"/>
        </w:rPr>
        <w:t xml:space="preserve">9.卫生健康支出（类）行政事业单位医疗（款）其他行政事业单位医疗支出（项）: </w:t>
      </w:r>
      <w:r>
        <w:rPr>
          <w:rFonts w:hint="eastAsia" w:ascii="仿宋_GB2312" w:hAnsi="仿宋_GB2312" w:eastAsia="仿宋_GB2312" w:cs="仿宋_GB2312"/>
          <w:sz w:val="32"/>
        </w:rPr>
        <w:t>支出决算为9.42万元，完成预算100%，决算数等于预算数。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10.城乡社区支出（类）城乡社区管理事务（款）行政运行（项）: </w:t>
      </w:r>
      <w:r>
        <w:rPr>
          <w:rFonts w:hint="eastAsia" w:ascii="仿宋_GB2312" w:hAnsi="仿宋_GB2312" w:eastAsia="仿宋_GB2312" w:cs="仿宋_GB2312"/>
          <w:sz w:val="32"/>
          <w:szCs w:val="32"/>
        </w:rPr>
        <w:t>支出决算为649.54万元，完成预算100%，决算数等于预算数。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11.城乡社区支出（类）城乡社区管理事务（款）其他城乡社区管理事务支出（项）: </w:t>
      </w:r>
      <w:r>
        <w:rPr>
          <w:rFonts w:hint="eastAsia" w:ascii="仿宋_GB2312" w:hAnsi="仿宋_GB2312" w:eastAsia="仿宋_GB2312" w:cs="仿宋_GB2312"/>
          <w:sz w:val="32"/>
          <w:szCs w:val="32"/>
        </w:rPr>
        <w:t>支出决算为729.15万元，完成预算100%，决算数等于预算数。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12.城乡社区支出（类）其他城乡社区支出（款）其他城乡社区支出（项）: </w:t>
      </w:r>
      <w:r>
        <w:rPr>
          <w:rFonts w:hint="eastAsia" w:ascii="仿宋_GB2312" w:hAnsi="仿宋_GB2312" w:eastAsia="仿宋_GB2312" w:cs="仿宋_GB2312"/>
          <w:sz w:val="32"/>
          <w:szCs w:val="32"/>
        </w:rPr>
        <w:t>支出决算为100万元，完成预算100%，决算数等于预算数。</w:t>
      </w:r>
    </w:p>
    <w:p>
      <w:pPr>
        <w:spacing w:line="600" w:lineRule="exact"/>
        <w:ind w:firstLine="642"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 xml:space="preserve">13.住房保障支出（类）住房改革支出（款）住房公积金（项）: </w:t>
      </w:r>
      <w:r>
        <w:rPr>
          <w:rFonts w:hint="eastAsia" w:ascii="仿宋_GB2312" w:hAnsi="仿宋_GB2312" w:eastAsia="仿宋_GB2312" w:cs="仿宋_GB2312"/>
          <w:sz w:val="32"/>
          <w:szCs w:val="32"/>
        </w:rPr>
        <w:t>支出决算为112.58万元，完成预算100%，决算数等于预算数。</w:t>
      </w:r>
    </w:p>
    <w:p>
      <w:pPr>
        <w:tabs>
          <w:tab w:val="right" w:pos="8306"/>
        </w:tabs>
        <w:spacing w:line="600" w:lineRule="exact"/>
        <w:ind w:firstLine="640"/>
        <w:outlineLvl w:val="1"/>
        <w:rPr>
          <w:rStyle w:val="30"/>
          <w:rFonts w:ascii="Times New Roman" w:hAnsi="Times New Roman"/>
        </w:rPr>
      </w:pPr>
      <w:bookmarkStart w:id="44" w:name="_Toc15396608"/>
      <w:bookmarkStart w:id="4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4"/>
      <w:bookmarkEnd w:id="45"/>
      <w:r>
        <w:rPr>
          <w:rStyle w:val="30"/>
          <w:rFonts w:ascii="Times New Roman" w:hAnsi="Times New Roman" w:eastAsia="黑体"/>
          <w:b w:val="0"/>
        </w:rPr>
        <w:tab/>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sz w:val="32"/>
          <w:szCs w:val="32"/>
        </w:rPr>
        <w:t>1836.69万元，其中：</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rPr>
        <w:t>1695.29万元，主要包括：基本工资、津贴补贴、奖金、绩效工资、机关事业单位基本养老保险缴费、职业年金缴费、其他社会保障缴费、其他工资福利支出、抚恤金、生活补助、医疗费补助、奖励金等。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rPr>
        <w:t>141.4万元，主要包括：办公费、水费、电费、邮电费、物业管理费、差旅费、培训费、公务接待费、劳务费、工会经费、福利费、公务用车运行维护费、其他交通费、其他商品和服务支出等。</w:t>
      </w:r>
    </w:p>
    <w:p>
      <w:pPr>
        <w:spacing w:line="600" w:lineRule="exact"/>
        <w:ind w:firstLine="640"/>
        <w:outlineLvl w:val="1"/>
        <w:rPr>
          <w:rStyle w:val="30"/>
          <w:rFonts w:ascii="Times New Roman" w:hAnsi="Times New Roman" w:eastAsia="黑体"/>
          <w:b w:val="0"/>
        </w:rPr>
      </w:pPr>
      <w:bookmarkStart w:id="46" w:name="_Toc15396609"/>
      <w:bookmarkStart w:id="47"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6"/>
      <w:bookmarkEnd w:id="47"/>
    </w:p>
    <w:p>
      <w:pPr>
        <w:spacing w:line="600" w:lineRule="exact"/>
        <w:ind w:firstLine="642" w:firstLineChars="200"/>
        <w:outlineLvl w:val="2"/>
        <w:rPr>
          <w:rFonts w:eastAsia="楷体_GB2312" w:cs="楷体_GB2312"/>
          <w:b/>
          <w:sz w:val="32"/>
          <w:szCs w:val="32"/>
        </w:rPr>
      </w:pPr>
      <w:bookmarkStart w:id="48" w:name="_Toc15377216"/>
      <w:r>
        <w:rPr>
          <w:rFonts w:hint="eastAsia" w:eastAsia="楷体_GB2312" w:cs="楷体_GB2312"/>
          <w:b/>
          <w:sz w:val="32"/>
          <w:szCs w:val="32"/>
        </w:rPr>
        <w:t>（一）“三公”经费财政拨款支出决算总体情况说明</w:t>
      </w:r>
      <w:bookmarkEnd w:id="4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2024年度“三公”经费财政拨款支出决算为6.27万元，完成预算100%，较上年度增加1.59万元，增长33.97%。决算数与预算数持平。</w:t>
      </w:r>
    </w:p>
    <w:p>
      <w:pPr>
        <w:spacing w:line="600" w:lineRule="exact"/>
        <w:ind w:firstLine="642" w:firstLineChars="200"/>
        <w:outlineLvl w:val="2"/>
        <w:rPr>
          <w:rFonts w:eastAsia="楷体_GB2312" w:cs="楷体_GB2312"/>
          <w:b/>
          <w:sz w:val="32"/>
          <w:szCs w:val="32"/>
        </w:rPr>
      </w:pPr>
      <w:bookmarkStart w:id="49" w:name="_Toc15377217"/>
      <w:r>
        <w:rPr>
          <w:rFonts w:hint="eastAsia" w:eastAsia="楷体_GB2312" w:cs="楷体_GB2312"/>
          <w:b/>
          <w:sz w:val="32"/>
          <w:szCs w:val="32"/>
        </w:rPr>
        <w:t>（二）“三公”经费财政拨款支出决算具体情况说明</w:t>
      </w:r>
      <w:bookmarkEnd w:id="4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2024年度“三公”经费财政拨款支出决算中，因公出国（境）费支出决算0万元，占0%；公务用车购置及运行维护费支出决算5.75万元，占91.71%；公务接待费支出决算0.52万元，占8.29%。具体情况如下</w:t>
      </w:r>
      <w:r>
        <w:rPr>
          <w:rFonts w:hint="eastAsia" w:ascii="仿宋_GB2312" w:hAnsi="仿宋_GB2312" w:eastAsia="仿宋_GB2312" w:cs="仿宋_GB2312"/>
          <w:sz w:val="32"/>
          <w:szCs w:val="32"/>
        </w:rPr>
        <w:t>：</w:t>
      </w:r>
    </w:p>
    <w:p>
      <w:pPr>
        <w:pStyle w:val="2"/>
      </w:pPr>
    </w:p>
    <w:p>
      <w:pPr>
        <w:pStyle w:val="2"/>
      </w:pPr>
    </w:p>
    <w:p>
      <w:pPr>
        <w:pStyle w:val="3"/>
        <w:ind w:left="420"/>
      </w:pPr>
      <w:r>
        <w:drawing>
          <wp:inline distT="0" distB="0" distL="0" distR="0">
            <wp:extent cx="4572000" cy="2219325"/>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jc w:val="center"/>
        <w:rPr>
          <w:rFonts w:eastAsia="仿宋_GB2312" w:cs="仿宋_GB2312"/>
          <w:sz w:val="32"/>
          <w:szCs w:val="32"/>
        </w:rPr>
      </w:pPr>
      <w:r>
        <w:rPr>
          <w:rFonts w:hint="eastAsia" w:eastAsia="仿宋_GB2312" w:cs="仿宋_GB2312"/>
          <w:sz w:val="32"/>
          <w:szCs w:val="32"/>
        </w:rPr>
        <w:t>（图7：</w:t>
      </w:r>
      <w:bookmarkStart w:id="50" w:name="OLE_LINK10"/>
      <w:bookmarkStart w:id="51" w:name="OLE_LINK9"/>
      <w:r>
        <w:rPr>
          <w:rFonts w:hint="eastAsia" w:eastAsia="仿宋_GB2312" w:cs="仿宋_GB2312"/>
          <w:sz w:val="32"/>
          <w:szCs w:val="32"/>
        </w:rPr>
        <w:t>“三公”经费财政拨款支出结构</w:t>
      </w:r>
      <w:bookmarkEnd w:id="50"/>
      <w:bookmarkEnd w:id="51"/>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ascii="仿宋_GB2312" w:hAnsi="仿宋_GB2312" w:eastAsia="仿宋_GB2312" w:cs="仿宋_GB2312"/>
          <w:sz w:val="32"/>
          <w:szCs w:val="32"/>
        </w:rPr>
        <w:t>全年安排因公出国（境）团</w:t>
      </w:r>
      <w:r>
        <w:rPr>
          <w:rFonts w:hint="eastAsia" w:ascii="仿宋_GB2312" w:hAnsi="仿宋_GB2312" w:eastAsia="仿宋_GB2312" w:cs="仿宋_GB2312"/>
          <w:sz w:val="32"/>
          <w:szCs w:val="32"/>
        </w:rPr>
        <w:t>组0次，出国（境）</w:t>
      </w:r>
      <w:r>
        <w:rPr>
          <w:rFonts w:hint="eastAsia" w:ascii="仿宋_GB2312" w:hAnsi="仿宋_GB2312" w:eastAsia="仿宋_GB2312" w:cs="仿宋_GB2312"/>
          <w:sz w:val="32"/>
          <w:szCs w:val="32"/>
        </w:rPr>
        <w:t>0人。因公出国（境）支出决算比2023年增加0万元，增长0%。</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5.75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ascii="仿宋_GB2312" w:hAnsi="仿宋_GB2312" w:eastAsia="仿宋_GB2312" w:cs="仿宋_GB2312"/>
          <w:b/>
          <w:bCs/>
          <w:sz w:val="32"/>
          <w:szCs w:val="32"/>
        </w:rPr>
        <w:t>100%。</w:t>
      </w:r>
      <w:r>
        <w:rPr>
          <w:rFonts w:hint="eastAsia" w:ascii="仿宋_GB2312" w:hAnsi="仿宋_GB2312" w:eastAsia="仿宋_GB2312" w:cs="仿宋_GB2312"/>
          <w:sz w:val="32"/>
          <w:szCs w:val="32"/>
        </w:rPr>
        <w:t>公务用车购置及运行维护费支出决算比2023年度增加1.8万元，增长45.57%。主要原因是车辆年久失修，维修费及加油费支出较多。</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4辆，其中：轿车2辆、越野车1辆、特种专业技术用车1辆。</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公务用车运行维护费支出5.75万元。主要用于白蚁防治施工、公房维修、维修基金拨付现场勘查所需的公务用车燃料费、维修费、过路过桥费、保险费等支出。</w:t>
      </w:r>
    </w:p>
    <w:p>
      <w:pPr>
        <w:spacing w:line="600" w:lineRule="exact"/>
        <w:ind w:firstLine="640"/>
        <w:rPr>
          <w:rFonts w:hint="eastAsia" w:ascii="仿宋_GB2312" w:hAnsi="仿宋_GB2312"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0.52万</w:t>
      </w:r>
      <w:r>
        <w:rPr>
          <w:rFonts w:hint="eastAsia" w:eastAsia="仿宋_GB2312" w:cs="仿宋_GB2312"/>
          <w:b/>
          <w:bCs/>
          <w:sz w:val="32"/>
          <w:szCs w:val="32"/>
        </w:rPr>
        <w:t>元，完成预算</w:t>
      </w:r>
      <w:r>
        <w:rPr>
          <w:rFonts w:eastAsia="仿宋_GB2312" w:cs="仿宋_GB2312"/>
          <w:b/>
          <w:bCs/>
          <w:sz w:val="32"/>
          <w:szCs w:val="32"/>
        </w:rPr>
        <w:t>100</w:t>
      </w:r>
      <w:r>
        <w:rPr>
          <w:rFonts w:hint="eastAsia" w:eastAsia="仿宋_GB2312" w:cs="仿宋_GB2312"/>
          <w:b/>
          <w:bCs/>
          <w:sz w:val="32"/>
          <w:szCs w:val="32"/>
        </w:rPr>
        <w:t>%。</w:t>
      </w:r>
      <w:r>
        <w:rPr>
          <w:rFonts w:hint="eastAsia" w:ascii="仿宋_GB2312" w:hAnsi="仿宋_GB2312" w:eastAsia="仿宋_GB2312" w:cs="仿宋_GB2312"/>
          <w:sz w:val="32"/>
          <w:szCs w:val="32"/>
        </w:rPr>
        <w:t>公务接待费支出决算比2023年度减少0.21万元，下降28.77%。主要原因是临时性的接待任务减少。其中：</w:t>
      </w:r>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国内公务接待支</w:t>
      </w:r>
      <w:r>
        <w:rPr>
          <w:rFonts w:hint="eastAsia" w:ascii="仿宋_GB2312" w:hAnsi="仿宋_GB2312" w:eastAsia="仿宋_GB2312" w:cs="仿宋_GB2312"/>
          <w:sz w:val="32"/>
          <w:szCs w:val="32"/>
        </w:rPr>
        <w:t>出0.52万元，主要用于临时性的接待活动餐费。国内公务接</w:t>
      </w:r>
      <w:r>
        <w:rPr>
          <w:rFonts w:hint="eastAsia" w:ascii="仿宋_GB2312" w:hAnsi="仿宋_GB2312" w:eastAsia="仿宋_GB2312" w:cs="仿宋_GB2312"/>
          <w:sz w:val="32"/>
          <w:szCs w:val="32"/>
        </w:rPr>
        <w:t>待6批次，27人次（不包括陪同人员），共计支出0.52万元，具体内容包括：接待遂宁市住房保障和房屋管理局来我中心进行异地灾备设备巡检，811元；接待遂宁市住房保障和房屋管理局来我中心进行异地灾备设备维修614元；接待达州市房地产事务中心来我中心学习物业智慧管理平台建设及房产交易电子数据异地灾备及安全校验1080元；接待四川亿联科技有限公司来我中心交流698元；接待四川省住房和城乡建设厅调研指导组988元；接待省法院来攀枝花市调研指导房地产政策落实情况960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52" w:name="_Toc15377218"/>
      <w:bookmarkStart w:id="53" w:name="_Toc15396610"/>
    </w:p>
    <w:p>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52"/>
      <w:bookmarkEnd w:id="53"/>
    </w:p>
    <w:p>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2024年度政府性基金预算财政拨款支出20万元，占本年支出合计的0.95%。与2023年度相比，政府性基金预算财政拨款支出增加20万元，增长100%。主要变动原因是用于支付房地产市场信息平台建设费。</w:t>
      </w:r>
    </w:p>
    <w:p>
      <w:pPr>
        <w:spacing w:line="600" w:lineRule="exact"/>
        <w:ind w:left="630"/>
        <w:outlineLvl w:val="1"/>
        <w:rPr>
          <w:rStyle w:val="30"/>
          <w:rFonts w:ascii="Times New Roman" w:hAnsi="Times New Roman" w:eastAsia="黑体"/>
          <w:b w:val="0"/>
        </w:rPr>
      </w:pPr>
      <w:bookmarkStart w:id="54" w:name="_Toc15396611"/>
      <w:bookmarkStart w:id="55" w:name="_Toc15377219"/>
      <w:r>
        <w:rPr>
          <w:rStyle w:val="30"/>
          <w:rFonts w:hint="eastAsia" w:ascii="Times New Roman" w:hAnsi="Times New Roman" w:eastAsia="黑体"/>
          <w:b w:val="0"/>
        </w:rPr>
        <w:t>九、国有资本经营预算支出决算情况说明</w:t>
      </w:r>
      <w:bookmarkEnd w:id="54"/>
      <w:bookmarkEnd w:id="5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0万元，占本年支出合计的0%。与2023年度相比，国有资本经营预算财政拨款支出增加0万元，增长0%。</w:t>
      </w:r>
    </w:p>
    <w:p>
      <w:pPr>
        <w:spacing w:line="600" w:lineRule="exact"/>
        <w:ind w:left="630"/>
        <w:outlineLvl w:val="1"/>
        <w:rPr>
          <w:rStyle w:val="30"/>
          <w:rFonts w:ascii="Times New Roman" w:hAnsi="Times New Roman" w:eastAsia="黑体"/>
          <w:b w:val="0"/>
        </w:rPr>
      </w:pPr>
      <w:bookmarkStart w:id="56" w:name="_Toc15396612"/>
      <w:bookmarkStart w:id="57" w:name="_Toc15377221"/>
      <w:r>
        <w:rPr>
          <w:rStyle w:val="30"/>
          <w:rFonts w:hint="eastAsia" w:ascii="Times New Roman" w:hAnsi="Times New Roman" w:eastAsia="黑体"/>
          <w:b w:val="0"/>
        </w:rPr>
        <w:t>十、其他重要事项的情况说明</w:t>
      </w:r>
      <w:bookmarkEnd w:id="56"/>
      <w:bookmarkEnd w:id="57"/>
    </w:p>
    <w:p>
      <w:pPr>
        <w:spacing w:line="600" w:lineRule="exact"/>
        <w:ind w:firstLine="642" w:firstLineChars="200"/>
        <w:outlineLvl w:val="2"/>
        <w:rPr>
          <w:rFonts w:eastAsia="楷体_GB2312" w:cs="楷体_GB2312"/>
          <w:b/>
          <w:sz w:val="32"/>
          <w:szCs w:val="32"/>
        </w:rPr>
      </w:pPr>
      <w:bookmarkStart w:id="58" w:name="_Toc15377222"/>
      <w:r>
        <w:rPr>
          <w:rFonts w:hint="eastAsia" w:eastAsia="楷体_GB2312" w:cs="楷体_GB2312"/>
          <w:b/>
          <w:sz w:val="32"/>
          <w:szCs w:val="32"/>
        </w:rPr>
        <w:t>（一）机关运行经费支出情况</w:t>
      </w:r>
      <w:bookmarkEnd w:id="5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rPr>
        <w:t>，四川省攀枝花市房地产事务中心机关运行经费支出141.4万元，比2023年度减少2.82万元，下降1.96%。主要原因是严格控制日常开支。</w:t>
      </w:r>
    </w:p>
    <w:p>
      <w:pPr>
        <w:spacing w:line="600" w:lineRule="exact"/>
        <w:ind w:firstLine="642" w:firstLineChars="200"/>
        <w:outlineLvl w:val="2"/>
        <w:rPr>
          <w:rFonts w:eastAsia="楷体_GB2312" w:cs="楷体_GB2312"/>
          <w:b/>
          <w:sz w:val="32"/>
          <w:szCs w:val="32"/>
        </w:rPr>
      </w:pPr>
      <w:bookmarkStart w:id="59" w:name="_Toc15377223"/>
      <w:r>
        <w:rPr>
          <w:rFonts w:hint="eastAsia" w:eastAsia="楷体_GB2312" w:cs="楷体_GB2312"/>
          <w:b/>
          <w:sz w:val="32"/>
          <w:szCs w:val="32"/>
        </w:rPr>
        <w:t>（二）政府采购支出情况</w:t>
      </w:r>
      <w:bookmarkEnd w:id="5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2024年度，四川省攀枝花市房地产事务中心政府采购支出总额39.29万元，其中：政府采购货物支出0万元、政府采购工程支出0万元、政府采购服务支出39.29万元。主要用于白蚁防治及</w:t>
      </w:r>
      <w:r>
        <w:rPr>
          <w:rFonts w:hint="eastAsia" w:ascii="仿宋_GB2312" w:hAnsi="仿宋_GB2312" w:eastAsia="仿宋_GB2312" w:cs="仿宋_GB2312"/>
          <w:sz w:val="32"/>
          <w:szCs w:val="32"/>
        </w:rPr>
        <w:t>公务用车运行维护。授予中小企业合同金额35.7万元，占政府采购支出总额的90.86%，其中：授予小微企业合同金额35.7万元，占政府采购支出总额的90.86%。</w:t>
      </w:r>
    </w:p>
    <w:p>
      <w:pPr>
        <w:spacing w:line="600" w:lineRule="exact"/>
        <w:ind w:firstLine="642" w:firstLineChars="200"/>
        <w:outlineLvl w:val="2"/>
        <w:rPr>
          <w:rFonts w:eastAsia="楷体_GB2312" w:cs="楷体_GB2312"/>
          <w:b/>
          <w:sz w:val="32"/>
          <w:szCs w:val="32"/>
        </w:rPr>
      </w:pPr>
      <w:bookmarkStart w:id="60" w:name="_Toc15377224"/>
      <w:r>
        <w:rPr>
          <w:rFonts w:hint="eastAsia" w:eastAsia="楷体_GB2312" w:cs="楷体_GB2312"/>
          <w:b/>
          <w:sz w:val="32"/>
          <w:szCs w:val="32"/>
        </w:rPr>
        <w:t>（三）国有资产占有使用情况</w:t>
      </w:r>
      <w:bookmarkEnd w:id="60"/>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截至2024年12月31日，四川省攀枝花市房地产事务中心共有车辆4辆，其中：主要负责人用车0辆、机要通信用车0辆、应急保障用车0辆、其他用车3辆，</w:t>
      </w:r>
      <w:r>
        <w:rPr>
          <w:rFonts w:ascii="仿宋_GB2312" w:eastAsia="仿宋_GB2312"/>
          <w:sz w:val="32"/>
          <w:szCs w:val="32"/>
        </w:rPr>
        <w:t>特种专业技术用车</w:t>
      </w:r>
      <w:r>
        <w:rPr>
          <w:rFonts w:hint="eastAsia" w:ascii="仿宋_GB2312" w:eastAsia="仿宋_GB2312"/>
          <w:sz w:val="32"/>
          <w:szCs w:val="32"/>
        </w:rPr>
        <w:t>1辆，其他用车主要是用于白蚁防治施工、</w:t>
      </w:r>
      <w:r>
        <w:rPr>
          <w:rFonts w:ascii="仿宋_GB2312" w:eastAsia="仿宋_GB2312"/>
          <w:sz w:val="32"/>
          <w:szCs w:val="32"/>
        </w:rPr>
        <w:t>公房维修、维修基金拨付现场勘查</w:t>
      </w:r>
      <w:r>
        <w:rPr>
          <w:rFonts w:hint="eastAsia" w:ascii="仿宋_GB2312" w:eastAsia="仿宋_GB2312"/>
          <w:sz w:val="32"/>
          <w:szCs w:val="32"/>
        </w:rPr>
        <w:t>等。</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根据预算绩效管理要求，本单位在2024年度预算编制阶段，组织对住房公积金（行政）等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个项目编制了绩效目标，预算执行过程中，选取7个项目开展绩效监控。</w:t>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61" w:name="_Toc15377225"/>
      <w:bookmarkStart w:id="62" w:name="_Toc15396613"/>
      <w:r>
        <w:rPr>
          <w:rFonts w:hint="eastAsia" w:eastAsia="黑体"/>
          <w:sz w:val="44"/>
          <w:szCs w:val="44"/>
        </w:rPr>
        <w:t>第三部分名词解释</w:t>
      </w:r>
      <w:bookmarkEnd w:id="61"/>
      <w:bookmarkEnd w:id="62"/>
    </w:p>
    <w:p>
      <w:pPr>
        <w:spacing w:line="600" w:lineRule="exact"/>
        <w:jc w:val="left"/>
        <w:rPr>
          <w:b/>
          <w:sz w:val="44"/>
          <w:szCs w:val="44"/>
        </w:rPr>
      </w:pPr>
    </w:p>
    <w:p>
      <w:pPr>
        <w:pStyle w:val="27"/>
        <w:spacing w:line="560" w:lineRule="exact"/>
        <w:ind w:firstLine="640" w:firstLineChars="200"/>
        <w:rPr>
          <w:rFonts w:ascii="Times New Roman" w:hAnsi="Times New Roman" w:eastAsia="仿宋_GB2312" w:cs="仿宋_GB2312"/>
          <w:color w:val="auto"/>
          <w:kern w:val="2"/>
          <w:sz w:val="32"/>
          <w:szCs w:val="32"/>
        </w:rPr>
      </w:pPr>
      <w:bookmarkStart w:id="63" w:name="_Toc15396614"/>
      <w:bookmarkStart w:id="64" w:name="_Toc15377226"/>
      <w:r>
        <w:rPr>
          <w:rFonts w:ascii="Times New Roman" w:hAnsi="Times New Roman" w:eastAsia="仿宋_GB2312" w:cs="仿宋_GB2312"/>
          <w:color w:val="auto"/>
          <w:kern w:val="2"/>
          <w:sz w:val="32"/>
          <w:szCs w:val="32"/>
        </w:rPr>
        <w:t>1.</w:t>
      </w:r>
      <w:r>
        <w:rPr>
          <w:rFonts w:hint="eastAsia" w:ascii="Times New Roman" w:hAnsi="Times New Roman" w:eastAsia="仿宋_GB2312" w:cs="仿宋_GB2312"/>
          <w:color w:val="auto"/>
          <w:kern w:val="2"/>
          <w:sz w:val="32"/>
          <w:szCs w:val="32"/>
        </w:rPr>
        <w:t>财政拨款收入：指单位从同级财政部门取得的财政预算资金。</w:t>
      </w:r>
    </w:p>
    <w:p>
      <w:pPr>
        <w:pStyle w:val="8"/>
        <w:spacing w:before="93"/>
        <w:ind w:firstLine="640" w:firstLineChars="200"/>
        <w:rPr>
          <w:rFonts w:ascii="Times New Roman" w:cs="仿宋_GB2312"/>
          <w:kern w:val="2"/>
          <w:sz w:val="32"/>
          <w:szCs w:val="32"/>
        </w:rPr>
      </w:pPr>
      <w:r>
        <w:rPr>
          <w:rFonts w:ascii="Times New Roman" w:cs="仿宋_GB2312"/>
          <w:kern w:val="2"/>
          <w:sz w:val="32"/>
          <w:szCs w:val="32"/>
        </w:rPr>
        <w:t>2.</w:t>
      </w:r>
      <w:r>
        <w:rPr>
          <w:rFonts w:hint="eastAsia" w:ascii="Times New Roman" w:cs="仿宋_GB2312"/>
          <w:kern w:val="2"/>
          <w:sz w:val="32"/>
          <w:szCs w:val="32"/>
        </w:rPr>
        <w:t>社会保障和就业（类）行政事业单位养老</w:t>
      </w:r>
      <w:r>
        <w:rPr>
          <w:rFonts w:ascii="Times New Roman" w:cs="仿宋_GB2312"/>
          <w:kern w:val="2"/>
          <w:sz w:val="32"/>
          <w:szCs w:val="32"/>
        </w:rPr>
        <w:t>支出</w:t>
      </w:r>
      <w:r>
        <w:rPr>
          <w:rFonts w:hint="eastAsia" w:ascii="Times New Roman" w:cs="仿宋_GB2312"/>
          <w:kern w:val="2"/>
          <w:sz w:val="32"/>
          <w:szCs w:val="32"/>
        </w:rPr>
        <w:t>（款）行政单位离退休（项）指行政单位</w:t>
      </w:r>
      <w:r>
        <w:rPr>
          <w:rFonts w:ascii="Times New Roman" w:cs="仿宋_GB2312"/>
          <w:kern w:val="2"/>
          <w:sz w:val="32"/>
          <w:szCs w:val="32"/>
        </w:rPr>
        <w:t>离退休人员支出</w:t>
      </w:r>
      <w:r>
        <w:rPr>
          <w:rFonts w:hint="eastAsia" w:ascii="Times New Roman" w:cs="仿宋_GB2312"/>
          <w:kern w:val="2"/>
          <w:sz w:val="32"/>
          <w:szCs w:val="32"/>
        </w:rPr>
        <w:t>。</w:t>
      </w:r>
    </w:p>
    <w:p>
      <w:pPr>
        <w:pStyle w:val="8"/>
        <w:spacing w:before="93"/>
        <w:ind w:firstLine="640" w:firstLineChars="200"/>
        <w:rPr>
          <w:rFonts w:ascii="Times New Roman" w:cs="仿宋_GB2312"/>
          <w:kern w:val="2"/>
          <w:sz w:val="32"/>
          <w:szCs w:val="32"/>
        </w:rPr>
      </w:pPr>
      <w:r>
        <w:rPr>
          <w:rFonts w:ascii="Times New Roman" w:cs="仿宋_GB2312"/>
          <w:kern w:val="2"/>
          <w:sz w:val="32"/>
          <w:szCs w:val="32"/>
        </w:rPr>
        <w:t>3.</w:t>
      </w:r>
      <w:r>
        <w:rPr>
          <w:rFonts w:hint="eastAsia" w:ascii="Times New Roman" w:cs="仿宋_GB2312"/>
          <w:kern w:val="2"/>
          <w:sz w:val="32"/>
          <w:szCs w:val="32"/>
        </w:rPr>
        <w:t>社会保障和就业（类）行政事业单位养老</w:t>
      </w:r>
      <w:r>
        <w:rPr>
          <w:rFonts w:ascii="Times New Roman" w:cs="仿宋_GB2312"/>
          <w:kern w:val="2"/>
          <w:sz w:val="32"/>
          <w:szCs w:val="32"/>
        </w:rPr>
        <w:t>支出</w:t>
      </w:r>
      <w:r>
        <w:rPr>
          <w:rFonts w:hint="eastAsia" w:ascii="Times New Roman" w:cs="仿宋_GB2312"/>
          <w:kern w:val="2"/>
          <w:sz w:val="32"/>
          <w:szCs w:val="32"/>
        </w:rPr>
        <w:t>（款）事业单位离退休（项）指</w:t>
      </w:r>
      <w:r>
        <w:rPr>
          <w:rFonts w:ascii="Times New Roman" w:cs="仿宋_GB2312"/>
          <w:kern w:val="2"/>
          <w:sz w:val="32"/>
          <w:szCs w:val="32"/>
        </w:rPr>
        <w:t>事业单位离退休人员支出</w:t>
      </w:r>
      <w:r>
        <w:rPr>
          <w:rFonts w:hint="eastAsia" w:ascii="Times New Roman" w:cs="仿宋_GB2312"/>
          <w:kern w:val="2"/>
          <w:sz w:val="32"/>
          <w:szCs w:val="32"/>
        </w:rPr>
        <w:t>。</w:t>
      </w:r>
    </w:p>
    <w:p>
      <w:pPr>
        <w:spacing w:line="600" w:lineRule="exact"/>
        <w:ind w:firstLine="640" w:firstLineChars="200"/>
        <w:rPr>
          <w:rFonts w:eastAsia="仿宋_GB2312" w:cs="仿宋_GB2312"/>
          <w:sz w:val="32"/>
          <w:szCs w:val="32"/>
        </w:rPr>
      </w:pPr>
      <w:r>
        <w:rPr>
          <w:rFonts w:eastAsia="仿宋_GB2312" w:cs="仿宋_GB2312"/>
          <w:sz w:val="32"/>
          <w:szCs w:val="32"/>
        </w:rPr>
        <w:t>4.</w:t>
      </w:r>
      <w:r>
        <w:rPr>
          <w:rFonts w:hint="eastAsia" w:eastAsia="仿宋_GB2312" w:cs="仿宋_GB2312"/>
          <w:sz w:val="32"/>
          <w:szCs w:val="32"/>
        </w:rPr>
        <w:t>社会保障和就业（类）行政事业单位养老</w:t>
      </w:r>
      <w:r>
        <w:rPr>
          <w:rFonts w:eastAsia="仿宋_GB2312" w:cs="仿宋_GB2312"/>
          <w:sz w:val="32"/>
          <w:szCs w:val="32"/>
        </w:rPr>
        <w:t>支出</w:t>
      </w:r>
      <w:r>
        <w:rPr>
          <w:rFonts w:hint="eastAsia" w:eastAsia="仿宋_GB2312" w:cs="仿宋_GB2312"/>
          <w:sz w:val="32"/>
          <w:szCs w:val="32"/>
        </w:rPr>
        <w:t>（款）  机关事业单位基本养老保险缴费支出（项）指用于支付机关事业单位基本养老保险费用的支出。</w:t>
      </w:r>
    </w:p>
    <w:p>
      <w:pPr>
        <w:spacing w:line="600" w:lineRule="exact"/>
        <w:ind w:firstLine="640" w:firstLineChars="200"/>
        <w:rPr>
          <w:rFonts w:eastAsia="仿宋_GB2312" w:cs="仿宋_GB2312"/>
          <w:sz w:val="32"/>
          <w:szCs w:val="32"/>
        </w:rPr>
      </w:pPr>
      <w:r>
        <w:rPr>
          <w:rFonts w:eastAsia="仿宋_GB2312" w:cs="仿宋_GB2312"/>
          <w:sz w:val="32"/>
          <w:szCs w:val="32"/>
        </w:rPr>
        <w:t>5.</w:t>
      </w:r>
      <w:r>
        <w:rPr>
          <w:rFonts w:hint="eastAsia" w:eastAsia="仿宋_GB2312" w:cs="仿宋_GB2312"/>
          <w:sz w:val="32"/>
          <w:szCs w:val="32"/>
        </w:rPr>
        <w:t>城乡社区支出（类）城乡社区管理事务（款）行政运行（项）指用于支付行政人员的人员及基本公用的支出。</w:t>
      </w:r>
    </w:p>
    <w:p>
      <w:pPr>
        <w:spacing w:line="600" w:lineRule="exact"/>
        <w:ind w:firstLine="640" w:firstLineChars="200"/>
        <w:rPr>
          <w:rFonts w:eastAsia="仿宋_GB2312" w:cs="仿宋_GB2312"/>
          <w:sz w:val="32"/>
          <w:szCs w:val="32"/>
        </w:rPr>
      </w:pPr>
      <w:r>
        <w:rPr>
          <w:rFonts w:eastAsia="仿宋_GB2312" w:cs="仿宋_GB2312"/>
          <w:sz w:val="32"/>
          <w:szCs w:val="32"/>
        </w:rPr>
        <w:t>6.</w:t>
      </w:r>
      <w:r>
        <w:rPr>
          <w:rFonts w:hint="eastAsia" w:eastAsia="仿宋_GB2312" w:cs="仿宋_GB2312"/>
          <w:sz w:val="32"/>
          <w:szCs w:val="32"/>
        </w:rPr>
        <w:t>城乡社区支出（类）城乡社区管理事务（款）其他城乡</w:t>
      </w:r>
      <w:r>
        <w:rPr>
          <w:rFonts w:eastAsia="仿宋_GB2312" w:cs="仿宋_GB2312"/>
          <w:sz w:val="32"/>
          <w:szCs w:val="32"/>
        </w:rPr>
        <w:t>社区管理事务支出</w:t>
      </w:r>
      <w:r>
        <w:rPr>
          <w:rFonts w:hint="eastAsia" w:eastAsia="仿宋_GB2312" w:cs="仿宋_GB2312"/>
          <w:sz w:val="32"/>
          <w:szCs w:val="32"/>
        </w:rPr>
        <w:t>（项）指用于支付事业人员的人员及基本公用的支出。</w:t>
      </w:r>
    </w:p>
    <w:p>
      <w:pPr>
        <w:spacing w:line="600" w:lineRule="exact"/>
        <w:ind w:firstLine="640" w:firstLineChars="200"/>
        <w:rPr>
          <w:rFonts w:eastAsia="仿宋_GB2312" w:cs="仿宋_GB2312"/>
          <w:sz w:val="32"/>
          <w:szCs w:val="32"/>
        </w:rPr>
      </w:pPr>
      <w:r>
        <w:rPr>
          <w:rFonts w:eastAsia="仿宋_GB2312" w:cs="仿宋_GB2312"/>
          <w:sz w:val="32"/>
          <w:szCs w:val="32"/>
        </w:rPr>
        <w:t>7.</w:t>
      </w:r>
      <w:r>
        <w:rPr>
          <w:rFonts w:hint="eastAsia" w:eastAsia="仿宋_GB2312" w:cs="仿宋_GB2312"/>
          <w:sz w:val="32"/>
          <w:szCs w:val="32"/>
        </w:rPr>
        <w:t>住房保障支出（类）住房改革支出（款）住房公积金（项）</w:t>
      </w:r>
      <w:r>
        <w:rPr>
          <w:rFonts w:eastAsia="仿宋_GB2312" w:cs="仿宋_GB2312"/>
          <w:sz w:val="32"/>
          <w:szCs w:val="32"/>
        </w:rPr>
        <w:t xml:space="preserve">: </w:t>
      </w:r>
      <w:r>
        <w:rPr>
          <w:rFonts w:hint="eastAsia" w:eastAsia="仿宋_GB2312" w:cs="仿宋_GB2312"/>
          <w:sz w:val="32"/>
          <w:szCs w:val="32"/>
        </w:rPr>
        <w:t>指用于支付住房公积金的支出</w:t>
      </w:r>
    </w:p>
    <w:p>
      <w:pPr>
        <w:autoSpaceDE w:val="0"/>
        <w:autoSpaceDN w:val="0"/>
        <w:adjustRightInd w:val="0"/>
        <w:spacing w:line="560" w:lineRule="exact"/>
        <w:ind w:firstLine="640" w:firstLineChars="200"/>
        <w:jc w:val="left"/>
        <w:rPr>
          <w:rFonts w:eastAsia="仿宋_GB2312" w:cs="仿宋_GB2312"/>
          <w:sz w:val="32"/>
          <w:szCs w:val="32"/>
        </w:rPr>
      </w:pPr>
      <w:r>
        <w:rPr>
          <w:rFonts w:eastAsia="仿宋_GB2312" w:cs="仿宋_GB2312"/>
          <w:sz w:val="32"/>
          <w:szCs w:val="32"/>
        </w:rPr>
        <w:t>8.</w:t>
      </w:r>
      <w:r>
        <w:rPr>
          <w:rFonts w:hint="eastAsia" w:eastAsia="仿宋_GB2312" w:cs="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560" w:lineRule="exact"/>
        <w:ind w:firstLine="640" w:firstLineChars="200"/>
        <w:jc w:val="left"/>
        <w:rPr>
          <w:rFonts w:eastAsia="仿宋_GB2312" w:cs="仿宋_GB2312"/>
          <w:sz w:val="32"/>
          <w:szCs w:val="32"/>
        </w:rPr>
      </w:pPr>
      <w:r>
        <w:rPr>
          <w:rFonts w:eastAsia="仿宋_GB2312" w:cs="仿宋_GB2312"/>
          <w:sz w:val="32"/>
          <w:szCs w:val="32"/>
        </w:rPr>
        <w:t>9.</w:t>
      </w:r>
      <w:r>
        <w:rPr>
          <w:rFonts w:hint="eastAsia" w:eastAsia="仿宋_GB2312" w:cs="仿宋_GB2312"/>
          <w:sz w:val="32"/>
          <w:szCs w:val="32"/>
        </w:rPr>
        <w:t>机关运行经费：为保障行政单位（含参照公务员法管理的事业单位）运行用于购买货物和服务的各项资金，包括办公及邮电费、差旅费、会议费、福利费、办公用房水电费、公务用车运行维护费以及其他费用。</w:t>
      </w:r>
    </w:p>
    <w:p>
      <w:pPr>
        <w:ind w:firstLine="640" w:firstLineChars="200"/>
        <w:rPr>
          <w:rFonts w:eastAsia="仿宋_GB2312" w:cs="仿宋_GB2312"/>
          <w:sz w:val="32"/>
          <w:szCs w:val="32"/>
        </w:rPr>
      </w:pPr>
      <w:r>
        <w:rPr>
          <w:rFonts w:eastAsia="仿宋_GB2312" w:cs="仿宋_GB2312"/>
          <w:sz w:val="32"/>
          <w:szCs w:val="32"/>
        </w:rPr>
        <w:t>10.</w:t>
      </w:r>
      <w:r>
        <w:rPr>
          <w:rFonts w:hint="eastAsia" w:eastAsia="仿宋_GB2312" w:cs="仿宋_GB2312"/>
          <w:sz w:val="32"/>
          <w:szCs w:val="32"/>
        </w:rPr>
        <w:t>基本支出：指为保障机构正常运转、完成日常工作任务而发生的人员支出和公用支出。</w:t>
      </w:r>
    </w:p>
    <w:p>
      <w:pPr>
        <w:ind w:firstLine="640" w:firstLineChars="200"/>
        <w:rPr>
          <w:rFonts w:eastAsia="仿宋_GB2312" w:cs="仿宋_GB2312"/>
          <w:sz w:val="32"/>
          <w:szCs w:val="32"/>
        </w:rPr>
      </w:pPr>
      <w:r>
        <w:rPr>
          <w:rFonts w:eastAsia="仿宋_GB2312" w:cs="仿宋_GB2312"/>
          <w:sz w:val="32"/>
          <w:szCs w:val="32"/>
        </w:rPr>
        <w:t>11.</w:t>
      </w:r>
      <w:r>
        <w:rPr>
          <w:rFonts w:hint="eastAsia" w:eastAsia="仿宋_GB2312" w:cs="仿宋_GB2312"/>
          <w:sz w:val="32"/>
          <w:szCs w:val="32"/>
        </w:rPr>
        <w:t>项目支出：指在基本支出之外为完成特定行政任务和事业发展目标所发生的支出。</w:t>
      </w: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Style w:val="29"/>
          <w:rFonts w:eastAsia="黑体"/>
          <w:b w:val="0"/>
        </w:rPr>
      </w:pPr>
      <w:r>
        <w:rPr>
          <w:rFonts w:hint="eastAsia" w:eastAsia="黑体"/>
          <w:sz w:val="44"/>
          <w:szCs w:val="44"/>
        </w:rPr>
        <w:t>第四部分附件</w:t>
      </w:r>
      <w:bookmarkEnd w:id="63"/>
    </w:p>
    <w:p>
      <w:pPr>
        <w:spacing w:line="572" w:lineRule="exact"/>
        <w:jc w:val="left"/>
        <w:outlineLvl w:val="0"/>
        <w:rPr>
          <w:rFonts w:eastAsia="黑体" w:cs="黑体"/>
          <w:color w:val="FF0000"/>
          <w:sz w:val="32"/>
          <w:szCs w:val="32"/>
        </w:rPr>
      </w:pPr>
    </w:p>
    <w:p>
      <w:pPr>
        <w:pStyle w:val="2"/>
      </w:pPr>
    </w:p>
    <w:p>
      <w:pPr>
        <w:spacing w:line="572" w:lineRule="exact"/>
        <w:jc w:val="left"/>
        <w:outlineLvl w:val="0"/>
        <w:rPr>
          <w:rFonts w:hint="eastAsia" w:eastAsia="仿宋_GB2312" w:cs="仿宋_GB2312"/>
          <w:sz w:val="32"/>
          <w:szCs w:val="32"/>
          <w:lang w:val="en-US" w:eastAsia="zh-CN"/>
        </w:rPr>
      </w:pPr>
      <w:r>
        <w:rPr>
          <w:rFonts w:hint="eastAsia" w:eastAsia="仿宋_GB2312" w:cs="仿宋_GB2312"/>
          <w:sz w:val="32"/>
          <w:szCs w:val="32"/>
        </w:rPr>
        <w:t>部门预算项目支出</w:t>
      </w:r>
      <w:r>
        <w:rPr>
          <w:rFonts w:eastAsia="仿宋_GB2312" w:cs="仿宋_GB2312"/>
          <w:sz w:val="32"/>
          <w:szCs w:val="32"/>
        </w:rPr>
        <w:t>绩效自评表（</w:t>
      </w:r>
      <w:r>
        <w:rPr>
          <w:rFonts w:hint="eastAsia" w:eastAsia="仿宋_GB2312" w:cs="仿宋_GB2312"/>
          <w:sz w:val="32"/>
          <w:szCs w:val="32"/>
        </w:rPr>
        <w:t>2024年度</w:t>
      </w:r>
      <w:r>
        <w:rPr>
          <w:rFonts w:eastAsia="仿宋_GB2312" w:cs="仿宋_GB2312"/>
          <w:sz w:val="32"/>
          <w:szCs w:val="32"/>
        </w:rPr>
        <w:t>）</w:t>
      </w:r>
      <w:r>
        <w:rPr>
          <w:rFonts w:hint="eastAsia" w:eastAsia="仿宋_GB2312" w:cs="仿宋_GB2312"/>
          <w:sz w:val="32"/>
          <w:szCs w:val="32"/>
        </w:rPr>
        <w:t>见</w:t>
      </w:r>
      <w:r>
        <w:rPr>
          <w:rFonts w:eastAsia="仿宋_GB2312" w:cs="仿宋_GB2312"/>
          <w:sz w:val="32"/>
          <w:szCs w:val="32"/>
        </w:rPr>
        <w:t>附件</w:t>
      </w:r>
      <w:r>
        <w:rPr>
          <w:rFonts w:hint="eastAsia" w:eastAsia="仿宋_GB2312" w:cs="仿宋_GB2312"/>
          <w:sz w:val="32"/>
          <w:szCs w:val="32"/>
          <w:lang w:val="en-US" w:eastAsia="zh-CN"/>
        </w:rPr>
        <w:t>3</w:t>
      </w:r>
    </w:p>
    <w:p>
      <w:pPr>
        <w:spacing w:line="578" w:lineRule="exact"/>
        <w:ind w:firstLine="640"/>
        <w:rPr>
          <w:rFonts w:eastAsia="仿宋_GB2312" w:cs="仿宋_GB2312"/>
          <w:kern w:val="0"/>
          <w:sz w:val="32"/>
          <w:szCs w:val="32"/>
        </w:rPr>
      </w:pPr>
      <w:bookmarkStart w:id="79" w:name="_GoBack"/>
      <w:bookmarkEnd w:id="79"/>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578" w:lineRule="exact"/>
        <w:ind w:firstLine="640"/>
        <w:rPr>
          <w:rFonts w:eastAsia="仿宋_GB2312" w:cs="仿宋_GB2312"/>
          <w:kern w:val="0"/>
          <w:sz w:val="32"/>
          <w:szCs w:val="32"/>
        </w:rPr>
      </w:pPr>
      <w:bookmarkStart w:id="65" w:name="_Toc15396618"/>
    </w:p>
    <w:p>
      <w:pPr>
        <w:widowControl/>
        <w:jc w:val="center"/>
        <w:rPr>
          <w:rFonts w:eastAsia="仿宋"/>
        </w:rPr>
      </w:pPr>
      <w:r>
        <w:rPr>
          <w:rFonts w:hint="eastAsia" w:eastAsia="黑体"/>
          <w:sz w:val="44"/>
          <w:szCs w:val="44"/>
        </w:rPr>
        <w:t>第</w:t>
      </w:r>
      <w:r>
        <w:rPr>
          <w:rStyle w:val="29"/>
          <w:rFonts w:hint="eastAsia" w:eastAsia="黑体"/>
          <w:b w:val="0"/>
        </w:rPr>
        <w:t>五部分附表</w:t>
      </w:r>
      <w:bookmarkEnd w:id="64"/>
      <w:bookmarkEnd w:id="65"/>
      <w:bookmarkStart w:id="66"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6"/>
    </w:p>
    <w:p>
      <w:pPr>
        <w:pStyle w:val="15"/>
        <w:adjustRightInd w:val="0"/>
        <w:snapToGrid w:val="0"/>
        <w:spacing w:line="560" w:lineRule="exact"/>
        <w:jc w:val="left"/>
        <w:rPr>
          <w:rFonts w:eastAsia="仿宋_GB2312" w:cs="仿宋_GB2312"/>
          <w:sz w:val="32"/>
          <w:szCs w:val="32"/>
        </w:rPr>
      </w:pPr>
      <w:bookmarkStart w:id="67" w:name="_Toc15396620"/>
      <w:r>
        <w:rPr>
          <w:rFonts w:hint="eastAsia" w:eastAsia="仿宋_GB2312" w:cs="仿宋_GB2312"/>
          <w:sz w:val="32"/>
          <w:szCs w:val="32"/>
        </w:rPr>
        <w:t>二、收入决算表</w:t>
      </w:r>
      <w:bookmarkEnd w:id="67"/>
    </w:p>
    <w:p>
      <w:pPr>
        <w:pStyle w:val="15"/>
        <w:adjustRightInd w:val="0"/>
        <w:snapToGrid w:val="0"/>
        <w:spacing w:line="560" w:lineRule="exact"/>
        <w:jc w:val="left"/>
        <w:rPr>
          <w:rFonts w:eastAsia="仿宋_GB2312" w:cs="仿宋_GB2312"/>
          <w:sz w:val="32"/>
          <w:szCs w:val="32"/>
        </w:rPr>
      </w:pPr>
      <w:bookmarkStart w:id="68" w:name="_Toc15396621"/>
      <w:r>
        <w:rPr>
          <w:rFonts w:hint="eastAsia" w:eastAsia="仿宋_GB2312" w:cs="仿宋_GB2312"/>
          <w:sz w:val="32"/>
          <w:szCs w:val="32"/>
        </w:rPr>
        <w:t>三、支出决算表</w:t>
      </w:r>
      <w:bookmarkEnd w:id="68"/>
    </w:p>
    <w:p>
      <w:pPr>
        <w:pStyle w:val="15"/>
        <w:adjustRightInd w:val="0"/>
        <w:snapToGrid w:val="0"/>
        <w:spacing w:line="560" w:lineRule="exact"/>
        <w:jc w:val="left"/>
        <w:rPr>
          <w:rFonts w:eastAsia="仿宋_GB2312" w:cs="仿宋_GB2312"/>
          <w:sz w:val="32"/>
          <w:szCs w:val="32"/>
        </w:rPr>
      </w:pPr>
      <w:bookmarkStart w:id="69" w:name="_Toc15396622"/>
      <w:r>
        <w:rPr>
          <w:rFonts w:hint="eastAsia" w:eastAsia="仿宋_GB2312" w:cs="仿宋_GB2312"/>
          <w:sz w:val="32"/>
          <w:szCs w:val="32"/>
        </w:rPr>
        <w:t>四、财政拨款收入支出决算总表</w:t>
      </w:r>
      <w:bookmarkEnd w:id="69"/>
    </w:p>
    <w:p>
      <w:pPr>
        <w:pStyle w:val="15"/>
        <w:adjustRightInd w:val="0"/>
        <w:snapToGrid w:val="0"/>
        <w:spacing w:line="560" w:lineRule="exact"/>
        <w:jc w:val="left"/>
        <w:rPr>
          <w:rFonts w:eastAsia="仿宋_GB2312" w:cs="仿宋_GB2312"/>
          <w:sz w:val="32"/>
          <w:szCs w:val="32"/>
        </w:rPr>
      </w:pPr>
      <w:bookmarkStart w:id="70" w:name="_Toc15396623"/>
      <w:r>
        <w:rPr>
          <w:rFonts w:hint="eastAsia" w:eastAsia="仿宋_GB2312" w:cs="仿宋_GB2312"/>
          <w:sz w:val="32"/>
          <w:szCs w:val="32"/>
        </w:rPr>
        <w:t>五、财政拨款支出决算明细表</w:t>
      </w:r>
      <w:bookmarkEnd w:id="70"/>
      <w:bookmarkStart w:id="71"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1"/>
    </w:p>
    <w:p>
      <w:pPr>
        <w:pStyle w:val="15"/>
        <w:adjustRightInd w:val="0"/>
        <w:snapToGrid w:val="0"/>
        <w:spacing w:line="560" w:lineRule="exact"/>
        <w:jc w:val="left"/>
        <w:rPr>
          <w:rFonts w:eastAsia="仿宋_GB2312" w:cs="仿宋_GB2312"/>
          <w:sz w:val="32"/>
          <w:szCs w:val="32"/>
        </w:rPr>
      </w:pPr>
      <w:bookmarkStart w:id="72" w:name="_Toc15396625"/>
      <w:r>
        <w:rPr>
          <w:rFonts w:hint="eastAsia" w:eastAsia="仿宋_GB2312" w:cs="仿宋_GB2312"/>
          <w:sz w:val="32"/>
          <w:szCs w:val="32"/>
        </w:rPr>
        <w:t>七、一般公共预算财政拨款支出决算明细表</w:t>
      </w:r>
      <w:bookmarkEnd w:id="72"/>
    </w:p>
    <w:p>
      <w:pPr>
        <w:pStyle w:val="15"/>
        <w:adjustRightInd w:val="0"/>
        <w:snapToGrid w:val="0"/>
        <w:spacing w:line="560" w:lineRule="exact"/>
        <w:jc w:val="left"/>
        <w:rPr>
          <w:rFonts w:eastAsia="仿宋_GB2312" w:cs="仿宋_GB2312"/>
          <w:sz w:val="32"/>
          <w:szCs w:val="32"/>
        </w:rPr>
      </w:pPr>
      <w:bookmarkStart w:id="73" w:name="_Toc15396626"/>
      <w:r>
        <w:rPr>
          <w:rFonts w:hint="eastAsia" w:eastAsia="仿宋_GB2312" w:cs="仿宋_GB2312"/>
          <w:sz w:val="32"/>
          <w:szCs w:val="32"/>
        </w:rPr>
        <w:t>八、一般公共预算财政拨款基本支出决算表</w:t>
      </w:r>
      <w:bookmarkEnd w:id="73"/>
    </w:p>
    <w:p>
      <w:pPr>
        <w:pStyle w:val="15"/>
        <w:adjustRightInd w:val="0"/>
        <w:snapToGrid w:val="0"/>
        <w:spacing w:line="560" w:lineRule="exact"/>
        <w:jc w:val="left"/>
        <w:rPr>
          <w:rFonts w:eastAsia="仿宋_GB2312" w:cs="仿宋_GB2312"/>
          <w:sz w:val="32"/>
          <w:szCs w:val="32"/>
        </w:rPr>
      </w:pPr>
      <w:bookmarkStart w:id="74" w:name="_Toc15396627"/>
      <w:r>
        <w:rPr>
          <w:rFonts w:hint="eastAsia" w:eastAsia="仿宋_GB2312" w:cs="仿宋_GB2312"/>
          <w:sz w:val="32"/>
          <w:szCs w:val="32"/>
        </w:rPr>
        <w:t>九、一般公共预算财政拨款项目支出决算表</w:t>
      </w:r>
      <w:bookmarkEnd w:id="74"/>
    </w:p>
    <w:p>
      <w:pPr>
        <w:pStyle w:val="15"/>
        <w:adjustRightInd w:val="0"/>
        <w:snapToGrid w:val="0"/>
        <w:spacing w:line="560" w:lineRule="exact"/>
        <w:jc w:val="left"/>
        <w:rPr>
          <w:rFonts w:eastAsia="仿宋_GB2312" w:cs="仿宋_GB2312"/>
          <w:sz w:val="32"/>
          <w:szCs w:val="32"/>
        </w:rPr>
      </w:pPr>
      <w:bookmarkStart w:id="75" w:name="_Toc15396628"/>
      <w:r>
        <w:rPr>
          <w:rFonts w:hint="eastAsia" w:eastAsia="仿宋_GB2312" w:cs="仿宋_GB2312"/>
          <w:sz w:val="32"/>
          <w:szCs w:val="32"/>
        </w:rPr>
        <w:t>十、</w:t>
      </w:r>
      <w:bookmarkEnd w:id="75"/>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76" w:name="_Toc15396629"/>
      <w:r>
        <w:rPr>
          <w:rFonts w:hint="eastAsia" w:eastAsia="仿宋_GB2312" w:cs="仿宋_GB2312"/>
          <w:sz w:val="32"/>
          <w:szCs w:val="32"/>
        </w:rPr>
        <w:t>十一、</w:t>
      </w:r>
      <w:bookmarkEnd w:id="76"/>
      <w:r>
        <w:rPr>
          <w:rFonts w:hint="eastAsia" w:eastAsia="仿宋_GB2312" w:cs="仿宋_GB2312"/>
          <w:sz w:val="32"/>
          <w:szCs w:val="32"/>
        </w:rPr>
        <w:t>国有资本经营预算财政拨款收入支出决算表（此表无数据）</w:t>
      </w:r>
    </w:p>
    <w:p>
      <w:pPr>
        <w:pStyle w:val="15"/>
        <w:adjustRightInd w:val="0"/>
        <w:snapToGrid w:val="0"/>
        <w:spacing w:line="560" w:lineRule="exact"/>
        <w:jc w:val="left"/>
        <w:rPr>
          <w:rFonts w:eastAsia="仿宋_GB2312" w:cs="仿宋_GB2312"/>
          <w:sz w:val="32"/>
          <w:szCs w:val="32"/>
        </w:rPr>
      </w:pPr>
      <w:bookmarkStart w:id="77" w:name="_Toc15396630"/>
      <w:r>
        <w:rPr>
          <w:rFonts w:hint="eastAsia" w:eastAsia="仿宋_GB2312" w:cs="仿宋_GB2312"/>
          <w:sz w:val="32"/>
          <w:szCs w:val="32"/>
        </w:rPr>
        <w:t>十二、</w:t>
      </w:r>
      <w:bookmarkEnd w:id="77"/>
      <w:r>
        <w:rPr>
          <w:rFonts w:hint="eastAsia" w:eastAsia="仿宋_GB2312" w:cs="仿宋_GB2312"/>
          <w:sz w:val="32"/>
          <w:szCs w:val="32"/>
        </w:rPr>
        <w:t>国有资本经营预算财政拨款支出决算表（此表</w:t>
      </w:r>
      <w:r>
        <w:rPr>
          <w:rFonts w:eastAsia="仿宋_GB2312" w:cs="仿宋_GB2312"/>
          <w:sz w:val="32"/>
          <w:szCs w:val="32"/>
        </w:rPr>
        <w:t>无数据</w:t>
      </w:r>
      <w:r>
        <w:rPr>
          <w:rFonts w:hint="eastAsia" w:eastAsia="仿宋_GB2312" w:cs="仿宋_GB2312"/>
          <w:sz w:val="32"/>
          <w:szCs w:val="32"/>
        </w:rPr>
        <w:t>）</w:t>
      </w:r>
    </w:p>
    <w:p>
      <w:pPr>
        <w:pStyle w:val="15"/>
        <w:adjustRightInd w:val="0"/>
        <w:snapToGrid w:val="0"/>
        <w:spacing w:line="560" w:lineRule="exact"/>
        <w:jc w:val="left"/>
        <w:rPr>
          <w:rFonts w:eastAsia="仿宋_GB2312" w:cs="仿宋_GB2312"/>
          <w:sz w:val="32"/>
          <w:szCs w:val="32"/>
        </w:rPr>
      </w:pPr>
      <w:bookmarkStart w:id="78" w:name="_Toc15396631"/>
      <w:r>
        <w:rPr>
          <w:rFonts w:hint="eastAsia" w:eastAsia="仿宋_GB2312" w:cs="仿宋_GB2312"/>
          <w:sz w:val="32"/>
          <w:szCs w:val="32"/>
        </w:rPr>
        <w:t>十三、</w:t>
      </w:r>
      <w:bookmarkEnd w:id="78"/>
      <w:r>
        <w:rPr>
          <w:rFonts w:hint="eastAsia" w:eastAsia="仿宋_GB2312" w:cs="仿宋_GB2312"/>
          <w:sz w:val="32"/>
          <w:szCs w:val="32"/>
        </w:rPr>
        <w:t>财政拨款“三公”经费支出决算表</w:t>
      </w:r>
    </w:p>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
    <w:altName w:val="仿宋"/>
    <w:panose1 w:val="00000000000000000000"/>
    <w:charset w:val="00"/>
    <w:family w:val="roman"/>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w:t>
    </w:r>
    <w:r>
      <w:rPr>
        <w:rFonts w:asciiTheme="majorHAnsi" w:hAnsiTheme="majorHAnsi" w:eastAsiaTheme="majorEastAsia" w:cstheme="majorBidi"/>
        <w:color w:val="366091" w:themeColor="accent1" w:themeShade="BF"/>
        <w:sz w:val="26"/>
        <w:szCs w:val="26"/>
      </w:rPr>
      <w:t xml:space="preserve"> 19 -</w:t>
    </w:r>
    <w:r>
      <w:rPr>
        <w:rFonts w:asciiTheme="majorHAnsi" w:hAnsiTheme="majorHAnsi" w:eastAsiaTheme="majorEastAsia" w:cstheme="majorBidi"/>
        <w:color w:val="366091" w:themeColor="accent1" w:themeShade="BF"/>
        <w:sz w:val="26"/>
        <w:szCs w:val="26"/>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325F"/>
    <w:multiLevelType w:val="multilevel"/>
    <w:tmpl w:val="45C4325F"/>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3A79"/>
    <w:rsid w:val="000222C6"/>
    <w:rsid w:val="0002549F"/>
    <w:rsid w:val="00031889"/>
    <w:rsid w:val="00037F93"/>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542F"/>
    <w:rsid w:val="000D1267"/>
    <w:rsid w:val="000D1D50"/>
    <w:rsid w:val="000D5782"/>
    <w:rsid w:val="000D7F58"/>
    <w:rsid w:val="000E6613"/>
    <w:rsid w:val="000E7119"/>
    <w:rsid w:val="001053EE"/>
    <w:rsid w:val="00114E9B"/>
    <w:rsid w:val="00142216"/>
    <w:rsid w:val="0014415B"/>
    <w:rsid w:val="00144D6A"/>
    <w:rsid w:val="0014729F"/>
    <w:rsid w:val="00150046"/>
    <w:rsid w:val="00157BAB"/>
    <w:rsid w:val="001643AC"/>
    <w:rsid w:val="001654D1"/>
    <w:rsid w:val="00170EB9"/>
    <w:rsid w:val="00174518"/>
    <w:rsid w:val="00176D5B"/>
    <w:rsid w:val="0018106D"/>
    <w:rsid w:val="001877A7"/>
    <w:rsid w:val="00191536"/>
    <w:rsid w:val="00196687"/>
    <w:rsid w:val="001A7670"/>
    <w:rsid w:val="001C0962"/>
    <w:rsid w:val="001C7A0D"/>
    <w:rsid w:val="001D19D5"/>
    <w:rsid w:val="001D45B9"/>
    <w:rsid w:val="001D7531"/>
    <w:rsid w:val="001E737D"/>
    <w:rsid w:val="001F0592"/>
    <w:rsid w:val="001F7506"/>
    <w:rsid w:val="002006CD"/>
    <w:rsid w:val="00202B36"/>
    <w:rsid w:val="00204B7A"/>
    <w:rsid w:val="00204CDE"/>
    <w:rsid w:val="00205A5C"/>
    <w:rsid w:val="002108FE"/>
    <w:rsid w:val="0021101A"/>
    <w:rsid w:val="00220536"/>
    <w:rsid w:val="002212AD"/>
    <w:rsid w:val="0022745C"/>
    <w:rsid w:val="00235629"/>
    <w:rsid w:val="0024097C"/>
    <w:rsid w:val="00254E1B"/>
    <w:rsid w:val="00260C38"/>
    <w:rsid w:val="002616C0"/>
    <w:rsid w:val="00265372"/>
    <w:rsid w:val="002653B1"/>
    <w:rsid w:val="002662AA"/>
    <w:rsid w:val="00280496"/>
    <w:rsid w:val="00294DC9"/>
    <w:rsid w:val="00295495"/>
    <w:rsid w:val="002A1FAF"/>
    <w:rsid w:val="002A31DE"/>
    <w:rsid w:val="002B2613"/>
    <w:rsid w:val="002D6D05"/>
    <w:rsid w:val="002F1818"/>
    <w:rsid w:val="002F567B"/>
    <w:rsid w:val="002F6756"/>
    <w:rsid w:val="003216A9"/>
    <w:rsid w:val="00326964"/>
    <w:rsid w:val="00335A74"/>
    <w:rsid w:val="00345F40"/>
    <w:rsid w:val="0036561B"/>
    <w:rsid w:val="0037013F"/>
    <w:rsid w:val="00380003"/>
    <w:rsid w:val="00380C92"/>
    <w:rsid w:val="003A484F"/>
    <w:rsid w:val="003A4883"/>
    <w:rsid w:val="003B0BE0"/>
    <w:rsid w:val="003B0C1B"/>
    <w:rsid w:val="003B688C"/>
    <w:rsid w:val="003C0291"/>
    <w:rsid w:val="003C267F"/>
    <w:rsid w:val="003C39AE"/>
    <w:rsid w:val="003C7B60"/>
    <w:rsid w:val="003D0C0F"/>
    <w:rsid w:val="003D1FB2"/>
    <w:rsid w:val="003D66DA"/>
    <w:rsid w:val="003E05D4"/>
    <w:rsid w:val="003E1310"/>
    <w:rsid w:val="003E6F55"/>
    <w:rsid w:val="00406254"/>
    <w:rsid w:val="004223DE"/>
    <w:rsid w:val="004312CB"/>
    <w:rsid w:val="00431CD1"/>
    <w:rsid w:val="00434489"/>
    <w:rsid w:val="00437085"/>
    <w:rsid w:val="004413FC"/>
    <w:rsid w:val="00441402"/>
    <w:rsid w:val="00443880"/>
    <w:rsid w:val="004464F4"/>
    <w:rsid w:val="00471401"/>
    <w:rsid w:val="00473F31"/>
    <w:rsid w:val="00474725"/>
    <w:rsid w:val="0048263A"/>
    <w:rsid w:val="00487E5D"/>
    <w:rsid w:val="00497CA1"/>
    <w:rsid w:val="004A711F"/>
    <w:rsid w:val="004B199D"/>
    <w:rsid w:val="004B4690"/>
    <w:rsid w:val="004B5B8C"/>
    <w:rsid w:val="004C52B6"/>
    <w:rsid w:val="004E0A2D"/>
    <w:rsid w:val="004E206B"/>
    <w:rsid w:val="004E6DF7"/>
    <w:rsid w:val="004F0FBD"/>
    <w:rsid w:val="004F6D28"/>
    <w:rsid w:val="00505A47"/>
    <w:rsid w:val="00512FDA"/>
    <w:rsid w:val="00520DA0"/>
    <w:rsid w:val="00547408"/>
    <w:rsid w:val="00565499"/>
    <w:rsid w:val="005664BB"/>
    <w:rsid w:val="00566FFA"/>
    <w:rsid w:val="0057481D"/>
    <w:rsid w:val="00582FAE"/>
    <w:rsid w:val="0058486E"/>
    <w:rsid w:val="00585B33"/>
    <w:rsid w:val="0059014D"/>
    <w:rsid w:val="00595D41"/>
    <w:rsid w:val="005B5C64"/>
    <w:rsid w:val="005C5337"/>
    <w:rsid w:val="005C6BD0"/>
    <w:rsid w:val="005D0F09"/>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820"/>
    <w:rsid w:val="00681A31"/>
    <w:rsid w:val="00683E73"/>
    <w:rsid w:val="006A3141"/>
    <w:rsid w:val="006A5E34"/>
    <w:rsid w:val="006B2422"/>
    <w:rsid w:val="006B2B9A"/>
    <w:rsid w:val="006C1937"/>
    <w:rsid w:val="006F020C"/>
    <w:rsid w:val="006F251B"/>
    <w:rsid w:val="007127B7"/>
    <w:rsid w:val="0071798E"/>
    <w:rsid w:val="00720AB5"/>
    <w:rsid w:val="007218A2"/>
    <w:rsid w:val="007416B6"/>
    <w:rsid w:val="00746F48"/>
    <w:rsid w:val="0075404D"/>
    <w:rsid w:val="00754A78"/>
    <w:rsid w:val="0076182A"/>
    <w:rsid w:val="00767B7E"/>
    <w:rsid w:val="007706CB"/>
    <w:rsid w:val="007770C3"/>
    <w:rsid w:val="00784D24"/>
    <w:rsid w:val="00785FBA"/>
    <w:rsid w:val="00786E4A"/>
    <w:rsid w:val="00786E96"/>
    <w:rsid w:val="007875EB"/>
    <w:rsid w:val="0079426B"/>
    <w:rsid w:val="007A2AC0"/>
    <w:rsid w:val="007B5B61"/>
    <w:rsid w:val="007C3AA3"/>
    <w:rsid w:val="007D1682"/>
    <w:rsid w:val="007D312A"/>
    <w:rsid w:val="007D3F19"/>
    <w:rsid w:val="007E23B0"/>
    <w:rsid w:val="007E23E5"/>
    <w:rsid w:val="007E730D"/>
    <w:rsid w:val="007F1991"/>
    <w:rsid w:val="007F2C2F"/>
    <w:rsid w:val="007F55FC"/>
    <w:rsid w:val="007F5665"/>
    <w:rsid w:val="007F7B02"/>
    <w:rsid w:val="00800112"/>
    <w:rsid w:val="00813348"/>
    <w:rsid w:val="00815875"/>
    <w:rsid w:val="008253BB"/>
    <w:rsid w:val="0083706E"/>
    <w:rsid w:val="008408F6"/>
    <w:rsid w:val="008423A5"/>
    <w:rsid w:val="00847A68"/>
    <w:rsid w:val="00850625"/>
    <w:rsid w:val="00853718"/>
    <w:rsid w:val="00855221"/>
    <w:rsid w:val="00860645"/>
    <w:rsid w:val="00870FED"/>
    <w:rsid w:val="00871F71"/>
    <w:rsid w:val="00872FD8"/>
    <w:rsid w:val="00885AF4"/>
    <w:rsid w:val="008939CD"/>
    <w:rsid w:val="008B768C"/>
    <w:rsid w:val="008C05AF"/>
    <w:rsid w:val="008C4DB1"/>
    <w:rsid w:val="008C4EAF"/>
    <w:rsid w:val="008C5176"/>
    <w:rsid w:val="008C7FD0"/>
    <w:rsid w:val="008E1DE7"/>
    <w:rsid w:val="008E707C"/>
    <w:rsid w:val="00900B08"/>
    <w:rsid w:val="00902155"/>
    <w:rsid w:val="00902FA3"/>
    <w:rsid w:val="0091211B"/>
    <w:rsid w:val="00923564"/>
    <w:rsid w:val="0092392E"/>
    <w:rsid w:val="009315F9"/>
    <w:rsid w:val="00933499"/>
    <w:rsid w:val="00935C98"/>
    <w:rsid w:val="00946945"/>
    <w:rsid w:val="00946F4A"/>
    <w:rsid w:val="00951248"/>
    <w:rsid w:val="0095152F"/>
    <w:rsid w:val="00954C49"/>
    <w:rsid w:val="00955E37"/>
    <w:rsid w:val="00956299"/>
    <w:rsid w:val="0097099F"/>
    <w:rsid w:val="00971997"/>
    <w:rsid w:val="00971FFC"/>
    <w:rsid w:val="0098047F"/>
    <w:rsid w:val="0098660A"/>
    <w:rsid w:val="009931C3"/>
    <w:rsid w:val="00995EA2"/>
    <w:rsid w:val="009A443C"/>
    <w:rsid w:val="009B2C43"/>
    <w:rsid w:val="009B4EAE"/>
    <w:rsid w:val="009B7573"/>
    <w:rsid w:val="009C22F4"/>
    <w:rsid w:val="009C2A4B"/>
    <w:rsid w:val="009C2E98"/>
    <w:rsid w:val="009D3447"/>
    <w:rsid w:val="009D4711"/>
    <w:rsid w:val="009D482E"/>
    <w:rsid w:val="009E0677"/>
    <w:rsid w:val="009F1185"/>
    <w:rsid w:val="009F18CD"/>
    <w:rsid w:val="009F2A13"/>
    <w:rsid w:val="009F4AB3"/>
    <w:rsid w:val="009F7527"/>
    <w:rsid w:val="00A03E7F"/>
    <w:rsid w:val="00A049D1"/>
    <w:rsid w:val="00A04EB0"/>
    <w:rsid w:val="00A13CC1"/>
    <w:rsid w:val="00A15F72"/>
    <w:rsid w:val="00A16847"/>
    <w:rsid w:val="00A237D8"/>
    <w:rsid w:val="00A268C4"/>
    <w:rsid w:val="00A307CD"/>
    <w:rsid w:val="00A331C8"/>
    <w:rsid w:val="00A332ED"/>
    <w:rsid w:val="00A40521"/>
    <w:rsid w:val="00A40A00"/>
    <w:rsid w:val="00A4142F"/>
    <w:rsid w:val="00A422EB"/>
    <w:rsid w:val="00A45BB7"/>
    <w:rsid w:val="00A56DF2"/>
    <w:rsid w:val="00A56E6E"/>
    <w:rsid w:val="00A67AB5"/>
    <w:rsid w:val="00A733B2"/>
    <w:rsid w:val="00A741C2"/>
    <w:rsid w:val="00A81A2A"/>
    <w:rsid w:val="00A846C9"/>
    <w:rsid w:val="00A851C1"/>
    <w:rsid w:val="00A87757"/>
    <w:rsid w:val="00A91760"/>
    <w:rsid w:val="00A93B00"/>
    <w:rsid w:val="00A93C21"/>
    <w:rsid w:val="00AB1E1E"/>
    <w:rsid w:val="00AB64C9"/>
    <w:rsid w:val="00AC3C6A"/>
    <w:rsid w:val="00AD45CE"/>
    <w:rsid w:val="00AD5620"/>
    <w:rsid w:val="00AD656B"/>
    <w:rsid w:val="00AD7C1B"/>
    <w:rsid w:val="00AE16BA"/>
    <w:rsid w:val="00AE1924"/>
    <w:rsid w:val="00AE1EBE"/>
    <w:rsid w:val="00AE5DB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668"/>
    <w:rsid w:val="00B77EA6"/>
    <w:rsid w:val="00B81598"/>
    <w:rsid w:val="00B841F1"/>
    <w:rsid w:val="00B85CBC"/>
    <w:rsid w:val="00B87ADC"/>
    <w:rsid w:val="00B944D6"/>
    <w:rsid w:val="00BB4DF0"/>
    <w:rsid w:val="00BC289F"/>
    <w:rsid w:val="00BC2D50"/>
    <w:rsid w:val="00BC5361"/>
    <w:rsid w:val="00BC5460"/>
    <w:rsid w:val="00BC6B50"/>
    <w:rsid w:val="00BD0E25"/>
    <w:rsid w:val="00BD3696"/>
    <w:rsid w:val="00BF5BD6"/>
    <w:rsid w:val="00C017C4"/>
    <w:rsid w:val="00C03E31"/>
    <w:rsid w:val="00C14DFC"/>
    <w:rsid w:val="00C33E72"/>
    <w:rsid w:val="00C354B2"/>
    <w:rsid w:val="00C35554"/>
    <w:rsid w:val="00C35F8D"/>
    <w:rsid w:val="00C37F68"/>
    <w:rsid w:val="00C414AB"/>
    <w:rsid w:val="00C42709"/>
    <w:rsid w:val="00C533CC"/>
    <w:rsid w:val="00C5751C"/>
    <w:rsid w:val="00C60A99"/>
    <w:rsid w:val="00C61BFC"/>
    <w:rsid w:val="00C62B85"/>
    <w:rsid w:val="00C65438"/>
    <w:rsid w:val="00C75787"/>
    <w:rsid w:val="00C87FD8"/>
    <w:rsid w:val="00C91381"/>
    <w:rsid w:val="00C91CBB"/>
    <w:rsid w:val="00CB4E70"/>
    <w:rsid w:val="00CB56D1"/>
    <w:rsid w:val="00CC09B6"/>
    <w:rsid w:val="00CC666F"/>
    <w:rsid w:val="00CD1E3F"/>
    <w:rsid w:val="00CE44F6"/>
    <w:rsid w:val="00CE49DA"/>
    <w:rsid w:val="00CE7B61"/>
    <w:rsid w:val="00D00095"/>
    <w:rsid w:val="00D02B68"/>
    <w:rsid w:val="00D114F0"/>
    <w:rsid w:val="00D20620"/>
    <w:rsid w:val="00D254F7"/>
    <w:rsid w:val="00D26091"/>
    <w:rsid w:val="00D2685C"/>
    <w:rsid w:val="00D34E7C"/>
    <w:rsid w:val="00D35489"/>
    <w:rsid w:val="00D36AFE"/>
    <w:rsid w:val="00D51276"/>
    <w:rsid w:val="00D7035F"/>
    <w:rsid w:val="00D71842"/>
    <w:rsid w:val="00D7194C"/>
    <w:rsid w:val="00D74A09"/>
    <w:rsid w:val="00DA634F"/>
    <w:rsid w:val="00DA65AC"/>
    <w:rsid w:val="00DB1913"/>
    <w:rsid w:val="00DB2B80"/>
    <w:rsid w:val="00DC410D"/>
    <w:rsid w:val="00DC5A81"/>
    <w:rsid w:val="00DC68CA"/>
    <w:rsid w:val="00DC7CBA"/>
    <w:rsid w:val="00DD73B7"/>
    <w:rsid w:val="00DE7F88"/>
    <w:rsid w:val="00DF28BC"/>
    <w:rsid w:val="00DF34B9"/>
    <w:rsid w:val="00DF445B"/>
    <w:rsid w:val="00E01053"/>
    <w:rsid w:val="00E07ACF"/>
    <w:rsid w:val="00E142AD"/>
    <w:rsid w:val="00E331A1"/>
    <w:rsid w:val="00E33202"/>
    <w:rsid w:val="00E332AE"/>
    <w:rsid w:val="00E336A9"/>
    <w:rsid w:val="00E41873"/>
    <w:rsid w:val="00E472B1"/>
    <w:rsid w:val="00E50624"/>
    <w:rsid w:val="00E54633"/>
    <w:rsid w:val="00E568DF"/>
    <w:rsid w:val="00E64269"/>
    <w:rsid w:val="00E82267"/>
    <w:rsid w:val="00E853CE"/>
    <w:rsid w:val="00E867B6"/>
    <w:rsid w:val="00E95950"/>
    <w:rsid w:val="00EA010F"/>
    <w:rsid w:val="00EC1C78"/>
    <w:rsid w:val="00ED1B63"/>
    <w:rsid w:val="00ED3C1F"/>
    <w:rsid w:val="00ED4085"/>
    <w:rsid w:val="00ED420E"/>
    <w:rsid w:val="00ED42BC"/>
    <w:rsid w:val="00ED6FBE"/>
    <w:rsid w:val="00EE2F57"/>
    <w:rsid w:val="00EE78C0"/>
    <w:rsid w:val="00EF4C34"/>
    <w:rsid w:val="00EF77C6"/>
    <w:rsid w:val="00F05438"/>
    <w:rsid w:val="00F1361C"/>
    <w:rsid w:val="00F156F0"/>
    <w:rsid w:val="00F160C7"/>
    <w:rsid w:val="00F2408F"/>
    <w:rsid w:val="00F240E9"/>
    <w:rsid w:val="00F36D8F"/>
    <w:rsid w:val="00F417B1"/>
    <w:rsid w:val="00F420AE"/>
    <w:rsid w:val="00F45853"/>
    <w:rsid w:val="00F602DF"/>
    <w:rsid w:val="00F754A1"/>
    <w:rsid w:val="00F81FD9"/>
    <w:rsid w:val="00F841AA"/>
    <w:rsid w:val="00F84A94"/>
    <w:rsid w:val="00F87E96"/>
    <w:rsid w:val="00F95AA9"/>
    <w:rsid w:val="00F96E44"/>
    <w:rsid w:val="00FA23E8"/>
    <w:rsid w:val="00FA6C8F"/>
    <w:rsid w:val="00FB4AB4"/>
    <w:rsid w:val="00FC1782"/>
    <w:rsid w:val="00FD01E9"/>
    <w:rsid w:val="00FD304F"/>
    <w:rsid w:val="00FD3CC1"/>
    <w:rsid w:val="00FE29E4"/>
    <w:rsid w:val="00FE5D17"/>
    <w:rsid w:val="00FF005D"/>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5CB57AF"/>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link w:val="36"/>
    <w:qFormat/>
    <w:uiPriority w:val="0"/>
    <w:rPr>
      <w:rFonts w:ascii="宋体" w:hAnsi="Courier New"/>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纯文本 字符"/>
    <w:basedOn w:val="17"/>
    <w:link w:val="10"/>
    <w:qFormat/>
    <w:uiPriority w:val="0"/>
    <w:rPr>
      <w:rFonts w:ascii="宋体" w:hAnsi="Courier New"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K:\801009-&#25856;&#26525;&#33457;&#24066;&#25151;&#22320;&#20135;&#20107;&#21153;&#20013;&#24515;&#26657;&#39564;&#32467;&#26524;.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K:\801009-&#25856;&#26525;&#33457;&#24066;&#25151;&#22320;&#20135;&#20107;&#21153;&#20013;&#24515;&#26657;&#39564;&#32467;&#26524;.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K:\801009-&#25856;&#26525;&#33457;&#24066;&#25151;&#22320;&#20135;&#20107;&#21153;&#20013;&#24515;&#26657;&#39564;&#32467;&#26524;.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预算收入支出</a:t>
            </a:r>
            <a:endParaRPr lang="zh-CN" altLang="en-US"/>
          </a:p>
        </c:rich>
      </c:tx>
      <c:layout/>
      <c:overlay val="false"/>
      <c:spPr>
        <a:noFill/>
        <a:ln>
          <a:noFill/>
        </a:ln>
        <a:effectLst/>
      </c:spPr>
    </c:title>
    <c:autoTitleDeleted val="false"/>
    <c:plotArea>
      <c:layout/>
      <c:barChart>
        <c:barDir val="col"/>
        <c:grouping val="stacked"/>
        <c:varyColors val="false"/>
        <c:ser>
          <c:idx val="0"/>
          <c:order val="0"/>
          <c:tx>
            <c:strRef>
              <c:f>Sheet1!$C$11</c:f>
              <c:strCache>
                <c:ptCount val="1"/>
                <c:pt idx="0">
                  <c:v>预算收入</c:v>
                </c:pt>
              </c:strCache>
            </c:strRef>
          </c:tx>
          <c:spPr>
            <a:solidFill>
              <a:schemeClr val="accent1"/>
            </a:solidFill>
            <a:ln>
              <a:noFill/>
            </a:ln>
            <a:effectLst/>
            <a:sp3d/>
          </c:spPr>
          <c:invertIfNegative val="false"/>
          <c:dLbls>
            <c:delete val="true"/>
          </c:dLbls>
          <c:cat>
            <c:strRef>
              <c:f>Sheet1!$D$10:$E$10</c:f>
              <c:strCache>
                <c:ptCount val="2"/>
                <c:pt idx="0">
                  <c:v>本年</c:v>
                </c:pt>
                <c:pt idx="1">
                  <c:v>上年</c:v>
                </c:pt>
              </c:strCache>
            </c:strRef>
          </c:cat>
          <c:val>
            <c:numRef>
              <c:f>Sheet1!$D$11:$E$11</c:f>
              <c:numCache>
                <c:formatCode>General</c:formatCode>
                <c:ptCount val="2"/>
                <c:pt idx="0">
                  <c:v>2089.34</c:v>
                </c:pt>
                <c:pt idx="1">
                  <c:v>2218.91</c:v>
                </c:pt>
              </c:numCache>
            </c:numRef>
          </c:val>
        </c:ser>
        <c:ser>
          <c:idx val="1"/>
          <c:order val="1"/>
          <c:tx>
            <c:strRef>
              <c:f>Sheet1!$C$12</c:f>
              <c:strCache>
                <c:ptCount val="1"/>
                <c:pt idx="0">
                  <c:v>预算支出</c:v>
                </c:pt>
              </c:strCache>
            </c:strRef>
          </c:tx>
          <c:spPr>
            <a:solidFill>
              <a:schemeClr val="accent2"/>
            </a:solidFill>
            <a:ln>
              <a:noFill/>
            </a:ln>
            <a:effectLst/>
            <a:sp3d/>
          </c:spPr>
          <c:invertIfNegative val="false"/>
          <c:dLbls>
            <c:delete val="true"/>
          </c:dLbls>
          <c:cat>
            <c:strRef>
              <c:f>Sheet1!$D$10:$E$10</c:f>
              <c:strCache>
                <c:ptCount val="2"/>
                <c:pt idx="0">
                  <c:v>本年</c:v>
                </c:pt>
                <c:pt idx="1">
                  <c:v>上年</c:v>
                </c:pt>
              </c:strCache>
            </c:strRef>
          </c:cat>
          <c:val>
            <c:numRef>
              <c:f>Sheet1!$D$12:$E$12</c:f>
              <c:numCache>
                <c:formatCode>General</c:formatCode>
                <c:ptCount val="2"/>
                <c:pt idx="0">
                  <c:v>2089.34</c:v>
                </c:pt>
                <c:pt idx="1">
                  <c:v>2218.91</c:v>
                </c:pt>
              </c:numCache>
            </c:numRef>
          </c:val>
        </c:ser>
        <c:dLbls>
          <c:showLegendKey val="false"/>
          <c:showVal val="false"/>
          <c:showCatName val="false"/>
          <c:showSerName val="false"/>
          <c:showPercent val="false"/>
          <c:showBubbleSize val="false"/>
        </c:dLbls>
        <c:gapWidth val="150"/>
        <c:overlap val="100"/>
        <c:axId val="51286016"/>
        <c:axId val="51287552"/>
      </c:barChart>
      <c:catAx>
        <c:axId val="51286016"/>
        <c:scaling>
          <c:orientation val="minMax"/>
        </c:scaling>
        <c:delete val="false"/>
        <c:axPos val="b"/>
        <c:numFmt formatCode="General" sourceLinked="true"/>
        <c:majorTickMark val="none"/>
        <c:minorTickMark val="none"/>
        <c:tickLblPos val="nextTo"/>
        <c:spPr>
          <a:noFill/>
          <a:ln w="6350"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287552"/>
        <c:crosses val="autoZero"/>
        <c:auto val="true"/>
        <c:lblAlgn val="ctr"/>
        <c:lblOffset val="100"/>
        <c:noMultiLvlLbl val="false"/>
      </c:catAx>
      <c:valAx>
        <c:axId val="5128755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286016"/>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收入结构</a:t>
            </a:r>
            <a:endParaRPr lang="zh-CN" altLang="en-US"/>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25400">
                <a:solidFill>
                  <a:schemeClr val="lt1"/>
                </a:solidFill>
              </a:ln>
              <a:effectLst/>
              <a:sp3d contourW="25400">
                <a:contourClr>
                  <a:schemeClr val="lt1"/>
                </a:contourClr>
              </a:sp3d>
            </c:spPr>
          </c:dPt>
          <c:dPt>
            <c:idx val="1"/>
            <c:bubble3D val="false"/>
            <c:spPr>
              <a:solidFill>
                <a:schemeClr val="accent2"/>
              </a:solidFill>
              <a:ln w="25400">
                <a:solidFill>
                  <a:schemeClr val="lt1"/>
                </a:solidFill>
              </a:ln>
              <a:effectLst/>
              <a:sp3d contourW="25400">
                <a:contourClr>
                  <a:schemeClr val="lt1"/>
                </a:contourClr>
              </a:sp3d>
            </c:spPr>
          </c:dPt>
          <c:dLbls>
            <c:delete val="true"/>
          </c:dLbls>
          <c:cat>
            <c:strRef>
              <c:f>Sheet1!$C$17:$C$18</c:f>
              <c:strCache>
                <c:ptCount val="2"/>
                <c:pt idx="0">
                  <c:v>一般公共支出财政拨款收入</c:v>
                </c:pt>
                <c:pt idx="1">
                  <c:v>政府性基金预算财政拨款收入</c:v>
                </c:pt>
              </c:strCache>
            </c:strRef>
          </c:cat>
          <c:val>
            <c:numRef>
              <c:f>Sheet1!$D$17:$D$18</c:f>
              <c:numCache>
                <c:formatCode>General</c:formatCode>
                <c:ptCount val="2"/>
                <c:pt idx="0">
                  <c:v>2069.34</c:v>
                </c:pt>
                <c:pt idx="1">
                  <c:v>20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en-US"/>
                      <a:t>252.65</a:t>
                    </a:r>
                    <a:endParaRPr lang="en-US"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Sheet1!$D$6:$D$7</c:f>
              <c:strCache>
                <c:ptCount val="2"/>
                <c:pt idx="0">
                  <c:v>基本支出</c:v>
                </c:pt>
                <c:pt idx="1">
                  <c:v>项目支出</c:v>
                </c:pt>
              </c:strCache>
            </c:strRef>
          </c:cat>
          <c:val>
            <c:numRef>
              <c:f>Sheet1!$E$6:$E$7</c:f>
              <c:numCache>
                <c:formatCode>General</c:formatCode>
                <c:ptCount val="2"/>
                <c:pt idx="0">
                  <c:v>1836.69</c:v>
                </c:pt>
                <c:pt idx="1">
                  <c:v>252.66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预算收入支出</a:t>
            </a:r>
            <a:endParaRPr lang="zh-CN" altLang="en-US"/>
          </a:p>
        </c:rich>
      </c:tx>
      <c:layout/>
      <c:overlay val="false"/>
      <c:spPr>
        <a:noFill/>
        <a:ln>
          <a:noFill/>
        </a:ln>
        <a:effectLst/>
      </c:spPr>
    </c:title>
    <c:autoTitleDeleted val="false"/>
    <c:plotArea>
      <c:layout/>
      <c:barChart>
        <c:barDir val="col"/>
        <c:grouping val="stacked"/>
        <c:varyColors val="false"/>
        <c:ser>
          <c:idx val="0"/>
          <c:order val="0"/>
          <c:tx>
            <c:strRef>
              <c:f>Sheet1!$C$11</c:f>
              <c:strCache>
                <c:ptCount val="1"/>
                <c:pt idx="0">
                  <c:v>预算收入</c:v>
                </c:pt>
              </c:strCache>
            </c:strRef>
          </c:tx>
          <c:spPr>
            <a:solidFill>
              <a:schemeClr val="accent1"/>
            </a:solidFill>
            <a:ln>
              <a:noFill/>
            </a:ln>
            <a:effectLst/>
            <a:sp3d/>
          </c:spPr>
          <c:invertIfNegative val="false"/>
          <c:dLbls>
            <c:delete val="true"/>
          </c:dLbls>
          <c:cat>
            <c:strRef>
              <c:f>Sheet1!$D$10:$E$10</c:f>
              <c:strCache>
                <c:ptCount val="2"/>
                <c:pt idx="0">
                  <c:v>本年</c:v>
                </c:pt>
                <c:pt idx="1">
                  <c:v>上年</c:v>
                </c:pt>
              </c:strCache>
            </c:strRef>
          </c:cat>
          <c:val>
            <c:numRef>
              <c:f>Sheet1!$D$11:$E$11</c:f>
              <c:numCache>
                <c:formatCode>General</c:formatCode>
                <c:ptCount val="2"/>
                <c:pt idx="0">
                  <c:v>2089.34</c:v>
                </c:pt>
                <c:pt idx="1">
                  <c:v>2218.91</c:v>
                </c:pt>
              </c:numCache>
            </c:numRef>
          </c:val>
        </c:ser>
        <c:ser>
          <c:idx val="1"/>
          <c:order val="1"/>
          <c:tx>
            <c:strRef>
              <c:f>Sheet1!$C$12</c:f>
              <c:strCache>
                <c:ptCount val="1"/>
                <c:pt idx="0">
                  <c:v>预算支出</c:v>
                </c:pt>
              </c:strCache>
            </c:strRef>
          </c:tx>
          <c:spPr>
            <a:solidFill>
              <a:schemeClr val="accent2"/>
            </a:solidFill>
            <a:ln>
              <a:noFill/>
            </a:ln>
            <a:effectLst/>
            <a:sp3d/>
          </c:spPr>
          <c:invertIfNegative val="false"/>
          <c:dLbls>
            <c:delete val="true"/>
          </c:dLbls>
          <c:cat>
            <c:strRef>
              <c:f>Sheet1!$D$10:$E$10</c:f>
              <c:strCache>
                <c:ptCount val="2"/>
                <c:pt idx="0">
                  <c:v>本年</c:v>
                </c:pt>
                <c:pt idx="1">
                  <c:v>上年</c:v>
                </c:pt>
              </c:strCache>
            </c:strRef>
          </c:cat>
          <c:val>
            <c:numRef>
              <c:f>Sheet1!$D$12:$E$12</c:f>
              <c:numCache>
                <c:formatCode>General</c:formatCode>
                <c:ptCount val="2"/>
                <c:pt idx="0">
                  <c:v>2089.34</c:v>
                </c:pt>
                <c:pt idx="1">
                  <c:v>2218.91</c:v>
                </c:pt>
              </c:numCache>
            </c:numRef>
          </c:val>
        </c:ser>
        <c:dLbls>
          <c:showLegendKey val="false"/>
          <c:showVal val="false"/>
          <c:showCatName val="false"/>
          <c:showSerName val="false"/>
          <c:showPercent val="false"/>
          <c:showBubbleSize val="false"/>
        </c:dLbls>
        <c:gapWidth val="150"/>
        <c:overlap val="100"/>
        <c:axId val="148898176"/>
        <c:axId val="148899712"/>
      </c:barChart>
      <c:catAx>
        <c:axId val="148898176"/>
        <c:scaling>
          <c:orientation val="minMax"/>
        </c:scaling>
        <c:delete val="false"/>
        <c:axPos val="b"/>
        <c:numFmt formatCode="General" sourceLinked="true"/>
        <c:majorTickMark val="none"/>
        <c:minorTickMark val="none"/>
        <c:tickLblPos val="nextTo"/>
        <c:spPr>
          <a:noFill/>
          <a:ln w="6350"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8899712"/>
        <c:crosses val="autoZero"/>
        <c:auto val="true"/>
        <c:lblAlgn val="ctr"/>
        <c:lblOffset val="100"/>
        <c:noMultiLvlLbl val="false"/>
      </c:catAx>
      <c:valAx>
        <c:axId val="14889971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8898176"/>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endParaRPr lang="zh-CN" altLang="en-US"/>
          </a:p>
        </c:rich>
      </c:tx>
      <c:layout/>
      <c:overlay val="false"/>
      <c:spPr>
        <a:noFill/>
        <a:ln>
          <a:noFill/>
        </a:ln>
        <a:effectLst/>
      </c:spPr>
    </c:title>
    <c:autoTitleDeleted val="false"/>
    <c:plotArea>
      <c:layout/>
      <c:barChart>
        <c:barDir val="col"/>
        <c:grouping val="clustered"/>
        <c:varyColors val="false"/>
        <c:ser>
          <c:idx val="0"/>
          <c:order val="0"/>
          <c:spPr>
            <a:solidFill>
              <a:schemeClr val="accent2"/>
            </a:solidFill>
            <a:ln>
              <a:noFill/>
            </a:ln>
            <a:effectLst/>
          </c:spPr>
          <c:invertIfNegative val="false"/>
          <c:dPt>
            <c:idx val="1"/>
            <c:invertIfNegative val="false"/>
            <c:bubble3D val="false"/>
            <c:spPr>
              <a:solidFill>
                <a:schemeClr val="tx2">
                  <a:lumMod val="40000"/>
                  <a:lumOff val="60000"/>
                </a:schemeClr>
              </a:solidFill>
              <a:ln>
                <a:no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Sheet1!$D$12:$D$13</c:f>
              <c:strCache>
                <c:ptCount val="2"/>
                <c:pt idx="0">
                  <c:v>本年</c:v>
                </c:pt>
                <c:pt idx="1">
                  <c:v>上年</c:v>
                </c:pt>
              </c:strCache>
            </c:strRef>
          </c:cat>
          <c:val>
            <c:numRef>
              <c:f>Sheet1!$E$12:$E$13</c:f>
              <c:numCache>
                <c:formatCode>General</c:formatCode>
                <c:ptCount val="2"/>
                <c:pt idx="0">
                  <c:v>2069.34</c:v>
                </c:pt>
                <c:pt idx="1">
                  <c:v>2218.9</c:v>
                </c:pt>
              </c:numCache>
            </c:numRef>
          </c:val>
        </c:ser>
        <c:dLbls>
          <c:showLegendKey val="false"/>
          <c:showVal val="true"/>
          <c:showCatName val="false"/>
          <c:showSerName val="false"/>
          <c:showPercent val="false"/>
          <c:showBubbleSize val="false"/>
        </c:dLbls>
        <c:gapWidth val="219"/>
        <c:overlap val="-27"/>
        <c:axId val="148871424"/>
        <c:axId val="148934656"/>
      </c:barChart>
      <c:catAx>
        <c:axId val="148871424"/>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8934656"/>
        <c:crosses val="autoZero"/>
        <c:auto val="true"/>
        <c:lblAlgn val="ctr"/>
        <c:lblOffset val="100"/>
        <c:noMultiLvlLbl val="false"/>
      </c:catAx>
      <c:valAx>
        <c:axId val="14893465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887142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25400">
                <a:solidFill>
                  <a:schemeClr val="lt1"/>
                </a:solidFill>
              </a:ln>
              <a:effectLst/>
              <a:sp3d contourW="25400">
                <a:contourClr>
                  <a:schemeClr val="lt1"/>
                </a:contourClr>
              </a:sp3d>
            </c:spPr>
          </c:dPt>
          <c:dPt>
            <c:idx val="1"/>
            <c:bubble3D val="false"/>
            <c:spPr>
              <a:solidFill>
                <a:schemeClr val="accent2"/>
              </a:solidFill>
              <a:ln w="25400">
                <a:solidFill>
                  <a:schemeClr val="lt1"/>
                </a:solidFill>
              </a:ln>
              <a:effectLst/>
              <a:sp3d contourW="25400">
                <a:contourClr>
                  <a:schemeClr val="lt1"/>
                </a:contourClr>
              </a:sp3d>
            </c:spPr>
          </c:dPt>
          <c:dPt>
            <c:idx val="2"/>
            <c:bubble3D val="false"/>
            <c:spPr>
              <a:solidFill>
                <a:schemeClr val="accent3"/>
              </a:solidFill>
              <a:ln w="25400">
                <a:solidFill>
                  <a:schemeClr val="lt1"/>
                </a:solidFill>
              </a:ln>
              <a:effectLst/>
              <a:sp3d contourW="25400">
                <a:contourClr>
                  <a:schemeClr val="lt1"/>
                </a:contourClr>
              </a:sp3d>
            </c:spPr>
          </c:dPt>
          <c:dPt>
            <c:idx val="3"/>
            <c:bubble3D val="false"/>
            <c:spPr>
              <a:solidFill>
                <a:schemeClr val="accent4"/>
              </a:solidFill>
              <a:ln w="25400">
                <a:solidFill>
                  <a:schemeClr val="lt1"/>
                </a:solidFill>
              </a:ln>
              <a:effectLst/>
              <a:sp3d contourW="25400">
                <a:contourClr>
                  <a:schemeClr val="lt1"/>
                </a:contourClr>
              </a:sp3d>
            </c:spPr>
          </c:dPt>
          <c:dPt>
            <c:idx val="4"/>
            <c:bubble3D val="false"/>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Sheet1!$D$20:$D$24</c:f>
              <c:strCache>
                <c:ptCount val="5"/>
                <c:pt idx="0">
                  <c:v>一般公共服务支出</c:v>
                </c:pt>
                <c:pt idx="1">
                  <c:v>社会保障和就业支出</c:v>
                </c:pt>
                <c:pt idx="2">
                  <c:v>卫生健康支出</c:v>
                </c:pt>
                <c:pt idx="3">
                  <c:v>住房保障支出</c:v>
                </c:pt>
                <c:pt idx="4">
                  <c:v>城乡社区支出</c:v>
                </c:pt>
              </c:strCache>
            </c:strRef>
          </c:cat>
          <c:val>
            <c:numRef>
              <c:f>Sheet1!$E$20:$E$24</c:f>
              <c:numCache>
                <c:formatCode>General</c:formatCode>
                <c:ptCount val="5"/>
                <c:pt idx="0">
                  <c:v>0.640000000000001</c:v>
                </c:pt>
                <c:pt idx="1">
                  <c:v>425.69</c:v>
                </c:pt>
                <c:pt idx="2">
                  <c:v>51.73</c:v>
                </c:pt>
                <c:pt idx="3">
                  <c:v>112.58</c:v>
                </c:pt>
                <c:pt idx="4">
                  <c:v>1478.7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endParaRPr lang="zh-CN" altLang="en-US"/>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25400">
                <a:solidFill>
                  <a:schemeClr val="lt1"/>
                </a:solidFill>
              </a:ln>
              <a:effectLst/>
              <a:sp3d contourW="25400">
                <a:contourClr>
                  <a:schemeClr val="lt1"/>
                </a:contourClr>
              </a:sp3d>
            </c:spPr>
          </c:dPt>
          <c:dPt>
            <c:idx val="1"/>
            <c:bubble3D val="false"/>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Sheet1!$B$3:$B$4</c:f>
              <c:strCache>
                <c:ptCount val="2"/>
                <c:pt idx="0">
                  <c:v>     公务用车运行维护费</c:v>
                </c:pt>
                <c:pt idx="1">
                  <c:v>公务接待费</c:v>
                </c:pt>
              </c:strCache>
            </c:strRef>
          </c:cat>
          <c:val>
            <c:numRef>
              <c:f>Sheet1!$C$3:$C$4</c:f>
              <c:numCache>
                <c:formatCode>0.00%</c:formatCode>
                <c:ptCount val="2"/>
                <c:pt idx="0">
                  <c:v>0.9171</c:v>
                </c:pt>
                <c:pt idx="1">
                  <c:v>0.0829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5015</Words>
  <Characters>874</Characters>
  <Lines>7</Lines>
  <Paragraphs>11</Paragraphs>
  <TotalTime>4</TotalTime>
  <ScaleCrop>false</ScaleCrop>
  <LinksUpToDate>false</LinksUpToDate>
  <CharactersWithSpaces>5878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2025-09-08T12:53:00Z</cp:lastPrinted>
  <dcterms:modified xsi:type="dcterms:W3CDTF">2025-09-16T19:14:51Z</dcterms:modified>
  <dc:title>四川省***</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