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93"/>
        <w:jc w:val="center"/>
        <w:rPr>
          <w:rFonts w:ascii="Times New Roman" w:eastAsia="方正小标宋简体"/>
          <w:kern w:val="2"/>
          <w:sz w:val="44"/>
          <w:szCs w:val="44"/>
        </w:rPr>
      </w:pPr>
      <w:bookmarkStart w:id="0" w:name="_Toc15396475"/>
      <w:bookmarkStart w:id="1" w:name="_Toc15378441"/>
      <w:bookmarkStart w:id="2" w:name="_Toc15396597"/>
      <w:bookmarkStart w:id="3" w:name="_Toc15377425"/>
      <w:bookmarkStart w:id="4" w:name="_Toc15377193"/>
      <w:bookmarkStart w:id="5" w:name="_Toc15306267"/>
    </w:p>
    <w:p>
      <w:pPr>
        <w:pStyle w:val="5"/>
        <w:spacing w:before="93"/>
        <w:jc w:val="center"/>
        <w:rPr>
          <w:rFonts w:ascii="Times New Roman" w:eastAsia="方正小标宋简体"/>
          <w:kern w:val="2"/>
          <w:sz w:val="44"/>
          <w:szCs w:val="44"/>
        </w:rPr>
      </w:pPr>
    </w:p>
    <w:p>
      <w:pPr>
        <w:pStyle w:val="5"/>
        <w:spacing w:before="93"/>
        <w:jc w:val="center"/>
        <w:rPr>
          <w:rFonts w:ascii="Times New Roman" w:eastAsia="方正小标宋简体"/>
          <w:kern w:val="2"/>
          <w:sz w:val="44"/>
          <w:szCs w:val="44"/>
        </w:rPr>
      </w:pPr>
    </w:p>
    <w:p>
      <w:pPr>
        <w:pStyle w:val="5"/>
        <w:spacing w:before="93"/>
        <w:jc w:val="center"/>
        <w:rPr>
          <w:rFonts w:ascii="Times New Roman" w:eastAsia="方正小标宋简体"/>
          <w:kern w:val="2"/>
          <w:sz w:val="44"/>
          <w:szCs w:val="44"/>
        </w:rPr>
      </w:pPr>
    </w:p>
    <w:p>
      <w:pPr>
        <w:pStyle w:val="5"/>
        <w:spacing w:before="93"/>
        <w:jc w:val="center"/>
        <w:rPr>
          <w:rFonts w:ascii="Times New Roman" w:eastAsia="方正小标宋简体"/>
          <w:kern w:val="2"/>
          <w:sz w:val="44"/>
          <w:szCs w:val="44"/>
        </w:rPr>
      </w:pPr>
    </w:p>
    <w:p>
      <w:pPr>
        <w:pStyle w:val="5"/>
        <w:spacing w:before="93"/>
        <w:jc w:val="center"/>
        <w:rPr>
          <w:rFonts w:ascii="Times New Roman" w:eastAsia="方正小标宋简体"/>
          <w:kern w:val="2"/>
          <w:sz w:val="44"/>
          <w:szCs w:val="44"/>
        </w:rPr>
      </w:pPr>
    </w:p>
    <w:bookmarkEnd w:id="0"/>
    <w:bookmarkEnd w:id="1"/>
    <w:bookmarkEnd w:id="2"/>
    <w:bookmarkEnd w:id="3"/>
    <w:bookmarkEnd w:id="4"/>
    <w:p>
      <w:pPr>
        <w:pStyle w:val="5"/>
        <w:spacing w:before="93"/>
        <w:jc w:val="center"/>
        <w:rPr>
          <w:rFonts w:hint="eastAsia" w:ascii="Times New Roman" w:eastAsia="方正小标宋简体"/>
          <w:kern w:val="2"/>
          <w:sz w:val="44"/>
          <w:szCs w:val="44"/>
        </w:rPr>
      </w:pPr>
      <w:bookmarkStart w:id="6" w:name="_Toc15396476"/>
      <w:bookmarkStart w:id="7" w:name="_Toc15377426"/>
      <w:bookmarkStart w:id="8" w:name="_Toc15396598"/>
      <w:bookmarkStart w:id="9" w:name="_Toc15378442"/>
      <w:bookmarkStart w:id="10" w:name="_Toc15377194"/>
      <w:r>
        <w:rPr>
          <w:rFonts w:hint="eastAsia" w:ascii="Times New Roman" w:eastAsia="方正小标宋简体"/>
          <w:kern w:val="2"/>
          <w:sz w:val="44"/>
          <w:szCs w:val="44"/>
        </w:rPr>
        <w:t>2024年度</w:t>
      </w:r>
      <w:bookmarkEnd w:id="5"/>
      <w:bookmarkStart w:id="11" w:name="_Toc15306268"/>
    </w:p>
    <w:p>
      <w:pPr>
        <w:pStyle w:val="5"/>
        <w:spacing w:before="93"/>
        <w:jc w:val="center"/>
        <w:rPr>
          <w:rFonts w:ascii="Times New Roman" w:eastAsia="方正小标宋简体"/>
          <w:kern w:val="2"/>
          <w:sz w:val="44"/>
          <w:szCs w:val="44"/>
        </w:rPr>
      </w:pPr>
      <w:r>
        <w:rPr>
          <w:rFonts w:hint="eastAsia" w:ascii="Times New Roman" w:eastAsia="方正小标宋简体"/>
          <w:kern w:val="2"/>
          <w:sz w:val="44"/>
          <w:szCs w:val="44"/>
        </w:rPr>
        <w:t>四川省攀枝花市建筑节能和绿色建筑发展中心单位决算</w:t>
      </w:r>
      <w:bookmarkEnd w:id="6"/>
      <w:bookmarkEnd w:id="7"/>
      <w:bookmarkEnd w:id="8"/>
      <w:bookmarkEnd w:id="9"/>
      <w:bookmarkEnd w:id="10"/>
      <w:bookmarkEnd w:id="11"/>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p>
    <w:p>
      <w:pPr>
        <w:widowControl/>
        <w:jc w:val="center"/>
        <w:rPr>
          <w:rFonts w:eastAsia="黑体"/>
          <w:sz w:val="48"/>
          <w:szCs w:val="48"/>
        </w:rPr>
      </w:pPr>
      <w:r>
        <w:rPr>
          <w:rFonts w:hint="eastAsia" w:eastAsia="黑体"/>
          <w:sz w:val="48"/>
          <w:szCs w:val="48"/>
        </w:rPr>
        <w:t>目    录</w:t>
      </w:r>
    </w:p>
    <w:p>
      <w:pPr>
        <w:widowControl/>
        <w:jc w:val="center"/>
        <w:rPr>
          <w:rFonts w:eastAsia="黑体" w:cstheme="minorBidi"/>
          <w:sz w:val="28"/>
          <w:szCs w:val="28"/>
        </w:rPr>
      </w:pPr>
    </w:p>
    <w:p>
      <w:pPr>
        <w:pStyle w:val="12"/>
        <w:rPr>
          <w:rFonts w:asciiTheme="minorEastAsia" w:hAnsiTheme="minorEastAsia" w:eastAsiaTheme="minorEastAsia"/>
        </w:rPr>
      </w:pPr>
      <w:r>
        <w:rPr>
          <w:rFonts w:hint="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b w:val="0"/>
          <w:bCs/>
        </w:rPr>
        <w:t xml:space="preserve">  公开时间：2025年 9 月 17日</w:t>
      </w:r>
    </w:p>
    <w:p>
      <w:pPr>
        <w:rPr>
          <w:rFonts w:asciiTheme="minorEastAsia" w:hAnsiTheme="minorEastAsia" w:eastAsiaTheme="minorEastAsia"/>
        </w:rPr>
      </w:pPr>
    </w:p>
    <w:p>
      <w:pPr>
        <w:pStyle w:val="12"/>
        <w:rPr>
          <w:rFonts w:hint="eastAsia" w:asciiTheme="minorEastAsia" w:hAnsiTheme="minorEastAsia" w:eastAsiaTheme="minorEastAsia"/>
        </w:rPr>
      </w:pPr>
      <w:r>
        <w:rPr>
          <w:rFonts w:hint="eastAsia" w:asciiTheme="minorEastAsia" w:hAnsiTheme="minorEastAsia" w:eastAsiaTheme="minorEastAsia"/>
        </w:rPr>
        <w:t>第一部分 单位概况</w:t>
      </w:r>
      <w:r>
        <w:rPr>
          <w:rFonts w:hint="eastAsia"/>
        </w:rPr>
        <w:tab/>
      </w:r>
      <w:r>
        <w:rPr>
          <w:rFonts w:hint="eastAsia" w:ascii="Times New Roman" w:hAnsi="Times New Roman" w:eastAsia="仿宋_GB2312" w:cs="仿宋_GB2312"/>
          <w:b w:val="0"/>
          <w:spacing w:val="-10"/>
          <w:sz w:val="32"/>
          <w:szCs w:val="32"/>
        </w:rPr>
        <w:t>4</w:t>
      </w:r>
    </w:p>
    <w:p>
      <w:pPr>
        <w:pStyle w:val="12"/>
        <w:rPr>
          <w:rFonts w:hint="eastAsia" w:ascii="Times New Roman" w:hAnsi="Times New Roman" w:eastAsia="仿宋_GB2312" w:cs="仿宋_GB2312"/>
          <w:b w:val="0"/>
          <w:spacing w:val="-10"/>
          <w:sz w:val="32"/>
          <w:szCs w:val="32"/>
        </w:rPr>
      </w:pPr>
      <w:r>
        <w:rPr>
          <w:rFonts w:hint="eastAsia" w:ascii="Times New Roman" w:hAnsi="Times New Roman" w:eastAsia="仿宋_GB2312" w:cs="仿宋_GB2312"/>
          <w:b w:val="0"/>
          <w:spacing w:val="-10"/>
          <w:sz w:val="32"/>
          <w:szCs w:val="32"/>
        </w:rPr>
        <w:t xml:space="preserve">   一、单位职责</w:t>
      </w:r>
      <w:r>
        <w:rPr>
          <w:rFonts w:hint="eastAsia"/>
        </w:rPr>
        <w:tab/>
      </w:r>
      <w:r>
        <w:rPr>
          <w:rFonts w:hint="eastAsia" w:ascii="Times New Roman" w:hAnsi="Times New Roman" w:eastAsia="仿宋_GB2312" w:cs="仿宋_GB2312"/>
          <w:b w:val="0"/>
          <w:spacing w:val="-10"/>
          <w:sz w:val="32"/>
          <w:szCs w:val="32"/>
        </w:rPr>
        <w:t>4</w:t>
      </w:r>
    </w:p>
    <w:p>
      <w:pPr>
        <w:pStyle w:val="12"/>
        <w:rPr>
          <w:rFonts w:ascii="Times New Roman" w:hAnsi="Times New Roman" w:eastAsia="仿宋_GB2312" w:cs="仿宋_GB2312"/>
          <w:b w:val="0"/>
          <w:spacing w:val="-10"/>
          <w:sz w:val="32"/>
          <w:szCs w:val="32"/>
        </w:rPr>
      </w:pPr>
      <w:r>
        <w:rPr>
          <w:rFonts w:hint="eastAsia" w:ascii="Times New Roman" w:hAnsi="Times New Roman" w:eastAsia="仿宋_GB2312" w:cs="仿宋_GB2312"/>
          <w:b w:val="0"/>
          <w:spacing w:val="-10"/>
          <w:sz w:val="32"/>
          <w:szCs w:val="32"/>
        </w:rPr>
        <w:t xml:space="preserve">   二、机构设置</w:t>
      </w:r>
      <w:r>
        <w:rPr>
          <w:rFonts w:hint="eastAsia"/>
        </w:rPr>
        <w:tab/>
      </w:r>
      <w:r>
        <w:rPr>
          <w:rFonts w:hint="eastAsia" w:ascii="Times New Roman" w:hAnsi="Times New Roman" w:eastAsia="仿宋_GB2312" w:cs="仿宋_GB2312"/>
          <w:b w:val="0"/>
          <w:spacing w:val="-10"/>
          <w:sz w:val="32"/>
          <w:szCs w:val="32"/>
        </w:rPr>
        <w:t>4</w:t>
      </w:r>
    </w:p>
    <w:p>
      <w:pPr>
        <w:pStyle w:val="12"/>
        <w:rPr>
          <w:rFonts w:asciiTheme="minorEastAsia" w:hAnsiTheme="minorEastAsia" w:eastAsiaTheme="minorEastAsia"/>
        </w:rPr>
      </w:pPr>
      <w:r>
        <w:rPr>
          <w:rFonts w:hint="eastAsia" w:asciiTheme="minorEastAsia" w:hAnsiTheme="minorEastAsia" w:eastAsiaTheme="minorEastAsia"/>
        </w:rPr>
        <w:t>第二部分 2024年度单位决算情况说明</w:t>
      </w:r>
      <w:r>
        <w:rPr>
          <w:rFonts w:hint="eastAsia"/>
        </w:rPr>
        <w:tab/>
      </w:r>
      <w:r>
        <w:rPr>
          <w:rFonts w:hint="eastAsia"/>
        </w:rPr>
        <w:t>5</w:t>
      </w:r>
    </w:p>
    <w:p>
      <w:pPr>
        <w:pStyle w:val="14"/>
      </w:pPr>
      <w:r>
        <w:rPr>
          <w:rFonts w:hint="eastAsia"/>
        </w:rPr>
        <w:t>一、收入支出决算总体情况说明</w:t>
      </w:r>
      <w:r>
        <w:rPr>
          <w:rFonts w:hint="eastAsia"/>
        </w:rPr>
        <w:tab/>
      </w:r>
      <w:r>
        <w:rPr>
          <w:rFonts w:hint="eastAsia"/>
        </w:rPr>
        <w:t>5</w:t>
      </w:r>
    </w:p>
    <w:p>
      <w:pPr>
        <w:pStyle w:val="14"/>
      </w:pPr>
      <w:r>
        <w:rPr>
          <w:rFonts w:hint="eastAsia"/>
        </w:rPr>
        <w:t>二、收入决算情况说明</w:t>
      </w:r>
      <w:r>
        <w:rPr>
          <w:rFonts w:hint="eastAsia"/>
        </w:rPr>
        <w:tab/>
      </w:r>
      <w:r>
        <w:rPr>
          <w:rFonts w:hint="eastAsia"/>
        </w:rPr>
        <w:t>5</w:t>
      </w:r>
    </w:p>
    <w:p>
      <w:pPr>
        <w:pStyle w:val="14"/>
      </w:pPr>
      <w:r>
        <w:rPr>
          <w:rFonts w:hint="eastAsia"/>
        </w:rPr>
        <w:t>三、支出决算情况说明</w:t>
      </w:r>
      <w:r>
        <w:rPr>
          <w:rFonts w:hint="eastAsia"/>
        </w:rPr>
        <w:tab/>
      </w:r>
      <w:r>
        <w:rPr>
          <w:rFonts w:hint="eastAsia"/>
        </w:rPr>
        <w:t>6</w:t>
      </w:r>
    </w:p>
    <w:p>
      <w:pPr>
        <w:pStyle w:val="14"/>
      </w:pPr>
      <w:r>
        <w:rPr>
          <w:rFonts w:hint="eastAsia"/>
        </w:rPr>
        <w:t>四、财政拨款收入支出决算总体情况说明</w:t>
      </w:r>
      <w:r>
        <w:rPr>
          <w:rFonts w:hint="eastAsia"/>
        </w:rPr>
        <w:tab/>
      </w:r>
      <w:r>
        <w:rPr>
          <w:rFonts w:hint="eastAsia"/>
        </w:rPr>
        <w:t>7</w:t>
      </w:r>
    </w:p>
    <w:p>
      <w:pPr>
        <w:pStyle w:val="14"/>
      </w:pPr>
      <w:r>
        <w:rPr>
          <w:rFonts w:hint="eastAsia"/>
        </w:rPr>
        <w:t>五、一般公共预算财政拨款支出决算情况说明</w:t>
      </w:r>
      <w:r>
        <w:rPr>
          <w:rFonts w:hint="eastAsia"/>
        </w:rPr>
        <w:tab/>
      </w:r>
      <w:r>
        <w:rPr>
          <w:rFonts w:hint="eastAsia"/>
        </w:rPr>
        <w:t>7</w:t>
      </w:r>
    </w:p>
    <w:p>
      <w:pPr>
        <w:pStyle w:val="14"/>
      </w:pPr>
      <w:r>
        <w:rPr>
          <w:rFonts w:hint="eastAsia"/>
        </w:rPr>
        <w:t>六、一般公共预算财政拨款基本支出决算情况说明</w:t>
      </w:r>
      <w:r>
        <w:rPr>
          <w:rFonts w:hint="eastAsia"/>
        </w:rPr>
        <w:tab/>
      </w:r>
      <w:r>
        <w:rPr>
          <w:rFonts w:hint="eastAsia"/>
        </w:rPr>
        <w:t>10</w:t>
      </w:r>
    </w:p>
    <w:p>
      <w:pPr>
        <w:pStyle w:val="14"/>
      </w:pPr>
      <w:r>
        <w:rPr>
          <w:rFonts w:hint="eastAsia"/>
        </w:rPr>
        <w:t>七、财政拨款“三公”经费支出决算情况说明</w:t>
      </w:r>
      <w:r>
        <w:rPr>
          <w:rFonts w:hint="eastAsia"/>
        </w:rPr>
        <w:tab/>
      </w:r>
      <w:r>
        <w:rPr>
          <w:rFonts w:hint="eastAsia"/>
        </w:rPr>
        <w:t>10</w:t>
      </w:r>
    </w:p>
    <w:p>
      <w:pPr>
        <w:pStyle w:val="14"/>
      </w:pPr>
      <w:r>
        <w:rPr>
          <w:rFonts w:hint="eastAsia"/>
        </w:rPr>
        <w:t>八、政府性基金预算支出决算情况说明</w:t>
      </w:r>
      <w:r>
        <w:rPr>
          <w:rFonts w:hint="eastAsia"/>
        </w:rPr>
        <w:tab/>
      </w:r>
      <w:r>
        <w:rPr>
          <w:rFonts w:hint="eastAsia"/>
        </w:rPr>
        <w:t>12</w:t>
      </w:r>
    </w:p>
    <w:p>
      <w:pPr>
        <w:pStyle w:val="14"/>
      </w:pPr>
      <w:r>
        <w:rPr>
          <w:rFonts w:hint="eastAsia"/>
        </w:rPr>
        <w:t>九、国有资本经营预算支出决算情况说明</w:t>
      </w:r>
      <w:r>
        <w:rPr>
          <w:rFonts w:hint="eastAsia"/>
        </w:rPr>
        <w:tab/>
      </w:r>
      <w:r>
        <w:rPr>
          <w:rFonts w:hint="eastAsia"/>
        </w:rPr>
        <w:t>12</w:t>
      </w:r>
    </w:p>
    <w:p>
      <w:pPr>
        <w:pStyle w:val="14"/>
      </w:pPr>
      <w:r>
        <w:rPr>
          <w:rFonts w:hint="eastAsia"/>
        </w:rPr>
        <w:t>十、其他重要事项的情况说明</w:t>
      </w:r>
      <w:r>
        <w:rPr>
          <w:rFonts w:hint="eastAsia"/>
        </w:rPr>
        <w:tab/>
      </w:r>
      <w:r>
        <w:rPr>
          <w:rFonts w:hint="eastAsia"/>
        </w:rPr>
        <w:t>12</w:t>
      </w:r>
    </w:p>
    <w:p>
      <w:pPr>
        <w:pStyle w:val="12"/>
        <w:rPr>
          <w:rFonts w:asciiTheme="minorEastAsia" w:hAnsiTheme="minorEastAsia" w:eastAsiaTheme="minorEastAsia"/>
        </w:rPr>
      </w:pPr>
      <w:r>
        <w:rPr>
          <w:rFonts w:hint="eastAsia" w:asciiTheme="minorEastAsia" w:hAnsiTheme="minorEastAsia" w:eastAsiaTheme="minorEastAsia"/>
        </w:rPr>
        <w:t>第三部分 名词解释</w:t>
      </w:r>
      <w:r>
        <w:rPr>
          <w:rFonts w:hint="eastAsia" w:asciiTheme="minorEastAsia" w:hAnsiTheme="minorEastAsia" w:eastAsiaTheme="minorEastAsia"/>
        </w:rPr>
        <w:tab/>
      </w:r>
      <w:r>
        <w:rPr>
          <w:rFonts w:hint="eastAsia" w:asciiTheme="minorEastAsia" w:hAnsiTheme="minorEastAsia" w:eastAsiaTheme="minorEastAsia"/>
        </w:rPr>
        <w:t>14</w:t>
      </w:r>
    </w:p>
    <w:p>
      <w:pPr>
        <w:pStyle w:val="12"/>
        <w:rPr>
          <w:rFonts w:asciiTheme="minorEastAsia" w:hAnsiTheme="minorEastAsia" w:eastAsiaTheme="minorEastAsia"/>
        </w:rPr>
      </w:pPr>
      <w:r>
        <w:rPr>
          <w:rFonts w:hint="eastAsia" w:asciiTheme="minorEastAsia" w:hAnsiTheme="minorEastAsia" w:eastAsiaTheme="minorEastAsia"/>
        </w:rPr>
        <w:t>第四部分 附件</w:t>
      </w:r>
      <w:r>
        <w:rPr>
          <w:rFonts w:hint="eastAsia" w:asciiTheme="minorEastAsia" w:hAnsiTheme="minorEastAsia" w:eastAsiaTheme="minorEastAsia"/>
        </w:rPr>
        <w:tab/>
      </w:r>
      <w:r>
        <w:rPr>
          <w:rFonts w:hint="eastAsia" w:asciiTheme="minorEastAsia" w:hAnsiTheme="minorEastAsia" w:eastAsiaTheme="minorEastAsia"/>
        </w:rPr>
        <w:t>16</w:t>
      </w:r>
    </w:p>
    <w:p>
      <w:pPr>
        <w:pStyle w:val="12"/>
        <w:rPr>
          <w:rFonts w:asciiTheme="minorEastAsia" w:hAnsiTheme="minorEastAsia" w:eastAsiaTheme="minorEastAsia"/>
        </w:rPr>
      </w:pPr>
      <w:r>
        <w:rPr>
          <w:rFonts w:hint="eastAsia" w:asciiTheme="minorEastAsia" w:hAnsiTheme="minorEastAsia" w:eastAsiaTheme="minorEastAsia"/>
        </w:rPr>
        <w:t>第五部分 附表</w:t>
      </w:r>
      <w:r>
        <w:rPr>
          <w:rFonts w:hint="eastAsia" w:asciiTheme="minorEastAsia" w:hAnsiTheme="minorEastAsia" w:eastAsiaTheme="minorEastAsia"/>
        </w:rPr>
        <w:tab/>
      </w:r>
      <w:r>
        <w:rPr>
          <w:rFonts w:hint="eastAsia" w:asciiTheme="minorEastAsia" w:hAnsiTheme="minorEastAsia" w:eastAsiaTheme="minorEastAsia"/>
        </w:rPr>
        <w:t>17</w:t>
      </w:r>
    </w:p>
    <w:p>
      <w:pPr>
        <w:pStyle w:val="14"/>
      </w:pPr>
      <w:r>
        <w:rPr>
          <w:rFonts w:hint="eastAsia"/>
        </w:rPr>
        <w:t>一、收入支出决算总表</w:t>
      </w:r>
      <w:r>
        <w:rPr>
          <w:rFonts w:hint="eastAsia"/>
        </w:rPr>
        <w:tab/>
      </w:r>
      <w:r>
        <w:rPr>
          <w:rFonts w:hint="eastAsia"/>
        </w:rPr>
        <w:t>17</w:t>
      </w:r>
    </w:p>
    <w:p>
      <w:pPr>
        <w:pStyle w:val="14"/>
      </w:pPr>
      <w:r>
        <w:rPr>
          <w:rFonts w:hint="eastAsia"/>
        </w:rPr>
        <w:t>二、收入决算表</w:t>
      </w:r>
      <w:r>
        <w:rPr>
          <w:rFonts w:hint="eastAsia"/>
        </w:rPr>
        <w:tab/>
      </w:r>
      <w:r>
        <w:rPr>
          <w:rFonts w:hint="eastAsia"/>
        </w:rPr>
        <w:t>17</w:t>
      </w:r>
    </w:p>
    <w:p>
      <w:pPr>
        <w:pStyle w:val="14"/>
      </w:pPr>
      <w:r>
        <w:rPr>
          <w:rFonts w:hint="eastAsia"/>
        </w:rPr>
        <w:t>三、支出决算表</w:t>
      </w:r>
      <w:r>
        <w:rPr>
          <w:rFonts w:hint="eastAsia"/>
        </w:rPr>
        <w:tab/>
      </w:r>
      <w:r>
        <w:rPr>
          <w:rFonts w:hint="eastAsia"/>
        </w:rPr>
        <w:t>17</w:t>
      </w:r>
    </w:p>
    <w:p>
      <w:pPr>
        <w:pStyle w:val="14"/>
      </w:pPr>
      <w:r>
        <w:rPr>
          <w:rFonts w:hint="eastAsia"/>
        </w:rPr>
        <w:t>四、财政拨款收入支出决算总表</w:t>
      </w:r>
      <w:r>
        <w:rPr>
          <w:rFonts w:hint="eastAsia"/>
        </w:rPr>
        <w:tab/>
      </w:r>
      <w:r>
        <w:rPr>
          <w:rFonts w:hint="eastAsia"/>
        </w:rPr>
        <w:t>17</w:t>
      </w:r>
    </w:p>
    <w:p>
      <w:pPr>
        <w:pStyle w:val="14"/>
      </w:pPr>
      <w:r>
        <w:rPr>
          <w:rFonts w:hint="eastAsia"/>
        </w:rPr>
        <w:t>五、财政拨款支出决算明细表</w:t>
      </w:r>
      <w:r>
        <w:rPr>
          <w:rFonts w:hint="eastAsia"/>
        </w:rPr>
        <w:tab/>
      </w:r>
      <w:r>
        <w:rPr>
          <w:rFonts w:hint="eastAsia"/>
        </w:rPr>
        <w:t>17</w:t>
      </w:r>
    </w:p>
    <w:p>
      <w:pPr>
        <w:pStyle w:val="14"/>
      </w:pPr>
      <w:r>
        <w:rPr>
          <w:rFonts w:hint="eastAsia"/>
        </w:rPr>
        <w:t>六、一般公共预算财政拨款支出决算表</w:t>
      </w:r>
      <w:r>
        <w:rPr>
          <w:rFonts w:hint="eastAsia"/>
        </w:rPr>
        <w:tab/>
      </w:r>
      <w:r>
        <w:rPr>
          <w:rFonts w:hint="eastAsia"/>
        </w:rPr>
        <w:t>17</w:t>
      </w:r>
    </w:p>
    <w:p>
      <w:pPr>
        <w:pStyle w:val="14"/>
      </w:pPr>
      <w:r>
        <w:rPr>
          <w:rFonts w:hint="eastAsia"/>
        </w:rPr>
        <w:t>七、一般公共预算财政拨款支出决算明细表</w:t>
      </w:r>
      <w:r>
        <w:rPr>
          <w:rFonts w:hint="eastAsia"/>
        </w:rPr>
        <w:tab/>
      </w:r>
      <w:r>
        <w:rPr>
          <w:rFonts w:hint="eastAsia"/>
        </w:rPr>
        <w:t>17</w:t>
      </w:r>
    </w:p>
    <w:p>
      <w:pPr>
        <w:pStyle w:val="14"/>
      </w:pPr>
      <w:r>
        <w:rPr>
          <w:rFonts w:hint="eastAsia"/>
        </w:rPr>
        <w:t>八、一般公共预算财政拨款基本支出决算明细表</w:t>
      </w:r>
      <w:r>
        <w:rPr>
          <w:rFonts w:hint="eastAsia"/>
        </w:rPr>
        <w:tab/>
      </w:r>
      <w:r>
        <w:rPr>
          <w:rFonts w:hint="eastAsia"/>
        </w:rPr>
        <w:t>17</w:t>
      </w:r>
    </w:p>
    <w:p>
      <w:pPr>
        <w:pStyle w:val="14"/>
      </w:pPr>
      <w:r>
        <w:rPr>
          <w:rFonts w:hint="eastAsia"/>
        </w:rPr>
        <w:t>九、一般公共预算财政拨款项目支出决算表</w:t>
      </w:r>
      <w:r>
        <w:rPr>
          <w:rFonts w:hint="eastAsia"/>
        </w:rPr>
        <w:tab/>
      </w:r>
      <w:r>
        <w:rPr>
          <w:rFonts w:hint="eastAsia"/>
        </w:rPr>
        <w:t>17</w:t>
      </w:r>
    </w:p>
    <w:p>
      <w:pPr>
        <w:pStyle w:val="14"/>
      </w:pPr>
      <w:r>
        <w:rPr>
          <w:rFonts w:hint="eastAsia"/>
        </w:rPr>
        <w:t>十、政府性基金预算财政拨款收入支出决算表</w:t>
      </w:r>
      <w:r>
        <w:rPr>
          <w:rFonts w:hint="eastAsia"/>
        </w:rPr>
        <w:tab/>
      </w:r>
      <w:r>
        <w:rPr>
          <w:rFonts w:hint="eastAsia"/>
        </w:rPr>
        <w:t>17</w:t>
      </w:r>
    </w:p>
    <w:p>
      <w:pPr>
        <w:pStyle w:val="14"/>
      </w:pPr>
      <w:r>
        <w:rPr>
          <w:rFonts w:hint="eastAsia"/>
        </w:rPr>
        <w:t>十一、国有资本经营预算财政拨款收入支出决算表</w:t>
      </w:r>
      <w:r>
        <w:rPr>
          <w:rFonts w:hint="eastAsia"/>
        </w:rPr>
        <w:tab/>
      </w:r>
      <w:r>
        <w:rPr>
          <w:rFonts w:hint="eastAsia"/>
        </w:rPr>
        <w:t>17</w:t>
      </w:r>
    </w:p>
    <w:p>
      <w:pPr>
        <w:pStyle w:val="14"/>
      </w:pPr>
      <w:r>
        <w:rPr>
          <w:rFonts w:hint="eastAsia"/>
        </w:rPr>
        <w:t>十二、国有资本经营预算财政拨款支出决算表</w:t>
      </w:r>
      <w:r>
        <w:rPr>
          <w:rFonts w:hint="eastAsia"/>
        </w:rPr>
        <w:tab/>
      </w:r>
      <w:r>
        <w:rPr>
          <w:rFonts w:hint="eastAsia"/>
        </w:rPr>
        <w:t>17</w:t>
      </w:r>
    </w:p>
    <w:p>
      <w:pPr>
        <w:pStyle w:val="14"/>
      </w:pPr>
      <w:r>
        <w:rPr>
          <w:rFonts w:hint="eastAsia"/>
        </w:rPr>
        <w:t>十三、财政拨款“三公”经费支出决算表</w:t>
      </w:r>
      <w:r>
        <w:rPr>
          <w:rFonts w:hint="eastAsia"/>
        </w:rPr>
        <w:tab/>
      </w:r>
      <w:r>
        <w:rPr>
          <w:rFonts w:hint="eastAsia"/>
        </w:rPr>
        <w:t>17</w:t>
      </w:r>
    </w:p>
    <w:p>
      <w:pPr>
        <w:widowControl/>
        <w:spacing w:line="560" w:lineRule="exact"/>
        <w:jc w:val="left"/>
        <w:rPr>
          <w:rFonts w:cs="仿宋_GB2312" w:asciiTheme="minorEastAsia" w:hAnsiTheme="minorEastAsia" w:eastAsiaTheme="minorEastAsia"/>
          <w:b/>
          <w:bCs/>
          <w:kern w:val="44"/>
          <w:sz w:val="30"/>
          <w:szCs w:val="30"/>
        </w:rPr>
      </w:pPr>
      <w:bookmarkStart w:id="12" w:name="_Toc15377196"/>
      <w:bookmarkStart w:id="13" w:name="_Toc15396599"/>
      <w:r>
        <w:rPr>
          <w:rFonts w:hint="eastAsia" w:cs="仿宋_GB2312" w:asciiTheme="minorEastAsia" w:hAnsiTheme="minorEastAsia" w:eastAsiaTheme="minorEastAsia"/>
          <w:b/>
          <w:sz w:val="30"/>
          <w:szCs w:val="30"/>
        </w:rPr>
        <w:br w:type="page"/>
      </w:r>
    </w:p>
    <w:bookmarkEnd w:id="12"/>
    <w:bookmarkEnd w:id="13"/>
    <w:p>
      <w:pPr>
        <w:pStyle w:val="2"/>
        <w:spacing w:line="640" w:lineRule="exact"/>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单位概况</w:t>
      </w:r>
    </w:p>
    <w:p>
      <w:pPr>
        <w:rPr>
          <w:rStyle w:val="31"/>
          <w:rFonts w:ascii="黑体" w:hAnsi="黑体" w:eastAsia="黑体"/>
          <w:b w:val="0"/>
        </w:rPr>
      </w:pPr>
      <w:r>
        <w:rPr>
          <w:rStyle w:val="31"/>
          <w:rFonts w:hint="eastAsia" w:ascii="黑体" w:hAnsi="黑体" w:eastAsia="黑体"/>
          <w:b w:val="0"/>
        </w:rPr>
        <w:t xml:space="preserve">    </w:t>
      </w:r>
    </w:p>
    <w:p>
      <w:pPr>
        <w:keepNext w:val="0"/>
        <w:keepLines w:val="0"/>
        <w:pageBreakBefore w:val="0"/>
        <w:kinsoku/>
        <w:wordWrap/>
        <w:overflowPunct/>
        <w:topLinePunct w:val="0"/>
        <w:autoSpaceDE/>
        <w:autoSpaceDN/>
        <w:bidi w:val="0"/>
        <w:spacing w:line="578" w:lineRule="exact"/>
        <w:textAlignment w:val="auto"/>
        <w:rPr>
          <w:rFonts w:eastAsia="黑体"/>
        </w:rPr>
      </w:pPr>
      <w:r>
        <w:rPr>
          <w:rStyle w:val="31"/>
          <w:rFonts w:hint="eastAsia" w:ascii="黑体" w:hAnsi="黑体" w:eastAsia="黑体"/>
          <w:b w:val="0"/>
        </w:rPr>
        <w:t xml:space="preserve">    一、单位职责</w:t>
      </w:r>
    </w:p>
    <w:p>
      <w:pPr>
        <w:keepNext w:val="0"/>
        <w:keepLines w:val="0"/>
        <w:pageBreakBefore w:val="0"/>
        <w:widowControl/>
        <w:kinsoku/>
        <w:wordWrap/>
        <w:overflowPunct/>
        <w:topLinePunct w:val="0"/>
        <w:autoSpaceDE/>
        <w:autoSpaceDN/>
        <w:bidi w:val="0"/>
        <w:spacing w:line="578" w:lineRule="exact"/>
        <w:ind w:firstLine="640" w:firstLineChars="200"/>
        <w:textAlignment w:val="auto"/>
        <w:rPr>
          <w:rFonts w:ascii="仿宋_GB2312" w:hAnsi="仿宋" w:eastAsia="仿宋_GB2312"/>
          <w:color w:val="000000"/>
          <w:sz w:val="32"/>
          <w:szCs w:val="32"/>
        </w:rPr>
      </w:pPr>
      <w:bookmarkStart w:id="14" w:name="_Toc15377199"/>
      <w:bookmarkStart w:id="15" w:name="_Toc15378446"/>
      <w:r>
        <w:rPr>
          <w:rFonts w:hint="eastAsia" w:ascii="仿宋_GB2312" w:hAnsi="仿宋" w:eastAsia="仿宋_GB2312"/>
          <w:color w:val="000000"/>
          <w:sz w:val="32"/>
          <w:szCs w:val="32"/>
        </w:rPr>
        <w:t>攀枝花市建筑节能和绿色建筑发展中心（简称：市节能绿建中心）主要职能职责为：承担全市散装水泥、新型墙材、建筑节能和绿色建筑相关事务性、服务性工作；负责散装水泥、新型墙材、建筑节能和绿色建筑相关的宣传培训、信息交流、统计上报和新技术、新材料、新工艺、新设备的推广应用；协调全市绿色建材发展工作；负责对全市散装水泥、新型墙材、建筑节能和绿色建筑发展工作的业务指导。</w:t>
      </w:r>
    </w:p>
    <w:p>
      <w:pPr>
        <w:pStyle w:val="5"/>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outlineLvl w:val="2"/>
        <w:rPr>
          <w:rFonts w:ascii="黑体" w:hAnsi="黑体" w:eastAsia="黑体"/>
          <w:bCs/>
          <w:color w:val="000000"/>
          <w:sz w:val="32"/>
          <w:szCs w:val="32"/>
        </w:rPr>
      </w:pPr>
      <w:r>
        <w:rPr>
          <w:rFonts w:hint="eastAsia" w:ascii="黑体" w:hAnsi="黑体" w:eastAsia="黑体"/>
          <w:bCs/>
          <w:color w:val="000000"/>
          <w:sz w:val="32"/>
          <w:szCs w:val="32"/>
        </w:rPr>
        <w:t>二、</w:t>
      </w:r>
      <w:bookmarkEnd w:id="14"/>
      <w:bookmarkEnd w:id="15"/>
      <w:r>
        <w:rPr>
          <w:rFonts w:hint="eastAsia" w:ascii="黑体" w:hAnsi="黑体" w:eastAsia="黑体"/>
          <w:bCs/>
          <w:color w:val="000000"/>
          <w:sz w:val="32"/>
          <w:szCs w:val="32"/>
        </w:rPr>
        <w:t>机构设置</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市节能绿建中心是隶属于攀枝花市住房和城乡建设局的副县级参照公务员法管理事业单位，共有编制数10个，实有在职人员9名，退休人员3名；中心设有领导班子成员2名，实有1名，共有三个内设科室，分别为：综合科、科研法规科、工程应用科。</w:t>
      </w:r>
    </w:p>
    <w:p>
      <w:pPr>
        <w:widowControl/>
        <w:ind w:firstLine="640" w:firstLineChars="200"/>
        <w:jc w:val="left"/>
        <w:rPr>
          <w:rFonts w:eastAsia="仿宋"/>
          <w:kern w:val="0"/>
          <w:sz w:val="32"/>
          <w:szCs w:val="32"/>
        </w:rPr>
      </w:pPr>
    </w:p>
    <w:p>
      <w:pPr>
        <w:widowControl/>
        <w:ind w:firstLine="640" w:firstLineChars="200"/>
        <w:jc w:val="left"/>
        <w:rPr>
          <w:rFonts w:eastAsia="仿宋"/>
          <w:kern w:val="0"/>
          <w:sz w:val="32"/>
          <w:szCs w:val="32"/>
        </w:rPr>
      </w:pPr>
    </w:p>
    <w:p>
      <w:pPr>
        <w:widowControl/>
        <w:ind w:firstLine="640" w:firstLineChars="200"/>
        <w:jc w:val="left"/>
        <w:rPr>
          <w:rFonts w:eastAsia="仿宋"/>
          <w:kern w:val="0"/>
          <w:sz w:val="32"/>
          <w:szCs w:val="32"/>
        </w:rPr>
      </w:pPr>
    </w:p>
    <w:p>
      <w:pPr>
        <w:widowControl/>
        <w:ind w:firstLine="640" w:firstLineChars="200"/>
        <w:jc w:val="left"/>
        <w:rPr>
          <w:rFonts w:eastAsia="仿宋"/>
          <w:kern w:val="0"/>
          <w:sz w:val="32"/>
          <w:szCs w:val="32"/>
        </w:rPr>
      </w:pPr>
    </w:p>
    <w:p>
      <w:pPr>
        <w:pStyle w:val="2"/>
        <w:jc w:val="center"/>
        <w:rPr>
          <w:rFonts w:eastAsia="方正小标宋简体" w:cs="方正小标宋简体"/>
          <w:b w:val="0"/>
        </w:rPr>
      </w:pPr>
      <w:bookmarkStart w:id="16" w:name="_Toc15396602"/>
      <w:bookmarkStart w:id="17" w:name="_Toc15377204"/>
      <w:r>
        <w:rPr>
          <w:rFonts w:hint="eastAsia" w:eastAsia="方正小标宋简体" w:cs="方正小标宋简体"/>
          <w:b w:val="0"/>
        </w:rPr>
        <w:t>第二部分  2024年度单位决算情况说明</w:t>
      </w:r>
      <w:bookmarkEnd w:id="16"/>
      <w:bookmarkEnd w:id="17"/>
    </w:p>
    <w:p/>
    <w:p>
      <w:pPr>
        <w:pStyle w:val="29"/>
        <w:spacing w:line="600" w:lineRule="exact"/>
        <w:ind w:firstLine="640"/>
        <w:outlineLvl w:val="1"/>
        <w:rPr>
          <w:rStyle w:val="31"/>
          <w:rFonts w:ascii="Times New Roman" w:hAnsi="Times New Roman" w:eastAsia="黑体"/>
          <w:b w:val="0"/>
        </w:rPr>
      </w:pPr>
      <w:bookmarkStart w:id="18" w:name="_Toc15396603"/>
      <w:bookmarkStart w:id="19" w:name="_Toc15377205"/>
      <w:r>
        <w:rPr>
          <w:rFonts w:hint="eastAsia" w:eastAsia="黑体"/>
          <w:sz w:val="32"/>
          <w:szCs w:val="32"/>
        </w:rPr>
        <w:t>一、收</w:t>
      </w:r>
      <w:r>
        <w:rPr>
          <w:rStyle w:val="31"/>
          <w:rFonts w:hint="eastAsia" w:ascii="Times New Roman" w:hAnsi="Times New Roman" w:eastAsia="黑体"/>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仿宋" w:eastAsia="仿宋_GB2312"/>
          <w:sz w:val="32"/>
          <w:szCs w:val="32"/>
        </w:rPr>
      </w:pPr>
      <w:r>
        <w:rPr>
          <w:rFonts w:hint="eastAsia" w:eastAsia="仿宋_GB2312" w:cs="仿宋_GB2312"/>
          <w:sz w:val="32"/>
          <w:szCs w:val="32"/>
        </w:rPr>
        <w:t xml:space="preserve">    </w:t>
      </w:r>
      <w:r>
        <w:rPr>
          <w:rFonts w:hint="eastAsia" w:ascii="仿宋_GB2312" w:hAnsi="仿宋" w:eastAsia="仿宋_GB2312" w:cs="Times New Roman"/>
          <w:sz w:val="32"/>
          <w:szCs w:val="32"/>
        </w:rPr>
        <w:t>2024年</w:t>
      </w:r>
      <w:r>
        <w:rPr>
          <w:rFonts w:hint="eastAsia" w:eastAsia="仿宋_GB2312" w:cs="仿宋_GB2312"/>
          <w:sz w:val="32"/>
          <w:szCs w:val="32"/>
        </w:rPr>
        <w:t>度收入、支出总计均为</w:t>
      </w:r>
      <w:r>
        <w:rPr>
          <w:rFonts w:hint="eastAsia" w:ascii="仿宋_GB2312" w:hAnsi="仿宋" w:eastAsia="仿宋_GB2312" w:cs="Times New Roman"/>
          <w:sz w:val="32"/>
          <w:szCs w:val="32"/>
        </w:rPr>
        <w:t>196.8万元。与2023年度相比，收入、支出总计各减少19.23万元，下降9.77%。主要变动原因是主要减少了1人的人员经费和公用经费</w:t>
      </w:r>
      <w:r>
        <w:rPr>
          <w:rFonts w:hint="eastAsia" w:ascii="仿宋_GB2312" w:hAnsi="仿宋" w:eastAsia="仿宋_GB2312"/>
          <w:sz w:val="32"/>
          <w:szCs w:val="32"/>
        </w:rPr>
        <w:t>，同时项目经费较上年增加了81561.09元。</w:t>
      </w:r>
    </w:p>
    <w:p>
      <w:pPr>
        <w:jc w:val="center"/>
        <w:rPr>
          <w:rFonts w:ascii="仿宋_GB2312" w:hAnsi="仿宋" w:eastAsia="仿宋_GB2312"/>
          <w:color w:val="000000"/>
          <w:sz w:val="32"/>
          <w:szCs w:val="32"/>
        </w:rPr>
      </w:pPr>
      <w:bookmarkStart w:id="20" w:name="_Toc15377206"/>
      <w:bookmarkStart w:id="21" w:name="_Toc15396604"/>
      <w:r>
        <w:rPr>
          <w:rFonts w:hint="eastAsia" w:ascii="仿宋_GB2312" w:hAnsi="仿宋" w:eastAsia="仿宋_GB2312"/>
          <w:color w:val="000000"/>
          <w:sz w:val="32"/>
          <w:szCs w:val="32"/>
        </w:rPr>
        <w:drawing>
          <wp:anchor distT="0" distB="0" distL="114300" distR="114300" simplePos="0" relativeHeight="251668480" behindDoc="0" locked="0" layoutInCell="1" allowOverlap="1">
            <wp:simplePos x="0" y="0"/>
            <wp:positionH relativeFrom="column">
              <wp:posOffset>38100</wp:posOffset>
            </wp:positionH>
            <wp:positionV relativeFrom="paragraph">
              <wp:posOffset>537210</wp:posOffset>
            </wp:positionV>
            <wp:extent cx="5829300" cy="2438400"/>
            <wp:effectExtent l="0" t="0" r="0" b="0"/>
            <wp:wrapSquare wrapText="bothSides"/>
            <wp:docPr id="7"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9"/>
        <w:spacing w:line="600" w:lineRule="exact"/>
        <w:ind w:left="1260" w:leftChars="600" w:firstLine="640"/>
        <w:outlineLvl w:val="1"/>
        <w:rPr>
          <w:rFonts w:ascii="仿宋_GB2312" w:hAnsi="仿宋" w:eastAsia="仿宋_GB2312"/>
          <w:color w:val="000000"/>
          <w:sz w:val="32"/>
          <w:szCs w:val="32"/>
        </w:rPr>
      </w:pPr>
      <w:r>
        <w:rPr>
          <w:rFonts w:hint="eastAsia" w:ascii="仿宋_GB2312" w:hAnsi="仿宋" w:eastAsia="仿宋_GB2312"/>
          <w:color w:val="000000"/>
          <w:sz w:val="32"/>
          <w:szCs w:val="32"/>
        </w:rPr>
        <w:t>（图1: 收、支决算总计变动情况图）</w:t>
      </w:r>
    </w:p>
    <w:p>
      <w:pPr>
        <w:pStyle w:val="29"/>
        <w:spacing w:line="600" w:lineRule="exact"/>
        <w:ind w:left="1260" w:leftChars="600" w:firstLine="640"/>
        <w:outlineLvl w:val="1"/>
        <w:rPr>
          <w:rFonts w:ascii="仿宋_GB2312" w:hAnsi="仿宋" w:eastAsia="仿宋_GB2312"/>
          <w:color w:val="000000"/>
          <w:sz w:val="32"/>
          <w:szCs w:val="32"/>
        </w:rPr>
      </w:pPr>
    </w:p>
    <w:p>
      <w:pPr>
        <w:pStyle w:val="29"/>
        <w:spacing w:line="600" w:lineRule="exact"/>
        <w:ind w:firstLine="640"/>
        <w:outlineLvl w:val="1"/>
        <w:rPr>
          <w:rFonts w:eastAsia="黑体"/>
          <w:sz w:val="32"/>
          <w:szCs w:val="32"/>
        </w:rPr>
      </w:pPr>
      <w:r>
        <w:rPr>
          <w:rFonts w:hint="eastAsia" w:eastAsia="黑体"/>
          <w:sz w:val="32"/>
          <w:szCs w:val="32"/>
        </w:rPr>
        <w:t>二、收入决算情况说明</w:t>
      </w:r>
      <w:bookmarkEnd w:id="20"/>
      <w:bookmarkEnd w:id="21"/>
    </w:p>
    <w:p>
      <w:pPr>
        <w:pStyle w:val="29"/>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2024年度本年收入合计196.8万元，其中：一般公共预算财政拨款收入196.8万元，占100%。</w:t>
      </w:r>
    </w:p>
    <w:p>
      <w:pPr>
        <w:spacing w:line="600" w:lineRule="exact"/>
        <w:ind w:firstLine="640" w:firstLineChars="200"/>
        <w:jc w:val="center"/>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0288" behindDoc="0" locked="0" layoutInCell="1" allowOverlap="1">
            <wp:simplePos x="0" y="0"/>
            <wp:positionH relativeFrom="column">
              <wp:posOffset>-704850</wp:posOffset>
            </wp:positionH>
            <wp:positionV relativeFrom="paragraph">
              <wp:posOffset>314325</wp:posOffset>
            </wp:positionV>
            <wp:extent cx="6219825" cy="2762250"/>
            <wp:effectExtent l="0" t="0" r="0" b="0"/>
            <wp:wrapSquare wrapText="bothSides"/>
            <wp:docPr id="4"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 w:eastAsia="仿宋_GB2312"/>
          <w:color w:val="000000"/>
          <w:sz w:val="32"/>
          <w:szCs w:val="32"/>
        </w:rPr>
        <w:t>（图2：收入决算结构图）</w:t>
      </w:r>
    </w:p>
    <w:p>
      <w:pPr>
        <w:pStyle w:val="29"/>
        <w:spacing w:line="600" w:lineRule="exact"/>
        <w:ind w:firstLine="643"/>
        <w:jc w:val="left"/>
        <w:outlineLvl w:val="1"/>
        <w:rPr>
          <w:rFonts w:eastAsia="仿宋_GB2312" w:cs="仿宋_GB2312"/>
          <w:b/>
          <w:bCs/>
          <w:sz w:val="32"/>
          <w:szCs w:val="32"/>
        </w:rPr>
      </w:pPr>
    </w:p>
    <w:p>
      <w:pPr>
        <w:ind w:firstLine="800" w:firstLineChars="250"/>
        <w:rPr>
          <w:rStyle w:val="31"/>
          <w:rFonts w:ascii="Times New Roman" w:hAnsi="Times New Roman" w:eastAsia="黑体"/>
          <w:b w:val="0"/>
        </w:rPr>
      </w:pPr>
      <w:bookmarkStart w:id="22" w:name="_Toc15377207"/>
      <w:bookmarkStart w:id="23" w:name="_Toc15396605"/>
      <w:r>
        <w:rPr>
          <w:rFonts w:hint="eastAsia" w:eastAsia="黑体"/>
          <w:sz w:val="32"/>
          <w:szCs w:val="32"/>
        </w:rPr>
        <w:t>三、支</w:t>
      </w:r>
      <w:r>
        <w:rPr>
          <w:rStyle w:val="31"/>
          <w:rFonts w:hint="eastAsia" w:ascii="Times New Roman" w:hAnsi="Times New Roman" w:eastAsia="黑体"/>
          <w:b w:val="0"/>
        </w:rPr>
        <w:t>出决算情况说明</w:t>
      </w:r>
      <w:bookmarkEnd w:id="22"/>
      <w:bookmarkEnd w:id="23"/>
    </w:p>
    <w:p>
      <w:pPr>
        <w:pStyle w:val="29"/>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outlineLvl w:val="1"/>
        <w:rPr>
          <w:rFonts w:eastAsia="仿宋_GB2312" w:cs="仿宋_GB2312"/>
          <w:sz w:val="32"/>
          <w:szCs w:val="32"/>
        </w:rPr>
      </w:pPr>
      <w:r>
        <w:rPr>
          <w:rFonts w:hint="eastAsia" w:ascii="仿宋_GB2312" w:hAnsi="仿宋" w:eastAsia="仿宋_GB2312" w:cs="Times New Roman"/>
          <w:kern w:val="2"/>
          <w:sz w:val="32"/>
          <w:szCs w:val="32"/>
          <w:lang w:val="en-US" w:eastAsia="zh-CN" w:bidi="ar-SA"/>
        </w:rPr>
        <w:t>2024年度本年支出合计196.8万元，其中：基本支出187.64万元，占95.35%；项目支出9.16万元，占4.65%。</w:t>
      </w:r>
    </w:p>
    <w:p>
      <w:pPr>
        <w:ind w:firstLine="800" w:firstLineChars="250"/>
        <w:rPr>
          <w:rFonts w:eastAsia="仿宋_GB2312" w:cs="仿宋_GB2312"/>
          <w:sz w:val="32"/>
          <w:szCs w:val="32"/>
        </w:rPr>
      </w:pPr>
      <w:r>
        <w:rPr>
          <w:rFonts w:hint="eastAsia" w:eastAsia="仿宋_GB2312" w:cs="仿宋_GB2312"/>
          <w:color w:val="0000FF"/>
          <w:sz w:val="32"/>
          <w:szCs w:val="32"/>
        </w:rPr>
        <w:drawing>
          <wp:anchor distT="0" distB="0" distL="114300" distR="114300" simplePos="0" relativeHeight="251661312" behindDoc="1" locked="0" layoutInCell="1" allowOverlap="1">
            <wp:simplePos x="0" y="0"/>
            <wp:positionH relativeFrom="column">
              <wp:posOffset>542925</wp:posOffset>
            </wp:positionH>
            <wp:positionV relativeFrom="paragraph">
              <wp:posOffset>337185</wp:posOffset>
            </wp:positionV>
            <wp:extent cx="4200525" cy="2105025"/>
            <wp:effectExtent l="0" t="0" r="0" b="0"/>
            <wp:wrapNone/>
            <wp:docPr id="5" name="对象 9"/>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ind w:firstLine="800" w:firstLineChars="250"/>
        <w:rPr>
          <w:rFonts w:eastAsia="仿宋_GB2312" w:cs="仿宋_GB2312"/>
          <w:sz w:val="32"/>
          <w:szCs w:val="32"/>
        </w:rPr>
      </w:pPr>
    </w:p>
    <w:p>
      <w:pPr>
        <w:tabs>
          <w:tab w:val="left" w:pos="3300"/>
        </w:tabs>
        <w:spacing w:line="600" w:lineRule="exact"/>
        <w:jc w:val="center"/>
        <w:rPr>
          <w:rFonts w:ascii="仿宋_GB2312" w:eastAsia="仿宋_GB2312"/>
        </w:rPr>
      </w:pPr>
      <w:bookmarkStart w:id="24" w:name="_Toc15377208"/>
      <w:bookmarkStart w:id="25" w:name="_Toc15396606"/>
      <w:r>
        <w:rPr>
          <w:rFonts w:hint="eastAsia" w:ascii="仿宋_GB2312" w:hAnsi="仿宋" w:eastAsia="仿宋_GB2312"/>
          <w:color w:val="000000"/>
          <w:sz w:val="32"/>
          <w:szCs w:val="32"/>
        </w:rPr>
        <w:t>（图3：支出决算结构图）</w:t>
      </w:r>
    </w:p>
    <w:p>
      <w:pPr>
        <w:spacing w:line="600" w:lineRule="exact"/>
        <w:ind w:firstLine="640" w:firstLineChars="200"/>
        <w:outlineLvl w:val="1"/>
        <w:rPr>
          <w:rFonts w:eastAsia="黑体"/>
          <w:sz w:val="32"/>
          <w:szCs w:val="32"/>
        </w:rPr>
      </w:pPr>
    </w:p>
    <w:p>
      <w:pPr>
        <w:spacing w:line="600" w:lineRule="exact"/>
        <w:ind w:firstLine="640" w:firstLineChars="200"/>
        <w:outlineLvl w:val="1"/>
        <w:rPr>
          <w:rStyle w:val="31"/>
          <w:rFonts w:ascii="Times New Roman" w:hAnsi="Times New Roman" w:eastAsia="黑体"/>
          <w:b w:val="0"/>
        </w:rPr>
      </w:pPr>
      <w:r>
        <w:rPr>
          <w:rFonts w:hint="eastAsia" w:eastAsia="黑体"/>
          <w:sz w:val="32"/>
          <w:szCs w:val="32"/>
        </w:rPr>
        <w:t>四、财</w:t>
      </w:r>
      <w:r>
        <w:rPr>
          <w:rStyle w:val="31"/>
          <w:rFonts w:hint="eastAsia" w:ascii="Times New Roman" w:hAnsi="Times New Roman" w:eastAsia="黑体"/>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-161925</wp:posOffset>
            </wp:positionH>
            <wp:positionV relativeFrom="paragraph">
              <wp:posOffset>1704975</wp:posOffset>
            </wp:positionV>
            <wp:extent cx="5829300" cy="2790825"/>
            <wp:effectExtent l="0" t="0" r="0" b="0"/>
            <wp:wrapSquare wrapText="bothSides"/>
            <wp:docPr id="2"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sz w:val="32"/>
          <w:szCs w:val="32"/>
        </w:rPr>
        <w:t>2024年</w:t>
      </w:r>
      <w:r>
        <w:rPr>
          <w:rFonts w:hint="eastAsia" w:eastAsia="仿宋_GB2312" w:cs="仿宋_GB2312"/>
          <w:sz w:val="32"/>
          <w:szCs w:val="32"/>
        </w:rPr>
        <w:t>度财政拨款收入、支出总计均为</w:t>
      </w:r>
      <w:r>
        <w:rPr>
          <w:rFonts w:hint="eastAsia" w:ascii="仿宋_GB2312" w:hAnsi="仿宋_GB2312" w:eastAsia="仿宋_GB2312" w:cs="仿宋_GB2312"/>
          <w:sz w:val="32"/>
          <w:szCs w:val="32"/>
        </w:rPr>
        <w:t>196.8</w:t>
      </w:r>
      <w:r>
        <w:rPr>
          <w:rFonts w:hint="eastAsia" w:eastAsia="仿宋_GB2312" w:cs="仿宋_GB2312"/>
          <w:sz w:val="32"/>
          <w:szCs w:val="32"/>
        </w:rPr>
        <w:t>万元。与</w:t>
      </w:r>
      <w:r>
        <w:rPr>
          <w:rFonts w:hint="eastAsia" w:ascii="仿宋_GB2312" w:hAnsi="仿宋_GB2312" w:eastAsia="仿宋_GB2312" w:cs="仿宋_GB2312"/>
          <w:sz w:val="32"/>
          <w:szCs w:val="32"/>
        </w:rPr>
        <w:t>2023</w:t>
      </w:r>
      <w:r>
        <w:rPr>
          <w:rFonts w:hint="eastAsia" w:eastAsia="仿宋_GB2312" w:cs="仿宋_GB2312"/>
          <w:sz w:val="32"/>
          <w:szCs w:val="32"/>
        </w:rPr>
        <w:t>年度相比，财政拨款收入总计、支出总计各减少</w:t>
      </w:r>
      <w:r>
        <w:rPr>
          <w:rFonts w:hint="eastAsia" w:ascii="仿宋_GB2312" w:hAnsi="仿宋_GB2312" w:eastAsia="仿宋_GB2312" w:cs="仿宋_GB2312"/>
          <w:sz w:val="32"/>
          <w:szCs w:val="32"/>
        </w:rPr>
        <w:t>19.23</w:t>
      </w:r>
      <w:r>
        <w:rPr>
          <w:rFonts w:hint="eastAsia" w:eastAsia="仿宋_GB2312" w:cs="仿宋_GB2312"/>
          <w:sz w:val="32"/>
          <w:szCs w:val="32"/>
        </w:rPr>
        <w:t>万元，下降</w:t>
      </w:r>
      <w:r>
        <w:rPr>
          <w:rFonts w:hint="eastAsia" w:ascii="仿宋_GB2312" w:hAnsi="仿宋_GB2312" w:eastAsia="仿宋_GB2312" w:cs="仿宋_GB2312"/>
          <w:sz w:val="32"/>
          <w:szCs w:val="32"/>
        </w:rPr>
        <w:t>9.77%。</w:t>
      </w:r>
      <w:r>
        <w:rPr>
          <w:rFonts w:hint="eastAsia" w:eastAsia="仿宋_GB2312" w:cs="仿宋_GB2312"/>
          <w:sz w:val="32"/>
          <w:szCs w:val="32"/>
        </w:rPr>
        <w:t>主要变动原因是</w:t>
      </w:r>
      <w:r>
        <w:rPr>
          <w:rFonts w:hint="eastAsia" w:ascii="仿宋_GB2312" w:hAnsi="仿宋" w:eastAsia="仿宋_GB2312"/>
          <w:sz w:val="32"/>
          <w:szCs w:val="32"/>
        </w:rPr>
        <w:t>主要减少了1人的人员经费和公用经费，同时项目经费较上年增加了81561.09元。</w:t>
      </w:r>
    </w:p>
    <w:p>
      <w:pPr>
        <w:spacing w:line="600" w:lineRule="exact"/>
        <w:ind w:firstLine="640" w:firstLineChars="200"/>
        <w:outlineLvl w:val="1"/>
        <w:rPr>
          <w:rFonts w:eastAsia="黑体"/>
          <w:sz w:val="32"/>
          <w:szCs w:val="32"/>
        </w:rPr>
      </w:pPr>
      <w:bookmarkStart w:id="26" w:name="_Toc15377209"/>
      <w:bookmarkStart w:id="27" w:name="_Toc15396607"/>
      <w:r>
        <w:rPr>
          <w:rFonts w:hint="eastAsia" w:ascii="仿宋_GB2312" w:hAnsi="仿宋" w:eastAsia="仿宋_GB2312"/>
          <w:color w:val="000000"/>
          <w:sz w:val="32"/>
          <w:szCs w:val="32"/>
        </w:rPr>
        <w:t xml:space="preserve">  （图4：财政拨款收、支决算总计变动情况）</w:t>
      </w:r>
    </w:p>
    <w:p>
      <w:pPr>
        <w:spacing w:line="600" w:lineRule="exact"/>
        <w:ind w:firstLine="640" w:firstLineChars="200"/>
        <w:outlineLvl w:val="1"/>
        <w:rPr>
          <w:rFonts w:eastAsia="黑体"/>
          <w:sz w:val="32"/>
          <w:szCs w:val="32"/>
        </w:rPr>
      </w:pPr>
    </w:p>
    <w:p>
      <w:pPr>
        <w:spacing w:line="600" w:lineRule="exact"/>
        <w:ind w:firstLine="640" w:firstLineChars="200"/>
        <w:outlineLvl w:val="1"/>
        <w:rPr>
          <w:rStyle w:val="31"/>
          <w:rFonts w:ascii="Times New Roman" w:hAnsi="Times New Roman" w:eastAsia="黑体"/>
          <w:b w:val="0"/>
        </w:rPr>
      </w:pPr>
      <w:r>
        <w:rPr>
          <w:rFonts w:hint="eastAsia" w:eastAsia="黑体"/>
          <w:sz w:val="32"/>
          <w:szCs w:val="32"/>
        </w:rPr>
        <w:t>五、</w:t>
      </w:r>
      <w:r>
        <w:rPr>
          <w:rFonts w:hint="eastAsia" w:eastAsia="黑体"/>
          <w:b/>
          <w:sz w:val="32"/>
          <w:szCs w:val="32"/>
        </w:rPr>
        <w:t>一</w:t>
      </w:r>
      <w:r>
        <w:rPr>
          <w:rStyle w:val="31"/>
          <w:rFonts w:hint="eastAsia" w:ascii="Times New Roman" w:hAnsi="Times New Roman" w:eastAsia="黑体"/>
          <w:b w:val="0"/>
        </w:rPr>
        <w:t>般公共预算财政拨款支出决算情况说明</w:t>
      </w:r>
      <w:bookmarkEnd w:id="26"/>
      <w:bookmarkEnd w:id="27"/>
    </w:p>
    <w:p>
      <w:pPr>
        <w:spacing w:line="600" w:lineRule="exact"/>
        <w:ind w:firstLine="642" w:firstLineChars="200"/>
        <w:outlineLvl w:val="2"/>
        <w:rPr>
          <w:rFonts w:eastAsia="楷体_GB2312" w:cs="楷体_GB2312"/>
          <w:b/>
          <w:sz w:val="32"/>
          <w:szCs w:val="32"/>
        </w:rPr>
      </w:pPr>
      <w:bookmarkStart w:id="28" w:name="_Toc15377210"/>
      <w:r>
        <w:rPr>
          <w:rFonts w:hint="eastAsia" w:eastAsia="楷体_GB2312" w:cs="楷体_GB2312"/>
          <w:b/>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仿宋" w:eastAsia="仿宋_GB2312"/>
          <w:sz w:val="32"/>
          <w:szCs w:val="32"/>
        </w:rPr>
      </w:pPr>
      <w:r>
        <w:rPr>
          <w:rFonts w:hint="eastAsia" w:ascii="仿宋_GB2312" w:hAnsi="仿宋_GB2312" w:eastAsia="仿宋_GB2312" w:cs="仿宋_GB2312"/>
          <w:sz w:val="32"/>
          <w:szCs w:val="32"/>
        </w:rPr>
        <w:t>2024年度一般公共预算财政拨款支出196.8万元，占本年支出合计的100%。与2023年度相比，一般公共预算财政拨款支出</w:t>
      </w:r>
      <w:r>
        <w:rPr>
          <w:rFonts w:hint="eastAsia" w:eastAsia="仿宋_GB2312" w:cs="仿宋_GB2312"/>
          <w:sz w:val="32"/>
          <w:szCs w:val="32"/>
        </w:rPr>
        <w:t>减少</w:t>
      </w:r>
      <w:r>
        <w:rPr>
          <w:rFonts w:hint="eastAsia" w:ascii="仿宋_GB2312" w:hAnsi="仿宋_GB2312" w:eastAsia="仿宋_GB2312" w:cs="仿宋_GB2312"/>
          <w:sz w:val="32"/>
          <w:szCs w:val="32"/>
        </w:rPr>
        <w:t>19.23万元，下降9.77%。</w:t>
      </w:r>
      <w:r>
        <w:rPr>
          <w:rFonts w:hint="eastAsia" w:eastAsia="仿宋_GB2312" w:cs="仿宋_GB2312"/>
          <w:sz w:val="32"/>
          <w:szCs w:val="32"/>
        </w:rPr>
        <w:t>主要变动原因是</w:t>
      </w:r>
      <w:r>
        <w:rPr>
          <w:rFonts w:hint="eastAsia" w:ascii="仿宋_GB2312" w:hAnsi="仿宋" w:eastAsia="仿宋_GB2312"/>
          <w:sz w:val="32"/>
          <w:szCs w:val="32"/>
        </w:rPr>
        <w:t>主要减少了1人的人员经费和公用经费，同时项目经费较上年增加了81561.09元。</w:t>
      </w:r>
    </w:p>
    <w:p>
      <w:pPr>
        <w:spacing w:line="600" w:lineRule="exact"/>
        <w:ind w:firstLine="640"/>
        <w:rPr>
          <w:rFonts w:eastAsia="仿宋_GB2312" w:cs="仿宋_GB2312"/>
          <w:color w:val="0000FF"/>
          <w:sz w:val="32"/>
          <w:szCs w:val="32"/>
        </w:rPr>
      </w:pP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drawing>
          <wp:anchor distT="0" distB="0" distL="114300" distR="114300" simplePos="0" relativeHeight="251664384" behindDoc="0" locked="0" layoutInCell="1" allowOverlap="1">
            <wp:simplePos x="0" y="0"/>
            <wp:positionH relativeFrom="column">
              <wp:posOffset>-571500</wp:posOffset>
            </wp:positionH>
            <wp:positionV relativeFrom="paragraph">
              <wp:posOffset>361950</wp:posOffset>
            </wp:positionV>
            <wp:extent cx="5829300" cy="2924175"/>
            <wp:effectExtent l="0" t="0" r="0" b="0"/>
            <wp:wrapSquare wrapText="bothSides"/>
            <wp:docPr id="6" name="对象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 w:eastAsia="仿宋_GB2312"/>
          <w:color w:val="000000"/>
          <w:sz w:val="32"/>
          <w:szCs w:val="32"/>
        </w:rPr>
        <w:t>（图5：一般公共预算财政拨款支出决算变动情况）</w:t>
      </w:r>
    </w:p>
    <w:p>
      <w:pPr>
        <w:spacing w:line="600" w:lineRule="exact"/>
        <w:ind w:firstLine="642" w:firstLineChars="200"/>
        <w:outlineLvl w:val="2"/>
        <w:rPr>
          <w:rFonts w:eastAsia="楷体_GB2312" w:cs="楷体_GB2312"/>
          <w:b/>
          <w:sz w:val="32"/>
          <w:szCs w:val="32"/>
        </w:rPr>
      </w:pPr>
      <w:bookmarkStart w:id="29" w:name="_Toc15377211"/>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r>
        <w:rPr>
          <w:rFonts w:hint="eastAsia" w:eastAsia="楷体_GB2312" w:cs="楷体_GB2312"/>
          <w:b/>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2024年度一般公共预算财政拨款支出</w:t>
      </w:r>
      <w:r>
        <w:rPr>
          <w:rFonts w:hint="eastAsia" w:ascii="仿宋_GB2312" w:hAnsi="仿宋_GB2312" w:eastAsia="仿宋_GB2312" w:cs="仿宋_GB2312"/>
          <w:sz w:val="32"/>
          <w:szCs w:val="32"/>
        </w:rPr>
        <w:t>196.8万元，主要用于以下方面：社会保障和就业支出24.61万元，占12.50%；卫生健康支出11.16万元，占5.67%；城乡社</w:t>
      </w:r>
      <w:r>
        <w:rPr>
          <w:rFonts w:hint="eastAsia" w:ascii="仿宋_GB2312" w:hAnsi="仿宋_GB2312" w:eastAsia="仿宋_GB2312" w:cs="仿宋_GB2312"/>
          <w:sz w:val="32"/>
          <w:szCs w:val="32"/>
        </w:rPr>
        <w:t>区支出147.42万元，占74.91%，住房保障支出13.61万元，占6.92%。</w:t>
      </w:r>
    </w:p>
    <w:p>
      <w:pPr>
        <w:spacing w:line="600" w:lineRule="exact"/>
        <w:ind w:firstLine="640"/>
        <w:rPr>
          <w:rFonts w:eastAsia="仿宋_GB2312" w:cs="仿宋_GB2312"/>
          <w:color w:val="0000FF"/>
          <w:sz w:val="32"/>
          <w:szCs w:val="32"/>
        </w:rPr>
      </w:pPr>
      <w:r>
        <w:rPr>
          <w:rFonts w:hint="eastAsia" w:eastAsia="仿宋_GB2312" w:cs="仿宋_GB2312"/>
          <w:color w:val="0000FF"/>
          <w:sz w:val="32"/>
          <w:szCs w:val="32"/>
        </w:rPr>
        <w:drawing>
          <wp:anchor distT="0" distB="0" distL="114300" distR="114300" simplePos="0" relativeHeight="251670528" behindDoc="0" locked="0" layoutInCell="1" allowOverlap="1">
            <wp:simplePos x="0" y="0"/>
            <wp:positionH relativeFrom="column">
              <wp:posOffset>-47625</wp:posOffset>
            </wp:positionH>
            <wp:positionV relativeFrom="paragraph">
              <wp:posOffset>133350</wp:posOffset>
            </wp:positionV>
            <wp:extent cx="5305425" cy="2181225"/>
            <wp:effectExtent l="19050" t="0" r="9525" b="0"/>
            <wp:wrapNone/>
            <wp:docPr id="9" name="对象 1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eastAsia="仿宋_GB2312" w:cs="仿宋_GB2312"/>
          <w:color w:val="0000FF"/>
          <w:sz w:val="32"/>
          <w:szCs w:val="32"/>
        </w:rPr>
      </w:pPr>
    </w:p>
    <w:p>
      <w:pPr>
        <w:spacing w:line="600" w:lineRule="exact"/>
        <w:ind w:firstLine="640"/>
        <w:rPr>
          <w:rFonts w:eastAsia="仿宋_GB2312" w:cs="仿宋_GB2312"/>
          <w:color w:val="0000FF"/>
          <w:sz w:val="32"/>
          <w:szCs w:val="32"/>
        </w:rPr>
      </w:pPr>
    </w:p>
    <w:p>
      <w:pPr>
        <w:spacing w:line="600" w:lineRule="exact"/>
        <w:ind w:firstLine="640"/>
        <w:rPr>
          <w:rFonts w:eastAsia="仿宋_GB2312" w:cs="仿宋_GB2312"/>
          <w:color w:val="0000FF"/>
          <w:sz w:val="32"/>
          <w:szCs w:val="32"/>
        </w:rPr>
      </w:pPr>
    </w:p>
    <w:p>
      <w:pPr>
        <w:spacing w:line="600" w:lineRule="exact"/>
        <w:ind w:firstLine="640"/>
        <w:rPr>
          <w:rFonts w:eastAsia="仿宋_GB2312" w:cs="仿宋_GB2312"/>
          <w:color w:val="0000FF"/>
          <w:sz w:val="32"/>
          <w:szCs w:val="32"/>
        </w:rPr>
      </w:pPr>
    </w:p>
    <w:p>
      <w:pPr>
        <w:spacing w:line="600" w:lineRule="exact"/>
        <w:ind w:firstLine="640"/>
        <w:rPr>
          <w:rFonts w:eastAsia="仿宋_GB2312" w:cs="仿宋_GB2312"/>
          <w:color w:val="0000FF"/>
          <w:sz w:val="32"/>
          <w:szCs w:val="32"/>
        </w:rPr>
      </w:pPr>
    </w:p>
    <w:p>
      <w:pPr>
        <w:spacing w:line="600" w:lineRule="exact"/>
        <w:ind w:left="420" w:leftChars="200" w:firstLine="641"/>
        <w:rPr>
          <w:rFonts w:ascii="仿宋_GB2312" w:hAnsi="仿宋" w:eastAsia="仿宋_GB2312"/>
          <w:sz w:val="32"/>
          <w:szCs w:val="32"/>
        </w:rPr>
      </w:pPr>
      <w:r>
        <w:rPr>
          <w:rFonts w:hint="eastAsia" w:ascii="仿宋_GB2312" w:hAnsi="仿宋" w:eastAsia="仿宋_GB2312"/>
          <w:sz w:val="32"/>
          <w:szCs w:val="32"/>
        </w:rPr>
        <w:t>（图6：一般公共预算财政拨款支出决算结构）</w:t>
      </w:r>
    </w:p>
    <w:p>
      <w:pPr>
        <w:spacing w:line="600" w:lineRule="exact"/>
        <w:ind w:firstLine="640"/>
        <w:rPr>
          <w:rFonts w:eastAsia="仿宋_GB2312" w:cs="仿宋_GB2312"/>
          <w:color w:val="0000FF"/>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bookmarkStart w:id="30" w:name="_Toc15377212"/>
      <w:r>
        <w:rPr>
          <w:rFonts w:hint="eastAsia" w:eastAsia="楷体_GB2312" w:cs="楷体_GB2312"/>
          <w:b/>
          <w:sz w:val="32"/>
          <w:szCs w:val="32"/>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eastAsia="仿宋_GB2312" w:cs="仿宋_GB2312"/>
          <w:sz w:val="32"/>
          <w:szCs w:val="32"/>
        </w:rPr>
      </w:pPr>
      <w:bookmarkStart w:id="31" w:name="_Toc15377213"/>
      <w:bookmarkStart w:id="32" w:name="_Toc15378460"/>
      <w:bookmarkStart w:id="33" w:name="_Toc15377444"/>
      <w:r>
        <w:rPr>
          <w:rFonts w:hint="eastAsia" w:ascii="仿宋_GB2312" w:hAnsi="仿宋_GB2312" w:eastAsia="仿宋_GB2312" w:cs="仿宋_GB2312"/>
          <w:sz w:val="32"/>
          <w:szCs w:val="32"/>
        </w:rPr>
        <w:t>2024年度一般公共预算财政拨款支出决算数为</w:t>
      </w:r>
      <w:r>
        <w:rPr>
          <w:rFonts w:hint="eastAsia" w:ascii="仿宋_GB2312" w:hAnsi="仿宋_GB2312" w:eastAsia="仿宋_GB2312" w:cs="仿宋_GB2312"/>
          <w:sz w:val="32"/>
          <w:szCs w:val="32"/>
        </w:rPr>
        <w:t>196.8万元，完成预算100%</w:t>
      </w:r>
      <w:r>
        <w:rPr>
          <w:rFonts w:hint="eastAsia" w:eastAsia="仿宋_GB2312" w:cs="仿宋_GB2312"/>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Style w:val="17"/>
          <w:rFonts w:hint="eastAsia" w:eastAsia="仿宋_GB2312" w:cs="仿宋_GB2312"/>
          <w:b w:val="0"/>
          <w:sz w:val="32"/>
          <w:szCs w:val="32"/>
        </w:rPr>
      </w:pPr>
      <w:r>
        <w:rPr>
          <w:rFonts w:hint="eastAsia" w:eastAsia="仿宋_GB2312" w:cs="仿宋_GB2312"/>
          <w:sz w:val="32"/>
          <w:szCs w:val="32"/>
        </w:rPr>
        <w:t>1.</w:t>
      </w:r>
      <w:r>
        <w:rPr>
          <w:rFonts w:hint="eastAsia" w:ascii="仿宋_GB2312" w:hAnsi="黑体" w:eastAsia="仿宋_GB2312"/>
          <w:sz w:val="32"/>
          <w:szCs w:val="32"/>
        </w:rPr>
        <w:t>城乡社区支出</w:t>
      </w:r>
      <w:r>
        <w:rPr>
          <w:rStyle w:val="17"/>
          <w:rFonts w:hint="eastAsia" w:ascii="仿宋_GB2312" w:hAnsi="黑体" w:eastAsia="仿宋_GB2312"/>
          <w:b w:val="0"/>
          <w:sz w:val="32"/>
          <w:szCs w:val="32"/>
        </w:rPr>
        <w:t>（类）城乡社区管理事务（款）行政运行（项）：</w:t>
      </w:r>
      <w:r>
        <w:rPr>
          <w:rStyle w:val="17"/>
          <w:rFonts w:hint="eastAsia" w:ascii="仿宋_GB2312" w:hAnsi="黑体" w:eastAsia="仿宋_GB2312"/>
          <w:b w:val="0"/>
          <w:bCs/>
          <w:color w:val="000000"/>
          <w:sz w:val="32"/>
          <w:szCs w:val="32"/>
        </w:rPr>
        <w:t>支出决算为138.26万元</w:t>
      </w:r>
      <w:r>
        <w:rPr>
          <w:rStyle w:val="17"/>
          <w:rFonts w:hint="eastAsia" w:ascii="仿宋_GB2312" w:hAnsi="黑体" w:eastAsia="仿宋_GB2312"/>
          <w:b w:val="0"/>
          <w:bCs/>
          <w:sz w:val="32"/>
          <w:szCs w:val="32"/>
        </w:rPr>
        <w:t>，完成预算100%。</w:t>
      </w:r>
      <w:r>
        <w:rPr>
          <w:rStyle w:val="17"/>
          <w:rFonts w:hint="eastAsia" w:ascii="仿宋_GB2312" w:hAnsi="黑体" w:eastAsia="仿宋_GB2312"/>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Style w:val="17"/>
          <w:rFonts w:eastAsia="仿宋_GB2312" w:cs="仿宋_GB2312"/>
          <w:b w:val="0"/>
          <w:sz w:val="32"/>
          <w:szCs w:val="32"/>
        </w:rPr>
      </w:pPr>
      <w:r>
        <w:rPr>
          <w:rFonts w:hint="eastAsia" w:ascii="仿宋_GB2312" w:hAnsi="黑体" w:eastAsia="仿宋_GB2312"/>
          <w:sz w:val="32"/>
          <w:szCs w:val="32"/>
        </w:rPr>
        <w:t>2.城乡社区支出</w:t>
      </w:r>
      <w:r>
        <w:rPr>
          <w:rStyle w:val="17"/>
          <w:rFonts w:hint="eastAsia" w:ascii="仿宋_GB2312" w:hAnsi="黑体" w:eastAsia="仿宋_GB2312"/>
          <w:b w:val="0"/>
          <w:sz w:val="32"/>
          <w:szCs w:val="32"/>
        </w:rPr>
        <w:t>（类）城乡社区管理事务（款）其他城乡社区管理事务支出（项）：</w:t>
      </w:r>
      <w:r>
        <w:rPr>
          <w:rStyle w:val="17"/>
          <w:rFonts w:hint="eastAsia" w:ascii="仿宋_GB2312" w:hAnsi="黑体" w:eastAsia="仿宋_GB2312"/>
          <w:b w:val="0"/>
          <w:bCs/>
          <w:color w:val="000000"/>
          <w:sz w:val="32"/>
          <w:szCs w:val="32"/>
        </w:rPr>
        <w:t>支出决算为9.16万元</w:t>
      </w:r>
      <w:r>
        <w:rPr>
          <w:rStyle w:val="17"/>
          <w:rFonts w:hint="eastAsia" w:ascii="仿宋_GB2312" w:hAnsi="黑体" w:eastAsia="仿宋_GB2312"/>
          <w:b w:val="0"/>
          <w:bCs/>
          <w:sz w:val="32"/>
          <w:szCs w:val="32"/>
        </w:rPr>
        <w:t>，完成预算100%。</w:t>
      </w:r>
      <w:r>
        <w:rPr>
          <w:rStyle w:val="17"/>
          <w:rFonts w:hint="eastAsia" w:ascii="仿宋_GB2312" w:hAnsi="黑体" w:eastAsia="仿宋_GB2312"/>
          <w:b w:val="0"/>
          <w:bCs/>
          <w:color w:val="000000"/>
          <w:sz w:val="32"/>
          <w:szCs w:val="32"/>
        </w:rPr>
        <w:t>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olor w:val="000000"/>
          <w:sz w:val="32"/>
          <w:szCs w:val="32"/>
        </w:rPr>
      </w:pPr>
      <w:r>
        <w:rPr>
          <w:rStyle w:val="17"/>
          <w:rFonts w:hint="eastAsia" w:ascii="仿宋_GB2312" w:hAnsi="黑体" w:eastAsia="仿宋_GB2312"/>
          <w:b w:val="0"/>
          <w:color w:val="000000"/>
          <w:sz w:val="32"/>
          <w:szCs w:val="32"/>
        </w:rPr>
        <w:t>3.社会保障和就业（类）行政事业单位养老支出（款）行政单位离退休（项）：</w:t>
      </w:r>
      <w:r>
        <w:rPr>
          <w:rStyle w:val="17"/>
          <w:rFonts w:hint="eastAsia" w:ascii="仿宋_GB2312" w:hAnsi="黑体" w:eastAsia="仿宋_GB2312"/>
          <w:bCs/>
          <w:color w:val="000000"/>
          <w:sz w:val="32"/>
          <w:szCs w:val="32"/>
        </w:rPr>
        <w:t xml:space="preserve"> </w:t>
      </w:r>
      <w:r>
        <w:rPr>
          <w:rStyle w:val="17"/>
          <w:rFonts w:hint="eastAsia" w:ascii="仿宋_GB2312" w:hAnsi="黑体" w:eastAsia="仿宋_GB2312"/>
          <w:b w:val="0"/>
          <w:bCs/>
          <w:color w:val="000000"/>
          <w:sz w:val="32"/>
          <w:szCs w:val="32"/>
        </w:rPr>
        <w:t>支出决算为8.26万元，完成预算100%。决算数等于预算数。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17"/>
          <w:rFonts w:ascii="仿宋_GB2312" w:hAnsi="黑体" w:eastAsia="仿宋_GB2312"/>
          <w:b w:val="0"/>
          <w:bCs/>
          <w:color w:val="000000"/>
          <w:sz w:val="32"/>
          <w:szCs w:val="32"/>
        </w:rPr>
      </w:pPr>
      <w:r>
        <w:rPr>
          <w:rStyle w:val="17"/>
          <w:rFonts w:hint="eastAsia" w:ascii="仿宋_GB2312" w:hAnsi="黑体" w:eastAsia="仿宋_GB2312"/>
          <w:b w:val="0"/>
          <w:color w:val="000000"/>
          <w:sz w:val="32"/>
          <w:szCs w:val="32"/>
        </w:rPr>
        <w:t>4.社会保障和就业（类）行政事业单位养老支出（款）机关事业单位基本养老保险缴费（项）：</w:t>
      </w:r>
      <w:r>
        <w:rPr>
          <w:rStyle w:val="17"/>
          <w:rFonts w:hint="eastAsia" w:ascii="仿宋_GB2312" w:hAnsi="黑体" w:eastAsia="仿宋_GB2312"/>
          <w:b w:val="0"/>
          <w:bCs/>
          <w:color w:val="000000"/>
          <w:sz w:val="32"/>
          <w:szCs w:val="32"/>
        </w:rPr>
        <w:t>支出决算为16.35万元，完成预算100%。决算数等于预算数。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17"/>
          <w:rFonts w:ascii="仿宋_GB2312" w:hAnsi="黑体" w:eastAsia="仿宋_GB2312"/>
          <w:b w:val="0"/>
          <w:bCs/>
          <w:color w:val="000000"/>
          <w:sz w:val="32"/>
          <w:szCs w:val="32"/>
        </w:rPr>
      </w:pPr>
      <w:r>
        <w:rPr>
          <w:rStyle w:val="17"/>
          <w:rFonts w:hint="eastAsia" w:ascii="仿宋_GB2312" w:hAnsi="黑体" w:eastAsia="仿宋_GB2312"/>
          <w:b w:val="0"/>
          <w:color w:val="000000"/>
          <w:sz w:val="32"/>
          <w:szCs w:val="32"/>
        </w:rPr>
        <w:t>6.卫生健康支出（类）行政事业单位医疗（款）行政单位医疗（项）:</w:t>
      </w:r>
      <w:r>
        <w:rPr>
          <w:rStyle w:val="17"/>
          <w:rFonts w:hint="eastAsia" w:ascii="仿宋_GB2312" w:hAnsi="黑体" w:eastAsia="仿宋_GB2312"/>
          <w:b w:val="0"/>
          <w:bCs/>
          <w:color w:val="000000"/>
          <w:sz w:val="32"/>
          <w:szCs w:val="32"/>
        </w:rPr>
        <w:t xml:space="preserve"> 支出决算为8.82万元，完成预算100%。决算数等于预算数。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17"/>
          <w:rFonts w:ascii="仿宋_GB2312" w:hAnsi="黑体" w:eastAsia="仿宋_GB2312"/>
          <w:b w:val="0"/>
          <w:bCs/>
          <w:color w:val="000000"/>
          <w:sz w:val="32"/>
          <w:szCs w:val="32"/>
        </w:rPr>
      </w:pPr>
      <w:r>
        <w:rPr>
          <w:rStyle w:val="17"/>
          <w:rFonts w:hint="eastAsia" w:ascii="仿宋_GB2312" w:hAnsi="黑体" w:eastAsia="仿宋_GB2312"/>
          <w:b w:val="0"/>
          <w:color w:val="000000"/>
          <w:sz w:val="32"/>
          <w:szCs w:val="32"/>
        </w:rPr>
        <w:t>7.卫生健康支出（类）行政事业单位医疗（款）公务员医疗补助（项）:</w:t>
      </w:r>
      <w:r>
        <w:rPr>
          <w:rStyle w:val="17"/>
          <w:rFonts w:hint="eastAsia" w:ascii="仿宋_GB2312" w:hAnsi="黑体" w:eastAsia="仿宋_GB2312"/>
          <w:bCs/>
          <w:color w:val="000000"/>
          <w:sz w:val="32"/>
          <w:szCs w:val="32"/>
        </w:rPr>
        <w:t xml:space="preserve"> </w:t>
      </w:r>
      <w:r>
        <w:rPr>
          <w:rStyle w:val="17"/>
          <w:rFonts w:hint="eastAsia" w:ascii="仿宋_GB2312" w:hAnsi="黑体" w:eastAsia="仿宋_GB2312"/>
          <w:b w:val="0"/>
          <w:bCs/>
          <w:color w:val="000000"/>
          <w:sz w:val="32"/>
          <w:szCs w:val="32"/>
        </w:rPr>
        <w:t>支出决算为1.08万元，完成预算100%。决算数等于预算数。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17"/>
          <w:rFonts w:ascii="仿宋_GB2312" w:hAnsi="黑体" w:eastAsia="仿宋_GB2312"/>
          <w:b w:val="0"/>
          <w:bCs/>
          <w:color w:val="000000"/>
          <w:sz w:val="32"/>
          <w:szCs w:val="32"/>
        </w:rPr>
      </w:pPr>
      <w:r>
        <w:rPr>
          <w:rStyle w:val="17"/>
          <w:rFonts w:hint="eastAsia" w:ascii="仿宋_GB2312" w:hAnsi="黑体" w:eastAsia="仿宋_GB2312"/>
          <w:b w:val="0"/>
          <w:color w:val="000000"/>
          <w:sz w:val="32"/>
          <w:szCs w:val="32"/>
        </w:rPr>
        <w:t>8.卫生健康支出（类）行政事业单位医疗（款）其他行政事业单位医疗支出（项）:</w:t>
      </w:r>
      <w:r>
        <w:rPr>
          <w:rStyle w:val="17"/>
          <w:rFonts w:hint="eastAsia" w:ascii="仿宋_GB2312" w:hAnsi="黑体" w:eastAsia="仿宋_GB2312"/>
          <w:bCs/>
          <w:color w:val="000000"/>
          <w:sz w:val="32"/>
          <w:szCs w:val="32"/>
        </w:rPr>
        <w:t xml:space="preserve"> </w:t>
      </w:r>
      <w:r>
        <w:rPr>
          <w:rStyle w:val="17"/>
          <w:rFonts w:hint="eastAsia" w:ascii="仿宋_GB2312" w:hAnsi="黑体" w:eastAsia="仿宋_GB2312"/>
          <w:b w:val="0"/>
          <w:bCs/>
          <w:color w:val="000000"/>
          <w:sz w:val="32"/>
          <w:szCs w:val="32"/>
        </w:rPr>
        <w:t>支出决算为1.26万元，完成预算100%。决算数等于预算数。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b/>
          <w:bCs/>
          <w:color w:val="000000"/>
          <w:sz w:val="32"/>
          <w:szCs w:val="32"/>
        </w:rPr>
      </w:pPr>
      <w:r>
        <w:rPr>
          <w:rStyle w:val="17"/>
          <w:rFonts w:hint="eastAsia" w:ascii="仿宋_GB2312" w:hAnsi="黑体" w:eastAsia="仿宋_GB2312"/>
          <w:b w:val="0"/>
          <w:sz w:val="32"/>
          <w:szCs w:val="32"/>
        </w:rPr>
        <w:t>9.</w:t>
      </w:r>
      <w:r>
        <w:rPr>
          <w:rFonts w:hint="eastAsia" w:ascii="仿宋_GB2312" w:hAnsi="黑体" w:eastAsia="仿宋_GB2312"/>
          <w:sz w:val="32"/>
          <w:szCs w:val="32"/>
        </w:rPr>
        <w:t>住房保障支出</w:t>
      </w:r>
      <w:r>
        <w:rPr>
          <w:rStyle w:val="17"/>
          <w:rFonts w:hint="eastAsia" w:ascii="仿宋_GB2312" w:hAnsi="黑体" w:eastAsia="仿宋_GB2312"/>
          <w:b w:val="0"/>
          <w:sz w:val="32"/>
          <w:szCs w:val="32"/>
        </w:rPr>
        <w:t>（类）住房改革支出（款）住房公积金（项）：</w:t>
      </w:r>
      <w:r>
        <w:rPr>
          <w:rStyle w:val="17"/>
          <w:rFonts w:hint="eastAsia" w:ascii="仿宋_GB2312" w:hAnsi="黑体" w:eastAsia="仿宋_GB2312"/>
          <w:b w:val="0"/>
          <w:bCs/>
          <w:color w:val="000000"/>
          <w:sz w:val="32"/>
          <w:szCs w:val="32"/>
        </w:rPr>
        <w:t>支出决算为13.61万元，完成预算100%。决算数等于预算数。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578" w:lineRule="exact"/>
        <w:ind w:firstLine="640"/>
        <w:textAlignment w:val="auto"/>
        <w:outlineLvl w:val="1"/>
        <w:rPr>
          <w:rStyle w:val="31"/>
          <w:rFonts w:ascii="Times New Roman" w:hAnsi="Times New Roman"/>
        </w:rPr>
      </w:pPr>
      <w:bookmarkStart w:id="34" w:name="_Toc15377214"/>
      <w:bookmarkStart w:id="35" w:name="_Toc15396608"/>
      <w:r>
        <w:rPr>
          <w:rFonts w:hint="eastAsia" w:eastAsia="黑体"/>
          <w:sz w:val="32"/>
          <w:szCs w:val="32"/>
        </w:rPr>
        <w:t>六</w:t>
      </w:r>
      <w:r>
        <w:rPr>
          <w:rFonts w:hint="eastAsia" w:eastAsia="黑体"/>
          <w:b/>
          <w:sz w:val="32"/>
          <w:szCs w:val="32"/>
        </w:rPr>
        <w:t>、一</w:t>
      </w:r>
      <w:r>
        <w:rPr>
          <w:rStyle w:val="31"/>
          <w:rFonts w:hint="eastAsia" w:ascii="Times New Roman" w:hAnsi="Times New Roman" w:eastAsia="黑体"/>
          <w:b w:val="0"/>
        </w:rPr>
        <w:t>般公共预算财政拨款基本支出决算情况说明</w:t>
      </w:r>
      <w:bookmarkEnd w:id="34"/>
      <w:bookmarkEnd w:id="35"/>
      <w:r>
        <w:rPr>
          <w:rStyle w:val="31"/>
          <w:rFonts w:ascii="Times New Roman" w:hAnsi="Times New Roman" w:eastAsia="黑体"/>
          <w:b w:val="0"/>
        </w:rPr>
        <w:tab/>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ascii="仿宋_GB2312" w:hAnsi="仿宋_GB2312" w:eastAsia="仿宋_GB2312" w:cs="仿宋_GB2312"/>
          <w:sz w:val="32"/>
          <w:szCs w:val="32"/>
        </w:rPr>
        <w:t>2024年度一</w:t>
      </w:r>
      <w:r>
        <w:rPr>
          <w:rFonts w:hint="eastAsia" w:eastAsia="仿宋_GB2312" w:cs="仿宋_GB2312"/>
          <w:sz w:val="32"/>
          <w:szCs w:val="32"/>
        </w:rPr>
        <w:t>般公共预算财政拨款基本支出</w:t>
      </w:r>
      <w:r>
        <w:rPr>
          <w:rFonts w:hint="eastAsia" w:ascii="仿宋_GB2312" w:hAnsi="仿宋_GB2312" w:eastAsia="仿宋_GB2312" w:cs="仿宋_GB2312"/>
          <w:sz w:val="32"/>
          <w:szCs w:val="32"/>
        </w:rPr>
        <w:t>187.64万</w:t>
      </w:r>
      <w:r>
        <w:rPr>
          <w:rFonts w:hint="eastAsia" w:eastAsia="仿宋_GB2312" w:cs="仿宋_GB2312"/>
          <w:sz w:val="32"/>
          <w:szCs w:val="32"/>
        </w:rPr>
        <w:t>元，其中：</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168.54万</w:t>
      </w:r>
      <w:r>
        <w:rPr>
          <w:rFonts w:hint="eastAsia" w:eastAsia="仿宋_GB2312" w:cs="仿宋_GB2312"/>
          <w:sz w:val="32"/>
          <w:szCs w:val="32"/>
        </w:rPr>
        <w:t>元，主要包括：基本工资、津贴补贴、奖金、伙食补助费、绩效工资、机关事业单位基本养老保险缴费、职业年金缴费、其他社会保障缴费、其他工资福利支出、退休费、生活补助、医疗费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eastAsia="仿宋_GB2312" w:cs="仿宋_GB2312"/>
          <w:sz w:val="32"/>
          <w:szCs w:val="32"/>
        </w:rPr>
        <w:t>公用经费</w:t>
      </w:r>
      <w:r>
        <w:rPr>
          <w:rFonts w:hint="eastAsia" w:ascii="仿宋_GB2312" w:hAnsi="仿宋_GB2312" w:eastAsia="仿宋_GB2312" w:cs="仿宋_GB2312"/>
          <w:sz w:val="32"/>
          <w:szCs w:val="32"/>
        </w:rPr>
        <w:t>19.10万</w:t>
      </w:r>
      <w:r>
        <w:rPr>
          <w:rFonts w:hint="eastAsia" w:eastAsia="仿宋_GB2312" w:cs="仿宋_GB2312"/>
          <w:sz w:val="32"/>
          <w:szCs w:val="32"/>
        </w:rPr>
        <w:t>元，主要包括：办公费、印刷费、水费、电费、邮电费、物业管理费、差旅费、公务接待费、工会经费、福利费、其他交通费、其他商品和服务支出等。</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1"/>
        <w:rPr>
          <w:rStyle w:val="31"/>
          <w:rFonts w:ascii="Times New Roman" w:hAnsi="Times New Roman" w:eastAsia="黑体"/>
          <w:b w:val="0"/>
        </w:rPr>
      </w:pPr>
      <w:bookmarkStart w:id="36" w:name="_Toc15377215"/>
      <w:bookmarkStart w:id="37" w:name="_Toc15396609"/>
      <w:r>
        <w:rPr>
          <w:rFonts w:hint="eastAsia" w:eastAsia="黑体"/>
          <w:sz w:val="32"/>
          <w:szCs w:val="32"/>
        </w:rPr>
        <w:t>七、</w:t>
      </w:r>
      <w:r>
        <w:rPr>
          <w:rStyle w:val="31"/>
          <w:rFonts w:hint="eastAsia" w:ascii="Times New Roman" w:hAnsi="Times New Roman" w:eastAsia="黑体"/>
          <w:b w:val="0"/>
        </w:rPr>
        <w:t>财政拨款</w:t>
      </w:r>
      <w:r>
        <w:rPr>
          <w:rStyle w:val="31"/>
          <w:rFonts w:hint="eastAsia" w:ascii="Times New Roman" w:hAnsi="Times New Roman" w:eastAsia="黑体"/>
        </w:rPr>
        <w:t>“</w:t>
      </w:r>
      <w:r>
        <w:rPr>
          <w:rStyle w:val="31"/>
          <w:rFonts w:hint="eastAsia" w:ascii="Times New Roman" w:hAnsi="Times New Roman" w:eastAsia="黑体"/>
          <w:b w:val="0"/>
        </w:rPr>
        <w:t>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bookmarkStart w:id="38" w:name="_Toc15377216"/>
      <w:r>
        <w:rPr>
          <w:rFonts w:hint="eastAsia" w:eastAsia="楷体_GB2312" w:cs="楷体_GB2312"/>
          <w:b/>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2024年度“三公”经费财政拨款支出决算为</w:t>
      </w:r>
      <w:r>
        <w:rPr>
          <w:rFonts w:hint="eastAsia" w:ascii="仿宋_GB2312" w:hAnsi="仿宋_GB2312" w:eastAsia="仿宋_GB2312" w:cs="仿宋_GB2312"/>
          <w:sz w:val="32"/>
          <w:szCs w:val="32"/>
        </w:rPr>
        <w:t>0.1万元，完成预算100%，较上年度减少0.19万元，下降65.5%。决算数与预算数持平。</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bookmarkStart w:id="39" w:name="_Toc15377217"/>
      <w:r>
        <w:rPr>
          <w:rFonts w:hint="eastAsia" w:eastAsia="楷体_GB2312" w:cs="楷体_GB2312"/>
          <w:b/>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w:t>
      </w:r>
      <w:r>
        <w:rPr>
          <w:rFonts w:hint="eastAsia" w:ascii="仿宋_GB2312" w:hAnsi="仿宋" w:eastAsia="仿宋_GB2312"/>
          <w:sz w:val="32"/>
          <w:szCs w:val="32"/>
        </w:rPr>
        <w:t>因公出国（境）费支出决算0万元，占0%；公务用车购置及运行维护费支出决算0万元，占0%；</w:t>
      </w:r>
      <w:r>
        <w:rPr>
          <w:rFonts w:hint="eastAsia" w:ascii="仿宋_GB2312" w:hAnsi="仿宋_GB2312" w:eastAsia="仿宋_GB2312" w:cs="仿宋_GB2312"/>
          <w:sz w:val="32"/>
          <w:szCs w:val="32"/>
        </w:rPr>
        <w:t>公务接待费支出决算0.1万元，占100%。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72576" behindDoc="1" locked="0" layoutInCell="1" allowOverlap="1">
            <wp:simplePos x="0" y="0"/>
            <wp:positionH relativeFrom="column">
              <wp:posOffset>114300</wp:posOffset>
            </wp:positionH>
            <wp:positionV relativeFrom="paragraph">
              <wp:posOffset>266700</wp:posOffset>
            </wp:positionV>
            <wp:extent cx="4933950" cy="1914525"/>
            <wp:effectExtent l="0" t="0" r="0" b="0"/>
            <wp:wrapNone/>
            <wp:docPr id="11" name="对象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_GB2312" w:hAnsi="仿宋_GB2312" w:eastAsia="仿宋_GB2312" w:cs="仿宋_GB2312"/>
          <w:sz w:val="32"/>
          <w:szCs w:val="32"/>
        </w:rPr>
      </w:pPr>
    </w:p>
    <w:p>
      <w:pPr>
        <w:tabs>
          <w:tab w:val="left" w:pos="6960"/>
        </w:tabs>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pPr>
    </w:p>
    <w:p>
      <w:pPr>
        <w:spacing w:line="600" w:lineRule="exact"/>
        <w:ind w:firstLine="640"/>
        <w:rPr>
          <w:rFonts w:ascii="仿宋" w:hAnsi="仿宋" w:eastAsia="仿宋" w:cs="仿宋_GB2312"/>
          <w:sz w:val="32"/>
          <w:szCs w:val="32"/>
        </w:rPr>
      </w:pPr>
    </w:p>
    <w:p>
      <w:pPr>
        <w:spacing w:line="540" w:lineRule="exact"/>
        <w:ind w:firstLine="640" w:firstLineChars="200"/>
        <w:jc w:val="center"/>
        <w:rPr>
          <w:rFonts w:ascii="仿宋" w:hAnsi="仿宋" w:eastAsia="仿宋"/>
          <w:sz w:val="32"/>
          <w:szCs w:val="32"/>
        </w:rPr>
      </w:pPr>
      <w:r>
        <w:rPr>
          <w:rFonts w:ascii="仿宋" w:hAnsi="仿宋" w:eastAsia="仿宋"/>
          <w:sz w:val="32"/>
          <w:szCs w:val="32"/>
        </w:rPr>
        <w:t>（图7：“三公”经费财政拨款支出结构）</w:t>
      </w:r>
    </w:p>
    <w:p>
      <w:pPr>
        <w:spacing w:line="600" w:lineRule="exact"/>
        <w:ind w:firstLine="640"/>
        <w:rPr>
          <w:rFonts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eastAsia="仿宋_GB2312" w:cs="仿宋_GB2312"/>
          <w:b/>
          <w:bCs/>
          <w:sz w:val="32"/>
          <w:szCs w:val="32"/>
        </w:rPr>
        <w:t>1.因公出国（境）经费支出0万元。</w:t>
      </w:r>
      <w:r>
        <w:rPr>
          <w:rFonts w:hint="eastAsia" w:eastAsia="仿宋_GB2312" w:cs="仿宋_GB2312"/>
          <w:sz w:val="32"/>
          <w:szCs w:val="32"/>
        </w:rPr>
        <w:t>全年安排因公出国（境）团</w:t>
      </w:r>
      <w:r>
        <w:rPr>
          <w:rFonts w:hint="eastAsia" w:ascii="仿宋_GB2312" w:hAnsi="仿宋_GB2312" w:eastAsia="仿宋_GB2312" w:cs="仿宋_GB2312"/>
          <w:sz w:val="32"/>
          <w:szCs w:val="32"/>
        </w:rPr>
        <w:t>组0</w:t>
      </w:r>
      <w:r>
        <w:rPr>
          <w:rFonts w:hint="eastAsia" w:eastAsia="仿宋_GB2312" w:cs="仿宋_GB2312"/>
          <w:sz w:val="32"/>
          <w:szCs w:val="32"/>
        </w:rPr>
        <w:t>次，出国（境）</w:t>
      </w:r>
      <w:r>
        <w:rPr>
          <w:rFonts w:hint="eastAsia" w:ascii="仿宋_GB2312" w:hAnsi="仿宋_GB2312" w:eastAsia="仿宋_GB2312" w:cs="仿宋_GB2312"/>
          <w:sz w:val="32"/>
          <w:szCs w:val="32"/>
        </w:rPr>
        <w:t>0人</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0万</w:t>
      </w:r>
      <w:r>
        <w:rPr>
          <w:rFonts w:hint="eastAsia" w:eastAsia="仿宋_GB2312" w:cs="仿宋_GB2312"/>
          <w:b/>
          <w:bCs/>
          <w:sz w:val="32"/>
          <w:szCs w:val="32"/>
        </w:rPr>
        <w:t>元。</w:t>
      </w:r>
      <w:r>
        <w:rPr>
          <w:rFonts w:hint="eastAsia" w:ascii="仿宋_GB2312" w:hAnsi="仿宋_GB2312" w:eastAsia="仿宋_GB2312" w:cs="仿宋_GB2312"/>
          <w:sz w:val="32"/>
          <w:szCs w:val="32"/>
        </w:rPr>
        <w:t>其中：公务用车购置支</w:t>
      </w:r>
      <w:r>
        <w:rPr>
          <w:rFonts w:hint="eastAsia" w:ascii="仿宋_GB2312" w:hAnsi="仿宋_GB2312" w:eastAsia="仿宋_GB2312" w:cs="仿宋_GB2312"/>
          <w:sz w:val="32"/>
          <w:szCs w:val="32"/>
        </w:rPr>
        <w:t>出0万元。全年按规定更新购置公务用车0辆，其中：轿车0辆、金额0万元，越野车0辆、金额0万元，载客0辆、金额0万元0。截至2024年12月31日，单位共有公务用车0辆，其中：轿车0辆、越野车0辆、载客汽车0辆。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出0</w:t>
      </w:r>
      <w:r>
        <w:rPr>
          <w:rFonts w:hint="eastAsia"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0.1万</w:t>
      </w:r>
      <w:r>
        <w:rPr>
          <w:rFonts w:hint="eastAsia" w:eastAsia="仿宋_GB2312" w:cs="仿宋_GB2312"/>
          <w:b/>
          <w:bCs/>
          <w:sz w:val="32"/>
          <w:szCs w:val="32"/>
        </w:rPr>
        <w:t>元，完成预算100%。</w:t>
      </w:r>
      <w:r>
        <w:rPr>
          <w:rFonts w:hint="eastAsia" w:ascii="仿宋_GB2312" w:hAnsi="仿宋_GB2312" w:eastAsia="仿宋_GB2312" w:cs="仿宋_GB2312"/>
          <w:sz w:val="32"/>
          <w:szCs w:val="32"/>
        </w:rPr>
        <w:t>公务接待费支出决算比2023年度减少0.19万元，下降65.5%。主要原因是公务接待批次较上年有所减少。其中：</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_GB2312" w:eastAsia="仿宋_GB2312"/>
          <w:sz w:val="32"/>
          <w:szCs w:val="32"/>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出0.1万</w:t>
      </w:r>
      <w:r>
        <w:rPr>
          <w:rFonts w:hint="eastAsia" w:eastAsia="仿宋_GB2312" w:cs="仿宋_GB2312"/>
          <w:sz w:val="32"/>
          <w:szCs w:val="32"/>
        </w:rPr>
        <w:t>元，</w:t>
      </w:r>
      <w:r>
        <w:rPr>
          <w:rFonts w:hint="eastAsia" w:ascii="仿宋_GB2312" w:eastAsia="仿宋_GB2312"/>
          <w:sz w:val="32"/>
          <w:szCs w:val="32"/>
        </w:rPr>
        <w:t>主要用于开展业务活动开支的接待费。国内公务接待2批次，6人次（不包括陪同人员），共计支出0.1万元，具体内容包括：组织2次城乡建设绿色发展“大讲堂”系列活动政策标准宣贯培训专家接待费。</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eastAsia="仿宋_GB2312" w:cs="仿宋_GB2312"/>
          <w:sz w:val="32"/>
          <w:szCs w:val="32"/>
        </w:rPr>
        <w:t xml:space="preserve"> 外事接待支</w:t>
      </w:r>
      <w:r>
        <w:rPr>
          <w:rFonts w:hint="eastAsia" w:ascii="仿宋_GB2312" w:hAnsi="仿宋_GB2312" w:eastAsia="仿宋_GB2312" w:cs="仿宋_GB2312"/>
          <w:sz w:val="32"/>
          <w:szCs w:val="32"/>
        </w:rPr>
        <w:t>出0万元</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1"/>
        <w:rPr>
          <w:rStyle w:val="31"/>
          <w:rFonts w:ascii="Times New Roman" w:hAnsi="Times New Roman" w:eastAsia="黑体"/>
        </w:rPr>
      </w:pPr>
      <w:bookmarkStart w:id="40" w:name="_Toc15377218"/>
      <w:bookmarkStart w:id="41" w:name="_Toc15396610"/>
      <w:r>
        <w:rPr>
          <w:rFonts w:hint="eastAsia" w:eastAsia="黑体"/>
          <w:sz w:val="32"/>
          <w:szCs w:val="32"/>
        </w:rPr>
        <w:t>八、</w:t>
      </w:r>
      <w:r>
        <w:rPr>
          <w:rStyle w:val="31"/>
          <w:rFonts w:hint="eastAsia" w:ascii="Times New Roman" w:hAnsi="Times New Roman" w:eastAsia="黑体"/>
          <w:b w:val="0"/>
        </w:rPr>
        <w:t>政府性基金预算支出决算情况说明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2024年政府性基金预算拨款支出0万元。</w:t>
      </w:r>
    </w:p>
    <w:p>
      <w:pPr>
        <w:keepNext w:val="0"/>
        <w:keepLines w:val="0"/>
        <w:pageBreakBefore w:val="0"/>
        <w:widowControl w:val="0"/>
        <w:kinsoku/>
        <w:wordWrap/>
        <w:overflowPunct/>
        <w:topLinePunct w:val="0"/>
        <w:autoSpaceDE/>
        <w:autoSpaceDN/>
        <w:bidi w:val="0"/>
        <w:adjustRightInd/>
        <w:snapToGrid/>
        <w:spacing w:line="578" w:lineRule="exact"/>
        <w:ind w:left="630"/>
        <w:textAlignment w:val="auto"/>
        <w:outlineLvl w:val="1"/>
        <w:rPr>
          <w:rStyle w:val="31"/>
          <w:rFonts w:ascii="Times New Roman" w:hAnsi="Times New Roman" w:eastAsia="黑体"/>
          <w:b w:val="0"/>
        </w:rPr>
      </w:pPr>
      <w:bookmarkStart w:id="42" w:name="_Toc15396611"/>
      <w:bookmarkStart w:id="43" w:name="_Toc15377219"/>
      <w:r>
        <w:rPr>
          <w:rStyle w:val="31"/>
          <w:rFonts w:hint="eastAsia" w:ascii="Times New Roman" w:hAnsi="Times New Roman" w:eastAsia="黑体"/>
          <w:b w:val="0"/>
        </w:rPr>
        <w:t>九、国有资本经营预算支出决算情况说明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_GB2312" w:hAnsi="仿宋" w:eastAsia="仿宋_GB2312" w:cs="仿宋"/>
          <w:color w:val="000000"/>
          <w:sz w:val="32"/>
          <w:szCs w:val="32"/>
        </w:rPr>
      </w:pPr>
      <w:r>
        <w:rPr>
          <w:rFonts w:hint="eastAsia" w:eastAsia="仿宋_GB2312" w:cs="仿宋_GB2312"/>
          <w:sz w:val="32"/>
          <w:szCs w:val="32"/>
        </w:rPr>
        <w:t>2024年</w:t>
      </w:r>
      <w:r>
        <w:rPr>
          <w:rFonts w:hint="eastAsia" w:ascii="仿宋_GB2312" w:hAnsi="仿宋" w:eastAsia="仿宋_GB2312" w:cs="仿宋"/>
          <w:color w:val="000000"/>
          <w:sz w:val="32"/>
          <w:szCs w:val="32"/>
        </w:rPr>
        <w:t>年国有资本经营预算拨款支出0万元。</w:t>
      </w:r>
    </w:p>
    <w:p>
      <w:pPr>
        <w:keepNext w:val="0"/>
        <w:keepLines w:val="0"/>
        <w:pageBreakBefore w:val="0"/>
        <w:widowControl w:val="0"/>
        <w:kinsoku/>
        <w:wordWrap/>
        <w:overflowPunct/>
        <w:topLinePunct w:val="0"/>
        <w:autoSpaceDE/>
        <w:autoSpaceDN/>
        <w:bidi w:val="0"/>
        <w:adjustRightInd/>
        <w:snapToGrid/>
        <w:spacing w:line="578" w:lineRule="exact"/>
        <w:ind w:left="630"/>
        <w:textAlignment w:val="auto"/>
        <w:outlineLvl w:val="1"/>
        <w:rPr>
          <w:rStyle w:val="31"/>
          <w:rFonts w:ascii="Times New Roman" w:hAnsi="Times New Roman" w:eastAsia="黑体"/>
          <w:b w:val="0"/>
        </w:rPr>
      </w:pPr>
      <w:bookmarkStart w:id="44" w:name="_Toc15377221"/>
      <w:bookmarkStart w:id="45" w:name="_Toc15396612"/>
      <w:r>
        <w:rPr>
          <w:rStyle w:val="31"/>
          <w:rFonts w:hint="eastAsia" w:ascii="Times New Roman" w:hAnsi="Times New Roman" w:eastAsia="黑体"/>
          <w:b w:val="0"/>
        </w:rPr>
        <w:t>十、其他重要事项的情况说明</w:t>
      </w:r>
      <w:bookmarkEnd w:id="44"/>
      <w:bookmarkEnd w:id="45"/>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bookmarkStart w:id="46" w:name="_Toc15377222"/>
      <w:r>
        <w:rPr>
          <w:rFonts w:hint="eastAsia" w:eastAsia="楷体_GB2312" w:cs="楷体_GB2312"/>
          <w:b/>
          <w:sz w:val="32"/>
          <w:szCs w:val="32"/>
        </w:rPr>
        <w:t>（一）机关运行经费支出情况</w:t>
      </w:r>
      <w:bookmarkEnd w:id="46"/>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w:t>
      </w:r>
      <w:r>
        <w:rPr>
          <w:rFonts w:hint="eastAsia" w:ascii="仿宋_GB2312" w:hAnsi="仿宋_GB2312" w:eastAsia="仿宋_GB2312" w:cs="仿宋_GB2312"/>
          <w:sz w:val="32"/>
          <w:szCs w:val="32"/>
        </w:rPr>
        <w:t>，四川省攀枝花市建筑节能和绿色建筑发展中心机关运行经费支出19.10万元，比2023年度减少3.84万元，下降16.74%。主要原因是2024年人员较2023年减少1人，按人头核定的公用经费也相应减少。</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bookmarkStart w:id="47" w:name="_Toc15377223"/>
      <w:r>
        <w:rPr>
          <w:rFonts w:hint="eastAsia" w:eastAsia="楷体_GB2312" w:cs="楷体_GB2312"/>
          <w:b/>
          <w:sz w:val="32"/>
          <w:szCs w:val="32"/>
        </w:rPr>
        <w:t>（二）政府采购支出情况</w:t>
      </w:r>
      <w:bookmarkEnd w:id="47"/>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2024年度，</w:t>
      </w:r>
      <w:r>
        <w:rPr>
          <w:rFonts w:hint="eastAsia" w:ascii="仿宋_GB2312" w:eastAsia="仿宋_GB2312"/>
          <w:sz w:val="32"/>
          <w:szCs w:val="32"/>
        </w:rPr>
        <w:t>市节能绿建中心政府采购支出总额0万元，其中：政府采购货物支出0万元、政府采购工程支出0万元、政府采购服务支出0万元。</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bookmarkStart w:id="48" w:name="_Toc15377224"/>
      <w:r>
        <w:rPr>
          <w:rFonts w:hint="eastAsia" w:eastAsia="楷体_GB2312" w:cs="楷体_GB2312"/>
          <w:b/>
          <w:sz w:val="32"/>
          <w:szCs w:val="32"/>
        </w:rPr>
        <w:t>（三）国有资产占有使用情况</w:t>
      </w:r>
      <w:bookmarkEnd w:id="4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ascii="仿宋_GB2312" w:hAnsi="仿宋_GB2312" w:eastAsia="仿宋_GB2312" w:cs="仿宋_GB2312"/>
          <w:sz w:val="32"/>
          <w:szCs w:val="32"/>
        </w:rPr>
        <w:t>截至2024年12月31日，四川省攀枝花市建筑节能和绿色建筑发展中心共有车辆0辆，其中：主要负责人用车0辆、机要通信用车0辆、应急保障用车0辆、其他用车0辆。单价100万元（含）以上设备（不含车辆）0台（套）</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outlineLvl w:val="2"/>
        <w:rPr>
          <w:rFonts w:eastAsia="楷体_GB2312" w:cs="楷体_GB2312"/>
          <w:b/>
          <w:sz w:val="32"/>
          <w:szCs w:val="32"/>
        </w:rPr>
      </w:pPr>
      <w:r>
        <w:rPr>
          <w:rFonts w:hint="eastAsia" w:eastAsia="楷体_GB2312" w:cs="楷体_GB2312"/>
          <w:b/>
          <w:sz w:val="32"/>
          <w:szCs w:val="32"/>
        </w:rPr>
        <w:t>（四）预算绩效管理情况</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eastAsia="仿宋_GB2312" w:cs="仿宋_GB2312"/>
          <w:sz w:val="32"/>
          <w:szCs w:val="32"/>
        </w:rPr>
      </w:pPr>
      <w:r>
        <w:rPr>
          <w:rFonts w:hint="eastAsia" w:eastAsia="仿宋_GB2312" w:cs="仿宋_GB2312"/>
          <w:sz w:val="32"/>
          <w:szCs w:val="32"/>
        </w:rPr>
        <w:t>根据预算绩效管理要求，市节能绿建中</w:t>
      </w:r>
      <w:r>
        <w:rPr>
          <w:rFonts w:hint="eastAsia" w:ascii="仿宋_GB2312" w:hAnsi="仿宋_GB2312" w:eastAsia="仿宋_GB2312" w:cs="仿宋_GB2312"/>
          <w:sz w:val="32"/>
          <w:szCs w:val="32"/>
        </w:rPr>
        <w:t>心在2024</w:t>
      </w:r>
      <w:r>
        <w:rPr>
          <w:rFonts w:hint="eastAsia" w:eastAsia="仿宋_GB2312" w:cs="仿宋_GB2312"/>
          <w:sz w:val="32"/>
          <w:szCs w:val="32"/>
        </w:rPr>
        <w:t>年度预算编制阶段，组织对预拌行业管理、绿色建筑标识管理、</w:t>
      </w:r>
      <w:r>
        <w:rPr>
          <w:rFonts w:eastAsia="仿宋_GB2312" w:cs="仿宋_GB2312"/>
          <w:sz w:val="32"/>
          <w:szCs w:val="32"/>
        </w:rPr>
        <w:t>建筑节能专业技术人</w:t>
      </w:r>
      <w:r>
        <w:rPr>
          <w:rFonts w:hint="eastAsia" w:ascii="仿宋_GB2312" w:hAnsi="仿宋_GB2312" w:eastAsia="仿宋_GB2312" w:cs="仿宋_GB2312"/>
          <w:sz w:val="32"/>
          <w:szCs w:val="32"/>
        </w:rPr>
        <w:t>员劳务服务等3个项目开展了预算事前绩效评估，对3个项目编制了绩效目标，预算执行过程中，选取3个项目开展绩效监</w:t>
      </w:r>
      <w:r>
        <w:rPr>
          <w:rFonts w:hint="eastAsia" w:eastAsia="仿宋_GB2312" w:cs="仿宋_GB2312"/>
          <w:sz w:val="32"/>
          <w:szCs w:val="32"/>
        </w:rPr>
        <w:t>控。</w:t>
      </w:r>
    </w:p>
    <w:p>
      <w:pPr>
        <w:spacing w:line="600" w:lineRule="exact"/>
        <w:jc w:val="center"/>
        <w:outlineLvl w:val="0"/>
        <w:rPr>
          <w:rFonts w:eastAsia="黑体"/>
          <w:sz w:val="44"/>
          <w:szCs w:val="44"/>
        </w:rPr>
      </w:pPr>
      <w:bookmarkStart w:id="49" w:name="_Toc15377225"/>
      <w:bookmarkStart w:id="50" w:name="_Toc15396613"/>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黑体"/>
          <w:sz w:val="44"/>
          <w:szCs w:val="44"/>
        </w:rPr>
      </w:pPr>
      <w:r>
        <w:rPr>
          <w:rFonts w:hint="eastAsia" w:eastAsia="黑体"/>
          <w:sz w:val="44"/>
          <w:szCs w:val="44"/>
        </w:rPr>
        <w:t>第三部分  名词解释</w:t>
      </w:r>
      <w:bookmarkEnd w:id="49"/>
      <w:bookmarkEnd w:id="50"/>
    </w:p>
    <w:p>
      <w:pPr>
        <w:spacing w:line="600" w:lineRule="exact"/>
        <w:jc w:val="left"/>
        <w:rPr>
          <w:b/>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bookmarkStart w:id="51" w:name="_Toc15396614"/>
      <w:bookmarkStart w:id="52" w:name="_Toc15377226"/>
      <w:r>
        <w:rPr>
          <w:rFonts w:hint="eastAsia" w:ascii="仿宋_GB2312" w:hAnsi="仿宋_GB2312" w:eastAsia="仿宋_GB2312" w:cs="仿宋_GB2312"/>
          <w:sz w:val="32"/>
          <w:szCs w:val="32"/>
        </w:rPr>
        <w:t>2.社会保障和就业（类）人力资源和社会保障管理事务（款）其他人力资源和社会保障管理事务支出（项）：反映其他用于人力资源和社会保障管理事务方面的支出。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仿宋_GB2312"/>
          <w:color w:val="auto"/>
          <w:kern w:val="2"/>
          <w:sz w:val="32"/>
          <w:szCs w:val="32"/>
        </w:rPr>
      </w:pPr>
      <w:r>
        <w:rPr>
          <w:rFonts w:hint="eastAsia" w:ascii="仿宋_GB2312" w:hAnsi="仿宋_GB2312" w:eastAsia="仿宋_GB2312" w:cs="仿宋_GB2312"/>
          <w:sz w:val="32"/>
          <w:szCs w:val="32"/>
        </w:rPr>
        <w:t>3.社会</w:t>
      </w:r>
      <w:r>
        <w:rPr>
          <w:rFonts w:ascii="Times New Roman" w:hAnsi="Times New Roman" w:eastAsia="仿宋_GB2312" w:cs="仿宋_GB2312"/>
          <w:color w:val="auto"/>
          <w:kern w:val="2"/>
          <w:sz w:val="32"/>
          <w:szCs w:val="32"/>
        </w:rPr>
        <w:t>保障和就业（类）行政事业单位养老（款）事业单位离退休（项）：指事业单位开支的离退休经费。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4.社会保障和就业（类）行政事业单位养老（款）机关事业单位基本养老保险缴费支出（项）：指机关事业单位实施养老保险制度由单位缴纳的基本养老保险费支出。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仿宋_GB2312"/>
          <w:color w:val="auto"/>
          <w:kern w:val="2"/>
          <w:sz w:val="32"/>
          <w:szCs w:val="32"/>
        </w:rPr>
      </w:pPr>
      <w:r>
        <w:rPr>
          <w:rFonts w:hint="eastAsia" w:ascii="仿宋_GB2312" w:hAnsi="仿宋_GB2312" w:eastAsia="仿宋_GB2312" w:cs="仿宋_GB2312"/>
          <w:sz w:val="32"/>
          <w:szCs w:val="32"/>
        </w:rPr>
        <w:t>5.卫生健康支出（类）行政事业单位医疗（款）事业单位医疗（项）：</w:t>
      </w:r>
      <w:r>
        <w:rPr>
          <w:rFonts w:ascii="Times New Roman" w:hAnsi="Times New Roman" w:eastAsia="仿宋_GB2312" w:cs="仿宋_GB2312"/>
          <w:color w:val="auto"/>
          <w:kern w:val="2"/>
          <w:sz w:val="32"/>
          <w:szCs w:val="32"/>
        </w:rPr>
        <w:t>指事业单位基本医疗保险缴费经费。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6.卫生健康支出（类）行政事业单位医疗（款）公务员医疗补助（项）：指公务员医疗补助经费。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7.卫生健康支出（类）行政事业单位医疗（款）其他行政事业单位医疗支出（项）：指其他用于行政事业单位医疗方面的支出。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8.城乡社区支出（类）城乡社区管理事务（款）其他城乡社区管理事务（项）：指其他用于城乡社区管理事务方面的支出。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cs="仿宋_GB2312"/>
          <w:sz w:val="32"/>
          <w:szCs w:val="32"/>
        </w:rPr>
      </w:pPr>
      <w:r>
        <w:rPr>
          <w:rFonts w:hint="eastAsia" w:ascii="仿宋_GB2312" w:hAnsi="仿宋_GB2312" w:eastAsia="仿宋_GB2312" w:cs="仿宋_GB2312"/>
          <w:sz w:val="32"/>
          <w:szCs w:val="32"/>
        </w:rPr>
        <w:t>9.住房保障支出（类）</w:t>
      </w:r>
      <w:r>
        <w:rPr>
          <w:rFonts w:eastAsia="仿宋_GB2312" w:cs="仿宋_GB2312"/>
          <w:sz w:val="32"/>
          <w:szCs w:val="32"/>
        </w:rPr>
        <w:t>住房改革（款）住房公积金（项）：指反映行政事业单位按人力资源和社会保障部、财政部规定的基本工资和津贴补贴以及规定比例为职工缴纳的住房公积金。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仿宋_GB2312"/>
          <w:color w:val="auto"/>
          <w:kern w:val="2"/>
          <w:sz w:val="32"/>
          <w:szCs w:val="32"/>
        </w:rPr>
      </w:pPr>
      <w:r>
        <w:rPr>
          <w:rFonts w:hint="eastAsia" w:ascii="仿宋_GB2312" w:hAnsi="仿宋_GB2312" w:eastAsia="仿宋_GB2312" w:cs="仿宋_GB2312"/>
          <w:sz w:val="32"/>
          <w:szCs w:val="32"/>
        </w:rPr>
        <w:t>12.“三公”经费：指</w:t>
      </w:r>
      <w:r>
        <w:rPr>
          <w:rFonts w:ascii="Times New Roman" w:hAnsi="Times New Roman" w:eastAsia="仿宋_GB2312" w:cs="仿宋_GB2312"/>
          <w:color w:val="auto"/>
          <w:kern w:val="2"/>
          <w:sz w:val="32"/>
          <w:szCs w:val="32"/>
        </w:rPr>
        <w:t>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7"/>
        <w:ind w:left="420" w:firstLine="640"/>
        <w:rPr>
          <w:rFonts w:ascii="Times New Roman" w:eastAsia="仿宋_GB2312" w:cs="仿宋_GB2312"/>
          <w:sz w:val="32"/>
        </w:rPr>
      </w:pPr>
      <w:r>
        <w:rPr>
          <w:rFonts w:ascii="Times New Roman" w:eastAsia="仿宋_GB2312" w:cs="仿宋_GB2312"/>
          <w:sz w:val="32"/>
        </w:rPr>
        <w:br w:type="page"/>
      </w:r>
    </w:p>
    <w:p>
      <w:pPr>
        <w:spacing w:line="600" w:lineRule="exact"/>
        <w:jc w:val="center"/>
        <w:rPr>
          <w:rFonts w:eastAsia="黑体"/>
          <w:sz w:val="44"/>
          <w:szCs w:val="44"/>
        </w:rPr>
      </w:pPr>
      <w:r>
        <w:rPr>
          <w:rFonts w:hint="eastAsia" w:eastAsia="黑体"/>
          <w:sz w:val="44"/>
          <w:szCs w:val="44"/>
        </w:rPr>
        <w:t>第四部分  附件</w:t>
      </w:r>
      <w:bookmarkEnd w:id="51"/>
    </w:p>
    <w:p>
      <w:pPr>
        <w:spacing w:line="600" w:lineRule="exact"/>
        <w:jc w:val="center"/>
        <w:rPr>
          <w:rStyle w:val="30"/>
          <w:rFonts w:eastAsia="黑体"/>
          <w:b w:val="0"/>
        </w:rPr>
      </w:pPr>
    </w:p>
    <w:p>
      <w:pPr>
        <w:widowControl/>
        <w:jc w:val="center"/>
        <w:rPr>
          <w:rFonts w:hint="eastAsia" w:ascii="仿宋_GB2312" w:hAnsi="仿宋_GB2312" w:eastAsia="仿宋_GB2312" w:cs="仿宋_GB2312"/>
          <w:sz w:val="32"/>
          <w:szCs w:val="32"/>
        </w:rPr>
      </w:pPr>
      <w:bookmarkStart w:id="53" w:name="_Toc15396618"/>
      <w:r>
        <w:rPr>
          <w:rFonts w:hint="eastAsia" w:ascii="仿宋_GB2312" w:hAnsi="仿宋_GB2312" w:eastAsia="仿宋_GB2312" w:cs="仿宋_GB2312"/>
          <w:sz w:val="32"/>
          <w:szCs w:val="32"/>
        </w:rPr>
        <w:t>单位预算项目支出绩效自评表（2024年度）（详见附件</w:t>
      </w:r>
      <w:r>
        <w:rPr>
          <w:rFonts w:hint="eastAsia" w:ascii="仿宋_GB2312" w:hAnsi="仿宋_GB2312" w:eastAsia="仿宋_GB2312" w:cs="仿宋_GB2312"/>
          <w:sz w:val="32"/>
          <w:szCs w:val="32"/>
          <w:lang w:val="en-US" w:eastAsia="zh-CN"/>
        </w:rPr>
        <w:t>3</w:t>
      </w:r>
      <w:bookmarkStart w:id="67" w:name="_GoBack"/>
      <w:bookmarkEnd w:id="67"/>
      <w:r>
        <w:rPr>
          <w:rFonts w:hint="eastAsia" w:ascii="仿宋_GB2312" w:hAnsi="仿宋_GB2312" w:eastAsia="仿宋_GB2312" w:cs="仿宋_GB2312"/>
          <w:sz w:val="32"/>
          <w:szCs w:val="32"/>
        </w:rPr>
        <w:t>）</w:t>
      </w: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方正仿宋_GBK"/>
          <w:kern w:val="44"/>
          <w:sz w:val="32"/>
          <w:szCs w:val="32"/>
        </w:rPr>
      </w:pPr>
    </w:p>
    <w:p>
      <w:pPr>
        <w:widowControl/>
        <w:jc w:val="center"/>
        <w:rPr>
          <w:rFonts w:eastAsia="仿宋"/>
        </w:rPr>
      </w:pPr>
      <w:r>
        <w:rPr>
          <w:rFonts w:hint="eastAsia" w:eastAsia="黑体"/>
          <w:sz w:val="44"/>
          <w:szCs w:val="44"/>
        </w:rPr>
        <w:t>第</w:t>
      </w:r>
      <w:r>
        <w:rPr>
          <w:rStyle w:val="30"/>
          <w:rFonts w:hint="eastAsia" w:eastAsia="黑体"/>
          <w:b w:val="0"/>
        </w:rPr>
        <w:t>五部分 附表</w:t>
      </w:r>
      <w:bookmarkEnd w:id="52"/>
      <w:bookmarkEnd w:id="53"/>
      <w:bookmarkStart w:id="54" w:name="_Toc15396619"/>
    </w:p>
    <w:p>
      <w:pPr>
        <w:pStyle w:val="14"/>
      </w:pPr>
    </w:p>
    <w:p>
      <w:pPr>
        <w:pStyle w:val="14"/>
      </w:pPr>
      <w:r>
        <w:rPr>
          <w:rFonts w:hint="eastAsia"/>
          <w:spacing w:val="0"/>
          <w:kern w:val="0"/>
          <w:fitText w:val="3200" w:id="-645744128"/>
        </w:rPr>
        <w:t>一、收入支出决算总表</w:t>
      </w:r>
      <w:bookmarkEnd w:id="54"/>
    </w:p>
    <w:p>
      <w:pPr>
        <w:pStyle w:val="14"/>
      </w:pPr>
      <w:bookmarkStart w:id="55" w:name="_Toc15396620"/>
      <w:r>
        <w:rPr>
          <w:rFonts w:hint="eastAsia"/>
        </w:rPr>
        <w:t>二、收入决算表</w:t>
      </w:r>
      <w:bookmarkEnd w:id="55"/>
    </w:p>
    <w:p>
      <w:pPr>
        <w:pStyle w:val="14"/>
      </w:pPr>
      <w:bookmarkStart w:id="56" w:name="_Toc15396621"/>
      <w:r>
        <w:rPr>
          <w:rFonts w:hint="eastAsia"/>
        </w:rPr>
        <w:t>三、支出决算表</w:t>
      </w:r>
      <w:bookmarkEnd w:id="56"/>
    </w:p>
    <w:p>
      <w:pPr>
        <w:pStyle w:val="14"/>
      </w:pPr>
      <w:bookmarkStart w:id="57" w:name="_Toc15396622"/>
      <w:r>
        <w:rPr>
          <w:rFonts w:hint="eastAsia"/>
        </w:rPr>
        <w:t>四、财政拨款收入支出决算总表</w:t>
      </w:r>
      <w:bookmarkEnd w:id="57"/>
    </w:p>
    <w:p>
      <w:pPr>
        <w:pStyle w:val="14"/>
      </w:pPr>
      <w:bookmarkStart w:id="58" w:name="_Toc15396623"/>
      <w:r>
        <w:rPr>
          <w:rFonts w:hint="eastAsia"/>
        </w:rPr>
        <w:t>五、财政拨款支出决算明细表</w:t>
      </w:r>
      <w:bookmarkEnd w:id="58"/>
      <w:bookmarkStart w:id="59" w:name="_Toc15396624"/>
    </w:p>
    <w:p>
      <w:pPr>
        <w:pStyle w:val="14"/>
      </w:pPr>
      <w:r>
        <w:rPr>
          <w:rFonts w:hint="eastAsia"/>
        </w:rPr>
        <w:t>六、一般公共预算财政拨款支出决算表</w:t>
      </w:r>
      <w:bookmarkEnd w:id="59"/>
    </w:p>
    <w:p>
      <w:pPr>
        <w:pStyle w:val="14"/>
      </w:pPr>
      <w:bookmarkStart w:id="60" w:name="_Toc15396625"/>
      <w:r>
        <w:rPr>
          <w:rFonts w:hint="eastAsia"/>
        </w:rPr>
        <w:t>七、一般公共预算财政拨款支出决算明细表</w:t>
      </w:r>
      <w:bookmarkEnd w:id="60"/>
    </w:p>
    <w:p>
      <w:pPr>
        <w:pStyle w:val="14"/>
      </w:pPr>
      <w:bookmarkStart w:id="61" w:name="_Toc15396626"/>
      <w:r>
        <w:rPr>
          <w:rFonts w:hint="eastAsia"/>
        </w:rPr>
        <w:t>八、一般公共预算财政拨款基本支出决算表</w:t>
      </w:r>
      <w:bookmarkEnd w:id="61"/>
    </w:p>
    <w:p>
      <w:pPr>
        <w:pStyle w:val="14"/>
        <w:rPr>
          <w:rFonts w:hint="eastAsia"/>
        </w:rPr>
      </w:pPr>
      <w:bookmarkStart w:id="62" w:name="_Toc15396627"/>
      <w:r>
        <w:rPr>
          <w:rFonts w:hint="eastAsia"/>
        </w:rPr>
        <w:t>九、一般公共预算财政拨款项目支出决算表</w:t>
      </w:r>
      <w:bookmarkEnd w:id="62"/>
      <w:bookmarkStart w:id="63" w:name="_Toc15396628"/>
    </w:p>
    <w:p>
      <w:pPr>
        <w:pStyle w:val="14"/>
      </w:pPr>
      <w:r>
        <w:rPr>
          <w:rFonts w:hint="eastAsia"/>
        </w:rPr>
        <w:t>十、</w:t>
      </w:r>
      <w:bookmarkEnd w:id="63"/>
      <w:r>
        <w:rPr>
          <w:rFonts w:hint="eastAsia"/>
        </w:rPr>
        <w:t>政府性基金预算财政拨款收入支出决算表(此表无数据）</w:t>
      </w:r>
    </w:p>
    <w:p>
      <w:pPr>
        <w:jc w:val="left"/>
        <w:rPr>
          <w:rFonts w:eastAsia="仿宋_GB2312" w:cs="仿宋_GB2312"/>
          <w:spacing w:val="-10"/>
          <w:sz w:val="32"/>
          <w:szCs w:val="32"/>
        </w:rPr>
      </w:pPr>
      <w:bookmarkStart w:id="64" w:name="_Toc15396629"/>
      <w:r>
        <w:rPr>
          <w:rFonts w:hint="eastAsia" w:eastAsia="仿宋_GB2312" w:cs="仿宋_GB2312"/>
          <w:spacing w:val="-10"/>
          <w:sz w:val="32"/>
          <w:szCs w:val="32"/>
        </w:rPr>
        <w:t xml:space="preserve">   十一、</w:t>
      </w:r>
      <w:bookmarkEnd w:id="64"/>
      <w:r>
        <w:rPr>
          <w:rFonts w:hint="eastAsia" w:eastAsia="仿宋_GB2312" w:cs="仿宋_GB2312"/>
          <w:spacing w:val="-10"/>
          <w:sz w:val="32"/>
          <w:szCs w:val="32"/>
        </w:rPr>
        <w:t>国有资本经营预算财政拨款收入支出决算表(此表无数 据）</w:t>
      </w:r>
    </w:p>
    <w:p>
      <w:pPr>
        <w:rPr>
          <w:rFonts w:eastAsia="仿宋_GB2312" w:cs="仿宋_GB2312"/>
          <w:spacing w:val="-10"/>
          <w:sz w:val="32"/>
          <w:szCs w:val="32"/>
        </w:rPr>
      </w:pPr>
      <w:bookmarkStart w:id="65" w:name="_Toc15396630"/>
      <w:r>
        <w:rPr>
          <w:rFonts w:hint="eastAsia" w:eastAsia="仿宋_GB2312" w:cs="仿宋_GB2312"/>
          <w:spacing w:val="-10"/>
          <w:sz w:val="32"/>
          <w:szCs w:val="32"/>
        </w:rPr>
        <w:t xml:space="preserve">   十二、</w:t>
      </w:r>
      <w:bookmarkEnd w:id="65"/>
      <w:r>
        <w:rPr>
          <w:rFonts w:hint="eastAsia" w:eastAsia="仿宋_GB2312" w:cs="仿宋_GB2312"/>
          <w:spacing w:val="-10"/>
          <w:sz w:val="32"/>
          <w:szCs w:val="32"/>
        </w:rPr>
        <w:t>国有资本经营预算财政拨款支出决算表(此表无数据）</w:t>
      </w:r>
    </w:p>
    <w:p>
      <w:pPr>
        <w:pStyle w:val="14"/>
      </w:pPr>
      <w:bookmarkStart w:id="66" w:name="_Toc15396631"/>
      <w:r>
        <w:rPr>
          <w:rFonts w:hint="eastAsia"/>
        </w:rPr>
        <w:t>十三、</w:t>
      </w:r>
      <w:bookmarkEnd w:id="66"/>
      <w:r>
        <w:rPr>
          <w:rFonts w:hint="eastAsia"/>
        </w:rPr>
        <w:t>财政拨款“三公”经费支出决算表</w:t>
      </w:r>
    </w:p>
    <w:p>
      <w:pPr>
        <w:rPr>
          <w:rFonts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Lucida Sans">
    <w:altName w:val="Noto Naskh Arabic"/>
    <w:panose1 w:val="020B0602030504020204"/>
    <w:charset w:val="01"/>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方正兰亭黑_GBK">
    <w:panose1 w:val="02000000000000000000"/>
    <w:charset w:val="86"/>
    <w:family w:val="auto"/>
    <w:pitch w:val="default"/>
    <w:sig w:usb0="A00002BF" w:usb1="3ACF7CFA" w:usb2="0008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Noto Naskh Arabic">
    <w:panose1 w:val="020B0502040504020204"/>
    <w:charset w:val="00"/>
    <w:family w:val="auto"/>
    <w:pitch w:val="default"/>
    <w:sig w:usb0="00002000" w:usb1="80000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8393"/>
      <w:docPartObj>
        <w:docPartGallery w:val="AutoText"/>
      </w:docPartObj>
    </w:sdtPr>
    <w:sdtContent>
      <w:p>
        <w:pPr>
          <w:pStyle w:val="10"/>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2MzE5NjZiYTAyNWIyNWFkZDU2YWNlOGUwZTU1MGEifQ=="/>
  </w:docVars>
  <w:rsids>
    <w:rsidRoot w:val="00F1361C"/>
    <w:rsid w:val="000017D5"/>
    <w:rsid w:val="000222C6"/>
    <w:rsid w:val="00025098"/>
    <w:rsid w:val="0002549F"/>
    <w:rsid w:val="000346D4"/>
    <w:rsid w:val="000468DB"/>
    <w:rsid w:val="00046910"/>
    <w:rsid w:val="0006487A"/>
    <w:rsid w:val="00065F8F"/>
    <w:rsid w:val="00070A43"/>
    <w:rsid w:val="000768F2"/>
    <w:rsid w:val="0007720D"/>
    <w:rsid w:val="0009184B"/>
    <w:rsid w:val="00094236"/>
    <w:rsid w:val="0009593C"/>
    <w:rsid w:val="00097322"/>
    <w:rsid w:val="000A604D"/>
    <w:rsid w:val="000A6A92"/>
    <w:rsid w:val="000B047F"/>
    <w:rsid w:val="000B5923"/>
    <w:rsid w:val="000B5A48"/>
    <w:rsid w:val="000B6FF3"/>
    <w:rsid w:val="000C3467"/>
    <w:rsid w:val="000C3CA6"/>
    <w:rsid w:val="000D1267"/>
    <w:rsid w:val="000D1D50"/>
    <w:rsid w:val="000D5782"/>
    <w:rsid w:val="000E6613"/>
    <w:rsid w:val="000E7119"/>
    <w:rsid w:val="000F7C1B"/>
    <w:rsid w:val="00114E9B"/>
    <w:rsid w:val="00142216"/>
    <w:rsid w:val="00144D6A"/>
    <w:rsid w:val="0014729F"/>
    <w:rsid w:val="00153F4A"/>
    <w:rsid w:val="00157BAB"/>
    <w:rsid w:val="00161EA3"/>
    <w:rsid w:val="001654D1"/>
    <w:rsid w:val="00166540"/>
    <w:rsid w:val="00174518"/>
    <w:rsid w:val="0018106D"/>
    <w:rsid w:val="001877A7"/>
    <w:rsid w:val="00190E06"/>
    <w:rsid w:val="00191536"/>
    <w:rsid w:val="00196687"/>
    <w:rsid w:val="001A64C4"/>
    <w:rsid w:val="001A7665"/>
    <w:rsid w:val="001C0962"/>
    <w:rsid w:val="001D7531"/>
    <w:rsid w:val="001E396F"/>
    <w:rsid w:val="001E737D"/>
    <w:rsid w:val="001F0592"/>
    <w:rsid w:val="001F1CDB"/>
    <w:rsid w:val="001F7506"/>
    <w:rsid w:val="002006CD"/>
    <w:rsid w:val="00202B36"/>
    <w:rsid w:val="00204B7A"/>
    <w:rsid w:val="00204CDE"/>
    <w:rsid w:val="0021101A"/>
    <w:rsid w:val="00220536"/>
    <w:rsid w:val="00235629"/>
    <w:rsid w:val="00243DCA"/>
    <w:rsid w:val="002514D3"/>
    <w:rsid w:val="00260C38"/>
    <w:rsid w:val="002616C0"/>
    <w:rsid w:val="00265372"/>
    <w:rsid w:val="002662AA"/>
    <w:rsid w:val="00280496"/>
    <w:rsid w:val="00294DC9"/>
    <w:rsid w:val="00295495"/>
    <w:rsid w:val="002A31DE"/>
    <w:rsid w:val="002B2613"/>
    <w:rsid w:val="002D6D05"/>
    <w:rsid w:val="002F1818"/>
    <w:rsid w:val="002F567B"/>
    <w:rsid w:val="00311328"/>
    <w:rsid w:val="00312827"/>
    <w:rsid w:val="003216A9"/>
    <w:rsid w:val="00325561"/>
    <w:rsid w:val="00335A74"/>
    <w:rsid w:val="0036561B"/>
    <w:rsid w:val="0037013F"/>
    <w:rsid w:val="00380C92"/>
    <w:rsid w:val="003A0B07"/>
    <w:rsid w:val="003A484F"/>
    <w:rsid w:val="003A4883"/>
    <w:rsid w:val="003B0BE0"/>
    <w:rsid w:val="003B0C1B"/>
    <w:rsid w:val="003B688C"/>
    <w:rsid w:val="003C0291"/>
    <w:rsid w:val="003C357C"/>
    <w:rsid w:val="003C39AE"/>
    <w:rsid w:val="003C7B60"/>
    <w:rsid w:val="003D0C0F"/>
    <w:rsid w:val="003D1FB2"/>
    <w:rsid w:val="003D3895"/>
    <w:rsid w:val="003D66DA"/>
    <w:rsid w:val="003E1310"/>
    <w:rsid w:val="003E6508"/>
    <w:rsid w:val="003E6F55"/>
    <w:rsid w:val="003F366C"/>
    <w:rsid w:val="003F3BC8"/>
    <w:rsid w:val="003F766E"/>
    <w:rsid w:val="00406254"/>
    <w:rsid w:val="00421023"/>
    <w:rsid w:val="004223DE"/>
    <w:rsid w:val="00434489"/>
    <w:rsid w:val="00437085"/>
    <w:rsid w:val="00441DA3"/>
    <w:rsid w:val="00443880"/>
    <w:rsid w:val="004464F4"/>
    <w:rsid w:val="004647E4"/>
    <w:rsid w:val="00471401"/>
    <w:rsid w:val="00473F31"/>
    <w:rsid w:val="0048263A"/>
    <w:rsid w:val="00482CF9"/>
    <w:rsid w:val="00487E5D"/>
    <w:rsid w:val="004A4B04"/>
    <w:rsid w:val="004A711F"/>
    <w:rsid w:val="004B199D"/>
    <w:rsid w:val="004B4690"/>
    <w:rsid w:val="004C6624"/>
    <w:rsid w:val="004E0A2D"/>
    <w:rsid w:val="004E206B"/>
    <w:rsid w:val="004E6DF7"/>
    <w:rsid w:val="004F0FBD"/>
    <w:rsid w:val="00505A47"/>
    <w:rsid w:val="00512FDA"/>
    <w:rsid w:val="00520DA0"/>
    <w:rsid w:val="00521C85"/>
    <w:rsid w:val="00534306"/>
    <w:rsid w:val="00552C9E"/>
    <w:rsid w:val="0056344D"/>
    <w:rsid w:val="00564A08"/>
    <w:rsid w:val="005664BB"/>
    <w:rsid w:val="00566FFA"/>
    <w:rsid w:val="005712AE"/>
    <w:rsid w:val="0057481D"/>
    <w:rsid w:val="00574C01"/>
    <w:rsid w:val="00577A78"/>
    <w:rsid w:val="00580BD8"/>
    <w:rsid w:val="0058486E"/>
    <w:rsid w:val="00585B33"/>
    <w:rsid w:val="0059014D"/>
    <w:rsid w:val="005B5C64"/>
    <w:rsid w:val="005C5337"/>
    <w:rsid w:val="005C6BD0"/>
    <w:rsid w:val="005C7E26"/>
    <w:rsid w:val="005D1C8B"/>
    <w:rsid w:val="005D1F0E"/>
    <w:rsid w:val="005D468D"/>
    <w:rsid w:val="005D5CED"/>
    <w:rsid w:val="005E3719"/>
    <w:rsid w:val="005F0ED1"/>
    <w:rsid w:val="005F1A4C"/>
    <w:rsid w:val="006032B4"/>
    <w:rsid w:val="00605688"/>
    <w:rsid w:val="006070AF"/>
    <w:rsid w:val="00607E6C"/>
    <w:rsid w:val="006101B1"/>
    <w:rsid w:val="0061439F"/>
    <w:rsid w:val="00614E44"/>
    <w:rsid w:val="0062270A"/>
    <w:rsid w:val="00622830"/>
    <w:rsid w:val="00623B71"/>
    <w:rsid w:val="00623DA0"/>
    <w:rsid w:val="00630AEF"/>
    <w:rsid w:val="006325F8"/>
    <w:rsid w:val="00632782"/>
    <w:rsid w:val="00633463"/>
    <w:rsid w:val="00634C9A"/>
    <w:rsid w:val="00635076"/>
    <w:rsid w:val="0064221E"/>
    <w:rsid w:val="006440E4"/>
    <w:rsid w:val="00660B84"/>
    <w:rsid w:val="0066343B"/>
    <w:rsid w:val="00664777"/>
    <w:rsid w:val="006709E5"/>
    <w:rsid w:val="006748A4"/>
    <w:rsid w:val="0067637D"/>
    <w:rsid w:val="00681A31"/>
    <w:rsid w:val="00683E73"/>
    <w:rsid w:val="00685877"/>
    <w:rsid w:val="006A3141"/>
    <w:rsid w:val="006A4045"/>
    <w:rsid w:val="006A51B2"/>
    <w:rsid w:val="006A5E34"/>
    <w:rsid w:val="006B2422"/>
    <w:rsid w:val="006B2B9A"/>
    <w:rsid w:val="006B5334"/>
    <w:rsid w:val="006C1937"/>
    <w:rsid w:val="006E710D"/>
    <w:rsid w:val="006F020C"/>
    <w:rsid w:val="007127B7"/>
    <w:rsid w:val="0071798E"/>
    <w:rsid w:val="00731DD4"/>
    <w:rsid w:val="007416B6"/>
    <w:rsid w:val="00746F48"/>
    <w:rsid w:val="0075404D"/>
    <w:rsid w:val="0076182A"/>
    <w:rsid w:val="00767B7E"/>
    <w:rsid w:val="007770C3"/>
    <w:rsid w:val="00784D24"/>
    <w:rsid w:val="00785FBA"/>
    <w:rsid w:val="00786665"/>
    <w:rsid w:val="00786E4A"/>
    <w:rsid w:val="007875EB"/>
    <w:rsid w:val="0079426B"/>
    <w:rsid w:val="007A6775"/>
    <w:rsid w:val="007B09B5"/>
    <w:rsid w:val="007B6A47"/>
    <w:rsid w:val="007D1682"/>
    <w:rsid w:val="007D312A"/>
    <w:rsid w:val="007D3F19"/>
    <w:rsid w:val="007D787E"/>
    <w:rsid w:val="007E23B0"/>
    <w:rsid w:val="007E23E5"/>
    <w:rsid w:val="007F1991"/>
    <w:rsid w:val="007F2C2F"/>
    <w:rsid w:val="007F55FC"/>
    <w:rsid w:val="007F5665"/>
    <w:rsid w:val="0080001D"/>
    <w:rsid w:val="00800112"/>
    <w:rsid w:val="00806074"/>
    <w:rsid w:val="00813348"/>
    <w:rsid w:val="0081397E"/>
    <w:rsid w:val="008253BB"/>
    <w:rsid w:val="0083706E"/>
    <w:rsid w:val="008408F6"/>
    <w:rsid w:val="008423A5"/>
    <w:rsid w:val="00850625"/>
    <w:rsid w:val="00853718"/>
    <w:rsid w:val="00855221"/>
    <w:rsid w:val="00860645"/>
    <w:rsid w:val="00871F71"/>
    <w:rsid w:val="00872FD8"/>
    <w:rsid w:val="00882AFD"/>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1DD7"/>
    <w:rsid w:val="00933499"/>
    <w:rsid w:val="00935C98"/>
    <w:rsid w:val="00940691"/>
    <w:rsid w:val="00946945"/>
    <w:rsid w:val="00951248"/>
    <w:rsid w:val="0095152F"/>
    <w:rsid w:val="00954C49"/>
    <w:rsid w:val="00955E37"/>
    <w:rsid w:val="00964713"/>
    <w:rsid w:val="0097099F"/>
    <w:rsid w:val="00971997"/>
    <w:rsid w:val="00971FFC"/>
    <w:rsid w:val="00977ED5"/>
    <w:rsid w:val="0098660A"/>
    <w:rsid w:val="009931C3"/>
    <w:rsid w:val="009B2C43"/>
    <w:rsid w:val="009B4EAE"/>
    <w:rsid w:val="009B7573"/>
    <w:rsid w:val="009C22F4"/>
    <w:rsid w:val="009C2A4B"/>
    <w:rsid w:val="009C2E98"/>
    <w:rsid w:val="009D150A"/>
    <w:rsid w:val="009D3447"/>
    <w:rsid w:val="009D4711"/>
    <w:rsid w:val="009F1185"/>
    <w:rsid w:val="009F18CD"/>
    <w:rsid w:val="009F2A13"/>
    <w:rsid w:val="009F51C4"/>
    <w:rsid w:val="009F7527"/>
    <w:rsid w:val="00A04EB0"/>
    <w:rsid w:val="00A13CC1"/>
    <w:rsid w:val="00A13EA0"/>
    <w:rsid w:val="00A16847"/>
    <w:rsid w:val="00A237D8"/>
    <w:rsid w:val="00A268C4"/>
    <w:rsid w:val="00A307CD"/>
    <w:rsid w:val="00A331C8"/>
    <w:rsid w:val="00A40A00"/>
    <w:rsid w:val="00A4142F"/>
    <w:rsid w:val="00A422EB"/>
    <w:rsid w:val="00A45BB7"/>
    <w:rsid w:val="00A56DF2"/>
    <w:rsid w:val="00A56E6E"/>
    <w:rsid w:val="00A66B7A"/>
    <w:rsid w:val="00A67AB5"/>
    <w:rsid w:val="00A733B2"/>
    <w:rsid w:val="00A73F0C"/>
    <w:rsid w:val="00A741C2"/>
    <w:rsid w:val="00A87048"/>
    <w:rsid w:val="00A91760"/>
    <w:rsid w:val="00A93B00"/>
    <w:rsid w:val="00A93C21"/>
    <w:rsid w:val="00AA6130"/>
    <w:rsid w:val="00AB64C9"/>
    <w:rsid w:val="00AC04A5"/>
    <w:rsid w:val="00AC3C6A"/>
    <w:rsid w:val="00AD5620"/>
    <w:rsid w:val="00AD656B"/>
    <w:rsid w:val="00AD7C1B"/>
    <w:rsid w:val="00AE16BA"/>
    <w:rsid w:val="00AE1EBE"/>
    <w:rsid w:val="00AF1C8C"/>
    <w:rsid w:val="00B03C9D"/>
    <w:rsid w:val="00B060AE"/>
    <w:rsid w:val="00B10517"/>
    <w:rsid w:val="00B14E76"/>
    <w:rsid w:val="00B154EE"/>
    <w:rsid w:val="00B161B8"/>
    <w:rsid w:val="00B2048C"/>
    <w:rsid w:val="00B21042"/>
    <w:rsid w:val="00B310B9"/>
    <w:rsid w:val="00B35F3F"/>
    <w:rsid w:val="00B36CBB"/>
    <w:rsid w:val="00B425E0"/>
    <w:rsid w:val="00B440AA"/>
    <w:rsid w:val="00B44B70"/>
    <w:rsid w:val="00B53C56"/>
    <w:rsid w:val="00B57DAF"/>
    <w:rsid w:val="00B77EA6"/>
    <w:rsid w:val="00B81598"/>
    <w:rsid w:val="00B841F1"/>
    <w:rsid w:val="00B92C62"/>
    <w:rsid w:val="00B944D6"/>
    <w:rsid w:val="00BA576D"/>
    <w:rsid w:val="00BB4DF0"/>
    <w:rsid w:val="00BC289F"/>
    <w:rsid w:val="00BC2D50"/>
    <w:rsid w:val="00BC5361"/>
    <w:rsid w:val="00BC5460"/>
    <w:rsid w:val="00BC6B50"/>
    <w:rsid w:val="00BD0E25"/>
    <w:rsid w:val="00BE31FA"/>
    <w:rsid w:val="00BF5BD6"/>
    <w:rsid w:val="00C03E31"/>
    <w:rsid w:val="00C22595"/>
    <w:rsid w:val="00C31272"/>
    <w:rsid w:val="00C33E72"/>
    <w:rsid w:val="00C34A39"/>
    <w:rsid w:val="00C354B2"/>
    <w:rsid w:val="00C35554"/>
    <w:rsid w:val="00C42709"/>
    <w:rsid w:val="00C52324"/>
    <w:rsid w:val="00C533CC"/>
    <w:rsid w:val="00C54291"/>
    <w:rsid w:val="00C5751C"/>
    <w:rsid w:val="00C61BFC"/>
    <w:rsid w:val="00C62B85"/>
    <w:rsid w:val="00C65438"/>
    <w:rsid w:val="00C87FD8"/>
    <w:rsid w:val="00C91381"/>
    <w:rsid w:val="00C91CBB"/>
    <w:rsid w:val="00CA5D55"/>
    <w:rsid w:val="00CB4E70"/>
    <w:rsid w:val="00CC020E"/>
    <w:rsid w:val="00CC078E"/>
    <w:rsid w:val="00CC09B6"/>
    <w:rsid w:val="00CC10C4"/>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5C13"/>
    <w:rsid w:val="00D655A5"/>
    <w:rsid w:val="00D66BDA"/>
    <w:rsid w:val="00D7035F"/>
    <w:rsid w:val="00D844A2"/>
    <w:rsid w:val="00D84EAB"/>
    <w:rsid w:val="00D94EAB"/>
    <w:rsid w:val="00DA634F"/>
    <w:rsid w:val="00DA65AC"/>
    <w:rsid w:val="00DB1913"/>
    <w:rsid w:val="00DC410D"/>
    <w:rsid w:val="00DC5A81"/>
    <w:rsid w:val="00DC68CA"/>
    <w:rsid w:val="00DC7CBA"/>
    <w:rsid w:val="00DD73B7"/>
    <w:rsid w:val="00DF28BC"/>
    <w:rsid w:val="00DF34B9"/>
    <w:rsid w:val="00E01053"/>
    <w:rsid w:val="00E07ACF"/>
    <w:rsid w:val="00E11262"/>
    <w:rsid w:val="00E16EB9"/>
    <w:rsid w:val="00E17AF2"/>
    <w:rsid w:val="00E2452A"/>
    <w:rsid w:val="00E30BE4"/>
    <w:rsid w:val="00E331A1"/>
    <w:rsid w:val="00E33202"/>
    <w:rsid w:val="00E336A9"/>
    <w:rsid w:val="00E40DC0"/>
    <w:rsid w:val="00E40E0E"/>
    <w:rsid w:val="00E4137C"/>
    <w:rsid w:val="00E4263F"/>
    <w:rsid w:val="00E472B1"/>
    <w:rsid w:val="00E50624"/>
    <w:rsid w:val="00E54633"/>
    <w:rsid w:val="00E568DF"/>
    <w:rsid w:val="00E64269"/>
    <w:rsid w:val="00E760F2"/>
    <w:rsid w:val="00E82267"/>
    <w:rsid w:val="00E853CE"/>
    <w:rsid w:val="00E867B6"/>
    <w:rsid w:val="00E92AC4"/>
    <w:rsid w:val="00EA010F"/>
    <w:rsid w:val="00ED1B63"/>
    <w:rsid w:val="00ED3C1F"/>
    <w:rsid w:val="00ED4085"/>
    <w:rsid w:val="00ED420E"/>
    <w:rsid w:val="00ED6FBE"/>
    <w:rsid w:val="00EE2F57"/>
    <w:rsid w:val="00EE7796"/>
    <w:rsid w:val="00EF096D"/>
    <w:rsid w:val="00EF4C34"/>
    <w:rsid w:val="00EF6410"/>
    <w:rsid w:val="00EF77C6"/>
    <w:rsid w:val="00F05438"/>
    <w:rsid w:val="00F1361C"/>
    <w:rsid w:val="00F156F0"/>
    <w:rsid w:val="00F160C7"/>
    <w:rsid w:val="00F2408F"/>
    <w:rsid w:val="00F240E9"/>
    <w:rsid w:val="00F36D8F"/>
    <w:rsid w:val="00F417B1"/>
    <w:rsid w:val="00F45853"/>
    <w:rsid w:val="00F57C7E"/>
    <w:rsid w:val="00F602DF"/>
    <w:rsid w:val="00F63D75"/>
    <w:rsid w:val="00F754A1"/>
    <w:rsid w:val="00F81FD9"/>
    <w:rsid w:val="00F841AA"/>
    <w:rsid w:val="00F84A94"/>
    <w:rsid w:val="00F87E96"/>
    <w:rsid w:val="00FA23E8"/>
    <w:rsid w:val="00FB122A"/>
    <w:rsid w:val="00FC32A0"/>
    <w:rsid w:val="00FD05A3"/>
    <w:rsid w:val="00FD3CC1"/>
    <w:rsid w:val="00FF1E02"/>
    <w:rsid w:val="00FF30B4"/>
    <w:rsid w:val="012A5EC2"/>
    <w:rsid w:val="015975B8"/>
    <w:rsid w:val="02FEBE30"/>
    <w:rsid w:val="04916F1E"/>
    <w:rsid w:val="061E35DE"/>
    <w:rsid w:val="066E0107"/>
    <w:rsid w:val="07996F6E"/>
    <w:rsid w:val="07DFD8BA"/>
    <w:rsid w:val="09867E8F"/>
    <w:rsid w:val="0A2032A3"/>
    <w:rsid w:val="0CA8290A"/>
    <w:rsid w:val="0CB832EC"/>
    <w:rsid w:val="0D35B1ED"/>
    <w:rsid w:val="0E254B6B"/>
    <w:rsid w:val="0F98263C"/>
    <w:rsid w:val="101860EC"/>
    <w:rsid w:val="101F47CC"/>
    <w:rsid w:val="10C055FF"/>
    <w:rsid w:val="11694EBD"/>
    <w:rsid w:val="11772AA4"/>
    <w:rsid w:val="118107EC"/>
    <w:rsid w:val="12E24EE2"/>
    <w:rsid w:val="13D50BC4"/>
    <w:rsid w:val="14B17F78"/>
    <w:rsid w:val="14D640C2"/>
    <w:rsid w:val="15267261"/>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3D43211"/>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1A4F29"/>
    <w:rsid w:val="32BD1EF1"/>
    <w:rsid w:val="3304709D"/>
    <w:rsid w:val="33A773CB"/>
    <w:rsid w:val="349D6851"/>
    <w:rsid w:val="356C3EF8"/>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4C9746D"/>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046B"/>
    <w:rsid w:val="5FBF9FF3"/>
    <w:rsid w:val="5FCD4E2C"/>
    <w:rsid w:val="5FEF394A"/>
    <w:rsid w:val="5FF67715"/>
    <w:rsid w:val="619056F4"/>
    <w:rsid w:val="62BF3928"/>
    <w:rsid w:val="63B3701E"/>
    <w:rsid w:val="63FFB5BA"/>
    <w:rsid w:val="647F5392"/>
    <w:rsid w:val="650778C3"/>
    <w:rsid w:val="65C634F9"/>
    <w:rsid w:val="65E66580"/>
    <w:rsid w:val="664B1D71"/>
    <w:rsid w:val="664B4E8E"/>
    <w:rsid w:val="67277B67"/>
    <w:rsid w:val="67AA3209"/>
    <w:rsid w:val="698D0931"/>
    <w:rsid w:val="6A7FE5F3"/>
    <w:rsid w:val="6B053271"/>
    <w:rsid w:val="6B3C600C"/>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7FBB4DB"/>
    <w:rsid w:val="783E271A"/>
    <w:rsid w:val="78616DE9"/>
    <w:rsid w:val="78E875D7"/>
    <w:rsid w:val="79086DAD"/>
    <w:rsid w:val="79D7FD79"/>
    <w:rsid w:val="79EE5BA4"/>
    <w:rsid w:val="7A894339"/>
    <w:rsid w:val="7AD284E8"/>
    <w:rsid w:val="7AFF7572"/>
    <w:rsid w:val="7B5D659F"/>
    <w:rsid w:val="7B6C7DFB"/>
    <w:rsid w:val="7BBFBED0"/>
    <w:rsid w:val="7BC3E394"/>
    <w:rsid w:val="7C1F3737"/>
    <w:rsid w:val="7C310E74"/>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BBDD34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0"/>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0"/>
    <w:pPr>
      <w:tabs>
        <w:tab w:val="right" w:leader="dot" w:pos="8296"/>
      </w:tabs>
      <w:adjustRightInd w:val="0"/>
      <w:snapToGrid w:val="0"/>
      <w:spacing w:line="440" w:lineRule="exact"/>
    </w:pPr>
    <w:rPr>
      <w:rFonts w:ascii="仿宋" w:hAnsi="仿宋" w:eastAsia="仿宋"/>
      <w:b/>
      <w:sz w:val="30"/>
      <w:szCs w:val="30"/>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adjustRightInd w:val="0"/>
      <w:snapToGrid w:val="0"/>
      <w:spacing w:line="560" w:lineRule="exact"/>
      <w:ind w:left="420" w:leftChars="200"/>
      <w:jc w:val="left"/>
    </w:pPr>
    <w:rPr>
      <w:rFonts w:eastAsia="仿宋_GB2312" w:cs="仿宋_GB2312"/>
      <w:spacing w:val="-10"/>
      <w:sz w:val="32"/>
      <w:szCs w:val="32"/>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正文-公1"/>
    <w:basedOn w:val="20"/>
    <w:next w:val="1"/>
    <w:qFormat/>
    <w:uiPriority w:val="0"/>
    <w:pPr>
      <w:ind w:firstLine="200" w:firstLine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5"/>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6"/>
    <w:link w:val="2"/>
    <w:qFormat/>
    <w:uiPriority w:val="0"/>
    <w:rPr>
      <w:rFonts w:ascii="Times New Roman" w:hAnsi="Times New Roman"/>
      <w:b/>
      <w:bCs/>
      <w:kern w:val="44"/>
      <w:sz w:val="44"/>
      <w:szCs w:val="44"/>
    </w:rPr>
  </w:style>
  <w:style w:type="character" w:customStyle="1" w:styleId="31">
    <w:name w:val="标题 2 Char"/>
    <w:basedOn w:val="16"/>
    <w:link w:val="3"/>
    <w:qFormat/>
    <w:uiPriority w:val="0"/>
    <w:rPr>
      <w:rFonts w:asciiTheme="majorHAnsi" w:hAnsiTheme="majorHAnsi" w:eastAsiaTheme="majorEastAsia" w:cstheme="majorBidi"/>
      <w:b/>
      <w:bCs/>
      <w:kern w:val="2"/>
      <w:sz w:val="32"/>
      <w:szCs w:val="32"/>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6"/>
    <w:link w:val="9"/>
    <w:semiHidden/>
    <w:qFormat/>
    <w:uiPriority w:val="99"/>
    <w:rPr>
      <w:rFonts w:ascii="Times New Roman" w:hAnsi="Times New Roman"/>
      <w:kern w:val="2"/>
      <w:sz w:val="18"/>
      <w:szCs w:val="18"/>
    </w:rPr>
  </w:style>
  <w:style w:type="character" w:customStyle="1" w:styleId="34">
    <w:name w:val="标题 3 Char"/>
    <w:basedOn w:val="16"/>
    <w:link w:val="4"/>
    <w:qFormat/>
    <w:uiPriority w:val="9"/>
    <w:rPr>
      <w:rFonts w:ascii="Times New Roman" w:hAnsi="Times New Roman"/>
      <w:b/>
      <w:bCs/>
      <w:kern w:val="2"/>
      <w:sz w:val="32"/>
      <w:szCs w:val="32"/>
    </w:rPr>
  </w:style>
  <w:style w:type="paragraph" w:customStyle="1" w:styleId="3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50" b="0" i="0" u="none" strike="noStrike" kern="1200" baseline="0">
                <a:solidFill>
                  <a:srgbClr val="000000"/>
                </a:solidFill>
                <a:latin typeface="宋体" charset="-122"/>
                <a:ea typeface="宋体" charset="-122"/>
                <a:cs typeface="Lucida Sans" panose="020B0602030504020204"/>
              </a:defRPr>
            </a:pPr>
            <a:r>
              <a:rPr lang="zh-CN" sz="1250" b="0" i="0" u="none" strike="noStrike" baseline="0">
                <a:solidFill>
                  <a:srgbClr val="000000"/>
                </a:solidFill>
                <a:latin typeface="宋体" charset="-122"/>
                <a:ea typeface="宋体" charset="-122"/>
                <a:cs typeface="Lucida Sans" panose="020B0602030504020204"/>
              </a:rPr>
              <a:t>单位：万元</a:t>
            </a:r>
            <a:endParaRPr lang="zh-CN" sz="1250" b="0" i="0" u="none" strike="noStrike" baseline="0">
              <a:solidFill>
                <a:srgbClr val="000000"/>
              </a:solidFill>
              <a:latin typeface="宋体" charset="-122"/>
              <a:ea typeface="宋体" charset="-122"/>
              <a:cs typeface="Lucida Sans" panose="020B0602030504020204"/>
            </a:endParaRPr>
          </a:p>
        </c:rich>
      </c:tx>
      <c:layout>
        <c:manualLayout>
          <c:xMode val="edge"/>
          <c:yMode val="edge"/>
          <c:x val="0.564814814814816"/>
          <c:y val="0"/>
        </c:manualLayout>
      </c:layout>
      <c:overlay val="false"/>
      <c:spPr>
        <a:ln>
          <a:noFill/>
        </a:ln>
      </c:spPr>
    </c:title>
    <c:autoTitleDeleted val="false"/>
    <c:plotArea>
      <c:layout>
        <c:manualLayout>
          <c:layoutTarget val="inner"/>
          <c:xMode val="edge"/>
          <c:yMode val="edge"/>
          <c:x val="0.0964310121149917"/>
          <c:y val="0.132086819012348"/>
          <c:w val="0.632921775397969"/>
          <c:h val="0.697605430694737"/>
        </c:manualLayout>
      </c:layout>
      <c:barChart>
        <c:barDir val="col"/>
        <c:grouping val="clustered"/>
        <c:varyColors val="false"/>
        <c:ser>
          <c:idx val="0"/>
          <c:order val="0"/>
          <c:tx>
            <c:strRef>
              <c:f>Sheet1!$A$2</c:f>
              <c:strCache>
                <c:ptCount val="1"/>
                <c:pt idx="0">
                  <c:v>2023年</c:v>
                </c:pt>
              </c:strCache>
            </c:strRef>
          </c:tx>
          <c:spPr>
            <a:solidFill>
              <a:srgbClr val="9999FF"/>
            </a:solidFill>
            <a:ln w="6350">
              <a:solidFill>
                <a:srgbClr val="000000"/>
              </a:solidFill>
              <a:prstDash val="solid"/>
            </a:ln>
          </c:spPr>
          <c:invertIfNegative val="false"/>
          <c:dLbls>
            <c:dLbl>
              <c:idx val="0"/>
              <c:layout>
                <c:manualLayout>
                  <c:x val="0"/>
                  <c:y val="0.020833333333333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Sheet1!$B$2</c:f>
              <c:numCache>
                <c:formatCode>General</c:formatCode>
                <c:ptCount val="1"/>
                <c:pt idx="0">
                  <c:v>216.03</c:v>
                </c:pt>
              </c:numCache>
            </c:numRef>
          </c:val>
        </c:ser>
        <c:ser>
          <c:idx val="1"/>
          <c:order val="1"/>
          <c:tx>
            <c:strRef>
              <c:f>Sheet1!$A$3</c:f>
              <c:strCache>
                <c:ptCount val="1"/>
                <c:pt idx="0">
                  <c:v>2024年</c:v>
                </c:pt>
              </c:strCache>
            </c:strRef>
          </c:tx>
          <c:spPr>
            <a:solidFill>
              <a:srgbClr val="993366"/>
            </a:solidFill>
            <a:ln w="6350">
              <a:solidFill>
                <a:srgbClr val="000000"/>
              </a:solidFill>
              <a:prstDash val="solid"/>
            </a:ln>
          </c:spPr>
          <c:invertIfNegative val="false"/>
          <c:dLbls>
            <c:dLbl>
              <c:idx val="0"/>
              <c:layout>
                <c:manualLayout>
                  <c:x val="0"/>
                  <c:y val="0.0208333333333334"/>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Sheet1!$B$3</c:f>
              <c:numCache>
                <c:formatCode>General</c:formatCode>
                <c:ptCount val="1"/>
                <c:pt idx="0">
                  <c:v>196.8</c:v>
                </c:pt>
              </c:numCache>
            </c:numRef>
          </c:val>
        </c:ser>
        <c:dLbls>
          <c:showLegendKey val="false"/>
          <c:showVal val="true"/>
          <c:showCatName val="false"/>
          <c:showSerName val="false"/>
          <c:showPercent val="false"/>
          <c:showBubbleSize val="false"/>
        </c:dLbls>
        <c:gapWidth val="150"/>
        <c:axId val="50498176"/>
        <c:axId val="51847936"/>
      </c:barChart>
      <c:catAx>
        <c:axId val="50498176"/>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51847936"/>
        <c:crosses val="autoZero"/>
        <c:auto val="true"/>
        <c:lblAlgn val="ctr"/>
        <c:lblOffset val="100"/>
        <c:noMultiLvlLbl val="false"/>
      </c:catAx>
      <c:valAx>
        <c:axId val="51847936"/>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50498176"/>
        <c:crossesAt val="1"/>
        <c:crossBetween val="between"/>
      </c:valAx>
      <c:spPr>
        <a:solidFill>
          <a:srgbClr val="C0C0C0"/>
        </a:solidFill>
        <a:ln w="6350">
          <a:solidFill>
            <a:srgbClr val="808080"/>
          </a:solidFill>
          <a:prstDash val="solid"/>
        </a:ln>
      </c:spPr>
    </c:plotArea>
    <c:legend>
      <c:legendPos val="r"/>
      <c:legendEntry>
        <c:idx val="0"/>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ayout>
        <c:manualLayout>
          <c:xMode val="edge"/>
          <c:yMode val="edge"/>
          <c:x val="0.753589352458028"/>
          <c:y val="0.449265037239752"/>
          <c:w val="0.137984083833949"/>
          <c:h val="0.189189200000001"/>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05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50" b="0" i="0" u="none" strike="noStrike" kern="1200" baseline="0">
                <a:solidFill>
                  <a:srgbClr val="000000"/>
                </a:solidFill>
                <a:latin typeface="宋体" charset="-122"/>
                <a:ea typeface="宋体" charset="-122"/>
                <a:cs typeface="Lucida Sans" panose="020B0602030504020204"/>
              </a:defRPr>
            </a:pPr>
            <a:r>
              <a:rPr lang="zh-CN" sz="900" b="0" i="0" u="none" strike="noStrike" baseline="0">
                <a:solidFill>
                  <a:srgbClr val="000000"/>
                </a:solidFill>
                <a:latin typeface="宋体" charset="-122"/>
                <a:ea typeface="宋体" charset="-122"/>
                <a:cs typeface="Lucida Sans" panose="020B0602030504020204"/>
              </a:rPr>
              <a:t>单</a:t>
            </a:r>
            <a:r>
              <a:rPr lang="zh-CN" altLang="en-US" sz="900" b="0" i="0" u="none" strike="noStrike" baseline="0">
                <a:solidFill>
                  <a:srgbClr val="000000"/>
                </a:solidFill>
                <a:latin typeface="宋体" charset="-122"/>
                <a:ea typeface="宋体" charset="-122"/>
                <a:cs typeface="Lucida Sans" panose="020B0602030504020204"/>
              </a:rPr>
              <a:t>位：万元</a:t>
            </a:r>
            <a:endParaRPr lang="zh-CN" sz="900" b="0" i="0" u="heavy" strike="noStrike" baseline="0">
              <a:solidFill>
                <a:srgbClr val="000000"/>
              </a:solidFill>
              <a:uFill>
                <a:solidFill>
                  <a:srgbClr val="000000"/>
                </a:solidFill>
              </a:uFill>
              <a:latin typeface="宋体" charset="-122"/>
              <a:ea typeface="宋体" charset="-122"/>
              <a:cs typeface="Lucida Sans" panose="020B0602030504020204"/>
            </a:endParaRPr>
          </a:p>
        </c:rich>
      </c:tx>
      <c:layout>
        <c:manualLayout>
          <c:xMode val="edge"/>
          <c:yMode val="edge"/>
          <c:x val="0.597425811819464"/>
          <c:y val="0.127229613539687"/>
        </c:manualLayout>
      </c:layout>
      <c:overlay val="false"/>
      <c:spPr>
        <a:ln>
          <a:noFill/>
        </a:ln>
      </c:spPr>
    </c:title>
    <c:autoTitleDeleted val="false"/>
    <c:plotArea>
      <c:layout>
        <c:manualLayout>
          <c:layoutTarget val="inner"/>
          <c:xMode val="edge"/>
          <c:yMode val="edge"/>
          <c:x val="0.371410449650915"/>
          <c:y val="0.234731106887501"/>
          <c:w val="0.293427279115127"/>
          <c:h val="0.729212578445456"/>
        </c:manualLayout>
      </c:layout>
      <c:pieChart>
        <c:varyColors val="true"/>
        <c:ser>
          <c:idx val="0"/>
          <c:order val="0"/>
          <c:spPr>
            <a:solidFill>
              <a:srgbClr val="9999FF"/>
            </a:solidFill>
            <a:ln w="6350">
              <a:solidFill>
                <a:srgbClr val="000000"/>
              </a:solidFill>
              <a:prstDash val="solid"/>
            </a:ln>
          </c:spPr>
          <c:explosion val="42"/>
          <c:dPt>
            <c:idx val="0"/>
            <c:bubble3D val="false"/>
            <c:explosion val="44"/>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dLbl>
              <c:idx val="0"/>
              <c:layout/>
              <c:tx>
                <c:rich>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r>
                      <a:rPr lang="en-US" altLang="en-US"/>
                      <a:t>196.8</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(2)'!$A$1:$B$1</c:f>
              <c:strCache>
                <c:ptCount val="2"/>
                <c:pt idx="0">
                  <c:v>一般公共预算财政拨款收入</c:v>
                </c:pt>
              </c:strCache>
            </c:strRef>
          </c:cat>
          <c:val>
            <c:numRef>
              <c:f>'Sheet1 (2)'!$A$2:$B$2</c:f>
              <c:numCache>
                <c:formatCode>General</c:formatCode>
                <c:ptCount val="2"/>
                <c:pt idx="0">
                  <c:v>216.03</c:v>
                </c:pt>
              </c:numCache>
            </c:numRef>
          </c:val>
        </c:ser>
        <c:dLbls>
          <c:showLegendKey val="false"/>
          <c:showVal val="fals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egendEntry>
        <c:idx val="0"/>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ayout>
        <c:manualLayout>
          <c:xMode val="edge"/>
          <c:yMode val="edge"/>
          <c:x val="0.730092566913056"/>
          <c:y val="0.430328898542855"/>
          <c:w val="0.162715080259648"/>
          <c:h val="0.38822807493891"/>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05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50" b="0" i="0" u="none" strike="noStrike" kern="1200" baseline="0">
                <a:solidFill>
                  <a:srgbClr val="000000"/>
                </a:solidFill>
                <a:latin typeface="宋体" charset="-122"/>
                <a:ea typeface="宋体" charset="-122"/>
                <a:cs typeface="Lucida Sans" panose="020B0602030504020204"/>
              </a:defRPr>
            </a:pPr>
            <a:r>
              <a:rPr lang="zh-CN" sz="1100" b="0" i="0" u="none" strike="noStrike" baseline="0">
                <a:solidFill>
                  <a:srgbClr val="000000"/>
                </a:solidFill>
                <a:latin typeface="宋体" charset="-122"/>
                <a:ea typeface="宋体" charset="-122"/>
                <a:cs typeface="Lucida Sans" panose="020B0602030504020204"/>
              </a:rPr>
              <a:t>单位:</a:t>
            </a:r>
            <a:r>
              <a:rPr lang="zh-CN" altLang="en-US" sz="1100" b="0" i="0" u="none" strike="noStrike" baseline="0">
                <a:solidFill>
                  <a:srgbClr val="000000"/>
                </a:solidFill>
                <a:latin typeface="宋体" charset="-122"/>
                <a:ea typeface="宋体" charset="-122"/>
                <a:cs typeface="Lucida Sans" panose="020B0602030504020204"/>
              </a:rPr>
              <a:t>万元</a:t>
            </a:r>
            <a:endParaRPr lang="zh-CN" sz="1100" b="0" i="0" u="sng" strike="noStrike" baseline="0">
              <a:solidFill>
                <a:srgbClr val="000000"/>
              </a:solidFill>
              <a:uFill>
                <a:solidFill>
                  <a:srgbClr val="000000"/>
                </a:solidFill>
              </a:uFill>
              <a:latin typeface="宋体" charset="-122"/>
              <a:ea typeface="宋体" charset="-122"/>
              <a:cs typeface="Lucida Sans" panose="020B0602030504020204"/>
            </a:endParaRPr>
          </a:p>
        </c:rich>
      </c:tx>
      <c:layout>
        <c:manualLayout>
          <c:xMode val="edge"/>
          <c:yMode val="edge"/>
          <c:x val="0.404778212247279"/>
          <c:y val="0.082186197313571"/>
        </c:manualLayout>
      </c:layout>
      <c:overlay val="false"/>
      <c:spPr>
        <a:ln>
          <a:noFill/>
        </a:ln>
      </c:spPr>
    </c:title>
    <c:autoTitleDeleted val="false"/>
    <c:plotArea>
      <c:layout>
        <c:manualLayout>
          <c:layoutTarget val="inner"/>
          <c:xMode val="edge"/>
          <c:yMode val="edge"/>
          <c:x val="0.2104247"/>
          <c:y val="0.27332705"/>
          <c:w val="0.360574840000002"/>
          <c:h val="0.718130470000002"/>
        </c:manualLayout>
      </c:layout>
      <c:pieChart>
        <c:varyColors val="true"/>
        <c:ser>
          <c:idx val="0"/>
          <c:order val="0"/>
          <c:tx>
            <c:strRef>
              <c:f>'Sheet1 (3)'!$A$2</c:f>
              <c:strCache>
                <c:ptCount val="1"/>
                <c:pt idx="0">
                  <c:v/>
                </c:pt>
              </c:strCache>
            </c:strRef>
          </c:tx>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Lbls>
            <c:dLbl>
              <c:idx val="1"/>
              <c:layout/>
              <c:tx>
                <c:rich>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charset="-122"/>
                        <a:ea typeface="宋体" charset="-122"/>
                        <a:cs typeface="Lucida Sans" panose="020B0602030504020204"/>
                      </a:defRPr>
                    </a:pPr>
                    <a:r>
                      <a:rPr altLang="en-US"/>
                      <a:t>9.1</a:t>
                    </a:r>
                    <a:r>
                      <a:rPr lang="en-US" altLang="en-US"/>
                      <a:t>6</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(3)'!$B$1:$C$1</c:f>
              <c:strCache>
                <c:ptCount val="2"/>
                <c:pt idx="0">
                  <c:v>基本支出</c:v>
                </c:pt>
                <c:pt idx="1">
                  <c:v>项目支出</c:v>
                </c:pt>
              </c:strCache>
            </c:strRef>
          </c:cat>
          <c:val>
            <c:numRef>
              <c:f>'Sheet1 (3)'!$B$2:$C$2</c:f>
              <c:numCache>
                <c:formatCode>General</c:formatCode>
                <c:ptCount val="2"/>
                <c:pt idx="0">
                  <c:v>187.65</c:v>
                </c:pt>
                <c:pt idx="1">
                  <c:v>9.15</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6427029954589"/>
          <c:y val="0.422371230745478"/>
          <c:w val="0.239290680000001"/>
          <c:h val="0.378847570000002"/>
        </c:manualLayout>
      </c:layout>
      <c:overlay val="false"/>
      <c:spPr>
        <a:noFill/>
        <a:ln w="6350">
          <a:solidFill>
            <a:srgbClr val="000000"/>
          </a:solidFill>
          <a:prstDash val="solid"/>
        </a:ln>
      </c:spPr>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12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50" b="0" i="0" u="none" strike="noStrike" kern="1200" baseline="0">
                <a:solidFill>
                  <a:srgbClr val="000000"/>
                </a:solidFill>
                <a:latin typeface="宋体" charset="-122"/>
                <a:ea typeface="宋体" charset="-122"/>
                <a:cs typeface="Lucida Sans" panose="020B0602030504020204"/>
              </a:defRPr>
            </a:pPr>
            <a:r>
              <a:rPr lang="zh-CN" sz="1250" b="0" i="0" u="none" strike="noStrike" baseline="0">
                <a:solidFill>
                  <a:srgbClr val="000000"/>
                </a:solidFill>
                <a:latin typeface="宋体" charset="-122"/>
                <a:ea typeface="宋体" charset="-122"/>
                <a:cs typeface="Lucida Sans" panose="020B0602030504020204"/>
              </a:rPr>
              <a:t>单位：万元</a:t>
            </a:r>
            <a:endParaRPr lang="zh-CN" sz="1250" b="0" i="0" u="none" strike="noStrike" baseline="0">
              <a:solidFill>
                <a:srgbClr val="000000"/>
              </a:solidFill>
              <a:latin typeface="宋体" charset="-122"/>
              <a:ea typeface="宋体" charset="-122"/>
              <a:cs typeface="Lucida Sans" panose="020B0602030504020204"/>
            </a:endParaRPr>
          </a:p>
        </c:rich>
      </c:tx>
      <c:layout>
        <c:manualLayout>
          <c:xMode val="edge"/>
          <c:yMode val="edge"/>
          <c:x val="0.617064054513606"/>
          <c:y val="0.0520291363163372"/>
        </c:manualLayout>
      </c:layout>
      <c:overlay val="false"/>
      <c:spPr>
        <a:ln>
          <a:noFill/>
        </a:ln>
      </c:spPr>
    </c:title>
    <c:autoTitleDeleted val="false"/>
    <c:plotArea>
      <c:layout>
        <c:manualLayout>
          <c:layoutTarget val="inner"/>
          <c:xMode val="edge"/>
          <c:yMode val="edge"/>
          <c:x val="0.134327124496566"/>
          <c:y val="0.162554793191044"/>
          <c:w val="0.632921775397969"/>
          <c:h val="0.681705783561621"/>
        </c:manualLayout>
      </c:layout>
      <c:barChart>
        <c:barDir val="col"/>
        <c:grouping val="clustered"/>
        <c:varyColors val="false"/>
        <c:ser>
          <c:idx val="0"/>
          <c:order val="0"/>
          <c:tx>
            <c:strRef>
              <c:f>Sheet1!$A$2</c:f>
              <c:strCache>
                <c:ptCount val="1"/>
                <c:pt idx="0">
                  <c:v>2023年</c:v>
                </c:pt>
              </c:strCache>
            </c:strRef>
          </c:tx>
          <c:spPr>
            <a:solidFill>
              <a:srgbClr val="9999FF"/>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Sheet1!$B$2</c:f>
              <c:numCache>
                <c:formatCode>General</c:formatCode>
                <c:ptCount val="1"/>
                <c:pt idx="0">
                  <c:v>216.03</c:v>
                </c:pt>
              </c:numCache>
            </c:numRef>
          </c:val>
        </c:ser>
        <c:ser>
          <c:idx val="1"/>
          <c:order val="1"/>
          <c:tx>
            <c:strRef>
              <c:f>Sheet1!$A$3</c:f>
              <c:strCache>
                <c:ptCount val="1"/>
                <c:pt idx="0">
                  <c:v>2024年</c:v>
                </c:pt>
              </c:strCache>
            </c:strRef>
          </c:tx>
          <c:spPr>
            <a:solidFill>
              <a:srgbClr val="993366"/>
            </a:solidFill>
            <a:ln w="6350">
              <a:solidFill>
                <a:srgbClr val="000000"/>
              </a:solidFill>
              <a:prstDash val="solid"/>
            </a:ln>
          </c:spPr>
          <c:invertIfNegative val="false"/>
          <c:dLbls>
            <c:dLbl>
              <c:idx val="0"/>
              <c:layout>
                <c:manualLayout>
                  <c:x val="0.00217864923747277"/>
                  <c:y val="0.0136518771331058"/>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Sheet1!$B$3</c:f>
              <c:numCache>
                <c:formatCode>General</c:formatCode>
                <c:ptCount val="1"/>
                <c:pt idx="0">
                  <c:v>196.8</c:v>
                </c:pt>
              </c:numCache>
            </c:numRef>
          </c:val>
        </c:ser>
        <c:dLbls>
          <c:showLegendKey val="false"/>
          <c:showVal val="true"/>
          <c:showCatName val="false"/>
          <c:showSerName val="false"/>
          <c:showPercent val="false"/>
          <c:showBubbleSize val="false"/>
        </c:dLbls>
        <c:gapWidth val="150"/>
        <c:axId val="98089216"/>
        <c:axId val="115815552"/>
      </c:barChart>
      <c:catAx>
        <c:axId val="98089216"/>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115815552"/>
        <c:crosses val="autoZero"/>
        <c:auto val="true"/>
        <c:lblAlgn val="ctr"/>
        <c:lblOffset val="100"/>
        <c:noMultiLvlLbl val="false"/>
      </c:catAx>
      <c:valAx>
        <c:axId val="115815552"/>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98089216"/>
        <c:crossesAt val="1"/>
        <c:crossBetween val="between"/>
      </c:valAx>
      <c:spPr>
        <a:solidFill>
          <a:srgbClr val="C0C0C0"/>
        </a:solidFill>
        <a:ln w="6350">
          <a:solidFill>
            <a:srgbClr val="808080"/>
          </a:solidFill>
          <a:prstDash val="solid"/>
        </a:ln>
      </c:spPr>
    </c:plotArea>
    <c:legend>
      <c:legendPos val="r"/>
      <c:legendEntry>
        <c:idx val="0"/>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ayout>
        <c:manualLayout>
          <c:xMode val="edge"/>
          <c:yMode val="edge"/>
          <c:x val="0.791049922871403"/>
          <c:y val="0.426372287284082"/>
          <c:w val="0.137984083833948"/>
          <c:h val="0.1891892"/>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05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50" b="0" i="0" u="none" strike="noStrike" kern="1200" baseline="0">
                <a:solidFill>
                  <a:srgbClr val="000000"/>
                </a:solidFill>
                <a:latin typeface="宋体" charset="-122"/>
                <a:ea typeface="宋体" charset="-122"/>
                <a:cs typeface="Lucida Sans" panose="020B0602030504020204"/>
              </a:defRPr>
            </a:pPr>
            <a:r>
              <a:rPr lang="zh-CN" sz="1250" b="0" i="0" u="none" strike="noStrike" baseline="0">
                <a:solidFill>
                  <a:srgbClr val="000000"/>
                </a:solidFill>
                <a:latin typeface="宋体" charset="-122"/>
                <a:ea typeface="宋体" charset="-122"/>
                <a:cs typeface="Lucida Sans" panose="020B0602030504020204"/>
              </a:rPr>
              <a:t>单位：万元</a:t>
            </a:r>
            <a:endParaRPr lang="zh-CN" sz="1250" b="0" i="0" u="none" strike="noStrike" baseline="0">
              <a:solidFill>
                <a:srgbClr val="000000"/>
              </a:solidFill>
              <a:latin typeface="宋体" charset="-122"/>
              <a:ea typeface="宋体" charset="-122"/>
              <a:cs typeface="Lucida Sans" panose="020B0602030504020204"/>
            </a:endParaRPr>
          </a:p>
        </c:rich>
      </c:tx>
      <c:layout>
        <c:manualLayout>
          <c:xMode val="edge"/>
          <c:yMode val="edge"/>
          <c:x val="0.680013380680355"/>
          <c:y val="0.0456049997007703"/>
        </c:manualLayout>
      </c:layout>
      <c:overlay val="false"/>
      <c:spPr>
        <a:ln>
          <a:noFill/>
        </a:ln>
      </c:spPr>
    </c:title>
    <c:autoTitleDeleted val="false"/>
    <c:plotArea>
      <c:layout>
        <c:manualLayout>
          <c:layoutTarget val="inner"/>
          <c:xMode val="edge"/>
          <c:yMode val="edge"/>
          <c:x val="0.197514452850257"/>
          <c:y val="0.14988193251088"/>
          <c:w val="0.632921775397969"/>
          <c:h val="0.713214171589634"/>
        </c:manualLayout>
      </c:layout>
      <c:barChart>
        <c:barDir val="col"/>
        <c:grouping val="clustered"/>
        <c:varyColors val="false"/>
        <c:ser>
          <c:idx val="0"/>
          <c:order val="0"/>
          <c:tx>
            <c:strRef>
              <c:f>Sheet1!$A$2</c:f>
              <c:strCache>
                <c:ptCount val="1"/>
                <c:pt idx="0">
                  <c:v>2023年</c:v>
                </c:pt>
              </c:strCache>
            </c:strRef>
          </c:tx>
          <c:spPr>
            <a:solidFill>
              <a:srgbClr val="9999FF"/>
            </a:solidFill>
            <a:ln w="6350">
              <a:solidFill>
                <a:srgbClr val="000000"/>
              </a:solidFill>
              <a:prstDash val="solid"/>
            </a:ln>
          </c:spPr>
          <c:invertIfNegative val="false"/>
          <c:dLbls>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Sheet1!$B$2</c:f>
              <c:numCache>
                <c:formatCode>General</c:formatCode>
                <c:ptCount val="1"/>
                <c:pt idx="0">
                  <c:v>216.03</c:v>
                </c:pt>
              </c:numCache>
            </c:numRef>
          </c:val>
        </c:ser>
        <c:ser>
          <c:idx val="1"/>
          <c:order val="1"/>
          <c:tx>
            <c:strRef>
              <c:f>Sheet1!$A$3</c:f>
              <c:strCache>
                <c:ptCount val="1"/>
                <c:pt idx="0">
                  <c:v>2024年</c:v>
                </c:pt>
              </c:strCache>
            </c:strRef>
          </c:tx>
          <c:spPr>
            <a:solidFill>
              <a:srgbClr val="993366"/>
            </a:solidFill>
            <a:ln w="6350">
              <a:solidFill>
                <a:srgbClr val="000000"/>
              </a:solidFill>
              <a:prstDash val="solid"/>
            </a:ln>
          </c:spPr>
          <c:invertIfNegative val="false"/>
          <c:dLbls>
            <c:dLbl>
              <c:idx val="0"/>
              <c:layout>
                <c:manualLayout>
                  <c:x val="0"/>
                  <c:y val="0.0130293159609121"/>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numRef>
              <c:f>Sheet1!$B$1</c:f>
              <c:numCache>
                <c:formatCode>General</c:formatCode>
                <c:ptCount val="1"/>
              </c:numCache>
            </c:numRef>
          </c:cat>
          <c:val>
            <c:numRef>
              <c:f>Sheet1!$B$3</c:f>
              <c:numCache>
                <c:formatCode>General</c:formatCode>
                <c:ptCount val="1"/>
                <c:pt idx="0">
                  <c:v>196.8</c:v>
                </c:pt>
              </c:numCache>
            </c:numRef>
          </c:val>
        </c:ser>
        <c:dLbls>
          <c:showLegendKey val="false"/>
          <c:showVal val="true"/>
          <c:showCatName val="false"/>
          <c:showSerName val="false"/>
          <c:showPercent val="false"/>
          <c:showBubbleSize val="false"/>
        </c:dLbls>
        <c:gapWidth val="150"/>
        <c:axId val="86283392"/>
        <c:axId val="86284928"/>
      </c:barChart>
      <c:catAx>
        <c:axId val="86283392"/>
        <c:scaling>
          <c:orientation val="minMax"/>
        </c:scaling>
        <c:delete val="false"/>
        <c:axPos val="b"/>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86284928"/>
        <c:crosses val="autoZero"/>
        <c:auto val="true"/>
        <c:lblAlgn val="ctr"/>
        <c:lblOffset val="100"/>
        <c:noMultiLvlLbl val="false"/>
      </c:catAx>
      <c:valAx>
        <c:axId val="86284928"/>
        <c:scaling>
          <c:orientation val="minMax"/>
        </c:scaling>
        <c:delete val="false"/>
        <c:axPos val="l"/>
        <c:majorGridlines>
          <c:spPr>
            <a:ln w="6350" cap="flat" cmpd="sng" algn="ctr">
              <a:solidFill>
                <a:srgbClr val="000000"/>
              </a:solidFill>
              <a:prstDash val="solid"/>
              <a:round/>
            </a:ln>
          </c:spPr>
        </c:majorGridlines>
        <c:numFmt formatCode="General" sourceLinked="true"/>
        <c:majorTickMark val="in"/>
        <c:minorTickMark val="none"/>
        <c:tickLblPos val="nextTo"/>
        <c:spPr>
          <a:ln w="6350" cap="flat" cmpd="sng" algn="ctr">
            <a:solidFill>
              <a:srgbClr val="000000"/>
            </a:solidFill>
            <a:prstDash val="solid"/>
            <a:round/>
          </a:ln>
        </c:spPr>
        <c:txPr>
          <a:bodyPr rot="0" spcFirstLastPara="0" vertOverflow="ellipsis" vert="horz" wrap="square" anchor="t" anchorCtr="false"/>
          <a:lstStyle/>
          <a:p>
            <a:pPr>
              <a:defRPr lang="zh-CN" sz="1050" b="0" i="0" u="none" strike="noStrike" kern="1200" baseline="0">
                <a:solidFill>
                  <a:srgbClr val="000000"/>
                </a:solidFill>
                <a:latin typeface="宋体" charset="-122"/>
                <a:ea typeface="宋体" charset="-122"/>
                <a:cs typeface="Lucida Sans" panose="020B0602030504020204"/>
              </a:defRPr>
            </a:pPr>
          </a:p>
        </c:txPr>
        <c:crossAx val="86283392"/>
        <c:crossesAt val="1"/>
        <c:crossBetween val="between"/>
      </c:valAx>
      <c:spPr>
        <a:solidFill>
          <a:srgbClr val="C0C0C0"/>
        </a:solidFill>
        <a:ln w="6350">
          <a:solidFill>
            <a:srgbClr val="808080"/>
          </a:solidFill>
          <a:prstDash val="solid"/>
        </a:ln>
      </c:spPr>
    </c:plotArea>
    <c:legend>
      <c:legendPos val="r"/>
      <c:legendEntry>
        <c:idx val="0"/>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egendEntry>
        <c:idx val="1"/>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Entry>
      <c:layout>
        <c:manualLayout>
          <c:xMode val="edge"/>
          <c:yMode val="edge"/>
          <c:x val="0.843337450465751"/>
          <c:y val="0.426372224644559"/>
          <c:w val="0.137984083833948"/>
          <c:h val="0.1891892"/>
        </c:manualLayout>
      </c:layout>
      <c:overlay val="false"/>
      <c:spPr>
        <a:noFill/>
        <a:ln w="6350">
          <a:solidFill>
            <a:srgbClr val="000000"/>
          </a:solidFill>
          <a:prstDash val="solid"/>
        </a:ln>
      </c:spPr>
      <c:txPr>
        <a:bodyPr rot="0" spcFirstLastPara="0" vertOverflow="ellipsis" vert="horz" wrap="square" anchor="ctr" anchorCtr="true"/>
        <a:lstStyle/>
        <a:p>
          <a:pPr>
            <a:defRPr lang="zh-CN" sz="1050" b="0" i="0" u="none" strike="noStrike" kern="1200" baseline="0">
              <a:solidFill>
                <a:srgbClr val="000000"/>
              </a:solidFill>
              <a:latin typeface="宋体" charset="-122"/>
              <a:ea typeface="宋体" charset="-122"/>
              <a:cs typeface="Lucida Sans" panose="020B0602030504020204"/>
            </a:defRPr>
          </a:pPr>
        </a:p>
      </c:txPr>
    </c:legend>
    <c:plotVisOnly val="true"/>
    <c:dispBlanksAs val="gap"/>
    <c:showDLblsOverMax val="false"/>
  </c:chart>
  <c:spPr>
    <a:noFill/>
    <a:ln w="9525" cap="flat" cmpd="sng" algn="ctr">
      <a:noFill/>
      <a:prstDash val="solid"/>
      <a:round/>
    </a:ln>
  </c:spPr>
  <c:txPr>
    <a:bodyPr/>
    <a:lstStyle/>
    <a:p>
      <a:pPr>
        <a:defRPr lang="zh-CN" sz="105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41887407700608"/>
          <c:y val="0.0937968343476717"/>
          <c:w val="0.29245027495441"/>
          <c:h val="0.711331018120552"/>
        </c:manualLayout>
      </c:layout>
      <c:pieChart>
        <c:varyColors val="true"/>
        <c:ser>
          <c:idx val="0"/>
          <c:order val="0"/>
          <c:explosion val="20"/>
          <c:dPt>
            <c:idx val="0"/>
            <c:bubble3D val="false"/>
            <c:spPr>
              <a:solidFill>
                <a:srgbClr val="4F81BD"/>
              </a:solidFill>
              <a:ln w="6350">
                <a:solidFill>
                  <a:srgbClr val="FFFFFF"/>
                </a:solidFill>
                <a:prstDash val="solid"/>
              </a:ln>
            </c:spPr>
          </c:dPt>
          <c:dPt>
            <c:idx val="1"/>
            <c:bubble3D val="false"/>
            <c:spPr>
              <a:solidFill>
                <a:srgbClr val="C0504D"/>
              </a:solidFill>
              <a:ln w="6350">
                <a:solidFill>
                  <a:srgbClr val="FFFFFF"/>
                </a:solidFill>
                <a:prstDash val="solid"/>
              </a:ln>
            </c:spPr>
          </c:dPt>
          <c:dPt>
            <c:idx val="2"/>
            <c:bubble3D val="false"/>
            <c:spPr>
              <a:solidFill>
                <a:srgbClr val="9BBB59"/>
              </a:solidFill>
              <a:ln w="6350">
                <a:solidFill>
                  <a:srgbClr val="FFFFFF"/>
                </a:solidFill>
                <a:prstDash val="solid"/>
              </a:ln>
            </c:spPr>
          </c:dPt>
          <c:dPt>
            <c:idx val="3"/>
            <c:bubble3D val="false"/>
            <c:spPr>
              <a:solidFill>
                <a:srgbClr val="8064A2"/>
              </a:solidFill>
              <a:ln w="6350">
                <a:solidFill>
                  <a:srgbClr val="FFFFFF"/>
                </a:solidFill>
                <a:prstDash val="solid"/>
              </a:ln>
            </c:spPr>
          </c:dPt>
          <c:dLbls>
            <c:dLbl>
              <c:idx val="0"/>
              <c:layout>
                <c:manualLayout>
                  <c:x val="0.0712319258234381"/>
                  <c:y val="-0.0486111111111111"/>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lang="en-US" altLang="en-US"/>
                      <a:t>12.50</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0569857201413331"/>
                  <c:y val="-0.0625"/>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lang="en-US" altLang="en-US"/>
                      <a:t>74.91</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484378621201335"/>
                  <c:y val="-0.0416666666666667"/>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lang="en-US" altLang="en-US"/>
                      <a:t>6.92</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
                  <c:y val="-0.0763888888888889"/>
                </c:manualLayout>
              </c:layout>
              <c:tx>
                <c:rich>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r>
                      <a:rPr lang="en-US" altLang="en-US"/>
                      <a:t>5.67</a:t>
                    </a:r>
                    <a:r>
                      <a:rPr altLang="en-US"/>
                      <a:t>%</a:t>
                    </a:r>
                    <a:endParaRPr altLang="en-US"/>
                  </a:p>
                </c:rich>
              </c:tx>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solidFill>
                    <a:latin typeface="Times New Roman" panose="02020603050405020304"/>
                    <a:ea typeface="方正兰亭黑_GBK" panose="02000000000000000000" charset="-122"/>
                    <a:cs typeface="Lucida Sans" panose="020B0602030504020204"/>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Sheet2!$A$2:$A$5</c:f>
              <c:strCache>
                <c:ptCount val="4"/>
                <c:pt idx="0">
                  <c:v>社会保障和就业支出</c:v>
                </c:pt>
                <c:pt idx="1">
                  <c:v>城乡社区支出</c:v>
                </c:pt>
                <c:pt idx="2">
                  <c:v>住房保障支出</c:v>
                </c:pt>
                <c:pt idx="3">
                  <c:v>卫生健康支出</c:v>
                </c:pt>
              </c:strCache>
            </c:strRef>
          </c:cat>
          <c:val>
            <c:numRef>
              <c:f>Sheet2!$B$2:$B$5</c:f>
              <c:numCache>
                <c:formatCode>#,##0.00</c:formatCode>
                <c:ptCount val="4"/>
                <c:pt idx="0">
                  <c:v>24.6</c:v>
                </c:pt>
                <c:pt idx="1">
                  <c:v>147.42</c:v>
                </c:pt>
                <c:pt idx="2">
                  <c:v>13.61</c:v>
                </c:pt>
                <c:pt idx="3" c:formatCode="General">
                  <c:v>11.16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manualLayout>
          <c:xMode val="edge"/>
          <c:yMode val="edge"/>
          <c:x val="0.106644048309042"/>
          <c:y val="0.855223555570838"/>
          <c:w val="0.801074371987164"/>
          <c:h val="0.0923746977042717"/>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方正兰亭黑_GBK" panose="02000000000000000000" charset="-122"/>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方正兰亭黑_GBK" panose="02000000000000000000"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Lucida Sans" panose="020B0602030504020204"/>
              </a:defRPr>
            </a:pPr>
            <a:r>
              <a:rPr lang="zh-CN" sz="1100" b="0" i="0" u="none" strike="noStrike" baseline="0">
                <a:solidFill>
                  <a:srgbClr val="000000"/>
                </a:solidFill>
                <a:latin typeface="宋体" charset="-122"/>
                <a:ea typeface="宋体" charset="-122"/>
                <a:cs typeface="Lucida Sans" panose="020B0602030504020204"/>
              </a:rPr>
              <a:t>单位：万元</a:t>
            </a:r>
            <a:endParaRPr lang="zh-CN" sz="1100" b="0" i="0" u="none" strike="noStrike" baseline="0">
              <a:solidFill>
                <a:srgbClr val="000000"/>
              </a:solidFill>
              <a:latin typeface="宋体" charset="-122"/>
              <a:ea typeface="宋体" charset="-122"/>
              <a:cs typeface="Lucida Sans" panose="020B0602030504020204"/>
            </a:endParaRPr>
          </a:p>
        </c:rich>
      </c:tx>
      <c:layout>
        <c:manualLayout>
          <c:xMode val="edge"/>
          <c:yMode val="edge"/>
          <c:x val="0.434362934362935"/>
          <c:y val="0.0928689883913767"/>
        </c:manualLayout>
      </c:layout>
      <c:overlay val="false"/>
      <c:spPr>
        <a:ln>
          <a:noFill/>
        </a:ln>
      </c:spPr>
    </c:title>
    <c:autoTitleDeleted val="false"/>
    <c:plotArea>
      <c:layout>
        <c:manualLayout>
          <c:layoutTarget val="inner"/>
          <c:xMode val="edge"/>
          <c:yMode val="edge"/>
          <c:x val="0.227990757912018"/>
          <c:y val="0.161090609942414"/>
          <c:w val="0.315226745305486"/>
          <c:h val="0.812375393374336"/>
        </c:manualLayout>
      </c:layout>
      <c:pieChart>
        <c:varyColors val="true"/>
        <c:ser>
          <c:idx val="0"/>
          <c:order val="0"/>
          <c:spPr>
            <a:solidFill>
              <a:srgbClr val="9999FF"/>
            </a:solidFill>
            <a:ln w="6350">
              <a:solidFill>
                <a:srgbClr val="000000"/>
              </a:solidFill>
              <a:prstDash val="solid"/>
            </a:ln>
          </c:spPr>
          <c:explosion val="0"/>
          <c:dPt>
            <c:idx val="0"/>
            <c:bubble3D val="false"/>
            <c:spPr>
              <a:solidFill>
                <a:srgbClr val="9999FF"/>
              </a:solidFill>
              <a:ln w="6350">
                <a:solidFill>
                  <a:srgbClr val="000000"/>
                </a:solidFill>
                <a:prstDash val="solid"/>
              </a:ln>
            </c:spPr>
          </c:dPt>
          <c:dPt>
            <c:idx val="1"/>
            <c:bubble3D val="false"/>
            <c:spPr>
              <a:solidFill>
                <a:srgbClr val="993366"/>
              </a:solidFill>
              <a:ln w="6350">
                <a:solidFill>
                  <a:srgbClr val="000000"/>
                </a:solidFill>
                <a:prstDash val="solid"/>
              </a:ln>
            </c:spPr>
          </c:dPt>
          <c:dPt>
            <c:idx val="2"/>
            <c:bubble3D val="false"/>
            <c:spPr>
              <a:solidFill>
                <a:srgbClr val="9999FF"/>
              </a:solidFill>
              <a:ln w="6350">
                <a:solidFill>
                  <a:srgbClr val="000000"/>
                </a:solidFill>
                <a:prstDash val="solid"/>
              </a:ln>
            </c:spPr>
          </c:dPt>
          <c:dLbls>
            <c:dLbl>
              <c:idx val="1"/>
              <c:layout>
                <c:manualLayout>
                  <c:x val="-0.000719504656512531"/>
                  <c:y val="-0.190499993470965"/>
                </c:manualLayout>
              </c:layout>
              <c:tx>
                <c:rich>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charset="-122"/>
                        <a:ea typeface="宋体" charset="-122"/>
                        <a:cs typeface="Lucida Sans" panose="020B0602030504020204"/>
                      </a:defRPr>
                    </a:pPr>
                    <a:r>
                      <a:rPr altLang="en-US"/>
                      <a:t>0.</a:t>
                    </a:r>
                    <a:r>
                      <a:rPr lang="en-US" altLang="en-US"/>
                      <a:t>1</a:t>
                    </a:r>
                    <a:endParaRPr altLang="en-US"/>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000000"/>
                    </a:solidFill>
                    <a:latin typeface="宋体" charset="-122"/>
                    <a:ea typeface="宋体"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(6)'!$A$1:$C$1</c:f>
              <c:strCache>
                <c:ptCount val="3"/>
                <c:pt idx="0">
                  <c:v>公务用车购置及运行维护费</c:v>
                </c:pt>
                <c:pt idx="1">
                  <c:v>公务接待费</c:v>
                </c:pt>
                <c:pt idx="2">
                  <c:v>因公出国（境)</c:v>
                </c:pt>
              </c:strCache>
            </c:strRef>
          </c:cat>
          <c:val>
            <c:numRef>
              <c:f>'Sheet1 (6)'!$A$2:$C$2</c:f>
              <c:numCache>
                <c:formatCode>General</c:formatCode>
                <c:ptCount val="3"/>
                <c:pt idx="0">
                  <c:v>0</c:v>
                </c:pt>
                <c:pt idx="1">
                  <c:v>0.29</c:v>
                </c:pt>
                <c:pt idx="2">
                  <c:v>0</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6350">
          <a:solidFill>
            <a:srgbClr val="808080"/>
          </a:solidFill>
          <a:prstDash val="solid"/>
        </a:ln>
      </c:spPr>
    </c:plotArea>
    <c:legend>
      <c:legendPos val="r"/>
      <c:layout>
        <c:manualLayout>
          <c:xMode val="edge"/>
          <c:yMode val="edge"/>
          <c:x val="0.64230038812716"/>
          <c:y val="0.313763466133897"/>
          <c:w val="0.288178920000002"/>
          <c:h val="0.525239169999997"/>
        </c:manualLayout>
      </c:layout>
      <c:overlay val="false"/>
      <c:spPr>
        <a:noFill/>
        <a:ln w="6350">
          <a:solidFill>
            <a:srgbClr val="000000"/>
          </a:solidFill>
          <a:prstDash val="solid"/>
        </a:ln>
      </c:spPr>
      <c:txPr>
        <a:bodyPr rot="0" spcFirstLastPara="0" vertOverflow="ellipsis" vert="horz" wrap="square" anchor="ctr" anchorCtr="true"/>
        <a:lstStyle/>
        <a:p>
          <a:pPr>
            <a:defRPr lang="zh-CN" sz="850" b="0" i="0" u="none" strike="noStrike" kern="1200" baseline="0">
              <a:solidFill>
                <a:srgbClr val="000000"/>
              </a:solidFill>
              <a:latin typeface="宋体" charset="-122"/>
              <a:ea typeface="宋体" charset="-122"/>
              <a:cs typeface="Lucida Sans" panose="020B0602030504020204"/>
            </a:defRPr>
          </a:pPr>
        </a:p>
      </c:txPr>
    </c:legend>
    <c:plotVisOnly val="true"/>
    <c:dispBlanksAs val="zero"/>
    <c:showDLblsOverMax val="false"/>
  </c:chart>
  <c:spPr>
    <a:noFill/>
    <a:ln w="9525" cap="flat" cmpd="sng" algn="ctr">
      <a:noFill/>
      <a:prstDash val="solid"/>
      <a:round/>
    </a:ln>
  </c:spPr>
  <c:txPr>
    <a:bodyPr/>
    <a:lstStyle/>
    <a:p>
      <a:pPr>
        <a:defRPr lang="zh-CN" sz="900" b="0" i="0" u="none" strike="noStrike" baseline="0">
          <a:solidFill>
            <a:srgbClr val="000000"/>
          </a:solidFill>
          <a:latin typeface="宋体" charset="-122"/>
          <a:ea typeface="宋体"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750</Words>
  <Characters>4281</Characters>
  <Lines>35</Lines>
  <Paragraphs>10</Paragraphs>
  <TotalTime>6</TotalTime>
  <ScaleCrop>false</ScaleCrop>
  <LinksUpToDate>false</LinksUpToDate>
  <CharactersWithSpaces>5021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2025-09-04T10:34:00Z</dcterms:created>
  <dc:creator>曹颖</dc:creator>
  <cp:lastModifiedBy>user</cp:lastModifiedBy>
  <cp:lastPrinted>2025-08-07T01:34:00Z</cp:lastPrinted>
  <dcterms:modified xsi:type="dcterms:W3CDTF">2025-09-16T18:36:16Z</dcterms:modified>
  <dc:title>四川省***</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y fmtid="{D5CDD505-2E9C-101B-9397-08002B2CF9AE}" pid="4" name="KSOTemplateDocerSaveRecord">
    <vt:lpwstr>eyJoZGlkIjoiYjhjM2U5YmM5YjVhMjdiOGNhZDBkMjNlMmQ4M2Y5MWEiLCJ1c2VySWQiOiI1NDUwNDEwOTIifQ==</vt:lpwstr>
  </property>
</Properties>
</file>