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475"/>
      <w:bookmarkStart w:id="2" w:name="_Toc15377425"/>
      <w:bookmarkStart w:id="3" w:name="_Toc15377193"/>
      <w:bookmarkStart w:id="4" w:name="_Toc15396597"/>
      <w:bookmarkStart w:id="5" w:name="_Toc15306267"/>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2024年度</w:t>
      </w:r>
    </w:p>
    <w:p>
      <w:pPr>
        <w:pStyle w:val="2"/>
        <w:jc w:val="center"/>
        <w:rPr>
          <w:rFonts w:hint="eastAsia"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lang w:eastAsia="zh-CN"/>
        </w:rPr>
        <w:t>四川省</w:t>
      </w:r>
      <w:r>
        <w:rPr>
          <w:rFonts w:hint="eastAsia" w:asciiTheme="majorEastAsia" w:hAnsiTheme="majorEastAsia" w:eastAsiaTheme="majorEastAsia" w:cstheme="majorEastAsia"/>
          <w:b/>
          <w:bCs/>
          <w:sz w:val="48"/>
          <w:szCs w:val="48"/>
        </w:rPr>
        <w:t>攀枝花市城市基本建设档案馆</w:t>
      </w:r>
    </w:p>
    <w:p>
      <w:pPr>
        <w:pStyle w:val="2"/>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单位决算</w:t>
      </w:r>
    </w:p>
    <w:bookmarkEnd w:id="0"/>
    <w:bookmarkEnd w:id="1"/>
    <w:bookmarkEnd w:id="2"/>
    <w:bookmarkEnd w:id="3"/>
    <w:bookmarkEnd w:id="4"/>
    <w:bookmarkEnd w:id="5"/>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17</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.......................................................................1</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..........................................8</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.................................................................10</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.........................................................................12</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pPr>
        <w:widowControl/>
        <w:jc w:val="left"/>
        <w:rPr>
          <w:rFonts w:ascii="Times New Roman" w:hAnsi="Times New Roman" w:eastAsia="黑体"/>
          <w:color w:val="auto"/>
          <w:sz w:val="32"/>
          <w:szCs w:val="32"/>
          <w:highlight w:val="none"/>
        </w:rPr>
      </w:pPr>
    </w:p>
    <w:p>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单位职责</w:t>
      </w:r>
    </w:p>
    <w:p>
      <w:pPr>
        <w:snapToGrid w:val="0"/>
        <w:spacing w:line="520" w:lineRule="exact"/>
        <w:ind w:firstLine="640" w:firstLineChars="200"/>
        <w:rPr>
          <w:rFonts w:ascii="仿宋_GB2312" w:hAnsi="仿宋" w:eastAsia="仿宋_GB2312"/>
          <w:sz w:val="32"/>
          <w:szCs w:val="32"/>
        </w:rPr>
      </w:pPr>
      <w:r>
        <w:rPr>
          <w:rFonts w:hint="eastAsia" w:ascii="仿宋_GB2312" w:eastAsia="仿宋_GB2312"/>
          <w:sz w:val="32"/>
          <w:szCs w:val="32"/>
        </w:rPr>
        <w:t>攀枝花市城市基本建设档案馆主要工作职责是接收、管理、利用全市城乡建设档案，为城乡规划、建设、管理和城市科学研究服务。</w:t>
      </w:r>
    </w:p>
    <w:p>
      <w:pPr>
        <w:numPr>
          <w:ilvl w:val="0"/>
          <w:numId w:val="0"/>
        </w:numPr>
        <w:rPr>
          <w:rFonts w:hint="eastAsia"/>
          <w:lang w:eastAsia="zh-CN"/>
        </w:rPr>
      </w:pPr>
    </w:p>
    <w:p>
      <w:pPr>
        <w:pStyle w:val="4"/>
        <w:rPr>
          <w:rStyle w:val="29"/>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pPr>
        <w:ind w:firstLine="800" w:firstLineChars="250"/>
        <w:rPr>
          <w:rFonts w:ascii="Times New Roman" w:hAnsi="Times New Roman" w:eastAsia="仿宋"/>
          <w:color w:val="auto"/>
          <w:kern w:val="0"/>
          <w:sz w:val="32"/>
          <w:szCs w:val="32"/>
          <w:highlight w:val="none"/>
        </w:rPr>
      </w:pPr>
      <w:r>
        <w:rPr>
          <w:rFonts w:hint="eastAsia" w:ascii="仿宋_GB2312" w:eastAsia="仿宋_GB2312"/>
          <w:sz w:val="32"/>
          <w:szCs w:val="32"/>
        </w:rPr>
        <w:t>攀枝花市城市基本建设档案馆</w:t>
      </w:r>
      <w:r>
        <w:rPr>
          <w:rFonts w:hint="eastAsia" w:ascii="仿宋_GB2312" w:eastAsia="仿宋_GB2312"/>
          <w:sz w:val="32"/>
          <w:szCs w:val="32"/>
          <w:lang w:eastAsia="zh-CN"/>
        </w:rPr>
        <w:t>为攀枝花市住房和城乡建设局所</w:t>
      </w:r>
      <w:r>
        <w:rPr>
          <w:rFonts w:hint="eastAsia" w:ascii="仿宋_GB2312" w:eastAsia="仿宋_GB2312"/>
          <w:sz w:val="32"/>
          <w:szCs w:val="32"/>
        </w:rPr>
        <w:t>属</w:t>
      </w:r>
      <w:r>
        <w:rPr>
          <w:rFonts w:hint="eastAsia" w:ascii="仿宋_GB2312" w:eastAsia="仿宋_GB2312"/>
          <w:sz w:val="32"/>
          <w:szCs w:val="32"/>
          <w:lang w:eastAsia="zh-CN"/>
        </w:rPr>
        <w:t>公益一类科级事业单位</w:t>
      </w:r>
      <w:r>
        <w:rPr>
          <w:rFonts w:hint="eastAsia" w:ascii="仿宋_GB2312" w:eastAsia="仿宋_GB2312"/>
          <w:sz w:val="32"/>
          <w:szCs w:val="32"/>
        </w:rPr>
        <w:t>。馆内机构设有办公室、声像信息科、工程接收科、管理编研科。</w:t>
      </w:r>
      <w:r>
        <w:rPr>
          <w:rFonts w:hint="eastAsia" w:ascii="仿宋_GB2312" w:hAnsi="仿宋_GB2312" w:eastAsia="仿宋_GB2312" w:cs="仿宋_GB2312"/>
          <w:color w:val="auto"/>
          <w:sz w:val="32"/>
          <w:szCs w:val="32"/>
          <w:highlight w:val="none"/>
        </w:rPr>
        <w:t>四川省攀枝花市城市基本建设档案馆</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0"/>
      <w:bookmarkEnd w:id="11"/>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2024年度收入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eastAsia="zh-CN"/>
        </w:rPr>
        <w:t>均为</w:t>
      </w:r>
      <w:r>
        <w:rPr>
          <w:rFonts w:hint="eastAsia" w:ascii="仿宋_GB2312" w:hAnsi="仿宋_GB2312" w:eastAsia="仿宋_GB2312" w:cs="仿宋_GB2312"/>
          <w:sz w:val="32"/>
          <w:szCs w:val="32"/>
        </w:rPr>
        <w:t>305.57万元。与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相比，</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总计各增加</w:t>
      </w:r>
      <w:r>
        <w:rPr>
          <w:rFonts w:hint="eastAsia" w:ascii="仿宋_GB2312" w:hAnsi="仿宋_GB2312" w:eastAsia="仿宋_GB2312" w:cs="仿宋_GB2312"/>
          <w:sz w:val="32"/>
          <w:szCs w:val="32"/>
          <w:lang w:val="en-US" w:eastAsia="zh-CN"/>
        </w:rPr>
        <w:t>18.29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6.36</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项目经费增加。</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pPr>
      <w:r>
        <w:drawing>
          <wp:anchor distT="0" distB="0" distL="114300" distR="114300" simplePos="0" relativeHeight="251659264" behindDoc="0" locked="0" layoutInCell="1" allowOverlap="1">
            <wp:simplePos x="0" y="0"/>
            <wp:positionH relativeFrom="column">
              <wp:posOffset>630555</wp:posOffset>
            </wp:positionH>
            <wp:positionV relativeFrom="paragraph">
              <wp:posOffset>186690</wp:posOffset>
            </wp:positionV>
            <wp:extent cx="3997960" cy="2209800"/>
            <wp:effectExtent l="4445" t="4445" r="17145" b="1460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center"/>
        <w:textAlignment w:val="auto"/>
        <w:outlineLvl w:val="1"/>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（图1：收入、支出决算总计变动情况图）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本年收入合计305.57万元，其中：一般公共预算财政拨款收入305.57万元，占100%；政府性基金预算财政拨款收入0万元，占0%；国有资本经营预算财政拨款收入0万元，占0%；上级补助收入0万元，占0%；事业收入0万元，占0%；经营收入0万元，占0%；附属单位上缴收入0万元，占0%；其他收入0万元，占0%。</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271145</wp:posOffset>
            </wp:positionH>
            <wp:positionV relativeFrom="paragraph">
              <wp:posOffset>-1481455</wp:posOffset>
            </wp:positionV>
            <wp:extent cx="4805045" cy="2078355"/>
            <wp:effectExtent l="4445" t="5080" r="10160" b="1206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sz w:val="32"/>
          <w:szCs w:val="32"/>
          <w:lang w:eastAsia="zh-CN"/>
        </w:rPr>
        <w:t>（图2：收入决算结构图）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2024年度本年支出合计305.57万元，其中：基本支出262.16万元，占85.79%；项目支出43.41万元，占14.2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%；上缴上级支出0万元，占0%；经营支出0万元，占0%；对附属单位补助支出0万元，占0%。</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576580</wp:posOffset>
            </wp:positionH>
            <wp:positionV relativeFrom="paragraph">
              <wp:posOffset>238760</wp:posOffset>
            </wp:positionV>
            <wp:extent cx="4312285" cy="1838960"/>
            <wp:effectExtent l="4445" t="5080" r="7620" b="2286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（图3：支出决算结构图）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2024年度财政拨款收入、支出总计均为</w:t>
      </w:r>
      <w:r>
        <w:rPr>
          <w:rFonts w:hint="eastAsia" w:ascii="仿宋_GB2312" w:hAnsi="仿宋_GB2312" w:eastAsia="仿宋_GB2312" w:cs="仿宋_GB2312"/>
          <w:sz w:val="32"/>
          <w:szCs w:val="32"/>
          <w:lang w:eastAsia="zh-CN"/>
        </w:rPr>
        <w:t>305.57</w:t>
      </w:r>
      <w:r>
        <w:rPr>
          <w:rFonts w:hint="eastAsia" w:ascii="仿宋_GB2312" w:hAnsi="仿宋_GB2312" w:eastAsia="仿宋_GB2312" w:cs="仿宋_GB2312"/>
          <w:sz w:val="32"/>
          <w:szCs w:val="32"/>
          <w:lang w:val="en-US" w:eastAsia="zh-CN"/>
        </w:rPr>
        <w:t>万元。与2023年度相比，财政拨款收入总计、支出总计各增加18.29万元，增长6.36%。主要变动原因是</w:t>
      </w:r>
      <w:r>
        <w:rPr>
          <w:rFonts w:hint="eastAsia" w:ascii="仿宋_GB2312" w:hAnsi="仿宋_GB2312" w:eastAsia="仿宋_GB2312" w:cs="仿宋_GB2312"/>
          <w:sz w:val="32"/>
          <w:szCs w:val="32"/>
          <w:lang w:eastAsia="zh-CN"/>
        </w:rPr>
        <w:t>项目经费增加。</w:t>
      </w:r>
    </w:p>
    <w:p>
      <w:pPr>
        <w:pStyle w:val="2"/>
        <w:rPr>
          <w:rFonts w:hint="eastAsia" w:eastAsia="仿宋_GB2312" w:cs="仿宋_GB2312"/>
          <w:color w:val="auto"/>
          <w:sz w:val="32"/>
          <w:szCs w:val="32"/>
          <w:highlight w:val="none"/>
          <w:lang w:eastAsia="zh-CN"/>
        </w:rPr>
      </w:pPr>
      <w:r>
        <w:drawing>
          <wp:inline distT="0" distB="0" distL="114300" distR="114300">
            <wp:extent cx="5106670" cy="1865630"/>
            <wp:effectExtent l="5080" t="4445" r="12700" b="1587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（图4：财政拨款收、支决算总计变动情况）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9"/>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2024年度一般公共预算财政拨款支出305.57万元，占本年支出合计的100%。与2023年度相比，一般公共预算财政拨款支出增加18.29万元，增长6.36%。主要变动原因是项目经费增加。</w:t>
      </w:r>
    </w:p>
    <w:p>
      <w:pPr>
        <w:pStyle w:val="2"/>
        <w:rPr>
          <w:rFonts w:hint="eastAsia"/>
          <w:lang w:val="en-US" w:eastAsia="zh-CN"/>
        </w:rPr>
      </w:pPr>
      <w:r>
        <w:drawing>
          <wp:inline distT="0" distB="0" distL="114300" distR="114300">
            <wp:extent cx="5293995" cy="2240280"/>
            <wp:effectExtent l="5080" t="4445" r="15875" b="22225"/>
            <wp:docPr id="102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（图5：一般公共预算财政拨款支出决算变动情况）</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2024年度一般公共预算财政拨款支出305.57万元，主要用于以下方面：社会保障和就业支出61.11万元，占20.00%；住房保障支出18.08万元，占5.92%；城乡社区支出226.38万元，占74.08%。</w:t>
      </w:r>
    </w:p>
    <w:p>
      <w:pPr>
        <w:pStyle w:val="2"/>
        <w:rPr>
          <w:rFonts w:hint="eastAsia" w:ascii="仿宋_GB2312" w:hAnsi="Calibri" w:eastAsia="仿宋_GB2312" w:cs="Times New Roman"/>
          <w:color w:val="auto"/>
          <w:kern w:val="2"/>
          <w:sz w:val="32"/>
          <w:szCs w:val="32"/>
          <w:lang w:val="en-US" w:eastAsia="zh-CN" w:bidi="ar-SA"/>
        </w:rPr>
      </w:pPr>
      <w:r>
        <w:drawing>
          <wp:inline distT="0" distB="0" distL="114300" distR="114300">
            <wp:extent cx="5344160" cy="2146300"/>
            <wp:effectExtent l="4445" t="4445" r="23495" b="2095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（图6：一般公共预算财政拨款支出决算结构）</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uppressAutoHyphens/>
        <w:bidi w:val="0"/>
        <w:spacing w:line="600" w:lineRule="exact"/>
        <w:ind w:firstLine="642" w:firstLineChars="200"/>
        <w:outlineLvl w:val="2"/>
        <w:rPr>
          <w:rFonts w:hint="eastAsia" w:ascii="仿宋" w:hAnsi="仿宋" w:eastAsia="仿宋" w:cs="Times New Roman"/>
          <w:b/>
          <w:color w:val="auto"/>
          <w:sz w:val="32"/>
          <w:szCs w:val="32"/>
          <w:highlight w:val="none"/>
          <w:lang w:val="en-US" w:eastAsia="zh-CN"/>
        </w:rPr>
      </w:pPr>
      <w:bookmarkStart w:id="25" w:name="_Toc15378460"/>
      <w:bookmarkStart w:id="26" w:name="_Toc15377444"/>
      <w:bookmarkStart w:id="27" w:name="_Toc15377213"/>
      <w:r>
        <w:rPr>
          <w:rFonts w:hint="eastAsia" w:ascii="仿宋_GB2312" w:hAnsi="仿宋_GB2312" w:eastAsia="仿宋_GB2312" w:cs="仿宋_GB2312"/>
          <w:b/>
          <w:color w:val="auto"/>
          <w:sz w:val="32"/>
          <w:szCs w:val="32"/>
          <w:highlight w:val="none"/>
          <w:lang w:val="en-US" w:eastAsia="zh-CN"/>
        </w:rPr>
        <w:t>2024年度一般公共预算财政拨款支出决算数为</w:t>
      </w:r>
      <w:r>
        <w:rPr>
          <w:rFonts w:hint="eastAsia" w:ascii="仿宋_GB2312" w:hAnsi="仿宋_GB2312" w:eastAsia="仿宋_GB2312" w:cs="仿宋_GB2312"/>
          <w:b/>
          <w:color w:val="auto"/>
          <w:sz w:val="32"/>
          <w:szCs w:val="32"/>
          <w:highlight w:val="none"/>
          <w:lang w:eastAsia="zh-CN"/>
        </w:rPr>
        <w:t>305.57万元</w:t>
      </w:r>
      <w:r>
        <w:rPr>
          <w:rFonts w:hint="eastAsia" w:ascii="仿宋_GB2312" w:hAnsi="仿宋_GB2312" w:eastAsia="仿宋_GB2312" w:cs="仿宋_GB2312"/>
          <w:b/>
          <w:color w:val="auto"/>
          <w:sz w:val="32"/>
          <w:szCs w:val="32"/>
          <w:highlight w:val="none"/>
          <w:lang w:val="en-US" w:eastAsia="zh-CN"/>
        </w:rPr>
        <w:t>，完成预算100%。其中：</w:t>
      </w:r>
      <w:bookmarkEnd w:id="25"/>
      <w:bookmarkEnd w:id="26"/>
      <w:bookmarkEnd w:id="27"/>
    </w:p>
    <w:p>
      <w:pPr>
        <w:suppressAutoHyphens/>
        <w:bidi w:val="0"/>
        <w:spacing w:line="600" w:lineRule="exact"/>
        <w:ind w:firstLine="640"/>
        <w:rPr>
          <w:rFonts w:hint="eastAsia" w:ascii="仿宋_GB2312" w:hAnsi="Calibri" w:eastAsia="仿宋_GB2312" w:cs="Times New Roman"/>
          <w:color w:val="auto"/>
          <w:kern w:val="2"/>
          <w:sz w:val="32"/>
          <w:szCs w:val="32"/>
          <w:lang w:val="en-US" w:eastAsia="zh-CN" w:bidi="ar-SA"/>
        </w:rPr>
      </w:pPr>
      <w:r>
        <w:rPr>
          <w:rFonts w:hint="eastAsia" w:ascii="仿宋_GB2312" w:hAnsi="仿宋_GB2312" w:eastAsia="仿宋_GB2312" w:cs="仿宋_GB2312"/>
          <w:b/>
          <w:color w:val="auto"/>
          <w:sz w:val="32"/>
          <w:szCs w:val="32"/>
          <w:highlight w:val="none"/>
          <w:lang w:val="en-US" w:eastAsia="zh-CN"/>
        </w:rPr>
        <w:t>1.社会保障和就业（类）行政事业单位养老支出（款）事业单位离退休（项）：</w:t>
      </w:r>
      <w:r>
        <w:rPr>
          <w:rFonts w:hint="eastAsia" w:ascii="仿宋_GB2312" w:hAnsi="仿宋_GB2312" w:eastAsia="仿宋_GB2312" w:cs="仿宋_GB2312"/>
          <w:kern w:val="2"/>
          <w:sz w:val="32"/>
          <w:szCs w:val="32"/>
          <w:lang w:val="en-US" w:eastAsia="zh-CN" w:bidi="ar-SA"/>
        </w:rPr>
        <w:t>支出决算数为29.62万元，完成预算100%，决算数等于预算数。</w:t>
      </w:r>
    </w:p>
    <w:p>
      <w:pPr>
        <w:suppressAutoHyphens/>
        <w:bidi w:val="0"/>
        <w:spacing w:line="600" w:lineRule="exact"/>
        <w:ind w:firstLine="640"/>
        <w:rPr>
          <w:rStyle w:val="17"/>
          <w:rFonts w:hint="eastAsia" w:ascii="仿宋" w:hAnsi="仿宋" w:eastAsia="仿宋" w:cs="Times New Roman"/>
          <w:bCs/>
          <w:color w:val="auto"/>
          <w:sz w:val="32"/>
          <w:szCs w:val="32"/>
          <w:lang w:val="en-US" w:eastAsia="zh-CN"/>
        </w:rPr>
      </w:pPr>
      <w:r>
        <w:rPr>
          <w:rFonts w:hint="eastAsia" w:ascii="仿宋_GB2312" w:hAnsi="仿宋_GB2312" w:eastAsia="仿宋_GB2312" w:cs="仿宋_GB2312"/>
          <w:b/>
          <w:color w:val="auto"/>
          <w:sz w:val="32"/>
          <w:szCs w:val="32"/>
          <w:highlight w:val="none"/>
          <w:lang w:val="en-US" w:eastAsia="zh-CN"/>
        </w:rPr>
        <w:t>2.社会保障和就业（类）行政事业单位养老支出（款）机关事业单位基本养老保险缴费支出（项）:</w:t>
      </w:r>
      <w:r>
        <w:rPr>
          <w:rFonts w:hint="eastAsia" w:ascii="仿宋_GB2312" w:hAnsi="仿宋_GB2312" w:eastAsia="仿宋_GB2312" w:cs="仿宋_GB2312"/>
          <w:kern w:val="2"/>
          <w:sz w:val="32"/>
          <w:szCs w:val="32"/>
          <w:lang w:val="en-US" w:eastAsia="zh-CN" w:bidi="ar-SA"/>
        </w:rPr>
        <w:t>支出决算为24.28万元，完成预算100%，决算数等于预算数。</w:t>
      </w:r>
    </w:p>
    <w:p>
      <w:pPr>
        <w:suppressAutoHyphens/>
        <w:bidi w:val="0"/>
        <w:spacing w:line="60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color w:val="auto"/>
          <w:sz w:val="32"/>
          <w:szCs w:val="32"/>
          <w:highlight w:val="none"/>
          <w:lang w:val="en-US" w:eastAsia="zh-CN"/>
        </w:rPr>
        <w:t>3.社会保障和就业（类）行政事业单位养老支出（款）死亡抚恤（项）:</w:t>
      </w:r>
      <w:r>
        <w:rPr>
          <w:rFonts w:hint="eastAsia" w:ascii="仿宋_GB2312" w:hAnsi="仿宋_GB2312" w:eastAsia="仿宋_GB2312" w:cs="仿宋_GB2312"/>
          <w:kern w:val="2"/>
          <w:sz w:val="32"/>
          <w:szCs w:val="32"/>
          <w:lang w:val="en-US" w:eastAsia="zh-CN" w:bidi="ar-SA"/>
        </w:rPr>
        <w:t>支出决算为7.21万元，完成预算100%，决算数等于预算数。</w:t>
      </w:r>
    </w:p>
    <w:p>
      <w:pPr>
        <w:suppressAutoHyphens/>
        <w:bidi w:val="0"/>
        <w:spacing w:line="60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color w:val="auto"/>
          <w:sz w:val="32"/>
          <w:szCs w:val="32"/>
          <w:highlight w:val="none"/>
          <w:lang w:val="en-US" w:eastAsia="zh-CN"/>
        </w:rPr>
        <w:t>4.城乡社区支出（类）城乡社区管理事务（款）其他城乡社区管理事务支出（项）</w:t>
      </w:r>
      <w:r>
        <w:rPr>
          <w:rStyle w:val="17"/>
          <w:rFonts w:hint="eastAsia" w:ascii="仿宋" w:hAnsi="仿宋" w:eastAsia="仿宋" w:cs="Times New Roman"/>
          <w:bCs/>
          <w:color w:val="auto"/>
          <w:sz w:val="32"/>
          <w:szCs w:val="32"/>
          <w:lang w:eastAsia="zh-CN"/>
        </w:rPr>
        <w:t>：</w:t>
      </w:r>
      <w:r>
        <w:rPr>
          <w:rFonts w:hint="eastAsia" w:ascii="仿宋_GB2312" w:hAnsi="仿宋_GB2312" w:eastAsia="仿宋_GB2312" w:cs="仿宋_GB2312"/>
          <w:kern w:val="2"/>
          <w:sz w:val="32"/>
          <w:szCs w:val="32"/>
          <w:lang w:val="en-US" w:eastAsia="zh-CN" w:bidi="ar-SA"/>
        </w:rPr>
        <w:t>支出决算数为226.38万元，完成预算100%，决算数等于预算数。</w:t>
      </w:r>
    </w:p>
    <w:p>
      <w:pPr>
        <w:suppressAutoHyphens/>
        <w:bidi w:val="0"/>
        <w:spacing w:line="60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color w:val="auto"/>
          <w:sz w:val="32"/>
          <w:szCs w:val="32"/>
          <w:highlight w:val="none"/>
          <w:lang w:val="en-US" w:eastAsia="zh-CN"/>
        </w:rPr>
        <w:t>5.住房保障支出（类）住房改革支出（款）住房公积金（项）：</w:t>
      </w:r>
      <w:r>
        <w:rPr>
          <w:rFonts w:hint="eastAsia" w:ascii="仿宋_GB2312" w:hAnsi="仿宋_GB2312" w:eastAsia="仿宋_GB2312" w:cs="仿宋_GB2312"/>
          <w:kern w:val="2"/>
          <w:sz w:val="32"/>
          <w:szCs w:val="32"/>
          <w:lang w:val="en-US" w:eastAsia="zh-CN" w:bidi="ar-SA"/>
        </w:rPr>
        <w:t>支出决算数为18.08万元，完成预算100%，决算数等于预算数。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2024年度一般公共预算财政拨款基本支出262.16万元，其中：</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人员经费247.12万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公用经费15.04万元，主要包括：办公费、水费、电费、邮电费、物业管理费、差旅费、维修（护）费、劳务费、工会经费、公务用车运行维护费、其他商品和服务支出等。</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2024年度“三公”经费财政拨款支出决算为0.4万元，完成预算100%，较上年度减少0.15万元，下降27.27%。决算数与预算数持平的主要原因是合理用车，减少公务用车出行成本，无公务接待费发生。</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pStyle w:val="2"/>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336550</wp:posOffset>
            </wp:positionH>
            <wp:positionV relativeFrom="paragraph">
              <wp:posOffset>192405</wp:posOffset>
            </wp:positionV>
            <wp:extent cx="4254500" cy="1781175"/>
            <wp:effectExtent l="4445" t="4445" r="8255" b="5080"/>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（图7：“三公”经费财政拨款支出结构）</w:t>
      </w:r>
    </w:p>
    <w:p>
      <w:pPr>
        <w:spacing w:line="600" w:lineRule="exact"/>
        <w:ind w:firstLine="640"/>
        <w:rPr>
          <w:rFonts w:ascii="仿宋_GB2312" w:eastAsia="仿宋_GB2312"/>
          <w:sz w:val="32"/>
          <w:szCs w:val="32"/>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全年安排因公出国（境）团组0次，出国（境）0人。因公出国（境）支出决算与2023年持平，均无发生额。</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ascii="仿宋_GB2312" w:eastAsia="仿宋_GB2312"/>
          <w:b/>
          <w:color w:val="auto"/>
          <w:sz w:val="32"/>
          <w:szCs w:val="32"/>
          <w:highlight w:val="none"/>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0.4万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公务用车购置及运行维护费支出决算比2023年度减少0.15万元，下降27.27%。主要原因是有部分本年发生的费用未支出，导致降低幅度较大。</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1辆，其中：轿车0辆、越野车1辆、载客汽车0辆。</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公务用车运行维护费支出0.4万元。主要用于公务用车保险费、维修费支出。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公务接待费支出决算比2023年度持平，均无相关费用支出。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96610"/>
      <w:bookmarkStart w:id="35" w:name="_Toc15377218"/>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2024年度政府性基金预算财政拨款支出0万元。</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6" w:name="_Toc15396611"/>
      <w:bookmarkStart w:id="37"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2024年度国有资本经营预算财政拨款支出0万元。</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8" w:name="_Toc15377221"/>
      <w:bookmarkStart w:id="39"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2024年度，单位无机关运行经费支出事项。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2024年度，单位无政府采购支出。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四川省攀枝花市城市基本建设档案馆共有车辆1辆，其中：主要负责人用车0辆、机要通信用车0辆、应急保障用车0辆、其他用车1辆，其他用车主要是用于城建档案业务指导、验收、声像档案拍摄等工作，单价100万元以上专用设备0台（套）。</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本单位在2024年度预算编制阶段，组织对城建档案查询利用复印工本费、信息系统维护费等4个项目开展了预算事前绩效评估，对4个项目编制了绩效目标，预算执行过程中，选取4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45" w:name="_Toc15377226"/>
      <w:r>
        <w:rPr>
          <w:rFonts w:hint="eastAsia" w:ascii="仿宋_GB2312" w:hAnsi="仿宋_GB2312"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2.年初结转和结余：指以前年度尚未完成、结转到本年按有关规定继续使用的资金。</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3、年末结转和结余：指单位按有关规定结转到下年或以后年度继续使用的资金。</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4.社会保障和就业（类）行政事业单位养老支出（款）事业单位离退休（项）：指反映事业单位开支的离退休经费。</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5.社会保障和就业（类）行政事业单位养老支出（款）机关事业单位基本养老保险缴费支出（项）：指反映机关事业单位实施养老保险制度由单位缴纳的基本养老保险费支出。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6.城乡社区支出（类）城乡社区管理事务（款）其他城乡社区管理事务支出（项）：指反映其他用于其他城乡社区管理事务方面的支出。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7.住房保障（类）住房改革支出（款）住房公积金（项）：指反映行政事业单位按照人力资源和社会保障部、财政部规定的基本工资和津补贴以及规定比例为职工缴纳的住房公积金。</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8.基本支出：指为保障机构正常运转、完成日常工作任务而发生的人员支出和公用支出。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9.项目支出：指在基本支出之外为完成特定行政任务和事业发展目标所发生的支出。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部门预算项目支出绩效自评表（2024年度）见附件3</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1" w:name="_GoBack"/>
      <w:bookmarkEnd w:id="61"/>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47"/>
      <w:bookmarkStart w:id="4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一、收入支出决算总表</w:t>
      </w:r>
      <w:bookmarkEnd w:id="4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49" w:name="_Toc15396620"/>
      <w:r>
        <w:rPr>
          <w:rFonts w:hint="eastAsia" w:ascii="仿宋_GB2312" w:hAnsi="仿宋_GB2312" w:eastAsia="仿宋_GB2312" w:cs="仿宋_GB2312"/>
          <w:color w:val="auto"/>
          <w:kern w:val="2"/>
          <w:sz w:val="32"/>
          <w:szCs w:val="32"/>
          <w:highlight w:val="none"/>
          <w:lang w:val="en-US" w:eastAsia="zh-CN" w:bidi="ar-SA"/>
        </w:rPr>
        <w:t>二、收入决算表</w:t>
      </w:r>
      <w:bookmarkEnd w:id="4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0" w:name="_Toc15396621"/>
      <w:r>
        <w:rPr>
          <w:rFonts w:hint="eastAsia" w:ascii="仿宋_GB2312" w:hAnsi="仿宋_GB2312" w:eastAsia="仿宋_GB2312" w:cs="仿宋_GB2312"/>
          <w:color w:val="auto"/>
          <w:kern w:val="2"/>
          <w:sz w:val="32"/>
          <w:szCs w:val="32"/>
          <w:highlight w:val="none"/>
          <w:lang w:val="en-US" w:eastAsia="zh-CN" w:bidi="ar-SA"/>
        </w:rPr>
        <w:t>三、支出决算表</w:t>
      </w:r>
      <w:bookmarkEnd w:id="5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1" w:name="_Toc15396622"/>
      <w:r>
        <w:rPr>
          <w:rFonts w:hint="eastAsia" w:ascii="仿宋_GB2312" w:hAnsi="仿宋_GB2312" w:eastAsia="仿宋_GB2312" w:cs="仿宋_GB2312"/>
          <w:color w:val="auto"/>
          <w:kern w:val="2"/>
          <w:sz w:val="32"/>
          <w:szCs w:val="32"/>
          <w:highlight w:val="none"/>
          <w:lang w:val="en-US" w:eastAsia="zh-CN" w:bidi="ar-SA"/>
        </w:rPr>
        <w:t>四、财政拨款收入支出决算总表</w:t>
      </w:r>
      <w:bookmarkEnd w:id="5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2" w:name="_Toc15396623"/>
      <w:r>
        <w:rPr>
          <w:rFonts w:hint="eastAsia" w:ascii="仿宋_GB2312" w:hAnsi="仿宋_GB2312" w:eastAsia="仿宋_GB2312" w:cs="仿宋_GB2312"/>
          <w:color w:val="auto"/>
          <w:kern w:val="2"/>
          <w:sz w:val="32"/>
          <w:szCs w:val="32"/>
          <w:highlight w:val="none"/>
          <w:lang w:val="en-US" w:eastAsia="zh-CN" w:bidi="ar-SA"/>
        </w:rPr>
        <w:t>五、财政拨款支出决算明细表</w:t>
      </w:r>
      <w:bookmarkEnd w:id="52"/>
      <w:bookmarkStart w:id="53" w:name="_Toc15396624"/>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六、一般公共预算财政拨款支出决算表</w:t>
      </w:r>
      <w:bookmarkEnd w:id="5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4" w:name="_Toc15396625"/>
      <w:r>
        <w:rPr>
          <w:rFonts w:hint="eastAsia" w:ascii="仿宋_GB2312" w:hAnsi="仿宋_GB2312" w:eastAsia="仿宋_GB2312" w:cs="仿宋_GB2312"/>
          <w:color w:val="auto"/>
          <w:kern w:val="2"/>
          <w:sz w:val="32"/>
          <w:szCs w:val="32"/>
          <w:highlight w:val="none"/>
          <w:lang w:val="en-US" w:eastAsia="zh-CN" w:bidi="ar-SA"/>
        </w:rPr>
        <w:t>七、一般公共预算财政拨款支出决算明细表</w:t>
      </w:r>
      <w:bookmarkEnd w:id="54"/>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5" w:name="_Toc15396626"/>
      <w:r>
        <w:rPr>
          <w:rFonts w:hint="eastAsia" w:ascii="仿宋_GB2312" w:hAnsi="仿宋_GB2312" w:eastAsia="仿宋_GB2312" w:cs="仿宋_GB2312"/>
          <w:color w:val="auto"/>
          <w:kern w:val="2"/>
          <w:sz w:val="32"/>
          <w:szCs w:val="32"/>
          <w:highlight w:val="none"/>
          <w:lang w:val="en-US" w:eastAsia="zh-CN" w:bidi="ar-SA"/>
        </w:rPr>
        <w:t>八、一般公共预算财政拨款基本支出决算表</w:t>
      </w:r>
      <w:bookmarkEnd w:id="5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6" w:name="_Toc15396627"/>
      <w:r>
        <w:rPr>
          <w:rFonts w:hint="eastAsia" w:ascii="仿宋_GB2312" w:hAnsi="仿宋_GB2312" w:eastAsia="仿宋_GB2312" w:cs="仿宋_GB2312"/>
          <w:color w:val="auto"/>
          <w:kern w:val="2"/>
          <w:sz w:val="32"/>
          <w:szCs w:val="32"/>
          <w:highlight w:val="none"/>
          <w:lang w:val="en-US" w:eastAsia="zh-CN" w:bidi="ar-SA"/>
        </w:rPr>
        <w:t>九、一般公共预算财政拨款项目支出决算表</w:t>
      </w:r>
      <w:bookmarkEnd w:id="56"/>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7" w:name="_Toc15396628"/>
      <w:r>
        <w:rPr>
          <w:rFonts w:hint="eastAsia" w:ascii="仿宋_GB2312" w:hAnsi="仿宋_GB2312" w:eastAsia="仿宋_GB2312" w:cs="仿宋_GB2312"/>
          <w:color w:val="auto"/>
          <w:kern w:val="2"/>
          <w:sz w:val="32"/>
          <w:szCs w:val="32"/>
          <w:highlight w:val="none"/>
          <w:lang w:val="en-US" w:eastAsia="zh-CN" w:bidi="ar-SA"/>
        </w:rPr>
        <w:t>十、</w:t>
      </w:r>
      <w:bookmarkEnd w:id="57"/>
      <w:r>
        <w:rPr>
          <w:rFonts w:hint="eastAsia" w:ascii="仿宋_GB2312" w:hAnsi="仿宋_GB2312" w:eastAsia="仿宋_GB2312" w:cs="仿宋_GB2312"/>
          <w:color w:val="auto"/>
          <w:kern w:val="2"/>
          <w:sz w:val="32"/>
          <w:szCs w:val="32"/>
          <w:highlight w:val="none"/>
          <w:lang w:val="en-US" w:eastAsia="zh-CN" w:bidi="ar-SA"/>
        </w:rPr>
        <w:t>政府性基金预算财政拨款收入支出决算表</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8" w:name="_Toc15396629"/>
      <w:r>
        <w:rPr>
          <w:rFonts w:hint="eastAsia" w:ascii="仿宋_GB2312" w:hAnsi="仿宋_GB2312" w:eastAsia="仿宋_GB2312" w:cs="仿宋_GB2312"/>
          <w:color w:val="auto"/>
          <w:kern w:val="2"/>
          <w:sz w:val="32"/>
          <w:szCs w:val="32"/>
          <w:highlight w:val="none"/>
          <w:lang w:val="en-US" w:eastAsia="zh-CN" w:bidi="ar-SA"/>
        </w:rPr>
        <w:t>十一、</w:t>
      </w:r>
      <w:bookmarkEnd w:id="58"/>
      <w:r>
        <w:rPr>
          <w:rFonts w:hint="eastAsia" w:ascii="仿宋_GB2312" w:hAnsi="仿宋_GB2312" w:eastAsia="仿宋_GB2312" w:cs="仿宋_GB2312"/>
          <w:color w:val="auto"/>
          <w:kern w:val="2"/>
          <w:sz w:val="32"/>
          <w:szCs w:val="32"/>
          <w:highlight w:val="none"/>
          <w:lang w:val="en-US" w:eastAsia="zh-CN" w:bidi="ar-SA"/>
        </w:rPr>
        <w:t>国有资本经营预算财政拨款收入支出决算表</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9" w:name="_Toc15396630"/>
      <w:r>
        <w:rPr>
          <w:rFonts w:hint="eastAsia" w:ascii="仿宋_GB2312" w:hAnsi="仿宋_GB2312" w:eastAsia="仿宋_GB2312" w:cs="仿宋_GB2312"/>
          <w:color w:val="auto"/>
          <w:kern w:val="2"/>
          <w:sz w:val="32"/>
          <w:szCs w:val="32"/>
          <w:highlight w:val="none"/>
          <w:lang w:val="en-US" w:eastAsia="zh-CN" w:bidi="ar-SA"/>
        </w:rPr>
        <w:t>十二、</w:t>
      </w:r>
      <w:bookmarkEnd w:id="59"/>
      <w:r>
        <w:rPr>
          <w:rFonts w:hint="eastAsia" w:ascii="仿宋_GB2312" w:hAnsi="仿宋_GB2312" w:eastAsia="仿宋_GB2312" w:cs="仿宋_GB2312"/>
          <w:color w:val="auto"/>
          <w:kern w:val="2"/>
          <w:sz w:val="32"/>
          <w:szCs w:val="32"/>
          <w:highlight w:val="none"/>
          <w:lang w:val="en-US" w:eastAsia="zh-CN" w:bidi="ar-SA"/>
        </w:rPr>
        <w:t>国有资本经营预算财政拨款支出决算表</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60" w:name="_Toc15396631"/>
      <w:r>
        <w:rPr>
          <w:rFonts w:hint="eastAsia" w:ascii="仿宋_GB2312" w:hAnsi="仿宋_GB2312" w:eastAsia="仿宋_GB2312" w:cs="仿宋_GB2312"/>
          <w:color w:val="auto"/>
          <w:kern w:val="2"/>
          <w:sz w:val="32"/>
          <w:szCs w:val="32"/>
          <w:highlight w:val="none"/>
          <w:lang w:val="en-US" w:eastAsia="zh-CN" w:bidi="ar-SA"/>
        </w:rPr>
        <w:t>十三、</w:t>
      </w:r>
      <w:bookmarkEnd w:id="60"/>
      <w:r>
        <w:rPr>
          <w:rFonts w:hint="eastAsia" w:ascii="仿宋_GB2312" w:hAnsi="仿宋_GB2312" w:eastAsia="仿宋_GB2312" w:cs="仿宋_GB2312"/>
          <w:color w:val="auto"/>
          <w:kern w:val="2"/>
          <w:sz w:val="32"/>
          <w:szCs w:val="32"/>
          <w:highlight w:val="none"/>
          <w:lang w:val="en-US" w:eastAsia="zh-CN" w:bidi="ar-SA"/>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1A347"/>
    <w:multiLevelType w:val="singleLevel"/>
    <w:tmpl w:val="2DB1A3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YzgxYzNmYWY5ZjgzODAxYjdkZjg0YzAxMWYxOT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854"/>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DD5AC8"/>
    <w:rsid w:val="020B07BA"/>
    <w:rsid w:val="02FEBE30"/>
    <w:rsid w:val="04812FB5"/>
    <w:rsid w:val="04916F1E"/>
    <w:rsid w:val="04BC6CDC"/>
    <w:rsid w:val="04DE21B6"/>
    <w:rsid w:val="061E35DE"/>
    <w:rsid w:val="066E0107"/>
    <w:rsid w:val="07996F6E"/>
    <w:rsid w:val="07DFD8BA"/>
    <w:rsid w:val="085D7896"/>
    <w:rsid w:val="09867E8F"/>
    <w:rsid w:val="09A20FA5"/>
    <w:rsid w:val="0A2032A3"/>
    <w:rsid w:val="0A256191"/>
    <w:rsid w:val="0AF614E8"/>
    <w:rsid w:val="0BF05246"/>
    <w:rsid w:val="0CA8290A"/>
    <w:rsid w:val="0D35B1ED"/>
    <w:rsid w:val="0E254B6B"/>
    <w:rsid w:val="0F98263C"/>
    <w:rsid w:val="101860EC"/>
    <w:rsid w:val="101F47CC"/>
    <w:rsid w:val="10C055FF"/>
    <w:rsid w:val="11694EBD"/>
    <w:rsid w:val="11772AA4"/>
    <w:rsid w:val="118107EC"/>
    <w:rsid w:val="124D1CD9"/>
    <w:rsid w:val="12E24EE2"/>
    <w:rsid w:val="13D50BC4"/>
    <w:rsid w:val="14B17F78"/>
    <w:rsid w:val="16257519"/>
    <w:rsid w:val="165E0673"/>
    <w:rsid w:val="16B831D5"/>
    <w:rsid w:val="16BB723D"/>
    <w:rsid w:val="17E50567"/>
    <w:rsid w:val="18226406"/>
    <w:rsid w:val="186504BB"/>
    <w:rsid w:val="186A63E2"/>
    <w:rsid w:val="19510D51"/>
    <w:rsid w:val="19A445FC"/>
    <w:rsid w:val="1AED689D"/>
    <w:rsid w:val="1BE8440E"/>
    <w:rsid w:val="1D155CEE"/>
    <w:rsid w:val="1D1638FE"/>
    <w:rsid w:val="1D4330A6"/>
    <w:rsid w:val="1E312DEB"/>
    <w:rsid w:val="1E740ACF"/>
    <w:rsid w:val="1F624A5D"/>
    <w:rsid w:val="1FEA5A5B"/>
    <w:rsid w:val="1FF35744"/>
    <w:rsid w:val="1FF6BC77"/>
    <w:rsid w:val="20914128"/>
    <w:rsid w:val="2186353C"/>
    <w:rsid w:val="22342FBD"/>
    <w:rsid w:val="22DF73CD"/>
    <w:rsid w:val="23860B96"/>
    <w:rsid w:val="240371BF"/>
    <w:rsid w:val="244F3473"/>
    <w:rsid w:val="24AA3D15"/>
    <w:rsid w:val="24C97D99"/>
    <w:rsid w:val="25A718F0"/>
    <w:rsid w:val="25BB59F6"/>
    <w:rsid w:val="260F557C"/>
    <w:rsid w:val="26970054"/>
    <w:rsid w:val="27005B64"/>
    <w:rsid w:val="281408E2"/>
    <w:rsid w:val="29FD04D3"/>
    <w:rsid w:val="2B2D3E8B"/>
    <w:rsid w:val="2BFF7BC6"/>
    <w:rsid w:val="2C8A61B5"/>
    <w:rsid w:val="2CC55886"/>
    <w:rsid w:val="2D61515B"/>
    <w:rsid w:val="2DF04E50"/>
    <w:rsid w:val="2E586DFA"/>
    <w:rsid w:val="2F040D46"/>
    <w:rsid w:val="2F2919D0"/>
    <w:rsid w:val="2F6B035B"/>
    <w:rsid w:val="2FAE5751"/>
    <w:rsid w:val="2FB1A395"/>
    <w:rsid w:val="2FD9A7D8"/>
    <w:rsid w:val="2FDBF714"/>
    <w:rsid w:val="30AB6865"/>
    <w:rsid w:val="319F7F4E"/>
    <w:rsid w:val="31AA37C7"/>
    <w:rsid w:val="31BE4652"/>
    <w:rsid w:val="31F2079F"/>
    <w:rsid w:val="32BD1EF1"/>
    <w:rsid w:val="3304709D"/>
    <w:rsid w:val="33A45AC9"/>
    <w:rsid w:val="33A773CB"/>
    <w:rsid w:val="33D62126"/>
    <w:rsid w:val="34884436"/>
    <w:rsid w:val="349D6851"/>
    <w:rsid w:val="36AA5135"/>
    <w:rsid w:val="36BE0DA7"/>
    <w:rsid w:val="36BF52A7"/>
    <w:rsid w:val="373A0C1E"/>
    <w:rsid w:val="376B6AA6"/>
    <w:rsid w:val="376D39B2"/>
    <w:rsid w:val="37E16F03"/>
    <w:rsid w:val="37F53A3B"/>
    <w:rsid w:val="382156E7"/>
    <w:rsid w:val="389B6C89"/>
    <w:rsid w:val="38D469F0"/>
    <w:rsid w:val="393923E7"/>
    <w:rsid w:val="39627CCD"/>
    <w:rsid w:val="397BAF1F"/>
    <w:rsid w:val="3AB79AF3"/>
    <w:rsid w:val="3AE834C0"/>
    <w:rsid w:val="3B7EF35A"/>
    <w:rsid w:val="3B9FDB6C"/>
    <w:rsid w:val="3BF5BC2F"/>
    <w:rsid w:val="3C16395B"/>
    <w:rsid w:val="3CCE7556"/>
    <w:rsid w:val="3CEBA265"/>
    <w:rsid w:val="3D98207C"/>
    <w:rsid w:val="3DEE7CF3"/>
    <w:rsid w:val="3E7353A5"/>
    <w:rsid w:val="3E740A63"/>
    <w:rsid w:val="3E78745D"/>
    <w:rsid w:val="3EE17838"/>
    <w:rsid w:val="3F55381A"/>
    <w:rsid w:val="3F7F7599"/>
    <w:rsid w:val="3FCC1BE9"/>
    <w:rsid w:val="3FF4CAE0"/>
    <w:rsid w:val="3FF7B227"/>
    <w:rsid w:val="40646D57"/>
    <w:rsid w:val="43854DD8"/>
    <w:rsid w:val="44135628"/>
    <w:rsid w:val="44E268DA"/>
    <w:rsid w:val="450D13D7"/>
    <w:rsid w:val="45506656"/>
    <w:rsid w:val="47280913"/>
    <w:rsid w:val="486A6C7A"/>
    <w:rsid w:val="487B1097"/>
    <w:rsid w:val="4953500F"/>
    <w:rsid w:val="49BE123B"/>
    <w:rsid w:val="4A627F82"/>
    <w:rsid w:val="4AD82F01"/>
    <w:rsid w:val="4B0E749A"/>
    <w:rsid w:val="4B2477C4"/>
    <w:rsid w:val="4B4F25DA"/>
    <w:rsid w:val="4BD568B0"/>
    <w:rsid w:val="4BDC3BFA"/>
    <w:rsid w:val="4BE068DB"/>
    <w:rsid w:val="4D577224"/>
    <w:rsid w:val="4DBF1CEB"/>
    <w:rsid w:val="4DF0007C"/>
    <w:rsid w:val="4EAB630A"/>
    <w:rsid w:val="4ECE2238"/>
    <w:rsid w:val="4F2E6F39"/>
    <w:rsid w:val="4F343D4D"/>
    <w:rsid w:val="4F833267"/>
    <w:rsid w:val="4FE9BD67"/>
    <w:rsid w:val="4FFB052F"/>
    <w:rsid w:val="534F73A8"/>
    <w:rsid w:val="537E6D0A"/>
    <w:rsid w:val="53F74C96"/>
    <w:rsid w:val="55170BA8"/>
    <w:rsid w:val="553218C9"/>
    <w:rsid w:val="567E1AA5"/>
    <w:rsid w:val="56E47B74"/>
    <w:rsid w:val="57175D52"/>
    <w:rsid w:val="57BD3DD4"/>
    <w:rsid w:val="58A91308"/>
    <w:rsid w:val="5A896FCB"/>
    <w:rsid w:val="5AF92295"/>
    <w:rsid w:val="5B250254"/>
    <w:rsid w:val="5BDD79E6"/>
    <w:rsid w:val="5BF561CA"/>
    <w:rsid w:val="5BFF5DFC"/>
    <w:rsid w:val="5C2C2D25"/>
    <w:rsid w:val="5CB10DBA"/>
    <w:rsid w:val="5CD71FC4"/>
    <w:rsid w:val="5D1F11B5"/>
    <w:rsid w:val="5D695134"/>
    <w:rsid w:val="5DAE1B18"/>
    <w:rsid w:val="5DE7D9E5"/>
    <w:rsid w:val="5ECEC941"/>
    <w:rsid w:val="5FBF9FF3"/>
    <w:rsid w:val="5FCD4E2C"/>
    <w:rsid w:val="5FEF394A"/>
    <w:rsid w:val="5FF67715"/>
    <w:rsid w:val="617E6EC7"/>
    <w:rsid w:val="61FE2B31"/>
    <w:rsid w:val="62BF3928"/>
    <w:rsid w:val="633944DC"/>
    <w:rsid w:val="63B3701E"/>
    <w:rsid w:val="63F57AF7"/>
    <w:rsid w:val="64285460"/>
    <w:rsid w:val="64581B1D"/>
    <w:rsid w:val="647F5392"/>
    <w:rsid w:val="64EA206D"/>
    <w:rsid w:val="655A5A5F"/>
    <w:rsid w:val="65E66580"/>
    <w:rsid w:val="664B1D71"/>
    <w:rsid w:val="664B4E8E"/>
    <w:rsid w:val="67277B67"/>
    <w:rsid w:val="67AA3209"/>
    <w:rsid w:val="68C9228F"/>
    <w:rsid w:val="698D0931"/>
    <w:rsid w:val="6A036190"/>
    <w:rsid w:val="6A283207"/>
    <w:rsid w:val="6A7FE5F3"/>
    <w:rsid w:val="6A957086"/>
    <w:rsid w:val="6B053271"/>
    <w:rsid w:val="6BDD78B3"/>
    <w:rsid w:val="6C4A05C8"/>
    <w:rsid w:val="6C8742B8"/>
    <w:rsid w:val="6D2E23EC"/>
    <w:rsid w:val="6D381EB7"/>
    <w:rsid w:val="6DBF5E93"/>
    <w:rsid w:val="6DFF077E"/>
    <w:rsid w:val="6E4C0C5C"/>
    <w:rsid w:val="6E714EF0"/>
    <w:rsid w:val="6E7E3605"/>
    <w:rsid w:val="6E7FDCC7"/>
    <w:rsid w:val="6ED6A62E"/>
    <w:rsid w:val="6EE00B15"/>
    <w:rsid w:val="6F6FB3EB"/>
    <w:rsid w:val="6F8731EA"/>
    <w:rsid w:val="6F9208F0"/>
    <w:rsid w:val="6FCE6052"/>
    <w:rsid w:val="6FD57C00"/>
    <w:rsid w:val="6FEFFFD8"/>
    <w:rsid w:val="6FF5CC65"/>
    <w:rsid w:val="6FFB47EC"/>
    <w:rsid w:val="6FFF034A"/>
    <w:rsid w:val="70484440"/>
    <w:rsid w:val="712A28F1"/>
    <w:rsid w:val="713F23B2"/>
    <w:rsid w:val="715C0E4B"/>
    <w:rsid w:val="71992E7C"/>
    <w:rsid w:val="72233669"/>
    <w:rsid w:val="72734D90"/>
    <w:rsid w:val="72B56DCF"/>
    <w:rsid w:val="72C7572D"/>
    <w:rsid w:val="73160E6D"/>
    <w:rsid w:val="7332FE48"/>
    <w:rsid w:val="73AB61DA"/>
    <w:rsid w:val="73AD73D5"/>
    <w:rsid w:val="73B6EB34"/>
    <w:rsid w:val="73FA497D"/>
    <w:rsid w:val="744731E5"/>
    <w:rsid w:val="74BBD01D"/>
    <w:rsid w:val="74ED5379"/>
    <w:rsid w:val="754E350B"/>
    <w:rsid w:val="75DEEEC2"/>
    <w:rsid w:val="75E32345"/>
    <w:rsid w:val="75F61BD9"/>
    <w:rsid w:val="76E3355F"/>
    <w:rsid w:val="76FF5125"/>
    <w:rsid w:val="776F6FFA"/>
    <w:rsid w:val="77844FC2"/>
    <w:rsid w:val="778769C8"/>
    <w:rsid w:val="77A75DCA"/>
    <w:rsid w:val="77DC22F5"/>
    <w:rsid w:val="77F557A7"/>
    <w:rsid w:val="782F1F11"/>
    <w:rsid w:val="783E271A"/>
    <w:rsid w:val="78616DE9"/>
    <w:rsid w:val="78960859"/>
    <w:rsid w:val="78E875D7"/>
    <w:rsid w:val="79086DAD"/>
    <w:rsid w:val="79D364E4"/>
    <w:rsid w:val="79D7FD79"/>
    <w:rsid w:val="79EE5BA4"/>
    <w:rsid w:val="7A894339"/>
    <w:rsid w:val="7AD284E8"/>
    <w:rsid w:val="7AFF7572"/>
    <w:rsid w:val="7B6C7DFB"/>
    <w:rsid w:val="7BBFBED0"/>
    <w:rsid w:val="7BC3E394"/>
    <w:rsid w:val="7C1F3737"/>
    <w:rsid w:val="7CBFC87B"/>
    <w:rsid w:val="7CFE0F48"/>
    <w:rsid w:val="7D272ABC"/>
    <w:rsid w:val="7D4A280A"/>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manualLayout>
          <c:xMode val="edge"/>
          <c:yMode val="edge"/>
          <c:x val="0.263341804320203"/>
          <c:y val="0.0394562334217507"/>
        </c:manualLayout>
      </c:layout>
      <c:overlay val="false"/>
      <c:spPr>
        <a:noFill/>
        <a:ln>
          <a:noFill/>
        </a:ln>
        <a:effectLst/>
      </c:spPr>
    </c:title>
    <c:autoTitleDeleted val="false"/>
    <c:plotArea>
      <c:layout/>
      <c:barChart>
        <c:barDir val="col"/>
        <c:grouping val="clustered"/>
        <c:varyColors val="false"/>
        <c:ser>
          <c:idx val="0"/>
          <c:order val="0"/>
          <c:tx>
            <c:strRef>
              <c:f>'[新建 XLS 工作表.xls]Sheet1'!$A$3</c:f>
              <c:strCache>
                <c:ptCount val="1"/>
                <c:pt idx="0">
                  <c:v>2023</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工作表.xls]Sheet1'!$B$2:$C$2</c:f>
              <c:strCache>
                <c:ptCount val="2"/>
                <c:pt idx="0">
                  <c:v>总收入</c:v>
                </c:pt>
                <c:pt idx="1">
                  <c:v>总支出</c:v>
                </c:pt>
              </c:strCache>
            </c:strRef>
          </c:cat>
          <c:val>
            <c:numRef>
              <c:f>'[新建 XLS 工作表.xls]Sheet1'!$B$3:$C$3</c:f>
              <c:numCache>
                <c:formatCode>General</c:formatCode>
                <c:ptCount val="2"/>
                <c:pt idx="0">
                  <c:v>287.28</c:v>
                </c:pt>
                <c:pt idx="1">
                  <c:v>287.28</c:v>
                </c:pt>
              </c:numCache>
            </c:numRef>
          </c:val>
        </c:ser>
        <c:ser>
          <c:idx val="1"/>
          <c:order val="1"/>
          <c:tx>
            <c:strRef>
              <c:f>'[新建 XLS 工作表.xls]Sheet1'!$A$4</c:f>
              <c:strCache>
                <c:ptCount val="1"/>
                <c:pt idx="0">
                  <c:v>2024</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工作表.xls]Sheet1'!$B$2:$C$2</c:f>
              <c:strCache>
                <c:ptCount val="2"/>
                <c:pt idx="0">
                  <c:v>总收入</c:v>
                </c:pt>
                <c:pt idx="1">
                  <c:v>总支出</c:v>
                </c:pt>
              </c:strCache>
            </c:strRef>
          </c:cat>
          <c:val>
            <c:numRef>
              <c:f>'[新建 XLS 工作表.xls]Sheet1'!$B$4:$C$4</c:f>
              <c:numCache>
                <c:formatCode>General</c:formatCode>
                <c:ptCount val="2"/>
                <c:pt idx="0">
                  <c:v>305.57</c:v>
                </c:pt>
                <c:pt idx="1">
                  <c:v>305.57</c:v>
                </c:pt>
              </c:numCache>
            </c:numRef>
          </c:val>
        </c:ser>
        <c:dLbls>
          <c:showLegendKey val="false"/>
          <c:showVal val="true"/>
          <c:showCatName val="false"/>
          <c:showSerName val="false"/>
          <c:showPercent val="false"/>
          <c:showBubbleSize val="false"/>
        </c:dLbls>
        <c:gapWidth val="246"/>
        <c:overlap val="-28"/>
        <c:axId val="889536391"/>
        <c:axId val="804643782"/>
      </c:barChart>
      <c:catAx>
        <c:axId val="88953639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4643782"/>
        <c:crosses val="autoZero"/>
        <c:auto val="true"/>
        <c:lblAlgn val="ctr"/>
        <c:lblOffset val="100"/>
        <c:noMultiLvlLbl val="false"/>
      </c:catAx>
      <c:valAx>
        <c:axId val="804643782"/>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89536391"/>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false"/>
    </a:gra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tx1">
                  <a:lumMod val="75000"/>
                  <a:lumOff val="25000"/>
                </a:schemeClr>
              </a:solidFill>
              <a:latin typeface="+mn-lt"/>
              <a:ea typeface="+mn-ea"/>
              <a:cs typeface="+mn-cs"/>
            </a:defRPr>
          </a:pPr>
        </a:p>
      </c:txPr>
    </c:title>
    <c:autoTitleDeleted val="false"/>
    <c:plotArea>
      <c:layout/>
      <c:pieChart>
        <c:varyColors val="true"/>
        <c:ser>
          <c:idx val="0"/>
          <c:order val="0"/>
          <c:tx>
            <c:strRef>
              <c:f>'[新建 XLS 工作表.xls]Sheet1'!$A$21</c:f>
              <c:strCache>
                <c:ptCount val="1"/>
                <c:pt idx="0">
                  <c:v>收入决算情况说明</c:v>
                </c:pt>
              </c:strCache>
            </c:strRef>
          </c:tx>
          <c:spPr/>
          <c:explosion val="0"/>
          <c:dPt>
            <c:idx val="0"/>
            <c:bubble3D val="false"/>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工作表.xls]Sheet1'!$B$20</c:f>
              <c:strCache>
                <c:ptCount val="1"/>
                <c:pt idx="0">
                  <c:v>一般公共预算财政拨款收入</c:v>
                </c:pt>
              </c:strCache>
            </c:strRef>
          </c:cat>
          <c:val>
            <c:numRef>
              <c:f>'[新建 XLS 工作表.xls]Sheet1'!$B$21</c:f>
              <c:numCache>
                <c:formatCode>0%</c:formatCode>
                <c:ptCount val="1"/>
                <c:pt idx="0">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tx1">
                  <a:lumMod val="75000"/>
                  <a:lumOff val="25000"/>
                </a:schemeClr>
              </a:solidFill>
              <a:latin typeface="+mn-lt"/>
              <a:ea typeface="+mn-ea"/>
              <a:cs typeface="+mn-cs"/>
            </a:defRPr>
          </a:pPr>
        </a:p>
      </c:txPr>
    </c:title>
    <c:autoTitleDeleted val="false"/>
    <c:plotArea>
      <c:layout/>
      <c:pieChart>
        <c:varyColors val="true"/>
        <c:ser>
          <c:idx val="0"/>
          <c:order val="0"/>
          <c:tx>
            <c:strRef>
              <c:f>'[新建 XLS 工作表.xls]Sheet1'!$A$29</c:f>
              <c:strCache>
                <c:ptCount val="1"/>
                <c:pt idx="0">
                  <c:v>支出决算结构图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工作表.xls]Sheet1'!$B$28:$C$28</c:f>
              <c:strCache>
                <c:ptCount val="2"/>
                <c:pt idx="0">
                  <c:v>基本支出</c:v>
                </c:pt>
                <c:pt idx="1">
                  <c:v>项目支出</c:v>
                </c:pt>
              </c:strCache>
            </c:strRef>
          </c:cat>
          <c:val>
            <c:numRef>
              <c:f>'[新建 XLS 工作表.xls]Sheet1'!$B$29:$C$29</c:f>
              <c:numCache>
                <c:formatCode>General</c:formatCode>
                <c:ptCount val="2"/>
                <c:pt idx="0">
                  <c:v>262.16</c:v>
                </c:pt>
                <c:pt idx="1">
                  <c:v>43.41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manualLayout>
          <c:xMode val="edge"/>
          <c:yMode val="edge"/>
          <c:x val="0.217689530685921"/>
          <c:y val="0.0324873096446701"/>
        </c:manualLayout>
      </c:layout>
      <c:overlay val="false"/>
      <c:spPr>
        <a:noFill/>
        <a:ln>
          <a:noFill/>
        </a:ln>
        <a:effectLst/>
      </c:spPr>
    </c:title>
    <c:autoTitleDeleted val="false"/>
    <c:plotArea>
      <c:layout/>
      <c:barChart>
        <c:barDir val="col"/>
        <c:grouping val="clustered"/>
        <c:varyColors val="false"/>
        <c:ser>
          <c:idx val="0"/>
          <c:order val="0"/>
          <c:tx>
            <c:strRef>
              <c:f>'[新建 XLS 工作表.xls]Sheet1'!$A$38</c:f>
              <c:strCache>
                <c:ptCount val="1"/>
                <c:pt idx="0">
                  <c:v>2023</c:v>
                </c:pt>
              </c:strCache>
            </c:strRef>
          </c:tx>
          <c:spPr>
            <a:solidFill>
              <a:schemeClr val="accent1"/>
            </a:solidFill>
            <a:ln>
              <a:noFill/>
            </a:ln>
            <a:effectLst/>
          </c:spPr>
          <c:invertIfNegative val="false"/>
          <c:dLbls>
            <c:delete val="true"/>
          </c:dLbls>
          <c:cat>
            <c:strRef>
              <c:f>'[新建 XLS 工作表.xls]Sheet1'!$B$37:$C$37</c:f>
              <c:strCache>
                <c:ptCount val="2"/>
                <c:pt idx="0">
                  <c:v>总收入</c:v>
                </c:pt>
                <c:pt idx="1">
                  <c:v>总支出</c:v>
                </c:pt>
              </c:strCache>
            </c:strRef>
          </c:cat>
          <c:val>
            <c:numRef>
              <c:f>'[新建 XLS 工作表.xls]Sheet1'!$B$38:$C$38</c:f>
              <c:numCache>
                <c:formatCode>General</c:formatCode>
                <c:ptCount val="2"/>
                <c:pt idx="0">
                  <c:v>287.28</c:v>
                </c:pt>
                <c:pt idx="1">
                  <c:v>287.28</c:v>
                </c:pt>
              </c:numCache>
            </c:numRef>
          </c:val>
        </c:ser>
        <c:ser>
          <c:idx val="1"/>
          <c:order val="1"/>
          <c:tx>
            <c:strRef>
              <c:f>'[新建 XLS 工作表.xls]Sheet1'!$A$39</c:f>
              <c:strCache>
                <c:ptCount val="1"/>
                <c:pt idx="0">
                  <c:v>2024</c:v>
                </c:pt>
              </c:strCache>
            </c:strRef>
          </c:tx>
          <c:spPr>
            <a:solidFill>
              <a:schemeClr val="accent2"/>
            </a:solidFill>
            <a:ln>
              <a:noFill/>
            </a:ln>
            <a:effectLst/>
          </c:spPr>
          <c:invertIfNegative val="false"/>
          <c:dLbls>
            <c:delete val="true"/>
          </c:dLbls>
          <c:cat>
            <c:strRef>
              <c:f>'[新建 XLS 工作表.xls]Sheet1'!$B$37:$C$37</c:f>
              <c:strCache>
                <c:ptCount val="2"/>
                <c:pt idx="0">
                  <c:v>总收入</c:v>
                </c:pt>
                <c:pt idx="1">
                  <c:v>总支出</c:v>
                </c:pt>
              </c:strCache>
            </c:strRef>
          </c:cat>
          <c:val>
            <c:numRef>
              <c:f>'[新建 XLS 工作表.xls]Sheet1'!$B$39:$C$39</c:f>
              <c:numCache>
                <c:formatCode>General</c:formatCode>
                <c:ptCount val="2"/>
                <c:pt idx="0">
                  <c:v>305.57</c:v>
                </c:pt>
                <c:pt idx="1">
                  <c:v>305.57</c:v>
                </c:pt>
              </c:numCache>
            </c:numRef>
          </c:val>
        </c:ser>
        <c:dLbls>
          <c:showLegendKey val="false"/>
          <c:showVal val="false"/>
          <c:showCatName val="false"/>
          <c:showSerName val="false"/>
          <c:showPercent val="false"/>
          <c:showBubbleSize val="false"/>
        </c:dLbls>
        <c:gapWidth val="246"/>
        <c:overlap val="-28"/>
        <c:axId val="449066672"/>
        <c:axId val="375627250"/>
      </c:barChart>
      <c:catAx>
        <c:axId val="44906667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75627250"/>
        <c:crosses val="autoZero"/>
        <c:auto val="true"/>
        <c:lblAlgn val="ctr"/>
        <c:lblOffset val="100"/>
        <c:noMultiLvlLbl val="false"/>
      </c:catAx>
      <c:valAx>
        <c:axId val="375627250"/>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4906667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endParaRPr sz="1400" b="1" i="0" u="none" strike="noStrike" baseline="0">
              <a:solidFill>
                <a:srgbClr val="404040">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clustered"/>
        <c:varyColors val="false"/>
        <c:ser>
          <c:idx val="0"/>
          <c:order val="0"/>
          <c:tx>
            <c:strRef>
              <c:f>'[新建 XLS 工作表.xls]Sheet1'!$B$57</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numRef>
              <c:f>'[新建 XLS 工作表.xls]Sheet1'!$A$58:$A$59</c:f>
              <c:numCache>
                <c:formatCode>General</c:formatCode>
                <c:ptCount val="2"/>
                <c:pt idx="0">
                  <c:v>2023</c:v>
                </c:pt>
                <c:pt idx="1">
                  <c:v>2024</c:v>
                </c:pt>
              </c:numCache>
            </c:numRef>
          </c:cat>
          <c:val>
            <c:numRef>
              <c:f>'[新建 XLS 工作表.xls]Sheet1'!$B$58:$B$59</c:f>
              <c:numCache>
                <c:formatCode>General</c:formatCode>
                <c:ptCount val="2"/>
                <c:pt idx="0">
                  <c:v>287.28</c:v>
                </c:pt>
                <c:pt idx="1">
                  <c:v>305.57</c:v>
                </c:pt>
              </c:numCache>
            </c:numRef>
          </c:val>
        </c:ser>
        <c:dLbls>
          <c:showLegendKey val="false"/>
          <c:showVal val="true"/>
          <c:showCatName val="false"/>
          <c:showSerName val="false"/>
          <c:showPercent val="false"/>
          <c:showBubbleSize val="false"/>
        </c:dLbls>
        <c:gapWidth val="246"/>
        <c:overlap val="-28"/>
        <c:axId val="664536412"/>
        <c:axId val="292357689"/>
      </c:barChart>
      <c:catAx>
        <c:axId val="66453641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2357689"/>
        <c:crosses val="autoZero"/>
        <c:auto val="true"/>
        <c:lblAlgn val="ctr"/>
        <c:lblOffset val="100"/>
        <c:noMultiLvlLbl val="false"/>
      </c:catAx>
      <c:valAx>
        <c:axId val="292357689"/>
        <c:scaling>
          <c:orientation val="minMax"/>
        </c:scaling>
        <c:delete val="false"/>
        <c:axPos val="l"/>
        <c:majorGridlines>
          <c:spPr>
            <a:ln w="9525" cap="flat" cmpd="sng" algn="ctr">
              <a:solidFill>
                <a:schemeClr val="lt1">
                  <a:lumMod val="90200"/>
                </a:schemeClr>
              </a:solidFill>
              <a:prstDash val="solid"/>
              <a:round/>
            </a:ln>
            <a:effectLst/>
          </c:spPr>
        </c:majorGridlines>
        <c:numFmt formatCode="General" sourceLinked="true"/>
        <c:majorTickMark val="none"/>
        <c:minorTickMark val="none"/>
        <c:tickLblPos val="nextTo"/>
        <c:spPr>
          <a:noFill/>
          <a:ln w="1270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6453641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5131578947368"/>
          <c:y val="0.0243055555555556"/>
        </c:manualLayout>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tx1">
                  <a:lumMod val="75000"/>
                  <a:lumOff val="25000"/>
                </a:schemeClr>
              </a:solidFill>
              <a:latin typeface="+mn-lt"/>
              <a:ea typeface="+mn-ea"/>
              <a:cs typeface="+mn-cs"/>
            </a:defRPr>
          </a:pPr>
        </a:p>
      </c:txPr>
    </c:title>
    <c:autoTitleDeleted val="false"/>
    <c:plotArea>
      <c:layout/>
      <c:pieChart>
        <c:varyColors val="true"/>
        <c:ser>
          <c:idx val="0"/>
          <c:order val="0"/>
          <c:tx>
            <c:strRef>
              <c:f>'[新建 XLS 工作表.xls]Sheet1'!$A$68</c:f>
              <c:strCache>
                <c:ptCount val="1"/>
                <c:pt idx="0">
                  <c:v>一般公共预算财政拨款支出决算结构</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elete val="true"/>
          </c:dLbls>
          <c:cat>
            <c:strRef>
              <c:f>'[新建 XLS 工作表.xls]Sheet1'!$B$67:$D$67</c:f>
              <c:strCache>
                <c:ptCount val="3"/>
                <c:pt idx="0">
                  <c:v>社会保障和就业支出</c:v>
                </c:pt>
                <c:pt idx="1">
                  <c:v>住房保障支出</c:v>
                </c:pt>
                <c:pt idx="2">
                  <c:v>城乡社区支出</c:v>
                </c:pt>
              </c:strCache>
            </c:strRef>
          </c:cat>
          <c:val>
            <c:numRef>
              <c:f>'[新建 XLS 工作表.xls]Sheet1'!$B$68:$D$68</c:f>
              <c:numCache>
                <c:formatCode>0%</c:formatCode>
                <c:ptCount val="3"/>
                <c:pt idx="0">
                  <c:v>0.2</c:v>
                </c:pt>
                <c:pt idx="1" c:formatCode="0.00%">
                  <c:v>0.0592</c:v>
                </c:pt>
                <c:pt idx="2" c:formatCode="0.00%">
                  <c:v>0.7408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6013354281226"/>
          <c:y val="0.0106951871657754"/>
        </c:manualLayout>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tx1">
                  <a:lumMod val="75000"/>
                  <a:lumOff val="25000"/>
                </a:schemeClr>
              </a:solidFill>
              <a:latin typeface="+mn-lt"/>
              <a:ea typeface="+mn-ea"/>
              <a:cs typeface="+mn-cs"/>
            </a:defRPr>
          </a:pPr>
        </a:p>
      </c:txPr>
    </c:title>
    <c:autoTitleDeleted val="false"/>
    <c:plotArea>
      <c:layout/>
      <c:pieChart>
        <c:varyColors val="true"/>
        <c:ser>
          <c:idx val="0"/>
          <c:order val="0"/>
          <c:tx>
            <c:strRef>
              <c:f>'[新建 XLS 工作表.xls]Sheet1'!$A$76</c:f>
              <c:strCache>
                <c:ptCount val="1"/>
                <c:pt idx="0">
                  <c:v>“三公”经费财政拨款支出结构</c:v>
                </c:pt>
              </c:strCache>
            </c:strRef>
          </c:tx>
          <c:spPr/>
          <c:explosion val="0"/>
          <c:dPt>
            <c:idx val="0"/>
            <c:bubble3D val="false"/>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工作表.xls]Sheet1'!$B$75</c:f>
              <c:strCache>
                <c:ptCount val="1"/>
                <c:pt idx="0">
                  <c:v>公务用车购置及运行维护费支出</c:v>
                </c:pt>
              </c:strCache>
            </c:strRef>
          </c:cat>
          <c:val>
            <c:numRef>
              <c:f>'[新建 XLS 工作表.xls]Sheet1'!$B$76</c:f>
              <c:numCache>
                <c:formatCode>0%</c:formatCode>
                <c:ptCount val="1"/>
                <c:pt idx="0">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manualLayout>
          <c:xMode val="edge"/>
          <c:yMode val="edge"/>
          <c:x val="0.287462686567164"/>
          <c:y val="0.237076648841355"/>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3859</Words>
  <Characters>5218</Characters>
  <Lines>61</Lines>
  <Paragraphs>17</Paragraphs>
  <TotalTime>41</TotalTime>
  <ScaleCrop>false</ScaleCrop>
  <LinksUpToDate>false</LinksUpToDate>
  <CharactersWithSpaces>5236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2025-09-16T18:27:24Z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02D389E45C7D4845AB74BAD7F9515E15_13</vt:lpwstr>
  </property>
  <property fmtid="{D5CDD505-2E9C-101B-9397-08002B2CF9AE}" pid="4" name="KSOTemplateDocerSaveRecord">
    <vt:lpwstr>eyJoZGlkIjoiYmQwMDZjMjIxZWIwOWQzNTBiZWNmMThkOTBiNWQxMzIiLCJ1c2VySWQiOiI2Mjg4MDIxMDgifQ==</vt:lpwstr>
  </property>
</Properties>
</file>