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1DBC8E0">
      <w:pPr>
        <w:pStyle w:val="style0"/>
        <w:rPr>
          <w:rFonts w:ascii="Times New Roman" w:cs="Times New Roman" w:eastAsia="黑体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cs="Times New Roman" w:eastAsia="黑体" w:hAnsi="Times New Roman" w:hint="eastAsia"/>
          <w:color w:val="auto"/>
          <w:sz w:val="32"/>
          <w:szCs w:val="32"/>
          <w:lang w:val="en-US" w:eastAsia="zh-CN"/>
        </w:rPr>
        <w:t>附件</w:t>
      </w:r>
    </w:p>
    <w:p w14:paraId="7CD6AD28">
      <w:pPr>
        <w:pStyle w:val="style75"/>
        <w:rPr>
          <w:rFonts w:hint="eastAsia"/>
          <w:lang w:val="en-US" w:eastAsia="zh-CN"/>
        </w:rPr>
      </w:pPr>
    </w:p>
    <w:p w14:paraId="775D6D7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Times New Roman" w:cs="Times New Roman" w:eastAsia="方正小标宋简体" w:hAnsi="Times New Roman" w:hint="eastAsia"/>
          <w:color w:val="auto"/>
          <w:sz w:val="44"/>
          <w:szCs w:val="44"/>
          <w:lang w:val="en-US" w:eastAsia="zh-CN"/>
        </w:rPr>
      </w:pPr>
      <w:r>
        <w:rPr>
          <w:rFonts w:ascii="Times New Roman" w:cs="Times New Roman" w:eastAsia="方正小标宋简体" w:hAnsi="Times New Roman" w:hint="eastAsia"/>
          <w:color w:val="auto"/>
          <w:sz w:val="44"/>
          <w:szCs w:val="44"/>
          <w:lang w:val="en-US" w:eastAsia="zh-CN"/>
        </w:rPr>
        <w:t>第二轮四川省生态环境保护督察第十九项整改任务完成情况表</w:t>
      </w:r>
    </w:p>
    <w:p w14:paraId="C78E8DD5">
      <w:pPr>
        <w:pStyle w:val="style75"/>
        <w:rPr>
          <w:rFonts w:hint="eastAsia"/>
          <w:lang w:val="en-US" w:eastAsia="zh-CN"/>
        </w:rPr>
      </w:pPr>
    </w:p>
    <w:p w14:paraId="6A202909">
      <w:pPr>
        <w:pStyle w:val="style75"/>
        <w:rPr>
          <w:rFonts w:hint="eastAsia"/>
          <w:lang w:val="en-US" w:eastAsia="zh-CN"/>
        </w:rPr>
      </w:pPr>
    </w:p>
    <w:tbl>
      <w:tblPr>
        <w:tblStyle w:val="style105"/>
        <w:tblW w:w="5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7" w:type="dxa"/>
          <w:bottom w:w="0" w:type="dxa"/>
          <w:right w:w="17" w:type="dxa"/>
        </w:tblCellMar>
      </w:tblPr>
      <w:tblGrid>
        <w:gridCol w:w="2290"/>
        <w:gridCol w:w="6514"/>
      </w:tblGrid>
      <w:tr w14:paraId="B8784FBD">
        <w:trPr>
          <w:trHeight w:val="1302" w:hRule="atLeast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E4F617D1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overflowPunct w:val="false"/>
              <w:topLinePunct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Times New Roman" w:eastAsia="楷体_GB2312" w:hAnsi="Times New Roman" w:hint="default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hint="default"/>
                <w:bCs/>
                <w:kern w:val="0"/>
                <w:sz w:val="30"/>
                <w:szCs w:val="30"/>
              </w:rPr>
              <w:t>整改任务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B840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overflowPunct w:val="false"/>
              <w:topLinePunct/>
              <w:autoSpaceDE/>
              <w:autoSpaceDN/>
              <w:bidi w:val="false"/>
              <w:adjustRightInd/>
              <w:snapToGrid/>
              <w:spacing w:lineRule="exact" w:line="420"/>
              <w:textAlignment w:val="auto"/>
              <w:rPr>
                <w:rFonts w:ascii="Times New Roman" w:eastAsia="楷体_GB2312" w:hAnsi="Times New Roman" w:hint="default"/>
                <w:kern w:val="0"/>
                <w:sz w:val="28"/>
                <w:szCs w:val="28"/>
              </w:rPr>
            </w:pPr>
            <w:r>
              <w:rPr>
                <w:rFonts w:ascii="仿宋_GB2312" w:cs="仿宋_GB2312" w:eastAsia="仿宋_GB2312" w:hint="eastAsia"/>
                <w:kern w:val="2"/>
                <w:sz w:val="28"/>
                <w:szCs w:val="28"/>
                <w:lang w:val="en-US" w:bidi="ar-SA" w:eastAsia="zh-CN"/>
              </w:rPr>
              <w:t>《攀枝花市落实第二轮四川省生态环保督察反馈意见整改任务清单》第十九项整改任务：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抽查53家工业企业和6个建筑工地均不同程度存在大气污染防治措施落实不到位，扬尘污染和生态破坏等问题。</w:t>
            </w:r>
          </w:p>
        </w:tc>
      </w:tr>
      <w:tr w14:paraId="14EEDB82">
        <w:tblPrEx/>
        <w:trPr>
          <w:trHeight w:val="90" w:hRule="atLeast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D2A9DFCD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overflowPunct w:val="false"/>
              <w:topLinePunct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Times New Roman" w:eastAsia="楷体_GB2312" w:hAnsi="Times New Roman" w:hint="default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hint="default"/>
                <w:bCs/>
                <w:kern w:val="0"/>
                <w:sz w:val="30"/>
                <w:szCs w:val="30"/>
              </w:rPr>
              <w:t>整改责任单位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A10B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overflowPunct w:val="false"/>
              <w:topLinePunct/>
              <w:autoSpaceDE/>
              <w:autoSpaceDN/>
              <w:bidi w:val="false"/>
              <w:adjustRightInd/>
              <w:snapToGrid/>
              <w:spacing w:lineRule="exact" w:line="420"/>
              <w:textAlignment w:val="auto"/>
              <w:rPr>
                <w:rFonts w:ascii="Times New Roman" w:eastAsia="楷体_GB2312" w:hAnsi="Times New Roman"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东区政府、西区政府、仁和区政府、米易县政府、盐边县政府、钒钛高新区管委会</w:t>
            </w:r>
          </w:p>
        </w:tc>
      </w:tr>
      <w:tr w14:paraId="53D1BCC5">
        <w:tblPrEx/>
        <w:trPr>
          <w:trHeight w:val="727" w:hRule="atLeast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58D8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overflowPunct w:val="false"/>
              <w:topLinePunct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Times New Roman" w:eastAsia="楷体_GB2312" w:hAnsi="Times New Roman" w:hint="default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hint="default"/>
                <w:bCs/>
                <w:kern w:val="0"/>
                <w:sz w:val="30"/>
                <w:szCs w:val="30"/>
              </w:rPr>
              <w:t>整改目标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8BBF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overflowPunct w:val="false"/>
              <w:topLinePunct/>
              <w:autoSpaceDE/>
              <w:autoSpaceDN/>
              <w:bidi w:val="false"/>
              <w:adjustRightInd w:val="false"/>
              <w:snapToGrid w:val="false"/>
              <w:spacing w:lineRule="exact" w:line="420"/>
              <w:ind w:left="0" w:firstLine="0"/>
              <w:jc w:val="both"/>
              <w:textAlignment w:val="auto"/>
              <w:rPr>
                <w:rFonts w:ascii="Times New Roman" w:eastAsia="楷体_GB2312" w:hAnsi="Times New Roman" w:hint="default"/>
                <w:kern w:val="0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8"/>
                <w:szCs w:val="28"/>
                <w:lang w:val="en-US" w:bidi="ar-SA" w:eastAsia="zh-CN"/>
              </w:rPr>
              <w:t>全面落实污染防治措施，有效解决53家工业企业和6个建筑工地扬尘污染和生态破坏等问题。</w:t>
            </w:r>
            <w:r>
              <w:rPr>
                <w:rFonts w:ascii="仿宋_GB2312" w:cs="仿宋_GB2312" w:eastAsia="仿宋_GB2312" w:hint="eastAsia"/>
                <w:kern w:val="2"/>
                <w:sz w:val="32"/>
                <w:szCs w:val="32"/>
                <w:lang w:val="en-US" w:bidi="ar-SA" w:eastAsia="zh-CN"/>
              </w:rPr>
              <w:t xml:space="preserve"> </w:t>
            </w:r>
          </w:p>
        </w:tc>
      </w:tr>
      <w:tr w14:paraId="4B5701E3">
        <w:tblPrEx/>
        <w:trPr>
          <w:trHeight w:val="2735" w:hRule="atLeast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93F34820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overflowPunct w:val="false"/>
              <w:topLinePunct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Times New Roman" w:eastAsia="楷体_GB2312" w:hAnsi="Times New Roman" w:hint="default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hint="default"/>
                <w:bCs/>
                <w:kern w:val="0"/>
                <w:sz w:val="30"/>
                <w:szCs w:val="30"/>
              </w:rPr>
              <w:t>整改措施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F8CC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overflowPunct w:val="false"/>
              <w:topLinePunct/>
              <w:autoSpaceDE/>
              <w:autoSpaceDN/>
              <w:bidi w:val="false"/>
              <w:adjustRightInd/>
              <w:snapToGrid/>
              <w:spacing w:lineRule="exact" w:line="420"/>
              <w:textAlignment w:val="auto"/>
              <w:rPr>
                <w:rFonts w:hint="default"/>
              </w:rPr>
            </w:pP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一是针对53家工业企业问题，2021年12月底前建立一企一策整改方案，并按方案规定的时限、措施抓紧推动问题整改落实；二是针对6个建筑工地问题，加强建筑工地日常监管，严格落实建筑施工“六个百分百”，有效管控施工过程中的扬尘问题。</w:t>
            </w:r>
          </w:p>
        </w:tc>
      </w:tr>
      <w:tr w14:paraId="2063C6EC">
        <w:tblPrEx/>
        <w:trPr>
          <w:trHeight w:val="2833" w:hRule="atLeast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9A177CB6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overflowPunct w:val="false"/>
              <w:topLinePunct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Times New Roman" w:eastAsia="楷体_GB2312" w:hAnsi="Times New Roman" w:hint="default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Times New Roman" w:eastAsia="楷体_GB2312" w:hAnsi="Times New Roman" w:hint="eastAsia"/>
                <w:bCs/>
                <w:kern w:val="0"/>
                <w:sz w:val="30"/>
                <w:szCs w:val="30"/>
                <w:lang w:val="en-US" w:eastAsia="zh-CN"/>
              </w:rPr>
              <w:t>整改主要工作及成效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F892CA24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overflowPunct w:val="false"/>
              <w:topLinePunct/>
              <w:autoSpaceDE/>
              <w:autoSpaceDN/>
              <w:bidi w:val="false"/>
              <w:adjustRightInd w:val="false"/>
              <w:snapToGrid w:val="false"/>
              <w:spacing w:lineRule="exact" w:line="420"/>
              <w:ind w:left="0" w:firstLine="0"/>
              <w:jc w:val="both"/>
              <w:textAlignment w:val="auto"/>
              <w:rPr>
                <w:rFonts w:ascii="Times New Roman" w:eastAsia="仿宋_GB2312" w:hAnsi="Times New Roman" w:hint="default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针对53家工业企业问题，</w:t>
            </w:r>
            <w:r>
              <w:rPr>
                <w:rFonts w:ascii="Times New Roman" w:cs="Times New Roman" w:eastAsia="仿宋_GB2312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各县（区）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已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督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促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问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题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企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业建立一企一策整改方案，并按方案规定的时限、措施推动问题整改落实，同时</w:t>
            </w:r>
            <w:r>
              <w:rPr>
                <w:rFonts w:ascii="Times New Roman" w:cs="Times New Roman" w:eastAsia="仿宋_GB2312" w:hAnsi="Times New Roman" w:hint="default"/>
                <w:color w:val="auto"/>
                <w:kern w:val="2"/>
                <w:sz w:val="28"/>
                <w:szCs w:val="28"/>
                <w:lang w:val="en-US" w:bidi="ar-SA" w:eastAsia="zh-CN"/>
              </w:rPr>
              <w:t>加强日常监督检查，确保问题不反弹。</w:t>
            </w:r>
          </w:p>
          <w:p w14:paraId="0B641B95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overflowPunct w:val="false"/>
              <w:topLinePunct/>
              <w:autoSpaceDE/>
              <w:autoSpaceDN/>
              <w:bidi w:val="false"/>
              <w:adjustRightInd/>
              <w:snapToGrid/>
              <w:spacing w:lineRule="exact" w:line="420"/>
              <w:textAlignment w:val="auto"/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针对6个建筑工地问题，相关</w:t>
            </w:r>
            <w:r>
              <w:rPr>
                <w:rFonts w:ascii="Times New Roman" w:cs="Times New Roman" w:eastAsia="仿宋_GB2312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县（区）督</w:t>
            </w:r>
            <w:r>
              <w:rPr>
                <w:rFonts w:ascii="Times New Roman" w:cs="Times New Roman" w:eastAsia="仿宋_GB2312" w:hAnsi="Times New Roman" w:hint="eastAsia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促</w:t>
            </w:r>
            <w:r>
              <w:rPr>
                <w:rFonts w:ascii="Times New Roman" w:cs="Times New Roman" w:eastAsia="仿宋_GB2312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问</w:t>
            </w:r>
            <w:r>
              <w:rPr>
                <w:rFonts w:ascii="Times New Roman" w:cs="Times New Roman" w:eastAsia="仿宋_GB2312" w:hAnsi="Times New Roman" w:hint="eastAsia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题</w:t>
            </w:r>
            <w:r>
              <w:rPr>
                <w:rFonts w:ascii="Times New Roman" w:cs="Times New Roman" w:eastAsia="仿宋_GB2312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工</w:t>
            </w:r>
            <w:r>
              <w:rPr>
                <w:rFonts w:ascii="Times New Roman" w:cs="Times New Roman" w:eastAsia="仿宋_GB2312" w:hAnsi="Times New Roman" w:hint="eastAsia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地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严格落实建筑施工“六个百分百”标准，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切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实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开展扬尘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防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治工作,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并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安排专人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督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导落实扬尘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防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治措施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。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施工单位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均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进行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bidi="ar-SA" w:eastAsia="zh-CN"/>
              </w:rPr>
              <w:t>了</w:t>
            </w:r>
            <w:r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bidi="ar-SA" w:eastAsia="zh-CN"/>
              </w:rPr>
              <w:t>湿法作业。</w:t>
            </w:r>
          </w:p>
          <w:p w14:paraId="E6FDA48B">
            <w:pPr>
              <w:pStyle w:val="style0"/>
              <w:keepNext w:val="false"/>
              <w:keepLines w:val="false"/>
              <w:pageBreakBefore w:val="false"/>
              <w:widowControl w:val="false"/>
              <w:suppressAutoHyphens/>
              <w:kinsoku/>
              <w:wordWrap/>
              <w:autoSpaceDE/>
              <w:autoSpaceDN/>
              <w:bidi w:val="false"/>
              <w:adjustRightInd/>
              <w:snapToGrid/>
              <w:spacing w:lineRule="exact" w:line="420"/>
              <w:ind w:left="0" w:firstLine="0"/>
              <w:textAlignment w:val="auto"/>
              <w:rPr>
                <w:rFonts w:ascii="Times New Roman" w:eastAsia="仿宋_GB2312" w:hAnsi="Times New Roman" w:hint="default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cs="Times New Roman" w:eastAsia="仿宋_GB2312" w:hAnsi="Times New Roman" w:hint="eastAsia"/>
                <w:kern w:val="0"/>
                <w:sz w:val="28"/>
                <w:szCs w:val="28"/>
                <w:lang w:val="en-US" w:bidi="ar-SA" w:eastAsia="zh-CN"/>
              </w:rPr>
              <w:t>2024年2月-2024年3月，市生态环境局组织开展了现场</w:t>
            </w:r>
            <w:r>
              <w:rPr>
                <w:rFonts w:ascii="Times New Roman" w:cs="Times New Roman" w:eastAsia="仿宋_GB2312" w:hAnsi="Times New Roman" w:hint="default"/>
                <w:kern w:val="0"/>
                <w:sz w:val="28"/>
                <w:szCs w:val="28"/>
                <w:lang w:val="en-US" w:bidi="ar-SA" w:eastAsia="zh-CN"/>
              </w:rPr>
              <w:t>核查，</w:t>
            </w:r>
            <w:r>
              <w:rPr>
                <w:rFonts w:ascii="Times New Roman" w:cs="Times New Roman" w:eastAsia="仿宋_GB2312" w:hAnsi="Times New Roman" w:hint="eastAsia"/>
                <w:kern w:val="0"/>
                <w:sz w:val="28"/>
                <w:szCs w:val="28"/>
                <w:lang w:val="en-US" w:bidi="ar-SA" w:eastAsia="zh-CN"/>
              </w:rPr>
              <w:t>各责任单位均</w:t>
            </w:r>
            <w:r>
              <w:rPr>
                <w:rFonts w:ascii="Times New Roman" w:cs="Times New Roman" w:eastAsia="仿宋_GB2312" w:hAnsi="Times New Roman" w:hint="default"/>
                <w:kern w:val="0"/>
                <w:sz w:val="28"/>
                <w:szCs w:val="28"/>
                <w:lang w:val="en-US" w:bidi="ar-SA" w:eastAsia="zh-CN"/>
              </w:rPr>
              <w:t>完成问</w:t>
            </w:r>
            <w:r>
              <w:rPr>
                <w:rFonts w:ascii="Times New Roman" w:cs="Times New Roman" w:eastAsia="仿宋_GB2312" w:hAnsi="Times New Roman" w:hint="eastAsia"/>
                <w:kern w:val="0"/>
                <w:sz w:val="28"/>
                <w:szCs w:val="28"/>
                <w:lang w:val="en-US" w:bidi="ar-SA" w:eastAsia="zh-CN"/>
              </w:rPr>
              <w:t>题整改</w:t>
            </w:r>
            <w:r>
              <w:rPr>
                <w:rFonts w:ascii="Times New Roman" w:cs="Times New Roman" w:eastAsia="仿宋_GB2312" w:hAnsi="Times New Roman" w:hint="default"/>
                <w:kern w:val="0"/>
                <w:sz w:val="28"/>
                <w:szCs w:val="28"/>
                <w:lang w:val="en-US" w:bidi="ar-SA" w:eastAsia="zh-CN"/>
              </w:rPr>
              <w:t>，达到了</w:t>
            </w:r>
            <w:r>
              <w:rPr>
                <w:rFonts w:ascii="Times New Roman" w:cs="Times New Roman" w:eastAsia="仿宋_GB2312" w:hAnsi="Times New Roman" w:hint="default"/>
                <w:kern w:val="0"/>
                <w:sz w:val="28"/>
                <w:szCs w:val="28"/>
                <w:lang w:val="en-US" w:bidi="ar-SA" w:eastAsia="en-US"/>
              </w:rPr>
              <w:t>整改目标</w:t>
            </w:r>
            <w:r>
              <w:rPr>
                <w:rFonts w:ascii="Times New Roman" w:cs="Times New Roman" w:eastAsia="仿宋_GB2312" w:hAnsi="Times New Roman" w:hint="default"/>
                <w:kern w:val="0"/>
                <w:sz w:val="28"/>
                <w:szCs w:val="28"/>
                <w:lang w:val="en-US" w:bidi="ar-SA" w:eastAsia="zh-CN"/>
              </w:rPr>
              <w:t>要求</w:t>
            </w:r>
            <w:r>
              <w:rPr>
                <w:rFonts w:ascii="Times New Roman" w:cs="Times New Roman" w:eastAsia="仿宋_GB2312" w:hAnsi="Times New Roman" w:hint="default"/>
                <w:kern w:val="0"/>
                <w:sz w:val="28"/>
                <w:szCs w:val="28"/>
                <w:lang w:val="en-US" w:bidi="ar-SA" w:eastAsia="en-US"/>
              </w:rPr>
              <w:t>。</w:t>
            </w:r>
            <w:bookmarkStart w:id="0" w:name="_GoBack"/>
            <w:bookmarkEnd w:id="0"/>
          </w:p>
        </w:tc>
      </w:tr>
    </w:tbl>
    <w:p w14:paraId="66DC67BC">
      <w:pPr>
        <w:pStyle w:val="style0"/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8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75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5">
    <w:name w:val="Salutation"/>
    <w:basedOn w:val="style0"/>
    <w:next w:val="style0"/>
    <w:qFormat/>
    <w:uiPriority w:val="0"/>
    <w:pPr/>
    <w:rPr>
      <w:rFonts w:ascii="Calibri" w:cs="黑体" w:eastAsia="宋体" w:hAnsi="Calibri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534</Words>
  <Pages>1</Pages>
  <Characters>551</Characters>
  <Application>WPS Office</Application>
  <DocSecurity>0</DocSecurity>
  <Paragraphs>23</Paragraphs>
  <ScaleCrop>false</ScaleCrop>
  <LinksUpToDate>false</LinksUpToDate>
  <CharactersWithSpaces>552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2025-04-21T02:31:00Z</dcterms:created>
  <dc:creator>余奕杭</dc:creator>
  <lastModifiedBy>PGT-AN10</lastModifiedBy>
  <dcterms:modified xsi:type="dcterms:W3CDTF">2025-04-22T08:10:01Z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a2dbadf45fbd4da78355a2dc93aa8fe8_23</vt:lpwstr>
  </property>
</Properties>
</file>