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eastAsia="方正小标宋简体"/>
          <w:sz w:val="72"/>
          <w:szCs w:val="72"/>
        </w:rPr>
      </w:pPr>
      <w:bookmarkStart w:id="0" w:name="_Toc15396597"/>
      <w:bookmarkStart w:id="1" w:name="_Toc15377425"/>
      <w:bookmarkStart w:id="2" w:name="_Toc15378441"/>
      <w:bookmarkStart w:id="3" w:name="_Toc15377193"/>
      <w:bookmarkStart w:id="4" w:name="_Toc15396475"/>
      <w:bookmarkStart w:id="5" w:name="_Toc15306267"/>
    </w:p>
    <w:p>
      <w:pPr>
        <w:spacing w:line="600" w:lineRule="exact"/>
        <w:jc w:val="center"/>
        <w:outlineLvl w:val="0"/>
        <w:rPr>
          <w:rFonts w:ascii="方正小标宋简体" w:eastAsia="方正小标宋简体"/>
          <w:sz w:val="72"/>
          <w:szCs w:val="72"/>
        </w:rPr>
      </w:pPr>
    </w:p>
    <w:p>
      <w:pPr>
        <w:spacing w:line="600" w:lineRule="exact"/>
        <w:jc w:val="center"/>
        <w:outlineLvl w:val="0"/>
        <w:rPr>
          <w:rFonts w:ascii="方正小标宋简体" w:eastAsia="方正小标宋简体"/>
          <w:sz w:val="72"/>
          <w:szCs w:val="72"/>
        </w:rPr>
      </w:pPr>
    </w:p>
    <w:p>
      <w:pPr>
        <w:spacing w:line="600" w:lineRule="exact"/>
        <w:jc w:val="center"/>
        <w:outlineLvl w:val="0"/>
        <w:rPr>
          <w:rFonts w:ascii="方正小标宋简体" w:eastAsia="方正小标宋简体"/>
          <w:sz w:val="72"/>
          <w:szCs w:val="72"/>
        </w:rPr>
      </w:pPr>
    </w:p>
    <w:p>
      <w:pPr>
        <w:adjustRightInd w:val="0"/>
        <w:snapToGrid w:val="0"/>
        <w:spacing w:line="360" w:lineRule="auto"/>
        <w:jc w:val="center"/>
        <w:outlineLvl w:val="0"/>
        <w:rPr>
          <w:rFonts w:ascii="方正小标宋简体" w:eastAsia="方正小标宋简体" w:cs="方正小标宋简体"/>
          <w:sz w:val="72"/>
          <w:szCs w:val="72"/>
        </w:rPr>
      </w:pPr>
      <w:r>
        <w:rPr>
          <w:rFonts w:ascii="方正小标宋简体" w:eastAsia="方正小标宋简体" w:cs="方正小标宋简体"/>
          <w:sz w:val="72"/>
          <w:szCs w:val="72"/>
        </w:rPr>
        <w:t>2021</w:t>
      </w:r>
      <w:r>
        <w:rPr>
          <w:rFonts w:hint="eastAsia" w:ascii="方正小标宋简体" w:eastAsia="方正小标宋简体" w:cs="方正小标宋简体"/>
          <w:sz w:val="72"/>
          <w:szCs w:val="72"/>
        </w:rPr>
        <w:t>年度</w:t>
      </w:r>
      <w:bookmarkEnd w:id="0"/>
      <w:bookmarkEnd w:id="1"/>
      <w:bookmarkEnd w:id="2"/>
      <w:bookmarkEnd w:id="3"/>
      <w:bookmarkEnd w:id="4"/>
    </w:p>
    <w:p>
      <w:pPr>
        <w:adjustRightInd w:val="0"/>
        <w:snapToGrid w:val="0"/>
        <w:spacing w:line="360" w:lineRule="auto"/>
        <w:jc w:val="center"/>
        <w:outlineLvl w:val="0"/>
        <w:rPr>
          <w:rFonts w:ascii="方正小标宋简体" w:eastAsia="方正小标宋简体"/>
          <w:color w:val="000000"/>
          <w:sz w:val="72"/>
          <w:szCs w:val="72"/>
        </w:rPr>
      </w:pPr>
      <w:bookmarkStart w:id="6" w:name="_Toc15396598"/>
      <w:bookmarkStart w:id="7" w:name="_Toc15377426"/>
      <w:bookmarkStart w:id="8" w:name="_Toc15377194"/>
      <w:bookmarkStart w:id="9" w:name="_Toc15396476"/>
      <w:bookmarkStart w:id="10" w:name="_Toc15378442"/>
      <w:r>
        <w:rPr>
          <w:rFonts w:hint="eastAsia" w:ascii="方正小标宋简体" w:eastAsia="方正小标宋简体" w:cs="方正小标宋简体"/>
          <w:sz w:val="72"/>
          <w:szCs w:val="72"/>
        </w:rPr>
        <w:t>四川省</w:t>
      </w:r>
      <w:bookmarkEnd w:id="5"/>
      <w:bookmarkStart w:id="11" w:name="_Toc15306268"/>
      <w:r>
        <w:rPr>
          <w:rFonts w:hint="eastAsia" w:ascii="方正小标宋简体" w:eastAsia="方正小标宋简体"/>
          <w:color w:val="000000"/>
          <w:sz w:val="72"/>
          <w:szCs w:val="72"/>
        </w:rPr>
        <w:t>攀枝花市住房</w:t>
      </w:r>
    </w:p>
    <w:p>
      <w:pPr>
        <w:adjustRightInd w:val="0"/>
        <w:snapToGrid w:val="0"/>
        <w:spacing w:line="360" w:lineRule="auto"/>
        <w:jc w:val="center"/>
        <w:outlineLvl w:val="0"/>
        <w:rPr>
          <w:rFonts w:ascii="方正小标宋简体" w:eastAsia="方正小标宋简体" w:cs="方正小标宋简体"/>
          <w:sz w:val="72"/>
          <w:szCs w:val="72"/>
        </w:rPr>
      </w:pPr>
      <w:r>
        <w:rPr>
          <w:rFonts w:hint="eastAsia" w:ascii="方正小标宋简体" w:eastAsia="方正小标宋简体"/>
          <w:color w:val="000000"/>
          <w:sz w:val="72"/>
          <w:szCs w:val="72"/>
        </w:rPr>
        <w:t>和城乡建设局</w:t>
      </w:r>
      <w:r>
        <w:rPr>
          <w:rFonts w:hint="eastAsia" w:asci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eastAsia="黑体"/>
          <w:sz w:val="48"/>
          <w:szCs w:val="48"/>
        </w:rPr>
      </w:pPr>
      <w:r>
        <w:rPr>
          <w:rFonts w:ascii="方正小标宋简体" w:eastAsia="方正小标宋简体"/>
          <w:sz w:val="36"/>
          <w:szCs w:val="36"/>
        </w:rPr>
        <w:br w:type="page"/>
      </w:r>
      <w:r>
        <w:rPr>
          <w:rFonts w:hint="eastAsia" w:ascii="黑体" w:eastAsia="黑体"/>
          <w:sz w:val="48"/>
          <w:szCs w:val="48"/>
        </w:rPr>
        <w:t>目录</w:t>
      </w:r>
    </w:p>
    <w:p>
      <w:pPr>
        <w:widowControl/>
        <w:jc w:val="center"/>
        <w:rPr>
          <w:rFonts w:ascii="黑体" w:eastAsia="黑体"/>
          <w:sz w:val="28"/>
          <w:szCs w:val="28"/>
        </w:rPr>
      </w:pPr>
    </w:p>
    <w:p>
      <w:pPr>
        <w:pStyle w:val="12"/>
      </w:pPr>
      <w:r>
        <w:rPr>
          <w:rFonts w:hint="eastAsia"/>
        </w:rPr>
        <w:t>公开时间：</w:t>
      </w:r>
      <w:r>
        <w:t>2022</w:t>
      </w:r>
      <w:r>
        <w:rPr>
          <w:rFonts w:hint="eastAsia"/>
        </w:rPr>
        <w:t>年9月14日</w:t>
      </w:r>
    </w:p>
    <w:p/>
    <w:p>
      <w:pPr>
        <w:pStyle w:val="12"/>
        <w:adjustRightInd w:val="0"/>
        <w:snapToGrid w:val="0"/>
        <w:spacing w:before="0" w:line="440" w:lineRule="exact"/>
        <w:jc w:val="left"/>
        <w:rPr>
          <w:sz w:val="24"/>
          <w:szCs w:val="24"/>
        </w:rPr>
      </w:pPr>
      <w:r>
        <w:rPr>
          <w:rFonts w:hint="eastAsia"/>
          <w:sz w:val="24"/>
        </w:rPr>
        <w:t>第一部分部门概况</w:t>
      </w:r>
      <w:r>
        <w:rPr>
          <w:sz w:val="24"/>
        </w:rPr>
        <w:t>...................................................</w:t>
      </w:r>
      <w:r>
        <w:rPr>
          <w:rFonts w:hint="eastAsia"/>
          <w:sz w:val="24"/>
        </w:rPr>
        <w:t>.4</w:t>
      </w:r>
    </w:p>
    <w:p>
      <w:pPr>
        <w:pStyle w:val="13"/>
        <w:adjustRightInd w:val="0"/>
        <w:snapToGrid w:val="0"/>
        <w:spacing w:line="440" w:lineRule="exact"/>
        <w:jc w:val="left"/>
        <w:rPr>
          <w:rFonts w:ascii="仿宋" w:eastAsia="仿宋"/>
          <w:sz w:val="24"/>
        </w:rPr>
      </w:pPr>
      <w:r>
        <w:rPr>
          <w:rFonts w:hint="eastAsia"/>
          <w:sz w:val="24"/>
        </w:rPr>
        <w:t>一、基本职能及主要工作</w:t>
      </w:r>
      <w:r>
        <w:rPr>
          <w:sz w:val="24"/>
        </w:rPr>
        <w:t>……………………………………………………</w:t>
      </w:r>
      <w:r>
        <w:rPr>
          <w:rFonts w:hint="eastAsia"/>
          <w:sz w:val="24"/>
        </w:rPr>
        <w:t>.....4</w:t>
      </w:r>
    </w:p>
    <w:p>
      <w:pPr>
        <w:pStyle w:val="13"/>
        <w:adjustRightInd w:val="0"/>
        <w:snapToGrid w:val="0"/>
        <w:spacing w:line="440" w:lineRule="exact"/>
        <w:jc w:val="left"/>
        <w:rPr>
          <w:rFonts w:ascii="仿宋" w:eastAsia="仿宋"/>
          <w:sz w:val="24"/>
        </w:rPr>
      </w:pPr>
      <w:r>
        <w:rPr>
          <w:rFonts w:hint="eastAsia"/>
          <w:sz w:val="24"/>
        </w:rPr>
        <w:t>二、机构设置</w:t>
      </w:r>
      <w:r>
        <w:rPr>
          <w:sz w:val="24"/>
        </w:rPr>
        <w:t>……………………………………………………………………</w:t>
      </w:r>
      <w:r>
        <w:rPr>
          <w:rFonts w:hint="eastAsia"/>
          <w:sz w:val="24"/>
        </w:rPr>
        <w:t>.9</w:t>
      </w:r>
    </w:p>
    <w:p>
      <w:pPr>
        <w:pStyle w:val="12"/>
        <w:adjustRightInd w:val="0"/>
        <w:snapToGrid w:val="0"/>
        <w:spacing w:before="0" w:line="440" w:lineRule="exact"/>
        <w:jc w:val="left"/>
        <w:rPr>
          <w:sz w:val="24"/>
          <w:szCs w:val="24"/>
        </w:rPr>
      </w:pPr>
      <w:r>
        <w:rPr>
          <w:rFonts w:hint="eastAsia"/>
          <w:sz w:val="24"/>
        </w:rPr>
        <w:t>第二部分</w:t>
      </w:r>
      <w:r>
        <w:rPr>
          <w:sz w:val="24"/>
        </w:rPr>
        <w:t xml:space="preserve"> 2021</w:t>
      </w:r>
      <w:r>
        <w:rPr>
          <w:rFonts w:hint="eastAsia"/>
          <w:sz w:val="24"/>
        </w:rPr>
        <w:t>年度部门决算情况说明</w:t>
      </w:r>
      <w:r>
        <w:rPr>
          <w:sz w:val="24"/>
        </w:rPr>
        <w:t>................................</w:t>
      </w:r>
      <w:r>
        <w:rPr>
          <w:rFonts w:hint="eastAsia"/>
          <w:sz w:val="24"/>
        </w:rPr>
        <w:t>.11</w:t>
      </w:r>
    </w:p>
    <w:p>
      <w:pPr>
        <w:pStyle w:val="13"/>
        <w:adjustRightInd w:val="0"/>
        <w:snapToGrid w:val="0"/>
        <w:spacing w:line="440" w:lineRule="exact"/>
        <w:jc w:val="left"/>
        <w:rPr>
          <w:rFonts w:ascii="仿宋" w:eastAsia="仿宋"/>
          <w:sz w:val="24"/>
        </w:rPr>
      </w:pPr>
      <w:r>
        <w:rPr>
          <w:rFonts w:hint="eastAsia"/>
          <w:sz w:val="24"/>
        </w:rPr>
        <w:t>一、收入支出决算总体情况说明</w:t>
      </w:r>
      <w:r>
        <w:rPr>
          <w:sz w:val="24"/>
        </w:rPr>
        <w:t>……………………………………………</w:t>
      </w:r>
      <w:r>
        <w:rPr>
          <w:rFonts w:hint="eastAsia"/>
          <w:sz w:val="24"/>
        </w:rPr>
        <w:t>...11</w:t>
      </w:r>
    </w:p>
    <w:p>
      <w:pPr>
        <w:pStyle w:val="13"/>
        <w:adjustRightInd w:val="0"/>
        <w:snapToGrid w:val="0"/>
        <w:spacing w:line="440" w:lineRule="exact"/>
        <w:jc w:val="left"/>
        <w:rPr>
          <w:rFonts w:ascii="仿宋" w:eastAsia="仿宋"/>
          <w:sz w:val="24"/>
        </w:rPr>
      </w:pPr>
      <w:r>
        <w:rPr>
          <w:rFonts w:hint="eastAsia"/>
          <w:sz w:val="24"/>
        </w:rPr>
        <w:t>二、收入决算情况说明</w:t>
      </w:r>
      <w:r>
        <w:rPr>
          <w:sz w:val="24"/>
        </w:rPr>
        <w:t>………………………………………………………</w:t>
      </w:r>
      <w:r>
        <w:rPr>
          <w:rFonts w:hint="eastAsia"/>
          <w:sz w:val="24"/>
        </w:rPr>
        <w:t>...11</w:t>
      </w:r>
    </w:p>
    <w:p>
      <w:pPr>
        <w:pStyle w:val="13"/>
        <w:adjustRightInd w:val="0"/>
        <w:snapToGrid w:val="0"/>
        <w:spacing w:line="440" w:lineRule="exact"/>
        <w:jc w:val="left"/>
        <w:rPr>
          <w:rFonts w:ascii="仿宋" w:eastAsia="仿宋"/>
          <w:sz w:val="24"/>
        </w:rPr>
      </w:pPr>
      <w:r>
        <w:rPr>
          <w:rFonts w:hint="eastAsia"/>
          <w:sz w:val="24"/>
        </w:rPr>
        <w:t>三、支出决算情况说明</w:t>
      </w:r>
      <w:r>
        <w:rPr>
          <w:sz w:val="24"/>
        </w:rPr>
        <w:t>………………………………………………………</w:t>
      </w:r>
      <w:r>
        <w:rPr>
          <w:rFonts w:hint="eastAsia"/>
          <w:sz w:val="24"/>
        </w:rPr>
        <w:t>...12</w:t>
      </w:r>
    </w:p>
    <w:p>
      <w:pPr>
        <w:pStyle w:val="13"/>
        <w:adjustRightInd w:val="0"/>
        <w:snapToGrid w:val="0"/>
        <w:spacing w:line="440" w:lineRule="exact"/>
        <w:jc w:val="left"/>
        <w:rPr>
          <w:rFonts w:ascii="仿宋" w:eastAsia="仿宋"/>
          <w:sz w:val="24"/>
        </w:rPr>
      </w:pPr>
      <w:r>
        <w:rPr>
          <w:rFonts w:hint="eastAsia"/>
          <w:sz w:val="24"/>
        </w:rPr>
        <w:t>四、财政拨款收入支出决算总体情况说明</w:t>
      </w:r>
      <w:r>
        <w:rPr>
          <w:sz w:val="24"/>
        </w:rPr>
        <w:t>…………………………………</w:t>
      </w:r>
      <w:r>
        <w:rPr>
          <w:rFonts w:hint="eastAsia"/>
          <w:sz w:val="24"/>
        </w:rPr>
        <w:t>...13</w:t>
      </w:r>
    </w:p>
    <w:p>
      <w:pPr>
        <w:pStyle w:val="13"/>
        <w:adjustRightInd w:val="0"/>
        <w:snapToGrid w:val="0"/>
        <w:spacing w:line="440" w:lineRule="exact"/>
        <w:jc w:val="left"/>
        <w:rPr>
          <w:rFonts w:ascii="仿宋" w:eastAsia="仿宋"/>
          <w:sz w:val="24"/>
        </w:rPr>
      </w:pPr>
      <w:r>
        <w:rPr>
          <w:rFonts w:hint="eastAsia"/>
          <w:sz w:val="24"/>
        </w:rPr>
        <w:t>五、一般公共预算财政拨款支出决算情况说明</w:t>
      </w:r>
      <w:r>
        <w:rPr>
          <w:sz w:val="24"/>
        </w:rPr>
        <w:t>……………………………</w:t>
      </w:r>
      <w:r>
        <w:rPr>
          <w:rFonts w:hint="eastAsia"/>
          <w:sz w:val="24"/>
        </w:rPr>
        <w:t>...13</w:t>
      </w:r>
    </w:p>
    <w:p>
      <w:pPr>
        <w:pStyle w:val="13"/>
        <w:adjustRightInd w:val="0"/>
        <w:snapToGrid w:val="0"/>
        <w:spacing w:line="440" w:lineRule="exact"/>
        <w:jc w:val="left"/>
        <w:rPr>
          <w:rFonts w:ascii="仿宋" w:eastAsia="仿宋"/>
          <w:sz w:val="24"/>
        </w:rPr>
      </w:pPr>
      <w:r>
        <w:rPr>
          <w:rFonts w:hint="eastAsia"/>
          <w:sz w:val="24"/>
        </w:rPr>
        <w:t>六、一般公共预算财政拨款基本支出决算情况说明</w:t>
      </w:r>
      <w:r>
        <w:rPr>
          <w:sz w:val="24"/>
        </w:rPr>
        <w:t>………………………</w:t>
      </w:r>
      <w:r>
        <w:rPr>
          <w:rFonts w:hint="eastAsia"/>
          <w:sz w:val="24"/>
        </w:rPr>
        <w:t>...17</w:t>
      </w:r>
    </w:p>
    <w:p>
      <w:pPr>
        <w:pStyle w:val="13"/>
        <w:adjustRightInd w:val="0"/>
        <w:snapToGrid w:val="0"/>
        <w:spacing w:line="440" w:lineRule="exact"/>
        <w:jc w:val="left"/>
        <w:rPr>
          <w:rFonts w:ascii="仿宋" w:eastAsia="仿宋"/>
          <w:sz w:val="24"/>
        </w:rPr>
      </w:pPr>
      <w:r>
        <w:rPr>
          <w:rFonts w:hint="eastAsia"/>
          <w:sz w:val="24"/>
        </w:rPr>
        <w:t>七、“三公”经费财政拨款支出决算情况说明</w:t>
      </w:r>
      <w:r>
        <w:rPr>
          <w:sz w:val="24"/>
        </w:rPr>
        <w:t>………………………………</w:t>
      </w:r>
      <w:r>
        <w:rPr>
          <w:rFonts w:hint="eastAsia"/>
          <w:sz w:val="24"/>
        </w:rPr>
        <w:t>.17</w:t>
      </w:r>
    </w:p>
    <w:p>
      <w:pPr>
        <w:pStyle w:val="13"/>
        <w:adjustRightInd w:val="0"/>
        <w:snapToGrid w:val="0"/>
        <w:spacing w:line="440" w:lineRule="exact"/>
        <w:jc w:val="left"/>
        <w:rPr>
          <w:rFonts w:ascii="仿宋" w:eastAsia="仿宋"/>
          <w:sz w:val="24"/>
        </w:rPr>
      </w:pPr>
      <w:r>
        <w:rPr>
          <w:rFonts w:hint="eastAsia"/>
          <w:sz w:val="24"/>
        </w:rPr>
        <w:t>八、政府性基金预算支出决算情况说明</w:t>
      </w:r>
      <w:r>
        <w:rPr>
          <w:sz w:val="24"/>
        </w:rPr>
        <w:t>……………………………………</w:t>
      </w:r>
      <w:r>
        <w:rPr>
          <w:rFonts w:hint="eastAsia"/>
          <w:sz w:val="24"/>
        </w:rPr>
        <w:t>...20</w:t>
      </w:r>
    </w:p>
    <w:p>
      <w:pPr>
        <w:pStyle w:val="13"/>
        <w:adjustRightInd w:val="0"/>
        <w:snapToGrid w:val="0"/>
        <w:spacing w:line="440" w:lineRule="exact"/>
        <w:ind w:left="0" w:leftChars="0"/>
        <w:jc w:val="left"/>
        <w:rPr>
          <w:rFonts w:ascii="宋体" w:cs="宋体"/>
          <w:sz w:val="24"/>
        </w:rPr>
      </w:pPr>
      <w:r>
        <w:rPr>
          <w:rFonts w:hint="eastAsia" w:ascii="宋体" w:cs="宋体"/>
          <w:sz w:val="24"/>
        </w:rPr>
        <w:t>九、国有资本经营预算支出决算情况说明</w:t>
      </w:r>
      <w:r>
        <w:rPr>
          <w:rFonts w:ascii="宋体" w:cs="宋体"/>
          <w:sz w:val="24"/>
        </w:rPr>
        <w:t>..........................</w:t>
      </w:r>
      <w:r>
        <w:rPr>
          <w:rFonts w:hint="eastAsia" w:ascii="宋体" w:cs="宋体"/>
          <w:sz w:val="24"/>
        </w:rPr>
        <w:t>.</w:t>
      </w:r>
      <w:r>
        <w:rPr>
          <w:rFonts w:ascii="宋体" w:cs="宋体"/>
          <w:sz w:val="24"/>
        </w:rPr>
        <w:t>.</w:t>
      </w:r>
      <w:r>
        <w:rPr>
          <w:rFonts w:hint="eastAsia" w:ascii="宋体" w:cs="宋体"/>
          <w:sz w:val="24"/>
        </w:rPr>
        <w:t>20</w:t>
      </w:r>
    </w:p>
    <w:p>
      <w:pPr>
        <w:adjustRightInd w:val="0"/>
        <w:snapToGrid w:val="0"/>
        <w:spacing w:line="440" w:lineRule="exact"/>
        <w:ind w:firstLine="420" w:firstLineChars="175"/>
        <w:jc w:val="left"/>
        <w:rPr>
          <w:rFonts w:ascii="宋体" w:cs="宋体"/>
          <w:sz w:val="24"/>
        </w:rPr>
      </w:pPr>
      <w:r>
        <w:rPr>
          <w:rStyle w:val="18"/>
          <w:rFonts w:hint="eastAsia" w:ascii="宋体" w:cs="宋体"/>
          <w:color w:val="auto"/>
          <w:sz w:val="24"/>
          <w:u w:val="none"/>
        </w:rPr>
        <w:t>十、</w:t>
      </w:r>
      <w:r>
        <w:rPr>
          <w:rFonts w:hint="eastAsia" w:ascii="宋体" w:cs="宋体"/>
          <w:sz w:val="24"/>
        </w:rPr>
        <w:t>其他重要事项的情况说明</w:t>
      </w:r>
      <w:r>
        <w:rPr>
          <w:rFonts w:ascii="宋体" w:cs="宋体"/>
          <w:sz w:val="24"/>
        </w:rPr>
        <w:t>………………………………………………</w:t>
      </w:r>
      <w:r>
        <w:rPr>
          <w:rFonts w:hint="eastAsia" w:ascii="宋体" w:cs="宋体"/>
          <w:sz w:val="24"/>
        </w:rPr>
        <w:t>..20</w:t>
      </w:r>
    </w:p>
    <w:p>
      <w:pPr>
        <w:pStyle w:val="12"/>
        <w:adjustRightInd w:val="0"/>
        <w:snapToGrid w:val="0"/>
        <w:spacing w:before="0" w:line="440" w:lineRule="exact"/>
        <w:jc w:val="left"/>
        <w:rPr>
          <w:sz w:val="24"/>
          <w:szCs w:val="24"/>
        </w:rPr>
      </w:pPr>
      <w:r>
        <w:rPr>
          <w:rFonts w:hint="eastAsia"/>
          <w:sz w:val="24"/>
        </w:rPr>
        <w:t>第三部分名词解释</w:t>
      </w:r>
      <w:r>
        <w:rPr>
          <w:sz w:val="24"/>
        </w:rPr>
        <w:t>.................................................</w:t>
      </w:r>
      <w:r>
        <w:rPr>
          <w:rFonts w:hint="eastAsia"/>
          <w:sz w:val="24"/>
        </w:rPr>
        <w:t>..22</w:t>
      </w:r>
    </w:p>
    <w:p>
      <w:pPr>
        <w:pStyle w:val="12"/>
        <w:adjustRightInd w:val="0"/>
        <w:snapToGrid w:val="0"/>
        <w:spacing w:before="0" w:line="440" w:lineRule="exact"/>
        <w:jc w:val="left"/>
        <w:rPr>
          <w:sz w:val="24"/>
          <w:szCs w:val="24"/>
        </w:rPr>
      </w:pPr>
      <w:r>
        <w:rPr>
          <w:rFonts w:hint="eastAsia"/>
          <w:sz w:val="24"/>
        </w:rPr>
        <w:t>第四部分附件</w:t>
      </w:r>
      <w:r>
        <w:rPr>
          <w:sz w:val="24"/>
        </w:rPr>
        <w:t>.....................................................</w:t>
      </w:r>
      <w:r>
        <w:rPr>
          <w:rFonts w:hint="eastAsia"/>
          <w:sz w:val="24"/>
        </w:rPr>
        <w:t>..26</w:t>
      </w:r>
    </w:p>
    <w:p>
      <w:pPr>
        <w:pStyle w:val="12"/>
        <w:adjustRightInd w:val="0"/>
        <w:snapToGrid w:val="0"/>
        <w:spacing w:before="0" w:line="440" w:lineRule="exact"/>
        <w:jc w:val="left"/>
        <w:rPr>
          <w:sz w:val="24"/>
          <w:szCs w:val="24"/>
        </w:rPr>
      </w:pPr>
      <w:r>
        <w:rPr>
          <w:rFonts w:hint="eastAsia"/>
          <w:sz w:val="24"/>
        </w:rPr>
        <w:t>第五部分附表.......................................................84</w:t>
      </w:r>
    </w:p>
    <w:p>
      <w:pPr>
        <w:pStyle w:val="13"/>
        <w:adjustRightInd w:val="0"/>
        <w:snapToGrid w:val="0"/>
        <w:spacing w:line="440" w:lineRule="exact"/>
        <w:jc w:val="left"/>
        <w:rPr>
          <w:rFonts w:ascii="仿宋" w:eastAsia="仿宋"/>
          <w:sz w:val="24"/>
        </w:rPr>
      </w:pPr>
      <w:r>
        <w:rPr>
          <w:rFonts w:hint="eastAsia" w:ascii="仿宋" w:eastAsia="仿宋"/>
          <w:sz w:val="24"/>
        </w:rPr>
        <w:t>一、</w:t>
      </w:r>
      <w:r>
        <w:rPr>
          <w:rFonts w:hint="eastAsia"/>
          <w:sz w:val="24"/>
        </w:rPr>
        <w:t>收入支出决算总表</w:t>
      </w:r>
      <w:r>
        <w:rPr>
          <w:sz w:val="24"/>
        </w:rPr>
        <w:t>………………………………………………………</w:t>
      </w:r>
      <w:r>
        <w:rPr>
          <w:rFonts w:hint="eastAsia"/>
          <w:sz w:val="24"/>
        </w:rPr>
        <w:t>... 84</w:t>
      </w:r>
    </w:p>
    <w:p>
      <w:pPr>
        <w:pStyle w:val="13"/>
        <w:adjustRightInd w:val="0"/>
        <w:snapToGrid w:val="0"/>
        <w:spacing w:line="440" w:lineRule="exact"/>
        <w:jc w:val="left"/>
        <w:rPr>
          <w:rFonts w:ascii="宋体" w:cs="宋体"/>
          <w:sz w:val="24"/>
        </w:rPr>
      </w:pPr>
      <w:r>
        <w:rPr>
          <w:rFonts w:hint="eastAsia" w:ascii="宋体" w:cs="宋体"/>
          <w:sz w:val="24"/>
        </w:rPr>
        <w:t>二、收入决算表..................................................</w:t>
      </w:r>
      <w:r>
        <w:rPr>
          <w:rFonts w:hint="eastAsia"/>
          <w:sz w:val="24"/>
        </w:rPr>
        <w:t xml:space="preserve"> 84</w:t>
      </w:r>
    </w:p>
    <w:p>
      <w:pPr>
        <w:pStyle w:val="13"/>
        <w:adjustRightInd w:val="0"/>
        <w:snapToGrid w:val="0"/>
        <w:spacing w:line="440" w:lineRule="exact"/>
        <w:jc w:val="left"/>
        <w:rPr>
          <w:rFonts w:ascii="宋体" w:cs="宋体"/>
          <w:sz w:val="24"/>
        </w:rPr>
      </w:pPr>
      <w:r>
        <w:rPr>
          <w:rFonts w:hint="eastAsia" w:ascii="宋体" w:cs="宋体"/>
          <w:sz w:val="24"/>
        </w:rPr>
        <w:t>三、支出决算表..................................................</w:t>
      </w:r>
      <w:r>
        <w:rPr>
          <w:rFonts w:hint="eastAsia"/>
          <w:sz w:val="24"/>
        </w:rPr>
        <w:t xml:space="preserve"> 84</w:t>
      </w:r>
    </w:p>
    <w:p>
      <w:pPr>
        <w:pStyle w:val="13"/>
        <w:adjustRightInd w:val="0"/>
        <w:snapToGrid w:val="0"/>
        <w:spacing w:line="440" w:lineRule="exact"/>
        <w:jc w:val="left"/>
        <w:rPr>
          <w:rFonts w:ascii="宋体" w:cs="宋体"/>
          <w:sz w:val="24"/>
        </w:rPr>
      </w:pPr>
      <w:r>
        <w:rPr>
          <w:rFonts w:hint="eastAsia" w:ascii="宋体" w:cs="宋体"/>
          <w:sz w:val="24"/>
        </w:rPr>
        <w:t>四、财政拨款收入支出决算总表</w:t>
      </w:r>
      <w:r>
        <w:rPr>
          <w:rFonts w:ascii="宋体" w:cs="宋体"/>
          <w:sz w:val="24"/>
        </w:rPr>
        <w:t>..................................</w:t>
      </w:r>
      <w:r>
        <w:rPr>
          <w:rFonts w:hint="eastAsia" w:ascii="宋体" w:cs="宋体"/>
          <w:sz w:val="24"/>
        </w:rPr>
        <w:t>.</w:t>
      </w:r>
      <w:r>
        <w:rPr>
          <w:rFonts w:ascii="宋体" w:cs="宋体"/>
          <w:sz w:val="24"/>
        </w:rPr>
        <w:t>.</w:t>
      </w:r>
      <w:r>
        <w:rPr>
          <w:rFonts w:hint="eastAsia"/>
          <w:sz w:val="24"/>
        </w:rPr>
        <w:t xml:space="preserve"> 84</w:t>
      </w:r>
    </w:p>
    <w:p>
      <w:pPr>
        <w:pStyle w:val="13"/>
        <w:adjustRightInd w:val="0"/>
        <w:snapToGrid w:val="0"/>
        <w:spacing w:line="440" w:lineRule="exact"/>
        <w:jc w:val="left"/>
        <w:rPr>
          <w:rFonts w:ascii="宋体" w:cs="宋体"/>
          <w:sz w:val="24"/>
        </w:rPr>
      </w:pPr>
      <w:r>
        <w:rPr>
          <w:rFonts w:hint="eastAsia" w:ascii="宋体" w:cs="宋体"/>
          <w:sz w:val="24"/>
        </w:rPr>
        <w:t>五、财政拨款支出决算明细表......................................</w:t>
      </w:r>
      <w:r>
        <w:rPr>
          <w:rFonts w:hint="eastAsia"/>
          <w:sz w:val="24"/>
        </w:rPr>
        <w:t xml:space="preserve"> 84</w:t>
      </w:r>
    </w:p>
    <w:p>
      <w:pPr>
        <w:pStyle w:val="13"/>
        <w:adjustRightInd w:val="0"/>
        <w:snapToGrid w:val="0"/>
        <w:spacing w:line="440" w:lineRule="exact"/>
        <w:jc w:val="left"/>
        <w:rPr>
          <w:rFonts w:ascii="宋体" w:cs="宋体"/>
          <w:sz w:val="24"/>
        </w:rPr>
      </w:pPr>
      <w:r>
        <w:rPr>
          <w:rFonts w:hint="eastAsia" w:ascii="宋体" w:cs="宋体"/>
          <w:sz w:val="24"/>
        </w:rPr>
        <w:t>六、一般公共预算财政拨款支出决算表</w:t>
      </w:r>
      <w:r>
        <w:rPr>
          <w:rFonts w:ascii="宋体" w:cs="宋体"/>
          <w:sz w:val="24"/>
        </w:rPr>
        <w:t>..........................</w:t>
      </w:r>
      <w:r>
        <w:rPr>
          <w:rFonts w:hint="eastAsia" w:ascii="宋体" w:cs="宋体"/>
          <w:sz w:val="24"/>
        </w:rPr>
        <w:t>.</w:t>
      </w:r>
      <w:r>
        <w:rPr>
          <w:rFonts w:ascii="宋体" w:cs="宋体"/>
          <w:sz w:val="24"/>
        </w:rPr>
        <w:t>...</w:t>
      </w:r>
      <w:r>
        <w:rPr>
          <w:rFonts w:hint="eastAsia"/>
          <w:sz w:val="24"/>
        </w:rPr>
        <w:t xml:space="preserve"> 84</w:t>
      </w:r>
    </w:p>
    <w:p>
      <w:pPr>
        <w:pStyle w:val="13"/>
        <w:adjustRightInd w:val="0"/>
        <w:snapToGrid w:val="0"/>
        <w:spacing w:line="440" w:lineRule="exact"/>
        <w:jc w:val="left"/>
        <w:rPr>
          <w:rFonts w:ascii="宋体" w:cs="宋体"/>
          <w:sz w:val="24"/>
        </w:rPr>
      </w:pPr>
      <w:r>
        <w:rPr>
          <w:rFonts w:hint="eastAsia" w:ascii="宋体" w:cs="宋体"/>
          <w:sz w:val="24"/>
        </w:rPr>
        <w:t>七、一般公共预算财政拨款支出决算明细表</w:t>
      </w:r>
      <w:r>
        <w:rPr>
          <w:rFonts w:ascii="宋体" w:cs="宋体"/>
          <w:sz w:val="24"/>
        </w:rPr>
        <w:t>.......................</w:t>
      </w:r>
      <w:r>
        <w:rPr>
          <w:rFonts w:hint="eastAsia" w:ascii="宋体" w:cs="宋体"/>
          <w:sz w:val="24"/>
        </w:rPr>
        <w:t>.</w:t>
      </w:r>
      <w:r>
        <w:rPr>
          <w:rFonts w:ascii="宋体" w:cs="宋体"/>
          <w:sz w:val="24"/>
        </w:rPr>
        <w:t>..</w:t>
      </w:r>
      <w:r>
        <w:rPr>
          <w:rFonts w:hint="eastAsia"/>
          <w:sz w:val="24"/>
        </w:rPr>
        <w:t xml:space="preserve"> 84</w:t>
      </w:r>
    </w:p>
    <w:p>
      <w:pPr>
        <w:pStyle w:val="13"/>
        <w:adjustRightInd w:val="0"/>
        <w:snapToGrid w:val="0"/>
        <w:spacing w:line="440" w:lineRule="exact"/>
        <w:jc w:val="left"/>
        <w:rPr>
          <w:rFonts w:ascii="宋体" w:cs="宋体"/>
          <w:sz w:val="24"/>
        </w:rPr>
      </w:pPr>
      <w:r>
        <w:rPr>
          <w:rFonts w:hint="eastAsia" w:ascii="宋体" w:cs="宋体"/>
          <w:sz w:val="24"/>
        </w:rPr>
        <w:t>八、一般公共预算财政拨款基本支出决算表..........................</w:t>
      </w:r>
      <w:r>
        <w:rPr>
          <w:rFonts w:hint="eastAsia"/>
          <w:sz w:val="24"/>
        </w:rPr>
        <w:t xml:space="preserve"> 84</w:t>
      </w:r>
    </w:p>
    <w:p>
      <w:pPr>
        <w:pStyle w:val="13"/>
        <w:adjustRightInd w:val="0"/>
        <w:snapToGrid w:val="0"/>
        <w:spacing w:line="440" w:lineRule="exact"/>
        <w:jc w:val="left"/>
        <w:rPr>
          <w:rFonts w:ascii="宋体" w:cs="宋体"/>
          <w:sz w:val="24"/>
        </w:rPr>
      </w:pPr>
      <w:r>
        <w:rPr>
          <w:rFonts w:hint="eastAsia" w:ascii="宋体" w:cs="宋体"/>
          <w:sz w:val="24"/>
        </w:rPr>
        <w:t>九、一般公共预算财政拨款项目支出决算表..........................</w:t>
      </w:r>
      <w:r>
        <w:rPr>
          <w:rFonts w:hint="eastAsia"/>
          <w:sz w:val="24"/>
        </w:rPr>
        <w:t xml:space="preserve"> 84</w:t>
      </w:r>
    </w:p>
    <w:p>
      <w:pPr>
        <w:pStyle w:val="13"/>
        <w:adjustRightInd w:val="0"/>
        <w:snapToGrid w:val="0"/>
        <w:spacing w:line="440" w:lineRule="exact"/>
        <w:jc w:val="left"/>
        <w:rPr>
          <w:rFonts w:ascii="宋体" w:cs="宋体"/>
          <w:sz w:val="24"/>
        </w:rPr>
      </w:pPr>
      <w:r>
        <w:rPr>
          <w:rFonts w:hint="eastAsia" w:ascii="宋体" w:cs="宋体"/>
          <w:sz w:val="24"/>
        </w:rPr>
        <w:t>十、一般公共预算财政拨款“三公”经费支出决算表</w:t>
      </w:r>
      <w:r>
        <w:rPr>
          <w:rFonts w:ascii="宋体" w:cs="宋体"/>
          <w:sz w:val="24"/>
        </w:rPr>
        <w:t>..................</w:t>
      </w:r>
      <w:r>
        <w:rPr>
          <w:rFonts w:hint="eastAsia"/>
          <w:sz w:val="24"/>
        </w:rPr>
        <w:t xml:space="preserve"> 84</w:t>
      </w:r>
    </w:p>
    <w:p>
      <w:pPr>
        <w:pStyle w:val="13"/>
        <w:adjustRightInd w:val="0"/>
        <w:snapToGrid w:val="0"/>
        <w:spacing w:line="440" w:lineRule="exact"/>
        <w:jc w:val="left"/>
        <w:rPr>
          <w:rFonts w:ascii="宋体" w:cs="宋体"/>
          <w:sz w:val="24"/>
        </w:rPr>
      </w:pPr>
      <w:r>
        <w:rPr>
          <w:rFonts w:hint="eastAsia" w:ascii="宋体" w:cs="宋体"/>
          <w:sz w:val="24"/>
        </w:rPr>
        <w:t>十一、政府性基金预算财政拨款收入支出决算表</w:t>
      </w:r>
      <w:r>
        <w:rPr>
          <w:rFonts w:ascii="宋体" w:cs="宋体"/>
          <w:sz w:val="24"/>
        </w:rPr>
        <w:t>...................</w:t>
      </w:r>
      <w:r>
        <w:rPr>
          <w:rFonts w:hint="eastAsia" w:ascii="宋体" w:cs="宋体"/>
          <w:sz w:val="24"/>
        </w:rPr>
        <w:t>.</w:t>
      </w:r>
      <w:r>
        <w:rPr>
          <w:rFonts w:ascii="宋体" w:cs="宋体"/>
          <w:sz w:val="24"/>
        </w:rPr>
        <w:t>..</w:t>
      </w:r>
      <w:r>
        <w:rPr>
          <w:rFonts w:hint="eastAsia"/>
          <w:sz w:val="24"/>
        </w:rPr>
        <w:t xml:space="preserve"> 84</w:t>
      </w:r>
    </w:p>
    <w:p>
      <w:pPr>
        <w:pStyle w:val="13"/>
        <w:adjustRightInd w:val="0"/>
        <w:snapToGrid w:val="0"/>
        <w:spacing w:line="440" w:lineRule="exact"/>
        <w:jc w:val="left"/>
        <w:rPr>
          <w:rFonts w:ascii="宋体" w:cs="宋体"/>
          <w:sz w:val="24"/>
        </w:rPr>
      </w:pPr>
      <w:r>
        <w:rPr>
          <w:rFonts w:hint="eastAsia" w:ascii="宋体" w:cs="宋体"/>
          <w:sz w:val="24"/>
        </w:rPr>
        <w:t>十二、政府性基金预算财政拨款“三公”经费支出决算表..............</w:t>
      </w:r>
      <w:r>
        <w:rPr>
          <w:rFonts w:hint="eastAsia"/>
          <w:sz w:val="24"/>
        </w:rPr>
        <w:t xml:space="preserve"> 84</w:t>
      </w:r>
    </w:p>
    <w:p>
      <w:pPr>
        <w:pStyle w:val="13"/>
        <w:adjustRightInd w:val="0"/>
        <w:snapToGrid w:val="0"/>
        <w:spacing w:line="440" w:lineRule="exact"/>
        <w:jc w:val="left"/>
        <w:rPr>
          <w:rFonts w:ascii="宋体" w:cs="宋体"/>
          <w:sz w:val="24"/>
        </w:rPr>
      </w:pPr>
      <w:r>
        <w:rPr>
          <w:rFonts w:hint="eastAsia" w:ascii="宋体" w:cs="宋体"/>
          <w:sz w:val="24"/>
        </w:rPr>
        <w:t>十三、国有资本经营预算财政拨款收入支出决算表....................</w:t>
      </w:r>
      <w:r>
        <w:rPr>
          <w:rFonts w:hint="eastAsia"/>
          <w:sz w:val="24"/>
        </w:rPr>
        <w:t xml:space="preserve"> 84</w:t>
      </w:r>
    </w:p>
    <w:p>
      <w:pPr>
        <w:pStyle w:val="13"/>
        <w:adjustRightInd w:val="0"/>
        <w:snapToGrid w:val="0"/>
        <w:spacing w:line="440" w:lineRule="exact"/>
        <w:jc w:val="left"/>
        <w:rPr>
          <w:rFonts w:ascii="宋体" w:cs="宋体"/>
          <w:sz w:val="24"/>
        </w:rPr>
      </w:pPr>
      <w:r>
        <w:rPr>
          <w:rFonts w:hint="eastAsia" w:ascii="宋体" w:cs="宋体"/>
          <w:sz w:val="24"/>
        </w:rPr>
        <w:t>十四、国有资本经营预算财政拨款支出决算表........................</w:t>
      </w:r>
      <w:r>
        <w:rPr>
          <w:rFonts w:hint="eastAsia"/>
          <w:sz w:val="24"/>
        </w:rPr>
        <w:t xml:space="preserve"> 84</w:t>
      </w:r>
    </w:p>
    <w:p>
      <w:pPr>
        <w:widowControl/>
        <w:spacing w:line="440" w:lineRule="exact"/>
        <w:jc w:val="left"/>
        <w:rPr>
          <w:rFonts w:ascii="仿宋" w:eastAsia="仿宋"/>
          <w:bCs/>
          <w:kern w:val="44"/>
          <w:sz w:val="24"/>
        </w:rPr>
      </w:pPr>
      <w:bookmarkStart w:id="12" w:name="_Toc15396599"/>
      <w:bookmarkStart w:id="13" w:name="_Toc15377196"/>
      <w:r>
        <w:rPr>
          <w:rFonts w:ascii="仿宋" w:eastAsia="仿宋"/>
          <w:b/>
          <w:sz w:val="24"/>
        </w:rPr>
        <w:br w:type="page"/>
      </w:r>
    </w:p>
    <w:p>
      <w:pPr>
        <w:pStyle w:val="3"/>
        <w:jc w:val="center"/>
        <w:rPr>
          <w:rStyle w:val="19"/>
          <w:rFonts w:ascii="黑体" w:eastAsia="黑体"/>
          <w:b w:val="0"/>
          <w:bCs w:val="0"/>
        </w:rPr>
      </w:pPr>
      <w:r>
        <w:rPr>
          <w:rFonts w:hint="eastAsia" w:ascii="黑体" w:eastAsia="黑体"/>
          <w:b w:val="0"/>
        </w:rPr>
        <w:t>第一部分</w:t>
      </w:r>
      <w:r>
        <w:rPr>
          <w:rStyle w:val="19"/>
          <w:rFonts w:hint="eastAsia" w:ascii="黑体" w:eastAsia="黑体"/>
          <w:b w:val="0"/>
          <w:bCs w:val="0"/>
        </w:rPr>
        <w:t>部门概况</w:t>
      </w:r>
      <w:bookmarkEnd w:id="12"/>
      <w:bookmarkEnd w:id="13"/>
    </w:p>
    <w:p>
      <w:pPr>
        <w:widowControl/>
        <w:jc w:val="left"/>
        <w:rPr>
          <w:rFonts w:ascii="黑体" w:eastAsia="黑体"/>
          <w:sz w:val="32"/>
          <w:szCs w:val="32"/>
        </w:rPr>
      </w:pPr>
    </w:p>
    <w:p>
      <w:pPr>
        <w:pStyle w:val="4"/>
        <w:rPr>
          <w:rStyle w:val="20"/>
          <w:rFonts w:ascii="仿宋" w:eastAsia="仿宋"/>
          <w:b w:val="0"/>
          <w:bCs w:val="0"/>
        </w:rPr>
      </w:pPr>
      <w:bookmarkStart w:id="14" w:name="_Toc15396600"/>
      <w:bookmarkStart w:id="15" w:name="_Toc15377197"/>
      <w:r>
        <w:rPr>
          <w:rFonts w:hint="eastAsia" w:ascii="黑体" w:eastAsia="黑体"/>
          <w:b w:val="0"/>
          <w:bCs w:val="0"/>
        </w:rPr>
        <w:t>一、基</w:t>
      </w:r>
      <w:r>
        <w:rPr>
          <w:rStyle w:val="20"/>
          <w:rFonts w:hint="eastAsia" w:ascii="黑体" w:eastAsia="黑体"/>
          <w:b w:val="0"/>
          <w:bCs w:val="0"/>
        </w:rPr>
        <w:t>本职能及主要工作</w:t>
      </w:r>
      <w:bookmarkEnd w:id="14"/>
      <w:bookmarkEnd w:id="15"/>
    </w:p>
    <w:p>
      <w:pPr>
        <w:pStyle w:val="2"/>
        <w:adjustRightInd w:val="0"/>
        <w:snapToGrid w:val="0"/>
        <w:spacing w:before="93" w:beforeLines="0" w:line="600" w:lineRule="exact"/>
        <w:ind w:firstLine="668" w:firstLineChars="208"/>
        <w:outlineLvl w:val="2"/>
        <w:rPr>
          <w:rFonts w:ascii="楷体" w:eastAsia="楷体"/>
          <w:b/>
          <w:bCs/>
          <w:sz w:val="32"/>
          <w:szCs w:val="32"/>
        </w:rPr>
      </w:pPr>
      <w:bookmarkStart w:id="16" w:name="_Toc15378445"/>
      <w:bookmarkStart w:id="17" w:name="_Toc15377198"/>
      <w:r>
        <w:rPr>
          <w:rFonts w:hint="eastAsia" w:ascii="楷体" w:eastAsia="楷体"/>
          <w:b/>
          <w:bCs/>
          <w:sz w:val="32"/>
          <w:szCs w:val="32"/>
        </w:rPr>
        <w:t>（一）主要职能。</w:t>
      </w:r>
    </w:p>
    <w:bookmarkEnd w:id="16"/>
    <w:bookmarkEnd w:id="17"/>
    <w:p>
      <w:pPr>
        <w:autoSpaceDE w:val="0"/>
        <w:autoSpaceDN w:val="0"/>
        <w:adjustRightInd w:val="0"/>
        <w:ind w:firstLine="640" w:firstLineChars="200"/>
        <w:jc w:val="left"/>
        <w:rPr>
          <w:rFonts w:ascii="仿宋" w:eastAsia="仿宋" w:cs="方正仿宋_GBK-WinCharSetFFFF-H"/>
          <w:kern w:val="0"/>
          <w:sz w:val="32"/>
          <w:szCs w:val="32"/>
        </w:rPr>
      </w:pPr>
      <w:bookmarkStart w:id="18" w:name="_Toc15377199"/>
      <w:bookmarkStart w:id="19" w:name="_Toc15378446"/>
      <w:r>
        <w:rPr>
          <w:rFonts w:hint="eastAsia" w:ascii="仿宋" w:eastAsia="仿宋" w:cs="方正仿宋_GBK-WinCharSetFFFF-H"/>
          <w:kern w:val="0"/>
          <w:sz w:val="32"/>
          <w:szCs w:val="32"/>
        </w:rPr>
        <w:t>负责城市市政设施年度建设计划编制。指导和督促城市市政设施建设。协调、处理城市市政设施建设过程中的有关问题。指导城市地铁、轨道交通等城市公共交通设施的建设。参与城市总体规划和专项规划编制和审核</w:t>
      </w:r>
      <w:r>
        <w:rPr>
          <w:rFonts w:hint="eastAsia" w:ascii="仿宋" w:eastAsia="仿宋" w:cs="方正仿宋_GBK-WinCharSetFFFF-H"/>
          <w:sz w:val="32"/>
          <w:szCs w:val="32"/>
        </w:rPr>
        <w:t>。</w:t>
      </w:r>
      <w:r>
        <w:rPr>
          <w:rFonts w:hint="eastAsia" w:ascii="仿宋" w:eastAsia="仿宋" w:cs="方正仿宋_GBK-WinCharSetFFFF-H"/>
          <w:kern w:val="0"/>
          <w:sz w:val="32"/>
          <w:szCs w:val="32"/>
        </w:rPr>
        <w:t>拟订全市村镇建设的发展规划并监督实施。指导全市乡镇和村庄建设、全市农村住房建设及危房改造、农村建筑工匠培训和管理、农村公用设施建设和小城镇建设，参与我市新农村建设、改善农村人居环境工作。拟订建筑业中长期规划、行业政策，承担建筑市场及本地建筑施工企业资质的监督管理事项，和注册建造师的注册和执业活动的监督管理事项，参与房建和市政设施项目施工招投标活动监督，协助处理建设工程农民工拖欠工资。贯彻执行工程质量监督政策和管理规章。研究拟订建筑行业安全保护措施，负责房屋建筑和市政基础设施工程的施工质量、安全生产和文明施工管理工作。负责工程质量竣工验收备案管理和行业安全生产综合监督管理和考核，负责组织建设工程质量安全生产大检查。指挥、处理房屋建筑和市政基础设施建设工程质量和安全突发应急事件，组织或参与重大工程质量问题、安全事故调查处理。负责对房屋建筑和市政工程施工扬尘进行监督检查。负责对工程监理质量检测机构进行监督检查，负责全市建设企业专业管理人员、特种作业人员、三类人员岗位培训和证书复检、备案及建筑劳务输出人员技能培训鉴定工作，指导农村住房建设质量安全监管。负责建设工程消防竣工验收、抽查职责。研究拟订全市房地产业的发展规划、产业政策和规章制度。负责全市房地产业监督管理工作。负责房地产开发经营管理、物业管理、房屋产权交易和权属管理、房地产中介机构管理工作。负责房地产市场秩序的整治与监管，参与全市城镇土地开发项目土地拍卖条件意见及规划编制方案审核工作。参与协调处理房地产交易的矛盾纠纷。承担全市勘察设计行业综合管理的具体工作。参与建设工程勘察设计招标管理。参与勘察设计违法违规行为的查处，负责大型房屋建筑和市政基础设施工程、超限工程的抗震设防专项审查和初步设计审查的组织上报，组织中小型房屋建筑和市政基础设施的初步设计审查工作，负责施工图审查备案工作，负责全市建设工程抗震设防标准的管理，指导、监督抗震设防专项论证工作，组织各类房屋建筑和市政工程设计抗震设计检查，参与抗震设计审查。指导村镇建设抗震防灾工作，负责本系统科研项目的初审和申报工作，负责行业新技术、新工艺、新材料、新设备的推广和应用工作。负责行业体制改革的政策研究。负责行业规范性文件合法性审查工作，负责本系统法律、法规、规章贯彻执行情况的监督、检查、评估工作，负责行业的法制建设、法制宣传和培训工作，负责行业行政复议、行政诉讼等法律服务工作，负责行政许可事项和政务服务事项的公开、公示、告知工作，负责进驻政务服务中心窗口的组织</w:t>
      </w:r>
      <w:r>
        <w:rPr>
          <w:rFonts w:hint="eastAsia" w:ascii="仿宋" w:eastAsia="仿宋"/>
          <w:kern w:val="0"/>
          <w:sz w:val="32"/>
          <w:szCs w:val="32"/>
        </w:rPr>
        <w:t>协调和审批项目的受理、审核及办理工作。负责城市基础设施</w:t>
      </w:r>
      <w:r>
        <w:rPr>
          <w:rFonts w:hint="eastAsia" w:ascii="仿宋" w:eastAsia="仿宋"/>
          <w:sz w:val="32"/>
          <w:szCs w:val="32"/>
        </w:rPr>
        <w:t>配套费的征收。</w:t>
      </w:r>
    </w:p>
    <w:p>
      <w:pPr>
        <w:pStyle w:val="2"/>
        <w:adjustRightInd w:val="0"/>
        <w:snapToGrid w:val="0"/>
        <w:spacing w:before="93" w:beforeLines="0" w:line="600" w:lineRule="exact"/>
        <w:ind w:firstLine="668" w:firstLineChars="208"/>
        <w:outlineLvl w:val="2"/>
        <w:rPr>
          <w:rFonts w:ascii="楷体" w:eastAsia="楷体"/>
          <w:b/>
          <w:bCs/>
          <w:sz w:val="32"/>
          <w:szCs w:val="32"/>
        </w:rPr>
      </w:pPr>
      <w:r>
        <w:rPr>
          <w:rFonts w:hint="eastAsia" w:ascii="楷体" w:eastAsia="楷体"/>
          <w:b/>
          <w:bCs/>
          <w:sz w:val="32"/>
          <w:szCs w:val="32"/>
        </w:rPr>
        <w:t>（二）</w:t>
      </w:r>
      <w:r>
        <w:rPr>
          <w:rFonts w:ascii="楷体" w:eastAsia="楷体"/>
          <w:b/>
          <w:bCs/>
          <w:sz w:val="32"/>
          <w:szCs w:val="32"/>
        </w:rPr>
        <w:t>2021</w:t>
      </w:r>
      <w:r>
        <w:rPr>
          <w:rFonts w:hint="eastAsia" w:ascii="楷体" w:eastAsia="楷体"/>
          <w:b/>
          <w:bCs/>
          <w:sz w:val="32"/>
          <w:szCs w:val="32"/>
        </w:rPr>
        <w:t>年重点工作完成情况。</w:t>
      </w:r>
      <w:bookmarkEnd w:id="18"/>
      <w:bookmarkEnd w:id="19"/>
    </w:p>
    <w:p>
      <w:pPr>
        <w:pStyle w:val="14"/>
        <w:spacing w:line="560" w:lineRule="exact"/>
        <w:ind w:left="0" w:leftChars="0"/>
        <w:rPr>
          <w:rFonts w:ascii="仿宋" w:eastAsia="仿宋"/>
          <w:sz w:val="32"/>
          <w:szCs w:val="32"/>
        </w:rPr>
      </w:pPr>
      <w:r>
        <w:rPr>
          <w:rFonts w:ascii="仿宋" w:eastAsia="仿宋"/>
          <w:sz w:val="32"/>
          <w:szCs w:val="32"/>
        </w:rPr>
        <w:t>2021年，市住房城乡建设局始终坚持以习近平新时代中国特色社会主义思想为指导，深入贯彻落实市委各项决策部署，立足“三个圈层”联动发展，围绕建成川西南滇西北现代化区域中心城市的目标，全力以赴抓项目，统揽全局抓协调，主动作为、狠抓落实，推动全市住房和城乡建设工作取得成效。</w:t>
      </w:r>
    </w:p>
    <w:p>
      <w:pPr>
        <w:pStyle w:val="14"/>
        <w:spacing w:line="560" w:lineRule="exact"/>
        <w:ind w:left="0" w:leftChars="0" w:firstLine="629" w:firstLineChars="196"/>
        <w:rPr>
          <w:rFonts w:ascii="仿宋" w:eastAsia="仿宋"/>
          <w:sz w:val="32"/>
          <w:szCs w:val="32"/>
        </w:rPr>
      </w:pPr>
      <w:r>
        <w:rPr>
          <w:rFonts w:hint="eastAsia" w:ascii="仿宋" w:eastAsia="仿宋" w:cs="方正楷体_GBK"/>
          <w:b/>
          <w:sz w:val="32"/>
          <w:szCs w:val="32"/>
        </w:rPr>
        <w:t>持续做好市政设施建设管理。</w:t>
      </w:r>
      <w:r>
        <w:rPr>
          <w:rFonts w:ascii="仿宋" w:eastAsia="仿宋"/>
          <w:sz w:val="32"/>
          <w:szCs w:val="32"/>
        </w:rPr>
        <w:t>全面完成</w:t>
      </w:r>
      <w:r>
        <w:rPr>
          <w:rFonts w:hint="eastAsia" w:ascii="仿宋" w:eastAsia="仿宋"/>
          <w:sz w:val="32"/>
          <w:szCs w:val="32"/>
        </w:rPr>
        <w:t>打开交通拥堵“三把锁”项目，</w:t>
      </w:r>
      <w:r>
        <w:rPr>
          <w:rFonts w:ascii="仿宋" w:eastAsia="仿宋"/>
          <w:sz w:val="32"/>
          <w:szCs w:val="32"/>
        </w:rPr>
        <w:t>二规十路、市中心医院华南大桥等市政道路新（改）建项目</w:t>
      </w:r>
      <w:r>
        <w:rPr>
          <w:rFonts w:hint="eastAsia" w:ascii="仿宋" w:eastAsia="仿宋"/>
          <w:sz w:val="32"/>
          <w:szCs w:val="32"/>
        </w:rPr>
        <w:t>建成通车</w:t>
      </w:r>
      <w:r>
        <w:rPr>
          <w:rFonts w:ascii="仿宋" w:eastAsia="仿宋"/>
          <w:sz w:val="32"/>
          <w:szCs w:val="32"/>
        </w:rPr>
        <w:t>，城市路网逐步完善</w:t>
      </w:r>
      <w:r>
        <w:rPr>
          <w:rFonts w:hint="eastAsia" w:ascii="仿宋" w:eastAsia="仿宋"/>
          <w:sz w:val="32"/>
          <w:szCs w:val="32"/>
        </w:rPr>
        <w:t>，</w:t>
      </w:r>
      <w:r>
        <w:rPr>
          <w:rFonts w:ascii="仿宋" w:eastAsia="仿宋"/>
          <w:sz w:val="32"/>
          <w:szCs w:val="32"/>
        </w:rPr>
        <w:t>城区交通拥堵压力</w:t>
      </w:r>
      <w:r>
        <w:rPr>
          <w:rFonts w:hint="eastAsia" w:ascii="仿宋" w:eastAsia="仿宋"/>
          <w:sz w:val="32"/>
          <w:szCs w:val="32"/>
        </w:rPr>
        <w:t>有效</w:t>
      </w:r>
      <w:r>
        <w:rPr>
          <w:rFonts w:ascii="仿宋" w:eastAsia="仿宋"/>
          <w:sz w:val="32"/>
          <w:szCs w:val="32"/>
        </w:rPr>
        <w:t>缓解。</w:t>
      </w:r>
      <w:r>
        <w:rPr>
          <w:rFonts w:ascii="仿宋" w:eastAsia="仿宋"/>
          <w:bCs/>
          <w:sz w:val="32"/>
          <w:szCs w:val="32"/>
        </w:rPr>
        <w:t>加快推进城镇生活污水设施建设</w:t>
      </w:r>
      <w:r>
        <w:rPr>
          <w:rFonts w:hint="eastAsia" w:ascii="仿宋" w:eastAsia="仿宋"/>
          <w:bCs/>
          <w:sz w:val="32"/>
          <w:szCs w:val="32"/>
        </w:rPr>
        <w:t>，</w:t>
      </w:r>
      <w:r>
        <w:rPr>
          <w:rFonts w:ascii="仿宋" w:eastAsia="仿宋"/>
          <w:sz w:val="32"/>
          <w:szCs w:val="32"/>
        </w:rPr>
        <w:t>累计完成23座污水处理厂（站）和约200公里配套管网建设，出台《攀枝花市城镇生活污水处理设施建设三年推进方案（2021—2023年）》，力争用三年时间补齐污水设施建设短板。加大</w:t>
      </w:r>
      <w:r>
        <w:rPr>
          <w:rFonts w:hint="eastAsia" w:ascii="仿宋" w:eastAsia="仿宋"/>
          <w:sz w:val="32"/>
          <w:szCs w:val="32"/>
        </w:rPr>
        <w:t>市政基础设施</w:t>
      </w:r>
      <w:r>
        <w:rPr>
          <w:rFonts w:ascii="仿宋" w:eastAsia="仿宋"/>
          <w:sz w:val="32"/>
          <w:szCs w:val="32"/>
        </w:rPr>
        <w:t>维修养护力度，</w:t>
      </w:r>
      <w:r>
        <w:rPr>
          <w:rFonts w:hint="eastAsia" w:ascii="仿宋" w:eastAsia="仿宋"/>
          <w:sz w:val="32"/>
          <w:szCs w:val="32"/>
        </w:rPr>
        <w:t>落实</w:t>
      </w:r>
      <w:r>
        <w:rPr>
          <w:rFonts w:ascii="仿宋" w:eastAsia="仿宋"/>
          <w:sz w:val="32"/>
          <w:szCs w:val="32"/>
        </w:rPr>
        <w:t>全国文明城市创建任务，加装9664个窨井盖防坠网，制定《攀枝花市城市道路占用挖掘管理办法》，</w:t>
      </w:r>
      <w:r>
        <w:rPr>
          <w:rFonts w:ascii="仿宋" w:eastAsia="仿宋"/>
          <w:bCs/>
          <w:sz w:val="32"/>
          <w:szCs w:val="32"/>
        </w:rPr>
        <w:t>减少道路重复开挖现象</w:t>
      </w:r>
      <w:r>
        <w:rPr>
          <w:rFonts w:hint="eastAsia" w:ascii="仿宋" w:eastAsia="仿宋"/>
          <w:bCs/>
          <w:sz w:val="32"/>
          <w:szCs w:val="32"/>
        </w:rPr>
        <w:t>，推动</w:t>
      </w:r>
      <w:r>
        <w:rPr>
          <w:rFonts w:ascii="仿宋" w:eastAsia="仿宋"/>
          <w:sz w:val="32"/>
          <w:szCs w:val="32"/>
        </w:rPr>
        <w:t>市政设施精细</w:t>
      </w:r>
      <w:r>
        <w:rPr>
          <w:rFonts w:hint="eastAsia" w:ascii="仿宋" w:eastAsia="仿宋"/>
          <w:sz w:val="32"/>
          <w:szCs w:val="32"/>
        </w:rPr>
        <w:t>化</w:t>
      </w:r>
      <w:r>
        <w:rPr>
          <w:rFonts w:ascii="仿宋" w:eastAsia="仿宋"/>
          <w:sz w:val="32"/>
          <w:szCs w:val="32"/>
        </w:rPr>
        <w:t>管理</w:t>
      </w:r>
      <w:r>
        <w:rPr>
          <w:rFonts w:hint="eastAsia" w:ascii="仿宋" w:eastAsia="仿宋"/>
          <w:sz w:val="32"/>
          <w:szCs w:val="32"/>
        </w:rPr>
        <w:t>。</w:t>
      </w:r>
    </w:p>
    <w:p>
      <w:pPr>
        <w:pStyle w:val="14"/>
        <w:spacing w:line="560" w:lineRule="exact"/>
        <w:ind w:left="0" w:leftChars="0" w:firstLine="629" w:firstLineChars="196"/>
        <w:rPr>
          <w:rFonts w:ascii="仿宋" w:eastAsia="仿宋"/>
          <w:sz w:val="32"/>
          <w:szCs w:val="32"/>
        </w:rPr>
      </w:pPr>
      <w:r>
        <w:rPr>
          <w:rFonts w:hint="eastAsia" w:ascii="仿宋" w:eastAsia="仿宋" w:cs="方正楷体_GBK"/>
          <w:b/>
          <w:bCs/>
          <w:kern w:val="0"/>
          <w:sz w:val="32"/>
          <w:szCs w:val="32"/>
        </w:rPr>
        <w:t>有序实施城市更新行动。</w:t>
      </w:r>
      <w:r>
        <w:rPr>
          <w:rFonts w:ascii="仿宋" w:eastAsia="仿宋"/>
          <w:sz w:val="32"/>
          <w:szCs w:val="32"/>
        </w:rPr>
        <w:t>围绕“增空间、优生态、强服务、留文化”的目标，</w:t>
      </w:r>
      <w:r>
        <w:rPr>
          <w:rFonts w:ascii="仿宋" w:eastAsia="仿宋"/>
          <w:color w:val="000000"/>
          <w:sz w:val="32"/>
          <w:szCs w:val="32"/>
        </w:rPr>
        <w:t>加快棚改腾空土地利用，推进东区红星街康养住宅试点项目建设，促进老旧城区提质扩容；</w:t>
      </w:r>
      <w:r>
        <w:rPr>
          <w:rFonts w:ascii="仿宋" w:eastAsia="仿宋"/>
          <w:sz w:val="32"/>
          <w:szCs w:val="32"/>
        </w:rPr>
        <w:t>开展生态环境试点城市申报工作，取得全省生态环境试点城市评选答辩第二的优异成果；</w:t>
      </w:r>
      <w:r>
        <w:rPr>
          <w:rFonts w:ascii="仿宋" w:eastAsia="仿宋"/>
          <w:color w:val="000000"/>
          <w:sz w:val="32"/>
          <w:szCs w:val="32"/>
        </w:rPr>
        <w:t>申报历史文化名城，顺利</w:t>
      </w:r>
      <w:r>
        <w:rPr>
          <w:rFonts w:ascii="仿宋" w:eastAsia="仿宋"/>
          <w:sz w:val="32"/>
          <w:szCs w:val="32"/>
        </w:rPr>
        <w:t>通过省级历史文化名城申报专家审查，兰谱路、大渡口、陶家渡、河门口北街4条街区通过省级历史文化街区专家评审，创建工作有序落实。</w:t>
      </w:r>
    </w:p>
    <w:p>
      <w:pPr>
        <w:pStyle w:val="14"/>
        <w:spacing w:line="560" w:lineRule="exact"/>
        <w:ind w:left="0" w:leftChars="0" w:firstLine="629" w:firstLineChars="196"/>
        <w:rPr>
          <w:rFonts w:ascii="仿宋" w:eastAsia="仿宋"/>
          <w:sz w:val="32"/>
          <w:szCs w:val="32"/>
        </w:rPr>
      </w:pPr>
      <w:r>
        <w:rPr>
          <w:rFonts w:hint="eastAsia" w:ascii="仿宋" w:eastAsia="仿宋" w:cs="方正楷体_GBK"/>
          <w:b/>
          <w:bCs/>
          <w:sz w:val="32"/>
          <w:szCs w:val="32"/>
        </w:rPr>
        <w:t>扎实推动保障性住房建设。</w:t>
      </w:r>
      <w:r>
        <w:rPr>
          <w:rFonts w:ascii="仿宋" w:eastAsia="仿宋"/>
          <w:sz w:val="32"/>
          <w:szCs w:val="32"/>
        </w:rPr>
        <w:t>按照“千方百计筹集资金，坚定不移推进棚改”的总体要求，筹集资金39.36亿元，完成19123户棚改居民安置工作；2017—2018年实际完成棚改安置46196户（套），至此全面完成省政府下达的棚改安置目标任务。大力实施老旧小区改造</w:t>
      </w:r>
      <w:r>
        <w:rPr>
          <w:rFonts w:hint="eastAsia" w:ascii="仿宋" w:eastAsia="仿宋"/>
          <w:sz w:val="32"/>
          <w:szCs w:val="32"/>
        </w:rPr>
        <w:t>，持续改善居民居住环境</w:t>
      </w:r>
      <w:r>
        <w:rPr>
          <w:rFonts w:ascii="仿宋" w:eastAsia="仿宋"/>
          <w:sz w:val="32"/>
          <w:szCs w:val="32"/>
        </w:rPr>
        <w:t>。争取中央、省级财政补助资金7080万元</w:t>
      </w:r>
      <w:r>
        <w:rPr>
          <w:rFonts w:hint="eastAsia" w:ascii="仿宋" w:eastAsia="仿宋"/>
          <w:sz w:val="32"/>
          <w:szCs w:val="32"/>
        </w:rPr>
        <w:t>，</w:t>
      </w:r>
      <w:r>
        <w:rPr>
          <w:rFonts w:ascii="仿宋" w:eastAsia="仿宋"/>
          <w:sz w:val="32"/>
          <w:szCs w:val="32"/>
        </w:rPr>
        <w:t>改造老旧小区38个，涉及499栋1.6万户，现已全部开工。持续做好公租房保障</w:t>
      </w:r>
      <w:r>
        <w:rPr>
          <w:rFonts w:hint="eastAsia" w:ascii="仿宋" w:eastAsia="仿宋"/>
          <w:sz w:val="32"/>
          <w:szCs w:val="32"/>
        </w:rPr>
        <w:t>，解决困难群众住房问题</w:t>
      </w:r>
      <w:r>
        <w:rPr>
          <w:rFonts w:ascii="仿宋" w:eastAsia="仿宋"/>
          <w:sz w:val="32"/>
          <w:szCs w:val="32"/>
        </w:rPr>
        <w:t>。</w:t>
      </w:r>
    </w:p>
    <w:p>
      <w:pPr>
        <w:pStyle w:val="14"/>
        <w:spacing w:line="560" w:lineRule="exact"/>
        <w:ind w:left="0" w:leftChars="0" w:firstLine="629" w:firstLineChars="196"/>
        <w:rPr>
          <w:rFonts w:ascii="仿宋" w:eastAsia="仿宋"/>
          <w:sz w:val="32"/>
          <w:szCs w:val="32"/>
        </w:rPr>
      </w:pPr>
      <w:r>
        <w:rPr>
          <w:rFonts w:hint="eastAsia" w:ascii="仿宋" w:eastAsia="仿宋" w:cs="方正楷体_GBK"/>
          <w:b/>
          <w:bCs/>
          <w:sz w:val="32"/>
          <w:szCs w:val="32"/>
        </w:rPr>
        <w:t>持续提升建筑业发展质量。</w:t>
      </w:r>
      <w:r>
        <w:rPr>
          <w:rFonts w:ascii="仿宋" w:eastAsia="仿宋"/>
          <w:bCs/>
          <w:sz w:val="32"/>
          <w:szCs w:val="32"/>
        </w:rPr>
        <w:t>1-9月，</w:t>
      </w:r>
      <w:r>
        <w:rPr>
          <w:rFonts w:ascii="仿宋" w:eastAsia="仿宋"/>
          <w:sz w:val="32"/>
          <w:szCs w:val="32"/>
        </w:rPr>
        <w:t>全市新增入库企业5家，完成建筑业总产值210.15亿元，同比增长17.2%，占市级年度目标任务265亿元的79.3%；完成装配式建筑13.3万平方米，提前完成全年8万平方米的目标任务；建筑业在促进经济发展方面发挥着重要作用。通过扶持建筑企业资质提档升级，不断提高建筑企业市场竞争力。实施建筑工人实名制管理，</w:t>
      </w:r>
      <w:r>
        <w:rPr>
          <w:rFonts w:hint="eastAsia" w:ascii="仿宋" w:eastAsia="仿宋"/>
          <w:sz w:val="32"/>
          <w:szCs w:val="32"/>
        </w:rPr>
        <w:t>加强</w:t>
      </w:r>
      <w:r>
        <w:rPr>
          <w:rFonts w:ascii="仿宋" w:eastAsia="仿宋"/>
          <w:sz w:val="32"/>
          <w:szCs w:val="32"/>
        </w:rPr>
        <w:t>施工现场专业人员职业培训，</w:t>
      </w:r>
      <w:r>
        <w:rPr>
          <w:rFonts w:hint="eastAsia" w:ascii="仿宋" w:eastAsia="仿宋"/>
          <w:sz w:val="32"/>
          <w:szCs w:val="32"/>
        </w:rPr>
        <w:t>强化</w:t>
      </w:r>
      <w:r>
        <w:rPr>
          <w:rFonts w:ascii="仿宋" w:eastAsia="仿宋"/>
          <w:sz w:val="32"/>
          <w:szCs w:val="32"/>
        </w:rPr>
        <w:t>行业人才队伍建设。统筹指导全市住建领域安全生产工作，充分发挥行业</w:t>
      </w:r>
      <w:r>
        <w:rPr>
          <w:rFonts w:hint="eastAsia" w:ascii="仿宋" w:eastAsia="仿宋"/>
          <w:sz w:val="32"/>
          <w:szCs w:val="32"/>
        </w:rPr>
        <w:t>监管</w:t>
      </w:r>
      <w:r>
        <w:rPr>
          <w:rFonts w:ascii="仿宋" w:eastAsia="仿宋"/>
          <w:sz w:val="32"/>
          <w:szCs w:val="32"/>
        </w:rPr>
        <w:t>作用，组织开展建筑施工安全生产百日攻坚行动，进一步强化工程质量安全监管。</w:t>
      </w:r>
    </w:p>
    <w:p>
      <w:pPr>
        <w:pStyle w:val="14"/>
        <w:spacing w:line="560" w:lineRule="exact"/>
        <w:ind w:left="0" w:leftChars="0" w:firstLine="629" w:firstLineChars="196"/>
        <w:rPr>
          <w:rFonts w:ascii="仿宋" w:eastAsia="仿宋"/>
          <w:bCs/>
          <w:sz w:val="32"/>
          <w:szCs w:val="32"/>
        </w:rPr>
      </w:pPr>
      <w:r>
        <w:rPr>
          <w:rFonts w:hint="eastAsia" w:ascii="仿宋" w:eastAsia="仿宋" w:cs="方正楷体_GBK"/>
          <w:b/>
          <w:sz w:val="32"/>
          <w:szCs w:val="32"/>
        </w:rPr>
        <w:t>防范化解房地产市场风险。</w:t>
      </w:r>
      <w:r>
        <w:rPr>
          <w:rFonts w:ascii="仿宋" w:eastAsia="仿宋"/>
          <w:sz w:val="32"/>
          <w:szCs w:val="32"/>
        </w:rPr>
        <w:t>持续优化营商环境，规范房地产市场秩序，保持房地产市场总体稳定。1-10月，全市新增入库房地产企业11家，完成房地产开发投资97.9亿元，同比增长13.9%；销售商品房134.8万平方米，同比增长6.5%</w:t>
      </w:r>
      <w:r>
        <w:rPr>
          <w:rFonts w:ascii="仿宋" w:eastAsia="仿宋"/>
          <w:bCs/>
          <w:sz w:val="32"/>
          <w:szCs w:val="32"/>
        </w:rPr>
        <w:t>；外地人购房比率达51.57%。强化市场销售监管，严查商品房预售资金“体外循环”情况，整改归集“体外循环”资金约2.5亿元。持续化解房地产领域“问题楼盘”，全市26个“问题楼盘”已化解24个，化解率92.3%，为1.1万余户居民解决“逾期未办证和延期交房”的急难愁盼问题。</w:t>
      </w:r>
    </w:p>
    <w:p>
      <w:pPr>
        <w:pStyle w:val="14"/>
        <w:spacing w:line="560" w:lineRule="exact"/>
        <w:ind w:left="0" w:leftChars="0" w:firstLine="629" w:firstLineChars="196"/>
        <w:rPr>
          <w:rFonts w:ascii="仿宋" w:eastAsia="仿宋"/>
          <w:sz w:val="32"/>
          <w:szCs w:val="32"/>
        </w:rPr>
      </w:pPr>
      <w:r>
        <w:rPr>
          <w:rFonts w:hint="eastAsia" w:ascii="仿宋" w:eastAsia="仿宋" w:cs="方正楷体_GBK"/>
          <w:b/>
          <w:sz w:val="32"/>
          <w:szCs w:val="32"/>
        </w:rPr>
        <w:t>探索推进绿色低碳城市建设。</w:t>
      </w:r>
      <w:r>
        <w:rPr>
          <w:rStyle w:val="26"/>
          <w:rFonts w:ascii="仿宋" w:eastAsia="仿宋"/>
          <w:color w:val="000000"/>
          <w:sz w:val="32"/>
          <w:szCs w:val="32"/>
        </w:rPr>
        <w:t>强化建筑节能日常监管，城市规划区内新建民用建筑节能设计率、检查验收率达到100%；新建建筑施工阶段节能标准执行率达到100%。</w:t>
      </w:r>
      <w:r>
        <w:rPr>
          <w:rFonts w:ascii="仿宋" w:eastAsia="仿宋"/>
          <w:sz w:val="32"/>
          <w:szCs w:val="32"/>
        </w:rPr>
        <w:t>出台《攀枝花市绿色建筑行动实施方案》，</w:t>
      </w:r>
      <w:r>
        <w:rPr>
          <w:rStyle w:val="26"/>
          <w:rFonts w:ascii="仿宋" w:eastAsia="仿宋"/>
          <w:color w:val="000000"/>
          <w:sz w:val="32"/>
          <w:szCs w:val="32"/>
        </w:rPr>
        <w:t>加快全市绿色建筑发展进程。</w:t>
      </w:r>
      <w:r>
        <w:rPr>
          <w:rFonts w:ascii="仿宋" w:eastAsia="仿宋"/>
          <w:sz w:val="32"/>
          <w:szCs w:val="32"/>
        </w:rPr>
        <w:t>推动《四川省攀西地区民用建筑节能应用技术标准》通过省级专家评审，</w:t>
      </w:r>
      <w:r>
        <w:rPr>
          <w:rStyle w:val="26"/>
          <w:rFonts w:ascii="仿宋" w:eastAsia="仿宋"/>
          <w:color w:val="000000"/>
          <w:sz w:val="32"/>
          <w:szCs w:val="32"/>
        </w:rPr>
        <w:t>为我市住建领域实现“双碳”目标奠定基础。</w:t>
      </w:r>
      <w:r>
        <w:rPr>
          <w:rFonts w:ascii="仿宋" w:eastAsia="仿宋"/>
          <w:sz w:val="32"/>
          <w:szCs w:val="32"/>
        </w:rPr>
        <w:t>指导全市推广使用散装水泥171.55万吨，水泥散装率60.91%。</w:t>
      </w:r>
    </w:p>
    <w:p>
      <w:pPr>
        <w:pStyle w:val="14"/>
        <w:spacing w:line="560" w:lineRule="exact"/>
        <w:ind w:left="0" w:leftChars="0" w:firstLine="629" w:firstLineChars="196"/>
        <w:rPr>
          <w:rFonts w:ascii="仿宋" w:eastAsia="仿宋"/>
          <w:sz w:val="32"/>
          <w:szCs w:val="32"/>
        </w:rPr>
      </w:pPr>
      <w:r>
        <w:rPr>
          <w:rFonts w:hint="eastAsia" w:ascii="仿宋" w:eastAsia="仿宋" w:cs="方正楷体_GBK"/>
          <w:b/>
          <w:bCs/>
          <w:sz w:val="32"/>
          <w:szCs w:val="32"/>
        </w:rPr>
        <w:t>扎实推进村镇建设工作。</w:t>
      </w:r>
      <w:r>
        <w:rPr>
          <w:rFonts w:ascii="仿宋" w:eastAsia="仿宋"/>
          <w:sz w:val="32"/>
          <w:szCs w:val="32"/>
        </w:rPr>
        <w:t>加快中心镇培育建设，</w:t>
      </w:r>
      <w:r>
        <w:rPr>
          <w:rFonts w:ascii="仿宋" w:eastAsia="仿宋"/>
          <w:bCs/>
          <w:sz w:val="32"/>
          <w:szCs w:val="32"/>
        </w:rPr>
        <w:t>8个镇列入“省级百强中心镇”入库候选镇</w:t>
      </w:r>
      <w:r>
        <w:rPr>
          <w:rFonts w:ascii="仿宋" w:eastAsia="仿宋"/>
          <w:sz w:val="32"/>
          <w:szCs w:val="32"/>
        </w:rPr>
        <w:t>，</w:t>
      </w:r>
      <w:r>
        <w:rPr>
          <w:rFonts w:ascii="仿宋" w:eastAsia="仿宋"/>
          <w:bCs/>
          <w:sz w:val="32"/>
          <w:szCs w:val="32"/>
        </w:rPr>
        <w:t>出台《攀枝花市关于加快中心镇培育发展的实施意见》，</w:t>
      </w:r>
      <w:r>
        <w:rPr>
          <w:rFonts w:ascii="仿宋" w:eastAsia="仿宋"/>
          <w:sz w:val="32"/>
          <w:szCs w:val="32"/>
        </w:rPr>
        <w:t>促进县域经济高质量发展</w:t>
      </w:r>
      <w:r>
        <w:rPr>
          <w:rFonts w:ascii="仿宋" w:eastAsia="仿宋"/>
          <w:bCs/>
          <w:sz w:val="32"/>
          <w:szCs w:val="32"/>
        </w:rPr>
        <w:t>。</w:t>
      </w:r>
      <w:r>
        <w:rPr>
          <w:rFonts w:ascii="仿宋" w:eastAsia="仿宋"/>
          <w:sz w:val="32"/>
          <w:szCs w:val="32"/>
        </w:rPr>
        <w:t>完成农村“困难户”危房改造、抗震改造和土坯房改造既定目标任务，争取省级住房安全保障补短资金630万元，解决全省“两不愁三保障”回头看大排查中发现350 户非建档立卡特殊困难户住房安全问题。</w:t>
      </w:r>
    </w:p>
    <w:p>
      <w:pPr>
        <w:autoSpaceDE w:val="0"/>
        <w:autoSpaceDN w:val="0"/>
        <w:adjustRightInd w:val="0"/>
        <w:ind w:firstLine="642" w:firstLineChars="200"/>
        <w:jc w:val="left"/>
        <w:rPr>
          <w:rFonts w:ascii="仿宋" w:eastAsia="仿宋"/>
          <w:sz w:val="32"/>
          <w:szCs w:val="32"/>
        </w:rPr>
      </w:pPr>
      <w:r>
        <w:rPr>
          <w:rFonts w:hint="eastAsia" w:ascii="仿宋" w:eastAsia="仿宋" w:cs="方正楷体_GBK"/>
          <w:b/>
          <w:bCs/>
          <w:sz w:val="32"/>
          <w:szCs w:val="32"/>
        </w:rPr>
        <w:t>不断优化住建领域营商环境。</w:t>
      </w:r>
      <w:r>
        <w:rPr>
          <w:rFonts w:ascii="仿宋" w:eastAsia="仿宋"/>
          <w:sz w:val="32"/>
          <w:szCs w:val="32"/>
        </w:rPr>
        <w:t>深化工程建设项目审批制度改革，聚焦解决企业和群众办理建筑许可的痛点、难点、堵点问题，持续精简办理流程、缩短办理时间、降低办理成本，提高建筑质量控制指数。常态化推进扫黑除恶专项斗争，深入开展建筑企业资质审批突出问题和房屋市政工程招投标领域突出问题系统治理，将恶意竞标、强揽工程、商品房销售和物业管理乱象等作为整治重点，持续规范行业发展环境。全市住建系统三年扫黑除恶专项斗争取得明显成效，我局于今年7月被市委、市政府评为扫黑除恶先进集体</w:t>
      </w:r>
      <w:r>
        <w:rPr>
          <w:rFonts w:eastAsia="仿宋_GB2312"/>
          <w:sz w:val="32"/>
          <w:szCs w:val="32"/>
        </w:rPr>
        <w:t>。</w:t>
      </w:r>
    </w:p>
    <w:p>
      <w:pPr>
        <w:pStyle w:val="4"/>
        <w:rPr>
          <w:rStyle w:val="20"/>
          <w:b w:val="0"/>
          <w:bCs w:val="0"/>
        </w:rPr>
      </w:pPr>
      <w:bookmarkStart w:id="20" w:name="_Toc15377200"/>
      <w:bookmarkStart w:id="21" w:name="_Toc15396601"/>
      <w:r>
        <w:rPr>
          <w:rFonts w:hint="eastAsia" w:ascii="黑体" w:eastAsia="黑体"/>
          <w:b w:val="0"/>
          <w:bCs w:val="0"/>
        </w:rPr>
        <w:t>二、机</w:t>
      </w:r>
      <w:r>
        <w:rPr>
          <w:rStyle w:val="20"/>
          <w:rFonts w:hint="eastAsia" w:ascii="黑体" w:eastAsia="黑体"/>
          <w:b w:val="0"/>
          <w:bCs w:val="0"/>
        </w:rPr>
        <w:t>构设置</w:t>
      </w:r>
      <w:bookmarkEnd w:id="20"/>
      <w:bookmarkEnd w:id="21"/>
    </w:p>
    <w:p>
      <w:pPr>
        <w:ind w:firstLine="640" w:firstLineChars="200"/>
        <w:rPr>
          <w:rFonts w:ascii="仿宋_GB2312" w:eastAsia="仿宋_GB2312"/>
          <w:sz w:val="32"/>
          <w:szCs w:val="32"/>
        </w:rPr>
      </w:pPr>
      <w:r>
        <w:rPr>
          <w:rFonts w:hint="eastAsia" w:ascii="仿宋_GB2312" w:eastAsia="仿宋_GB2312" w:cs="仿宋"/>
          <w:sz w:val="32"/>
          <w:szCs w:val="32"/>
        </w:rPr>
        <w:t>市住房城乡建设局下属二级单位</w:t>
      </w:r>
      <w:r>
        <w:rPr>
          <w:rFonts w:ascii="仿宋_GB2312" w:eastAsia="仿宋_GB2312" w:cs="仿宋"/>
          <w:sz w:val="32"/>
          <w:szCs w:val="32"/>
        </w:rPr>
        <w:t>9</w:t>
      </w:r>
      <w:r>
        <w:rPr>
          <w:rFonts w:hint="eastAsia" w:ascii="仿宋_GB2312" w:eastAsia="仿宋_GB2312" w:cs="仿宋"/>
          <w:sz w:val="32"/>
          <w:szCs w:val="32"/>
        </w:rPr>
        <w:t>个，其中参照公务员法管理的事业单位</w:t>
      </w:r>
      <w:r>
        <w:rPr>
          <w:rFonts w:ascii="仿宋_GB2312" w:eastAsia="仿宋_GB2312" w:cs="仿宋"/>
          <w:sz w:val="32"/>
          <w:szCs w:val="32"/>
        </w:rPr>
        <w:t>3</w:t>
      </w:r>
      <w:r>
        <w:rPr>
          <w:rFonts w:hint="eastAsia" w:ascii="仿宋_GB2312" w:eastAsia="仿宋_GB2312" w:cs="仿宋"/>
          <w:sz w:val="32"/>
          <w:szCs w:val="32"/>
        </w:rPr>
        <w:t>个，其他事业单位</w:t>
      </w:r>
      <w:r>
        <w:rPr>
          <w:rFonts w:ascii="仿宋_GB2312" w:eastAsia="仿宋_GB2312" w:cs="仿宋"/>
          <w:sz w:val="32"/>
          <w:szCs w:val="32"/>
        </w:rPr>
        <w:t>6</w:t>
      </w:r>
      <w:r>
        <w:rPr>
          <w:rFonts w:hint="eastAsia" w:ascii="仿宋_GB2312" w:eastAsia="仿宋_GB2312" w:cs="仿宋"/>
          <w:sz w:val="32"/>
          <w:szCs w:val="32"/>
        </w:rPr>
        <w:t>个。</w:t>
      </w:r>
    </w:p>
    <w:p>
      <w:pPr>
        <w:pStyle w:val="2"/>
        <w:adjustRightInd w:val="0"/>
        <w:snapToGrid w:val="0"/>
        <w:spacing w:before="93" w:beforeLines="0" w:line="600" w:lineRule="exact"/>
        <w:ind w:firstLine="665" w:firstLineChars="208"/>
        <w:rPr>
          <w:color w:val="000000"/>
          <w:sz w:val="32"/>
          <w:szCs w:val="32"/>
        </w:rPr>
      </w:pPr>
      <w:r>
        <w:rPr>
          <w:rFonts w:hint="eastAsia"/>
          <w:color w:val="000000"/>
          <w:sz w:val="32"/>
          <w:szCs w:val="32"/>
        </w:rPr>
        <w:t>纳入</w:t>
      </w:r>
      <w:r>
        <w:rPr>
          <w:rFonts w:hint="eastAsia" w:cs="仿宋"/>
          <w:sz w:val="32"/>
          <w:szCs w:val="32"/>
        </w:rPr>
        <w:t>市住房城乡建设局</w:t>
      </w:r>
      <w:r>
        <w:rPr>
          <w:color w:val="000000"/>
          <w:sz w:val="32"/>
          <w:szCs w:val="32"/>
        </w:rPr>
        <w:t>202</w:t>
      </w:r>
      <w:r>
        <w:rPr>
          <w:rFonts w:hint="eastAsia"/>
          <w:color w:val="000000"/>
          <w:sz w:val="32"/>
          <w:szCs w:val="32"/>
        </w:rPr>
        <w:t>1年度部门决算编制范围的二级预算单位包括：</w:t>
      </w:r>
    </w:p>
    <w:p>
      <w:pPr>
        <w:pStyle w:val="2"/>
        <w:numPr>
          <w:ilvl w:val="0"/>
          <w:numId w:val="1"/>
        </w:numPr>
        <w:adjustRightInd w:val="0"/>
        <w:snapToGrid w:val="0"/>
        <w:spacing w:before="93" w:beforeLines="0" w:line="600" w:lineRule="exact"/>
        <w:outlineLvl w:val="2"/>
        <w:rPr>
          <w:color w:val="000000"/>
          <w:sz w:val="32"/>
          <w:szCs w:val="32"/>
        </w:rPr>
      </w:pPr>
      <w:bookmarkStart w:id="22" w:name="_Toc15377201"/>
      <w:bookmarkStart w:id="23" w:name="_Toc15377432"/>
      <w:bookmarkStart w:id="24" w:name="_Toc15306275"/>
      <w:bookmarkStart w:id="25" w:name="_Toc15378448"/>
      <w:r>
        <w:rPr>
          <w:rFonts w:hint="eastAsia"/>
          <w:color w:val="000000"/>
          <w:sz w:val="32"/>
          <w:szCs w:val="32"/>
        </w:rPr>
        <w:t>市城市基本建设档案馆</w:t>
      </w:r>
    </w:p>
    <w:bookmarkEnd w:id="22"/>
    <w:bookmarkEnd w:id="23"/>
    <w:bookmarkEnd w:id="24"/>
    <w:bookmarkEnd w:id="25"/>
    <w:p>
      <w:pPr>
        <w:pStyle w:val="2"/>
        <w:numPr>
          <w:ilvl w:val="0"/>
          <w:numId w:val="1"/>
        </w:numPr>
        <w:adjustRightInd w:val="0"/>
        <w:snapToGrid w:val="0"/>
        <w:spacing w:before="93" w:beforeLines="0" w:line="600" w:lineRule="exact"/>
        <w:outlineLvl w:val="2"/>
        <w:rPr>
          <w:color w:val="000000"/>
          <w:sz w:val="32"/>
          <w:szCs w:val="32"/>
        </w:rPr>
      </w:pPr>
      <w:bookmarkStart w:id="26" w:name="_Toc15306276"/>
      <w:bookmarkStart w:id="27" w:name="_Toc15377202"/>
      <w:bookmarkStart w:id="28" w:name="_Toc15377433"/>
      <w:bookmarkStart w:id="29" w:name="_Toc15378449"/>
      <w:r>
        <w:rPr>
          <w:rFonts w:hint="eastAsia"/>
          <w:color w:val="000000"/>
          <w:sz w:val="32"/>
          <w:szCs w:val="32"/>
        </w:rPr>
        <w:t>市市政公用设施服务中心</w:t>
      </w:r>
    </w:p>
    <w:p>
      <w:pPr>
        <w:pStyle w:val="2"/>
        <w:numPr>
          <w:ilvl w:val="0"/>
          <w:numId w:val="1"/>
        </w:numPr>
        <w:adjustRightInd w:val="0"/>
        <w:snapToGrid w:val="0"/>
        <w:spacing w:before="93" w:beforeLines="0" w:line="600" w:lineRule="exact"/>
        <w:outlineLvl w:val="2"/>
        <w:rPr>
          <w:color w:val="000000"/>
          <w:sz w:val="32"/>
          <w:szCs w:val="32"/>
        </w:rPr>
      </w:pPr>
      <w:r>
        <w:rPr>
          <w:rFonts w:hint="eastAsia"/>
          <w:color w:val="000000"/>
          <w:sz w:val="32"/>
          <w:szCs w:val="32"/>
        </w:rPr>
        <w:t>市建设工程消防和勘察设计技术中心</w:t>
      </w:r>
    </w:p>
    <w:p>
      <w:pPr>
        <w:pStyle w:val="2"/>
        <w:numPr>
          <w:ilvl w:val="0"/>
          <w:numId w:val="1"/>
        </w:numPr>
        <w:adjustRightInd w:val="0"/>
        <w:snapToGrid w:val="0"/>
        <w:spacing w:before="93" w:beforeLines="0" w:line="600" w:lineRule="exact"/>
        <w:outlineLvl w:val="2"/>
        <w:rPr>
          <w:color w:val="000000"/>
          <w:sz w:val="32"/>
          <w:szCs w:val="32"/>
        </w:rPr>
      </w:pPr>
      <w:r>
        <w:rPr>
          <w:rFonts w:hint="eastAsia"/>
          <w:color w:val="000000"/>
          <w:sz w:val="32"/>
          <w:szCs w:val="32"/>
        </w:rPr>
        <w:t>市城市建设资金中心</w:t>
      </w:r>
    </w:p>
    <w:p>
      <w:pPr>
        <w:pStyle w:val="2"/>
        <w:numPr>
          <w:ilvl w:val="0"/>
          <w:numId w:val="1"/>
        </w:numPr>
        <w:adjustRightInd w:val="0"/>
        <w:snapToGrid w:val="0"/>
        <w:spacing w:before="93" w:beforeLines="0" w:line="600" w:lineRule="exact"/>
        <w:outlineLvl w:val="2"/>
        <w:rPr>
          <w:color w:val="000000"/>
          <w:sz w:val="32"/>
          <w:szCs w:val="32"/>
        </w:rPr>
      </w:pPr>
      <w:r>
        <w:rPr>
          <w:rFonts w:hint="eastAsia"/>
          <w:color w:val="000000"/>
          <w:sz w:val="32"/>
          <w:szCs w:val="32"/>
        </w:rPr>
        <w:t>市建设工程造价站</w:t>
      </w:r>
    </w:p>
    <w:p>
      <w:pPr>
        <w:pStyle w:val="2"/>
        <w:numPr>
          <w:ilvl w:val="0"/>
          <w:numId w:val="1"/>
        </w:numPr>
        <w:adjustRightInd w:val="0"/>
        <w:snapToGrid w:val="0"/>
        <w:spacing w:before="93" w:beforeLines="0" w:line="600" w:lineRule="exact"/>
        <w:outlineLvl w:val="2"/>
        <w:rPr>
          <w:color w:val="000000"/>
          <w:sz w:val="32"/>
          <w:szCs w:val="32"/>
        </w:rPr>
      </w:pPr>
      <w:r>
        <w:rPr>
          <w:rFonts w:hint="eastAsia"/>
          <w:color w:val="000000"/>
          <w:sz w:val="32"/>
          <w:szCs w:val="32"/>
        </w:rPr>
        <w:t>市房地产事务中心</w:t>
      </w:r>
    </w:p>
    <w:p>
      <w:pPr>
        <w:pStyle w:val="2"/>
        <w:numPr>
          <w:ilvl w:val="0"/>
          <w:numId w:val="1"/>
        </w:numPr>
        <w:adjustRightInd w:val="0"/>
        <w:snapToGrid w:val="0"/>
        <w:spacing w:before="93" w:beforeLines="0" w:line="600" w:lineRule="exact"/>
        <w:outlineLvl w:val="2"/>
        <w:rPr>
          <w:color w:val="000000"/>
          <w:sz w:val="32"/>
          <w:szCs w:val="32"/>
        </w:rPr>
      </w:pPr>
      <w:r>
        <w:rPr>
          <w:rFonts w:hint="eastAsia"/>
          <w:color w:val="000000"/>
          <w:sz w:val="32"/>
          <w:szCs w:val="32"/>
        </w:rPr>
        <w:t>市建设工程质量安全站</w:t>
      </w:r>
    </w:p>
    <w:p>
      <w:pPr>
        <w:pStyle w:val="2"/>
        <w:numPr>
          <w:ilvl w:val="0"/>
          <w:numId w:val="1"/>
        </w:numPr>
        <w:adjustRightInd w:val="0"/>
        <w:snapToGrid w:val="0"/>
        <w:spacing w:before="93" w:beforeLines="0" w:line="600" w:lineRule="exact"/>
        <w:outlineLvl w:val="2"/>
        <w:rPr>
          <w:color w:val="000000"/>
          <w:sz w:val="32"/>
          <w:szCs w:val="32"/>
        </w:rPr>
      </w:pPr>
      <w:r>
        <w:rPr>
          <w:rFonts w:hint="eastAsia"/>
          <w:color w:val="000000"/>
          <w:sz w:val="32"/>
          <w:szCs w:val="32"/>
        </w:rPr>
        <w:t>市建筑节能和绿色建筑发展中心</w:t>
      </w:r>
    </w:p>
    <w:p>
      <w:pPr>
        <w:pStyle w:val="2"/>
        <w:numPr>
          <w:ilvl w:val="0"/>
          <w:numId w:val="1"/>
        </w:numPr>
        <w:adjustRightInd w:val="0"/>
        <w:snapToGrid w:val="0"/>
        <w:spacing w:before="93" w:beforeLines="0" w:line="600" w:lineRule="exact"/>
        <w:outlineLvl w:val="2"/>
        <w:rPr>
          <w:color w:val="000000"/>
          <w:sz w:val="32"/>
          <w:szCs w:val="32"/>
        </w:rPr>
      </w:pPr>
      <w:r>
        <w:rPr>
          <w:rFonts w:hint="eastAsia"/>
          <w:color w:val="000000"/>
          <w:sz w:val="32"/>
          <w:szCs w:val="32"/>
        </w:rPr>
        <w:t>市住房保障和建设项目服务中心</w:t>
      </w:r>
    </w:p>
    <w:bookmarkEnd w:id="26"/>
    <w:bookmarkEnd w:id="27"/>
    <w:bookmarkEnd w:id="28"/>
    <w:bookmarkEnd w:id="29"/>
    <w:p>
      <w:pPr>
        <w:widowControl/>
        <w:jc w:val="center"/>
        <w:rPr>
          <w:rStyle w:val="19"/>
          <w:rFonts w:ascii="黑体" w:eastAsia="黑体"/>
          <w:bCs w:val="0"/>
        </w:rPr>
      </w:pPr>
      <w:r>
        <w:rPr>
          <w:rFonts w:ascii="仿宋" w:eastAsia="仿宋"/>
          <w:sz w:val="32"/>
          <w:szCs w:val="32"/>
        </w:rPr>
        <w:br w:type="page"/>
      </w:r>
      <w:bookmarkStart w:id="30" w:name="_Toc15396602"/>
      <w:bookmarkStart w:id="31" w:name="_Toc15377204"/>
      <w:r>
        <w:rPr>
          <w:rStyle w:val="19"/>
          <w:rFonts w:hint="eastAsia" w:ascii="黑体" w:eastAsia="黑体"/>
        </w:rPr>
        <w:t>第二部分</w:t>
      </w:r>
      <w:r>
        <w:rPr>
          <w:rStyle w:val="19"/>
          <w:rFonts w:ascii="黑体" w:eastAsia="黑体"/>
        </w:rPr>
        <w:t>2021</w:t>
      </w:r>
      <w:r>
        <w:rPr>
          <w:rStyle w:val="19"/>
          <w:rFonts w:hint="eastAsia" w:ascii="黑体" w:eastAsia="黑体"/>
        </w:rPr>
        <w:t>年度</w:t>
      </w:r>
      <w:r>
        <w:rPr>
          <w:rStyle w:val="19"/>
          <w:rFonts w:hint="eastAsia" w:ascii="黑体" w:eastAsia="黑体"/>
          <w:bCs w:val="0"/>
        </w:rPr>
        <w:t>部门决算情况说明</w:t>
      </w:r>
      <w:bookmarkEnd w:id="30"/>
      <w:bookmarkEnd w:id="31"/>
    </w:p>
    <w:p/>
    <w:p>
      <w:pPr>
        <w:pStyle w:val="22"/>
        <w:numPr>
          <w:ilvl w:val="0"/>
          <w:numId w:val="2"/>
        </w:numPr>
        <w:spacing w:line="600" w:lineRule="exact"/>
        <w:ind w:firstLineChars="0"/>
        <w:outlineLvl w:val="1"/>
        <w:rPr>
          <w:rStyle w:val="20"/>
          <w:rFonts w:ascii="黑体" w:eastAsia="黑体"/>
          <w:b w:val="0"/>
        </w:rPr>
      </w:pPr>
      <w:bookmarkStart w:id="32" w:name="_Toc15377205"/>
      <w:bookmarkStart w:id="33" w:name="_Toc15396603"/>
      <w:r>
        <w:rPr>
          <w:rFonts w:hint="eastAsia" w:ascii="黑体" w:eastAsia="黑体"/>
          <w:sz w:val="32"/>
          <w:szCs w:val="32"/>
        </w:rPr>
        <w:t>收</w:t>
      </w:r>
      <w:r>
        <w:rPr>
          <w:rStyle w:val="20"/>
          <w:rFonts w:hint="eastAsia" w:ascii="黑体" w:eastAsia="黑体"/>
          <w:b w:val="0"/>
        </w:rPr>
        <w:t>入支出决算总体情况说明</w:t>
      </w:r>
      <w:bookmarkEnd w:id="32"/>
      <w:bookmarkEnd w:id="33"/>
    </w:p>
    <w:p>
      <w:pPr>
        <w:spacing w:line="600" w:lineRule="exact"/>
        <w:ind w:firstLine="640" w:firstLineChars="200"/>
        <w:rPr>
          <w:rFonts w:ascii="仿宋" w:eastAsia="仿宋"/>
          <w:sz w:val="32"/>
          <w:szCs w:val="32"/>
        </w:rPr>
      </w:pPr>
      <w:r>
        <w:rPr>
          <w:rFonts w:ascii="仿宋" w:eastAsia="仿宋"/>
          <w:sz w:val="32"/>
          <w:szCs w:val="32"/>
        </w:rPr>
        <w:t>2021</w:t>
      </w:r>
      <w:r>
        <w:rPr>
          <w:rFonts w:hint="eastAsia" w:ascii="仿宋" w:eastAsia="仿宋"/>
          <w:sz w:val="32"/>
          <w:szCs w:val="32"/>
        </w:rPr>
        <w:t>年度收、支总计14450.76万元。与</w:t>
      </w:r>
      <w:r>
        <w:rPr>
          <w:rFonts w:ascii="仿宋" w:eastAsia="仿宋"/>
          <w:sz w:val="32"/>
          <w:szCs w:val="32"/>
        </w:rPr>
        <w:t>2020</w:t>
      </w:r>
      <w:r>
        <w:rPr>
          <w:rFonts w:hint="eastAsia" w:ascii="仿宋" w:eastAsia="仿宋"/>
          <w:sz w:val="32"/>
          <w:szCs w:val="32"/>
        </w:rPr>
        <w:t>年相比，收、支总计各减少7300.94万元，下降33.56</w:t>
      </w:r>
      <w:r>
        <w:rPr>
          <w:rFonts w:ascii="仿宋" w:eastAsia="仿宋"/>
          <w:sz w:val="32"/>
          <w:szCs w:val="32"/>
        </w:rPr>
        <w:t>%</w:t>
      </w:r>
      <w:r>
        <w:rPr>
          <w:rFonts w:hint="eastAsia" w:ascii="仿宋" w:eastAsia="仿宋"/>
          <w:sz w:val="32"/>
          <w:szCs w:val="32"/>
        </w:rPr>
        <w:t>。主要变动原因一是机关2020年财政拨入火车南站PPP项目经费5000万，2021年</w:t>
      </w:r>
      <w:r>
        <w:rPr>
          <w:rFonts w:ascii="仿宋" w:eastAsia="仿宋"/>
          <w:sz w:val="32"/>
          <w:szCs w:val="32"/>
        </w:rPr>
        <w:t>为</w:t>
      </w:r>
      <w:r>
        <w:rPr>
          <w:rFonts w:hint="eastAsia" w:ascii="仿宋" w:eastAsia="仿宋"/>
          <w:sz w:val="32"/>
          <w:szCs w:val="32"/>
        </w:rPr>
        <w:t>683.83万，二是市房地产事务中心商品房补助费项目拨款减少，市政服务中心项目经费减少。</w:t>
      </w:r>
    </w:p>
    <w:p>
      <w:pPr>
        <w:spacing w:line="600" w:lineRule="exact"/>
        <w:ind w:firstLine="640" w:firstLineChars="200"/>
        <w:rPr>
          <w:rFonts w:ascii="仿宋" w:eastAsia="仿宋"/>
          <w:sz w:val="32"/>
          <w:szCs w:val="32"/>
        </w:rPr>
      </w:pPr>
      <w:r>
        <w:rPr>
          <w:rFonts w:hint="eastAsia" w:ascii="仿宋" w:eastAsia="仿宋"/>
          <w:sz w:val="32"/>
          <w:szCs w:val="32"/>
        </w:rPr>
        <w:t>（图</w:t>
      </w:r>
      <w:r>
        <w:rPr>
          <w:rFonts w:ascii="仿宋" w:eastAsia="仿宋"/>
          <w:sz w:val="32"/>
          <w:szCs w:val="32"/>
        </w:rPr>
        <w:t>1</w:t>
      </w:r>
      <w:r>
        <w:rPr>
          <w:rFonts w:hint="eastAsia" w:ascii="仿宋" w:eastAsia="仿宋"/>
          <w:sz w:val="32"/>
          <w:szCs w:val="32"/>
        </w:rPr>
        <w:t>：收、支决算总计变动情况图）（柱状图）单位：万元</w:t>
      </w:r>
    </w:p>
    <w:p>
      <w:pPr>
        <w:pStyle w:val="2"/>
        <w:spacing w:before="93" w:beforeLines="0"/>
      </w:pPr>
      <w:r>
        <w:drawing>
          <wp:inline distT="0" distB="0" distL="0" distR="0">
            <wp:extent cx="5046980" cy="2746375"/>
            <wp:effectExtent l="0" t="0" r="0" b="0"/>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2"/>
        <w:numPr>
          <w:ilvl w:val="0"/>
          <w:numId w:val="2"/>
        </w:numPr>
        <w:spacing w:line="600" w:lineRule="exact"/>
        <w:ind w:firstLineChars="0"/>
        <w:outlineLvl w:val="1"/>
        <w:rPr>
          <w:rStyle w:val="20"/>
          <w:rFonts w:ascii="黑体" w:eastAsia="黑体"/>
          <w:b w:val="0"/>
        </w:rPr>
      </w:pPr>
      <w:bookmarkStart w:id="34" w:name="_Toc15396604"/>
      <w:bookmarkStart w:id="35" w:name="_Toc15377206"/>
      <w:r>
        <w:rPr>
          <w:rFonts w:hint="eastAsia" w:ascii="黑体" w:eastAsia="黑体"/>
          <w:sz w:val="32"/>
          <w:szCs w:val="32"/>
        </w:rPr>
        <w:t>收</w:t>
      </w:r>
      <w:r>
        <w:rPr>
          <w:rStyle w:val="20"/>
          <w:rFonts w:hint="eastAsia" w:ascii="黑体" w:eastAsia="黑体"/>
          <w:b w:val="0"/>
        </w:rPr>
        <w:t>入决算情况说明</w:t>
      </w:r>
      <w:bookmarkEnd w:id="34"/>
      <w:bookmarkEnd w:id="35"/>
    </w:p>
    <w:p>
      <w:pPr>
        <w:ind w:firstLine="640" w:firstLineChars="200"/>
        <w:rPr>
          <w:rFonts w:ascii="仿宋" w:eastAsia="仿宋"/>
          <w:sz w:val="32"/>
          <w:szCs w:val="32"/>
        </w:rPr>
      </w:pPr>
      <w:r>
        <w:rPr>
          <w:rFonts w:ascii="仿宋" w:eastAsia="仿宋"/>
          <w:sz w:val="32"/>
          <w:szCs w:val="32"/>
        </w:rPr>
        <w:t>2021</w:t>
      </w:r>
      <w:r>
        <w:rPr>
          <w:rFonts w:hint="eastAsia" w:ascii="仿宋" w:eastAsia="仿宋"/>
          <w:sz w:val="32"/>
          <w:szCs w:val="32"/>
        </w:rPr>
        <w:t>年本年收入合计</w:t>
      </w:r>
      <w:r>
        <w:rPr>
          <w:rFonts w:hint="eastAsia" w:cs="Arial"/>
          <w:color w:val="000000"/>
          <w:sz w:val="32"/>
          <w:szCs w:val="32"/>
        </w:rPr>
        <w:t>13637.2</w:t>
      </w:r>
      <w:r>
        <w:rPr>
          <w:rFonts w:hint="eastAsia" w:ascii="仿宋" w:eastAsia="仿宋"/>
          <w:sz w:val="32"/>
          <w:szCs w:val="32"/>
        </w:rPr>
        <w:t>万元，其中：一般公共预算财政拨款收入</w:t>
      </w:r>
      <w:r>
        <w:rPr>
          <w:rFonts w:ascii="仿宋" w:eastAsia="仿宋"/>
          <w:sz w:val="32"/>
          <w:szCs w:val="32"/>
        </w:rPr>
        <w:t>12655.27</w:t>
      </w:r>
      <w:r>
        <w:rPr>
          <w:rFonts w:hint="eastAsia" w:ascii="仿宋" w:eastAsia="仿宋"/>
          <w:sz w:val="32"/>
          <w:szCs w:val="32"/>
        </w:rPr>
        <w:t>万元，占</w:t>
      </w:r>
      <w:r>
        <w:rPr>
          <w:rFonts w:ascii="仿宋" w:eastAsia="仿宋"/>
          <w:sz w:val="32"/>
          <w:szCs w:val="32"/>
        </w:rPr>
        <w:t>92.80%</w:t>
      </w:r>
      <w:r>
        <w:rPr>
          <w:rFonts w:hint="eastAsia" w:ascii="仿宋" w:eastAsia="仿宋"/>
          <w:sz w:val="32"/>
          <w:szCs w:val="32"/>
        </w:rPr>
        <w:t>；政府性基金预算财政拨款收入</w:t>
      </w:r>
      <w:r>
        <w:rPr>
          <w:rFonts w:ascii="仿宋" w:eastAsia="仿宋"/>
          <w:sz w:val="32"/>
          <w:szCs w:val="32"/>
        </w:rPr>
        <w:t>981.93</w:t>
      </w:r>
      <w:r>
        <w:rPr>
          <w:rFonts w:hint="eastAsia" w:ascii="仿宋" w:eastAsia="仿宋"/>
          <w:sz w:val="32"/>
          <w:szCs w:val="32"/>
        </w:rPr>
        <w:t>万元，占</w:t>
      </w:r>
      <w:r>
        <w:rPr>
          <w:rFonts w:ascii="仿宋" w:eastAsia="仿宋"/>
          <w:sz w:val="32"/>
          <w:szCs w:val="32"/>
        </w:rPr>
        <w:t>7.2%</w:t>
      </w:r>
      <w:r>
        <w:rPr>
          <w:rFonts w:hint="eastAsia" w:ascii="仿宋" w:eastAsia="仿宋"/>
          <w:sz w:val="32"/>
          <w:szCs w:val="32"/>
        </w:rPr>
        <w:t>；国有资本经营预算财政拨款收入</w:t>
      </w:r>
      <w:r>
        <w:rPr>
          <w:rFonts w:ascii="仿宋" w:eastAsia="仿宋"/>
          <w:sz w:val="32"/>
          <w:szCs w:val="32"/>
        </w:rPr>
        <w:t>0</w:t>
      </w:r>
      <w:r>
        <w:rPr>
          <w:rFonts w:hint="eastAsia" w:ascii="仿宋" w:eastAsia="仿宋"/>
          <w:sz w:val="32"/>
          <w:szCs w:val="32"/>
        </w:rPr>
        <w:t>万元，占</w:t>
      </w:r>
      <w:r>
        <w:rPr>
          <w:rFonts w:ascii="仿宋" w:eastAsia="仿宋"/>
          <w:sz w:val="32"/>
          <w:szCs w:val="32"/>
        </w:rPr>
        <w:t>0%</w:t>
      </w:r>
      <w:r>
        <w:rPr>
          <w:rFonts w:hint="eastAsia" w:ascii="仿宋" w:eastAsia="仿宋"/>
          <w:sz w:val="32"/>
          <w:szCs w:val="32"/>
        </w:rPr>
        <w:t>；上级补助收入</w:t>
      </w:r>
      <w:r>
        <w:rPr>
          <w:rFonts w:ascii="仿宋" w:eastAsia="仿宋"/>
          <w:sz w:val="32"/>
          <w:szCs w:val="32"/>
        </w:rPr>
        <w:t>0</w:t>
      </w:r>
      <w:r>
        <w:rPr>
          <w:rFonts w:hint="eastAsia" w:ascii="仿宋" w:eastAsia="仿宋"/>
          <w:sz w:val="32"/>
          <w:szCs w:val="32"/>
        </w:rPr>
        <w:t>万元，占</w:t>
      </w:r>
      <w:r>
        <w:rPr>
          <w:rFonts w:ascii="仿宋" w:eastAsia="仿宋"/>
          <w:sz w:val="32"/>
          <w:szCs w:val="32"/>
        </w:rPr>
        <w:t>0%</w:t>
      </w:r>
      <w:r>
        <w:rPr>
          <w:rFonts w:hint="eastAsia" w:ascii="仿宋" w:eastAsia="仿宋"/>
          <w:sz w:val="32"/>
          <w:szCs w:val="32"/>
        </w:rPr>
        <w:t>；事业收入</w:t>
      </w:r>
      <w:r>
        <w:rPr>
          <w:rFonts w:ascii="仿宋" w:eastAsia="仿宋"/>
          <w:sz w:val="32"/>
          <w:szCs w:val="32"/>
        </w:rPr>
        <w:t>0</w:t>
      </w:r>
      <w:r>
        <w:rPr>
          <w:rFonts w:hint="eastAsia" w:ascii="仿宋" w:eastAsia="仿宋"/>
          <w:sz w:val="32"/>
          <w:szCs w:val="32"/>
        </w:rPr>
        <w:t>万元，占</w:t>
      </w:r>
      <w:r>
        <w:rPr>
          <w:rFonts w:ascii="仿宋" w:eastAsia="仿宋"/>
          <w:sz w:val="32"/>
          <w:szCs w:val="32"/>
        </w:rPr>
        <w:t>0%</w:t>
      </w:r>
      <w:r>
        <w:rPr>
          <w:rFonts w:hint="eastAsia" w:ascii="仿宋" w:eastAsia="仿宋"/>
          <w:sz w:val="32"/>
          <w:szCs w:val="32"/>
        </w:rPr>
        <w:t>；经营收入</w:t>
      </w:r>
      <w:r>
        <w:rPr>
          <w:rFonts w:ascii="仿宋" w:eastAsia="仿宋"/>
          <w:sz w:val="32"/>
          <w:szCs w:val="32"/>
        </w:rPr>
        <w:t>0</w:t>
      </w:r>
      <w:r>
        <w:rPr>
          <w:rFonts w:hint="eastAsia" w:ascii="仿宋" w:eastAsia="仿宋"/>
          <w:sz w:val="32"/>
          <w:szCs w:val="32"/>
        </w:rPr>
        <w:t>万元，占</w:t>
      </w:r>
      <w:r>
        <w:rPr>
          <w:rFonts w:ascii="仿宋" w:eastAsia="仿宋"/>
          <w:sz w:val="32"/>
          <w:szCs w:val="32"/>
        </w:rPr>
        <w:t>0%</w:t>
      </w:r>
      <w:r>
        <w:rPr>
          <w:rFonts w:hint="eastAsia" w:ascii="仿宋" w:eastAsia="仿宋"/>
          <w:sz w:val="32"/>
          <w:szCs w:val="32"/>
        </w:rPr>
        <w:t>；附属单位上缴收入</w:t>
      </w:r>
      <w:r>
        <w:rPr>
          <w:rFonts w:ascii="仿宋" w:eastAsia="仿宋"/>
          <w:sz w:val="32"/>
          <w:szCs w:val="32"/>
        </w:rPr>
        <w:t>0</w:t>
      </w:r>
      <w:r>
        <w:rPr>
          <w:rFonts w:hint="eastAsia" w:ascii="仿宋" w:eastAsia="仿宋"/>
          <w:sz w:val="32"/>
          <w:szCs w:val="32"/>
        </w:rPr>
        <w:t>万元，占</w:t>
      </w:r>
      <w:r>
        <w:rPr>
          <w:rFonts w:ascii="仿宋" w:eastAsia="仿宋"/>
          <w:sz w:val="32"/>
          <w:szCs w:val="32"/>
        </w:rPr>
        <w:t>0%</w:t>
      </w:r>
      <w:r>
        <w:rPr>
          <w:rFonts w:hint="eastAsia" w:ascii="仿宋" w:eastAsia="仿宋"/>
          <w:sz w:val="32"/>
          <w:szCs w:val="32"/>
        </w:rPr>
        <w:t>；其他收入</w:t>
      </w:r>
      <w:r>
        <w:rPr>
          <w:rFonts w:ascii="仿宋" w:eastAsia="仿宋"/>
          <w:sz w:val="32"/>
          <w:szCs w:val="32"/>
        </w:rPr>
        <w:t>0</w:t>
      </w:r>
      <w:r>
        <w:rPr>
          <w:rFonts w:hint="eastAsia" w:ascii="仿宋" w:eastAsia="仿宋"/>
          <w:sz w:val="32"/>
          <w:szCs w:val="32"/>
        </w:rPr>
        <w:t>万元，占</w:t>
      </w:r>
      <w:r>
        <w:rPr>
          <w:rFonts w:ascii="仿宋" w:eastAsia="仿宋"/>
          <w:sz w:val="32"/>
          <w:szCs w:val="32"/>
        </w:rPr>
        <w:t>0%</w:t>
      </w:r>
      <w:r>
        <w:rPr>
          <w:rFonts w:hint="eastAsia" w:ascii="仿宋" w:eastAsia="仿宋"/>
          <w:sz w:val="32"/>
          <w:szCs w:val="32"/>
        </w:rPr>
        <w:t>。</w:t>
      </w:r>
    </w:p>
    <w:p>
      <w:pPr>
        <w:spacing w:line="600" w:lineRule="exact"/>
        <w:ind w:firstLine="640" w:firstLineChars="200"/>
        <w:rPr>
          <w:rFonts w:ascii="仿宋" w:eastAsia="仿宋"/>
          <w:sz w:val="32"/>
          <w:szCs w:val="32"/>
        </w:rPr>
      </w:pPr>
      <w:r>
        <w:rPr>
          <w:rFonts w:hint="eastAsia" w:ascii="仿宋" w:eastAsia="仿宋"/>
          <w:sz w:val="32"/>
          <w:szCs w:val="32"/>
        </w:rPr>
        <w:t>（图</w:t>
      </w:r>
      <w:r>
        <w:rPr>
          <w:rFonts w:ascii="仿宋" w:eastAsia="仿宋"/>
          <w:sz w:val="32"/>
          <w:szCs w:val="32"/>
        </w:rPr>
        <w:t>2</w:t>
      </w:r>
      <w:r>
        <w:rPr>
          <w:rFonts w:hint="eastAsia" w:ascii="仿宋" w:eastAsia="仿宋"/>
          <w:sz w:val="32"/>
          <w:szCs w:val="32"/>
        </w:rPr>
        <w:t>：收入决算结构图）（饼状图）单位：万元</w:t>
      </w:r>
    </w:p>
    <w:p>
      <w:pPr>
        <w:pStyle w:val="2"/>
        <w:spacing w:before="93" w:beforeLines="0"/>
      </w:pPr>
    </w:p>
    <w:p>
      <w:pPr>
        <w:pStyle w:val="2"/>
        <w:spacing w:before="93" w:beforeLines="0"/>
      </w:pPr>
      <w:r>
        <w:drawing>
          <wp:inline distT="0" distB="0" distL="0" distR="0">
            <wp:extent cx="5113020" cy="2746375"/>
            <wp:effectExtent l="0" t="0" r="0" b="0"/>
            <wp:docPr id="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2"/>
        <w:numPr>
          <w:ilvl w:val="0"/>
          <w:numId w:val="2"/>
        </w:numPr>
        <w:spacing w:line="600" w:lineRule="exact"/>
        <w:ind w:firstLineChars="0"/>
        <w:outlineLvl w:val="1"/>
        <w:rPr>
          <w:rStyle w:val="20"/>
          <w:rFonts w:ascii="黑体" w:eastAsia="黑体"/>
          <w:b w:val="0"/>
        </w:rPr>
      </w:pPr>
      <w:bookmarkStart w:id="36" w:name="_Toc15396605"/>
      <w:bookmarkStart w:id="37" w:name="_Toc15377207"/>
      <w:r>
        <w:rPr>
          <w:rFonts w:hint="eastAsia" w:ascii="黑体" w:eastAsia="黑体"/>
          <w:sz w:val="32"/>
          <w:szCs w:val="32"/>
        </w:rPr>
        <w:t>支</w:t>
      </w:r>
      <w:r>
        <w:rPr>
          <w:rStyle w:val="20"/>
          <w:rFonts w:hint="eastAsia" w:ascii="黑体" w:eastAsia="黑体"/>
          <w:b w:val="0"/>
        </w:rPr>
        <w:t>出决算情况说明</w:t>
      </w:r>
      <w:bookmarkEnd w:id="36"/>
      <w:bookmarkEnd w:id="37"/>
    </w:p>
    <w:p>
      <w:pPr>
        <w:spacing w:line="600" w:lineRule="exact"/>
        <w:ind w:firstLine="640" w:firstLineChars="200"/>
        <w:outlineLvl w:val="1"/>
        <w:rPr>
          <w:rFonts w:ascii="仿宋" w:eastAsia="仿宋"/>
          <w:sz w:val="32"/>
          <w:szCs w:val="32"/>
        </w:rPr>
      </w:pPr>
      <w:r>
        <w:rPr>
          <w:rFonts w:ascii="仿宋" w:eastAsia="仿宋"/>
          <w:sz w:val="32"/>
          <w:szCs w:val="32"/>
        </w:rPr>
        <w:t>2021</w:t>
      </w:r>
      <w:r>
        <w:rPr>
          <w:rFonts w:hint="eastAsia" w:ascii="仿宋" w:eastAsia="仿宋"/>
          <w:sz w:val="32"/>
          <w:szCs w:val="32"/>
        </w:rPr>
        <w:t>年本年支出合计</w:t>
      </w:r>
      <w:r>
        <w:rPr>
          <w:rFonts w:ascii="仿宋" w:eastAsia="仿宋"/>
          <w:sz w:val="32"/>
          <w:szCs w:val="32"/>
        </w:rPr>
        <w:t>14276.79</w:t>
      </w:r>
      <w:r>
        <w:rPr>
          <w:rFonts w:hint="eastAsia" w:ascii="仿宋" w:eastAsia="仿宋"/>
          <w:sz w:val="32"/>
          <w:szCs w:val="32"/>
        </w:rPr>
        <w:t>万元，其中：基本支出7649.4万元，占53.58</w:t>
      </w:r>
      <w:r>
        <w:rPr>
          <w:rFonts w:ascii="仿宋" w:eastAsia="仿宋"/>
          <w:sz w:val="32"/>
          <w:szCs w:val="32"/>
        </w:rPr>
        <w:t>%</w:t>
      </w:r>
      <w:r>
        <w:rPr>
          <w:rFonts w:hint="eastAsia" w:ascii="仿宋" w:eastAsia="仿宋"/>
          <w:sz w:val="32"/>
          <w:szCs w:val="32"/>
        </w:rPr>
        <w:t>；项目支出6627.39万元，占46.42</w:t>
      </w:r>
      <w:r>
        <w:rPr>
          <w:rFonts w:ascii="仿宋" w:eastAsia="仿宋"/>
          <w:sz w:val="32"/>
          <w:szCs w:val="32"/>
        </w:rPr>
        <w:t>%</w:t>
      </w:r>
      <w:r>
        <w:rPr>
          <w:rFonts w:hint="eastAsia" w:ascii="仿宋" w:eastAsia="仿宋"/>
          <w:sz w:val="32"/>
          <w:szCs w:val="32"/>
        </w:rPr>
        <w:t>；上缴上级支出0万元，占0</w:t>
      </w:r>
      <w:r>
        <w:rPr>
          <w:rFonts w:ascii="仿宋" w:eastAsia="仿宋"/>
          <w:sz w:val="32"/>
          <w:szCs w:val="32"/>
        </w:rPr>
        <w:t>%</w:t>
      </w:r>
      <w:r>
        <w:rPr>
          <w:rFonts w:hint="eastAsia" w:ascii="仿宋" w:eastAsia="仿宋"/>
          <w:sz w:val="32"/>
          <w:szCs w:val="32"/>
        </w:rPr>
        <w:t>；经营支出0万元，占0</w:t>
      </w:r>
      <w:r>
        <w:rPr>
          <w:rFonts w:ascii="仿宋" w:eastAsia="仿宋"/>
          <w:sz w:val="32"/>
          <w:szCs w:val="32"/>
        </w:rPr>
        <w:t>%</w:t>
      </w:r>
      <w:r>
        <w:rPr>
          <w:rFonts w:hint="eastAsia" w:ascii="仿宋" w:eastAsia="仿宋"/>
          <w:sz w:val="32"/>
          <w:szCs w:val="32"/>
        </w:rPr>
        <w:t>；对附属单位补助支出0万元，占0</w:t>
      </w:r>
      <w:r>
        <w:rPr>
          <w:rFonts w:ascii="仿宋" w:eastAsia="仿宋"/>
          <w:sz w:val="32"/>
          <w:szCs w:val="32"/>
        </w:rPr>
        <w:t>%</w:t>
      </w:r>
      <w:r>
        <w:rPr>
          <w:rFonts w:hint="eastAsia" w:ascii="仿宋" w:eastAsia="仿宋"/>
          <w:sz w:val="32"/>
          <w:szCs w:val="32"/>
        </w:rPr>
        <w:t>。</w:t>
      </w:r>
    </w:p>
    <w:p>
      <w:pPr>
        <w:spacing w:line="600" w:lineRule="exact"/>
        <w:ind w:firstLine="640" w:firstLineChars="200"/>
        <w:rPr>
          <w:rFonts w:ascii="仿宋" w:eastAsia="仿宋"/>
          <w:sz w:val="32"/>
          <w:szCs w:val="32"/>
        </w:rPr>
      </w:pPr>
      <w:r>
        <w:rPr>
          <w:rFonts w:hint="eastAsia" w:ascii="仿宋" w:eastAsia="仿宋"/>
          <w:sz w:val="32"/>
          <w:szCs w:val="32"/>
        </w:rPr>
        <w:t>（图</w:t>
      </w:r>
      <w:r>
        <w:rPr>
          <w:rFonts w:ascii="仿宋" w:eastAsia="仿宋"/>
          <w:sz w:val="32"/>
          <w:szCs w:val="32"/>
        </w:rPr>
        <w:t>3</w:t>
      </w:r>
      <w:r>
        <w:rPr>
          <w:rFonts w:hint="eastAsia" w:ascii="仿宋" w:eastAsia="仿宋"/>
          <w:sz w:val="32"/>
          <w:szCs w:val="32"/>
        </w:rPr>
        <w:t>：支出决算结构图）（饼状图）单位：万元</w:t>
      </w:r>
    </w:p>
    <w:p>
      <w:pPr>
        <w:pStyle w:val="2"/>
        <w:spacing w:before="93" w:beforeLines="0"/>
      </w:pPr>
      <w:r>
        <w:drawing>
          <wp:inline distT="0" distB="0" distL="0" distR="0">
            <wp:extent cx="5075555" cy="2489835"/>
            <wp:effectExtent l="0" t="0" r="0" b="0"/>
            <wp:docPr id="3"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0"/>
          <w:rFonts w:ascii="黑体" w:eastAsia="黑体"/>
          <w:b w:val="0"/>
        </w:rPr>
      </w:pPr>
      <w:bookmarkStart w:id="38" w:name="_Toc15377208"/>
      <w:bookmarkStart w:id="39" w:name="_Toc15396606"/>
      <w:r>
        <w:rPr>
          <w:rFonts w:hint="eastAsia" w:ascii="黑体" w:eastAsia="黑体"/>
          <w:sz w:val="32"/>
          <w:szCs w:val="32"/>
        </w:rPr>
        <w:t>四、财</w:t>
      </w:r>
      <w:r>
        <w:rPr>
          <w:rStyle w:val="20"/>
          <w:rFonts w:hint="eastAsia" w:ascii="黑体" w:eastAsia="黑体"/>
          <w:b w:val="0"/>
        </w:rPr>
        <w:t>政拨款收入支出决算总体情况说明</w:t>
      </w:r>
      <w:bookmarkEnd w:id="38"/>
      <w:bookmarkEnd w:id="39"/>
    </w:p>
    <w:p>
      <w:pPr>
        <w:spacing w:line="600" w:lineRule="exact"/>
        <w:ind w:firstLine="640"/>
        <w:rPr>
          <w:rFonts w:ascii="仿宋" w:eastAsia="仿宋"/>
          <w:sz w:val="32"/>
          <w:szCs w:val="32"/>
        </w:rPr>
      </w:pPr>
      <w:r>
        <w:rPr>
          <w:rFonts w:ascii="仿宋" w:eastAsia="仿宋"/>
          <w:sz w:val="32"/>
          <w:szCs w:val="32"/>
        </w:rPr>
        <w:t>2021</w:t>
      </w:r>
      <w:r>
        <w:rPr>
          <w:rFonts w:hint="eastAsia" w:ascii="仿宋" w:eastAsia="仿宋"/>
          <w:sz w:val="32"/>
          <w:szCs w:val="32"/>
        </w:rPr>
        <w:t>年财政拨款收、支总计14045.93万元。与</w:t>
      </w:r>
      <w:r>
        <w:rPr>
          <w:rFonts w:ascii="仿宋" w:eastAsia="仿宋"/>
          <w:sz w:val="32"/>
          <w:szCs w:val="32"/>
        </w:rPr>
        <w:t>2020</w:t>
      </w:r>
      <w:r>
        <w:rPr>
          <w:rFonts w:hint="eastAsia" w:ascii="仿宋" w:eastAsia="仿宋"/>
          <w:sz w:val="32"/>
          <w:szCs w:val="32"/>
        </w:rPr>
        <w:t>年相比，财政拨款收、支总计各减少6131.9万元，下降30.39</w:t>
      </w:r>
      <w:r>
        <w:rPr>
          <w:rFonts w:ascii="仿宋" w:eastAsia="仿宋"/>
          <w:sz w:val="32"/>
          <w:szCs w:val="32"/>
        </w:rPr>
        <w:t>%</w:t>
      </w:r>
      <w:r>
        <w:rPr>
          <w:rFonts w:hint="eastAsia" w:ascii="仿宋" w:eastAsia="仿宋"/>
          <w:sz w:val="32"/>
          <w:szCs w:val="32"/>
        </w:rPr>
        <w:t>。主要变动原因是一是机关2020年财政拨入火车南站PPP项目经费5000万，2021年</w:t>
      </w:r>
      <w:r>
        <w:rPr>
          <w:rFonts w:ascii="仿宋" w:eastAsia="仿宋"/>
          <w:sz w:val="32"/>
          <w:szCs w:val="32"/>
        </w:rPr>
        <w:t>为</w:t>
      </w:r>
      <w:r>
        <w:rPr>
          <w:rFonts w:hint="eastAsia" w:ascii="仿宋" w:eastAsia="仿宋"/>
          <w:sz w:val="32"/>
          <w:szCs w:val="32"/>
        </w:rPr>
        <w:t>683.83万，二是市房地产事务中心商品房补助费项目拨款减少，市政服务中心项目经费减少。</w:t>
      </w:r>
    </w:p>
    <w:p>
      <w:pPr>
        <w:spacing w:line="600" w:lineRule="exact"/>
        <w:ind w:firstLine="480" w:firstLineChars="150"/>
        <w:rPr>
          <w:rFonts w:ascii="仿宋" w:eastAsia="仿宋"/>
          <w:sz w:val="32"/>
          <w:szCs w:val="32"/>
        </w:rPr>
      </w:pPr>
      <w:r>
        <w:rPr>
          <w:rFonts w:hint="eastAsia" w:ascii="仿宋" w:eastAsia="仿宋"/>
          <w:sz w:val="32"/>
          <w:szCs w:val="32"/>
        </w:rPr>
        <w:t>（图</w:t>
      </w:r>
      <w:r>
        <w:rPr>
          <w:rFonts w:ascii="仿宋" w:eastAsia="仿宋"/>
          <w:sz w:val="32"/>
          <w:szCs w:val="32"/>
        </w:rPr>
        <w:t>4</w:t>
      </w:r>
      <w:r>
        <w:rPr>
          <w:rFonts w:hint="eastAsia" w:ascii="仿宋" w:eastAsia="仿宋"/>
          <w:sz w:val="32"/>
          <w:szCs w:val="32"/>
        </w:rPr>
        <w:t>：财政拨款收、支决算总计变动情况）（柱状图）</w:t>
      </w:r>
      <w:r>
        <w:rPr>
          <w:rFonts w:hint="eastAsia" w:ascii="仿宋" w:eastAsia="仿宋"/>
          <w:color w:val="000000"/>
          <w:sz w:val="30"/>
          <w:szCs w:val="30"/>
        </w:rPr>
        <w:t>单位：万元</w:t>
      </w:r>
    </w:p>
    <w:p>
      <w:pPr>
        <w:pStyle w:val="2"/>
        <w:spacing w:before="93" w:beforeLines="0"/>
      </w:pPr>
    </w:p>
    <w:p>
      <w:pPr>
        <w:pStyle w:val="2"/>
        <w:spacing w:before="93" w:beforeLines="0"/>
      </w:pPr>
      <w:r>
        <w:drawing>
          <wp:inline distT="0" distB="0" distL="0" distR="0">
            <wp:extent cx="5132070" cy="2736850"/>
            <wp:effectExtent l="0" t="0" r="0" b="0"/>
            <wp:docPr id="4"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0"/>
          <w:rFonts w:ascii="黑体" w:eastAsia="黑体"/>
          <w:b w:val="0"/>
        </w:rPr>
      </w:pPr>
      <w:bookmarkStart w:id="40" w:name="_Toc15377209"/>
      <w:bookmarkStart w:id="41" w:name="_Toc15396607"/>
      <w:r>
        <w:rPr>
          <w:rFonts w:hint="eastAsia" w:ascii="黑体" w:eastAsia="黑体"/>
          <w:sz w:val="32"/>
          <w:szCs w:val="32"/>
        </w:rPr>
        <w:t>五、</w:t>
      </w:r>
      <w:r>
        <w:rPr>
          <w:rFonts w:hint="eastAsia" w:ascii="黑体" w:eastAsia="黑体"/>
          <w:b/>
          <w:sz w:val="32"/>
          <w:szCs w:val="32"/>
        </w:rPr>
        <w:t>一</w:t>
      </w:r>
      <w:r>
        <w:rPr>
          <w:rStyle w:val="20"/>
          <w:rFonts w:hint="eastAsia" w:ascii="黑体" w:eastAsia="黑体"/>
          <w:b w:val="0"/>
        </w:rPr>
        <w:t>般公共预算财政拨款支出决算情况说明</w:t>
      </w:r>
      <w:bookmarkEnd w:id="40"/>
      <w:bookmarkEnd w:id="41"/>
    </w:p>
    <w:p>
      <w:pPr>
        <w:spacing w:line="600" w:lineRule="exact"/>
        <w:ind w:firstLine="642" w:firstLineChars="200"/>
        <w:outlineLvl w:val="2"/>
        <w:rPr>
          <w:rFonts w:ascii="仿宋" w:eastAsia="仿宋"/>
          <w:b/>
          <w:sz w:val="32"/>
          <w:szCs w:val="32"/>
        </w:rPr>
      </w:pPr>
      <w:bookmarkStart w:id="42" w:name="_Toc15377210"/>
      <w:r>
        <w:rPr>
          <w:rFonts w:hint="eastAsia" w:ascii="仿宋" w:eastAsia="仿宋"/>
          <w:b/>
          <w:sz w:val="32"/>
          <w:szCs w:val="32"/>
        </w:rPr>
        <w:t>（一）一般公共预算财政拨款支出决算总体情况</w:t>
      </w:r>
      <w:bookmarkEnd w:id="42"/>
    </w:p>
    <w:p>
      <w:pPr>
        <w:spacing w:line="600" w:lineRule="exact"/>
        <w:ind w:firstLine="640" w:firstLineChars="200"/>
        <w:rPr>
          <w:rFonts w:ascii="仿宋" w:eastAsia="仿宋"/>
          <w:sz w:val="32"/>
          <w:szCs w:val="32"/>
        </w:rPr>
      </w:pPr>
      <w:r>
        <w:rPr>
          <w:rFonts w:ascii="仿宋" w:eastAsia="仿宋"/>
          <w:sz w:val="32"/>
          <w:szCs w:val="32"/>
        </w:rPr>
        <w:t>2021</w:t>
      </w:r>
      <w:r>
        <w:rPr>
          <w:rFonts w:hint="eastAsia" w:ascii="仿宋" w:eastAsia="仿宋"/>
          <w:sz w:val="32"/>
          <w:szCs w:val="32"/>
        </w:rPr>
        <w:t>年一般公共预算财政拨款支出</w:t>
      </w:r>
      <w:r>
        <w:rPr>
          <w:rFonts w:ascii="仿宋" w:eastAsia="仿宋"/>
          <w:sz w:val="32"/>
          <w:szCs w:val="32"/>
        </w:rPr>
        <w:t>13045.22</w:t>
      </w:r>
      <w:r>
        <w:rPr>
          <w:rFonts w:hint="eastAsia" w:ascii="仿宋" w:eastAsia="仿宋"/>
          <w:sz w:val="32"/>
          <w:szCs w:val="32"/>
        </w:rPr>
        <w:t>万元，占本年支出合计的</w:t>
      </w:r>
      <w:r>
        <w:rPr>
          <w:rFonts w:ascii="仿宋" w:eastAsia="仿宋"/>
          <w:sz w:val="32"/>
          <w:szCs w:val="32"/>
        </w:rPr>
        <w:t>91.37%</w:t>
      </w:r>
      <w:r>
        <w:rPr>
          <w:rFonts w:hint="eastAsia" w:ascii="仿宋" w:eastAsia="仿宋"/>
          <w:sz w:val="32"/>
          <w:szCs w:val="32"/>
        </w:rPr>
        <w:t>。与</w:t>
      </w:r>
      <w:r>
        <w:rPr>
          <w:rFonts w:ascii="仿宋" w:eastAsia="仿宋"/>
          <w:sz w:val="32"/>
          <w:szCs w:val="32"/>
        </w:rPr>
        <w:t>2020</w:t>
      </w:r>
      <w:r>
        <w:rPr>
          <w:rFonts w:hint="eastAsia" w:ascii="仿宋" w:eastAsia="仿宋"/>
          <w:sz w:val="32"/>
          <w:szCs w:val="32"/>
        </w:rPr>
        <w:t>年相比，一般公共预算财政拨款支出减少</w:t>
      </w:r>
      <w:r>
        <w:rPr>
          <w:rFonts w:ascii="仿宋" w:eastAsia="仿宋"/>
          <w:sz w:val="32"/>
          <w:szCs w:val="32"/>
        </w:rPr>
        <w:t>1206.34</w:t>
      </w:r>
      <w:r>
        <w:rPr>
          <w:rFonts w:hint="eastAsia" w:ascii="仿宋" w:eastAsia="仿宋"/>
          <w:sz w:val="32"/>
          <w:szCs w:val="32"/>
        </w:rPr>
        <w:t>万元，下降</w:t>
      </w:r>
      <w:r>
        <w:rPr>
          <w:rFonts w:ascii="仿宋" w:eastAsia="仿宋"/>
          <w:sz w:val="32"/>
          <w:szCs w:val="32"/>
        </w:rPr>
        <w:t>8.46%</w:t>
      </w:r>
      <w:r>
        <w:rPr>
          <w:rFonts w:hint="eastAsia" w:ascii="仿宋" w:eastAsia="仿宋"/>
          <w:sz w:val="32"/>
          <w:szCs w:val="32"/>
        </w:rPr>
        <w:t>。主要变动原因一是机关2020年财政拨入火车南站PPP项目经费5000万，2021年</w:t>
      </w:r>
      <w:r>
        <w:rPr>
          <w:rFonts w:ascii="仿宋" w:eastAsia="仿宋"/>
          <w:sz w:val="32"/>
          <w:szCs w:val="32"/>
        </w:rPr>
        <w:t>为</w:t>
      </w:r>
      <w:r>
        <w:rPr>
          <w:rFonts w:hint="eastAsia" w:ascii="仿宋" w:eastAsia="仿宋"/>
          <w:sz w:val="32"/>
          <w:szCs w:val="32"/>
        </w:rPr>
        <w:t>683.83万，二是市房地产事务中心和市政服务中心一般公共预算财政拨款支出增加3300万，市政服务中心项目支出中的路灯电费及维修维护材料费（含监控系统运行费）等项目上年在政府性基金中核算，本年在一般公共预算中核算，增减因素综合后支出减少1000万。</w:t>
      </w:r>
    </w:p>
    <w:p>
      <w:pPr>
        <w:spacing w:line="600" w:lineRule="exact"/>
        <w:ind w:firstLine="640" w:firstLineChars="200"/>
        <w:rPr>
          <w:rFonts w:ascii="仿宋" w:eastAsia="仿宋"/>
          <w:sz w:val="32"/>
          <w:szCs w:val="32"/>
        </w:rPr>
      </w:pPr>
      <w:r>
        <w:rPr>
          <w:rFonts w:hint="eastAsia" w:ascii="仿宋" w:eastAsia="仿宋"/>
          <w:sz w:val="32"/>
          <w:szCs w:val="32"/>
        </w:rPr>
        <w:t>（图</w:t>
      </w:r>
      <w:r>
        <w:rPr>
          <w:rFonts w:ascii="仿宋" w:eastAsia="仿宋"/>
          <w:sz w:val="32"/>
          <w:szCs w:val="32"/>
        </w:rPr>
        <w:t>5</w:t>
      </w:r>
      <w:r>
        <w:rPr>
          <w:rFonts w:hint="eastAsia" w:ascii="仿宋" w:eastAsia="仿宋"/>
          <w:sz w:val="32"/>
          <w:szCs w:val="32"/>
        </w:rPr>
        <w:t>：一般公共预算财政拨款支出决算变动情况）（柱状图）</w:t>
      </w:r>
      <w:r>
        <w:rPr>
          <w:rFonts w:hint="eastAsia" w:ascii="仿宋" w:eastAsia="仿宋"/>
          <w:color w:val="000000"/>
          <w:sz w:val="30"/>
          <w:szCs w:val="30"/>
        </w:rPr>
        <w:t>单位：万元</w:t>
      </w:r>
    </w:p>
    <w:p>
      <w:pPr>
        <w:spacing w:line="600" w:lineRule="exact"/>
        <w:ind w:firstLine="640" w:firstLineChars="200"/>
        <w:rPr>
          <w:rFonts w:ascii="仿宋" w:eastAsia="仿宋"/>
          <w:sz w:val="32"/>
          <w:szCs w:val="32"/>
        </w:rPr>
      </w:pPr>
    </w:p>
    <w:p>
      <w:pPr>
        <w:pStyle w:val="2"/>
        <w:spacing w:before="93" w:beforeLines="0"/>
      </w:pPr>
      <w:r>
        <w:drawing>
          <wp:inline distT="0" distB="0" distL="0" distR="0">
            <wp:extent cx="5037455" cy="2746375"/>
            <wp:effectExtent l="0" t="0" r="0" b="0"/>
            <wp:docPr id="5"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2" w:firstLineChars="200"/>
        <w:outlineLvl w:val="2"/>
        <w:rPr>
          <w:rFonts w:ascii="仿宋" w:eastAsia="仿宋"/>
          <w:b/>
          <w:sz w:val="32"/>
          <w:szCs w:val="32"/>
        </w:rPr>
      </w:pPr>
      <w:bookmarkStart w:id="43" w:name="_Toc15377211"/>
      <w:r>
        <w:rPr>
          <w:rFonts w:hint="eastAsia" w:ascii="仿宋" w:eastAsia="仿宋"/>
          <w:b/>
          <w:sz w:val="32"/>
          <w:szCs w:val="32"/>
        </w:rPr>
        <w:t>（二）一般公共预算财政拨款支出决算结构情况</w:t>
      </w:r>
      <w:bookmarkEnd w:id="43"/>
    </w:p>
    <w:p>
      <w:pPr>
        <w:spacing w:line="600" w:lineRule="exact"/>
        <w:ind w:firstLine="640"/>
        <w:rPr>
          <w:rFonts w:ascii="仿宋" w:eastAsia="仿宋"/>
          <w:sz w:val="32"/>
          <w:szCs w:val="32"/>
        </w:rPr>
      </w:pPr>
      <w:r>
        <w:rPr>
          <w:rFonts w:ascii="仿宋" w:eastAsia="仿宋"/>
          <w:sz w:val="32"/>
          <w:szCs w:val="32"/>
        </w:rPr>
        <w:t>2021</w:t>
      </w:r>
      <w:r>
        <w:rPr>
          <w:rFonts w:hint="eastAsia" w:ascii="仿宋" w:eastAsia="仿宋"/>
          <w:sz w:val="32"/>
          <w:szCs w:val="32"/>
        </w:rPr>
        <w:t>年一般公共预算财政拨款支出</w:t>
      </w:r>
      <w:r>
        <w:rPr>
          <w:rFonts w:ascii="仿宋" w:eastAsia="仿宋"/>
          <w:sz w:val="32"/>
          <w:szCs w:val="32"/>
        </w:rPr>
        <w:t>13045.22</w:t>
      </w:r>
      <w:r>
        <w:rPr>
          <w:rFonts w:hint="eastAsia" w:ascii="仿宋" w:eastAsia="仿宋"/>
          <w:sz w:val="32"/>
          <w:szCs w:val="32"/>
        </w:rPr>
        <w:t>万元，主要用于以下方面</w:t>
      </w:r>
      <w:r>
        <w:rPr>
          <w:rFonts w:ascii="仿宋" w:eastAsia="仿宋"/>
          <w:sz w:val="32"/>
          <w:szCs w:val="32"/>
        </w:rPr>
        <w:t>:</w:t>
      </w:r>
      <w:r>
        <w:rPr>
          <w:rFonts w:hint="eastAsia" w:ascii="仿宋" w:eastAsia="仿宋"/>
          <w:b/>
          <w:sz w:val="32"/>
          <w:szCs w:val="32"/>
        </w:rPr>
        <w:t>一般公共服务（类）</w:t>
      </w:r>
      <w:r>
        <w:rPr>
          <w:rFonts w:hint="eastAsia" w:ascii="仿宋" w:eastAsia="仿宋"/>
          <w:sz w:val="32"/>
          <w:szCs w:val="32"/>
        </w:rPr>
        <w:t>支出</w:t>
      </w:r>
      <w:r>
        <w:rPr>
          <w:rFonts w:ascii="仿宋" w:eastAsia="仿宋"/>
          <w:sz w:val="32"/>
          <w:szCs w:val="32"/>
        </w:rPr>
        <w:t>31.77</w:t>
      </w:r>
      <w:r>
        <w:rPr>
          <w:rFonts w:hint="eastAsia" w:ascii="仿宋" w:eastAsia="仿宋"/>
          <w:sz w:val="32"/>
          <w:szCs w:val="32"/>
        </w:rPr>
        <w:t>万元，占</w:t>
      </w:r>
      <w:r>
        <w:rPr>
          <w:rFonts w:ascii="仿宋" w:eastAsia="仿宋"/>
          <w:sz w:val="32"/>
          <w:szCs w:val="32"/>
        </w:rPr>
        <w:t>0.24%</w:t>
      </w:r>
      <w:r>
        <w:rPr>
          <w:rFonts w:hint="eastAsia" w:ascii="仿宋" w:eastAsia="仿宋"/>
          <w:sz w:val="32"/>
          <w:szCs w:val="32"/>
        </w:rPr>
        <w:t>；</w:t>
      </w:r>
      <w:r>
        <w:rPr>
          <w:rFonts w:hint="eastAsia" w:ascii="仿宋" w:eastAsia="仿宋"/>
          <w:b/>
          <w:sz w:val="32"/>
          <w:szCs w:val="32"/>
        </w:rPr>
        <w:t>教育支出（类）</w:t>
      </w:r>
      <w:r>
        <w:rPr>
          <w:rFonts w:ascii="仿宋" w:eastAsia="仿宋"/>
          <w:sz w:val="32"/>
          <w:szCs w:val="32"/>
        </w:rPr>
        <w:t>0</w:t>
      </w:r>
      <w:r>
        <w:rPr>
          <w:rFonts w:hint="eastAsia" w:ascii="仿宋" w:eastAsia="仿宋"/>
          <w:sz w:val="32"/>
          <w:szCs w:val="32"/>
        </w:rPr>
        <w:t>万元，占</w:t>
      </w:r>
      <w:r>
        <w:rPr>
          <w:rFonts w:ascii="仿宋" w:eastAsia="仿宋"/>
          <w:sz w:val="32"/>
          <w:szCs w:val="32"/>
        </w:rPr>
        <w:t>0%</w:t>
      </w:r>
      <w:r>
        <w:rPr>
          <w:rFonts w:hint="eastAsia" w:ascii="仿宋" w:eastAsia="仿宋"/>
          <w:sz w:val="32"/>
          <w:szCs w:val="32"/>
        </w:rPr>
        <w:t>；</w:t>
      </w:r>
      <w:r>
        <w:rPr>
          <w:rFonts w:hint="eastAsia" w:ascii="仿宋" w:eastAsia="仿宋"/>
          <w:b/>
          <w:sz w:val="32"/>
          <w:szCs w:val="32"/>
        </w:rPr>
        <w:t>科学技术（类）</w:t>
      </w:r>
      <w:r>
        <w:rPr>
          <w:rFonts w:hint="eastAsia" w:ascii="仿宋" w:eastAsia="仿宋"/>
          <w:sz w:val="32"/>
          <w:szCs w:val="32"/>
        </w:rPr>
        <w:t>支出</w:t>
      </w:r>
      <w:r>
        <w:rPr>
          <w:rFonts w:ascii="仿宋" w:eastAsia="仿宋"/>
          <w:sz w:val="32"/>
          <w:szCs w:val="32"/>
        </w:rPr>
        <w:t>0</w:t>
      </w:r>
      <w:r>
        <w:rPr>
          <w:rFonts w:hint="eastAsia" w:ascii="仿宋" w:eastAsia="仿宋"/>
          <w:sz w:val="32"/>
          <w:szCs w:val="32"/>
        </w:rPr>
        <w:t>万元，占</w:t>
      </w:r>
      <w:r>
        <w:rPr>
          <w:rFonts w:ascii="仿宋" w:eastAsia="仿宋"/>
          <w:sz w:val="32"/>
          <w:szCs w:val="32"/>
        </w:rPr>
        <w:t>0%</w:t>
      </w:r>
      <w:r>
        <w:rPr>
          <w:rFonts w:hint="eastAsia" w:ascii="仿宋" w:eastAsia="仿宋"/>
          <w:sz w:val="32"/>
          <w:szCs w:val="32"/>
        </w:rPr>
        <w:t>；</w:t>
      </w:r>
      <w:r>
        <w:rPr>
          <w:rFonts w:hint="eastAsia" w:ascii="仿宋" w:eastAsia="仿宋"/>
          <w:b/>
          <w:bCs/>
          <w:sz w:val="32"/>
          <w:szCs w:val="32"/>
        </w:rPr>
        <w:t>文化旅游体育与传媒（类）支出</w:t>
      </w:r>
      <w:r>
        <w:rPr>
          <w:rFonts w:ascii="仿宋" w:eastAsia="仿宋"/>
          <w:b/>
          <w:bCs/>
          <w:sz w:val="32"/>
          <w:szCs w:val="32"/>
        </w:rPr>
        <w:t>0</w:t>
      </w:r>
      <w:r>
        <w:rPr>
          <w:rFonts w:hint="eastAsia" w:ascii="仿宋" w:eastAsia="仿宋"/>
          <w:b/>
          <w:bCs/>
          <w:sz w:val="32"/>
          <w:szCs w:val="32"/>
        </w:rPr>
        <w:t>万元，占</w:t>
      </w:r>
      <w:r>
        <w:rPr>
          <w:rFonts w:ascii="仿宋" w:eastAsia="仿宋"/>
          <w:b/>
          <w:bCs/>
          <w:sz w:val="32"/>
          <w:szCs w:val="32"/>
        </w:rPr>
        <w:t>0%</w:t>
      </w:r>
      <w:r>
        <w:rPr>
          <w:rFonts w:hint="eastAsia" w:ascii="仿宋" w:eastAsia="仿宋"/>
          <w:sz w:val="32"/>
          <w:szCs w:val="32"/>
        </w:rPr>
        <w:t>；</w:t>
      </w:r>
      <w:r>
        <w:rPr>
          <w:rFonts w:hint="eastAsia" w:ascii="仿宋" w:eastAsia="仿宋"/>
          <w:b/>
          <w:sz w:val="32"/>
          <w:szCs w:val="32"/>
        </w:rPr>
        <w:t>社会保障和就业（类）</w:t>
      </w:r>
      <w:r>
        <w:rPr>
          <w:rFonts w:hint="eastAsia" w:ascii="仿宋" w:eastAsia="仿宋"/>
          <w:sz w:val="32"/>
          <w:szCs w:val="32"/>
        </w:rPr>
        <w:t>支出</w:t>
      </w:r>
      <w:r>
        <w:rPr>
          <w:rFonts w:ascii="仿宋" w:eastAsia="仿宋"/>
          <w:sz w:val="32"/>
          <w:szCs w:val="32"/>
        </w:rPr>
        <w:t>1689.41</w:t>
      </w:r>
      <w:r>
        <w:rPr>
          <w:rFonts w:hint="eastAsia" w:ascii="仿宋" w:eastAsia="仿宋"/>
          <w:sz w:val="32"/>
          <w:szCs w:val="32"/>
        </w:rPr>
        <w:t>万元，占</w:t>
      </w:r>
      <w:r>
        <w:rPr>
          <w:rFonts w:ascii="仿宋" w:eastAsia="仿宋"/>
          <w:sz w:val="32"/>
          <w:szCs w:val="32"/>
        </w:rPr>
        <w:t>12.95%</w:t>
      </w:r>
      <w:r>
        <w:rPr>
          <w:rFonts w:hint="eastAsia" w:ascii="仿宋" w:eastAsia="仿宋"/>
          <w:sz w:val="32"/>
          <w:szCs w:val="32"/>
        </w:rPr>
        <w:t>；</w:t>
      </w:r>
      <w:r>
        <w:rPr>
          <w:rFonts w:hint="eastAsia" w:ascii="仿宋" w:eastAsia="仿宋"/>
          <w:b/>
          <w:bCs/>
          <w:sz w:val="32"/>
          <w:szCs w:val="32"/>
        </w:rPr>
        <w:t>卫生健康支出</w:t>
      </w:r>
      <w:r>
        <w:rPr>
          <w:rFonts w:hint="eastAsia" w:ascii="仿宋" w:eastAsia="仿宋"/>
          <w:b/>
          <w:sz w:val="32"/>
          <w:szCs w:val="32"/>
        </w:rPr>
        <w:t>（类）</w:t>
      </w:r>
      <w:r>
        <w:rPr>
          <w:rFonts w:ascii="仿宋" w:eastAsia="仿宋"/>
          <w:sz w:val="32"/>
          <w:szCs w:val="32"/>
        </w:rPr>
        <w:t>0</w:t>
      </w:r>
      <w:r>
        <w:rPr>
          <w:rFonts w:hint="eastAsia" w:ascii="仿宋" w:eastAsia="仿宋"/>
          <w:sz w:val="32"/>
          <w:szCs w:val="32"/>
        </w:rPr>
        <w:t>万元，占</w:t>
      </w:r>
      <w:r>
        <w:rPr>
          <w:rFonts w:ascii="仿宋" w:eastAsia="仿宋"/>
          <w:sz w:val="32"/>
          <w:szCs w:val="32"/>
        </w:rPr>
        <w:t>0%</w:t>
      </w:r>
      <w:r>
        <w:rPr>
          <w:rFonts w:hint="eastAsia" w:ascii="仿宋" w:eastAsia="仿宋"/>
          <w:sz w:val="32"/>
          <w:szCs w:val="32"/>
        </w:rPr>
        <w:t>；</w:t>
      </w:r>
      <w:r>
        <w:rPr>
          <w:rFonts w:hint="eastAsia" w:ascii="仿宋" w:eastAsia="仿宋"/>
          <w:b/>
          <w:sz w:val="32"/>
          <w:szCs w:val="32"/>
        </w:rPr>
        <w:t>住房保障支出（类）</w:t>
      </w:r>
      <w:r>
        <w:rPr>
          <w:rFonts w:ascii="仿宋" w:eastAsia="仿宋"/>
          <w:sz w:val="32"/>
          <w:szCs w:val="32"/>
        </w:rPr>
        <w:t>461.46</w:t>
      </w:r>
      <w:r>
        <w:rPr>
          <w:rFonts w:hint="eastAsia" w:ascii="仿宋" w:eastAsia="仿宋"/>
          <w:sz w:val="32"/>
          <w:szCs w:val="32"/>
        </w:rPr>
        <w:t>万元，占</w:t>
      </w:r>
      <w:r>
        <w:rPr>
          <w:rFonts w:ascii="仿宋" w:eastAsia="仿宋"/>
          <w:sz w:val="32"/>
          <w:szCs w:val="32"/>
        </w:rPr>
        <w:t>3.54%</w:t>
      </w:r>
      <w:r>
        <w:rPr>
          <w:rFonts w:hint="eastAsia" w:ascii="仿宋" w:eastAsia="仿宋"/>
          <w:sz w:val="32"/>
          <w:szCs w:val="32"/>
        </w:rPr>
        <w:t>；</w:t>
      </w:r>
      <w:r>
        <w:rPr>
          <w:rFonts w:hint="eastAsia" w:ascii="仿宋" w:eastAsia="仿宋"/>
          <w:b/>
          <w:sz w:val="32"/>
          <w:szCs w:val="32"/>
        </w:rPr>
        <w:t>城乡社区支出（类）</w:t>
      </w:r>
      <w:r>
        <w:rPr>
          <w:rFonts w:ascii="仿宋" w:eastAsia="仿宋"/>
          <w:sz w:val="32"/>
          <w:szCs w:val="32"/>
        </w:rPr>
        <w:t>10812.59</w:t>
      </w:r>
      <w:r>
        <w:rPr>
          <w:rFonts w:hint="eastAsia" w:ascii="仿宋" w:eastAsia="仿宋"/>
          <w:sz w:val="32"/>
          <w:szCs w:val="32"/>
        </w:rPr>
        <w:t>，占</w:t>
      </w:r>
      <w:r>
        <w:rPr>
          <w:rFonts w:ascii="仿宋" w:eastAsia="仿宋"/>
          <w:sz w:val="32"/>
          <w:szCs w:val="32"/>
        </w:rPr>
        <w:t>82.89%</w:t>
      </w:r>
      <w:r>
        <w:rPr>
          <w:rFonts w:hint="eastAsia" w:ascii="仿宋" w:eastAsia="仿宋"/>
          <w:sz w:val="32"/>
          <w:szCs w:val="32"/>
        </w:rPr>
        <w:t>；</w:t>
      </w:r>
      <w:r>
        <w:rPr>
          <w:rFonts w:ascii="仿宋" w:eastAsia="仿宋"/>
          <w:sz w:val="32"/>
          <w:szCs w:val="32"/>
        </w:rPr>
        <w:t>;</w:t>
      </w:r>
      <w:r>
        <w:t xml:space="preserve"> </w:t>
      </w:r>
      <w:r>
        <w:rPr>
          <w:rFonts w:hint="eastAsia" w:ascii="仿宋_GB2312" w:eastAsia="仿宋_GB2312"/>
          <w:b/>
          <w:sz w:val="32"/>
          <w:szCs w:val="32"/>
        </w:rPr>
        <w:t>其他支出</w:t>
      </w:r>
      <w:r>
        <w:rPr>
          <w:rFonts w:hint="eastAsia" w:ascii="仿宋" w:eastAsia="仿宋"/>
          <w:b/>
          <w:sz w:val="32"/>
          <w:szCs w:val="32"/>
        </w:rPr>
        <w:t>（类）</w:t>
      </w:r>
      <w:r>
        <w:rPr>
          <w:rFonts w:ascii="仿宋" w:eastAsia="仿宋"/>
          <w:sz w:val="32"/>
          <w:szCs w:val="32"/>
        </w:rPr>
        <w:t>50</w:t>
      </w:r>
      <w:r>
        <w:rPr>
          <w:rFonts w:hint="eastAsia" w:ascii="仿宋" w:eastAsia="仿宋"/>
          <w:sz w:val="32"/>
          <w:szCs w:val="32"/>
        </w:rPr>
        <w:t>万元，占</w:t>
      </w:r>
      <w:r>
        <w:rPr>
          <w:rFonts w:ascii="仿宋" w:eastAsia="仿宋"/>
          <w:sz w:val="32"/>
          <w:szCs w:val="32"/>
        </w:rPr>
        <w:t>0.38%</w:t>
      </w:r>
      <w:r>
        <w:rPr>
          <w:rFonts w:hint="eastAsia" w:ascii="仿宋" w:eastAsia="仿宋"/>
          <w:sz w:val="32"/>
          <w:szCs w:val="32"/>
        </w:rPr>
        <w:t>。</w:t>
      </w:r>
    </w:p>
    <w:p>
      <w:pPr>
        <w:spacing w:line="600" w:lineRule="exact"/>
        <w:ind w:firstLine="640" w:firstLineChars="200"/>
        <w:rPr>
          <w:rFonts w:ascii="仿宋" w:eastAsia="仿宋"/>
          <w:sz w:val="32"/>
          <w:szCs w:val="32"/>
        </w:rPr>
      </w:pPr>
      <w:r>
        <w:rPr>
          <w:rFonts w:hint="eastAsia" w:ascii="仿宋" w:eastAsia="仿宋"/>
          <w:sz w:val="32"/>
          <w:szCs w:val="32"/>
        </w:rPr>
        <w:t>（图</w:t>
      </w:r>
      <w:r>
        <w:rPr>
          <w:rFonts w:ascii="仿宋" w:eastAsia="仿宋"/>
          <w:sz w:val="32"/>
          <w:szCs w:val="32"/>
        </w:rPr>
        <w:t>6</w:t>
      </w:r>
      <w:r>
        <w:rPr>
          <w:rFonts w:hint="eastAsia" w:ascii="仿宋" w:eastAsia="仿宋"/>
          <w:sz w:val="32"/>
          <w:szCs w:val="32"/>
        </w:rPr>
        <w:t>：一般公共预算财政拨款支出决算结构）（饼状图）</w:t>
      </w:r>
      <w:r>
        <w:rPr>
          <w:rFonts w:hint="eastAsia" w:ascii="仿宋" w:eastAsia="仿宋"/>
          <w:color w:val="000000"/>
          <w:sz w:val="30"/>
          <w:szCs w:val="30"/>
        </w:rPr>
        <w:t>单位：万元</w:t>
      </w:r>
    </w:p>
    <w:p>
      <w:pPr>
        <w:pStyle w:val="2"/>
        <w:spacing w:before="93" w:beforeLines="0"/>
      </w:pPr>
    </w:p>
    <w:p>
      <w:pPr>
        <w:pStyle w:val="2"/>
        <w:spacing w:before="93" w:beforeLines="0"/>
      </w:pPr>
      <w:r>
        <w:drawing>
          <wp:inline distT="0" distB="0" distL="0" distR="0">
            <wp:extent cx="5141595" cy="2746375"/>
            <wp:effectExtent l="0" t="0" r="0" b="0"/>
            <wp:docPr id="6"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2" w:firstLineChars="200"/>
        <w:outlineLvl w:val="2"/>
        <w:rPr>
          <w:rFonts w:ascii="仿宋" w:eastAsia="仿宋"/>
          <w:b/>
          <w:sz w:val="32"/>
          <w:szCs w:val="32"/>
        </w:rPr>
      </w:pPr>
      <w:bookmarkStart w:id="44" w:name="_Toc15377212"/>
      <w:r>
        <w:rPr>
          <w:rFonts w:hint="eastAsia" w:ascii="仿宋" w:eastAsia="仿宋"/>
          <w:b/>
          <w:sz w:val="32"/>
          <w:szCs w:val="32"/>
        </w:rPr>
        <w:t>（三）一般公共预算财政拨款支出决算具体情况</w:t>
      </w:r>
      <w:bookmarkEnd w:id="44"/>
    </w:p>
    <w:p>
      <w:pPr>
        <w:spacing w:line="600" w:lineRule="exact"/>
        <w:ind w:firstLine="642" w:firstLineChars="200"/>
        <w:outlineLvl w:val="2"/>
        <w:rPr>
          <w:rFonts w:ascii="仿宋" w:eastAsia="仿宋"/>
          <w:b/>
          <w:bCs/>
          <w:sz w:val="32"/>
          <w:szCs w:val="32"/>
        </w:rPr>
      </w:pPr>
      <w:bookmarkStart w:id="45" w:name="_Toc15377444"/>
      <w:bookmarkStart w:id="46" w:name="_Toc15378460"/>
      <w:bookmarkStart w:id="47" w:name="_Toc15377213"/>
      <w:r>
        <w:rPr>
          <w:rFonts w:ascii="仿宋" w:eastAsia="仿宋"/>
          <w:b/>
          <w:sz w:val="32"/>
          <w:szCs w:val="32"/>
        </w:rPr>
        <w:t>2021</w:t>
      </w:r>
      <w:r>
        <w:rPr>
          <w:rFonts w:hint="eastAsia" w:ascii="仿宋" w:eastAsia="仿宋"/>
          <w:b/>
          <w:sz w:val="32"/>
          <w:szCs w:val="32"/>
        </w:rPr>
        <w:t>年一般公共预算支出决算数为</w:t>
      </w:r>
      <w:r>
        <w:rPr>
          <w:rFonts w:ascii="仿宋" w:eastAsia="仿宋"/>
          <w:sz w:val="32"/>
          <w:szCs w:val="32"/>
        </w:rPr>
        <w:t>13045.22</w:t>
      </w:r>
      <w:r>
        <w:rPr>
          <w:rFonts w:hint="eastAsia" w:ascii="仿宋" w:eastAsia="仿宋"/>
          <w:sz w:val="32"/>
          <w:szCs w:val="32"/>
        </w:rPr>
        <w:t>万元，</w:t>
      </w:r>
      <w:r>
        <w:rPr>
          <w:rStyle w:val="17"/>
          <w:rFonts w:hint="eastAsia" w:ascii="仿宋" w:eastAsia="仿宋"/>
          <w:bCs/>
          <w:sz w:val="32"/>
          <w:szCs w:val="32"/>
        </w:rPr>
        <w:t>完成预算100</w:t>
      </w:r>
      <w:r>
        <w:rPr>
          <w:rStyle w:val="17"/>
          <w:rFonts w:ascii="仿宋" w:eastAsia="仿宋"/>
          <w:bCs/>
          <w:sz w:val="32"/>
          <w:szCs w:val="32"/>
        </w:rPr>
        <w:t>%</w:t>
      </w:r>
      <w:r>
        <w:rPr>
          <w:rStyle w:val="17"/>
          <w:rFonts w:hint="eastAsia" w:ascii="仿宋" w:eastAsia="仿宋"/>
          <w:bCs/>
          <w:sz w:val="32"/>
          <w:szCs w:val="32"/>
        </w:rPr>
        <w:t>。其中：</w:t>
      </w:r>
      <w:bookmarkEnd w:id="45"/>
      <w:bookmarkEnd w:id="46"/>
      <w:bookmarkEnd w:id="47"/>
    </w:p>
    <w:p>
      <w:pPr>
        <w:spacing w:line="600" w:lineRule="exact"/>
        <w:ind w:firstLine="642" w:firstLineChars="200"/>
        <w:rPr>
          <w:rStyle w:val="17"/>
          <w:rFonts w:ascii="仿宋" w:eastAsia="仿宋"/>
          <w:bCs/>
          <w:sz w:val="32"/>
          <w:szCs w:val="32"/>
        </w:rPr>
      </w:pPr>
      <w:r>
        <w:rPr>
          <w:rStyle w:val="17"/>
          <w:rFonts w:ascii="仿宋" w:eastAsia="仿宋"/>
          <w:bCs/>
          <w:sz w:val="32"/>
          <w:szCs w:val="32"/>
        </w:rPr>
        <w:t>1.</w:t>
      </w:r>
      <w:r>
        <w:rPr>
          <w:rStyle w:val="17"/>
          <w:rFonts w:hint="eastAsia" w:ascii="仿宋" w:eastAsia="仿宋"/>
          <w:bCs/>
          <w:sz w:val="32"/>
          <w:szCs w:val="32"/>
        </w:rPr>
        <w:t>一般公共服务</w:t>
      </w:r>
      <w:r>
        <w:rPr>
          <w:rStyle w:val="17"/>
          <w:rFonts w:ascii="仿宋" w:eastAsia="仿宋"/>
          <w:bCs/>
          <w:sz w:val="32"/>
          <w:szCs w:val="32"/>
        </w:rPr>
        <w:t>201</w:t>
      </w:r>
      <w:r>
        <w:rPr>
          <w:rStyle w:val="17"/>
          <w:rFonts w:hint="eastAsia" w:ascii="仿宋" w:eastAsia="仿宋"/>
          <w:bCs/>
          <w:sz w:val="32"/>
          <w:szCs w:val="32"/>
        </w:rPr>
        <w:t>（类）</w:t>
      </w:r>
    </w:p>
    <w:p>
      <w:pPr>
        <w:spacing w:line="600" w:lineRule="exact"/>
        <w:ind w:firstLine="642" w:firstLineChars="200"/>
        <w:rPr>
          <w:rStyle w:val="17"/>
          <w:rFonts w:ascii="仿宋" w:eastAsia="仿宋"/>
          <w:b w:val="0"/>
          <w:bCs/>
          <w:sz w:val="32"/>
          <w:szCs w:val="32"/>
        </w:rPr>
      </w:pPr>
      <w:r>
        <w:rPr>
          <w:rStyle w:val="17"/>
          <w:rFonts w:hint="eastAsia" w:ascii="仿宋" w:eastAsia="仿宋"/>
          <w:bCs/>
          <w:sz w:val="32"/>
          <w:szCs w:val="32"/>
        </w:rPr>
        <w:t>商贸事务</w:t>
      </w:r>
      <w:r>
        <w:rPr>
          <w:rStyle w:val="17"/>
          <w:rFonts w:ascii="仿宋" w:eastAsia="仿宋"/>
          <w:bCs/>
          <w:sz w:val="32"/>
          <w:szCs w:val="32"/>
        </w:rPr>
        <w:t>13</w:t>
      </w:r>
      <w:r>
        <w:rPr>
          <w:rStyle w:val="17"/>
          <w:rFonts w:hint="eastAsia" w:ascii="仿宋" w:eastAsia="仿宋"/>
          <w:bCs/>
          <w:sz w:val="32"/>
          <w:szCs w:val="32"/>
        </w:rPr>
        <w:t>（款）招商引资</w:t>
      </w:r>
      <w:r>
        <w:rPr>
          <w:rStyle w:val="17"/>
          <w:rFonts w:ascii="仿宋" w:eastAsia="仿宋"/>
          <w:bCs/>
          <w:sz w:val="32"/>
          <w:szCs w:val="32"/>
        </w:rPr>
        <w:t>08</w:t>
      </w:r>
      <w:r>
        <w:rPr>
          <w:rStyle w:val="17"/>
          <w:rFonts w:hint="eastAsia" w:ascii="仿宋" w:eastAsia="仿宋"/>
          <w:bCs/>
          <w:sz w:val="32"/>
          <w:szCs w:val="32"/>
        </w:rPr>
        <w:t>（项）</w:t>
      </w:r>
      <w:r>
        <w:rPr>
          <w:rStyle w:val="17"/>
          <w:rFonts w:ascii="仿宋" w:eastAsia="仿宋"/>
          <w:bCs/>
          <w:sz w:val="32"/>
          <w:szCs w:val="32"/>
        </w:rPr>
        <w:t>:</w:t>
      </w:r>
      <w:r>
        <w:rPr>
          <w:rStyle w:val="17"/>
          <w:rFonts w:hint="eastAsia" w:ascii="仿宋" w:eastAsia="仿宋"/>
          <w:b w:val="0"/>
          <w:bCs/>
          <w:sz w:val="32"/>
          <w:szCs w:val="32"/>
        </w:rPr>
        <w:t>支出决算为</w:t>
      </w:r>
      <w:r>
        <w:rPr>
          <w:rStyle w:val="17"/>
          <w:rFonts w:ascii="仿宋" w:eastAsia="仿宋"/>
          <w:b w:val="0"/>
          <w:bCs/>
          <w:sz w:val="32"/>
          <w:szCs w:val="32"/>
        </w:rPr>
        <w:t>16.31</w:t>
      </w:r>
      <w:r>
        <w:rPr>
          <w:rStyle w:val="17"/>
          <w:rFonts w:hint="eastAsia" w:ascii="仿宋" w:eastAsia="仿宋"/>
          <w:b w:val="0"/>
          <w:bCs/>
          <w:sz w:val="32"/>
          <w:szCs w:val="32"/>
        </w:rPr>
        <w:t>万元，完成预算100</w:t>
      </w:r>
      <w:r>
        <w:rPr>
          <w:rStyle w:val="17"/>
          <w:rFonts w:ascii="仿宋" w:eastAsia="仿宋"/>
          <w:b w:val="0"/>
          <w:bCs/>
          <w:sz w:val="32"/>
          <w:szCs w:val="32"/>
        </w:rPr>
        <w:t>%</w:t>
      </w:r>
      <w:r>
        <w:rPr>
          <w:rStyle w:val="17"/>
          <w:rFonts w:hint="eastAsia" w:ascii="仿宋" w:eastAsia="仿宋"/>
          <w:b w:val="0"/>
          <w:bCs/>
          <w:sz w:val="32"/>
          <w:szCs w:val="32"/>
        </w:rPr>
        <w:t>。</w:t>
      </w:r>
    </w:p>
    <w:p>
      <w:pPr>
        <w:spacing w:line="600" w:lineRule="exact"/>
        <w:ind w:firstLine="642" w:firstLineChars="200"/>
        <w:rPr>
          <w:rFonts w:ascii="仿宋" w:eastAsia="仿宋"/>
          <w:bCs/>
          <w:sz w:val="32"/>
          <w:szCs w:val="32"/>
        </w:rPr>
      </w:pPr>
      <w:r>
        <w:rPr>
          <w:rStyle w:val="17"/>
          <w:rFonts w:hint="eastAsia" w:ascii="仿宋" w:eastAsia="仿宋"/>
          <w:bCs/>
          <w:sz w:val="32"/>
          <w:szCs w:val="32"/>
        </w:rPr>
        <w:t>组织事务32（款）其他组织事务支出99（项）</w:t>
      </w:r>
      <w:r>
        <w:rPr>
          <w:rStyle w:val="17"/>
          <w:rFonts w:ascii="仿宋" w:eastAsia="仿宋"/>
          <w:bCs/>
          <w:sz w:val="32"/>
          <w:szCs w:val="32"/>
        </w:rPr>
        <w:t>:</w:t>
      </w:r>
      <w:r>
        <w:rPr>
          <w:rStyle w:val="17"/>
          <w:rFonts w:hint="eastAsia" w:ascii="仿宋" w:eastAsia="仿宋"/>
          <w:bCs/>
          <w:sz w:val="32"/>
          <w:szCs w:val="32"/>
        </w:rPr>
        <w:t xml:space="preserve"> </w:t>
      </w:r>
      <w:r>
        <w:rPr>
          <w:rStyle w:val="17"/>
          <w:rFonts w:hint="eastAsia" w:ascii="仿宋" w:eastAsia="仿宋"/>
          <w:b w:val="0"/>
          <w:bCs/>
          <w:sz w:val="32"/>
          <w:szCs w:val="32"/>
        </w:rPr>
        <w:t>支出决算为15.46万元，完成预算100</w:t>
      </w:r>
      <w:r>
        <w:rPr>
          <w:rStyle w:val="17"/>
          <w:rFonts w:ascii="仿宋" w:eastAsia="仿宋"/>
          <w:b w:val="0"/>
          <w:bCs/>
          <w:sz w:val="32"/>
          <w:szCs w:val="32"/>
        </w:rPr>
        <w:t>%</w:t>
      </w:r>
      <w:r>
        <w:rPr>
          <w:rStyle w:val="17"/>
          <w:rFonts w:hint="eastAsia" w:ascii="仿宋" w:eastAsia="仿宋"/>
          <w:b w:val="0"/>
          <w:bCs/>
          <w:sz w:val="32"/>
          <w:szCs w:val="32"/>
        </w:rPr>
        <w:t>。</w:t>
      </w:r>
    </w:p>
    <w:p>
      <w:pPr>
        <w:spacing w:line="600" w:lineRule="exact"/>
        <w:ind w:firstLine="642" w:firstLineChars="200"/>
        <w:rPr>
          <w:rStyle w:val="17"/>
          <w:rFonts w:ascii="仿宋" w:eastAsia="仿宋"/>
          <w:bCs/>
          <w:sz w:val="32"/>
          <w:szCs w:val="32"/>
        </w:rPr>
      </w:pPr>
      <w:r>
        <w:rPr>
          <w:rStyle w:val="17"/>
          <w:rFonts w:hint="eastAsia" w:ascii="仿宋" w:eastAsia="仿宋"/>
          <w:bCs/>
          <w:sz w:val="32"/>
          <w:szCs w:val="32"/>
        </w:rPr>
        <w:t>2</w:t>
      </w:r>
      <w:r>
        <w:rPr>
          <w:rStyle w:val="17"/>
          <w:rFonts w:ascii="仿宋" w:eastAsia="仿宋"/>
          <w:bCs/>
          <w:sz w:val="32"/>
          <w:szCs w:val="32"/>
        </w:rPr>
        <w:t>.</w:t>
      </w:r>
      <w:r>
        <w:rPr>
          <w:rStyle w:val="17"/>
          <w:rFonts w:hint="eastAsia" w:ascii="仿宋" w:eastAsia="仿宋"/>
          <w:bCs/>
          <w:sz w:val="32"/>
          <w:szCs w:val="32"/>
        </w:rPr>
        <w:t>社会保障和就业</w:t>
      </w:r>
      <w:r>
        <w:rPr>
          <w:rStyle w:val="17"/>
          <w:rFonts w:ascii="仿宋" w:eastAsia="仿宋"/>
          <w:bCs/>
          <w:sz w:val="32"/>
          <w:szCs w:val="32"/>
        </w:rPr>
        <w:t>208</w:t>
      </w:r>
      <w:r>
        <w:rPr>
          <w:rStyle w:val="17"/>
          <w:rFonts w:hint="eastAsia" w:ascii="仿宋" w:eastAsia="仿宋"/>
          <w:bCs/>
          <w:sz w:val="32"/>
          <w:szCs w:val="32"/>
        </w:rPr>
        <w:t>（类）</w:t>
      </w:r>
    </w:p>
    <w:p>
      <w:pPr>
        <w:pStyle w:val="2"/>
        <w:spacing w:before="93" w:beforeLines="0"/>
        <w:rPr>
          <w:rFonts w:ascii="仿宋" w:eastAsia="仿宋"/>
          <w:b/>
          <w:sz w:val="32"/>
          <w:szCs w:val="32"/>
        </w:rPr>
      </w:pPr>
      <w:r>
        <w:rPr>
          <w:rFonts w:hint="eastAsia"/>
        </w:rPr>
        <w:t xml:space="preserve">     </w:t>
      </w:r>
      <w:r>
        <w:rPr>
          <w:rFonts w:hint="eastAsia" w:ascii="仿宋" w:eastAsia="仿宋"/>
          <w:b/>
          <w:sz w:val="32"/>
          <w:szCs w:val="32"/>
        </w:rPr>
        <w:t>人力资源和社会保障管理事务01</w:t>
      </w:r>
      <w:r>
        <w:rPr>
          <w:rStyle w:val="17"/>
          <w:rFonts w:hint="eastAsia" w:ascii="仿宋" w:eastAsia="仿宋"/>
          <w:bCs/>
          <w:sz w:val="32"/>
          <w:szCs w:val="32"/>
        </w:rPr>
        <w:t>（款）其他人力资源和社会保障管理事务支出99（项）</w:t>
      </w:r>
      <w:r>
        <w:rPr>
          <w:rStyle w:val="17"/>
          <w:rFonts w:ascii="仿宋" w:eastAsia="仿宋"/>
          <w:bCs/>
          <w:sz w:val="32"/>
          <w:szCs w:val="32"/>
        </w:rPr>
        <w:t>:</w:t>
      </w:r>
      <w:r>
        <w:rPr>
          <w:rStyle w:val="17"/>
          <w:rFonts w:hint="eastAsia" w:ascii="仿宋" w:eastAsia="仿宋"/>
          <w:b w:val="0"/>
          <w:bCs/>
          <w:sz w:val="32"/>
          <w:szCs w:val="32"/>
        </w:rPr>
        <w:t xml:space="preserve"> 支出决算为</w:t>
      </w:r>
      <w:r>
        <w:rPr>
          <w:rStyle w:val="17"/>
          <w:rFonts w:ascii="仿宋" w:eastAsia="仿宋"/>
          <w:b w:val="0"/>
          <w:bCs/>
          <w:sz w:val="32"/>
          <w:szCs w:val="32"/>
        </w:rPr>
        <w:t>4.8</w:t>
      </w:r>
      <w:r>
        <w:rPr>
          <w:rStyle w:val="17"/>
          <w:rFonts w:hint="eastAsia" w:ascii="仿宋" w:eastAsia="仿宋"/>
          <w:b w:val="0"/>
          <w:bCs/>
          <w:sz w:val="32"/>
          <w:szCs w:val="32"/>
        </w:rPr>
        <w:t>万元，完成预算</w:t>
      </w:r>
      <w:r>
        <w:rPr>
          <w:rStyle w:val="17"/>
          <w:rFonts w:ascii="仿宋" w:eastAsia="仿宋"/>
          <w:b w:val="0"/>
          <w:bCs/>
          <w:sz w:val="32"/>
          <w:szCs w:val="32"/>
        </w:rPr>
        <w:t>100%</w:t>
      </w:r>
      <w:r>
        <w:rPr>
          <w:rStyle w:val="17"/>
          <w:rFonts w:hint="eastAsia" w:ascii="仿宋" w:eastAsia="仿宋"/>
          <w:b w:val="0"/>
          <w:bCs/>
          <w:sz w:val="32"/>
          <w:szCs w:val="32"/>
        </w:rPr>
        <w:t>。</w:t>
      </w:r>
    </w:p>
    <w:p>
      <w:pPr>
        <w:pStyle w:val="2"/>
        <w:spacing w:before="93" w:beforeLines="0"/>
        <w:ind w:firstLine="629" w:firstLineChars="196"/>
        <w:rPr>
          <w:rStyle w:val="17"/>
          <w:rFonts w:ascii="仿宋" w:eastAsia="仿宋"/>
          <w:b w:val="0"/>
          <w:bCs/>
          <w:sz w:val="32"/>
          <w:szCs w:val="32"/>
        </w:rPr>
      </w:pPr>
      <w:r>
        <w:rPr>
          <w:rStyle w:val="17"/>
          <w:rFonts w:hint="eastAsia" w:ascii="仿宋" w:eastAsia="仿宋"/>
          <w:bCs/>
          <w:sz w:val="32"/>
          <w:szCs w:val="32"/>
        </w:rPr>
        <w:t>行政事业单位养老支出05（款）行政单位离退休01（项）</w:t>
      </w:r>
      <w:r>
        <w:rPr>
          <w:rStyle w:val="17"/>
          <w:rFonts w:ascii="仿宋" w:eastAsia="仿宋"/>
          <w:bCs/>
          <w:sz w:val="32"/>
          <w:szCs w:val="32"/>
        </w:rPr>
        <w:t>:</w:t>
      </w:r>
      <w:r>
        <w:rPr>
          <w:rStyle w:val="17"/>
          <w:rFonts w:hint="eastAsia" w:ascii="仿宋" w:eastAsia="仿宋"/>
          <w:b w:val="0"/>
          <w:bCs/>
          <w:sz w:val="32"/>
          <w:szCs w:val="32"/>
        </w:rPr>
        <w:t xml:space="preserve"> 支出决算为</w:t>
      </w:r>
      <w:r>
        <w:rPr>
          <w:rStyle w:val="17"/>
          <w:rFonts w:ascii="仿宋" w:eastAsia="仿宋"/>
          <w:b w:val="0"/>
          <w:bCs/>
          <w:sz w:val="32"/>
          <w:szCs w:val="32"/>
        </w:rPr>
        <w:t>546.6</w:t>
      </w:r>
      <w:r>
        <w:rPr>
          <w:rStyle w:val="17"/>
          <w:rFonts w:hint="eastAsia" w:ascii="仿宋" w:eastAsia="仿宋"/>
          <w:b w:val="0"/>
          <w:bCs/>
          <w:sz w:val="32"/>
          <w:szCs w:val="32"/>
        </w:rPr>
        <w:t>万元，完成预算</w:t>
      </w:r>
      <w:r>
        <w:rPr>
          <w:rStyle w:val="17"/>
          <w:rFonts w:ascii="仿宋" w:eastAsia="仿宋"/>
          <w:b w:val="0"/>
          <w:bCs/>
          <w:sz w:val="32"/>
          <w:szCs w:val="32"/>
        </w:rPr>
        <w:t>100%</w:t>
      </w:r>
      <w:r>
        <w:rPr>
          <w:rStyle w:val="17"/>
          <w:rFonts w:hint="eastAsia" w:ascii="仿宋" w:eastAsia="仿宋"/>
          <w:b w:val="0"/>
          <w:bCs/>
          <w:sz w:val="32"/>
          <w:szCs w:val="32"/>
        </w:rPr>
        <w:t>；</w:t>
      </w:r>
      <w:r>
        <w:rPr>
          <w:rStyle w:val="17"/>
          <w:rFonts w:hint="eastAsia" w:ascii="仿宋" w:eastAsia="仿宋"/>
          <w:bCs/>
          <w:sz w:val="32"/>
          <w:szCs w:val="32"/>
        </w:rPr>
        <w:t>事业单位离退休</w:t>
      </w:r>
      <w:r>
        <w:rPr>
          <w:rStyle w:val="17"/>
          <w:rFonts w:ascii="仿宋" w:eastAsia="仿宋"/>
          <w:bCs/>
          <w:sz w:val="32"/>
          <w:szCs w:val="32"/>
        </w:rPr>
        <w:t>02</w:t>
      </w:r>
      <w:r>
        <w:rPr>
          <w:rStyle w:val="17"/>
          <w:rFonts w:hint="eastAsia" w:ascii="仿宋" w:eastAsia="仿宋"/>
          <w:bCs/>
          <w:sz w:val="32"/>
          <w:szCs w:val="32"/>
        </w:rPr>
        <w:t>（项）：</w:t>
      </w:r>
      <w:r>
        <w:rPr>
          <w:rStyle w:val="17"/>
          <w:rFonts w:hint="eastAsia" w:ascii="仿宋" w:eastAsia="仿宋"/>
          <w:b w:val="0"/>
          <w:bCs/>
          <w:sz w:val="32"/>
          <w:szCs w:val="32"/>
        </w:rPr>
        <w:t>支出决算为</w:t>
      </w:r>
      <w:r>
        <w:rPr>
          <w:rStyle w:val="17"/>
          <w:rFonts w:ascii="仿宋" w:eastAsia="仿宋"/>
          <w:b w:val="0"/>
          <w:bCs/>
          <w:sz w:val="32"/>
          <w:szCs w:val="32"/>
        </w:rPr>
        <w:t>520.89</w:t>
      </w:r>
      <w:r>
        <w:rPr>
          <w:rStyle w:val="17"/>
          <w:rFonts w:hint="eastAsia" w:ascii="仿宋" w:eastAsia="仿宋"/>
          <w:b w:val="0"/>
          <w:bCs/>
          <w:sz w:val="32"/>
          <w:szCs w:val="32"/>
        </w:rPr>
        <w:t>万元，完成预算</w:t>
      </w:r>
      <w:r>
        <w:rPr>
          <w:rStyle w:val="17"/>
          <w:rFonts w:ascii="仿宋" w:eastAsia="仿宋"/>
          <w:b w:val="0"/>
          <w:bCs/>
          <w:sz w:val="32"/>
          <w:szCs w:val="32"/>
        </w:rPr>
        <w:t>100%</w:t>
      </w:r>
      <w:r>
        <w:rPr>
          <w:rStyle w:val="17"/>
          <w:rFonts w:hint="eastAsia" w:ascii="仿宋" w:eastAsia="仿宋"/>
          <w:b w:val="0"/>
          <w:bCs/>
          <w:sz w:val="32"/>
          <w:szCs w:val="32"/>
        </w:rPr>
        <w:t>；</w:t>
      </w:r>
      <w:r>
        <w:rPr>
          <w:rStyle w:val="17"/>
          <w:rFonts w:hint="eastAsia" w:ascii="仿宋" w:eastAsia="仿宋"/>
          <w:bCs/>
          <w:sz w:val="32"/>
          <w:szCs w:val="32"/>
        </w:rPr>
        <w:t>机关事业单位基本养老保险缴费支出</w:t>
      </w:r>
      <w:r>
        <w:rPr>
          <w:rStyle w:val="17"/>
          <w:rFonts w:ascii="仿宋" w:eastAsia="仿宋"/>
          <w:bCs/>
          <w:sz w:val="32"/>
          <w:szCs w:val="32"/>
        </w:rPr>
        <w:t>05</w:t>
      </w:r>
      <w:r>
        <w:rPr>
          <w:rStyle w:val="17"/>
          <w:rFonts w:hint="eastAsia" w:ascii="仿宋" w:eastAsia="仿宋"/>
          <w:bCs/>
          <w:sz w:val="32"/>
          <w:szCs w:val="32"/>
        </w:rPr>
        <w:t>（项）：</w:t>
      </w:r>
      <w:r>
        <w:rPr>
          <w:rStyle w:val="17"/>
          <w:rFonts w:hint="eastAsia" w:ascii="仿宋" w:eastAsia="仿宋"/>
          <w:b w:val="0"/>
          <w:bCs/>
          <w:sz w:val="32"/>
          <w:szCs w:val="32"/>
        </w:rPr>
        <w:t>支出决算为</w:t>
      </w:r>
      <w:r>
        <w:rPr>
          <w:rStyle w:val="17"/>
          <w:rFonts w:ascii="仿宋" w:eastAsia="仿宋"/>
          <w:b w:val="0"/>
          <w:bCs/>
          <w:sz w:val="32"/>
          <w:szCs w:val="32"/>
        </w:rPr>
        <w:t>445.58</w:t>
      </w:r>
      <w:r>
        <w:rPr>
          <w:rStyle w:val="17"/>
          <w:rFonts w:hint="eastAsia" w:ascii="仿宋" w:eastAsia="仿宋"/>
          <w:b w:val="0"/>
          <w:bCs/>
          <w:sz w:val="32"/>
          <w:szCs w:val="32"/>
        </w:rPr>
        <w:t>万元，完成预算</w:t>
      </w:r>
      <w:r>
        <w:rPr>
          <w:rStyle w:val="17"/>
          <w:rFonts w:ascii="仿宋" w:eastAsia="仿宋"/>
          <w:b w:val="0"/>
          <w:bCs/>
          <w:sz w:val="32"/>
          <w:szCs w:val="32"/>
        </w:rPr>
        <w:t>100%</w:t>
      </w:r>
      <w:r>
        <w:rPr>
          <w:rStyle w:val="17"/>
          <w:rFonts w:hint="eastAsia" w:ascii="仿宋" w:eastAsia="仿宋"/>
          <w:b w:val="0"/>
          <w:bCs/>
          <w:sz w:val="32"/>
          <w:szCs w:val="32"/>
        </w:rPr>
        <w:t>。</w:t>
      </w:r>
    </w:p>
    <w:p>
      <w:pPr>
        <w:pStyle w:val="2"/>
        <w:spacing w:before="93" w:beforeLines="0"/>
        <w:ind w:firstLine="629" w:firstLineChars="196"/>
      </w:pPr>
      <w:r>
        <w:rPr>
          <w:rStyle w:val="17"/>
          <w:rFonts w:hint="eastAsia" w:ascii="仿宋" w:eastAsia="仿宋"/>
          <w:bCs/>
          <w:sz w:val="32"/>
          <w:szCs w:val="32"/>
        </w:rPr>
        <w:t>抚恤</w:t>
      </w:r>
      <w:r>
        <w:rPr>
          <w:rStyle w:val="17"/>
          <w:rFonts w:ascii="仿宋" w:eastAsia="仿宋"/>
          <w:bCs/>
          <w:sz w:val="32"/>
          <w:szCs w:val="32"/>
        </w:rPr>
        <w:t>08</w:t>
      </w:r>
      <w:r>
        <w:rPr>
          <w:rStyle w:val="17"/>
          <w:rFonts w:hint="eastAsia" w:ascii="仿宋" w:eastAsia="仿宋"/>
          <w:bCs/>
          <w:sz w:val="32"/>
          <w:szCs w:val="32"/>
        </w:rPr>
        <w:t>（款）死亡抚恤</w:t>
      </w:r>
      <w:r>
        <w:rPr>
          <w:rStyle w:val="17"/>
          <w:rFonts w:ascii="仿宋" w:eastAsia="仿宋"/>
          <w:bCs/>
          <w:sz w:val="32"/>
          <w:szCs w:val="32"/>
        </w:rPr>
        <w:t>01</w:t>
      </w:r>
      <w:r>
        <w:rPr>
          <w:rStyle w:val="17"/>
          <w:rFonts w:hint="eastAsia" w:ascii="仿宋" w:eastAsia="仿宋"/>
          <w:bCs/>
          <w:sz w:val="32"/>
          <w:szCs w:val="32"/>
        </w:rPr>
        <w:t>（项）</w:t>
      </w:r>
      <w:r>
        <w:rPr>
          <w:rStyle w:val="17"/>
          <w:rFonts w:hint="eastAsia" w:ascii="仿宋" w:eastAsia="仿宋"/>
          <w:b w:val="0"/>
          <w:bCs/>
          <w:sz w:val="32"/>
          <w:szCs w:val="32"/>
        </w:rPr>
        <w:t>：支出决算为</w:t>
      </w:r>
      <w:r>
        <w:rPr>
          <w:rStyle w:val="17"/>
          <w:rFonts w:ascii="仿宋" w:eastAsia="仿宋"/>
          <w:b w:val="0"/>
          <w:bCs/>
          <w:sz w:val="32"/>
          <w:szCs w:val="32"/>
        </w:rPr>
        <w:t>171.54</w:t>
      </w:r>
      <w:r>
        <w:rPr>
          <w:rStyle w:val="17"/>
          <w:rFonts w:hint="eastAsia" w:ascii="仿宋" w:eastAsia="仿宋"/>
          <w:b w:val="0"/>
          <w:bCs/>
          <w:sz w:val="32"/>
          <w:szCs w:val="32"/>
        </w:rPr>
        <w:t>万元，完成预算</w:t>
      </w:r>
      <w:r>
        <w:rPr>
          <w:rStyle w:val="17"/>
          <w:rFonts w:ascii="仿宋" w:eastAsia="仿宋"/>
          <w:b w:val="0"/>
          <w:bCs/>
          <w:sz w:val="32"/>
          <w:szCs w:val="32"/>
        </w:rPr>
        <w:t>100%</w:t>
      </w:r>
      <w:r>
        <w:rPr>
          <w:rStyle w:val="17"/>
          <w:rFonts w:hint="eastAsia" w:ascii="仿宋" w:eastAsia="仿宋"/>
          <w:b w:val="0"/>
          <w:bCs/>
          <w:sz w:val="32"/>
          <w:szCs w:val="32"/>
        </w:rPr>
        <w:t>。</w:t>
      </w:r>
    </w:p>
    <w:p>
      <w:pPr>
        <w:spacing w:line="600" w:lineRule="exact"/>
        <w:ind w:firstLine="642" w:firstLineChars="200"/>
        <w:rPr>
          <w:rStyle w:val="17"/>
          <w:rFonts w:ascii="仿宋" w:eastAsia="仿宋"/>
          <w:bCs/>
          <w:sz w:val="32"/>
          <w:szCs w:val="32"/>
        </w:rPr>
      </w:pPr>
      <w:r>
        <w:rPr>
          <w:rStyle w:val="17"/>
          <w:rFonts w:hint="eastAsia" w:ascii="仿宋" w:eastAsia="仿宋"/>
          <w:bCs/>
          <w:sz w:val="32"/>
          <w:szCs w:val="32"/>
        </w:rPr>
        <w:t>3</w:t>
      </w:r>
      <w:r>
        <w:rPr>
          <w:rStyle w:val="17"/>
          <w:rFonts w:ascii="仿宋" w:eastAsia="仿宋"/>
          <w:bCs/>
          <w:sz w:val="32"/>
          <w:szCs w:val="32"/>
        </w:rPr>
        <w:t>.</w:t>
      </w:r>
      <w:r>
        <w:rPr>
          <w:rFonts w:hint="eastAsia"/>
        </w:rPr>
        <w:t xml:space="preserve"> </w:t>
      </w:r>
      <w:r>
        <w:rPr>
          <w:rFonts w:hint="eastAsia" w:ascii="仿宋" w:eastAsia="仿宋"/>
          <w:b/>
          <w:bCs/>
          <w:sz w:val="32"/>
          <w:szCs w:val="32"/>
        </w:rPr>
        <w:t>城乡社区支出212</w:t>
      </w:r>
      <w:r>
        <w:rPr>
          <w:rStyle w:val="17"/>
          <w:rFonts w:hint="eastAsia" w:ascii="仿宋" w:eastAsia="仿宋"/>
          <w:bCs/>
          <w:sz w:val="32"/>
          <w:szCs w:val="32"/>
        </w:rPr>
        <w:t>（类）</w:t>
      </w:r>
    </w:p>
    <w:p>
      <w:pPr>
        <w:spacing w:line="600" w:lineRule="exact"/>
        <w:ind w:firstLine="642" w:firstLineChars="200"/>
        <w:rPr>
          <w:rStyle w:val="17"/>
          <w:rFonts w:ascii="仿宋" w:eastAsia="仿宋"/>
          <w:b w:val="0"/>
          <w:bCs/>
          <w:color w:val="000000"/>
          <w:sz w:val="32"/>
          <w:szCs w:val="32"/>
        </w:rPr>
      </w:pPr>
      <w:r>
        <w:rPr>
          <w:rStyle w:val="17"/>
          <w:rFonts w:hint="eastAsia" w:ascii="仿宋" w:eastAsia="仿宋"/>
          <w:bCs/>
          <w:sz w:val="32"/>
          <w:szCs w:val="32"/>
        </w:rPr>
        <w:t>城乡社区管理事务01（款）行政运行01（项）</w:t>
      </w:r>
      <w:r>
        <w:rPr>
          <w:rStyle w:val="17"/>
          <w:rFonts w:ascii="仿宋" w:eastAsia="仿宋"/>
          <w:bCs/>
          <w:sz w:val="32"/>
          <w:szCs w:val="32"/>
        </w:rPr>
        <w:t>:</w:t>
      </w:r>
      <w:r>
        <w:rPr>
          <w:rStyle w:val="17"/>
          <w:rFonts w:hint="eastAsia" w:ascii="仿宋" w:eastAsia="仿宋"/>
          <w:b w:val="0"/>
          <w:bCs/>
          <w:sz w:val="32"/>
          <w:szCs w:val="32"/>
        </w:rPr>
        <w:t>支出决算为1990.17万元，完成预算100</w:t>
      </w:r>
      <w:r>
        <w:rPr>
          <w:rStyle w:val="17"/>
          <w:rFonts w:ascii="仿宋" w:eastAsia="仿宋"/>
          <w:b w:val="0"/>
          <w:bCs/>
          <w:sz w:val="32"/>
          <w:szCs w:val="32"/>
        </w:rPr>
        <w:t>%</w:t>
      </w:r>
      <w:r>
        <w:rPr>
          <w:rStyle w:val="17"/>
          <w:rFonts w:hint="eastAsia" w:ascii="仿宋" w:eastAsia="仿宋"/>
          <w:b w:val="0"/>
          <w:bCs/>
          <w:sz w:val="32"/>
          <w:szCs w:val="32"/>
        </w:rPr>
        <w:t>；</w:t>
      </w:r>
      <w:r>
        <w:rPr>
          <w:rStyle w:val="17"/>
          <w:rFonts w:hint="eastAsia" w:ascii="仿宋" w:eastAsia="仿宋"/>
          <w:bCs/>
          <w:sz w:val="32"/>
          <w:szCs w:val="32"/>
        </w:rPr>
        <w:t>一般行政管理事务02（项）</w:t>
      </w:r>
      <w:r>
        <w:rPr>
          <w:rStyle w:val="17"/>
          <w:rFonts w:ascii="仿宋" w:eastAsia="仿宋"/>
          <w:bCs/>
          <w:sz w:val="32"/>
          <w:szCs w:val="32"/>
        </w:rPr>
        <w:t>:</w:t>
      </w:r>
      <w:r>
        <w:rPr>
          <w:rStyle w:val="17"/>
          <w:rFonts w:hint="eastAsia" w:ascii="仿宋" w:eastAsia="仿宋"/>
          <w:bCs/>
          <w:sz w:val="32"/>
          <w:szCs w:val="32"/>
        </w:rPr>
        <w:t xml:space="preserve"> </w:t>
      </w:r>
      <w:r>
        <w:rPr>
          <w:rStyle w:val="17"/>
          <w:rFonts w:hint="eastAsia" w:ascii="仿宋" w:eastAsia="仿宋"/>
          <w:b w:val="0"/>
          <w:bCs/>
          <w:sz w:val="32"/>
          <w:szCs w:val="32"/>
        </w:rPr>
        <w:t>支出决算为243.17万元，完成预算100</w:t>
      </w:r>
      <w:r>
        <w:rPr>
          <w:rStyle w:val="17"/>
          <w:rFonts w:ascii="仿宋" w:eastAsia="仿宋"/>
          <w:b w:val="0"/>
          <w:bCs/>
          <w:sz w:val="32"/>
          <w:szCs w:val="32"/>
        </w:rPr>
        <w:t>%</w:t>
      </w:r>
      <w:r>
        <w:rPr>
          <w:rFonts w:hint="eastAsia" w:ascii="仿宋" w:eastAsia="仿宋"/>
          <w:sz w:val="32"/>
          <w:szCs w:val="32"/>
        </w:rPr>
        <w:t>。</w:t>
      </w:r>
      <w:r>
        <w:rPr>
          <w:rStyle w:val="17"/>
          <w:rFonts w:hint="eastAsia" w:ascii="仿宋" w:eastAsia="仿宋"/>
          <w:bCs/>
          <w:color w:val="000000"/>
          <w:sz w:val="32"/>
          <w:szCs w:val="32"/>
        </w:rPr>
        <w:t>工程建设标准规范编制与监管</w:t>
      </w:r>
      <w:r>
        <w:rPr>
          <w:rStyle w:val="17"/>
          <w:rFonts w:ascii="仿宋" w:eastAsia="仿宋"/>
          <w:bCs/>
          <w:color w:val="000000"/>
          <w:sz w:val="32"/>
          <w:szCs w:val="32"/>
        </w:rPr>
        <w:t>05</w:t>
      </w:r>
      <w:r>
        <w:rPr>
          <w:rStyle w:val="17"/>
          <w:rFonts w:hint="eastAsia" w:ascii="仿宋" w:eastAsia="仿宋"/>
          <w:bCs/>
          <w:color w:val="000000"/>
          <w:sz w:val="32"/>
          <w:szCs w:val="32"/>
        </w:rPr>
        <w:t>（项）</w:t>
      </w:r>
      <w:r>
        <w:rPr>
          <w:rStyle w:val="17"/>
          <w:rFonts w:ascii="仿宋" w:eastAsia="仿宋"/>
          <w:bCs/>
          <w:color w:val="000000"/>
          <w:sz w:val="32"/>
          <w:szCs w:val="32"/>
        </w:rPr>
        <w:t>:</w:t>
      </w:r>
      <w:r>
        <w:rPr>
          <w:rStyle w:val="17"/>
          <w:rFonts w:ascii="仿宋" w:eastAsia="仿宋"/>
          <w:b w:val="0"/>
          <w:bCs/>
          <w:color w:val="000000"/>
          <w:sz w:val="32"/>
          <w:szCs w:val="32"/>
        </w:rPr>
        <w:t xml:space="preserve"> </w:t>
      </w:r>
      <w:r>
        <w:rPr>
          <w:rStyle w:val="17"/>
          <w:rFonts w:hint="eastAsia" w:ascii="仿宋" w:eastAsia="仿宋"/>
          <w:b w:val="0"/>
          <w:bCs/>
          <w:color w:val="000000"/>
          <w:sz w:val="32"/>
          <w:szCs w:val="32"/>
        </w:rPr>
        <w:t>支出决算为</w:t>
      </w:r>
      <w:r>
        <w:rPr>
          <w:rStyle w:val="17"/>
          <w:rFonts w:ascii="仿宋" w:eastAsia="仿宋"/>
          <w:b w:val="0"/>
          <w:bCs/>
          <w:color w:val="000000"/>
          <w:sz w:val="32"/>
          <w:szCs w:val="32"/>
        </w:rPr>
        <w:t>266.28</w:t>
      </w:r>
      <w:r>
        <w:rPr>
          <w:rStyle w:val="17"/>
          <w:rFonts w:hint="eastAsia" w:ascii="仿宋" w:eastAsia="仿宋"/>
          <w:b w:val="0"/>
          <w:bCs/>
          <w:color w:val="000000"/>
          <w:sz w:val="32"/>
          <w:szCs w:val="32"/>
        </w:rPr>
        <w:t>万元，完成预算</w:t>
      </w:r>
      <w:r>
        <w:rPr>
          <w:rStyle w:val="17"/>
          <w:rFonts w:ascii="仿宋" w:eastAsia="仿宋"/>
          <w:b w:val="0"/>
          <w:bCs/>
          <w:color w:val="000000"/>
          <w:sz w:val="32"/>
          <w:szCs w:val="32"/>
        </w:rPr>
        <w:t>100%</w:t>
      </w:r>
      <w:r>
        <w:rPr>
          <w:rStyle w:val="17"/>
          <w:rFonts w:hint="eastAsia" w:ascii="仿宋" w:eastAsia="仿宋"/>
          <w:b w:val="0"/>
          <w:bCs/>
          <w:color w:val="000000"/>
          <w:sz w:val="32"/>
          <w:szCs w:val="32"/>
        </w:rPr>
        <w:t>；</w:t>
      </w:r>
      <w:r>
        <w:rPr>
          <w:rStyle w:val="17"/>
          <w:rFonts w:hint="eastAsia" w:ascii="仿宋" w:eastAsia="仿宋"/>
          <w:bCs/>
          <w:color w:val="000000"/>
          <w:sz w:val="32"/>
          <w:szCs w:val="32"/>
        </w:rPr>
        <w:t>其他城乡社区管理事务支出</w:t>
      </w:r>
      <w:r>
        <w:rPr>
          <w:rStyle w:val="17"/>
          <w:rFonts w:ascii="仿宋" w:eastAsia="仿宋"/>
          <w:bCs/>
          <w:color w:val="000000"/>
          <w:sz w:val="32"/>
          <w:szCs w:val="32"/>
        </w:rPr>
        <w:t>99</w:t>
      </w:r>
      <w:r>
        <w:rPr>
          <w:rStyle w:val="17"/>
          <w:rFonts w:hint="eastAsia" w:ascii="仿宋" w:eastAsia="仿宋"/>
          <w:bCs/>
          <w:color w:val="000000"/>
          <w:sz w:val="32"/>
          <w:szCs w:val="32"/>
        </w:rPr>
        <w:t>（项）</w:t>
      </w:r>
      <w:r>
        <w:rPr>
          <w:rStyle w:val="17"/>
          <w:rFonts w:ascii="仿宋" w:eastAsia="仿宋"/>
          <w:bCs/>
          <w:color w:val="000000"/>
          <w:sz w:val="32"/>
          <w:szCs w:val="32"/>
        </w:rPr>
        <w:t>:</w:t>
      </w:r>
      <w:r>
        <w:rPr>
          <w:rStyle w:val="17"/>
          <w:rFonts w:ascii="仿宋" w:eastAsia="仿宋"/>
          <w:b w:val="0"/>
          <w:bCs/>
          <w:color w:val="000000"/>
          <w:sz w:val="32"/>
          <w:szCs w:val="32"/>
        </w:rPr>
        <w:t xml:space="preserve"> </w:t>
      </w:r>
      <w:r>
        <w:rPr>
          <w:rStyle w:val="17"/>
          <w:rFonts w:hint="eastAsia" w:ascii="仿宋" w:eastAsia="仿宋"/>
          <w:b w:val="0"/>
          <w:bCs/>
          <w:color w:val="000000"/>
          <w:sz w:val="32"/>
          <w:szCs w:val="32"/>
        </w:rPr>
        <w:t>支出决算为</w:t>
      </w:r>
      <w:r>
        <w:rPr>
          <w:rStyle w:val="17"/>
          <w:rFonts w:ascii="仿宋" w:eastAsia="仿宋"/>
          <w:b w:val="0"/>
          <w:bCs/>
          <w:color w:val="000000"/>
          <w:sz w:val="32"/>
          <w:szCs w:val="32"/>
        </w:rPr>
        <w:t>3709.59</w:t>
      </w:r>
      <w:r>
        <w:rPr>
          <w:rStyle w:val="17"/>
          <w:rFonts w:hint="eastAsia" w:ascii="仿宋" w:eastAsia="仿宋"/>
          <w:b w:val="0"/>
          <w:bCs/>
          <w:color w:val="000000"/>
          <w:sz w:val="32"/>
          <w:szCs w:val="32"/>
        </w:rPr>
        <w:t>万元，完成预算99.56</w:t>
      </w:r>
      <w:r>
        <w:rPr>
          <w:rStyle w:val="17"/>
          <w:rFonts w:ascii="仿宋" w:eastAsia="仿宋"/>
          <w:b w:val="0"/>
          <w:bCs/>
          <w:color w:val="000000"/>
          <w:sz w:val="32"/>
          <w:szCs w:val="32"/>
        </w:rPr>
        <w:t>%</w:t>
      </w:r>
      <w:r>
        <w:rPr>
          <w:rStyle w:val="17"/>
          <w:rFonts w:hint="eastAsia" w:ascii="仿宋" w:eastAsia="仿宋"/>
          <w:b w:val="0"/>
          <w:bCs/>
          <w:color w:val="000000"/>
          <w:sz w:val="32"/>
          <w:szCs w:val="32"/>
        </w:rPr>
        <w:t>，</w:t>
      </w:r>
      <w:r>
        <w:rPr>
          <w:rStyle w:val="17"/>
          <w:rFonts w:hint="eastAsia" w:ascii="仿宋" w:eastAsia="仿宋"/>
          <w:b w:val="0"/>
          <w:bCs/>
          <w:sz w:val="32"/>
          <w:szCs w:val="32"/>
        </w:rPr>
        <w:t>决算数小于预算数的主要原因是商品房补助费项目存在结转资金</w:t>
      </w:r>
      <w:r>
        <w:rPr>
          <w:rStyle w:val="17"/>
          <w:rFonts w:hint="eastAsia" w:ascii="仿宋" w:eastAsia="仿宋"/>
          <w:b w:val="0"/>
          <w:bCs/>
          <w:color w:val="000000"/>
          <w:sz w:val="32"/>
          <w:szCs w:val="32"/>
        </w:rPr>
        <w:t>。</w:t>
      </w:r>
    </w:p>
    <w:p>
      <w:pPr>
        <w:spacing w:line="600" w:lineRule="exact"/>
        <w:ind w:firstLine="642" w:firstLineChars="200"/>
        <w:rPr>
          <w:rStyle w:val="17"/>
          <w:rFonts w:ascii="仿宋" w:eastAsia="仿宋"/>
          <w:b w:val="0"/>
          <w:bCs/>
          <w:color w:val="000000"/>
          <w:sz w:val="32"/>
          <w:szCs w:val="32"/>
        </w:rPr>
      </w:pPr>
      <w:r>
        <w:rPr>
          <w:rStyle w:val="17"/>
          <w:rFonts w:hint="eastAsia" w:ascii="仿宋" w:eastAsia="仿宋"/>
          <w:bCs/>
          <w:color w:val="000000"/>
          <w:sz w:val="32"/>
          <w:szCs w:val="32"/>
        </w:rPr>
        <w:t>城乡社区公共设施</w:t>
      </w:r>
      <w:r>
        <w:rPr>
          <w:rStyle w:val="17"/>
          <w:rFonts w:ascii="仿宋" w:eastAsia="仿宋"/>
          <w:bCs/>
          <w:color w:val="000000"/>
          <w:sz w:val="32"/>
          <w:szCs w:val="32"/>
        </w:rPr>
        <w:t>03</w:t>
      </w:r>
      <w:r>
        <w:rPr>
          <w:rStyle w:val="17"/>
          <w:rFonts w:hint="eastAsia" w:ascii="仿宋" w:eastAsia="仿宋"/>
          <w:bCs/>
          <w:color w:val="000000"/>
          <w:sz w:val="32"/>
          <w:szCs w:val="32"/>
        </w:rPr>
        <w:t>（款）其他城乡社区公共设施支出</w:t>
      </w:r>
      <w:r>
        <w:rPr>
          <w:rStyle w:val="17"/>
          <w:rFonts w:ascii="仿宋" w:eastAsia="仿宋"/>
          <w:bCs/>
          <w:color w:val="000000"/>
          <w:sz w:val="32"/>
          <w:szCs w:val="32"/>
        </w:rPr>
        <w:t>99</w:t>
      </w:r>
      <w:r>
        <w:rPr>
          <w:rStyle w:val="17"/>
          <w:rFonts w:hint="eastAsia" w:ascii="仿宋" w:eastAsia="仿宋"/>
          <w:bCs/>
          <w:color w:val="000000"/>
          <w:sz w:val="32"/>
          <w:szCs w:val="32"/>
        </w:rPr>
        <w:t>（项）</w:t>
      </w:r>
      <w:r>
        <w:rPr>
          <w:rStyle w:val="17"/>
          <w:rFonts w:ascii="仿宋" w:eastAsia="仿宋"/>
          <w:bCs/>
          <w:color w:val="000000"/>
          <w:sz w:val="32"/>
          <w:szCs w:val="32"/>
        </w:rPr>
        <w:t>:</w:t>
      </w:r>
      <w:r>
        <w:rPr>
          <w:rStyle w:val="17"/>
          <w:rFonts w:ascii="仿宋" w:eastAsia="仿宋"/>
          <w:b w:val="0"/>
          <w:bCs/>
          <w:color w:val="000000"/>
          <w:sz w:val="32"/>
          <w:szCs w:val="32"/>
        </w:rPr>
        <w:t xml:space="preserve"> </w:t>
      </w:r>
      <w:r>
        <w:rPr>
          <w:rStyle w:val="17"/>
          <w:rFonts w:hint="eastAsia" w:ascii="仿宋" w:eastAsia="仿宋"/>
          <w:b w:val="0"/>
          <w:bCs/>
          <w:color w:val="000000"/>
          <w:sz w:val="32"/>
          <w:szCs w:val="32"/>
        </w:rPr>
        <w:t>支出决算为4537.73万元，完成预算</w:t>
      </w:r>
      <w:r>
        <w:rPr>
          <w:rStyle w:val="17"/>
          <w:rFonts w:ascii="仿宋" w:eastAsia="仿宋"/>
          <w:b w:val="0"/>
          <w:bCs/>
          <w:color w:val="000000"/>
          <w:sz w:val="32"/>
          <w:szCs w:val="32"/>
        </w:rPr>
        <w:t>100%</w:t>
      </w:r>
      <w:r>
        <w:rPr>
          <w:rStyle w:val="17"/>
          <w:rFonts w:hint="eastAsia" w:ascii="仿宋" w:eastAsia="仿宋"/>
          <w:b w:val="0"/>
          <w:bCs/>
          <w:color w:val="000000"/>
          <w:sz w:val="32"/>
          <w:szCs w:val="32"/>
        </w:rPr>
        <w:t>。</w:t>
      </w:r>
    </w:p>
    <w:p>
      <w:pPr>
        <w:spacing w:line="600" w:lineRule="exact"/>
        <w:ind w:firstLine="642" w:firstLineChars="200"/>
        <w:rPr>
          <w:rFonts w:ascii="仿宋" w:eastAsia="仿宋"/>
          <w:bCs/>
          <w:color w:val="000000"/>
          <w:sz w:val="32"/>
          <w:szCs w:val="32"/>
        </w:rPr>
      </w:pPr>
      <w:r>
        <w:rPr>
          <w:rStyle w:val="17"/>
          <w:rFonts w:hint="eastAsia" w:ascii="仿宋" w:eastAsia="仿宋"/>
          <w:bCs/>
          <w:color w:val="000000"/>
          <w:sz w:val="32"/>
          <w:szCs w:val="32"/>
        </w:rPr>
        <w:t>建设市场管理与监督</w:t>
      </w:r>
      <w:r>
        <w:rPr>
          <w:rStyle w:val="17"/>
          <w:rFonts w:ascii="仿宋" w:eastAsia="仿宋"/>
          <w:bCs/>
          <w:color w:val="000000"/>
          <w:sz w:val="32"/>
          <w:szCs w:val="32"/>
        </w:rPr>
        <w:t>06</w:t>
      </w:r>
      <w:r>
        <w:rPr>
          <w:rStyle w:val="17"/>
          <w:rFonts w:hint="eastAsia" w:ascii="仿宋" w:eastAsia="仿宋"/>
          <w:bCs/>
          <w:color w:val="000000"/>
          <w:sz w:val="32"/>
          <w:szCs w:val="32"/>
        </w:rPr>
        <w:t>（款）建设市场管理与监督</w:t>
      </w:r>
      <w:r>
        <w:rPr>
          <w:rStyle w:val="17"/>
          <w:rFonts w:ascii="仿宋" w:eastAsia="仿宋"/>
          <w:bCs/>
          <w:color w:val="000000"/>
          <w:sz w:val="32"/>
          <w:szCs w:val="32"/>
        </w:rPr>
        <w:t>01</w:t>
      </w:r>
      <w:r>
        <w:rPr>
          <w:rStyle w:val="17"/>
          <w:rFonts w:hint="eastAsia" w:ascii="仿宋" w:eastAsia="仿宋"/>
          <w:bCs/>
          <w:color w:val="000000"/>
          <w:sz w:val="32"/>
          <w:szCs w:val="32"/>
        </w:rPr>
        <w:t>（项）</w:t>
      </w:r>
      <w:r>
        <w:rPr>
          <w:rStyle w:val="17"/>
          <w:rFonts w:ascii="仿宋" w:eastAsia="仿宋"/>
          <w:bCs/>
          <w:color w:val="000000"/>
          <w:sz w:val="32"/>
          <w:szCs w:val="32"/>
        </w:rPr>
        <w:t>:</w:t>
      </w:r>
      <w:r>
        <w:rPr>
          <w:rStyle w:val="17"/>
          <w:rFonts w:ascii="仿宋" w:eastAsia="仿宋"/>
          <w:b w:val="0"/>
          <w:bCs/>
          <w:color w:val="000000"/>
          <w:sz w:val="32"/>
          <w:szCs w:val="32"/>
        </w:rPr>
        <w:t xml:space="preserve"> </w:t>
      </w:r>
      <w:r>
        <w:rPr>
          <w:rStyle w:val="17"/>
          <w:rFonts w:hint="eastAsia" w:ascii="仿宋" w:eastAsia="仿宋"/>
          <w:b w:val="0"/>
          <w:bCs/>
          <w:color w:val="000000"/>
          <w:sz w:val="32"/>
          <w:szCs w:val="32"/>
        </w:rPr>
        <w:t>支出决算为</w:t>
      </w:r>
      <w:r>
        <w:rPr>
          <w:rStyle w:val="17"/>
          <w:rFonts w:ascii="仿宋" w:eastAsia="仿宋"/>
          <w:b w:val="0"/>
          <w:bCs/>
          <w:color w:val="000000"/>
          <w:sz w:val="32"/>
          <w:szCs w:val="32"/>
        </w:rPr>
        <w:t>217.2</w:t>
      </w:r>
      <w:r>
        <w:rPr>
          <w:rStyle w:val="17"/>
          <w:rFonts w:hint="eastAsia" w:ascii="仿宋" w:eastAsia="仿宋"/>
          <w:b w:val="0"/>
          <w:bCs/>
          <w:color w:val="000000"/>
          <w:sz w:val="32"/>
          <w:szCs w:val="32"/>
        </w:rPr>
        <w:t>万元，完成预算</w:t>
      </w:r>
      <w:r>
        <w:rPr>
          <w:rStyle w:val="17"/>
          <w:rFonts w:ascii="仿宋" w:eastAsia="仿宋"/>
          <w:b w:val="0"/>
          <w:bCs/>
          <w:color w:val="000000"/>
          <w:sz w:val="32"/>
          <w:szCs w:val="32"/>
        </w:rPr>
        <w:t>100%</w:t>
      </w:r>
      <w:r>
        <w:rPr>
          <w:rStyle w:val="17"/>
          <w:rFonts w:hint="eastAsia" w:ascii="仿宋" w:eastAsia="仿宋"/>
          <w:b w:val="0"/>
          <w:bCs/>
          <w:color w:val="000000"/>
          <w:sz w:val="32"/>
          <w:szCs w:val="32"/>
        </w:rPr>
        <w:t>。</w:t>
      </w:r>
    </w:p>
    <w:p>
      <w:pPr>
        <w:spacing w:line="600" w:lineRule="exact"/>
        <w:ind w:firstLine="642" w:firstLineChars="200"/>
        <w:rPr>
          <w:rFonts w:ascii="仿宋" w:eastAsia="仿宋"/>
          <w:bCs/>
          <w:color w:val="000000"/>
          <w:sz w:val="32"/>
          <w:szCs w:val="32"/>
        </w:rPr>
      </w:pPr>
      <w:r>
        <w:rPr>
          <w:rStyle w:val="17"/>
          <w:rFonts w:hint="eastAsia" w:ascii="仿宋" w:eastAsia="仿宋"/>
          <w:bCs/>
          <w:color w:val="000000"/>
          <w:sz w:val="32"/>
          <w:szCs w:val="32"/>
        </w:rPr>
        <w:t>其他城乡社区支出</w:t>
      </w:r>
      <w:r>
        <w:rPr>
          <w:rStyle w:val="17"/>
          <w:rFonts w:ascii="仿宋" w:eastAsia="仿宋"/>
          <w:bCs/>
          <w:color w:val="000000"/>
          <w:sz w:val="32"/>
          <w:szCs w:val="32"/>
        </w:rPr>
        <w:t>99</w:t>
      </w:r>
      <w:r>
        <w:rPr>
          <w:rStyle w:val="17"/>
          <w:rFonts w:hint="eastAsia" w:ascii="仿宋" w:eastAsia="仿宋"/>
          <w:bCs/>
          <w:color w:val="000000"/>
          <w:sz w:val="32"/>
          <w:szCs w:val="32"/>
        </w:rPr>
        <w:t>（款）其他城乡社区支出</w:t>
      </w:r>
      <w:r>
        <w:rPr>
          <w:rStyle w:val="17"/>
          <w:rFonts w:ascii="仿宋" w:eastAsia="仿宋"/>
          <w:bCs/>
          <w:color w:val="000000"/>
          <w:sz w:val="32"/>
          <w:szCs w:val="32"/>
        </w:rPr>
        <w:t>99</w:t>
      </w:r>
      <w:r>
        <w:rPr>
          <w:rStyle w:val="17"/>
          <w:rFonts w:hint="eastAsia" w:ascii="仿宋" w:eastAsia="仿宋"/>
          <w:bCs/>
          <w:color w:val="000000"/>
          <w:sz w:val="32"/>
          <w:szCs w:val="32"/>
        </w:rPr>
        <w:t>（项）</w:t>
      </w:r>
      <w:r>
        <w:rPr>
          <w:rStyle w:val="17"/>
          <w:rFonts w:ascii="仿宋" w:eastAsia="仿宋"/>
          <w:bCs/>
          <w:color w:val="000000"/>
          <w:sz w:val="32"/>
          <w:szCs w:val="32"/>
        </w:rPr>
        <w:t>:</w:t>
      </w:r>
      <w:r>
        <w:rPr>
          <w:rStyle w:val="17"/>
          <w:rFonts w:ascii="仿宋" w:eastAsia="仿宋"/>
          <w:b w:val="0"/>
          <w:bCs/>
          <w:color w:val="000000"/>
          <w:sz w:val="32"/>
          <w:szCs w:val="32"/>
        </w:rPr>
        <w:t xml:space="preserve"> </w:t>
      </w:r>
      <w:r>
        <w:rPr>
          <w:rStyle w:val="17"/>
          <w:rFonts w:hint="eastAsia" w:ascii="仿宋" w:eastAsia="仿宋"/>
          <w:b w:val="0"/>
          <w:bCs/>
          <w:color w:val="000000"/>
          <w:sz w:val="32"/>
          <w:szCs w:val="32"/>
        </w:rPr>
        <w:t>支出决算为</w:t>
      </w:r>
      <w:r>
        <w:rPr>
          <w:rStyle w:val="17"/>
          <w:rFonts w:ascii="仿宋" w:eastAsia="仿宋"/>
          <w:b w:val="0"/>
          <w:bCs/>
          <w:color w:val="000000"/>
          <w:sz w:val="32"/>
          <w:szCs w:val="32"/>
        </w:rPr>
        <w:t>95.5</w:t>
      </w:r>
      <w:r>
        <w:rPr>
          <w:rStyle w:val="17"/>
          <w:rFonts w:hint="eastAsia" w:ascii="仿宋" w:eastAsia="仿宋"/>
          <w:b w:val="0"/>
          <w:bCs/>
          <w:color w:val="000000"/>
          <w:sz w:val="32"/>
          <w:szCs w:val="32"/>
        </w:rPr>
        <w:t>万元，完成预算</w:t>
      </w:r>
      <w:r>
        <w:rPr>
          <w:rStyle w:val="17"/>
          <w:rFonts w:ascii="仿宋" w:eastAsia="仿宋"/>
          <w:b w:val="0"/>
          <w:bCs/>
          <w:color w:val="000000"/>
          <w:sz w:val="32"/>
          <w:szCs w:val="32"/>
        </w:rPr>
        <w:t>100%</w:t>
      </w:r>
      <w:r>
        <w:rPr>
          <w:rStyle w:val="17"/>
          <w:rFonts w:hint="eastAsia" w:ascii="仿宋" w:eastAsia="仿宋"/>
          <w:b w:val="0"/>
          <w:bCs/>
          <w:color w:val="000000"/>
          <w:sz w:val="32"/>
          <w:szCs w:val="32"/>
        </w:rPr>
        <w:t>。</w:t>
      </w:r>
    </w:p>
    <w:p>
      <w:pPr>
        <w:spacing w:line="600" w:lineRule="exact"/>
        <w:ind w:firstLine="642" w:firstLineChars="200"/>
        <w:rPr>
          <w:rFonts w:ascii="仿宋" w:eastAsia="仿宋"/>
          <w:sz w:val="32"/>
          <w:szCs w:val="32"/>
        </w:rPr>
      </w:pPr>
      <w:r>
        <w:rPr>
          <w:rStyle w:val="17"/>
          <w:rFonts w:hint="eastAsia" w:ascii="仿宋" w:eastAsia="仿宋"/>
          <w:bCs/>
          <w:sz w:val="32"/>
          <w:szCs w:val="32"/>
        </w:rPr>
        <w:t>4</w:t>
      </w:r>
      <w:r>
        <w:rPr>
          <w:rStyle w:val="17"/>
          <w:rFonts w:ascii="仿宋" w:eastAsia="仿宋"/>
          <w:bCs/>
          <w:sz w:val="32"/>
          <w:szCs w:val="32"/>
        </w:rPr>
        <w:t>.</w:t>
      </w:r>
      <w:r>
        <w:rPr>
          <w:rFonts w:hint="eastAsia"/>
        </w:rPr>
        <w:t xml:space="preserve"> </w:t>
      </w:r>
      <w:r>
        <w:rPr>
          <w:rFonts w:hint="eastAsia" w:ascii="仿宋" w:eastAsia="仿宋"/>
          <w:b/>
          <w:bCs/>
          <w:sz w:val="32"/>
          <w:szCs w:val="32"/>
        </w:rPr>
        <w:t>住房保障支出221</w:t>
      </w:r>
      <w:r>
        <w:rPr>
          <w:rStyle w:val="17"/>
          <w:rFonts w:hint="eastAsia" w:ascii="仿宋" w:eastAsia="仿宋"/>
          <w:bCs/>
          <w:sz w:val="32"/>
          <w:szCs w:val="32"/>
        </w:rPr>
        <w:t>（类）住房改革支出02（款）住房公积金01（项）</w:t>
      </w:r>
      <w:r>
        <w:rPr>
          <w:rStyle w:val="17"/>
          <w:rFonts w:ascii="仿宋" w:eastAsia="仿宋"/>
          <w:bCs/>
          <w:sz w:val="32"/>
          <w:szCs w:val="32"/>
        </w:rPr>
        <w:t>:</w:t>
      </w:r>
      <w:r>
        <w:rPr>
          <w:rStyle w:val="17"/>
          <w:rFonts w:hint="eastAsia" w:ascii="仿宋" w:eastAsia="仿宋"/>
          <w:b w:val="0"/>
          <w:bCs/>
          <w:sz w:val="32"/>
          <w:szCs w:val="32"/>
        </w:rPr>
        <w:t>支出决算为461.46万元，完成预算100</w:t>
      </w:r>
      <w:r>
        <w:rPr>
          <w:rStyle w:val="17"/>
          <w:rFonts w:ascii="仿宋" w:eastAsia="仿宋"/>
          <w:b w:val="0"/>
          <w:bCs/>
          <w:sz w:val="32"/>
          <w:szCs w:val="32"/>
        </w:rPr>
        <w:t>%</w:t>
      </w:r>
      <w:r>
        <w:rPr>
          <w:rStyle w:val="17"/>
          <w:rFonts w:hint="eastAsia" w:ascii="仿宋" w:eastAsia="仿宋"/>
          <w:b w:val="0"/>
          <w:bCs/>
          <w:sz w:val="32"/>
          <w:szCs w:val="32"/>
        </w:rPr>
        <w:t>。</w:t>
      </w:r>
    </w:p>
    <w:p>
      <w:pPr>
        <w:pStyle w:val="2"/>
        <w:spacing w:before="93" w:beforeLines="0"/>
        <w:ind w:firstLine="629" w:firstLineChars="196"/>
      </w:pPr>
      <w:r>
        <w:rPr>
          <w:rStyle w:val="17"/>
          <w:rFonts w:hint="eastAsia" w:ascii="仿宋" w:eastAsia="仿宋"/>
          <w:bCs/>
          <w:sz w:val="32"/>
          <w:szCs w:val="32"/>
        </w:rPr>
        <w:t>5</w:t>
      </w:r>
      <w:r>
        <w:rPr>
          <w:rStyle w:val="17"/>
          <w:rFonts w:ascii="仿宋" w:eastAsia="仿宋"/>
          <w:bCs/>
          <w:sz w:val="32"/>
          <w:szCs w:val="32"/>
        </w:rPr>
        <w:t>.</w:t>
      </w:r>
      <w:r>
        <w:rPr>
          <w:rFonts w:hint="eastAsia"/>
        </w:rPr>
        <w:t xml:space="preserve"> </w:t>
      </w:r>
      <w:r>
        <w:rPr>
          <w:rFonts w:hint="eastAsia" w:ascii="仿宋" w:eastAsia="仿宋"/>
          <w:b/>
          <w:bCs/>
          <w:sz w:val="32"/>
          <w:szCs w:val="32"/>
        </w:rPr>
        <w:t>其他支出229</w:t>
      </w:r>
      <w:r>
        <w:rPr>
          <w:rStyle w:val="17"/>
          <w:rFonts w:hint="eastAsia" w:ascii="仿宋" w:eastAsia="仿宋"/>
          <w:bCs/>
          <w:sz w:val="32"/>
          <w:szCs w:val="32"/>
        </w:rPr>
        <w:t>（类）其他支出99（款）其他支出99（项）</w:t>
      </w:r>
      <w:r>
        <w:rPr>
          <w:rStyle w:val="17"/>
          <w:rFonts w:ascii="仿宋" w:eastAsia="仿宋"/>
          <w:bCs/>
          <w:sz w:val="32"/>
          <w:szCs w:val="32"/>
        </w:rPr>
        <w:t>:</w:t>
      </w:r>
      <w:r>
        <w:rPr>
          <w:rStyle w:val="17"/>
          <w:rFonts w:hint="eastAsia" w:ascii="仿宋" w:eastAsia="仿宋"/>
          <w:b w:val="0"/>
          <w:bCs/>
          <w:sz w:val="32"/>
          <w:szCs w:val="32"/>
        </w:rPr>
        <w:t>支出决算为50万元，完成预算100</w:t>
      </w:r>
      <w:r>
        <w:rPr>
          <w:rStyle w:val="17"/>
          <w:rFonts w:ascii="仿宋" w:eastAsia="仿宋"/>
          <w:b w:val="0"/>
          <w:bCs/>
          <w:sz w:val="32"/>
          <w:szCs w:val="32"/>
        </w:rPr>
        <w:t>%</w:t>
      </w:r>
      <w:r>
        <w:rPr>
          <w:rStyle w:val="17"/>
          <w:rFonts w:hint="eastAsia" w:ascii="仿宋" w:eastAsia="仿宋"/>
          <w:b w:val="0"/>
          <w:bCs/>
          <w:sz w:val="32"/>
          <w:szCs w:val="32"/>
        </w:rPr>
        <w:t>。</w:t>
      </w:r>
    </w:p>
    <w:p>
      <w:pPr>
        <w:tabs>
          <w:tab w:val="right" w:pos="8306"/>
        </w:tabs>
        <w:spacing w:line="600" w:lineRule="exact"/>
        <w:ind w:firstLine="640"/>
        <w:outlineLvl w:val="1"/>
        <w:rPr>
          <w:rStyle w:val="20"/>
        </w:rPr>
      </w:pPr>
      <w:bookmarkStart w:id="48" w:name="_Toc15377214"/>
      <w:bookmarkStart w:id="49" w:name="_Toc15396608"/>
      <w:r>
        <w:rPr>
          <w:rFonts w:hint="eastAsia" w:ascii="黑体" w:eastAsia="黑体"/>
          <w:sz w:val="32"/>
          <w:szCs w:val="32"/>
        </w:rPr>
        <w:t>六</w:t>
      </w:r>
      <w:r>
        <w:rPr>
          <w:rFonts w:hint="eastAsia" w:ascii="黑体" w:eastAsia="黑体"/>
          <w:b/>
          <w:sz w:val="32"/>
          <w:szCs w:val="32"/>
        </w:rPr>
        <w:t>、一</w:t>
      </w:r>
      <w:r>
        <w:rPr>
          <w:rStyle w:val="20"/>
          <w:rFonts w:hint="eastAsia" w:ascii="黑体" w:eastAsia="黑体"/>
          <w:b w:val="0"/>
        </w:rPr>
        <w:t>般公共预算财政拨款基本支出决算情况说明</w:t>
      </w:r>
      <w:bookmarkEnd w:id="48"/>
      <w:bookmarkEnd w:id="49"/>
      <w:r>
        <w:rPr>
          <w:rStyle w:val="20"/>
          <w:rFonts w:ascii="黑体" w:eastAsia="黑体"/>
          <w:b w:val="0"/>
        </w:rPr>
        <w:tab/>
      </w:r>
    </w:p>
    <w:p>
      <w:pPr>
        <w:spacing w:line="600" w:lineRule="exact"/>
        <w:ind w:firstLine="645"/>
        <w:rPr>
          <w:rFonts w:ascii="仿宋" w:eastAsia="仿宋"/>
          <w:sz w:val="32"/>
          <w:szCs w:val="32"/>
        </w:rPr>
      </w:pPr>
      <w:r>
        <w:rPr>
          <w:rFonts w:ascii="仿宋" w:eastAsia="仿宋"/>
          <w:sz w:val="32"/>
          <w:szCs w:val="32"/>
        </w:rPr>
        <w:t>2021</w:t>
      </w:r>
      <w:r>
        <w:rPr>
          <w:rFonts w:hint="eastAsia" w:ascii="仿宋" w:eastAsia="仿宋"/>
          <w:sz w:val="32"/>
          <w:szCs w:val="32"/>
        </w:rPr>
        <w:t>年一般公共预算财政拨款基本支出</w:t>
      </w:r>
      <w:r>
        <w:rPr>
          <w:rFonts w:ascii="仿宋" w:eastAsia="仿宋"/>
          <w:sz w:val="32"/>
          <w:szCs w:val="32"/>
        </w:rPr>
        <w:t>7649.4</w:t>
      </w:r>
      <w:r>
        <w:rPr>
          <w:rFonts w:hint="eastAsia" w:ascii="仿宋" w:eastAsia="仿宋"/>
          <w:sz w:val="32"/>
          <w:szCs w:val="32"/>
        </w:rPr>
        <w:t>万元，其中：</w:t>
      </w:r>
    </w:p>
    <w:p>
      <w:pPr>
        <w:spacing w:line="600" w:lineRule="exact"/>
        <w:ind w:firstLine="645"/>
        <w:rPr>
          <w:rFonts w:ascii="仿宋" w:eastAsia="仿宋"/>
          <w:sz w:val="32"/>
          <w:szCs w:val="32"/>
        </w:rPr>
      </w:pPr>
      <w:r>
        <w:rPr>
          <w:rFonts w:hint="eastAsia" w:ascii="仿宋" w:eastAsia="仿宋"/>
          <w:sz w:val="32"/>
          <w:szCs w:val="32"/>
        </w:rPr>
        <w:t>人员经费</w:t>
      </w:r>
      <w:r>
        <w:rPr>
          <w:rFonts w:ascii="仿宋" w:eastAsia="仿宋"/>
          <w:sz w:val="32"/>
          <w:szCs w:val="32"/>
        </w:rPr>
        <w:t>6900.07</w:t>
      </w:r>
      <w:r>
        <w:rPr>
          <w:rFonts w:hint="eastAsia" w:ascii="仿宋" w:eastAsia="仿宋"/>
          <w:sz w:val="32"/>
          <w:szCs w:val="32"/>
        </w:rPr>
        <w:t>万元，主要包括：基本工资、津贴补贴、奖金、绩效工资、机关事业单位基本养老保险缴费、职工基本医疗保险缴费、公务员医疗补助缴费、其他社会保障缴费、其他工资福利支出、离休费、退休费、抚恤金、生活补助、医疗费补助、住房公积金、其他对个人和家庭的补助支出等。</w:t>
      </w:r>
      <w:r>
        <w:rPr>
          <w:rFonts w:ascii="仿宋" w:eastAsia="仿宋"/>
          <w:sz w:val="32"/>
          <w:szCs w:val="32"/>
        </w:rPr>
        <w:br w:type="textWrapping"/>
      </w:r>
      <w:r>
        <w:rPr>
          <w:rFonts w:hint="eastAsia" w:ascii="仿宋" w:eastAsia="仿宋"/>
          <w:sz w:val="32"/>
          <w:szCs w:val="32"/>
        </w:rPr>
        <w:t>　　公用经费</w:t>
      </w:r>
      <w:r>
        <w:rPr>
          <w:rFonts w:ascii="仿宋" w:eastAsia="仿宋"/>
          <w:sz w:val="32"/>
          <w:szCs w:val="32"/>
        </w:rPr>
        <w:t>749.33</w:t>
      </w:r>
      <w:r>
        <w:rPr>
          <w:rFonts w:hint="eastAsia" w:ascii="仿宋" w:eastAsia="仿宋"/>
          <w:sz w:val="32"/>
          <w:szCs w:val="32"/>
        </w:rPr>
        <w:t>万元，主要包括：办公费、咨询费、手续费、水费、电费、邮电费、物业管理费、差旅费、维修（护）费、会议费、培训费、公务接待费、专用材料费、劳务费、委托业务费、工会经费、福利费、公务用车运行维护费、其他交通费、其他商品和服务支出、办公设备购置等。</w:t>
      </w:r>
    </w:p>
    <w:p>
      <w:pPr>
        <w:spacing w:line="600" w:lineRule="exact"/>
        <w:ind w:firstLine="640"/>
        <w:outlineLvl w:val="1"/>
        <w:rPr>
          <w:rStyle w:val="20"/>
          <w:rFonts w:ascii="黑体" w:eastAsia="黑体"/>
          <w:b w:val="0"/>
        </w:rPr>
      </w:pPr>
      <w:bookmarkStart w:id="50" w:name="_Toc15377215"/>
      <w:bookmarkStart w:id="51" w:name="_Toc15396609"/>
      <w:r>
        <w:rPr>
          <w:rFonts w:hint="eastAsia" w:ascii="黑体" w:eastAsia="黑体"/>
          <w:sz w:val="32"/>
          <w:szCs w:val="32"/>
        </w:rPr>
        <w:t>七、</w:t>
      </w:r>
      <w:r>
        <w:rPr>
          <w:rStyle w:val="20"/>
          <w:rFonts w:hint="eastAsia" w:ascii="黑体" w:eastAsia="黑体"/>
        </w:rPr>
        <w:t>“</w:t>
      </w:r>
      <w:r>
        <w:rPr>
          <w:rStyle w:val="20"/>
          <w:rFonts w:hint="eastAsia" w:ascii="黑体" w:eastAsia="黑体"/>
          <w:b w:val="0"/>
        </w:rPr>
        <w:t>三公”经费财政拨款支出决算情况说明</w:t>
      </w:r>
      <w:bookmarkEnd w:id="50"/>
      <w:bookmarkEnd w:id="51"/>
    </w:p>
    <w:p>
      <w:pPr>
        <w:spacing w:line="600" w:lineRule="exact"/>
        <w:ind w:firstLine="640"/>
        <w:outlineLvl w:val="2"/>
        <w:rPr>
          <w:rFonts w:ascii="仿宋" w:eastAsia="仿宋"/>
          <w:b/>
          <w:sz w:val="32"/>
          <w:szCs w:val="32"/>
        </w:rPr>
      </w:pPr>
      <w:bookmarkStart w:id="52" w:name="_Toc15377216"/>
      <w:r>
        <w:rPr>
          <w:rFonts w:hint="eastAsia" w:ascii="仿宋" w:eastAsia="仿宋"/>
          <w:b/>
          <w:sz w:val="32"/>
          <w:szCs w:val="32"/>
        </w:rPr>
        <w:t>（一）“三公”经费财政拨款支出决算总体情况说明</w:t>
      </w:r>
      <w:bookmarkEnd w:id="52"/>
    </w:p>
    <w:p>
      <w:pPr>
        <w:spacing w:line="600" w:lineRule="exact"/>
        <w:ind w:firstLine="640"/>
        <w:rPr>
          <w:rFonts w:ascii="仿宋" w:eastAsia="仿宋"/>
          <w:sz w:val="32"/>
          <w:szCs w:val="32"/>
        </w:rPr>
      </w:pPr>
      <w:r>
        <w:rPr>
          <w:rFonts w:ascii="仿宋" w:eastAsia="仿宋"/>
          <w:sz w:val="32"/>
          <w:szCs w:val="32"/>
        </w:rPr>
        <w:t>2021</w:t>
      </w:r>
      <w:r>
        <w:rPr>
          <w:rFonts w:hint="eastAsia" w:ascii="仿宋" w:eastAsia="仿宋"/>
          <w:sz w:val="32"/>
          <w:szCs w:val="32"/>
        </w:rPr>
        <w:t>年“三公”经费财政拨款支出决算为</w:t>
      </w:r>
      <w:r>
        <w:rPr>
          <w:rFonts w:ascii="仿宋" w:eastAsia="仿宋"/>
          <w:sz w:val="32"/>
          <w:szCs w:val="32"/>
        </w:rPr>
        <w:t>85.2</w:t>
      </w:r>
      <w:r>
        <w:rPr>
          <w:rFonts w:hint="eastAsia" w:ascii="仿宋" w:eastAsia="仿宋"/>
          <w:sz w:val="32"/>
          <w:szCs w:val="32"/>
        </w:rPr>
        <w:t>5万元，完成预算100</w:t>
      </w:r>
      <w:r>
        <w:rPr>
          <w:rFonts w:ascii="仿宋" w:eastAsia="仿宋"/>
          <w:sz w:val="32"/>
          <w:szCs w:val="32"/>
        </w:rPr>
        <w:t>%</w:t>
      </w:r>
      <w:r>
        <w:rPr>
          <w:rFonts w:hint="eastAsia" w:ascii="仿宋" w:eastAsia="仿宋"/>
          <w:sz w:val="32"/>
          <w:szCs w:val="32"/>
        </w:rPr>
        <w:t>。</w:t>
      </w:r>
    </w:p>
    <w:p>
      <w:pPr>
        <w:spacing w:line="600" w:lineRule="exact"/>
        <w:ind w:firstLine="640"/>
        <w:outlineLvl w:val="2"/>
        <w:rPr>
          <w:rFonts w:ascii="仿宋" w:eastAsia="仿宋"/>
          <w:b/>
          <w:sz w:val="32"/>
          <w:szCs w:val="32"/>
        </w:rPr>
      </w:pPr>
      <w:bookmarkStart w:id="53" w:name="_Toc15377217"/>
      <w:r>
        <w:rPr>
          <w:rFonts w:hint="eastAsia" w:ascii="仿宋" w:eastAsia="仿宋"/>
          <w:b/>
          <w:sz w:val="32"/>
          <w:szCs w:val="32"/>
        </w:rPr>
        <w:t>（二）“三公”经费财政拨款支出决算具体情况说明</w:t>
      </w:r>
      <w:bookmarkEnd w:id="53"/>
    </w:p>
    <w:p>
      <w:pPr>
        <w:spacing w:line="600" w:lineRule="exact"/>
        <w:ind w:firstLine="640"/>
        <w:rPr>
          <w:rFonts w:ascii="仿宋" w:eastAsia="仿宋"/>
          <w:sz w:val="32"/>
          <w:szCs w:val="32"/>
        </w:rPr>
      </w:pPr>
      <w:r>
        <w:rPr>
          <w:rFonts w:ascii="仿宋" w:eastAsia="仿宋"/>
          <w:sz w:val="32"/>
          <w:szCs w:val="32"/>
        </w:rPr>
        <w:t>2021</w:t>
      </w:r>
      <w:r>
        <w:rPr>
          <w:rFonts w:hint="eastAsia" w:ascii="仿宋" w:eastAsia="仿宋"/>
          <w:sz w:val="32"/>
          <w:szCs w:val="32"/>
        </w:rPr>
        <w:t>年“三公”经费财政拨款支出决算中，因公出国（境）费支出决算</w:t>
      </w:r>
      <w:r>
        <w:rPr>
          <w:rFonts w:ascii="仿宋" w:eastAsia="仿宋"/>
          <w:sz w:val="32"/>
          <w:szCs w:val="32"/>
        </w:rPr>
        <w:t>0</w:t>
      </w:r>
      <w:r>
        <w:rPr>
          <w:rFonts w:hint="eastAsia" w:ascii="仿宋" w:eastAsia="仿宋"/>
          <w:sz w:val="32"/>
          <w:szCs w:val="32"/>
        </w:rPr>
        <w:t>万元，占</w:t>
      </w:r>
      <w:r>
        <w:rPr>
          <w:rFonts w:ascii="仿宋" w:eastAsia="仿宋"/>
          <w:sz w:val="32"/>
          <w:szCs w:val="32"/>
        </w:rPr>
        <w:t>0%</w:t>
      </w:r>
      <w:r>
        <w:rPr>
          <w:rFonts w:hint="eastAsia" w:ascii="仿宋" w:eastAsia="仿宋"/>
          <w:sz w:val="32"/>
          <w:szCs w:val="32"/>
        </w:rPr>
        <w:t>；公务用车购置及运行维护费支出决算</w:t>
      </w:r>
      <w:r>
        <w:rPr>
          <w:rFonts w:ascii="仿宋" w:eastAsia="仿宋"/>
          <w:sz w:val="32"/>
          <w:szCs w:val="32"/>
        </w:rPr>
        <w:t>81.</w:t>
      </w:r>
      <w:r>
        <w:rPr>
          <w:rFonts w:hint="eastAsia" w:ascii="仿宋" w:eastAsia="仿宋"/>
          <w:sz w:val="32"/>
          <w:szCs w:val="32"/>
        </w:rPr>
        <w:t>8万元，占</w:t>
      </w:r>
      <w:r>
        <w:rPr>
          <w:rFonts w:ascii="仿宋" w:eastAsia="仿宋"/>
          <w:sz w:val="32"/>
          <w:szCs w:val="32"/>
        </w:rPr>
        <w:t>95.95%</w:t>
      </w:r>
      <w:r>
        <w:rPr>
          <w:rFonts w:hint="eastAsia" w:ascii="仿宋" w:eastAsia="仿宋"/>
          <w:sz w:val="32"/>
          <w:szCs w:val="32"/>
        </w:rPr>
        <w:t>；公务接待费支出决算</w:t>
      </w:r>
      <w:r>
        <w:rPr>
          <w:rFonts w:ascii="仿宋" w:eastAsia="仿宋"/>
          <w:sz w:val="32"/>
          <w:szCs w:val="32"/>
        </w:rPr>
        <w:t>3.45</w:t>
      </w:r>
      <w:r>
        <w:rPr>
          <w:rFonts w:hint="eastAsia" w:ascii="仿宋" w:eastAsia="仿宋"/>
          <w:sz w:val="32"/>
          <w:szCs w:val="32"/>
        </w:rPr>
        <w:t>万元，占</w:t>
      </w:r>
      <w:r>
        <w:rPr>
          <w:rFonts w:ascii="仿宋" w:eastAsia="仿宋"/>
          <w:sz w:val="32"/>
          <w:szCs w:val="32"/>
        </w:rPr>
        <w:t>4.05%</w:t>
      </w:r>
      <w:r>
        <w:rPr>
          <w:rFonts w:hint="eastAsia" w:ascii="仿宋" w:eastAsia="仿宋"/>
          <w:sz w:val="32"/>
          <w:szCs w:val="32"/>
        </w:rPr>
        <w:t>。具体情况如下：</w:t>
      </w:r>
    </w:p>
    <w:p>
      <w:pPr>
        <w:spacing w:line="600" w:lineRule="exact"/>
        <w:ind w:firstLine="640"/>
        <w:rPr>
          <w:rFonts w:ascii="仿宋" w:eastAsia="仿宋"/>
          <w:color w:val="000000"/>
          <w:sz w:val="30"/>
          <w:szCs w:val="30"/>
        </w:rPr>
      </w:pPr>
      <w:r>
        <w:rPr>
          <w:rFonts w:hint="eastAsia" w:ascii="仿宋" w:eastAsia="仿宋"/>
          <w:sz w:val="32"/>
          <w:szCs w:val="32"/>
        </w:rPr>
        <w:t>（图</w:t>
      </w:r>
      <w:r>
        <w:rPr>
          <w:rFonts w:ascii="仿宋" w:eastAsia="仿宋"/>
          <w:sz w:val="32"/>
          <w:szCs w:val="32"/>
        </w:rPr>
        <w:t>7</w:t>
      </w:r>
      <w:r>
        <w:rPr>
          <w:rFonts w:hint="eastAsia" w:ascii="仿宋" w:eastAsia="仿宋"/>
          <w:sz w:val="32"/>
          <w:szCs w:val="32"/>
        </w:rPr>
        <w:t>：“三公”经费财政拨款支出结构）（饼状图）</w:t>
      </w:r>
      <w:r>
        <w:rPr>
          <w:rFonts w:hint="eastAsia" w:ascii="仿宋" w:eastAsia="仿宋"/>
          <w:color w:val="000000"/>
          <w:sz w:val="30"/>
          <w:szCs w:val="30"/>
        </w:rPr>
        <w:t>单位：万元</w:t>
      </w:r>
    </w:p>
    <w:p>
      <w:pPr>
        <w:pStyle w:val="2"/>
        <w:spacing w:before="93" w:beforeLines="0"/>
      </w:pPr>
    </w:p>
    <w:p>
      <w:pPr>
        <w:pStyle w:val="2"/>
        <w:spacing w:before="93" w:beforeLines="0"/>
      </w:pPr>
      <w:r>
        <w:drawing>
          <wp:inline distT="0" distB="0" distL="0" distR="0">
            <wp:extent cx="5070475" cy="2743200"/>
            <wp:effectExtent l="0" t="0" r="0" b="0"/>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spacing w:before="93" w:beforeLines="0"/>
      </w:pP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ascii="仿宋_GB2312" w:eastAsia="仿宋_GB2312"/>
          <w:sz w:val="32"/>
          <w:szCs w:val="32"/>
        </w:rPr>
        <w:t>0</w:t>
      </w:r>
      <w:r>
        <w:rPr>
          <w:rFonts w:hint="eastAsia" w:ascii="仿宋_GB2312" w:eastAsia="仿宋_GB2312"/>
          <w:sz w:val="32"/>
          <w:szCs w:val="32"/>
        </w:rPr>
        <w:t>万元，</w:t>
      </w:r>
      <w:r>
        <w:rPr>
          <w:rStyle w:val="17"/>
          <w:rFonts w:hint="eastAsia" w:ascii="仿宋" w:eastAsia="仿宋"/>
          <w:b w:val="0"/>
          <w:bCs/>
          <w:sz w:val="32"/>
          <w:szCs w:val="32"/>
        </w:rPr>
        <w:t>完成预算</w:t>
      </w:r>
      <w:r>
        <w:rPr>
          <w:rStyle w:val="17"/>
          <w:rFonts w:ascii="仿宋" w:eastAsia="仿宋"/>
          <w:b w:val="0"/>
          <w:bCs/>
          <w:sz w:val="32"/>
          <w:szCs w:val="32"/>
        </w:rPr>
        <w:t>0%</w:t>
      </w:r>
      <w:r>
        <w:rPr>
          <w:rStyle w:val="17"/>
          <w:rFonts w:hint="eastAsia" w:ascii="仿宋" w:eastAsia="仿宋"/>
          <w:b w:val="0"/>
          <w:bCs/>
          <w:sz w:val="32"/>
          <w:szCs w:val="32"/>
        </w:rPr>
        <w:t>。</w:t>
      </w:r>
      <w:r>
        <w:rPr>
          <w:rFonts w:hint="eastAsia" w:ascii="仿宋_GB2312" w:eastAsia="仿宋_GB2312"/>
          <w:sz w:val="32"/>
          <w:szCs w:val="32"/>
        </w:rPr>
        <w:t>全年安排因公出国（境）团组</w:t>
      </w:r>
      <w:r>
        <w:rPr>
          <w:rFonts w:ascii="仿宋_GB2312" w:eastAsia="仿宋_GB2312"/>
          <w:sz w:val="32"/>
          <w:szCs w:val="32"/>
        </w:rPr>
        <w:t>0</w:t>
      </w:r>
      <w:r>
        <w:rPr>
          <w:rFonts w:hint="eastAsia" w:ascii="仿宋_GB2312" w:eastAsia="仿宋_GB2312"/>
          <w:sz w:val="32"/>
          <w:szCs w:val="32"/>
        </w:rPr>
        <w:t>次，出国（境）</w:t>
      </w:r>
      <w:r>
        <w:rPr>
          <w:rFonts w:ascii="仿宋_GB2312" w:eastAsia="仿宋_GB2312"/>
          <w:sz w:val="32"/>
          <w:szCs w:val="32"/>
        </w:rPr>
        <w:t>0</w:t>
      </w:r>
      <w:r>
        <w:rPr>
          <w:rFonts w:hint="eastAsia" w:ascii="仿宋_GB2312" w:eastAsia="仿宋_GB2312"/>
          <w:sz w:val="32"/>
          <w:szCs w:val="32"/>
        </w:rPr>
        <w:t>人。因公出国（境）支出决算比</w:t>
      </w:r>
      <w:r>
        <w:rPr>
          <w:rFonts w:ascii="仿宋_GB2312" w:eastAsia="仿宋_GB2312"/>
          <w:sz w:val="32"/>
          <w:szCs w:val="32"/>
        </w:rPr>
        <w:t>2020</w:t>
      </w:r>
      <w:r>
        <w:rPr>
          <w:rFonts w:hint="eastAsia" w:ascii="仿宋_GB2312" w:eastAsia="仿宋_GB2312"/>
          <w:sz w:val="32"/>
          <w:szCs w:val="32"/>
        </w:rPr>
        <w:t>年增加</w:t>
      </w:r>
      <w:r>
        <w:rPr>
          <w:rFonts w:ascii="仿宋_GB2312" w:eastAsia="仿宋_GB2312"/>
          <w:sz w:val="32"/>
          <w:szCs w:val="32"/>
        </w:rPr>
        <w:t>/</w:t>
      </w:r>
      <w:r>
        <w:rPr>
          <w:rFonts w:hint="eastAsia" w:ascii="仿宋_GB2312" w:eastAsia="仿宋_GB2312"/>
          <w:sz w:val="32"/>
          <w:szCs w:val="32"/>
        </w:rPr>
        <w:t>减少</w:t>
      </w:r>
      <w:r>
        <w:rPr>
          <w:rFonts w:ascii="仿宋_GB2312" w:eastAsia="仿宋_GB2312"/>
          <w:sz w:val="32"/>
          <w:szCs w:val="32"/>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ascii="仿宋_GB2312" w:eastAsia="仿宋_GB2312"/>
          <w:sz w:val="32"/>
          <w:szCs w:val="32"/>
        </w:rPr>
        <w:t>0%</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eastAsia="仿宋"/>
          <w:sz w:val="32"/>
          <w:szCs w:val="32"/>
        </w:rPr>
        <w:t>81.</w:t>
      </w:r>
      <w:r>
        <w:rPr>
          <w:rFonts w:hint="eastAsia" w:ascii="仿宋" w:eastAsia="仿宋"/>
          <w:sz w:val="32"/>
          <w:szCs w:val="32"/>
        </w:rPr>
        <w:t>8</w:t>
      </w:r>
      <w:r>
        <w:rPr>
          <w:rFonts w:hint="eastAsia" w:ascii="仿宋_GB2312" w:eastAsia="仿宋_GB2312"/>
          <w:sz w:val="32"/>
          <w:szCs w:val="32"/>
        </w:rPr>
        <w:t>万元</w:t>
      </w:r>
      <w:r>
        <w:rPr>
          <w:rFonts w:ascii="仿宋_GB2312" w:eastAsia="仿宋_GB2312"/>
          <w:sz w:val="32"/>
          <w:szCs w:val="32"/>
        </w:rPr>
        <w:t>,</w:t>
      </w:r>
      <w:r>
        <w:rPr>
          <w:rStyle w:val="17"/>
          <w:rFonts w:hint="eastAsia" w:ascii="仿宋" w:eastAsia="仿宋"/>
          <w:b w:val="0"/>
          <w:bCs/>
          <w:sz w:val="32"/>
          <w:szCs w:val="32"/>
        </w:rPr>
        <w:t>完成预算100</w:t>
      </w:r>
      <w:r>
        <w:rPr>
          <w:rStyle w:val="17"/>
          <w:rFonts w:ascii="仿宋" w:eastAsia="仿宋"/>
          <w:b w:val="0"/>
          <w:bCs/>
          <w:sz w:val="32"/>
          <w:szCs w:val="32"/>
        </w:rPr>
        <w:t>%</w:t>
      </w:r>
      <w:r>
        <w:rPr>
          <w:rStyle w:val="17"/>
          <w:rFonts w:hint="eastAsia" w:asci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2020</w:t>
      </w:r>
      <w:r>
        <w:rPr>
          <w:rFonts w:hint="eastAsia" w:ascii="仿宋_GB2312" w:eastAsia="仿宋_GB2312"/>
          <w:sz w:val="32"/>
          <w:szCs w:val="32"/>
        </w:rPr>
        <w:t>年减少</w:t>
      </w:r>
      <w:r>
        <w:rPr>
          <w:rFonts w:ascii="仿宋_GB2312" w:eastAsia="仿宋_GB2312"/>
          <w:sz w:val="32"/>
          <w:szCs w:val="32"/>
        </w:rPr>
        <w:t>41.4</w:t>
      </w:r>
      <w:r>
        <w:rPr>
          <w:rFonts w:hint="eastAsia" w:ascii="仿宋_GB2312" w:eastAsia="仿宋_GB2312"/>
          <w:sz w:val="32"/>
          <w:szCs w:val="32"/>
        </w:rPr>
        <w:t>5万元，下降</w:t>
      </w:r>
      <w:r>
        <w:rPr>
          <w:rFonts w:ascii="仿宋_GB2312" w:eastAsia="仿宋_GB2312"/>
          <w:sz w:val="32"/>
          <w:szCs w:val="32"/>
        </w:rPr>
        <w:t>33.6</w:t>
      </w: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。主要原因一是市政服务中心2021年报废5辆特种作业车；二是</w:t>
      </w:r>
      <w:r>
        <w:rPr>
          <w:rFonts w:ascii="仿宋_GB2312" w:eastAsia="仿宋_GB2312"/>
          <w:sz w:val="32"/>
          <w:szCs w:val="32"/>
        </w:rPr>
        <w:t>部分</w:t>
      </w:r>
      <w:r>
        <w:rPr>
          <w:rFonts w:hint="eastAsia" w:ascii="仿宋_GB2312" w:eastAsia="仿宋_GB2312"/>
          <w:color w:val="000000"/>
          <w:sz w:val="32"/>
          <w:szCs w:val="32"/>
        </w:rPr>
        <w:t>公务用车燃料费</w:t>
      </w:r>
      <w:r>
        <w:rPr>
          <w:rFonts w:ascii="仿宋_GB2312" w:eastAsia="仿宋_GB2312"/>
          <w:sz w:val="32"/>
          <w:szCs w:val="32"/>
        </w:rPr>
        <w:t>、修理费年终未执行</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_GB2312" w:eastAsia="仿宋_GB2312"/>
          <w:sz w:val="32"/>
          <w:szCs w:val="32"/>
        </w:rPr>
        <w:t>0</w:t>
      </w:r>
      <w:r>
        <w:rPr>
          <w:rFonts w:hint="eastAsia" w:ascii="仿宋_GB2312" w:eastAsia="仿宋_GB2312"/>
          <w:sz w:val="32"/>
          <w:szCs w:val="32"/>
        </w:rPr>
        <w:t>万元。全年按规定更新购置公务用车</w:t>
      </w:r>
      <w:r>
        <w:rPr>
          <w:rFonts w:ascii="仿宋_GB2312" w:eastAsia="仿宋_GB2312"/>
          <w:sz w:val="32"/>
          <w:szCs w:val="32"/>
        </w:rPr>
        <w:t>0</w:t>
      </w:r>
      <w:r>
        <w:rPr>
          <w:rFonts w:hint="eastAsia" w:ascii="仿宋_GB2312" w:eastAsia="仿宋_GB2312"/>
          <w:sz w:val="32"/>
          <w:szCs w:val="32"/>
        </w:rPr>
        <w:t>辆，其中：轿车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w:t>
      </w:r>
      <w:r>
        <w:rPr>
          <w:rFonts w:hint="eastAsia" w:ascii="仿宋_GB2312" w:eastAsia="仿宋_GB2312"/>
          <w:sz w:val="32"/>
          <w:szCs w:val="32"/>
        </w:rPr>
        <w:t>万元，越野车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w:t>
      </w:r>
      <w:r>
        <w:rPr>
          <w:rFonts w:hint="eastAsia" w:ascii="仿宋_GB2312" w:eastAsia="仿宋_GB2312"/>
          <w:sz w:val="32"/>
          <w:szCs w:val="32"/>
        </w:rPr>
        <w:t>万元，载客汽车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w:t>
      </w:r>
      <w:r>
        <w:rPr>
          <w:rFonts w:hint="eastAsia" w:ascii="仿宋_GB2312" w:eastAsia="仿宋_GB2312"/>
          <w:sz w:val="32"/>
          <w:szCs w:val="32"/>
        </w:rPr>
        <w:t>万元。截至</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月底，单位共有公务用车60辆，其中：轿车10辆、越野车11辆、载客汽车</w:t>
      </w:r>
      <w:r>
        <w:rPr>
          <w:rFonts w:ascii="仿宋_GB2312" w:eastAsia="仿宋_GB2312"/>
          <w:sz w:val="32"/>
          <w:szCs w:val="32"/>
        </w:rPr>
        <w:t>0</w:t>
      </w:r>
      <w:r>
        <w:rPr>
          <w:rFonts w:hint="eastAsia" w:ascii="仿宋_GB2312" w:eastAsia="仿宋_GB2312"/>
          <w:sz w:val="32"/>
          <w:szCs w:val="32"/>
        </w:rPr>
        <w:t>辆、</w:t>
      </w:r>
      <w:r>
        <w:rPr>
          <w:rFonts w:hint="eastAsia" w:ascii="仿宋_GB2312" w:hAnsi="仿宋_GB2312" w:eastAsia="仿宋"/>
          <w:color w:val="000000"/>
          <w:sz w:val="32"/>
          <w:szCs w:val="32"/>
        </w:rPr>
        <w:t>货车及特种作业车39辆</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_GB2312" w:eastAsia="仿宋_GB2312"/>
          <w:sz w:val="32"/>
          <w:szCs w:val="32"/>
        </w:rPr>
        <w:t>81.</w:t>
      </w:r>
      <w:r>
        <w:rPr>
          <w:rFonts w:hint="eastAsia" w:ascii="仿宋_GB2312" w:eastAsia="仿宋_GB2312"/>
          <w:sz w:val="32"/>
          <w:szCs w:val="32"/>
        </w:rPr>
        <w:t>8万元。</w:t>
      </w:r>
      <w:r>
        <w:rPr>
          <w:rFonts w:hint="eastAsia" w:ascii="仿宋_GB2312" w:eastAsia="仿宋_GB2312"/>
          <w:color w:val="000000"/>
          <w:sz w:val="32"/>
          <w:szCs w:val="32"/>
        </w:rPr>
        <w:t>主要用于开展住房保障、建筑质量监督、城乡村镇建设、房地产管理</w:t>
      </w:r>
      <w:r>
        <w:rPr>
          <w:rFonts w:hint="eastAsia" w:ascii="仿宋_GB2312" w:eastAsia="仿宋_GB2312"/>
          <w:sz w:val="32"/>
          <w:szCs w:val="32"/>
        </w:rPr>
        <w:t>、房地产市场专项检查、安全大检查、工程监督检查、稽查投诉、</w:t>
      </w:r>
      <w:r>
        <w:rPr>
          <w:rFonts w:hint="eastAsia" w:ascii="仿宋" w:eastAsia="仿宋"/>
          <w:sz w:val="32"/>
          <w:szCs w:val="32"/>
        </w:rPr>
        <w:t>城市基础设施配套费征收、房改房维修资金的现场核查</w:t>
      </w:r>
      <w:r>
        <w:rPr>
          <w:rFonts w:hint="eastAsia" w:ascii="仿宋_GB2312" w:eastAsia="仿宋_GB2312"/>
          <w:color w:val="000000"/>
          <w:sz w:val="32"/>
          <w:szCs w:val="32"/>
        </w:rPr>
        <w:t>、商品房维修资金使用现场勘查、建设工程质量安全抽检、</w:t>
      </w:r>
      <w:r>
        <w:rPr>
          <w:rFonts w:hint="eastAsia" w:ascii="仿宋_GB2312" w:hAnsi="仿宋_GB2312" w:eastAsia="仿宋"/>
          <w:color w:val="000000"/>
          <w:sz w:val="32"/>
          <w:szCs w:val="32"/>
        </w:rPr>
        <w:t>市政公用设施维修维护</w:t>
      </w:r>
      <w:r>
        <w:rPr>
          <w:rFonts w:hint="eastAsia" w:ascii="仿宋_GB2312" w:eastAsia="仿宋_GB2312"/>
          <w:color w:val="000000"/>
          <w:sz w:val="32"/>
          <w:szCs w:val="32"/>
        </w:rPr>
        <w:t>等所需的公务用车燃料费、维修费、过路过桥费、保险费等支出</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eastAsia="仿宋"/>
          <w:sz w:val="32"/>
          <w:szCs w:val="32"/>
        </w:rPr>
        <w:t>3.45</w:t>
      </w:r>
      <w:r>
        <w:rPr>
          <w:rFonts w:hint="eastAsia" w:ascii="仿宋_GB2312" w:eastAsia="仿宋_GB2312"/>
          <w:sz w:val="32"/>
          <w:szCs w:val="32"/>
        </w:rPr>
        <w:t>万元，</w:t>
      </w:r>
      <w:r>
        <w:rPr>
          <w:rStyle w:val="17"/>
          <w:rFonts w:hint="eastAsia" w:ascii="仿宋" w:eastAsia="仿宋"/>
          <w:b w:val="0"/>
          <w:bCs/>
          <w:sz w:val="32"/>
          <w:szCs w:val="32"/>
        </w:rPr>
        <w:t>完成预算100</w:t>
      </w:r>
      <w:r>
        <w:rPr>
          <w:rStyle w:val="17"/>
          <w:rFonts w:ascii="仿宋" w:eastAsia="仿宋"/>
          <w:b w:val="0"/>
          <w:bCs/>
          <w:sz w:val="32"/>
          <w:szCs w:val="32"/>
        </w:rPr>
        <w:t>%</w:t>
      </w:r>
      <w:r>
        <w:rPr>
          <w:rStyle w:val="17"/>
          <w:rFonts w:hint="eastAsia" w:asci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2020</w:t>
      </w:r>
      <w:r>
        <w:rPr>
          <w:rFonts w:hint="eastAsia" w:ascii="仿宋_GB2312" w:eastAsia="仿宋_GB2312"/>
          <w:sz w:val="32"/>
          <w:szCs w:val="32"/>
        </w:rPr>
        <w:t>年减少</w:t>
      </w:r>
      <w:r>
        <w:rPr>
          <w:rFonts w:ascii="仿宋_GB2312" w:eastAsia="仿宋_GB2312"/>
          <w:sz w:val="32"/>
          <w:szCs w:val="32"/>
        </w:rPr>
        <w:t>0.4</w:t>
      </w:r>
      <w:r>
        <w:rPr>
          <w:rFonts w:hint="eastAsia" w:ascii="仿宋_GB2312" w:eastAsia="仿宋_GB2312"/>
          <w:sz w:val="32"/>
          <w:szCs w:val="32"/>
        </w:rPr>
        <w:t>万元，下降</w:t>
      </w:r>
      <w:r>
        <w:rPr>
          <w:rFonts w:ascii="仿宋_GB2312" w:eastAsia="仿宋_GB2312"/>
          <w:sz w:val="32"/>
          <w:szCs w:val="32"/>
        </w:rPr>
        <w:t>10.39%</w:t>
      </w:r>
      <w:r>
        <w:rPr>
          <w:rFonts w:hint="eastAsia" w:ascii="仿宋_GB2312" w:eastAsia="仿宋_GB2312"/>
          <w:sz w:val="32"/>
          <w:szCs w:val="32"/>
        </w:rPr>
        <w:t>。主要原因是</w:t>
      </w:r>
      <w:r>
        <w:rPr>
          <w:rFonts w:ascii="仿宋_GB2312" w:eastAsia="仿宋_GB2312"/>
          <w:sz w:val="32"/>
          <w:szCs w:val="32"/>
        </w:rPr>
        <w:t>部分支出年终未执行</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eastAsia="仿宋"/>
          <w:b/>
          <w:sz w:val="32"/>
          <w:szCs w:val="32"/>
        </w:rPr>
        <w:t>国内公务接待支出</w:t>
      </w:r>
      <w:r>
        <w:rPr>
          <w:rFonts w:ascii="仿宋" w:eastAsia="仿宋"/>
          <w:sz w:val="32"/>
          <w:szCs w:val="32"/>
        </w:rPr>
        <w:t>3.45</w:t>
      </w:r>
      <w:r>
        <w:rPr>
          <w:rFonts w:hint="eastAsia" w:ascii="仿宋_GB2312" w:eastAsia="仿宋_GB2312"/>
          <w:sz w:val="32"/>
          <w:szCs w:val="32"/>
        </w:rPr>
        <w:t>万元，</w:t>
      </w:r>
      <w:r>
        <w:rPr>
          <w:rFonts w:hint="eastAsia" w:ascii="仿宋_GB2312" w:eastAsia="仿宋_GB2312"/>
          <w:color w:val="000000"/>
          <w:sz w:val="32"/>
          <w:szCs w:val="32"/>
        </w:rPr>
        <w:t>主要用于接待省厅各项检查和执行公务、开展业务活动开支的用餐费</w:t>
      </w:r>
      <w:r>
        <w:rPr>
          <w:rFonts w:hint="eastAsia" w:ascii="仿宋_GB2312" w:eastAsia="仿宋_GB2312"/>
          <w:sz w:val="32"/>
          <w:szCs w:val="32"/>
        </w:rPr>
        <w:t>。国内公务接待22批次，196人次，共计支出3.45万元，具体内容包括：重庆綦江来攀考察学习2149元，省领导赴攀开展</w:t>
      </w:r>
      <w:r>
        <w:rPr>
          <w:rFonts w:hint="default" w:ascii="仿宋_GB2312" w:eastAsia="仿宋_GB2312"/>
          <w:sz w:val="32"/>
          <w:szCs w:val="32"/>
          <w:lang w:val="en"/>
        </w:rPr>
        <w:t>“十四五”规划</w:t>
      </w:r>
      <w:r>
        <w:rPr>
          <w:rFonts w:hint="eastAsia" w:ascii="仿宋_GB2312" w:eastAsia="仿宋_GB2312"/>
          <w:sz w:val="32"/>
          <w:szCs w:val="32"/>
        </w:rPr>
        <w:t>编制工作督导调研2286元，省厅到攀验收长江经济带环境整改工作1210元，省厅到攀开展十四五住房资金使用和房地产督导调研1994元，省厅莅攀督导防汛减灾地质灾害工作1308元，省厅赴攀开展历史文化名城评审工作、房屋建筑安全排查督导工作4028元。接待省住建厅百日攻坚及省检测机构检查接待费3198元、全省起重机械安全专项调研组接待费1994元、</w:t>
      </w:r>
      <w:r>
        <w:rPr>
          <w:rFonts w:hint="eastAsia" w:ascii="仿宋" w:eastAsia="仿宋"/>
          <w:sz w:val="32"/>
          <w:szCs w:val="32"/>
        </w:rPr>
        <w:t>非税收入调研接待1447元、</w:t>
      </w:r>
      <w:r>
        <w:rPr>
          <w:rFonts w:hint="eastAsia" w:ascii="仿宋_GB2312" w:eastAsia="仿宋_GB2312"/>
          <w:sz w:val="32"/>
          <w:szCs w:val="32"/>
        </w:rPr>
        <w:t>房地产信息平台升级改造会790元、“花城易居”微信公众号运营对接408元、信息平台与不动产运营对接629元、达州房地产事务中心业务交流1358元、内江市住房和城乡建设局专项工作检查1520元。</w:t>
      </w:r>
    </w:p>
    <w:p>
      <w:pPr>
        <w:spacing w:line="600" w:lineRule="exact"/>
        <w:ind w:firstLine="642" w:firstLineChars="200"/>
        <w:rPr>
          <w:rFonts w:ascii="黑体" w:eastAsia="黑体"/>
          <w:sz w:val="32"/>
          <w:szCs w:val="32"/>
        </w:rPr>
      </w:pPr>
      <w:r>
        <w:rPr>
          <w:rFonts w:hint="eastAsia" w:ascii="仿宋" w:eastAsia="仿宋"/>
          <w:b/>
          <w:sz w:val="32"/>
          <w:szCs w:val="32"/>
        </w:rPr>
        <w:t>外事接待支出</w:t>
      </w:r>
      <w:r>
        <w:rPr>
          <w:rFonts w:ascii="仿宋" w:eastAsia="仿宋"/>
          <w:sz w:val="32"/>
          <w:szCs w:val="32"/>
        </w:rPr>
        <w:t>0</w:t>
      </w:r>
      <w:r>
        <w:rPr>
          <w:rFonts w:hint="eastAsia" w:ascii="仿宋_GB2312" w:eastAsia="仿宋_GB2312"/>
          <w:sz w:val="32"/>
          <w:szCs w:val="32"/>
        </w:rPr>
        <w:t>万元，外事接待</w:t>
      </w:r>
      <w:r>
        <w:rPr>
          <w:rFonts w:ascii="仿宋_GB2312" w:eastAsia="仿宋_GB2312"/>
          <w:sz w:val="32"/>
          <w:szCs w:val="32"/>
        </w:rPr>
        <w:t>0</w:t>
      </w:r>
      <w:r>
        <w:rPr>
          <w:rFonts w:hint="eastAsia" w:ascii="仿宋_GB2312" w:eastAsia="仿宋_GB2312"/>
          <w:sz w:val="32"/>
          <w:szCs w:val="32"/>
        </w:rPr>
        <w:t>批次，</w:t>
      </w:r>
      <w:r>
        <w:rPr>
          <w:rFonts w:ascii="仿宋_GB2312" w:eastAsia="仿宋_GB2312"/>
          <w:sz w:val="32"/>
          <w:szCs w:val="32"/>
        </w:rPr>
        <w:t>0</w:t>
      </w:r>
      <w:r>
        <w:rPr>
          <w:rFonts w:hint="eastAsia" w:ascii="仿宋_GB2312" w:eastAsia="仿宋_GB2312"/>
          <w:sz w:val="32"/>
          <w:szCs w:val="32"/>
        </w:rPr>
        <w:t>人，共计支出</w:t>
      </w:r>
      <w:r>
        <w:rPr>
          <w:rFonts w:ascii="仿宋_GB2312" w:eastAsia="仿宋_GB2312"/>
          <w:sz w:val="32"/>
          <w:szCs w:val="32"/>
        </w:rPr>
        <w:t>0</w:t>
      </w:r>
      <w:r>
        <w:rPr>
          <w:rFonts w:hint="eastAsia" w:ascii="仿宋_GB2312" w:eastAsia="仿宋_GB2312"/>
          <w:sz w:val="32"/>
          <w:szCs w:val="32"/>
        </w:rPr>
        <w:t>万元</w:t>
      </w:r>
      <w:bookmarkStart w:id="54" w:name="_Toc15377218"/>
      <w:bookmarkStart w:id="55" w:name="_Toc15396610"/>
      <w:r>
        <w:rPr>
          <w:rFonts w:hint="eastAsia" w:ascii="仿宋_GB2312" w:eastAsia="仿宋_GB2312"/>
          <w:sz w:val="32"/>
          <w:szCs w:val="32"/>
        </w:rPr>
        <w:t>。</w:t>
      </w:r>
    </w:p>
    <w:p>
      <w:pPr>
        <w:spacing w:line="600" w:lineRule="exact"/>
        <w:ind w:firstLine="640"/>
        <w:outlineLvl w:val="1"/>
        <w:rPr>
          <w:rStyle w:val="20"/>
          <w:rFonts w:ascii="黑体" w:eastAsia="黑体"/>
        </w:rPr>
      </w:pPr>
      <w:r>
        <w:rPr>
          <w:rFonts w:hint="eastAsia" w:ascii="黑体" w:eastAsia="黑体"/>
          <w:sz w:val="32"/>
          <w:szCs w:val="32"/>
        </w:rPr>
        <w:t>八、</w:t>
      </w:r>
      <w:r>
        <w:rPr>
          <w:rStyle w:val="20"/>
          <w:rFonts w:hint="eastAsia" w:ascii="黑体" w:eastAsia="黑体"/>
          <w:b w:val="0"/>
        </w:rPr>
        <w:t>政府性基金预算支出决算情况说明</w:t>
      </w:r>
      <w:bookmarkEnd w:id="54"/>
      <w:bookmarkEnd w:id="55"/>
    </w:p>
    <w:p>
      <w:pPr>
        <w:spacing w:line="600" w:lineRule="exact"/>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年政府性基金预算财政拨款支出</w:t>
      </w:r>
      <w:r>
        <w:rPr>
          <w:rFonts w:ascii="仿宋_GB2312" w:eastAsia="仿宋_GB2312"/>
          <w:sz w:val="32"/>
          <w:szCs w:val="32"/>
        </w:rPr>
        <w:t>984.51</w:t>
      </w:r>
      <w:r>
        <w:rPr>
          <w:rFonts w:hint="eastAsia" w:ascii="仿宋_GB2312" w:eastAsia="仿宋_GB2312"/>
          <w:sz w:val="32"/>
          <w:szCs w:val="32"/>
        </w:rPr>
        <w:t>万元。</w:t>
      </w:r>
    </w:p>
    <w:p>
      <w:pPr>
        <w:numPr>
          <w:ilvl w:val="0"/>
          <w:numId w:val="3"/>
        </w:numPr>
        <w:spacing w:line="600" w:lineRule="exact"/>
        <w:ind w:left="0" w:firstLine="640"/>
        <w:outlineLvl w:val="1"/>
        <w:rPr>
          <w:rStyle w:val="20"/>
          <w:rFonts w:ascii="黑体" w:eastAsia="黑体"/>
          <w:b w:val="0"/>
        </w:rPr>
      </w:pPr>
      <w:bookmarkStart w:id="56" w:name="_Toc15396611"/>
      <w:bookmarkStart w:id="57" w:name="_Toc15377219"/>
      <w:r>
        <w:rPr>
          <w:rStyle w:val="20"/>
          <w:rFonts w:hint="eastAsia" w:ascii="黑体" w:eastAsia="黑体"/>
          <w:b w:val="0"/>
        </w:rPr>
        <w:t>国有资本经营预算支出决算情况说明</w:t>
      </w:r>
      <w:bookmarkEnd w:id="56"/>
      <w:bookmarkEnd w:id="57"/>
    </w:p>
    <w:p>
      <w:pPr>
        <w:spacing w:line="600" w:lineRule="exact"/>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年国有资本经营预算财政拨款支出</w:t>
      </w:r>
      <w:r>
        <w:rPr>
          <w:rFonts w:ascii="仿宋_GB2312" w:eastAsia="仿宋_GB2312"/>
          <w:sz w:val="32"/>
          <w:szCs w:val="32"/>
        </w:rPr>
        <w:t>0</w:t>
      </w:r>
      <w:r>
        <w:rPr>
          <w:rFonts w:hint="eastAsia" w:ascii="仿宋_GB2312" w:eastAsia="仿宋_GB2312"/>
          <w:sz w:val="32"/>
          <w:szCs w:val="32"/>
        </w:rPr>
        <w:t>万元。</w:t>
      </w:r>
    </w:p>
    <w:p>
      <w:pPr>
        <w:numPr>
          <w:ilvl w:val="0"/>
          <w:numId w:val="3"/>
        </w:numPr>
        <w:spacing w:line="600" w:lineRule="exact"/>
        <w:ind w:left="0" w:firstLine="640"/>
        <w:outlineLvl w:val="1"/>
        <w:rPr>
          <w:rStyle w:val="20"/>
          <w:rFonts w:ascii="黑体" w:eastAsia="黑体"/>
          <w:b w:val="0"/>
        </w:rPr>
      </w:pPr>
      <w:bookmarkStart w:id="58" w:name="_Toc15396612"/>
      <w:bookmarkStart w:id="59" w:name="_Toc15377221"/>
      <w:r>
        <w:rPr>
          <w:rStyle w:val="20"/>
          <w:rFonts w:hint="eastAsia" w:ascii="黑体" w:eastAsia="黑体"/>
          <w:b w:val="0"/>
        </w:rPr>
        <w:t>其他重要事项的情况说明</w:t>
      </w:r>
      <w:bookmarkEnd w:id="58"/>
      <w:bookmarkEnd w:id="59"/>
    </w:p>
    <w:p>
      <w:pPr>
        <w:spacing w:line="600" w:lineRule="exact"/>
        <w:ind w:firstLine="642" w:firstLineChars="200"/>
        <w:outlineLvl w:val="2"/>
        <w:rPr>
          <w:rFonts w:ascii="仿宋" w:eastAsia="仿宋"/>
          <w:sz w:val="32"/>
          <w:szCs w:val="32"/>
        </w:rPr>
      </w:pPr>
      <w:bookmarkStart w:id="60" w:name="_Toc15377222"/>
      <w:r>
        <w:rPr>
          <w:rFonts w:hint="eastAsia" w:ascii="仿宋" w:eastAsia="仿宋"/>
          <w:b/>
          <w:sz w:val="32"/>
          <w:szCs w:val="32"/>
        </w:rPr>
        <w:t>（一）机关运行经费支出情况</w:t>
      </w:r>
      <w:bookmarkEnd w:id="60"/>
    </w:p>
    <w:p>
      <w:pPr>
        <w:spacing w:line="600" w:lineRule="exact"/>
        <w:ind w:firstLine="640" w:firstLineChars="20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年，市住建系统机关运行经费支出</w:t>
      </w:r>
      <w:r>
        <w:rPr>
          <w:rFonts w:ascii="仿宋_GB2312" w:eastAsia="仿宋_GB2312"/>
          <w:sz w:val="32"/>
          <w:szCs w:val="32"/>
        </w:rPr>
        <w:t>416.69</w:t>
      </w:r>
      <w:r>
        <w:rPr>
          <w:rFonts w:hint="eastAsia" w:ascii="仿宋_GB2312" w:eastAsia="仿宋_GB2312"/>
          <w:sz w:val="32"/>
          <w:szCs w:val="32"/>
        </w:rPr>
        <w:t>万元，比</w:t>
      </w:r>
      <w:r>
        <w:rPr>
          <w:rFonts w:ascii="仿宋_GB2312" w:eastAsia="仿宋_GB2312"/>
          <w:sz w:val="32"/>
          <w:szCs w:val="32"/>
        </w:rPr>
        <w:t>2020</w:t>
      </w:r>
      <w:r>
        <w:rPr>
          <w:rFonts w:hint="eastAsia" w:ascii="仿宋_GB2312" w:eastAsia="仿宋_GB2312"/>
          <w:sz w:val="32"/>
          <w:szCs w:val="32"/>
        </w:rPr>
        <w:t>年增加</w:t>
      </w:r>
      <w:r>
        <w:rPr>
          <w:rFonts w:ascii="仿宋_GB2312" w:eastAsia="仿宋_GB2312"/>
          <w:sz w:val="32"/>
          <w:szCs w:val="32"/>
        </w:rPr>
        <w:t>20.38</w:t>
      </w:r>
      <w:r>
        <w:rPr>
          <w:rFonts w:hint="eastAsia" w:ascii="仿宋_GB2312" w:eastAsia="仿宋_GB2312"/>
          <w:sz w:val="32"/>
          <w:szCs w:val="32"/>
        </w:rPr>
        <w:t>万元，增长</w:t>
      </w:r>
      <w:r>
        <w:rPr>
          <w:rFonts w:ascii="仿宋_GB2312" w:eastAsia="仿宋_GB2312"/>
          <w:sz w:val="32"/>
          <w:szCs w:val="32"/>
        </w:rPr>
        <w:t>5.14%</w:t>
      </w:r>
      <w:r>
        <w:rPr>
          <w:rFonts w:hint="eastAsia" w:ascii="仿宋_GB2312" w:eastAsia="仿宋_GB2312"/>
          <w:sz w:val="32"/>
          <w:szCs w:val="32"/>
        </w:rPr>
        <w:t>。主要原因是人员增加，经费相应增加。</w:t>
      </w:r>
    </w:p>
    <w:p>
      <w:pPr>
        <w:autoSpaceDE w:val="0"/>
        <w:autoSpaceDN w:val="0"/>
        <w:adjustRightInd w:val="0"/>
        <w:spacing w:line="600" w:lineRule="exact"/>
        <w:ind w:firstLine="642" w:firstLineChars="200"/>
        <w:jc w:val="left"/>
        <w:outlineLvl w:val="2"/>
        <w:rPr>
          <w:rFonts w:ascii="仿宋" w:eastAsia="仿宋"/>
          <w:b/>
          <w:sz w:val="32"/>
          <w:szCs w:val="32"/>
        </w:rPr>
      </w:pPr>
      <w:bookmarkStart w:id="61" w:name="_Toc15377223"/>
      <w:r>
        <w:rPr>
          <w:rFonts w:hint="eastAsia" w:ascii="仿宋" w:eastAsia="仿宋"/>
          <w:b/>
          <w:sz w:val="32"/>
          <w:szCs w:val="32"/>
        </w:rPr>
        <w:t>（二）政府采购支出情况</w:t>
      </w:r>
      <w:bookmarkEnd w:id="61"/>
    </w:p>
    <w:p>
      <w:pPr>
        <w:spacing w:line="600" w:lineRule="exact"/>
        <w:ind w:firstLine="640" w:firstLineChars="20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年，市住建系统政府采购支出总额53.06万元，其中：政府采购货物支出11.9万元、政府采购服务支出41.16万元。主要用于办公设备购置，采购白蚁防治药品, 攀枝花大道东段交警三大队沿线边坡地质灾害治理工程的勘察设计费。授予中小企业合同金额0万元，占政府采购支出总额的0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eastAsia="仿宋"/>
          <w:b/>
          <w:sz w:val="32"/>
          <w:szCs w:val="32"/>
        </w:rPr>
      </w:pPr>
      <w:bookmarkStart w:id="62" w:name="_Toc15377224"/>
      <w:r>
        <w:rPr>
          <w:rFonts w:hint="eastAsia" w:ascii="仿宋" w:eastAsia="仿宋"/>
          <w:b/>
          <w:sz w:val="32"/>
          <w:szCs w:val="32"/>
        </w:rPr>
        <w:t>（三）国有资产占有使用情况</w:t>
      </w:r>
      <w:bookmarkEnd w:id="62"/>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日，市住建系统共有车辆60辆，其中：主要领导干部用车</w:t>
      </w:r>
      <w:r>
        <w:rPr>
          <w:rFonts w:ascii="仿宋_GB2312" w:eastAsia="仿宋_GB2312"/>
          <w:sz w:val="32"/>
          <w:szCs w:val="32"/>
        </w:rPr>
        <w:t>0</w:t>
      </w:r>
      <w:r>
        <w:rPr>
          <w:rFonts w:hint="eastAsia" w:ascii="仿宋_GB2312" w:eastAsia="仿宋_GB2312"/>
          <w:sz w:val="32"/>
          <w:szCs w:val="32"/>
        </w:rPr>
        <w:t>辆、机要通信用车</w:t>
      </w:r>
      <w:r>
        <w:rPr>
          <w:rFonts w:ascii="仿宋_GB2312" w:eastAsia="仿宋_GB2312"/>
          <w:sz w:val="32"/>
          <w:szCs w:val="32"/>
        </w:rPr>
        <w:t>0</w:t>
      </w:r>
      <w:r>
        <w:rPr>
          <w:rFonts w:hint="eastAsia" w:ascii="仿宋_GB2312" w:eastAsia="仿宋_GB2312"/>
          <w:sz w:val="32"/>
          <w:szCs w:val="32"/>
        </w:rPr>
        <w:t>辆、应急保障用车4辆，</w:t>
      </w:r>
      <w:r>
        <w:rPr>
          <w:rFonts w:hint="eastAsia" w:ascii="仿宋_GB2312" w:eastAsia="仿宋_GB2312"/>
          <w:color w:val="000000"/>
          <w:sz w:val="32"/>
          <w:szCs w:val="32"/>
        </w:rPr>
        <w:t>特种专业技术用车43辆，其他用车13辆，主要用于住建各项业务工作和城市路灯、道路、排水、桥涵等市政设施的维修维护工作。单价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ascii="仿宋_GB2312" w:eastAsia="仿宋_GB2312"/>
          <w:color w:val="000000"/>
          <w:sz w:val="32"/>
          <w:szCs w:val="32"/>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p>
    <w:p>
      <w:pPr>
        <w:autoSpaceDE w:val="0"/>
        <w:autoSpaceDN w:val="0"/>
        <w:adjustRightInd w:val="0"/>
        <w:spacing w:line="600" w:lineRule="exact"/>
        <w:ind w:firstLine="642" w:firstLineChars="200"/>
        <w:jc w:val="left"/>
        <w:outlineLvl w:val="2"/>
        <w:rPr>
          <w:rFonts w:ascii="仿宋" w:eastAsia="仿宋"/>
          <w:b/>
          <w:sz w:val="32"/>
          <w:szCs w:val="32"/>
        </w:rPr>
      </w:pPr>
      <w:r>
        <w:rPr>
          <w:rFonts w:hint="eastAsia" w:ascii="仿宋" w:eastAsia="仿宋"/>
          <w:b/>
          <w:sz w:val="32"/>
          <w:szCs w:val="32"/>
        </w:rPr>
        <w:t>（四）预算绩效管理情况</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根据预算绩效管理要求，本部门在</w:t>
      </w:r>
      <w:r>
        <w:rPr>
          <w:rFonts w:ascii="仿宋_GB2312" w:eastAsia="仿宋_GB2312" w:cs="仿宋_GB2312"/>
          <w:sz w:val="32"/>
          <w:szCs w:val="32"/>
        </w:rPr>
        <w:t>2021</w:t>
      </w:r>
      <w:r>
        <w:rPr>
          <w:rFonts w:hint="eastAsia" w:ascii="仿宋_GB2312" w:eastAsia="仿宋_GB2312" w:cs="仿宋_GB2312"/>
          <w:sz w:val="32"/>
          <w:szCs w:val="32"/>
        </w:rPr>
        <w:t>年度预算编制阶段，组织对“恒大城对面边坡地质灾害治理”“房地产市场信息平台维护费”“数字化管理平台运转维护费”等3个项目开展了预算事前绩效评估，对11个项目编制了绩效目标，预算执行过程中，选取3个项目开展绩效监控，年终执行完毕后，对3个项目开展了绩效自评。同时，本部门对</w:t>
      </w:r>
      <w:r>
        <w:rPr>
          <w:rFonts w:ascii="仿宋_GB2312" w:eastAsia="仿宋_GB2312" w:cs="仿宋_GB2312"/>
          <w:sz w:val="32"/>
          <w:szCs w:val="32"/>
        </w:rPr>
        <w:t>2021</w:t>
      </w:r>
      <w:r>
        <w:rPr>
          <w:rFonts w:hint="eastAsia" w:ascii="仿宋_GB2312" w:eastAsia="仿宋_GB2312" w:cs="仿宋_GB2312"/>
          <w:sz w:val="32"/>
          <w:szCs w:val="32"/>
        </w:rPr>
        <w:t>年部门整体开展绩效自评，《</w:t>
      </w:r>
      <w:r>
        <w:rPr>
          <w:rFonts w:ascii="仿宋_GB2312" w:eastAsia="仿宋_GB2312" w:cs="仿宋_GB2312"/>
          <w:sz w:val="32"/>
          <w:szCs w:val="32"/>
        </w:rPr>
        <w:t>2021</w:t>
      </w:r>
      <w:r>
        <w:rPr>
          <w:rFonts w:hint="eastAsia" w:ascii="仿宋_GB2312" w:eastAsia="仿宋_GB2312" w:cs="仿宋_GB2312"/>
          <w:sz w:val="32"/>
          <w:szCs w:val="32"/>
        </w:rPr>
        <w:t>年市住房城乡建设局部门整体绩效评价报告》见附件（第四部分）。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left="0" w:firstLine="660" w:firstLineChars="150"/>
        <w:jc w:val="center"/>
        <w:outlineLvl w:val="0"/>
        <w:rPr>
          <w:rFonts w:ascii="黑体" w:eastAsia="黑体"/>
          <w:bCs/>
          <w:kern w:val="44"/>
          <w:sz w:val="44"/>
          <w:szCs w:val="44"/>
        </w:rPr>
      </w:pPr>
      <w:bookmarkStart w:id="63" w:name="_Toc15396613"/>
      <w:bookmarkStart w:id="64" w:name="_Toc15377225"/>
      <w:r>
        <w:rPr>
          <w:rFonts w:hint="eastAsia" w:ascii="黑体" w:eastAsia="黑体"/>
          <w:sz w:val="44"/>
          <w:szCs w:val="44"/>
        </w:rPr>
        <w:t>名</w:t>
      </w:r>
      <w:r>
        <w:rPr>
          <w:rStyle w:val="19"/>
          <w:rFonts w:hint="eastAsia" w:ascii="黑体" w:eastAsia="黑体"/>
          <w:b w:val="0"/>
        </w:rPr>
        <w:t>词解释</w:t>
      </w:r>
      <w:bookmarkEnd w:id="63"/>
      <w:bookmarkEnd w:id="64"/>
    </w:p>
    <w:p>
      <w:pPr>
        <w:pStyle w:val="21"/>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1"/>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1"/>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其他收入：指单位取得的除上述收入以外的各项收入。主要是利息收入等。</w:t>
      </w:r>
      <w:r>
        <w:rPr>
          <w:rFonts w:ascii="仿宋_GB2312" w:eastAsia="仿宋_GB2312"/>
          <w:sz w:val="32"/>
          <w:szCs w:val="32"/>
        </w:rPr>
        <w:t xml:space="preserve"> </w:t>
      </w:r>
    </w:p>
    <w:p>
      <w:pPr>
        <w:pStyle w:val="21"/>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21"/>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1"/>
        <w:spacing w:line="560" w:lineRule="exact"/>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结余分配：指事业单位按照会计制度规定缴纳的所得税、提取的专用结余以及转入非财政拨款结余的金额等。</w:t>
      </w:r>
    </w:p>
    <w:p>
      <w:pPr>
        <w:pStyle w:val="21"/>
        <w:spacing w:line="560" w:lineRule="exact"/>
        <w:ind w:firstLine="640" w:firstLineChars="200"/>
        <w:rPr>
          <w:rFonts w:ascii="仿宋_GB2312" w:eastAsia="仿宋_GB2312"/>
          <w:sz w:val="32"/>
          <w:szCs w:val="32"/>
        </w:rPr>
      </w:pPr>
      <w:r>
        <w:rPr>
          <w:rFonts w:hint="eastAsia" w:ascii="仿宋_GB2312" w:eastAsia="仿宋_GB2312"/>
          <w:sz w:val="32"/>
          <w:szCs w:val="32"/>
        </w:rPr>
        <w:t>7、年末结转和结余：指单位按有关规定结转到下年或以后年度继续使用的资金。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Style w:val="17"/>
          <w:rFonts w:ascii="仿宋_GB2312" w:eastAsia="仿宋_GB2312"/>
          <w:b w:val="0"/>
          <w:bCs/>
          <w:color w:val="000000"/>
          <w:sz w:val="32"/>
          <w:szCs w:val="32"/>
        </w:rPr>
        <w:t xml:space="preserve"> </w:t>
      </w:r>
      <w:r>
        <w:rPr>
          <w:rStyle w:val="17"/>
          <w:rFonts w:hint="eastAsia" w:ascii="仿宋_GB2312" w:eastAsia="仿宋_GB2312"/>
          <w:b w:val="0"/>
          <w:bCs/>
          <w:color w:val="000000"/>
          <w:sz w:val="32"/>
          <w:szCs w:val="32"/>
        </w:rPr>
        <w:t>一般公共服务（类）商贸事务（款）招商引资（项）：反映用于招商引资、优化经济环境等方面的支出。组织事务（款）其他组织事务支出（项）</w:t>
      </w:r>
      <w:r>
        <w:rPr>
          <w:rStyle w:val="17"/>
          <w:rFonts w:ascii="仿宋_GB2312" w:eastAsia="仿宋_GB2312"/>
          <w:b w:val="0"/>
          <w:bCs/>
          <w:color w:val="000000"/>
          <w:sz w:val="32"/>
          <w:szCs w:val="32"/>
        </w:rPr>
        <w:t>:</w:t>
      </w:r>
      <w:r>
        <w:rPr>
          <w:rFonts w:hint="eastAsia" w:ascii="仿宋_GB2312" w:eastAsia="仿宋_GB2312"/>
          <w:color w:val="000000"/>
          <w:sz w:val="32"/>
          <w:szCs w:val="32"/>
        </w:rPr>
        <w:t>指反映除上述项目以外其他用于中国共产党组织部门的事务支出。</w:t>
      </w:r>
    </w:p>
    <w:p>
      <w:pPr>
        <w:ind w:firstLine="640" w:firstLineChars="200"/>
        <w:rPr>
          <w:rFonts w:ascii="仿宋_GB2312" w:eastAsia="仿宋_GB2312"/>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社会保障和就业（类）人力资源和社会保障管理事务（款）其他人力资源和社会保障管理事务支出（项）：反映除上述项目以外其他用于人力资源和社会保障管理事务方面的支出。</w:t>
      </w:r>
      <w:r>
        <w:rPr>
          <w:rStyle w:val="17"/>
          <w:rFonts w:hint="eastAsia" w:ascii="仿宋_GB2312" w:eastAsia="仿宋_GB2312"/>
          <w:b w:val="0"/>
          <w:bCs/>
          <w:color w:val="000000"/>
          <w:sz w:val="32"/>
          <w:szCs w:val="32"/>
        </w:rPr>
        <w:t>行政事业单位养老支出（款）行政单位离退休（项）：</w:t>
      </w:r>
      <w:r>
        <w:rPr>
          <w:rFonts w:hint="eastAsia" w:ascii="仿宋_GB2312" w:eastAsia="仿宋_GB2312"/>
          <w:color w:val="000000"/>
          <w:sz w:val="32"/>
          <w:szCs w:val="32"/>
        </w:rPr>
        <w:t>指反映行政单位（包括实行公务员管理的事业单位）开支的离退休经费。</w:t>
      </w:r>
      <w:r>
        <w:rPr>
          <w:rStyle w:val="17"/>
          <w:rFonts w:hint="eastAsia" w:ascii="仿宋_GB2312" w:eastAsia="仿宋_GB2312"/>
          <w:b w:val="0"/>
          <w:bCs/>
          <w:color w:val="000000"/>
          <w:sz w:val="32"/>
          <w:szCs w:val="32"/>
        </w:rPr>
        <w:t>事业单位离退休（项）：反映事业单位开支的离退休经费。</w:t>
      </w:r>
      <w:r>
        <w:rPr>
          <w:rFonts w:hint="eastAsia" w:ascii="仿宋_GB2312" w:eastAsia="仿宋_GB2312"/>
          <w:color w:val="000000"/>
          <w:sz w:val="32"/>
          <w:szCs w:val="32"/>
        </w:rPr>
        <w:t>机关事业单位基本养老保险缴费支出（项）：指反映机关事业单位实施养老保险制度由单位缴纳的基本养老保险费支出。</w:t>
      </w:r>
      <w:r>
        <w:rPr>
          <w:rStyle w:val="17"/>
          <w:rFonts w:hint="eastAsia" w:ascii="仿宋_GB2312" w:eastAsia="仿宋_GB2312"/>
          <w:b w:val="0"/>
          <w:bCs/>
          <w:color w:val="000000"/>
          <w:sz w:val="32"/>
          <w:szCs w:val="32"/>
        </w:rPr>
        <w:t>抚恤（款）死亡抚恤（项）：</w:t>
      </w:r>
      <w:r>
        <w:rPr>
          <w:rFonts w:hint="eastAsia" w:ascii="仿宋_GB2312" w:eastAsia="仿宋_GB2312"/>
          <w:sz w:val="32"/>
          <w:szCs w:val="32"/>
        </w:rPr>
        <w:t>反映按规定用于烈士和牺牲、病故人员家属的一次性和定期抚恤金以及丧葬补助费。</w:t>
      </w:r>
    </w:p>
    <w:p>
      <w:pPr>
        <w:ind w:firstLine="640" w:firstLineChars="200"/>
        <w:rPr>
          <w:rStyle w:val="17"/>
          <w:rFonts w:ascii="仿宋_GB2312" w:eastAsia="仿宋_GB2312"/>
          <w:b w:val="0"/>
          <w:sz w:val="32"/>
          <w:szCs w:val="32"/>
        </w:rPr>
      </w:pPr>
      <w:r>
        <w:rPr>
          <w:rFonts w:ascii="仿宋_GB2312" w:eastAsia="仿宋_GB2312"/>
          <w:color w:val="000000"/>
          <w:sz w:val="32"/>
          <w:szCs w:val="32"/>
        </w:rPr>
        <w:t>1</w:t>
      </w:r>
      <w:r>
        <w:rPr>
          <w:rFonts w:hint="eastAsia" w:ascii="仿宋_GB2312" w:eastAsia="仿宋_GB2312"/>
          <w:color w:val="000000"/>
          <w:sz w:val="32"/>
          <w:szCs w:val="32"/>
        </w:rPr>
        <w:t>0</w:t>
      </w:r>
      <w:r>
        <w:rPr>
          <w:rFonts w:ascii="仿宋_GB2312" w:eastAsia="仿宋_GB2312"/>
          <w:color w:val="000000"/>
          <w:sz w:val="32"/>
          <w:szCs w:val="32"/>
        </w:rPr>
        <w:t>.</w:t>
      </w:r>
      <w:r>
        <w:rPr>
          <w:rStyle w:val="17"/>
          <w:rFonts w:ascii="仿宋_GB2312" w:eastAsia="仿宋_GB2312"/>
          <w:bCs/>
          <w:color w:val="000000"/>
          <w:sz w:val="32"/>
          <w:szCs w:val="32"/>
        </w:rPr>
        <w:t xml:space="preserve"> </w:t>
      </w:r>
      <w:r>
        <w:rPr>
          <w:rStyle w:val="17"/>
          <w:rFonts w:hint="eastAsia" w:ascii="仿宋_GB2312" w:eastAsia="仿宋_GB2312"/>
          <w:b w:val="0"/>
          <w:bCs/>
          <w:color w:val="000000"/>
          <w:sz w:val="32"/>
          <w:szCs w:val="32"/>
        </w:rPr>
        <w:t>城乡社区支出（类）城乡社区管理事务（款）行政运行（项）</w:t>
      </w:r>
      <w:r>
        <w:rPr>
          <w:rStyle w:val="17"/>
          <w:rFonts w:ascii="仿宋_GB2312" w:eastAsia="仿宋_GB2312"/>
          <w:b w:val="0"/>
          <w:bCs/>
          <w:color w:val="000000"/>
          <w:sz w:val="32"/>
          <w:szCs w:val="32"/>
        </w:rPr>
        <w:t>:</w:t>
      </w:r>
      <w:r>
        <w:rPr>
          <w:rFonts w:ascii="仿宋_GB2312" w:eastAsia="仿宋_GB2312"/>
          <w:sz w:val="32"/>
          <w:szCs w:val="32"/>
        </w:rPr>
        <w:t xml:space="preserve"> </w:t>
      </w:r>
      <w:r>
        <w:rPr>
          <w:rFonts w:hint="eastAsia" w:ascii="仿宋_GB2312" w:eastAsia="仿宋_GB2312"/>
          <w:sz w:val="32"/>
          <w:szCs w:val="32"/>
        </w:rPr>
        <w:t>反映行政单位（包括实行公务员管理的事业单位）的基本支出。</w:t>
      </w:r>
      <w:r>
        <w:rPr>
          <w:rStyle w:val="17"/>
          <w:rFonts w:hint="eastAsia" w:ascii="仿宋_GB2312" w:eastAsia="仿宋_GB2312"/>
          <w:b w:val="0"/>
          <w:bCs/>
          <w:color w:val="000000"/>
          <w:sz w:val="32"/>
          <w:szCs w:val="32"/>
        </w:rPr>
        <w:t>一般行政管理事务（项）</w:t>
      </w:r>
      <w:r>
        <w:rPr>
          <w:rStyle w:val="17"/>
          <w:rFonts w:ascii="仿宋_GB2312" w:eastAsia="仿宋_GB2312"/>
          <w:bCs/>
          <w:color w:val="000000"/>
          <w:sz w:val="32"/>
          <w:szCs w:val="32"/>
        </w:rPr>
        <w:t xml:space="preserve">: </w:t>
      </w:r>
      <w:r>
        <w:rPr>
          <w:rFonts w:hint="eastAsia" w:ascii="仿宋_GB2312" w:eastAsia="仿宋_GB2312"/>
          <w:sz w:val="32"/>
          <w:szCs w:val="32"/>
        </w:rPr>
        <w:t>反映行政单位（包括实行公务员管理的事业单位）未单独设置项级科目的其他项目支出。</w:t>
      </w:r>
      <w:r>
        <w:rPr>
          <w:rStyle w:val="17"/>
          <w:rFonts w:hint="eastAsia" w:ascii="仿宋_GB2312" w:eastAsia="仿宋_GB2312"/>
          <w:b w:val="0"/>
          <w:bCs/>
          <w:color w:val="000000"/>
          <w:sz w:val="32"/>
          <w:szCs w:val="32"/>
        </w:rPr>
        <w:t>工程建设标准规范编制与监管（项）</w:t>
      </w:r>
      <w:r>
        <w:rPr>
          <w:rStyle w:val="17"/>
          <w:rFonts w:ascii="仿宋_GB2312" w:eastAsia="仿宋_GB2312"/>
          <w:b w:val="0"/>
          <w:bCs/>
          <w:color w:val="000000"/>
          <w:sz w:val="32"/>
          <w:szCs w:val="32"/>
        </w:rPr>
        <w:t>:</w:t>
      </w:r>
      <w:r>
        <w:rPr>
          <w:rStyle w:val="17"/>
          <w:rFonts w:ascii="仿宋_GB2312" w:eastAsia="仿宋_GB2312"/>
          <w:bCs/>
          <w:color w:val="000000"/>
          <w:sz w:val="32"/>
          <w:szCs w:val="32"/>
        </w:rPr>
        <w:t xml:space="preserve"> </w:t>
      </w:r>
      <w:r>
        <w:rPr>
          <w:rFonts w:hint="eastAsia" w:ascii="仿宋_GB2312" w:eastAsia="仿宋_GB2312"/>
          <w:sz w:val="32"/>
          <w:szCs w:val="32"/>
        </w:rPr>
        <w:t>反映拟定工程建设国家标准和部管行业标准、监督指导各类工程建设标准定额的实施、管理工程造价等方面的支出。</w:t>
      </w:r>
      <w:r>
        <w:rPr>
          <w:rStyle w:val="17"/>
          <w:rFonts w:hint="eastAsia" w:ascii="仿宋_GB2312" w:eastAsia="仿宋_GB2312"/>
          <w:b w:val="0"/>
          <w:bCs/>
          <w:color w:val="000000"/>
          <w:sz w:val="32"/>
          <w:szCs w:val="32"/>
        </w:rPr>
        <w:t>其他城乡社区管理事务支出（项）</w:t>
      </w:r>
      <w:r>
        <w:rPr>
          <w:rStyle w:val="17"/>
          <w:rFonts w:ascii="仿宋_GB2312" w:eastAsia="仿宋_GB2312"/>
          <w:b w:val="0"/>
          <w:bCs/>
          <w:color w:val="000000"/>
          <w:sz w:val="32"/>
          <w:szCs w:val="32"/>
        </w:rPr>
        <w:t xml:space="preserve">: </w:t>
      </w:r>
      <w:r>
        <w:rPr>
          <w:rFonts w:hint="eastAsia" w:ascii="仿宋_GB2312" w:eastAsia="仿宋_GB2312"/>
          <w:sz w:val="32"/>
          <w:szCs w:val="32"/>
        </w:rPr>
        <w:t>其他城乡社区管理事务支出反映除上述项目以外其他用于城乡社区管理事务方面的支出。</w:t>
      </w:r>
      <w:r>
        <w:rPr>
          <w:rStyle w:val="17"/>
          <w:rFonts w:hint="eastAsia" w:ascii="仿宋_GB2312" w:eastAsia="仿宋_GB2312"/>
          <w:b w:val="0"/>
          <w:bCs/>
          <w:color w:val="000000"/>
          <w:sz w:val="32"/>
          <w:szCs w:val="32"/>
        </w:rPr>
        <w:t>城乡社区公共设施（款）小城镇基础设施建设（项）</w:t>
      </w:r>
      <w:r>
        <w:rPr>
          <w:rStyle w:val="17"/>
          <w:rFonts w:ascii="仿宋_GB2312" w:eastAsia="仿宋_GB2312"/>
          <w:b w:val="0"/>
          <w:bCs/>
          <w:color w:val="000000"/>
          <w:sz w:val="32"/>
          <w:szCs w:val="32"/>
        </w:rPr>
        <w:t>:</w:t>
      </w:r>
      <w:r>
        <w:rPr>
          <w:rStyle w:val="17"/>
          <w:rFonts w:hint="eastAsia" w:ascii="仿宋_GB2312" w:eastAsia="仿宋_GB2312"/>
          <w:b w:val="0"/>
          <w:bCs/>
          <w:color w:val="000000"/>
          <w:sz w:val="32"/>
          <w:szCs w:val="32"/>
        </w:rPr>
        <w:t>反映用于小城镇路、气、水、电等基础建设方面的支出。其他城乡社区公共设施支出（项）</w:t>
      </w:r>
      <w:r>
        <w:rPr>
          <w:rStyle w:val="17"/>
          <w:rFonts w:ascii="仿宋_GB2312" w:eastAsia="仿宋_GB2312"/>
          <w:b w:val="0"/>
          <w:bCs/>
          <w:color w:val="000000"/>
          <w:sz w:val="32"/>
          <w:szCs w:val="32"/>
        </w:rPr>
        <w:t xml:space="preserve">: </w:t>
      </w:r>
      <w:r>
        <w:rPr>
          <w:rFonts w:hint="eastAsia" w:ascii="仿宋_GB2312" w:eastAsia="仿宋_GB2312"/>
          <w:sz w:val="32"/>
          <w:szCs w:val="32"/>
        </w:rPr>
        <w:t>反映其他用于城乡社区公共设施其他方面的支出。</w:t>
      </w:r>
      <w:r>
        <w:rPr>
          <w:rStyle w:val="17"/>
          <w:rFonts w:hint="eastAsia" w:ascii="仿宋_GB2312" w:eastAsia="仿宋_GB2312"/>
          <w:b w:val="0"/>
          <w:bCs/>
          <w:color w:val="000000"/>
          <w:sz w:val="32"/>
          <w:szCs w:val="32"/>
        </w:rPr>
        <w:t>建设市场管理与监督（款）建设市场管理与监督（项）</w:t>
      </w:r>
      <w:r>
        <w:rPr>
          <w:rStyle w:val="17"/>
          <w:rFonts w:ascii="仿宋_GB2312" w:eastAsia="仿宋_GB2312"/>
          <w:b w:val="0"/>
          <w:bCs/>
          <w:color w:val="000000"/>
          <w:sz w:val="32"/>
          <w:szCs w:val="32"/>
        </w:rPr>
        <w:t xml:space="preserve">: </w:t>
      </w:r>
      <w:r>
        <w:rPr>
          <w:rFonts w:hint="eastAsia" w:ascii="仿宋_GB2312" w:eastAsia="仿宋_GB2312"/>
          <w:sz w:val="32"/>
          <w:szCs w:val="32"/>
        </w:rPr>
        <w:t>反映各类建筑工程强制性和推荐性标准及规定的制定与修改、建筑工程招投标等市场管理、建筑工程质量与安全监督等方面的支出。</w:t>
      </w:r>
      <w:r>
        <w:rPr>
          <w:rStyle w:val="17"/>
          <w:rFonts w:hint="eastAsia" w:ascii="仿宋_GB2312" w:eastAsia="仿宋_GB2312"/>
          <w:b w:val="0"/>
          <w:bCs/>
          <w:color w:val="000000"/>
          <w:sz w:val="32"/>
          <w:szCs w:val="32"/>
        </w:rPr>
        <w:t>其他城乡社区支出（款）其他城乡社区支出（项）</w:t>
      </w:r>
      <w:r>
        <w:rPr>
          <w:rStyle w:val="17"/>
          <w:rFonts w:ascii="仿宋_GB2312" w:eastAsia="仿宋_GB2312"/>
          <w:b w:val="0"/>
          <w:bCs/>
          <w:color w:val="000000"/>
          <w:sz w:val="32"/>
          <w:szCs w:val="32"/>
        </w:rPr>
        <w:t xml:space="preserve">: </w:t>
      </w:r>
      <w:r>
        <w:rPr>
          <w:rStyle w:val="17"/>
          <w:rFonts w:hint="eastAsia" w:ascii="仿宋_GB2312" w:eastAsia="仿宋_GB2312"/>
          <w:b w:val="0"/>
          <w:bCs/>
          <w:color w:val="000000"/>
          <w:sz w:val="32"/>
          <w:szCs w:val="32"/>
        </w:rPr>
        <w:t>其他用于城乡社区方面的支出。</w:t>
      </w:r>
    </w:p>
    <w:p>
      <w:pPr>
        <w:spacing w:line="600" w:lineRule="exact"/>
        <w:ind w:firstLine="640" w:firstLineChars="200"/>
        <w:rPr>
          <w:rFonts w:ascii="仿宋" w:eastAsia="仿宋"/>
          <w:b/>
          <w:bCs/>
          <w:color w:val="000000"/>
          <w:sz w:val="32"/>
          <w:szCs w:val="32"/>
        </w:rPr>
      </w:pPr>
      <w:r>
        <w:rPr>
          <w:rStyle w:val="17"/>
          <w:rFonts w:ascii="仿宋_GB2312" w:eastAsia="仿宋_GB2312"/>
          <w:b w:val="0"/>
          <w:bCs/>
          <w:color w:val="000000"/>
          <w:sz w:val="32"/>
          <w:szCs w:val="32"/>
        </w:rPr>
        <w:t>1</w:t>
      </w:r>
      <w:r>
        <w:rPr>
          <w:rStyle w:val="17"/>
          <w:rFonts w:hint="eastAsia" w:ascii="仿宋_GB2312" w:eastAsia="仿宋_GB2312"/>
          <w:b w:val="0"/>
          <w:bCs/>
          <w:color w:val="000000"/>
          <w:sz w:val="32"/>
          <w:szCs w:val="32"/>
        </w:rPr>
        <w:t>1</w:t>
      </w:r>
      <w:r>
        <w:rPr>
          <w:rStyle w:val="17"/>
          <w:rFonts w:ascii="仿宋_GB2312" w:eastAsia="仿宋_GB2312"/>
          <w:b w:val="0"/>
          <w:bCs/>
          <w:color w:val="000000"/>
          <w:sz w:val="32"/>
          <w:szCs w:val="32"/>
        </w:rPr>
        <w:t>.</w:t>
      </w:r>
      <w:r>
        <w:rPr>
          <w:rFonts w:ascii="仿宋_GB2312" w:eastAsia="仿宋_GB2312"/>
          <w:b/>
        </w:rPr>
        <w:t xml:space="preserve"> </w:t>
      </w:r>
      <w:r>
        <w:rPr>
          <w:rStyle w:val="17"/>
          <w:rFonts w:hint="eastAsia" w:ascii="仿宋_GB2312" w:eastAsia="仿宋_GB2312"/>
          <w:b w:val="0"/>
          <w:bCs/>
          <w:color w:val="000000"/>
          <w:sz w:val="32"/>
          <w:szCs w:val="32"/>
        </w:rPr>
        <w:t>住房保障支出（类）住房改革支出（款）住房公积金（项）</w:t>
      </w:r>
      <w:r>
        <w:rPr>
          <w:rStyle w:val="17"/>
          <w:rFonts w:ascii="仿宋_GB2312" w:eastAsia="仿宋_GB2312"/>
          <w:b w:val="0"/>
          <w:bCs/>
          <w:color w:val="000000"/>
          <w:sz w:val="32"/>
          <w:szCs w:val="32"/>
        </w:rPr>
        <w:t xml:space="preserve">: </w:t>
      </w:r>
      <w:r>
        <w:rPr>
          <w:rFonts w:hint="eastAsia" w:ascii="仿宋_GB2312" w:eastAsia="仿宋_GB2312"/>
          <w:sz w:val="32"/>
          <w:szCs w:val="32"/>
        </w:rPr>
        <w:t>反映行政事业单位按人力资源和社会保障部、财政部规定的基本工资和津贴补贴以及规定比例为职工缴纳的住房公积金。</w:t>
      </w:r>
      <w:r>
        <w:rPr>
          <w:rStyle w:val="17"/>
          <w:rFonts w:hint="eastAsia" w:ascii="仿宋_GB2312" w:eastAsia="仿宋_GB2312"/>
          <w:b w:val="0"/>
          <w:bCs/>
          <w:color w:val="000000"/>
          <w:sz w:val="32"/>
          <w:szCs w:val="32"/>
        </w:rPr>
        <w:t>城乡社区住宅（款）其他城乡社区住宅支出（项）</w:t>
      </w:r>
      <w:r>
        <w:rPr>
          <w:rStyle w:val="17"/>
          <w:rFonts w:ascii="仿宋" w:eastAsia="仿宋"/>
          <w:bCs/>
          <w:color w:val="000000"/>
          <w:sz w:val="32"/>
          <w:szCs w:val="32"/>
        </w:rPr>
        <w:t>:</w:t>
      </w:r>
      <w:r>
        <w:rPr>
          <w:rStyle w:val="17"/>
          <w:rFonts w:ascii="仿宋" w:eastAsia="仿宋"/>
          <w:b w:val="0"/>
          <w:bCs/>
          <w:color w:val="000000"/>
          <w:sz w:val="32"/>
          <w:szCs w:val="32"/>
        </w:rPr>
        <w:t xml:space="preserve"> </w:t>
      </w:r>
      <w:r>
        <w:rPr>
          <w:rFonts w:hint="eastAsia" w:ascii="仿宋_GB2312" w:eastAsia="仿宋_GB2312"/>
          <w:sz w:val="32"/>
          <w:szCs w:val="32"/>
        </w:rPr>
        <w:t>反映其他用于城乡社区住宅方面的支出。</w:t>
      </w:r>
    </w:p>
    <w:p>
      <w:pPr>
        <w:ind w:firstLine="640" w:firstLineChars="200"/>
        <w:rPr>
          <w:rFonts w:ascii="仿宋_GB2312" w:eastAsia="仿宋_GB2312"/>
          <w:sz w:val="32"/>
          <w:szCs w:val="32"/>
        </w:rPr>
      </w:pPr>
      <w:r>
        <w:rPr>
          <w:rStyle w:val="17"/>
          <w:rFonts w:ascii="仿宋_GB2312" w:eastAsia="仿宋_GB2312"/>
          <w:b w:val="0"/>
          <w:bCs/>
          <w:color w:val="000000"/>
          <w:sz w:val="32"/>
          <w:szCs w:val="32"/>
        </w:rPr>
        <w:t>1</w:t>
      </w:r>
      <w:r>
        <w:rPr>
          <w:rStyle w:val="17"/>
          <w:rFonts w:hint="eastAsia" w:ascii="仿宋_GB2312" w:eastAsia="仿宋_GB2312"/>
          <w:b w:val="0"/>
          <w:bCs/>
          <w:color w:val="000000"/>
          <w:sz w:val="32"/>
          <w:szCs w:val="32"/>
        </w:rPr>
        <w:t>2</w:t>
      </w:r>
      <w:r>
        <w:rPr>
          <w:rStyle w:val="17"/>
          <w:rFonts w:ascii="仿宋_GB2312" w:eastAsia="仿宋_GB2312"/>
          <w:b w:val="0"/>
          <w:bCs/>
          <w:color w:val="000000"/>
          <w:sz w:val="32"/>
          <w:szCs w:val="32"/>
        </w:rPr>
        <w:t>.</w:t>
      </w:r>
      <w:r>
        <w:rPr>
          <w:rFonts w:ascii="仿宋_GB2312" w:eastAsia="仿宋_GB2312"/>
          <w:b/>
        </w:rPr>
        <w:t xml:space="preserve"> </w:t>
      </w:r>
      <w:r>
        <w:rPr>
          <w:rStyle w:val="17"/>
          <w:rFonts w:hint="eastAsia" w:ascii="仿宋_GB2312" w:eastAsia="仿宋_GB2312"/>
          <w:b w:val="0"/>
          <w:bCs/>
          <w:color w:val="000000"/>
          <w:sz w:val="32"/>
          <w:szCs w:val="32"/>
        </w:rPr>
        <w:t>其他支出（类）其他支出（款）其他支出（项）：</w:t>
      </w:r>
      <w:r>
        <w:rPr>
          <w:rFonts w:hint="eastAsia" w:ascii="仿宋_GB2312" w:eastAsia="仿宋_GB2312"/>
          <w:sz w:val="32"/>
          <w:szCs w:val="32"/>
        </w:rPr>
        <w:t>反映除上述项目以外其他不能划分到具体功能科目中的支出项目。</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3</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4</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1"/>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1"/>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9"/>
          <w:rFonts w:ascii="黑体" w:eastAsia="黑体"/>
          <w:b w:val="0"/>
        </w:rPr>
      </w:pPr>
      <w:bookmarkStart w:id="65" w:name="_Toc15377226"/>
      <w:r>
        <w:rPr>
          <w:rFonts w:ascii="宋体"/>
          <w:b/>
          <w:sz w:val="44"/>
          <w:szCs w:val="44"/>
        </w:rPr>
        <w:br w:type="page"/>
      </w:r>
      <w:bookmarkStart w:id="66" w:name="_Toc15396614"/>
      <w:r>
        <w:rPr>
          <w:rFonts w:hint="eastAsia" w:ascii="黑体" w:eastAsia="黑体"/>
          <w:sz w:val="44"/>
          <w:szCs w:val="44"/>
        </w:rPr>
        <w:t>第</w:t>
      </w:r>
      <w:r>
        <w:rPr>
          <w:rStyle w:val="19"/>
          <w:rFonts w:hint="eastAsia" w:ascii="黑体" w:eastAsia="黑体"/>
          <w:b w:val="0"/>
        </w:rPr>
        <w:t>四部分附件</w:t>
      </w:r>
      <w:bookmarkEnd w:id="66"/>
    </w:p>
    <w:p>
      <w:pPr>
        <w:spacing w:line="600" w:lineRule="exact"/>
        <w:jc w:val="left"/>
        <w:outlineLvl w:val="0"/>
        <w:rPr>
          <w:rFonts w:ascii="方正小标宋简体" w:eastAsia="方正小标宋简体" w:cs="方正小标宋简体"/>
          <w:sz w:val="32"/>
          <w:szCs w:val="32"/>
        </w:rPr>
      </w:pPr>
      <w:r>
        <w:rPr>
          <w:rFonts w:hint="eastAsia" w:ascii="黑体" w:eastAsia="黑体" w:cs="黑体"/>
          <w:sz w:val="32"/>
          <w:szCs w:val="32"/>
        </w:rPr>
        <w:t>附件</w:t>
      </w:r>
      <w:r>
        <w:rPr>
          <w:rFonts w:ascii="黑体" w:eastAsia="黑体" w:cs="黑体"/>
          <w:sz w:val="32"/>
          <w:szCs w:val="32"/>
        </w:rPr>
        <w:t>1</w:t>
      </w:r>
    </w:p>
    <w:p>
      <w:pPr>
        <w:spacing w:line="580" w:lineRule="exact"/>
        <w:jc w:val="center"/>
        <w:rPr>
          <w:rFonts w:ascii="方正小标宋简体" w:eastAsia="方正小标宋简体" w:cs="方正小标宋简体"/>
          <w:sz w:val="44"/>
          <w:szCs w:val="44"/>
        </w:rPr>
      </w:pPr>
    </w:p>
    <w:p>
      <w:pPr>
        <w:spacing w:line="600" w:lineRule="exact"/>
        <w:jc w:val="center"/>
        <w:rPr>
          <w:rFonts w:ascii="方正小标宋简体" w:eastAsia="方正小标宋简体"/>
          <w:color w:val="000000"/>
          <w:kern w:val="0"/>
          <w:sz w:val="40"/>
          <w:szCs w:val="44"/>
        </w:rPr>
      </w:pPr>
      <w:r>
        <w:rPr>
          <w:rFonts w:ascii="方正小标宋简体" w:eastAsia="方正小标宋简体"/>
          <w:color w:val="000000"/>
          <w:kern w:val="0"/>
          <w:sz w:val="40"/>
          <w:szCs w:val="44"/>
        </w:rPr>
        <w:t>2021</w:t>
      </w:r>
      <w:r>
        <w:rPr>
          <w:rFonts w:hint="eastAsia" w:ascii="方正小标宋简体" w:eastAsia="方正小标宋简体"/>
          <w:color w:val="000000"/>
          <w:kern w:val="0"/>
          <w:sz w:val="40"/>
          <w:szCs w:val="44"/>
        </w:rPr>
        <w:t>年攀枝花市住房和城乡建设局</w:t>
      </w:r>
    </w:p>
    <w:p>
      <w:pPr>
        <w:spacing w:line="600" w:lineRule="exact"/>
        <w:jc w:val="center"/>
        <w:rPr>
          <w:rFonts w:ascii="方正小标宋简体" w:eastAsia="方正小标宋简体"/>
          <w:color w:val="000000"/>
          <w:kern w:val="0"/>
          <w:sz w:val="40"/>
          <w:szCs w:val="44"/>
          <w:lang w:val="zh-CN"/>
        </w:rPr>
      </w:pPr>
      <w:r>
        <w:rPr>
          <w:rFonts w:hint="eastAsia" w:ascii="方正小标宋简体" w:eastAsia="方正小标宋简体"/>
          <w:color w:val="000000"/>
          <w:kern w:val="0"/>
          <w:sz w:val="40"/>
          <w:szCs w:val="44"/>
        </w:rPr>
        <w:t>部门</w:t>
      </w:r>
      <w:r>
        <w:rPr>
          <w:rFonts w:hint="eastAsia" w:ascii="方正小标宋简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eastAsia="黑体" w:cs="宋体"/>
          <w:color w:val="000000"/>
          <w:kern w:val="0"/>
          <w:sz w:val="32"/>
          <w:szCs w:val="32"/>
          <w:shd w:val="clear" w:color="auto" w:fill="FFFFFF"/>
          <w:lang w:val="zh-CN"/>
        </w:rPr>
      </w:pPr>
      <w:r>
        <w:rPr>
          <w:rFonts w:hint="eastAsia" w:ascii="黑体" w:eastAsia="黑体" w:cs="宋体"/>
          <w:color w:val="000000"/>
          <w:kern w:val="0"/>
          <w:sz w:val="32"/>
          <w:szCs w:val="32"/>
          <w:shd w:val="clear" w:color="auto" w:fill="FFFFFF"/>
        </w:rPr>
        <w:t>一、</w:t>
      </w:r>
      <w:r>
        <w:rPr>
          <w:rFonts w:hint="eastAsia" w:ascii="黑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rPr>
          <w:rFonts w:ascii="仿宋_GB2312" w:eastAsia="仿宋_GB2312" w:cs="宋体"/>
          <w:color w:val="000000"/>
          <w:kern w:val="0"/>
          <w:sz w:val="32"/>
          <w:szCs w:val="32"/>
          <w:shd w:val="clear" w:color="auto" w:fill="FFFFFF"/>
          <w:lang w:val="zh-CN"/>
        </w:rPr>
      </w:pPr>
      <w:r>
        <w:rPr>
          <w:rFonts w:hint="eastAsia" w:ascii="仿宋_GB2312" w:eastAsia="仿宋_GB2312"/>
          <w:bCs/>
          <w:sz w:val="32"/>
          <w:szCs w:val="32"/>
        </w:rPr>
        <w:t>攀枝花市住房和城乡建设局为市政府工作部门，</w:t>
      </w:r>
      <w:r>
        <w:rPr>
          <w:rFonts w:ascii="仿宋_GB2312" w:eastAsia="仿宋_GB2312"/>
          <w:sz w:val="32"/>
          <w:szCs w:val="32"/>
        </w:rPr>
        <w:t>2021</w:t>
      </w:r>
      <w:r>
        <w:rPr>
          <w:rFonts w:hint="eastAsia" w:ascii="仿宋_GB2312" w:eastAsia="仿宋_GB2312"/>
          <w:sz w:val="32"/>
          <w:szCs w:val="32"/>
        </w:rPr>
        <w:t>年，我局内设</w:t>
      </w:r>
      <w:r>
        <w:rPr>
          <w:rFonts w:ascii="仿宋_GB2312" w:eastAsia="仿宋_GB2312"/>
          <w:sz w:val="32"/>
          <w:szCs w:val="32"/>
        </w:rPr>
        <w:t>11</w:t>
      </w:r>
      <w:r>
        <w:rPr>
          <w:rFonts w:hint="eastAsia" w:ascii="仿宋_GB2312" w:eastAsia="仿宋_GB2312"/>
          <w:sz w:val="32"/>
          <w:szCs w:val="32"/>
        </w:rPr>
        <w:t>个科室，一个市住房保障办公室、机关党委和建设建材工会委员会，共有行政编制</w:t>
      </w:r>
      <w:r>
        <w:rPr>
          <w:rFonts w:ascii="仿宋_GB2312" w:eastAsia="仿宋_GB2312"/>
          <w:sz w:val="32"/>
          <w:szCs w:val="32"/>
        </w:rPr>
        <w:t>36</w:t>
      </w:r>
      <w:r>
        <w:rPr>
          <w:rFonts w:hint="eastAsia" w:ascii="仿宋_GB2312" w:eastAsia="仿宋_GB2312"/>
          <w:sz w:val="32"/>
          <w:szCs w:val="32"/>
        </w:rPr>
        <w:t>名，工勤人员</w:t>
      </w:r>
      <w:r>
        <w:rPr>
          <w:rFonts w:ascii="仿宋_GB2312" w:eastAsia="仿宋_GB2312"/>
          <w:sz w:val="32"/>
          <w:szCs w:val="32"/>
        </w:rPr>
        <w:t>9</w:t>
      </w:r>
      <w:r>
        <w:rPr>
          <w:rFonts w:hint="eastAsia" w:ascii="仿宋_GB2312" w:eastAsia="仿宋_GB2312"/>
          <w:sz w:val="32"/>
          <w:szCs w:val="32"/>
        </w:rPr>
        <w:t>名。</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（二）机构职能。</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bCs/>
          <w:sz w:val="32"/>
          <w:szCs w:val="32"/>
        </w:rPr>
        <w:t>主要职责是：贯彻执行国家住房和城乡建设的法律、法规和方针、政策；研究拟定住房保障、城市建设、工程建设、村镇建设、建筑业、勘察设计业的有关地方性文件和枝术标准；</w:t>
      </w:r>
      <w:r>
        <w:rPr>
          <w:rFonts w:hint="eastAsia" w:ascii="仿宋_GB2312" w:eastAsia="仿宋_GB2312" w:cs="宋体"/>
          <w:bCs/>
          <w:sz w:val="32"/>
          <w:szCs w:val="32"/>
        </w:rPr>
        <w:t>负责本系统、本部门依法行政工作，落实行政执法责任制；贯彻、执行全市住房改革及住房保障政策；对规划区内范围内的建设工程项目实行集中统一的规划管理。负责全市勘察设计行业管理工作。贯彻执行国家、省有关城市市政基础设施建设、村镇规划和建设方面的方针、政策，研究制定我市城市市政基础设施建设、村镇建设方面实施意见。承担监督管理建筑市场、规范市场行为的责任。负责管理和指导行业标准定额工作。贯彻执行国家、省有关房地产业方针、政策；研究拟定全市房地产业的发展战略，发展规划、产业政策和规章制度，并组织指导实施等职责以及建设工程消防设计审查验收等职责。</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（三）人员概况。</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sz w:val="32"/>
          <w:szCs w:val="32"/>
        </w:rPr>
        <w:t>公共预算财政拨款开支</w:t>
      </w:r>
      <w:r>
        <w:rPr>
          <w:rFonts w:ascii="仿宋_GB2312" w:eastAsia="仿宋_GB2312"/>
          <w:sz w:val="32"/>
          <w:szCs w:val="32"/>
        </w:rPr>
        <w:t>2021</w:t>
      </w:r>
      <w:r>
        <w:rPr>
          <w:rFonts w:hint="eastAsia" w:ascii="仿宋_GB2312" w:eastAsia="仿宋_GB2312"/>
          <w:sz w:val="32"/>
          <w:szCs w:val="32"/>
        </w:rPr>
        <w:t>年年末人数40人，退休92人，离休</w:t>
      </w:r>
      <w:r>
        <w:rPr>
          <w:rFonts w:ascii="仿宋_GB2312" w:eastAsia="仿宋_GB2312"/>
          <w:sz w:val="32"/>
          <w:szCs w:val="32"/>
        </w:rPr>
        <w:t>3</w:t>
      </w:r>
      <w:r>
        <w:rPr>
          <w:rFonts w:hint="eastAsia" w:ascii="仿宋_GB2312" w:eastAsia="仿宋_GB2312"/>
          <w:sz w:val="32"/>
          <w:szCs w:val="32"/>
        </w:rPr>
        <w:t>人。</w:t>
      </w:r>
    </w:p>
    <w:p>
      <w:pPr>
        <w:widowControl/>
        <w:adjustRightInd w:val="0"/>
        <w:snapToGrid w:val="0"/>
        <w:spacing w:line="580" w:lineRule="exact"/>
        <w:ind w:firstLine="640" w:firstLineChars="200"/>
        <w:contextualSpacing/>
        <w:jc w:val="left"/>
        <w:rPr>
          <w:rFonts w:ascii="黑体" w:eastAsia="黑体" w:cs="宋体"/>
          <w:color w:val="000000"/>
          <w:kern w:val="0"/>
          <w:sz w:val="32"/>
          <w:szCs w:val="32"/>
          <w:shd w:val="clear" w:color="auto" w:fill="FFFFFF"/>
        </w:rPr>
      </w:pPr>
      <w:r>
        <w:rPr>
          <w:rFonts w:hint="eastAsia" w:ascii="黑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（一）部门财政资金收入情况。</w:t>
      </w:r>
    </w:p>
    <w:p>
      <w:pPr>
        <w:pStyle w:val="2"/>
        <w:spacing w:before="93" w:beforeLines="0"/>
        <w:ind w:firstLine="640" w:firstLineChars="200"/>
        <w:rPr>
          <w:rFonts w:cs="仿宋_GB2312"/>
          <w:sz w:val="32"/>
          <w:szCs w:val="32"/>
        </w:rPr>
      </w:pPr>
      <w:r>
        <w:rPr>
          <w:rFonts w:hint="eastAsia" w:cs="仿宋_GB2312"/>
          <w:sz w:val="32"/>
          <w:szCs w:val="32"/>
        </w:rPr>
        <w:t>2021年财政拨款收入2279.5万元，其中：一般公共预算财政拨款1534.03万元，政府性基金预算财政拨款745.46万元。</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（二）部门财政资金支出情况。</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2021年财政拨款支出2329.5万元，其中：一般公共预算财政拨款支出1584.03万元，政府性基金预算财政拨款支出745.46万元。</w:t>
      </w:r>
    </w:p>
    <w:p>
      <w:pPr>
        <w:widowControl/>
        <w:adjustRightInd w:val="0"/>
        <w:snapToGrid w:val="0"/>
        <w:spacing w:line="580" w:lineRule="exact"/>
        <w:ind w:firstLine="640" w:firstLineChars="200"/>
        <w:contextualSpacing/>
        <w:jc w:val="left"/>
        <w:rPr>
          <w:rFonts w:ascii="黑体" w:eastAsia="黑体" w:cs="宋体"/>
          <w:color w:val="000000"/>
          <w:kern w:val="0"/>
          <w:sz w:val="32"/>
          <w:szCs w:val="32"/>
          <w:shd w:val="clear" w:color="auto" w:fill="FFFFFF"/>
        </w:rPr>
      </w:pPr>
      <w:r>
        <w:rPr>
          <w:rFonts w:hint="eastAsia" w:ascii="黑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（一）</w:t>
      </w:r>
      <w:r>
        <w:rPr>
          <w:rFonts w:hint="eastAsia" w:ascii="仿宋_GB2312" w:eastAsia="仿宋_GB2312" w:cs="宋体"/>
          <w:kern w:val="0"/>
          <w:sz w:val="32"/>
          <w:szCs w:val="32"/>
          <w:shd w:val="clear" w:color="auto" w:fill="FFFFFF"/>
          <w:lang w:val="zh-CN"/>
        </w:rPr>
        <w:t>部门预算项目绩效管理</w:t>
      </w:r>
      <w:r>
        <w:rPr>
          <w:rFonts w:hint="eastAsia" w:ascii="仿宋_GB2312" w:eastAsia="仿宋_GB2312" w:cs="宋体"/>
          <w:color w:val="000000"/>
          <w:kern w:val="0"/>
          <w:sz w:val="32"/>
          <w:szCs w:val="32"/>
          <w:shd w:val="clear" w:color="auto" w:fill="FFFFFF"/>
          <w:lang w:val="zh-CN"/>
        </w:rPr>
        <w:t>。</w:t>
      </w:r>
    </w:p>
    <w:p>
      <w:pPr>
        <w:spacing w:line="580" w:lineRule="exact"/>
        <w:ind w:firstLine="640" w:firstLineChars="200"/>
        <w:rPr>
          <w:rFonts w:ascii="仿宋_GB2312" w:eastAsia="仿宋_GB2312"/>
          <w:sz w:val="32"/>
          <w:szCs w:val="32"/>
        </w:rPr>
      </w:pPr>
      <w:r>
        <w:rPr>
          <w:rFonts w:hint="eastAsia" w:ascii="仿宋_GB2312" w:eastAsia="仿宋_GB2312" w:cs="仿宋_GB2312"/>
          <w:sz w:val="32"/>
          <w:szCs w:val="32"/>
        </w:rPr>
        <w:t>2021年部门绩效目标制定完整，目标完成较好，预算编制较准确、支出控制良好、执行进度与年初相符，全面完成年初预算。</w:t>
      </w:r>
      <w:r>
        <w:rPr>
          <w:rFonts w:hint="eastAsia" w:ascii="仿宋_GB2312" w:eastAsia="仿宋_GB2312"/>
          <w:sz w:val="32"/>
          <w:szCs w:val="32"/>
        </w:rPr>
        <w:t>部门支出绩效指标达到了预期设定的目标值，绩效目标完成较好。</w:t>
      </w:r>
    </w:p>
    <w:p>
      <w:pPr>
        <w:widowControl/>
        <w:adjustRightInd w:val="0"/>
        <w:snapToGrid w:val="0"/>
        <w:spacing w:line="572"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（二）结果应用情况。</w:t>
      </w:r>
    </w:p>
    <w:p>
      <w:pPr>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shd w:val="clear" w:color="auto" w:fill="FFFFFF"/>
          <w:lang w:val="zh-CN"/>
        </w:rPr>
        <w:t>1.</w:t>
      </w:r>
      <w:r>
        <w:rPr>
          <w:rFonts w:hint="eastAsia" w:ascii="仿宋_GB2312" w:eastAsia="仿宋_GB2312" w:cs="宋体"/>
          <w:kern w:val="0"/>
          <w:sz w:val="32"/>
          <w:szCs w:val="32"/>
        </w:rPr>
        <w:t>专项经费（含征收管理、业务运行）：2021年支出14.65万元，用于村镇建设、农村危房改造和质量安全监督检查、建筑行业管理等工作需要的差旅费、租车费、印刷费等，保障了单位日常工作的有效开展。</w:t>
      </w:r>
    </w:p>
    <w:p>
      <w:pPr>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2.</w:t>
      </w:r>
      <w:r>
        <w:rPr>
          <w:rFonts w:hint="eastAsia"/>
        </w:rPr>
        <w:t xml:space="preserve"> </w:t>
      </w:r>
      <w:r>
        <w:rPr>
          <w:rFonts w:hint="eastAsia" w:ascii="仿宋_GB2312" w:eastAsia="仿宋_GB2312" w:cs="宋体"/>
          <w:kern w:val="0"/>
          <w:sz w:val="32"/>
          <w:szCs w:val="32"/>
        </w:rPr>
        <w:t>观音岩引水工程立法工作经费：2021年支出14.92万元，用于组织开展《攀枝花市观音岩引水工程管理规定》的地方性立法相关服务研究项目工作，包括立法调研、听证、专家论证、社会稳定风险评估、可行性评估等工作，保障了观音岩引水工程立法工作的顺利开展。</w:t>
      </w:r>
    </w:p>
    <w:p>
      <w:pPr>
        <w:pStyle w:val="2"/>
        <w:spacing w:before="93" w:beforeLines="0"/>
        <w:ind w:firstLine="640" w:firstLineChars="200"/>
      </w:pPr>
      <w:r>
        <w:rPr>
          <w:rFonts w:hint="eastAsia" w:cs="宋体"/>
          <w:sz w:val="32"/>
          <w:szCs w:val="32"/>
        </w:rPr>
        <w:t>3.</w:t>
      </w:r>
      <w:r>
        <w:rPr>
          <w:rFonts w:hint="eastAsia"/>
        </w:rPr>
        <w:t xml:space="preserve"> </w:t>
      </w:r>
      <w:r>
        <w:rPr>
          <w:rFonts w:hint="eastAsia" w:cs="宋体"/>
          <w:sz w:val="32"/>
          <w:szCs w:val="32"/>
        </w:rPr>
        <w:t>“十四五”住房发展规划编制经费：2021年支出13.5万元，按照《四川省住房城乡建设厅关于转发〈住房和城乡建设部办公厅关于开展“十四五”住房发展规划编制工作的通知〉的通知》（川建房发〔2020〕106号）要求，完成规划编制工作</w:t>
      </w:r>
      <w:r>
        <w:rPr>
          <w:rFonts w:hint="eastAsia" w:cs="宋体"/>
          <w:sz w:val="32"/>
          <w:szCs w:val="32"/>
          <w:shd w:val="clear" w:color="auto" w:fill="FFFFFF"/>
          <w:lang w:val="zh-CN"/>
        </w:rPr>
        <w:t>。</w:t>
      </w:r>
    </w:p>
    <w:p>
      <w:pPr>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4.编外用工人员经费：2021年支出160万元，用于支付我局编外聘用人员全年工资及五金一险，聘用人员弥补了我单位人手不足的问题，较好地保障了我局各项工作的完成。</w:t>
      </w:r>
    </w:p>
    <w:p>
      <w:pPr>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5.办公楼物业管理费。2021年支出40万元，用于支付我局办公楼的物业管理费、水费、电费，满足了办公楼水电需要，保障了办公区域干净、整洁、安全。</w:t>
      </w:r>
    </w:p>
    <w:p>
      <w:pPr>
        <w:widowControl/>
        <w:numPr>
          <w:ilvl w:val="0"/>
          <w:numId w:val="5"/>
        </w:numPr>
        <w:adjustRightInd w:val="0"/>
        <w:snapToGrid w:val="0"/>
        <w:spacing w:line="580" w:lineRule="exact"/>
        <w:ind w:left="0"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自评质量</w:t>
      </w:r>
    </w:p>
    <w:p>
      <w:pPr>
        <w:widowControl/>
        <w:adjustRightInd w:val="0"/>
        <w:snapToGrid w:val="0"/>
        <w:spacing w:line="576" w:lineRule="exact"/>
        <w:ind w:firstLine="640" w:firstLineChars="200"/>
        <w:contextualSpacing/>
        <w:jc w:val="left"/>
        <w:rPr>
          <w:rFonts w:ascii="仿宋_GB2312" w:eastAsia="仿宋_GB2312" w:cs="宋体"/>
          <w:kern w:val="0"/>
          <w:sz w:val="32"/>
          <w:szCs w:val="32"/>
          <w:shd w:val="clear" w:color="auto" w:fill="FFFFFF"/>
        </w:rPr>
      </w:pPr>
      <w:r>
        <w:rPr>
          <w:rFonts w:hint="eastAsia" w:eastAsia="仿宋_GB2312"/>
          <w:sz w:val="32"/>
          <w:szCs w:val="32"/>
        </w:rPr>
        <w:t>单位积极开展绩效自评工作，自评过程合理，指标设置贴近实际，能够较为真实的反映项目实施的情况，准确度较高</w:t>
      </w:r>
      <w:r>
        <w:rPr>
          <w:rFonts w:hint="eastAsia" w:ascii="仿宋_GB2312" w:eastAsia="仿宋_GB2312" w:cs="宋体"/>
          <w:kern w:val="0"/>
          <w:sz w:val="32"/>
          <w:szCs w:val="32"/>
          <w:shd w:val="clear" w:color="auto" w:fill="FFFFFF"/>
        </w:rPr>
        <w:t>，绩效自评结果按规定公示。</w:t>
      </w:r>
    </w:p>
    <w:p>
      <w:pPr>
        <w:widowControl/>
        <w:adjustRightInd w:val="0"/>
        <w:snapToGrid w:val="0"/>
        <w:spacing w:line="576" w:lineRule="exact"/>
        <w:ind w:firstLine="640" w:firstLineChars="200"/>
        <w:contextualSpacing/>
        <w:jc w:val="left"/>
        <w:rPr>
          <w:rFonts w:ascii="黑体" w:eastAsia="黑体" w:cs="宋体"/>
          <w:kern w:val="0"/>
          <w:sz w:val="32"/>
          <w:szCs w:val="32"/>
          <w:shd w:val="clear" w:color="auto" w:fill="FFFFFF"/>
        </w:rPr>
      </w:pPr>
      <w:r>
        <w:rPr>
          <w:rFonts w:hint="eastAsia" w:ascii="黑体" w:eastAsia="黑体" w:cs="宋体"/>
          <w:kern w:val="0"/>
          <w:sz w:val="32"/>
          <w:szCs w:val="32"/>
          <w:shd w:val="clear" w:color="auto" w:fill="FFFFFF"/>
        </w:rPr>
        <w:t>四、评价结论及建议</w:t>
      </w:r>
    </w:p>
    <w:p>
      <w:pPr>
        <w:widowControl/>
        <w:adjustRightInd w:val="0"/>
        <w:snapToGrid w:val="0"/>
        <w:spacing w:line="576"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（一）评价结论。</w:t>
      </w:r>
    </w:p>
    <w:p>
      <w:pPr>
        <w:spacing w:line="580" w:lineRule="exact"/>
        <w:ind w:firstLine="640" w:firstLineChars="200"/>
        <w:rPr>
          <w:rFonts w:ascii="仿宋_GB2312" w:eastAsia="仿宋_GB2312" w:cs="仿宋_GB2312"/>
          <w:sz w:val="32"/>
          <w:szCs w:val="32"/>
        </w:rPr>
      </w:pPr>
      <w:r>
        <w:rPr>
          <w:rFonts w:hint="eastAsia" w:ascii="仿宋_GB2312" w:eastAsia="仿宋_GB2312"/>
          <w:sz w:val="32"/>
          <w:szCs w:val="32"/>
        </w:rPr>
        <w:t>本部门2021年支出绩效指标达到了预期设定的目标值，绩效目标完成较好。</w:t>
      </w:r>
    </w:p>
    <w:p>
      <w:pPr>
        <w:widowControl/>
        <w:adjustRightInd w:val="0"/>
        <w:snapToGrid w:val="0"/>
        <w:spacing w:line="576"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（二）存在问题。</w:t>
      </w:r>
    </w:p>
    <w:p>
      <w:pPr>
        <w:pStyle w:val="2"/>
        <w:spacing w:before="93" w:beforeLines="0"/>
        <w:rPr>
          <w:lang w:val="zh-CN"/>
        </w:rPr>
      </w:pPr>
      <w:r>
        <w:rPr>
          <w:rFonts w:hint="eastAsia"/>
          <w:sz w:val="32"/>
          <w:szCs w:val="32"/>
        </w:rPr>
        <w:t>一是总有突发性和临时性</w:t>
      </w:r>
      <w:r>
        <w:rPr>
          <w:rFonts w:hint="eastAsia" w:cs="宋体"/>
          <w:sz w:val="32"/>
          <w:szCs w:val="32"/>
        </w:rPr>
        <w:t>工作，预算难以准确，二是预算金额不足，项目之间难以平衡。</w:t>
      </w:r>
    </w:p>
    <w:p>
      <w:pPr>
        <w:pStyle w:val="2"/>
        <w:spacing w:before="93" w:beforeLines="0"/>
        <w:ind w:firstLine="640" w:firstLineChars="200"/>
        <w:rPr>
          <w:rFonts w:cs="宋体"/>
          <w:sz w:val="32"/>
          <w:szCs w:val="32"/>
          <w:shd w:val="clear" w:color="auto" w:fill="FFFFFF"/>
          <w:lang w:val="zh-CN"/>
        </w:rPr>
      </w:pPr>
      <w:r>
        <w:rPr>
          <w:rFonts w:hint="eastAsia" w:cs="宋体"/>
          <w:sz w:val="32"/>
          <w:szCs w:val="32"/>
          <w:shd w:val="clear" w:color="auto" w:fill="FFFFFF"/>
          <w:lang w:val="zh-CN"/>
        </w:rPr>
        <w:t>（三）改进建议。</w:t>
      </w:r>
    </w:p>
    <w:p>
      <w:pPr>
        <w:pStyle w:val="2"/>
        <w:spacing w:before="93" w:beforeLines="0"/>
        <w:ind w:firstLine="640" w:firstLineChars="200"/>
        <w:rPr>
          <w:rFonts w:cs="仿宋_GB2312"/>
          <w:bCs/>
          <w:sz w:val="32"/>
          <w:szCs w:val="32"/>
          <w:lang w:val="zh-CN"/>
        </w:rPr>
      </w:pPr>
      <w:r>
        <w:rPr>
          <w:rFonts w:hint="eastAsia" w:cs="仿宋_GB2312"/>
          <w:bCs/>
          <w:sz w:val="32"/>
          <w:szCs w:val="32"/>
          <w:lang w:val="zh-CN"/>
        </w:rPr>
        <w:t>一是进一步加强财务管理和单位内控制度建设，规范各项费用的列支，确保规范完整。二是严格控制运行成本，加强宣传、提高业务人员专业技能。</w:t>
      </w: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spacing w:line="572" w:lineRule="exact"/>
        <w:jc w:val="center"/>
        <w:rPr>
          <w:rFonts w:ascii="方正小标宋简体" w:eastAsia="方正小标宋简体"/>
          <w:kern w:val="0"/>
          <w:sz w:val="40"/>
          <w:szCs w:val="44"/>
          <w:lang w:val="zh-CN"/>
        </w:rPr>
      </w:pPr>
      <w:r>
        <w:rPr>
          <w:rFonts w:hint="eastAsia" w:ascii="方正小标宋简体" w:eastAsia="方正小标宋简体"/>
          <w:kern w:val="0"/>
          <w:sz w:val="40"/>
          <w:szCs w:val="44"/>
        </w:rPr>
        <w:t>2021年攀枝花市城市基本建设档案馆整体绩效评价报告</w:t>
      </w:r>
    </w:p>
    <w:p>
      <w:pPr>
        <w:widowControl/>
        <w:adjustRightInd w:val="0"/>
        <w:snapToGrid w:val="0"/>
        <w:spacing w:line="572" w:lineRule="exact"/>
        <w:ind w:firstLine="480" w:firstLineChars="200"/>
        <w:contextualSpacing/>
        <w:jc w:val="left"/>
        <w:rPr>
          <w:rFonts w:ascii="黑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eastAsia="黑体" w:cs="宋体"/>
          <w:kern w:val="0"/>
          <w:sz w:val="32"/>
          <w:szCs w:val="32"/>
          <w:shd w:val="clear" w:color="auto" w:fill="FFFFFF"/>
          <w:lang w:val="zh-CN"/>
        </w:rPr>
      </w:pPr>
      <w:r>
        <w:rPr>
          <w:rFonts w:hint="eastAsia" w:ascii="黑体" w:eastAsia="黑体" w:cs="宋体"/>
          <w:kern w:val="0"/>
          <w:sz w:val="32"/>
          <w:szCs w:val="32"/>
          <w:shd w:val="clear" w:color="auto" w:fill="FFFFFF"/>
        </w:rPr>
        <w:t>一、</w:t>
      </w:r>
      <w:r>
        <w:rPr>
          <w:rFonts w:hint="eastAsia" w:ascii="黑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（一）机构组成。</w:t>
      </w:r>
    </w:p>
    <w:p>
      <w:pPr>
        <w:widowControl/>
        <w:adjustRightInd w:val="0"/>
        <w:snapToGrid w:val="0"/>
        <w:spacing w:line="572" w:lineRule="exact"/>
        <w:ind w:firstLine="640" w:firstLineChars="200"/>
        <w:contextualSpacing/>
        <w:jc w:val="left"/>
        <w:rPr>
          <w:rFonts w:ascii="仿宋_GB2312" w:eastAsia="仿宋_GB2312" w:cs="宋体"/>
          <w:kern w:val="0"/>
          <w:sz w:val="32"/>
          <w:szCs w:val="32"/>
          <w:shd w:val="clear" w:color="auto" w:fill="FFFFFF"/>
          <w:lang w:val="zh-CN"/>
        </w:rPr>
      </w:pPr>
      <w:r>
        <w:rPr>
          <w:rFonts w:ascii="仿宋_GB2312" w:eastAsia="仿宋_GB2312" w:cs="宋体"/>
          <w:kern w:val="0"/>
          <w:sz w:val="32"/>
          <w:szCs w:val="32"/>
          <w:shd w:val="clear" w:color="auto" w:fill="FFFFFF"/>
          <w:lang w:val="zh-CN"/>
        </w:rPr>
        <w:t xml:space="preserve">  本单位无内设机构，为加强单位管理，从工作实际出发，单位内部设置了办公室、</w:t>
      </w:r>
      <w:r>
        <w:rPr>
          <w:rFonts w:hint="eastAsia" w:ascii="仿宋_GB2312" w:eastAsia="仿宋_GB2312" w:cs="宋体"/>
          <w:kern w:val="0"/>
          <w:sz w:val="32"/>
          <w:szCs w:val="32"/>
          <w:shd w:val="clear" w:color="auto" w:fill="FFFFFF"/>
          <w:lang w:val="zh-CN"/>
        </w:rPr>
        <w:t>档案接收科、管理编研科</w:t>
      </w:r>
      <w:r>
        <w:rPr>
          <w:rFonts w:ascii="仿宋_GB2312" w:eastAsia="仿宋_GB2312" w:cs="宋体"/>
          <w:kern w:val="0"/>
          <w:sz w:val="32"/>
          <w:szCs w:val="32"/>
          <w:shd w:val="clear" w:color="auto" w:fill="FFFFFF"/>
          <w:lang w:val="zh-CN"/>
        </w:rPr>
        <w:t>、</w:t>
      </w:r>
      <w:r>
        <w:rPr>
          <w:rFonts w:hint="eastAsia" w:ascii="仿宋_GB2312" w:eastAsia="仿宋_GB2312" w:cs="宋体"/>
          <w:kern w:val="0"/>
          <w:sz w:val="32"/>
          <w:szCs w:val="32"/>
          <w:shd w:val="clear" w:color="auto" w:fill="FFFFFF"/>
          <w:lang w:val="zh-CN"/>
        </w:rPr>
        <w:t>声像信息科</w:t>
      </w:r>
      <w:r>
        <w:rPr>
          <w:rFonts w:ascii="仿宋_GB2312" w:eastAsia="仿宋_GB2312" w:cs="宋体"/>
          <w:kern w:val="0"/>
          <w:sz w:val="32"/>
          <w:szCs w:val="32"/>
          <w:shd w:val="clear" w:color="auto" w:fill="FFFFFF"/>
          <w:lang w:val="zh-CN"/>
        </w:rPr>
        <w:t>。</w:t>
      </w:r>
    </w:p>
    <w:p>
      <w:pPr>
        <w:widowControl/>
        <w:adjustRightInd w:val="0"/>
        <w:snapToGrid w:val="0"/>
        <w:spacing w:line="572"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（二）机构职能。</w:t>
      </w:r>
    </w:p>
    <w:p>
      <w:pPr>
        <w:pStyle w:val="2"/>
        <w:adjustRightInd w:val="0"/>
        <w:spacing w:before="30" w:beforeLines="0" w:line="600" w:lineRule="exact"/>
        <w:ind w:firstLine="665" w:firstLineChars="208"/>
        <w:rPr>
          <w:rFonts w:ascii="楷体_GB2312" w:eastAsia="楷体_GB2312"/>
          <w:b/>
          <w:sz w:val="32"/>
        </w:rPr>
      </w:pPr>
      <w:r>
        <w:rPr>
          <w:rFonts w:hint="eastAsia"/>
          <w:bCs/>
          <w:sz w:val="32"/>
          <w:szCs w:val="32"/>
        </w:rPr>
        <w:t>攀枝花市城市基本建设档案馆</w:t>
      </w:r>
      <w:r>
        <w:rPr>
          <w:rFonts w:hint="eastAsia"/>
          <w:sz w:val="32"/>
        </w:rPr>
        <w:t>主要工作职责是接收、管理、利用全市城乡建设档案，为城乡规划、建设、管理和城市科学研究服务。</w:t>
      </w:r>
    </w:p>
    <w:p>
      <w:pPr>
        <w:widowControl/>
        <w:adjustRightInd w:val="0"/>
        <w:snapToGrid w:val="0"/>
        <w:spacing w:line="572"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（三）人员概况。</w:t>
      </w:r>
    </w:p>
    <w:p>
      <w:pPr>
        <w:ind w:firstLine="640" w:firstLineChars="200"/>
        <w:rPr>
          <w:rFonts w:ascii="仿宋_GB2312" w:eastAsia="仿宋_GB2312"/>
          <w:bCs/>
          <w:sz w:val="32"/>
          <w:szCs w:val="32"/>
        </w:rPr>
      </w:pPr>
      <w:r>
        <w:rPr>
          <w:rFonts w:hint="eastAsia" w:ascii="仿宋_GB2312" w:eastAsia="仿宋_GB2312"/>
          <w:bCs/>
          <w:sz w:val="32"/>
          <w:szCs w:val="32"/>
        </w:rPr>
        <w:t>我单位属预算内全额拨款事业单位,公益一类，2</w:t>
      </w:r>
      <w:r>
        <w:rPr>
          <w:rFonts w:ascii="仿宋_GB2312" w:eastAsia="仿宋_GB2312"/>
          <w:bCs/>
          <w:sz w:val="32"/>
          <w:szCs w:val="32"/>
        </w:rPr>
        <w:t>021年</w:t>
      </w:r>
      <w:r>
        <w:rPr>
          <w:rFonts w:hint="eastAsia" w:ascii="仿宋_GB2312" w:eastAsia="仿宋_GB2312"/>
          <w:bCs/>
          <w:sz w:val="32"/>
          <w:szCs w:val="32"/>
        </w:rPr>
        <w:t>1</w:t>
      </w:r>
      <w:r>
        <w:rPr>
          <w:rFonts w:ascii="仿宋_GB2312" w:eastAsia="仿宋_GB2312"/>
          <w:bCs/>
          <w:sz w:val="32"/>
          <w:szCs w:val="32"/>
        </w:rPr>
        <w:t>2月底</w:t>
      </w:r>
      <w:r>
        <w:rPr>
          <w:rFonts w:hint="eastAsia" w:ascii="仿宋_GB2312" w:eastAsia="仿宋_GB2312"/>
          <w:bCs/>
          <w:sz w:val="32"/>
          <w:szCs w:val="32"/>
        </w:rPr>
        <w:t>编制12人,在职职工</w:t>
      </w:r>
      <w:r>
        <w:rPr>
          <w:rFonts w:ascii="仿宋_GB2312" w:eastAsia="仿宋_GB2312"/>
          <w:bCs/>
          <w:sz w:val="32"/>
          <w:szCs w:val="32"/>
        </w:rPr>
        <w:t>12</w:t>
      </w:r>
      <w:r>
        <w:rPr>
          <w:rFonts w:hint="eastAsia" w:ascii="仿宋_GB2312" w:eastAsia="仿宋_GB2312"/>
          <w:bCs/>
          <w:sz w:val="32"/>
          <w:szCs w:val="32"/>
        </w:rPr>
        <w:t>人，退休职工10人。</w:t>
      </w:r>
    </w:p>
    <w:p>
      <w:pPr>
        <w:widowControl/>
        <w:adjustRightInd w:val="0"/>
        <w:snapToGrid w:val="0"/>
        <w:spacing w:line="572" w:lineRule="exact"/>
        <w:ind w:firstLine="640" w:firstLineChars="200"/>
        <w:contextualSpacing/>
        <w:jc w:val="left"/>
        <w:rPr>
          <w:rFonts w:ascii="黑体" w:eastAsia="黑体" w:cs="宋体"/>
          <w:kern w:val="0"/>
          <w:sz w:val="32"/>
          <w:szCs w:val="32"/>
          <w:shd w:val="clear" w:color="auto" w:fill="FFFFFF"/>
        </w:rPr>
      </w:pPr>
      <w:r>
        <w:rPr>
          <w:rFonts w:hint="eastAsia" w:ascii="黑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（一）部门财政资金收入情况。</w:t>
      </w:r>
    </w:p>
    <w:p>
      <w:pPr>
        <w:pStyle w:val="2"/>
        <w:spacing w:before="93" w:beforeLines="0"/>
        <w:rPr>
          <w:lang w:val="zh-CN"/>
        </w:rPr>
      </w:pPr>
      <w:r>
        <w:rPr>
          <w:rFonts w:hint="eastAsia"/>
          <w:sz w:val="32"/>
          <w:szCs w:val="32"/>
        </w:rPr>
        <w:t>2021年一般公共预算财政拨款收入327.92万元，占100%</w:t>
      </w:r>
      <w:r>
        <w:rPr>
          <w:rFonts w:hint="eastAsia"/>
          <w:lang w:val="zh-CN"/>
        </w:rPr>
        <w:t>。</w:t>
      </w:r>
    </w:p>
    <w:p>
      <w:pPr>
        <w:widowControl/>
        <w:adjustRightInd w:val="0"/>
        <w:snapToGrid w:val="0"/>
        <w:spacing w:line="572"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（二）部门财政资金支出情况。</w:t>
      </w:r>
    </w:p>
    <w:p>
      <w:pPr>
        <w:pStyle w:val="2"/>
        <w:spacing w:before="93" w:beforeLines="0"/>
        <w:rPr>
          <w:sz w:val="32"/>
          <w:szCs w:val="32"/>
        </w:rPr>
      </w:pPr>
      <w:r>
        <w:rPr>
          <w:rFonts w:hint="eastAsia"/>
          <w:sz w:val="32"/>
          <w:szCs w:val="32"/>
        </w:rPr>
        <w:t>2021年一般公共预算财政拨款支出327.92万元， 主要用于社会保障和就业（类）支出64.87万元，占19.78%；住房保障支出19.7万元，占6.01%；城乡社区支出243.35万元，占74.21%。</w:t>
      </w:r>
    </w:p>
    <w:p>
      <w:pPr>
        <w:widowControl/>
        <w:adjustRightInd w:val="0"/>
        <w:snapToGrid w:val="0"/>
        <w:spacing w:line="572" w:lineRule="exact"/>
        <w:ind w:firstLine="640" w:firstLineChars="200"/>
        <w:contextualSpacing/>
        <w:jc w:val="left"/>
        <w:rPr>
          <w:rFonts w:ascii="黑体" w:eastAsia="黑体" w:cs="宋体"/>
          <w:kern w:val="0"/>
          <w:sz w:val="32"/>
          <w:szCs w:val="32"/>
          <w:shd w:val="clear" w:color="auto" w:fill="FFFFFF"/>
        </w:rPr>
      </w:pPr>
      <w:r>
        <w:rPr>
          <w:rFonts w:hint="eastAsia" w:ascii="黑体" w:eastAsia="黑体" w:cs="宋体"/>
          <w:kern w:val="0"/>
          <w:sz w:val="32"/>
          <w:szCs w:val="32"/>
          <w:shd w:val="clear" w:color="auto" w:fill="FFFFFF"/>
        </w:rPr>
        <w:t>三、部门整体预算绩效管理情况</w:t>
      </w:r>
    </w:p>
    <w:p>
      <w:pPr>
        <w:widowControl/>
        <w:adjustRightInd w:val="0"/>
        <w:snapToGrid w:val="0"/>
        <w:spacing w:line="572"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（一）部门预算项目绩效管理。</w:t>
      </w:r>
    </w:p>
    <w:p>
      <w:pPr>
        <w:widowControl/>
        <w:adjustRightInd w:val="0"/>
        <w:snapToGrid w:val="0"/>
        <w:spacing w:line="572"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包括部门绩效目标制定、目标实现（按人员类、运转类、特定目标类项目分类阐述）、支出控制、及时处置、执行进度、预算完成情况、资金结余率（低效无效率）和违规记录等情况。</w:t>
      </w:r>
    </w:p>
    <w:p>
      <w:pPr>
        <w:pStyle w:val="2"/>
        <w:spacing w:before="93" w:beforeLines="0"/>
        <w:ind w:firstLine="640" w:firstLineChars="200"/>
        <w:rPr>
          <w:rFonts w:cs="宋体"/>
          <w:sz w:val="32"/>
          <w:szCs w:val="32"/>
          <w:shd w:val="clear" w:color="auto" w:fill="FFFFFF"/>
          <w:lang w:val="zh-CN"/>
        </w:rPr>
      </w:pPr>
      <w:r>
        <w:rPr>
          <w:rFonts w:hint="eastAsia" w:cs="宋体"/>
          <w:sz w:val="32"/>
          <w:szCs w:val="32"/>
          <w:shd w:val="clear" w:color="auto" w:fill="FFFFFF"/>
          <w:lang w:val="zh-CN"/>
        </w:rPr>
        <w:t>2</w:t>
      </w:r>
      <w:r>
        <w:rPr>
          <w:rFonts w:cs="宋体"/>
          <w:sz w:val="32"/>
          <w:szCs w:val="32"/>
          <w:shd w:val="clear" w:color="auto" w:fill="FFFFFF"/>
          <w:lang w:val="zh-CN"/>
        </w:rPr>
        <w:t>021年单位</w:t>
      </w:r>
      <w:r>
        <w:rPr>
          <w:rFonts w:hint="eastAsia" w:cs="宋体"/>
          <w:sz w:val="32"/>
          <w:szCs w:val="32"/>
          <w:shd w:val="clear" w:color="auto" w:fill="FFFFFF"/>
          <w:lang w:val="zh-CN"/>
        </w:rPr>
        <w:t>绩效目标，积极</w:t>
      </w:r>
      <w:r>
        <w:rPr>
          <w:rFonts w:cs="宋体"/>
          <w:sz w:val="32"/>
          <w:szCs w:val="32"/>
          <w:shd w:val="clear" w:color="auto" w:fill="FFFFFF"/>
          <w:lang w:val="zh-CN"/>
        </w:rPr>
        <w:t>完成单位的各项行政工作</w:t>
      </w:r>
      <w:r>
        <w:rPr>
          <w:rFonts w:hint="eastAsia" w:cs="宋体"/>
          <w:color w:val="000000"/>
          <w:sz w:val="32"/>
          <w:szCs w:val="32"/>
          <w:shd w:val="clear" w:color="auto" w:fill="FFFFFF"/>
          <w:lang w:val="zh-CN"/>
        </w:rPr>
        <w:t>，围绕</w:t>
      </w:r>
      <w:r>
        <w:rPr>
          <w:rFonts w:hint="eastAsia" w:cs="宋体"/>
          <w:color w:val="000000"/>
          <w:sz w:val="32"/>
          <w:szCs w:val="32"/>
        </w:rPr>
        <w:t>完成全年接收、整理档案3000卷的目标，</w:t>
      </w:r>
      <w:r>
        <w:rPr>
          <w:rFonts w:hint="eastAsia"/>
          <w:sz w:val="32"/>
          <w:szCs w:val="32"/>
        </w:rPr>
        <w:t>加强声像档案管理工作 。继续做好城市记忆项目及重点工程项目跟踪拍摄，以及老旧小区改造试点工作的声像拍摄。推进城建档案信息化建设。按照《建设电子文件与电子档案管理规范》要求，对接收进馆的工程档案进行全面数字化扫描，为打造数字化城建档案馆奠定基础。做好现有馆藏档案 “八防”工作，确保档案安全，不发生泄密事件。</w:t>
      </w:r>
      <w:r>
        <w:rPr>
          <w:rFonts w:hint="eastAsia" w:cs="宋体"/>
          <w:color w:val="000000"/>
          <w:sz w:val="32"/>
          <w:szCs w:val="32"/>
          <w:shd w:val="clear" w:color="auto" w:fill="FFFFFF"/>
          <w:lang w:val="zh-CN"/>
        </w:rPr>
        <w:t>截止年底 100%完成预算，保障了单位整体绩效目标任务的完成，无违规违纪现象发生。</w:t>
      </w:r>
    </w:p>
    <w:p>
      <w:pPr>
        <w:pStyle w:val="2"/>
        <w:spacing w:before="93" w:beforeLines="0"/>
        <w:ind w:firstLine="640" w:firstLineChars="200"/>
        <w:rPr>
          <w:rFonts w:cs="宋体"/>
          <w:sz w:val="32"/>
          <w:szCs w:val="32"/>
          <w:shd w:val="clear" w:color="auto" w:fill="FFFFFF"/>
          <w:lang w:val="zh-CN"/>
        </w:rPr>
      </w:pPr>
      <w:r>
        <w:rPr>
          <w:rFonts w:cs="宋体"/>
          <w:sz w:val="32"/>
          <w:szCs w:val="32"/>
          <w:shd w:val="clear" w:color="auto" w:fill="FFFFFF"/>
          <w:lang w:val="zh-CN"/>
        </w:rPr>
        <w:t>20</w:t>
      </w:r>
      <w:r>
        <w:rPr>
          <w:rFonts w:hint="eastAsia" w:cs="宋体"/>
          <w:sz w:val="32"/>
          <w:szCs w:val="32"/>
          <w:shd w:val="clear" w:color="auto" w:fill="FFFFFF"/>
          <w:lang w:val="zh-CN"/>
        </w:rPr>
        <w:t>21年基本支出309.42万元，其中：人员经费支出291.74</w:t>
      </w:r>
      <w:r>
        <w:rPr>
          <w:rFonts w:cs="宋体"/>
          <w:sz w:val="32"/>
          <w:szCs w:val="32"/>
          <w:shd w:val="clear" w:color="auto" w:fill="FFFFFF"/>
          <w:lang w:val="zh-CN"/>
        </w:rPr>
        <w:t>万元，包括工资福利支出</w:t>
      </w:r>
      <w:r>
        <w:rPr>
          <w:rFonts w:hint="eastAsia" w:cs="宋体"/>
          <w:sz w:val="32"/>
          <w:szCs w:val="32"/>
          <w:shd w:val="clear" w:color="auto" w:fill="FFFFFF"/>
          <w:lang w:val="zh-CN"/>
        </w:rPr>
        <w:t>247.33</w:t>
      </w:r>
      <w:r>
        <w:rPr>
          <w:rFonts w:cs="宋体"/>
          <w:sz w:val="32"/>
          <w:szCs w:val="32"/>
          <w:shd w:val="clear" w:color="auto" w:fill="FFFFFF"/>
          <w:lang w:val="zh-CN"/>
        </w:rPr>
        <w:t>万元，</w:t>
      </w:r>
      <w:r>
        <w:rPr>
          <w:rFonts w:hint="eastAsia" w:cs="宋体"/>
          <w:sz w:val="32"/>
          <w:szCs w:val="32"/>
          <w:shd w:val="clear" w:color="auto" w:fill="FFFFFF"/>
          <w:lang w:val="zh-CN"/>
        </w:rPr>
        <w:t>对个人家庭的补助44.41</w:t>
      </w:r>
      <w:r>
        <w:rPr>
          <w:rFonts w:cs="宋体"/>
          <w:sz w:val="32"/>
          <w:szCs w:val="32"/>
          <w:shd w:val="clear" w:color="auto" w:fill="FFFFFF"/>
          <w:lang w:val="zh-CN"/>
        </w:rPr>
        <w:t>万元；公用经费支出主要是商品和服务支出</w:t>
      </w:r>
      <w:r>
        <w:rPr>
          <w:rFonts w:hint="eastAsia" w:cs="宋体"/>
          <w:sz w:val="32"/>
          <w:szCs w:val="32"/>
          <w:shd w:val="clear" w:color="auto" w:fill="FFFFFF"/>
          <w:lang w:val="zh-CN"/>
        </w:rPr>
        <w:t>17.69</w:t>
      </w:r>
      <w:r>
        <w:rPr>
          <w:rFonts w:cs="宋体"/>
          <w:sz w:val="32"/>
          <w:szCs w:val="32"/>
          <w:shd w:val="clear" w:color="auto" w:fill="FFFFFF"/>
          <w:lang w:val="zh-CN"/>
        </w:rPr>
        <w:t>万元。</w:t>
      </w:r>
    </w:p>
    <w:p>
      <w:pPr>
        <w:adjustRightInd w:val="0"/>
        <w:snapToGrid w:val="0"/>
        <w:spacing w:line="600" w:lineRule="exact"/>
        <w:ind w:firstLine="640" w:firstLineChars="200"/>
        <w:rPr>
          <w:rFonts w:ascii="仿宋_GB2312" w:eastAsia="仿宋_GB2312"/>
          <w:sz w:val="32"/>
          <w:szCs w:val="32"/>
          <w:lang w:val="zh-CN"/>
        </w:rPr>
      </w:pPr>
      <w:r>
        <w:rPr>
          <w:rFonts w:hint="eastAsia" w:ascii="仿宋_GB2312" w:eastAsia="仿宋_GB2312" w:cs="宋体"/>
          <w:sz w:val="32"/>
          <w:szCs w:val="32"/>
          <w:shd w:val="clear" w:color="auto" w:fill="FFFFFF"/>
          <w:lang w:val="zh-CN"/>
        </w:rPr>
        <w:t>运转类业务运行费支出10万元</w:t>
      </w:r>
      <w:r>
        <w:rPr>
          <w:rFonts w:cs="宋体"/>
          <w:sz w:val="32"/>
          <w:szCs w:val="32"/>
          <w:shd w:val="clear" w:color="auto" w:fill="FFFFFF"/>
          <w:lang w:val="zh-CN"/>
        </w:rPr>
        <w:t>，</w:t>
      </w:r>
      <w:r>
        <w:rPr>
          <w:rFonts w:hint="eastAsia" w:ascii="仿宋_GB2312" w:eastAsia="仿宋_GB2312"/>
          <w:sz w:val="32"/>
          <w:szCs w:val="32"/>
          <w:lang w:val="zh-CN"/>
        </w:rPr>
        <w:t>主要用于聘用档案整理人员劳务费、馆内专业技术人员培训差旅费、办公费等方面的成本支出。</w:t>
      </w:r>
    </w:p>
    <w:p>
      <w:pPr>
        <w:pStyle w:val="2"/>
        <w:spacing w:before="93" w:beforeLines="0"/>
        <w:ind w:firstLine="640" w:firstLineChars="200"/>
        <w:rPr>
          <w:rFonts w:cs="宋体"/>
          <w:sz w:val="32"/>
          <w:szCs w:val="32"/>
          <w:shd w:val="clear" w:color="auto" w:fill="FFFFFF"/>
          <w:lang w:val="zh-CN"/>
        </w:rPr>
      </w:pPr>
      <w:r>
        <w:rPr>
          <w:rFonts w:hint="eastAsia" w:cs="宋体"/>
          <w:sz w:val="32"/>
          <w:szCs w:val="32"/>
          <w:shd w:val="clear" w:color="auto" w:fill="FFFFFF"/>
          <w:lang w:val="zh-CN"/>
        </w:rPr>
        <w:t>档案管理利用费项目8.5</w:t>
      </w:r>
      <w:r>
        <w:rPr>
          <w:rFonts w:cs="宋体"/>
          <w:sz w:val="32"/>
          <w:szCs w:val="32"/>
          <w:shd w:val="clear" w:color="auto" w:fill="FFFFFF"/>
          <w:lang w:val="zh-CN"/>
        </w:rPr>
        <w:t>万元，主要</w:t>
      </w:r>
      <w:r>
        <w:rPr>
          <w:rFonts w:hint="eastAsia" w:cs="宋体"/>
          <w:sz w:val="32"/>
          <w:szCs w:val="32"/>
          <w:shd w:val="clear" w:color="auto" w:fill="FFFFFF"/>
          <w:lang w:val="zh-CN"/>
        </w:rPr>
        <w:t>用于支付聘用档案库房及办公楼安保人员劳务费。</w:t>
      </w:r>
    </w:p>
    <w:p>
      <w:pPr>
        <w:ind w:firstLine="640" w:firstLineChars="200"/>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我单位加强财务管理，厉行节约，各项经费使用合理，</w:t>
      </w:r>
      <w:r>
        <w:rPr>
          <w:rFonts w:ascii="仿宋_GB2312" w:eastAsia="仿宋_GB2312" w:cs="宋体"/>
          <w:kern w:val="0"/>
          <w:sz w:val="32"/>
          <w:szCs w:val="32"/>
          <w:shd w:val="clear" w:color="auto" w:fill="FFFFFF"/>
          <w:lang w:val="zh-CN"/>
        </w:rPr>
        <w:t>在确保保质保量完成工作的前提下，节约成本，按时完成工作任务。</w:t>
      </w:r>
      <w:r>
        <w:rPr>
          <w:rFonts w:hint="eastAsia" w:ascii="仿宋_GB2312" w:eastAsia="仿宋_GB2312" w:cs="宋体"/>
          <w:kern w:val="0"/>
          <w:sz w:val="32"/>
          <w:szCs w:val="32"/>
          <w:shd w:val="clear" w:color="auto" w:fill="FFFFFF"/>
          <w:lang w:val="zh-CN"/>
        </w:rPr>
        <w:t>2</w:t>
      </w:r>
      <w:r>
        <w:rPr>
          <w:rFonts w:ascii="仿宋_GB2312" w:eastAsia="仿宋_GB2312" w:cs="宋体"/>
          <w:kern w:val="0"/>
          <w:sz w:val="32"/>
          <w:szCs w:val="32"/>
          <w:shd w:val="clear" w:color="auto" w:fill="FFFFFF"/>
          <w:lang w:val="zh-CN"/>
        </w:rPr>
        <w:t>021年按</w:t>
      </w:r>
      <w:r>
        <w:rPr>
          <w:rFonts w:hint="eastAsia" w:ascii="仿宋_GB2312" w:eastAsia="仿宋_GB2312" w:cs="宋体"/>
          <w:kern w:val="0"/>
          <w:sz w:val="32"/>
          <w:szCs w:val="32"/>
          <w:shd w:val="clear" w:color="auto" w:fill="FFFFFF"/>
          <w:lang w:val="zh-CN"/>
        </w:rPr>
        <w:t>照</w:t>
      </w:r>
      <w:r>
        <w:rPr>
          <w:rFonts w:ascii="仿宋_GB2312" w:eastAsia="仿宋_GB2312" w:cs="宋体"/>
          <w:kern w:val="0"/>
          <w:sz w:val="32"/>
          <w:szCs w:val="32"/>
          <w:shd w:val="clear" w:color="auto" w:fill="FFFFFF"/>
          <w:lang w:val="zh-CN"/>
        </w:rPr>
        <w:t>进度，</w:t>
      </w:r>
      <w:r>
        <w:rPr>
          <w:rFonts w:hint="eastAsia" w:ascii="仿宋_GB2312" w:eastAsia="仿宋_GB2312" w:cs="宋体"/>
          <w:kern w:val="0"/>
          <w:sz w:val="32"/>
          <w:szCs w:val="32"/>
          <w:shd w:val="clear" w:color="auto" w:fill="FFFFFF"/>
          <w:lang w:val="zh-CN"/>
        </w:rPr>
        <w:t>1</w:t>
      </w:r>
      <w:r>
        <w:rPr>
          <w:rFonts w:ascii="仿宋_GB2312" w:eastAsia="仿宋_GB2312" w:cs="宋体"/>
          <w:kern w:val="0"/>
          <w:sz w:val="32"/>
          <w:szCs w:val="32"/>
          <w:shd w:val="clear" w:color="auto" w:fill="FFFFFF"/>
          <w:lang w:val="zh-CN"/>
        </w:rPr>
        <w:t>00%完成支出预算，</w:t>
      </w:r>
      <w:r>
        <w:rPr>
          <w:rFonts w:hint="eastAsia" w:ascii="仿宋_GB2312" w:eastAsia="仿宋_GB2312" w:cs="宋体"/>
          <w:kern w:val="0"/>
          <w:sz w:val="32"/>
          <w:szCs w:val="32"/>
          <w:shd w:val="clear" w:color="auto" w:fill="FFFFFF"/>
          <w:lang w:val="zh-CN"/>
        </w:rPr>
        <w:t>项目目标绩效完成良好。</w:t>
      </w:r>
    </w:p>
    <w:p>
      <w:pPr>
        <w:pStyle w:val="27"/>
        <w:spacing w:before="93"/>
        <w:ind w:firstLine="800" w:firstLineChars="250"/>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（二）结果应用情况。</w:t>
      </w:r>
    </w:p>
    <w:p>
      <w:pPr>
        <w:widowControl/>
        <w:adjustRightInd w:val="0"/>
        <w:snapToGrid w:val="0"/>
        <w:spacing w:line="572"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包括内部应用、自评公开、问题整改和应用反馈等情况。</w:t>
      </w:r>
    </w:p>
    <w:p>
      <w:pPr>
        <w:pStyle w:val="2"/>
        <w:spacing w:before="93" w:beforeLines="0"/>
        <w:rPr>
          <w:rFonts w:cs="宋体"/>
          <w:sz w:val="32"/>
          <w:szCs w:val="32"/>
          <w:shd w:val="clear" w:color="auto" w:fill="FFFFFF"/>
          <w:lang w:val="zh-CN"/>
        </w:rPr>
      </w:pPr>
      <w:r>
        <w:rPr>
          <w:rFonts w:cs="宋体"/>
          <w:sz w:val="32"/>
          <w:szCs w:val="32"/>
          <w:shd w:val="clear" w:color="auto" w:fill="FFFFFF"/>
          <w:lang w:val="zh-CN"/>
        </w:rPr>
        <w:t>单位将绩效管理工作应用到实际工作中去，确保资金及时到位，按需要支付完成，没保证了单位的各项目标任务的圆满完成。</w:t>
      </w:r>
    </w:p>
    <w:p>
      <w:pPr>
        <w:pStyle w:val="2"/>
        <w:spacing w:before="93" w:beforeLines="0"/>
        <w:ind w:firstLine="640" w:firstLineChars="200"/>
        <w:rPr>
          <w:rFonts w:cs="宋体"/>
          <w:sz w:val="32"/>
          <w:szCs w:val="32"/>
          <w:shd w:val="clear" w:color="auto" w:fill="FFFFFF"/>
          <w:lang w:val="zh-CN"/>
        </w:rPr>
      </w:pPr>
      <w:r>
        <w:rPr>
          <w:rFonts w:cs="宋体"/>
          <w:sz w:val="32"/>
          <w:szCs w:val="32"/>
          <w:shd w:val="clear" w:color="auto" w:fill="FFFFFF"/>
          <w:lang w:val="zh-CN"/>
        </w:rPr>
        <w:t>单位积极开展绩效自评工作，加强内部控制，找差距，找原因，及时调整预算资金支付进度，满足各项工作需要，</w:t>
      </w:r>
      <w:r>
        <w:rPr>
          <w:rFonts w:hint="eastAsia" w:cs="宋体"/>
          <w:sz w:val="32"/>
          <w:szCs w:val="32"/>
          <w:shd w:val="clear" w:color="auto" w:fill="FFFFFF"/>
          <w:lang w:val="zh-CN"/>
        </w:rPr>
        <w:t>绩效自评结果按规定应用和公示</w:t>
      </w:r>
      <w:r>
        <w:rPr>
          <w:rFonts w:cs="宋体"/>
          <w:sz w:val="32"/>
          <w:szCs w:val="32"/>
          <w:shd w:val="clear" w:color="auto" w:fill="FFFFFF"/>
          <w:lang w:val="zh-CN"/>
        </w:rPr>
        <w:t>。</w:t>
      </w:r>
      <w:r>
        <w:rPr>
          <w:rFonts w:hint="eastAsia" w:cs="宋体"/>
          <w:sz w:val="32"/>
          <w:szCs w:val="32"/>
          <w:shd w:val="clear" w:color="auto" w:fill="FFFFFF"/>
          <w:lang w:val="zh-CN"/>
        </w:rPr>
        <w:t>本年度单位全面完成绩效目标任务，没有偏离的现象。</w:t>
      </w:r>
    </w:p>
    <w:p>
      <w:pPr>
        <w:widowControl/>
        <w:adjustRightInd w:val="0"/>
        <w:snapToGrid w:val="0"/>
        <w:spacing w:line="576" w:lineRule="exact"/>
        <w:ind w:firstLine="640" w:firstLineChars="200"/>
        <w:jc w:val="left"/>
        <w:rPr>
          <w:rFonts w:ascii="黑体" w:eastAsia="黑体"/>
          <w:kern w:val="0"/>
          <w:sz w:val="32"/>
          <w:szCs w:val="32"/>
          <w:shd w:val="clear" w:color="auto" w:fill="FFFFFF"/>
        </w:rPr>
      </w:pPr>
      <w:r>
        <w:rPr>
          <w:rFonts w:hint="eastAsia" w:ascii="黑体" w:eastAsia="黑体" w:cs="黑体"/>
          <w:kern w:val="0"/>
          <w:sz w:val="32"/>
          <w:szCs w:val="32"/>
          <w:shd w:val="clear" w:color="auto" w:fill="FFFFFF"/>
        </w:rPr>
        <w:t>四、评价结论及建议</w:t>
      </w:r>
    </w:p>
    <w:p>
      <w:pPr>
        <w:widowControl/>
        <w:adjustRightInd w:val="0"/>
        <w:snapToGrid w:val="0"/>
        <w:spacing w:line="576" w:lineRule="exact"/>
        <w:ind w:firstLine="645"/>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（一）评价结论。</w:t>
      </w:r>
    </w:p>
    <w:p>
      <w:pPr>
        <w:pStyle w:val="2"/>
        <w:spacing w:before="93" w:beforeLines="0"/>
        <w:ind w:left="630" w:leftChars="300" w:firstLine="640" w:firstLineChars="200"/>
        <w:rPr>
          <w:rFonts w:cs="宋体"/>
          <w:sz w:val="32"/>
          <w:szCs w:val="32"/>
          <w:shd w:val="clear" w:color="auto" w:fill="FFFFFF"/>
          <w:lang w:val="zh-CN"/>
        </w:rPr>
      </w:pPr>
      <w:r>
        <w:rPr>
          <w:rFonts w:cs="宋体"/>
          <w:sz w:val="32"/>
          <w:szCs w:val="32"/>
          <w:shd w:val="clear" w:color="auto" w:fill="FFFFFF"/>
          <w:lang w:val="zh-CN"/>
        </w:rPr>
        <w:t>预算合理，基本满足全年的工作需要，保证了各项资金及时支付，确保完成了</w:t>
      </w:r>
      <w:r>
        <w:rPr>
          <w:rFonts w:hint="eastAsia" w:cs="宋体"/>
          <w:sz w:val="32"/>
          <w:szCs w:val="32"/>
          <w:shd w:val="clear" w:color="auto" w:fill="FFFFFF"/>
          <w:lang w:val="zh-CN"/>
        </w:rPr>
        <w:t>2</w:t>
      </w:r>
      <w:r>
        <w:rPr>
          <w:rFonts w:cs="宋体"/>
          <w:sz w:val="32"/>
          <w:szCs w:val="32"/>
          <w:shd w:val="clear" w:color="auto" w:fill="FFFFFF"/>
          <w:lang w:val="zh-CN"/>
        </w:rPr>
        <w:t>021年的各项工作任务</w:t>
      </w:r>
      <w:r>
        <w:rPr>
          <w:rFonts w:hint="eastAsia" w:cs="宋体"/>
          <w:sz w:val="32"/>
          <w:szCs w:val="32"/>
          <w:shd w:val="clear" w:color="auto" w:fill="FFFFFF"/>
          <w:lang w:val="zh-CN"/>
        </w:rPr>
        <w:t>。</w:t>
      </w:r>
    </w:p>
    <w:p>
      <w:pPr>
        <w:widowControl/>
        <w:adjustRightInd w:val="0"/>
        <w:snapToGrid w:val="0"/>
        <w:spacing w:line="576"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（二）存在问题。</w:t>
      </w:r>
    </w:p>
    <w:p>
      <w:pPr>
        <w:pStyle w:val="2"/>
        <w:spacing w:before="93" w:beforeLines="0"/>
        <w:rPr>
          <w:rFonts w:cs="宋体"/>
          <w:sz w:val="32"/>
          <w:szCs w:val="32"/>
          <w:shd w:val="clear" w:color="auto" w:fill="FFFFFF"/>
          <w:lang w:val="zh-CN"/>
        </w:rPr>
      </w:pPr>
      <w:r>
        <w:rPr>
          <w:rFonts w:cs="宋体"/>
          <w:sz w:val="32"/>
          <w:szCs w:val="32"/>
          <w:shd w:val="clear" w:color="auto" w:fill="FFFFFF"/>
          <w:lang w:val="zh-CN"/>
        </w:rPr>
        <w:t xml:space="preserve">     预算执行过程与预算存在一定偏差。</w:t>
      </w:r>
    </w:p>
    <w:p>
      <w:pPr>
        <w:widowControl/>
        <w:adjustRightInd w:val="0"/>
        <w:snapToGrid w:val="0"/>
        <w:spacing w:line="576"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（三）改进建议。</w:t>
      </w:r>
    </w:p>
    <w:p>
      <w:pPr>
        <w:pStyle w:val="2"/>
        <w:spacing w:before="93" w:beforeLines="0"/>
        <w:rPr>
          <w:rFonts w:cs="宋体"/>
          <w:sz w:val="32"/>
          <w:szCs w:val="32"/>
          <w:shd w:val="clear" w:color="auto" w:fill="FFFFFF"/>
          <w:lang w:val="zh-CN"/>
        </w:rPr>
      </w:pPr>
      <w:r>
        <w:rPr>
          <w:rFonts w:cs="宋体"/>
          <w:sz w:val="32"/>
          <w:szCs w:val="32"/>
          <w:shd w:val="clear" w:color="auto" w:fill="FFFFFF"/>
          <w:lang w:val="zh-CN"/>
        </w:rPr>
        <w:t xml:space="preserve">     进一步做好事前工作，确保预算准确。</w:t>
      </w: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jc w:val="center"/>
        <w:rPr>
          <w:rFonts w:ascii="仿宋" w:eastAsia="仿宋"/>
          <w:b/>
          <w:sz w:val="32"/>
          <w:szCs w:val="32"/>
        </w:rPr>
      </w:pPr>
    </w:p>
    <w:p>
      <w:pPr>
        <w:spacing w:line="572" w:lineRule="exact"/>
        <w:jc w:val="center"/>
        <w:rPr>
          <w:rFonts w:ascii="方正小标宋简体" w:eastAsia="方正小标宋简体"/>
          <w:kern w:val="0"/>
          <w:sz w:val="40"/>
          <w:szCs w:val="40"/>
          <w:lang w:val="zh-CN"/>
        </w:rPr>
      </w:pPr>
      <w:r>
        <w:rPr>
          <w:rFonts w:ascii="方正小标宋简体" w:eastAsia="方正小标宋简体" w:cs="方正小标宋简体"/>
          <w:kern w:val="0"/>
          <w:sz w:val="40"/>
          <w:szCs w:val="40"/>
        </w:rPr>
        <w:t>2021</w:t>
      </w:r>
      <w:r>
        <w:rPr>
          <w:rFonts w:hint="eastAsia" w:ascii="方正小标宋简体" w:eastAsia="方正小标宋简体" w:cs="方正小标宋简体"/>
          <w:kern w:val="0"/>
          <w:sz w:val="40"/>
          <w:szCs w:val="40"/>
        </w:rPr>
        <w:t>年攀枝花市市政公用设施服务中心部门整体绩效评价报告</w:t>
      </w:r>
    </w:p>
    <w:p>
      <w:pPr>
        <w:jc w:val="center"/>
        <w:rPr>
          <w:rFonts w:ascii="仿宋" w:eastAsia="仿宋"/>
          <w:b/>
          <w:sz w:val="32"/>
          <w:szCs w:val="32"/>
        </w:rPr>
      </w:pPr>
    </w:p>
    <w:p>
      <w:pPr>
        <w:ind w:firstLine="642" w:firstLineChars="200"/>
        <w:jc w:val="left"/>
        <w:rPr>
          <w:rFonts w:ascii="仿宋_GB2312" w:eastAsia="仿宋_GB2312"/>
          <w:b/>
          <w:sz w:val="32"/>
          <w:szCs w:val="32"/>
        </w:rPr>
      </w:pPr>
      <w:r>
        <w:rPr>
          <w:rFonts w:hint="eastAsia" w:ascii="仿宋_GB2312" w:eastAsia="仿宋_GB2312"/>
          <w:b/>
          <w:sz w:val="32"/>
          <w:szCs w:val="32"/>
        </w:rPr>
        <w:t>一、单位概况</w:t>
      </w:r>
    </w:p>
    <w:p>
      <w:pPr>
        <w:ind w:firstLine="640" w:firstLineChars="200"/>
        <w:jc w:val="left"/>
        <w:rPr>
          <w:rFonts w:ascii="仿宋_GB2312" w:eastAsia="仿宋_GB2312"/>
          <w:sz w:val="32"/>
          <w:szCs w:val="32"/>
        </w:rPr>
      </w:pPr>
      <w:r>
        <w:rPr>
          <w:rFonts w:hint="eastAsia" w:ascii="仿宋_GB2312" w:eastAsia="仿宋_GB2312"/>
          <w:sz w:val="32"/>
          <w:szCs w:val="32"/>
        </w:rPr>
        <w:t>攀枝花市市政公用设施服务中心属攀枝花市住房和城乡建设局主管的全额拨款事业单位。</w:t>
      </w:r>
    </w:p>
    <w:p>
      <w:pPr>
        <w:ind w:firstLine="640" w:firstLineChars="200"/>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（一）机构组成：</w:t>
      </w:r>
      <w:r>
        <w:rPr>
          <w:rFonts w:hint="eastAsia" w:ascii="仿宋_GB2312" w:eastAsia="仿宋_GB2312"/>
          <w:sz w:val="32"/>
          <w:szCs w:val="32"/>
        </w:rPr>
        <w:t>2021年末内设机构14个：党政办公室、劳人科、财务科、离退休管理科、生产技术科、质量安全设备科、计划科、市政设施管理科、城市路灯管理所、城市道路桥梁管理所一所、城市道路桥梁管理所二所、物资供应站、有机生物无害化处理站、城市排水管理所。</w:t>
      </w:r>
    </w:p>
    <w:p>
      <w:pPr>
        <w:ind w:firstLine="640" w:firstLineChars="200"/>
        <w:rPr>
          <w:rFonts w:ascii="仿宋_GB2312" w:eastAsia="仿宋_GB2312"/>
          <w:sz w:val="32"/>
          <w:szCs w:val="32"/>
        </w:rPr>
      </w:pPr>
      <w:r>
        <w:rPr>
          <w:rFonts w:hint="eastAsia" w:ascii="仿宋_GB2312" w:eastAsia="仿宋_GB2312" w:cs="宋体"/>
          <w:color w:val="000000"/>
          <w:kern w:val="0"/>
          <w:sz w:val="32"/>
          <w:szCs w:val="32"/>
          <w:shd w:val="clear" w:color="auto" w:fill="FFFFFF"/>
          <w:lang w:val="zh-CN"/>
        </w:rPr>
        <w:t>（二）机构职能：</w:t>
      </w:r>
      <w:r>
        <w:rPr>
          <w:rFonts w:hint="eastAsia" w:ascii="仿宋_GB2312" w:eastAsia="仿宋_GB2312"/>
          <w:sz w:val="32"/>
          <w:szCs w:val="32"/>
        </w:rPr>
        <w:t>负责建成区内城市主干道及快速路、城市桥涵、城市照明、城市雕塑、城市排水隧道等市政公用设施维护、管理；负责城市道路挖掘、占用及市政配套设施的管理；组织起草本市市政行业管理的规范性文件，指导区县市政设施管理工作；参与市政设施的规划、市政工程建设前期论证、市政工程建设、市政工程竣工验收等。</w:t>
      </w:r>
    </w:p>
    <w:p>
      <w:pPr>
        <w:ind w:firstLine="640" w:firstLineChars="200"/>
        <w:rPr>
          <w:rFonts w:ascii="仿宋_GB2312" w:eastAsia="仿宋_GB2312"/>
          <w:sz w:val="32"/>
          <w:szCs w:val="32"/>
        </w:rPr>
      </w:pPr>
      <w:r>
        <w:rPr>
          <w:rFonts w:hint="eastAsia" w:ascii="仿宋_GB2312" w:eastAsia="仿宋_GB2312" w:cs="宋体"/>
          <w:color w:val="000000"/>
          <w:kern w:val="0"/>
          <w:sz w:val="32"/>
          <w:szCs w:val="32"/>
          <w:shd w:val="clear" w:color="auto" w:fill="FFFFFF"/>
          <w:lang w:val="zh-CN"/>
        </w:rPr>
        <w:t>（三）人员概况：</w:t>
      </w:r>
      <w:r>
        <w:rPr>
          <w:rFonts w:hint="eastAsia" w:ascii="仿宋_GB2312" w:eastAsia="仿宋_GB2312"/>
          <w:sz w:val="32"/>
          <w:szCs w:val="32"/>
        </w:rPr>
        <w:t>2021年末在职职工142人、退休人员180人、遗属34人。</w:t>
      </w:r>
    </w:p>
    <w:p>
      <w:pPr>
        <w:widowControl/>
        <w:adjustRightInd w:val="0"/>
        <w:snapToGrid w:val="0"/>
        <w:spacing w:line="580" w:lineRule="exact"/>
        <w:ind w:firstLine="642" w:firstLineChars="200"/>
        <w:contextualSpacing/>
        <w:jc w:val="left"/>
        <w:rPr>
          <w:rFonts w:ascii="仿宋_GB2312" w:eastAsia="仿宋_GB2312" w:cs="宋体"/>
          <w:b/>
          <w:color w:val="000000"/>
          <w:kern w:val="0"/>
          <w:sz w:val="32"/>
          <w:szCs w:val="32"/>
          <w:shd w:val="clear" w:color="auto" w:fill="FFFFFF"/>
        </w:rPr>
      </w:pPr>
      <w:r>
        <w:rPr>
          <w:rFonts w:hint="eastAsia" w:ascii="仿宋_GB2312" w:eastAsia="仿宋_GB2312" w:cs="宋体"/>
          <w:b/>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市政服务中心本年财政资金收入总计5257.97万元，其中一般公共财政补款收入5035万元、政府性基金收入222.97万元。</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（二）部门财政资金支出情况。</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市政服务中心本年财政资金支出总计5257.97万元，其中基本支出2935.95万元、项目支出2322.02万元。年末财政资金结转结余0万元。</w:t>
      </w:r>
    </w:p>
    <w:p>
      <w:pPr>
        <w:widowControl/>
        <w:adjustRightInd w:val="0"/>
        <w:snapToGrid w:val="0"/>
        <w:spacing w:line="580" w:lineRule="exact"/>
        <w:ind w:firstLine="642" w:firstLineChars="200"/>
        <w:contextualSpacing/>
        <w:jc w:val="left"/>
        <w:rPr>
          <w:rFonts w:ascii="仿宋_GB2312" w:eastAsia="仿宋_GB2312" w:cs="宋体"/>
          <w:b/>
          <w:color w:val="000000"/>
          <w:kern w:val="0"/>
          <w:sz w:val="32"/>
          <w:szCs w:val="32"/>
          <w:shd w:val="clear" w:color="auto" w:fill="FFFFFF"/>
        </w:rPr>
      </w:pPr>
      <w:r>
        <w:rPr>
          <w:rFonts w:hint="eastAsia" w:ascii="仿宋_GB2312" w:eastAsia="仿宋_GB2312" w:cs="宋体"/>
          <w:b/>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（一）部门预算项目管理。</w:t>
      </w:r>
    </w:p>
    <w:p>
      <w:pPr>
        <w:widowControl/>
        <w:adjustRightInd w:val="0"/>
        <w:snapToGrid w:val="0"/>
        <w:spacing w:line="580" w:lineRule="exact"/>
        <w:ind w:firstLine="640" w:firstLineChars="200"/>
        <w:contextualSpacing/>
        <w:jc w:val="left"/>
        <w:rPr>
          <w:rFonts w:ascii="仿宋_GB2312" w:eastAsia="仿宋_GB2312" w:cs="Arial"/>
          <w:color w:val="333333"/>
          <w:sz w:val="32"/>
          <w:szCs w:val="32"/>
        </w:rPr>
      </w:pPr>
      <w:r>
        <w:rPr>
          <w:rFonts w:hint="eastAsia" w:ascii="仿宋_GB2312" w:eastAsia="仿宋_GB2312" w:cs="宋体"/>
          <w:kern w:val="0"/>
          <w:sz w:val="32"/>
          <w:szCs w:val="32"/>
          <w:shd w:val="clear" w:color="auto" w:fill="FFFFFF"/>
          <w:lang w:val="zh-CN"/>
        </w:rPr>
        <w:t>1.部门绩效目标制定。</w:t>
      </w:r>
      <w:r>
        <w:rPr>
          <w:rFonts w:hint="eastAsia" w:ascii="仿宋_GB2312" w:eastAsia="仿宋_GB2312" w:cs="Arial"/>
          <w:color w:val="333333"/>
          <w:sz w:val="32"/>
          <w:szCs w:val="32"/>
        </w:rPr>
        <w:t>本单位2021年度预算编制严格按照市财政局《关于编制2021年度本级预算的通知》相关文件精神准确编制2021年度部门预算，全面完整地反映部门真实收入情况。基本支出预算按人员经费按标准、公用经费按定额的方法客观编制基本支出预算；项目支出根据每一个项目要求，对每一个项目事前进行充分论证、分析和绩效评估，明确支出范围，确保各项目预算绩效目标和各项指标准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2.目标实现情况。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人员类： 保障142名在职职工、180名离退休职工34名遗属的工资福利、日常公用、生活补助等支出。成本支出2935.95万元。实际完成100%。保障本单位工作任务正常运转。</w:t>
      </w:r>
    </w:p>
    <w:p>
      <w:pPr>
        <w:widowControl/>
        <w:adjustRightInd w:val="0"/>
        <w:snapToGrid w:val="0"/>
        <w:spacing w:line="58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项目类： 维修路面及人行道2500m2，维护道路隔离栏13000m，安装排水管620m，清掏消杀雨污水井4034座；维护维修路灯17517盏、控制柜130台、电缆468.8km；边坡治理及天津路面塌陷抢险等市政设施维护管理。成本支出2569.07万元。实际完成100%。保障市政公用设施安全运行。</w:t>
      </w:r>
    </w:p>
    <w:p>
      <w:pPr>
        <w:ind w:firstLine="640" w:firstLineChars="200"/>
        <w:rPr>
          <w:rFonts w:ascii="仿宋_GB2312" w:eastAsia="仿宋_GB2312"/>
          <w:sz w:val="32"/>
          <w:szCs w:val="32"/>
        </w:rPr>
      </w:pPr>
      <w:r>
        <w:rPr>
          <w:rFonts w:hint="eastAsia" w:ascii="仿宋_GB2312" w:eastAsia="仿宋_GB2312"/>
          <w:sz w:val="32"/>
          <w:szCs w:val="32"/>
        </w:rPr>
        <w:t>市政设施完好率≥90%，路灯亮灯率≥90%。</w:t>
      </w:r>
      <w:r>
        <w:rPr>
          <w:rFonts w:hint="eastAsia" w:ascii="仿宋_GB2312" w:eastAsia="仿宋_GB2312" w:cs="仿宋"/>
          <w:sz w:val="32"/>
          <w:szCs w:val="32"/>
        </w:rPr>
        <w:t>每个专业项目都达到了预期目标，</w:t>
      </w:r>
      <w:r>
        <w:rPr>
          <w:rFonts w:hint="eastAsia" w:ascii="仿宋_GB2312" w:eastAsia="仿宋_GB2312"/>
          <w:sz w:val="32"/>
          <w:szCs w:val="32"/>
        </w:rPr>
        <w:t>消除了市政设施的安全隐患，确保了车辆及行人安全，保障了人民群众生命财产安全，市民满意度≥90%，产生了良好的社会效益。</w:t>
      </w:r>
    </w:p>
    <w:p>
      <w:pPr>
        <w:ind w:firstLine="640" w:firstLineChars="200"/>
        <w:jc w:val="left"/>
        <w:rPr>
          <w:rFonts w:ascii="仿宋_GB2312" w:eastAsia="仿宋_GB2312"/>
          <w:b/>
          <w:sz w:val="32"/>
          <w:szCs w:val="32"/>
        </w:rPr>
      </w:pPr>
      <w:r>
        <w:rPr>
          <w:rFonts w:hint="eastAsia" w:ascii="仿宋_GB2312" w:eastAsia="仿宋_GB2312" w:cs="Arial"/>
          <w:color w:val="333333"/>
          <w:sz w:val="32"/>
          <w:szCs w:val="32"/>
          <w:shd w:val="clear" w:color="auto" w:fill="FFFFFF"/>
        </w:rPr>
        <w:t>3.</w:t>
      </w:r>
      <w:r>
        <w:rPr>
          <w:rFonts w:hint="eastAsia" w:ascii="仿宋_GB2312" w:eastAsia="仿宋_GB2312" w:cs="宋体"/>
          <w:kern w:val="0"/>
          <w:sz w:val="32"/>
          <w:szCs w:val="32"/>
          <w:shd w:val="clear" w:color="auto" w:fill="FFFFFF"/>
          <w:lang w:val="zh-CN"/>
        </w:rPr>
        <w:t>支出控制方面：</w:t>
      </w:r>
      <w:r>
        <w:rPr>
          <w:rFonts w:hint="eastAsia" w:ascii="仿宋_GB2312" w:eastAsia="仿宋_GB2312" w:cs="Arial"/>
          <w:color w:val="333333"/>
          <w:sz w:val="32"/>
          <w:szCs w:val="32"/>
          <w:shd w:val="clear" w:color="auto" w:fill="FFFFFF"/>
        </w:rPr>
        <w:t>根据市财政局最终批复的预算数，并在市公众信息网站进行公开，各项经费的开支范围以预算批复数为基准，严格按照工作进度执行预算，</w:t>
      </w:r>
      <w:r>
        <w:rPr>
          <w:rFonts w:hint="eastAsia" w:ascii="仿宋_GB2312" w:eastAsia="仿宋_GB2312"/>
          <w:color w:val="333333"/>
          <w:sz w:val="32"/>
          <w:szCs w:val="32"/>
          <w:shd w:val="clear" w:color="auto" w:fill="FFFFFF"/>
        </w:rPr>
        <w:t>支出总额控制在预算总额以内；资产配置严格政府采购，按照预算科目规定使用财政资金，保障资金支出的规范化、制度化。预算管理方面，切实有效地执行了内部财务管理制度、车辆、资产内部管理制度，预算资金按规定管理使用。</w:t>
      </w:r>
      <w:r>
        <w:rPr>
          <w:rFonts w:hint="eastAsia" w:ascii="仿宋_GB2312" w:eastAsia="仿宋_GB2312" w:cs="Arial"/>
          <w:color w:val="333333"/>
          <w:sz w:val="32"/>
          <w:szCs w:val="32"/>
          <w:shd w:val="clear" w:color="auto" w:fill="FFFFFF"/>
        </w:rPr>
        <w:t>由财政按时足额直发工资。以节约为本，严格控制在编人员，压缩公用经费支出，特别是严格执行中央八项规定，进一步加强单位车辆管理，对公务用车实行统一调度、停放，尽量降低公务用车运行成本，2021年度我单位无超预算开支“三公”经费。项目预算支出严格按照资金性质使用，并按项目完成情况及时支付相关费用做到专款专用，确保资金使用安全、高效、合理，确保全年目标任务的完成。</w:t>
      </w:r>
    </w:p>
    <w:p>
      <w:pPr>
        <w:ind w:firstLine="640" w:firstLineChars="200"/>
        <w:rPr>
          <w:rFonts w:ascii="仿宋_GB2312" w:eastAsia="仿宋_GB2312"/>
          <w:sz w:val="32"/>
          <w:szCs w:val="32"/>
        </w:rPr>
      </w:pPr>
      <w:r>
        <w:rPr>
          <w:rFonts w:hint="eastAsia" w:ascii="仿宋_GB2312" w:eastAsia="仿宋_GB2312" w:cs="宋体"/>
          <w:kern w:val="0"/>
          <w:sz w:val="32"/>
          <w:szCs w:val="32"/>
          <w:shd w:val="clear" w:color="auto" w:fill="FFFFFF"/>
          <w:lang w:val="zh-CN"/>
        </w:rPr>
        <w:t>4.执行进度及预算完成情况。</w:t>
      </w:r>
      <w:r>
        <w:rPr>
          <w:rFonts w:hint="eastAsia" w:ascii="仿宋_GB2312" w:eastAsia="仿宋_GB2312"/>
          <w:sz w:val="32"/>
          <w:szCs w:val="32"/>
        </w:rPr>
        <w:t>全年收入总计5618.62万元，成本支出总计5505.02万元，结转结余数113.6万元（非财政拨款结转，因桥亮化工程审计结算未完成），执行率97.98%。财政拨款预算完成100%，无违规违纪情况。</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1.年初部门预算下达后，项目绩效目标与部门预算一并在财政规定网站进行了公示，年中按财政要求进行了中期绩效监控，2022年4月对2021年绩效目标进行了自评，并在规定网站进行了公开。</w:t>
      </w:r>
    </w:p>
    <w:p>
      <w:pPr>
        <w:widowControl/>
        <w:adjustRightInd w:val="0"/>
        <w:snapToGrid w:val="0"/>
        <w:spacing w:line="580" w:lineRule="exact"/>
        <w:ind w:firstLine="640" w:firstLineChars="200"/>
        <w:contextualSpacing/>
        <w:jc w:val="left"/>
        <w:rPr>
          <w:rFonts w:ascii="仿宋_GB2312" w:eastAsia="仿宋_GB2312" w:cs="Arial"/>
          <w:color w:val="333333"/>
          <w:sz w:val="32"/>
          <w:szCs w:val="32"/>
          <w:shd w:val="clear" w:color="auto" w:fill="FFFFFF"/>
        </w:rPr>
      </w:pPr>
      <w:r>
        <w:rPr>
          <w:rFonts w:hint="eastAsia" w:ascii="仿宋_GB2312" w:eastAsia="仿宋_GB2312" w:cs="宋体"/>
          <w:color w:val="000000"/>
          <w:kern w:val="0"/>
          <w:sz w:val="32"/>
          <w:szCs w:val="32"/>
          <w:shd w:val="clear" w:color="auto" w:fill="FFFFFF"/>
          <w:lang w:val="zh-CN"/>
        </w:rPr>
        <w:t>2.</w:t>
      </w:r>
      <w:r>
        <w:rPr>
          <w:rFonts w:hint="eastAsia" w:ascii="仿宋_GB2312" w:eastAsia="仿宋_GB2312" w:cs="Arial"/>
          <w:color w:val="333333"/>
          <w:sz w:val="32"/>
          <w:szCs w:val="32"/>
          <w:shd w:val="clear" w:color="auto" w:fill="FFFFFF"/>
        </w:rPr>
        <w:t>根据绩效目标实现结果反馈给相关科室，改进下年目标制定完善的依据。</w:t>
      </w:r>
    </w:p>
    <w:p>
      <w:pPr>
        <w:widowControl/>
        <w:numPr>
          <w:ilvl w:val="0"/>
          <w:numId w:val="5"/>
        </w:numPr>
        <w:adjustRightInd w:val="0"/>
        <w:snapToGrid w:val="0"/>
        <w:spacing w:line="580" w:lineRule="exact"/>
        <w:ind w:left="0"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自评质量</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根据市财政局的要求我中心对单位整体绩效和8个专业项目进行了绩效自评，</w:t>
      </w:r>
      <w:r>
        <w:rPr>
          <w:rFonts w:hint="eastAsia" w:ascii="仿宋_GB2312" w:eastAsia="仿宋_GB2312"/>
          <w:sz w:val="32"/>
          <w:szCs w:val="32"/>
        </w:rPr>
        <w:t>整体绩效目标和</w:t>
      </w:r>
      <w:r>
        <w:rPr>
          <w:rFonts w:hint="eastAsia" w:ascii="仿宋_GB2312" w:eastAsia="仿宋_GB2312" w:cs="宋体"/>
          <w:color w:val="000000"/>
          <w:kern w:val="0"/>
          <w:sz w:val="32"/>
          <w:szCs w:val="32"/>
          <w:shd w:val="clear" w:color="auto" w:fill="FFFFFF"/>
          <w:lang w:val="zh-CN"/>
        </w:rPr>
        <w:t>专业项目绩效目标</w:t>
      </w:r>
      <w:r>
        <w:rPr>
          <w:rFonts w:hint="eastAsia" w:ascii="仿宋_GB2312" w:eastAsia="仿宋_GB2312"/>
          <w:sz w:val="32"/>
          <w:szCs w:val="32"/>
        </w:rPr>
        <w:t>均已完成</w:t>
      </w:r>
      <w:r>
        <w:rPr>
          <w:rFonts w:hint="eastAsia" w:ascii="仿宋_GB2312" w:eastAsia="仿宋_GB2312" w:cs="宋体"/>
          <w:color w:val="000000"/>
          <w:kern w:val="0"/>
          <w:sz w:val="32"/>
          <w:szCs w:val="32"/>
          <w:shd w:val="clear" w:color="auto" w:fill="FFFFFF"/>
          <w:lang w:val="zh-CN"/>
        </w:rPr>
        <w:t>，结果优。</w:t>
      </w:r>
    </w:p>
    <w:p>
      <w:pPr>
        <w:widowControl/>
        <w:adjustRightInd w:val="0"/>
        <w:snapToGrid w:val="0"/>
        <w:spacing w:line="580" w:lineRule="exact"/>
        <w:ind w:firstLine="642" w:firstLineChars="200"/>
        <w:contextualSpacing/>
        <w:jc w:val="left"/>
        <w:rPr>
          <w:rFonts w:ascii="仿宋_GB2312" w:eastAsia="仿宋_GB2312" w:cs="宋体"/>
          <w:b/>
          <w:color w:val="000000"/>
          <w:kern w:val="0"/>
          <w:sz w:val="32"/>
          <w:szCs w:val="32"/>
          <w:shd w:val="clear" w:color="auto" w:fill="FFFFFF"/>
        </w:rPr>
      </w:pPr>
      <w:r>
        <w:rPr>
          <w:rFonts w:hint="eastAsia" w:ascii="仿宋_GB2312" w:eastAsia="仿宋_GB2312" w:cs="宋体"/>
          <w:b/>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ascii="仿宋_GB2312" w:eastAsia="仿宋_GB2312" w:cs="Arial"/>
          <w:color w:val="333333"/>
          <w:sz w:val="32"/>
          <w:szCs w:val="32"/>
          <w:shd w:val="clear" w:color="auto" w:fill="FFFFFF"/>
        </w:rPr>
      </w:pPr>
      <w:r>
        <w:rPr>
          <w:rFonts w:hint="eastAsia" w:ascii="仿宋_GB2312" w:eastAsia="仿宋_GB2312" w:cs="Arial"/>
          <w:color w:val="333333"/>
          <w:sz w:val="32"/>
          <w:szCs w:val="32"/>
          <w:shd w:val="clear" w:color="auto" w:fill="FFFFFF"/>
        </w:rPr>
        <w:t>我中心2021年部门整体绩效完成良好，</w:t>
      </w:r>
      <w:r>
        <w:rPr>
          <w:rFonts w:hint="eastAsia" w:ascii="仿宋_GB2312" w:eastAsia="仿宋_GB2312"/>
          <w:sz w:val="32"/>
          <w:szCs w:val="32"/>
        </w:rPr>
        <w:t>全面完成绩效目标任务，</w:t>
      </w:r>
      <w:r>
        <w:rPr>
          <w:rFonts w:hint="eastAsia" w:ascii="仿宋_GB2312" w:eastAsia="仿宋_GB2312" w:cs="Arial"/>
          <w:color w:val="333333"/>
          <w:sz w:val="32"/>
          <w:szCs w:val="32"/>
          <w:shd w:val="clear" w:color="auto" w:fill="FFFFFF"/>
        </w:rPr>
        <w:t>财政资金预算配置合理合规，预算执行严格有序，预算管理规范可控，资金效益合乎预期。</w:t>
      </w:r>
    </w:p>
    <w:p>
      <w:pPr>
        <w:widowControl/>
        <w:adjustRightInd w:val="0"/>
        <w:snapToGrid w:val="0"/>
        <w:spacing w:line="580" w:lineRule="exact"/>
        <w:ind w:firstLine="640" w:firstLineChars="200"/>
        <w:contextualSpacing/>
        <w:jc w:val="left"/>
        <w:rPr>
          <w:rFonts w:ascii="仿宋_GB2312" w:eastAsia="仿宋_GB2312" w:cs="Arial"/>
          <w:color w:val="333333"/>
          <w:sz w:val="32"/>
          <w:szCs w:val="32"/>
          <w:shd w:val="clear" w:color="auto" w:fill="FFFFFF"/>
        </w:rPr>
      </w:pPr>
      <w:r>
        <w:rPr>
          <w:rFonts w:hint="eastAsia" w:ascii="仿宋_GB2312" w:eastAsia="仿宋_GB2312" w:cs="宋体"/>
          <w:color w:val="000000"/>
          <w:kern w:val="0"/>
          <w:sz w:val="32"/>
          <w:szCs w:val="32"/>
          <w:shd w:val="clear" w:color="auto" w:fill="FFFFFF"/>
          <w:lang w:val="zh-CN"/>
        </w:rPr>
        <w:t>（二）存在问题。</w:t>
      </w:r>
    </w:p>
    <w:p>
      <w:pPr>
        <w:ind w:firstLine="640" w:firstLineChars="200"/>
        <w:rPr>
          <w:rFonts w:ascii="仿宋_GB2312" w:eastAsia="仿宋_GB2312"/>
          <w:sz w:val="32"/>
          <w:szCs w:val="32"/>
        </w:rPr>
      </w:pPr>
      <w:r>
        <w:rPr>
          <w:rFonts w:hint="eastAsia" w:ascii="仿宋_GB2312" w:eastAsia="仿宋_GB2312"/>
          <w:sz w:val="32"/>
          <w:szCs w:val="32"/>
        </w:rPr>
        <w:t>1.因市政设施严重老化病害太多，财政资金紧张，维护经费严重不足，为解决市民反映强烈的设施破损而新增的整治项目，项目中有与年初确定的预算指标不符、个别指标有偏离现象。</w:t>
      </w:r>
    </w:p>
    <w:p>
      <w:pPr>
        <w:ind w:firstLine="640" w:firstLineChars="200"/>
        <w:rPr>
          <w:rFonts w:ascii="仿宋_GB2312" w:eastAsia="仿宋_GB2312"/>
          <w:sz w:val="32"/>
          <w:szCs w:val="32"/>
        </w:rPr>
      </w:pPr>
      <w:r>
        <w:rPr>
          <w:rFonts w:hint="eastAsia" w:ascii="仿宋_GB2312" w:eastAsia="仿宋_GB2312"/>
          <w:sz w:val="32"/>
          <w:szCs w:val="32"/>
        </w:rPr>
        <w:t>2.项目工期延迟及项目审计未完成导致资金支付延迟。</w:t>
      </w:r>
    </w:p>
    <w:p>
      <w:pPr>
        <w:widowControl/>
        <w:adjustRightInd w:val="0"/>
        <w:snapToGrid w:val="0"/>
        <w:spacing w:line="58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cs="宋体"/>
          <w:color w:val="000000"/>
          <w:kern w:val="0"/>
          <w:sz w:val="32"/>
          <w:szCs w:val="32"/>
          <w:shd w:val="clear" w:color="auto" w:fill="FFFFFF"/>
          <w:lang w:val="zh-CN"/>
        </w:rPr>
        <w:t>（三）改进建议。</w:t>
      </w:r>
    </w:p>
    <w:p>
      <w:pPr>
        <w:pStyle w:val="2"/>
        <w:spacing w:before="93" w:beforeLines="0"/>
        <w:ind w:firstLine="640" w:firstLineChars="200"/>
        <w:rPr>
          <w:rFonts w:cs="仿宋_GB2312"/>
          <w:bCs/>
          <w:sz w:val="32"/>
          <w:szCs w:val="32"/>
          <w:lang w:val="zh-CN"/>
        </w:rPr>
      </w:pPr>
      <w:r>
        <w:rPr>
          <w:rFonts w:hint="eastAsia" w:cs="Arial"/>
          <w:color w:val="333333"/>
          <w:sz w:val="32"/>
          <w:szCs w:val="32"/>
          <w:shd w:val="clear" w:color="auto" w:fill="FFFFFF"/>
        </w:rPr>
        <w:t>一是增加市政公用设施维修维护经费；二是</w:t>
      </w:r>
      <w:r>
        <w:rPr>
          <w:rFonts w:hint="eastAsia"/>
          <w:sz w:val="32"/>
          <w:szCs w:val="32"/>
        </w:rPr>
        <w:t>加强项目管理：在项目实施中</w:t>
      </w:r>
      <w:r>
        <w:rPr>
          <w:rFonts w:hint="eastAsia" w:cs="仿宋"/>
          <w:sz w:val="32"/>
          <w:szCs w:val="32"/>
        </w:rPr>
        <w:t>合理安排施工进度计划，科学组织实施方案，做到工、料、机的顶格配置。尽可能地节约时间，最大限度地压缩项目工期，确保各施工项目按期完成。</w:t>
      </w: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pStyle w:val="2"/>
        <w:spacing w:before="93" w:beforeLines="0"/>
        <w:ind w:firstLine="640" w:firstLineChars="200"/>
        <w:rPr>
          <w:rFonts w:cs="仿宋_GB2312"/>
          <w:bCs/>
          <w:sz w:val="32"/>
          <w:szCs w:val="32"/>
          <w:lang w:val="zh-CN"/>
        </w:rPr>
      </w:pPr>
    </w:p>
    <w:p>
      <w:pPr>
        <w:spacing w:line="572" w:lineRule="exact"/>
        <w:jc w:val="center"/>
        <w:rPr>
          <w:rFonts w:ascii="方正小标宋简体" w:eastAsia="方正小标宋简体"/>
          <w:kern w:val="0"/>
          <w:sz w:val="40"/>
          <w:szCs w:val="40"/>
          <w:lang w:val="zh-CN"/>
        </w:rPr>
      </w:pPr>
      <w:r>
        <w:rPr>
          <w:rFonts w:ascii="方正小标宋简体" w:eastAsia="方正小标宋简体" w:cs="方正小标宋简体"/>
          <w:kern w:val="0"/>
          <w:sz w:val="40"/>
          <w:szCs w:val="40"/>
        </w:rPr>
        <w:t>2021</w:t>
      </w:r>
      <w:r>
        <w:rPr>
          <w:rFonts w:hint="eastAsia" w:ascii="方正小标宋简体" w:eastAsia="方正小标宋简体" w:cs="方正小标宋简体"/>
          <w:kern w:val="0"/>
          <w:sz w:val="40"/>
          <w:szCs w:val="40"/>
        </w:rPr>
        <w:t>年攀枝花市建设工程消防和勘察设计技术中心部门整体绩效评价报告</w:t>
      </w:r>
    </w:p>
    <w:p>
      <w:pPr>
        <w:widowControl/>
        <w:adjustRightInd w:val="0"/>
        <w:snapToGrid w:val="0"/>
        <w:spacing w:line="572" w:lineRule="exact"/>
        <w:ind w:firstLine="480" w:firstLineChars="200"/>
        <w:jc w:val="left"/>
        <w:rPr>
          <w:rFonts w:ascii="黑体" w:eastAsia="黑体"/>
          <w:kern w:val="0"/>
          <w:sz w:val="24"/>
          <w:shd w:val="clear" w:color="auto" w:fill="FFFFFF"/>
        </w:rPr>
      </w:pPr>
    </w:p>
    <w:p>
      <w:pPr>
        <w:widowControl/>
        <w:adjustRightInd w:val="0"/>
        <w:snapToGrid w:val="0"/>
        <w:spacing w:line="572" w:lineRule="exact"/>
        <w:ind w:firstLine="640" w:firstLineChars="200"/>
        <w:jc w:val="left"/>
        <w:rPr>
          <w:rFonts w:ascii="黑体" w:eastAsia="黑体"/>
          <w:kern w:val="0"/>
          <w:sz w:val="32"/>
          <w:szCs w:val="32"/>
          <w:shd w:val="clear" w:color="auto" w:fill="FFFFFF"/>
          <w:lang w:val="zh-CN"/>
        </w:rPr>
      </w:pPr>
      <w:r>
        <w:rPr>
          <w:rFonts w:hint="eastAsia" w:ascii="黑体" w:eastAsia="黑体" w:cs="黑体"/>
          <w:kern w:val="0"/>
          <w:sz w:val="32"/>
          <w:szCs w:val="32"/>
          <w:shd w:val="clear" w:color="auto" w:fill="FFFFFF"/>
        </w:rPr>
        <w:t>一、</w:t>
      </w:r>
      <w:r>
        <w:rPr>
          <w:rFonts w:hint="eastAsia" w:ascii="黑体" w:eastAsia="黑体" w:cs="黑体"/>
          <w:kern w:val="0"/>
          <w:sz w:val="32"/>
          <w:szCs w:val="32"/>
          <w:shd w:val="clear" w:color="auto" w:fill="FFFFFF"/>
          <w:lang w:val="zh-CN"/>
        </w:rPr>
        <w:t>部门（单位）概况</w:t>
      </w:r>
    </w:p>
    <w:p>
      <w:pPr>
        <w:widowControl/>
        <w:adjustRightInd w:val="0"/>
        <w:snapToGrid w:val="0"/>
        <w:spacing w:line="572" w:lineRule="exact"/>
        <w:ind w:firstLine="640" w:firstLineChars="200"/>
        <w:jc w:val="left"/>
        <w:rPr>
          <w:rFonts w:ascii="仿宋_GB2312" w:eastAsia="仿宋_GB2312"/>
          <w:kern w:val="0"/>
          <w:sz w:val="32"/>
          <w:szCs w:val="32"/>
          <w:shd w:val="clear" w:color="auto" w:fill="FFFFFF"/>
          <w:lang w:val="zh-CN"/>
        </w:rPr>
      </w:pPr>
      <w:r>
        <w:rPr>
          <w:rFonts w:hint="eastAsia" w:ascii="仿宋_GB2312" w:eastAsia="仿宋_GB2312" w:cs="仿宋_GB2312"/>
          <w:kern w:val="0"/>
          <w:sz w:val="32"/>
          <w:szCs w:val="32"/>
          <w:shd w:val="clear" w:color="auto" w:fill="FFFFFF"/>
          <w:lang w:val="zh-CN"/>
        </w:rPr>
        <w:t>（一）机构组成。</w:t>
      </w:r>
    </w:p>
    <w:p>
      <w:pPr>
        <w:widowControl/>
        <w:adjustRightInd w:val="0"/>
        <w:snapToGrid w:val="0"/>
        <w:spacing w:line="580" w:lineRule="exact"/>
        <w:ind w:firstLine="640" w:firstLineChars="200"/>
        <w:jc w:val="left"/>
        <w:rPr>
          <w:rFonts w:ascii="仿宋" w:eastAsia="仿宋"/>
          <w:sz w:val="32"/>
          <w:szCs w:val="32"/>
        </w:rPr>
      </w:pPr>
      <w:r>
        <w:rPr>
          <w:rFonts w:hint="eastAsia" w:ascii="仿宋" w:eastAsia="仿宋" w:cs="仿宋"/>
          <w:sz w:val="32"/>
          <w:szCs w:val="32"/>
        </w:rPr>
        <w:t>攀枝花市建设工程消防和勘察设计技术中心是攀枝花市住房和城乡建设局所属的公益一类事业单位，性质为财政拨款。</w:t>
      </w:r>
    </w:p>
    <w:p>
      <w:pPr>
        <w:widowControl/>
        <w:adjustRightInd w:val="0"/>
        <w:snapToGrid w:val="0"/>
        <w:spacing w:line="572" w:lineRule="exact"/>
        <w:ind w:firstLine="640" w:firstLineChars="200"/>
        <w:jc w:val="left"/>
        <w:rPr>
          <w:rFonts w:ascii="仿宋_GB2312" w:eastAsia="仿宋_GB2312"/>
          <w:kern w:val="0"/>
          <w:sz w:val="32"/>
          <w:szCs w:val="32"/>
          <w:shd w:val="clear" w:color="auto" w:fill="FFFFFF"/>
          <w:lang w:val="zh-CN"/>
        </w:rPr>
      </w:pPr>
      <w:r>
        <w:rPr>
          <w:rFonts w:hint="eastAsia" w:ascii="仿宋_GB2312" w:eastAsia="仿宋_GB2312" w:cs="仿宋_GB2312"/>
          <w:kern w:val="0"/>
          <w:sz w:val="32"/>
          <w:szCs w:val="32"/>
          <w:shd w:val="clear" w:color="auto" w:fill="FFFFFF"/>
          <w:lang w:val="zh-CN"/>
        </w:rPr>
        <w:t>（二）机构职能。</w:t>
      </w:r>
    </w:p>
    <w:p>
      <w:pPr>
        <w:ind w:firstLine="640" w:firstLineChars="200"/>
        <w:rPr>
          <w:rFonts w:ascii="仿宋" w:eastAsia="仿宋"/>
          <w:sz w:val="32"/>
          <w:szCs w:val="32"/>
        </w:rPr>
      </w:pPr>
      <w:r>
        <w:rPr>
          <w:rFonts w:hint="eastAsia" w:ascii="仿宋" w:eastAsia="仿宋" w:cs="仿宋"/>
          <w:sz w:val="32"/>
          <w:szCs w:val="32"/>
        </w:rPr>
        <w:t>为全市建设工程勘察设计和建设工程消防设计审查等提供技术服务，为全市建筑抗震设防、勘察设计文件质量和房屋安全检查、鉴定和事故调查、认定等提供技术支持，负责全市建设工程技术专家库管理工作。组织完成年度工作任务和上级交办的其他工作任务。</w:t>
      </w:r>
    </w:p>
    <w:p>
      <w:pPr>
        <w:widowControl/>
        <w:adjustRightInd w:val="0"/>
        <w:snapToGrid w:val="0"/>
        <w:spacing w:line="572" w:lineRule="exact"/>
        <w:ind w:firstLine="640" w:firstLineChars="200"/>
        <w:jc w:val="left"/>
        <w:rPr>
          <w:rFonts w:ascii="仿宋_GB2312" w:eastAsia="仿宋_GB2312"/>
          <w:kern w:val="0"/>
          <w:sz w:val="32"/>
          <w:szCs w:val="32"/>
          <w:shd w:val="clear" w:color="auto" w:fill="FFFFFF"/>
          <w:lang w:val="zh-CN"/>
        </w:rPr>
      </w:pPr>
      <w:r>
        <w:rPr>
          <w:rFonts w:hint="eastAsia" w:ascii="仿宋_GB2312" w:eastAsia="仿宋_GB2312" w:cs="仿宋_GB2312"/>
          <w:kern w:val="0"/>
          <w:sz w:val="32"/>
          <w:szCs w:val="32"/>
          <w:shd w:val="clear" w:color="auto" w:fill="FFFFFF"/>
          <w:lang w:val="zh-CN"/>
        </w:rPr>
        <w:t>（三）人员概况。</w:t>
      </w:r>
    </w:p>
    <w:p>
      <w:pPr>
        <w:ind w:firstLine="640" w:firstLineChars="200"/>
        <w:rPr>
          <w:rFonts w:ascii="仿宋" w:eastAsia="仿宋"/>
          <w:sz w:val="32"/>
          <w:szCs w:val="32"/>
        </w:rPr>
      </w:pPr>
      <w:r>
        <w:rPr>
          <w:rFonts w:hint="eastAsia" w:ascii="仿宋" w:eastAsia="仿宋" w:cs="仿宋"/>
          <w:sz w:val="32"/>
          <w:szCs w:val="32"/>
        </w:rPr>
        <w:t>我单位核定编制</w:t>
      </w:r>
      <w:r>
        <w:rPr>
          <w:rFonts w:ascii="仿宋" w:eastAsia="仿宋" w:cs="仿宋"/>
          <w:sz w:val="32"/>
          <w:szCs w:val="32"/>
        </w:rPr>
        <w:t>4</w:t>
      </w:r>
      <w:r>
        <w:rPr>
          <w:rFonts w:hint="eastAsia" w:ascii="仿宋" w:eastAsia="仿宋" w:cs="仿宋"/>
          <w:sz w:val="32"/>
          <w:szCs w:val="32"/>
        </w:rPr>
        <w:t>人，长期聘用人员</w:t>
      </w:r>
      <w:r>
        <w:rPr>
          <w:rFonts w:ascii="仿宋" w:eastAsia="仿宋" w:cs="仿宋"/>
          <w:sz w:val="32"/>
          <w:szCs w:val="32"/>
        </w:rPr>
        <w:t>9</w:t>
      </w:r>
      <w:r>
        <w:rPr>
          <w:rFonts w:hint="eastAsia" w:ascii="仿宋" w:eastAsia="仿宋" w:cs="仿宋"/>
          <w:sz w:val="32"/>
          <w:szCs w:val="32"/>
        </w:rPr>
        <w:t>人，聘用专家</w:t>
      </w:r>
      <w:r>
        <w:rPr>
          <w:rFonts w:ascii="仿宋" w:eastAsia="仿宋" w:cs="仿宋"/>
          <w:sz w:val="32"/>
          <w:szCs w:val="32"/>
        </w:rPr>
        <w:t>39</w:t>
      </w:r>
      <w:r>
        <w:rPr>
          <w:rFonts w:hint="eastAsia" w:ascii="仿宋" w:eastAsia="仿宋" w:cs="仿宋"/>
          <w:sz w:val="32"/>
          <w:szCs w:val="32"/>
        </w:rPr>
        <w:t>人。</w:t>
      </w:r>
    </w:p>
    <w:p>
      <w:pPr>
        <w:widowControl/>
        <w:adjustRightInd w:val="0"/>
        <w:snapToGrid w:val="0"/>
        <w:spacing w:line="572" w:lineRule="exact"/>
        <w:ind w:firstLine="640" w:firstLineChars="200"/>
        <w:jc w:val="left"/>
        <w:rPr>
          <w:rFonts w:ascii="黑体" w:eastAsia="黑体"/>
          <w:kern w:val="0"/>
          <w:sz w:val="32"/>
          <w:szCs w:val="32"/>
          <w:shd w:val="clear" w:color="auto" w:fill="FFFFFF"/>
        </w:rPr>
      </w:pPr>
      <w:r>
        <w:rPr>
          <w:rFonts w:hint="eastAsia" w:ascii="黑体" w:eastAsia="黑体" w:cs="黑体"/>
          <w:kern w:val="0"/>
          <w:sz w:val="32"/>
          <w:szCs w:val="32"/>
          <w:shd w:val="clear" w:color="auto" w:fill="FFFFFF"/>
        </w:rPr>
        <w:t>二、部门财政资金收支情况</w:t>
      </w:r>
    </w:p>
    <w:p>
      <w:pPr>
        <w:widowControl/>
        <w:adjustRightInd w:val="0"/>
        <w:snapToGrid w:val="0"/>
        <w:spacing w:line="572" w:lineRule="exact"/>
        <w:ind w:firstLine="640" w:firstLineChars="200"/>
        <w:jc w:val="left"/>
        <w:rPr>
          <w:rFonts w:ascii="仿宋_GB2312" w:eastAsia="仿宋_GB2312"/>
          <w:kern w:val="0"/>
          <w:sz w:val="32"/>
          <w:szCs w:val="32"/>
          <w:shd w:val="clear" w:color="auto" w:fill="FFFFFF"/>
          <w:lang w:val="zh-CN"/>
        </w:rPr>
      </w:pPr>
      <w:r>
        <w:rPr>
          <w:rFonts w:hint="eastAsia" w:ascii="仿宋_GB2312" w:eastAsia="仿宋_GB2312" w:cs="仿宋_GB2312"/>
          <w:kern w:val="0"/>
          <w:sz w:val="32"/>
          <w:szCs w:val="32"/>
          <w:shd w:val="clear" w:color="auto" w:fill="FFFFFF"/>
          <w:lang w:val="zh-CN"/>
        </w:rPr>
        <w:t>（一）部门财政资金收入情况。</w:t>
      </w:r>
    </w:p>
    <w:p>
      <w:pPr>
        <w:ind w:firstLine="640" w:firstLineChars="200"/>
        <w:rPr>
          <w:rFonts w:ascii="仿宋" w:eastAsia="仿宋"/>
          <w:sz w:val="32"/>
          <w:szCs w:val="32"/>
        </w:rPr>
      </w:pPr>
      <w:r>
        <w:rPr>
          <w:rFonts w:ascii="仿宋" w:eastAsia="仿宋" w:cs="仿宋"/>
          <w:sz w:val="32"/>
          <w:szCs w:val="32"/>
        </w:rPr>
        <w:t>2021</w:t>
      </w:r>
      <w:r>
        <w:rPr>
          <w:rFonts w:hint="eastAsia" w:ascii="仿宋" w:eastAsia="仿宋" w:cs="仿宋"/>
          <w:sz w:val="32"/>
          <w:szCs w:val="32"/>
        </w:rPr>
        <w:t>年财政预算安排数</w:t>
      </w:r>
      <w:r>
        <w:rPr>
          <w:rFonts w:ascii="仿宋" w:eastAsia="仿宋" w:cs="仿宋"/>
          <w:sz w:val="32"/>
          <w:szCs w:val="32"/>
        </w:rPr>
        <w:t>351.37</w:t>
      </w:r>
      <w:r>
        <w:rPr>
          <w:rFonts w:hint="eastAsia" w:ascii="仿宋" w:eastAsia="仿宋" w:cs="仿宋"/>
          <w:sz w:val="32"/>
          <w:szCs w:val="32"/>
        </w:rPr>
        <w:t>万元。本年支出包括：社会保障和就业支出</w:t>
      </w:r>
      <w:r>
        <w:rPr>
          <w:rFonts w:ascii="仿宋" w:eastAsia="仿宋" w:cs="仿宋"/>
          <w:sz w:val="32"/>
          <w:szCs w:val="32"/>
        </w:rPr>
        <w:t>9.24</w:t>
      </w:r>
      <w:r>
        <w:rPr>
          <w:rFonts w:hint="eastAsia" w:ascii="仿宋" w:eastAsia="仿宋" w:cs="仿宋"/>
          <w:sz w:val="32"/>
          <w:szCs w:val="32"/>
        </w:rPr>
        <w:t>万元，城乡社区支出</w:t>
      </w:r>
      <w:r>
        <w:rPr>
          <w:rFonts w:ascii="仿宋" w:eastAsia="仿宋" w:cs="仿宋"/>
          <w:sz w:val="32"/>
          <w:szCs w:val="32"/>
        </w:rPr>
        <w:t>335.5</w:t>
      </w:r>
      <w:r>
        <w:rPr>
          <w:rFonts w:hint="eastAsia" w:ascii="仿宋" w:eastAsia="仿宋" w:cs="仿宋"/>
          <w:sz w:val="32"/>
          <w:szCs w:val="32"/>
        </w:rPr>
        <w:t>5万元，住房保障支出</w:t>
      </w:r>
      <w:r>
        <w:rPr>
          <w:rFonts w:ascii="仿宋" w:eastAsia="仿宋" w:cs="仿宋"/>
          <w:sz w:val="32"/>
          <w:szCs w:val="32"/>
        </w:rPr>
        <w:t>6.58</w:t>
      </w:r>
      <w:r>
        <w:rPr>
          <w:rFonts w:hint="eastAsia" w:ascii="仿宋" w:eastAsia="仿宋" w:cs="仿宋"/>
          <w:sz w:val="32"/>
          <w:szCs w:val="32"/>
        </w:rPr>
        <w:t>万元。</w:t>
      </w:r>
    </w:p>
    <w:p>
      <w:pPr>
        <w:widowControl/>
        <w:adjustRightInd w:val="0"/>
        <w:snapToGrid w:val="0"/>
        <w:spacing w:line="572" w:lineRule="exact"/>
        <w:ind w:firstLine="640" w:firstLineChars="200"/>
        <w:jc w:val="left"/>
        <w:rPr>
          <w:rFonts w:ascii="仿宋_GB2312" w:eastAsia="仿宋_GB2312"/>
          <w:kern w:val="0"/>
          <w:sz w:val="32"/>
          <w:szCs w:val="32"/>
          <w:shd w:val="clear" w:color="auto" w:fill="FFFFFF"/>
          <w:lang w:val="zh-CN"/>
        </w:rPr>
      </w:pPr>
      <w:r>
        <w:rPr>
          <w:rFonts w:hint="eastAsia" w:ascii="仿宋_GB2312" w:eastAsia="仿宋_GB2312" w:cs="仿宋_GB2312"/>
          <w:kern w:val="0"/>
          <w:sz w:val="32"/>
          <w:szCs w:val="32"/>
          <w:shd w:val="clear" w:color="auto" w:fill="FFFFFF"/>
          <w:lang w:val="zh-CN"/>
        </w:rPr>
        <w:t>（二）部门财政资金支出情况。</w:t>
      </w:r>
    </w:p>
    <w:p>
      <w:pPr>
        <w:ind w:firstLine="640" w:firstLineChars="200"/>
        <w:rPr>
          <w:rFonts w:ascii="仿宋" w:eastAsia="仿宋" w:cs="仿宋"/>
          <w:sz w:val="32"/>
          <w:szCs w:val="32"/>
        </w:rPr>
      </w:pPr>
      <w:r>
        <w:rPr>
          <w:rFonts w:ascii="仿宋" w:eastAsia="仿宋" w:cs="仿宋"/>
          <w:sz w:val="32"/>
          <w:szCs w:val="32"/>
        </w:rPr>
        <w:t>2021</w:t>
      </w:r>
      <w:r>
        <w:rPr>
          <w:rFonts w:hint="eastAsia" w:ascii="仿宋" w:eastAsia="仿宋" w:cs="仿宋"/>
          <w:sz w:val="32"/>
          <w:szCs w:val="32"/>
        </w:rPr>
        <w:t>年一般公共预算基本支出</w:t>
      </w:r>
      <w:r>
        <w:rPr>
          <w:rFonts w:ascii="仿宋" w:eastAsia="仿宋" w:cs="仿宋"/>
          <w:sz w:val="32"/>
          <w:szCs w:val="32"/>
        </w:rPr>
        <w:t>93.1</w:t>
      </w:r>
      <w:r>
        <w:rPr>
          <w:rFonts w:hint="eastAsia" w:ascii="仿宋" w:eastAsia="仿宋" w:cs="仿宋"/>
          <w:sz w:val="32"/>
          <w:szCs w:val="32"/>
        </w:rPr>
        <w:t>万元。其中：人员经费</w:t>
      </w:r>
      <w:r>
        <w:rPr>
          <w:rFonts w:ascii="仿宋" w:eastAsia="仿宋" w:cs="仿宋"/>
          <w:sz w:val="32"/>
          <w:szCs w:val="32"/>
        </w:rPr>
        <w:t>82.93</w:t>
      </w:r>
      <w:r>
        <w:rPr>
          <w:rFonts w:hint="eastAsia" w:ascii="仿宋" w:eastAsia="仿宋" w:cs="仿宋"/>
          <w:sz w:val="32"/>
          <w:szCs w:val="32"/>
        </w:rPr>
        <w:t>万元，主要包括：基本工资</w:t>
      </w:r>
      <w:r>
        <w:rPr>
          <w:rFonts w:ascii="仿宋" w:eastAsia="仿宋" w:cs="仿宋"/>
          <w:sz w:val="32"/>
          <w:szCs w:val="32"/>
        </w:rPr>
        <w:t>25.26</w:t>
      </w:r>
      <w:r>
        <w:rPr>
          <w:rFonts w:hint="eastAsia" w:ascii="仿宋" w:eastAsia="仿宋" w:cs="仿宋"/>
          <w:sz w:val="32"/>
          <w:szCs w:val="32"/>
        </w:rPr>
        <w:t>万元、津贴补贴</w:t>
      </w:r>
      <w:r>
        <w:rPr>
          <w:rFonts w:ascii="仿宋" w:eastAsia="仿宋" w:cs="仿宋"/>
          <w:sz w:val="32"/>
          <w:szCs w:val="32"/>
        </w:rPr>
        <w:t>2.28</w:t>
      </w:r>
      <w:r>
        <w:rPr>
          <w:rFonts w:hint="eastAsia" w:ascii="仿宋" w:eastAsia="仿宋" w:cs="仿宋"/>
          <w:sz w:val="32"/>
          <w:szCs w:val="32"/>
        </w:rPr>
        <w:t>万元、绩效工资</w:t>
      </w:r>
      <w:r>
        <w:rPr>
          <w:rFonts w:ascii="仿宋" w:eastAsia="仿宋" w:cs="仿宋"/>
          <w:sz w:val="32"/>
          <w:szCs w:val="32"/>
        </w:rPr>
        <w:t>32.95</w:t>
      </w:r>
      <w:r>
        <w:rPr>
          <w:rFonts w:hint="eastAsia" w:ascii="仿宋" w:eastAsia="仿宋" w:cs="仿宋"/>
          <w:sz w:val="32"/>
          <w:szCs w:val="32"/>
        </w:rPr>
        <w:t>万元，机关事业单位基本养老保险缴费</w:t>
      </w:r>
      <w:r>
        <w:rPr>
          <w:rFonts w:ascii="仿宋" w:eastAsia="仿宋" w:cs="仿宋"/>
          <w:sz w:val="32"/>
          <w:szCs w:val="32"/>
        </w:rPr>
        <w:t>7.26</w:t>
      </w:r>
      <w:r>
        <w:rPr>
          <w:rFonts w:hint="eastAsia" w:ascii="仿宋" w:eastAsia="仿宋" w:cs="仿宋"/>
          <w:sz w:val="32"/>
          <w:szCs w:val="32"/>
        </w:rPr>
        <w:t>万元，职工基本医疗保险缴费</w:t>
      </w:r>
      <w:r>
        <w:rPr>
          <w:rFonts w:ascii="仿宋" w:eastAsia="仿宋" w:cs="仿宋"/>
          <w:sz w:val="32"/>
          <w:szCs w:val="32"/>
        </w:rPr>
        <w:t>4.22</w:t>
      </w:r>
      <w:r>
        <w:rPr>
          <w:rFonts w:hint="eastAsia" w:ascii="仿宋" w:eastAsia="仿宋" w:cs="仿宋"/>
          <w:sz w:val="32"/>
          <w:szCs w:val="32"/>
        </w:rPr>
        <w:t>万元，公务员医疗补助缴费</w:t>
      </w:r>
      <w:r>
        <w:rPr>
          <w:rFonts w:ascii="仿宋" w:eastAsia="仿宋" w:cs="仿宋"/>
          <w:sz w:val="32"/>
          <w:szCs w:val="32"/>
        </w:rPr>
        <w:t>0.32</w:t>
      </w:r>
      <w:r>
        <w:rPr>
          <w:rFonts w:hint="eastAsia" w:ascii="仿宋" w:eastAsia="仿宋" w:cs="仿宋"/>
          <w:sz w:val="32"/>
          <w:szCs w:val="32"/>
        </w:rPr>
        <w:t>万元，其他社会保障缴费</w:t>
      </w:r>
      <w:r>
        <w:rPr>
          <w:rFonts w:ascii="仿宋" w:eastAsia="仿宋" w:cs="仿宋"/>
          <w:sz w:val="32"/>
          <w:szCs w:val="32"/>
        </w:rPr>
        <w:t>0.77</w:t>
      </w:r>
      <w:r>
        <w:rPr>
          <w:rFonts w:hint="eastAsia" w:ascii="仿宋" w:eastAsia="仿宋" w:cs="仿宋"/>
          <w:sz w:val="32"/>
          <w:szCs w:val="32"/>
        </w:rPr>
        <w:t>万元，住房公积金</w:t>
      </w:r>
      <w:r>
        <w:rPr>
          <w:rFonts w:ascii="仿宋" w:eastAsia="仿宋" w:cs="仿宋"/>
          <w:sz w:val="32"/>
          <w:szCs w:val="32"/>
        </w:rPr>
        <w:t>6.58</w:t>
      </w:r>
      <w:r>
        <w:rPr>
          <w:rFonts w:hint="eastAsia" w:ascii="仿宋" w:eastAsia="仿宋" w:cs="仿宋"/>
          <w:sz w:val="32"/>
          <w:szCs w:val="32"/>
        </w:rPr>
        <w:t>万元，其他工资福利支出</w:t>
      </w:r>
      <w:r>
        <w:rPr>
          <w:rFonts w:ascii="仿宋" w:eastAsia="仿宋" w:cs="仿宋"/>
          <w:sz w:val="32"/>
          <w:szCs w:val="32"/>
        </w:rPr>
        <w:t>1.56</w:t>
      </w:r>
      <w:r>
        <w:rPr>
          <w:rFonts w:hint="eastAsia" w:ascii="仿宋" w:eastAsia="仿宋" w:cs="仿宋"/>
          <w:sz w:val="32"/>
          <w:szCs w:val="32"/>
        </w:rPr>
        <w:t>万元，对个人和家庭的补助支出</w:t>
      </w:r>
      <w:r>
        <w:rPr>
          <w:rFonts w:ascii="仿宋" w:eastAsia="仿宋" w:cs="仿宋"/>
          <w:sz w:val="32"/>
          <w:szCs w:val="32"/>
        </w:rPr>
        <w:t>1.73</w:t>
      </w:r>
      <w:r>
        <w:rPr>
          <w:rFonts w:hint="eastAsia" w:ascii="仿宋" w:eastAsia="仿宋" w:cs="仿宋"/>
          <w:sz w:val="32"/>
          <w:szCs w:val="32"/>
        </w:rPr>
        <w:t>万元；公用经费</w:t>
      </w:r>
      <w:r>
        <w:rPr>
          <w:rFonts w:ascii="仿宋" w:eastAsia="仿宋" w:cs="仿宋"/>
          <w:sz w:val="32"/>
          <w:szCs w:val="32"/>
        </w:rPr>
        <w:t>10.17</w:t>
      </w:r>
      <w:r>
        <w:rPr>
          <w:rFonts w:hint="eastAsia" w:ascii="仿宋" w:eastAsia="仿宋" w:cs="仿宋"/>
          <w:sz w:val="32"/>
          <w:szCs w:val="32"/>
        </w:rPr>
        <w:t>万元，主要包括：办公费</w:t>
      </w:r>
      <w:r>
        <w:rPr>
          <w:rFonts w:ascii="仿宋" w:eastAsia="仿宋" w:cs="仿宋"/>
          <w:sz w:val="32"/>
          <w:szCs w:val="32"/>
        </w:rPr>
        <w:t>0.61</w:t>
      </w:r>
      <w:r>
        <w:rPr>
          <w:rFonts w:hint="eastAsia" w:ascii="仿宋" w:eastAsia="仿宋" w:cs="仿宋"/>
          <w:sz w:val="32"/>
          <w:szCs w:val="32"/>
        </w:rPr>
        <w:t>万元，水费</w:t>
      </w:r>
      <w:r>
        <w:rPr>
          <w:rFonts w:ascii="仿宋" w:eastAsia="仿宋" w:cs="仿宋"/>
          <w:sz w:val="32"/>
          <w:szCs w:val="32"/>
        </w:rPr>
        <w:t>0.12</w:t>
      </w:r>
      <w:r>
        <w:rPr>
          <w:rFonts w:hint="eastAsia" w:ascii="仿宋" w:eastAsia="仿宋" w:cs="仿宋"/>
          <w:sz w:val="32"/>
          <w:szCs w:val="32"/>
        </w:rPr>
        <w:t>万元，电费</w:t>
      </w:r>
      <w:r>
        <w:rPr>
          <w:rFonts w:ascii="仿宋" w:eastAsia="仿宋" w:cs="仿宋"/>
          <w:sz w:val="32"/>
          <w:szCs w:val="32"/>
        </w:rPr>
        <w:t>0.31</w:t>
      </w:r>
      <w:r>
        <w:rPr>
          <w:rFonts w:hint="eastAsia" w:ascii="仿宋" w:eastAsia="仿宋" w:cs="仿宋"/>
          <w:sz w:val="32"/>
          <w:szCs w:val="32"/>
        </w:rPr>
        <w:t>万元，邮电费</w:t>
      </w:r>
      <w:r>
        <w:rPr>
          <w:rFonts w:ascii="仿宋" w:eastAsia="仿宋" w:cs="仿宋"/>
          <w:sz w:val="32"/>
          <w:szCs w:val="32"/>
        </w:rPr>
        <w:t>0.66</w:t>
      </w:r>
      <w:r>
        <w:rPr>
          <w:rFonts w:hint="eastAsia" w:ascii="仿宋" w:eastAsia="仿宋" w:cs="仿宋"/>
          <w:sz w:val="32"/>
          <w:szCs w:val="32"/>
        </w:rPr>
        <w:t>万元，差旅费</w:t>
      </w:r>
      <w:r>
        <w:rPr>
          <w:rFonts w:ascii="仿宋" w:eastAsia="仿宋" w:cs="仿宋"/>
          <w:sz w:val="32"/>
          <w:szCs w:val="32"/>
        </w:rPr>
        <w:t>2.45</w:t>
      </w:r>
      <w:r>
        <w:rPr>
          <w:rFonts w:hint="eastAsia" w:ascii="仿宋" w:eastAsia="仿宋" w:cs="仿宋"/>
          <w:sz w:val="32"/>
          <w:szCs w:val="32"/>
        </w:rPr>
        <w:t>万元，工会经费</w:t>
      </w:r>
      <w:r>
        <w:rPr>
          <w:rFonts w:ascii="仿宋" w:eastAsia="仿宋" w:cs="仿宋"/>
          <w:sz w:val="32"/>
          <w:szCs w:val="32"/>
        </w:rPr>
        <w:t>1.07</w:t>
      </w:r>
      <w:r>
        <w:rPr>
          <w:rFonts w:hint="eastAsia" w:ascii="仿宋" w:eastAsia="仿宋" w:cs="仿宋"/>
          <w:sz w:val="32"/>
          <w:szCs w:val="32"/>
        </w:rPr>
        <w:t>万元，福利费</w:t>
      </w:r>
      <w:r>
        <w:rPr>
          <w:rFonts w:ascii="仿宋" w:eastAsia="仿宋" w:cs="仿宋"/>
          <w:sz w:val="32"/>
          <w:szCs w:val="32"/>
        </w:rPr>
        <w:t>0.79</w:t>
      </w:r>
      <w:r>
        <w:rPr>
          <w:rFonts w:hint="eastAsia" w:ascii="仿宋" w:eastAsia="仿宋" w:cs="仿宋"/>
          <w:sz w:val="32"/>
          <w:szCs w:val="32"/>
        </w:rPr>
        <w:t>万元，其他交通费用</w:t>
      </w:r>
      <w:r>
        <w:rPr>
          <w:rFonts w:ascii="仿宋" w:eastAsia="仿宋" w:cs="仿宋"/>
          <w:sz w:val="32"/>
          <w:szCs w:val="32"/>
        </w:rPr>
        <w:t>3.05</w:t>
      </w:r>
      <w:r>
        <w:rPr>
          <w:rFonts w:hint="eastAsia" w:ascii="仿宋" w:eastAsia="仿宋" w:cs="仿宋"/>
          <w:sz w:val="32"/>
          <w:szCs w:val="32"/>
        </w:rPr>
        <w:t>万元，其他商品服务支出</w:t>
      </w:r>
      <w:r>
        <w:rPr>
          <w:rFonts w:ascii="仿宋" w:eastAsia="仿宋" w:cs="仿宋"/>
          <w:sz w:val="32"/>
          <w:szCs w:val="32"/>
        </w:rPr>
        <w:t>1.11</w:t>
      </w:r>
      <w:r>
        <w:rPr>
          <w:rFonts w:hint="eastAsia" w:ascii="仿宋" w:eastAsia="仿宋" w:cs="仿宋"/>
          <w:sz w:val="32"/>
          <w:szCs w:val="32"/>
        </w:rPr>
        <w:t>万元。</w:t>
      </w:r>
    </w:p>
    <w:p>
      <w:pPr>
        <w:pStyle w:val="2"/>
        <w:spacing w:before="93" w:beforeLines="0"/>
        <w:ind w:firstLine="640"/>
        <w:rPr>
          <w:rFonts w:ascii="仿宋" w:eastAsia="仿宋" w:cs="仿宋"/>
          <w:sz w:val="32"/>
          <w:szCs w:val="32"/>
        </w:rPr>
      </w:pPr>
      <w:r>
        <w:rPr>
          <w:rFonts w:ascii="仿宋" w:eastAsia="仿宋" w:cs="仿宋"/>
          <w:sz w:val="32"/>
          <w:szCs w:val="32"/>
        </w:rPr>
        <w:t>2021</w:t>
      </w:r>
      <w:r>
        <w:rPr>
          <w:rFonts w:hint="eastAsia" w:ascii="仿宋" w:eastAsia="仿宋" w:cs="仿宋"/>
          <w:sz w:val="32"/>
          <w:szCs w:val="32"/>
        </w:rPr>
        <w:t>年一般公共预算项目支出258.27万元。其中：邮电费1.6万元，物业管理费3万元，劳务费180.67万元，委托业务费5万元，税金及附加费用30万元，其他商品和服务支出38万元。</w:t>
      </w:r>
    </w:p>
    <w:p>
      <w:pPr>
        <w:pStyle w:val="2"/>
        <w:spacing w:before="93" w:beforeLines="0"/>
        <w:ind w:firstLine="640"/>
        <w:rPr>
          <w:rFonts w:ascii="黑体" w:eastAsia="黑体"/>
          <w:sz w:val="32"/>
          <w:szCs w:val="32"/>
          <w:shd w:val="clear" w:color="auto" w:fill="FFFFFF"/>
        </w:rPr>
      </w:pPr>
      <w:r>
        <w:rPr>
          <w:rFonts w:hint="eastAsia" w:ascii="黑体" w:eastAsia="黑体" w:cs="黑体"/>
          <w:sz w:val="32"/>
          <w:szCs w:val="32"/>
          <w:shd w:val="clear" w:color="auto" w:fill="FFFFFF"/>
        </w:rPr>
        <w:t>三、部门整体预算绩效管理情况</w:t>
      </w:r>
    </w:p>
    <w:p>
      <w:pPr>
        <w:widowControl/>
        <w:adjustRightInd w:val="0"/>
        <w:snapToGrid w:val="0"/>
        <w:spacing w:line="572" w:lineRule="exact"/>
        <w:ind w:firstLine="640" w:firstLineChars="200"/>
        <w:jc w:val="left"/>
        <w:rPr>
          <w:rFonts w:ascii="仿宋_GB2312" w:eastAsia="仿宋_GB2312"/>
          <w:kern w:val="0"/>
          <w:sz w:val="32"/>
          <w:szCs w:val="32"/>
          <w:shd w:val="clear" w:color="auto" w:fill="FFFFFF"/>
          <w:lang w:val="zh-CN"/>
        </w:rPr>
      </w:pPr>
      <w:r>
        <w:rPr>
          <w:rFonts w:hint="eastAsia" w:ascii="仿宋_GB2312" w:eastAsia="仿宋_GB2312" w:cs="仿宋_GB2312"/>
          <w:kern w:val="0"/>
          <w:sz w:val="32"/>
          <w:szCs w:val="32"/>
          <w:shd w:val="clear" w:color="auto" w:fill="FFFFFF"/>
          <w:lang w:val="zh-CN"/>
        </w:rPr>
        <w:t>（一）部门预算项目绩效管理。</w:t>
      </w:r>
    </w:p>
    <w:p>
      <w:pPr>
        <w:pStyle w:val="8"/>
        <w:spacing w:line="600" w:lineRule="exact"/>
        <w:ind w:firstLine="640" w:firstLineChars="200"/>
        <w:jc w:val="left"/>
        <w:rPr>
          <w:rFonts w:ascii="仿宋_GB2312" w:eastAsia="仿宋_GB2312"/>
          <w:kern w:val="0"/>
          <w:sz w:val="32"/>
          <w:szCs w:val="32"/>
          <w:shd w:val="clear" w:color="auto" w:fill="FFFFFF"/>
          <w:lang w:val="zh-CN"/>
        </w:rPr>
      </w:pPr>
      <w:r>
        <w:rPr>
          <w:rFonts w:hint="eastAsia" w:ascii="仿宋_GB2312" w:eastAsia="仿宋_GB2312"/>
          <w:kern w:val="0"/>
          <w:sz w:val="32"/>
          <w:szCs w:val="32"/>
        </w:rPr>
        <w:t>中心2021年财政勘察设计审查费（含审图项目、专家劳务费）258.27万元，主要用于</w:t>
      </w:r>
      <w:r>
        <w:rPr>
          <w:rFonts w:hint="eastAsia" w:ascii="仿宋" w:eastAsia="仿宋" w:cs="仿宋"/>
          <w:sz w:val="32"/>
          <w:szCs w:val="32"/>
        </w:rPr>
        <w:t>邮电费，物业管理费，劳务费，委托业务费，税金及附加费用，其他商品和服务支出</w:t>
      </w:r>
      <w:r>
        <w:rPr>
          <w:rFonts w:hint="eastAsia" w:ascii="仿宋_GB2312" w:eastAsia="仿宋_GB2312"/>
          <w:kern w:val="0"/>
          <w:sz w:val="32"/>
          <w:szCs w:val="32"/>
        </w:rPr>
        <w:t>。申报评价内容与实际相符，申报目标合理可行</w:t>
      </w:r>
      <w:r>
        <w:rPr>
          <w:rFonts w:hint="eastAsia"/>
          <w:kern w:val="0"/>
          <w:sz w:val="32"/>
          <w:szCs w:val="32"/>
        </w:rPr>
        <w:t>，</w:t>
      </w:r>
      <w:r>
        <w:rPr>
          <w:rFonts w:hint="eastAsia" w:ascii="仿宋_GB2312" w:eastAsia="仿宋_GB2312"/>
          <w:kern w:val="0"/>
          <w:sz w:val="32"/>
          <w:szCs w:val="32"/>
        </w:rPr>
        <w:t>严格按照预算进行使用，满足项目进展需要，无超预算情况。</w:t>
      </w:r>
    </w:p>
    <w:p>
      <w:pPr>
        <w:widowControl/>
        <w:adjustRightInd w:val="0"/>
        <w:snapToGrid w:val="0"/>
        <w:spacing w:line="572" w:lineRule="exact"/>
        <w:ind w:firstLine="640" w:firstLineChars="200"/>
        <w:jc w:val="left"/>
        <w:rPr>
          <w:rFonts w:ascii="仿宋_GB2312" w:eastAsia="仿宋_GB2312" w:cs="仿宋_GB2312"/>
          <w:kern w:val="0"/>
          <w:sz w:val="32"/>
          <w:szCs w:val="32"/>
          <w:shd w:val="clear" w:color="auto" w:fill="FFFFFF"/>
          <w:lang w:val="zh-CN"/>
        </w:rPr>
      </w:pPr>
      <w:r>
        <w:rPr>
          <w:rFonts w:hint="eastAsia" w:ascii="仿宋_GB2312" w:eastAsia="仿宋_GB2312" w:cs="仿宋_GB2312"/>
          <w:kern w:val="0"/>
          <w:sz w:val="32"/>
          <w:szCs w:val="32"/>
          <w:shd w:val="clear" w:color="auto" w:fill="FFFFFF"/>
          <w:lang w:val="zh-CN"/>
        </w:rPr>
        <w:t>（二）结果应用情况。</w:t>
      </w:r>
    </w:p>
    <w:p>
      <w:pPr>
        <w:autoSpaceDE w:val="0"/>
        <w:autoSpaceDN w:val="0"/>
        <w:adjustRightInd w:val="0"/>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按年初绩效目标完成年度任务，项目审查合同签订后，履约率达到99%，审图费收入307万元。</w:t>
      </w:r>
    </w:p>
    <w:p>
      <w:pPr>
        <w:widowControl/>
        <w:adjustRightInd w:val="0"/>
        <w:snapToGrid w:val="0"/>
        <w:spacing w:line="580" w:lineRule="exact"/>
        <w:ind w:firstLine="640" w:firstLineChars="200"/>
        <w:jc w:val="left"/>
        <w:rPr>
          <w:rFonts w:ascii="仿宋_GB2312" w:eastAsia="仿宋_GB2312"/>
          <w:kern w:val="0"/>
          <w:sz w:val="32"/>
          <w:szCs w:val="32"/>
          <w:shd w:val="clear" w:color="auto" w:fill="FFFFFF"/>
          <w:lang w:val="zh-CN"/>
        </w:rPr>
      </w:pPr>
      <w:r>
        <w:rPr>
          <w:rFonts w:hint="eastAsia" w:ascii="仿宋_GB2312" w:eastAsia="仿宋_GB2312" w:cs="仿宋_GB2312"/>
          <w:kern w:val="0"/>
          <w:sz w:val="32"/>
          <w:szCs w:val="32"/>
          <w:shd w:val="clear" w:color="auto" w:fill="FFFFFF"/>
          <w:lang w:val="zh-CN"/>
        </w:rPr>
        <w:t>（三）自评质量</w:t>
      </w:r>
    </w:p>
    <w:p>
      <w:pPr>
        <w:spacing w:line="580" w:lineRule="exact"/>
        <w:ind w:firstLine="640"/>
        <w:rPr>
          <w:rFonts w:ascii="仿宋_GB2312" w:eastAsia="仿宋_GB2312" w:cs="仿宋_GB2312"/>
          <w:sz w:val="32"/>
          <w:szCs w:val="32"/>
        </w:rPr>
      </w:pPr>
      <w:r>
        <w:rPr>
          <w:rFonts w:hint="eastAsia" w:ascii="仿宋_GB2312" w:eastAsia="仿宋_GB2312"/>
          <w:kern w:val="0"/>
          <w:sz w:val="32"/>
          <w:szCs w:val="32"/>
        </w:rPr>
        <w:t>目标绩效完成较好，勘察设计审查费（含审图项目、专家劳务费）全部用于受委托对建设工程施工图、地勘报告、建筑物节能、抗震、消防等设计文件的技术审查，对工程质量事故进行技术设计鉴定，开展工程技术咨询工作。</w:t>
      </w:r>
    </w:p>
    <w:p>
      <w:pPr>
        <w:widowControl/>
        <w:adjustRightInd w:val="0"/>
        <w:snapToGrid w:val="0"/>
        <w:spacing w:line="576" w:lineRule="exact"/>
        <w:ind w:firstLine="640" w:firstLineChars="200"/>
        <w:jc w:val="left"/>
        <w:rPr>
          <w:rFonts w:ascii="黑体" w:eastAsia="黑体"/>
          <w:kern w:val="0"/>
          <w:sz w:val="32"/>
          <w:szCs w:val="32"/>
          <w:shd w:val="clear" w:color="auto" w:fill="FFFFFF"/>
        </w:rPr>
      </w:pPr>
      <w:r>
        <w:rPr>
          <w:rFonts w:hint="eastAsia" w:ascii="黑体" w:eastAsia="黑体" w:cs="黑体"/>
          <w:kern w:val="0"/>
          <w:sz w:val="32"/>
          <w:szCs w:val="32"/>
          <w:shd w:val="clear" w:color="auto" w:fill="FFFFFF"/>
        </w:rPr>
        <w:t>四、评价结论及建议</w:t>
      </w:r>
    </w:p>
    <w:p>
      <w:pPr>
        <w:widowControl/>
        <w:adjustRightInd w:val="0"/>
        <w:snapToGrid w:val="0"/>
        <w:spacing w:line="576" w:lineRule="exact"/>
        <w:ind w:firstLine="640" w:firstLineChars="200"/>
        <w:jc w:val="left"/>
        <w:rPr>
          <w:rFonts w:ascii="仿宋_GB2312" w:eastAsia="仿宋_GB2312"/>
          <w:kern w:val="0"/>
          <w:sz w:val="32"/>
          <w:szCs w:val="32"/>
          <w:shd w:val="clear" w:color="auto" w:fill="FFFFFF"/>
          <w:lang w:val="zh-CN"/>
        </w:rPr>
      </w:pPr>
      <w:r>
        <w:rPr>
          <w:rFonts w:hint="eastAsia" w:ascii="仿宋_GB2312" w:eastAsia="仿宋_GB2312" w:cs="仿宋_GB2312"/>
          <w:kern w:val="0"/>
          <w:sz w:val="32"/>
          <w:szCs w:val="32"/>
          <w:shd w:val="clear" w:color="auto" w:fill="FFFFFF"/>
          <w:lang w:val="zh-CN"/>
        </w:rPr>
        <w:t>（一）评价结论。</w:t>
      </w:r>
    </w:p>
    <w:p>
      <w:pPr>
        <w:widowControl/>
        <w:adjustRightInd w:val="0"/>
        <w:snapToGrid w:val="0"/>
        <w:spacing w:line="580" w:lineRule="exact"/>
        <w:ind w:firstLine="640" w:firstLineChars="200"/>
        <w:jc w:val="left"/>
        <w:rPr>
          <w:rFonts w:ascii="仿宋_GB2312" w:eastAsia="仿宋_GB2312"/>
          <w:color w:val="000000"/>
          <w:kern w:val="0"/>
          <w:sz w:val="32"/>
          <w:szCs w:val="32"/>
          <w:shd w:val="clear" w:color="auto" w:fill="FFFFFF"/>
          <w:lang w:val="zh-CN"/>
        </w:rPr>
      </w:pPr>
      <w:r>
        <w:rPr>
          <w:rFonts w:hint="eastAsia" w:ascii="仿宋_GB2312" w:eastAsia="仿宋_GB2312" w:cs="仿宋_GB2312"/>
          <w:color w:val="000000"/>
          <w:kern w:val="0"/>
          <w:sz w:val="32"/>
          <w:szCs w:val="32"/>
          <w:shd w:val="clear" w:color="auto" w:fill="FFFFFF"/>
          <w:lang w:val="zh-CN"/>
        </w:rPr>
        <w:t>预算资金使用合理合法。</w:t>
      </w:r>
    </w:p>
    <w:p>
      <w:pPr>
        <w:widowControl/>
        <w:adjustRightInd w:val="0"/>
        <w:snapToGrid w:val="0"/>
        <w:spacing w:line="576" w:lineRule="exact"/>
        <w:ind w:firstLine="640" w:firstLineChars="200"/>
        <w:jc w:val="left"/>
        <w:rPr>
          <w:rFonts w:ascii="仿宋_GB2312" w:eastAsia="仿宋_GB2312"/>
          <w:kern w:val="0"/>
          <w:sz w:val="32"/>
          <w:szCs w:val="32"/>
          <w:shd w:val="clear" w:color="auto" w:fill="FFFFFF"/>
          <w:lang w:val="zh-CN"/>
        </w:rPr>
      </w:pPr>
      <w:r>
        <w:rPr>
          <w:rFonts w:hint="eastAsia" w:ascii="仿宋_GB2312" w:eastAsia="仿宋_GB2312" w:cs="仿宋_GB2312"/>
          <w:kern w:val="0"/>
          <w:sz w:val="32"/>
          <w:szCs w:val="32"/>
          <w:shd w:val="clear" w:color="auto" w:fill="FFFFFF"/>
          <w:lang w:val="zh-CN"/>
        </w:rPr>
        <w:t>（二）存在问题。</w:t>
      </w:r>
    </w:p>
    <w:p>
      <w:pPr>
        <w:widowControl/>
        <w:adjustRightInd w:val="0"/>
        <w:snapToGrid w:val="0"/>
        <w:spacing w:line="560" w:lineRule="exact"/>
        <w:ind w:firstLine="640" w:firstLineChars="200"/>
        <w:jc w:val="left"/>
        <w:rPr>
          <w:rFonts w:ascii="仿宋_GB2312" w:eastAsia="仿宋_GB2312"/>
          <w:color w:val="000000"/>
          <w:kern w:val="0"/>
          <w:sz w:val="32"/>
          <w:szCs w:val="32"/>
          <w:shd w:val="clear" w:color="auto" w:fill="FFFFFF"/>
          <w:lang w:val="zh-CN"/>
        </w:rPr>
      </w:pPr>
      <w:r>
        <w:rPr>
          <w:rFonts w:hint="eastAsia" w:ascii="仿宋_GB2312" w:eastAsia="仿宋_GB2312" w:cs="仿宋_GB2312"/>
          <w:color w:val="000000"/>
          <w:kern w:val="0"/>
          <w:sz w:val="32"/>
          <w:szCs w:val="32"/>
          <w:shd w:val="clear" w:color="auto" w:fill="FFFFFF"/>
          <w:lang w:val="zh-CN"/>
        </w:rPr>
        <w:t>单位内控制度需要进一步完善，财务管理效率效果需要进一步提高。</w:t>
      </w:r>
    </w:p>
    <w:p>
      <w:pPr>
        <w:widowControl/>
        <w:adjustRightInd w:val="0"/>
        <w:snapToGrid w:val="0"/>
        <w:spacing w:line="576" w:lineRule="exact"/>
        <w:ind w:firstLine="640" w:firstLineChars="200"/>
        <w:jc w:val="left"/>
        <w:rPr>
          <w:rFonts w:ascii="仿宋_GB2312" w:eastAsia="仿宋_GB2312"/>
          <w:kern w:val="0"/>
          <w:sz w:val="32"/>
          <w:szCs w:val="32"/>
          <w:shd w:val="clear" w:color="auto" w:fill="FFFFFF"/>
          <w:lang w:val="zh-CN"/>
        </w:rPr>
      </w:pPr>
      <w:r>
        <w:rPr>
          <w:rFonts w:hint="eastAsia" w:ascii="仿宋_GB2312" w:eastAsia="仿宋_GB2312" w:cs="仿宋_GB2312"/>
          <w:kern w:val="0"/>
          <w:sz w:val="32"/>
          <w:szCs w:val="32"/>
          <w:shd w:val="clear" w:color="auto" w:fill="FFFFFF"/>
          <w:lang w:val="zh-CN"/>
        </w:rPr>
        <w:t>（三）改进建议。</w:t>
      </w:r>
    </w:p>
    <w:p>
      <w:pPr>
        <w:pStyle w:val="2"/>
        <w:spacing w:before="93" w:beforeLines="0"/>
        <w:ind w:firstLine="640" w:firstLineChars="200"/>
        <w:rPr>
          <w:rFonts w:cs="仿宋_GB2312"/>
          <w:sz w:val="32"/>
          <w:szCs w:val="32"/>
        </w:rPr>
      </w:pPr>
      <w:r>
        <w:rPr>
          <w:rFonts w:hint="eastAsia" w:cs="仿宋_GB2312"/>
          <w:color w:val="000000"/>
          <w:sz w:val="32"/>
          <w:szCs w:val="32"/>
          <w:shd w:val="clear" w:color="auto" w:fill="FFFFFF"/>
          <w:lang w:val="zh-CN"/>
        </w:rPr>
        <w:t>加强相关信息沟通与绩效评价</w:t>
      </w:r>
      <w:r>
        <w:rPr>
          <w:rFonts w:cs="仿宋_GB2312"/>
          <w:color w:val="000000"/>
          <w:sz w:val="32"/>
          <w:szCs w:val="32"/>
          <w:shd w:val="clear" w:color="auto" w:fill="FFFFFF"/>
          <w:lang w:val="zh-CN"/>
        </w:rPr>
        <w:t>,</w:t>
      </w:r>
      <w:r>
        <w:rPr>
          <w:rFonts w:hint="eastAsia" w:cs="仿宋_GB2312"/>
          <w:color w:val="000000"/>
          <w:sz w:val="32"/>
          <w:szCs w:val="32"/>
          <w:shd w:val="clear" w:color="auto" w:fill="FFFFFF"/>
          <w:lang w:val="zh-CN"/>
        </w:rPr>
        <w:t>加强行政事业单位内部的监督与评价方面的工作，加强业务学习，提高财务管理效率和水平。</w:t>
      </w:r>
      <w:r>
        <w:rPr>
          <w:rFonts w:hint="eastAsia" w:cs="仿宋_GB2312"/>
          <w:sz w:val="32"/>
          <w:szCs w:val="32"/>
        </w:rPr>
        <w:t>在财务管理上严格按照财务管理制度执行，在决算编报上认真按照财政下达的工作步骤组织编报、数据与财政下达的数据一致，套表审核全部通过。</w:t>
      </w:r>
    </w:p>
    <w:p>
      <w:pPr>
        <w:pStyle w:val="2"/>
        <w:spacing w:before="93" w:beforeLines="0"/>
        <w:ind w:firstLine="640" w:firstLineChars="200"/>
        <w:rPr>
          <w:rFonts w:cs="仿宋_GB2312"/>
          <w:sz w:val="32"/>
          <w:szCs w:val="32"/>
        </w:rPr>
      </w:pPr>
    </w:p>
    <w:p>
      <w:pPr>
        <w:pStyle w:val="2"/>
        <w:spacing w:before="93" w:beforeLines="0"/>
        <w:ind w:firstLine="640" w:firstLineChars="200"/>
        <w:rPr>
          <w:rFonts w:cs="仿宋_GB2312"/>
          <w:sz w:val="32"/>
          <w:szCs w:val="32"/>
        </w:rPr>
      </w:pPr>
    </w:p>
    <w:p>
      <w:pPr>
        <w:pStyle w:val="2"/>
        <w:spacing w:before="93" w:beforeLines="0"/>
        <w:ind w:firstLine="640" w:firstLineChars="200"/>
        <w:rPr>
          <w:rFonts w:cs="仿宋_GB2312"/>
          <w:bCs/>
          <w:sz w:val="32"/>
          <w:szCs w:val="32"/>
          <w:lang w:val="zh-CN"/>
        </w:rPr>
      </w:pPr>
    </w:p>
    <w:p>
      <w:pPr>
        <w:spacing w:line="572" w:lineRule="exact"/>
        <w:jc w:val="center"/>
        <w:rPr>
          <w:rFonts w:ascii="方正小标宋简体" w:eastAsia="方正小标宋简体"/>
          <w:kern w:val="0"/>
          <w:sz w:val="40"/>
          <w:szCs w:val="44"/>
        </w:rPr>
      </w:pPr>
      <w:r>
        <w:rPr>
          <w:rFonts w:hint="eastAsia" w:ascii="方正小标宋简体" w:eastAsia="方正小标宋简体"/>
          <w:kern w:val="0"/>
          <w:sz w:val="40"/>
          <w:szCs w:val="44"/>
        </w:rPr>
        <w:t>2021年攀枝花市城市建设资金中心</w:t>
      </w:r>
    </w:p>
    <w:p>
      <w:pPr>
        <w:spacing w:line="572" w:lineRule="exact"/>
        <w:jc w:val="center"/>
        <w:rPr>
          <w:rFonts w:ascii="方正小标宋简体" w:eastAsia="方正小标宋简体"/>
          <w:kern w:val="0"/>
          <w:sz w:val="40"/>
          <w:szCs w:val="44"/>
          <w:lang w:val="zh-CN"/>
        </w:rPr>
      </w:pPr>
      <w:r>
        <w:rPr>
          <w:rFonts w:hint="eastAsia" w:ascii="方正小标宋简体" w:eastAsia="方正小标宋简体"/>
          <w:kern w:val="0"/>
          <w:sz w:val="40"/>
          <w:szCs w:val="44"/>
        </w:rPr>
        <w:t>整体绩效评价报告</w:t>
      </w:r>
    </w:p>
    <w:p>
      <w:pPr>
        <w:widowControl/>
        <w:adjustRightInd w:val="0"/>
        <w:snapToGrid w:val="0"/>
        <w:spacing w:line="572" w:lineRule="exact"/>
        <w:ind w:firstLine="480" w:firstLineChars="200"/>
        <w:contextualSpacing/>
        <w:jc w:val="left"/>
        <w:rPr>
          <w:rFonts w:ascii="黑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eastAsia="黑体" w:cs="宋体"/>
          <w:kern w:val="0"/>
          <w:sz w:val="32"/>
          <w:szCs w:val="32"/>
          <w:shd w:val="clear" w:color="auto" w:fill="FFFFFF"/>
          <w:lang w:val="zh-CN"/>
        </w:rPr>
      </w:pPr>
      <w:r>
        <w:rPr>
          <w:rFonts w:hint="eastAsia" w:ascii="黑体" w:eastAsia="黑体" w:cs="宋体"/>
          <w:kern w:val="0"/>
          <w:sz w:val="32"/>
          <w:szCs w:val="32"/>
          <w:shd w:val="clear" w:color="auto" w:fill="FFFFFF"/>
        </w:rPr>
        <w:t>一、</w:t>
      </w:r>
      <w:r>
        <w:rPr>
          <w:rFonts w:hint="eastAsia" w:ascii="黑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（一）机构组成。</w:t>
      </w:r>
    </w:p>
    <w:p>
      <w:pPr>
        <w:widowControl/>
        <w:adjustRightInd w:val="0"/>
        <w:snapToGrid w:val="0"/>
        <w:spacing w:line="572" w:lineRule="exact"/>
        <w:ind w:firstLine="640" w:firstLineChars="200"/>
        <w:contextualSpacing/>
        <w:jc w:val="left"/>
        <w:rPr>
          <w:rFonts w:ascii="仿宋_GB2312" w:eastAsia="仿宋_GB2312" w:cs="宋体"/>
          <w:kern w:val="0"/>
          <w:sz w:val="32"/>
          <w:szCs w:val="32"/>
          <w:shd w:val="clear" w:color="auto" w:fill="FFFFFF"/>
          <w:lang w:val="zh-CN"/>
        </w:rPr>
      </w:pPr>
      <w:r>
        <w:rPr>
          <w:rFonts w:ascii="仿宋_GB2312" w:eastAsia="仿宋_GB2312" w:cs="宋体"/>
          <w:kern w:val="0"/>
          <w:sz w:val="32"/>
          <w:szCs w:val="32"/>
          <w:shd w:val="clear" w:color="auto" w:fill="FFFFFF"/>
          <w:lang w:val="zh-CN"/>
        </w:rPr>
        <w:t xml:space="preserve">  为加强单位管理，从工作实际出发，单位内部自行设置了办公室、征收办、维资办三个科室。</w:t>
      </w:r>
    </w:p>
    <w:p>
      <w:pPr>
        <w:widowControl/>
        <w:adjustRightInd w:val="0"/>
        <w:snapToGrid w:val="0"/>
        <w:spacing w:line="572"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（二）机构职能。</w:t>
      </w:r>
    </w:p>
    <w:p>
      <w:pPr>
        <w:ind w:firstLine="640" w:firstLineChars="200"/>
        <w:rPr>
          <w:rFonts w:ascii="仿宋_GB2312" w:eastAsia="仿宋_GB2312"/>
          <w:bCs/>
          <w:sz w:val="32"/>
          <w:szCs w:val="32"/>
        </w:rPr>
      </w:pPr>
      <w:r>
        <w:rPr>
          <w:rFonts w:hint="eastAsia" w:ascii="仿宋_GB2312" w:eastAsia="仿宋_GB2312"/>
          <w:bCs/>
          <w:sz w:val="32"/>
          <w:szCs w:val="32"/>
        </w:rPr>
        <w:t>攀枝花市城市建设资金中心主要职责是政府性基金（城市基础设施配套费）的征收、房改房维修资金的管理。</w:t>
      </w:r>
    </w:p>
    <w:p>
      <w:pPr>
        <w:widowControl/>
        <w:adjustRightInd w:val="0"/>
        <w:snapToGrid w:val="0"/>
        <w:spacing w:line="572"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（三）人员概况。</w:t>
      </w:r>
    </w:p>
    <w:p>
      <w:pPr>
        <w:ind w:firstLine="640" w:firstLineChars="200"/>
        <w:rPr>
          <w:rFonts w:ascii="仿宋_GB2312" w:eastAsia="仿宋_GB2312"/>
          <w:bCs/>
          <w:sz w:val="32"/>
          <w:szCs w:val="32"/>
        </w:rPr>
      </w:pPr>
      <w:r>
        <w:rPr>
          <w:rFonts w:hint="eastAsia" w:ascii="仿宋_GB2312" w:eastAsia="仿宋_GB2312"/>
          <w:bCs/>
          <w:sz w:val="32"/>
          <w:szCs w:val="32"/>
        </w:rPr>
        <w:t>单位属预算内全额拨款事业单位,公益一类，2</w:t>
      </w:r>
      <w:r>
        <w:rPr>
          <w:rFonts w:ascii="仿宋_GB2312" w:eastAsia="仿宋_GB2312"/>
          <w:bCs/>
          <w:sz w:val="32"/>
          <w:szCs w:val="32"/>
        </w:rPr>
        <w:t>021年</w:t>
      </w:r>
      <w:r>
        <w:rPr>
          <w:rFonts w:hint="eastAsia" w:ascii="仿宋_GB2312" w:eastAsia="仿宋_GB2312"/>
          <w:bCs/>
          <w:sz w:val="32"/>
          <w:szCs w:val="32"/>
        </w:rPr>
        <w:t>1</w:t>
      </w:r>
      <w:r>
        <w:rPr>
          <w:rFonts w:ascii="仿宋_GB2312" w:eastAsia="仿宋_GB2312"/>
          <w:bCs/>
          <w:sz w:val="32"/>
          <w:szCs w:val="32"/>
        </w:rPr>
        <w:t>2月底</w:t>
      </w:r>
      <w:r>
        <w:rPr>
          <w:rFonts w:hint="eastAsia" w:ascii="仿宋_GB2312" w:eastAsia="仿宋_GB2312"/>
          <w:bCs/>
          <w:sz w:val="32"/>
          <w:szCs w:val="32"/>
        </w:rPr>
        <w:t>编制9人,在职职工</w:t>
      </w:r>
      <w:r>
        <w:rPr>
          <w:rFonts w:ascii="仿宋_GB2312" w:eastAsia="仿宋_GB2312"/>
          <w:bCs/>
          <w:sz w:val="32"/>
          <w:szCs w:val="32"/>
        </w:rPr>
        <w:t>7</w:t>
      </w:r>
      <w:r>
        <w:rPr>
          <w:rFonts w:hint="eastAsia" w:ascii="仿宋_GB2312" w:eastAsia="仿宋_GB2312"/>
          <w:bCs/>
          <w:sz w:val="32"/>
          <w:szCs w:val="32"/>
        </w:rPr>
        <w:t>人，退休职工6人。</w:t>
      </w:r>
    </w:p>
    <w:p>
      <w:pPr>
        <w:widowControl/>
        <w:adjustRightInd w:val="0"/>
        <w:snapToGrid w:val="0"/>
        <w:spacing w:line="572" w:lineRule="exact"/>
        <w:ind w:firstLine="640" w:firstLineChars="200"/>
        <w:contextualSpacing/>
        <w:jc w:val="left"/>
        <w:rPr>
          <w:rFonts w:ascii="黑体" w:eastAsia="黑体" w:cs="宋体"/>
          <w:kern w:val="0"/>
          <w:sz w:val="32"/>
          <w:szCs w:val="32"/>
          <w:shd w:val="clear" w:color="auto" w:fill="FFFFFF"/>
        </w:rPr>
      </w:pPr>
      <w:r>
        <w:rPr>
          <w:rFonts w:hint="eastAsia" w:ascii="黑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（一）部门财政资金收入情况。</w:t>
      </w:r>
    </w:p>
    <w:p>
      <w:pPr>
        <w:pStyle w:val="2"/>
        <w:spacing w:before="93" w:beforeLines="0"/>
        <w:rPr>
          <w:lang w:val="zh-CN"/>
        </w:rPr>
      </w:pPr>
      <w:r>
        <w:rPr>
          <w:rFonts w:hint="eastAsia" w:ascii="仿宋" w:eastAsia="仿宋"/>
          <w:sz w:val="32"/>
          <w:szCs w:val="32"/>
        </w:rPr>
        <w:t>一般公共预算财政拨款收入148.01万元，占100</w:t>
      </w:r>
      <w:r>
        <w:rPr>
          <w:rFonts w:ascii="仿宋" w:eastAsia="仿宋"/>
          <w:sz w:val="32"/>
          <w:szCs w:val="32"/>
        </w:rPr>
        <w:t>%</w:t>
      </w:r>
      <w:r>
        <w:rPr>
          <w:lang w:val="zh-CN"/>
        </w:rPr>
        <w:t>。</w:t>
      </w:r>
    </w:p>
    <w:p>
      <w:pPr>
        <w:widowControl/>
        <w:adjustRightInd w:val="0"/>
        <w:snapToGrid w:val="0"/>
        <w:spacing w:line="572"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（二）部门财政资金支出情况。</w:t>
      </w:r>
    </w:p>
    <w:p>
      <w:pPr>
        <w:pStyle w:val="2"/>
        <w:spacing w:before="93" w:beforeLines="0"/>
        <w:rPr>
          <w:rFonts w:ascii="仿宋" w:eastAsia="仿宋"/>
          <w:sz w:val="32"/>
          <w:szCs w:val="32"/>
        </w:rPr>
      </w:pPr>
      <w:r>
        <w:rPr>
          <w:rFonts w:ascii="仿宋" w:eastAsia="仿宋"/>
          <w:sz w:val="32"/>
          <w:szCs w:val="32"/>
        </w:rPr>
        <w:t>20</w:t>
      </w:r>
      <w:r>
        <w:rPr>
          <w:rFonts w:hint="eastAsia" w:ascii="仿宋" w:eastAsia="仿宋"/>
          <w:sz w:val="32"/>
          <w:szCs w:val="32"/>
        </w:rPr>
        <w:t>21年一般公共预算财政拨款支出</w:t>
      </w:r>
      <w:r>
        <w:rPr>
          <w:rFonts w:ascii="仿宋" w:eastAsia="仿宋"/>
          <w:sz w:val="32"/>
          <w:szCs w:val="32"/>
        </w:rPr>
        <w:t>148.01</w:t>
      </w:r>
      <w:r>
        <w:rPr>
          <w:rFonts w:hint="eastAsia" w:ascii="仿宋" w:eastAsia="仿宋"/>
          <w:sz w:val="32"/>
          <w:szCs w:val="32"/>
        </w:rPr>
        <w:t>万元，</w:t>
      </w:r>
      <w:r>
        <w:rPr>
          <w:rFonts w:ascii="仿宋" w:eastAsia="仿宋"/>
          <w:sz w:val="32"/>
          <w:szCs w:val="32"/>
        </w:rPr>
        <w:t xml:space="preserve"> 主要用于</w:t>
      </w:r>
      <w:r>
        <w:rPr>
          <w:rFonts w:hint="eastAsia" w:ascii="仿宋" w:eastAsia="仿宋"/>
          <w:sz w:val="32"/>
          <w:szCs w:val="32"/>
        </w:rPr>
        <w:t>社会保障和就业（类）支出</w:t>
      </w:r>
      <w:r>
        <w:rPr>
          <w:rFonts w:ascii="仿宋" w:eastAsia="仿宋"/>
          <w:sz w:val="32"/>
          <w:szCs w:val="32"/>
        </w:rPr>
        <w:t>25.26</w:t>
      </w:r>
      <w:r>
        <w:rPr>
          <w:rFonts w:hint="eastAsia" w:ascii="仿宋" w:eastAsia="仿宋"/>
          <w:sz w:val="32"/>
          <w:szCs w:val="32"/>
        </w:rPr>
        <w:t>万元，占</w:t>
      </w:r>
      <w:r>
        <w:rPr>
          <w:rFonts w:ascii="仿宋" w:eastAsia="仿宋"/>
          <w:sz w:val="32"/>
          <w:szCs w:val="32"/>
        </w:rPr>
        <w:t>17.07%</w:t>
      </w:r>
      <w:r>
        <w:rPr>
          <w:rFonts w:hint="eastAsia" w:ascii="仿宋" w:eastAsia="仿宋"/>
          <w:sz w:val="32"/>
          <w:szCs w:val="32"/>
        </w:rPr>
        <w:t>；住房保障支出</w:t>
      </w:r>
      <w:r>
        <w:rPr>
          <w:rFonts w:ascii="仿宋" w:eastAsia="仿宋"/>
          <w:sz w:val="32"/>
          <w:szCs w:val="32"/>
        </w:rPr>
        <w:t>7.95</w:t>
      </w:r>
      <w:r>
        <w:rPr>
          <w:rFonts w:hint="eastAsia" w:ascii="仿宋" w:eastAsia="仿宋"/>
          <w:sz w:val="32"/>
          <w:szCs w:val="32"/>
        </w:rPr>
        <w:t>万元，占</w:t>
      </w:r>
      <w:r>
        <w:rPr>
          <w:rFonts w:ascii="仿宋" w:eastAsia="仿宋"/>
          <w:sz w:val="32"/>
          <w:szCs w:val="32"/>
        </w:rPr>
        <w:t>5.37%</w:t>
      </w:r>
      <w:r>
        <w:rPr>
          <w:rFonts w:hint="eastAsia" w:ascii="仿宋" w:eastAsia="仿宋"/>
          <w:sz w:val="32"/>
          <w:szCs w:val="32"/>
        </w:rPr>
        <w:t>；城乡</w:t>
      </w:r>
      <w:r>
        <w:rPr>
          <w:rFonts w:ascii="仿宋" w:eastAsia="仿宋"/>
          <w:sz w:val="32"/>
          <w:szCs w:val="32"/>
        </w:rPr>
        <w:t>社区支出</w:t>
      </w:r>
      <w:r>
        <w:rPr>
          <w:rFonts w:hint="eastAsia" w:ascii="仿宋" w:eastAsia="仿宋"/>
          <w:sz w:val="32"/>
          <w:szCs w:val="32"/>
        </w:rPr>
        <w:t>1</w:t>
      </w:r>
      <w:r>
        <w:rPr>
          <w:rFonts w:ascii="仿宋" w:eastAsia="仿宋"/>
          <w:sz w:val="32"/>
          <w:szCs w:val="32"/>
        </w:rPr>
        <w:t>14.79万元，</w:t>
      </w:r>
      <w:r>
        <w:rPr>
          <w:rFonts w:hint="eastAsia" w:ascii="仿宋" w:eastAsia="仿宋"/>
          <w:sz w:val="32"/>
          <w:szCs w:val="32"/>
        </w:rPr>
        <w:t>占77.56%。</w:t>
      </w:r>
    </w:p>
    <w:p>
      <w:pPr>
        <w:widowControl/>
        <w:adjustRightInd w:val="0"/>
        <w:snapToGrid w:val="0"/>
        <w:spacing w:line="572" w:lineRule="exact"/>
        <w:ind w:firstLine="640" w:firstLineChars="200"/>
        <w:contextualSpacing/>
        <w:jc w:val="left"/>
        <w:rPr>
          <w:rFonts w:ascii="黑体" w:eastAsia="黑体" w:cs="宋体"/>
          <w:kern w:val="0"/>
          <w:sz w:val="32"/>
          <w:szCs w:val="32"/>
          <w:shd w:val="clear" w:color="auto" w:fill="FFFFFF"/>
        </w:rPr>
      </w:pPr>
      <w:r>
        <w:rPr>
          <w:rFonts w:hint="eastAsia" w:ascii="黑体" w:eastAsia="黑体" w:cs="宋体"/>
          <w:kern w:val="0"/>
          <w:sz w:val="32"/>
          <w:szCs w:val="32"/>
          <w:shd w:val="clear" w:color="auto" w:fill="FFFFFF"/>
        </w:rPr>
        <w:t>三、部门整体预算绩效管理情况</w:t>
      </w:r>
    </w:p>
    <w:p>
      <w:pPr>
        <w:widowControl/>
        <w:adjustRightInd w:val="0"/>
        <w:snapToGrid w:val="0"/>
        <w:spacing w:line="572"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（一）部门预算项目绩效管理。</w:t>
      </w:r>
    </w:p>
    <w:p>
      <w:pPr>
        <w:pStyle w:val="2"/>
        <w:spacing w:before="93" w:beforeLines="0"/>
        <w:rPr>
          <w:rFonts w:cs="宋体"/>
          <w:sz w:val="32"/>
          <w:szCs w:val="32"/>
          <w:shd w:val="clear" w:color="auto" w:fill="FFFFFF"/>
          <w:lang w:val="zh-CN"/>
        </w:rPr>
      </w:pPr>
      <w:r>
        <w:rPr>
          <w:rFonts w:hint="eastAsia" w:cs="宋体"/>
          <w:sz w:val="32"/>
          <w:szCs w:val="32"/>
          <w:shd w:val="clear" w:color="auto" w:fill="FFFFFF"/>
          <w:lang w:val="zh-CN"/>
        </w:rPr>
        <w:t>2</w:t>
      </w:r>
      <w:r>
        <w:rPr>
          <w:rFonts w:cs="宋体"/>
          <w:sz w:val="32"/>
          <w:szCs w:val="32"/>
          <w:shd w:val="clear" w:color="auto" w:fill="FFFFFF"/>
          <w:lang w:val="zh-CN"/>
        </w:rPr>
        <w:t>021年单位项目</w:t>
      </w:r>
      <w:r>
        <w:rPr>
          <w:rFonts w:hint="eastAsia" w:cs="宋体"/>
          <w:sz w:val="32"/>
          <w:szCs w:val="32"/>
          <w:shd w:val="clear" w:color="auto" w:fill="FFFFFF"/>
          <w:lang w:val="zh-CN"/>
        </w:rPr>
        <w:t>绩效目标，</w:t>
      </w:r>
      <w:r>
        <w:rPr>
          <w:rFonts w:cs="宋体"/>
          <w:sz w:val="32"/>
          <w:szCs w:val="32"/>
          <w:shd w:val="clear" w:color="auto" w:fill="FFFFFF"/>
          <w:lang w:val="zh-CN"/>
        </w:rPr>
        <w:t>实现政府性基金（城市基础设施配套费）征收1.4亿元，超</w:t>
      </w:r>
      <w:r>
        <w:rPr>
          <w:rFonts w:hint="eastAsia" w:cs="宋体"/>
          <w:sz w:val="32"/>
          <w:szCs w:val="32"/>
          <w:shd w:val="clear" w:color="auto" w:fill="FFFFFF"/>
          <w:lang w:val="zh-CN"/>
        </w:rPr>
        <w:t>8</w:t>
      </w:r>
      <w:r>
        <w:rPr>
          <w:rFonts w:cs="宋体"/>
          <w:sz w:val="32"/>
          <w:szCs w:val="32"/>
          <w:shd w:val="clear" w:color="auto" w:fill="FFFFFF"/>
          <w:lang w:val="zh-CN"/>
        </w:rPr>
        <w:t>000万元的目标任务</w:t>
      </w:r>
      <w:r>
        <w:rPr>
          <w:rFonts w:hint="eastAsia" w:cs="宋体"/>
          <w:sz w:val="32"/>
          <w:szCs w:val="32"/>
          <w:shd w:val="clear" w:color="auto" w:fill="FFFFFF"/>
          <w:lang w:val="zh-CN"/>
        </w:rPr>
        <w:t>7</w:t>
      </w:r>
      <w:r>
        <w:rPr>
          <w:rFonts w:cs="宋体"/>
          <w:sz w:val="32"/>
          <w:szCs w:val="32"/>
          <w:shd w:val="clear" w:color="auto" w:fill="FFFFFF"/>
          <w:lang w:val="zh-CN"/>
        </w:rPr>
        <w:t>5%的目标任务，积极加强房改房维修资金的收支管理，圆满完成了</w:t>
      </w:r>
      <w:r>
        <w:rPr>
          <w:rFonts w:hint="eastAsia" w:cs="宋体"/>
          <w:sz w:val="32"/>
          <w:szCs w:val="32"/>
          <w:shd w:val="clear" w:color="auto" w:fill="FFFFFF"/>
          <w:lang w:val="zh-CN"/>
        </w:rPr>
        <w:t>2</w:t>
      </w:r>
      <w:r>
        <w:rPr>
          <w:rFonts w:cs="宋体"/>
          <w:sz w:val="32"/>
          <w:szCs w:val="32"/>
          <w:shd w:val="clear" w:color="auto" w:fill="FFFFFF"/>
          <w:lang w:val="zh-CN"/>
        </w:rPr>
        <w:t>021年的各项工作任务。</w:t>
      </w:r>
    </w:p>
    <w:p>
      <w:pPr>
        <w:pStyle w:val="2"/>
        <w:spacing w:before="93" w:beforeLines="0"/>
        <w:rPr>
          <w:rFonts w:cs="宋体"/>
          <w:sz w:val="32"/>
          <w:szCs w:val="32"/>
          <w:shd w:val="clear" w:color="auto" w:fill="FFFFFF"/>
          <w:lang w:val="zh-CN"/>
        </w:rPr>
      </w:pPr>
      <w:r>
        <w:rPr>
          <w:rFonts w:cs="宋体"/>
          <w:sz w:val="32"/>
          <w:szCs w:val="32"/>
          <w:shd w:val="clear" w:color="auto" w:fill="FFFFFF"/>
          <w:lang w:val="zh-CN"/>
        </w:rPr>
        <w:t>20</w:t>
      </w:r>
      <w:r>
        <w:rPr>
          <w:rFonts w:hint="eastAsia" w:cs="宋体"/>
          <w:sz w:val="32"/>
          <w:szCs w:val="32"/>
          <w:shd w:val="clear" w:color="auto" w:fill="FFFFFF"/>
          <w:lang w:val="zh-CN"/>
        </w:rPr>
        <w:t>21年基本支出</w:t>
      </w:r>
      <w:r>
        <w:rPr>
          <w:rFonts w:cs="宋体"/>
          <w:sz w:val="32"/>
          <w:szCs w:val="32"/>
          <w:shd w:val="clear" w:color="auto" w:fill="FFFFFF"/>
          <w:lang w:val="zh-CN"/>
        </w:rPr>
        <w:t>132.98</w:t>
      </w:r>
      <w:r>
        <w:rPr>
          <w:rFonts w:hint="eastAsia" w:cs="宋体"/>
          <w:sz w:val="32"/>
          <w:szCs w:val="32"/>
          <w:shd w:val="clear" w:color="auto" w:fill="FFFFFF"/>
          <w:lang w:val="zh-CN"/>
        </w:rPr>
        <w:t>万元，占总支出</w:t>
      </w:r>
      <w:r>
        <w:rPr>
          <w:rFonts w:cs="宋体"/>
          <w:sz w:val="32"/>
          <w:szCs w:val="32"/>
          <w:shd w:val="clear" w:color="auto" w:fill="FFFFFF"/>
          <w:lang w:val="zh-CN"/>
        </w:rPr>
        <w:t>89.85%</w:t>
      </w:r>
      <w:r>
        <w:rPr>
          <w:rFonts w:hint="eastAsia" w:cs="宋体"/>
          <w:sz w:val="32"/>
          <w:szCs w:val="32"/>
          <w:shd w:val="clear" w:color="auto" w:fill="FFFFFF"/>
          <w:lang w:val="zh-CN"/>
        </w:rPr>
        <w:t>，其中：人员经费支出1</w:t>
      </w:r>
      <w:r>
        <w:rPr>
          <w:rFonts w:cs="宋体"/>
          <w:sz w:val="32"/>
          <w:szCs w:val="32"/>
          <w:shd w:val="clear" w:color="auto" w:fill="FFFFFF"/>
          <w:lang w:val="zh-CN"/>
        </w:rPr>
        <w:t>17.04万元，包括工资福利支出</w:t>
      </w:r>
      <w:r>
        <w:rPr>
          <w:rFonts w:hint="eastAsia" w:cs="宋体"/>
          <w:sz w:val="32"/>
          <w:szCs w:val="32"/>
          <w:shd w:val="clear" w:color="auto" w:fill="FFFFFF"/>
          <w:lang w:val="zh-CN"/>
        </w:rPr>
        <w:t>1</w:t>
      </w:r>
      <w:r>
        <w:rPr>
          <w:rFonts w:cs="宋体"/>
          <w:sz w:val="32"/>
          <w:szCs w:val="32"/>
          <w:shd w:val="clear" w:color="auto" w:fill="FFFFFF"/>
          <w:lang w:val="zh-CN"/>
        </w:rPr>
        <w:t>01</w:t>
      </w:r>
      <w:r>
        <w:rPr>
          <w:rFonts w:hint="eastAsia" w:cs="宋体"/>
          <w:sz w:val="32"/>
          <w:szCs w:val="32"/>
          <w:shd w:val="clear" w:color="auto" w:fill="FFFFFF"/>
          <w:lang w:val="zh-CN"/>
        </w:rPr>
        <w:t>.</w:t>
      </w:r>
      <w:r>
        <w:rPr>
          <w:rFonts w:cs="宋体"/>
          <w:sz w:val="32"/>
          <w:szCs w:val="32"/>
          <w:shd w:val="clear" w:color="auto" w:fill="FFFFFF"/>
          <w:lang w:val="zh-CN"/>
        </w:rPr>
        <w:t>02万元，</w:t>
      </w:r>
      <w:r>
        <w:rPr>
          <w:rFonts w:hint="eastAsia" w:cs="宋体"/>
          <w:sz w:val="32"/>
          <w:szCs w:val="32"/>
          <w:shd w:val="clear" w:color="auto" w:fill="FFFFFF"/>
          <w:lang w:val="zh-CN"/>
        </w:rPr>
        <w:t>对个人家庭的补助1</w:t>
      </w:r>
      <w:r>
        <w:rPr>
          <w:rFonts w:cs="宋体"/>
          <w:sz w:val="32"/>
          <w:szCs w:val="32"/>
          <w:shd w:val="clear" w:color="auto" w:fill="FFFFFF"/>
          <w:lang w:val="zh-CN"/>
        </w:rPr>
        <w:t>6.02万元；公用经费支出主要是商品和服务支出</w:t>
      </w:r>
      <w:r>
        <w:rPr>
          <w:rFonts w:hint="eastAsia" w:cs="宋体"/>
          <w:sz w:val="32"/>
          <w:szCs w:val="32"/>
          <w:shd w:val="clear" w:color="auto" w:fill="FFFFFF"/>
          <w:lang w:val="zh-CN"/>
        </w:rPr>
        <w:t>1</w:t>
      </w:r>
      <w:r>
        <w:rPr>
          <w:rFonts w:cs="宋体"/>
          <w:sz w:val="32"/>
          <w:szCs w:val="32"/>
          <w:shd w:val="clear" w:color="auto" w:fill="FFFFFF"/>
          <w:lang w:val="zh-CN"/>
        </w:rPr>
        <w:t>5.94万元。</w:t>
      </w:r>
    </w:p>
    <w:p>
      <w:pPr>
        <w:pStyle w:val="2"/>
        <w:spacing w:before="93" w:beforeLines="0"/>
        <w:rPr>
          <w:rFonts w:cs="宋体"/>
          <w:sz w:val="32"/>
          <w:szCs w:val="32"/>
          <w:shd w:val="clear" w:color="auto" w:fill="FFFFFF"/>
          <w:lang w:val="zh-CN"/>
        </w:rPr>
      </w:pPr>
      <w:r>
        <w:rPr>
          <w:rFonts w:cs="宋体"/>
          <w:sz w:val="32"/>
          <w:szCs w:val="32"/>
          <w:shd w:val="clear" w:color="auto" w:fill="FFFFFF"/>
          <w:lang w:val="zh-CN"/>
        </w:rPr>
        <w:t xml:space="preserve">     运转类业务运行费支出</w:t>
      </w:r>
      <w:r>
        <w:rPr>
          <w:rFonts w:hint="eastAsia" w:cs="宋体"/>
          <w:sz w:val="32"/>
          <w:szCs w:val="32"/>
          <w:shd w:val="clear" w:color="auto" w:fill="FFFFFF"/>
          <w:lang w:val="zh-CN"/>
        </w:rPr>
        <w:t>2</w:t>
      </w:r>
      <w:r>
        <w:rPr>
          <w:rFonts w:cs="宋体"/>
          <w:sz w:val="32"/>
          <w:szCs w:val="32"/>
          <w:shd w:val="clear" w:color="auto" w:fill="FFFFFF"/>
          <w:lang w:val="zh-CN"/>
        </w:rPr>
        <w:t>.29万元，包括驻村干部扶贫工作费用，主要为驻村扶贫干部提供后勤保障；单位的物业管理费用，主要是为单位提供保安、保洁服务支出，确保职工有一个良好的工作环境。</w:t>
      </w:r>
    </w:p>
    <w:p>
      <w:pPr>
        <w:pStyle w:val="2"/>
        <w:spacing w:before="93" w:beforeLines="0"/>
        <w:rPr>
          <w:rFonts w:cs="宋体"/>
          <w:sz w:val="32"/>
          <w:szCs w:val="32"/>
          <w:shd w:val="clear" w:color="auto" w:fill="FFFFFF"/>
          <w:lang w:val="zh-CN"/>
        </w:rPr>
      </w:pPr>
      <w:r>
        <w:rPr>
          <w:rFonts w:hint="eastAsia" w:cs="宋体"/>
          <w:sz w:val="32"/>
          <w:szCs w:val="32"/>
          <w:shd w:val="clear" w:color="auto" w:fill="FFFFFF"/>
          <w:lang w:val="zh-CN"/>
        </w:rPr>
        <w:t>城市基础设施配套费（含自管公房维修资金管理运行费）项目和非税征管成本共计1</w:t>
      </w:r>
      <w:r>
        <w:rPr>
          <w:rFonts w:cs="宋体"/>
          <w:sz w:val="32"/>
          <w:szCs w:val="32"/>
          <w:shd w:val="clear" w:color="auto" w:fill="FFFFFF"/>
          <w:lang w:val="zh-CN"/>
        </w:rPr>
        <w:t>2.74万元，主要是为了实现城市基础设施配套费</w:t>
      </w:r>
      <w:r>
        <w:rPr>
          <w:rFonts w:hint="eastAsia" w:cs="宋体"/>
          <w:sz w:val="32"/>
          <w:szCs w:val="32"/>
          <w:shd w:val="clear" w:color="auto" w:fill="FFFFFF"/>
          <w:lang w:val="zh-CN"/>
        </w:rPr>
        <w:t>8</w:t>
      </w:r>
      <w:r>
        <w:rPr>
          <w:rFonts w:cs="宋体"/>
          <w:sz w:val="32"/>
          <w:szCs w:val="32"/>
          <w:shd w:val="clear" w:color="auto" w:fill="FFFFFF"/>
          <w:lang w:val="zh-CN"/>
        </w:rPr>
        <w:t>000万元的目任务和房改房维修资金收入、支取过程中发生的各项管理费用，包括配套费征收现场核查、二次清算、欠费追缴，以及房改房维修资金支取所需事前事中事后前往现场</w:t>
      </w:r>
      <w:r>
        <w:rPr>
          <w:rFonts w:hint="eastAsia" w:cs="宋体"/>
          <w:sz w:val="32"/>
          <w:szCs w:val="32"/>
          <w:shd w:val="clear" w:color="auto" w:fill="FFFFFF"/>
          <w:lang w:val="zh-CN"/>
        </w:rPr>
        <w:t>勘验</w:t>
      </w:r>
      <w:r>
        <w:rPr>
          <w:rFonts w:cs="宋体"/>
          <w:sz w:val="32"/>
          <w:szCs w:val="32"/>
          <w:shd w:val="clear" w:color="auto" w:fill="FFFFFF"/>
          <w:lang w:val="zh-CN"/>
        </w:rPr>
        <w:t>发生的公务用车费用等。</w:t>
      </w:r>
      <w:r>
        <w:rPr>
          <w:rFonts w:hint="eastAsia" w:cs="宋体"/>
          <w:sz w:val="32"/>
          <w:szCs w:val="32"/>
          <w:shd w:val="clear" w:color="auto" w:fill="FFFFFF"/>
          <w:lang w:val="zh-CN"/>
        </w:rPr>
        <w:t>2</w:t>
      </w:r>
      <w:r>
        <w:rPr>
          <w:rFonts w:cs="宋体"/>
          <w:sz w:val="32"/>
          <w:szCs w:val="32"/>
          <w:shd w:val="clear" w:color="auto" w:fill="FFFFFF"/>
          <w:lang w:val="zh-CN"/>
        </w:rPr>
        <w:t>021年征收城市基础设施配套费</w:t>
      </w:r>
      <w:r>
        <w:rPr>
          <w:rFonts w:hint="eastAsia" w:cs="宋体"/>
          <w:sz w:val="32"/>
          <w:szCs w:val="32"/>
          <w:shd w:val="clear" w:color="auto" w:fill="FFFFFF"/>
          <w:lang w:val="zh-CN"/>
        </w:rPr>
        <w:t>1</w:t>
      </w:r>
      <w:r>
        <w:rPr>
          <w:rFonts w:cs="宋体"/>
          <w:sz w:val="32"/>
          <w:szCs w:val="32"/>
          <w:shd w:val="clear" w:color="auto" w:fill="FFFFFF"/>
          <w:lang w:val="zh-CN"/>
        </w:rPr>
        <w:t>.4亿元，超目标任务</w:t>
      </w:r>
      <w:r>
        <w:rPr>
          <w:rFonts w:hint="eastAsia" w:cs="宋体"/>
          <w:sz w:val="32"/>
          <w:szCs w:val="32"/>
          <w:shd w:val="clear" w:color="auto" w:fill="FFFFFF"/>
          <w:lang w:val="zh-CN"/>
        </w:rPr>
        <w:t>7</w:t>
      </w:r>
      <w:r>
        <w:rPr>
          <w:rFonts w:cs="宋体"/>
          <w:sz w:val="32"/>
          <w:szCs w:val="32"/>
          <w:shd w:val="clear" w:color="auto" w:fill="FFFFFF"/>
          <w:lang w:val="zh-CN"/>
        </w:rPr>
        <w:t>5%。</w:t>
      </w:r>
    </w:p>
    <w:p>
      <w:pPr>
        <w:ind w:firstLine="640" w:firstLineChars="200"/>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单位加强财务管理，厉行节约，各项经费合理使用，</w:t>
      </w:r>
      <w:r>
        <w:rPr>
          <w:rFonts w:ascii="仿宋_GB2312" w:eastAsia="仿宋_GB2312" w:cs="宋体"/>
          <w:kern w:val="0"/>
          <w:sz w:val="32"/>
          <w:szCs w:val="32"/>
          <w:shd w:val="clear" w:color="auto" w:fill="FFFFFF"/>
          <w:lang w:val="zh-CN"/>
        </w:rPr>
        <w:t>在确保保质保量完成工作的前提下，节约成本支出，按时完成工作任务，</w:t>
      </w:r>
      <w:r>
        <w:rPr>
          <w:rFonts w:hint="eastAsia" w:ascii="仿宋_GB2312" w:eastAsia="仿宋_GB2312" w:cs="宋体"/>
          <w:kern w:val="0"/>
          <w:sz w:val="32"/>
          <w:szCs w:val="32"/>
          <w:shd w:val="clear" w:color="auto" w:fill="FFFFFF"/>
          <w:lang w:val="zh-CN"/>
        </w:rPr>
        <w:t>把有限的资金用到最需要的地方，为各项工作的全面完成提供了资金保障。2</w:t>
      </w:r>
      <w:r>
        <w:rPr>
          <w:rFonts w:ascii="仿宋_GB2312" w:eastAsia="仿宋_GB2312" w:cs="宋体"/>
          <w:kern w:val="0"/>
          <w:sz w:val="32"/>
          <w:szCs w:val="32"/>
          <w:shd w:val="clear" w:color="auto" w:fill="FFFFFF"/>
          <w:lang w:val="zh-CN"/>
        </w:rPr>
        <w:t>021年按进度，</w:t>
      </w:r>
      <w:r>
        <w:rPr>
          <w:rFonts w:hint="eastAsia" w:ascii="仿宋_GB2312" w:eastAsia="仿宋_GB2312" w:cs="宋体"/>
          <w:kern w:val="0"/>
          <w:sz w:val="32"/>
          <w:szCs w:val="32"/>
          <w:shd w:val="clear" w:color="auto" w:fill="FFFFFF"/>
          <w:lang w:val="zh-CN"/>
        </w:rPr>
        <w:t>1</w:t>
      </w:r>
      <w:r>
        <w:rPr>
          <w:rFonts w:ascii="仿宋_GB2312" w:eastAsia="仿宋_GB2312" w:cs="宋体"/>
          <w:kern w:val="0"/>
          <w:sz w:val="32"/>
          <w:szCs w:val="32"/>
          <w:shd w:val="clear" w:color="auto" w:fill="FFFFFF"/>
          <w:lang w:val="zh-CN"/>
        </w:rPr>
        <w:t>00%完成支出预算，</w:t>
      </w:r>
      <w:r>
        <w:rPr>
          <w:rFonts w:hint="eastAsia" w:ascii="仿宋_GB2312" w:eastAsia="仿宋_GB2312" w:cs="宋体"/>
          <w:kern w:val="0"/>
          <w:sz w:val="32"/>
          <w:szCs w:val="32"/>
          <w:shd w:val="clear" w:color="auto" w:fill="FFFFFF"/>
          <w:lang w:val="zh-CN"/>
        </w:rPr>
        <w:t>项目目标绩效完成良好。2</w:t>
      </w:r>
      <w:r>
        <w:rPr>
          <w:rFonts w:ascii="仿宋_GB2312" w:eastAsia="仿宋_GB2312" w:cs="宋体"/>
          <w:kern w:val="0"/>
          <w:sz w:val="32"/>
          <w:szCs w:val="32"/>
          <w:shd w:val="clear" w:color="auto" w:fill="FFFFFF"/>
          <w:lang w:val="zh-CN"/>
        </w:rPr>
        <w:t>021年无资金结余和违规记录。单位</w:t>
      </w:r>
      <w:r>
        <w:rPr>
          <w:rFonts w:hint="eastAsia" w:ascii="仿宋_GB2312" w:eastAsia="仿宋_GB2312" w:cs="宋体"/>
          <w:kern w:val="0"/>
          <w:sz w:val="32"/>
          <w:szCs w:val="32"/>
          <w:shd w:val="clear" w:color="auto" w:fill="FFFFFF"/>
          <w:lang w:val="zh-CN"/>
        </w:rPr>
        <w:t>历年结转36.39万元，为四川广厦建材股份公司、攀枝花建设总公司往来款。</w:t>
      </w:r>
    </w:p>
    <w:p>
      <w:pPr>
        <w:pStyle w:val="27"/>
        <w:spacing w:before="93"/>
        <w:ind w:firstLine="800" w:firstLineChars="250"/>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（二）结果应用情况。</w:t>
      </w:r>
    </w:p>
    <w:p>
      <w:pPr>
        <w:pStyle w:val="2"/>
        <w:spacing w:before="93" w:beforeLines="0"/>
        <w:ind w:firstLine="640" w:firstLineChars="200"/>
        <w:rPr>
          <w:rFonts w:cs="宋体"/>
          <w:sz w:val="32"/>
          <w:szCs w:val="32"/>
          <w:shd w:val="clear" w:color="auto" w:fill="FFFFFF"/>
          <w:lang w:val="zh-CN"/>
        </w:rPr>
      </w:pPr>
      <w:r>
        <w:rPr>
          <w:rFonts w:cs="宋体"/>
          <w:sz w:val="32"/>
          <w:szCs w:val="32"/>
          <w:shd w:val="clear" w:color="auto" w:fill="FFFFFF"/>
          <w:lang w:val="zh-CN"/>
        </w:rPr>
        <w:t>单位将绩效管理工作应用到实际工作中去，确保资金及时到位，按需要支付完成，保证了单位的各项目标任务的圆满完成。</w:t>
      </w:r>
    </w:p>
    <w:p>
      <w:pPr>
        <w:pStyle w:val="2"/>
        <w:spacing w:before="93" w:beforeLines="0"/>
        <w:ind w:firstLine="640" w:firstLineChars="200"/>
        <w:rPr>
          <w:rFonts w:cs="宋体"/>
          <w:sz w:val="32"/>
          <w:szCs w:val="32"/>
          <w:shd w:val="clear" w:color="auto" w:fill="FFFFFF"/>
          <w:lang w:val="zh-CN"/>
        </w:rPr>
      </w:pPr>
      <w:r>
        <w:rPr>
          <w:rFonts w:cs="宋体"/>
          <w:sz w:val="32"/>
          <w:szCs w:val="32"/>
          <w:shd w:val="clear" w:color="auto" w:fill="FFFFFF"/>
          <w:lang w:val="zh-CN"/>
        </w:rPr>
        <w:t>（三）</w:t>
      </w:r>
      <w:r>
        <w:rPr>
          <w:rFonts w:hint="eastAsia" w:cs="宋体"/>
          <w:sz w:val="32"/>
          <w:szCs w:val="32"/>
          <w:shd w:val="clear" w:color="auto" w:fill="FFFFFF"/>
          <w:lang w:val="zh-CN"/>
        </w:rPr>
        <w:t>自评质量</w:t>
      </w:r>
    </w:p>
    <w:p>
      <w:pPr>
        <w:pStyle w:val="2"/>
        <w:spacing w:before="93" w:beforeLines="0"/>
        <w:ind w:firstLine="640" w:firstLineChars="200"/>
        <w:rPr>
          <w:rFonts w:cs="宋体"/>
          <w:sz w:val="32"/>
          <w:szCs w:val="32"/>
          <w:shd w:val="clear" w:color="auto" w:fill="FFFFFF"/>
          <w:lang w:val="zh-CN"/>
        </w:rPr>
      </w:pPr>
      <w:r>
        <w:rPr>
          <w:rFonts w:cs="宋体"/>
          <w:sz w:val="32"/>
          <w:szCs w:val="32"/>
          <w:shd w:val="clear" w:color="auto" w:fill="FFFFFF"/>
          <w:lang w:val="zh-CN"/>
        </w:rPr>
        <w:t>单位积极开展绩效自评工作，加强内部控制，找差距，找原因，及时调整预算资金支付进度，满足各项工作需要，</w:t>
      </w:r>
      <w:r>
        <w:rPr>
          <w:rFonts w:hint="eastAsia" w:cs="宋体"/>
          <w:sz w:val="32"/>
          <w:szCs w:val="32"/>
          <w:shd w:val="clear" w:color="auto" w:fill="FFFFFF"/>
          <w:lang w:val="zh-CN"/>
        </w:rPr>
        <w:t>绩效自评结果按规定应用和公示</w:t>
      </w:r>
      <w:r>
        <w:rPr>
          <w:rFonts w:cs="宋体"/>
          <w:sz w:val="32"/>
          <w:szCs w:val="32"/>
          <w:shd w:val="clear" w:color="auto" w:fill="FFFFFF"/>
          <w:lang w:val="zh-CN"/>
        </w:rPr>
        <w:t>。</w:t>
      </w:r>
      <w:r>
        <w:rPr>
          <w:rFonts w:hint="eastAsia" w:cs="宋体"/>
          <w:sz w:val="32"/>
          <w:szCs w:val="32"/>
          <w:shd w:val="clear" w:color="auto" w:fill="FFFFFF"/>
          <w:lang w:val="zh-CN"/>
        </w:rPr>
        <w:t>本年度单位全面完成绩效目标任务，没有偏离的现象。</w:t>
      </w:r>
    </w:p>
    <w:p>
      <w:pPr>
        <w:pStyle w:val="2"/>
        <w:spacing w:before="93" w:beforeLines="0"/>
        <w:ind w:firstLine="640" w:firstLineChars="200"/>
        <w:rPr>
          <w:rFonts w:cs="宋体"/>
          <w:sz w:val="32"/>
          <w:szCs w:val="32"/>
          <w:shd w:val="clear" w:color="auto" w:fill="FFFFFF"/>
          <w:lang w:val="zh-CN"/>
        </w:rPr>
      </w:pPr>
      <w:r>
        <w:rPr>
          <w:rFonts w:hint="eastAsia" w:ascii="黑体" w:eastAsia="黑体" w:cs="宋体"/>
          <w:sz w:val="32"/>
          <w:szCs w:val="32"/>
          <w:shd w:val="clear" w:color="auto" w:fill="FFFFFF"/>
        </w:rPr>
        <w:t>四、评价结论及建议</w:t>
      </w:r>
    </w:p>
    <w:p>
      <w:pPr>
        <w:widowControl/>
        <w:adjustRightInd w:val="0"/>
        <w:snapToGrid w:val="0"/>
        <w:spacing w:line="576" w:lineRule="exact"/>
        <w:ind w:firstLine="645"/>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（一）评价结论。</w:t>
      </w:r>
    </w:p>
    <w:p>
      <w:pPr>
        <w:pStyle w:val="2"/>
        <w:spacing w:before="93" w:beforeLines="0"/>
        <w:ind w:left="630" w:leftChars="300" w:firstLine="640" w:firstLineChars="200"/>
        <w:rPr>
          <w:rFonts w:cs="宋体"/>
          <w:sz w:val="32"/>
          <w:szCs w:val="32"/>
          <w:shd w:val="clear" w:color="auto" w:fill="FFFFFF"/>
          <w:lang w:val="zh-CN"/>
        </w:rPr>
      </w:pPr>
      <w:r>
        <w:rPr>
          <w:rFonts w:cs="宋体"/>
          <w:sz w:val="32"/>
          <w:szCs w:val="32"/>
          <w:shd w:val="clear" w:color="auto" w:fill="FFFFFF"/>
          <w:lang w:val="zh-CN"/>
        </w:rPr>
        <w:t>预算合理，基本满足全年的工作需要，保证了各项资金及时支付，确保完成了</w:t>
      </w:r>
      <w:r>
        <w:rPr>
          <w:rFonts w:hint="eastAsia" w:cs="宋体"/>
          <w:sz w:val="32"/>
          <w:szCs w:val="32"/>
          <w:shd w:val="clear" w:color="auto" w:fill="FFFFFF"/>
          <w:lang w:val="zh-CN"/>
        </w:rPr>
        <w:t>2</w:t>
      </w:r>
      <w:r>
        <w:rPr>
          <w:rFonts w:cs="宋体"/>
          <w:sz w:val="32"/>
          <w:szCs w:val="32"/>
          <w:shd w:val="clear" w:color="auto" w:fill="FFFFFF"/>
          <w:lang w:val="zh-CN"/>
        </w:rPr>
        <w:t>021年的各项工作任务，实现城市基础设施配套费征收</w:t>
      </w:r>
      <w:r>
        <w:rPr>
          <w:rFonts w:hint="eastAsia" w:cs="宋体"/>
          <w:sz w:val="32"/>
          <w:szCs w:val="32"/>
          <w:shd w:val="clear" w:color="auto" w:fill="FFFFFF"/>
          <w:lang w:val="zh-CN"/>
        </w:rPr>
        <w:t>1</w:t>
      </w:r>
      <w:r>
        <w:rPr>
          <w:rFonts w:cs="宋体"/>
          <w:sz w:val="32"/>
          <w:szCs w:val="32"/>
          <w:shd w:val="clear" w:color="auto" w:fill="FFFFFF"/>
          <w:lang w:val="zh-CN"/>
        </w:rPr>
        <w:t>.4亿元，超目标任务</w:t>
      </w:r>
      <w:r>
        <w:rPr>
          <w:rFonts w:hint="eastAsia" w:cs="宋体"/>
          <w:sz w:val="32"/>
          <w:szCs w:val="32"/>
          <w:shd w:val="clear" w:color="auto" w:fill="FFFFFF"/>
          <w:lang w:val="zh-CN"/>
        </w:rPr>
        <w:t>8</w:t>
      </w:r>
      <w:r>
        <w:rPr>
          <w:rFonts w:cs="宋体"/>
          <w:sz w:val="32"/>
          <w:szCs w:val="32"/>
          <w:shd w:val="clear" w:color="auto" w:fill="FFFFFF"/>
          <w:lang w:val="zh-CN"/>
        </w:rPr>
        <w:t>000万元的</w:t>
      </w:r>
      <w:r>
        <w:rPr>
          <w:rFonts w:hint="eastAsia" w:cs="宋体"/>
          <w:sz w:val="32"/>
          <w:szCs w:val="32"/>
          <w:shd w:val="clear" w:color="auto" w:fill="FFFFFF"/>
          <w:lang w:val="zh-CN"/>
        </w:rPr>
        <w:t>7</w:t>
      </w:r>
      <w:r>
        <w:rPr>
          <w:rFonts w:cs="宋体"/>
          <w:sz w:val="32"/>
          <w:szCs w:val="32"/>
          <w:shd w:val="clear" w:color="auto" w:fill="FFFFFF"/>
          <w:lang w:val="zh-CN"/>
        </w:rPr>
        <w:t>5%。</w:t>
      </w:r>
    </w:p>
    <w:p>
      <w:pPr>
        <w:widowControl/>
        <w:adjustRightInd w:val="0"/>
        <w:snapToGrid w:val="0"/>
        <w:spacing w:line="576"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（二）存在问题。</w:t>
      </w:r>
    </w:p>
    <w:p>
      <w:pPr>
        <w:pStyle w:val="2"/>
        <w:spacing w:before="93" w:beforeLines="0"/>
        <w:rPr>
          <w:rFonts w:cs="宋体"/>
          <w:sz w:val="32"/>
          <w:szCs w:val="32"/>
          <w:shd w:val="clear" w:color="auto" w:fill="FFFFFF"/>
          <w:lang w:val="zh-CN"/>
        </w:rPr>
      </w:pPr>
      <w:r>
        <w:rPr>
          <w:rFonts w:cs="宋体"/>
          <w:sz w:val="32"/>
          <w:szCs w:val="32"/>
          <w:shd w:val="clear" w:color="auto" w:fill="FFFFFF"/>
          <w:lang w:val="zh-CN"/>
        </w:rPr>
        <w:t xml:space="preserve">     预算执行过程与预算存在一定偏差。</w:t>
      </w:r>
    </w:p>
    <w:p>
      <w:pPr>
        <w:widowControl/>
        <w:adjustRightInd w:val="0"/>
        <w:snapToGrid w:val="0"/>
        <w:spacing w:line="576"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（三）改进建议。</w:t>
      </w:r>
    </w:p>
    <w:p>
      <w:pPr>
        <w:pStyle w:val="2"/>
        <w:spacing w:before="93" w:beforeLines="0"/>
        <w:ind w:firstLine="640" w:firstLineChars="200"/>
        <w:rPr>
          <w:rFonts w:cs="宋体"/>
          <w:sz w:val="32"/>
          <w:szCs w:val="32"/>
          <w:shd w:val="clear" w:color="auto" w:fill="FFFFFF"/>
          <w:lang w:val="zh-CN"/>
        </w:rPr>
      </w:pPr>
      <w:r>
        <w:rPr>
          <w:rFonts w:cs="宋体"/>
          <w:sz w:val="32"/>
          <w:szCs w:val="32"/>
          <w:shd w:val="clear" w:color="auto" w:fill="FFFFFF"/>
          <w:lang w:val="zh-CN"/>
        </w:rPr>
        <w:t>进一步做好事前分析，和需求调研，加强事中监管，及时纠偏，使预算更精准，更符合单位需求，执行更顺利，确保满足全年的资金需求，资金使用更合理。</w:t>
      </w:r>
    </w:p>
    <w:p>
      <w:pPr>
        <w:pStyle w:val="2"/>
        <w:spacing w:before="93" w:beforeLines="0"/>
        <w:ind w:firstLine="640" w:firstLineChars="200"/>
        <w:rPr>
          <w:rFonts w:cs="宋体"/>
          <w:sz w:val="32"/>
          <w:szCs w:val="32"/>
          <w:shd w:val="clear" w:color="auto" w:fill="FFFFFF"/>
          <w:lang w:val="zh-CN"/>
        </w:rPr>
      </w:pPr>
    </w:p>
    <w:p>
      <w:pPr>
        <w:pStyle w:val="2"/>
        <w:spacing w:before="93" w:beforeLines="0"/>
        <w:ind w:firstLine="640" w:firstLineChars="200"/>
        <w:rPr>
          <w:rFonts w:cs="宋体"/>
          <w:sz w:val="32"/>
          <w:szCs w:val="32"/>
          <w:shd w:val="clear" w:color="auto" w:fill="FFFFFF"/>
          <w:lang w:val="zh-CN"/>
        </w:rPr>
      </w:pPr>
    </w:p>
    <w:p>
      <w:pPr>
        <w:pStyle w:val="2"/>
        <w:spacing w:before="93" w:beforeLines="0"/>
        <w:ind w:firstLine="640" w:firstLineChars="200"/>
        <w:rPr>
          <w:rFonts w:cs="宋体"/>
          <w:sz w:val="32"/>
          <w:szCs w:val="32"/>
          <w:shd w:val="clear" w:color="auto" w:fill="FFFFFF"/>
          <w:lang w:val="zh-CN"/>
        </w:rPr>
      </w:pPr>
    </w:p>
    <w:p>
      <w:pPr>
        <w:pStyle w:val="2"/>
        <w:spacing w:before="93" w:beforeLines="0"/>
        <w:ind w:firstLine="640" w:firstLineChars="200"/>
        <w:rPr>
          <w:rFonts w:cs="宋体"/>
          <w:sz w:val="32"/>
          <w:szCs w:val="32"/>
          <w:shd w:val="clear" w:color="auto" w:fill="FFFFFF"/>
          <w:lang w:val="zh-CN"/>
        </w:rPr>
      </w:pPr>
    </w:p>
    <w:p>
      <w:pPr>
        <w:pStyle w:val="2"/>
        <w:spacing w:before="93" w:beforeLines="0"/>
        <w:ind w:firstLine="640" w:firstLineChars="200"/>
        <w:rPr>
          <w:rFonts w:cs="宋体"/>
          <w:sz w:val="32"/>
          <w:szCs w:val="32"/>
          <w:shd w:val="clear" w:color="auto" w:fill="FFFFFF"/>
          <w:lang w:val="zh-CN"/>
        </w:rPr>
      </w:pPr>
    </w:p>
    <w:p>
      <w:pPr>
        <w:pStyle w:val="2"/>
        <w:spacing w:before="93" w:beforeLines="0"/>
        <w:ind w:firstLine="640" w:firstLineChars="200"/>
        <w:rPr>
          <w:rFonts w:cs="宋体"/>
          <w:sz w:val="32"/>
          <w:szCs w:val="32"/>
          <w:shd w:val="clear" w:color="auto" w:fill="FFFFFF"/>
          <w:lang w:val="zh-CN"/>
        </w:rPr>
      </w:pPr>
    </w:p>
    <w:p>
      <w:pPr>
        <w:pStyle w:val="2"/>
        <w:spacing w:before="93" w:beforeLines="0"/>
        <w:ind w:firstLine="640" w:firstLineChars="200"/>
        <w:rPr>
          <w:rFonts w:cs="宋体"/>
          <w:sz w:val="32"/>
          <w:szCs w:val="32"/>
          <w:shd w:val="clear" w:color="auto" w:fill="FFFFFF"/>
          <w:lang w:val="zh-CN"/>
        </w:rPr>
      </w:pPr>
    </w:p>
    <w:p>
      <w:pPr>
        <w:pStyle w:val="2"/>
        <w:spacing w:before="93" w:beforeLines="0"/>
        <w:ind w:firstLine="640" w:firstLineChars="200"/>
        <w:rPr>
          <w:rFonts w:cs="宋体"/>
          <w:sz w:val="32"/>
          <w:szCs w:val="32"/>
          <w:shd w:val="clear" w:color="auto" w:fill="FFFFFF"/>
          <w:lang w:val="zh-CN"/>
        </w:rPr>
      </w:pPr>
    </w:p>
    <w:p>
      <w:pPr>
        <w:pStyle w:val="2"/>
        <w:spacing w:before="93" w:beforeLines="0"/>
        <w:ind w:firstLine="640" w:firstLineChars="200"/>
        <w:rPr>
          <w:rFonts w:cs="宋体"/>
          <w:sz w:val="32"/>
          <w:szCs w:val="32"/>
          <w:shd w:val="clear" w:color="auto" w:fill="FFFFFF"/>
          <w:lang w:val="zh-CN"/>
        </w:rPr>
      </w:pPr>
    </w:p>
    <w:p>
      <w:pPr>
        <w:pStyle w:val="2"/>
        <w:spacing w:before="93" w:beforeLines="0"/>
        <w:ind w:firstLine="640" w:firstLineChars="200"/>
        <w:rPr>
          <w:rFonts w:cs="宋体"/>
          <w:sz w:val="32"/>
          <w:szCs w:val="32"/>
          <w:shd w:val="clear" w:color="auto" w:fill="FFFFFF"/>
          <w:lang w:val="zh-CN"/>
        </w:rPr>
      </w:pPr>
    </w:p>
    <w:p>
      <w:pPr>
        <w:pStyle w:val="2"/>
        <w:spacing w:before="93" w:beforeLines="0"/>
        <w:ind w:firstLine="640" w:firstLineChars="200"/>
        <w:rPr>
          <w:rFonts w:cs="宋体"/>
          <w:sz w:val="32"/>
          <w:szCs w:val="32"/>
          <w:shd w:val="clear" w:color="auto" w:fill="FFFFFF"/>
          <w:lang w:val="zh-CN"/>
        </w:rPr>
      </w:pPr>
    </w:p>
    <w:p>
      <w:pPr>
        <w:pStyle w:val="2"/>
        <w:spacing w:before="93" w:beforeLines="0"/>
        <w:ind w:firstLine="640" w:firstLineChars="200"/>
        <w:rPr>
          <w:rFonts w:cs="宋体"/>
          <w:sz w:val="32"/>
          <w:szCs w:val="32"/>
          <w:shd w:val="clear" w:color="auto" w:fill="FFFFFF"/>
          <w:lang w:val="zh-CN"/>
        </w:rPr>
      </w:pPr>
    </w:p>
    <w:p>
      <w:pPr>
        <w:pStyle w:val="2"/>
        <w:spacing w:before="93" w:beforeLines="0"/>
        <w:ind w:firstLine="640" w:firstLineChars="200"/>
        <w:rPr>
          <w:rFonts w:cs="宋体"/>
          <w:sz w:val="32"/>
          <w:szCs w:val="32"/>
          <w:shd w:val="clear" w:color="auto" w:fill="FFFFFF"/>
          <w:lang w:val="zh-CN"/>
        </w:rPr>
      </w:pPr>
    </w:p>
    <w:p>
      <w:pPr>
        <w:pStyle w:val="2"/>
        <w:spacing w:before="93" w:beforeLines="0"/>
        <w:ind w:firstLine="640" w:firstLineChars="200"/>
        <w:rPr>
          <w:rFonts w:cs="宋体"/>
          <w:sz w:val="32"/>
          <w:szCs w:val="32"/>
          <w:shd w:val="clear" w:color="auto" w:fill="FFFFFF"/>
          <w:lang w:val="zh-CN"/>
        </w:rPr>
      </w:pPr>
    </w:p>
    <w:p>
      <w:pPr>
        <w:pStyle w:val="2"/>
        <w:spacing w:before="93" w:beforeLines="0"/>
        <w:ind w:firstLine="640" w:firstLineChars="200"/>
        <w:rPr>
          <w:rFonts w:cs="宋体"/>
          <w:sz w:val="32"/>
          <w:szCs w:val="32"/>
          <w:shd w:val="clear" w:color="auto" w:fill="FFFFFF"/>
          <w:lang w:val="zh-CN"/>
        </w:rPr>
      </w:pPr>
    </w:p>
    <w:p>
      <w:pPr>
        <w:pStyle w:val="2"/>
        <w:spacing w:before="93" w:beforeLines="0"/>
        <w:ind w:firstLine="640" w:firstLineChars="200"/>
        <w:rPr>
          <w:rFonts w:cs="宋体"/>
          <w:sz w:val="32"/>
          <w:szCs w:val="32"/>
          <w:shd w:val="clear" w:color="auto" w:fill="FFFFFF"/>
          <w:lang w:val="zh-CN"/>
        </w:rPr>
      </w:pPr>
    </w:p>
    <w:p>
      <w:pPr>
        <w:spacing w:line="572" w:lineRule="exact"/>
        <w:jc w:val="center"/>
        <w:rPr>
          <w:rFonts w:ascii="方正小标宋简体" w:eastAsia="方正小标宋简体"/>
          <w:kern w:val="0"/>
          <w:sz w:val="40"/>
          <w:szCs w:val="44"/>
        </w:rPr>
      </w:pPr>
      <w:r>
        <w:rPr>
          <w:rFonts w:hint="eastAsia" w:ascii="方正小标宋简体" w:eastAsia="方正小标宋简体"/>
          <w:kern w:val="0"/>
          <w:sz w:val="40"/>
          <w:szCs w:val="44"/>
        </w:rPr>
        <w:t>2021年攀枝花市建设工程造价站</w:t>
      </w:r>
    </w:p>
    <w:p>
      <w:pPr>
        <w:spacing w:line="572" w:lineRule="exact"/>
        <w:jc w:val="center"/>
        <w:rPr>
          <w:rFonts w:ascii="方正小标宋简体" w:eastAsia="方正小标宋简体"/>
          <w:kern w:val="0"/>
          <w:sz w:val="40"/>
          <w:szCs w:val="44"/>
          <w:lang w:val="zh-CN"/>
        </w:rPr>
      </w:pPr>
      <w:r>
        <w:rPr>
          <w:rFonts w:hint="eastAsia" w:ascii="方正小标宋简体" w:eastAsia="方正小标宋简体"/>
          <w:kern w:val="0"/>
          <w:sz w:val="40"/>
          <w:szCs w:val="44"/>
        </w:rPr>
        <w:t>部门整体绩效评价报告</w:t>
      </w:r>
    </w:p>
    <w:p>
      <w:pPr>
        <w:widowControl/>
        <w:adjustRightInd w:val="0"/>
        <w:snapToGrid w:val="0"/>
        <w:spacing w:line="572" w:lineRule="exact"/>
        <w:ind w:firstLine="480" w:firstLineChars="200"/>
        <w:contextualSpacing/>
        <w:jc w:val="left"/>
        <w:rPr>
          <w:rFonts w:ascii="黑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eastAsia="黑体" w:cs="宋体"/>
          <w:kern w:val="0"/>
          <w:sz w:val="32"/>
          <w:szCs w:val="32"/>
          <w:shd w:val="clear" w:color="auto" w:fill="FFFFFF"/>
          <w:lang w:val="zh-CN"/>
        </w:rPr>
      </w:pPr>
      <w:r>
        <w:rPr>
          <w:rFonts w:hint="eastAsia" w:ascii="黑体" w:eastAsia="黑体" w:cs="宋体"/>
          <w:kern w:val="0"/>
          <w:sz w:val="32"/>
          <w:szCs w:val="32"/>
          <w:shd w:val="clear" w:color="auto" w:fill="FFFFFF"/>
        </w:rPr>
        <w:t>一、</w:t>
      </w:r>
      <w:r>
        <w:rPr>
          <w:rFonts w:hint="eastAsia" w:ascii="黑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（一）机构组成。</w:t>
      </w:r>
    </w:p>
    <w:p>
      <w:pPr>
        <w:widowControl/>
        <w:adjustRightInd w:val="0"/>
        <w:snapToGrid w:val="0"/>
        <w:spacing w:line="560" w:lineRule="exact"/>
        <w:ind w:firstLine="640" w:firstLineChars="200"/>
        <w:contextualSpacing/>
        <w:jc w:val="left"/>
        <w:rPr>
          <w:rFonts w:ascii="仿宋_GB2312" w:eastAsia="仿宋_GB2312" w:cs="宋体"/>
          <w:color w:val="000000"/>
          <w:kern w:val="0"/>
          <w:sz w:val="32"/>
          <w:szCs w:val="32"/>
          <w:shd w:val="clear" w:color="auto" w:fill="FFFFFF"/>
          <w:lang w:val="zh-CN"/>
        </w:rPr>
      </w:pPr>
      <w:r>
        <w:rPr>
          <w:rFonts w:hint="eastAsia" w:ascii="仿宋_GB2312" w:eastAsia="仿宋_GB2312"/>
          <w:sz w:val="32"/>
          <w:szCs w:val="32"/>
        </w:rPr>
        <w:t>攀枝花市建设工程造价站是预算内全额拨款事业单位,下设办公室、价格信息科、定额科、造价科。</w:t>
      </w:r>
    </w:p>
    <w:p>
      <w:pPr>
        <w:widowControl/>
        <w:adjustRightInd w:val="0"/>
        <w:snapToGrid w:val="0"/>
        <w:spacing w:line="572"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（二）机构职能。</w:t>
      </w:r>
    </w:p>
    <w:p>
      <w:pPr>
        <w:spacing w:line="560" w:lineRule="exact"/>
        <w:ind w:left="-40" w:leftChars="-19" w:firstLine="640" w:firstLineChars="200"/>
        <w:rPr>
          <w:rFonts w:ascii="仿宋_GB2312" w:eastAsia="仿宋_GB2312"/>
          <w:sz w:val="32"/>
          <w:szCs w:val="32"/>
        </w:rPr>
      </w:pPr>
      <w:r>
        <w:rPr>
          <w:rFonts w:hint="eastAsia" w:ascii="仿宋_GB2312" w:eastAsia="仿宋_GB2312"/>
          <w:sz w:val="32"/>
          <w:szCs w:val="32"/>
        </w:rPr>
        <w:t>攀枝花市建设工程造价站是预算内全额拨款事业单位，主要职责是：负责全市建设工程发承包计价等相关事务性工作；负责全市建筑材料价格信息、定额人工费调整系数、工程造价指数等信息收集、整理、上报、发布工作；负责全市建设工程计价纠纷的协调工作；负责全市建设工程安全文明施工费费率测定工作；负责全市《四川省施工企业工程规费计取标准》证书的核发和定额缺项的补充收集工作。</w:t>
      </w:r>
    </w:p>
    <w:p>
      <w:pPr>
        <w:widowControl/>
        <w:adjustRightInd w:val="0"/>
        <w:snapToGrid w:val="0"/>
        <w:spacing w:line="572" w:lineRule="exact"/>
        <w:ind w:firstLine="480" w:firstLineChars="15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（三）人员概况。</w:t>
      </w:r>
    </w:p>
    <w:p>
      <w:pPr>
        <w:widowControl/>
        <w:adjustRightInd w:val="0"/>
        <w:snapToGrid w:val="0"/>
        <w:spacing w:line="572" w:lineRule="exact"/>
        <w:ind w:firstLine="480" w:firstLineChars="150"/>
        <w:contextualSpacing/>
        <w:jc w:val="left"/>
        <w:rPr>
          <w:rFonts w:ascii="仿宋_GB2312" w:eastAsia="仿宋_GB2312" w:cs="宋体"/>
          <w:kern w:val="0"/>
          <w:sz w:val="32"/>
          <w:szCs w:val="32"/>
          <w:shd w:val="clear" w:color="auto" w:fill="FFFFFF"/>
          <w:lang w:val="zh-CN"/>
        </w:rPr>
      </w:pPr>
      <w:r>
        <w:rPr>
          <w:rFonts w:hint="eastAsia" w:ascii="仿宋_GB2312" w:eastAsia="仿宋_GB2312"/>
          <w:sz w:val="32"/>
          <w:szCs w:val="32"/>
        </w:rPr>
        <w:t>我站现有编制18人，在职职工18人，退休职工14人</w:t>
      </w:r>
    </w:p>
    <w:p>
      <w:pPr>
        <w:widowControl/>
        <w:adjustRightInd w:val="0"/>
        <w:snapToGrid w:val="0"/>
        <w:spacing w:line="572" w:lineRule="exact"/>
        <w:ind w:firstLine="640" w:firstLineChars="200"/>
        <w:contextualSpacing/>
        <w:jc w:val="left"/>
        <w:rPr>
          <w:rFonts w:ascii="黑体" w:eastAsia="黑体" w:cs="宋体"/>
          <w:kern w:val="0"/>
          <w:sz w:val="32"/>
          <w:szCs w:val="32"/>
          <w:shd w:val="clear" w:color="auto" w:fill="FFFFFF"/>
        </w:rPr>
      </w:pPr>
      <w:r>
        <w:rPr>
          <w:rFonts w:hint="eastAsia" w:ascii="黑体" w:eastAsia="黑体" w:cs="宋体"/>
          <w:kern w:val="0"/>
          <w:sz w:val="32"/>
          <w:szCs w:val="32"/>
          <w:shd w:val="clear" w:color="auto" w:fill="FFFFFF"/>
        </w:rPr>
        <w:t>二、部门财政资金收支情况</w:t>
      </w:r>
    </w:p>
    <w:p>
      <w:pPr>
        <w:spacing w:line="560" w:lineRule="exact"/>
        <w:ind w:left="-359" w:leftChars="-171" w:firstLine="707" w:firstLineChars="221"/>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（一）部门财政资金收入情况。</w:t>
      </w:r>
    </w:p>
    <w:p>
      <w:pPr>
        <w:spacing w:line="560" w:lineRule="exact"/>
        <w:ind w:left="-359" w:leftChars="-171" w:firstLine="707" w:firstLineChars="221"/>
        <w:rPr>
          <w:rFonts w:ascii="仿宋_GB2312" w:eastAsia="仿宋_GB2312"/>
          <w:sz w:val="32"/>
          <w:szCs w:val="32"/>
        </w:rPr>
      </w:pPr>
      <w:r>
        <w:rPr>
          <w:rFonts w:hint="eastAsia" w:ascii="仿宋_GB2312" w:eastAsia="仿宋_GB2312"/>
          <w:sz w:val="32"/>
          <w:szCs w:val="32"/>
        </w:rPr>
        <w:t>2021年度年初预算收入2，982，801.00元，年末预算调整数为356.06万元，主要原因是人员增加，追加人员经费和补发退休中人待遇。全年财政补助收入356.06万元，占100%。</w:t>
      </w:r>
    </w:p>
    <w:p>
      <w:pPr>
        <w:spacing w:line="600" w:lineRule="exact"/>
        <w:ind w:firstLine="640"/>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（二）部门财政资金支出情况。</w:t>
      </w:r>
    </w:p>
    <w:p>
      <w:pPr>
        <w:spacing w:line="600" w:lineRule="exact"/>
        <w:ind w:firstLine="640"/>
        <w:rPr>
          <w:rFonts w:ascii="仿宋_GB2312" w:eastAsia="仿宋_GB2312"/>
          <w:sz w:val="32"/>
          <w:szCs w:val="32"/>
        </w:rPr>
      </w:pPr>
      <w:r>
        <w:rPr>
          <w:rFonts w:hint="eastAsia" w:ascii="仿宋_GB2312" w:eastAsia="仿宋_GB2312"/>
          <w:sz w:val="32"/>
          <w:szCs w:val="32"/>
        </w:rPr>
        <w:t>2021年一般公共预算财政拨款支出356.06万元，主要用于以下方面:</w:t>
      </w:r>
      <w:r>
        <w:rPr>
          <w:rFonts w:hint="eastAsia" w:ascii="仿宋_GB2312" w:eastAsia="仿宋_GB2312"/>
          <w:bCs/>
          <w:sz w:val="32"/>
          <w:szCs w:val="32"/>
        </w:rPr>
        <w:t>城乡社区（类）支出266.28万元，占75%</w:t>
      </w:r>
      <w:r>
        <w:rPr>
          <w:rFonts w:hint="eastAsia" w:ascii="仿宋_GB2312" w:eastAsia="仿宋_GB2312"/>
          <w:sz w:val="32"/>
          <w:szCs w:val="32"/>
        </w:rPr>
        <w:t>；社会保障和就业（类）支出66.43万元，占19%；住房保障支出23.35万元，占6%。</w:t>
      </w:r>
    </w:p>
    <w:p>
      <w:pPr>
        <w:widowControl/>
        <w:adjustRightInd w:val="0"/>
        <w:snapToGrid w:val="0"/>
        <w:spacing w:line="572" w:lineRule="exact"/>
        <w:ind w:firstLine="800" w:firstLineChars="250"/>
        <w:contextualSpacing/>
        <w:jc w:val="left"/>
        <w:rPr>
          <w:rFonts w:ascii="黑体" w:eastAsia="黑体" w:cs="宋体"/>
          <w:kern w:val="0"/>
          <w:sz w:val="32"/>
          <w:szCs w:val="32"/>
          <w:shd w:val="clear" w:color="auto" w:fill="FFFFFF"/>
        </w:rPr>
      </w:pPr>
      <w:r>
        <w:rPr>
          <w:rFonts w:hint="eastAsia" w:ascii="黑体" w:eastAsia="黑体" w:cs="宋体"/>
          <w:kern w:val="0"/>
          <w:sz w:val="32"/>
          <w:szCs w:val="32"/>
          <w:shd w:val="clear" w:color="auto" w:fill="FFFFFF"/>
        </w:rPr>
        <w:t>三、部门整体预算绩效管理情况</w:t>
      </w:r>
    </w:p>
    <w:p>
      <w:pPr>
        <w:widowControl/>
        <w:adjustRightInd w:val="0"/>
        <w:snapToGrid w:val="0"/>
        <w:spacing w:line="572"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（一）部门预算项目绩效管理。</w:t>
      </w:r>
    </w:p>
    <w:p>
      <w:pPr>
        <w:autoSpaceDE w:val="0"/>
        <w:autoSpaceDN w:val="0"/>
        <w:adjustRightInd w:val="0"/>
        <w:ind w:firstLine="640" w:firstLineChars="200"/>
        <w:jc w:val="left"/>
        <w:rPr>
          <w:rFonts w:ascii="仿宋_GB2312" w:eastAsia="仿宋_GB2312"/>
          <w:sz w:val="32"/>
          <w:szCs w:val="32"/>
        </w:rPr>
      </w:pPr>
      <w:r>
        <w:rPr>
          <w:rFonts w:hint="eastAsia" w:ascii="仿宋_GB2312" w:eastAsia="仿宋_GB2312"/>
          <w:sz w:val="32"/>
          <w:szCs w:val="32"/>
        </w:rPr>
        <w:t>2021年，市建设工程造价站根据年初工作规划及财政预算计划，积极履职、强化管理，较好的完成了年度工作目标。通过加强预算收支管理、不断建立健全内部管理制度、梳理内部管理流程，部门预算项目支出管理情况得到提升。</w:t>
      </w:r>
    </w:p>
    <w:p>
      <w:pPr>
        <w:autoSpaceDE w:val="0"/>
        <w:autoSpaceDN w:val="0"/>
        <w:adjustRightInd w:val="0"/>
        <w:ind w:firstLine="640" w:firstLineChars="200"/>
        <w:jc w:val="left"/>
        <w:rPr>
          <w:rFonts w:ascii="仿宋_GB2312" w:eastAsia="仿宋_GB2312" w:cs="宋体"/>
          <w:color w:val="000000"/>
          <w:sz w:val="32"/>
          <w:szCs w:val="32"/>
        </w:rPr>
      </w:pPr>
      <w:r>
        <w:rPr>
          <w:rFonts w:hint="eastAsia" w:ascii="仿宋_GB2312" w:eastAsia="仿宋_GB2312"/>
          <w:kern w:val="0"/>
          <w:sz w:val="32"/>
          <w:szCs w:val="32"/>
        </w:rPr>
        <w:t xml:space="preserve">2021 </w:t>
      </w:r>
      <w:r>
        <w:rPr>
          <w:rFonts w:hint="eastAsia" w:ascii="仿宋_GB2312" w:eastAsia="仿宋_GB2312" w:cs="方正仿宋_GBK-WinCharSetFFFF-H"/>
          <w:kern w:val="0"/>
          <w:sz w:val="32"/>
          <w:szCs w:val="32"/>
        </w:rPr>
        <w:t>年，市建设工程造价站始终坚持以习近平新时代中国特色社会主义思想为指导，深入贯彻落实中央、省委、市委各项决策部署，主动作为、狠抓落实，推动建设工程造价事业取得新的成绩。1、圆满</w:t>
      </w:r>
      <w:r>
        <w:rPr>
          <w:rFonts w:hint="eastAsia" w:ascii="仿宋_GB2312" w:eastAsia="仿宋_GB2312" w:cs="宋体"/>
          <w:color w:val="000000"/>
          <w:sz w:val="32"/>
          <w:szCs w:val="32"/>
        </w:rPr>
        <w:t>完成了2021年攀枝花市辖区内建筑业人工、材料、机械台班价格信息的收集、整理、汇总上报工作；2、完成了</w:t>
      </w:r>
      <w:r>
        <w:rPr>
          <w:rFonts w:hint="eastAsia" w:ascii="仿宋_GB2312" w:eastAsia="仿宋_GB2312"/>
          <w:sz w:val="32"/>
          <w:szCs w:val="32"/>
        </w:rPr>
        <w:t>全市建设工程安全文明施工费费率测定工作；3、完成了全市《四川省施工企业工程规费计取标准》证书的核发和定额缺项的补充收集工作；4、完成了攀枝花市辖区内建筑计价纠纷调解工作</w:t>
      </w:r>
      <w:r>
        <w:rPr>
          <w:rFonts w:hint="eastAsia" w:ascii="仿宋_GB2312" w:eastAsia="仿宋_GB2312" w:cs="宋体"/>
          <w:color w:val="000000"/>
          <w:sz w:val="32"/>
          <w:szCs w:val="32"/>
        </w:rPr>
        <w:t>。</w:t>
      </w:r>
    </w:p>
    <w:p>
      <w:pPr>
        <w:pStyle w:val="2"/>
        <w:spacing w:before="93" w:beforeLines="0"/>
        <w:ind w:firstLine="640" w:firstLineChars="200"/>
        <w:rPr>
          <w:rFonts w:cs="宋体"/>
          <w:sz w:val="32"/>
          <w:szCs w:val="32"/>
          <w:shd w:val="clear" w:color="auto" w:fill="FFFFFF"/>
          <w:lang w:val="zh-CN"/>
        </w:rPr>
      </w:pPr>
      <w:r>
        <w:rPr>
          <w:rFonts w:hint="eastAsia" w:cs="宋体"/>
          <w:sz w:val="32"/>
          <w:szCs w:val="32"/>
          <w:shd w:val="clear" w:color="auto" w:fill="FFFFFF"/>
          <w:lang w:val="zh-CN"/>
        </w:rPr>
        <w:t>2021年基本支出348.62万元，占总支出98%，其中：人员经费支出292.21万元，包括工资福利支出292.21万元，对个人家庭的补助43.56万元；公用经费支出主要是商品和服务支出12.85万元。</w:t>
      </w:r>
    </w:p>
    <w:p>
      <w:pPr>
        <w:pStyle w:val="2"/>
        <w:spacing w:before="93" w:beforeLines="0"/>
        <w:ind w:firstLine="645"/>
        <w:rPr>
          <w:rFonts w:cs="宋体"/>
          <w:sz w:val="32"/>
          <w:szCs w:val="32"/>
          <w:shd w:val="clear" w:color="auto" w:fill="FFFFFF"/>
          <w:lang w:val="zh-CN"/>
        </w:rPr>
      </w:pPr>
      <w:r>
        <w:rPr>
          <w:rFonts w:hint="eastAsia" w:cs="宋体"/>
          <w:sz w:val="32"/>
          <w:szCs w:val="32"/>
          <w:shd w:val="clear" w:color="auto" w:fill="FFFFFF"/>
          <w:lang w:val="zh-CN"/>
        </w:rPr>
        <w:t>项目支出支出7.44万元，主要用于支付建筑业材料、人工费价格采集人员劳务费用及参加相关工作培训等。</w:t>
      </w:r>
    </w:p>
    <w:p>
      <w:pPr>
        <w:pStyle w:val="2"/>
        <w:spacing w:before="93" w:beforeLines="0"/>
        <w:ind w:firstLine="645"/>
      </w:pPr>
      <w:r>
        <w:rPr>
          <w:rFonts w:hint="eastAsia" w:cs="宋体"/>
          <w:sz w:val="32"/>
          <w:szCs w:val="32"/>
          <w:shd w:val="clear" w:color="auto" w:fill="FFFFFF"/>
          <w:lang w:val="zh-CN"/>
        </w:rPr>
        <w:t>单位加强财务管理，厉行节约，各项经费合理使用，在确保保质保量完成工作的前提下，节约成本支出，按时完成工作任务，把有限的资金用到最需要的地方。为各项工作的全面完成提供了资金保障。2021年按进度，100%完成支出预算，项目目标绩效完成良好。2021年无资金结余和违规记录。</w:t>
      </w:r>
    </w:p>
    <w:p>
      <w:pPr>
        <w:widowControl/>
        <w:adjustRightInd w:val="0"/>
        <w:snapToGrid w:val="0"/>
        <w:spacing w:line="572" w:lineRule="exact"/>
        <w:ind w:firstLine="480" w:firstLineChars="15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（二）结果应用情况。</w:t>
      </w:r>
    </w:p>
    <w:p>
      <w:pPr>
        <w:widowControl/>
        <w:adjustRightInd w:val="0"/>
        <w:snapToGrid w:val="0"/>
        <w:spacing w:line="572"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sz w:val="32"/>
          <w:szCs w:val="32"/>
          <w:shd w:val="clear" w:color="auto" w:fill="FFFFFF"/>
        </w:rPr>
        <w:t>通过全面开展支出绩效评价，强化支出绩效理念，科学合理编制年度预算，切实发挥财政资金资源配置作用，逐步建立以科学理财为基础，以精细化管理为手段，以评价结果为导向，以实施过程为监管对象的预算管理体系。</w:t>
      </w:r>
    </w:p>
    <w:p>
      <w:pPr>
        <w:widowControl/>
        <w:numPr>
          <w:ilvl w:val="0"/>
          <w:numId w:val="5"/>
        </w:numPr>
        <w:adjustRightInd w:val="0"/>
        <w:snapToGrid w:val="0"/>
        <w:spacing w:line="580" w:lineRule="exact"/>
        <w:ind w:left="0"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自评质量</w:t>
      </w:r>
    </w:p>
    <w:p>
      <w:pPr>
        <w:widowControl/>
        <w:adjustRightInd w:val="0"/>
        <w:snapToGrid w:val="0"/>
        <w:spacing w:line="580" w:lineRule="exact"/>
        <w:ind w:firstLine="800" w:firstLineChars="250"/>
        <w:contextualSpacing/>
        <w:jc w:val="left"/>
        <w:rPr>
          <w:rFonts w:ascii="仿宋_GB2312" w:eastAsia="仿宋_GB2312" w:cs="宋体"/>
          <w:kern w:val="0"/>
          <w:sz w:val="32"/>
          <w:szCs w:val="32"/>
          <w:shd w:val="clear" w:color="auto" w:fill="FFFFFF"/>
          <w:lang w:val="zh-CN"/>
        </w:rPr>
      </w:pPr>
      <w:r>
        <w:rPr>
          <w:rFonts w:hint="eastAsia" w:ascii="仿宋_GB2312" w:eastAsia="仿宋_GB2312"/>
          <w:sz w:val="32"/>
          <w:szCs w:val="32"/>
          <w:shd w:val="clear" w:color="auto" w:fill="FFFFFF"/>
        </w:rPr>
        <w:t>2020年度严格预算收支管理，做到预算编制有目标、预算执行有监控，部门预算整体绩效评价良好。</w:t>
      </w:r>
    </w:p>
    <w:p>
      <w:pPr>
        <w:widowControl/>
        <w:adjustRightInd w:val="0"/>
        <w:snapToGrid w:val="0"/>
        <w:spacing w:line="576" w:lineRule="exact"/>
        <w:ind w:firstLine="800" w:firstLineChars="250"/>
        <w:contextualSpacing/>
        <w:jc w:val="left"/>
        <w:rPr>
          <w:rFonts w:ascii="仿宋_GB2312" w:eastAsia="仿宋_GB2312" w:cs="宋体"/>
          <w:kern w:val="0"/>
          <w:sz w:val="32"/>
          <w:szCs w:val="32"/>
          <w:shd w:val="clear" w:color="auto" w:fill="FFFFFF"/>
        </w:rPr>
      </w:pPr>
      <w:r>
        <w:rPr>
          <w:rFonts w:hint="eastAsia" w:ascii="仿宋_GB2312" w:eastAsia="仿宋_GB2312" w:cs="宋体"/>
          <w:kern w:val="0"/>
          <w:sz w:val="32"/>
          <w:szCs w:val="32"/>
          <w:shd w:val="clear" w:color="auto" w:fill="FFFFFF"/>
        </w:rPr>
        <w:t>四、评价结论及建议</w:t>
      </w:r>
    </w:p>
    <w:p>
      <w:pPr>
        <w:widowControl/>
        <w:adjustRightInd w:val="0"/>
        <w:snapToGrid w:val="0"/>
        <w:spacing w:line="560"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（一）评价结论。</w:t>
      </w:r>
    </w:p>
    <w:p>
      <w:pPr>
        <w:widowControl/>
        <w:adjustRightInd w:val="0"/>
        <w:snapToGrid w:val="0"/>
        <w:spacing w:line="560" w:lineRule="exact"/>
        <w:ind w:firstLine="640" w:firstLineChars="200"/>
        <w:contextualSpacing/>
        <w:jc w:val="left"/>
        <w:rPr>
          <w:rFonts w:ascii="仿宋_GB2312" w:eastAsia="仿宋_GB2312"/>
          <w:sz w:val="32"/>
          <w:szCs w:val="32"/>
          <w:shd w:val="clear" w:color="auto" w:fill="FFFFFF"/>
        </w:rPr>
      </w:pPr>
      <w:r>
        <w:rPr>
          <w:rFonts w:hint="eastAsia" w:ascii="仿宋_GB2312" w:eastAsia="仿宋_GB2312"/>
          <w:sz w:val="32"/>
          <w:szCs w:val="32"/>
          <w:shd w:val="clear" w:color="auto" w:fill="FFFFFF"/>
        </w:rPr>
        <w:t>2021年度严格预算收支管理，做到预算编制有目标、预算执行有监控，部门预算整体绩效评价良好。</w:t>
      </w:r>
    </w:p>
    <w:p>
      <w:pPr>
        <w:widowControl/>
        <w:adjustRightInd w:val="0"/>
        <w:snapToGrid w:val="0"/>
        <w:spacing w:line="576"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（二）存在问题。</w:t>
      </w:r>
    </w:p>
    <w:p>
      <w:pPr>
        <w:widowControl/>
        <w:adjustRightInd w:val="0"/>
        <w:snapToGrid w:val="0"/>
        <w:spacing w:line="576"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sz w:val="32"/>
          <w:szCs w:val="32"/>
          <w:shd w:val="clear" w:color="auto" w:fill="FFFFFF"/>
        </w:rPr>
        <w:t>预算编制的合理性有待提高，预算编制工作需更细化。</w:t>
      </w:r>
    </w:p>
    <w:p>
      <w:pPr>
        <w:widowControl/>
        <w:adjustRightInd w:val="0"/>
        <w:snapToGrid w:val="0"/>
        <w:spacing w:line="576"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（三）改进建议。</w:t>
      </w:r>
    </w:p>
    <w:p>
      <w:pPr>
        <w:pStyle w:val="2"/>
        <w:spacing w:before="93" w:beforeLines="0"/>
        <w:ind w:firstLine="640" w:firstLineChars="200"/>
        <w:rPr>
          <w:sz w:val="32"/>
          <w:szCs w:val="32"/>
          <w:shd w:val="clear" w:color="auto" w:fill="FFFFFF"/>
        </w:rPr>
      </w:pPr>
      <w:r>
        <w:rPr>
          <w:rFonts w:hint="eastAsia"/>
          <w:sz w:val="32"/>
          <w:szCs w:val="32"/>
          <w:shd w:val="clear" w:color="auto" w:fill="FFFFFF"/>
        </w:rPr>
        <w:t>严格按照预算编制的相关制度和要求做好预算的编制，进一步加强预算管理意识，进一步提高预算编制的科学性、严谨性和可控性。</w:t>
      </w:r>
    </w:p>
    <w:p>
      <w:pPr>
        <w:pStyle w:val="2"/>
        <w:spacing w:before="93" w:beforeLines="0"/>
        <w:ind w:firstLine="640" w:firstLineChars="200"/>
        <w:rPr>
          <w:sz w:val="32"/>
          <w:szCs w:val="32"/>
          <w:shd w:val="clear" w:color="auto" w:fill="FFFFFF"/>
        </w:rPr>
      </w:pPr>
    </w:p>
    <w:p>
      <w:pPr>
        <w:pStyle w:val="2"/>
        <w:spacing w:before="93" w:beforeLines="0"/>
        <w:ind w:firstLine="640" w:firstLineChars="200"/>
        <w:rPr>
          <w:sz w:val="32"/>
          <w:szCs w:val="32"/>
          <w:shd w:val="clear" w:color="auto" w:fill="FFFFFF"/>
        </w:rPr>
      </w:pPr>
    </w:p>
    <w:p>
      <w:pPr>
        <w:pStyle w:val="2"/>
        <w:spacing w:before="93" w:beforeLines="0"/>
        <w:ind w:firstLine="640" w:firstLineChars="200"/>
        <w:rPr>
          <w:sz w:val="32"/>
          <w:szCs w:val="32"/>
          <w:shd w:val="clear" w:color="auto" w:fill="FFFFFF"/>
        </w:rPr>
      </w:pPr>
    </w:p>
    <w:p>
      <w:pPr>
        <w:pStyle w:val="2"/>
        <w:spacing w:before="93" w:beforeLines="0"/>
        <w:ind w:firstLine="640" w:firstLineChars="200"/>
        <w:rPr>
          <w:sz w:val="32"/>
          <w:szCs w:val="32"/>
          <w:shd w:val="clear" w:color="auto" w:fill="FFFFFF"/>
        </w:rPr>
      </w:pPr>
    </w:p>
    <w:p>
      <w:pPr>
        <w:pStyle w:val="2"/>
        <w:spacing w:before="93" w:beforeLines="0"/>
        <w:ind w:firstLine="640" w:firstLineChars="200"/>
        <w:rPr>
          <w:sz w:val="32"/>
          <w:szCs w:val="32"/>
          <w:shd w:val="clear" w:color="auto" w:fill="FFFFFF"/>
        </w:rPr>
      </w:pPr>
    </w:p>
    <w:p>
      <w:pPr>
        <w:pStyle w:val="2"/>
        <w:spacing w:before="93" w:beforeLines="0"/>
        <w:ind w:firstLine="640" w:firstLineChars="200"/>
        <w:rPr>
          <w:sz w:val="32"/>
          <w:szCs w:val="32"/>
          <w:shd w:val="clear" w:color="auto" w:fill="FFFFFF"/>
        </w:rPr>
      </w:pPr>
    </w:p>
    <w:p>
      <w:pPr>
        <w:pStyle w:val="2"/>
        <w:spacing w:before="93" w:beforeLines="0"/>
        <w:ind w:firstLine="640" w:firstLineChars="200"/>
        <w:rPr>
          <w:sz w:val="32"/>
          <w:szCs w:val="32"/>
          <w:shd w:val="clear" w:color="auto" w:fill="FFFFFF"/>
        </w:rPr>
      </w:pPr>
    </w:p>
    <w:p>
      <w:pPr>
        <w:pStyle w:val="2"/>
        <w:spacing w:before="93" w:beforeLines="0"/>
        <w:ind w:firstLine="640" w:firstLineChars="200"/>
        <w:rPr>
          <w:sz w:val="32"/>
          <w:szCs w:val="32"/>
          <w:shd w:val="clear" w:color="auto" w:fill="FFFFFF"/>
        </w:rPr>
      </w:pPr>
    </w:p>
    <w:p>
      <w:pPr>
        <w:pStyle w:val="2"/>
        <w:spacing w:before="93" w:beforeLines="0"/>
        <w:ind w:firstLine="640" w:firstLineChars="200"/>
        <w:rPr>
          <w:sz w:val="32"/>
          <w:szCs w:val="32"/>
          <w:shd w:val="clear" w:color="auto" w:fill="FFFFFF"/>
        </w:rPr>
      </w:pPr>
    </w:p>
    <w:p>
      <w:pPr>
        <w:pStyle w:val="2"/>
        <w:spacing w:before="93" w:beforeLines="0"/>
        <w:ind w:firstLine="640" w:firstLineChars="200"/>
        <w:rPr>
          <w:sz w:val="32"/>
          <w:szCs w:val="32"/>
          <w:shd w:val="clear" w:color="auto" w:fill="FFFFFF"/>
        </w:rPr>
      </w:pPr>
    </w:p>
    <w:p>
      <w:pPr>
        <w:pStyle w:val="2"/>
        <w:spacing w:before="93" w:beforeLines="0"/>
        <w:ind w:firstLine="640" w:firstLineChars="200"/>
        <w:rPr>
          <w:sz w:val="32"/>
          <w:szCs w:val="32"/>
          <w:shd w:val="clear" w:color="auto" w:fill="FFFFFF"/>
        </w:rPr>
      </w:pPr>
    </w:p>
    <w:p>
      <w:pPr>
        <w:pStyle w:val="2"/>
        <w:spacing w:before="93" w:beforeLines="0"/>
        <w:ind w:firstLine="640" w:firstLineChars="200"/>
        <w:rPr>
          <w:sz w:val="32"/>
          <w:szCs w:val="32"/>
          <w:shd w:val="clear" w:color="auto" w:fill="FFFFFF"/>
        </w:rPr>
      </w:pPr>
    </w:p>
    <w:p>
      <w:pPr>
        <w:pStyle w:val="2"/>
        <w:spacing w:before="93" w:beforeLines="0"/>
        <w:ind w:firstLine="640" w:firstLineChars="200"/>
        <w:rPr>
          <w:sz w:val="32"/>
          <w:szCs w:val="32"/>
          <w:shd w:val="clear" w:color="auto" w:fill="FFFFFF"/>
        </w:rPr>
      </w:pPr>
    </w:p>
    <w:p>
      <w:pPr>
        <w:pStyle w:val="2"/>
        <w:spacing w:before="93" w:beforeLines="0"/>
        <w:ind w:firstLine="640" w:firstLineChars="200"/>
        <w:rPr>
          <w:sz w:val="32"/>
          <w:szCs w:val="32"/>
          <w:shd w:val="clear" w:color="auto" w:fill="FFFFFF"/>
        </w:rPr>
      </w:pPr>
    </w:p>
    <w:p>
      <w:pPr>
        <w:pStyle w:val="2"/>
        <w:spacing w:before="93" w:beforeLines="0"/>
        <w:ind w:firstLine="640" w:firstLineChars="200"/>
        <w:rPr>
          <w:sz w:val="32"/>
          <w:szCs w:val="32"/>
          <w:shd w:val="clear" w:color="auto" w:fill="FFFFFF"/>
        </w:rPr>
      </w:pPr>
    </w:p>
    <w:p>
      <w:pPr>
        <w:pStyle w:val="2"/>
        <w:spacing w:before="93" w:beforeLines="0"/>
        <w:ind w:firstLine="640" w:firstLineChars="200"/>
        <w:rPr>
          <w:sz w:val="32"/>
          <w:szCs w:val="32"/>
          <w:shd w:val="clear" w:color="auto" w:fill="FFFFFF"/>
        </w:rPr>
      </w:pPr>
    </w:p>
    <w:p>
      <w:pPr>
        <w:pStyle w:val="2"/>
        <w:spacing w:before="93" w:beforeLines="0"/>
        <w:rPr>
          <w:rFonts w:cs="仿宋_GB2312"/>
          <w:bCs/>
          <w:sz w:val="32"/>
          <w:szCs w:val="32"/>
          <w:lang w:val="zh-CN"/>
        </w:rPr>
      </w:pPr>
    </w:p>
    <w:p>
      <w:pPr>
        <w:spacing w:line="572" w:lineRule="exact"/>
        <w:jc w:val="center"/>
        <w:rPr>
          <w:rFonts w:ascii="方正小标宋简体" w:eastAsia="方正小标宋简体"/>
          <w:kern w:val="0"/>
          <w:sz w:val="40"/>
          <w:szCs w:val="44"/>
        </w:rPr>
      </w:pPr>
      <w:r>
        <w:rPr>
          <w:rFonts w:hint="eastAsia" w:ascii="方正小标宋简体" w:eastAsia="方正小标宋简体"/>
          <w:kern w:val="0"/>
          <w:sz w:val="40"/>
          <w:szCs w:val="44"/>
        </w:rPr>
        <w:t>2021年攀枝花市房地产事务中心</w:t>
      </w:r>
    </w:p>
    <w:p>
      <w:pPr>
        <w:spacing w:line="572" w:lineRule="exact"/>
        <w:jc w:val="center"/>
        <w:rPr>
          <w:rFonts w:ascii="方正小标宋简体" w:eastAsia="方正小标宋简体"/>
          <w:kern w:val="0"/>
          <w:sz w:val="40"/>
          <w:szCs w:val="44"/>
          <w:lang w:val="zh-CN"/>
        </w:rPr>
      </w:pPr>
      <w:r>
        <w:rPr>
          <w:rFonts w:hint="eastAsia" w:ascii="方正小标宋简体" w:eastAsia="方正小标宋简体"/>
          <w:kern w:val="0"/>
          <w:sz w:val="40"/>
          <w:szCs w:val="44"/>
        </w:rPr>
        <w:t>部门整体绩效评价报告</w:t>
      </w:r>
    </w:p>
    <w:p>
      <w:pPr>
        <w:widowControl/>
        <w:adjustRightInd w:val="0"/>
        <w:snapToGrid w:val="0"/>
        <w:spacing w:line="572" w:lineRule="exact"/>
        <w:ind w:firstLine="480" w:firstLineChars="200"/>
        <w:contextualSpacing/>
        <w:jc w:val="left"/>
        <w:rPr>
          <w:rFonts w:ascii="黑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eastAsia="黑体" w:cs="宋体"/>
          <w:kern w:val="0"/>
          <w:sz w:val="32"/>
          <w:szCs w:val="32"/>
          <w:shd w:val="clear" w:color="auto" w:fill="FFFFFF"/>
          <w:lang w:val="zh-CN"/>
        </w:rPr>
      </w:pPr>
      <w:r>
        <w:rPr>
          <w:rFonts w:hint="eastAsia" w:ascii="黑体" w:eastAsia="黑体" w:cs="宋体"/>
          <w:kern w:val="0"/>
          <w:sz w:val="32"/>
          <w:szCs w:val="32"/>
          <w:shd w:val="clear" w:color="auto" w:fill="FFFFFF"/>
        </w:rPr>
        <w:t>一、</w:t>
      </w:r>
      <w:r>
        <w:rPr>
          <w:rFonts w:hint="eastAsia" w:ascii="黑体" w:eastAsia="黑体" w:cs="宋体"/>
          <w:kern w:val="0"/>
          <w:sz w:val="32"/>
          <w:szCs w:val="32"/>
          <w:shd w:val="clear" w:color="auto" w:fill="FFFFFF"/>
          <w:lang w:val="zh-CN"/>
        </w:rPr>
        <w:t>部门（单位）概况</w:t>
      </w:r>
    </w:p>
    <w:p>
      <w:pPr>
        <w:ind w:firstLine="800" w:firstLineChars="250"/>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（一）机构组成。</w:t>
      </w:r>
      <w:r>
        <w:rPr>
          <w:rFonts w:hint="eastAsia" w:ascii="仿宋" w:eastAsia="仿宋"/>
          <w:sz w:val="32"/>
          <w:szCs w:val="32"/>
        </w:rPr>
        <w:t>攀枝花市房地产事务中心下属二级单位3个，其中行政单位0个，参照公务员法管理的事业单位</w:t>
      </w:r>
      <w:r>
        <w:rPr>
          <w:rFonts w:hint="eastAsia" w:ascii="仿宋" w:eastAsia="仿宋"/>
          <w:bCs/>
          <w:sz w:val="32"/>
          <w:szCs w:val="32"/>
        </w:rPr>
        <w:t>0</w:t>
      </w:r>
      <w:r>
        <w:rPr>
          <w:rFonts w:hint="eastAsia" w:ascii="仿宋" w:eastAsia="仿宋"/>
          <w:sz w:val="32"/>
          <w:szCs w:val="32"/>
        </w:rPr>
        <w:t>个，其他事业单位3个。</w:t>
      </w:r>
    </w:p>
    <w:p>
      <w:pPr>
        <w:widowControl/>
        <w:adjustRightInd w:val="0"/>
        <w:snapToGrid w:val="0"/>
        <w:spacing w:line="572"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（二）机构职能。</w:t>
      </w:r>
      <w:r>
        <w:rPr>
          <w:rFonts w:hint="eastAsia" w:ascii="仿宋_GB2312" w:eastAsia="仿宋_GB2312"/>
          <w:sz w:val="32"/>
          <w:szCs w:val="32"/>
        </w:rPr>
        <w:t>负责管理全市房地产交易市场、指导中介、物服等企业，负责全市房屋产权登记管理工作、商品房维修资金、预售资金管理及监督工作，白蚁防治工作，直管公房管理工作等。</w:t>
      </w:r>
    </w:p>
    <w:p>
      <w:pPr>
        <w:snapToGrid w:val="0"/>
        <w:spacing w:line="520" w:lineRule="exact"/>
        <w:ind w:firstLine="640" w:firstLineChars="200"/>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（三）人员概况。</w:t>
      </w:r>
      <w:r>
        <w:rPr>
          <w:rFonts w:hint="eastAsia" w:ascii="仿宋_GB2312" w:eastAsia="仿宋_GB2312"/>
          <w:sz w:val="32"/>
          <w:szCs w:val="32"/>
        </w:rPr>
        <w:t>市房管局现有在职人员76人，其中：参公人员35人，事业人员41人。另有退休人员72人。</w:t>
      </w:r>
    </w:p>
    <w:p>
      <w:pPr>
        <w:widowControl/>
        <w:adjustRightInd w:val="0"/>
        <w:snapToGrid w:val="0"/>
        <w:spacing w:line="572" w:lineRule="exact"/>
        <w:ind w:firstLine="640" w:firstLineChars="200"/>
        <w:contextualSpacing/>
        <w:jc w:val="left"/>
        <w:rPr>
          <w:rFonts w:ascii="黑体" w:eastAsia="黑体" w:cs="宋体"/>
          <w:kern w:val="0"/>
          <w:sz w:val="32"/>
          <w:szCs w:val="32"/>
          <w:shd w:val="clear" w:color="auto" w:fill="FFFFFF"/>
        </w:rPr>
      </w:pPr>
      <w:r>
        <w:rPr>
          <w:rFonts w:hint="eastAsia" w:ascii="黑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（一）部门财政资金收入情况。</w:t>
      </w:r>
    </w:p>
    <w:p>
      <w:pPr>
        <w:pStyle w:val="2"/>
        <w:spacing w:before="93" w:beforeLines="0"/>
        <w:ind w:firstLine="640" w:firstLineChars="200"/>
        <w:rPr>
          <w:lang w:val="zh-CN"/>
        </w:rPr>
      </w:pPr>
      <w:r>
        <w:rPr>
          <w:rFonts w:hint="eastAsia" w:ascii="仿宋" w:eastAsia="仿宋"/>
          <w:sz w:val="32"/>
          <w:szCs w:val="32"/>
        </w:rPr>
        <w:t>本年收入合计3945.20万元，其中：一般公共预算财政拨款收入3932.86万元，占99.69</w:t>
      </w:r>
      <w:r>
        <w:rPr>
          <w:rFonts w:ascii="仿宋" w:eastAsia="仿宋"/>
          <w:sz w:val="32"/>
          <w:szCs w:val="32"/>
        </w:rPr>
        <w:t>%</w:t>
      </w:r>
      <w:r>
        <w:rPr>
          <w:rFonts w:hint="eastAsia" w:ascii="仿宋" w:eastAsia="仿宋"/>
          <w:sz w:val="32"/>
          <w:szCs w:val="32"/>
        </w:rPr>
        <w:t>；政府性基金预算财政拨款收入12.34万元，占0.31</w:t>
      </w:r>
      <w:r>
        <w:rPr>
          <w:rFonts w:ascii="仿宋" w:eastAsia="仿宋"/>
          <w:sz w:val="32"/>
          <w:szCs w:val="32"/>
        </w:rPr>
        <w:t>%</w:t>
      </w:r>
      <w:r>
        <w:rPr>
          <w:rFonts w:hint="eastAsia" w:ascii="仿宋" w:eastAsia="仿宋"/>
          <w:sz w:val="32"/>
          <w:szCs w:val="32"/>
        </w:rPr>
        <w:t>；</w:t>
      </w:r>
    </w:p>
    <w:p>
      <w:pPr>
        <w:widowControl/>
        <w:numPr>
          <w:ilvl w:val="0"/>
          <w:numId w:val="6"/>
        </w:numPr>
        <w:adjustRightInd w:val="0"/>
        <w:snapToGrid w:val="0"/>
        <w:spacing w:line="572" w:lineRule="exact"/>
        <w:ind w:left="0"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部门财政资金支出情况。</w:t>
      </w:r>
    </w:p>
    <w:p>
      <w:pPr>
        <w:pStyle w:val="2"/>
        <w:spacing w:before="93" w:beforeLines="0"/>
        <w:ind w:firstLine="640" w:firstLineChars="200"/>
        <w:rPr>
          <w:lang w:val="zh-CN"/>
        </w:rPr>
      </w:pPr>
      <w:r>
        <w:rPr>
          <w:rFonts w:hint="eastAsia" w:ascii="仿宋" w:eastAsia="仿宋"/>
          <w:sz w:val="32"/>
          <w:szCs w:val="32"/>
        </w:rPr>
        <w:t>本年支出合计3929.04万元，其中：基本支出1470.88万元，37.44</w:t>
      </w:r>
      <w:r>
        <w:rPr>
          <w:rFonts w:ascii="仿宋" w:eastAsia="仿宋"/>
          <w:sz w:val="32"/>
          <w:szCs w:val="32"/>
        </w:rPr>
        <w:t>%</w:t>
      </w:r>
      <w:r>
        <w:rPr>
          <w:rFonts w:hint="eastAsia" w:ascii="仿宋" w:eastAsia="仿宋"/>
          <w:sz w:val="32"/>
          <w:szCs w:val="32"/>
        </w:rPr>
        <w:t>；项目支出2458.16万元，占62.56</w:t>
      </w:r>
      <w:r>
        <w:rPr>
          <w:rFonts w:ascii="仿宋" w:eastAsia="仿宋"/>
          <w:sz w:val="32"/>
          <w:szCs w:val="32"/>
        </w:rPr>
        <w:t>%</w:t>
      </w:r>
      <w:r>
        <w:rPr>
          <w:rFonts w:hint="eastAsia" w:ascii="仿宋" w:eastAsia="仿宋"/>
          <w:sz w:val="32"/>
          <w:szCs w:val="32"/>
        </w:rPr>
        <w:t>；</w:t>
      </w:r>
    </w:p>
    <w:p>
      <w:pPr>
        <w:widowControl/>
        <w:numPr>
          <w:ilvl w:val="0"/>
          <w:numId w:val="2"/>
        </w:numPr>
        <w:adjustRightInd w:val="0"/>
        <w:snapToGrid w:val="0"/>
        <w:spacing w:line="572" w:lineRule="exact"/>
        <w:contextualSpacing/>
        <w:jc w:val="left"/>
        <w:rPr>
          <w:rFonts w:ascii="黑体" w:eastAsia="黑体" w:cs="宋体"/>
          <w:kern w:val="0"/>
          <w:sz w:val="32"/>
          <w:szCs w:val="32"/>
          <w:shd w:val="clear" w:color="auto" w:fill="FFFFFF"/>
        </w:rPr>
      </w:pPr>
      <w:r>
        <w:rPr>
          <w:rFonts w:hint="eastAsia" w:ascii="黑体" w:eastAsia="黑体" w:cs="宋体"/>
          <w:kern w:val="0"/>
          <w:sz w:val="32"/>
          <w:szCs w:val="32"/>
          <w:shd w:val="clear" w:color="auto" w:fill="FFFFFF"/>
        </w:rPr>
        <w:t>部门整体预算绩效管理情况</w:t>
      </w:r>
    </w:p>
    <w:p>
      <w:pPr>
        <w:widowControl/>
        <w:adjustRightInd w:val="0"/>
        <w:snapToGrid w:val="0"/>
        <w:spacing w:line="572" w:lineRule="exact"/>
        <w:ind w:left="64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（一）部门预算项目绩效目标的制定及实现。</w:t>
      </w:r>
    </w:p>
    <w:p>
      <w:pPr>
        <w:pStyle w:val="8"/>
        <w:spacing w:line="600" w:lineRule="exact"/>
        <w:ind w:firstLine="640" w:firstLineChars="200"/>
        <w:jc w:val="left"/>
        <w:rPr>
          <w:rFonts w:ascii="Times New Roman" w:hAnsi="Times New Roman" w:eastAsia="楷体"/>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人员类及运转类项目（公用经费）</w:t>
      </w:r>
      <w:r>
        <w:rPr>
          <w:rFonts w:ascii="Times New Roman" w:hAnsi="Times New Roman" w:eastAsia="仿宋_GB2312"/>
          <w:sz w:val="32"/>
          <w:szCs w:val="32"/>
        </w:rPr>
        <w:t>绩效目标</w:t>
      </w:r>
      <w:r>
        <w:rPr>
          <w:rFonts w:hint="eastAsia" w:ascii="Times New Roman" w:hAnsi="Times New Roman" w:eastAsia="仿宋_GB2312"/>
          <w:sz w:val="32"/>
          <w:szCs w:val="32"/>
        </w:rPr>
        <w:t>制定及实现</w:t>
      </w:r>
      <w:r>
        <w:rPr>
          <w:rFonts w:ascii="Times New Roman" w:hAnsi="Times New Roman" w:eastAsia="仿宋_GB2312"/>
          <w:sz w:val="32"/>
          <w:szCs w:val="32"/>
        </w:rPr>
        <w:t>情况</w:t>
      </w:r>
    </w:p>
    <w:p>
      <w:pPr>
        <w:pStyle w:val="8"/>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人员类项目</w:t>
      </w:r>
      <w:r>
        <w:rPr>
          <w:rFonts w:ascii="Times New Roman" w:hAnsi="Times New Roman" w:eastAsia="仿宋_GB2312"/>
          <w:sz w:val="32"/>
          <w:szCs w:val="32"/>
        </w:rPr>
        <w:t>指标完成情况分析。</w:t>
      </w:r>
      <w:r>
        <w:rPr>
          <w:rFonts w:hint="eastAsia" w:ascii="Times New Roman" w:hAnsi="Times New Roman" w:eastAsia="仿宋_GB2312"/>
          <w:sz w:val="32"/>
          <w:szCs w:val="32"/>
        </w:rPr>
        <w:t>我中心，2021年度共使用资金1310.14万元。用于支付76名正式职工的人员经费</w:t>
      </w:r>
    </w:p>
    <w:p>
      <w:pPr>
        <w:pStyle w:val="8"/>
        <w:spacing w:line="600" w:lineRule="exact"/>
        <w:ind w:firstLine="640" w:firstLineChars="200"/>
        <w:jc w:val="left"/>
        <w:rPr>
          <w:rFonts w:ascii="楷体" w:eastAsia="楷体" w:cs="仿宋_GB2312"/>
          <w:sz w:val="32"/>
          <w:szCs w:val="32"/>
        </w:rPr>
      </w:pPr>
      <w:r>
        <w:rPr>
          <w:rFonts w:hint="eastAsia" w:ascii="Times New Roman" w:hAnsi="Times New Roman" w:eastAsia="仿宋_GB2312"/>
          <w:sz w:val="32"/>
          <w:szCs w:val="32"/>
        </w:rPr>
        <w:t>（2）运转类项目（公用经费）</w:t>
      </w:r>
      <w:r>
        <w:rPr>
          <w:rFonts w:ascii="Times New Roman" w:hAnsi="Times New Roman" w:eastAsia="仿宋_GB2312"/>
          <w:sz w:val="32"/>
          <w:szCs w:val="32"/>
        </w:rPr>
        <w:t>指标完成情况分析。</w:t>
      </w:r>
      <w:r>
        <w:rPr>
          <w:rFonts w:hint="eastAsia" w:ascii="Times New Roman" w:hAnsi="Times New Roman" w:eastAsia="仿宋_GB2312"/>
          <w:sz w:val="32"/>
          <w:szCs w:val="32"/>
        </w:rPr>
        <w:t>我中心，2021年度共使用资金160.74万元。用于保障全局111名职工的全年日常公用支出。</w:t>
      </w:r>
    </w:p>
    <w:p>
      <w:pPr>
        <w:pStyle w:val="8"/>
        <w:spacing w:line="600" w:lineRule="exact"/>
        <w:ind w:firstLine="640" w:firstLineChars="200"/>
        <w:jc w:val="left"/>
        <w:rPr>
          <w:rFonts w:ascii="Times New Roman" w:hAnsi="Times New Roman" w:eastAsia="楷体"/>
          <w:sz w:val="32"/>
          <w:szCs w:val="32"/>
        </w:rPr>
      </w:pPr>
      <w:r>
        <w:rPr>
          <w:rFonts w:hint="eastAsia" w:ascii="仿宋_GB2312" w:eastAsia="仿宋_GB2312" w:cs="仿宋_GB2312"/>
          <w:sz w:val="32"/>
          <w:szCs w:val="32"/>
        </w:rPr>
        <w:t>保障了各项工作的顺利开展，</w:t>
      </w:r>
      <w:r>
        <w:rPr>
          <w:rFonts w:hint="eastAsia" w:ascii="Times New Roman" w:hAnsi="Times New Roman" w:eastAsia="仿宋_GB2312"/>
          <w:sz w:val="32"/>
          <w:szCs w:val="32"/>
        </w:rPr>
        <w:t>促进了房地产业及房地产市场的良好发展群众满意度较高。</w:t>
      </w:r>
    </w:p>
    <w:p>
      <w:pPr>
        <w:pStyle w:val="8"/>
        <w:spacing w:line="600" w:lineRule="exact"/>
        <w:ind w:firstLine="640" w:firstLineChars="200"/>
        <w:jc w:val="left"/>
        <w:rPr>
          <w:rFonts w:ascii="Times New Roman" w:hAnsi="Times New Roman" w:eastAsia="楷体"/>
          <w:sz w:val="32"/>
          <w:szCs w:val="32"/>
        </w:rPr>
      </w:pPr>
      <w:r>
        <w:rPr>
          <w:rFonts w:hint="eastAsia" w:ascii="Times New Roman" w:hAnsi="Times New Roman" w:eastAsia="仿宋_GB2312"/>
          <w:sz w:val="32"/>
          <w:szCs w:val="32"/>
        </w:rPr>
        <w:t>2.其他运转类项目</w:t>
      </w:r>
      <w:r>
        <w:rPr>
          <w:rFonts w:ascii="Times New Roman" w:hAnsi="Times New Roman" w:eastAsia="仿宋_GB2312"/>
          <w:sz w:val="32"/>
          <w:szCs w:val="32"/>
        </w:rPr>
        <w:t>（</w:t>
      </w:r>
      <w:r>
        <w:rPr>
          <w:rFonts w:hint="eastAsia" w:ascii="Times New Roman" w:hAnsi="Times New Roman" w:eastAsia="仿宋_GB2312"/>
          <w:sz w:val="32"/>
          <w:szCs w:val="32"/>
        </w:rPr>
        <w:t>房地产市场管理经费</w:t>
      </w:r>
      <w:r>
        <w:rPr>
          <w:rFonts w:ascii="Times New Roman" w:hAnsi="Times New Roman" w:eastAsia="仿宋_GB2312"/>
          <w:sz w:val="32"/>
          <w:szCs w:val="32"/>
        </w:rPr>
        <w:t>项目）资金绩效目标</w:t>
      </w:r>
      <w:r>
        <w:rPr>
          <w:rFonts w:hint="eastAsia" w:ascii="Times New Roman" w:hAnsi="Times New Roman" w:eastAsia="仿宋_GB2312"/>
          <w:sz w:val="32"/>
          <w:szCs w:val="32"/>
        </w:rPr>
        <w:t>制定及实现</w:t>
      </w:r>
      <w:r>
        <w:rPr>
          <w:rFonts w:ascii="Times New Roman" w:hAnsi="Times New Roman" w:eastAsia="仿宋_GB2312"/>
          <w:sz w:val="32"/>
          <w:szCs w:val="32"/>
        </w:rPr>
        <w:t>情况</w:t>
      </w:r>
    </w:p>
    <w:p>
      <w:pPr>
        <w:pStyle w:val="8"/>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（1）产出指标完成情况分析。</w:t>
      </w:r>
      <w:r>
        <w:rPr>
          <w:rFonts w:hint="eastAsia" w:ascii="Times New Roman" w:hAnsi="Times New Roman" w:eastAsia="仿宋_GB2312"/>
          <w:sz w:val="32"/>
          <w:szCs w:val="32"/>
        </w:rPr>
        <w:t>商品房销售面积167.32万平方米，存量房销售面积171.42万平方米，交易办件量5.05万件。房地产市场检查率37%，档案达标率100%，交易办件率100%，商品房预售合同网签备案及注销1个工作日，存量房转让合同网签备案即办。</w:t>
      </w:r>
    </w:p>
    <w:p>
      <w:pPr>
        <w:pStyle w:val="8"/>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（2）效益指标完成情况分析。房地产开发投资金额119.44亿 </w:t>
      </w:r>
      <w:r>
        <w:rPr>
          <w:rFonts w:hint="eastAsia" w:ascii="Times New Roman" w:hAnsi="Times New Roman" w:eastAsia="仿宋_GB2312"/>
          <w:sz w:val="32"/>
          <w:szCs w:val="32"/>
        </w:rPr>
        <w:t>，促进房地产投资额、成交量增长，房地产市场持续向好，改善人均居住环境，促进房地产市场领域安全形势保持稳定。</w:t>
      </w:r>
    </w:p>
    <w:p>
      <w:pPr>
        <w:pStyle w:val="8"/>
        <w:numPr>
          <w:ilvl w:val="0"/>
          <w:numId w:val="7"/>
        </w:numPr>
        <w:spacing w:line="600" w:lineRule="exact"/>
        <w:ind w:left="0" w:firstLine="640" w:firstLineChars="200"/>
        <w:jc w:val="left"/>
        <w:rPr>
          <w:rFonts w:ascii="Times New Roman" w:hAnsi="Times New Roman" w:eastAsia="仿宋_GB2312"/>
          <w:sz w:val="32"/>
          <w:szCs w:val="32"/>
        </w:rPr>
      </w:pPr>
      <w:r>
        <w:rPr>
          <w:rFonts w:ascii="Times New Roman" w:hAnsi="Times New Roman" w:eastAsia="仿宋_GB2312"/>
          <w:sz w:val="32"/>
          <w:szCs w:val="32"/>
        </w:rPr>
        <w:t>满意度指标完成情况分析。</w:t>
      </w:r>
      <w:r>
        <w:rPr>
          <w:rFonts w:hint="eastAsia" w:ascii="Times New Roman" w:hAnsi="Times New Roman" w:eastAsia="仿宋_GB2312"/>
          <w:sz w:val="32"/>
          <w:szCs w:val="32"/>
        </w:rPr>
        <w:t>群众满意度为满意。</w:t>
      </w:r>
    </w:p>
    <w:p>
      <w:pPr>
        <w:pStyle w:val="8"/>
        <w:spacing w:line="600" w:lineRule="exact"/>
        <w:ind w:firstLine="640" w:firstLineChars="200"/>
        <w:jc w:val="left"/>
        <w:rPr>
          <w:rFonts w:ascii="Times New Roman" w:hAnsi="Times New Roman" w:eastAsia="楷体"/>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其他运转类项目</w:t>
      </w:r>
      <w:r>
        <w:rPr>
          <w:rFonts w:ascii="Times New Roman" w:hAnsi="Times New Roman" w:eastAsia="仿宋_GB2312"/>
          <w:sz w:val="32"/>
          <w:szCs w:val="32"/>
        </w:rPr>
        <w:t>（</w:t>
      </w:r>
      <w:r>
        <w:rPr>
          <w:rFonts w:hint="eastAsia" w:ascii="Times New Roman" w:hAnsi="Times New Roman" w:eastAsia="仿宋_GB2312"/>
          <w:sz w:val="32"/>
          <w:szCs w:val="32"/>
        </w:rPr>
        <w:t>白蚁防治经费</w:t>
      </w:r>
      <w:r>
        <w:rPr>
          <w:rFonts w:ascii="Times New Roman" w:hAnsi="Times New Roman" w:eastAsia="仿宋_GB2312"/>
          <w:sz w:val="32"/>
          <w:szCs w:val="32"/>
        </w:rPr>
        <w:t>）资金绩效目标</w:t>
      </w:r>
      <w:r>
        <w:rPr>
          <w:rFonts w:hint="eastAsia" w:ascii="Times New Roman" w:hAnsi="Times New Roman" w:eastAsia="仿宋_GB2312"/>
          <w:sz w:val="32"/>
          <w:szCs w:val="32"/>
        </w:rPr>
        <w:t>制定及实现</w:t>
      </w:r>
      <w:r>
        <w:rPr>
          <w:rFonts w:ascii="Times New Roman" w:hAnsi="Times New Roman" w:eastAsia="仿宋_GB2312"/>
          <w:sz w:val="32"/>
          <w:szCs w:val="32"/>
        </w:rPr>
        <w:t>情况</w:t>
      </w:r>
    </w:p>
    <w:p>
      <w:pPr>
        <w:pStyle w:val="8"/>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（1）产出指标完成情况分析。</w:t>
      </w:r>
      <w:r>
        <w:rPr>
          <w:rFonts w:hint="eastAsia" w:ascii="Times New Roman" w:hAnsi="Times New Roman" w:eastAsia="仿宋_GB2312"/>
          <w:sz w:val="32"/>
          <w:szCs w:val="32"/>
        </w:rPr>
        <w:t>完成了白蚁预防新增面积13.9万平方米，药品采购1吨，预防、灭治工程质量100%达标，全年使用资金19.52万元，防治施工费成本1.93元/平方米，药品成本9.84万元/吨。</w:t>
      </w:r>
    </w:p>
    <w:p>
      <w:pPr>
        <w:pStyle w:val="8"/>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（2）效益指标完成情况分析。减少经济损失不小于500万元</w:t>
      </w:r>
      <w:r>
        <w:rPr>
          <w:rFonts w:hint="eastAsia" w:ascii="Times New Roman" w:hAnsi="Times New Roman" w:eastAsia="仿宋_GB2312"/>
          <w:sz w:val="32"/>
          <w:szCs w:val="32"/>
        </w:rPr>
        <w:t>，增强人民群众对白蚁防治的必要性、重要性的认识，全面深入普查摸清攀枝花现有的白蚁种类及分布情况，有效控制白蚁危害在我市的蔓延，保质期达白蚁防治项目实施后15年。</w:t>
      </w:r>
    </w:p>
    <w:p>
      <w:pPr>
        <w:pStyle w:val="8"/>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（3）满意度指标完成情况分析。</w:t>
      </w:r>
      <w:r>
        <w:rPr>
          <w:rFonts w:hint="eastAsia" w:ascii="Times New Roman" w:hAnsi="Times New Roman" w:eastAsia="仿宋_GB2312"/>
          <w:sz w:val="32"/>
          <w:szCs w:val="32"/>
        </w:rPr>
        <w:t>群众满意度为满意。</w:t>
      </w:r>
    </w:p>
    <w:p>
      <w:pPr>
        <w:pStyle w:val="8"/>
        <w:spacing w:line="600" w:lineRule="exact"/>
        <w:ind w:firstLine="640" w:firstLineChars="200"/>
        <w:jc w:val="left"/>
        <w:rPr>
          <w:rFonts w:ascii="Times New Roman" w:hAnsi="Times New Roman" w:eastAsia="楷体"/>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w:t>
      </w:r>
      <w:r>
        <w:rPr>
          <w:rFonts w:hint="eastAsia" w:ascii="Times New Roman" w:hAnsi="Times New Roman" w:eastAsia="仿宋_GB2312"/>
          <w:sz w:val="32"/>
          <w:szCs w:val="32"/>
        </w:rPr>
        <w:t>其他运转类项目</w:t>
      </w:r>
      <w:r>
        <w:rPr>
          <w:rFonts w:ascii="Times New Roman" w:hAnsi="Times New Roman" w:eastAsia="仿宋_GB2312"/>
          <w:sz w:val="32"/>
          <w:szCs w:val="32"/>
        </w:rPr>
        <w:t>（</w:t>
      </w:r>
      <w:r>
        <w:rPr>
          <w:rFonts w:hint="eastAsia" w:ascii="Times New Roman" w:hAnsi="Times New Roman" w:eastAsia="仿宋_GB2312"/>
          <w:sz w:val="32"/>
          <w:szCs w:val="32"/>
        </w:rPr>
        <w:t>编外用工人员经费</w:t>
      </w:r>
      <w:r>
        <w:rPr>
          <w:rFonts w:ascii="Times New Roman" w:hAnsi="Times New Roman" w:eastAsia="仿宋_GB2312"/>
          <w:sz w:val="32"/>
          <w:szCs w:val="32"/>
        </w:rPr>
        <w:t>）资金绩效目标</w:t>
      </w:r>
      <w:r>
        <w:rPr>
          <w:rFonts w:hint="eastAsia" w:ascii="Times New Roman" w:hAnsi="Times New Roman" w:eastAsia="仿宋_GB2312"/>
          <w:sz w:val="32"/>
          <w:szCs w:val="32"/>
        </w:rPr>
        <w:t>制定及实现</w:t>
      </w:r>
      <w:r>
        <w:rPr>
          <w:rFonts w:ascii="Times New Roman" w:hAnsi="Times New Roman" w:eastAsia="仿宋_GB2312"/>
          <w:sz w:val="32"/>
          <w:szCs w:val="32"/>
        </w:rPr>
        <w:t>情况</w:t>
      </w:r>
    </w:p>
    <w:p>
      <w:pPr>
        <w:pStyle w:val="8"/>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（1）产出指标完成情况分析。</w:t>
      </w:r>
      <w:r>
        <w:rPr>
          <w:rFonts w:hint="eastAsia" w:ascii="Times New Roman" w:hAnsi="Times New Roman" w:eastAsia="仿宋_GB2312"/>
          <w:sz w:val="32"/>
          <w:szCs w:val="32"/>
        </w:rPr>
        <w:t>支付聘用人员35人，2021年度所需经费，合计147.47万元。完成房屋安全专项检查24次，办理预售资金审核拨付61.66亿元。</w:t>
      </w:r>
    </w:p>
    <w:p>
      <w:pPr>
        <w:pStyle w:val="8"/>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（2）效益指标完成情况分析。</w:t>
      </w:r>
      <w:r>
        <w:rPr>
          <w:rFonts w:hint="eastAsia" w:ascii="Times New Roman" w:hAnsi="Times New Roman" w:eastAsia="仿宋_GB2312"/>
          <w:sz w:val="32"/>
          <w:szCs w:val="32"/>
        </w:rPr>
        <w:t>保障我局各项业务顺利开展</w:t>
      </w:r>
    </w:p>
    <w:p>
      <w:pPr>
        <w:pStyle w:val="8"/>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（3）满意度指标完成情况分析。</w:t>
      </w:r>
      <w:r>
        <w:rPr>
          <w:rFonts w:hint="eastAsia" w:ascii="Times New Roman" w:hAnsi="Times New Roman" w:eastAsia="仿宋_GB2312"/>
          <w:sz w:val="32"/>
          <w:szCs w:val="32"/>
        </w:rPr>
        <w:t>聘用人员满意度为满意。</w:t>
      </w:r>
    </w:p>
    <w:p>
      <w:pPr>
        <w:pStyle w:val="8"/>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w:t>
      </w:r>
      <w:r>
        <w:rPr>
          <w:rFonts w:hint="eastAsia" w:ascii="Times New Roman" w:hAnsi="Times New Roman" w:eastAsia="仿宋_GB2312"/>
          <w:sz w:val="32"/>
          <w:szCs w:val="32"/>
        </w:rPr>
        <w:t>其他运转类项目</w:t>
      </w:r>
      <w:r>
        <w:rPr>
          <w:rFonts w:ascii="Times New Roman" w:hAnsi="Times New Roman" w:eastAsia="仿宋_GB2312"/>
          <w:sz w:val="32"/>
          <w:szCs w:val="32"/>
        </w:rPr>
        <w:t>（</w:t>
      </w:r>
      <w:r>
        <w:rPr>
          <w:rFonts w:hint="eastAsia" w:ascii="Times New Roman" w:hAnsi="Times New Roman" w:eastAsia="仿宋_GB2312"/>
          <w:sz w:val="32"/>
          <w:szCs w:val="32"/>
        </w:rPr>
        <w:t>房地产市场信息平台运行维护费</w:t>
      </w:r>
      <w:r>
        <w:rPr>
          <w:rFonts w:ascii="Times New Roman" w:hAnsi="Times New Roman" w:eastAsia="仿宋_GB2312"/>
          <w:sz w:val="32"/>
          <w:szCs w:val="32"/>
        </w:rPr>
        <w:t>）资金绩效目标</w:t>
      </w:r>
      <w:r>
        <w:rPr>
          <w:rFonts w:hint="eastAsia" w:ascii="Times New Roman" w:hAnsi="Times New Roman" w:eastAsia="仿宋_GB2312"/>
          <w:sz w:val="32"/>
          <w:szCs w:val="32"/>
        </w:rPr>
        <w:t>制定及实现</w:t>
      </w:r>
      <w:r>
        <w:rPr>
          <w:rFonts w:ascii="Times New Roman" w:hAnsi="Times New Roman" w:eastAsia="仿宋_GB2312"/>
          <w:sz w:val="32"/>
          <w:szCs w:val="32"/>
        </w:rPr>
        <w:t>情况</w:t>
      </w:r>
    </w:p>
    <w:p>
      <w:pPr>
        <w:pStyle w:val="8"/>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（1）产出指标完成情况分析。</w:t>
      </w:r>
      <w:r>
        <w:rPr>
          <w:rFonts w:hint="eastAsia" w:ascii="Times New Roman" w:hAnsi="Times New Roman" w:eastAsia="仿宋_GB2312"/>
          <w:sz w:val="32"/>
          <w:szCs w:val="32"/>
        </w:rPr>
        <w:t>保障了全局20台X86服务器，2台小型机，20多台网络安全设备运行，保障房地产市场信息平台7*24小时稳定运行，2021年全年共需资金50.71万元。</w:t>
      </w:r>
    </w:p>
    <w:p>
      <w:pPr>
        <w:pStyle w:val="8"/>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（2）效益指标完成情况分析。</w:t>
      </w:r>
      <w:r>
        <w:rPr>
          <w:rFonts w:hint="eastAsia" w:ascii="Times New Roman" w:hAnsi="Times New Roman" w:eastAsia="仿宋_GB2312"/>
          <w:sz w:val="32"/>
          <w:szCs w:val="32"/>
        </w:rPr>
        <w:t>避免造成重大安全责任事故和影响社会稳定房地产市场监控，为领导决策提供数据支撑，提高政府服务效能，减少群众重复提交多头资料，为我市“智慧城市”建设提供基础数据。</w:t>
      </w:r>
    </w:p>
    <w:p>
      <w:pPr>
        <w:pStyle w:val="8"/>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（3）满意度指标完成情况分析。</w:t>
      </w:r>
      <w:r>
        <w:rPr>
          <w:rFonts w:hint="eastAsia" w:ascii="Times New Roman" w:hAnsi="Times New Roman" w:eastAsia="仿宋_GB2312"/>
          <w:sz w:val="32"/>
          <w:szCs w:val="32"/>
        </w:rPr>
        <w:t>公众满意度为满意。</w:t>
      </w:r>
    </w:p>
    <w:p>
      <w:pPr>
        <w:pStyle w:val="8"/>
        <w:spacing w:line="600" w:lineRule="exact"/>
        <w:ind w:firstLine="640" w:firstLineChars="200"/>
        <w:jc w:val="left"/>
        <w:rPr>
          <w:rFonts w:ascii="Times New Roman" w:hAnsi="Times New Roman" w:eastAsia="楷体"/>
          <w:sz w:val="32"/>
          <w:szCs w:val="32"/>
        </w:rPr>
      </w:pPr>
      <w:r>
        <w:rPr>
          <w:rFonts w:hint="eastAsia" w:ascii="Times New Roman" w:hAnsi="Times New Roman" w:eastAsia="仿宋_GB2312"/>
          <w:sz w:val="32"/>
          <w:szCs w:val="32"/>
        </w:rPr>
        <w:t>6</w:t>
      </w:r>
      <w:r>
        <w:rPr>
          <w:rFonts w:ascii="Times New Roman" w:hAnsi="Times New Roman" w:eastAsia="仿宋_GB2312"/>
          <w:sz w:val="32"/>
          <w:szCs w:val="32"/>
        </w:rPr>
        <w:t>.</w:t>
      </w:r>
      <w:r>
        <w:rPr>
          <w:rFonts w:hint="eastAsia" w:ascii="Times New Roman" w:hAnsi="Times New Roman" w:eastAsia="仿宋_GB2312"/>
          <w:sz w:val="32"/>
          <w:szCs w:val="32"/>
        </w:rPr>
        <w:t>其他运转类项目</w:t>
      </w:r>
      <w:r>
        <w:rPr>
          <w:rFonts w:ascii="Times New Roman" w:hAnsi="Times New Roman" w:eastAsia="仿宋_GB2312"/>
          <w:sz w:val="32"/>
          <w:szCs w:val="32"/>
        </w:rPr>
        <w:t>（</w:t>
      </w:r>
      <w:r>
        <w:rPr>
          <w:rFonts w:hint="eastAsia" w:ascii="Times New Roman" w:hAnsi="Times New Roman" w:eastAsia="仿宋_GB2312"/>
          <w:sz w:val="32"/>
          <w:szCs w:val="32"/>
        </w:rPr>
        <w:t>既有房屋安全管理及公房维修经费</w:t>
      </w:r>
      <w:r>
        <w:rPr>
          <w:rFonts w:ascii="Times New Roman" w:hAnsi="Times New Roman" w:eastAsia="仿宋_GB2312"/>
          <w:sz w:val="32"/>
          <w:szCs w:val="32"/>
        </w:rPr>
        <w:t>）资金绩效目标</w:t>
      </w:r>
      <w:r>
        <w:rPr>
          <w:rFonts w:hint="eastAsia" w:ascii="Times New Roman" w:hAnsi="Times New Roman" w:eastAsia="仿宋_GB2312"/>
          <w:sz w:val="32"/>
          <w:szCs w:val="32"/>
        </w:rPr>
        <w:t>制定及实现</w:t>
      </w:r>
      <w:r>
        <w:rPr>
          <w:rFonts w:ascii="Times New Roman" w:hAnsi="Times New Roman" w:eastAsia="仿宋_GB2312"/>
          <w:sz w:val="32"/>
          <w:szCs w:val="32"/>
        </w:rPr>
        <w:t>情况</w:t>
      </w:r>
    </w:p>
    <w:p>
      <w:pPr>
        <w:pStyle w:val="8"/>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（1）产出指标完成情况分析。</w:t>
      </w:r>
      <w:r>
        <w:rPr>
          <w:rFonts w:hint="eastAsia" w:ascii="Times New Roman" w:hAnsi="Times New Roman" w:eastAsia="仿宋_GB2312"/>
          <w:sz w:val="32"/>
          <w:szCs w:val="32"/>
        </w:rPr>
        <w:t>电梯维保检查次数24次，配电房维保次数18次，房屋维修次数大于50次，保障电梯及配电房日常正常运行，年检达标率100%。</w:t>
      </w:r>
    </w:p>
    <w:p>
      <w:pPr>
        <w:pStyle w:val="8"/>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（2）效益指标完成情况分析。</w:t>
      </w:r>
      <w:r>
        <w:rPr>
          <w:rFonts w:hint="eastAsia" w:ascii="Times New Roman" w:hAnsi="Times New Roman" w:eastAsia="仿宋_GB2312"/>
          <w:sz w:val="32"/>
          <w:szCs w:val="32"/>
        </w:rPr>
        <w:t>做好房屋维修服务工作，保证房屋使用人住用安全，有效减少安全事故发生。</w:t>
      </w:r>
    </w:p>
    <w:p>
      <w:pPr>
        <w:pStyle w:val="8"/>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（3）满意度指标完成情况分析。</w:t>
      </w:r>
      <w:r>
        <w:rPr>
          <w:rFonts w:hint="eastAsia" w:ascii="Times New Roman" w:hAnsi="Times New Roman" w:eastAsia="仿宋_GB2312"/>
          <w:sz w:val="32"/>
          <w:szCs w:val="32"/>
        </w:rPr>
        <w:t>公众满意度为满意。</w:t>
      </w:r>
    </w:p>
    <w:p>
      <w:pPr>
        <w:pStyle w:val="8"/>
        <w:spacing w:line="600" w:lineRule="exact"/>
        <w:ind w:firstLine="640" w:firstLineChars="200"/>
        <w:jc w:val="left"/>
        <w:rPr>
          <w:rFonts w:ascii="Times New Roman" w:hAnsi="Times New Roman" w:eastAsia="楷体"/>
          <w:sz w:val="32"/>
          <w:szCs w:val="32"/>
        </w:rPr>
      </w:pPr>
      <w:r>
        <w:rPr>
          <w:rFonts w:hint="eastAsia" w:ascii="Times New Roman" w:hAnsi="Times New Roman" w:eastAsia="仿宋_GB2312"/>
          <w:sz w:val="32"/>
          <w:szCs w:val="32"/>
        </w:rPr>
        <w:t>7</w:t>
      </w:r>
      <w:r>
        <w:rPr>
          <w:rFonts w:ascii="Times New Roman" w:hAnsi="Times New Roman" w:eastAsia="仿宋_GB2312"/>
          <w:sz w:val="32"/>
          <w:szCs w:val="32"/>
        </w:rPr>
        <w:t>.</w:t>
      </w:r>
      <w:r>
        <w:rPr>
          <w:rFonts w:hint="eastAsia" w:ascii="Times New Roman" w:hAnsi="Times New Roman" w:eastAsia="仿宋_GB2312"/>
          <w:sz w:val="32"/>
          <w:szCs w:val="32"/>
        </w:rPr>
        <w:t>其他运转类项目</w:t>
      </w:r>
      <w:r>
        <w:rPr>
          <w:rFonts w:ascii="Times New Roman" w:hAnsi="Times New Roman" w:eastAsia="仿宋_GB2312"/>
          <w:sz w:val="32"/>
          <w:szCs w:val="32"/>
        </w:rPr>
        <w:t>（</w:t>
      </w:r>
      <w:r>
        <w:rPr>
          <w:rFonts w:hint="eastAsia" w:ascii="Times New Roman" w:hAnsi="Times New Roman" w:eastAsia="仿宋_GB2312"/>
          <w:sz w:val="32"/>
          <w:szCs w:val="32"/>
        </w:rPr>
        <w:t>业务用房物业管理费</w:t>
      </w:r>
      <w:r>
        <w:rPr>
          <w:rFonts w:ascii="Times New Roman" w:hAnsi="Times New Roman" w:eastAsia="仿宋_GB2312"/>
          <w:sz w:val="32"/>
          <w:szCs w:val="32"/>
        </w:rPr>
        <w:t>）资金绩效目标</w:t>
      </w:r>
      <w:r>
        <w:rPr>
          <w:rFonts w:hint="eastAsia" w:ascii="Times New Roman" w:hAnsi="Times New Roman" w:eastAsia="仿宋_GB2312"/>
          <w:sz w:val="32"/>
          <w:szCs w:val="32"/>
        </w:rPr>
        <w:t>制定及实现</w:t>
      </w:r>
      <w:r>
        <w:rPr>
          <w:rFonts w:ascii="Times New Roman" w:hAnsi="Times New Roman" w:eastAsia="仿宋_GB2312"/>
          <w:sz w:val="32"/>
          <w:szCs w:val="32"/>
        </w:rPr>
        <w:t>情况</w:t>
      </w:r>
    </w:p>
    <w:p>
      <w:pPr>
        <w:pStyle w:val="8"/>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（1）产出指标完成情况分析。</w:t>
      </w:r>
      <w:r>
        <w:rPr>
          <w:rFonts w:hint="eastAsia" w:ascii="Times New Roman" w:hAnsi="Times New Roman" w:eastAsia="仿宋_GB2312"/>
          <w:sz w:val="32"/>
          <w:szCs w:val="32"/>
        </w:rPr>
        <w:t>完成了办公区域6500余平方的清扫工作，完成了办公区域附2楼、1楼、4-8楼、13楼的安全值守，物业费标准5元/平方米。</w:t>
      </w:r>
    </w:p>
    <w:p>
      <w:pPr>
        <w:pStyle w:val="8"/>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（2）效益指标完成情况分析。</w:t>
      </w:r>
      <w:r>
        <w:rPr>
          <w:rFonts w:hint="eastAsia" w:ascii="Times New Roman" w:hAnsi="Times New Roman" w:eastAsia="仿宋_GB2312"/>
          <w:sz w:val="32"/>
          <w:szCs w:val="32"/>
        </w:rPr>
        <w:t>保障办公区域干净、安全，顺利开展日常工作。</w:t>
      </w:r>
    </w:p>
    <w:p>
      <w:pPr>
        <w:pStyle w:val="8"/>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（3）满意度指标完成情况分析。</w:t>
      </w:r>
      <w:r>
        <w:rPr>
          <w:rFonts w:hint="eastAsia" w:ascii="Times New Roman" w:hAnsi="Times New Roman" w:eastAsia="仿宋_GB2312"/>
          <w:sz w:val="32"/>
          <w:szCs w:val="32"/>
        </w:rPr>
        <w:t>办事群众满意度为满意。</w:t>
      </w:r>
    </w:p>
    <w:p>
      <w:pPr>
        <w:pStyle w:val="8"/>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8</w:t>
      </w:r>
      <w:r>
        <w:rPr>
          <w:rFonts w:ascii="Times New Roman" w:hAnsi="Times New Roman" w:eastAsia="仿宋_GB2312"/>
          <w:sz w:val="32"/>
          <w:szCs w:val="32"/>
        </w:rPr>
        <w:t>.</w:t>
      </w:r>
      <w:r>
        <w:rPr>
          <w:rFonts w:hint="eastAsia" w:ascii="Times New Roman" w:hAnsi="Times New Roman" w:eastAsia="仿宋_GB2312"/>
          <w:sz w:val="32"/>
          <w:szCs w:val="32"/>
        </w:rPr>
        <w:t>其他运转类项目</w:t>
      </w:r>
      <w:r>
        <w:rPr>
          <w:rFonts w:ascii="Times New Roman" w:hAnsi="Times New Roman" w:eastAsia="仿宋_GB2312"/>
          <w:sz w:val="32"/>
          <w:szCs w:val="32"/>
        </w:rPr>
        <w:t>（</w:t>
      </w:r>
      <w:r>
        <w:rPr>
          <w:rFonts w:hint="eastAsia" w:ascii="Times New Roman" w:hAnsi="Times New Roman" w:eastAsia="仿宋_GB2312"/>
          <w:sz w:val="32"/>
          <w:szCs w:val="32"/>
        </w:rPr>
        <w:t>新购商品住房购房补贴</w:t>
      </w:r>
      <w:r>
        <w:rPr>
          <w:rFonts w:ascii="Times New Roman" w:hAnsi="Times New Roman" w:eastAsia="仿宋_GB2312"/>
          <w:sz w:val="32"/>
          <w:szCs w:val="32"/>
        </w:rPr>
        <w:t>）资金绩效目标</w:t>
      </w:r>
      <w:r>
        <w:rPr>
          <w:rFonts w:hint="eastAsia" w:ascii="Times New Roman" w:hAnsi="Times New Roman" w:eastAsia="仿宋_GB2312"/>
          <w:sz w:val="32"/>
          <w:szCs w:val="32"/>
        </w:rPr>
        <w:t>制定及实现</w:t>
      </w:r>
      <w:r>
        <w:rPr>
          <w:rFonts w:ascii="Times New Roman" w:hAnsi="Times New Roman" w:eastAsia="仿宋_GB2312"/>
          <w:sz w:val="32"/>
          <w:szCs w:val="32"/>
        </w:rPr>
        <w:t>情况</w:t>
      </w:r>
    </w:p>
    <w:p>
      <w:pPr>
        <w:pStyle w:val="8"/>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（1）产出指标完成情况分析。</w:t>
      </w:r>
      <w:r>
        <w:rPr>
          <w:rFonts w:hint="eastAsia" w:ascii="Times New Roman" w:hAnsi="Times New Roman" w:eastAsia="仿宋_GB2312"/>
          <w:sz w:val="32"/>
          <w:szCs w:val="32"/>
        </w:rPr>
        <w:t>补贴发放户数1603户，，共计1983.85万元，保证2021年12月前的新购普通商品住房的购房补贴发放工作所需。</w:t>
      </w:r>
    </w:p>
    <w:p>
      <w:pPr>
        <w:pStyle w:val="8"/>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（2）效益指标完成情况分析。</w:t>
      </w:r>
      <w:r>
        <w:rPr>
          <w:rFonts w:hint="eastAsia" w:ascii="Times New Roman" w:hAnsi="Times New Roman" w:eastAsia="仿宋_GB2312"/>
          <w:sz w:val="32"/>
          <w:szCs w:val="32"/>
        </w:rPr>
        <w:t>提升市民购房热情，吸引外地购房者。支持房地产事业发展，让百姓得到实惠，推动房地产市场持续发展。</w:t>
      </w:r>
    </w:p>
    <w:p>
      <w:pPr>
        <w:pStyle w:val="8"/>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（3）满意度指标完成情况分析。</w:t>
      </w:r>
      <w:r>
        <w:rPr>
          <w:rFonts w:hint="eastAsia" w:ascii="Times New Roman" w:hAnsi="Times New Roman" w:eastAsia="仿宋_GB2312"/>
          <w:sz w:val="32"/>
          <w:szCs w:val="32"/>
        </w:rPr>
        <w:t>公众满意度为满意。</w:t>
      </w:r>
    </w:p>
    <w:p>
      <w:pPr>
        <w:pStyle w:val="8"/>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 xml:space="preserve">各预算项目均经过年初绩效评估、年中绩效监控及年终绩效自评，在年中对执行进度较慢的项目进行了通报提醒，并通过规范报销流程、加强监督，开展政府采购等方式严格控制支出，最终全年资金执行进度达99.59%，结余资金23.98万元，资金结余率0.41%，项目执行过程中资金使用合法合规，无违规记录的情况。 </w:t>
      </w:r>
    </w:p>
    <w:p>
      <w:pPr>
        <w:widowControl/>
        <w:adjustRightInd w:val="0"/>
        <w:snapToGrid w:val="0"/>
        <w:spacing w:line="572"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eastAsia="仿宋_GB2312"/>
          <w:sz w:val="32"/>
          <w:szCs w:val="32"/>
        </w:rPr>
      </w:pPr>
      <w:r>
        <w:rPr>
          <w:rFonts w:eastAsia="仿宋_GB2312"/>
          <w:sz w:val="32"/>
          <w:szCs w:val="32"/>
        </w:rPr>
        <w:t>我中心将根据自评结果重新审视项目实施的各项环节与细则，对于实际实施过程中的偏差及时查找原因，及时进行纠正，以便在日后的工作中及时改正</w:t>
      </w:r>
      <w:r>
        <w:rPr>
          <w:rFonts w:hint="eastAsia" w:eastAsia="仿宋_GB2312"/>
          <w:sz w:val="32"/>
          <w:szCs w:val="32"/>
        </w:rPr>
        <w:t>，使项目实施更加贴近绩效目标。</w:t>
      </w:r>
    </w:p>
    <w:p>
      <w:pPr>
        <w:widowControl/>
        <w:adjustRightInd w:val="0"/>
        <w:snapToGrid w:val="0"/>
        <w:spacing w:line="580"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eastAsia="仿宋_GB2312"/>
          <w:sz w:val="32"/>
          <w:szCs w:val="32"/>
        </w:rPr>
        <w:t>（三）</w:t>
      </w:r>
      <w:r>
        <w:rPr>
          <w:rFonts w:hint="eastAsia" w:ascii="仿宋_GB2312" w:eastAsia="仿宋_GB2312" w:cs="宋体"/>
          <w:kern w:val="0"/>
          <w:sz w:val="32"/>
          <w:szCs w:val="32"/>
          <w:shd w:val="clear" w:color="auto" w:fill="FFFFFF"/>
          <w:lang w:val="zh-CN"/>
        </w:rPr>
        <w:t>自评质量</w:t>
      </w:r>
    </w:p>
    <w:p>
      <w:pPr>
        <w:pStyle w:val="8"/>
        <w:spacing w:line="600" w:lineRule="exact"/>
        <w:ind w:firstLine="640" w:firstLineChars="200"/>
        <w:jc w:val="left"/>
        <w:rPr>
          <w:rFonts w:ascii="Times New Roman" w:hAnsi="Times New Roman" w:eastAsia="楷体_GB2312"/>
          <w:sz w:val="32"/>
          <w:szCs w:val="32"/>
        </w:rPr>
      </w:pPr>
      <w:r>
        <w:rPr>
          <w:rFonts w:hint="eastAsia" w:ascii="Times New Roman" w:hAnsi="Times New Roman" w:eastAsia="仿宋_GB2312"/>
          <w:sz w:val="32"/>
          <w:szCs w:val="32"/>
        </w:rPr>
        <w:t>自评过程合理，取数准确，指标设置贴近实际，能够较为真实的反映项目实施的实际情况，有较高的准确度。</w:t>
      </w:r>
    </w:p>
    <w:p>
      <w:pPr>
        <w:widowControl/>
        <w:adjustRightInd w:val="0"/>
        <w:snapToGrid w:val="0"/>
        <w:spacing w:line="576" w:lineRule="exact"/>
        <w:contextualSpacing/>
        <w:jc w:val="left"/>
        <w:rPr>
          <w:rFonts w:ascii="仿宋_GB2312" w:eastAsia="仿宋_GB2312" w:cs="宋体"/>
          <w:kern w:val="0"/>
          <w:sz w:val="32"/>
          <w:szCs w:val="32"/>
          <w:shd w:val="clear" w:color="auto" w:fill="FFFFFF"/>
        </w:rPr>
      </w:pPr>
    </w:p>
    <w:p>
      <w:pPr>
        <w:widowControl/>
        <w:adjustRightInd w:val="0"/>
        <w:snapToGrid w:val="0"/>
        <w:spacing w:line="576" w:lineRule="exact"/>
        <w:ind w:firstLine="640" w:firstLineChars="200"/>
        <w:contextualSpacing/>
        <w:jc w:val="left"/>
        <w:rPr>
          <w:rFonts w:ascii="黑体" w:eastAsia="黑体" w:cs="宋体"/>
          <w:kern w:val="0"/>
          <w:sz w:val="32"/>
          <w:szCs w:val="32"/>
          <w:shd w:val="clear" w:color="auto" w:fill="FFFFFF"/>
        </w:rPr>
      </w:pPr>
      <w:r>
        <w:rPr>
          <w:rFonts w:hint="eastAsia" w:ascii="黑体" w:eastAsia="黑体" w:cs="宋体"/>
          <w:kern w:val="0"/>
          <w:sz w:val="32"/>
          <w:szCs w:val="32"/>
          <w:shd w:val="clear" w:color="auto" w:fill="FFFFFF"/>
        </w:rPr>
        <w:t>四、评价结论及建议</w:t>
      </w:r>
    </w:p>
    <w:p>
      <w:pPr>
        <w:widowControl/>
        <w:adjustRightInd w:val="0"/>
        <w:snapToGrid w:val="0"/>
        <w:spacing w:line="576"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（一）评价结论。</w:t>
      </w:r>
    </w:p>
    <w:p>
      <w:pPr>
        <w:pStyle w:val="2"/>
        <w:spacing w:before="93" w:beforeLines="0"/>
        <w:ind w:firstLine="640" w:firstLineChars="200"/>
        <w:rPr>
          <w:lang w:val="zh-CN"/>
        </w:rPr>
      </w:pPr>
      <w:r>
        <w:rPr>
          <w:rFonts w:ascii="Times New Roman" w:hAnsi="Times New Roman"/>
          <w:sz w:val="32"/>
          <w:szCs w:val="32"/>
        </w:rPr>
        <w:t>全年能够较好地完成年初设定的绩效目标，但存在部分工作</w:t>
      </w:r>
      <w:r>
        <w:rPr>
          <w:rFonts w:hint="eastAsia" w:ascii="Times New Roman" w:hAnsi="Times New Roman"/>
          <w:sz w:val="32"/>
          <w:szCs w:val="32"/>
        </w:rPr>
        <w:t>年初绩效批复数远低于</w:t>
      </w:r>
      <w:r>
        <w:rPr>
          <w:rFonts w:ascii="Times New Roman" w:hAnsi="Times New Roman"/>
          <w:sz w:val="32"/>
          <w:szCs w:val="32"/>
        </w:rPr>
        <w:t>实际开展</w:t>
      </w:r>
      <w:r>
        <w:rPr>
          <w:rFonts w:hint="eastAsia" w:ascii="Times New Roman" w:hAnsi="Times New Roman"/>
          <w:sz w:val="32"/>
          <w:szCs w:val="32"/>
        </w:rPr>
        <w:t>业务量</w:t>
      </w:r>
      <w:r>
        <w:rPr>
          <w:rFonts w:ascii="Times New Roman" w:hAnsi="Times New Roman"/>
          <w:sz w:val="32"/>
          <w:szCs w:val="32"/>
        </w:rPr>
        <w:t>，</w:t>
      </w:r>
      <w:r>
        <w:rPr>
          <w:rFonts w:hint="eastAsia" w:ascii="Times New Roman" w:hAnsi="Times New Roman"/>
          <w:sz w:val="32"/>
          <w:szCs w:val="32"/>
        </w:rPr>
        <w:t>而导致所需资金不足。</w:t>
      </w:r>
      <w:r>
        <w:rPr>
          <w:rFonts w:ascii="Times New Roman" w:hAnsi="Times New Roman"/>
          <w:sz w:val="32"/>
          <w:szCs w:val="32"/>
        </w:rPr>
        <w:t>部分数据受实际情况影响年初预测存在偏差，均需日后积极改进。</w:t>
      </w:r>
    </w:p>
    <w:p>
      <w:pPr>
        <w:widowControl/>
        <w:adjustRightInd w:val="0"/>
        <w:snapToGrid w:val="0"/>
        <w:spacing w:line="576" w:lineRule="exact"/>
        <w:ind w:left="420" w:left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（二）存在问题。</w:t>
      </w:r>
    </w:p>
    <w:p>
      <w:pPr>
        <w:pStyle w:val="8"/>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本年白蚁防治</w:t>
      </w:r>
      <w:r>
        <w:rPr>
          <w:rFonts w:hint="eastAsia" w:ascii="Times New Roman" w:hAnsi="Times New Roman" w:eastAsia="仿宋_GB2312"/>
          <w:sz w:val="32"/>
          <w:szCs w:val="32"/>
        </w:rPr>
        <w:t>新增</w:t>
      </w:r>
      <w:r>
        <w:rPr>
          <w:rFonts w:ascii="Times New Roman" w:hAnsi="Times New Roman" w:eastAsia="仿宋_GB2312"/>
          <w:sz w:val="32"/>
          <w:szCs w:val="32"/>
        </w:rPr>
        <w:t>面积超出年初绩效目标</w:t>
      </w:r>
      <w:r>
        <w:rPr>
          <w:rFonts w:hint="eastAsia" w:ascii="Times New Roman" w:hAnsi="Times New Roman" w:eastAsia="仿宋_GB2312"/>
          <w:sz w:val="32"/>
          <w:szCs w:val="32"/>
        </w:rPr>
        <w:t>数</w:t>
      </w:r>
      <w:r>
        <w:rPr>
          <w:rFonts w:ascii="Times New Roman" w:hAnsi="Times New Roman" w:eastAsia="仿宋_GB2312"/>
          <w:sz w:val="32"/>
          <w:szCs w:val="32"/>
        </w:rPr>
        <w:t>，一方面受本年开工项目较多影响，另一方面</w:t>
      </w:r>
      <w:r>
        <w:rPr>
          <w:rFonts w:hint="eastAsia" w:ascii="Times New Roman" w:hAnsi="Times New Roman" w:eastAsia="仿宋_GB2312"/>
          <w:sz w:val="32"/>
          <w:szCs w:val="32"/>
        </w:rPr>
        <w:t>年初绩效批复数明显</w:t>
      </w:r>
      <w:r>
        <w:rPr>
          <w:rFonts w:ascii="Times New Roman" w:hAnsi="Times New Roman" w:eastAsia="仿宋_GB2312"/>
          <w:sz w:val="32"/>
          <w:szCs w:val="32"/>
        </w:rPr>
        <w:t>不足</w:t>
      </w:r>
      <w:r>
        <w:rPr>
          <w:rFonts w:hint="eastAsia" w:ascii="Times New Roman" w:hAnsi="Times New Roman" w:eastAsia="仿宋_GB2312"/>
          <w:sz w:val="32"/>
          <w:szCs w:val="32"/>
        </w:rPr>
        <w:t>。</w:t>
      </w:r>
    </w:p>
    <w:p>
      <w:pPr>
        <w:pStyle w:val="8"/>
        <w:spacing w:line="600" w:lineRule="exact"/>
        <w:ind w:firstLine="640" w:firstLineChars="200"/>
        <w:jc w:val="left"/>
        <w:rPr>
          <w:lang w:val="zh-CN"/>
        </w:rPr>
      </w:pPr>
      <w:r>
        <w:rPr>
          <w:rFonts w:hint="eastAsia" w:ascii="Times New Roman" w:hAnsi="Times New Roman" w:eastAsia="仿宋_GB2312"/>
          <w:sz w:val="32"/>
          <w:szCs w:val="32"/>
        </w:rPr>
        <w:t>2、</w:t>
      </w:r>
      <w:r>
        <w:rPr>
          <w:rFonts w:ascii="Times New Roman" w:hAnsi="Times New Roman" w:eastAsia="仿宋_GB2312"/>
          <w:sz w:val="32"/>
          <w:szCs w:val="32"/>
        </w:rPr>
        <w:t>新购商品住房补贴实际发放所需资金远超财政拨款金额，因此仍有部分符合条件但尚未领取补助费的购房者，</w:t>
      </w:r>
    </w:p>
    <w:p>
      <w:pPr>
        <w:widowControl/>
        <w:adjustRightInd w:val="0"/>
        <w:snapToGrid w:val="0"/>
        <w:spacing w:line="576"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（三）改进建议。</w:t>
      </w:r>
    </w:p>
    <w:p>
      <w:pPr>
        <w:pStyle w:val="2"/>
        <w:spacing w:before="93" w:beforeLines="0"/>
        <w:ind w:firstLine="640" w:firstLineChars="200"/>
        <w:rPr>
          <w:rFonts w:ascii="Times New Roman" w:hAnsi="Times New Roman"/>
          <w:sz w:val="32"/>
          <w:szCs w:val="32"/>
        </w:rPr>
      </w:pPr>
      <w:r>
        <w:rPr>
          <w:rFonts w:ascii="Times New Roman" w:hAnsi="Times New Roman"/>
          <w:kern w:val="2"/>
          <w:sz w:val="32"/>
          <w:szCs w:val="32"/>
        </w:rPr>
        <w:t>下一步我中心将增加预测的准确性</w:t>
      </w:r>
      <w:r>
        <w:rPr>
          <w:rFonts w:hint="eastAsia" w:ascii="Times New Roman" w:hAnsi="Times New Roman"/>
          <w:kern w:val="2"/>
          <w:sz w:val="32"/>
          <w:szCs w:val="32"/>
        </w:rPr>
        <w:t>，</w:t>
      </w:r>
      <w:r>
        <w:rPr>
          <w:rFonts w:ascii="Times New Roman" w:hAnsi="Times New Roman"/>
          <w:sz w:val="32"/>
          <w:szCs w:val="32"/>
        </w:rPr>
        <w:t>进行</w:t>
      </w:r>
      <w:r>
        <w:rPr>
          <w:rFonts w:hint="eastAsia" w:ascii="Times New Roman" w:hAnsi="Times New Roman"/>
          <w:sz w:val="32"/>
          <w:szCs w:val="32"/>
        </w:rPr>
        <w:t>更为</w:t>
      </w:r>
      <w:r>
        <w:rPr>
          <w:rFonts w:ascii="Times New Roman" w:hAnsi="Times New Roman"/>
          <w:sz w:val="32"/>
          <w:szCs w:val="32"/>
        </w:rPr>
        <w:t>细致的调研，</w:t>
      </w:r>
      <w:r>
        <w:rPr>
          <w:rFonts w:hint="eastAsia" w:ascii="Times New Roman" w:hAnsi="Times New Roman"/>
          <w:sz w:val="32"/>
          <w:szCs w:val="32"/>
        </w:rPr>
        <w:t>多与财政沟通，</w:t>
      </w:r>
      <w:r>
        <w:rPr>
          <w:rFonts w:ascii="Times New Roman" w:hAnsi="Times New Roman"/>
          <w:kern w:val="2"/>
          <w:sz w:val="32"/>
          <w:szCs w:val="32"/>
        </w:rPr>
        <w:t>更加积极争取财政资金，</w:t>
      </w:r>
      <w:r>
        <w:rPr>
          <w:rFonts w:hint="eastAsia" w:ascii="Times New Roman" w:hAnsi="Times New Roman"/>
          <w:kern w:val="2"/>
          <w:sz w:val="32"/>
          <w:szCs w:val="32"/>
        </w:rPr>
        <w:t>以</w:t>
      </w:r>
      <w:r>
        <w:rPr>
          <w:rFonts w:hint="eastAsia" w:ascii="Times New Roman" w:hAnsi="Times New Roman"/>
          <w:sz w:val="32"/>
          <w:szCs w:val="32"/>
        </w:rPr>
        <w:t>保障各项目的顺利有序实施。</w:t>
      </w:r>
    </w:p>
    <w:p>
      <w:pPr>
        <w:pStyle w:val="2"/>
        <w:spacing w:before="93" w:beforeLines="0"/>
        <w:ind w:firstLine="640" w:firstLineChars="200"/>
        <w:rPr>
          <w:rFonts w:ascii="Times New Roman" w:hAnsi="Times New Roman"/>
          <w:sz w:val="32"/>
          <w:szCs w:val="32"/>
        </w:rPr>
      </w:pPr>
    </w:p>
    <w:p>
      <w:pPr>
        <w:pStyle w:val="2"/>
        <w:spacing w:before="93" w:beforeLines="0"/>
        <w:ind w:firstLine="640" w:firstLineChars="200"/>
        <w:rPr>
          <w:rFonts w:ascii="Times New Roman" w:hAnsi="Times New Roman"/>
          <w:sz w:val="32"/>
          <w:szCs w:val="32"/>
        </w:rPr>
      </w:pPr>
    </w:p>
    <w:p>
      <w:pPr>
        <w:pStyle w:val="2"/>
        <w:spacing w:before="93" w:beforeLines="0"/>
        <w:ind w:firstLine="640" w:firstLineChars="200"/>
        <w:rPr>
          <w:rFonts w:ascii="Times New Roman" w:hAnsi="Times New Roman"/>
          <w:sz w:val="32"/>
          <w:szCs w:val="32"/>
        </w:rPr>
      </w:pPr>
    </w:p>
    <w:p>
      <w:pPr>
        <w:spacing w:line="560" w:lineRule="exact"/>
        <w:jc w:val="center"/>
        <w:rPr>
          <w:rFonts w:ascii="方正小标宋简体" w:eastAsia="方正小标宋简体"/>
          <w:kern w:val="0"/>
          <w:sz w:val="40"/>
          <w:szCs w:val="44"/>
          <w:lang w:val="zh-CN"/>
        </w:rPr>
      </w:pPr>
      <w:r>
        <w:rPr>
          <w:rFonts w:hint="eastAsia" w:ascii="方正小标宋简体" w:eastAsia="方正小标宋简体"/>
          <w:kern w:val="0"/>
          <w:sz w:val="40"/>
          <w:szCs w:val="44"/>
        </w:rPr>
        <w:t>2021年攀枝花市</w:t>
      </w:r>
      <w:r>
        <w:rPr>
          <w:rFonts w:ascii="方正小标宋简体" w:eastAsia="方正小标宋简体"/>
          <w:kern w:val="0"/>
          <w:sz w:val="40"/>
          <w:szCs w:val="44"/>
        </w:rPr>
        <w:t>建设工程质量安全站</w:t>
      </w:r>
    </w:p>
    <w:p>
      <w:pPr>
        <w:spacing w:line="572" w:lineRule="exact"/>
        <w:jc w:val="center"/>
        <w:rPr>
          <w:rFonts w:ascii="方正小标宋简体" w:eastAsia="方正小标宋简体"/>
          <w:kern w:val="0"/>
          <w:sz w:val="40"/>
          <w:szCs w:val="44"/>
          <w:lang w:val="zh-CN"/>
        </w:rPr>
      </w:pPr>
      <w:r>
        <w:rPr>
          <w:rFonts w:hint="eastAsia" w:ascii="方正小标宋简体" w:eastAsia="方正小标宋简体"/>
          <w:kern w:val="0"/>
          <w:sz w:val="40"/>
          <w:szCs w:val="44"/>
        </w:rPr>
        <w:t>部门整体绩效评价报告</w:t>
      </w:r>
    </w:p>
    <w:p>
      <w:pPr>
        <w:widowControl/>
        <w:adjustRightInd w:val="0"/>
        <w:snapToGrid w:val="0"/>
        <w:spacing w:line="572" w:lineRule="exact"/>
        <w:contextualSpacing/>
        <w:jc w:val="left"/>
        <w:rPr>
          <w:rFonts w:ascii="黑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eastAsia="黑体" w:cs="宋体"/>
          <w:kern w:val="0"/>
          <w:sz w:val="32"/>
          <w:szCs w:val="32"/>
          <w:shd w:val="clear" w:color="auto" w:fill="FFFFFF"/>
          <w:lang w:val="zh-CN"/>
        </w:rPr>
      </w:pPr>
      <w:r>
        <w:rPr>
          <w:rFonts w:hint="eastAsia" w:ascii="黑体" w:eastAsia="黑体" w:cs="宋体"/>
          <w:kern w:val="0"/>
          <w:sz w:val="32"/>
          <w:szCs w:val="32"/>
          <w:shd w:val="clear" w:color="auto" w:fill="FFFFFF"/>
        </w:rPr>
        <w:t>一、</w:t>
      </w:r>
      <w:r>
        <w:rPr>
          <w:rFonts w:hint="eastAsia" w:ascii="黑体" w:eastAsia="黑体" w:cs="宋体"/>
          <w:kern w:val="0"/>
          <w:sz w:val="32"/>
          <w:szCs w:val="32"/>
          <w:shd w:val="clear" w:color="auto" w:fill="FFFFFF"/>
          <w:lang w:val="zh-CN"/>
        </w:rPr>
        <w:t>部门（单位）概况</w:t>
      </w:r>
    </w:p>
    <w:p>
      <w:pPr>
        <w:widowControl/>
        <w:adjustRightInd w:val="0"/>
        <w:snapToGrid w:val="0"/>
        <w:spacing w:line="560"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一）机构组成。承担市住房和城乡建设局直接监管工程项目施工质量、消防、防雷、安全生产文明施工、扬尘防治等相关事务性、服务性工作；负责全市工程质量检测机构、施工企业安全生产、监理机构动态核查、考评具体事务的事务性、服务性工作；负责建筑工地质量安全标准化建设、建筑企业评优工作的业务指导；负责市住房和城乡建设局监管项目工程质量安全投诉处理协调工作；负责建筑工地远程视频监控、在线扬尘监测等信息化工作；负责对县（区）工程质量安全机构业务工作进行指导。</w:t>
      </w:r>
    </w:p>
    <w:p>
      <w:pPr>
        <w:snapToGrid w:val="0"/>
        <w:spacing w:line="560" w:lineRule="exact"/>
        <w:ind w:firstLine="640" w:firstLineChars="200"/>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工作内容包括日常工程质量安全监督检查、监督检测，建筑材料委托检测，日常质量安全监督巡查以及组织实施省、市各级要求进行的各类专项检查。</w:t>
      </w:r>
    </w:p>
    <w:p>
      <w:pPr>
        <w:snapToGrid w:val="0"/>
        <w:spacing w:line="560" w:lineRule="exact"/>
        <w:ind w:firstLine="640" w:firstLineChars="200"/>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（二）机构职能。攀枝花市建设工程质量安全站属参照公务员管理的行政事业单位、隶属于攀枝花市住房和城乡建设局的独立核算二级预算副县级单位。我单位共设有9个科室，经费来源由市财政全额拨款。</w:t>
      </w:r>
    </w:p>
    <w:p>
      <w:pPr>
        <w:snapToGrid w:val="0"/>
        <w:spacing w:line="520" w:lineRule="exact"/>
        <w:ind w:firstLine="640" w:firstLineChars="200"/>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（三）人员概况。攀枝花市建设工程质量安全站核定人员编制37人，实际在职人数32人（2021年退休1人,调入2人，公招3人，辞职1人，调出3人），退休人数33人。</w:t>
      </w:r>
    </w:p>
    <w:p>
      <w:pPr>
        <w:widowControl/>
        <w:adjustRightInd w:val="0"/>
        <w:snapToGrid w:val="0"/>
        <w:spacing w:line="572" w:lineRule="exact"/>
        <w:ind w:firstLine="640" w:firstLineChars="200"/>
        <w:contextualSpacing/>
        <w:jc w:val="left"/>
        <w:rPr>
          <w:rFonts w:ascii="黑体" w:eastAsia="黑体" w:cs="宋体"/>
          <w:kern w:val="0"/>
          <w:sz w:val="32"/>
          <w:szCs w:val="32"/>
          <w:shd w:val="clear" w:color="auto" w:fill="FFFFFF"/>
        </w:rPr>
      </w:pPr>
      <w:r>
        <w:rPr>
          <w:rFonts w:hint="eastAsia" w:ascii="黑体" w:eastAsia="黑体" w:cs="宋体"/>
          <w:kern w:val="0"/>
          <w:sz w:val="32"/>
          <w:szCs w:val="32"/>
          <w:shd w:val="clear" w:color="auto" w:fill="FFFFFF"/>
        </w:rPr>
        <w:t>二、部门财政资金收支情况</w:t>
      </w:r>
    </w:p>
    <w:p>
      <w:pPr>
        <w:snapToGrid w:val="0"/>
        <w:spacing w:line="520" w:lineRule="exact"/>
        <w:ind w:firstLine="640" w:firstLineChars="200"/>
        <w:rPr>
          <w:rFonts w:ascii="仿宋_GB2312" w:eastAsia="仿宋_GB2312"/>
          <w:sz w:val="32"/>
          <w:szCs w:val="32"/>
        </w:rPr>
      </w:pPr>
      <w:r>
        <w:rPr>
          <w:rFonts w:hint="eastAsia" w:ascii="仿宋_GB2312" w:eastAsia="仿宋_GB2312" w:cs="宋体"/>
          <w:kern w:val="0"/>
          <w:sz w:val="32"/>
          <w:szCs w:val="32"/>
          <w:shd w:val="clear" w:color="auto" w:fill="FFFFFF"/>
          <w:lang w:val="zh-CN"/>
        </w:rPr>
        <w:t>（一）部门财政资金收入情况。2021年财政拨款收入为932.37万元，其中基本支出715.17万元（人员经费627.97万元，日常公用经费87.20万元），基本支出占总支出76.71%；项目支出为217.20万元，占总支出23.29%。整体比上年增加11.02万元，主要是人员经费的增加。</w:t>
      </w:r>
    </w:p>
    <w:p>
      <w:pPr>
        <w:spacing w:line="560" w:lineRule="exact"/>
        <w:ind w:firstLine="640" w:firstLineChars="200"/>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（二）部门财政资金支出情况。</w:t>
      </w:r>
      <w:r>
        <w:rPr>
          <w:rFonts w:hint="eastAsia" w:ascii="仿宋_GB2312" w:eastAsia="仿宋_GB2312"/>
          <w:sz w:val="32"/>
          <w:szCs w:val="32"/>
        </w:rPr>
        <w:t>2021年实际共下达部门预算经费为932.37万元，实际完成预算支出为实际932.37万元，完成预算总额100%。</w:t>
      </w:r>
    </w:p>
    <w:p>
      <w:pPr>
        <w:widowControl/>
        <w:adjustRightInd w:val="0"/>
        <w:snapToGrid w:val="0"/>
        <w:spacing w:line="572" w:lineRule="exact"/>
        <w:ind w:firstLine="640" w:firstLineChars="200"/>
        <w:contextualSpacing/>
        <w:jc w:val="left"/>
        <w:rPr>
          <w:rFonts w:ascii="黑体" w:eastAsia="黑体" w:cs="宋体"/>
          <w:kern w:val="0"/>
          <w:sz w:val="32"/>
          <w:szCs w:val="32"/>
          <w:shd w:val="clear" w:color="auto" w:fill="FFFFFF"/>
        </w:rPr>
      </w:pPr>
      <w:r>
        <w:rPr>
          <w:rFonts w:hint="eastAsia" w:ascii="黑体" w:eastAsia="黑体" w:cs="宋体"/>
          <w:kern w:val="0"/>
          <w:sz w:val="32"/>
          <w:szCs w:val="32"/>
          <w:shd w:val="clear" w:color="auto" w:fill="FFFFFF"/>
        </w:rPr>
        <w:t>三、部门整体预算绩效管理情况</w:t>
      </w:r>
    </w:p>
    <w:p>
      <w:pPr>
        <w:widowControl/>
        <w:adjustRightInd w:val="0"/>
        <w:snapToGrid w:val="0"/>
        <w:spacing w:line="560"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（一）部门预算管理。</w:t>
      </w:r>
    </w:p>
    <w:p>
      <w:pPr>
        <w:spacing w:line="560" w:lineRule="exact"/>
        <w:ind w:firstLine="640" w:firstLineChars="200"/>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2021年实际共下达部门预算经费为932.37万元，实际完成预算支出为实际932.37万元，完成预算总额100%。我单位违规记录等情况。</w:t>
      </w:r>
    </w:p>
    <w:p>
      <w:pPr>
        <w:widowControl/>
        <w:adjustRightInd w:val="0"/>
        <w:snapToGrid w:val="0"/>
        <w:spacing w:line="560"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（二）结果应用情况。</w:t>
      </w:r>
    </w:p>
    <w:p>
      <w:pPr>
        <w:spacing w:line="560" w:lineRule="exact"/>
        <w:ind w:firstLine="640" w:firstLineChars="200"/>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我单位履行全市建筑监督工作，对全市工程质量监督管理的措施组织实施，各类质量监督检查，实施日常监督和专项检查，对工程质量监督系统的工程质量投诉、举报、并对其调查、协调、仲裁、处理。在项目资金使用上围绕“质量强市”开展工程质量监督工作，使全市工程质量水平有较大提升，确保工程质量优良合格。运用安全大检查、专项检查、随机巡查等多层次检查方式，通过聘请技术专家共同开展检查，增加检查深度，推进受监工程安全文明施工标准化，保障受监工程安全生产形势平稳受控，让资金发挥更好的作用。</w:t>
      </w:r>
    </w:p>
    <w:p>
      <w:pPr>
        <w:widowControl/>
        <w:adjustRightInd w:val="0"/>
        <w:snapToGrid w:val="0"/>
        <w:spacing w:line="560" w:lineRule="exact"/>
        <w:ind w:firstLine="640" w:firstLineChars="200"/>
        <w:contextualSpacing/>
        <w:jc w:val="left"/>
        <w:rPr>
          <w:rFonts w:ascii="黑体" w:eastAsia="黑体" w:cs="宋体"/>
          <w:kern w:val="0"/>
          <w:sz w:val="32"/>
          <w:szCs w:val="32"/>
          <w:shd w:val="clear" w:color="auto" w:fill="FFFFFF"/>
        </w:rPr>
      </w:pPr>
      <w:r>
        <w:rPr>
          <w:rFonts w:hint="eastAsia" w:ascii="黑体" w:eastAsia="黑体" w:cs="宋体"/>
          <w:kern w:val="0"/>
          <w:sz w:val="32"/>
          <w:szCs w:val="32"/>
          <w:shd w:val="clear" w:color="auto" w:fill="FFFFFF"/>
        </w:rPr>
        <w:t>四、评价结论及建议</w:t>
      </w:r>
    </w:p>
    <w:p>
      <w:pPr>
        <w:pStyle w:val="2"/>
        <w:spacing w:before="93" w:beforeLines="0"/>
        <w:ind w:firstLine="640" w:firstLineChars="200"/>
        <w:rPr>
          <w:sz w:val="32"/>
          <w:szCs w:val="32"/>
        </w:rPr>
      </w:pPr>
      <w:r>
        <w:rPr>
          <w:rFonts w:hint="eastAsia"/>
          <w:sz w:val="32"/>
          <w:szCs w:val="32"/>
        </w:rPr>
        <w:t>市工程质量安全监督站在财务管理上严格按照财务管理制度执行，在决算编报上认真按照财政下达的工作步骤组织编报、数据与财政下达的数据一致，套表审核全部通过。</w:t>
      </w:r>
    </w:p>
    <w:p>
      <w:pPr>
        <w:pStyle w:val="2"/>
        <w:spacing w:before="93" w:beforeLines="0"/>
        <w:ind w:firstLine="640" w:firstLineChars="200"/>
        <w:rPr>
          <w:sz w:val="32"/>
          <w:szCs w:val="32"/>
        </w:rPr>
      </w:pPr>
    </w:p>
    <w:p>
      <w:pPr>
        <w:pStyle w:val="2"/>
        <w:spacing w:before="93" w:beforeLines="0"/>
        <w:ind w:firstLine="640" w:firstLineChars="200"/>
        <w:rPr>
          <w:sz w:val="32"/>
          <w:szCs w:val="32"/>
        </w:rPr>
      </w:pPr>
    </w:p>
    <w:p>
      <w:pPr>
        <w:pStyle w:val="2"/>
        <w:spacing w:before="93" w:beforeLines="0"/>
        <w:ind w:firstLine="640" w:firstLineChars="200"/>
        <w:rPr>
          <w:sz w:val="32"/>
          <w:szCs w:val="32"/>
        </w:rPr>
      </w:pPr>
    </w:p>
    <w:p>
      <w:pPr>
        <w:pStyle w:val="2"/>
        <w:spacing w:before="93" w:beforeLines="0"/>
        <w:ind w:firstLine="640" w:firstLineChars="200"/>
        <w:rPr>
          <w:sz w:val="32"/>
          <w:szCs w:val="32"/>
        </w:rPr>
      </w:pPr>
    </w:p>
    <w:p>
      <w:pPr>
        <w:pStyle w:val="2"/>
        <w:spacing w:before="93" w:beforeLines="0"/>
        <w:ind w:firstLine="640" w:firstLineChars="200"/>
        <w:rPr>
          <w:sz w:val="32"/>
          <w:szCs w:val="32"/>
        </w:rPr>
      </w:pPr>
    </w:p>
    <w:p>
      <w:pPr>
        <w:pStyle w:val="2"/>
        <w:spacing w:before="93" w:beforeLines="0"/>
        <w:ind w:firstLine="640" w:firstLineChars="200"/>
        <w:rPr>
          <w:sz w:val="32"/>
          <w:szCs w:val="32"/>
        </w:rPr>
      </w:pPr>
    </w:p>
    <w:p>
      <w:pPr>
        <w:pStyle w:val="2"/>
        <w:spacing w:before="93" w:beforeLines="0"/>
        <w:ind w:firstLine="640" w:firstLineChars="200"/>
        <w:rPr>
          <w:sz w:val="32"/>
          <w:szCs w:val="32"/>
        </w:rPr>
      </w:pPr>
    </w:p>
    <w:p>
      <w:pPr>
        <w:pStyle w:val="2"/>
        <w:spacing w:before="93" w:beforeLines="0"/>
        <w:ind w:firstLine="640" w:firstLineChars="200"/>
        <w:rPr>
          <w:sz w:val="32"/>
          <w:szCs w:val="32"/>
        </w:rPr>
      </w:pPr>
    </w:p>
    <w:p>
      <w:pPr>
        <w:pStyle w:val="2"/>
        <w:spacing w:before="93" w:beforeLines="0"/>
        <w:ind w:firstLine="640" w:firstLineChars="200"/>
        <w:rPr>
          <w:sz w:val="32"/>
          <w:szCs w:val="32"/>
        </w:rPr>
      </w:pPr>
    </w:p>
    <w:p>
      <w:pPr>
        <w:pStyle w:val="2"/>
        <w:spacing w:before="93" w:beforeLines="0"/>
        <w:ind w:firstLine="640" w:firstLineChars="200"/>
        <w:rPr>
          <w:sz w:val="32"/>
          <w:szCs w:val="32"/>
        </w:rPr>
      </w:pPr>
    </w:p>
    <w:p>
      <w:pPr>
        <w:pStyle w:val="2"/>
        <w:spacing w:before="93" w:beforeLines="0"/>
        <w:ind w:firstLine="640" w:firstLineChars="200"/>
        <w:rPr>
          <w:sz w:val="32"/>
          <w:szCs w:val="32"/>
        </w:rPr>
      </w:pPr>
    </w:p>
    <w:p>
      <w:pPr>
        <w:pStyle w:val="2"/>
        <w:spacing w:before="93" w:beforeLines="0"/>
        <w:ind w:firstLine="640" w:firstLineChars="200"/>
        <w:rPr>
          <w:sz w:val="32"/>
          <w:szCs w:val="32"/>
        </w:rPr>
      </w:pPr>
    </w:p>
    <w:p>
      <w:pPr>
        <w:pStyle w:val="2"/>
        <w:spacing w:before="93" w:beforeLines="0"/>
        <w:ind w:firstLine="640" w:firstLineChars="200"/>
        <w:rPr>
          <w:sz w:val="32"/>
          <w:szCs w:val="32"/>
        </w:rPr>
      </w:pPr>
    </w:p>
    <w:p>
      <w:pPr>
        <w:pStyle w:val="2"/>
        <w:spacing w:before="93" w:beforeLines="0"/>
        <w:ind w:firstLine="640" w:firstLineChars="200"/>
        <w:rPr>
          <w:sz w:val="32"/>
          <w:szCs w:val="32"/>
        </w:rPr>
      </w:pPr>
    </w:p>
    <w:p>
      <w:pPr>
        <w:pStyle w:val="2"/>
        <w:spacing w:before="93" w:beforeLines="0"/>
        <w:ind w:firstLine="640" w:firstLineChars="200"/>
        <w:rPr>
          <w:sz w:val="32"/>
          <w:szCs w:val="32"/>
        </w:rPr>
      </w:pPr>
    </w:p>
    <w:p>
      <w:pPr>
        <w:pStyle w:val="2"/>
        <w:spacing w:before="93" w:beforeLines="0"/>
        <w:ind w:firstLine="640" w:firstLineChars="200"/>
        <w:rPr>
          <w:sz w:val="32"/>
          <w:szCs w:val="32"/>
        </w:rPr>
      </w:pPr>
    </w:p>
    <w:p>
      <w:pPr>
        <w:pStyle w:val="2"/>
        <w:spacing w:before="93" w:beforeLines="0"/>
        <w:ind w:firstLine="640" w:firstLineChars="200"/>
        <w:rPr>
          <w:sz w:val="32"/>
          <w:szCs w:val="32"/>
        </w:rPr>
      </w:pPr>
    </w:p>
    <w:p>
      <w:pPr>
        <w:pStyle w:val="2"/>
        <w:spacing w:before="93" w:beforeLines="0"/>
        <w:ind w:firstLine="480" w:firstLineChars="200"/>
      </w:pPr>
    </w:p>
    <w:p>
      <w:pPr>
        <w:spacing w:line="572" w:lineRule="exact"/>
        <w:jc w:val="center"/>
        <w:rPr>
          <w:rFonts w:ascii="方正小标宋简体" w:eastAsia="方正小标宋简体"/>
          <w:kern w:val="0"/>
          <w:sz w:val="40"/>
          <w:szCs w:val="44"/>
          <w:lang w:val="zh-CN"/>
        </w:rPr>
      </w:pPr>
      <w:r>
        <w:rPr>
          <w:rFonts w:hint="eastAsia" w:ascii="方正小标宋简体" w:eastAsia="方正小标宋简体"/>
          <w:kern w:val="0"/>
          <w:sz w:val="40"/>
          <w:szCs w:val="44"/>
        </w:rPr>
        <w:t>2021年攀枝花市建筑节能和绿色建筑发展中心整体绩效评价报告</w:t>
      </w:r>
    </w:p>
    <w:p>
      <w:pPr>
        <w:widowControl/>
        <w:adjustRightInd w:val="0"/>
        <w:snapToGrid w:val="0"/>
        <w:spacing w:line="572" w:lineRule="exact"/>
        <w:ind w:firstLine="480" w:firstLineChars="200"/>
        <w:contextualSpacing/>
        <w:jc w:val="left"/>
        <w:rPr>
          <w:rFonts w:ascii="黑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eastAsia="黑体" w:cs="宋体"/>
          <w:kern w:val="0"/>
          <w:sz w:val="32"/>
          <w:szCs w:val="32"/>
          <w:shd w:val="clear" w:color="auto" w:fill="FFFFFF"/>
          <w:lang w:val="zh-CN"/>
        </w:rPr>
      </w:pPr>
      <w:r>
        <w:rPr>
          <w:rFonts w:hint="eastAsia" w:ascii="黑体" w:eastAsia="黑体" w:cs="宋体"/>
          <w:kern w:val="0"/>
          <w:sz w:val="32"/>
          <w:szCs w:val="32"/>
          <w:shd w:val="clear" w:color="auto" w:fill="FFFFFF"/>
        </w:rPr>
        <w:t>一、</w:t>
      </w:r>
      <w:r>
        <w:rPr>
          <w:rFonts w:hint="eastAsia" w:ascii="黑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（一）机构组成：</w:t>
      </w:r>
      <w:r>
        <w:rPr>
          <w:rFonts w:hint="eastAsia" w:ascii="仿宋_GB2312" w:eastAsia="仿宋_GB2312"/>
          <w:sz w:val="32"/>
          <w:szCs w:val="32"/>
        </w:rPr>
        <w:t>攀枝花市建筑节能和绿色建筑发展中心是隶属于攀枝花市住房和城乡建设局的副县级参照公务员管理事业单位。</w:t>
      </w:r>
    </w:p>
    <w:p>
      <w:pPr>
        <w:spacing w:line="600" w:lineRule="exact"/>
        <w:ind w:firstLine="640" w:firstLineChars="200"/>
        <w:rPr>
          <w:rFonts w:ascii="仿宋_GB2312" w:eastAsia="仿宋_GB2312"/>
          <w:sz w:val="32"/>
          <w:szCs w:val="32"/>
        </w:rPr>
      </w:pPr>
      <w:r>
        <w:rPr>
          <w:rFonts w:hint="eastAsia" w:ascii="仿宋_GB2312" w:eastAsia="仿宋_GB2312" w:cs="宋体"/>
          <w:kern w:val="0"/>
          <w:sz w:val="32"/>
          <w:szCs w:val="32"/>
          <w:shd w:val="clear" w:color="auto" w:fill="FFFFFF"/>
          <w:lang w:val="zh-CN"/>
        </w:rPr>
        <w:t>（二）机构职能：</w:t>
      </w:r>
      <w:r>
        <w:rPr>
          <w:rFonts w:hint="eastAsia" w:ascii="仿宋" w:eastAsia="仿宋"/>
          <w:color w:val="000000"/>
          <w:sz w:val="32"/>
          <w:szCs w:val="32"/>
        </w:rPr>
        <w:t>承担全市散装水泥、新型墙材、建筑节能和绿色建筑相关事务性、服务性工作；负责散装水泥、新型墙材、建筑节能和绿色建筑相关的宣传培训、信息交流、</w:t>
      </w:r>
      <w:r>
        <w:rPr>
          <w:rFonts w:hint="eastAsia" w:ascii="仿宋_GB2312" w:eastAsia="仿宋_GB2312"/>
          <w:sz w:val="32"/>
          <w:szCs w:val="32"/>
        </w:rPr>
        <w:t>统计上报和新技术、新材料、新工艺、新设备的推广应用；协调全市绿色建材发展工作；负责对全市散装水泥、新型墙材、建筑节能和绿色建筑发展工作的业务指导。</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val="zh-CN"/>
        </w:rPr>
        <w:t>（三）人员概况：</w:t>
      </w:r>
      <w:r>
        <w:rPr>
          <w:rFonts w:hint="eastAsia" w:ascii="仿宋_GB2312" w:eastAsia="仿宋_GB2312"/>
          <w:sz w:val="32"/>
          <w:szCs w:val="32"/>
        </w:rPr>
        <w:t>共有编制数10个,实有在职人员9名，退休人员2名，劳务派遣人员2人，共有三个内设科室，分别为：综合科、科研法规科、工程应用科。</w:t>
      </w:r>
    </w:p>
    <w:p>
      <w:pPr>
        <w:widowControl/>
        <w:adjustRightInd w:val="0"/>
        <w:snapToGrid w:val="0"/>
        <w:spacing w:line="572" w:lineRule="exact"/>
        <w:ind w:firstLine="640" w:firstLineChars="200"/>
        <w:contextualSpacing/>
        <w:jc w:val="left"/>
        <w:rPr>
          <w:rFonts w:ascii="黑体" w:eastAsia="黑体" w:cs="宋体"/>
          <w:kern w:val="0"/>
          <w:sz w:val="32"/>
          <w:szCs w:val="32"/>
          <w:shd w:val="clear" w:color="auto" w:fill="FFFFFF"/>
        </w:rPr>
      </w:pPr>
      <w:r>
        <w:rPr>
          <w:rFonts w:hint="eastAsia" w:ascii="黑体" w:eastAsia="黑体" w:cs="宋体"/>
          <w:kern w:val="0"/>
          <w:sz w:val="32"/>
          <w:szCs w:val="32"/>
          <w:shd w:val="clear" w:color="auto" w:fill="FFFFFF"/>
        </w:rPr>
        <w:t>二、部门财政资金收支情况</w:t>
      </w:r>
    </w:p>
    <w:p>
      <w:pPr>
        <w:spacing w:line="600" w:lineRule="exact"/>
        <w:ind w:firstLine="640" w:firstLineChars="200"/>
        <w:rPr>
          <w:rFonts w:ascii="仿宋_GB2312" w:eastAsia="仿宋_GB2312"/>
          <w:sz w:val="32"/>
          <w:szCs w:val="32"/>
        </w:rPr>
      </w:pPr>
      <w:r>
        <w:rPr>
          <w:rFonts w:hint="eastAsia" w:ascii="仿宋_GB2312" w:eastAsia="仿宋_GB2312" w:cs="宋体"/>
          <w:kern w:val="0"/>
          <w:sz w:val="32"/>
          <w:szCs w:val="32"/>
          <w:shd w:val="clear" w:color="auto" w:fill="FFFFFF"/>
          <w:lang w:val="zh-CN"/>
        </w:rPr>
        <w:t>（一）部门财政资金收入情况。</w:t>
      </w:r>
      <w:r>
        <w:rPr>
          <w:rFonts w:hint="eastAsia" w:ascii="仿宋_GB2312" w:eastAsia="仿宋_GB2312"/>
          <w:sz w:val="32"/>
          <w:szCs w:val="32"/>
        </w:rPr>
        <w:t>市节能绿建中心2021年部门财政收入221.89万元，其中：基本支出199.59万元（其中包含人员经费175.77万元，公用经费23.82万元），项目经费22.3万元。</w:t>
      </w:r>
    </w:p>
    <w:p>
      <w:pPr>
        <w:spacing w:line="600" w:lineRule="exact"/>
        <w:ind w:firstLine="640" w:firstLineChars="200"/>
        <w:rPr>
          <w:rFonts w:ascii="仿宋_GB2312" w:eastAsia="仿宋_GB2312"/>
          <w:sz w:val="32"/>
          <w:szCs w:val="32"/>
        </w:rPr>
      </w:pPr>
      <w:r>
        <w:rPr>
          <w:rFonts w:hint="eastAsia" w:ascii="仿宋_GB2312" w:eastAsia="仿宋_GB2312" w:cs="宋体"/>
          <w:kern w:val="0"/>
          <w:sz w:val="32"/>
          <w:szCs w:val="32"/>
          <w:shd w:val="clear" w:color="auto" w:fill="FFFFFF"/>
          <w:lang w:val="zh-CN"/>
        </w:rPr>
        <w:t>（二）部门财政资金支出情况。</w:t>
      </w:r>
      <w:r>
        <w:rPr>
          <w:rFonts w:hint="eastAsia" w:ascii="仿宋_GB2312" w:eastAsia="仿宋_GB2312"/>
          <w:sz w:val="32"/>
          <w:szCs w:val="32"/>
        </w:rPr>
        <w:t>市节能绿建中心2021年支出预算221.89万元，其中：基本支出199.59万元（其中包含人员经费175.77万元，公用经费23.82万元），项目支出22.3万元。</w:t>
      </w:r>
    </w:p>
    <w:p>
      <w:pPr>
        <w:widowControl/>
        <w:adjustRightInd w:val="0"/>
        <w:snapToGrid w:val="0"/>
        <w:spacing w:line="572" w:lineRule="exact"/>
        <w:ind w:firstLine="640" w:firstLineChars="200"/>
        <w:contextualSpacing/>
        <w:jc w:val="left"/>
        <w:rPr>
          <w:rFonts w:ascii="黑体" w:eastAsia="黑体" w:cs="宋体"/>
          <w:kern w:val="0"/>
          <w:sz w:val="32"/>
          <w:szCs w:val="32"/>
          <w:shd w:val="clear" w:color="auto" w:fill="FFFFFF"/>
        </w:rPr>
      </w:pPr>
      <w:r>
        <w:rPr>
          <w:rFonts w:hint="eastAsia" w:ascii="黑体" w:eastAsia="黑体" w:cs="宋体"/>
          <w:kern w:val="0"/>
          <w:sz w:val="32"/>
          <w:szCs w:val="32"/>
          <w:shd w:val="clear" w:color="auto" w:fill="FFFFFF"/>
        </w:rPr>
        <w:t>三、部门整体预算绩效管理情况</w:t>
      </w:r>
    </w:p>
    <w:p>
      <w:pPr>
        <w:widowControl/>
        <w:adjustRightInd w:val="0"/>
        <w:snapToGrid w:val="0"/>
        <w:spacing w:line="572" w:lineRule="exact"/>
        <w:ind w:firstLine="642" w:firstLineChars="200"/>
        <w:contextualSpacing/>
        <w:jc w:val="left"/>
        <w:rPr>
          <w:rFonts w:ascii="仿宋_GB2312" w:eastAsia="仿宋_GB2312" w:cs="宋体"/>
          <w:b/>
          <w:bCs/>
          <w:kern w:val="0"/>
          <w:sz w:val="32"/>
          <w:szCs w:val="32"/>
          <w:shd w:val="clear" w:color="auto" w:fill="FFFFFF"/>
          <w:lang w:val="zh-CN"/>
        </w:rPr>
      </w:pPr>
      <w:r>
        <w:rPr>
          <w:rFonts w:hint="eastAsia" w:ascii="仿宋_GB2312" w:eastAsia="仿宋_GB2312" w:cs="宋体"/>
          <w:b/>
          <w:bCs/>
          <w:kern w:val="0"/>
          <w:sz w:val="32"/>
          <w:szCs w:val="32"/>
          <w:shd w:val="clear" w:color="auto" w:fill="FFFFFF"/>
          <w:lang w:val="zh-CN"/>
        </w:rPr>
        <w:t>（一）部门预算项目绩效管理。</w:t>
      </w:r>
    </w:p>
    <w:p>
      <w:pPr>
        <w:pStyle w:val="8"/>
        <w:spacing w:line="600" w:lineRule="exact"/>
        <w:ind w:firstLine="640" w:firstLineChars="200"/>
        <w:jc w:val="left"/>
        <w:rPr>
          <w:rFonts w:ascii="仿宋_GB2312" w:eastAsia="仿宋_GB2312"/>
          <w:sz w:val="32"/>
          <w:szCs w:val="32"/>
        </w:rPr>
      </w:pPr>
      <w:r>
        <w:rPr>
          <w:rFonts w:hint="eastAsia" w:ascii="仿宋_GB2312" w:eastAsia="仿宋_GB2312"/>
          <w:sz w:val="32"/>
          <w:szCs w:val="32"/>
        </w:rPr>
        <w:t>1.年初部门预算绩效目标完成情况</w:t>
      </w:r>
    </w:p>
    <w:p>
      <w:pPr>
        <w:pStyle w:val="8"/>
        <w:spacing w:line="600" w:lineRule="exact"/>
        <w:ind w:firstLine="640" w:firstLineChars="200"/>
        <w:jc w:val="left"/>
        <w:rPr>
          <w:rFonts w:ascii="仿宋_GB2312" w:eastAsia="仿宋_GB2312"/>
          <w:sz w:val="32"/>
          <w:szCs w:val="32"/>
        </w:rPr>
      </w:pPr>
      <w:r>
        <w:rPr>
          <w:rFonts w:hint="eastAsia" w:ascii="仿宋_GB2312" w:eastAsia="仿宋_GB2312"/>
          <w:sz w:val="32"/>
          <w:szCs w:val="32"/>
        </w:rPr>
        <w:t>（1）产出指标完成情况分析。市节能绿建中心2021年支出预算221.89万元，保障了单位正常运转，完成2021年省建设厅、市住建局下达的绿色建筑各项目标任务。</w:t>
      </w:r>
    </w:p>
    <w:p>
      <w:pPr>
        <w:pStyle w:val="8"/>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效益指标完成情况分析。继续推进散装水泥、新型墙材、节能型建材的推广使用和备案工作，加强行业企业质量监管，加强施工现场巡查监管；大力展开绿色建筑推广工作，推广使用节能型建筑材料、绿色建筑，使可再生能源有效利用，有效降低建筑使用能耗，保护生态环境，改善人居环境，促进经济和社会可持续发展。</w:t>
      </w:r>
    </w:p>
    <w:p>
      <w:pPr>
        <w:pStyle w:val="8"/>
        <w:spacing w:line="600" w:lineRule="exact"/>
        <w:ind w:firstLine="640" w:firstLineChars="200"/>
        <w:jc w:val="left"/>
        <w:rPr>
          <w:rFonts w:ascii="仿宋_GB2312" w:eastAsia="仿宋_GB2312"/>
          <w:sz w:val="32"/>
          <w:szCs w:val="32"/>
        </w:rPr>
      </w:pPr>
      <w:r>
        <w:rPr>
          <w:rFonts w:hint="eastAsia" w:ascii="仿宋_GB2312" w:eastAsia="仿宋_GB2312"/>
          <w:sz w:val="32"/>
          <w:szCs w:val="32"/>
        </w:rPr>
        <w:t>（3）满意度指标完成情况分析。</w:t>
      </w:r>
    </w:p>
    <w:p>
      <w:pPr>
        <w:pStyle w:val="8"/>
        <w:spacing w:line="600" w:lineRule="exact"/>
        <w:ind w:firstLine="640" w:firstLineChars="200"/>
        <w:jc w:val="left"/>
        <w:rPr>
          <w:rFonts w:ascii="楷体" w:eastAsia="楷体" w:cs="仿宋_GB2312"/>
          <w:sz w:val="32"/>
          <w:szCs w:val="32"/>
        </w:rPr>
      </w:pPr>
      <w:r>
        <w:rPr>
          <w:rFonts w:hint="eastAsia" w:ascii="仿宋_GB2312" w:eastAsia="仿宋_GB2312"/>
          <w:sz w:val="32"/>
          <w:szCs w:val="32"/>
        </w:rPr>
        <w:t>市民及服务对象满意度达95%以</w:t>
      </w:r>
      <w:r>
        <w:rPr>
          <w:rFonts w:hint="eastAsia" w:ascii="仿宋_GB2312" w:eastAsia="仿宋_GB2312" w:cs="仿宋_GB2312"/>
          <w:sz w:val="32"/>
          <w:szCs w:val="32"/>
        </w:rPr>
        <w:t>上。</w:t>
      </w:r>
    </w:p>
    <w:p>
      <w:pPr>
        <w:pStyle w:val="8"/>
        <w:spacing w:line="60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2</w:t>
      </w:r>
      <w:r>
        <w:rPr>
          <w:rFonts w:ascii="仿宋_GB2312" w:eastAsia="仿宋_GB2312" w:cs="仿宋_GB2312"/>
          <w:sz w:val="32"/>
          <w:szCs w:val="32"/>
        </w:rPr>
        <w:t>.市级专项（</w:t>
      </w:r>
      <w:r>
        <w:rPr>
          <w:rFonts w:hint="eastAsia" w:ascii="仿宋_GB2312" w:eastAsia="仿宋_GB2312" w:cs="仿宋_GB2312"/>
          <w:sz w:val="32"/>
          <w:szCs w:val="32"/>
        </w:rPr>
        <w:t>项目</w:t>
      </w:r>
      <w:r>
        <w:rPr>
          <w:rFonts w:ascii="仿宋_GB2312" w:eastAsia="仿宋_GB2312" w:cs="仿宋_GB2312"/>
          <w:sz w:val="32"/>
          <w:szCs w:val="32"/>
        </w:rPr>
        <w:t>）</w:t>
      </w:r>
      <w:r>
        <w:rPr>
          <w:rFonts w:hint="eastAsia" w:ascii="仿宋_GB2312" w:eastAsia="仿宋_GB2312" w:cs="仿宋_GB2312"/>
          <w:sz w:val="32"/>
          <w:szCs w:val="32"/>
        </w:rPr>
        <w:t>资金绩效目标完成情况</w:t>
      </w:r>
    </w:p>
    <w:p>
      <w:pPr>
        <w:pStyle w:val="8"/>
        <w:spacing w:line="600" w:lineRule="exact"/>
        <w:ind w:firstLine="640" w:firstLineChars="200"/>
        <w:jc w:val="left"/>
        <w:rPr>
          <w:rFonts w:ascii="仿宋_GB2312" w:eastAsia="仿宋_GB2312" w:cs="仿宋_GB2312"/>
          <w:sz w:val="32"/>
          <w:szCs w:val="32"/>
        </w:rPr>
      </w:pPr>
      <w:r>
        <w:rPr>
          <w:rFonts w:ascii="Calibri" w:hAnsi="Calibri" w:eastAsia="仿宋_GB2312" w:cs="Calibri"/>
          <w:sz w:val="32"/>
          <w:szCs w:val="32"/>
        </w:rPr>
        <w:t>（</w:t>
      </w:r>
      <w:r>
        <w:rPr>
          <w:rFonts w:hint="eastAsia" w:ascii="Calibri" w:hAnsi="Calibri" w:eastAsia="仿宋_GB2312" w:cs="Calibri"/>
          <w:sz w:val="32"/>
          <w:szCs w:val="32"/>
        </w:rPr>
        <w:t>1</w:t>
      </w:r>
      <w:r>
        <w:rPr>
          <w:rFonts w:ascii="Calibri" w:hAnsi="Calibri" w:eastAsia="仿宋_GB2312" w:cs="Calibri"/>
          <w:sz w:val="32"/>
          <w:szCs w:val="32"/>
        </w:rPr>
        <w:t>）</w:t>
      </w:r>
      <w:r>
        <w:rPr>
          <w:rFonts w:hint="eastAsia" w:ascii="仿宋_GB2312" w:eastAsia="仿宋_GB2312" w:cs="仿宋_GB2312"/>
          <w:sz w:val="32"/>
          <w:szCs w:val="32"/>
        </w:rPr>
        <w:t>产出指标完成情况分析。</w:t>
      </w:r>
    </w:p>
    <w:p>
      <w:pPr>
        <w:pStyle w:val="8"/>
        <w:spacing w:line="600" w:lineRule="exact"/>
        <w:ind w:firstLine="640" w:firstLineChars="200"/>
        <w:jc w:val="left"/>
        <w:rPr>
          <w:rFonts w:ascii="楷体" w:eastAsia="楷体" w:cs="仿宋_GB2312"/>
          <w:sz w:val="32"/>
          <w:szCs w:val="32"/>
        </w:rPr>
      </w:pPr>
      <w:r>
        <w:rPr>
          <w:rFonts w:hint="eastAsia" w:ascii="仿宋_GB2312" w:eastAsia="仿宋_GB2312" w:cs="仿宋_GB2312"/>
          <w:sz w:val="32"/>
          <w:szCs w:val="32"/>
        </w:rPr>
        <w:t>2021年，完成了省厅和市住房城乡建设局下达的各项业务目标任务，城市规划区内新建民用建筑节能设计备案率、检查验收率、禁止现场搅拌砂浆、混凝土执法检查达到100%，新建建筑施工阶段节能标准执行率达到95%以上，全年推广散装水泥90万吨，水泥散装率达56%现场巡查检查和节能验收270余次。</w:t>
      </w:r>
    </w:p>
    <w:p>
      <w:pPr>
        <w:pStyle w:val="8"/>
        <w:spacing w:line="600" w:lineRule="exact"/>
        <w:ind w:firstLine="640" w:firstLineChars="200"/>
        <w:jc w:val="left"/>
        <w:rPr>
          <w:rFonts w:ascii="楷体" w:eastAsia="楷体" w:cs="仿宋_GB2312"/>
          <w:sz w:val="32"/>
          <w:szCs w:val="32"/>
        </w:rPr>
      </w:pPr>
      <w:r>
        <w:rPr>
          <w:rFonts w:ascii="Calibri" w:hAnsi="Calibri" w:eastAsia="仿宋_GB2312" w:cs="Calibri"/>
          <w:sz w:val="32"/>
          <w:szCs w:val="32"/>
        </w:rPr>
        <w:t>（</w:t>
      </w:r>
      <w:r>
        <w:rPr>
          <w:rFonts w:hint="eastAsia" w:ascii="Calibri" w:hAnsi="Calibri" w:eastAsia="仿宋_GB2312" w:cs="Calibri"/>
          <w:sz w:val="32"/>
          <w:szCs w:val="32"/>
        </w:rPr>
        <w:t>2</w:t>
      </w:r>
      <w:r>
        <w:rPr>
          <w:rFonts w:ascii="Calibri" w:hAnsi="Calibri" w:eastAsia="仿宋_GB2312" w:cs="Calibri"/>
          <w:sz w:val="32"/>
          <w:szCs w:val="32"/>
        </w:rPr>
        <w:t>）</w:t>
      </w:r>
      <w:r>
        <w:rPr>
          <w:rFonts w:hint="eastAsia" w:ascii="仿宋_GB2312" w:eastAsia="仿宋_GB2312" w:cs="仿宋_GB2312"/>
          <w:sz w:val="32"/>
          <w:szCs w:val="32"/>
        </w:rPr>
        <w:t>效益指标完成情况分析。施工现场噪音、扬尘、污水等得到有效控制，绿色建材质量得到有效监控，监督和推动绿色建筑行业健康发展。</w:t>
      </w:r>
    </w:p>
    <w:p>
      <w:pPr>
        <w:pStyle w:val="8"/>
        <w:spacing w:line="600" w:lineRule="exact"/>
        <w:ind w:firstLine="640" w:firstLineChars="200"/>
        <w:jc w:val="left"/>
        <w:rPr>
          <w:rFonts w:ascii="仿宋_GB2312" w:eastAsia="仿宋_GB2312" w:cs="仿宋_GB2312"/>
          <w:sz w:val="32"/>
          <w:szCs w:val="32"/>
        </w:rPr>
      </w:pPr>
      <w:r>
        <w:rPr>
          <w:rFonts w:ascii="Calibri" w:hAnsi="Calibri" w:eastAsia="仿宋_GB2312" w:cs="Calibri"/>
          <w:sz w:val="32"/>
          <w:szCs w:val="32"/>
        </w:rPr>
        <w:t>（</w:t>
      </w:r>
      <w:r>
        <w:rPr>
          <w:rFonts w:hint="eastAsia" w:ascii="Calibri" w:hAnsi="Calibri" w:eastAsia="仿宋_GB2312" w:cs="Calibri"/>
          <w:sz w:val="32"/>
          <w:szCs w:val="32"/>
        </w:rPr>
        <w:t>3</w:t>
      </w:r>
      <w:r>
        <w:rPr>
          <w:rFonts w:ascii="Calibri" w:hAnsi="Calibri" w:eastAsia="仿宋_GB2312" w:cs="Calibri"/>
          <w:sz w:val="32"/>
          <w:szCs w:val="32"/>
        </w:rPr>
        <w:t>）</w:t>
      </w:r>
      <w:r>
        <w:rPr>
          <w:rFonts w:hint="eastAsia" w:ascii="仿宋_GB2312" w:eastAsia="仿宋_GB2312" w:cs="仿宋_GB2312"/>
          <w:sz w:val="32"/>
          <w:szCs w:val="32"/>
        </w:rPr>
        <w:t>满意度指标完成情况分析。服务对象满意度95%以上。</w:t>
      </w:r>
    </w:p>
    <w:p>
      <w:pPr>
        <w:widowControl/>
        <w:adjustRightInd w:val="0"/>
        <w:snapToGrid w:val="0"/>
        <w:spacing w:line="572" w:lineRule="exact"/>
        <w:ind w:firstLine="642" w:firstLineChars="200"/>
        <w:contextualSpacing/>
        <w:jc w:val="left"/>
        <w:rPr>
          <w:rFonts w:ascii="仿宋_GB2312" w:eastAsia="仿宋_GB2312" w:cs="宋体"/>
          <w:b/>
          <w:bCs/>
          <w:kern w:val="0"/>
          <w:sz w:val="32"/>
          <w:szCs w:val="32"/>
          <w:shd w:val="clear" w:color="auto" w:fill="FFFFFF"/>
          <w:lang w:val="zh-CN"/>
        </w:rPr>
      </w:pPr>
      <w:r>
        <w:rPr>
          <w:rFonts w:hint="eastAsia" w:ascii="仿宋_GB2312" w:eastAsia="仿宋_GB2312" w:cs="宋体"/>
          <w:b/>
          <w:bCs/>
          <w:kern w:val="0"/>
          <w:sz w:val="32"/>
          <w:szCs w:val="32"/>
          <w:shd w:val="clear" w:color="auto" w:fill="FFFFFF"/>
          <w:lang w:val="zh-CN"/>
        </w:rPr>
        <w:t>（二）结果应用情况。</w:t>
      </w:r>
    </w:p>
    <w:p>
      <w:pPr>
        <w:widowControl/>
        <w:adjustRightInd w:val="0"/>
        <w:snapToGrid w:val="0"/>
        <w:spacing w:line="572"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将预算执行情况作为的重要标准之一，纳入各科室和相关人员年度考核和评优考核。</w:t>
      </w:r>
    </w:p>
    <w:p>
      <w:pPr>
        <w:widowControl/>
        <w:numPr>
          <w:ilvl w:val="0"/>
          <w:numId w:val="8"/>
        </w:numPr>
        <w:adjustRightInd w:val="0"/>
        <w:snapToGrid w:val="0"/>
        <w:spacing w:line="580" w:lineRule="exact"/>
        <w:ind w:left="0" w:firstLine="643"/>
        <w:contextualSpacing/>
        <w:jc w:val="left"/>
        <w:rPr>
          <w:rFonts w:ascii="仿宋_GB2312" w:eastAsia="仿宋_GB2312" w:cs="宋体"/>
          <w:b/>
          <w:bCs/>
          <w:kern w:val="0"/>
          <w:sz w:val="32"/>
          <w:szCs w:val="32"/>
          <w:shd w:val="clear" w:color="auto" w:fill="FFFFFF"/>
          <w:lang w:val="zh-CN"/>
        </w:rPr>
      </w:pPr>
      <w:r>
        <w:rPr>
          <w:rFonts w:hint="eastAsia" w:ascii="仿宋_GB2312" w:eastAsia="仿宋_GB2312" w:cs="宋体"/>
          <w:b/>
          <w:bCs/>
          <w:kern w:val="0"/>
          <w:sz w:val="32"/>
          <w:szCs w:val="32"/>
          <w:shd w:val="clear" w:color="auto" w:fill="FFFFFF"/>
          <w:lang w:val="zh-CN"/>
        </w:rPr>
        <w:t>自评质量</w:t>
      </w:r>
    </w:p>
    <w:p>
      <w:pPr>
        <w:widowControl/>
        <w:adjustRightInd w:val="0"/>
        <w:snapToGrid w:val="0"/>
        <w:spacing w:line="576" w:lineRule="exact"/>
        <w:contextualSpacing/>
        <w:jc w:val="left"/>
        <w:rPr>
          <w:rFonts w:ascii="仿宋_GB2312" w:eastAsia="仿宋_GB2312" w:cs="宋体"/>
          <w:kern w:val="0"/>
          <w:sz w:val="32"/>
          <w:szCs w:val="32"/>
          <w:shd w:val="clear" w:color="auto" w:fill="FFFFFF"/>
        </w:rPr>
      </w:pPr>
      <w:r>
        <w:rPr>
          <w:rFonts w:hint="eastAsia" w:ascii="仿宋_GB2312" w:eastAsia="仿宋_GB2312" w:cs="宋体"/>
          <w:kern w:val="0"/>
          <w:sz w:val="32"/>
          <w:szCs w:val="32"/>
          <w:shd w:val="clear" w:color="auto" w:fill="FFFFFF"/>
        </w:rPr>
        <w:t>圆满</w:t>
      </w:r>
      <w:r>
        <w:rPr>
          <w:rFonts w:hint="eastAsia" w:ascii="仿宋_GB2312" w:eastAsia="仿宋_GB2312" w:cs="仿宋_GB2312"/>
          <w:sz w:val="32"/>
          <w:szCs w:val="32"/>
        </w:rPr>
        <w:t>完成了省厅和市住房城乡建设局下达的各项业务目标任务，</w:t>
      </w:r>
      <w:r>
        <w:rPr>
          <w:rFonts w:hint="eastAsia" w:ascii="仿宋_GB2312" w:eastAsia="仿宋_GB2312" w:cs="宋体"/>
          <w:kern w:val="0"/>
          <w:sz w:val="32"/>
          <w:szCs w:val="32"/>
          <w:shd w:val="clear" w:color="auto" w:fill="FFFFFF"/>
        </w:rPr>
        <w:t>保障了各项工作有序推进，服务对象满意度较高。</w:t>
      </w:r>
    </w:p>
    <w:p>
      <w:pPr>
        <w:ind w:firstLine="640" w:firstLineChars="200"/>
        <w:jc w:val="left"/>
        <w:rPr>
          <w:rFonts w:ascii="黑体" w:eastAsia="黑体"/>
          <w:sz w:val="32"/>
          <w:szCs w:val="32"/>
        </w:rPr>
      </w:pPr>
      <w:r>
        <w:rPr>
          <w:rFonts w:hint="eastAsia" w:ascii="黑体" w:eastAsia="黑体"/>
          <w:sz w:val="32"/>
          <w:szCs w:val="32"/>
        </w:rPr>
        <w:t>四、评价结论及建议</w:t>
      </w:r>
    </w:p>
    <w:p>
      <w:pPr>
        <w:widowControl/>
        <w:adjustRightInd w:val="0"/>
        <w:snapToGrid w:val="0"/>
        <w:spacing w:line="576"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（一）评价结论：</w:t>
      </w:r>
      <w:r>
        <w:rPr>
          <w:rFonts w:hint="eastAsia" w:ascii="仿宋_GB2312" w:eastAsia="仿宋_GB2312"/>
          <w:sz w:val="32"/>
          <w:szCs w:val="32"/>
        </w:rPr>
        <w:t>我单位按照年初预算和目标任务开展工作，在财政资金的有保障的情况下，各项工作均已圆满完成，目标绩效完成情况良好。</w:t>
      </w:r>
    </w:p>
    <w:p>
      <w:pPr>
        <w:widowControl/>
        <w:adjustRightInd w:val="0"/>
        <w:snapToGrid w:val="0"/>
        <w:spacing w:line="576" w:lineRule="exact"/>
        <w:ind w:firstLine="640" w:firstLineChars="200"/>
        <w:contextualSpacing/>
        <w:jc w:val="left"/>
        <w:rPr>
          <w:rFonts w:ascii="仿宋_GB2312" w:eastAsia="仿宋_GB2312" w:cs="宋体"/>
          <w:kern w:val="0"/>
          <w:sz w:val="32"/>
          <w:szCs w:val="32"/>
          <w:shd w:val="clear" w:color="auto" w:fill="FFFFFF"/>
          <w:lang w:val="zh-CN"/>
        </w:rPr>
      </w:pPr>
      <w:r>
        <w:rPr>
          <w:rFonts w:hint="eastAsia" w:ascii="仿宋_GB2312" w:eastAsia="仿宋_GB2312" w:cs="宋体"/>
          <w:kern w:val="0"/>
          <w:sz w:val="32"/>
          <w:szCs w:val="32"/>
          <w:shd w:val="clear" w:color="auto" w:fill="FFFFFF"/>
          <w:lang w:val="zh-CN"/>
        </w:rPr>
        <w:t>（二）存在问题。无。</w:t>
      </w:r>
    </w:p>
    <w:p>
      <w:pPr>
        <w:pStyle w:val="2"/>
        <w:spacing w:before="93" w:beforeLines="0"/>
        <w:ind w:firstLine="640" w:firstLineChars="200"/>
      </w:pPr>
      <w:r>
        <w:rPr>
          <w:rFonts w:hint="eastAsia" w:cs="宋体"/>
          <w:sz w:val="32"/>
          <w:szCs w:val="32"/>
          <w:shd w:val="clear" w:color="auto" w:fill="FFFFFF"/>
          <w:lang w:val="zh-CN"/>
        </w:rPr>
        <w:t>（三）改进建议</w:t>
      </w:r>
      <w:r>
        <w:rPr>
          <w:rFonts w:hint="eastAsia"/>
          <w:sz w:val="32"/>
          <w:szCs w:val="32"/>
        </w:rPr>
        <w:t>：攀西地区节能标准编制经费工作中，包含了市气象局气象数据服务费9万元，收集气象数据工作2019年末就已完成，2021年虽然安排了资金，但财政一直没有审核支付，气象局已屡次催促我中心按合同约定付款，望能解决该费用。</w:t>
      </w:r>
    </w:p>
    <w:p>
      <w:pPr>
        <w:pStyle w:val="2"/>
        <w:spacing w:before="93" w:beforeLines="0"/>
        <w:ind w:firstLine="480" w:firstLineChars="200"/>
      </w:pPr>
    </w:p>
    <w:p>
      <w:pPr>
        <w:spacing w:line="640" w:lineRule="exact"/>
        <w:jc w:val="center"/>
        <w:outlineLvl w:val="0"/>
        <w:rPr>
          <w:rFonts w:ascii="黑体" w:eastAsia="黑体" w:cs="方正小标宋简体"/>
          <w:sz w:val="36"/>
          <w:szCs w:val="36"/>
        </w:rPr>
      </w:pPr>
      <w:r>
        <w:rPr>
          <w:rFonts w:hint="eastAsia" w:ascii="黑体" w:eastAsia="黑体" w:cs="方正小标宋简体"/>
          <w:sz w:val="36"/>
          <w:szCs w:val="36"/>
        </w:rPr>
        <w:t>攀枝花市住房保障和建设项目服务中心</w:t>
      </w:r>
    </w:p>
    <w:p>
      <w:pPr>
        <w:spacing w:line="640" w:lineRule="exact"/>
        <w:jc w:val="center"/>
        <w:outlineLvl w:val="0"/>
        <w:rPr>
          <w:rFonts w:ascii="黑体" w:eastAsia="黑体" w:cs="方正小标宋简体"/>
          <w:sz w:val="36"/>
          <w:szCs w:val="36"/>
        </w:rPr>
      </w:pPr>
      <w:r>
        <w:rPr>
          <w:rFonts w:hint="eastAsia" w:ascii="黑体" w:eastAsia="黑体" w:cs="方正小标宋简体"/>
          <w:sz w:val="36"/>
          <w:szCs w:val="36"/>
        </w:rPr>
        <w:t>2021年部门整体支出绩效评价报告</w:t>
      </w:r>
    </w:p>
    <w:p>
      <w:pPr>
        <w:spacing w:line="640" w:lineRule="exact"/>
        <w:ind w:firstLine="640" w:firstLineChars="200"/>
        <w:rPr>
          <w:rFonts w:ascii="黑体" w:eastAsia="黑体" w:cs="黑体"/>
          <w:sz w:val="32"/>
          <w:szCs w:val="32"/>
        </w:rPr>
      </w:pPr>
    </w:p>
    <w:p>
      <w:pPr>
        <w:spacing w:line="640" w:lineRule="exact"/>
        <w:ind w:firstLine="640" w:firstLineChars="200"/>
        <w:rPr>
          <w:rFonts w:ascii="黑体" w:eastAsia="黑体" w:cs="黑体"/>
          <w:sz w:val="32"/>
          <w:szCs w:val="32"/>
        </w:rPr>
      </w:pPr>
      <w:r>
        <w:rPr>
          <w:rFonts w:hint="eastAsia" w:ascii="黑体" w:eastAsia="黑体" w:cs="黑体"/>
          <w:sz w:val="32"/>
          <w:szCs w:val="32"/>
        </w:rPr>
        <w:t>一、单位概况</w:t>
      </w:r>
    </w:p>
    <w:p>
      <w:pPr>
        <w:spacing w:line="640" w:lineRule="exact"/>
        <w:ind w:firstLine="642" w:firstLineChars="200"/>
        <w:rPr>
          <w:rFonts w:ascii="楷体" w:eastAsia="楷体" w:cs="仿宋_GB2312"/>
          <w:b/>
          <w:sz w:val="32"/>
          <w:szCs w:val="32"/>
        </w:rPr>
      </w:pPr>
      <w:r>
        <w:rPr>
          <w:rFonts w:ascii="楷体" w:eastAsia="楷体" w:cs="仿宋_GB2312"/>
          <w:b/>
          <w:sz w:val="32"/>
          <w:szCs w:val="32"/>
        </w:rPr>
        <w:t>（一）机构组成</w:t>
      </w:r>
      <w:r>
        <w:rPr>
          <w:rFonts w:hint="eastAsia" w:ascii="楷体" w:eastAsia="楷体" w:cs="仿宋_GB2312"/>
          <w:b/>
          <w:sz w:val="32"/>
          <w:szCs w:val="32"/>
        </w:rPr>
        <w:t>。</w:t>
      </w:r>
    </w:p>
    <w:p>
      <w:pPr>
        <w:spacing w:line="640" w:lineRule="exact"/>
        <w:ind w:firstLine="800" w:firstLineChars="250"/>
        <w:rPr>
          <w:rFonts w:ascii="仿宋" w:eastAsia="仿宋" w:cs="仿宋"/>
          <w:sz w:val="32"/>
          <w:szCs w:val="32"/>
        </w:rPr>
      </w:pPr>
      <w:r>
        <w:rPr>
          <w:rFonts w:hint="eastAsia" w:ascii="仿宋" w:eastAsia="仿宋" w:cs="仿宋"/>
          <w:sz w:val="32"/>
          <w:szCs w:val="32"/>
        </w:rPr>
        <w:t>市住房保障和建设项目服务中心为市住房和城乡建设局所属公益一类事业单位。</w:t>
      </w:r>
    </w:p>
    <w:p>
      <w:pPr>
        <w:spacing w:line="640" w:lineRule="exact"/>
        <w:ind w:firstLine="642" w:firstLineChars="200"/>
        <w:rPr>
          <w:rFonts w:ascii="楷体" w:eastAsia="楷体" w:cs="仿宋_GB2312"/>
          <w:b/>
          <w:sz w:val="32"/>
          <w:szCs w:val="32"/>
        </w:rPr>
      </w:pPr>
      <w:r>
        <w:rPr>
          <w:rFonts w:ascii="楷体" w:eastAsia="楷体" w:cs="仿宋_GB2312"/>
          <w:b/>
          <w:sz w:val="32"/>
          <w:szCs w:val="32"/>
        </w:rPr>
        <w:t>（二）机构职能</w:t>
      </w:r>
      <w:r>
        <w:rPr>
          <w:rFonts w:hint="eastAsia" w:ascii="楷体" w:eastAsia="楷体" w:cs="仿宋_GB2312"/>
          <w:b/>
          <w:sz w:val="32"/>
          <w:szCs w:val="32"/>
        </w:rPr>
        <w:t>。</w:t>
      </w:r>
    </w:p>
    <w:p>
      <w:pPr>
        <w:snapToGrid w:val="0"/>
        <w:spacing w:line="640" w:lineRule="exact"/>
        <w:ind w:firstLine="640" w:firstLineChars="200"/>
        <w:rPr>
          <w:rFonts w:ascii="仿宋" w:eastAsia="仿宋"/>
          <w:sz w:val="32"/>
          <w:szCs w:val="32"/>
        </w:rPr>
      </w:pPr>
      <w:r>
        <w:rPr>
          <w:rStyle w:val="30"/>
          <w:rFonts w:hint="eastAsia" w:ascii="仿宋" w:eastAsia="仿宋"/>
          <w:sz w:val="32"/>
          <w:szCs w:val="32"/>
        </w:rPr>
        <w:t>负责全市保障性安居工程建设的具体事务性、技术性、辅助性工作；负责市本级市政基础设施项目策划、储备、建设模式选择等前期工作和建设及具体实施的事务性、技术性、辅助性工作；负责市政府非经营性投资项目代建业务实施过程中事务性、技术性、辅助性工作。</w:t>
      </w:r>
    </w:p>
    <w:p>
      <w:pPr>
        <w:spacing w:line="640" w:lineRule="exact"/>
        <w:ind w:firstLine="642" w:firstLineChars="200"/>
        <w:rPr>
          <w:rFonts w:ascii="仿宋" w:eastAsia="仿宋" w:cs="仿宋_GB2312"/>
          <w:sz w:val="32"/>
          <w:szCs w:val="32"/>
        </w:rPr>
      </w:pPr>
      <w:r>
        <w:rPr>
          <w:rFonts w:ascii="仿宋" w:eastAsia="仿宋" w:cs="仿宋_GB2312"/>
          <w:b/>
          <w:sz w:val="32"/>
          <w:szCs w:val="32"/>
        </w:rPr>
        <w:t>（三）人员概况</w:t>
      </w:r>
      <w:r>
        <w:rPr>
          <w:rFonts w:hint="eastAsia" w:ascii="仿宋" w:eastAsia="仿宋" w:cs="仿宋_GB2312"/>
          <w:b/>
          <w:sz w:val="32"/>
          <w:szCs w:val="32"/>
        </w:rPr>
        <w:t>。</w:t>
      </w:r>
    </w:p>
    <w:p>
      <w:pPr>
        <w:widowControl/>
        <w:shd w:val="clear" w:color="auto" w:fill="FFFFFF"/>
        <w:spacing w:line="640" w:lineRule="exact"/>
        <w:ind w:firstLine="640" w:firstLineChars="200"/>
        <w:rPr>
          <w:rFonts w:ascii="仿宋" w:eastAsia="仿宋"/>
          <w:sz w:val="32"/>
          <w:szCs w:val="32"/>
        </w:rPr>
      </w:pPr>
      <w:r>
        <w:rPr>
          <w:rFonts w:hint="eastAsia" w:ascii="仿宋" w:eastAsia="仿宋" w:cs="Arial"/>
          <w:color w:val="333333"/>
          <w:kern w:val="0"/>
          <w:sz w:val="32"/>
          <w:szCs w:val="32"/>
        </w:rPr>
        <w:t>全额拨款事业编制14名。</w:t>
      </w:r>
      <w:r>
        <w:rPr>
          <w:rFonts w:hint="eastAsia" w:ascii="仿宋" w:eastAsia="仿宋"/>
          <w:sz w:val="32"/>
          <w:szCs w:val="32"/>
        </w:rPr>
        <w:t>截至2021年年末，市住房保障和建设项目服务中心共有事业人员12人。</w:t>
      </w:r>
    </w:p>
    <w:p>
      <w:pPr>
        <w:spacing w:line="640" w:lineRule="exact"/>
        <w:ind w:firstLine="640" w:firstLineChars="200"/>
        <w:rPr>
          <w:rFonts w:ascii="黑体" w:eastAsia="黑体" w:cs="黑体"/>
          <w:sz w:val="32"/>
          <w:szCs w:val="32"/>
        </w:rPr>
      </w:pPr>
      <w:r>
        <w:rPr>
          <w:rFonts w:ascii="黑体" w:eastAsia="黑体" w:cs="黑体"/>
          <w:sz w:val="32"/>
          <w:szCs w:val="32"/>
        </w:rPr>
        <w:t>二、部门财政资金收支情况</w:t>
      </w:r>
    </w:p>
    <w:p>
      <w:pPr>
        <w:spacing w:line="640" w:lineRule="exact"/>
        <w:ind w:firstLine="642" w:firstLineChars="200"/>
        <w:rPr>
          <w:rFonts w:ascii="楷体" w:eastAsia="楷体" w:cs="仿宋_GB2312"/>
          <w:b/>
          <w:sz w:val="32"/>
          <w:szCs w:val="32"/>
        </w:rPr>
      </w:pPr>
      <w:r>
        <w:rPr>
          <w:rFonts w:ascii="楷体" w:eastAsia="楷体" w:cs="仿宋_GB2312"/>
          <w:b/>
          <w:sz w:val="32"/>
          <w:szCs w:val="32"/>
        </w:rPr>
        <w:t>（一）部门财政资金收入情况。</w:t>
      </w:r>
    </w:p>
    <w:p>
      <w:pPr>
        <w:spacing w:line="640" w:lineRule="exact"/>
        <w:ind w:firstLine="640" w:firstLineChars="200"/>
        <w:rPr>
          <w:rFonts w:ascii="仿宋" w:eastAsia="仿宋" w:cs="仿宋_GB2312"/>
          <w:sz w:val="32"/>
          <w:szCs w:val="32"/>
        </w:rPr>
      </w:pPr>
      <w:r>
        <w:rPr>
          <w:rFonts w:ascii="仿宋" w:eastAsia="仿宋"/>
          <w:color w:val="000000"/>
          <w:sz w:val="32"/>
          <w:szCs w:val="32"/>
        </w:rPr>
        <w:t>20</w:t>
      </w:r>
      <w:r>
        <w:rPr>
          <w:rFonts w:hint="eastAsia" w:ascii="仿宋" w:eastAsia="仿宋"/>
          <w:color w:val="000000"/>
          <w:sz w:val="32"/>
          <w:szCs w:val="32"/>
        </w:rPr>
        <w:t>21年财政资金收入175.62万元</w:t>
      </w:r>
      <w:r>
        <w:rPr>
          <w:rFonts w:hint="eastAsia" w:ascii="仿宋" w:eastAsia="仿宋"/>
          <w:sz w:val="32"/>
          <w:szCs w:val="32"/>
        </w:rPr>
        <w:t>。其中基本支出收入169.16万元，项目支出收入6.46万元。</w:t>
      </w:r>
    </w:p>
    <w:p>
      <w:pPr>
        <w:spacing w:line="640" w:lineRule="exact"/>
        <w:ind w:firstLine="642" w:firstLineChars="200"/>
        <w:rPr>
          <w:rFonts w:ascii="楷体" w:eastAsia="楷体" w:cs="仿宋_GB2312"/>
          <w:b/>
          <w:sz w:val="32"/>
          <w:szCs w:val="32"/>
        </w:rPr>
      </w:pPr>
      <w:r>
        <w:rPr>
          <w:rFonts w:ascii="楷体" w:eastAsia="楷体" w:cs="仿宋_GB2312"/>
          <w:b/>
          <w:sz w:val="32"/>
          <w:szCs w:val="32"/>
        </w:rPr>
        <w:t>（二）部门财政资金支出情况。</w:t>
      </w:r>
    </w:p>
    <w:p>
      <w:pPr>
        <w:spacing w:line="640" w:lineRule="exact"/>
        <w:ind w:firstLine="640" w:firstLineChars="200"/>
        <w:rPr>
          <w:rFonts w:ascii="仿宋" w:eastAsia="仿宋"/>
          <w:sz w:val="32"/>
          <w:szCs w:val="32"/>
        </w:rPr>
      </w:pPr>
      <w:r>
        <w:rPr>
          <w:rFonts w:hint="eastAsia" w:ascii="仿宋" w:eastAsia="仿宋"/>
          <w:sz w:val="32"/>
          <w:szCs w:val="32"/>
        </w:rPr>
        <w:t>2021年财政资金支出175.62万元。其中基本支出169.16万元，项目支出6.46万元。</w:t>
      </w:r>
    </w:p>
    <w:p>
      <w:pPr>
        <w:spacing w:line="640" w:lineRule="exact"/>
        <w:ind w:firstLine="640" w:firstLineChars="200"/>
        <w:rPr>
          <w:rFonts w:ascii="黑体" w:eastAsia="黑体" w:cs="黑体"/>
          <w:sz w:val="32"/>
          <w:szCs w:val="32"/>
        </w:rPr>
      </w:pPr>
      <w:r>
        <w:rPr>
          <w:rFonts w:ascii="黑体" w:eastAsia="黑体" w:cs="黑体"/>
          <w:sz w:val="32"/>
          <w:szCs w:val="32"/>
        </w:rPr>
        <w:t>三、部门整体预算绩效管理情况</w:t>
      </w:r>
    </w:p>
    <w:p>
      <w:pPr>
        <w:spacing w:line="640" w:lineRule="exact"/>
        <w:ind w:firstLine="642" w:firstLineChars="200"/>
        <w:rPr>
          <w:rFonts w:ascii="楷体" w:eastAsia="楷体" w:cs="仿宋_GB2312"/>
          <w:b/>
          <w:sz w:val="32"/>
          <w:szCs w:val="32"/>
        </w:rPr>
      </w:pPr>
      <w:r>
        <w:rPr>
          <w:rFonts w:ascii="楷体" w:eastAsia="楷体" w:cs="仿宋_GB2312"/>
          <w:b/>
          <w:sz w:val="32"/>
          <w:szCs w:val="32"/>
        </w:rPr>
        <w:t>（一）部门预算管理。</w:t>
      </w:r>
    </w:p>
    <w:p>
      <w:pPr>
        <w:spacing w:line="640" w:lineRule="exact"/>
        <w:ind w:firstLine="640" w:firstLineChars="200"/>
        <w:rPr>
          <w:rFonts w:ascii="仿宋" w:eastAsia="仿宋" w:cs="仿宋"/>
          <w:sz w:val="32"/>
          <w:szCs w:val="32"/>
        </w:rPr>
      </w:pPr>
      <w:r>
        <w:rPr>
          <w:rFonts w:hint="eastAsia" w:ascii="仿宋" w:eastAsia="仿宋" w:cs="仿宋"/>
          <w:sz w:val="32"/>
          <w:szCs w:val="32"/>
        </w:rPr>
        <w:t>2021年部门绩效目标制定完整，目标完成较好，预算编制较准确、支出控制良好、执行进度与年初相符，全面完成年初预算。无违规记录。部门整体支出绩效指标达到了预期设定的目标值，绩效目标完成较好。预算项目程序严密、规划合理、结果与预算相符、分配科学、及时。专项预算绩效目标完成较好，专项支出绩效指标达到了预期设定的目标值、无违规记录。</w:t>
      </w:r>
    </w:p>
    <w:p>
      <w:pPr>
        <w:spacing w:line="640" w:lineRule="exact"/>
        <w:ind w:firstLine="642" w:firstLineChars="200"/>
        <w:rPr>
          <w:rFonts w:ascii="楷体" w:eastAsia="楷体" w:cs="仿宋_GB2312"/>
          <w:b/>
          <w:sz w:val="32"/>
          <w:szCs w:val="32"/>
        </w:rPr>
      </w:pPr>
      <w:r>
        <w:rPr>
          <w:rFonts w:ascii="楷体" w:eastAsia="楷体" w:cs="仿宋_GB2312"/>
          <w:b/>
          <w:sz w:val="32"/>
          <w:szCs w:val="32"/>
        </w:rPr>
        <w:t>（</w:t>
      </w:r>
      <w:r>
        <w:rPr>
          <w:rFonts w:hint="eastAsia" w:ascii="楷体" w:eastAsia="楷体" w:cs="仿宋_GB2312"/>
          <w:b/>
          <w:sz w:val="32"/>
          <w:szCs w:val="32"/>
        </w:rPr>
        <w:t>二</w:t>
      </w:r>
      <w:r>
        <w:rPr>
          <w:rFonts w:ascii="楷体" w:eastAsia="楷体" w:cs="仿宋_GB2312"/>
          <w:b/>
          <w:sz w:val="32"/>
          <w:szCs w:val="32"/>
        </w:rPr>
        <w:t>）结果应用情况。</w:t>
      </w:r>
    </w:p>
    <w:p>
      <w:pPr>
        <w:spacing w:line="640" w:lineRule="exact"/>
        <w:ind w:firstLine="640" w:firstLineChars="200"/>
        <w:rPr>
          <w:rFonts w:ascii="仿宋" w:eastAsia="仿宋" w:cs="仿宋_GB2312"/>
          <w:sz w:val="32"/>
          <w:szCs w:val="32"/>
        </w:rPr>
      </w:pPr>
      <w:r>
        <w:rPr>
          <w:rFonts w:hint="eastAsia" w:ascii="仿宋" w:eastAsia="仿宋" w:cs="仿宋_GB2312"/>
          <w:sz w:val="32"/>
          <w:szCs w:val="32"/>
        </w:rPr>
        <w:t>根据绩效自评结果，分析了原因，找出了不足，不断改进，完善了相关制度，健全了机制，为住房保障和建设项目进一步做好了服务工作。绩效自评结果按相关规定公开公示，未有异议。</w:t>
      </w:r>
    </w:p>
    <w:p>
      <w:pPr>
        <w:spacing w:line="640" w:lineRule="exact"/>
        <w:ind w:firstLine="642" w:firstLineChars="200"/>
        <w:rPr>
          <w:rFonts w:ascii="楷体" w:eastAsia="楷体" w:cs="仿宋_GB2312"/>
          <w:b/>
          <w:sz w:val="32"/>
          <w:szCs w:val="32"/>
        </w:rPr>
      </w:pPr>
      <w:r>
        <w:rPr>
          <w:rFonts w:hint="eastAsia" w:ascii="楷体" w:eastAsia="楷体" w:cs="仿宋_GB2312"/>
          <w:b/>
          <w:sz w:val="32"/>
          <w:szCs w:val="32"/>
        </w:rPr>
        <w:t>（三）自评质量。</w:t>
      </w:r>
    </w:p>
    <w:p>
      <w:pPr>
        <w:spacing w:line="640" w:lineRule="exact"/>
        <w:ind w:firstLine="640" w:firstLineChars="200"/>
        <w:rPr>
          <w:rFonts w:ascii="仿宋" w:eastAsia="仿宋" w:cs="仿宋"/>
          <w:sz w:val="32"/>
          <w:szCs w:val="32"/>
        </w:rPr>
      </w:pPr>
      <w:r>
        <w:rPr>
          <w:rFonts w:hint="eastAsia" w:ascii="仿宋" w:eastAsia="仿宋" w:cs="仿宋"/>
          <w:sz w:val="32"/>
          <w:szCs w:val="32"/>
        </w:rPr>
        <w:t>2021年部门整体支出执行进度与年初相符，全面完成年初预算。整体支出绩效指标达到了预期设定的目标值，整体支出绩效目标完成较好。</w:t>
      </w:r>
    </w:p>
    <w:p>
      <w:pPr>
        <w:spacing w:line="640" w:lineRule="exact"/>
        <w:ind w:firstLine="640" w:firstLineChars="200"/>
        <w:rPr>
          <w:rFonts w:ascii="黑体" w:eastAsia="黑体" w:cs="黑体"/>
          <w:i/>
          <w:sz w:val="32"/>
          <w:szCs w:val="32"/>
        </w:rPr>
      </w:pPr>
      <w:r>
        <w:rPr>
          <w:rFonts w:ascii="黑体" w:eastAsia="黑体" w:cs="黑体"/>
          <w:sz w:val="32"/>
          <w:szCs w:val="32"/>
        </w:rPr>
        <w:t>四、评价结论及建议</w:t>
      </w:r>
    </w:p>
    <w:p>
      <w:pPr>
        <w:spacing w:line="640" w:lineRule="exact"/>
        <w:ind w:firstLine="642" w:firstLineChars="200"/>
        <w:rPr>
          <w:rFonts w:ascii="楷体" w:eastAsia="楷体" w:cs="仿宋_GB2312"/>
          <w:b/>
          <w:i/>
          <w:sz w:val="32"/>
          <w:szCs w:val="32"/>
          <w:u w:val="single"/>
        </w:rPr>
      </w:pPr>
      <w:r>
        <w:rPr>
          <w:rFonts w:ascii="楷体" w:eastAsia="楷体" w:cs="仿宋_GB2312"/>
          <w:b/>
          <w:sz w:val="32"/>
          <w:szCs w:val="32"/>
        </w:rPr>
        <w:t>（一）评价结论。</w:t>
      </w:r>
    </w:p>
    <w:p>
      <w:pPr>
        <w:spacing w:line="640" w:lineRule="exact"/>
        <w:ind w:firstLine="640" w:firstLineChars="200"/>
        <w:rPr>
          <w:rFonts w:ascii="仿宋" w:eastAsia="仿宋" w:cs="仿宋"/>
          <w:sz w:val="32"/>
          <w:szCs w:val="32"/>
        </w:rPr>
      </w:pPr>
      <w:r>
        <w:rPr>
          <w:rFonts w:hint="eastAsia" w:ascii="仿宋" w:eastAsia="仿宋" w:cs="仿宋"/>
          <w:sz w:val="32"/>
          <w:szCs w:val="32"/>
        </w:rPr>
        <w:t>本部门2021年支出绩效指标达到了预期设定的目标值，绩效目标完成较好。</w:t>
      </w:r>
    </w:p>
    <w:p>
      <w:pPr>
        <w:spacing w:line="640" w:lineRule="exact"/>
        <w:ind w:firstLine="642" w:firstLineChars="200"/>
        <w:rPr>
          <w:rFonts w:ascii="楷体" w:eastAsia="楷体" w:cs="仿宋_GB2312"/>
          <w:b/>
          <w:sz w:val="32"/>
          <w:szCs w:val="32"/>
        </w:rPr>
      </w:pPr>
      <w:r>
        <w:rPr>
          <w:rFonts w:ascii="楷体" w:eastAsia="楷体" w:cs="仿宋_GB2312"/>
          <w:b/>
          <w:sz w:val="32"/>
          <w:szCs w:val="32"/>
        </w:rPr>
        <w:t>（二）存在问题。</w:t>
      </w:r>
    </w:p>
    <w:p>
      <w:pPr>
        <w:spacing w:line="640" w:lineRule="exact"/>
        <w:ind w:firstLine="640" w:firstLineChars="200"/>
        <w:rPr>
          <w:rFonts w:ascii="仿宋" w:eastAsia="仿宋" w:cs="仿宋_GB2312"/>
          <w:sz w:val="32"/>
          <w:szCs w:val="32"/>
        </w:rPr>
      </w:pPr>
      <w:r>
        <w:rPr>
          <w:rFonts w:hint="eastAsia" w:ascii="仿宋" w:eastAsia="仿宋"/>
          <w:sz w:val="32"/>
          <w:szCs w:val="32"/>
        </w:rPr>
        <w:t>一是绩效指标目标值及指标体系的设定有待进一步科学及合理化；二是由于经费原因，个别</w:t>
      </w:r>
      <w:r>
        <w:rPr>
          <w:rFonts w:hint="eastAsia" w:ascii="仿宋" w:eastAsia="仿宋" w:cs="仿宋_GB2312"/>
          <w:sz w:val="32"/>
          <w:szCs w:val="32"/>
        </w:rPr>
        <w:t>项目未按计划执行。</w:t>
      </w:r>
    </w:p>
    <w:p>
      <w:pPr>
        <w:spacing w:line="640" w:lineRule="exact"/>
        <w:ind w:firstLine="642" w:firstLineChars="200"/>
        <w:rPr>
          <w:rFonts w:ascii="楷体" w:eastAsia="楷体" w:cs="仿宋_GB2312"/>
          <w:b/>
          <w:sz w:val="32"/>
          <w:szCs w:val="32"/>
        </w:rPr>
      </w:pPr>
      <w:r>
        <w:rPr>
          <w:rFonts w:ascii="楷体" w:eastAsia="楷体" w:cs="仿宋_GB2312"/>
          <w:b/>
          <w:sz w:val="32"/>
          <w:szCs w:val="32"/>
        </w:rPr>
        <w:t>（三）改进建议。</w:t>
      </w:r>
    </w:p>
    <w:p>
      <w:pPr>
        <w:pStyle w:val="2"/>
        <w:spacing w:before="93" w:beforeLines="0"/>
        <w:ind w:firstLine="640" w:firstLineChars="200"/>
      </w:pPr>
      <w:r>
        <w:rPr>
          <w:rFonts w:hint="eastAsia" w:ascii="仿宋" w:eastAsia="仿宋"/>
          <w:sz w:val="32"/>
          <w:szCs w:val="32"/>
        </w:rPr>
        <w:t>一是</w:t>
      </w:r>
      <w:r>
        <w:rPr>
          <w:rFonts w:hint="eastAsia" w:ascii="仿宋" w:eastAsia="仿宋"/>
          <w:sz w:val="32"/>
          <w:szCs w:val="32"/>
          <w:lang w:val="zh-CN"/>
        </w:rPr>
        <w:t>科学设置评价指标，科学规范项目考核标准。二是加大工作人员培训力度，提升业务能力。三是强化全单位职工绩效意识，齐抓共管，共同做好绩效工作。四是</w:t>
      </w:r>
      <w:r>
        <w:rPr>
          <w:rFonts w:hint="eastAsia" w:ascii="仿宋" w:eastAsia="仿宋" w:cs="仿宋_GB2312"/>
          <w:sz w:val="32"/>
          <w:szCs w:val="32"/>
        </w:rPr>
        <w:t>在资金执行过程中，与项目执行部门建立长效考评机制，以保证项目按进度完成分解的绩效目标。</w:t>
      </w:r>
    </w:p>
    <w:p>
      <w:pPr>
        <w:pStyle w:val="2"/>
        <w:spacing w:before="93" w:beforeLines="0"/>
        <w:ind w:firstLine="480" w:firstLineChars="200"/>
      </w:pPr>
    </w:p>
    <w:p>
      <w:pPr>
        <w:pStyle w:val="2"/>
        <w:spacing w:before="93" w:beforeLines="0"/>
        <w:ind w:firstLine="480" w:firstLineChars="200"/>
      </w:pPr>
    </w:p>
    <w:p>
      <w:pPr>
        <w:pStyle w:val="2"/>
        <w:spacing w:before="93" w:beforeLines="0"/>
        <w:ind w:firstLine="480" w:firstLineChars="200"/>
      </w:pPr>
    </w:p>
    <w:p>
      <w:pPr>
        <w:pStyle w:val="2"/>
        <w:spacing w:before="93" w:beforeLines="0"/>
        <w:ind w:firstLine="480" w:firstLineChars="200"/>
      </w:pPr>
    </w:p>
    <w:p>
      <w:pPr>
        <w:pStyle w:val="2"/>
        <w:spacing w:before="93" w:beforeLines="0"/>
        <w:ind w:firstLine="480" w:firstLineChars="200"/>
      </w:pPr>
    </w:p>
    <w:p>
      <w:pPr>
        <w:pStyle w:val="2"/>
        <w:spacing w:before="93" w:beforeLines="0"/>
        <w:ind w:firstLine="480" w:firstLineChars="200"/>
      </w:pPr>
    </w:p>
    <w:p>
      <w:pPr>
        <w:pStyle w:val="2"/>
        <w:spacing w:before="93" w:beforeLines="0"/>
        <w:ind w:firstLine="480" w:firstLineChars="200"/>
      </w:pPr>
    </w:p>
    <w:p>
      <w:pPr>
        <w:pStyle w:val="2"/>
        <w:spacing w:before="93" w:beforeLines="0"/>
        <w:ind w:firstLine="480" w:firstLineChars="200"/>
      </w:pPr>
    </w:p>
    <w:p>
      <w:pPr>
        <w:pStyle w:val="2"/>
        <w:spacing w:before="93" w:beforeLines="0"/>
        <w:ind w:firstLine="480" w:firstLineChars="200"/>
      </w:pPr>
    </w:p>
    <w:p>
      <w:pPr>
        <w:pStyle w:val="2"/>
        <w:spacing w:before="93" w:beforeLines="0"/>
        <w:ind w:firstLine="480" w:firstLineChars="200"/>
      </w:pPr>
    </w:p>
    <w:p>
      <w:pPr>
        <w:pStyle w:val="2"/>
        <w:spacing w:before="93" w:beforeLines="0"/>
        <w:ind w:firstLine="480" w:firstLineChars="200"/>
      </w:pPr>
    </w:p>
    <w:p>
      <w:pPr>
        <w:pStyle w:val="2"/>
        <w:spacing w:before="93" w:beforeLines="0"/>
        <w:ind w:firstLine="480" w:firstLineChars="200"/>
      </w:pPr>
    </w:p>
    <w:p>
      <w:pPr>
        <w:pStyle w:val="2"/>
        <w:spacing w:before="93" w:beforeLines="0"/>
      </w:pPr>
    </w:p>
    <w:p>
      <w:pPr>
        <w:pStyle w:val="2"/>
        <w:spacing w:before="93" w:beforeLines="0"/>
      </w:pPr>
    </w:p>
    <w:p>
      <w:pPr>
        <w:pStyle w:val="2"/>
        <w:spacing w:before="93" w:beforeLines="0"/>
        <w:rPr>
          <w:rFonts w:cs="宋体"/>
          <w:b/>
          <w:sz w:val="32"/>
          <w:szCs w:val="32"/>
          <w:shd w:val="clear" w:color="auto" w:fill="FFFFFF"/>
          <w:lang w:val="zh-CN"/>
        </w:rPr>
      </w:pPr>
      <w:r>
        <w:rPr>
          <w:rFonts w:hint="eastAsia" w:cs="宋体"/>
          <w:b/>
          <w:sz w:val="32"/>
          <w:szCs w:val="32"/>
          <w:shd w:val="clear" w:color="auto" w:fill="FFFFFF"/>
          <w:lang w:val="zh-CN"/>
        </w:rPr>
        <w:t>附件2</w:t>
      </w:r>
    </w:p>
    <w:p>
      <w:pPr>
        <w:spacing w:line="600" w:lineRule="exact"/>
        <w:jc w:val="center"/>
        <w:rPr>
          <w:rFonts w:ascii="方正小标宋简体" w:eastAsia="方正小标宋简体" w:cs="方正小标宋简体"/>
          <w:sz w:val="40"/>
          <w:szCs w:val="40"/>
          <w:lang w:val="zh-CN"/>
        </w:rPr>
      </w:pPr>
      <w:r>
        <w:rPr>
          <w:rFonts w:hint="eastAsia" w:ascii="方正小标宋简体" w:eastAsia="方正小标宋简体" w:cs="方正小标宋简体"/>
          <w:sz w:val="40"/>
          <w:szCs w:val="40"/>
        </w:rPr>
        <w:t>2021年</w:t>
      </w:r>
      <w:r>
        <w:rPr>
          <w:rFonts w:hint="eastAsia" w:ascii="方正小标宋简体" w:eastAsia="方正小标宋简体" w:cs="方正小标宋简体"/>
          <w:sz w:val="40"/>
          <w:szCs w:val="40"/>
          <w:lang w:val="zh-CN"/>
        </w:rPr>
        <w:t>专项预算项目支出绩效自评报告</w:t>
      </w:r>
    </w:p>
    <w:p>
      <w:pPr>
        <w:spacing w:line="600" w:lineRule="exact"/>
        <w:jc w:val="center"/>
        <w:rPr>
          <w:rFonts w:ascii="方正小标宋简体" w:eastAsia="方正小标宋简体" w:cs="方正小标宋简体"/>
          <w:sz w:val="40"/>
          <w:szCs w:val="40"/>
          <w:lang w:val="zh-CN"/>
        </w:rPr>
      </w:pPr>
      <w:r>
        <w:rPr>
          <w:rFonts w:hint="eastAsia" w:ascii="方正小标宋简体" w:eastAsia="方正小标宋简体" w:cs="方正小标宋简体"/>
          <w:sz w:val="40"/>
          <w:szCs w:val="40"/>
          <w:lang w:val="zh-CN"/>
        </w:rPr>
        <w:t>（</w:t>
      </w:r>
      <w:r>
        <w:rPr>
          <w:rFonts w:hint="eastAsia" w:ascii="方正小标宋简体" w:eastAsia="方正小标宋简体"/>
          <w:sz w:val="36"/>
          <w:szCs w:val="36"/>
        </w:rPr>
        <w:t>恒大城对面边坡地质灾害治理</w:t>
      </w:r>
      <w:r>
        <w:rPr>
          <w:rFonts w:hint="eastAsia" w:ascii="方正小标宋简体" w:eastAsia="方正小标宋简体" w:cs="方正小标宋简体"/>
          <w:sz w:val="40"/>
          <w:szCs w:val="40"/>
          <w:lang w:val="zh-CN"/>
        </w:rPr>
        <w:t>）</w:t>
      </w:r>
    </w:p>
    <w:p>
      <w:pPr>
        <w:pStyle w:val="2"/>
        <w:spacing w:before="93" w:beforeLines="0"/>
        <w:rPr>
          <w:lang w:val="zh-CN"/>
        </w:rPr>
      </w:pP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一、项目概况</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（一）项目基本情况。</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1．说明项目主管部门（单位）在该项目管理中的职能。</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cs="仿宋_GB2312"/>
          <w:sz w:val="32"/>
          <w:szCs w:val="32"/>
        </w:rPr>
        <w:t>攀枝花市市政公用设施服务中心为项目业主，具体职能为组织实施项目，督促代建公司严格按照建设项目相关程序及规范实施项目，确保项目质量、安全、造价、进度按合同约定内容完工，资金合理使用。</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2．项目立项、资金申报的依据。</w:t>
      </w:r>
    </w:p>
    <w:p>
      <w:pPr>
        <w:autoSpaceDE w:val="0"/>
        <w:autoSpaceDN w:val="0"/>
        <w:adjustRightInd w:val="0"/>
        <w:spacing w:line="54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为消除恒大城对面边坡发生的边坡崩塌等地质灾害，确保市民通行安全和城市主干道安全运行组织实施本项目。</w:t>
      </w:r>
    </w:p>
    <w:p>
      <w:pPr>
        <w:autoSpaceDE w:val="0"/>
        <w:autoSpaceDN w:val="0"/>
        <w:adjustRightInd w:val="0"/>
        <w:spacing w:line="54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2018年12月20日攀枝花市人民政府第49次常务会议原则同意实施该边坡治理。2019年12月《关于批复恒大城对面边坡地质灾害治理项目可行性研究报告的函》（攀发改函[2019]338号），明确立项总投资681.3万元。《攀枝花市发展和改革委员会关于恒大城对面边坡地质灾害治理项目投资概算的批复》（攀发改投资[ 2020] 73 号），概算批复总投资670.10万元，其中工程费用517.23万元，其他费用为103.23万元，基本预备费49.64万元，资金来源为市财政资金。</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3．资金管理办法制定情况，资金支持具体项目的条件、范围与支持方式概况。</w:t>
      </w:r>
    </w:p>
    <w:p>
      <w:pPr>
        <w:autoSpaceDE w:val="0"/>
        <w:autoSpaceDN w:val="0"/>
        <w:adjustRightIn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单位建立了《建设项目管理规定》、《支出管理制度》和代建管理等相关制度。</w:t>
      </w:r>
    </w:p>
    <w:p>
      <w:pPr>
        <w:autoSpaceDE w:val="0"/>
        <w:autoSpaceDN w:val="0"/>
        <w:adjustRightIn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按照“专项资金，专项使用”的原则，项目资金使用上实行层层把关，实行多级审查付款制度。在财政资金到位后，按照合同约定进行付款，付款如下：</w:t>
      </w:r>
    </w:p>
    <w:p>
      <w:pPr>
        <w:autoSpaceDE w:val="0"/>
        <w:autoSpaceDN w:val="0"/>
        <w:adjustRightIn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监理公司、中心生产科、质安科督促代建及时审核工程量和工程质量—计划科审核是否按合同规定执行—财务人员审核会计资料是否完整—分管领导审核—单位负责人审批签字—财政部门审批通过的程序予以拨付。</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4．资金分配的原则及考虑因素。</w:t>
      </w:r>
    </w:p>
    <w:p>
      <w:pPr>
        <w:widowControl/>
        <w:spacing w:line="54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根据施工设计图按照2015四川建设工程工程量清单计价定额及相关文件规定计算工程建设费，设计、监理、造价咨询费按收费标准计算。</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（二）项目绩效目标。</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1．项目主要内容。</w:t>
      </w:r>
    </w:p>
    <w:p>
      <w:pPr>
        <w:autoSpaceDE w:val="0"/>
        <w:autoSpaceDN w:val="0"/>
        <w:adjustRightInd w:val="0"/>
        <w:spacing w:line="54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工程主要内容包括：治理的边坡分AB段与BC段。其中，AB段边坡长约80米，BC段边坡长约164米，最大坡高约36米。采用分台放坡+锚杆及混凝土格构梁支护方案。主要建设内容为挖土石方修坡、挡土墙砌筑、锚杆、混凝土格构梁植草护坡、截水及排水沟、边坡开挖安全防护墙等。</w:t>
      </w:r>
    </w:p>
    <w:p>
      <w:pPr>
        <w:spacing w:line="540" w:lineRule="exact"/>
        <w:ind w:firstLine="480" w:firstLineChars="150"/>
        <w:rPr>
          <w:rFonts w:ascii="仿宋_GB2312" w:eastAsia="仿宋_GB2312"/>
          <w:kern w:val="0"/>
          <w:sz w:val="32"/>
          <w:szCs w:val="32"/>
        </w:rPr>
      </w:pPr>
      <w:r>
        <w:rPr>
          <w:rFonts w:hint="eastAsia" w:ascii="仿宋_GB2312" w:eastAsia="仿宋_GB2312"/>
          <w:kern w:val="0"/>
          <w:sz w:val="32"/>
          <w:szCs w:val="32"/>
        </w:rPr>
        <w:t>2．项目应实现的具体绩效目标，包括目标的量化、细化情况以及项目实施进度计划等。</w:t>
      </w:r>
    </w:p>
    <w:p>
      <w:pPr>
        <w:autoSpaceDE w:val="0"/>
        <w:autoSpaceDN w:val="0"/>
        <w:adjustRightInd w:val="0"/>
        <w:spacing w:line="540" w:lineRule="exact"/>
        <w:ind w:firstLine="640" w:firstLineChars="200"/>
        <w:jc w:val="left"/>
        <w:rPr>
          <w:rFonts w:ascii="仿宋_GB2312" w:eastAsia="仿宋_GB2312" w:cs="仿宋_GB2312"/>
          <w:sz w:val="32"/>
          <w:szCs w:val="32"/>
        </w:rPr>
      </w:pPr>
      <w:r>
        <w:rPr>
          <w:rFonts w:hint="eastAsia" w:ascii="仿宋_GB2312" w:eastAsia="仿宋_GB2312"/>
          <w:kern w:val="0"/>
          <w:sz w:val="32"/>
          <w:szCs w:val="32"/>
        </w:rPr>
        <w:t>（1）数量指标：</w:t>
      </w:r>
      <w:r>
        <w:rPr>
          <w:rFonts w:hint="eastAsia" w:ascii="仿宋_GB2312" w:eastAsia="仿宋_GB2312"/>
          <w:kern w:val="0"/>
          <w:sz w:val="32"/>
          <w:szCs w:val="32"/>
        </w:rPr>
        <w:fldChar w:fldCharType="begin"/>
      </w:r>
      <w:r>
        <w:rPr>
          <w:rFonts w:hint="eastAsia" w:ascii="仿宋_GB2312" w:eastAsia="仿宋_GB2312"/>
          <w:kern w:val="0"/>
          <w:sz w:val="32"/>
          <w:szCs w:val="32"/>
        </w:rPr>
        <w:instrText xml:space="preserve"> = 1 \* GB3 </w:instrText>
      </w:r>
      <w:r>
        <w:rPr>
          <w:rFonts w:hint="eastAsia" w:ascii="仿宋_GB2312" w:eastAsia="仿宋_GB2312"/>
          <w:kern w:val="0"/>
          <w:sz w:val="32"/>
          <w:szCs w:val="32"/>
        </w:rPr>
        <w:fldChar w:fldCharType="separate"/>
      </w:r>
      <w:r>
        <w:rPr>
          <w:rFonts w:hint="eastAsia" w:ascii="仿宋_GB2312" w:eastAsia="仿宋_GB2312"/>
          <w:kern w:val="0"/>
          <w:sz w:val="32"/>
          <w:szCs w:val="32"/>
        </w:rPr>
        <w:t>①</w:t>
      </w:r>
      <w:r>
        <w:rPr>
          <w:rFonts w:hint="eastAsia" w:ascii="仿宋_GB2312" w:eastAsia="仿宋_GB2312"/>
          <w:kern w:val="0"/>
          <w:sz w:val="32"/>
          <w:szCs w:val="32"/>
        </w:rPr>
        <w:fldChar w:fldCharType="end"/>
      </w:r>
      <w:r>
        <w:rPr>
          <w:rFonts w:hint="eastAsia" w:ascii="仿宋_GB2312" w:eastAsia="仿宋_GB2312"/>
          <w:sz w:val="32"/>
          <w:szCs w:val="32"/>
        </w:rPr>
        <w:t xml:space="preserve">边坡治理-- </w:t>
      </w:r>
      <w:r>
        <w:rPr>
          <w:rFonts w:hint="eastAsia" w:ascii="仿宋_GB2312" w:eastAsia="仿宋_GB2312" w:cs="仿宋_GB2312"/>
          <w:sz w:val="32"/>
          <w:szCs w:val="32"/>
        </w:rPr>
        <w:t>治理垮塌边坡</w:t>
      </w:r>
      <w:r>
        <w:rPr>
          <w:rFonts w:hint="eastAsia" w:ascii="仿宋_GB2312" w:eastAsia="仿宋_GB2312"/>
          <w:sz w:val="32"/>
          <w:szCs w:val="32"/>
        </w:rPr>
        <w:t>244 米，</w:t>
      </w:r>
      <w:r>
        <w:rPr>
          <w:rFonts w:hint="eastAsia" w:ascii="仿宋_GB2312" w:eastAsia="仿宋_GB2312" w:cs="仿宋_GB2312"/>
          <w:sz w:val="32"/>
          <w:szCs w:val="32"/>
        </w:rPr>
        <w:t>挖土石方修坡、挡土墙砌筑、锚杆、混凝土格构梁植草护坡、截水及排水沟、边坡开挖安全防护墙等。</w:t>
      </w:r>
      <w:r>
        <w:rPr>
          <w:rFonts w:hint="eastAsia" w:ascii="仿宋_GB2312" w:eastAsia="仿宋_GB2312" w:cs="仿宋_GB2312"/>
          <w:sz w:val="32"/>
          <w:szCs w:val="32"/>
        </w:rPr>
        <w:fldChar w:fldCharType="begin"/>
      </w:r>
      <w:r>
        <w:rPr>
          <w:rFonts w:hint="eastAsia" w:ascii="仿宋_GB2312" w:eastAsia="仿宋_GB2312" w:cs="仿宋_GB2312"/>
          <w:sz w:val="32"/>
          <w:szCs w:val="32"/>
        </w:rPr>
        <w:instrText xml:space="preserve"> = 2 \* GB3 </w:instrText>
      </w:r>
      <w:r>
        <w:rPr>
          <w:rFonts w:hint="eastAsia" w:ascii="仿宋_GB2312" w:eastAsia="仿宋_GB2312" w:cs="仿宋_GB2312"/>
          <w:sz w:val="32"/>
          <w:szCs w:val="32"/>
        </w:rPr>
        <w:fldChar w:fldCharType="separate"/>
      </w:r>
      <w:r>
        <w:rPr>
          <w:rFonts w:hint="eastAsia" w:ascii="仿宋_GB2312" w:eastAsia="仿宋_GB2312" w:cs="仿宋_GB2312"/>
          <w:sz w:val="32"/>
          <w:szCs w:val="32"/>
        </w:rPr>
        <w:t>②</w:t>
      </w:r>
      <w:r>
        <w:rPr>
          <w:rFonts w:hint="eastAsia" w:ascii="仿宋_GB2312" w:eastAsia="仿宋_GB2312" w:cs="仿宋_GB2312"/>
          <w:sz w:val="32"/>
          <w:szCs w:val="32"/>
        </w:rPr>
        <w:fldChar w:fldCharType="end"/>
      </w:r>
      <w:r>
        <w:rPr>
          <w:rFonts w:hint="eastAsia" w:ascii="仿宋_GB2312" w:eastAsia="仿宋_GB2312" w:cs="仿宋_GB2312"/>
          <w:sz w:val="32"/>
          <w:szCs w:val="32"/>
        </w:rPr>
        <w:t>工程建设其它—可行性研究、设计、监理、代建等</w:t>
      </w:r>
      <w:r>
        <w:rPr>
          <w:rFonts w:hint="eastAsia" w:ascii="仿宋_GB2312" w:eastAsia="仿宋_GB2312"/>
          <w:kern w:val="0"/>
          <w:sz w:val="32"/>
          <w:szCs w:val="32"/>
        </w:rPr>
        <w:t>。</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（2）质量指标：</w:t>
      </w:r>
      <w:r>
        <w:rPr>
          <w:rFonts w:hint="eastAsia" w:ascii="仿宋_GB2312" w:eastAsia="仿宋_GB2312"/>
          <w:kern w:val="0"/>
          <w:sz w:val="32"/>
          <w:szCs w:val="32"/>
        </w:rPr>
        <w:fldChar w:fldCharType="begin"/>
      </w:r>
      <w:r>
        <w:rPr>
          <w:rFonts w:hint="eastAsia" w:ascii="仿宋_GB2312" w:eastAsia="仿宋_GB2312"/>
          <w:kern w:val="0"/>
          <w:sz w:val="32"/>
          <w:szCs w:val="32"/>
        </w:rPr>
        <w:instrText xml:space="preserve"> = 1 \* GB3 </w:instrText>
      </w:r>
      <w:r>
        <w:rPr>
          <w:rFonts w:hint="eastAsia" w:ascii="仿宋_GB2312" w:eastAsia="仿宋_GB2312"/>
          <w:kern w:val="0"/>
          <w:sz w:val="32"/>
          <w:szCs w:val="32"/>
        </w:rPr>
        <w:fldChar w:fldCharType="separate"/>
      </w:r>
      <w:r>
        <w:rPr>
          <w:rFonts w:hint="eastAsia" w:ascii="仿宋_GB2312" w:eastAsia="仿宋_GB2312"/>
          <w:kern w:val="0"/>
          <w:sz w:val="32"/>
          <w:szCs w:val="32"/>
        </w:rPr>
        <w:t>①</w:t>
      </w:r>
      <w:r>
        <w:rPr>
          <w:rFonts w:hint="eastAsia" w:ascii="仿宋_GB2312" w:eastAsia="仿宋_GB2312"/>
          <w:kern w:val="0"/>
          <w:sz w:val="32"/>
          <w:szCs w:val="32"/>
        </w:rPr>
        <w:fldChar w:fldCharType="end"/>
      </w:r>
      <w:r>
        <w:rPr>
          <w:rFonts w:hint="eastAsia" w:ascii="仿宋_GB2312" w:eastAsia="仿宋_GB2312"/>
          <w:kern w:val="0"/>
          <w:sz w:val="32"/>
          <w:szCs w:val="32"/>
        </w:rPr>
        <w:t>工程质量--满足国家相关规范要求。</w:t>
      </w:r>
      <w:r>
        <w:rPr>
          <w:rFonts w:hint="eastAsia" w:ascii="仿宋_GB2312" w:eastAsia="仿宋_GB2312" w:cs="仿宋_GB2312"/>
          <w:sz w:val="32"/>
          <w:szCs w:val="32"/>
        </w:rPr>
        <w:fldChar w:fldCharType="begin"/>
      </w:r>
      <w:r>
        <w:rPr>
          <w:rFonts w:hint="eastAsia" w:ascii="仿宋_GB2312" w:eastAsia="仿宋_GB2312" w:cs="仿宋_GB2312"/>
          <w:sz w:val="32"/>
          <w:szCs w:val="32"/>
        </w:rPr>
        <w:instrText xml:space="preserve"> = 2 \* GB3 </w:instrText>
      </w:r>
      <w:r>
        <w:rPr>
          <w:rFonts w:hint="eastAsia" w:ascii="仿宋_GB2312" w:eastAsia="仿宋_GB2312" w:cs="仿宋_GB2312"/>
          <w:sz w:val="32"/>
          <w:szCs w:val="32"/>
        </w:rPr>
        <w:fldChar w:fldCharType="separate"/>
      </w:r>
      <w:r>
        <w:rPr>
          <w:rFonts w:hint="eastAsia" w:ascii="仿宋_GB2312" w:eastAsia="仿宋_GB2312" w:cs="仿宋_GB2312"/>
          <w:sz w:val="32"/>
          <w:szCs w:val="32"/>
        </w:rPr>
        <w:t>②</w:t>
      </w:r>
      <w:r>
        <w:rPr>
          <w:rFonts w:hint="eastAsia" w:ascii="仿宋_GB2312" w:eastAsia="仿宋_GB2312" w:cs="仿宋_GB2312"/>
          <w:sz w:val="32"/>
          <w:szCs w:val="32"/>
        </w:rPr>
        <w:fldChar w:fldCharType="end"/>
      </w:r>
      <w:r>
        <w:rPr>
          <w:rFonts w:hint="eastAsia" w:ascii="仿宋_GB2312" w:eastAsia="仿宋_GB2312"/>
          <w:kern w:val="0"/>
          <w:sz w:val="32"/>
          <w:szCs w:val="32"/>
        </w:rPr>
        <w:t>服务质量--达到合同约定要求。</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（3）时效指标：完成时间--按合同约定完成。</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（4）成本指标：</w:t>
      </w:r>
      <w:r>
        <w:rPr>
          <w:rFonts w:hint="eastAsia" w:ascii="仿宋_GB2312" w:eastAsia="仿宋_GB2312"/>
          <w:kern w:val="0"/>
          <w:sz w:val="32"/>
          <w:szCs w:val="32"/>
        </w:rPr>
        <w:fldChar w:fldCharType="begin"/>
      </w:r>
      <w:r>
        <w:rPr>
          <w:rFonts w:hint="eastAsia" w:ascii="仿宋_GB2312" w:eastAsia="仿宋_GB2312"/>
          <w:kern w:val="0"/>
          <w:sz w:val="32"/>
          <w:szCs w:val="32"/>
        </w:rPr>
        <w:instrText xml:space="preserve"> = 1 \* GB3 </w:instrText>
      </w:r>
      <w:r>
        <w:rPr>
          <w:rFonts w:hint="eastAsia" w:ascii="仿宋_GB2312" w:eastAsia="仿宋_GB2312"/>
          <w:kern w:val="0"/>
          <w:sz w:val="32"/>
          <w:szCs w:val="32"/>
        </w:rPr>
        <w:fldChar w:fldCharType="separate"/>
      </w:r>
      <w:r>
        <w:rPr>
          <w:rFonts w:hint="eastAsia" w:ascii="仿宋_GB2312" w:eastAsia="仿宋_GB2312"/>
          <w:kern w:val="0"/>
          <w:sz w:val="32"/>
          <w:szCs w:val="32"/>
        </w:rPr>
        <w:t>①</w:t>
      </w:r>
      <w:r>
        <w:rPr>
          <w:rFonts w:hint="eastAsia" w:ascii="仿宋_GB2312" w:eastAsia="仿宋_GB2312"/>
          <w:kern w:val="0"/>
          <w:sz w:val="32"/>
          <w:szCs w:val="32"/>
        </w:rPr>
        <w:fldChar w:fldCharType="end"/>
      </w:r>
      <w:r>
        <w:rPr>
          <w:rFonts w:hint="eastAsia" w:ascii="仿宋_GB2312" w:eastAsia="仿宋_GB2312"/>
          <w:kern w:val="0"/>
          <w:sz w:val="32"/>
          <w:szCs w:val="32"/>
        </w:rPr>
        <w:t>工程建设费</w:t>
      </w:r>
      <w:r>
        <w:rPr>
          <w:rFonts w:hint="eastAsia" w:ascii="仿宋_GB2312" w:eastAsia="仿宋_GB2312"/>
          <w:sz w:val="32"/>
          <w:szCs w:val="32"/>
        </w:rPr>
        <w:t>447.38万元</w:t>
      </w:r>
      <w:r>
        <w:rPr>
          <w:rFonts w:hint="eastAsia" w:ascii="仿宋_GB2312" w:eastAsia="仿宋_GB2312"/>
          <w:kern w:val="0"/>
          <w:sz w:val="32"/>
          <w:szCs w:val="32"/>
        </w:rPr>
        <w:t>。</w:t>
      </w:r>
      <w:r>
        <w:rPr>
          <w:rFonts w:hint="eastAsia" w:ascii="仿宋_GB2312" w:eastAsia="仿宋_GB2312" w:cs="仿宋_GB2312"/>
          <w:sz w:val="32"/>
          <w:szCs w:val="32"/>
        </w:rPr>
        <w:fldChar w:fldCharType="begin"/>
      </w:r>
      <w:r>
        <w:rPr>
          <w:rFonts w:hint="eastAsia" w:ascii="仿宋_GB2312" w:eastAsia="仿宋_GB2312" w:cs="仿宋_GB2312"/>
          <w:sz w:val="32"/>
          <w:szCs w:val="32"/>
        </w:rPr>
        <w:instrText xml:space="preserve"> = 2 \* GB3 </w:instrText>
      </w:r>
      <w:r>
        <w:rPr>
          <w:rFonts w:hint="eastAsia" w:ascii="仿宋_GB2312" w:eastAsia="仿宋_GB2312" w:cs="仿宋_GB2312"/>
          <w:sz w:val="32"/>
          <w:szCs w:val="32"/>
        </w:rPr>
        <w:fldChar w:fldCharType="separate"/>
      </w:r>
      <w:r>
        <w:rPr>
          <w:rFonts w:hint="eastAsia" w:ascii="仿宋_GB2312" w:eastAsia="仿宋_GB2312" w:cs="仿宋_GB2312"/>
          <w:sz w:val="32"/>
          <w:szCs w:val="32"/>
        </w:rPr>
        <w:t>②</w:t>
      </w:r>
      <w:r>
        <w:rPr>
          <w:rFonts w:hint="eastAsia" w:ascii="仿宋_GB2312" w:eastAsia="仿宋_GB2312" w:cs="仿宋_GB2312"/>
          <w:sz w:val="32"/>
          <w:szCs w:val="32"/>
        </w:rPr>
        <w:fldChar w:fldCharType="end"/>
      </w:r>
      <w:r>
        <w:rPr>
          <w:rFonts w:hint="eastAsia" w:ascii="仿宋_GB2312" w:eastAsia="仿宋_GB2312"/>
          <w:kern w:val="0"/>
          <w:sz w:val="32"/>
          <w:szCs w:val="32"/>
        </w:rPr>
        <w:t>工程建设其他费用62.62万元。</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（5）社会效益指标: 安全—边坡地质灾害治理后消除了边坡安全隐患，确保市民和车辆通行安全。</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（6）生态效益指标：美化环境--丰富干道植被。</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（7）可持续影响指标：改善人居环境--效果明显。</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（8）满意度指标：服务对象满意度达到95%。</w:t>
      </w:r>
    </w:p>
    <w:p>
      <w:pPr>
        <w:autoSpaceDE w:val="0"/>
        <w:autoSpaceDN w:val="0"/>
        <w:adjustRightInd w:val="0"/>
        <w:spacing w:line="540" w:lineRule="exact"/>
        <w:ind w:left="638" w:leftChars="304"/>
        <w:jc w:val="left"/>
        <w:rPr>
          <w:rFonts w:ascii="仿宋_GB2312" w:eastAsia="仿宋_GB2312"/>
          <w:kern w:val="0"/>
          <w:sz w:val="32"/>
          <w:szCs w:val="32"/>
        </w:rPr>
      </w:pPr>
      <w:r>
        <w:rPr>
          <w:rFonts w:hint="eastAsia" w:ascii="仿宋_GB2312" w:eastAsia="仿宋_GB2312"/>
          <w:kern w:val="0"/>
          <w:sz w:val="32"/>
          <w:szCs w:val="32"/>
        </w:rPr>
        <w:t>3．分析评价申报内容是否与实际相符，申报目标是否合理可行。</w:t>
      </w:r>
    </w:p>
    <w:p>
      <w:pPr>
        <w:autoSpaceDE w:val="0"/>
        <w:autoSpaceDN w:val="0"/>
        <w:adjustRightInd w:val="0"/>
        <w:spacing w:line="54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为消除恒大城对面边坡发生的边坡崩塌等地质灾害，确保市民通行安全和城市主干道安全运行组织实施本项目。项目实施前多次组织现场勘查、完善设计、合理安排进度等。评价申报内容与实际相符，申报目标合理可行。</w:t>
      </w:r>
    </w:p>
    <w:p>
      <w:pPr>
        <w:autoSpaceDE w:val="0"/>
        <w:autoSpaceDN w:val="0"/>
        <w:adjustRightInd w:val="0"/>
        <w:spacing w:line="500" w:lineRule="exact"/>
        <w:ind w:left="958" w:leftChars="304" w:hanging="320" w:hangingChars="100"/>
        <w:jc w:val="left"/>
        <w:rPr>
          <w:rFonts w:ascii="仿宋_GB2312" w:eastAsia="仿宋_GB2312"/>
          <w:sz w:val="32"/>
          <w:szCs w:val="32"/>
        </w:rPr>
      </w:pPr>
      <w:r>
        <w:rPr>
          <w:rFonts w:hint="eastAsia" w:ascii="仿宋_GB2312" w:eastAsia="仿宋_GB2312"/>
          <w:sz w:val="32"/>
          <w:szCs w:val="32"/>
        </w:rPr>
        <w:t>（三）项目自评步骤及方法。</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项目自评先由项目申报科室进行自评，提供收集具体数据及各项资料，财务科组织生产科、计划科等有关科室审核各项产出指标是否正确、对各任务目标开展逐一核对，分析原因并形成报告，并对项目开展情况进行整体评价，后由中心分管领导审核最终形成自评表及自评报告。</w:t>
      </w:r>
    </w:p>
    <w:p>
      <w:pPr>
        <w:adjustRightInd w:val="0"/>
        <w:snapToGrid w:val="0"/>
        <w:spacing w:line="580" w:lineRule="exact"/>
        <w:ind w:firstLine="640" w:firstLineChars="200"/>
        <w:rPr>
          <w:rFonts w:ascii="仿宋_GB2312" w:eastAsia="仿宋_GB2312"/>
          <w:color w:val="000000"/>
          <w:sz w:val="32"/>
          <w:szCs w:val="32"/>
          <w:lang w:val="zh-CN"/>
        </w:rPr>
      </w:pPr>
      <w:r>
        <w:rPr>
          <w:rFonts w:hint="eastAsia" w:ascii="仿宋_GB2312" w:eastAsia="仿宋_GB2312"/>
          <w:color w:val="000000"/>
          <w:sz w:val="32"/>
          <w:szCs w:val="32"/>
          <w:lang w:val="zh-CN"/>
        </w:rPr>
        <w:t>自评主要采用比较、因素分析法。通过绩效目标与实现效果、年初与年末进行比较，综合分析绩效目标实现程度。通过综合分析影响目标实现的内外因素，评价绩效目标实现程度。</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二、项目资金申报及使用情况</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（一）项目资金申报及批复情况。</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资金申报：2018年7月3日《攀枝花市城市管理局关于审定&lt;恒大城对面边坡治理实施方案&gt;的请示》（攀城管〔2018〕161 号）。</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批复：2018年8月13日《攀枝花市财政局关于恒大城对面边坡治理项目资金来源事宜的请示》（攀财政〔2018〕119号）领导批示，同意财政意见，项目资金从地方债券中解决。</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（二）资金计划、到位及使用情况。</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1．资金计划。</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sz w:val="32"/>
          <w:szCs w:val="32"/>
        </w:rPr>
        <w:t>该项目资金按</w:t>
      </w:r>
      <w:r>
        <w:rPr>
          <w:rFonts w:hint="eastAsia" w:ascii="仿宋_GB2312" w:eastAsia="仿宋_GB2312"/>
          <w:kern w:val="0"/>
          <w:sz w:val="32"/>
          <w:szCs w:val="32"/>
        </w:rPr>
        <w:t>《攀枝花市财政局关于恒大城对面边坡治理项目资金来源事宜的请示》（攀财政〔2018〕119号）领导批示，从地方债券中解决。</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2．资金到位。</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《攀枝花市财政局关于下达2021年地方政府新增一般债劵资金预算的通知》攀财资投〔2021〕35号，安排资金510万元；2021年12月31日止该项目到位资金510万元。资金到位率100%，并及时到位。</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3．资金使用。</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2021年12月31日止该项目支出资金510万元。资金支付范围、支付标准、支付进度、支付依据等合规合法,与预算相符。</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（三）项目财务管理情况。</w:t>
      </w:r>
    </w:p>
    <w:p>
      <w:pPr>
        <w:autoSpaceDE w:val="0"/>
        <w:autoSpaceDN w:val="0"/>
        <w:adjustRightInd w:val="0"/>
        <w:spacing w:line="5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严格执行财务管理制度，账务处理及时，会计核算规范;资金使用规范符合专项资金管理的规定，资金的拨付有完整的审批程序和手续，专款专用，不存在截留、挤占、挪用、虚列支出等情况，保障项目核算准确、会计资料完整。</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三、项目实施及管理情况</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（一）项目组织架构及实施流程。</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sz w:val="32"/>
          <w:szCs w:val="32"/>
        </w:rPr>
        <w:t>单位组织项目工作组，明确生产、计划、质安等部门责任分工，督促代建公司严格按照建设项目相关程序及规范实施项目，项目组承担内外协调和组织管理及监督实施工作，各业务部门充分发挥各个专业、技术、经济和管理优势，确保预定目标的最终实现。同时督促代建单位认真履行代建职责，控制好质量安全、造价、工期等。同时要求监理单位按照监理规划和监理实施细则开展进度、质量、造价等监理工作。</w:t>
      </w:r>
    </w:p>
    <w:p>
      <w:pPr>
        <w:autoSpaceDE w:val="0"/>
        <w:autoSpaceDN w:val="0"/>
        <w:adjustRightInd w:val="0"/>
        <w:spacing w:line="540" w:lineRule="exact"/>
        <w:ind w:firstLine="640"/>
        <w:jc w:val="left"/>
        <w:rPr>
          <w:rFonts w:ascii="仿宋_GB2312" w:eastAsia="仿宋_GB2312"/>
          <w:kern w:val="0"/>
          <w:sz w:val="32"/>
          <w:szCs w:val="32"/>
        </w:rPr>
      </w:pPr>
      <w:r>
        <w:rPr>
          <w:rFonts w:ascii="仿宋_GB2312" w:eastAsia="仿宋_GB2312"/>
          <w:sz w:val="32"/>
          <w:szCs w:val="32"/>
        </w:rPr>
        <mc:AlternateContent>
          <mc:Choice Requires="wps">
            <w:drawing>
              <wp:anchor distT="0" distB="0" distL="113665" distR="113665" simplePos="0" relativeHeight="1024" behindDoc="0" locked="0" layoutInCell="1" allowOverlap="1">
                <wp:simplePos x="0" y="0"/>
                <wp:positionH relativeFrom="column">
                  <wp:posOffset>4581525</wp:posOffset>
                </wp:positionH>
                <wp:positionV relativeFrom="paragraph">
                  <wp:posOffset>171450</wp:posOffset>
                </wp:positionV>
                <wp:extent cx="381000" cy="9525"/>
                <wp:effectExtent l="0" t="0" r="0" b="0"/>
                <wp:wrapNone/>
                <wp:docPr id="8" name="_x0000_s2059"/>
                <wp:cNvGraphicFramePr/>
                <a:graphic xmlns:a="http://schemas.openxmlformats.org/drawingml/2006/main">
                  <a:graphicData uri="http://schemas.microsoft.com/office/word/2010/wordprocessingShape">
                    <wps:wsp>
                      <wps:cNvCnPr/>
                      <wps:spPr>
                        <a:xfrm>
                          <a:off x="5724525" y="5467350"/>
                          <a:ext cx="381000" cy="9525"/>
                        </a:xfrm>
                        <a:prstGeom prst="straightConnector1">
                          <a:avLst/>
                        </a:prstGeom>
                        <a:noFill/>
                        <a:ln w="9525" cap="flat" cmpd="sng">
                          <a:solidFill>
                            <a:srgbClr val="000000"/>
                          </a:solidFill>
                          <a:prstDash val="solid"/>
                          <a:miter/>
                          <a:tailEnd type="triangle" w="med" len="med"/>
                        </a:ln>
                      </wps:spPr>
                      <wps:bodyPr vert="horz" wrap="square" lIns="91440" tIns="45720" rIns="91440" bIns="45720" anchor="t" anchorCtr="false" upright="true">
                        <a:noAutofit/>
                      </wps:bodyPr>
                    </wps:wsp>
                  </a:graphicData>
                </a:graphic>
              </wp:anchor>
            </w:drawing>
          </mc:Choice>
          <mc:Fallback>
            <w:pict>
              <v:shape id="_x0000_s2059" o:spid="_x0000_s1026" o:spt="32" type="#_x0000_t32" style="position:absolute;left:0pt;margin-left:360.75pt;margin-top:13.5pt;height:0.75pt;width:30pt;z-index:1024;mso-width-relative:page;mso-height-relative:page;" filled="f" stroked="t" coordsize="21600,21600" o:gfxdata="UEsFBgAAAAAAAAAAAAAAAAAAAAAAAFBLAwQKAAAAAACHTuJAAAAAAAAAAAAAAAAABAAAAGRycy9Q&#10;SwMEFAAAAAgAh07iQJ4S8F/TAAAACQEAAA8AAABkcnMvZG93bnJldi54bWxNjz1vgzAQhvdK/Q/W&#10;RerWGJBSEMVkiESHbqQZOjr4glH9gWxDkn/fy9SO996j96PZ36xhK4Y4eScg32bA0A1eTW4UcPrq&#10;XitgMUmnpPEOBdwxwr59fmpkrfzV9bge08jIxMVaCtApzTXncdBoZdz6GR39Lj5YmegMI1dBXsnc&#10;Gl5k2Ru3cnKUoOWMB43Dz3GxAvBT38eTXU0RsP9eTNV99LoT4mWTZ+/AEt7SHwyP+lQdWup09otT&#10;kRkBZZHvCBVQlLSJgLJ6CGcSqh3wtuH/F7S/UEsDBBQAAAAIAIdO4kBeR1OCIQIAACQEAAAOAAAA&#10;ZHJzL2Uyb0RvYy54bWytU02P0zAQvSPxHyzf2aTddncbNV2hlkVICCoB59XUcRJL/mLsNi2/nrEb&#10;tgVuiBycGXvm+c2b8fLxaDQ7SAzK2ZpPbkrOpBWuUbar+bevT28eOAsRbAPaWVnzkwz8cfX61XLw&#10;lZy63ulGIiMQG6rB17yP0VdFEUQvDYQb56Wlw9ahgUgudkWDMBC60cW0LO+KwWHj0QkZAu1uzod8&#10;lfHbVor4uW2DjEzXnLjFvGJed2ktVkuoOgTfKzHSgH9gYUBZuvQFagMR2B7VX1BGCXTBtfFGOFO4&#10;tlVC5hqomkn5RzVfevAy10LiBP8iU/h/sOLTYYtMNTWnRlkw1KLnY0nfc5iW80XSZ/ChorC13eLo&#10;Bb/FVOyxRZP+VAY71nx+P53Np3POTmTP7u5v56O+8hiZoIDbhwkhcyYoYJEiCa+4wHgM8b10hiWj&#10;5iEiqK6Pa2ct9dHhJCsMh48hnhN/JSQO1j0prWkfKm3ZMF7ABNBQtRoi3Wo8lRlsl2GC06pJKSkj&#10;YLdba2QHSGOSv5Hbb2Hpvg2E/hyXj1IYVEZFmcSBKoLS72zD4smTlBEV2E5LnggZ2XCmJT2TZJ0r&#10;0JYUSAKfJU3WzjUnagm9KdKgd/iDkmk+ifn3PSBB6Q+WBmAxmc3SQGdnRtKTg9cnu+sTsIKgiBBn&#10;Z3MdyWtBBwLce0w6J7r7NG5JzLf76FqVdb6QGrnSKOa+jc8mzfq1n6Muj3v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J4S8F/TAAAACQEAAA8AAAAAAAAAAQAgAAAAOAAAAGRycy9kb3ducmV2Lnht&#10;bFBLAQIUABQAAAAIAIdO4kBeR1OCIQIAACQEAAAOAAAAAAAAAAEAIAAAADgBAABkcnMvZTJvRG9j&#10;LnhtbFBLBQYAAAAABgAGAFkBAADLBQAAAAA=&#10;">
                <v:fill on="f" focussize="0,0"/>
                <v:stroke color="#000000" joinstyle="miter" endarrow="block"/>
                <v:imagedata o:title=""/>
                <o:lock v:ext="edit" aspectratio="f"/>
              </v:shape>
            </w:pict>
          </mc:Fallback>
        </mc:AlternateContent>
      </w:r>
      <w:r>
        <w:rPr>
          <w:rFonts w:ascii="仿宋_GB2312" w:eastAsia="仿宋_GB2312"/>
          <w:sz w:val="32"/>
          <w:szCs w:val="32"/>
        </w:rPr>
        <mc:AlternateContent>
          <mc:Choice Requires="wps">
            <w:drawing>
              <wp:anchor distT="0" distB="0" distL="113665" distR="113665" simplePos="0" relativeHeight="1024" behindDoc="0" locked="0" layoutInCell="1" allowOverlap="1">
                <wp:simplePos x="0" y="0"/>
                <wp:positionH relativeFrom="column">
                  <wp:posOffset>3214370</wp:posOffset>
                </wp:positionH>
                <wp:positionV relativeFrom="paragraph">
                  <wp:posOffset>179705</wp:posOffset>
                </wp:positionV>
                <wp:extent cx="509905" cy="635"/>
                <wp:effectExtent l="0" t="0" r="0" b="0"/>
                <wp:wrapNone/>
                <wp:docPr id="10" name="_x0000_s2058"/>
                <wp:cNvGraphicFramePr/>
                <a:graphic xmlns:a="http://schemas.openxmlformats.org/drawingml/2006/main">
                  <a:graphicData uri="http://schemas.microsoft.com/office/word/2010/wordprocessingShape">
                    <wps:wsp>
                      <wps:cNvCnPr/>
                      <wps:spPr>
                        <a:xfrm>
                          <a:off x="4357370" y="5476240"/>
                          <a:ext cx="509905" cy="952"/>
                        </a:xfrm>
                        <a:prstGeom prst="straightConnector1">
                          <a:avLst/>
                        </a:prstGeom>
                        <a:solidFill>
                          <a:srgbClr val="FFFFFF"/>
                        </a:solidFill>
                        <a:ln w="9525" cap="flat" cmpd="sng">
                          <a:solidFill>
                            <a:srgbClr val="000000"/>
                          </a:solidFill>
                          <a:prstDash val="solid"/>
                          <a:miter/>
                          <a:tailEnd type="triangle" w="med" len="med"/>
                        </a:ln>
                      </wps:spPr>
                      <wps:bodyPr vert="horz" wrap="square" lIns="91440" tIns="45720" rIns="91440" bIns="45720" anchor="t" anchorCtr="false" upright="true">
                        <a:noAutofit/>
                      </wps:bodyPr>
                    </wps:wsp>
                  </a:graphicData>
                </a:graphic>
              </wp:anchor>
            </w:drawing>
          </mc:Choice>
          <mc:Fallback>
            <w:pict>
              <v:shape id="_x0000_s2058" o:spid="_x0000_s1026" o:spt="32" type="#_x0000_t32" style="position:absolute;left:0pt;margin-left:253.1pt;margin-top:14.15pt;height:0.05pt;width:40.15pt;z-index:1024;mso-width-relative:page;mso-height-relative:page;" fillcolor="#FFFFFF" filled="t" stroked="t" coordsize="21600,21600" o:gfxdata="UEsFBgAAAAAAAAAAAAAAAAAAAAAAAFBLAwQKAAAAAACHTuJAAAAAAAAAAAAAAAAABAAAAGRycy9Q&#10;SwMEFAAAAAgAh07iQH5FF1/VAAAACQEAAA8AAABkcnMvZG93bnJldi54bWxNj7FOwzAQhnck3sE6&#10;JDbqNJAoSuN0QAoDW0oHRjc+4qj2ObKdtH173AnGu/v03/c3+6s1bEUfJkcCtpsMGNLg1ESjgONX&#10;91IBC1GSksYRCrhhgH37+NDIWrkL9bge4shSCIVaCtAxzjXnYdBoZdi4GSndfpy3MqbRj1x5eUnh&#10;1vA8y0pu5UTpg5YzvmsczofFCsBPfRuPdjW5x/57MVX30etOiOenbbYDFvEa/2C46yd1aJPTyS2k&#10;AjMCiqzMEyogr16BJaCoygLY6b54A942/H+D9hdQSwMEFAAAAAgAh07iQP+1hg8tAgAATQQAAA4A&#10;AABkcnMvZTJvRG9jLnhtbK1UTY/TMBC9I/EfLN9p0m6z3UZNV6ilCAmxlYDzapo4iSV/MXa/+PWM&#10;nbLtwg2RgzOTGT+/eTPO4vGkFTsI9NKaio9HOWfC1LaRpqv492+bdw+c+QCmAWWNqPhZeP64fPtm&#10;cXSlmNjeqkYgIxDjy6OreB+CK7PM173Q4EfWCUPB1qKGQC52WYNwJHStskme32dHi41DWwvv6et6&#10;CPJlwm9bUYentvUiMFVx4hbSimndxTVbLqDsEFwv6wsN+AcWGqShQ1+g1hCA7VH+BaVljdbbNoxq&#10;qzPbtrIWqQaqZpz/Uc3XHpxItZA43r3I5P8fbP3lsEUmG+odyWNAU4+eTzk9z36SFw9RoKPzJeWt&#10;zBYvnndbjNWeWtTxTXWwU8Wnd8XsbkY454oX09n9ZHoRWJwCqymhyOfzvOCspoR5MYng2RXFoQ8f&#10;hdUsGhX3AUF2fVhZY6iPFsdJYTh89mHY+HtDpOCtks1GKpUc7HYrhewA1PZNei5nvUpThh0TkUgJ&#10;aPpaBYFM7UgPb7p03qsd/hY4qpSnCqmIV2mR2Bp8PxBIoXg+lFoGEUWEMoBUH0zDwtmR5AElmE4J&#10;Hglp0XCmBN2naA2lKkNSxUYM0kdrZ5sz9Y4uH4nVW/xJm2mQifmPPSBBqU+GJmU+nlIbWEjOtJhN&#10;yMHbyO42AqYmKCLE2WCuAnktKE+Ae4exIZHuPs4llMa+3wfbytSQK6kLV5rZ1ODL/YqX4tZPWde/&#10;wP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fkUXX9UAAAAJAQAADwAAAAAAAAABACAAAAA4AAAA&#10;ZHJzL2Rvd25yZXYueG1sUEsBAhQAFAAAAAgAh07iQP+1hg8tAgAATQQAAA4AAAAAAAAAAQAgAAAA&#10;OgEAAGRycy9lMm9Eb2MueG1sUEsFBgAAAAAGAAYAWQEAANkFAAAAAA==&#10;">
                <v:fill on="t" focussize="0,0"/>
                <v:stroke color="#000000" joinstyle="miter" endarrow="block"/>
                <v:imagedata o:title=""/>
                <o:lock v:ext="edit" aspectratio="f"/>
              </v:shape>
            </w:pict>
          </mc:Fallback>
        </mc:AlternateContent>
      </w:r>
      <w:r>
        <w:rPr>
          <w:rFonts w:ascii="仿宋_GB2312" w:eastAsia="仿宋_GB2312"/>
          <w:sz w:val="32"/>
          <w:szCs w:val="32"/>
        </w:rPr>
        <mc:AlternateContent>
          <mc:Choice Requires="wps">
            <w:drawing>
              <wp:anchor distT="0" distB="0" distL="113665" distR="113665" simplePos="0" relativeHeight="1024" behindDoc="0" locked="0" layoutInCell="1" allowOverlap="1">
                <wp:simplePos x="0" y="0"/>
                <wp:positionH relativeFrom="column">
                  <wp:posOffset>1776095</wp:posOffset>
                </wp:positionH>
                <wp:positionV relativeFrom="paragraph">
                  <wp:posOffset>180975</wp:posOffset>
                </wp:positionV>
                <wp:extent cx="561975" cy="635"/>
                <wp:effectExtent l="0" t="0" r="0" b="0"/>
                <wp:wrapNone/>
                <wp:docPr id="12" name="_x0000_s2057"/>
                <wp:cNvGraphicFramePr/>
                <a:graphic xmlns:a="http://schemas.openxmlformats.org/drawingml/2006/main">
                  <a:graphicData uri="http://schemas.microsoft.com/office/word/2010/wordprocessingShape">
                    <wps:wsp>
                      <wps:cNvCnPr/>
                      <wps:spPr>
                        <a:xfrm>
                          <a:off x="2919095" y="5476875"/>
                          <a:ext cx="561974" cy="952"/>
                        </a:xfrm>
                        <a:prstGeom prst="straightConnector1">
                          <a:avLst/>
                        </a:prstGeom>
                        <a:solidFill>
                          <a:srgbClr val="FFFFFF"/>
                        </a:solidFill>
                        <a:ln w="9525" cap="flat" cmpd="sng">
                          <a:solidFill>
                            <a:srgbClr val="000000"/>
                          </a:solidFill>
                          <a:prstDash val="solid"/>
                          <a:miter/>
                          <a:tailEnd type="triangle" w="med" len="med"/>
                        </a:ln>
                      </wps:spPr>
                      <wps:bodyPr vert="horz" wrap="square" lIns="91440" tIns="45720" rIns="91440" bIns="45720" anchor="t" anchorCtr="false" upright="true">
                        <a:noAutofit/>
                      </wps:bodyPr>
                    </wps:wsp>
                  </a:graphicData>
                </a:graphic>
              </wp:anchor>
            </w:drawing>
          </mc:Choice>
          <mc:Fallback>
            <w:pict>
              <v:shape id="_x0000_s2057" o:spid="_x0000_s1026" o:spt="32" type="#_x0000_t32" style="position:absolute;left:0pt;margin-left:139.85pt;margin-top:14.25pt;height:0.05pt;width:44.25pt;z-index:1024;mso-width-relative:page;mso-height-relative:page;" fillcolor="#FFFFFF" filled="t" stroked="t" coordsize="21600,21600" o:gfxdata="UEsFBgAAAAAAAAAAAAAAAAAAAAAAAFBLAwQKAAAAAACHTuJAAAAAAAAAAAAAAAAABAAAAGRycy9Q&#10;SwMEFAAAAAgAh07iQLHkJ63VAAAACQEAAA8AAABkcnMvZG93bnJldi54bWxNjz1PwzAQhnck/oN1&#10;SGzUaRBpSON0QAoDW0qHjm58xFHtc2Q7afvvcSfY7uPRe8/Vu6s1bEEfRkcC1qsMGFLv1EiDgMN3&#10;+1ICC1GSksYRCrhhgF3z+FDLSrkLdbjs48BSCIVKCtAxThXnoddoZVi5CSntfpy3MqbWD1x5eUnh&#10;1vA8ywpu5UjpgpYTfmjsz/vZCsAvfRsOdjG5x+44m7L97HQrxPPTOtsCi3iNfzDc9ZM6NMnp5GZS&#10;gRkB+eZ9k9BUlG/AEvBalDmw031QAG9q/v+D5hdQSwMEFAAAAAgAh07iQK6fYIcuAgAATQQAAA4A&#10;AABkcnMvZTJvRG9jLnhtbK1UTW/bMAy9D9h/EHRf7Rhx0xh1iiFdhwHDFmDbuWBk2Ragr1HK1379&#10;KDlt0+02zAeZNKmnx0fKt3dHo9leYlDOtnx2VXImrXCdskPLf3x/eHfDWYhgO9DOypafZOB3q7dv&#10;bg++kZUbne4kMgKxoTn4lo8x+qYoghilgXDlvLQU7B0aiOTiUHQIB0I3uqjK8ro4OOw8OiFDoK/3&#10;U5CvMn7fSxG/9n2QkemWE7eYV8zrNq3F6haaAcGPSpxpwD+wMKAsHfoMdQ8R2A7VX1BGCXTB9fFK&#10;OFO4vldC5hqomln5RzXfRvAy10LiBP8sU/h/sOLLfoNMddS7ijMLhnr0eCzpeQxVWS+SQAcfGspb&#10;2w2eveA3mKo99mjSm+pgx5ZXy9myXNacnVpezxfXN4t6ElgeIxOUUF/Plos5Z4ISlnWVgsULiscQ&#10;P0pnWDJaHiKCGsa4dtZSHx3OssKw/xzitPFpQ6IQnFbdg9I6Ozhs1xrZHqjtD/k5n/UqTVt2yESI&#10;sgCavl5DJNN40iPYIZ/3ake4BE4qlXmEqIhXaYnYPYRxIpBDkxBGRYlEHpoISn+wHYsnT5JHVGAH&#10;LXkiZGTHmZZ0n5I1laotSZUaMUmfrK3rTtQ7unwk1ujwF22mQSbmP3eABKU/WZqU5Ww+T5OfnXm9&#10;qMjBy8j2MgJWEBQR4mwy15G8HnQgwJ3H1JBEd5fmEhrr3u+i61VuyAupM1ea2dzg8/1Kl+LSz1kv&#10;f4H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HkJ63VAAAACQEAAA8AAAAAAAAAAQAgAAAAOAAA&#10;AGRycy9kb3ducmV2LnhtbFBLAQIUABQAAAAIAIdO4kCun2CHLgIAAE0EAAAOAAAAAAAAAAEAIAAA&#10;ADoBAABkcnMvZTJvRG9jLnhtbFBLBQYAAAAABgAGAFkBAADaBQAAAAA=&#10;">
                <v:fill on="t" focussize="0,0"/>
                <v:stroke color="#000000" joinstyle="miter" endarrow="block"/>
                <v:imagedata o:title=""/>
                <o:lock v:ext="edit" aspectratio="f"/>
              </v:shape>
            </w:pict>
          </mc:Fallback>
        </mc:AlternateContent>
      </w:r>
      <w:r>
        <w:rPr>
          <w:rFonts w:hint="eastAsia" w:ascii="仿宋_GB2312" w:eastAsia="仿宋_GB2312"/>
          <w:sz w:val="32"/>
          <w:szCs w:val="32"/>
        </w:rPr>
        <w:t>实施流程：开工      项目施工     项目初验     组织竣工验收</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（二）项目管理情况。</w:t>
      </w:r>
    </w:p>
    <w:p>
      <w:pPr>
        <w:autoSpaceDE w:val="0"/>
        <w:autoSpaceDN w:val="0"/>
        <w:adjustRightInd w:val="0"/>
        <w:spacing w:line="540" w:lineRule="exact"/>
        <w:ind w:firstLine="640"/>
        <w:jc w:val="left"/>
        <w:rPr>
          <w:rFonts w:ascii="仿宋_GB2312" w:eastAsia="仿宋_GB2312"/>
          <w:sz w:val="32"/>
          <w:szCs w:val="32"/>
        </w:rPr>
      </w:pPr>
      <w:r>
        <w:rPr>
          <w:rFonts w:hint="eastAsia" w:ascii="仿宋_GB2312" w:eastAsia="仿宋_GB2312"/>
          <w:sz w:val="32"/>
          <w:szCs w:val="32"/>
        </w:rPr>
        <w:t>1.按照政府投资项目管理规定程序实施项目，代建单位按</w:t>
      </w:r>
      <w:r>
        <w:rPr>
          <w:rFonts w:hint="eastAsia" w:ascii="仿宋_GB2312" w:eastAsia="仿宋_GB2312" w:cs="仿宋_GB2312"/>
          <w:sz w:val="32"/>
          <w:szCs w:val="32"/>
        </w:rPr>
        <w:t>招投标法确定施工单位，</w:t>
      </w:r>
      <w:r>
        <w:rPr>
          <w:rFonts w:hint="eastAsia" w:ascii="仿宋_GB2312" w:eastAsia="仿宋_GB2312"/>
          <w:sz w:val="32"/>
          <w:szCs w:val="32"/>
        </w:rPr>
        <w:t>并进行项目公示。</w:t>
      </w:r>
    </w:p>
    <w:p>
      <w:pPr>
        <w:autoSpaceDE w:val="0"/>
        <w:autoSpaceDN w:val="0"/>
        <w:adjustRightInd w:val="0"/>
        <w:spacing w:line="540" w:lineRule="exact"/>
        <w:ind w:firstLine="640"/>
        <w:jc w:val="left"/>
        <w:rPr>
          <w:rFonts w:ascii="仿宋_GB2312" w:eastAsia="仿宋_GB2312"/>
          <w:kern w:val="0"/>
          <w:sz w:val="32"/>
          <w:szCs w:val="32"/>
        </w:rPr>
      </w:pPr>
      <w:r>
        <w:rPr>
          <w:rFonts w:hint="eastAsia" w:ascii="仿宋_GB2312" w:eastAsia="仿宋_GB2312"/>
          <w:sz w:val="32"/>
          <w:szCs w:val="32"/>
        </w:rPr>
        <w:t>2.按照项目管理规定、施工技术规范以及验收规范进行项目管理，项目组各成员按照职能要求做好质量、安全、进度、造价等方面的管理，代建单位、监理单位按照各自职责开展相关工作。</w:t>
      </w:r>
    </w:p>
    <w:p>
      <w:pPr>
        <w:autoSpaceDE w:val="0"/>
        <w:autoSpaceDN w:val="0"/>
        <w:adjustRightIn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3.各方配合密切，项目顺利完成。</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（三）项目监管情况。</w:t>
      </w:r>
    </w:p>
    <w:p>
      <w:pPr>
        <w:autoSpaceDE w:val="0"/>
        <w:autoSpaceDN w:val="0"/>
        <w:adjustRightIn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1.单位纪委全程参与项目管理过程，从项目申报到竣工。</w:t>
      </w:r>
    </w:p>
    <w:p>
      <w:pPr>
        <w:autoSpaceDE w:val="0"/>
        <w:autoSpaceDN w:val="0"/>
        <w:adjustRightIn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2.项目组严格按照相关项目管理制度</w:t>
      </w:r>
      <w:r>
        <w:rPr>
          <w:rFonts w:hint="eastAsia" w:ascii="仿宋_GB2312" w:eastAsia="仿宋_GB2312"/>
          <w:sz w:val="32"/>
          <w:szCs w:val="32"/>
          <w:lang w:eastAsia="zh-CN"/>
        </w:rPr>
        <w:t>以及</w:t>
      </w:r>
      <w:bookmarkStart w:id="81" w:name="_GoBack"/>
      <w:bookmarkEnd w:id="81"/>
      <w:r>
        <w:rPr>
          <w:rFonts w:hint="eastAsia" w:ascii="仿宋_GB2312" w:eastAsia="仿宋_GB2312"/>
          <w:sz w:val="32"/>
          <w:szCs w:val="32"/>
        </w:rPr>
        <w:t>建筑工程施工技术规范等，做好项目进度、质量、安全、造价控制的管理。</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sz w:val="32"/>
          <w:szCs w:val="32"/>
        </w:rPr>
        <w:t xml:space="preserve"> 3.代建单位、监理工程师按照合同约定开展相关工作。项目按计划、安全完成。</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四、项目绩效情况</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（一）项目完成情况。</w:t>
      </w:r>
    </w:p>
    <w:p>
      <w:pPr>
        <w:autoSpaceDE w:val="0"/>
        <w:autoSpaceDN w:val="0"/>
        <w:adjustRightIn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项目实施情况：</w:t>
      </w:r>
    </w:p>
    <w:p>
      <w:pPr>
        <w:autoSpaceDE w:val="0"/>
        <w:autoSpaceDN w:val="0"/>
        <w:adjustRightInd w:val="0"/>
        <w:spacing w:line="540" w:lineRule="exact"/>
        <w:ind w:firstLine="640" w:firstLineChars="200"/>
        <w:jc w:val="left"/>
        <w:rPr>
          <w:rFonts w:ascii="仿宋_GB2312" w:eastAsia="仿宋_GB2312" w:cs="仿宋_GB2312"/>
          <w:sz w:val="32"/>
          <w:szCs w:val="32"/>
        </w:rPr>
      </w:pPr>
      <w:r>
        <w:rPr>
          <w:rFonts w:hint="eastAsia" w:ascii="仿宋_GB2312" w:eastAsia="仿宋_GB2312"/>
          <w:kern w:val="0"/>
          <w:sz w:val="32"/>
          <w:szCs w:val="32"/>
        </w:rPr>
        <w:t>（1）</w:t>
      </w:r>
      <w:r>
        <w:rPr>
          <w:rFonts w:hint="eastAsia" w:ascii="仿宋_GB2312" w:eastAsia="仿宋_GB2312"/>
          <w:sz w:val="32"/>
          <w:szCs w:val="32"/>
        </w:rPr>
        <w:t>数量指标</w:t>
      </w:r>
      <w:r>
        <w:rPr>
          <w:rFonts w:hint="eastAsia" w:ascii="仿宋_GB2312" w:eastAsia="仿宋_GB2312"/>
          <w:kern w:val="0"/>
          <w:sz w:val="32"/>
          <w:szCs w:val="32"/>
        </w:rPr>
        <w:t>：</w:t>
      </w:r>
      <w:r>
        <w:rPr>
          <w:rFonts w:hint="eastAsia" w:ascii="仿宋_GB2312" w:eastAsia="仿宋_GB2312"/>
          <w:kern w:val="0"/>
          <w:sz w:val="32"/>
          <w:szCs w:val="32"/>
        </w:rPr>
        <w:fldChar w:fldCharType="begin"/>
      </w:r>
      <w:r>
        <w:rPr>
          <w:rFonts w:hint="eastAsia" w:ascii="仿宋_GB2312" w:eastAsia="仿宋_GB2312"/>
          <w:kern w:val="0"/>
          <w:sz w:val="32"/>
          <w:szCs w:val="32"/>
        </w:rPr>
        <w:instrText xml:space="preserve"> = 1 \* GB3 </w:instrText>
      </w:r>
      <w:r>
        <w:rPr>
          <w:rFonts w:hint="eastAsia" w:ascii="仿宋_GB2312" w:eastAsia="仿宋_GB2312"/>
          <w:kern w:val="0"/>
          <w:sz w:val="32"/>
          <w:szCs w:val="32"/>
        </w:rPr>
        <w:fldChar w:fldCharType="separate"/>
      </w:r>
      <w:r>
        <w:rPr>
          <w:rFonts w:hint="eastAsia" w:ascii="仿宋_GB2312" w:eastAsia="仿宋_GB2312"/>
          <w:kern w:val="0"/>
          <w:sz w:val="32"/>
          <w:szCs w:val="32"/>
        </w:rPr>
        <w:t>①</w:t>
      </w:r>
      <w:r>
        <w:rPr>
          <w:rFonts w:hint="eastAsia" w:ascii="仿宋_GB2312" w:eastAsia="仿宋_GB2312"/>
          <w:kern w:val="0"/>
          <w:sz w:val="32"/>
          <w:szCs w:val="32"/>
        </w:rPr>
        <w:fldChar w:fldCharType="end"/>
      </w:r>
      <w:r>
        <w:rPr>
          <w:rFonts w:hint="eastAsia" w:ascii="仿宋_GB2312" w:eastAsia="仿宋_GB2312"/>
          <w:sz w:val="32"/>
          <w:szCs w:val="32"/>
        </w:rPr>
        <w:t xml:space="preserve">治理边坡-- </w:t>
      </w:r>
      <w:r>
        <w:rPr>
          <w:rFonts w:hint="eastAsia" w:ascii="仿宋_GB2312" w:eastAsia="仿宋_GB2312" w:cs="仿宋_GB2312"/>
          <w:sz w:val="32"/>
          <w:szCs w:val="32"/>
        </w:rPr>
        <w:t>治理垮塌边坡</w:t>
      </w:r>
      <w:r>
        <w:rPr>
          <w:rFonts w:hint="eastAsia" w:ascii="仿宋_GB2312" w:eastAsia="仿宋_GB2312"/>
          <w:sz w:val="32"/>
          <w:szCs w:val="32"/>
        </w:rPr>
        <w:t>244 米，</w:t>
      </w:r>
      <w:r>
        <w:rPr>
          <w:rFonts w:hint="eastAsia" w:ascii="仿宋_GB2312" w:eastAsia="仿宋_GB2312" w:cs="仿宋_GB2312"/>
          <w:sz w:val="32"/>
          <w:szCs w:val="32"/>
        </w:rPr>
        <w:t>挖土石方修坡、挡土墙砌筑、锚杆、混凝土格构梁植草护坡、截水及排水沟、边坡开挖安全防护墙等。</w:t>
      </w:r>
      <w:r>
        <w:rPr>
          <w:rFonts w:hint="eastAsia" w:ascii="仿宋_GB2312" w:eastAsia="仿宋_GB2312" w:cs="仿宋_GB2312"/>
          <w:sz w:val="32"/>
          <w:szCs w:val="32"/>
        </w:rPr>
        <w:fldChar w:fldCharType="begin"/>
      </w:r>
      <w:r>
        <w:rPr>
          <w:rFonts w:hint="eastAsia" w:ascii="仿宋_GB2312" w:eastAsia="仿宋_GB2312" w:cs="仿宋_GB2312"/>
          <w:sz w:val="32"/>
          <w:szCs w:val="32"/>
        </w:rPr>
        <w:instrText xml:space="preserve"> = 2 \* GB3 </w:instrText>
      </w:r>
      <w:r>
        <w:rPr>
          <w:rFonts w:hint="eastAsia" w:ascii="仿宋_GB2312" w:eastAsia="仿宋_GB2312" w:cs="仿宋_GB2312"/>
          <w:sz w:val="32"/>
          <w:szCs w:val="32"/>
        </w:rPr>
        <w:fldChar w:fldCharType="separate"/>
      </w:r>
      <w:r>
        <w:rPr>
          <w:rFonts w:hint="eastAsia" w:ascii="仿宋_GB2312" w:eastAsia="仿宋_GB2312" w:cs="仿宋_GB2312"/>
          <w:sz w:val="32"/>
          <w:szCs w:val="32"/>
        </w:rPr>
        <w:t>②</w:t>
      </w:r>
      <w:r>
        <w:rPr>
          <w:rFonts w:hint="eastAsia" w:ascii="仿宋_GB2312" w:eastAsia="仿宋_GB2312" w:cs="仿宋_GB2312"/>
          <w:sz w:val="32"/>
          <w:szCs w:val="32"/>
        </w:rPr>
        <w:fldChar w:fldCharType="end"/>
      </w:r>
      <w:r>
        <w:rPr>
          <w:rFonts w:hint="eastAsia" w:ascii="仿宋_GB2312" w:eastAsia="仿宋_GB2312" w:cs="仿宋_GB2312"/>
          <w:sz w:val="32"/>
          <w:szCs w:val="32"/>
        </w:rPr>
        <w:t>工程建设其它—完成</w:t>
      </w:r>
      <w:r>
        <w:rPr>
          <w:rFonts w:hint="eastAsia" w:ascii="仿宋_GB2312" w:eastAsia="仿宋_GB2312"/>
          <w:kern w:val="0"/>
          <w:sz w:val="32"/>
          <w:szCs w:val="32"/>
        </w:rPr>
        <w:t>。</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（2）质量指标：</w:t>
      </w:r>
      <w:r>
        <w:rPr>
          <w:rFonts w:hint="eastAsia" w:ascii="仿宋_GB2312" w:eastAsia="仿宋_GB2312"/>
          <w:kern w:val="0"/>
          <w:sz w:val="32"/>
          <w:szCs w:val="32"/>
        </w:rPr>
        <w:fldChar w:fldCharType="begin"/>
      </w:r>
      <w:r>
        <w:rPr>
          <w:rFonts w:hint="eastAsia" w:ascii="仿宋_GB2312" w:eastAsia="仿宋_GB2312"/>
          <w:kern w:val="0"/>
          <w:sz w:val="32"/>
          <w:szCs w:val="32"/>
        </w:rPr>
        <w:instrText xml:space="preserve"> = 1 \* GB3 </w:instrText>
      </w:r>
      <w:r>
        <w:rPr>
          <w:rFonts w:hint="eastAsia" w:ascii="仿宋_GB2312" w:eastAsia="仿宋_GB2312"/>
          <w:kern w:val="0"/>
          <w:sz w:val="32"/>
          <w:szCs w:val="32"/>
        </w:rPr>
        <w:fldChar w:fldCharType="separate"/>
      </w:r>
      <w:r>
        <w:rPr>
          <w:rFonts w:hint="eastAsia" w:ascii="仿宋_GB2312" w:eastAsia="仿宋_GB2312"/>
          <w:kern w:val="0"/>
          <w:sz w:val="32"/>
          <w:szCs w:val="32"/>
        </w:rPr>
        <w:t>①</w:t>
      </w:r>
      <w:r>
        <w:rPr>
          <w:rFonts w:hint="eastAsia" w:ascii="仿宋_GB2312" w:eastAsia="仿宋_GB2312"/>
          <w:kern w:val="0"/>
          <w:sz w:val="32"/>
          <w:szCs w:val="32"/>
        </w:rPr>
        <w:fldChar w:fldCharType="end"/>
      </w:r>
      <w:r>
        <w:rPr>
          <w:rFonts w:hint="eastAsia" w:ascii="仿宋_GB2312" w:eastAsia="仿宋_GB2312"/>
          <w:kern w:val="0"/>
          <w:sz w:val="32"/>
          <w:szCs w:val="32"/>
        </w:rPr>
        <w:t>工程质量--满足国家相关规范要求。</w:t>
      </w:r>
      <w:r>
        <w:rPr>
          <w:rFonts w:hint="eastAsia" w:ascii="仿宋_GB2312" w:eastAsia="仿宋_GB2312" w:cs="仿宋_GB2312"/>
          <w:sz w:val="32"/>
          <w:szCs w:val="32"/>
        </w:rPr>
        <w:fldChar w:fldCharType="begin"/>
      </w:r>
      <w:r>
        <w:rPr>
          <w:rFonts w:hint="eastAsia" w:ascii="仿宋_GB2312" w:eastAsia="仿宋_GB2312" w:cs="仿宋_GB2312"/>
          <w:sz w:val="32"/>
          <w:szCs w:val="32"/>
        </w:rPr>
        <w:instrText xml:space="preserve"> = 2 \* GB3 </w:instrText>
      </w:r>
      <w:r>
        <w:rPr>
          <w:rFonts w:hint="eastAsia" w:ascii="仿宋_GB2312" w:eastAsia="仿宋_GB2312" w:cs="仿宋_GB2312"/>
          <w:sz w:val="32"/>
          <w:szCs w:val="32"/>
        </w:rPr>
        <w:fldChar w:fldCharType="separate"/>
      </w:r>
      <w:r>
        <w:rPr>
          <w:rFonts w:hint="eastAsia" w:ascii="仿宋_GB2312" w:eastAsia="仿宋_GB2312" w:cs="仿宋_GB2312"/>
          <w:sz w:val="32"/>
          <w:szCs w:val="32"/>
        </w:rPr>
        <w:t>②</w:t>
      </w:r>
      <w:r>
        <w:rPr>
          <w:rFonts w:hint="eastAsia" w:ascii="仿宋_GB2312" w:eastAsia="仿宋_GB2312" w:cs="仿宋_GB2312"/>
          <w:sz w:val="32"/>
          <w:szCs w:val="32"/>
        </w:rPr>
        <w:fldChar w:fldCharType="end"/>
      </w:r>
      <w:r>
        <w:rPr>
          <w:rFonts w:hint="eastAsia" w:ascii="仿宋_GB2312" w:eastAsia="仿宋_GB2312"/>
          <w:kern w:val="0"/>
          <w:sz w:val="32"/>
          <w:szCs w:val="32"/>
        </w:rPr>
        <w:t>服务质量--达到合同约定要求。</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（3）时效指标：完成时间--按合同约定完成。</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（4）成本指标：</w:t>
      </w:r>
      <w:r>
        <w:rPr>
          <w:rFonts w:hint="eastAsia" w:ascii="仿宋_GB2312" w:eastAsia="仿宋_GB2312"/>
          <w:kern w:val="0"/>
          <w:sz w:val="32"/>
          <w:szCs w:val="32"/>
        </w:rPr>
        <w:fldChar w:fldCharType="begin"/>
      </w:r>
      <w:r>
        <w:rPr>
          <w:rFonts w:hint="eastAsia" w:ascii="仿宋_GB2312" w:eastAsia="仿宋_GB2312"/>
          <w:kern w:val="0"/>
          <w:sz w:val="32"/>
          <w:szCs w:val="32"/>
        </w:rPr>
        <w:instrText xml:space="preserve"> = 1 \* GB3 </w:instrText>
      </w:r>
      <w:r>
        <w:rPr>
          <w:rFonts w:hint="eastAsia" w:ascii="仿宋_GB2312" w:eastAsia="仿宋_GB2312"/>
          <w:kern w:val="0"/>
          <w:sz w:val="32"/>
          <w:szCs w:val="32"/>
        </w:rPr>
        <w:fldChar w:fldCharType="separate"/>
      </w:r>
      <w:r>
        <w:rPr>
          <w:rFonts w:hint="eastAsia" w:ascii="仿宋_GB2312" w:eastAsia="仿宋_GB2312"/>
          <w:kern w:val="0"/>
          <w:sz w:val="32"/>
          <w:szCs w:val="32"/>
        </w:rPr>
        <w:t>①</w:t>
      </w:r>
      <w:r>
        <w:rPr>
          <w:rFonts w:hint="eastAsia" w:ascii="仿宋_GB2312" w:eastAsia="仿宋_GB2312"/>
          <w:kern w:val="0"/>
          <w:sz w:val="32"/>
          <w:szCs w:val="32"/>
        </w:rPr>
        <w:fldChar w:fldCharType="end"/>
      </w:r>
      <w:r>
        <w:rPr>
          <w:rFonts w:hint="eastAsia" w:ascii="仿宋_GB2312" w:eastAsia="仿宋_GB2312"/>
          <w:kern w:val="0"/>
          <w:sz w:val="32"/>
          <w:szCs w:val="32"/>
        </w:rPr>
        <w:t>工程建设费</w:t>
      </w:r>
      <w:r>
        <w:rPr>
          <w:rFonts w:hint="eastAsia" w:ascii="仿宋_GB2312" w:eastAsia="仿宋_GB2312"/>
          <w:sz w:val="32"/>
          <w:szCs w:val="32"/>
        </w:rPr>
        <w:t>447.38万元</w:t>
      </w:r>
      <w:r>
        <w:rPr>
          <w:rFonts w:hint="eastAsia" w:ascii="仿宋_GB2312" w:eastAsia="仿宋_GB2312"/>
          <w:kern w:val="0"/>
          <w:sz w:val="32"/>
          <w:szCs w:val="32"/>
        </w:rPr>
        <w:t>；</w:t>
      </w:r>
      <w:r>
        <w:rPr>
          <w:rFonts w:hint="eastAsia" w:ascii="仿宋_GB2312" w:eastAsia="仿宋_GB2312" w:cs="仿宋_GB2312"/>
          <w:sz w:val="32"/>
          <w:szCs w:val="32"/>
        </w:rPr>
        <w:fldChar w:fldCharType="begin"/>
      </w:r>
      <w:r>
        <w:rPr>
          <w:rFonts w:hint="eastAsia" w:ascii="仿宋_GB2312" w:eastAsia="仿宋_GB2312" w:cs="仿宋_GB2312"/>
          <w:sz w:val="32"/>
          <w:szCs w:val="32"/>
        </w:rPr>
        <w:instrText xml:space="preserve"> = 2 \* GB3 </w:instrText>
      </w:r>
      <w:r>
        <w:rPr>
          <w:rFonts w:hint="eastAsia" w:ascii="仿宋_GB2312" w:eastAsia="仿宋_GB2312" w:cs="仿宋_GB2312"/>
          <w:sz w:val="32"/>
          <w:szCs w:val="32"/>
        </w:rPr>
        <w:fldChar w:fldCharType="separate"/>
      </w:r>
      <w:r>
        <w:rPr>
          <w:rFonts w:hint="eastAsia" w:ascii="仿宋_GB2312" w:eastAsia="仿宋_GB2312" w:cs="仿宋_GB2312"/>
          <w:sz w:val="32"/>
          <w:szCs w:val="32"/>
        </w:rPr>
        <w:t>②</w:t>
      </w:r>
      <w:r>
        <w:rPr>
          <w:rFonts w:hint="eastAsia" w:ascii="仿宋_GB2312" w:eastAsia="仿宋_GB2312" w:cs="仿宋_GB2312"/>
          <w:sz w:val="32"/>
          <w:szCs w:val="32"/>
        </w:rPr>
        <w:fldChar w:fldCharType="end"/>
      </w:r>
      <w:r>
        <w:rPr>
          <w:rFonts w:hint="eastAsia" w:ascii="仿宋_GB2312" w:eastAsia="仿宋_GB2312"/>
          <w:kern w:val="0"/>
          <w:sz w:val="32"/>
          <w:szCs w:val="32"/>
        </w:rPr>
        <w:t>工程建设其他费用62.62万元，成本指标完成率100%。</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（二）项目效益情况。</w:t>
      </w:r>
    </w:p>
    <w:p>
      <w:pPr>
        <w:autoSpaceDE w:val="0"/>
        <w:autoSpaceDN w:val="0"/>
        <w:adjustRightIn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从实施效果看，</w:t>
      </w:r>
      <w:r>
        <w:rPr>
          <w:rFonts w:hint="eastAsia" w:ascii="仿宋_GB2312" w:eastAsia="仿宋_GB2312"/>
          <w:kern w:val="0"/>
          <w:sz w:val="32"/>
          <w:szCs w:val="32"/>
        </w:rPr>
        <w:t>边坡地质灾害治理后消除了边坡安全隐患，确保市民和车辆通行安全，丰富主干道植被，美化环境，整体改善人居环境，</w:t>
      </w:r>
      <w:r>
        <w:rPr>
          <w:rFonts w:hint="eastAsia" w:ascii="仿宋_GB2312" w:eastAsia="仿宋_GB2312"/>
          <w:sz w:val="32"/>
          <w:szCs w:val="32"/>
        </w:rPr>
        <w:t>全面达到项目实施目的，取得了良好的社会效益。</w:t>
      </w:r>
      <w:r>
        <w:rPr>
          <w:rFonts w:hint="eastAsia" w:ascii="仿宋_GB2312" w:eastAsia="仿宋_GB2312"/>
          <w:kern w:val="0"/>
          <w:sz w:val="32"/>
          <w:szCs w:val="32"/>
        </w:rPr>
        <w:t>服务对象满意度达到95%。</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五、评价结论及建议</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（一）评价结论。</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项目单位开展全面自评，采取收集资料，结合座谈、翻阅资料、踏勘等方式，从项目决策、项目管理、项目绩效三个方面开展了绩效评价。总体认为：项目实施完成的工程内容基本达到了预期目标。</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（二）存在的问题。</w:t>
      </w:r>
    </w:p>
    <w:p>
      <w:pPr>
        <w:autoSpaceDE w:val="0"/>
        <w:autoSpaceDN w:val="0"/>
        <w:adjustRightIn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项目已完工，但工程还未办理竣工审计，工程造价以审计为准。</w:t>
      </w:r>
    </w:p>
    <w:p>
      <w:pPr>
        <w:autoSpaceDE w:val="0"/>
        <w:autoSpaceDN w:val="0"/>
        <w:adjustRightInd w:val="0"/>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（三）相关建议。</w:t>
      </w:r>
    </w:p>
    <w:p>
      <w:pPr>
        <w:pStyle w:val="8"/>
        <w:spacing w:line="540" w:lineRule="exact"/>
        <w:ind w:firstLine="640" w:firstLineChars="200"/>
        <w:rPr>
          <w:rFonts w:ascii="仿宋_GB2312" w:eastAsia="仿宋_GB2312"/>
          <w:sz w:val="32"/>
          <w:szCs w:val="32"/>
        </w:rPr>
      </w:pPr>
      <w:r>
        <w:rPr>
          <w:rFonts w:hint="eastAsia" w:ascii="仿宋_GB2312" w:eastAsia="仿宋_GB2312"/>
          <w:sz w:val="32"/>
          <w:szCs w:val="32"/>
        </w:rPr>
        <w:t>无</w:t>
      </w:r>
    </w:p>
    <w:tbl>
      <w:tblPr>
        <w:tblStyle w:val="15"/>
        <w:tblpPr w:leftFromText="180" w:rightFromText="180" w:vertAnchor="text" w:horzAnchor="page" w:tblpX="1247" w:tblpY="660"/>
        <w:tblOverlap w:val="never"/>
        <w:tblW w:w="9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2"/>
        <w:gridCol w:w="851"/>
        <w:gridCol w:w="992"/>
        <w:gridCol w:w="67"/>
        <w:gridCol w:w="1351"/>
        <w:gridCol w:w="284"/>
        <w:gridCol w:w="850"/>
        <w:gridCol w:w="1564"/>
        <w:gridCol w:w="2409"/>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609" w:type="dxa"/>
            <w:gridSpan w:val="9"/>
            <w:tcBorders>
              <w:top w:val="nil"/>
              <w:left w:val="nil"/>
              <w:bottom w:val="nil"/>
              <w:right w:val="nil"/>
            </w:tcBorders>
            <w:shd w:val="clear" w:color="auto" w:fill="auto"/>
            <w:vAlign w:val="center"/>
          </w:tcPr>
          <w:p>
            <w:pPr>
              <w:pStyle w:val="2"/>
              <w:spacing w:before="93" w:beforeLines="0"/>
              <w:jc w:val="center"/>
              <w:rPr>
                <w:rFonts w:ascii="宋体" w:hAnsi="宋体" w:cs="宋体"/>
                <w:b/>
                <w:sz w:val="32"/>
                <w:szCs w:val="32"/>
              </w:rPr>
            </w:pPr>
            <w:r>
              <w:rPr>
                <w:rFonts w:hint="eastAsia" w:ascii="宋体" w:hAnsi="宋体" w:cs="宋体"/>
                <w:b/>
                <w:sz w:val="32"/>
                <w:szCs w:val="32"/>
              </w:rPr>
              <w:t>2021年50万元以上（含）特定目标类部门预算项目绩效目标自评</w:t>
            </w:r>
          </w:p>
          <w:p>
            <w:pPr>
              <w:widowControl/>
              <w:jc w:val="center"/>
              <w:textAlignment w:val="center"/>
              <w:rPr>
                <w:rFonts w:ascii="宋体" w:cs="宋体"/>
                <w:b/>
                <w:sz w:val="32"/>
                <w:szCs w:val="32"/>
              </w:rPr>
            </w:pPr>
            <w:r>
              <w:rPr>
                <w:rFonts w:hint="eastAsia" w:ascii="宋体" w:cs="宋体"/>
                <w:b/>
                <w:sz w:val="32"/>
                <w:szCs w:val="32"/>
              </w:rPr>
              <w:t>（恒大城对面边坡地质灾害治理）</w:t>
            </w:r>
          </w:p>
        </w:tc>
        <w:tc>
          <w:tcPr>
            <w:tcW w:w="236" w:type="dxa"/>
            <w:tcBorders>
              <w:top w:val="nil"/>
              <w:left w:val="nil"/>
              <w:bottom w:val="nil"/>
              <w:right w:val="nil"/>
            </w:tcBorders>
            <w:shd w:val="clear" w:color="auto" w:fill="auto"/>
            <w:vAlign w:val="center"/>
          </w:tcPr>
          <w:p>
            <w:pPr>
              <w:widowControl/>
              <w:jc w:val="center"/>
              <w:textAlignment w:val="center"/>
              <w:rPr>
                <w:rFonts w:ascii="宋体" w:cs="宋体"/>
                <w:b/>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54" w:hRule="atLeast"/>
        </w:trPr>
        <w:tc>
          <w:tcPr>
            <w:tcW w:w="31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宋体"/>
                <w:sz w:val="24"/>
              </w:rPr>
            </w:pPr>
            <w:r>
              <w:rPr>
                <w:rFonts w:hint="eastAsia" w:ascii="宋体" w:cs="宋体"/>
                <w:kern w:val="0"/>
                <w:sz w:val="24"/>
              </w:rPr>
              <w:t>主管部门及代码</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cs="宋体"/>
                <w:sz w:val="24"/>
              </w:rPr>
            </w:pPr>
            <w:r>
              <w:rPr>
                <w:rFonts w:hint="eastAsia" w:ascii="宋体" w:cs="宋体"/>
                <w:sz w:val="24"/>
              </w:rPr>
              <w:t>攀枝花市住房和城乡建设局801001</w:t>
            </w:r>
          </w:p>
        </w:tc>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宋体"/>
                <w:sz w:val="24"/>
              </w:rPr>
            </w:pPr>
            <w:r>
              <w:rPr>
                <w:rFonts w:hint="eastAsia" w:asci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宋体"/>
                <w:sz w:val="24"/>
              </w:rPr>
            </w:pPr>
            <w:r>
              <w:rPr>
                <w:rFonts w:hint="eastAsia" w:ascii="宋体" w:cs="宋体"/>
                <w:sz w:val="24"/>
              </w:rPr>
              <w:t>攀枝花市市政公用设施服务中心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1" w:hRule="atLeast"/>
        </w:trPr>
        <w:tc>
          <w:tcPr>
            <w:tcW w:w="315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宋体"/>
                <w:sz w:val="24"/>
              </w:rPr>
            </w:pPr>
            <w:r>
              <w:rPr>
                <w:rFonts w:hint="eastAsia" w:ascii="宋体" w:cs="宋体"/>
                <w:kern w:val="0"/>
                <w:sz w:val="24"/>
              </w:rPr>
              <w:t>项目预算</w:t>
            </w:r>
            <w:r>
              <w:rPr>
                <w:rFonts w:hint="eastAsia" w:ascii="宋体" w:cs="宋体"/>
                <w:kern w:val="0"/>
                <w:sz w:val="24"/>
              </w:rPr>
              <w:br w:type="textWrapping"/>
            </w:r>
            <w:r>
              <w:rPr>
                <w:rFonts w:hint="eastAsia" w:ascii="宋体" w:cs="宋体"/>
                <w:kern w:val="0"/>
                <w:sz w:val="24"/>
              </w:rPr>
              <w:t>执行情况</w:t>
            </w:r>
            <w:r>
              <w:rPr>
                <w:rFonts w:hint="eastAsia" w:ascii="宋体" w:cs="宋体"/>
                <w:kern w:val="0"/>
                <w:sz w:val="24"/>
              </w:rPr>
              <w:br w:type="textWrapping"/>
            </w:r>
            <w:r>
              <w:rPr>
                <w:rFonts w:hint="eastAsia" w:ascii="宋体" w:cs="宋体"/>
                <w:kern w:val="0"/>
                <w:sz w:val="24"/>
              </w:rPr>
              <w:t>（万元）</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sz w:val="24"/>
              </w:rPr>
            </w:pPr>
            <w:r>
              <w:rPr>
                <w:rFonts w:hint="eastAsia" w:ascii="宋体" w:cs="宋体"/>
                <w:kern w:val="0"/>
                <w:sz w:val="24"/>
              </w:rPr>
              <w:t xml:space="preserve"> 预算数：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sz w:val="24"/>
              </w:rPr>
            </w:pPr>
            <w:r>
              <w:rPr>
                <w:rFonts w:hint="eastAsia" w:ascii="宋体" w:cs="宋体"/>
                <w:sz w:val="24"/>
              </w:rPr>
              <w:t>510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sz w:val="24"/>
              </w:rPr>
            </w:pPr>
            <w:r>
              <w:rPr>
                <w:rFonts w:hint="eastAsia" w:asci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宋体" w:cs="宋体"/>
                <w:sz w:val="24"/>
              </w:rPr>
            </w:pPr>
            <w:r>
              <w:rPr>
                <w:rFonts w:hint="eastAsia" w:ascii="宋体" w:cs="宋体"/>
                <w:sz w:val="24"/>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55" w:hRule="atLeast"/>
        </w:trPr>
        <w:tc>
          <w:tcPr>
            <w:tcW w:w="315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kern w:val="0"/>
                <w:sz w:val="24"/>
              </w:rPr>
            </w:pPr>
            <w:r>
              <w:rPr>
                <w:rFonts w:hint="eastAsia" w:ascii="宋体" w:cs="宋体"/>
                <w:kern w:val="0"/>
                <w:sz w:val="24"/>
              </w:rPr>
              <w:t>其中：</w:t>
            </w:r>
          </w:p>
          <w:p>
            <w:pPr>
              <w:widowControl/>
              <w:spacing w:line="320" w:lineRule="exact"/>
              <w:jc w:val="left"/>
              <w:textAlignment w:val="center"/>
              <w:rPr>
                <w:rFonts w:ascii="宋体" w:cs="宋体"/>
                <w:sz w:val="24"/>
              </w:rPr>
            </w:pPr>
            <w:r>
              <w:rPr>
                <w:rFonts w:hint="eastAsia" w:ascii="宋体" w:cs="宋体"/>
                <w:kern w:val="0"/>
                <w:sz w:val="24"/>
              </w:rPr>
              <w:t>财政拨款</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sz w:val="24"/>
              </w:rPr>
            </w:pPr>
            <w:r>
              <w:rPr>
                <w:rFonts w:hint="eastAsia" w:ascii="宋体" w:cs="宋体"/>
                <w:sz w:val="24"/>
              </w:rPr>
              <w:t>510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kern w:val="0"/>
                <w:sz w:val="24"/>
              </w:rPr>
            </w:pPr>
            <w:r>
              <w:rPr>
                <w:rFonts w:hint="eastAsia" w:ascii="宋体" w:cs="宋体"/>
                <w:kern w:val="0"/>
                <w:sz w:val="24"/>
              </w:rPr>
              <w:t>其中：</w:t>
            </w:r>
          </w:p>
          <w:p>
            <w:pPr>
              <w:widowControl/>
              <w:spacing w:line="320" w:lineRule="exact"/>
              <w:jc w:val="left"/>
              <w:textAlignment w:val="center"/>
              <w:rPr>
                <w:rFonts w:ascii="宋体" w:cs="宋体"/>
                <w:sz w:val="24"/>
              </w:rPr>
            </w:pPr>
            <w:r>
              <w:rPr>
                <w:rFonts w:hint="eastAsia" w:asci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cs="宋体"/>
                <w:sz w:val="24"/>
              </w:rPr>
            </w:pPr>
            <w:r>
              <w:rPr>
                <w:rFonts w:hint="eastAsia" w:ascii="宋体" w:cs="宋体"/>
                <w:sz w:val="24"/>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1" w:hRule="atLeast"/>
        </w:trPr>
        <w:tc>
          <w:tcPr>
            <w:tcW w:w="315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sz w:val="24"/>
              </w:rPr>
            </w:pPr>
            <w:r>
              <w:rPr>
                <w:rFonts w:hint="eastAsia" w:ascii="宋体" w:cs="宋体"/>
                <w:kern w:val="0"/>
                <w:sz w:val="24"/>
              </w:rPr>
              <w:t>其他资金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sz w:val="24"/>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sz w:val="24"/>
              </w:rPr>
            </w:pPr>
            <w:r>
              <w:rPr>
                <w:rFonts w:hint="eastAsia" w:asci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17" w:hRule="atLeast"/>
        </w:trPr>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宋体"/>
                <w:kern w:val="0"/>
                <w:sz w:val="24"/>
              </w:rPr>
            </w:pPr>
            <w:r>
              <w:rPr>
                <w:rFonts w:hint="eastAsia" w:ascii="宋体" w:cs="宋体"/>
                <w:kern w:val="0"/>
                <w:sz w:val="24"/>
              </w:rPr>
              <w:t>年度总体目标</w:t>
            </w:r>
          </w:p>
          <w:p>
            <w:pPr>
              <w:widowControl/>
              <w:spacing w:line="320" w:lineRule="exact"/>
              <w:jc w:val="center"/>
              <w:textAlignment w:val="center"/>
              <w:rPr>
                <w:rFonts w:ascii="宋体" w:cs="宋体"/>
                <w:sz w:val="24"/>
              </w:rPr>
            </w:pPr>
            <w:r>
              <w:rPr>
                <w:rFonts w:hint="eastAsia" w:ascii="宋体" w:cs="宋体"/>
                <w:kern w:val="0"/>
                <w:sz w:val="24"/>
              </w:rPr>
              <w:t>完成情况</w:t>
            </w:r>
          </w:p>
        </w:tc>
        <w:tc>
          <w:tcPr>
            <w:tcW w:w="32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宋体"/>
                <w:sz w:val="24"/>
              </w:rPr>
            </w:pPr>
            <w:r>
              <w:rPr>
                <w:rFonts w:hint="eastAsia" w:ascii="宋体" w:cs="宋体"/>
                <w:kern w:val="0"/>
                <w:sz w:val="24"/>
              </w:rPr>
              <w:t>预期目标</w:t>
            </w:r>
          </w:p>
        </w:tc>
        <w:tc>
          <w:tcPr>
            <w:tcW w:w="51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宋体"/>
                <w:sz w:val="24"/>
              </w:rPr>
            </w:pPr>
            <w:r>
              <w:rPr>
                <w:rFonts w:hint="eastAsia" w:ascii="宋体" w:cs="宋体"/>
                <w:kern w:val="0"/>
                <w:sz w:val="24"/>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97"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261"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cs="宋体"/>
                <w:sz w:val="24"/>
              </w:rPr>
            </w:pPr>
            <w:r>
              <w:rPr>
                <w:rFonts w:hint="eastAsia" w:ascii="宋体" w:cs="宋体"/>
                <w:sz w:val="24"/>
              </w:rPr>
              <w:t>消除恒大城对面边坡发生的边坡崩塌等地质灾害，确保市民通行安全和城市主干道安全运行</w:t>
            </w:r>
          </w:p>
        </w:tc>
        <w:tc>
          <w:tcPr>
            <w:tcW w:w="5106"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cs="宋体"/>
                <w:sz w:val="24"/>
              </w:rPr>
            </w:pPr>
            <w:r>
              <w:rPr>
                <w:rFonts w:hint="eastAsia" w:ascii="宋体" w:cs="宋体"/>
                <w:sz w:val="24"/>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93" w:hRule="atLeast"/>
        </w:trPr>
        <w:tc>
          <w:tcPr>
            <w:tcW w:w="1242"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宋体" w:cs="仿宋_GB2312"/>
                <w:sz w:val="24"/>
              </w:rPr>
            </w:pPr>
            <w:r>
              <w:rPr>
                <w:rFonts w:hint="eastAsia" w:ascii="宋体" w:cs="仿宋_GB2312"/>
                <w:kern w:val="0"/>
                <w:sz w:val="24"/>
              </w:rPr>
              <w:t>年度绩效指标完成情况</w:t>
            </w:r>
          </w:p>
        </w:tc>
        <w:tc>
          <w:tcPr>
            <w:tcW w:w="851"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仿宋_GB2312"/>
                <w:kern w:val="0"/>
                <w:sz w:val="24"/>
              </w:rPr>
            </w:pPr>
            <w:r>
              <w:rPr>
                <w:rFonts w:hint="eastAsia" w:ascii="宋体" w:cs="仿宋_GB2312"/>
                <w:kern w:val="0"/>
                <w:sz w:val="24"/>
              </w:rPr>
              <w:t>一级</w:t>
            </w:r>
          </w:p>
          <w:p>
            <w:pPr>
              <w:widowControl/>
              <w:spacing w:line="320" w:lineRule="exact"/>
              <w:jc w:val="center"/>
              <w:textAlignment w:val="center"/>
              <w:rPr>
                <w:rFonts w:ascii="宋体" w:cs="仿宋_GB2312"/>
                <w:sz w:val="24"/>
              </w:rPr>
            </w:pPr>
            <w:r>
              <w:rPr>
                <w:rFonts w:hint="eastAsia" w:ascii="宋体" w:cs="仿宋_GB2312"/>
                <w:kern w:val="0"/>
                <w:sz w:val="24"/>
              </w:rPr>
              <w:t>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仿宋_GB2312"/>
                <w:kern w:val="0"/>
                <w:sz w:val="24"/>
              </w:rPr>
            </w:pPr>
            <w:r>
              <w:rPr>
                <w:rFonts w:hint="eastAsia" w:ascii="宋体" w:cs="仿宋_GB2312"/>
                <w:kern w:val="0"/>
                <w:sz w:val="24"/>
              </w:rPr>
              <w:t>二级</w:t>
            </w:r>
          </w:p>
          <w:p>
            <w:pPr>
              <w:widowControl/>
              <w:spacing w:line="320" w:lineRule="exact"/>
              <w:jc w:val="center"/>
              <w:textAlignment w:val="center"/>
              <w:rPr>
                <w:rFonts w:ascii="宋体" w:cs="仿宋_GB2312"/>
                <w:sz w:val="24"/>
              </w:rPr>
            </w:pPr>
            <w:r>
              <w:rPr>
                <w:rFonts w:hint="eastAsia" w:ascii="宋体" w:cs="仿宋_GB2312"/>
                <w:kern w:val="0"/>
                <w:sz w:val="24"/>
              </w:rPr>
              <w:t>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仿宋_GB2312"/>
                <w:kern w:val="0"/>
                <w:sz w:val="24"/>
              </w:rPr>
            </w:pPr>
            <w:r>
              <w:rPr>
                <w:rFonts w:hint="eastAsia" w:ascii="宋体" w:cs="仿宋_GB2312"/>
                <w:kern w:val="0"/>
                <w:sz w:val="24"/>
              </w:rPr>
              <w:t>三级</w:t>
            </w:r>
          </w:p>
          <w:p>
            <w:pPr>
              <w:widowControl/>
              <w:spacing w:line="320" w:lineRule="exact"/>
              <w:jc w:val="center"/>
              <w:textAlignment w:val="center"/>
              <w:rPr>
                <w:rFonts w:ascii="宋体" w:cs="仿宋_GB2312"/>
                <w:sz w:val="24"/>
              </w:rPr>
            </w:pPr>
            <w:r>
              <w:rPr>
                <w:rFonts w:hint="eastAsia" w:ascii="宋体" w:cs="仿宋_GB2312"/>
                <w:kern w:val="0"/>
                <w:sz w:val="24"/>
              </w:rPr>
              <w:t>指标</w:t>
            </w:r>
          </w:p>
        </w:tc>
        <w:tc>
          <w:tcPr>
            <w:tcW w:w="2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仿宋_GB2312"/>
                <w:sz w:val="24"/>
              </w:rPr>
            </w:pPr>
            <w:r>
              <w:rPr>
                <w:rFonts w:hint="eastAsia" w:ascii="宋体" w:cs="仿宋_GB2312"/>
                <w:kern w:val="0"/>
                <w:sz w:val="24"/>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仿宋_GB2312"/>
                <w:sz w:val="24"/>
              </w:rPr>
            </w:pPr>
            <w:r>
              <w:rPr>
                <w:rFonts w:hint="eastAsia" w:ascii="宋体" w:cs="仿宋_GB2312"/>
                <w:kern w:val="0"/>
                <w:sz w:val="24"/>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026" w:hRule="atLeast"/>
        </w:trPr>
        <w:tc>
          <w:tcPr>
            <w:tcW w:w="1242" w:type="dxa"/>
            <w:vMerge w:val="continue"/>
            <w:tcBorders>
              <w:left w:val="single" w:color="000000" w:sz="4" w:space="0"/>
              <w:right w:val="single" w:color="000000" w:sz="4" w:space="0"/>
            </w:tcBorders>
            <w:shd w:val="clear" w:color="auto" w:fill="auto"/>
            <w:vAlign w:val="center"/>
          </w:tcP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cs="仿宋_GB2312"/>
                <w:kern w:val="0"/>
                <w:sz w:val="24"/>
              </w:rPr>
            </w:pPr>
            <w:r>
              <w:rPr>
                <w:rFonts w:hint="eastAsia" w:ascii="宋体" w:cs="仿宋_GB2312"/>
                <w:kern w:val="0"/>
                <w:sz w:val="24"/>
              </w:rPr>
              <w:t>完成</w:t>
            </w:r>
          </w:p>
          <w:p>
            <w:pPr>
              <w:widowControl/>
              <w:spacing w:line="320" w:lineRule="exact"/>
              <w:jc w:val="center"/>
              <w:textAlignment w:val="bottom"/>
              <w:rPr>
                <w:rFonts w:ascii="宋体" w:cs="仿宋_GB2312"/>
                <w:sz w:val="24"/>
              </w:rPr>
            </w:pPr>
            <w:r>
              <w:rPr>
                <w:rFonts w:hint="eastAsia" w:ascii="宋体" w:cs="仿宋_GB2312"/>
                <w:kern w:val="0"/>
                <w:sz w:val="24"/>
              </w:rPr>
              <w:t>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kern w:val="0"/>
                <w:sz w:val="24"/>
              </w:rPr>
              <w:t>数量指标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sz w:val="24"/>
              </w:rPr>
              <w:t>1.边坡治理。2.工程建设其他</w:t>
            </w:r>
          </w:p>
        </w:tc>
        <w:tc>
          <w:tcPr>
            <w:tcW w:w="2697"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sz w:val="24"/>
              </w:rPr>
              <w:t>1.治理垮塌边坡244m，挖土石方修坡、挡土墙砌筑、锚杆、混凝土格构梁植草护坡、截水及排水沟、边坡开挖安全防护墙。2.可行性研究、设计、监理、代建等。</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sz w:val="24"/>
              </w:rPr>
              <w:t>1.治理垮塌边坡244m，挖土石方修坡、挡土墙砌筑、锚杆、混凝土格构梁植草护坡、截水及排水沟、边坡开挖安全防护墙。2.完成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856" w:hRule="atLeast"/>
        </w:trPr>
        <w:tc>
          <w:tcPr>
            <w:tcW w:w="1242" w:type="dxa"/>
            <w:vMerge w:val="continue"/>
            <w:tcBorders>
              <w:left w:val="single" w:color="000000" w:sz="4" w:space="0"/>
              <w:right w:val="single" w:color="000000" w:sz="4" w:space="0"/>
            </w:tcBorders>
            <w:shd w:val="clear" w:color="auto" w:fill="auto"/>
            <w:vAlign w:val="center"/>
          </w:tc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kern w:val="0"/>
                <w:sz w:val="24"/>
              </w:rPr>
              <w:t>质量指标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sz w:val="24"/>
              </w:rPr>
              <w:t>1.工程质量。2.服务质量。</w:t>
            </w:r>
          </w:p>
        </w:tc>
        <w:tc>
          <w:tcPr>
            <w:tcW w:w="2697"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sz w:val="24"/>
              </w:rPr>
              <w:t>1.满足国家相关规范要求。2.达到合同约定要求。</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sz w:val="24"/>
              </w:rPr>
              <w:t>1.满足 2.符合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839" w:hRule="atLeast"/>
        </w:trPr>
        <w:tc>
          <w:tcPr>
            <w:tcW w:w="1242" w:type="dxa"/>
            <w:vMerge w:val="continue"/>
            <w:tcBorders>
              <w:left w:val="single" w:color="000000" w:sz="4" w:space="0"/>
              <w:right w:val="single" w:color="000000" w:sz="4" w:space="0"/>
            </w:tcBorders>
            <w:shd w:val="clear" w:color="auto" w:fill="auto"/>
            <w:vAlign w:val="center"/>
          </w:tc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kern w:val="0"/>
                <w:sz w:val="24"/>
              </w:rPr>
              <w:t>时效指标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sz w:val="24"/>
              </w:rPr>
              <w:t>完成时间</w:t>
            </w:r>
          </w:p>
        </w:tc>
        <w:tc>
          <w:tcPr>
            <w:tcW w:w="2697"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sz w:val="24"/>
              </w:rPr>
              <w:t>按合同约定时间完成</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sz w:val="24"/>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824" w:hRule="atLeast"/>
        </w:trPr>
        <w:tc>
          <w:tcPr>
            <w:tcW w:w="1242" w:type="dxa"/>
            <w:vMerge w:val="continue"/>
            <w:tcBorders>
              <w:left w:val="single" w:color="000000" w:sz="4" w:space="0"/>
              <w:right w:val="single" w:color="000000" w:sz="4" w:space="0"/>
            </w:tcBorders>
            <w:shd w:val="clear" w:color="auto" w:fill="auto"/>
            <w:vAlign w:val="center"/>
          </w:tc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kern w:val="0"/>
                <w:sz w:val="24"/>
              </w:rPr>
              <w:t>成本指标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sz w:val="24"/>
              </w:rPr>
              <w:t>1.工程建设费。2.工程建设其他费。</w:t>
            </w:r>
          </w:p>
        </w:tc>
        <w:tc>
          <w:tcPr>
            <w:tcW w:w="2697"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sz w:val="24"/>
              </w:rPr>
              <w:t>1.</w:t>
            </w:r>
            <w:r>
              <w:rPr>
                <w:rFonts w:hint="eastAsia" w:ascii="宋体"/>
                <w:sz w:val="24"/>
              </w:rPr>
              <w:t xml:space="preserve"> </w:t>
            </w:r>
            <w:r>
              <w:rPr>
                <w:rFonts w:hint="eastAsia" w:ascii="宋体" w:cs="仿宋_GB2312"/>
                <w:sz w:val="24"/>
              </w:rPr>
              <w:t>447.38万元。2.</w:t>
            </w:r>
            <w:r>
              <w:rPr>
                <w:rFonts w:hint="eastAsia" w:ascii="宋体"/>
                <w:sz w:val="24"/>
              </w:rPr>
              <w:t xml:space="preserve"> </w:t>
            </w:r>
            <w:r>
              <w:rPr>
                <w:rFonts w:hint="eastAsia" w:ascii="宋体" w:cs="仿宋_GB2312"/>
                <w:sz w:val="24"/>
              </w:rPr>
              <w:t>62.62万元。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sz w:val="24"/>
              </w:rPr>
              <w:t>1.工程建设费实际支出</w:t>
            </w:r>
            <w:r>
              <w:rPr>
                <w:rFonts w:hint="eastAsia" w:ascii="宋体"/>
                <w:sz w:val="24"/>
              </w:rPr>
              <w:t xml:space="preserve"> </w:t>
            </w:r>
            <w:r>
              <w:rPr>
                <w:rFonts w:hint="eastAsia" w:ascii="宋体" w:cs="仿宋_GB2312"/>
                <w:sz w:val="24"/>
              </w:rPr>
              <w:t>447.38万元。2.工程建设其他费实际支出</w:t>
            </w:r>
            <w:r>
              <w:rPr>
                <w:rFonts w:hint="eastAsia" w:ascii="宋体"/>
                <w:sz w:val="24"/>
              </w:rPr>
              <w:t xml:space="preserve"> </w:t>
            </w:r>
            <w:r>
              <w:rPr>
                <w:rFonts w:hint="eastAsia" w:ascii="宋体" w:cs="仿宋_GB2312"/>
                <w:sz w:val="24"/>
              </w:rPr>
              <w:t>62.62万元。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830" w:hRule="atLeast"/>
        </w:trPr>
        <w:tc>
          <w:tcPr>
            <w:tcW w:w="1242" w:type="dxa"/>
            <w:vMerge w:val="continue"/>
            <w:tcBorders>
              <w:left w:val="single" w:color="000000" w:sz="4" w:space="0"/>
              <w:right w:val="single" w:color="000000" w:sz="4" w:space="0"/>
            </w:tcBorders>
            <w:shd w:val="clear" w:color="auto" w:fill="auto"/>
            <w:vAlign w:val="center"/>
          </w:tcP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cs="仿宋_GB2312"/>
                <w:sz w:val="24"/>
              </w:rPr>
            </w:pPr>
            <w:r>
              <w:rPr>
                <w:rFonts w:hint="eastAsia" w:ascii="宋体" w:cs="仿宋_GB2312"/>
                <w:kern w:val="0"/>
                <w:sz w:val="24"/>
              </w:rPr>
              <w:t>效益</w:t>
            </w:r>
            <w:r>
              <w:rPr>
                <w:rFonts w:hint="eastAsia" w:ascii="宋体" w:cs="仿宋_GB2312"/>
                <w:kern w:val="0"/>
                <w:sz w:val="24"/>
              </w:rPr>
              <w:br w:type="textWrapping"/>
            </w:r>
            <w:r>
              <w:rPr>
                <w:rFonts w:hint="eastAsia" w:ascii="宋体" w:cs="仿宋_GB2312"/>
                <w:kern w:val="0"/>
                <w:sz w:val="24"/>
              </w:rPr>
              <w:t>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kern w:val="0"/>
                <w:sz w:val="24"/>
              </w:rPr>
              <w:t>经济效益  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sz w:val="24"/>
              </w:rPr>
              <w:t>无</w:t>
            </w:r>
          </w:p>
        </w:tc>
        <w:tc>
          <w:tcPr>
            <w:tcW w:w="2697"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sz w:val="24"/>
              </w:rPr>
              <w:t>无</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sz w:val="24"/>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0" w:hRule="atLeast"/>
        </w:trPr>
        <w:tc>
          <w:tcPr>
            <w:tcW w:w="1242" w:type="dxa"/>
            <w:vMerge w:val="continue"/>
            <w:tcBorders>
              <w:left w:val="single" w:color="000000" w:sz="4" w:space="0"/>
              <w:right w:val="single" w:color="000000" w:sz="4" w:space="0"/>
            </w:tcBorders>
            <w:shd w:val="clear" w:color="auto" w:fill="auto"/>
            <w:vAlign w:val="center"/>
          </w:tc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kern w:val="0"/>
                <w:sz w:val="24"/>
              </w:rPr>
              <w:t>社会效益  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sz w:val="24"/>
              </w:rPr>
              <w:t>安全</w:t>
            </w:r>
          </w:p>
        </w:tc>
        <w:tc>
          <w:tcPr>
            <w:tcW w:w="2697"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sz w:val="24"/>
              </w:rPr>
              <w:t>边坡地质灾害治理后消除了边坡安全隐患，确保市民和车辆通行安全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sz w:val="24"/>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153" w:hRule="atLeast"/>
        </w:trPr>
        <w:tc>
          <w:tcPr>
            <w:tcW w:w="1242" w:type="dxa"/>
            <w:vMerge w:val="continue"/>
            <w:tcBorders>
              <w:left w:val="single" w:color="000000" w:sz="4" w:space="0"/>
              <w:right w:val="single" w:color="000000" w:sz="4" w:space="0"/>
            </w:tcBorders>
            <w:shd w:val="clear" w:color="auto" w:fill="auto"/>
            <w:vAlign w:val="center"/>
          </w:tc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23" w:leftChars="87" w:hanging="240" w:hangingChars="100"/>
              <w:jc w:val="left"/>
              <w:textAlignment w:val="bottom"/>
              <w:rPr>
                <w:rFonts w:ascii="宋体" w:cs="仿宋_GB2312"/>
                <w:sz w:val="24"/>
              </w:rPr>
            </w:pPr>
            <w:r>
              <w:rPr>
                <w:rFonts w:hint="eastAsia" w:ascii="宋体" w:cs="仿宋_GB2312"/>
                <w:kern w:val="0"/>
                <w:sz w:val="24"/>
              </w:rPr>
              <w:t>生态效益  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sz w:val="24"/>
              </w:rPr>
              <w:t>美化环境</w:t>
            </w:r>
          </w:p>
        </w:tc>
        <w:tc>
          <w:tcPr>
            <w:tcW w:w="2697"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sz w:val="24"/>
              </w:rPr>
              <w:t>丰富干道植被</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sz w:val="24"/>
              </w:rPr>
              <w:t>丰富干道植被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131" w:hRule="atLeast"/>
        </w:trPr>
        <w:tc>
          <w:tcPr>
            <w:tcW w:w="1242" w:type="dxa"/>
            <w:vMerge w:val="continue"/>
            <w:tcBorders>
              <w:left w:val="single" w:color="000000" w:sz="4" w:space="0"/>
              <w:right w:val="single" w:color="000000" w:sz="4" w:space="0"/>
            </w:tcBorders>
            <w:shd w:val="clear" w:color="auto" w:fill="auto"/>
            <w:vAlign w:val="center"/>
          </w:tc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kern w:val="0"/>
                <w:sz w:val="24"/>
              </w:rPr>
              <w:t>可持续影响 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sz w:val="24"/>
              </w:rPr>
              <w:t>改善人居环境</w:t>
            </w:r>
          </w:p>
        </w:tc>
        <w:tc>
          <w:tcPr>
            <w:tcW w:w="2697"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sz w:val="24"/>
              </w:rPr>
              <w:t>效果明显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sz w:val="24"/>
              </w:rPr>
              <w:t>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261" w:hRule="atLeast"/>
        </w:trPr>
        <w:tc>
          <w:tcPr>
            <w:tcW w:w="1242" w:type="dxa"/>
            <w:vMerge w:val="continue"/>
            <w:tcBorders>
              <w:left w:val="single" w:color="000000" w:sz="4" w:space="0"/>
              <w:bottom w:val="single" w:color="000000" w:sz="4" w:space="0"/>
              <w:right w:val="single" w:color="000000" w:sz="4" w:space="0"/>
            </w:tcBorders>
            <w:shd w:val="clear" w:color="auto" w:fill="auto"/>
            <w:vAlign w:val="center"/>
          </w:tc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kern w:val="0"/>
                <w:sz w:val="24"/>
              </w:rPr>
              <w:t>满意</w:t>
            </w:r>
            <w:r>
              <w:rPr>
                <w:rFonts w:hint="eastAsia" w:ascii="宋体" w:cs="仿宋_GB2312"/>
                <w:kern w:val="0"/>
                <w:sz w:val="24"/>
              </w:rPr>
              <w:br w:type="textWrapping"/>
            </w:r>
            <w:r>
              <w:rPr>
                <w:rFonts w:hint="eastAsia" w:ascii="宋体" w:cs="仿宋_GB2312"/>
                <w:kern w:val="0"/>
                <w:sz w:val="24"/>
              </w:rPr>
              <w:t>度指标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kern w:val="0"/>
                <w:sz w:val="24"/>
              </w:rPr>
            </w:pPr>
            <w:r>
              <w:rPr>
                <w:rFonts w:hint="eastAsia" w:ascii="宋体" w:cs="仿宋_GB2312"/>
                <w:kern w:val="0"/>
                <w:sz w:val="24"/>
              </w:rPr>
              <w:t>满意度</w:t>
            </w:r>
          </w:p>
          <w:p>
            <w:pPr>
              <w:widowControl/>
              <w:spacing w:line="320" w:lineRule="exact"/>
              <w:jc w:val="center"/>
              <w:textAlignment w:val="bottom"/>
              <w:rPr>
                <w:rFonts w:ascii="宋体" w:cs="仿宋_GB2312"/>
                <w:sz w:val="24"/>
              </w:rPr>
            </w:pPr>
            <w:r>
              <w:rPr>
                <w:rFonts w:hint="eastAsia" w:ascii="宋体" w:cs="仿宋_GB2312"/>
                <w:kern w:val="0"/>
                <w:sz w:val="24"/>
              </w:rPr>
              <w:t>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sz w:val="24"/>
              </w:rPr>
              <w:t>服务对象满意度</w:t>
            </w:r>
          </w:p>
        </w:tc>
        <w:tc>
          <w:tcPr>
            <w:tcW w:w="2697"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sz w:val="24"/>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cs="仿宋_GB2312"/>
                <w:sz w:val="24"/>
              </w:rPr>
            </w:pPr>
            <w:r>
              <w:rPr>
                <w:rFonts w:hint="eastAsia" w:ascii="宋体" w:cs="仿宋_GB2312"/>
                <w:sz w:val="24"/>
              </w:rPr>
              <w:t>完成</w:t>
            </w:r>
          </w:p>
        </w:tc>
      </w:tr>
    </w:tbl>
    <w:p>
      <w:pPr>
        <w:pStyle w:val="2"/>
        <w:spacing w:before="93" w:beforeLines="0"/>
        <w:rPr>
          <w:b/>
          <w:lang w:val="zh-CN"/>
        </w:rPr>
      </w:pPr>
    </w:p>
    <w:p>
      <w:pPr>
        <w:pStyle w:val="2"/>
        <w:spacing w:before="93" w:beforeLines="0"/>
        <w:rPr>
          <w:b/>
          <w:lang w:val="zh-CN"/>
        </w:rPr>
      </w:pPr>
    </w:p>
    <w:p>
      <w:pPr>
        <w:spacing w:line="600" w:lineRule="exact"/>
        <w:jc w:val="center"/>
        <w:rPr>
          <w:rFonts w:ascii="方正小标宋简体" w:eastAsia="方正小标宋简体" w:cs="方正小标宋简体"/>
          <w:sz w:val="40"/>
          <w:szCs w:val="40"/>
          <w:lang w:val="zh-CN"/>
        </w:rPr>
      </w:pPr>
      <w:r>
        <w:rPr>
          <w:rFonts w:hint="eastAsia" w:ascii="方正小标宋简体" w:eastAsia="方正小标宋简体" w:cs="方正小标宋简体"/>
          <w:sz w:val="40"/>
          <w:szCs w:val="40"/>
        </w:rPr>
        <w:t>2021年</w:t>
      </w:r>
      <w:r>
        <w:rPr>
          <w:rFonts w:hint="eastAsia" w:ascii="方正小标宋简体" w:eastAsia="方正小标宋简体" w:cs="方正小标宋简体"/>
          <w:sz w:val="40"/>
          <w:szCs w:val="40"/>
          <w:lang w:val="zh-CN"/>
        </w:rPr>
        <w:t>专项预算项目支出绩效自评报告</w:t>
      </w:r>
    </w:p>
    <w:p>
      <w:pPr>
        <w:spacing w:line="600" w:lineRule="exact"/>
        <w:jc w:val="center"/>
        <w:rPr>
          <w:rFonts w:ascii="方正小标宋简体" w:eastAsia="方正小标宋简体" w:cs="方正小标宋简体"/>
          <w:sz w:val="40"/>
          <w:szCs w:val="40"/>
          <w:lang w:val="zh-CN"/>
        </w:rPr>
      </w:pPr>
      <w:r>
        <w:rPr>
          <w:rFonts w:hint="eastAsia" w:ascii="方正小标宋简体" w:eastAsia="方正小标宋简体" w:cs="方正小标宋简体"/>
          <w:sz w:val="40"/>
          <w:szCs w:val="40"/>
          <w:lang w:val="zh-CN"/>
        </w:rPr>
        <w:t>（房地产市场信息平台维护费）</w:t>
      </w:r>
    </w:p>
    <w:p>
      <w:pPr>
        <w:adjustRightInd w:val="0"/>
        <w:snapToGrid w:val="0"/>
        <w:spacing w:line="600" w:lineRule="exact"/>
        <w:ind w:firstLine="720"/>
        <w:rPr>
          <w:rFonts w:ascii="黑体" w:eastAsia="黑体"/>
          <w:sz w:val="32"/>
          <w:szCs w:val="32"/>
          <w:lang w:val="zh-CN"/>
        </w:rPr>
      </w:pPr>
      <w:r>
        <w:rPr>
          <w:rFonts w:hint="eastAsia" w:ascii="黑体" w:eastAsia="黑体"/>
          <w:sz w:val="32"/>
          <w:szCs w:val="32"/>
        </w:rPr>
        <w:t>一、</w:t>
      </w:r>
      <w:r>
        <w:rPr>
          <w:rFonts w:hint="eastAsia" w:ascii="黑体" w:eastAsia="黑体"/>
          <w:sz w:val="32"/>
          <w:szCs w:val="32"/>
          <w:lang w:val="zh-CN"/>
        </w:rPr>
        <w:t>项目概况</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（一）项目基本情况。</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1．说明项目主管部门（单位）在该项目管理中的职能。</w:t>
      </w:r>
    </w:p>
    <w:p>
      <w:pPr>
        <w:pStyle w:val="2"/>
        <w:spacing w:before="93" w:beforeLines="0"/>
      </w:pPr>
      <w:r>
        <w:rPr>
          <w:rFonts w:hint="eastAsia"/>
          <w:sz w:val="32"/>
          <w:szCs w:val="32"/>
        </w:rPr>
        <w:t xml:space="preserve">    监督管理该项目实施，辅助实施单位向财政申请资金。</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2．项目立项、资金申报的依据。</w:t>
      </w:r>
    </w:p>
    <w:p>
      <w:pPr>
        <w:spacing w:line="600" w:lineRule="exact"/>
        <w:ind w:firstLine="645"/>
        <w:rPr>
          <w:rFonts w:ascii="仿宋_GB2312" w:eastAsia="仿宋_GB2312"/>
          <w:sz w:val="32"/>
          <w:szCs w:val="32"/>
        </w:rPr>
      </w:pPr>
      <w:r>
        <w:rPr>
          <w:rFonts w:hint="eastAsia" w:ascii="仿宋_GB2312" w:eastAsia="仿宋_GB2312"/>
          <w:sz w:val="32"/>
          <w:szCs w:val="32"/>
        </w:rPr>
        <w:t>根据《国务院办公厅关于继续做好房地产市场调控工作的通知》</w:t>
      </w:r>
      <w:r>
        <w:rPr>
          <w:rFonts w:ascii="仿宋_GB2312" w:eastAsia="仿宋_GB2312"/>
          <w:sz w:val="32"/>
          <w:szCs w:val="32"/>
        </w:rPr>
        <w:t>(国办发[2013]17号)精神，四川省住房和城乡建设厅下发了《四川省住房和城乡建设厅关于进一步加强全省房地产市场信息系统建设工作的通知》（川建房发[2013]189号）通知和《四川省房地产市场信息平台建设技术导则》，指导各地、市（州）房地产部门的信息平台建设。</w:t>
      </w:r>
    </w:p>
    <w:p>
      <w:pPr>
        <w:numPr>
          <w:ilvl w:val="0"/>
          <w:numId w:val="9"/>
        </w:numPr>
        <w:adjustRightInd w:val="0"/>
        <w:snapToGrid w:val="0"/>
        <w:spacing w:line="600" w:lineRule="exact"/>
        <w:ind w:left="0" w:firstLine="720"/>
        <w:rPr>
          <w:rFonts w:ascii="仿宋_GB2312" w:eastAsia="仿宋_GB2312"/>
          <w:sz w:val="32"/>
          <w:szCs w:val="32"/>
          <w:lang w:val="zh-CN"/>
        </w:rPr>
      </w:pPr>
      <w:r>
        <w:rPr>
          <w:rFonts w:hint="eastAsia" w:ascii="仿宋_GB2312" w:eastAsia="仿宋_GB2312"/>
          <w:sz w:val="32"/>
          <w:szCs w:val="32"/>
          <w:lang w:val="zh-CN"/>
        </w:rPr>
        <w:t>资金管理办法制定情况，资金支持具体项目的条件、范围与支持方式概况。</w:t>
      </w:r>
    </w:p>
    <w:p>
      <w:pPr>
        <w:pStyle w:val="2"/>
        <w:spacing w:before="93" w:beforeLines="0"/>
        <w:rPr>
          <w:sz w:val="32"/>
          <w:szCs w:val="32"/>
        </w:rPr>
      </w:pPr>
      <w:r>
        <w:rPr>
          <w:rFonts w:hint="eastAsia"/>
        </w:rPr>
        <w:t xml:space="preserve">    </w:t>
      </w:r>
      <w:r>
        <w:rPr>
          <w:rFonts w:hint="eastAsia"/>
          <w:sz w:val="32"/>
          <w:szCs w:val="32"/>
        </w:rPr>
        <w:t>根据合同约定金额支付机房水电费、通信费、运维费等费用。</w:t>
      </w:r>
    </w:p>
    <w:p>
      <w:pPr>
        <w:numPr>
          <w:ilvl w:val="0"/>
          <w:numId w:val="9"/>
        </w:numPr>
        <w:adjustRightInd w:val="0"/>
        <w:snapToGrid w:val="0"/>
        <w:spacing w:line="600" w:lineRule="exact"/>
        <w:ind w:left="0" w:firstLine="720"/>
        <w:rPr>
          <w:rFonts w:ascii="仿宋_GB2312" w:eastAsia="仿宋_GB2312"/>
          <w:sz w:val="32"/>
          <w:szCs w:val="32"/>
          <w:lang w:val="zh-CN"/>
        </w:rPr>
      </w:pPr>
      <w:r>
        <w:rPr>
          <w:rFonts w:hint="eastAsia" w:ascii="仿宋_GB2312" w:eastAsia="仿宋_GB2312"/>
          <w:sz w:val="32"/>
          <w:szCs w:val="32"/>
          <w:lang w:val="zh-CN"/>
        </w:rPr>
        <w:t>资金分配的原则及考虑因素。</w:t>
      </w:r>
    </w:p>
    <w:p>
      <w:pPr>
        <w:pStyle w:val="2"/>
        <w:spacing w:before="93" w:beforeLines="0"/>
        <w:ind w:firstLine="640" w:firstLineChars="200"/>
        <w:rPr>
          <w:sz w:val="32"/>
          <w:szCs w:val="32"/>
          <w:lang w:val="zh-CN"/>
        </w:rPr>
      </w:pPr>
      <w:r>
        <w:rPr>
          <w:rFonts w:hint="eastAsia"/>
          <w:sz w:val="32"/>
          <w:szCs w:val="32"/>
          <w:lang w:val="zh-CN"/>
        </w:rPr>
        <w:t>按月支付，如遇资金不足情况首先保机房水电费，其次保通信费，然后保其他经费支出。</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（二）项目绩效目标。</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1．项目主要内容。</w:t>
      </w:r>
    </w:p>
    <w:p>
      <w:pPr>
        <w:spacing w:line="600" w:lineRule="exact"/>
        <w:ind w:firstLine="645"/>
        <w:rPr>
          <w:rFonts w:eastAsia="仿宋_GB2312"/>
          <w:sz w:val="32"/>
          <w:szCs w:val="32"/>
          <w:shd w:val="clear" w:color="auto" w:fill="FFFFFF"/>
        </w:rPr>
      </w:pPr>
      <w:r>
        <w:rPr>
          <w:rFonts w:hint="eastAsia" w:ascii="仿宋_GB2312" w:eastAsia="仿宋_GB2312"/>
          <w:sz w:val="32"/>
          <w:szCs w:val="32"/>
        </w:rPr>
        <w:t>本项目的主要内容是</w:t>
      </w:r>
      <w:r>
        <w:rPr>
          <w:rFonts w:eastAsia="仿宋_GB2312"/>
          <w:sz w:val="32"/>
          <w:szCs w:val="32"/>
          <w:shd w:val="clear" w:color="auto" w:fill="FFFFFF"/>
        </w:rPr>
        <w:t>通过计算机信息网络技术、系统集成技术和信息安全技术，实现省、市两级房地产市场信息平台互联互通；实现</w:t>
      </w:r>
      <w:r>
        <w:rPr>
          <w:rFonts w:hint="eastAsia" w:eastAsia="仿宋_GB2312"/>
          <w:sz w:val="32"/>
          <w:szCs w:val="32"/>
          <w:shd w:val="clear" w:color="auto" w:fill="FFFFFF"/>
        </w:rPr>
        <w:t>全</w:t>
      </w:r>
      <w:r>
        <w:rPr>
          <w:rFonts w:eastAsia="仿宋_GB2312"/>
          <w:sz w:val="32"/>
          <w:szCs w:val="32"/>
          <w:shd w:val="clear" w:color="auto" w:fill="FFFFFF"/>
        </w:rPr>
        <w:t>市与所辖各区、县联网，统一使用</w:t>
      </w:r>
      <w:r>
        <w:rPr>
          <w:rFonts w:hint="eastAsia" w:eastAsia="仿宋_GB2312"/>
          <w:sz w:val="32"/>
          <w:szCs w:val="32"/>
          <w:shd w:val="clear" w:color="auto" w:fill="FFFFFF"/>
        </w:rPr>
        <w:t>一套业务</w:t>
      </w:r>
      <w:r>
        <w:rPr>
          <w:rFonts w:eastAsia="仿宋_GB2312"/>
          <w:sz w:val="32"/>
          <w:szCs w:val="32"/>
          <w:shd w:val="clear" w:color="auto" w:fill="FFFFFF"/>
        </w:rPr>
        <w:t>系统，建立一个数据中心</w:t>
      </w:r>
      <w:r>
        <w:rPr>
          <w:rFonts w:hint="eastAsia" w:eastAsia="仿宋_GB2312"/>
          <w:sz w:val="32"/>
          <w:szCs w:val="32"/>
          <w:shd w:val="clear" w:color="auto" w:fill="FFFFFF"/>
        </w:rPr>
        <w:t>，统一存放数据</w:t>
      </w:r>
      <w:r>
        <w:rPr>
          <w:rFonts w:eastAsia="仿宋_GB2312"/>
          <w:sz w:val="32"/>
          <w:szCs w:val="32"/>
          <w:shd w:val="clear" w:color="auto" w:fill="FFFFFF"/>
        </w:rPr>
        <w:t>；按住房城乡建设部《房地产市场信息系统技术规范》（CJJ/T 115-2007）的要求，</w:t>
      </w:r>
      <w:r>
        <w:rPr>
          <w:rFonts w:hint="eastAsia" w:eastAsia="仿宋_GB2312"/>
          <w:sz w:val="32"/>
          <w:szCs w:val="32"/>
          <w:shd w:val="clear" w:color="auto" w:fill="FFFFFF"/>
        </w:rPr>
        <w:t>建设</w:t>
      </w:r>
      <w:r>
        <w:rPr>
          <w:rFonts w:eastAsia="仿宋_GB2312"/>
          <w:sz w:val="32"/>
          <w:szCs w:val="32"/>
          <w:shd w:val="clear" w:color="auto" w:fill="FFFFFF"/>
        </w:rPr>
        <w:t>统计分析与信息发布子系统、新建商品房网上备案子系统、存量房网上备案子系统、从业主体管理子系统、项目管理子系统、</w:t>
      </w:r>
      <w:r>
        <w:rPr>
          <w:rFonts w:hint="eastAsia" w:eastAsia="仿宋_GB2312"/>
          <w:sz w:val="32"/>
          <w:szCs w:val="32"/>
          <w:shd w:val="clear" w:color="auto" w:fill="FFFFFF"/>
        </w:rPr>
        <w:t>交易</w:t>
      </w:r>
      <w:r>
        <w:rPr>
          <w:rFonts w:eastAsia="仿宋_GB2312"/>
          <w:sz w:val="32"/>
          <w:szCs w:val="32"/>
          <w:shd w:val="clear" w:color="auto" w:fill="FFFFFF"/>
        </w:rPr>
        <w:t>管理子系统、测绘及成果管理子系统等7个子系统；</w:t>
      </w:r>
      <w:r>
        <w:rPr>
          <w:rFonts w:hint="eastAsia" w:eastAsia="仿宋_GB2312"/>
          <w:sz w:val="32"/>
          <w:szCs w:val="32"/>
          <w:shd w:val="clear" w:color="auto" w:fill="FFFFFF"/>
        </w:rPr>
        <w:t>建设</w:t>
      </w:r>
      <w:r>
        <w:rPr>
          <w:rFonts w:eastAsia="仿宋_GB2312"/>
          <w:sz w:val="32"/>
          <w:szCs w:val="32"/>
          <w:shd w:val="clear" w:color="auto" w:fill="FFFFFF"/>
        </w:rPr>
        <w:t>全市个人住房信息</w:t>
      </w:r>
      <w:r>
        <w:rPr>
          <w:rFonts w:hint="eastAsia" w:eastAsia="仿宋_GB2312"/>
          <w:sz w:val="32"/>
          <w:szCs w:val="32"/>
          <w:shd w:val="clear" w:color="auto" w:fill="FFFFFF"/>
        </w:rPr>
        <w:t>系统；</w:t>
      </w:r>
      <w:r>
        <w:rPr>
          <w:rFonts w:eastAsia="仿宋_GB2312"/>
          <w:sz w:val="32"/>
          <w:szCs w:val="32"/>
          <w:shd w:val="clear" w:color="auto" w:fill="FFFFFF"/>
        </w:rPr>
        <w:t>建立房地产市场信息监管系统，实现全市房地产信息的实时统计、分析，宏观掌控、监管全市房地产市场发展情况和趋势；建立一个</w:t>
      </w:r>
      <w:r>
        <w:rPr>
          <w:rFonts w:hint="eastAsia" w:eastAsia="仿宋_GB2312"/>
          <w:sz w:val="32"/>
          <w:szCs w:val="32"/>
          <w:shd w:val="clear" w:color="auto" w:fill="FFFFFF"/>
        </w:rPr>
        <w:t>规范、安全、高效</w:t>
      </w:r>
      <w:r>
        <w:rPr>
          <w:rFonts w:eastAsia="仿宋_GB2312"/>
          <w:sz w:val="32"/>
          <w:szCs w:val="32"/>
          <w:shd w:val="clear" w:color="auto" w:fill="FFFFFF"/>
        </w:rPr>
        <w:t>的数据中心机房。</w:t>
      </w:r>
    </w:p>
    <w:p>
      <w:pPr>
        <w:numPr>
          <w:ilvl w:val="0"/>
          <w:numId w:val="10"/>
        </w:numPr>
        <w:adjustRightInd w:val="0"/>
        <w:snapToGrid w:val="0"/>
        <w:spacing w:line="600" w:lineRule="exact"/>
        <w:ind w:left="0" w:firstLine="720"/>
        <w:rPr>
          <w:rFonts w:ascii="仿宋_GB2312" w:eastAsia="仿宋_GB2312"/>
          <w:sz w:val="32"/>
          <w:szCs w:val="32"/>
          <w:lang w:val="zh-CN"/>
        </w:rPr>
      </w:pPr>
      <w:r>
        <w:rPr>
          <w:rFonts w:hint="eastAsia" w:ascii="仿宋_GB2312" w:eastAsia="仿宋_GB2312"/>
          <w:sz w:val="32"/>
          <w:szCs w:val="32"/>
          <w:lang w:val="zh-CN"/>
        </w:rPr>
        <w:t>项目应实现的具体绩效目标，包括目标的量化、细化情况以及项目实施进度计划等。</w:t>
      </w:r>
    </w:p>
    <w:p>
      <w:pPr>
        <w:pStyle w:val="8"/>
        <w:numPr>
          <w:ilvl w:val="0"/>
          <w:numId w:val="11"/>
        </w:numPr>
        <w:spacing w:line="600" w:lineRule="exact"/>
        <w:ind w:left="0" w:firstLine="640" w:firstLineChars="200"/>
        <w:jc w:val="left"/>
        <w:rPr>
          <w:rFonts w:ascii="Times New Roman" w:hAnsi="Times New Roman" w:eastAsia="仿宋_GB2312"/>
          <w:sz w:val="32"/>
          <w:szCs w:val="32"/>
        </w:rPr>
      </w:pPr>
      <w:r>
        <w:rPr>
          <w:rFonts w:ascii="Times New Roman" w:hAnsi="Times New Roman" w:eastAsia="仿宋_GB2312"/>
          <w:sz w:val="32"/>
          <w:szCs w:val="32"/>
        </w:rPr>
        <w:t>产出指标完成情况分析。</w:t>
      </w:r>
    </w:p>
    <w:p>
      <w:pPr>
        <w:pStyle w:val="8"/>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保障了全局20台X86服务器，2台小型机，20多台网络安全设备运行，保障房地产市场信息平台7*24小时稳定运行。</w:t>
      </w:r>
    </w:p>
    <w:p>
      <w:pPr>
        <w:pStyle w:val="8"/>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（2）效益指标完成情况分析。</w:t>
      </w:r>
      <w:r>
        <w:rPr>
          <w:rFonts w:hint="eastAsia" w:ascii="Times New Roman" w:hAnsi="Times New Roman" w:eastAsia="仿宋_GB2312"/>
          <w:sz w:val="32"/>
          <w:szCs w:val="32"/>
        </w:rPr>
        <w:t>避免造成重大安全责任事故和影响社会稳定房地产市场监控，为领导决策提供数据支撑，提高政府服务效能，减少群众重复提交多头资料，为我市“智慧城市”建设提供基础数据。</w:t>
      </w:r>
    </w:p>
    <w:p>
      <w:pPr>
        <w:pStyle w:val="8"/>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（3）满意度指标完成情况分析。</w:t>
      </w:r>
      <w:r>
        <w:rPr>
          <w:rFonts w:hint="eastAsia" w:ascii="Times New Roman" w:hAnsi="Times New Roman" w:eastAsia="仿宋_GB2312"/>
          <w:sz w:val="32"/>
          <w:szCs w:val="32"/>
        </w:rPr>
        <w:t>公众满意度为满意。</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3．分析评价申报内容是否与实际相符，申报目标是否合理可行。</w:t>
      </w:r>
    </w:p>
    <w:p>
      <w:pPr>
        <w:pStyle w:val="2"/>
        <w:spacing w:before="93" w:beforeLines="0"/>
      </w:pPr>
      <w:r>
        <w:rPr>
          <w:rFonts w:hint="eastAsia"/>
          <w:sz w:val="32"/>
          <w:szCs w:val="32"/>
        </w:rPr>
        <w:t xml:space="preserve">     申报内容与实际相符，且合理可行。</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（三）项目自评步骤及方法。</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通过线上与线下相结合方式开展。按照有关规定和工作安排，我单位开展自行评估，通过自行成立等方式组建评估组，通过收集被评估项目相关基础资料，并查阅资料、收集数据信息等，深入论证分析后，形成绩效评估报告。</w:t>
      </w:r>
    </w:p>
    <w:p>
      <w:pPr>
        <w:adjustRightInd w:val="0"/>
        <w:snapToGrid w:val="0"/>
        <w:spacing w:line="600" w:lineRule="exact"/>
        <w:ind w:firstLine="720"/>
        <w:rPr>
          <w:rFonts w:ascii="黑体" w:eastAsia="黑体"/>
          <w:sz w:val="32"/>
          <w:szCs w:val="32"/>
        </w:rPr>
      </w:pPr>
      <w:r>
        <w:rPr>
          <w:rFonts w:hint="eastAsia" w:ascii="黑体" w:eastAsia="黑体"/>
          <w:sz w:val="32"/>
          <w:szCs w:val="32"/>
        </w:rPr>
        <w:t>二、项目资金申报及使用情况</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（一）项目资金申报及批复情况。</w:t>
      </w:r>
    </w:p>
    <w:p>
      <w:pPr>
        <w:adjustRightInd w:val="0"/>
        <w:snapToGrid w:val="0"/>
        <w:spacing w:line="600" w:lineRule="exact"/>
        <w:ind w:firstLine="720"/>
        <w:rPr>
          <w:rFonts w:ascii="仿宋_GB2312" w:eastAsia="仿宋_GB2312"/>
          <w:sz w:val="32"/>
          <w:szCs w:val="32"/>
        </w:rPr>
      </w:pPr>
      <w:r>
        <w:rPr>
          <w:rFonts w:hint="eastAsia" w:ascii="仿宋_GB2312" w:eastAsia="仿宋_GB2312"/>
          <w:sz w:val="32"/>
          <w:szCs w:val="32"/>
          <w:lang w:val="zh-CN"/>
        </w:rPr>
        <w:t>年初预算申报项目经费</w:t>
      </w:r>
      <w:r>
        <w:rPr>
          <w:rFonts w:hint="eastAsia" w:ascii="仿宋_GB2312" w:eastAsia="仿宋_GB2312"/>
          <w:sz w:val="32"/>
          <w:szCs w:val="32"/>
        </w:rPr>
        <w:t>78万元，预算批复数0万元，后追加预算数50.71万元。</w:t>
      </w:r>
    </w:p>
    <w:p>
      <w:pPr>
        <w:adjustRightInd w:val="0"/>
        <w:snapToGrid w:val="0"/>
        <w:spacing w:line="600" w:lineRule="exact"/>
        <w:ind w:firstLine="720"/>
        <w:rPr>
          <w:rFonts w:ascii="仿宋_GB2312" w:eastAsia="仿宋_GB2312"/>
          <w:b/>
          <w:sz w:val="32"/>
          <w:szCs w:val="32"/>
          <w:lang w:val="zh-CN"/>
        </w:rPr>
      </w:pPr>
      <w:r>
        <w:rPr>
          <w:rFonts w:hint="eastAsia" w:ascii="楷体_GB2312" w:eastAsia="楷体_GB2312"/>
          <w:b/>
          <w:sz w:val="32"/>
          <w:szCs w:val="32"/>
          <w:lang w:val="zh-CN"/>
        </w:rPr>
        <w:t>（二）资金计划、到位及使用情况（可用表格形式反映）。</w:t>
      </w:r>
    </w:p>
    <w:p>
      <w:pPr>
        <w:adjustRightInd w:val="0"/>
        <w:snapToGrid w:val="0"/>
        <w:spacing w:line="600" w:lineRule="exact"/>
        <w:ind w:firstLine="720"/>
        <w:rPr>
          <w:rFonts w:ascii="仿宋_GB2312" w:eastAsia="仿宋_GB2312"/>
          <w:bCs/>
          <w:sz w:val="32"/>
          <w:szCs w:val="32"/>
          <w:lang w:val="zh-CN"/>
        </w:rPr>
      </w:pPr>
      <w:r>
        <w:rPr>
          <w:rFonts w:hint="eastAsia" w:ascii="楷体_GB2312" w:eastAsia="楷体_GB2312"/>
          <w:bCs/>
          <w:sz w:val="32"/>
          <w:szCs w:val="32"/>
          <w:lang w:val="zh-CN"/>
        </w:rPr>
        <w:t>1．资金计划。</w:t>
      </w:r>
      <w:r>
        <w:rPr>
          <w:rFonts w:hint="eastAsia" w:ascii="仿宋_GB2312" w:eastAsia="仿宋_GB2312"/>
          <w:bCs/>
          <w:sz w:val="32"/>
          <w:szCs w:val="32"/>
          <w:lang w:val="zh-CN"/>
        </w:rPr>
        <w:t>资金全部来源于财政预算资金。</w:t>
      </w:r>
    </w:p>
    <w:p>
      <w:pPr>
        <w:adjustRightInd w:val="0"/>
        <w:snapToGrid w:val="0"/>
        <w:spacing w:line="600" w:lineRule="exact"/>
        <w:ind w:firstLine="720"/>
        <w:rPr>
          <w:rFonts w:ascii="仿宋_GB2312" w:eastAsia="仿宋_GB2312"/>
          <w:bCs/>
          <w:sz w:val="32"/>
          <w:szCs w:val="32"/>
        </w:rPr>
      </w:pPr>
      <w:r>
        <w:rPr>
          <w:rFonts w:hint="eastAsia" w:ascii="楷体_GB2312" w:eastAsia="楷体_GB2312"/>
          <w:bCs/>
          <w:sz w:val="32"/>
          <w:szCs w:val="32"/>
          <w:lang w:val="zh-CN"/>
        </w:rPr>
        <w:t>2．资金到位。</w:t>
      </w:r>
      <w:r>
        <w:rPr>
          <w:rFonts w:hint="eastAsia" w:ascii="仿宋_GB2312" w:eastAsia="仿宋_GB2312"/>
          <w:bCs/>
          <w:sz w:val="32"/>
          <w:szCs w:val="32"/>
          <w:lang w:val="zh-CN"/>
        </w:rPr>
        <w:t>年初预算批复</w:t>
      </w:r>
      <w:r>
        <w:rPr>
          <w:rFonts w:hint="eastAsia" w:ascii="仿宋_GB2312" w:eastAsia="仿宋_GB2312"/>
          <w:bCs/>
          <w:sz w:val="32"/>
          <w:szCs w:val="32"/>
        </w:rPr>
        <w:t>0万元，项目追加调整50.71万元。</w:t>
      </w:r>
    </w:p>
    <w:p>
      <w:pPr>
        <w:adjustRightInd w:val="0"/>
        <w:snapToGrid w:val="0"/>
        <w:spacing w:line="600" w:lineRule="exact"/>
        <w:ind w:firstLine="720"/>
        <w:rPr>
          <w:rFonts w:ascii="仿宋_GB2312" w:eastAsia="仿宋_GB2312"/>
          <w:bCs/>
          <w:sz w:val="32"/>
          <w:szCs w:val="32"/>
        </w:rPr>
      </w:pPr>
      <w:r>
        <w:rPr>
          <w:rFonts w:hint="eastAsia" w:ascii="楷体_GB2312" w:eastAsia="楷体_GB2312"/>
          <w:bCs/>
          <w:sz w:val="32"/>
          <w:szCs w:val="32"/>
          <w:lang w:val="zh-CN"/>
        </w:rPr>
        <w:t>3．资金使用。</w:t>
      </w:r>
      <w:r>
        <w:rPr>
          <w:rFonts w:hint="eastAsia" w:ascii="仿宋_GB2312" w:eastAsia="仿宋_GB2312"/>
          <w:bCs/>
          <w:sz w:val="32"/>
          <w:szCs w:val="32"/>
          <w:lang w:val="zh-CN"/>
        </w:rPr>
        <w:t>项目资金</w:t>
      </w:r>
      <w:r>
        <w:rPr>
          <w:rFonts w:hint="eastAsia" w:ascii="仿宋_GB2312" w:eastAsia="仿宋_GB2312"/>
          <w:bCs/>
          <w:sz w:val="32"/>
          <w:szCs w:val="32"/>
        </w:rPr>
        <w:t>50.71万元在2021年度已全部支付完毕。</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（三）项目财务管理情况。</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总体评价各项目实施单位财务管理制度是健全，能够严格执行财务管理制度，账务处理及时，会计核算规范。</w:t>
      </w:r>
    </w:p>
    <w:p>
      <w:pPr>
        <w:adjustRightInd w:val="0"/>
        <w:snapToGrid w:val="0"/>
        <w:spacing w:line="600" w:lineRule="exact"/>
        <w:ind w:firstLine="720"/>
        <w:rPr>
          <w:rFonts w:ascii="仿宋_GB2312" w:eastAsia="仿宋_GB2312"/>
          <w:sz w:val="32"/>
          <w:szCs w:val="32"/>
          <w:lang w:val="zh-CN"/>
        </w:rPr>
      </w:pPr>
      <w:r>
        <w:rPr>
          <w:rFonts w:hint="eastAsia" w:ascii="黑体" w:eastAsia="黑体"/>
          <w:sz w:val="32"/>
          <w:szCs w:val="32"/>
        </w:rPr>
        <w:t>三、项目实施及管理情况</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（一）项目组织架构及实施流程。</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项目由信息科负责管理，每月按合同要求进行运维，并进行资金支付相关费用。</w:t>
      </w:r>
    </w:p>
    <w:p>
      <w:pPr>
        <w:adjustRightInd w:val="0"/>
        <w:snapToGrid w:val="0"/>
        <w:spacing w:line="600" w:lineRule="exact"/>
        <w:ind w:left="420" w:leftChars="200"/>
        <w:rPr>
          <w:rFonts w:ascii="楷体_GB2312" w:eastAsia="楷体_GB2312"/>
          <w:b/>
          <w:sz w:val="32"/>
          <w:szCs w:val="32"/>
          <w:lang w:val="zh-CN"/>
        </w:rPr>
      </w:pPr>
      <w:r>
        <w:rPr>
          <w:rFonts w:hint="eastAsia" w:ascii="楷体_GB2312" w:eastAsia="楷体_GB2312"/>
          <w:b/>
          <w:sz w:val="32"/>
          <w:szCs w:val="32"/>
          <w:lang w:val="zh-CN"/>
        </w:rPr>
        <w:t>（二）项目管理情况。</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lang w:val="zh-CN"/>
        </w:rPr>
        <w:t>该项目保障了攀枝花市房地产市场信息平台系统的平稳运行，加强了</w:t>
      </w:r>
      <w:r>
        <w:rPr>
          <w:rFonts w:hint="eastAsia" w:ascii="仿宋_GB2312" w:eastAsia="仿宋_GB2312"/>
          <w:sz w:val="32"/>
          <w:szCs w:val="32"/>
        </w:rPr>
        <w:t>房</w:t>
      </w:r>
      <w:r>
        <w:rPr>
          <w:rFonts w:ascii="仿宋_GB2312" w:eastAsia="仿宋_GB2312"/>
          <w:sz w:val="32"/>
          <w:szCs w:val="32"/>
        </w:rPr>
        <w:t>地产</w:t>
      </w:r>
      <w:r>
        <w:rPr>
          <w:rFonts w:hint="eastAsia" w:ascii="仿宋_GB2312" w:eastAsia="仿宋_GB2312"/>
          <w:sz w:val="32"/>
          <w:szCs w:val="32"/>
        </w:rPr>
        <w:t>市场监控</w:t>
      </w:r>
      <w:r>
        <w:rPr>
          <w:rFonts w:ascii="仿宋_GB2312" w:eastAsia="仿宋_GB2312"/>
          <w:sz w:val="32"/>
          <w:szCs w:val="32"/>
        </w:rPr>
        <w:t>，为领导决策提供数据支</w:t>
      </w:r>
      <w:r>
        <w:rPr>
          <w:rFonts w:hint="eastAsia" w:ascii="仿宋_GB2312" w:eastAsia="仿宋_GB2312"/>
          <w:sz w:val="32"/>
          <w:szCs w:val="32"/>
        </w:rPr>
        <w:t>撑</w:t>
      </w:r>
      <w:r>
        <w:rPr>
          <w:rFonts w:ascii="仿宋_GB2312" w:eastAsia="仿宋_GB2312"/>
          <w:sz w:val="32"/>
          <w:szCs w:val="32"/>
        </w:rPr>
        <w:t>。</w:t>
      </w:r>
      <w:r>
        <w:rPr>
          <w:rFonts w:hint="eastAsia" w:ascii="仿宋_GB2312" w:eastAsia="仿宋_GB2312"/>
          <w:kern w:val="0"/>
          <w:sz w:val="32"/>
          <w:szCs w:val="32"/>
        </w:rPr>
        <w:t>提高了政府服务效能，减少</w:t>
      </w:r>
      <w:r>
        <w:rPr>
          <w:rFonts w:ascii="仿宋_GB2312" w:eastAsia="仿宋_GB2312"/>
          <w:kern w:val="0"/>
          <w:sz w:val="32"/>
          <w:szCs w:val="32"/>
        </w:rPr>
        <w:t>群众</w:t>
      </w:r>
      <w:r>
        <w:rPr>
          <w:rFonts w:hint="eastAsia" w:ascii="仿宋_GB2312" w:eastAsia="仿宋_GB2312"/>
          <w:kern w:val="0"/>
          <w:sz w:val="32"/>
          <w:szCs w:val="32"/>
        </w:rPr>
        <w:t>重复</w:t>
      </w:r>
      <w:r>
        <w:rPr>
          <w:rFonts w:ascii="仿宋_GB2312" w:eastAsia="仿宋_GB2312"/>
          <w:kern w:val="0"/>
          <w:sz w:val="32"/>
          <w:szCs w:val="32"/>
        </w:rPr>
        <w:t>提交</w:t>
      </w:r>
      <w:r>
        <w:rPr>
          <w:rFonts w:hint="eastAsia" w:ascii="仿宋_GB2312" w:eastAsia="仿宋_GB2312"/>
          <w:kern w:val="0"/>
          <w:sz w:val="32"/>
          <w:szCs w:val="32"/>
        </w:rPr>
        <w:t>多</w:t>
      </w:r>
      <w:r>
        <w:rPr>
          <w:rFonts w:ascii="仿宋_GB2312" w:eastAsia="仿宋_GB2312"/>
          <w:kern w:val="0"/>
          <w:sz w:val="32"/>
          <w:szCs w:val="32"/>
        </w:rPr>
        <w:t>头</w:t>
      </w:r>
      <w:r>
        <w:rPr>
          <w:rFonts w:hint="eastAsia" w:ascii="仿宋_GB2312" w:eastAsia="仿宋_GB2312"/>
          <w:kern w:val="0"/>
          <w:sz w:val="32"/>
          <w:szCs w:val="32"/>
        </w:rPr>
        <w:t>资料</w:t>
      </w:r>
    </w:p>
    <w:p>
      <w:pPr>
        <w:adjustRightInd w:val="0"/>
        <w:snapToGrid w:val="0"/>
        <w:spacing w:line="600" w:lineRule="exact"/>
        <w:ind w:left="420" w:leftChars="200" w:firstLine="321" w:firstLineChars="100"/>
        <w:rPr>
          <w:rFonts w:ascii="楷体_GB2312" w:eastAsia="楷体_GB2312"/>
          <w:b/>
          <w:sz w:val="32"/>
          <w:szCs w:val="32"/>
          <w:lang w:val="zh-CN"/>
        </w:rPr>
      </w:pPr>
      <w:r>
        <w:rPr>
          <w:rFonts w:hint="eastAsia" w:ascii="楷体_GB2312" w:eastAsia="楷体_GB2312"/>
          <w:b/>
          <w:sz w:val="32"/>
          <w:szCs w:val="32"/>
          <w:lang w:val="zh-CN"/>
        </w:rPr>
        <w:t>（三）项目监管情况。</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有信息科对该项目进行监管，财务科对提交报销的各项费用进行审核。</w:t>
      </w:r>
      <w:r>
        <w:rPr>
          <w:rFonts w:hint="eastAsia" w:ascii="仿宋_GB2312" w:eastAsia="仿宋_GB2312"/>
          <w:sz w:val="32"/>
          <w:szCs w:val="32"/>
        </w:rPr>
        <w:t>2021年度全程</w:t>
      </w:r>
      <w:r>
        <w:rPr>
          <w:rFonts w:hint="eastAsia" w:ascii="仿宋_GB2312" w:eastAsia="仿宋_GB2312"/>
          <w:sz w:val="32"/>
          <w:szCs w:val="32"/>
          <w:lang w:val="zh-CN"/>
        </w:rPr>
        <w:t>无不良记录。</w:t>
      </w:r>
    </w:p>
    <w:p>
      <w:pPr>
        <w:adjustRightInd w:val="0"/>
        <w:snapToGrid w:val="0"/>
        <w:spacing w:line="600" w:lineRule="exact"/>
        <w:ind w:firstLine="720"/>
        <w:rPr>
          <w:rFonts w:ascii="仿宋_GB2312" w:eastAsia="仿宋_GB2312"/>
          <w:sz w:val="32"/>
          <w:szCs w:val="32"/>
          <w:lang w:val="zh-CN"/>
        </w:rPr>
      </w:pPr>
      <w:r>
        <w:rPr>
          <w:rFonts w:hint="eastAsia" w:ascii="黑体" w:eastAsia="黑体"/>
          <w:sz w:val="32"/>
          <w:szCs w:val="32"/>
        </w:rPr>
        <w:t>四、项目绩效情况</w:t>
      </w:r>
      <w:r>
        <w:rPr>
          <w:rFonts w:hint="eastAsia" w:ascii="仿宋_GB2312" w:eastAsia="仿宋_GB2312"/>
          <w:sz w:val="32"/>
          <w:szCs w:val="32"/>
          <w:lang w:val="zh-CN"/>
        </w:rPr>
        <w:tab/>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（一）项目完成情况。</w:t>
      </w:r>
    </w:p>
    <w:p>
      <w:pPr>
        <w:pStyle w:val="8"/>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（1）产出指标完成情况分析。</w:t>
      </w:r>
      <w:r>
        <w:rPr>
          <w:rFonts w:hint="eastAsia" w:ascii="Times New Roman" w:hAnsi="Times New Roman" w:eastAsia="仿宋_GB2312"/>
          <w:sz w:val="32"/>
          <w:szCs w:val="32"/>
        </w:rPr>
        <w:t>保障了全局20台X86服务器，2台小型机，20多台网络安全设备运行，保障房地产市场信息平台7*24小时稳定运行，2021年全年共需资金50.71万元。</w:t>
      </w:r>
    </w:p>
    <w:p>
      <w:pPr>
        <w:pStyle w:val="8"/>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（2）效益指标完成情况分析。</w:t>
      </w:r>
      <w:r>
        <w:rPr>
          <w:rFonts w:hint="eastAsia" w:ascii="Times New Roman" w:hAnsi="Times New Roman" w:eastAsia="仿宋_GB2312"/>
          <w:sz w:val="32"/>
          <w:szCs w:val="32"/>
        </w:rPr>
        <w:t>避免造成重大安全责任事故和影响社会稳定房地产市场监控，为领导决策提供数据支撑，提高政府服务效能，减少群众重复提交多头资料，为我市“智慧城市”建设提供基础数据。</w:t>
      </w:r>
    </w:p>
    <w:p>
      <w:pPr>
        <w:pStyle w:val="8"/>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（3）满意度指标完成情况分析。</w:t>
      </w:r>
      <w:r>
        <w:rPr>
          <w:rFonts w:hint="eastAsia" w:ascii="Times New Roman" w:hAnsi="Times New Roman" w:eastAsia="仿宋_GB2312"/>
          <w:sz w:val="32"/>
          <w:szCs w:val="32"/>
        </w:rPr>
        <w:t>公众满意度为满意。</w:t>
      </w:r>
    </w:p>
    <w:p>
      <w:pPr>
        <w:pStyle w:val="2"/>
        <w:spacing w:before="93" w:beforeLines="0"/>
        <w:rPr>
          <w:sz w:val="32"/>
          <w:szCs w:val="32"/>
        </w:rPr>
      </w:pPr>
      <w:r>
        <w:rPr>
          <w:rFonts w:hint="eastAsia"/>
        </w:rPr>
        <w:t xml:space="preserve">    </w:t>
      </w:r>
      <w:r>
        <w:rPr>
          <w:rFonts w:hint="eastAsia"/>
          <w:sz w:val="32"/>
          <w:szCs w:val="32"/>
        </w:rPr>
        <w:t>项目全年执行进度达100%，没有资金结余，支付过程较为及时，无违规记录，能够及时完成各项目标。</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（二）项目效益情况。</w:t>
      </w:r>
    </w:p>
    <w:p>
      <w:pPr>
        <w:spacing w:line="600" w:lineRule="exact"/>
        <w:ind w:firstLine="645"/>
        <w:rPr>
          <w:rFonts w:ascii="仿宋_GB2312" w:eastAsia="仿宋_GB2312"/>
          <w:sz w:val="32"/>
          <w:szCs w:val="32"/>
        </w:rPr>
      </w:pPr>
      <w:r>
        <w:rPr>
          <w:rFonts w:hint="eastAsia" w:ascii="仿宋_GB2312" w:eastAsia="仿宋_GB2312"/>
          <w:sz w:val="32"/>
          <w:szCs w:val="32"/>
        </w:rPr>
        <w:t>1.房</w:t>
      </w:r>
      <w:r>
        <w:rPr>
          <w:rFonts w:ascii="仿宋_GB2312" w:eastAsia="仿宋_GB2312"/>
          <w:sz w:val="32"/>
          <w:szCs w:val="32"/>
        </w:rPr>
        <w:t>地产</w:t>
      </w:r>
      <w:r>
        <w:rPr>
          <w:rFonts w:hint="eastAsia" w:ascii="仿宋_GB2312" w:eastAsia="仿宋_GB2312"/>
          <w:sz w:val="32"/>
          <w:szCs w:val="32"/>
        </w:rPr>
        <w:t>市场监控</w:t>
      </w:r>
      <w:r>
        <w:rPr>
          <w:rFonts w:ascii="仿宋_GB2312" w:eastAsia="仿宋_GB2312"/>
          <w:sz w:val="32"/>
          <w:szCs w:val="32"/>
        </w:rPr>
        <w:t>，为领导决策提供数据支</w:t>
      </w:r>
      <w:r>
        <w:rPr>
          <w:rFonts w:hint="eastAsia" w:ascii="仿宋_GB2312" w:eastAsia="仿宋_GB2312"/>
          <w:sz w:val="32"/>
          <w:szCs w:val="32"/>
        </w:rPr>
        <w:t>撑</w:t>
      </w:r>
      <w:r>
        <w:rPr>
          <w:rFonts w:ascii="仿宋_GB2312" w:eastAsia="仿宋_GB2312"/>
          <w:sz w:val="32"/>
          <w:szCs w:val="32"/>
        </w:rPr>
        <w:t>。</w:t>
      </w:r>
    </w:p>
    <w:p>
      <w:pPr>
        <w:spacing w:line="600" w:lineRule="exact"/>
        <w:ind w:firstLine="645"/>
        <w:rPr>
          <w:rFonts w:ascii="仿宋_GB2312" w:eastAsia="仿宋_GB2312"/>
          <w:sz w:val="32"/>
          <w:szCs w:val="32"/>
        </w:rPr>
      </w:pPr>
      <w:r>
        <w:rPr>
          <w:rFonts w:hint="eastAsia" w:ascii="仿宋_GB2312" w:eastAsia="仿宋_GB2312"/>
          <w:sz w:val="32"/>
          <w:szCs w:val="32"/>
        </w:rPr>
        <w:t>加快城市房地产市场信息平台和预警预报体系的建设具有重要的现实意义，通过系统建设，可以获得用于房地产市场分析和需求预测的基础数据，能够正确分析房地产市场运行规迹，并预测其发展趋势，达到控制规模、调整结构、消化空置的目的；可以判断房地产运行状况，过热和衰退的程度。同时，通过各项敏感性预警指标的定期监测和分析，把握各项指标变化的动态趋势，进行政策跟踪和反馈，从中发现问题，及时预警；可以为市场信息指标数据的公开披露提供依据，建立房地产市场信息定期发布制度，及时、准确地向全社会公布市场的各项指标数据</w:t>
      </w:r>
      <w:r>
        <w:rPr>
          <w:rFonts w:ascii="仿宋_GB2312" w:eastAsia="仿宋_GB2312"/>
          <w:sz w:val="32"/>
          <w:szCs w:val="32"/>
        </w:rPr>
        <w:t>,引导理</w:t>
      </w:r>
      <w:r>
        <w:rPr>
          <w:rFonts w:hint="eastAsia" w:ascii="仿宋_GB2312" w:eastAsia="仿宋_GB2312"/>
          <w:sz w:val="32"/>
          <w:szCs w:val="32"/>
        </w:rPr>
        <w:t>性投资和消费。总之，房地产市场信息系统和预警预报体系对提高房地产管理部门监管能力、工作效率和公共服务水平，带动整个房地产领域信息化，打造“服务型政府”，促进房地产市场健康持续稳定发展，调控房地产，树立科学发展观，构建和谐地产、构建和谐社会等具有重要意义。</w:t>
      </w:r>
    </w:p>
    <w:p>
      <w:pPr>
        <w:spacing w:line="600" w:lineRule="exact"/>
        <w:ind w:firstLine="645"/>
        <w:rPr>
          <w:rFonts w:ascii="仿宋_GB2312" w:eastAsia="仿宋_GB2312"/>
          <w:kern w:val="0"/>
          <w:sz w:val="32"/>
          <w:szCs w:val="32"/>
        </w:rPr>
      </w:pPr>
      <w:r>
        <w:rPr>
          <w:rFonts w:hint="eastAsia" w:ascii="仿宋_GB2312" w:eastAsia="仿宋_GB2312"/>
          <w:kern w:val="0"/>
          <w:sz w:val="32"/>
          <w:szCs w:val="32"/>
        </w:rPr>
        <w:t>2.提高政府服务效能，减少</w:t>
      </w:r>
      <w:r>
        <w:rPr>
          <w:rFonts w:ascii="仿宋_GB2312" w:eastAsia="仿宋_GB2312"/>
          <w:kern w:val="0"/>
          <w:sz w:val="32"/>
          <w:szCs w:val="32"/>
        </w:rPr>
        <w:t>群众</w:t>
      </w:r>
      <w:r>
        <w:rPr>
          <w:rFonts w:hint="eastAsia" w:ascii="仿宋_GB2312" w:eastAsia="仿宋_GB2312"/>
          <w:kern w:val="0"/>
          <w:sz w:val="32"/>
          <w:szCs w:val="32"/>
        </w:rPr>
        <w:t>重复</w:t>
      </w:r>
      <w:r>
        <w:rPr>
          <w:rFonts w:ascii="仿宋_GB2312" w:eastAsia="仿宋_GB2312"/>
          <w:kern w:val="0"/>
          <w:sz w:val="32"/>
          <w:szCs w:val="32"/>
        </w:rPr>
        <w:t>提交</w:t>
      </w:r>
      <w:r>
        <w:rPr>
          <w:rFonts w:hint="eastAsia" w:ascii="仿宋_GB2312" w:eastAsia="仿宋_GB2312"/>
          <w:kern w:val="0"/>
          <w:sz w:val="32"/>
          <w:szCs w:val="32"/>
        </w:rPr>
        <w:t>多</w:t>
      </w:r>
      <w:r>
        <w:rPr>
          <w:rFonts w:ascii="仿宋_GB2312" w:eastAsia="仿宋_GB2312"/>
          <w:kern w:val="0"/>
          <w:sz w:val="32"/>
          <w:szCs w:val="32"/>
        </w:rPr>
        <w:t>头</w:t>
      </w:r>
      <w:r>
        <w:rPr>
          <w:rFonts w:hint="eastAsia" w:ascii="仿宋_GB2312" w:eastAsia="仿宋_GB2312"/>
          <w:kern w:val="0"/>
          <w:sz w:val="32"/>
          <w:szCs w:val="32"/>
        </w:rPr>
        <w:t>资料</w:t>
      </w:r>
      <w:r>
        <w:rPr>
          <w:rFonts w:ascii="仿宋_GB2312" w:eastAsia="仿宋_GB2312"/>
          <w:kern w:val="0"/>
          <w:sz w:val="32"/>
          <w:szCs w:val="32"/>
        </w:rPr>
        <w:t>。</w:t>
      </w:r>
    </w:p>
    <w:p>
      <w:pPr>
        <w:spacing w:line="600" w:lineRule="exact"/>
        <w:ind w:firstLine="645"/>
        <w:rPr>
          <w:rFonts w:ascii="仿宋_GB2312" w:eastAsia="仿宋_GB2312"/>
          <w:sz w:val="32"/>
          <w:szCs w:val="32"/>
        </w:rPr>
      </w:pPr>
      <w:r>
        <w:rPr>
          <w:rFonts w:hint="eastAsia" w:ascii="仿宋_GB2312" w:eastAsia="仿宋_GB2312" w:cs="仿宋_GB2312"/>
          <w:sz w:val="32"/>
          <w:szCs w:val="32"/>
        </w:rPr>
        <w:t>为深入贯彻落实党的十九大精神，</w:t>
      </w:r>
      <w:r>
        <w:rPr>
          <w:rFonts w:hint="eastAsia" w:ascii="仿宋_GB2312" w:eastAsia="仿宋_GB2312"/>
          <w:sz w:val="32"/>
          <w:szCs w:val="32"/>
        </w:rPr>
        <w:t>严格执行《优化营商环境条例》，</w:t>
      </w:r>
      <w:r>
        <w:rPr>
          <w:rFonts w:hint="eastAsia" w:ascii="仿宋_GB2312" w:eastAsia="仿宋_GB2312"/>
          <w:kern w:val="0"/>
          <w:sz w:val="32"/>
          <w:szCs w:val="32"/>
        </w:rPr>
        <w:t>推动房地产领域“放管服”改革，提高房屋交易管理服务效能，向各类房地产市场主体提供规范化、标准化、便捷化的服务，通过先行先试，推行房屋产权交易业务与省</w:t>
      </w:r>
      <w:r>
        <w:rPr>
          <w:rFonts w:ascii="仿宋_GB2312" w:eastAsia="仿宋_GB2312"/>
          <w:kern w:val="0"/>
          <w:sz w:val="32"/>
          <w:szCs w:val="32"/>
        </w:rPr>
        <w:t>市政</w:t>
      </w:r>
      <w:r>
        <w:rPr>
          <w:rFonts w:hint="eastAsia" w:ascii="仿宋_GB2312" w:eastAsia="仿宋_GB2312"/>
          <w:kern w:val="0"/>
          <w:sz w:val="32"/>
          <w:szCs w:val="32"/>
        </w:rPr>
        <w:t>务</w:t>
      </w:r>
      <w:r>
        <w:rPr>
          <w:rFonts w:ascii="仿宋_GB2312" w:eastAsia="仿宋_GB2312"/>
          <w:kern w:val="0"/>
          <w:sz w:val="32"/>
          <w:szCs w:val="32"/>
        </w:rPr>
        <w:t>一体化</w:t>
      </w:r>
      <w:r>
        <w:rPr>
          <w:rFonts w:hint="eastAsia" w:ascii="仿宋_GB2312" w:eastAsia="仿宋_GB2312"/>
          <w:kern w:val="0"/>
          <w:sz w:val="32"/>
          <w:szCs w:val="32"/>
        </w:rPr>
        <w:t>系统</w:t>
      </w:r>
      <w:r>
        <w:rPr>
          <w:rFonts w:ascii="仿宋_GB2312" w:eastAsia="仿宋_GB2312"/>
          <w:kern w:val="0"/>
          <w:sz w:val="32"/>
          <w:szCs w:val="32"/>
        </w:rPr>
        <w:t>进行无缝对接</w:t>
      </w:r>
      <w:r>
        <w:rPr>
          <w:rFonts w:hint="eastAsia" w:ascii="仿宋_GB2312" w:eastAsia="仿宋_GB2312"/>
          <w:kern w:val="0"/>
          <w:sz w:val="32"/>
          <w:szCs w:val="32"/>
        </w:rPr>
        <w:t>，</w:t>
      </w:r>
      <w:r>
        <w:rPr>
          <w:rFonts w:hint="eastAsia" w:ascii="仿宋_GB2312" w:eastAsia="仿宋_GB2312"/>
          <w:sz w:val="32"/>
          <w:szCs w:val="32"/>
        </w:rPr>
        <w:t>让“数据多跑路，群众少跑腿”，</w:t>
      </w:r>
      <w:r>
        <w:rPr>
          <w:rFonts w:hint="eastAsia" w:ascii="仿宋_GB2312" w:eastAsia="仿宋_GB2312"/>
          <w:kern w:val="0"/>
          <w:sz w:val="32"/>
          <w:szCs w:val="32"/>
        </w:rPr>
        <w:t>方便交易主体就近办理、当场办结。</w:t>
      </w:r>
    </w:p>
    <w:p>
      <w:pPr>
        <w:adjustRightInd w:val="0"/>
        <w:snapToGrid w:val="0"/>
        <w:spacing w:line="600" w:lineRule="exact"/>
        <w:ind w:firstLine="720"/>
        <w:rPr>
          <w:rFonts w:ascii="黑体" w:eastAsia="黑体"/>
          <w:sz w:val="32"/>
          <w:szCs w:val="32"/>
        </w:rPr>
      </w:pPr>
      <w:r>
        <w:rPr>
          <w:rFonts w:hint="eastAsia" w:ascii="黑体" w:eastAsia="黑体"/>
          <w:sz w:val="32"/>
          <w:szCs w:val="32"/>
        </w:rPr>
        <w:t>五、评价结论及建议</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（一）评价结论。</w:t>
      </w:r>
    </w:p>
    <w:p>
      <w:pPr>
        <w:adjustRightInd w:val="0"/>
        <w:snapToGrid w:val="0"/>
        <w:spacing w:line="600" w:lineRule="exact"/>
        <w:ind w:firstLine="720"/>
        <w:rPr>
          <w:rFonts w:eastAsia="仿宋_GB2312"/>
          <w:sz w:val="32"/>
          <w:szCs w:val="32"/>
        </w:rPr>
      </w:pPr>
      <w:r>
        <w:rPr>
          <w:rFonts w:hint="eastAsia" w:eastAsia="仿宋_GB2312"/>
          <w:sz w:val="32"/>
          <w:szCs w:val="32"/>
        </w:rPr>
        <w:t>综合前述评价内容来看，该项目立项必要、依据充分，绩效目标明确，具备实施条件，具有公共性，符合财政资金支持方向。</w:t>
      </w:r>
    </w:p>
    <w:p>
      <w:pPr>
        <w:pStyle w:val="2"/>
        <w:spacing w:before="93" w:beforeLines="0"/>
        <w:ind w:left="420" w:leftChars="200" w:firstLine="321" w:firstLineChars="100"/>
        <w:rPr>
          <w:rFonts w:ascii="楷体_GB2312" w:eastAsia="楷体_GB2312"/>
          <w:b/>
          <w:sz w:val="32"/>
          <w:szCs w:val="32"/>
          <w:lang w:val="zh-CN"/>
        </w:rPr>
      </w:pPr>
      <w:r>
        <w:rPr>
          <w:rFonts w:hint="eastAsia" w:ascii="楷体_GB2312" w:eastAsia="楷体_GB2312"/>
          <w:b/>
          <w:sz w:val="32"/>
          <w:szCs w:val="32"/>
          <w:lang w:val="zh-CN"/>
        </w:rPr>
        <w:t>（二）存在的问题。</w:t>
      </w:r>
    </w:p>
    <w:p>
      <w:pPr>
        <w:pStyle w:val="2"/>
        <w:spacing w:before="93" w:beforeLines="0"/>
        <w:ind w:firstLine="640" w:firstLineChars="200"/>
        <w:rPr>
          <w:sz w:val="32"/>
          <w:szCs w:val="32"/>
        </w:rPr>
      </w:pPr>
      <w:r>
        <w:rPr>
          <w:rFonts w:hint="eastAsia"/>
          <w:sz w:val="32"/>
          <w:szCs w:val="32"/>
        </w:rPr>
        <w:t>还需继续加强运行监控，保障项目实施进度合理，加大资金使用效率，提升绩效管理水平。</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（三）相关建议。</w:t>
      </w:r>
    </w:p>
    <w:p>
      <w:pPr>
        <w:adjustRightInd w:val="0"/>
        <w:snapToGrid w:val="0"/>
        <w:spacing w:line="600" w:lineRule="exact"/>
        <w:ind w:firstLine="720"/>
        <w:rPr>
          <w:rFonts w:eastAsia="仿宋_GB2312"/>
          <w:sz w:val="32"/>
          <w:szCs w:val="32"/>
        </w:rPr>
      </w:pPr>
      <w:r>
        <w:rPr>
          <w:rFonts w:hint="eastAsia" w:ascii="仿宋_GB2312" w:eastAsia="仿宋_GB2312"/>
          <w:sz w:val="32"/>
          <w:szCs w:val="32"/>
          <w:lang w:val="zh-CN"/>
        </w:rPr>
        <w:t>尽力申请将该项目纳入年初预算批复，保障资金实施到位。</w:t>
      </w:r>
      <w:r>
        <w:rPr>
          <w:rFonts w:hint="eastAsia" w:eastAsia="仿宋_GB2312"/>
          <w:sz w:val="32"/>
          <w:szCs w:val="32"/>
        </w:rPr>
        <w:t>加强运行监控，节约财政资金并提升资金效益，提升预算绩效管理水平</w:t>
      </w:r>
    </w:p>
    <w:tbl>
      <w:tblPr>
        <w:tblStyle w:val="15"/>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pStyle w:val="2"/>
              <w:spacing w:before="93" w:beforeLines="0"/>
              <w:jc w:val="center"/>
              <w:rPr>
                <w:rFonts w:ascii="宋体" w:hAnsi="宋体" w:cs="宋体"/>
                <w:b/>
                <w:sz w:val="32"/>
                <w:szCs w:val="32"/>
              </w:rPr>
            </w:pPr>
            <w:r>
              <w:rPr>
                <w:rFonts w:hint="eastAsia" w:ascii="宋体" w:hAnsi="宋体" w:cs="宋体"/>
                <w:b/>
                <w:sz w:val="32"/>
                <w:szCs w:val="32"/>
              </w:rPr>
              <w:t>2021年50万元以上（含）特定目标类部门预算项目绩效目标自评</w:t>
            </w:r>
          </w:p>
          <w:p>
            <w:pPr>
              <w:pStyle w:val="2"/>
              <w:spacing w:before="93" w:beforeLines="0"/>
              <w:jc w:val="center"/>
              <w:rPr>
                <w:rFonts w:ascii="宋体" w:eastAsia="宋体"/>
              </w:rPr>
            </w:pPr>
            <w:r>
              <w:rPr>
                <w:rFonts w:hint="eastAsia" w:ascii="宋体" w:eastAsia="宋体" w:cs="宋体"/>
                <w:b/>
                <w:sz w:val="32"/>
                <w:szCs w:val="32"/>
              </w:rPr>
              <w:t>（房地产市场信息平台运行维护费）</w:t>
            </w:r>
          </w:p>
        </w:tc>
        <w:tc>
          <w:tcPr>
            <w:tcW w:w="236" w:type="dxa"/>
            <w:tcBorders>
              <w:top w:val="nil"/>
              <w:left w:val="nil"/>
              <w:bottom w:val="nil"/>
              <w:right w:val="nil"/>
            </w:tcBorders>
            <w:shd w:val="clear" w:color="auto" w:fill="auto"/>
            <w:vAlign w:val="center"/>
          </w:tcPr>
          <w:p>
            <w:pPr>
              <w:widowControl/>
              <w:jc w:val="center"/>
              <w:textAlignment w:val="center"/>
              <w:rPr>
                <w:rFonts w:ascii="宋体" w:cs="宋体"/>
                <w:b/>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宋体"/>
                <w:sz w:val="24"/>
              </w:rPr>
            </w:pPr>
            <w:r>
              <w:rPr>
                <w:rFonts w:hint="eastAsia" w:asci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cs="宋体"/>
                <w:sz w:val="24"/>
              </w:rPr>
            </w:pPr>
            <w:r>
              <w:rPr>
                <w:rFonts w:hint="eastAsia" w:ascii="宋体" w:cs="宋体"/>
                <w:sz w:val="24"/>
              </w:rPr>
              <w:t>攀枝花市住房和城乡建设局  801001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宋体"/>
                <w:sz w:val="24"/>
              </w:rPr>
            </w:pPr>
            <w:r>
              <w:rPr>
                <w:rFonts w:hint="eastAsia" w:asci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宋体"/>
                <w:sz w:val="24"/>
              </w:rPr>
            </w:pPr>
            <w:r>
              <w:rPr>
                <w:rFonts w:hint="eastAsia" w:ascii="宋体" w:cs="宋体"/>
                <w:sz w:val="24"/>
              </w:rPr>
              <w:t>攀枝花市房地产事务中心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宋体"/>
                <w:kern w:val="0"/>
                <w:sz w:val="24"/>
              </w:rPr>
            </w:pPr>
            <w:r>
              <w:rPr>
                <w:rFonts w:hint="eastAsia" w:ascii="宋体" w:cs="宋体"/>
                <w:kern w:val="0"/>
                <w:sz w:val="24"/>
              </w:rPr>
              <w:t>项目预算</w:t>
            </w:r>
          </w:p>
          <w:p>
            <w:pPr>
              <w:widowControl/>
              <w:spacing w:line="320" w:lineRule="exact"/>
              <w:jc w:val="center"/>
              <w:textAlignment w:val="center"/>
              <w:rPr>
                <w:rFonts w:ascii="宋体" w:cs="宋体"/>
                <w:kern w:val="0"/>
                <w:sz w:val="24"/>
              </w:rPr>
            </w:pPr>
            <w:r>
              <w:rPr>
                <w:rFonts w:hint="eastAsia" w:ascii="宋体" w:cs="宋体"/>
                <w:kern w:val="0"/>
                <w:sz w:val="24"/>
              </w:rPr>
              <w:t>执行情况</w:t>
            </w:r>
          </w:p>
          <w:p>
            <w:pPr>
              <w:widowControl/>
              <w:spacing w:line="320" w:lineRule="exact"/>
              <w:jc w:val="center"/>
              <w:textAlignment w:val="center"/>
              <w:rPr>
                <w:rFonts w:ascii="宋体" w:cs="宋体"/>
                <w:sz w:val="24"/>
              </w:rPr>
            </w:pPr>
            <w:r>
              <w:rPr>
                <w:rFonts w:hint="eastAsia" w:asci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sz w:val="24"/>
              </w:rPr>
            </w:pPr>
            <w:r>
              <w:rPr>
                <w:rFonts w:hint="eastAsia" w:asci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sz w:val="24"/>
              </w:rPr>
            </w:pPr>
            <w:r>
              <w:rPr>
                <w:rFonts w:hint="eastAsia" w:ascii="宋体" w:cs="宋体"/>
                <w:sz w:val="24"/>
              </w:rPr>
              <w:t>50.71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sz w:val="24"/>
              </w:rPr>
            </w:pPr>
            <w:r>
              <w:rPr>
                <w:rFonts w:hint="eastAsia" w:asci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宋体"/>
                <w:sz w:val="24"/>
              </w:rPr>
            </w:pPr>
            <w:r>
              <w:rPr>
                <w:rFonts w:hint="eastAsia" w:ascii="宋体" w:cs="宋体"/>
                <w:sz w:val="24"/>
              </w:rPr>
              <w:t>50.71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kern w:val="0"/>
                <w:sz w:val="24"/>
              </w:rPr>
            </w:pPr>
            <w:r>
              <w:rPr>
                <w:rFonts w:hint="eastAsia" w:ascii="宋体" w:cs="宋体"/>
                <w:kern w:val="0"/>
                <w:sz w:val="24"/>
              </w:rPr>
              <w:t>其中：</w:t>
            </w:r>
          </w:p>
          <w:p>
            <w:pPr>
              <w:widowControl/>
              <w:spacing w:line="320" w:lineRule="exact"/>
              <w:jc w:val="left"/>
              <w:textAlignment w:val="center"/>
              <w:rPr>
                <w:rFonts w:ascii="宋体" w:cs="宋体"/>
                <w:sz w:val="24"/>
              </w:rPr>
            </w:pPr>
            <w:r>
              <w:rPr>
                <w:rFonts w:hint="eastAsia" w:asci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sz w:val="24"/>
              </w:rPr>
            </w:pPr>
            <w:r>
              <w:rPr>
                <w:rFonts w:hint="eastAsia" w:ascii="宋体" w:cs="宋体"/>
                <w:sz w:val="24"/>
              </w:rPr>
              <w:t>50.71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kern w:val="0"/>
                <w:sz w:val="24"/>
              </w:rPr>
            </w:pPr>
            <w:r>
              <w:rPr>
                <w:rFonts w:hint="eastAsia" w:ascii="宋体" w:cs="宋体"/>
                <w:kern w:val="0"/>
                <w:sz w:val="24"/>
              </w:rPr>
              <w:t>其中：</w:t>
            </w:r>
          </w:p>
          <w:p>
            <w:pPr>
              <w:widowControl/>
              <w:spacing w:line="320" w:lineRule="exact"/>
              <w:jc w:val="left"/>
              <w:textAlignment w:val="center"/>
              <w:rPr>
                <w:rFonts w:ascii="宋体" w:cs="宋体"/>
                <w:sz w:val="24"/>
              </w:rPr>
            </w:pPr>
            <w:r>
              <w:rPr>
                <w:rFonts w:hint="eastAsia" w:asci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cs="宋体"/>
                <w:sz w:val="24"/>
              </w:rPr>
            </w:pPr>
            <w:r>
              <w:rPr>
                <w:rFonts w:hint="eastAsia" w:ascii="宋体" w:cs="宋体"/>
                <w:sz w:val="24"/>
              </w:rPr>
              <w:t>50.71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sz w:val="24"/>
              </w:rPr>
            </w:pPr>
            <w:r>
              <w:rPr>
                <w:rFonts w:hint="eastAsia" w:asci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377"/>
              <w:jc w:val="left"/>
              <w:textAlignment w:val="center"/>
              <w:rPr>
                <w:rFonts w:ascii="宋体" w:cs="宋体"/>
                <w:sz w:val="24"/>
              </w:rPr>
            </w:pPr>
            <w:r>
              <w:rPr>
                <w:rFonts w:hint="eastAsia" w:ascii="宋体" w:cs="宋体"/>
                <w:sz w:val="24"/>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sz w:val="24"/>
              </w:rPr>
            </w:pPr>
            <w:r>
              <w:rPr>
                <w:rFonts w:hint="eastAsia" w:asci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宋体"/>
                <w:sz w:val="24"/>
              </w:rPr>
            </w:pPr>
            <w:r>
              <w:rPr>
                <w:rFonts w:hint="eastAsia" w:ascii="宋体" w:cs="宋体"/>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宋体"/>
                <w:kern w:val="0"/>
                <w:sz w:val="24"/>
              </w:rPr>
            </w:pPr>
            <w:r>
              <w:rPr>
                <w:rFonts w:hint="eastAsia" w:ascii="宋体" w:cs="宋体"/>
                <w:kern w:val="0"/>
                <w:sz w:val="24"/>
              </w:rPr>
              <w:t>年度总体目标</w:t>
            </w:r>
          </w:p>
          <w:p>
            <w:pPr>
              <w:widowControl/>
              <w:spacing w:line="320" w:lineRule="exact"/>
              <w:jc w:val="center"/>
              <w:textAlignment w:val="center"/>
              <w:rPr>
                <w:rFonts w:ascii="宋体" w:cs="宋体"/>
                <w:sz w:val="24"/>
              </w:rPr>
            </w:pPr>
            <w:r>
              <w:rPr>
                <w:rFonts w:hint="eastAsia" w:asci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宋体"/>
                <w:sz w:val="24"/>
              </w:rPr>
            </w:pPr>
            <w:r>
              <w:rPr>
                <w:rFonts w:hint="eastAsia" w:asci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宋体"/>
                <w:sz w:val="24"/>
              </w:rPr>
            </w:pPr>
            <w:r>
              <w:rPr>
                <w:rFonts w:hint="eastAsia" w:ascii="宋体" w:cs="宋体"/>
                <w:kern w:val="0"/>
                <w:sz w:val="24"/>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80"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top"/>
              <w:rPr>
                <w:rFonts w:ascii="仿宋_GB2312" w:eastAsia="仿宋_GB2312" w:cs="仿宋_GB2312"/>
                <w:kern w:val="0"/>
                <w:sz w:val="28"/>
                <w:szCs w:val="28"/>
              </w:rPr>
            </w:pPr>
            <w:r>
              <w:rPr>
                <w:rFonts w:hint="eastAsia" w:ascii="仿宋_GB2312" w:eastAsia="仿宋_GB2312" w:cs="仿宋_GB2312"/>
                <w:kern w:val="0"/>
                <w:sz w:val="28"/>
                <w:szCs w:val="28"/>
              </w:rPr>
              <w:t>本项目的主要内容是通过计算机信息网络技术、系统集成技术和信息安全技术，实现省、市两级房地产市场信息平台互联互通；</w:t>
            </w:r>
          </w:p>
          <w:p>
            <w:pPr>
              <w:widowControl/>
              <w:spacing w:line="320" w:lineRule="exact"/>
              <w:jc w:val="center"/>
              <w:textAlignment w:val="top"/>
              <w:rPr>
                <w:rFonts w:ascii="宋体" w:cs="宋体"/>
                <w:sz w:val="24"/>
              </w:rPr>
            </w:pPr>
            <w:r>
              <w:rPr>
                <w:rFonts w:hint="eastAsia" w:ascii="仿宋_GB2312" w:eastAsia="仿宋_GB2312" w:cs="仿宋_GB2312"/>
                <w:kern w:val="0"/>
                <w:sz w:val="28"/>
                <w:szCs w:val="28"/>
              </w:rPr>
              <w:t>实现全市与所辖各区、县联网，统一使用一套业务系统，建立一个数据中心，统一存放数据；</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top"/>
              <w:rPr>
                <w:rFonts w:ascii="仿宋_GB2312" w:eastAsia="仿宋_GB2312" w:cs="仿宋_GB2312"/>
                <w:kern w:val="0"/>
                <w:sz w:val="28"/>
                <w:szCs w:val="28"/>
              </w:rPr>
            </w:pPr>
            <w:r>
              <w:rPr>
                <w:rFonts w:hint="eastAsia" w:ascii="仿宋_GB2312" w:eastAsia="仿宋_GB2312" w:cs="仿宋_GB2312"/>
                <w:kern w:val="0"/>
                <w:sz w:val="28"/>
                <w:szCs w:val="28"/>
              </w:rPr>
              <w:t>本项目的主要内容是通过计算机信息网络技术、系统集成技术和信息安全技术，实现省、市两级房地产市场信息平台互联互通；</w:t>
            </w:r>
          </w:p>
          <w:p>
            <w:pPr>
              <w:widowControl/>
              <w:spacing w:line="320" w:lineRule="exact"/>
              <w:jc w:val="center"/>
              <w:textAlignment w:val="top"/>
              <w:rPr>
                <w:rFonts w:ascii="宋体" w:cs="宋体"/>
                <w:sz w:val="24"/>
              </w:rPr>
            </w:pPr>
            <w:r>
              <w:rPr>
                <w:rFonts w:hint="eastAsia" w:ascii="仿宋_GB2312" w:eastAsia="仿宋_GB2312" w:cs="仿宋_GB2312"/>
                <w:kern w:val="0"/>
                <w:sz w:val="28"/>
                <w:szCs w:val="28"/>
              </w:rPr>
              <w:t>实现全市与所辖各区、县联网，统一使用一套业务系统，建立一个数据中心，统一存放数据；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6" w:type="dxa"/>
          <w:trHeight w:val="625"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eastAsia="仿宋_GB2312" w:cs="仿宋_GB2312"/>
                <w:kern w:val="0"/>
                <w:sz w:val="28"/>
                <w:szCs w:val="28"/>
              </w:rPr>
            </w:pPr>
            <w:r>
              <w:rPr>
                <w:rFonts w:hint="eastAsia" w:ascii="仿宋_GB2312" w:eastAsia="仿宋_GB2312" w:cs="仿宋_GB2312"/>
                <w:kern w:val="0"/>
                <w:sz w:val="28"/>
                <w:szCs w:val="28"/>
              </w:rPr>
              <w:t>一级</w:t>
            </w:r>
          </w:p>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eastAsia="仿宋_GB2312" w:cs="仿宋_GB2312"/>
                <w:kern w:val="0"/>
                <w:sz w:val="28"/>
                <w:szCs w:val="28"/>
              </w:rPr>
            </w:pPr>
            <w:r>
              <w:rPr>
                <w:rFonts w:hint="eastAsia" w:ascii="仿宋_GB2312" w:eastAsia="仿宋_GB2312" w:cs="仿宋_GB2312"/>
                <w:kern w:val="0"/>
                <w:sz w:val="28"/>
                <w:szCs w:val="28"/>
              </w:rPr>
              <w:t>二级</w:t>
            </w:r>
          </w:p>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eastAsia="仿宋_GB2312" w:cs="仿宋_GB2312"/>
                <w:kern w:val="0"/>
                <w:sz w:val="28"/>
                <w:szCs w:val="28"/>
              </w:rPr>
            </w:pPr>
            <w:r>
              <w:rPr>
                <w:rFonts w:hint="eastAsia" w:ascii="仿宋_GB2312" w:eastAsia="仿宋_GB2312" w:cs="仿宋_GB2312"/>
                <w:kern w:val="0"/>
                <w:sz w:val="28"/>
                <w:szCs w:val="28"/>
              </w:rPr>
              <w:t>三级</w:t>
            </w:r>
          </w:p>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eastAsia="仿宋_GB2312" w:cs="仿宋_GB2312"/>
                <w:kern w:val="0"/>
                <w:sz w:val="28"/>
                <w:szCs w:val="28"/>
              </w:rPr>
            </w:pPr>
            <w:r>
              <w:rPr>
                <w:rFonts w:hint="eastAsia" w:ascii="仿宋_GB2312" w:eastAsia="仿宋_GB2312" w:cs="仿宋_GB2312"/>
                <w:kern w:val="0"/>
                <w:sz w:val="28"/>
                <w:szCs w:val="28"/>
              </w:rPr>
              <w:t>完成</w:t>
            </w:r>
          </w:p>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sz w:val="28"/>
                <w:szCs w:val="28"/>
              </w:rPr>
            </w:pPr>
            <w:r>
              <w:rPr>
                <w:rFonts w:hint="eastAsia" w:ascii="宋体" w:cs="宋体"/>
                <w:color w:val="000000"/>
                <w:kern w:val="0"/>
                <w:sz w:val="24"/>
              </w:rPr>
              <w:t>管理服务器台数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sz w:val="28"/>
                <w:szCs w:val="28"/>
              </w:rPr>
            </w:pPr>
            <w:r>
              <w:rPr>
                <w:rFonts w:hint="eastAsia" w:ascii="宋体" w:cs="宋体"/>
                <w:color w:val="000000"/>
                <w:kern w:val="0"/>
                <w:sz w:val="24"/>
              </w:rPr>
              <w:t>22台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sz w:val="28"/>
                <w:szCs w:val="28"/>
              </w:rPr>
            </w:pPr>
            <w:r>
              <w:rPr>
                <w:rFonts w:hint="eastAsia" w:ascii="宋体" w:cs="宋体"/>
                <w:color w:val="000000"/>
                <w:kern w:val="0"/>
                <w:sz w:val="24"/>
              </w:rPr>
              <w:t>管理服务器台数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sz w:val="28"/>
                <w:szCs w:val="28"/>
              </w:rPr>
            </w:pPr>
            <w:r>
              <w:rPr>
                <w:rFonts w:hint="eastAsia" w:ascii="宋体" w:cs="宋体"/>
                <w:color w:val="000000"/>
                <w:kern w:val="0"/>
                <w:sz w:val="24"/>
              </w:rPr>
              <w:t>运行要求</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sz w:val="28"/>
                <w:szCs w:val="28"/>
              </w:rPr>
            </w:pPr>
            <w:r>
              <w:rPr>
                <w:rFonts w:hint="eastAsia" w:ascii="宋体" w:cs="宋体"/>
                <w:color w:val="000000"/>
                <w:kern w:val="0"/>
                <w:sz w:val="24"/>
              </w:rPr>
              <w:t>保障房地产市场信息平台</w:t>
            </w:r>
            <w:r>
              <w:rPr>
                <w:rStyle w:val="28"/>
              </w:rPr>
              <w:t>7*24</w:t>
            </w:r>
            <w:r>
              <w:rPr>
                <w:rStyle w:val="29"/>
              </w:rPr>
              <w:t>小时稳定运行</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sz w:val="28"/>
                <w:szCs w:val="28"/>
              </w:rPr>
            </w:pPr>
            <w:r>
              <w:rPr>
                <w:rFonts w:hint="eastAsia" w:ascii="宋体" w:cs="宋体"/>
                <w:color w:val="000000"/>
                <w:kern w:val="0"/>
                <w:sz w:val="24"/>
              </w:rPr>
              <w:t>运行要求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cs="仿宋_GB2312"/>
                <w:sz w:val="28"/>
                <w:szCs w:val="28"/>
              </w:rPr>
            </w:pPr>
            <w:r>
              <w:rPr>
                <w:rFonts w:hint="eastAsia" w:ascii="宋体" w:cs="宋体"/>
                <w:color w:val="000000"/>
                <w:kern w:val="0"/>
                <w:sz w:val="24"/>
              </w:rPr>
              <w:t>支付时间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cs="仿宋_GB2312"/>
                <w:sz w:val="28"/>
                <w:szCs w:val="28"/>
              </w:rPr>
            </w:pPr>
            <w:r>
              <w:rPr>
                <w:rFonts w:hint="eastAsia" w:ascii="宋体" w:cs="宋体"/>
                <w:color w:val="000000"/>
                <w:kern w:val="0"/>
                <w:sz w:val="24"/>
              </w:rPr>
              <w:t>12月</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cs="仿宋_GB2312"/>
                <w:sz w:val="28"/>
                <w:szCs w:val="28"/>
              </w:rPr>
            </w:pPr>
            <w:r>
              <w:rPr>
                <w:rFonts w:hint="eastAsia" w:ascii="宋体" w:cs="宋体"/>
                <w:color w:val="000000"/>
                <w:kern w:val="0"/>
                <w:sz w:val="24"/>
              </w:rPr>
              <w:t>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sz w:val="28"/>
                <w:szCs w:val="28"/>
              </w:rPr>
            </w:pPr>
            <w:r>
              <w:rPr>
                <w:rFonts w:hint="eastAsia" w:ascii="宋体" w:cs="宋体"/>
                <w:color w:val="000000"/>
                <w:kern w:val="0"/>
                <w:sz w:val="24"/>
              </w:rPr>
              <w:t>光纤使用费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sz w:val="28"/>
                <w:szCs w:val="28"/>
              </w:rPr>
            </w:pPr>
            <w:r>
              <w:rPr>
                <w:color w:val="000000"/>
                <w:kern w:val="0"/>
                <w:sz w:val="24"/>
              </w:rPr>
              <w:t>2.53</w:t>
            </w:r>
            <w:r>
              <w:rPr>
                <w:rStyle w:val="29"/>
              </w:rPr>
              <w:t>万元</w:t>
            </w:r>
            <w:r>
              <w:rPr>
                <w:rStyle w:val="28"/>
              </w:rPr>
              <w:t>/</w:t>
            </w:r>
            <w:r>
              <w:rPr>
                <w:rStyle w:val="29"/>
              </w:rPr>
              <w:t>月</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sz w:val="28"/>
                <w:szCs w:val="28"/>
              </w:rPr>
            </w:pPr>
            <w:r>
              <w:rPr>
                <w:rFonts w:hint="eastAsia" w:ascii="宋体" w:cs="宋体"/>
                <w:color w:val="000000"/>
                <w:kern w:val="0"/>
                <w:sz w:val="24"/>
              </w:rPr>
              <w:t>光纤使用费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eastAsia="仿宋_GB2312" w:cs="仿宋_GB2312"/>
                <w:kern w:val="0"/>
                <w:sz w:val="28"/>
                <w:szCs w:val="28"/>
              </w:rPr>
            </w:pPr>
            <w:r>
              <w:rPr>
                <w:rFonts w:hint="eastAsia" w:ascii="仿宋_GB2312" w:eastAsia="仿宋_GB2312" w:cs="仿宋_GB2312"/>
                <w:kern w:val="0"/>
                <w:sz w:val="28"/>
                <w:szCs w:val="28"/>
              </w:rPr>
              <w:t>效益</w:t>
            </w:r>
          </w:p>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sz w:val="28"/>
                <w:szCs w:val="28"/>
              </w:rPr>
            </w:pPr>
            <w:r>
              <w:rPr>
                <w:rFonts w:hint="eastAsia" w:ascii="宋体" w:cs="宋体"/>
                <w:color w:val="000000"/>
                <w:kern w:val="0"/>
                <w:sz w:val="24"/>
              </w:rPr>
              <w:t>创造价值</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sz w:val="28"/>
                <w:szCs w:val="28"/>
              </w:rPr>
            </w:pPr>
            <w:r>
              <w:rPr>
                <w:rFonts w:hint="eastAsia" w:ascii="宋体" w:cs="宋体"/>
                <w:color w:val="000000"/>
                <w:kern w:val="0"/>
                <w:sz w:val="24"/>
              </w:rPr>
              <w:t>大于1000万元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sz w:val="28"/>
                <w:szCs w:val="28"/>
              </w:rPr>
            </w:pPr>
            <w:r>
              <w:rPr>
                <w:rFonts w:hint="eastAsia" w:ascii="宋体" w:cs="宋体"/>
                <w:color w:val="000000"/>
                <w:kern w:val="0"/>
                <w:sz w:val="24"/>
              </w:rPr>
              <w:t>创造价值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sz w:val="28"/>
                <w:szCs w:val="28"/>
              </w:rPr>
            </w:pPr>
            <w:r>
              <w:rPr>
                <w:rFonts w:hint="eastAsia" w:ascii="宋体" w:cs="宋体"/>
                <w:color w:val="000000"/>
                <w:kern w:val="0"/>
                <w:sz w:val="24"/>
              </w:rPr>
              <w:t>市场监控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sz w:val="28"/>
                <w:szCs w:val="28"/>
              </w:rPr>
            </w:pPr>
            <w:r>
              <w:rPr>
                <w:rFonts w:hint="eastAsia" w:ascii="宋体" w:cs="宋体"/>
                <w:color w:val="000000"/>
                <w:kern w:val="0"/>
                <w:sz w:val="24"/>
              </w:rPr>
              <w:t>房地产市场监控，为领导决策提供数据支撑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sz w:val="28"/>
                <w:szCs w:val="28"/>
              </w:rPr>
            </w:pPr>
            <w:r>
              <w:rPr>
                <w:rFonts w:hint="eastAsia" w:ascii="宋体" w:cs="宋体"/>
                <w:color w:val="000000"/>
                <w:kern w:val="0"/>
                <w:sz w:val="24"/>
              </w:rPr>
              <w:t>市场监控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eastAsia="仿宋_GB2312" w:cs="仿宋_GB2312"/>
                <w:sz w:val="28"/>
                <w:szCs w:val="28"/>
              </w:rPr>
            </w:pPr>
            <w:r>
              <w:rPr>
                <w:rFonts w:hint="eastAsia" w:asci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sz w:val="28"/>
                <w:szCs w:val="28"/>
              </w:rPr>
            </w:pPr>
            <w:r>
              <w:rPr>
                <w:rFonts w:hint="eastAsia" w:ascii="宋体" w:cs="宋体"/>
                <w:color w:val="000000"/>
                <w:kern w:val="0"/>
                <w:sz w:val="24"/>
              </w:rPr>
              <w:t>数据资源共享</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sz w:val="28"/>
                <w:szCs w:val="28"/>
              </w:rPr>
            </w:pPr>
            <w:r>
              <w:rPr>
                <w:rFonts w:hint="eastAsia" w:ascii="宋体" w:cs="宋体"/>
                <w:color w:val="000000"/>
                <w:kern w:val="0"/>
                <w:sz w:val="24"/>
              </w:rPr>
              <w:t>房产数据资源共享交互平台长期提供资源共享功能</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sz w:val="28"/>
                <w:szCs w:val="28"/>
              </w:rPr>
            </w:pPr>
            <w:r>
              <w:rPr>
                <w:rFonts w:hint="eastAsia" w:ascii="宋体" w:cs="宋体"/>
                <w:color w:val="000000"/>
                <w:kern w:val="0"/>
                <w:sz w:val="24"/>
              </w:rPr>
              <w:t>数据资源共享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仿宋_GB2312"/>
                <w:kern w:val="0"/>
                <w:sz w:val="28"/>
                <w:szCs w:val="28"/>
              </w:rPr>
            </w:pPr>
            <w:r>
              <w:rPr>
                <w:rFonts w:hint="eastAsia" w:ascii="仿宋_GB2312" w:eastAsia="仿宋_GB2312" w:cs="仿宋_GB2312"/>
                <w:kern w:val="0"/>
                <w:sz w:val="28"/>
                <w:szCs w:val="28"/>
              </w:rPr>
              <w:t>满意</w:t>
            </w:r>
          </w:p>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仿宋_GB2312"/>
                <w:kern w:val="0"/>
                <w:sz w:val="28"/>
                <w:szCs w:val="28"/>
              </w:rPr>
            </w:pPr>
            <w:r>
              <w:rPr>
                <w:rFonts w:hint="eastAsia" w:ascii="仿宋_GB2312" w:eastAsia="仿宋_GB2312" w:cs="仿宋_GB2312"/>
                <w:kern w:val="0"/>
                <w:sz w:val="28"/>
                <w:szCs w:val="28"/>
              </w:rPr>
              <w:t>满意度</w:t>
            </w:r>
          </w:p>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cs="仿宋_GB2312"/>
                <w:sz w:val="28"/>
                <w:szCs w:val="28"/>
              </w:rPr>
            </w:pPr>
            <w:r>
              <w:rPr>
                <w:rFonts w:hint="eastAsia" w:ascii="宋体" w:cs="宋体"/>
                <w:color w:val="000000"/>
                <w:kern w:val="0"/>
                <w:sz w:val="24"/>
              </w:rPr>
              <w:t>办事群众满意率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cs="仿宋_GB2312"/>
                <w:sz w:val="28"/>
                <w:szCs w:val="28"/>
              </w:rPr>
            </w:pPr>
            <w:r>
              <w:rPr>
                <w:rFonts w:hint="eastAsia" w:ascii="宋体" w:cs="宋体"/>
                <w:color w:val="000000"/>
                <w:kern w:val="0"/>
                <w:sz w:val="24"/>
              </w:rPr>
              <w:t>大于98%</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cs="仿宋_GB2312"/>
                <w:sz w:val="28"/>
                <w:szCs w:val="28"/>
              </w:rPr>
            </w:pPr>
            <w:r>
              <w:rPr>
                <w:rFonts w:hint="eastAsia" w:ascii="宋体" w:cs="宋体"/>
                <w:color w:val="000000"/>
                <w:kern w:val="0"/>
                <w:sz w:val="24"/>
              </w:rPr>
              <w:t>大于98%</w:t>
            </w:r>
          </w:p>
        </w:tc>
      </w:tr>
    </w:tbl>
    <w:p>
      <w:pPr>
        <w:spacing w:line="600" w:lineRule="exact"/>
        <w:ind w:firstLine="640"/>
        <w:jc w:val="center"/>
        <w:rPr>
          <w:rFonts w:ascii="宋体"/>
          <w:sz w:val="32"/>
          <w:szCs w:val="32"/>
          <w:lang w:val="zh-CN"/>
        </w:rPr>
      </w:pPr>
    </w:p>
    <w:p>
      <w:pPr>
        <w:pStyle w:val="2"/>
        <w:spacing w:before="93" w:beforeLines="0"/>
        <w:rPr>
          <w:lang w:val="zh-CN"/>
        </w:rPr>
      </w:pPr>
    </w:p>
    <w:p>
      <w:pPr>
        <w:spacing w:line="580" w:lineRule="exact"/>
        <w:rPr>
          <w:rFonts w:ascii="仿宋_GB2312" w:eastAsia="仿宋_GB2312" w:cs="仿宋_GB2312"/>
          <w:sz w:val="32"/>
          <w:szCs w:val="32"/>
        </w:rPr>
      </w:pPr>
    </w:p>
    <w:p>
      <w:pPr>
        <w:spacing w:line="600" w:lineRule="exact"/>
        <w:jc w:val="center"/>
        <w:rPr>
          <w:rFonts w:ascii="方正小标宋简体" w:eastAsia="方正小标宋简体" w:cs="方正小标宋简体"/>
          <w:sz w:val="40"/>
          <w:szCs w:val="40"/>
          <w:lang w:val="zh-CN"/>
        </w:rPr>
      </w:pPr>
      <w:r>
        <w:rPr>
          <w:rFonts w:hint="eastAsia" w:ascii="方正小标宋简体" w:eastAsia="方正小标宋简体" w:cs="方正小标宋简体"/>
          <w:sz w:val="40"/>
          <w:szCs w:val="40"/>
        </w:rPr>
        <w:t>2021年</w:t>
      </w:r>
      <w:r>
        <w:rPr>
          <w:rFonts w:hint="eastAsia" w:ascii="方正小标宋简体" w:eastAsia="方正小标宋简体" w:cs="方正小标宋简体"/>
          <w:sz w:val="40"/>
          <w:szCs w:val="40"/>
          <w:lang w:val="zh-CN"/>
        </w:rPr>
        <w:t>专项预算支出项目绩效自评报告</w:t>
      </w:r>
    </w:p>
    <w:p>
      <w:pPr>
        <w:spacing w:line="600" w:lineRule="exact"/>
        <w:jc w:val="center"/>
        <w:rPr>
          <w:rFonts w:ascii="宋体"/>
          <w:sz w:val="32"/>
          <w:szCs w:val="32"/>
        </w:rPr>
      </w:pPr>
      <w:r>
        <w:rPr>
          <w:rFonts w:hint="eastAsia" w:ascii="宋体" w:cs="宋体"/>
          <w:b/>
          <w:sz w:val="32"/>
          <w:szCs w:val="32"/>
        </w:rPr>
        <w:t>（数字化管理平台运转维护费）</w:t>
      </w:r>
    </w:p>
    <w:p>
      <w:pPr>
        <w:adjustRightInd w:val="0"/>
        <w:snapToGrid w:val="0"/>
        <w:spacing w:line="600" w:lineRule="exact"/>
        <w:ind w:firstLine="720"/>
        <w:rPr>
          <w:rFonts w:ascii="黑体" w:eastAsia="黑体"/>
          <w:sz w:val="32"/>
          <w:szCs w:val="32"/>
          <w:lang w:val="zh-CN"/>
        </w:rPr>
      </w:pPr>
      <w:r>
        <w:rPr>
          <w:rFonts w:hint="eastAsia" w:ascii="黑体" w:eastAsia="黑体"/>
          <w:sz w:val="32"/>
          <w:szCs w:val="32"/>
        </w:rPr>
        <w:t>一、</w:t>
      </w:r>
      <w:r>
        <w:rPr>
          <w:rFonts w:hint="eastAsia" w:ascii="黑体" w:eastAsia="黑体"/>
          <w:sz w:val="32"/>
          <w:szCs w:val="32"/>
          <w:lang w:val="zh-CN"/>
        </w:rPr>
        <w:t>项目概况</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（一）项目基本情况。</w:t>
      </w:r>
    </w:p>
    <w:p>
      <w:pPr>
        <w:adjustRightInd w:val="0"/>
        <w:snapToGrid w:val="0"/>
        <w:spacing w:line="600" w:lineRule="exact"/>
        <w:ind w:firstLine="720"/>
        <w:rPr>
          <w:rFonts w:ascii="仿宋_GB2312" w:eastAsia="仿宋_GB2312"/>
          <w:sz w:val="32"/>
          <w:szCs w:val="32"/>
          <w:lang w:val="zh-CN"/>
        </w:rPr>
      </w:pPr>
      <w:r>
        <w:rPr>
          <w:rFonts w:ascii="仿宋_GB2312" w:eastAsia="仿宋_GB2312"/>
          <w:sz w:val="32"/>
          <w:szCs w:val="32"/>
          <w:lang w:val="zh-CN"/>
        </w:rPr>
        <w:t>1</w:t>
      </w:r>
      <w:r>
        <w:rPr>
          <w:rFonts w:hint="eastAsia" w:ascii="仿宋_GB2312" w:eastAsia="仿宋_GB2312"/>
          <w:sz w:val="32"/>
          <w:szCs w:val="32"/>
          <w:lang w:val="zh-CN"/>
        </w:rPr>
        <w:t xml:space="preserve">．说明项目主管部门（单位）在该项目管理中的职能。做好全市建设工程远程视频监控的数据收集和取证，对监控时的安全隐患、违章操作、安全事故以及其他异常情况等影像资料的监控数据进行采集和保持，并且及时对上述问题进行整改，减少和避免建筑工地上述问题的发生。 </w:t>
      </w:r>
    </w:p>
    <w:p>
      <w:pPr>
        <w:ind w:firstLine="640" w:firstLineChars="200"/>
        <w:rPr>
          <w:rFonts w:ascii="仿宋_GB2312" w:eastAsia="仿宋_GB2312"/>
          <w:sz w:val="32"/>
          <w:szCs w:val="32"/>
          <w:lang w:val="zh-CN"/>
        </w:rPr>
      </w:pPr>
      <w:r>
        <w:rPr>
          <w:rFonts w:ascii="仿宋_GB2312" w:eastAsia="仿宋_GB2312"/>
          <w:sz w:val="32"/>
          <w:szCs w:val="32"/>
          <w:lang w:val="zh-CN"/>
        </w:rPr>
        <w:t>2</w:t>
      </w:r>
      <w:r>
        <w:rPr>
          <w:rFonts w:hint="eastAsia" w:ascii="仿宋_GB2312" w:eastAsia="仿宋_GB2312"/>
          <w:sz w:val="32"/>
          <w:szCs w:val="32"/>
          <w:lang w:val="zh-CN"/>
        </w:rPr>
        <w:t>．项目立项、资金申报的依据。</w:t>
      </w:r>
      <w:r>
        <w:rPr>
          <w:rFonts w:ascii="仿宋_GB2312" w:eastAsia="仿宋_GB2312"/>
          <w:sz w:val="32"/>
          <w:szCs w:val="32"/>
          <w:lang w:val="zh-CN"/>
        </w:rPr>
        <w:t>编办及人力资源社会保障局对数字化平台管理编外合同制用工的意见</w:t>
      </w:r>
      <w:r>
        <w:rPr>
          <w:rFonts w:hint="eastAsia" w:ascii="仿宋_GB2312" w:eastAsia="仿宋_GB2312"/>
          <w:sz w:val="32"/>
          <w:szCs w:val="32"/>
          <w:lang w:val="zh-CN"/>
        </w:rPr>
        <w:t>。</w:t>
      </w:r>
    </w:p>
    <w:p>
      <w:pPr>
        <w:ind w:firstLine="642" w:firstLineChars="200"/>
        <w:rPr>
          <w:rFonts w:ascii="楷体_GB2312" w:eastAsia="楷体_GB2312"/>
          <w:b/>
          <w:sz w:val="32"/>
          <w:szCs w:val="32"/>
          <w:lang w:val="zh-CN"/>
        </w:rPr>
      </w:pPr>
      <w:r>
        <w:rPr>
          <w:rFonts w:hint="eastAsia" w:ascii="楷体_GB2312" w:eastAsia="楷体_GB2312"/>
          <w:b/>
          <w:sz w:val="32"/>
          <w:szCs w:val="32"/>
          <w:lang w:val="zh-CN"/>
        </w:rPr>
        <w:t>（二）项目绩效目标。</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按统一平台、整合资源的原则，负责全市建筑施工远程视频监控平台的规划、建设、管理和使用。</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（三）项目自评步骤及方法。</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建设工程质量数字化平台运转管理同意聘用人员12人，实聘用10人，工资及社保4.5万元/人/年*10人=45万元，余5万用于网络维护费。</w:t>
      </w:r>
    </w:p>
    <w:p>
      <w:pPr>
        <w:adjustRightInd w:val="0"/>
        <w:snapToGrid w:val="0"/>
        <w:spacing w:line="600" w:lineRule="exact"/>
        <w:ind w:firstLine="720"/>
        <w:rPr>
          <w:rFonts w:ascii="黑体" w:eastAsia="黑体"/>
          <w:sz w:val="32"/>
          <w:szCs w:val="32"/>
        </w:rPr>
      </w:pPr>
      <w:r>
        <w:rPr>
          <w:rFonts w:hint="eastAsia" w:ascii="黑体" w:eastAsia="黑体"/>
          <w:sz w:val="32"/>
          <w:szCs w:val="32"/>
        </w:rPr>
        <w:t>二、项目资金申报及使用情况</w:t>
      </w:r>
    </w:p>
    <w:tbl>
      <w:tblPr>
        <w:tblStyle w:val="15"/>
        <w:tblpPr w:leftFromText="180" w:rightFromText="180" w:vertAnchor="text" w:horzAnchor="page" w:tblpX="1281" w:tblpY="660"/>
        <w:tblOverlap w:val="never"/>
        <w:tblW w:w="103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09"/>
        <w:gridCol w:w="1673"/>
        <w:gridCol w:w="1087"/>
        <w:gridCol w:w="1624"/>
        <w:gridCol w:w="2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宋体"/>
                <w:sz w:val="24"/>
              </w:rPr>
            </w:pPr>
            <w:r>
              <w:rPr>
                <w:rFonts w:hint="eastAsia" w:ascii="宋体" w:cs="宋体"/>
                <w:kern w:val="0"/>
                <w:sz w:val="24"/>
              </w:rPr>
              <w:t>主管部门及代码</w:t>
            </w: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cs="宋体"/>
                <w:sz w:val="24"/>
              </w:rPr>
            </w:pPr>
            <w:r>
              <w:rPr>
                <w:rFonts w:hint="eastAsia" w:ascii="宋体" w:cs="宋体"/>
                <w:sz w:val="24"/>
              </w:rPr>
              <w:t>攀枝花市住房和城乡建设局    801001</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宋体"/>
                <w:sz w:val="24"/>
              </w:rPr>
            </w:pPr>
            <w:r>
              <w:rPr>
                <w:rFonts w:hint="eastAsia" w:ascii="宋体" w:cs="宋体"/>
                <w:kern w:val="0"/>
                <w:sz w:val="24"/>
              </w:rPr>
              <w:t>实施单位</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宋体"/>
                <w:sz w:val="24"/>
              </w:rPr>
            </w:pPr>
            <w:r>
              <w:rPr>
                <w:rFonts w:ascii="宋体" w:cs="宋体"/>
                <w:sz w:val="24"/>
              </w:rPr>
              <w:t>攀枝花市建设工程</w:t>
            </w:r>
          </w:p>
          <w:p>
            <w:pPr>
              <w:widowControl/>
              <w:spacing w:line="320" w:lineRule="exact"/>
              <w:jc w:val="center"/>
              <w:textAlignment w:val="center"/>
              <w:rPr>
                <w:rFonts w:ascii="宋体" w:cs="宋体"/>
                <w:sz w:val="24"/>
              </w:rPr>
            </w:pPr>
            <w:r>
              <w:rPr>
                <w:rFonts w:ascii="宋体" w:cs="宋体"/>
                <w:sz w:val="24"/>
              </w:rPr>
              <w:t>质量安全站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宋体"/>
                <w:sz w:val="24"/>
              </w:rPr>
            </w:pPr>
            <w:r>
              <w:rPr>
                <w:rFonts w:hint="eastAsia" w:ascii="宋体" w:cs="宋体"/>
                <w:kern w:val="0"/>
                <w:sz w:val="24"/>
              </w:rPr>
              <w:t>项目预算</w:t>
            </w:r>
            <w:r>
              <w:rPr>
                <w:rFonts w:hint="eastAsia" w:ascii="宋体" w:cs="宋体"/>
                <w:kern w:val="0"/>
                <w:sz w:val="24"/>
              </w:rPr>
              <w:br w:type="textWrapping"/>
            </w:r>
            <w:r>
              <w:rPr>
                <w:rFonts w:hint="eastAsia" w:ascii="宋体" w:cs="宋体"/>
                <w:kern w:val="0"/>
                <w:sz w:val="24"/>
              </w:rPr>
              <w:t>执行情况</w:t>
            </w:r>
            <w:r>
              <w:rPr>
                <w:rFonts w:hint="eastAsia" w:ascii="宋体" w:cs="宋体"/>
                <w:kern w:val="0"/>
                <w:sz w:val="24"/>
              </w:rPr>
              <w:br w:type="textWrapping"/>
            </w:r>
            <w:r>
              <w:rPr>
                <w:rFonts w:hint="eastAsia" w:asci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sz w:val="24"/>
              </w:rPr>
            </w:pPr>
            <w:r>
              <w:rPr>
                <w:rFonts w:hint="eastAsia" w:ascii="宋体" w:cs="宋体"/>
                <w:kern w:val="0"/>
                <w:sz w:val="24"/>
              </w:rPr>
              <w:t xml:space="preserve"> 预算数：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sz w:val="24"/>
              </w:rPr>
            </w:pPr>
            <w:r>
              <w:rPr>
                <w:rFonts w:ascii="宋体" w:cs="宋体"/>
                <w:sz w:val="24"/>
              </w:rPr>
              <w:t>50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sz w:val="24"/>
              </w:rPr>
            </w:pPr>
            <w:r>
              <w:rPr>
                <w:rFonts w:hint="eastAsia" w:ascii="宋体" w:cs="宋体"/>
                <w:kern w:val="0"/>
                <w:sz w:val="24"/>
              </w:rPr>
              <w:t xml:space="preserve"> 执行数：</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sz w:val="24"/>
              </w:rPr>
            </w:pPr>
            <w:r>
              <w:rPr>
                <w:rFonts w:ascii="宋体" w:cs="宋体"/>
                <w:sz w:val="24"/>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kern w:val="0"/>
                <w:sz w:val="24"/>
              </w:rPr>
            </w:pPr>
            <w:r>
              <w:rPr>
                <w:rFonts w:hint="eastAsia" w:ascii="宋体" w:cs="宋体"/>
                <w:kern w:val="0"/>
                <w:sz w:val="24"/>
              </w:rPr>
              <w:t>其中：</w:t>
            </w:r>
          </w:p>
          <w:p>
            <w:pPr>
              <w:widowControl/>
              <w:spacing w:line="320" w:lineRule="exact"/>
              <w:jc w:val="left"/>
              <w:textAlignment w:val="center"/>
              <w:rPr>
                <w:rFonts w:ascii="宋体" w:cs="宋体"/>
                <w:sz w:val="24"/>
              </w:rPr>
            </w:pPr>
            <w:r>
              <w:rPr>
                <w:rFonts w:hint="eastAsia" w:ascii="宋体" w:cs="宋体"/>
                <w:kern w:val="0"/>
                <w:sz w:val="24"/>
              </w:rPr>
              <w:t>财政拨款</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sz w:val="24"/>
              </w:rPr>
            </w:pPr>
            <w:r>
              <w:rPr>
                <w:rFonts w:ascii="宋体" w:cs="宋体"/>
                <w:sz w:val="24"/>
              </w:rPr>
              <w:t>50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kern w:val="0"/>
                <w:sz w:val="24"/>
              </w:rPr>
            </w:pPr>
            <w:r>
              <w:rPr>
                <w:rFonts w:hint="eastAsia" w:ascii="宋体" w:cs="宋体"/>
                <w:kern w:val="0"/>
                <w:sz w:val="24"/>
              </w:rPr>
              <w:t>其中：</w:t>
            </w:r>
          </w:p>
          <w:p>
            <w:pPr>
              <w:widowControl/>
              <w:spacing w:line="320" w:lineRule="exact"/>
              <w:jc w:val="left"/>
              <w:textAlignment w:val="center"/>
              <w:rPr>
                <w:rFonts w:ascii="宋体" w:cs="宋体"/>
                <w:sz w:val="24"/>
              </w:rPr>
            </w:pPr>
            <w:r>
              <w:rPr>
                <w:rFonts w:hint="eastAsia" w:ascii="宋体" w:cs="宋体"/>
                <w:kern w:val="0"/>
                <w:sz w:val="24"/>
              </w:rPr>
              <w:t>财政拨款</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sz w:val="24"/>
              </w:rPr>
            </w:pPr>
            <w:r>
              <w:rPr>
                <w:rFonts w:ascii="宋体" w:cs="宋体"/>
                <w:sz w:val="24"/>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sz w:val="24"/>
              </w:rPr>
            </w:pPr>
            <w:r>
              <w:rPr>
                <w:rFonts w:hint="eastAsia" w:ascii="宋体" w:cs="宋体"/>
                <w:kern w:val="0"/>
                <w:sz w:val="24"/>
              </w:rPr>
              <w:t>其他资金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sz w:val="24"/>
              </w:rPr>
            </w:pPr>
            <w:r>
              <w:rPr>
                <w:rFonts w:hint="eastAsia" w:ascii="宋体" w:cs="宋体"/>
                <w:sz w:val="24"/>
              </w:rPr>
              <w:t>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sz w:val="24"/>
              </w:rPr>
            </w:pPr>
            <w:r>
              <w:rPr>
                <w:rFonts w:hint="eastAsia" w:ascii="宋体" w:cs="宋体"/>
                <w:kern w:val="0"/>
                <w:sz w:val="24"/>
              </w:rPr>
              <w:t>其他资金</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cs="宋体"/>
                <w:sz w:val="24"/>
              </w:rPr>
            </w:pPr>
            <w:r>
              <w:rPr>
                <w:rFonts w:hint="eastAsia" w:ascii="宋体" w:cs="宋体"/>
                <w:sz w:val="24"/>
              </w:rPr>
              <w:t>0</w:t>
            </w:r>
          </w:p>
        </w:tc>
      </w:tr>
    </w:tbl>
    <w:p>
      <w:pPr>
        <w:snapToGrid w:val="0"/>
        <w:spacing w:line="520" w:lineRule="exact"/>
        <w:ind w:firstLine="640" w:firstLineChars="200"/>
        <w:rPr>
          <w:rFonts w:ascii="仿宋_GB2312" w:eastAsia="仿宋_GB2312"/>
          <w:sz w:val="32"/>
          <w:szCs w:val="32"/>
        </w:rPr>
      </w:pPr>
      <w:r>
        <w:rPr>
          <w:rFonts w:hint="eastAsia" w:ascii="仿宋_GB2312" w:eastAsia="仿宋_GB2312"/>
          <w:kern w:val="0"/>
          <w:sz w:val="32"/>
          <w:szCs w:val="32"/>
        </w:rPr>
        <w:t>市工程质量安全监督站在</w:t>
      </w:r>
      <w:r>
        <w:rPr>
          <w:rFonts w:hint="eastAsia" w:ascii="仿宋_GB2312" w:eastAsia="仿宋_GB2312"/>
          <w:sz w:val="32"/>
          <w:szCs w:val="32"/>
        </w:rPr>
        <w:t>财务管理上严格按照财务管理制度执行，在决算编报上认真按照财政下达的工作步骤组织编报、数据与财政下达的数据一致，套表审核全部通过。</w:t>
      </w:r>
    </w:p>
    <w:p>
      <w:pPr>
        <w:adjustRightInd w:val="0"/>
        <w:snapToGrid w:val="0"/>
        <w:spacing w:line="600" w:lineRule="exact"/>
        <w:ind w:firstLine="720"/>
        <w:rPr>
          <w:rFonts w:ascii="黑体" w:eastAsia="黑体"/>
          <w:sz w:val="32"/>
          <w:szCs w:val="32"/>
        </w:rPr>
      </w:pPr>
      <w:r>
        <w:rPr>
          <w:rFonts w:hint="eastAsia" w:ascii="黑体" w:eastAsia="黑体"/>
          <w:sz w:val="32"/>
          <w:szCs w:val="32"/>
        </w:rPr>
        <w:t>三、项目实施及管理情况</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kern w:val="0"/>
          <w:sz w:val="32"/>
          <w:szCs w:val="32"/>
        </w:rPr>
        <w:t>建设工程质量数字化平台运转管理同意聘用人员12人，实聘用10人，工资及社保4.5万元/人/年*10人=45万元，余5万用于网络维护费，弥补专业技术人员不足的问题。加强了监督安全范围的延申、消除安全隐患，创新监管模式，完善了信息互联互通</w:t>
      </w:r>
      <w:r>
        <w:rPr>
          <w:rFonts w:hint="eastAsia" w:ascii="宋体"/>
          <w:kern w:val="0"/>
          <w:sz w:val="20"/>
          <w:szCs w:val="20"/>
        </w:rPr>
        <w:t>。</w:t>
      </w:r>
    </w:p>
    <w:p>
      <w:pPr>
        <w:adjustRightInd w:val="0"/>
        <w:snapToGrid w:val="0"/>
        <w:spacing w:line="600" w:lineRule="exact"/>
        <w:ind w:firstLine="720"/>
        <w:rPr>
          <w:rFonts w:ascii="黑体" w:eastAsia="黑体"/>
          <w:sz w:val="32"/>
          <w:szCs w:val="32"/>
        </w:rPr>
      </w:pPr>
      <w:r>
        <w:rPr>
          <w:rFonts w:ascii="黑体" w:eastAsia="黑体"/>
          <w:sz w:val="32"/>
          <w:szCs w:val="32"/>
        </w:rPr>
        <w:t>四</w:t>
      </w:r>
      <w:r>
        <w:rPr>
          <w:rFonts w:hint="eastAsia" w:ascii="黑体" w:eastAsia="黑体"/>
          <w:sz w:val="32"/>
          <w:szCs w:val="32"/>
        </w:rPr>
        <w:t>、项目绩效情况</w:t>
      </w:r>
      <w:r>
        <w:rPr>
          <w:rFonts w:ascii="黑体" w:eastAsia="黑体"/>
          <w:sz w:val="32"/>
          <w:szCs w:val="32"/>
        </w:rPr>
        <w:tab/>
      </w:r>
    </w:p>
    <w:p>
      <w:pPr>
        <w:pStyle w:val="2"/>
        <w:spacing w:before="93" w:beforeLines="0"/>
      </w:pPr>
    </w:p>
    <w:tbl>
      <w:tblPr>
        <w:tblStyle w:val="15"/>
        <w:tblpPr w:leftFromText="180" w:rightFromText="180" w:vertAnchor="text" w:horzAnchor="page" w:tblpX="1281" w:tblpY="660"/>
        <w:tblOverlap w:val="never"/>
        <w:tblW w:w="103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6"/>
        <w:gridCol w:w="978"/>
        <w:gridCol w:w="1451"/>
        <w:gridCol w:w="1923"/>
        <w:gridCol w:w="2176"/>
        <w:gridCol w:w="2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宋体"/>
                <w:kern w:val="0"/>
                <w:sz w:val="24"/>
              </w:rPr>
            </w:pPr>
            <w:r>
              <w:rPr>
                <w:rFonts w:hint="eastAsia" w:ascii="宋体" w:cs="宋体"/>
                <w:kern w:val="0"/>
                <w:sz w:val="24"/>
              </w:rPr>
              <w:t>年度总体目标完成情况</w:t>
            </w:r>
          </w:p>
        </w:tc>
        <w:tc>
          <w:tcPr>
            <w:tcW w:w="4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宋体"/>
                <w:sz w:val="24"/>
              </w:rPr>
            </w:pPr>
            <w:r>
              <w:rPr>
                <w:rFonts w:hint="eastAsia" w:ascii="宋体" w:cs="宋体"/>
                <w:kern w:val="0"/>
                <w:sz w:val="24"/>
              </w:rPr>
              <w:t>预期目标</w:t>
            </w:r>
          </w:p>
        </w:tc>
        <w:tc>
          <w:tcPr>
            <w:tcW w:w="4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宋体"/>
                <w:sz w:val="24"/>
              </w:rPr>
            </w:pPr>
            <w:r>
              <w:rPr>
                <w:rFonts w:hint="eastAsia" w:ascii="宋体" w:cs="宋体"/>
                <w:kern w:val="0"/>
                <w:sz w:val="24"/>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253"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cs="宋体"/>
                <w:sz w:val="24"/>
              </w:rPr>
            </w:pPr>
            <w:r>
              <w:rPr>
                <w:rFonts w:hint="eastAsia" w:ascii="宋体" w:cs="宋体"/>
                <w:sz w:val="24"/>
              </w:rPr>
              <w:t>按统一平台、整合资源的原则，负责全市建筑施工远程视频监控平台的规划、建设、管理和使用。做好全市建设工程远程视频监控的数据收集和取证，对监控时的安全隐患、违章操作、安全事故以及其他异常情况等影像资料的监控数据进行采集和保持，并且及时对上述问题进行整改，减少和避免建筑工地上述问题的发生</w:t>
            </w:r>
          </w:p>
        </w:tc>
        <w:tc>
          <w:tcPr>
            <w:tcW w:w="4468"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cs="宋体"/>
                <w:sz w:val="24"/>
              </w:rPr>
            </w:pPr>
            <w:r>
              <w:rPr>
                <w:rFonts w:hint="eastAsia" w:ascii="宋体" w:cs="宋体"/>
                <w:sz w:val="24"/>
              </w:rPr>
              <w:t>按统一平台、整合资源的原则，负责全市建筑施工远程视频监控平台的规划、建设、管理和使用。做好全市建设工程远程视频监控的数据收集和取证，对监控时的安全隐患、违章操作、安全事故以及其他异常情况等影像资料的监控数据进行采集和保持，并且及时对上述问题进行整改，减少和避免建筑工地上述问题的发生。本年度拟建立工程项目监控体系30个，安装摄像头120个，拟构建建筑起重机械安全监控平台试点1个，扬尘污染实时监控平台试点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3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年度绩效指标完成情况</w:t>
            </w:r>
          </w:p>
        </w:tc>
        <w:tc>
          <w:tcPr>
            <w:tcW w:w="956"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eastAsia="仿宋_GB2312" w:cs="仿宋_GB2312"/>
                <w:kern w:val="0"/>
                <w:sz w:val="28"/>
                <w:szCs w:val="28"/>
              </w:rPr>
            </w:pPr>
            <w:r>
              <w:rPr>
                <w:rFonts w:hint="eastAsia" w:ascii="仿宋_GB2312" w:eastAsia="仿宋_GB2312" w:cs="仿宋_GB2312"/>
                <w:kern w:val="0"/>
                <w:sz w:val="28"/>
                <w:szCs w:val="28"/>
              </w:rPr>
              <w:t>一级</w:t>
            </w:r>
          </w:p>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eastAsia="仿宋_GB2312" w:cs="仿宋_GB2312"/>
                <w:kern w:val="0"/>
                <w:sz w:val="28"/>
                <w:szCs w:val="28"/>
              </w:rPr>
            </w:pPr>
            <w:r>
              <w:rPr>
                <w:rFonts w:hint="eastAsia" w:ascii="仿宋_GB2312" w:eastAsia="仿宋_GB2312" w:cs="仿宋_GB2312"/>
                <w:kern w:val="0"/>
                <w:sz w:val="28"/>
                <w:szCs w:val="28"/>
              </w:rPr>
              <w:t>二级</w:t>
            </w:r>
          </w:p>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指标</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eastAsia="仿宋_GB2312" w:cs="仿宋_GB2312"/>
                <w:kern w:val="0"/>
                <w:sz w:val="28"/>
                <w:szCs w:val="28"/>
              </w:rPr>
            </w:pPr>
            <w:r>
              <w:rPr>
                <w:rFonts w:hint="eastAsia" w:ascii="仿宋_GB2312" w:eastAsia="仿宋_GB2312" w:cs="仿宋_GB2312"/>
                <w:kern w:val="0"/>
                <w:sz w:val="28"/>
                <w:szCs w:val="28"/>
              </w:rPr>
              <w:t>三级</w:t>
            </w:r>
          </w:p>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预期指标值</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384" w:type="dxa"/>
            <w:vMerge w:val="continue"/>
            <w:tcBorders>
              <w:left w:val="single" w:color="000000" w:sz="4" w:space="0"/>
              <w:right w:val="single" w:color="000000" w:sz="4" w:space="0"/>
            </w:tcBorders>
            <w:shd w:val="clear" w:color="auto" w:fill="auto"/>
            <w:vAlign w:val="center"/>
          </w:tcP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eastAsia="仿宋_GB2312" w:cs="仿宋_GB2312"/>
                <w:kern w:val="0"/>
                <w:sz w:val="28"/>
                <w:szCs w:val="28"/>
              </w:rPr>
            </w:pPr>
            <w:r>
              <w:rPr>
                <w:rFonts w:hint="eastAsia" w:ascii="仿宋_GB2312" w:eastAsia="仿宋_GB2312" w:cs="仿宋_GB2312"/>
                <w:kern w:val="0"/>
                <w:sz w:val="28"/>
                <w:szCs w:val="28"/>
              </w:rPr>
              <w:t>完成</w:t>
            </w:r>
          </w:p>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指标</w:t>
            </w:r>
          </w:p>
        </w:tc>
        <w:tc>
          <w:tcPr>
            <w:tcW w:w="1418"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数量指标</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 xml:space="preserve"> 指标1：聘用人员工资</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监控人员10人</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监控人员10人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384" w:type="dxa"/>
            <w:vMerge w:val="continue"/>
            <w:tcBorders>
              <w:left w:val="single" w:color="000000" w:sz="4" w:space="0"/>
              <w:right w:val="single" w:color="000000" w:sz="4" w:space="0"/>
            </w:tcBorders>
            <w:shd w:val="clear" w:color="auto" w:fill="auto"/>
            <w:vAlign w:val="center"/>
          </w:tc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1418" w:type="dxa"/>
            <w:vMerge w:val="continue"/>
            <w:tcBorders>
              <w:left w:val="single" w:color="000000" w:sz="4" w:space="0"/>
              <w:bottom w:val="single" w:color="000000" w:sz="4" w:space="0"/>
              <w:right w:val="single" w:color="000000" w:sz="4" w:space="0"/>
            </w:tcBorders>
            <w:shd w:val="clear" w:color="auto" w:fill="auto"/>
            <w:vAlign w:val="bottom"/>
          </w:tcP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 xml:space="preserve"> 指标2：设备及网络维护</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按照要求及时对设备、网络及机房进行维护</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按照要求及时对设备、网络及机房进行维护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384" w:type="dxa"/>
            <w:vMerge w:val="continue"/>
            <w:tcBorders>
              <w:left w:val="single" w:color="000000" w:sz="4" w:space="0"/>
              <w:right w:val="single" w:color="000000" w:sz="4" w:space="0"/>
            </w:tcBorders>
            <w:shd w:val="clear" w:color="auto" w:fill="auto"/>
            <w:vAlign w:val="center"/>
          </w:tc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1418" w:type="dxa"/>
            <w:vMerge w:val="continue"/>
            <w:tcBorders>
              <w:left w:val="single" w:color="000000" w:sz="4" w:space="0"/>
              <w:bottom w:val="single" w:color="000000" w:sz="4" w:space="0"/>
              <w:right w:val="single" w:color="000000" w:sz="4" w:space="0"/>
            </w:tcBorders>
            <w:shd w:val="clear" w:color="auto" w:fill="auto"/>
            <w:vAlign w:val="bottom"/>
          </w:tcP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指标2：日常办公</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监控中心日常公用</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监控中心日常公用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384" w:type="dxa"/>
            <w:vMerge w:val="continue"/>
            <w:tcBorders>
              <w:left w:val="single" w:color="000000" w:sz="4" w:space="0"/>
              <w:right w:val="single" w:color="000000" w:sz="4" w:space="0"/>
            </w:tcBorders>
            <w:shd w:val="clear" w:color="auto" w:fill="auto"/>
            <w:vAlign w:val="center"/>
          </w:tc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质量指标</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 xml:space="preserve"> 指标1：电脑及机房维护</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确保监控设备运行，监控画面流畅实时监控</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确保监控设备运行，监控画面流畅实时监控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384" w:type="dxa"/>
            <w:vMerge w:val="continue"/>
            <w:tcBorders>
              <w:left w:val="single" w:color="000000" w:sz="4" w:space="0"/>
              <w:right w:val="single" w:color="000000" w:sz="4" w:space="0"/>
            </w:tcBorders>
            <w:shd w:val="clear" w:color="auto" w:fill="auto"/>
            <w:vAlign w:val="center"/>
          </w:tc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时效指标</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 xml:space="preserve"> 指标1：完成工作时间</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2021年</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4" w:type="dxa"/>
            <w:vMerge w:val="continue"/>
            <w:tcBorders>
              <w:left w:val="single" w:color="000000" w:sz="4" w:space="0"/>
              <w:right w:val="single" w:color="000000" w:sz="4" w:space="0"/>
            </w:tcBorders>
            <w:shd w:val="clear" w:color="auto" w:fill="auto"/>
            <w:vAlign w:val="center"/>
          </w:tc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1418" w:type="dxa"/>
            <w:vMerge w:val="restart"/>
            <w:tcBorders>
              <w:top w:val="single" w:color="000000" w:sz="4" w:space="0"/>
              <w:left w:val="single" w:color="000000" w:sz="4" w:space="0"/>
              <w:right w:val="single" w:color="000000" w:sz="4" w:space="0"/>
            </w:tcBorders>
            <w:shd w:val="clear" w:color="auto" w:fill="auto"/>
            <w:vAlign w:val="center"/>
          </w:tcPr>
          <w:p>
            <w:pPr>
              <w:spacing w:line="320" w:lineRule="exact"/>
              <w:jc w:val="center"/>
              <w:textAlignment w:val="bottom"/>
              <w:rPr>
                <w:rFonts w:ascii="仿宋_GB2312" w:eastAsia="仿宋_GB2312" w:cs="仿宋_GB2312"/>
                <w:kern w:val="0"/>
                <w:sz w:val="28"/>
                <w:szCs w:val="28"/>
              </w:rPr>
            </w:pPr>
            <w:r>
              <w:rPr>
                <w:rFonts w:hint="eastAsia" w:ascii="仿宋_GB2312" w:eastAsia="仿宋_GB2312" w:cs="仿宋_GB2312"/>
                <w:kern w:val="0"/>
                <w:sz w:val="28"/>
                <w:szCs w:val="28"/>
              </w:rPr>
              <w:t>成本指标</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 xml:space="preserve"> 指标1：工资及社保</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支付10个人员工资社保</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支付10个人员工资社保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4" w:type="dxa"/>
            <w:vMerge w:val="continue"/>
            <w:tcBorders>
              <w:left w:val="single" w:color="000000" w:sz="4" w:space="0"/>
              <w:right w:val="single" w:color="000000" w:sz="4" w:space="0"/>
            </w:tcBorders>
            <w:shd w:val="clear" w:color="auto" w:fill="auto"/>
            <w:vAlign w:val="center"/>
          </w:tc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1418" w:type="dxa"/>
            <w:vMerge w:val="continue"/>
            <w:tcBorders>
              <w:left w:val="single" w:color="000000" w:sz="4" w:space="0"/>
              <w:right w:val="single" w:color="000000" w:sz="4" w:space="0"/>
            </w:tcBorders>
            <w:shd w:val="clear" w:color="auto" w:fill="auto"/>
            <w:vAlign w:val="center"/>
          </w:tcP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 xml:space="preserve"> 指标2：日常办公网络维护等经费</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日常办公网络维护等经费</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日常办公网络维护等经费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4" w:type="dxa"/>
            <w:vMerge w:val="continue"/>
            <w:tcBorders>
              <w:left w:val="single" w:color="000000" w:sz="4" w:space="0"/>
              <w:right w:val="single" w:color="000000" w:sz="4" w:space="0"/>
            </w:tcBorders>
            <w:shd w:val="clear" w:color="auto" w:fill="auto"/>
            <w:vAlign w:val="center"/>
          </w:tcP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效益</w:t>
            </w:r>
            <w:r>
              <w:rPr>
                <w:rFonts w:hint="eastAsia" w:ascii="仿宋_GB2312" w:eastAsia="仿宋_GB2312" w:cs="仿宋_GB2312"/>
                <w:kern w:val="0"/>
                <w:sz w:val="28"/>
                <w:szCs w:val="28"/>
              </w:rPr>
              <w:br w:type="textWrapping"/>
            </w:r>
            <w:r>
              <w:rPr>
                <w:rFonts w:hint="eastAsia" w:ascii="仿宋_GB2312" w:eastAsia="仿宋_GB2312" w:cs="仿宋_GB2312"/>
                <w:kern w:val="0"/>
                <w:sz w:val="28"/>
                <w:szCs w:val="28"/>
              </w:rPr>
              <w:t>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经济效益  指标</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 xml:space="preserve"> 指标1：提升建设工程质量水平</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保障数字管理化平台正常运行，促进建筑市场更规范运行，提升工程质量达标，提高行业经济效益</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保障数字管理化平台正常运行，促进建筑市场更规范运行，提升工程质量达标，提高行业经济效益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4" w:type="dxa"/>
            <w:vMerge w:val="continue"/>
            <w:tcBorders>
              <w:left w:val="single" w:color="000000" w:sz="4" w:space="0"/>
              <w:right w:val="single" w:color="000000" w:sz="4" w:space="0"/>
            </w:tcBorders>
            <w:shd w:val="clear" w:color="auto" w:fill="auto"/>
            <w:vAlign w:val="center"/>
          </w:tc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社会效益  指标</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 xml:space="preserve"> 指标1：保障平台运转</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保障数字管理化平台正常运行，促进建筑市场更规范</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保障数字管理化平台正常运行，促进建筑市场更规范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4" w:type="dxa"/>
            <w:vMerge w:val="continue"/>
            <w:tcBorders>
              <w:left w:val="single" w:color="000000" w:sz="4" w:space="0"/>
              <w:right w:val="single" w:color="000000" w:sz="4" w:space="0"/>
            </w:tcBorders>
            <w:shd w:val="clear" w:color="auto" w:fill="auto"/>
            <w:vAlign w:val="center"/>
          </w:tc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cs="宋体"/>
                <w:sz w:val="24"/>
              </w:rPr>
            </w:pPr>
            <w:r>
              <w:rPr>
                <w:rFonts w:hint="eastAsia" w:ascii="仿宋_GB2312" w:eastAsia="仿宋_GB2312" w:cs="仿宋_GB2312"/>
                <w:kern w:val="0"/>
                <w:sz w:val="28"/>
                <w:szCs w:val="28"/>
              </w:rPr>
              <w:t>生态效益</w:t>
            </w:r>
            <w:r>
              <w:rPr>
                <w:rFonts w:hint="eastAsia" w:ascii="仿宋_GB2312" w:eastAsia="仿宋_GB2312" w:cs="仿宋_GB2312"/>
                <w:kern w:val="0"/>
                <w:sz w:val="28"/>
                <w:szCs w:val="28"/>
              </w:rPr>
              <w:br w:type="textWrapping"/>
            </w:r>
            <w:r>
              <w:rPr>
                <w:rFonts w:hint="eastAsia" w:ascii="仿宋_GB2312" w:eastAsia="仿宋_GB2312" w:cs="仿宋_GB2312"/>
                <w:kern w:val="0"/>
                <w:sz w:val="28"/>
                <w:szCs w:val="28"/>
              </w:rPr>
              <w:t>指标</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 xml:space="preserve"> 指标1：美化市民居住环境</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确保受监工程整洁、有序,施工现场扬尘治理更给力，空气更清新</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环境更好，空气更好,确保受监工程整洁、有序,施工现场扬尘治理更给力，空气更清新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4" w:type="dxa"/>
            <w:vMerge w:val="continue"/>
            <w:tcBorders>
              <w:left w:val="single" w:color="000000" w:sz="4" w:space="0"/>
              <w:right w:val="single" w:color="000000" w:sz="4" w:space="0"/>
            </w:tcBorders>
            <w:shd w:val="clear" w:color="auto" w:fill="auto"/>
            <w:vAlign w:val="center"/>
          </w:tc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可持续影响指标</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 xml:space="preserve"> 指标1：工程质量持续优化</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消除受监工程不文明现象，确保工地扬尘治理以及安全,提升对受监工程的管理效率降低生产安全事故发生概率，提升工程质量水平。</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消除受监工程不文明现象，确保工地扬尘治理以及安全,提升对受监工程的管理效率降低生产安全事故发生概率，提升工程质量水平。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384" w:type="dxa"/>
            <w:vMerge w:val="continue"/>
            <w:tcBorders>
              <w:left w:val="single" w:color="000000" w:sz="4" w:space="0"/>
              <w:bottom w:val="single" w:color="000000" w:sz="4" w:space="0"/>
              <w:right w:val="single" w:color="000000" w:sz="4" w:space="0"/>
            </w:tcBorders>
            <w:shd w:val="clear" w:color="auto" w:fill="auto"/>
            <w:vAlign w:val="center"/>
          </w:tc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满意</w:t>
            </w:r>
            <w:r>
              <w:rPr>
                <w:rFonts w:hint="eastAsia" w:ascii="仿宋_GB2312" w:eastAsia="仿宋_GB2312" w:cs="仿宋_GB2312"/>
                <w:kern w:val="0"/>
                <w:sz w:val="28"/>
                <w:szCs w:val="28"/>
              </w:rPr>
              <w:br w:type="textWrapping"/>
            </w:r>
            <w:r>
              <w:rPr>
                <w:rFonts w:hint="eastAsia" w:ascii="仿宋_GB2312" w:eastAsia="仿宋_GB2312" w:cs="仿宋_GB2312"/>
                <w:kern w:val="0"/>
                <w:sz w:val="28"/>
                <w:szCs w:val="28"/>
              </w:rPr>
              <w:t>度指标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仿宋_GB2312"/>
                <w:kern w:val="0"/>
                <w:sz w:val="28"/>
                <w:szCs w:val="28"/>
              </w:rPr>
            </w:pPr>
            <w:r>
              <w:rPr>
                <w:rFonts w:hint="eastAsia" w:ascii="仿宋_GB2312" w:eastAsia="仿宋_GB2312" w:cs="仿宋_GB2312"/>
                <w:kern w:val="0"/>
                <w:sz w:val="28"/>
                <w:szCs w:val="28"/>
              </w:rPr>
              <w:t>满意度</w:t>
            </w:r>
          </w:p>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指标</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 xml:space="preserve"> 指标1：市民满意度</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eastAsia="仿宋_GB2312" w:cs="宋体"/>
                <w:sz w:val="18"/>
                <w:szCs w:val="18"/>
              </w:rPr>
            </w:pPr>
            <w:r>
              <w:rPr>
                <w:rFonts w:hint="eastAsia" w:ascii="仿宋_GB2312" w:eastAsia="仿宋_GB2312"/>
                <w:sz w:val="18"/>
                <w:szCs w:val="18"/>
              </w:rPr>
              <w:t>95%</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eastAsia="仿宋_GB2312" w:cs="宋体"/>
                <w:sz w:val="18"/>
                <w:szCs w:val="18"/>
              </w:rPr>
            </w:pPr>
            <w:r>
              <w:rPr>
                <w:rFonts w:hint="eastAsia" w:ascii="仿宋_GB2312" w:eastAsia="仿宋_GB2312"/>
                <w:sz w:val="18"/>
                <w:szCs w:val="18"/>
              </w:rPr>
              <w:t>95%</w:t>
            </w:r>
          </w:p>
        </w:tc>
      </w:tr>
    </w:tbl>
    <w:p>
      <w:pPr>
        <w:spacing w:line="580" w:lineRule="exact"/>
        <w:rPr>
          <w:rFonts w:ascii="仿宋_GB2312" w:eastAsia="仿宋_GB2312" w:cs="仿宋_GB2312"/>
          <w:sz w:val="32"/>
          <w:szCs w:val="32"/>
        </w:rPr>
      </w:pPr>
    </w:p>
    <w:p>
      <w:pPr>
        <w:adjustRightInd w:val="0"/>
        <w:snapToGrid w:val="0"/>
        <w:spacing w:line="600" w:lineRule="exact"/>
        <w:ind w:firstLine="720"/>
        <w:rPr>
          <w:rFonts w:ascii="黑体" w:eastAsia="黑体"/>
          <w:sz w:val="32"/>
          <w:szCs w:val="32"/>
        </w:rPr>
      </w:pPr>
      <w:r>
        <w:rPr>
          <w:rFonts w:hint="eastAsia" w:ascii="黑体" w:eastAsia="黑体"/>
          <w:sz w:val="32"/>
          <w:szCs w:val="32"/>
        </w:rPr>
        <w:t>五、评价结论及建议</w:t>
      </w:r>
    </w:p>
    <w:p>
      <w:pPr>
        <w:spacing w:line="580" w:lineRule="exact"/>
        <w:ind w:firstLine="640" w:firstLineChars="200"/>
        <w:rPr>
          <w:rStyle w:val="19"/>
          <w:rFonts w:ascii="仿宋_GB2312" w:eastAsia="仿宋_GB2312" w:cs="仿宋_GB2312"/>
          <w:b w:val="0"/>
          <w:bCs w:val="0"/>
          <w:kern w:val="2"/>
          <w:sz w:val="32"/>
          <w:szCs w:val="32"/>
        </w:rPr>
      </w:pPr>
      <w:r>
        <w:rPr>
          <w:rFonts w:hint="eastAsia" w:ascii="仿宋_GB2312" w:eastAsia="仿宋_GB2312" w:cs="仿宋_GB2312"/>
          <w:sz w:val="32"/>
          <w:szCs w:val="32"/>
        </w:rPr>
        <w:t>通过项目实施，保障数字管理化平台正常运行，促进建筑市场更规范，确保受监工程整洁、有序,施工现场扬尘治理更给力，空气更清新，消除受监工程不文明现象，确保工地扬尘治理以及安全,提升对受监工程的管理效率降低生产安全事故发生概率，提升工程质量水平。</w:t>
      </w:r>
    </w:p>
    <w:tbl>
      <w:tblPr>
        <w:tblStyle w:val="15"/>
        <w:tblpPr w:leftFromText="180" w:rightFromText="180" w:vertAnchor="text" w:horzAnchor="page" w:tblpX="1281" w:tblpY="660"/>
        <w:tblOverlap w:val="never"/>
        <w:tblW w:w="101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4"/>
        <w:gridCol w:w="956"/>
        <w:gridCol w:w="600"/>
        <w:gridCol w:w="818"/>
        <w:gridCol w:w="817"/>
        <w:gridCol w:w="1062"/>
        <w:gridCol w:w="1587"/>
        <w:gridCol w:w="539"/>
        <w:gridCol w:w="2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105" w:type="dxa"/>
            <w:gridSpan w:val="9"/>
            <w:tcBorders>
              <w:top w:val="nil"/>
              <w:left w:val="nil"/>
              <w:bottom w:val="nil"/>
              <w:right w:val="nil"/>
            </w:tcBorders>
            <w:shd w:val="clear" w:color="auto" w:fill="auto"/>
            <w:vAlign w:val="center"/>
          </w:tcPr>
          <w:p>
            <w:pPr>
              <w:pStyle w:val="2"/>
              <w:spacing w:before="93" w:beforeLines="0"/>
              <w:jc w:val="center"/>
              <w:rPr>
                <w:rFonts w:ascii="宋体" w:hAnsi="宋体" w:cs="宋体"/>
                <w:b/>
                <w:sz w:val="32"/>
                <w:szCs w:val="32"/>
              </w:rPr>
            </w:pPr>
            <w:r>
              <w:rPr>
                <w:rFonts w:hint="eastAsia" w:ascii="宋体" w:hAnsi="宋体" w:cs="宋体"/>
                <w:b/>
                <w:sz w:val="32"/>
                <w:szCs w:val="32"/>
              </w:rPr>
              <w:t xml:space="preserve">     2021年50万元以上（含）特定目标类部门预算项目绩效目标自评</w:t>
            </w:r>
          </w:p>
          <w:p>
            <w:pPr>
              <w:widowControl/>
              <w:ind w:firstLine="1426" w:firstLineChars="444"/>
              <w:textAlignment w:val="center"/>
              <w:rPr>
                <w:rFonts w:ascii="宋体" w:cs="宋体"/>
                <w:b/>
                <w:sz w:val="32"/>
                <w:szCs w:val="32"/>
              </w:rPr>
            </w:pPr>
            <w:r>
              <w:rPr>
                <w:rFonts w:hint="eastAsia" w:ascii="宋体" w:cs="宋体"/>
                <w:b/>
                <w:sz w:val="32"/>
                <w:szCs w:val="32"/>
              </w:rPr>
              <w:t>（建设工程质量数字化管理平台运转维护费）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宋体"/>
                <w:sz w:val="24"/>
              </w:rPr>
            </w:pPr>
            <w:r>
              <w:rPr>
                <w:rFonts w:hint="eastAsia" w:ascii="宋体" w:cs="宋体"/>
                <w:kern w:val="0"/>
                <w:sz w:val="24"/>
              </w:rPr>
              <w:t>主管部门及代码</w:t>
            </w:r>
          </w:p>
        </w:tc>
        <w:tc>
          <w:tcPr>
            <w:tcW w:w="2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cs="宋体"/>
                <w:sz w:val="24"/>
              </w:rPr>
            </w:pPr>
            <w:r>
              <w:rPr>
                <w:rFonts w:hint="eastAsia" w:ascii="宋体" w:cs="宋体"/>
                <w:sz w:val="24"/>
              </w:rPr>
              <w:t>攀枝花市住房和城乡建设局    801001</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宋体"/>
                <w:sz w:val="24"/>
              </w:rPr>
            </w:pPr>
            <w:r>
              <w:rPr>
                <w:rFonts w:hint="eastAsia" w:ascii="宋体" w:cs="宋体"/>
                <w:kern w:val="0"/>
                <w:sz w:val="24"/>
              </w:rPr>
              <w:t>实施单位</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宋体"/>
                <w:sz w:val="24"/>
              </w:rPr>
            </w:pPr>
            <w:r>
              <w:rPr>
                <w:rFonts w:ascii="宋体" w:cs="宋体"/>
                <w:sz w:val="24"/>
              </w:rPr>
              <w:t>攀枝花市建设工程</w:t>
            </w:r>
          </w:p>
          <w:p>
            <w:pPr>
              <w:widowControl/>
              <w:spacing w:line="320" w:lineRule="exact"/>
              <w:jc w:val="center"/>
              <w:textAlignment w:val="center"/>
              <w:rPr>
                <w:rFonts w:ascii="宋体" w:cs="宋体"/>
                <w:sz w:val="24"/>
              </w:rPr>
            </w:pPr>
            <w:r>
              <w:rPr>
                <w:rFonts w:ascii="宋体" w:cs="宋体"/>
                <w:sz w:val="24"/>
              </w:rPr>
              <w:t>质量安全站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9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宋体"/>
                <w:sz w:val="24"/>
              </w:rPr>
            </w:pPr>
            <w:r>
              <w:rPr>
                <w:rFonts w:hint="eastAsia" w:ascii="宋体" w:cs="宋体"/>
                <w:kern w:val="0"/>
                <w:sz w:val="24"/>
              </w:rPr>
              <w:t>项目预算</w:t>
            </w:r>
            <w:r>
              <w:rPr>
                <w:rFonts w:hint="eastAsia" w:ascii="宋体" w:cs="宋体"/>
                <w:kern w:val="0"/>
                <w:sz w:val="24"/>
              </w:rPr>
              <w:br w:type="textWrapping"/>
            </w:r>
            <w:r>
              <w:rPr>
                <w:rFonts w:hint="eastAsia" w:ascii="宋体" w:cs="宋体"/>
                <w:kern w:val="0"/>
                <w:sz w:val="24"/>
              </w:rPr>
              <w:t>执行情况</w:t>
            </w:r>
            <w:r>
              <w:rPr>
                <w:rFonts w:hint="eastAsia" w:ascii="宋体" w:cs="宋体"/>
                <w:kern w:val="0"/>
                <w:sz w:val="24"/>
              </w:rPr>
              <w:br w:type="textWrapping"/>
            </w:r>
            <w:r>
              <w:rPr>
                <w:rFonts w:hint="eastAsia" w:ascii="宋体" w:cs="宋体"/>
                <w:kern w:val="0"/>
                <w:sz w:val="24"/>
              </w:rPr>
              <w:t>（万元）</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sz w:val="24"/>
              </w:rPr>
            </w:pPr>
            <w:r>
              <w:rPr>
                <w:rFonts w:hint="eastAsia" w:ascii="宋体" w:cs="宋体"/>
                <w:kern w:val="0"/>
                <w:sz w:val="24"/>
              </w:rPr>
              <w:t xml:space="preserve"> 预算数：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sz w:val="24"/>
              </w:rPr>
            </w:pPr>
            <w:r>
              <w:rPr>
                <w:rFonts w:ascii="宋体" w:cs="宋体"/>
                <w:sz w:val="24"/>
              </w:rPr>
              <w:t>50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sz w:val="24"/>
              </w:rPr>
            </w:pPr>
            <w:r>
              <w:rPr>
                <w:rFonts w:hint="eastAsia" w:ascii="宋体" w:cs="宋体"/>
                <w:kern w:val="0"/>
                <w:sz w:val="24"/>
              </w:rPr>
              <w:t xml:space="preserve"> 执行数：</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sz w:val="24"/>
              </w:rPr>
            </w:pPr>
            <w:r>
              <w:rPr>
                <w:rFonts w:ascii="宋体" w:cs="宋体"/>
                <w:sz w:val="24"/>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9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kern w:val="0"/>
                <w:sz w:val="24"/>
              </w:rPr>
            </w:pPr>
            <w:r>
              <w:rPr>
                <w:rFonts w:hint="eastAsia" w:ascii="宋体" w:cs="宋体"/>
                <w:kern w:val="0"/>
                <w:sz w:val="24"/>
              </w:rPr>
              <w:t>其中：</w:t>
            </w:r>
          </w:p>
          <w:p>
            <w:pPr>
              <w:widowControl/>
              <w:spacing w:line="320" w:lineRule="exact"/>
              <w:jc w:val="left"/>
              <w:textAlignment w:val="center"/>
              <w:rPr>
                <w:rFonts w:ascii="宋体" w:cs="宋体"/>
                <w:sz w:val="24"/>
              </w:rPr>
            </w:pPr>
            <w:r>
              <w:rPr>
                <w:rFonts w:hint="eastAsia" w:ascii="宋体" w:cs="宋体"/>
                <w:kern w:val="0"/>
                <w:sz w:val="24"/>
              </w:rPr>
              <w:t>财政拨款</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sz w:val="24"/>
              </w:rPr>
            </w:pPr>
            <w:r>
              <w:rPr>
                <w:rFonts w:ascii="宋体" w:cs="宋体"/>
                <w:sz w:val="24"/>
              </w:rPr>
              <w:t>50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kern w:val="0"/>
                <w:sz w:val="24"/>
              </w:rPr>
            </w:pPr>
            <w:r>
              <w:rPr>
                <w:rFonts w:hint="eastAsia" w:ascii="宋体" w:cs="宋体"/>
                <w:kern w:val="0"/>
                <w:sz w:val="24"/>
              </w:rPr>
              <w:t>其中：</w:t>
            </w:r>
          </w:p>
          <w:p>
            <w:pPr>
              <w:widowControl/>
              <w:spacing w:line="320" w:lineRule="exact"/>
              <w:jc w:val="left"/>
              <w:textAlignment w:val="center"/>
              <w:rPr>
                <w:rFonts w:ascii="宋体" w:cs="宋体"/>
                <w:sz w:val="24"/>
              </w:rPr>
            </w:pPr>
            <w:r>
              <w:rPr>
                <w:rFonts w:hint="eastAsia" w:ascii="宋体" w:cs="宋体"/>
                <w:kern w:val="0"/>
                <w:sz w:val="24"/>
              </w:rPr>
              <w:t>财政拨款</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sz w:val="24"/>
              </w:rPr>
            </w:pPr>
            <w:r>
              <w:rPr>
                <w:rFonts w:ascii="宋体" w:cs="宋体"/>
                <w:sz w:val="24"/>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9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sz w:val="24"/>
              </w:rPr>
            </w:pPr>
            <w:r>
              <w:rPr>
                <w:rFonts w:hint="eastAsia" w:ascii="宋体" w:cs="宋体"/>
                <w:kern w:val="0"/>
                <w:sz w:val="24"/>
              </w:rPr>
              <w:t>其他资金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sz w:val="24"/>
              </w:rPr>
            </w:pPr>
            <w:r>
              <w:rPr>
                <w:rFonts w:hint="eastAsia" w:ascii="宋体" w:cs="宋体"/>
                <w:sz w:val="24"/>
              </w:rPr>
              <w:t>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cs="宋体"/>
                <w:sz w:val="24"/>
              </w:rPr>
            </w:pPr>
            <w:r>
              <w:rPr>
                <w:rFonts w:hint="eastAsia" w:ascii="宋体" w:cs="宋体"/>
                <w:kern w:val="0"/>
                <w:sz w:val="24"/>
              </w:rPr>
              <w:t>其他资金</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cs="宋体"/>
                <w:sz w:val="24"/>
              </w:rPr>
            </w:pPr>
            <w:r>
              <w:rPr>
                <w:rFonts w:hint="eastAsia" w:ascii="宋体" w:cs="宋体"/>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宋体"/>
                <w:kern w:val="0"/>
                <w:sz w:val="24"/>
              </w:rPr>
            </w:pPr>
            <w:r>
              <w:rPr>
                <w:rFonts w:hint="eastAsia" w:ascii="宋体" w:cs="宋体"/>
                <w:kern w:val="0"/>
                <w:sz w:val="24"/>
              </w:rPr>
              <w:t>年度总体目标完成情况</w:t>
            </w:r>
          </w:p>
        </w:tc>
        <w:tc>
          <w:tcPr>
            <w:tcW w:w="42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宋体"/>
                <w:sz w:val="24"/>
              </w:rPr>
            </w:pPr>
            <w:r>
              <w:rPr>
                <w:rFonts w:hint="eastAsia" w:ascii="宋体" w:cs="宋体"/>
                <w:kern w:val="0"/>
                <w:sz w:val="24"/>
              </w:rPr>
              <w:t>预期目标</w:t>
            </w:r>
          </w:p>
        </w:tc>
        <w:tc>
          <w:tcPr>
            <w:tcW w:w="4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cs="宋体"/>
                <w:sz w:val="24"/>
              </w:rPr>
            </w:pPr>
            <w:r>
              <w:rPr>
                <w:rFonts w:hint="eastAsia" w:ascii="宋体" w:cs="宋体"/>
                <w:kern w:val="0"/>
                <w:sz w:val="24"/>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253"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cs="宋体"/>
                <w:sz w:val="24"/>
              </w:rPr>
            </w:pPr>
            <w:r>
              <w:rPr>
                <w:rFonts w:hint="eastAsia" w:ascii="宋体" w:cs="宋体"/>
                <w:sz w:val="24"/>
              </w:rPr>
              <w:t>按统一平台、整合资源的原则，负责全市建筑施工远程视频监控平台的规划、建设、管理和使用。做好全市建设工程远程视频监控的数据收集和取证，对监控时的安全隐患、违章操作、安全事故以及其他异常情况等影像资料的监控数据进行采集和保持，并且及时对上述问题进行整改，减少和避免建筑工地上述问题的发生</w:t>
            </w:r>
          </w:p>
        </w:tc>
        <w:tc>
          <w:tcPr>
            <w:tcW w:w="4468"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cs="宋体"/>
                <w:sz w:val="24"/>
              </w:rPr>
            </w:pPr>
            <w:r>
              <w:rPr>
                <w:rFonts w:hint="eastAsia" w:ascii="宋体" w:cs="宋体"/>
                <w:sz w:val="24"/>
              </w:rPr>
              <w:t>按统一平台、整合资源的原则，负责全市建筑施工远程视频监控平台的规划、建设、管理和使用。做好全市建设工程远程视频监控的数据收集和取证，对监控时的安全隐患、违章操作、安全事故以及其他异常情况等影像资料的监控数据进行采集和保持，并且及时对上述问题进行整改，减少和避免建筑工地上述问题的发生。本年度拟建立工程项目监控体系30个，安装摄像头120个，拟构建建筑起重机械安全监控平台试点1个，扬尘污染实时监控平台试点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3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年度绩效指标完成情况</w:t>
            </w:r>
          </w:p>
        </w:tc>
        <w:tc>
          <w:tcPr>
            <w:tcW w:w="956"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eastAsia="仿宋_GB2312" w:cs="仿宋_GB2312"/>
                <w:kern w:val="0"/>
                <w:sz w:val="28"/>
                <w:szCs w:val="28"/>
              </w:rPr>
            </w:pPr>
            <w:r>
              <w:rPr>
                <w:rFonts w:hint="eastAsia" w:ascii="仿宋_GB2312" w:eastAsia="仿宋_GB2312" w:cs="仿宋_GB2312"/>
                <w:kern w:val="0"/>
                <w:sz w:val="28"/>
                <w:szCs w:val="28"/>
              </w:rPr>
              <w:t>一级</w:t>
            </w:r>
          </w:p>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eastAsia="仿宋_GB2312" w:cs="仿宋_GB2312"/>
                <w:kern w:val="0"/>
                <w:sz w:val="28"/>
                <w:szCs w:val="28"/>
              </w:rPr>
            </w:pPr>
            <w:r>
              <w:rPr>
                <w:rFonts w:hint="eastAsia" w:ascii="仿宋_GB2312" w:eastAsia="仿宋_GB2312" w:cs="仿宋_GB2312"/>
                <w:kern w:val="0"/>
                <w:sz w:val="28"/>
                <w:szCs w:val="28"/>
              </w:rPr>
              <w:t>二级</w:t>
            </w:r>
          </w:p>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eastAsia="仿宋_GB2312" w:cs="仿宋_GB2312"/>
                <w:kern w:val="0"/>
                <w:sz w:val="28"/>
                <w:szCs w:val="28"/>
              </w:rPr>
            </w:pPr>
            <w:r>
              <w:rPr>
                <w:rFonts w:hint="eastAsia" w:ascii="仿宋_GB2312" w:eastAsia="仿宋_GB2312" w:cs="仿宋_GB2312"/>
                <w:kern w:val="0"/>
                <w:sz w:val="28"/>
                <w:szCs w:val="28"/>
              </w:rPr>
              <w:t>三级</w:t>
            </w:r>
          </w:p>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预期指标值</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384" w:type="dxa"/>
            <w:vMerge w:val="continue"/>
            <w:tcBorders>
              <w:left w:val="single" w:color="000000" w:sz="4" w:space="0"/>
              <w:right w:val="single" w:color="000000" w:sz="4" w:space="0"/>
            </w:tcBorders>
            <w:shd w:val="clear" w:color="auto" w:fill="auto"/>
            <w:vAlign w:val="center"/>
          </w:tcP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eastAsia="仿宋_GB2312" w:cs="仿宋_GB2312"/>
                <w:kern w:val="0"/>
                <w:sz w:val="28"/>
                <w:szCs w:val="28"/>
              </w:rPr>
            </w:pPr>
            <w:r>
              <w:rPr>
                <w:rFonts w:hint="eastAsia" w:ascii="仿宋_GB2312" w:eastAsia="仿宋_GB2312" w:cs="仿宋_GB2312"/>
                <w:kern w:val="0"/>
                <w:sz w:val="28"/>
                <w:szCs w:val="28"/>
              </w:rPr>
              <w:t>完成</w:t>
            </w:r>
          </w:p>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指标</w:t>
            </w:r>
          </w:p>
        </w:tc>
        <w:tc>
          <w:tcPr>
            <w:tcW w:w="1418"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数量指标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 xml:space="preserve"> 指标1：聘用人员工资</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监控人员10人</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监控人员10人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384" w:type="dxa"/>
            <w:vMerge w:val="continue"/>
            <w:tcBorders>
              <w:left w:val="single" w:color="000000" w:sz="4" w:space="0"/>
              <w:right w:val="single" w:color="000000" w:sz="4" w:space="0"/>
            </w:tcBorders>
            <w:shd w:val="clear" w:color="auto" w:fill="auto"/>
            <w:vAlign w:val="center"/>
          </w:tc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1418" w:type="dxa"/>
            <w:gridSpan w:val="2"/>
            <w:vMerge w:val="continue"/>
            <w:tcBorders>
              <w:left w:val="single" w:color="000000" w:sz="4" w:space="0"/>
              <w:bottom w:val="single" w:color="000000" w:sz="4" w:space="0"/>
              <w:right w:val="single" w:color="000000" w:sz="4" w:space="0"/>
            </w:tcBorders>
            <w:shd w:val="clear" w:color="auto" w:fill="auto"/>
            <w:vAlign w:val="bottom"/>
          </w:tcP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 xml:space="preserve"> 指标2：设备及网络维护</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按照要求及时对设备、网络及机房进行维护</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按照要求及时对设备、网络及机房进行维护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384" w:type="dxa"/>
            <w:vMerge w:val="continue"/>
            <w:tcBorders>
              <w:left w:val="single" w:color="000000" w:sz="4" w:space="0"/>
              <w:right w:val="single" w:color="000000" w:sz="4" w:space="0"/>
            </w:tcBorders>
            <w:shd w:val="clear" w:color="auto" w:fill="auto"/>
            <w:vAlign w:val="center"/>
          </w:tc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1418" w:type="dxa"/>
            <w:gridSpan w:val="2"/>
            <w:vMerge w:val="continue"/>
            <w:tcBorders>
              <w:left w:val="single" w:color="000000" w:sz="4" w:space="0"/>
              <w:bottom w:val="single" w:color="000000" w:sz="4" w:space="0"/>
              <w:right w:val="single" w:color="000000" w:sz="4" w:space="0"/>
            </w:tcBorders>
            <w:shd w:val="clear" w:color="auto" w:fill="auto"/>
            <w:vAlign w:val="bottom"/>
          </w:tcP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指标2：日常办公</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监控中心日常公用</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监控中心日常公用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384" w:type="dxa"/>
            <w:vMerge w:val="continue"/>
            <w:tcBorders>
              <w:left w:val="single" w:color="000000" w:sz="4" w:space="0"/>
              <w:right w:val="single" w:color="000000" w:sz="4" w:space="0"/>
            </w:tcBorders>
            <w:shd w:val="clear" w:color="auto" w:fill="auto"/>
            <w:vAlign w:val="center"/>
          </w:tc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质量指标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 xml:space="preserve"> 指标1：电脑及机房维护</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确保监控设备运行，监控画面流畅实时监控</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确保监控设备运行，监控画面流畅实时监控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384" w:type="dxa"/>
            <w:vMerge w:val="continue"/>
            <w:tcBorders>
              <w:left w:val="single" w:color="000000" w:sz="4" w:space="0"/>
              <w:right w:val="single" w:color="000000" w:sz="4" w:space="0"/>
            </w:tcBorders>
            <w:shd w:val="clear" w:color="auto" w:fill="auto"/>
            <w:vAlign w:val="center"/>
          </w:tc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时效指标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 xml:space="preserve"> 指标1：完成工作时间</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2021年</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4" w:type="dxa"/>
            <w:vMerge w:val="continue"/>
            <w:tcBorders>
              <w:left w:val="single" w:color="000000" w:sz="4" w:space="0"/>
              <w:right w:val="single" w:color="000000" w:sz="4" w:space="0"/>
            </w:tcBorders>
            <w:shd w:val="clear" w:color="auto" w:fill="auto"/>
            <w:vAlign w:val="center"/>
          </w:tc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1418" w:type="dxa"/>
            <w:gridSpan w:val="2"/>
            <w:vMerge w:val="restart"/>
            <w:tcBorders>
              <w:top w:val="single" w:color="000000" w:sz="4" w:space="0"/>
              <w:left w:val="single" w:color="000000" w:sz="4" w:space="0"/>
              <w:right w:val="single" w:color="000000" w:sz="4" w:space="0"/>
            </w:tcBorders>
            <w:shd w:val="clear" w:color="auto" w:fill="auto"/>
            <w:vAlign w:val="center"/>
          </w:tcPr>
          <w:p>
            <w:pPr>
              <w:spacing w:line="320" w:lineRule="exact"/>
              <w:jc w:val="center"/>
              <w:textAlignment w:val="bottom"/>
              <w:rPr>
                <w:rFonts w:ascii="仿宋_GB2312" w:eastAsia="仿宋_GB2312" w:cs="仿宋_GB2312"/>
                <w:kern w:val="0"/>
                <w:sz w:val="28"/>
                <w:szCs w:val="28"/>
              </w:rPr>
            </w:pPr>
            <w:r>
              <w:rPr>
                <w:rFonts w:hint="eastAsia" w:ascii="仿宋_GB2312" w:eastAsia="仿宋_GB2312" w:cs="仿宋_GB2312"/>
                <w:kern w:val="0"/>
                <w:sz w:val="28"/>
                <w:szCs w:val="28"/>
              </w:rPr>
              <w:t>成本指标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 xml:space="preserve"> 指标1：工资及社保</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支付10个人员工资社保</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支付10个人员工资社保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4" w:type="dxa"/>
            <w:vMerge w:val="continue"/>
            <w:tcBorders>
              <w:left w:val="single" w:color="000000" w:sz="4" w:space="0"/>
              <w:right w:val="single" w:color="000000" w:sz="4" w:space="0"/>
            </w:tcBorders>
            <w:shd w:val="clear" w:color="auto" w:fill="auto"/>
            <w:vAlign w:val="center"/>
          </w:tc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1418" w:type="dxa"/>
            <w:gridSpan w:val="2"/>
            <w:vMerge w:val="continue"/>
            <w:tcBorders>
              <w:left w:val="single" w:color="000000" w:sz="4" w:space="0"/>
              <w:right w:val="single" w:color="000000" w:sz="4" w:space="0"/>
            </w:tcBorders>
            <w:shd w:val="clear" w:color="auto" w:fill="auto"/>
            <w:vAlign w:val="center"/>
          </w:tcP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 xml:space="preserve"> 指标2：日常办公网络维护等经费</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日常办公网络维护等经费</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日常办公网络维护等经费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4" w:type="dxa"/>
            <w:vMerge w:val="continue"/>
            <w:tcBorders>
              <w:left w:val="single" w:color="000000" w:sz="4" w:space="0"/>
              <w:right w:val="single" w:color="000000" w:sz="4" w:space="0"/>
            </w:tcBorders>
            <w:shd w:val="clear" w:color="auto" w:fill="auto"/>
            <w:vAlign w:val="center"/>
          </w:tcP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效益</w:t>
            </w:r>
            <w:r>
              <w:rPr>
                <w:rFonts w:hint="eastAsia" w:ascii="仿宋_GB2312" w:eastAsia="仿宋_GB2312" w:cs="仿宋_GB2312"/>
                <w:kern w:val="0"/>
                <w:sz w:val="28"/>
                <w:szCs w:val="28"/>
              </w:rPr>
              <w:br w:type="textWrapping"/>
            </w:r>
            <w:r>
              <w:rPr>
                <w:rFonts w:hint="eastAsia" w:ascii="仿宋_GB2312" w:eastAsia="仿宋_GB2312" w:cs="仿宋_GB2312"/>
                <w:kern w:val="0"/>
                <w:sz w:val="28"/>
                <w:szCs w:val="28"/>
              </w:rPr>
              <w:t>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经济效益  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 xml:space="preserve"> 指标1：提升建设工程质量水平</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保障数字管理化平台正常运行，促进建筑市场更规范运行，提升工程质量达标，提高行业经济效益</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保障数字管理化平台正常运行，促进建筑市场更规范运行，提升工程质量达标，提高行业经济效益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4" w:type="dxa"/>
            <w:vMerge w:val="continue"/>
            <w:tcBorders>
              <w:left w:val="single" w:color="000000" w:sz="4" w:space="0"/>
              <w:right w:val="single" w:color="000000" w:sz="4" w:space="0"/>
            </w:tcBorders>
            <w:shd w:val="clear" w:color="auto" w:fill="auto"/>
            <w:vAlign w:val="center"/>
          </w:tc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社会效益  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 xml:space="preserve"> 指标1：保障平台运转</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保障数字管理化平台正常运行，促进建筑市场更规范</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保障数字管理化平台正常运行，促进建筑市场更规范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4" w:type="dxa"/>
            <w:vMerge w:val="continue"/>
            <w:tcBorders>
              <w:left w:val="single" w:color="000000" w:sz="4" w:space="0"/>
              <w:right w:val="single" w:color="000000" w:sz="4" w:space="0"/>
            </w:tcBorders>
            <w:shd w:val="clear" w:color="auto" w:fill="auto"/>
            <w:vAlign w:val="center"/>
          </w:tc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cs="宋体"/>
                <w:sz w:val="24"/>
              </w:rPr>
            </w:pPr>
            <w:r>
              <w:rPr>
                <w:rFonts w:hint="eastAsia" w:ascii="仿宋_GB2312" w:eastAsia="仿宋_GB2312" w:cs="仿宋_GB2312"/>
                <w:kern w:val="0"/>
                <w:sz w:val="28"/>
                <w:szCs w:val="28"/>
              </w:rPr>
              <w:t>生态效益</w:t>
            </w:r>
            <w:r>
              <w:rPr>
                <w:rFonts w:hint="eastAsia" w:ascii="仿宋_GB2312" w:eastAsia="仿宋_GB2312" w:cs="仿宋_GB2312"/>
                <w:kern w:val="0"/>
                <w:sz w:val="28"/>
                <w:szCs w:val="28"/>
              </w:rPr>
              <w:br w:type="textWrapping"/>
            </w:r>
            <w:r>
              <w:rPr>
                <w:rFonts w:hint="eastAsia" w:ascii="仿宋_GB2312" w:eastAsia="仿宋_GB2312" w:cs="仿宋_GB2312"/>
                <w:kern w:val="0"/>
                <w:sz w:val="28"/>
                <w:szCs w:val="28"/>
              </w:rPr>
              <w:t>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 xml:space="preserve"> 指标1：美化市民居住环境</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确保受监工程整洁、有序,施工现场扬尘治理更给力，空气更清新</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环境更好，空气更好,确保受监工程整洁、有序,施工现场扬尘治理更给力，空气更清新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4" w:type="dxa"/>
            <w:vMerge w:val="continue"/>
            <w:tcBorders>
              <w:left w:val="single" w:color="000000" w:sz="4" w:space="0"/>
              <w:right w:val="single" w:color="000000" w:sz="4" w:space="0"/>
            </w:tcBorders>
            <w:shd w:val="clear" w:color="auto" w:fill="auto"/>
            <w:vAlign w:val="center"/>
          </w:tc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可持续影响指标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 xml:space="preserve"> 指标1：工程质量持续优化</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消除受监工程不文明现象，确保工地扬尘治理以及安全,提升对受监工程的管理效率降低生产安全事故发生概率，提升工程质量水平。</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消除受监工程不文明现象，确保工地扬尘治理以及安全,提升对受监工程的管理效率降低生产安全事故发生概率，提升工程质量水平。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384" w:type="dxa"/>
            <w:vMerge w:val="continue"/>
            <w:tcBorders>
              <w:left w:val="single" w:color="000000" w:sz="4" w:space="0"/>
              <w:bottom w:val="single" w:color="000000" w:sz="4" w:space="0"/>
              <w:right w:val="single" w:color="000000" w:sz="4" w:space="0"/>
            </w:tcBorders>
            <w:shd w:val="clear" w:color="auto" w:fill="auto"/>
            <w:vAlign w:val="center"/>
          </w:tc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满意</w:t>
            </w:r>
            <w:r>
              <w:rPr>
                <w:rFonts w:hint="eastAsia" w:ascii="仿宋_GB2312" w:eastAsia="仿宋_GB2312" w:cs="仿宋_GB2312"/>
                <w:kern w:val="0"/>
                <w:sz w:val="28"/>
                <w:szCs w:val="28"/>
              </w:rPr>
              <w:br w:type="textWrapping"/>
            </w:r>
            <w:r>
              <w:rPr>
                <w:rFonts w:hint="eastAsia" w:ascii="仿宋_GB2312" w:eastAsia="仿宋_GB2312" w:cs="仿宋_GB2312"/>
                <w:kern w:val="0"/>
                <w:sz w:val="28"/>
                <w:szCs w:val="28"/>
              </w:rPr>
              <w:t>度指标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仿宋_GB2312"/>
                <w:kern w:val="0"/>
                <w:sz w:val="28"/>
                <w:szCs w:val="28"/>
              </w:rPr>
            </w:pPr>
            <w:r>
              <w:rPr>
                <w:rFonts w:hint="eastAsia" w:ascii="仿宋_GB2312" w:eastAsia="仿宋_GB2312" w:cs="仿宋_GB2312"/>
                <w:kern w:val="0"/>
                <w:sz w:val="28"/>
                <w:szCs w:val="28"/>
              </w:rPr>
              <w:t>满意度</w:t>
            </w:r>
          </w:p>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cs="宋体"/>
                <w:sz w:val="18"/>
                <w:szCs w:val="18"/>
              </w:rPr>
            </w:pPr>
            <w:r>
              <w:rPr>
                <w:rFonts w:hint="eastAsia" w:ascii="仿宋_GB2312" w:eastAsia="仿宋_GB2312"/>
                <w:sz w:val="18"/>
                <w:szCs w:val="18"/>
              </w:rPr>
              <w:t xml:space="preserve"> 指标1：市民满意度</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eastAsia="仿宋_GB2312" w:cs="宋体"/>
                <w:sz w:val="18"/>
                <w:szCs w:val="18"/>
              </w:rPr>
            </w:pPr>
            <w:r>
              <w:rPr>
                <w:rFonts w:hint="eastAsia" w:ascii="仿宋_GB2312" w:eastAsia="仿宋_GB2312"/>
                <w:sz w:val="18"/>
                <w:szCs w:val="18"/>
              </w:rPr>
              <w:t>95%</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eastAsia="仿宋_GB2312" w:cs="宋体"/>
                <w:sz w:val="18"/>
                <w:szCs w:val="18"/>
              </w:rPr>
            </w:pPr>
            <w:r>
              <w:rPr>
                <w:rFonts w:hint="eastAsia" w:ascii="仿宋_GB2312" w:eastAsia="仿宋_GB2312"/>
                <w:sz w:val="18"/>
                <w:szCs w:val="18"/>
              </w:rPr>
              <w:t>95%</w:t>
            </w:r>
          </w:p>
        </w:tc>
      </w:tr>
    </w:tbl>
    <w:p>
      <w:pPr>
        <w:rPr>
          <w:rFonts w:eastAsia="仿宋"/>
        </w:rPr>
      </w:pPr>
    </w:p>
    <w:p>
      <w:pPr>
        <w:widowControl/>
        <w:jc w:val="left"/>
        <w:rPr>
          <w:rStyle w:val="19"/>
          <w:rFonts w:ascii="黑体" w:eastAsia="黑体"/>
          <w:b w:val="0"/>
        </w:rPr>
      </w:pPr>
    </w:p>
    <w:p>
      <w:pPr>
        <w:spacing w:line="600" w:lineRule="exact"/>
        <w:jc w:val="center"/>
        <w:outlineLvl w:val="0"/>
        <w:rPr>
          <w:rFonts w:ascii="仿宋" w:eastAsia="仿宋"/>
        </w:rPr>
      </w:pPr>
      <w:bookmarkStart w:id="67" w:name="_Toc15396618"/>
      <w:r>
        <w:rPr>
          <w:rFonts w:hint="eastAsia" w:ascii="黑体" w:eastAsia="黑体"/>
          <w:sz w:val="44"/>
          <w:szCs w:val="44"/>
        </w:rPr>
        <w:t>第</w:t>
      </w:r>
      <w:r>
        <w:rPr>
          <w:rStyle w:val="19"/>
          <w:rFonts w:hint="eastAsia" w:ascii="黑体" w:eastAsia="黑体"/>
          <w:b w:val="0"/>
        </w:rPr>
        <w:t>五部分附表</w:t>
      </w:r>
      <w:bookmarkEnd w:id="65"/>
      <w:bookmarkEnd w:id="67"/>
      <w:bookmarkStart w:id="68" w:name="_Toc15396619"/>
    </w:p>
    <w:p>
      <w:pPr>
        <w:pStyle w:val="4"/>
        <w:rPr>
          <w:rFonts w:ascii="仿宋" w:eastAsia="仿宋"/>
        </w:rPr>
      </w:pPr>
      <w:r>
        <w:rPr>
          <w:rFonts w:hint="eastAsia" w:ascii="仿宋" w:eastAsia="仿宋"/>
          <w:b w:val="0"/>
        </w:rPr>
        <w:t>一、收</w:t>
      </w:r>
      <w:r>
        <w:rPr>
          <w:rStyle w:val="20"/>
          <w:rFonts w:hint="eastAsia" w:ascii="仿宋" w:eastAsia="仿宋"/>
          <w:b w:val="0"/>
          <w:bCs w:val="0"/>
        </w:rPr>
        <w:t>入支出决算总表</w:t>
      </w:r>
      <w:bookmarkEnd w:id="68"/>
    </w:p>
    <w:p>
      <w:pPr>
        <w:pStyle w:val="4"/>
        <w:rPr>
          <w:rFonts w:ascii="仿宋" w:eastAsia="仿宋"/>
        </w:rPr>
      </w:pPr>
      <w:bookmarkStart w:id="69" w:name="_Toc15396620"/>
      <w:r>
        <w:rPr>
          <w:rFonts w:hint="eastAsia" w:ascii="仿宋" w:eastAsia="仿宋"/>
          <w:b w:val="0"/>
        </w:rPr>
        <w:t>二、收</w:t>
      </w:r>
      <w:r>
        <w:rPr>
          <w:rStyle w:val="20"/>
          <w:rFonts w:hint="eastAsia" w:ascii="仿宋" w:eastAsia="仿宋"/>
          <w:b w:val="0"/>
          <w:bCs w:val="0"/>
        </w:rPr>
        <w:t>入决算表</w:t>
      </w:r>
      <w:bookmarkEnd w:id="69"/>
    </w:p>
    <w:p>
      <w:pPr>
        <w:pStyle w:val="4"/>
        <w:rPr>
          <w:rFonts w:ascii="仿宋" w:eastAsia="仿宋"/>
        </w:rPr>
      </w:pPr>
      <w:bookmarkStart w:id="70" w:name="_Toc15396621"/>
      <w:r>
        <w:rPr>
          <w:rStyle w:val="20"/>
          <w:rFonts w:hint="eastAsia" w:ascii="仿宋" w:eastAsia="仿宋"/>
          <w:b w:val="0"/>
          <w:bCs w:val="0"/>
        </w:rPr>
        <w:t>三、</w:t>
      </w:r>
      <w:r>
        <w:rPr>
          <w:rFonts w:hint="eastAsia" w:ascii="仿宋" w:eastAsia="仿宋"/>
          <w:b w:val="0"/>
        </w:rPr>
        <w:t>支</w:t>
      </w:r>
      <w:r>
        <w:rPr>
          <w:rStyle w:val="20"/>
          <w:rFonts w:hint="eastAsia" w:ascii="仿宋" w:eastAsia="仿宋"/>
          <w:b w:val="0"/>
          <w:bCs w:val="0"/>
        </w:rPr>
        <w:t>出决算表</w:t>
      </w:r>
      <w:bookmarkEnd w:id="70"/>
    </w:p>
    <w:p>
      <w:pPr>
        <w:pStyle w:val="4"/>
        <w:rPr>
          <w:rFonts w:ascii="仿宋" w:eastAsia="仿宋"/>
          <w:b w:val="0"/>
        </w:rPr>
      </w:pPr>
      <w:bookmarkStart w:id="71" w:name="_Toc15396622"/>
      <w:r>
        <w:rPr>
          <w:rStyle w:val="20"/>
          <w:rFonts w:hint="eastAsia" w:ascii="仿宋" w:eastAsia="仿宋"/>
          <w:b w:val="0"/>
          <w:bCs w:val="0"/>
        </w:rPr>
        <w:t>四、</w:t>
      </w:r>
      <w:r>
        <w:rPr>
          <w:rFonts w:hint="eastAsia" w:ascii="仿宋" w:eastAsia="仿宋"/>
          <w:b w:val="0"/>
        </w:rPr>
        <w:t>财</w:t>
      </w:r>
      <w:r>
        <w:rPr>
          <w:rStyle w:val="20"/>
          <w:rFonts w:hint="eastAsia" w:ascii="仿宋" w:eastAsia="仿宋"/>
          <w:b w:val="0"/>
          <w:bCs w:val="0"/>
        </w:rPr>
        <w:t>政拨款收入支出决算总表</w:t>
      </w:r>
      <w:bookmarkEnd w:id="71"/>
    </w:p>
    <w:p>
      <w:pPr>
        <w:pStyle w:val="4"/>
        <w:rPr>
          <w:rStyle w:val="20"/>
          <w:rFonts w:ascii="仿宋" w:eastAsia="仿宋"/>
          <w:b w:val="0"/>
          <w:bCs w:val="0"/>
        </w:rPr>
      </w:pPr>
      <w:bookmarkStart w:id="72" w:name="_Toc15396623"/>
      <w:r>
        <w:rPr>
          <w:rStyle w:val="20"/>
          <w:rFonts w:hint="eastAsia" w:ascii="仿宋" w:eastAsia="仿宋"/>
          <w:b w:val="0"/>
          <w:bCs w:val="0"/>
        </w:rPr>
        <w:t>五、</w:t>
      </w:r>
      <w:r>
        <w:rPr>
          <w:rFonts w:hint="eastAsia" w:ascii="仿宋" w:eastAsia="仿宋"/>
          <w:b w:val="0"/>
        </w:rPr>
        <w:t>财</w:t>
      </w:r>
      <w:r>
        <w:rPr>
          <w:rStyle w:val="20"/>
          <w:rFonts w:hint="eastAsia" w:ascii="仿宋" w:eastAsia="仿宋"/>
          <w:b w:val="0"/>
          <w:bCs w:val="0"/>
        </w:rPr>
        <w:t>政拨款支出决算明细表</w:t>
      </w:r>
      <w:bookmarkEnd w:id="72"/>
      <w:bookmarkStart w:id="73" w:name="_Toc15396624"/>
    </w:p>
    <w:p>
      <w:pPr>
        <w:pStyle w:val="4"/>
        <w:rPr>
          <w:rFonts w:ascii="仿宋" w:eastAsia="仿宋"/>
        </w:rPr>
      </w:pPr>
      <w:r>
        <w:rPr>
          <w:rStyle w:val="20"/>
          <w:rFonts w:hint="eastAsia" w:ascii="仿宋" w:eastAsia="仿宋"/>
          <w:b w:val="0"/>
          <w:bCs w:val="0"/>
        </w:rPr>
        <w:t>六、</w:t>
      </w:r>
      <w:r>
        <w:rPr>
          <w:rFonts w:hint="eastAsia" w:ascii="仿宋" w:eastAsia="仿宋"/>
          <w:b w:val="0"/>
        </w:rPr>
        <w:t>一</w:t>
      </w:r>
      <w:r>
        <w:rPr>
          <w:rStyle w:val="20"/>
          <w:rFonts w:hint="eastAsia" w:ascii="仿宋" w:eastAsia="仿宋"/>
          <w:b w:val="0"/>
          <w:bCs w:val="0"/>
        </w:rPr>
        <w:t>般公共预算财政拨款支出决算表</w:t>
      </w:r>
      <w:bookmarkEnd w:id="73"/>
    </w:p>
    <w:p>
      <w:pPr>
        <w:pStyle w:val="4"/>
        <w:rPr>
          <w:rFonts w:ascii="仿宋" w:eastAsia="仿宋"/>
        </w:rPr>
      </w:pPr>
      <w:bookmarkStart w:id="74" w:name="_Toc15396625"/>
      <w:r>
        <w:rPr>
          <w:rStyle w:val="20"/>
          <w:rFonts w:hint="eastAsia" w:ascii="仿宋" w:eastAsia="仿宋"/>
          <w:b w:val="0"/>
          <w:bCs w:val="0"/>
        </w:rPr>
        <w:t>七、</w:t>
      </w:r>
      <w:r>
        <w:rPr>
          <w:rFonts w:hint="eastAsia" w:ascii="仿宋" w:eastAsia="仿宋"/>
          <w:b w:val="0"/>
        </w:rPr>
        <w:t>一</w:t>
      </w:r>
      <w:r>
        <w:rPr>
          <w:rStyle w:val="20"/>
          <w:rFonts w:hint="eastAsia" w:ascii="仿宋" w:eastAsia="仿宋"/>
          <w:b w:val="0"/>
          <w:bCs w:val="0"/>
        </w:rPr>
        <w:t>般公共预算财政拨款支出决算明细表</w:t>
      </w:r>
      <w:bookmarkEnd w:id="74"/>
    </w:p>
    <w:p>
      <w:pPr>
        <w:pStyle w:val="4"/>
        <w:rPr>
          <w:rFonts w:ascii="仿宋" w:eastAsia="仿宋"/>
        </w:rPr>
      </w:pPr>
      <w:bookmarkStart w:id="75" w:name="_Toc15396626"/>
      <w:r>
        <w:rPr>
          <w:rStyle w:val="20"/>
          <w:rFonts w:hint="eastAsia" w:ascii="仿宋" w:eastAsia="仿宋"/>
          <w:b w:val="0"/>
          <w:bCs w:val="0"/>
        </w:rPr>
        <w:t>八、</w:t>
      </w:r>
      <w:r>
        <w:rPr>
          <w:rFonts w:hint="eastAsia" w:ascii="仿宋" w:eastAsia="仿宋"/>
          <w:b w:val="0"/>
        </w:rPr>
        <w:t>一</w:t>
      </w:r>
      <w:r>
        <w:rPr>
          <w:rStyle w:val="20"/>
          <w:rFonts w:hint="eastAsia" w:ascii="仿宋" w:eastAsia="仿宋"/>
          <w:b w:val="0"/>
          <w:bCs w:val="0"/>
        </w:rPr>
        <w:t>般公共预算财政拨款基本支出决算表</w:t>
      </w:r>
      <w:bookmarkEnd w:id="75"/>
    </w:p>
    <w:p>
      <w:pPr>
        <w:pStyle w:val="4"/>
        <w:rPr>
          <w:rFonts w:ascii="仿宋" w:eastAsia="仿宋"/>
        </w:rPr>
      </w:pPr>
      <w:bookmarkStart w:id="76" w:name="_Toc15396627"/>
      <w:r>
        <w:rPr>
          <w:rStyle w:val="20"/>
          <w:rFonts w:hint="eastAsia" w:ascii="仿宋" w:eastAsia="仿宋"/>
          <w:b w:val="0"/>
          <w:bCs w:val="0"/>
        </w:rPr>
        <w:t>九、</w:t>
      </w:r>
      <w:r>
        <w:rPr>
          <w:rFonts w:hint="eastAsia" w:ascii="仿宋" w:eastAsia="仿宋"/>
          <w:b w:val="0"/>
        </w:rPr>
        <w:t>一</w:t>
      </w:r>
      <w:r>
        <w:rPr>
          <w:rStyle w:val="20"/>
          <w:rFonts w:hint="eastAsia" w:ascii="仿宋" w:eastAsia="仿宋"/>
          <w:b w:val="0"/>
          <w:bCs w:val="0"/>
        </w:rPr>
        <w:t>般公共预算财政拨款项目支出决算表</w:t>
      </w:r>
      <w:bookmarkEnd w:id="76"/>
    </w:p>
    <w:p>
      <w:pPr>
        <w:pStyle w:val="4"/>
        <w:rPr>
          <w:rFonts w:ascii="仿宋" w:eastAsia="仿宋"/>
        </w:rPr>
      </w:pPr>
      <w:bookmarkStart w:id="77" w:name="_Toc15396628"/>
      <w:r>
        <w:rPr>
          <w:rStyle w:val="20"/>
          <w:rFonts w:hint="eastAsia" w:ascii="仿宋" w:eastAsia="仿宋"/>
          <w:b w:val="0"/>
          <w:bCs w:val="0"/>
        </w:rPr>
        <w:t>十、</w:t>
      </w:r>
      <w:r>
        <w:rPr>
          <w:rFonts w:hint="eastAsia" w:ascii="仿宋" w:eastAsia="仿宋"/>
          <w:b w:val="0"/>
        </w:rPr>
        <w:t>一</w:t>
      </w:r>
      <w:r>
        <w:rPr>
          <w:rStyle w:val="20"/>
          <w:rFonts w:hint="eastAsia" w:ascii="仿宋" w:eastAsia="仿宋"/>
          <w:b w:val="0"/>
          <w:bCs w:val="0"/>
        </w:rPr>
        <w:t>般公共预算财政拨款“三公”经费支出决算表</w:t>
      </w:r>
      <w:bookmarkEnd w:id="77"/>
    </w:p>
    <w:p>
      <w:pPr>
        <w:pStyle w:val="4"/>
        <w:rPr>
          <w:rFonts w:ascii="仿宋" w:eastAsia="仿宋"/>
        </w:rPr>
      </w:pPr>
      <w:bookmarkStart w:id="78" w:name="_Toc15396629"/>
      <w:r>
        <w:rPr>
          <w:rStyle w:val="20"/>
          <w:rFonts w:hint="eastAsia" w:ascii="仿宋" w:eastAsia="仿宋"/>
          <w:b w:val="0"/>
          <w:bCs w:val="0"/>
        </w:rPr>
        <w:t>十一、</w:t>
      </w:r>
      <w:r>
        <w:rPr>
          <w:rFonts w:hint="eastAsia" w:ascii="仿宋" w:eastAsia="仿宋"/>
          <w:b w:val="0"/>
        </w:rPr>
        <w:t>政</w:t>
      </w:r>
      <w:r>
        <w:rPr>
          <w:rStyle w:val="20"/>
          <w:rFonts w:hint="eastAsia" w:ascii="仿宋" w:eastAsia="仿宋"/>
          <w:b w:val="0"/>
          <w:bCs w:val="0"/>
        </w:rPr>
        <w:t>府性基金预算财政拨款收入支出决算表</w:t>
      </w:r>
      <w:bookmarkEnd w:id="78"/>
    </w:p>
    <w:p>
      <w:pPr>
        <w:pStyle w:val="4"/>
        <w:rPr>
          <w:rFonts w:ascii="仿宋" w:eastAsia="仿宋"/>
        </w:rPr>
      </w:pPr>
      <w:bookmarkStart w:id="79" w:name="_Toc15396630"/>
      <w:r>
        <w:rPr>
          <w:rStyle w:val="20"/>
          <w:rFonts w:hint="eastAsia" w:ascii="仿宋" w:eastAsia="仿宋"/>
          <w:b w:val="0"/>
          <w:bCs w:val="0"/>
        </w:rPr>
        <w:t>十二、</w:t>
      </w:r>
      <w:r>
        <w:rPr>
          <w:rFonts w:hint="eastAsia" w:ascii="仿宋" w:eastAsia="仿宋"/>
          <w:b w:val="0"/>
        </w:rPr>
        <w:t>政</w:t>
      </w:r>
      <w:r>
        <w:rPr>
          <w:rStyle w:val="20"/>
          <w:rFonts w:hint="eastAsia" w:ascii="仿宋" w:eastAsia="仿宋"/>
          <w:b w:val="0"/>
          <w:bCs w:val="0"/>
        </w:rPr>
        <w:t>府性基金预算财政拨款“三公”经费支出决算表</w:t>
      </w:r>
      <w:bookmarkEnd w:id="79"/>
    </w:p>
    <w:p>
      <w:pPr>
        <w:pStyle w:val="4"/>
        <w:rPr>
          <w:rStyle w:val="20"/>
          <w:rFonts w:ascii="仿宋" w:eastAsia="仿宋"/>
          <w:b w:val="0"/>
          <w:bCs w:val="0"/>
        </w:rPr>
      </w:pPr>
      <w:bookmarkStart w:id="80" w:name="_Toc15396631"/>
      <w:r>
        <w:rPr>
          <w:rStyle w:val="20"/>
          <w:rFonts w:hint="eastAsia" w:ascii="仿宋" w:eastAsia="仿宋"/>
          <w:b w:val="0"/>
          <w:bCs w:val="0"/>
        </w:rPr>
        <w:t>十三、</w:t>
      </w:r>
      <w:r>
        <w:rPr>
          <w:rFonts w:hint="eastAsia" w:ascii="仿宋" w:eastAsia="仿宋"/>
          <w:b w:val="0"/>
        </w:rPr>
        <w:t>国</w:t>
      </w:r>
      <w:r>
        <w:rPr>
          <w:rStyle w:val="20"/>
          <w:rFonts w:hint="eastAsia" w:ascii="仿宋" w:eastAsia="仿宋"/>
          <w:b w:val="0"/>
          <w:bCs w:val="0"/>
        </w:rPr>
        <w:t>有资本经营预算财政拨款收入支出决算表</w:t>
      </w:r>
      <w:bookmarkEnd w:id="80"/>
      <w:r>
        <w:rPr>
          <w:rStyle w:val="20"/>
          <w:rFonts w:hint="eastAsia" w:ascii="仿宋" w:eastAsia="仿宋"/>
          <w:b w:val="0"/>
          <w:bCs w:val="0"/>
        </w:rPr>
        <w:t>（此表无数据）</w:t>
      </w:r>
    </w:p>
    <w:p>
      <w:pPr>
        <w:rPr>
          <w:rFonts w:eastAsia="仿宋"/>
        </w:rPr>
      </w:pPr>
      <w:r>
        <w:rPr>
          <w:rStyle w:val="20"/>
          <w:rFonts w:hint="eastAsia" w:ascii="仿宋" w:eastAsia="仿宋"/>
          <w:b w:val="0"/>
          <w:bCs w:val="0"/>
        </w:rPr>
        <w:t>十四、国有资本经营预算财政拨款支出决算表（此表无数据）</w:t>
      </w:r>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1"/>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altName w:val="Ubuntu"/>
    <w:panose1 w:val="020B0604030504040204"/>
    <w:charset w:val="00"/>
    <w:family w:val="swiss"/>
    <w:pitch w:val="default"/>
    <w:sig w:usb0="00000000" w:usb1="00000000" w:usb2="00000010" w:usb3="00000000" w:csb0="0000019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仿宋_GBK-WinCharSetFFFF-H">
    <w:altName w:val="黑体"/>
    <w:panose1 w:val="00000000000000000000"/>
    <w:charset w:val="86"/>
    <w:family w:val="auto"/>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Lucida Sans">
    <w:altName w:val="仿宋"/>
    <w:panose1 w:val="00000000000000000000"/>
    <w:charset w:val="01"/>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28</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BAC21"/>
    <w:multiLevelType w:val="singleLevel"/>
    <w:tmpl w:val="86DBAC21"/>
    <w:lvl w:ilvl="0" w:tentative="0">
      <w:start w:val="2"/>
      <w:numFmt w:val="chineseCounting"/>
      <w:suff w:val="nothing"/>
      <w:lvlText w:val="（%1）"/>
      <w:lvlJc w:val="left"/>
      <w:pPr>
        <w:ind w:left="0" w:firstLine="0"/>
      </w:pPr>
      <w:rPr>
        <w:rFonts w:hint="eastAsia"/>
      </w:rPr>
    </w:lvl>
  </w:abstractNum>
  <w:abstractNum w:abstractNumId="1">
    <w:nsid w:val="CF652CEC"/>
    <w:multiLevelType w:val="singleLevel"/>
    <w:tmpl w:val="CF652CEC"/>
    <w:lvl w:ilvl="0" w:tentative="0">
      <w:start w:val="9"/>
      <w:numFmt w:val="chineseCounting"/>
      <w:suff w:val="nothing"/>
      <w:lvlText w:val="%1、"/>
      <w:lvlJc w:val="left"/>
      <w:pPr>
        <w:ind w:left="0" w:firstLine="0"/>
      </w:pPr>
      <w:rPr>
        <w:rFonts w:hint="eastAsia" w:cs="Times New Roman"/>
      </w:rPr>
    </w:lvl>
  </w:abstractNum>
  <w:abstractNum w:abstractNumId="2">
    <w:nsid w:val="CF78AD06"/>
    <w:multiLevelType w:val="singleLevel"/>
    <w:tmpl w:val="CF78AD06"/>
    <w:lvl w:ilvl="0" w:tentative="0">
      <w:start w:val="1"/>
      <w:numFmt w:val="decimal"/>
      <w:suff w:val="nothing"/>
      <w:lvlText w:val="（%1）"/>
      <w:lvlJc w:val="left"/>
      <w:pPr>
        <w:ind w:left="0" w:firstLine="0"/>
      </w:pPr>
    </w:lvl>
  </w:abstractNum>
  <w:abstractNum w:abstractNumId="3">
    <w:nsid w:val="DCB60A4A"/>
    <w:multiLevelType w:val="singleLevel"/>
    <w:tmpl w:val="DCB60A4A"/>
    <w:lvl w:ilvl="0" w:tentative="0">
      <w:start w:val="3"/>
      <w:numFmt w:val="decimal"/>
      <w:suff w:val="nothing"/>
      <w:lvlText w:val="（%1）"/>
      <w:lvlJc w:val="left"/>
      <w:pPr>
        <w:ind w:left="0" w:firstLine="0"/>
      </w:pPr>
    </w:lvl>
  </w:abstractNum>
  <w:abstractNum w:abstractNumId="4">
    <w:nsid w:val="E2FA047D"/>
    <w:multiLevelType w:val="singleLevel"/>
    <w:tmpl w:val="E2FA047D"/>
    <w:lvl w:ilvl="0" w:tentative="0">
      <w:start w:val="3"/>
      <w:numFmt w:val="chineseCounting"/>
      <w:suff w:val="space"/>
      <w:lvlText w:val="第%1部分"/>
      <w:lvlJc w:val="left"/>
      <w:pPr>
        <w:ind w:left="0" w:firstLine="0"/>
      </w:pPr>
      <w:rPr>
        <w:rFonts w:hint="eastAsia" w:cs="Times New Roman"/>
      </w:rPr>
    </w:lvl>
  </w:abstractNum>
  <w:abstractNum w:abstractNumId="5">
    <w:nsid w:val="E91B1E04"/>
    <w:multiLevelType w:val="singleLevel"/>
    <w:tmpl w:val="E91B1E04"/>
    <w:lvl w:ilvl="0" w:tentative="0">
      <w:start w:val="3"/>
      <w:numFmt w:val="decimal"/>
      <w:suff w:val="nothing"/>
      <w:lvlText w:val="%1．"/>
      <w:lvlJc w:val="left"/>
      <w:pPr>
        <w:ind w:left="0" w:firstLine="0"/>
      </w:p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7">
    <w:nsid w:val="3E794925"/>
    <w:multiLevelType w:val="singleLevel"/>
    <w:tmpl w:val="3E794925"/>
    <w:lvl w:ilvl="0" w:tentative="0">
      <w:start w:val="3"/>
      <w:numFmt w:val="chineseCounting"/>
      <w:suff w:val="nothing"/>
      <w:lvlText w:val="（%1）"/>
      <w:lvlJc w:val="left"/>
      <w:pPr>
        <w:ind w:left="0" w:firstLine="0"/>
      </w:pPr>
      <w:rPr>
        <w:rFonts w:hint="eastAsia" w:cs="Times New Roman"/>
      </w:rPr>
    </w:lvl>
  </w:abstractNum>
  <w:abstractNum w:abstractNumId="8">
    <w:nsid w:val="625652DB"/>
    <w:multiLevelType w:val="singleLevel"/>
    <w:tmpl w:val="625652DB"/>
    <w:lvl w:ilvl="0" w:tentative="0">
      <w:start w:val="3"/>
      <w:numFmt w:val="chineseCounting"/>
      <w:suff w:val="nothing"/>
      <w:lvlText w:val="（%1）"/>
      <w:lvlJc w:val="left"/>
      <w:pPr>
        <w:ind w:left="0" w:firstLine="0"/>
      </w:pPr>
      <w:rPr>
        <w:rFonts w:hint="eastAsia"/>
      </w:rPr>
    </w:lvl>
  </w:abstractNum>
  <w:abstractNum w:abstractNumId="9">
    <w:nsid w:val="62621CDC"/>
    <w:multiLevelType w:val="multilevel"/>
    <w:tmpl w:val="62621CDC"/>
    <w:lvl w:ilvl="0" w:tentative="0">
      <w:start w:val="1"/>
      <w:numFmt w:val="decimal"/>
      <w:lvlText w:val="%1."/>
      <w:lvlJc w:val="left"/>
      <w:pPr>
        <w:ind w:left="1152" w:hanging="480"/>
      </w:pPr>
      <w:rPr>
        <w:rFonts w:hint="default" w:cs="Times New Roman"/>
      </w:rPr>
    </w:lvl>
    <w:lvl w:ilvl="1" w:tentative="0">
      <w:start w:val="1"/>
      <w:numFmt w:val="lowerLetter"/>
      <w:lvlText w:val="%2)"/>
      <w:lvlJc w:val="left"/>
      <w:pPr>
        <w:ind w:left="1512" w:hanging="420"/>
      </w:pPr>
      <w:rPr>
        <w:rFonts w:cs="Times New Roman"/>
      </w:rPr>
    </w:lvl>
    <w:lvl w:ilvl="2" w:tentative="0">
      <w:start w:val="1"/>
      <w:numFmt w:val="lowerRoman"/>
      <w:lvlText w:val="%3."/>
      <w:lvlJc w:val="right"/>
      <w:pPr>
        <w:ind w:left="1932" w:hanging="420"/>
      </w:pPr>
      <w:rPr>
        <w:rFonts w:cs="Times New Roman"/>
      </w:rPr>
    </w:lvl>
    <w:lvl w:ilvl="3" w:tentative="0">
      <w:start w:val="1"/>
      <w:numFmt w:val="decimal"/>
      <w:lvlText w:val="%4."/>
      <w:lvlJc w:val="left"/>
      <w:pPr>
        <w:ind w:left="2352" w:hanging="420"/>
      </w:pPr>
      <w:rPr>
        <w:rFonts w:cs="Times New Roman"/>
      </w:rPr>
    </w:lvl>
    <w:lvl w:ilvl="4" w:tentative="0">
      <w:start w:val="1"/>
      <w:numFmt w:val="lowerLetter"/>
      <w:lvlText w:val="%5)"/>
      <w:lvlJc w:val="left"/>
      <w:pPr>
        <w:ind w:left="2772" w:hanging="420"/>
      </w:pPr>
      <w:rPr>
        <w:rFonts w:cs="Times New Roman"/>
      </w:rPr>
    </w:lvl>
    <w:lvl w:ilvl="5" w:tentative="0">
      <w:start w:val="1"/>
      <w:numFmt w:val="lowerRoman"/>
      <w:lvlText w:val="%6."/>
      <w:lvlJc w:val="right"/>
      <w:pPr>
        <w:ind w:left="3192" w:hanging="420"/>
      </w:pPr>
      <w:rPr>
        <w:rFonts w:cs="Times New Roman"/>
      </w:rPr>
    </w:lvl>
    <w:lvl w:ilvl="6" w:tentative="0">
      <w:start w:val="1"/>
      <w:numFmt w:val="decimal"/>
      <w:lvlText w:val="%7."/>
      <w:lvlJc w:val="left"/>
      <w:pPr>
        <w:ind w:left="3612" w:hanging="420"/>
      </w:pPr>
      <w:rPr>
        <w:rFonts w:cs="Times New Roman"/>
      </w:rPr>
    </w:lvl>
    <w:lvl w:ilvl="7" w:tentative="0">
      <w:start w:val="1"/>
      <w:numFmt w:val="lowerLetter"/>
      <w:lvlText w:val="%8)"/>
      <w:lvlJc w:val="left"/>
      <w:pPr>
        <w:ind w:left="4032" w:hanging="420"/>
      </w:pPr>
      <w:rPr>
        <w:rFonts w:cs="Times New Roman"/>
      </w:rPr>
    </w:lvl>
    <w:lvl w:ilvl="8" w:tentative="0">
      <w:start w:val="1"/>
      <w:numFmt w:val="lowerRoman"/>
      <w:lvlText w:val="%9."/>
      <w:lvlJc w:val="right"/>
      <w:pPr>
        <w:ind w:left="4452" w:hanging="420"/>
      </w:pPr>
      <w:rPr>
        <w:rFonts w:cs="Times New Roman"/>
      </w:rPr>
    </w:lvl>
  </w:abstractNum>
  <w:abstractNum w:abstractNumId="10">
    <w:nsid w:val="6BCE6B35"/>
    <w:multiLevelType w:val="singleLevel"/>
    <w:tmpl w:val="6BCE6B35"/>
    <w:lvl w:ilvl="0" w:tentative="0">
      <w:start w:val="2"/>
      <w:numFmt w:val="decimal"/>
      <w:suff w:val="nothing"/>
      <w:lvlText w:val="%1．"/>
      <w:lvlJc w:val="left"/>
      <w:pPr>
        <w:ind w:left="0" w:firstLine="0"/>
      </w:pPr>
    </w:lvl>
  </w:abstractNum>
  <w:num w:numId="1">
    <w:abstractNumId w:val="9"/>
  </w:num>
  <w:num w:numId="2">
    <w:abstractNumId w:val="6"/>
  </w:num>
  <w:num w:numId="3">
    <w:abstractNumId w:val="1"/>
  </w:num>
  <w:num w:numId="4">
    <w:abstractNumId w:val="4"/>
  </w:num>
  <w:num w:numId="5">
    <w:abstractNumId w:val="7"/>
  </w:num>
  <w:num w:numId="6">
    <w:abstractNumId w:val="0"/>
  </w:num>
  <w:num w:numId="7">
    <w:abstractNumId w:val="3"/>
  </w:num>
  <w:num w:numId="8">
    <w:abstractNumId w:val="8"/>
  </w:num>
  <w:num w:numId="9">
    <w:abstractNumId w:val="5"/>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useFELayout/>
    <w:compatSetting w:name="compatibilityMode" w:uri="http://schemas.microsoft.com/office/word" w:val="12"/>
  </w:compat>
  <w:rsids>
    <w:rsidRoot w:val="00000000"/>
    <w:rsid w:val="26FF9F8C"/>
    <w:rsid w:val="6EEB9DAD"/>
    <w:rsid w:val="7EA6E7B9"/>
    <w:rsid w:val="BFF67978"/>
    <w:rsid w:val="EBE7C5D1"/>
    <w:rsid w:val="FFB757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link w:val="20"/>
    <w:qFormat/>
    <w:uiPriority w:val="0"/>
    <w:pPr>
      <w:keepNext/>
      <w:keepLines/>
      <w:widowControl w:val="0"/>
      <w:spacing w:before="260" w:after="260" w:line="415" w:lineRule="auto"/>
      <w:outlineLvl w:val="1"/>
    </w:pPr>
    <w:rPr>
      <w:rFonts w:ascii="Cambria" w:hAnsi="Cambria"/>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30" w:beforeLines="30"/>
    </w:pPr>
    <w:rPr>
      <w:rFonts w:ascii="仿宋_GB2312" w:eastAsia="仿宋_GB2312"/>
      <w:kern w:val="0"/>
      <w:sz w:val="24"/>
      <w:szCs w:val="20"/>
    </w:rPr>
  </w:style>
  <w:style w:type="paragraph" w:styleId="6">
    <w:name w:val="Body Text Indent"/>
    <w:basedOn w:val="1"/>
    <w:qFormat/>
    <w:uiPriority w:val="0"/>
    <w:pPr>
      <w:spacing w:after="120"/>
      <w:ind w:left="200" w:leftChars="200"/>
    </w:pPr>
  </w:style>
  <w:style w:type="paragraph" w:styleId="7">
    <w:name w:val="toc 3"/>
    <w:basedOn w:val="1"/>
    <w:next w:val="1"/>
    <w:qFormat/>
    <w:uiPriority w:val="0"/>
    <w:pPr>
      <w:tabs>
        <w:tab w:val="right" w:leader="dot" w:pos="8296"/>
      </w:tabs>
      <w:ind w:left="400" w:leftChars="400"/>
    </w:pPr>
  </w:style>
  <w:style w:type="paragraph" w:styleId="8">
    <w:name w:val="Plain Text"/>
    <w:basedOn w:val="1"/>
    <w:qFormat/>
    <w:uiPriority w:val="0"/>
    <w:rPr>
      <w:rFonts w:ascii="宋体"/>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rFonts w:ascii="Calibri" w:hAnsi="Calibri"/>
      <w:kern w:val="0"/>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2">
    <w:name w:val="toc 1"/>
    <w:basedOn w:val="1"/>
    <w:next w:val="1"/>
    <w:qFormat/>
    <w:uiPriority w:val="0"/>
    <w:pPr>
      <w:tabs>
        <w:tab w:val="right" w:leader="dot" w:pos="8296"/>
      </w:tabs>
      <w:spacing w:before="93"/>
      <w:jc w:val="center"/>
    </w:pPr>
    <w:rPr>
      <w:rFonts w:ascii="仿宋" w:eastAsia="仿宋"/>
      <w:sz w:val="28"/>
      <w:szCs w:val="28"/>
    </w:rPr>
  </w:style>
  <w:style w:type="paragraph" w:styleId="13">
    <w:name w:val="toc 2"/>
    <w:basedOn w:val="1"/>
    <w:next w:val="1"/>
    <w:qFormat/>
    <w:uiPriority w:val="0"/>
    <w:pPr>
      <w:tabs>
        <w:tab w:val="right" w:leader="dot" w:pos="8296"/>
      </w:tabs>
      <w:ind w:left="200" w:leftChars="200"/>
    </w:pPr>
  </w:style>
  <w:style w:type="paragraph" w:styleId="14">
    <w:name w:val="Body Text First Indent 2"/>
    <w:basedOn w:val="6"/>
    <w:qFormat/>
    <w:uiPriority w:val="0"/>
    <w:pPr>
      <w:ind w:firstLine="200" w:firstLineChars="200"/>
    </w:pPr>
  </w:style>
  <w:style w:type="character" w:styleId="17">
    <w:name w:val="Strong"/>
    <w:basedOn w:val="16"/>
    <w:qFormat/>
    <w:uiPriority w:val="0"/>
    <w:rPr>
      <w:rFonts w:cs="Times New Roman"/>
      <w:b/>
    </w:rPr>
  </w:style>
  <w:style w:type="character" w:styleId="18">
    <w:name w:val="Hyperlink"/>
    <w:basedOn w:val="16"/>
    <w:qFormat/>
    <w:uiPriority w:val="0"/>
    <w:rPr>
      <w:rFonts w:cs="Times New Roman"/>
      <w:color w:val="0000FF"/>
      <w:u w:val="single"/>
    </w:rPr>
  </w:style>
  <w:style w:type="character" w:customStyle="1" w:styleId="19">
    <w:name w:val="heading 1 Char"/>
    <w:basedOn w:val="16"/>
    <w:link w:val="3"/>
    <w:qFormat/>
    <w:uiPriority w:val="0"/>
    <w:rPr>
      <w:rFonts w:ascii="Times New Roman" w:hAnsi="Times New Roman" w:eastAsia="宋体" w:cs="Times New Roman"/>
      <w:b/>
      <w:bCs/>
      <w:kern w:val="44"/>
      <w:sz w:val="44"/>
      <w:szCs w:val="44"/>
      <w:lang w:val="en-US" w:eastAsia="zh-CN" w:bidi="ar-SA"/>
    </w:rPr>
  </w:style>
  <w:style w:type="character" w:customStyle="1" w:styleId="20">
    <w:name w:val="heading 2 Char"/>
    <w:basedOn w:val="16"/>
    <w:link w:val="4"/>
    <w:qFormat/>
    <w:uiPriority w:val="0"/>
    <w:rPr>
      <w:rFonts w:ascii="Cambria" w:hAnsi="Cambria" w:eastAsia="宋体" w:cs="Times New Roman"/>
      <w:b/>
      <w:bCs/>
      <w:kern w:val="2"/>
      <w:sz w:val="32"/>
      <w:szCs w:val="32"/>
      <w:lang w:val="en-US" w:eastAsia="zh-CN" w:bidi="ar-SA"/>
    </w:rPr>
  </w:style>
  <w:style w:type="paragraph" w:customStyle="1" w:styleId="21">
    <w:name w:val="Default"/>
    <w:qFormat/>
    <w:uiPriority w:val="0"/>
    <w:pPr>
      <w:widowControl w:val="0"/>
      <w:autoSpaceDE w:val="0"/>
      <w:autoSpaceDN w:val="0"/>
      <w:adjustRightInd w:val="0"/>
    </w:pPr>
    <w:rPr>
      <w:rFonts w:ascii="仿宋" w:hAnsi="Times New Roman" w:eastAsia="仿宋" w:cs="仿宋"/>
      <w:color w:val="000000"/>
      <w:kern w:val="0"/>
      <w:sz w:val="24"/>
      <w:szCs w:val="24"/>
      <w:lang w:val="en-US" w:eastAsia="zh-CN" w:bidi="ar-SA"/>
    </w:rPr>
  </w:style>
  <w:style w:type="paragraph" w:styleId="22">
    <w:name w:val="List Paragraph"/>
    <w:basedOn w:val="1"/>
    <w:qFormat/>
    <w:uiPriority w:val="0"/>
    <w:pPr>
      <w:ind w:firstLine="200" w:firstLineChars="200"/>
    </w:pPr>
  </w:style>
  <w:style w:type="paragraph" w:customStyle="1" w:styleId="23">
    <w:name w:val="TOC 标题1"/>
    <w:basedOn w:val="3"/>
    <w:next w:val="1"/>
    <w:qFormat/>
    <w:uiPriority w:val="0"/>
    <w:pPr>
      <w:keepNext/>
      <w:keepLines/>
      <w:widowControl/>
      <w:spacing w:before="480" w:after="0" w:line="276" w:lineRule="auto"/>
      <w:jc w:val="left"/>
      <w:outlineLvl w:val="9"/>
    </w:pPr>
    <w:rPr>
      <w:rFonts w:ascii="Cambria" w:hAnsi="Cambria"/>
      <w:color w:val="365F91"/>
      <w:kern w:val="0"/>
      <w:sz w:val="28"/>
      <w:szCs w:val="28"/>
    </w:rPr>
  </w:style>
  <w:style w:type="paragraph" w:customStyle="1" w:styleId="24">
    <w:name w:val="TOC 标题2"/>
    <w:basedOn w:val="3"/>
    <w:next w:val="1"/>
    <w:qFormat/>
    <w:uiPriority w:val="0"/>
    <w:pPr>
      <w:keepNext/>
      <w:keepLines/>
      <w:widowControl/>
      <w:spacing w:before="480" w:after="0" w:line="276" w:lineRule="auto"/>
      <w:jc w:val="left"/>
      <w:outlineLvl w:val="9"/>
    </w:pPr>
    <w:rPr>
      <w:rFonts w:ascii="Cambria" w:hAnsi="Cambria"/>
      <w:color w:val="365F91"/>
      <w:kern w:val="0"/>
      <w:sz w:val="28"/>
      <w:szCs w:val="28"/>
    </w:rPr>
  </w:style>
  <w:style w:type="paragraph" w:customStyle="1" w:styleId="2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rPr>
  </w:style>
  <w:style w:type="character" w:customStyle="1" w:styleId="26">
    <w:name w:val="NormalCharacter"/>
    <w:qFormat/>
    <w:uiPriority w:val="0"/>
  </w:style>
  <w:style w:type="paragraph" w:customStyle="1" w:styleId="27">
    <w:name w:val="列出段落1"/>
    <w:basedOn w:val="1"/>
    <w:qFormat/>
    <w:uiPriority w:val="0"/>
    <w:pPr>
      <w:ind w:firstLine="200" w:firstLineChars="200"/>
    </w:pPr>
    <w:rPr>
      <w:rFonts w:ascii="Calibri" w:hAnsi="Calibri"/>
      <w:szCs w:val="22"/>
    </w:rPr>
  </w:style>
  <w:style w:type="character" w:customStyle="1" w:styleId="28">
    <w:name w:val="font51"/>
    <w:basedOn w:val="16"/>
    <w:qFormat/>
    <w:uiPriority w:val="0"/>
    <w:rPr>
      <w:rFonts w:ascii="Times New Roman" w:hAnsi="Times New Roman" w:cs="Times New Roman"/>
      <w:color w:val="000000"/>
      <w:sz w:val="24"/>
      <w:szCs w:val="24"/>
      <w:u w:val="none"/>
    </w:rPr>
  </w:style>
  <w:style w:type="character" w:customStyle="1" w:styleId="29">
    <w:name w:val="font41"/>
    <w:basedOn w:val="16"/>
    <w:qFormat/>
    <w:uiPriority w:val="0"/>
    <w:rPr>
      <w:rFonts w:ascii="宋体" w:eastAsia="宋体" w:cs="宋体"/>
      <w:color w:val="000000"/>
      <w:sz w:val="24"/>
      <w:szCs w:val="24"/>
      <w:u w:val="none"/>
    </w:rPr>
  </w:style>
  <w:style w:type="character" w:customStyle="1" w:styleId="30">
    <w:name w:val="font71"/>
    <w:basedOn w:val="16"/>
    <w:qFormat/>
    <w:uiPriority w:val="0"/>
    <w:rPr>
      <w:rFonts w:ascii="Times New Roman" w:hAnsi="Times New Roman" w:eastAsia="楷体_GB2312"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rgbClr val="000000"/>
                </a:solidFill>
                <a:latin typeface="Times New Roman" panose="02020603050405020304"/>
                <a:ea typeface="宋体"/>
                <a:cs typeface="Lucida Sans"/>
              </a:defRPr>
            </a:pPr>
            <a:r>
              <a:rPr lang="zh-CN"/>
              <a:t>收、支决算总计变动情况图</a:t>
            </a:r>
            <a:endParaRPr lang="zh-CN"/>
          </a:p>
        </c:rich>
      </c:tx>
      <c:layout/>
      <c:overlay val="false"/>
      <c:spPr>
        <a:ln>
          <a:noFill/>
        </a:ln>
      </c:spPr>
    </c:title>
    <c:autoTitleDeleted val="false"/>
    <c:plotArea>
      <c:layout>
        <c:manualLayout>
          <c:layoutTarget val="inner"/>
          <c:xMode val="edge"/>
          <c:yMode val="edge"/>
          <c:x val="0.12673841"/>
          <c:y val="0.20140055"/>
          <c:w val="0.63719356"/>
          <c:h val="0.6445447"/>
        </c:manualLayout>
      </c:layout>
      <c:barChart>
        <c:barDir val="col"/>
        <c:grouping val="stacked"/>
        <c:varyColors val="false"/>
        <c:ser>
          <c:idx val="0"/>
          <c:order val="0"/>
          <c:tx>
            <c:strRef>
              <c:f>收、支决算总计变动情况图</c:f>
              <c:strCache>
                <c:ptCount val="1"/>
                <c:pt idx="0">
                  <c:v>收、支决算总计变动情况图</c:v>
                </c:pt>
              </c:strCache>
            </c:strRef>
          </c:tx>
          <c:spPr>
            <a:solidFill>
              <a:srgbClr val="4F81BD"/>
            </a:solidFill>
            <a:ln>
              <a:noFill/>
            </a:ln>
          </c:spPr>
          <c:invertIfNegative val="false"/>
          <c:dLbls>
            <c:dLbl>
              <c:idx val="0"/>
              <c:layout>
                <c:manualLayout>
                  <c:x val="0.0027777778"/>
                  <c:y val="-0.33333334"/>
                </c:manualLayout>
              </c:layout>
              <c:numFmt formatCode="General"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a:cs typeface="Lucida Sans"/>
                    </a:defRPr>
                  </a:pPr>
                </a:p>
              </c:txPr>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27777778"/>
                  <c:y val="-0.2361111"/>
                </c:manualLayout>
              </c:layout>
              <c:numFmt formatCode="General"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a:cs typeface="Lucida Sans"/>
                    </a:defRPr>
                  </a:pPr>
                </a:p>
              </c:txPr>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General"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a:cs typeface="Lucida San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{"2020年","2021年"}</c:f>
              <c:strCache>
                <c:ptCount val="2"/>
                <c:pt idx="0">
                  <c:v>2020年</c:v>
                </c:pt>
                <c:pt idx="1">
                  <c:v>2021年</c:v>
                </c:pt>
              </c:strCache>
            </c:strRef>
          </c:cat>
          <c:val>
            <c:numRef>
              <c:f>{21751.7,14450.76}</c:f>
              <c:numCache>
                <c:formatCode>General</c:formatCode>
                <c:ptCount val="2"/>
                <c:pt idx="0">
                  <c:v>21751.7</c:v>
                </c:pt>
                <c:pt idx="1">
                  <c:v>14450.76</c:v>
                </c:pt>
              </c:numCache>
            </c:numRef>
          </c:val>
        </c:ser>
        <c:dLbls>
          <c:showLegendKey val="false"/>
          <c:showVal val="true"/>
          <c:showCatName val="false"/>
          <c:showSerName val="false"/>
          <c:showPercent val="false"/>
          <c:showBubbleSize val="false"/>
        </c:dLbls>
        <c:gapWidth val="150"/>
        <c:overlap val="100"/>
        <c:axId val="0"/>
        <c:axId val="1"/>
      </c:barChart>
      <c:catAx>
        <c:axId val="0"/>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a:cs typeface="Lucida Sans"/>
              </a:defRPr>
            </a:pPr>
          </a:p>
        </c:txPr>
        <c:crossAx val="1"/>
        <c:crosses val="autoZero"/>
        <c:auto val="true"/>
        <c:lblAlgn val="ctr"/>
        <c:lblOffset val="100"/>
        <c:noMultiLvlLbl val="false"/>
      </c:catAx>
      <c:valAx>
        <c:axId val="1"/>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a:cs typeface="Lucida Sans"/>
              </a:defRPr>
            </a:pPr>
          </a:p>
        </c:txPr>
        <c:crossAx val="0"/>
        <c:crossesAt val="1"/>
        <c:crossBetween val="between"/>
      </c:valAx>
      <c:spPr>
        <a:noFill/>
      </c:spPr>
    </c:plotArea>
    <c:legend>
      <c:legendPos val="r"/>
      <c:layout>
        <c:manualLayout>
          <c:xMode val="edge"/>
          <c:yMode val="edge"/>
          <c:x val="0.76948756"/>
          <c:y val="0.5051717"/>
          <c:w val="0.2138458"/>
          <c:h val="0.1396566"/>
        </c:manualLayout>
      </c:layout>
      <c:overlay val="false"/>
      <c:spPr>
        <a:noFill/>
        <a:ln>
          <a:noFill/>
        </a:ln>
      </c:spPr>
      <c:txPr>
        <a:bodyPr rot="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a:cs typeface="Lucida Sans"/>
            </a:defRPr>
          </a:pPr>
        </a:p>
      </c:txPr>
    </c:legend>
    <c:plotVisOnly val="true"/>
    <c:dispBlanksAs val="gap"/>
    <c:showDLblsOverMax val="false"/>
  </c:chart>
  <c:txPr>
    <a:bodyPr/>
    <a:lstStyle/>
    <a:p>
      <a:pPr>
        <a:defRPr lang="zh-CN" sz="1000" b="0" i="0" u="none" strike="noStrike" baseline="0">
          <a:solidFill>
            <a:srgbClr val="000000"/>
          </a:solidFill>
          <a:latin typeface="Times New Roman" panose="02020603050405020304"/>
          <a:ea typeface="宋体"/>
          <a:cs typeface="Lucida Sans"/>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rgbClr val="000000"/>
                </a:solidFill>
                <a:latin typeface="Times New Roman" panose="02020603050405020304"/>
                <a:ea typeface="宋体"/>
                <a:cs typeface="Lucida Sans"/>
              </a:defRPr>
            </a:pPr>
            <a:r>
              <a:rPr lang="zh-CN"/>
              <a:t>收入决算结构图</a:t>
            </a:r>
            <a:endParaRPr lang="zh-CN"/>
          </a:p>
        </c:rich>
      </c:tx>
      <c:layout/>
      <c:overlay val="false"/>
      <c:spPr>
        <a:ln>
          <a:noFill/>
        </a:ln>
      </c:spPr>
    </c:title>
    <c:autoTitleDeleted val="false"/>
    <c:plotArea>
      <c:layout/>
      <c:pieChart>
        <c:varyColors val="true"/>
        <c:ser>
          <c:idx val="0"/>
          <c:order val="0"/>
          <c:tx>
            <c:strRef>
              <c:f>收入决算结构图</c:f>
              <c:strCache>
                <c:ptCount val="1"/>
                <c:pt idx="0">
                  <c:v>收入决算结构图</c:v>
                </c:pt>
              </c:strCache>
            </c:strRef>
          </c:tx>
          <c:spPr>
            <a:ln>
              <a:noFill/>
            </a:ln>
          </c:spPr>
          <c:explosion val="0"/>
          <c:dPt>
            <c:idx val="0"/>
            <c:bubble3D val="false"/>
            <c:spPr>
              <a:solidFill>
                <a:srgbClr val="4F81BD"/>
              </a:solidFill>
              <a:ln>
                <a:noFill/>
              </a:ln>
            </c:spPr>
          </c:dPt>
          <c:dPt>
            <c:idx val="1"/>
            <c:bubble3D val="false"/>
            <c:spPr>
              <a:solidFill>
                <a:srgbClr val="C0504D"/>
              </a:solidFill>
              <a:ln>
                <a:noFill/>
              </a:ln>
            </c:spPr>
          </c:dPt>
          <c:dLbls>
            <c:numFmt formatCode="General"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a:cs typeface="Lucida San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{"一般公共预算财政拨款收入","政府性基金预算财政拨款收入"}</c:f>
              <c:strCache>
                <c:ptCount val="2"/>
                <c:pt idx="0">
                  <c:v>一般公共预算财政拨款收入</c:v>
                </c:pt>
                <c:pt idx="1">
                  <c:v>政府性基金预算财政拨款收入</c:v>
                </c:pt>
              </c:strCache>
            </c:strRef>
          </c:cat>
          <c:val>
            <c:numRef>
              <c:f>{12655.27,981.93}</c:f>
              <c:numCache>
                <c:formatCode>General</c:formatCode>
                <c:ptCount val="2"/>
                <c:pt idx="0">
                  <c:v>12655.27</c:v>
                </c:pt>
                <c:pt idx="1">
                  <c:v>981.93</c:v>
                </c:pt>
              </c:numCache>
            </c:numRef>
          </c:val>
        </c:ser>
        <c:dLbls>
          <c:showLegendKey val="false"/>
          <c:showVal val="true"/>
          <c:showCatName val="false"/>
          <c:showSerName val="false"/>
          <c:showPercent val="false"/>
          <c:showBubbleSize val="false"/>
          <c:showLeaderLines val="true"/>
        </c:dLbls>
        <c:firstSliceAng val="0"/>
      </c:pieChart>
      <c:spPr>
        <a:noFill/>
      </c:spPr>
    </c:plotArea>
    <c:legend>
      <c:legendPos val="r"/>
      <c:layout>
        <c:manualLayout>
          <c:xMode val="edge"/>
          <c:yMode val="edge"/>
          <c:x val="0.5694875"/>
          <c:y val="0.43534338"/>
          <c:w val="0.4138458"/>
          <c:h val="0.2793132"/>
        </c:manualLayout>
      </c:layout>
      <c:overlay val="false"/>
      <c:spPr>
        <a:noFill/>
        <a:ln>
          <a:noFill/>
        </a:ln>
      </c:spPr>
      <c:txPr>
        <a:bodyPr rot="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a:cs typeface="Lucida Sans"/>
            </a:defRPr>
          </a:pPr>
        </a:p>
      </c:txPr>
    </c:legend>
    <c:plotVisOnly val="true"/>
    <c:dispBlanksAs val="gap"/>
    <c:showDLblsOverMax val="false"/>
  </c:chart>
  <c:txPr>
    <a:bodyPr/>
    <a:lstStyle/>
    <a:p>
      <a:pPr>
        <a:defRPr lang="zh-CN" sz="1000" b="0" i="0" u="none" strike="noStrike" baseline="0">
          <a:solidFill>
            <a:srgbClr val="000000"/>
          </a:solidFill>
          <a:latin typeface="Times New Roman" panose="02020603050405020304"/>
          <a:ea typeface="宋体"/>
          <a:cs typeface="Lucida Sans"/>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rgbClr val="000000"/>
                </a:solidFill>
                <a:latin typeface="Times New Roman" panose="02020603050405020304"/>
                <a:ea typeface="宋体"/>
                <a:cs typeface="Lucida Sans"/>
              </a:defRPr>
            </a:pPr>
            <a:r>
              <a:rPr lang="zh-CN"/>
              <a:t>支出决算结构图</a:t>
            </a:r>
            <a:endParaRPr lang="zh-CN"/>
          </a:p>
        </c:rich>
      </c:tx>
      <c:layout/>
      <c:overlay val="false"/>
      <c:spPr>
        <a:ln>
          <a:noFill/>
        </a:ln>
      </c:spPr>
    </c:title>
    <c:autoTitleDeleted val="false"/>
    <c:plotArea>
      <c:layout>
        <c:manualLayout>
          <c:layoutTarget val="inner"/>
          <c:xMode val="edge"/>
          <c:yMode val="edge"/>
          <c:x val="0.21373665"/>
          <c:y val="0.13831"/>
          <c:w val="0.517014"/>
          <c:h val="0.86169"/>
        </c:manualLayout>
      </c:layout>
      <c:pieChart>
        <c:varyColors val="true"/>
        <c:ser>
          <c:idx val="0"/>
          <c:order val="0"/>
          <c:tx>
            <c:strRef>
              <c:f>支出决算结构图</c:f>
              <c:strCache>
                <c:ptCount val="1"/>
                <c:pt idx="0">
                  <c:v>支出决算结构图</c:v>
                </c:pt>
              </c:strCache>
            </c:strRef>
          </c:tx>
          <c:spPr>
            <a:ln>
              <a:noFill/>
            </a:ln>
          </c:spPr>
          <c:explosion val="25"/>
          <c:dPt>
            <c:idx val="0"/>
            <c:bubble3D val="false"/>
            <c:explosion val="11"/>
            <c:spPr>
              <a:solidFill>
                <a:srgbClr val="4F81BD"/>
              </a:solidFill>
            </c:spPr>
          </c:dPt>
          <c:dPt>
            <c:idx val="1"/>
            <c:bubble3D val="false"/>
            <c:explosion val="0"/>
            <c:spPr>
              <a:solidFill>
                <a:srgbClr val="C0504D"/>
              </a:solidFill>
            </c:spPr>
          </c:dPt>
          <c:dLbls>
            <c:dLbl>
              <c:idx val="0"/>
              <c:layout/>
              <c:numFmt formatCode="General"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a:cs typeface="Lucida Sans"/>
                    </a:defRPr>
                  </a:pPr>
                </a:p>
              </c:txPr>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numFmt formatCode="General"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a:cs typeface="Lucida Sans"/>
                    </a:defRPr>
                  </a:pPr>
                </a:p>
              </c:txPr>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a:cs typeface="Lucida Sans"/>
                  </a:defRPr>
                </a:pPr>
              </a:p>
            </c:txPr>
            <c:dLblPos val="bestFit"/>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{"基本支出","项目支出"}</c:f>
              <c:strCache>
                <c:ptCount val="2"/>
                <c:pt idx="0">
                  <c:v>基本支出</c:v>
                </c:pt>
                <c:pt idx="1">
                  <c:v>项目支出</c:v>
                </c:pt>
              </c:strCache>
            </c:strRef>
          </c:cat>
          <c:val>
            <c:numRef>
              <c:f>{7649.4,6627.39}</c:f>
              <c:numCache>
                <c:formatCode>General</c:formatCode>
                <c:ptCount val="2"/>
                <c:pt idx="0">
                  <c:v>7649.4</c:v>
                </c:pt>
                <c:pt idx="1">
                  <c:v>6627.39</c:v>
                </c:pt>
              </c:numCache>
            </c:numRef>
          </c:val>
        </c:ser>
        <c:dLbls>
          <c:showLegendKey val="false"/>
          <c:showVal val="false"/>
          <c:showCatName val="false"/>
          <c:showSerName val="false"/>
          <c:showPercent val="false"/>
          <c:showBubbleSize val="false"/>
          <c:showLeaderLines val="true"/>
        </c:dLbls>
        <c:firstSliceAng val="0"/>
      </c:pieChart>
      <c:spPr>
        <a:noFill/>
      </c:spPr>
    </c:plotArea>
    <c:legend>
      <c:legendPos val="r"/>
      <c:layout/>
      <c:overlay val="false"/>
      <c:spPr>
        <a:noFill/>
        <a:ln>
          <a:noFill/>
        </a:ln>
      </c:spPr>
      <c:txPr>
        <a:bodyPr rot="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a:cs typeface="Lucida Sans"/>
            </a:defRPr>
          </a:pPr>
        </a:p>
      </c:txPr>
    </c:legend>
    <c:plotVisOnly val="true"/>
    <c:dispBlanksAs val="gap"/>
    <c:showDLblsOverMax val="false"/>
  </c:chart>
  <c:txPr>
    <a:bodyPr/>
    <a:lstStyle/>
    <a:p>
      <a:pPr>
        <a:defRPr lang="zh-CN" sz="1000" b="0" i="0" u="none" strike="noStrike" baseline="0">
          <a:solidFill>
            <a:srgbClr val="000000"/>
          </a:solidFill>
          <a:latin typeface="Times New Roman" panose="02020603050405020304"/>
          <a:ea typeface="宋体"/>
          <a:cs typeface="Lucida Sans"/>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rgbClr val="000000"/>
                </a:solidFill>
                <a:latin typeface="Times New Roman" panose="02020603050405020304"/>
                <a:ea typeface="宋体"/>
                <a:cs typeface="Lucida Sans"/>
              </a:defRPr>
            </a:pPr>
            <a:r>
              <a:rPr lang="zh-CN"/>
              <a:t>财政拨款收、支决算总计变动情况</a:t>
            </a:r>
            <a:endParaRPr lang="zh-CN"/>
          </a:p>
        </c:rich>
      </c:tx>
      <c:layout/>
      <c:overlay val="false"/>
      <c:spPr>
        <a:ln>
          <a:noFill/>
        </a:ln>
      </c:spPr>
    </c:title>
    <c:autoTitleDeleted val="false"/>
    <c:plotArea>
      <c:layout>
        <c:manualLayout>
          <c:layoutTarget val="inner"/>
          <c:xMode val="edge"/>
          <c:yMode val="edge"/>
          <c:x val="0.12673841"/>
          <c:y val="0.20140055"/>
          <c:w val="0.5844158"/>
          <c:h val="0.6445447"/>
        </c:manualLayout>
      </c:layout>
      <c:barChart>
        <c:barDir val="col"/>
        <c:grouping val="stacked"/>
        <c:varyColors val="false"/>
        <c:ser>
          <c:idx val="0"/>
          <c:order val="0"/>
          <c:tx>
            <c:strRef>
              <c:f>财政拨款收、支决算总计变动情况</c:f>
              <c:strCache>
                <c:ptCount val="1"/>
                <c:pt idx="0">
                  <c:v>财政拨款收、支决算总计变动情况</c:v>
                </c:pt>
              </c:strCache>
            </c:strRef>
          </c:tx>
          <c:spPr>
            <a:solidFill>
              <a:srgbClr val="4F81BD"/>
            </a:solidFill>
            <a:ln>
              <a:noFill/>
            </a:ln>
          </c:spPr>
          <c:invertIfNegative val="false"/>
          <c:dLbls>
            <c:dLbl>
              <c:idx val="0"/>
              <c:layout>
                <c:manualLayout>
                  <c:x val="0.0055555557"/>
                  <c:y val="-0.30555555"/>
                </c:manualLayout>
              </c:layout>
              <c:numFmt formatCode="General"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a:cs typeface="Lucida Sans"/>
                    </a:defRPr>
                  </a:pPr>
                </a:p>
              </c:txPr>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
                  <c:y val="-0.22222222"/>
                </c:manualLayout>
              </c:layout>
              <c:numFmt formatCode="General"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a:cs typeface="Lucida Sans"/>
                    </a:defRPr>
                  </a:pPr>
                </a:p>
              </c:txPr>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General"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a:cs typeface="Lucida San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{"2020年","2021年"}</c:f>
              <c:strCache>
                <c:ptCount val="2"/>
                <c:pt idx="0">
                  <c:v>2020年</c:v>
                </c:pt>
                <c:pt idx="1">
                  <c:v>2021年</c:v>
                </c:pt>
              </c:strCache>
            </c:strRef>
          </c:cat>
          <c:val>
            <c:numRef>
              <c:f>{20177.83,14045.93}</c:f>
              <c:numCache>
                <c:formatCode>General</c:formatCode>
                <c:ptCount val="2"/>
                <c:pt idx="0">
                  <c:v>20177.83</c:v>
                </c:pt>
                <c:pt idx="1">
                  <c:v>14045.93</c:v>
                </c:pt>
              </c:numCache>
            </c:numRef>
          </c:val>
        </c:ser>
        <c:dLbls>
          <c:showLegendKey val="false"/>
          <c:showVal val="true"/>
          <c:showCatName val="false"/>
          <c:showSerName val="false"/>
          <c:showPercent val="false"/>
          <c:showBubbleSize val="false"/>
        </c:dLbls>
        <c:gapWidth val="150"/>
        <c:overlap val="100"/>
        <c:axId val="0"/>
        <c:axId val="1"/>
      </c:barChart>
      <c:catAx>
        <c:axId val="0"/>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a:cs typeface="Lucida Sans"/>
              </a:defRPr>
            </a:pPr>
          </a:p>
        </c:txPr>
        <c:crossAx val="1"/>
        <c:crosses val="autoZero"/>
        <c:auto val="true"/>
        <c:lblAlgn val="ctr"/>
        <c:lblOffset val="100"/>
        <c:noMultiLvlLbl val="false"/>
      </c:catAx>
      <c:valAx>
        <c:axId val="1"/>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a:cs typeface="Lucida Sans"/>
              </a:defRPr>
            </a:pPr>
          </a:p>
        </c:txPr>
        <c:crossAx val="0"/>
        <c:crossesAt val="1"/>
        <c:crossBetween val="between"/>
      </c:valAx>
      <c:spPr>
        <a:noFill/>
      </c:spPr>
    </c:plotArea>
    <c:legend>
      <c:legendPos val="r"/>
      <c:layout>
        <c:manualLayout>
          <c:xMode val="edge"/>
          <c:yMode val="edge"/>
          <c:x val="0.7111542"/>
          <c:y val="0.5051717"/>
          <c:w val="0.27217913"/>
          <c:h val="0.1396566"/>
        </c:manualLayout>
      </c:layout>
      <c:overlay val="false"/>
      <c:spPr>
        <a:noFill/>
        <a:ln>
          <a:noFill/>
        </a:ln>
      </c:spPr>
      <c:txPr>
        <a:bodyPr rot="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a:cs typeface="Lucida Sans"/>
            </a:defRPr>
          </a:pPr>
        </a:p>
      </c:txPr>
    </c:legend>
    <c:plotVisOnly val="true"/>
    <c:dispBlanksAs val="gap"/>
    <c:showDLblsOverMax val="false"/>
  </c:chart>
  <c:txPr>
    <a:bodyPr/>
    <a:lstStyle/>
    <a:p>
      <a:pPr>
        <a:defRPr lang="zh-CN" sz="1000" b="0" i="0" u="none" strike="noStrike" baseline="0">
          <a:solidFill>
            <a:srgbClr val="000000"/>
          </a:solidFill>
          <a:latin typeface="Times New Roman" panose="02020603050405020304"/>
          <a:ea typeface="宋体"/>
          <a:cs typeface="Lucida Sans"/>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1" i="0" u="none" strike="noStrike" kern="1200" baseline="0">
                <a:solidFill>
                  <a:srgbClr val="000000"/>
                </a:solidFill>
                <a:latin typeface="Times New Roman" panose="02020603050405020304"/>
                <a:ea typeface="宋体"/>
                <a:cs typeface="Lucida Sans"/>
              </a:defRPr>
            </a:pPr>
            <a:r>
              <a:rPr lang="zh-CN"/>
              <a:t>一般公共预算财政拨款支出决算变动情况</a:t>
            </a:r>
            <a:endParaRPr lang="zh-CN"/>
          </a:p>
        </c:rich>
      </c:tx>
      <c:layout>
        <c:manualLayout>
          <c:xMode val="edge"/>
          <c:yMode val="edge"/>
          <c:x val="0.12918045"/>
          <c:y val="0.055555556"/>
        </c:manualLayout>
      </c:layout>
      <c:overlay val="false"/>
      <c:spPr>
        <a:ln>
          <a:noFill/>
        </a:ln>
      </c:spPr>
    </c:title>
    <c:autoTitleDeleted val="false"/>
    <c:plotArea>
      <c:layout>
        <c:manualLayout>
          <c:layoutTarget val="inner"/>
          <c:xMode val="edge"/>
          <c:yMode val="edge"/>
          <c:x val="0.12673841"/>
          <c:y val="0.3097339"/>
          <c:w val="0.56774914"/>
          <c:h val="0.5362114"/>
        </c:manualLayout>
      </c:layout>
      <c:barChart>
        <c:barDir val="col"/>
        <c:grouping val="stacked"/>
        <c:varyColors val="false"/>
        <c:ser>
          <c:idx val="0"/>
          <c:order val="0"/>
          <c:tx>
            <c:strRef>
              <c:f>一般公共预算财政拨款支出决算变动情况</c:f>
              <c:strCache>
                <c:ptCount val="1"/>
                <c:pt idx="0">
                  <c:v>一般公共预算财政拨款支出决算变动情况</c:v>
                </c:pt>
              </c:strCache>
            </c:strRef>
          </c:tx>
          <c:spPr>
            <a:solidFill>
              <a:srgbClr val="4F81BD"/>
            </a:solidFill>
            <a:ln>
              <a:noFill/>
            </a:ln>
          </c:spPr>
          <c:invertIfNegative val="false"/>
          <c:dLbls>
            <c:dLbl>
              <c:idx val="0"/>
              <c:layout>
                <c:manualLayout>
                  <c:x val="0.008333334"/>
                  <c:y val="-0.2777778"/>
                </c:manualLayout>
              </c:layout>
              <c:numFmt formatCode="General"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a:cs typeface="Lucida Sans"/>
                    </a:defRPr>
                  </a:pPr>
                </a:p>
              </c:txPr>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8333334"/>
                  <c:y val="-0.12962963"/>
                </c:manualLayout>
              </c:layout>
              <c:numFmt formatCode="General"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a:cs typeface="Lucida Sans"/>
                    </a:defRPr>
                  </a:pPr>
                </a:p>
              </c:txPr>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General"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a:cs typeface="Lucida San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{"2020年","2021年"}</c:f>
              <c:strCache>
                <c:ptCount val="2"/>
                <c:pt idx="0">
                  <c:v>2020年</c:v>
                </c:pt>
                <c:pt idx="1">
                  <c:v>2021年</c:v>
                </c:pt>
              </c:strCache>
            </c:strRef>
          </c:cat>
          <c:val>
            <c:numRef>
              <c:f>{14251.56,13045.22}</c:f>
              <c:numCache>
                <c:formatCode>General</c:formatCode>
                <c:ptCount val="2"/>
                <c:pt idx="0">
                  <c:v>14251.56</c:v>
                </c:pt>
                <c:pt idx="1">
                  <c:v>13045.22</c:v>
                </c:pt>
              </c:numCache>
            </c:numRef>
          </c:val>
        </c:ser>
        <c:dLbls>
          <c:showLegendKey val="false"/>
          <c:showVal val="true"/>
          <c:showCatName val="false"/>
          <c:showSerName val="false"/>
          <c:showPercent val="false"/>
          <c:showBubbleSize val="false"/>
        </c:dLbls>
        <c:gapWidth val="150"/>
        <c:overlap val="100"/>
        <c:axId val="0"/>
        <c:axId val="1"/>
      </c:barChart>
      <c:catAx>
        <c:axId val="0"/>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a:cs typeface="Lucida Sans"/>
              </a:defRPr>
            </a:pPr>
          </a:p>
        </c:txPr>
        <c:crossAx val="1"/>
        <c:crosses val="autoZero"/>
        <c:auto val="true"/>
        <c:lblAlgn val="ctr"/>
        <c:lblOffset val="100"/>
        <c:noMultiLvlLbl val="false"/>
      </c:catAx>
      <c:valAx>
        <c:axId val="1"/>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a:cs typeface="Lucida Sans"/>
              </a:defRPr>
            </a:pPr>
          </a:p>
        </c:txPr>
        <c:crossAx val="0"/>
        <c:crossesAt val="1"/>
        <c:crossBetween val="between"/>
      </c:valAx>
      <c:spPr>
        <a:noFill/>
      </c:spPr>
    </c:plotArea>
    <c:legend>
      <c:legendPos val="r"/>
      <c:layout>
        <c:manualLayout>
          <c:xMode val="edge"/>
          <c:yMode val="edge"/>
          <c:x val="0.6861542"/>
          <c:y val="0.5593384"/>
          <c:w val="0.29717913"/>
          <c:h val="0.1396566"/>
        </c:manualLayout>
      </c:layout>
      <c:overlay val="false"/>
      <c:spPr>
        <a:noFill/>
        <a:ln>
          <a:noFill/>
        </a:ln>
      </c:spPr>
      <c:txPr>
        <a:bodyPr rot="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a:cs typeface="Lucida Sans"/>
            </a:defRPr>
          </a:pPr>
        </a:p>
      </c:txPr>
    </c:legend>
    <c:plotVisOnly val="true"/>
    <c:dispBlanksAs val="gap"/>
    <c:showDLblsOverMax val="false"/>
  </c:chart>
  <c:txPr>
    <a:bodyPr/>
    <a:lstStyle/>
    <a:p>
      <a:pPr>
        <a:defRPr lang="zh-CN" sz="1000" b="0" i="0" u="none" strike="noStrike" baseline="0">
          <a:solidFill>
            <a:srgbClr val="000000"/>
          </a:solidFill>
          <a:latin typeface="Times New Roman" panose="02020603050405020304"/>
          <a:ea typeface="宋体"/>
          <a:cs typeface="Lucida Sans"/>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600" b="1" i="0" u="none" strike="noStrike" kern="1200" baseline="0">
                <a:solidFill>
                  <a:srgbClr val="000000"/>
                </a:solidFill>
                <a:latin typeface="Times New Roman" panose="02020603050405020304"/>
                <a:ea typeface="宋体"/>
                <a:cs typeface="Lucida Sans"/>
              </a:defRPr>
            </a:pPr>
            <a:r>
              <a:rPr lang="zh-CN"/>
              <a:t>一般公共预算财政拨款支出决算结构</a:t>
            </a:r>
            <a:endParaRPr lang="zh-CN"/>
          </a:p>
        </c:rich>
      </c:tx>
      <c:layout/>
      <c:overlay val="false"/>
      <c:spPr>
        <a:ln>
          <a:noFill/>
        </a:ln>
      </c:spPr>
    </c:title>
    <c:autoTitleDeleted val="false"/>
    <c:plotArea>
      <c:layout>
        <c:manualLayout>
          <c:layoutTarget val="inner"/>
          <c:xMode val="edge"/>
          <c:yMode val="edge"/>
          <c:x val="0.22894488"/>
          <c:y val="0.36024278"/>
          <c:w val="0.3282642"/>
          <c:h val="0.54710704"/>
        </c:manualLayout>
      </c:layout>
      <c:pieChart>
        <c:varyColors val="true"/>
        <c:ser>
          <c:idx val="0"/>
          <c:order val="0"/>
          <c:tx>
            <c:strRef>
              <c:f>一般公共预算财政拨款支出决算结构</c:f>
              <c:strCache>
                <c:ptCount val="1"/>
                <c:pt idx="0">
                  <c:v>一般公共预算财政拨款支出决算结构</c:v>
                </c:pt>
              </c:strCache>
            </c:strRef>
          </c:tx>
          <c:explosion val="25"/>
          <c:dPt>
            <c:idx val="0"/>
            <c:bubble3D val="false"/>
            <c:spPr>
              <a:solidFill>
                <a:srgbClr val="4F81BD"/>
              </a:solidFill>
            </c:spPr>
          </c:dPt>
          <c:dPt>
            <c:idx val="1"/>
            <c:bubble3D val="false"/>
            <c:explosion val="16"/>
            <c:spPr>
              <a:solidFill>
                <a:srgbClr val="C0504D"/>
              </a:solidFill>
            </c:spPr>
          </c:dPt>
          <c:dPt>
            <c:idx val="2"/>
            <c:bubble3D val="false"/>
            <c:spPr>
              <a:solidFill>
                <a:srgbClr val="9BBB59"/>
              </a:solidFill>
            </c:spPr>
          </c:dPt>
          <c:dPt>
            <c:idx val="3"/>
            <c:bubble3D val="false"/>
            <c:explosion val="11"/>
            <c:spPr>
              <a:solidFill>
                <a:srgbClr val="8064A2"/>
              </a:solidFill>
            </c:spPr>
          </c:dPt>
          <c:dPt>
            <c:idx val="4"/>
            <c:bubble3D val="false"/>
            <c:spPr>
              <a:solidFill>
                <a:srgbClr val="4BACC6"/>
              </a:solidFill>
            </c:spPr>
          </c:dPt>
          <c:dLbls>
            <c:numFmt formatCode="General"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a:cs typeface="Lucida San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{"一般公共服务支出","社会保障和就业支出","城乡社区支出","住房保障支出","其他支出"}</c:f>
              <c:strCache>
                <c:ptCount val="5"/>
                <c:pt idx="0">
                  <c:v>一般公共服务支出</c:v>
                </c:pt>
                <c:pt idx="1">
                  <c:v>社会保障和就业支出</c:v>
                </c:pt>
                <c:pt idx="2">
                  <c:v>城乡社区支出</c:v>
                </c:pt>
                <c:pt idx="3">
                  <c:v>住房保障支出</c:v>
                </c:pt>
                <c:pt idx="4">
                  <c:v>其他支出</c:v>
                </c:pt>
              </c:strCache>
            </c:strRef>
          </c:cat>
          <c:val>
            <c:numRef>
              <c:f>{31.77,1689.41,10812.59,461.46,50}</c:f>
              <c:numCache>
                <c:formatCode>General</c:formatCode>
                <c:ptCount val="5"/>
                <c:pt idx="0">
                  <c:v>31.77</c:v>
                </c:pt>
                <c:pt idx="1">
                  <c:v>1689.41</c:v>
                </c:pt>
                <c:pt idx="2">
                  <c:v>10812.59</c:v>
                </c:pt>
                <c:pt idx="3">
                  <c:v>461.46</c:v>
                </c:pt>
                <c:pt idx="4">
                  <c:v>50</c:v>
                </c:pt>
              </c:numCache>
            </c:numRef>
          </c:val>
        </c:ser>
        <c:dLbls>
          <c:showLegendKey val="false"/>
          <c:showVal val="true"/>
          <c:showCatName val="false"/>
          <c:showSerName val="false"/>
          <c:showPercent val="false"/>
          <c:showBubbleSize val="false"/>
          <c:showLeaderLines val="true"/>
        </c:dLbls>
        <c:firstSliceAng val="0"/>
      </c:pieChart>
      <c:spPr>
        <a:solidFill>
          <a:srgbClr val="C0C0C0"/>
        </a:solidFill>
        <a:ln>
          <a:noFill/>
        </a:ln>
        <a:effectLst/>
      </c:spPr>
    </c:plotArea>
    <c:legend>
      <c:legendPos val="r"/>
      <c:layout/>
      <c:overlay val="false"/>
      <c:spPr>
        <a:noFill/>
        <a:ln>
          <a:noFill/>
        </a:ln>
      </c:spPr>
      <c:txPr>
        <a:bodyPr rot="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a:cs typeface="Lucida Sans"/>
            </a:defRPr>
          </a:pPr>
        </a:p>
      </c:txPr>
    </c:legend>
    <c:plotVisOnly val="true"/>
    <c:dispBlanksAs val="gap"/>
    <c:showDLblsOverMax val="false"/>
  </c:chart>
  <c:txPr>
    <a:bodyPr/>
    <a:lstStyle/>
    <a:p>
      <a:pPr>
        <a:defRPr lang="zh-CN" sz="1000" b="0" i="0" u="none" strike="noStrike" baseline="0">
          <a:solidFill>
            <a:srgbClr val="000000"/>
          </a:solidFill>
          <a:latin typeface="Times New Roman" panose="02020603050405020304"/>
          <a:ea typeface="宋体"/>
          <a:cs typeface="Lucida Sans"/>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rgbClr val="000000"/>
                </a:solidFill>
                <a:latin typeface="Times New Roman" panose="02020603050405020304"/>
                <a:ea typeface="宋体"/>
                <a:cs typeface="Lucida Sans"/>
              </a:defRPr>
            </a:pPr>
            <a:r>
              <a:rPr lang="zh-CN"/>
              <a:t>“三公”经费财政拨款支出结构</a:t>
            </a:r>
            <a:endParaRPr lang="zh-CN"/>
          </a:p>
        </c:rich>
      </c:tx>
      <c:layout/>
      <c:overlay val="false"/>
      <c:spPr>
        <a:ln>
          <a:noFill/>
        </a:ln>
      </c:spPr>
    </c:title>
    <c:autoTitleDeleted val="false"/>
    <c:plotArea>
      <c:layout>
        <c:manualLayout>
          <c:layoutTarget val="inner"/>
          <c:xMode val="edge"/>
          <c:yMode val="edge"/>
          <c:x val="0.18661855"/>
          <c:y val="0.25405073"/>
          <c:w val="0.3851391"/>
          <c:h val="0.6418985"/>
        </c:manualLayout>
      </c:layout>
      <c:pieChart>
        <c:varyColors val="true"/>
        <c:ser>
          <c:idx val="0"/>
          <c:order val="0"/>
          <c:tx>
            <c:strRef>
              <c:f>“三公”经费财政拨款支出结构</c:f>
              <c:strCache>
                <c:ptCount val="1"/>
                <c:pt idx="0">
                  <c:v>“三公”经费财政拨款支出结构</c:v>
                </c:pt>
              </c:strCache>
            </c:strRef>
          </c:tx>
          <c:spPr>
            <a:ln>
              <a:noFill/>
            </a:ln>
          </c:spPr>
          <c:explosion val="25"/>
          <c:dPt>
            <c:idx val="0"/>
            <c:bubble3D val="false"/>
            <c:spPr>
              <a:solidFill>
                <a:srgbClr val="4F81BD"/>
              </a:solidFill>
            </c:spPr>
          </c:dPt>
          <c:dPt>
            <c:idx val="1"/>
            <c:bubble3D val="false"/>
            <c:spPr>
              <a:solidFill>
                <a:srgbClr val="C0504D"/>
              </a:solidFill>
            </c:spPr>
          </c:dPt>
          <c:dLbls>
            <c:dLbl>
              <c:idx val="0"/>
              <c:layout>
                <c:manualLayout>
                  <c:x val="-0.044323854"/>
                  <c:y val="-0.17708333"/>
                </c:manualLayout>
              </c:layout>
              <c:numFmt formatCode="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a:cs typeface="Lucida Sans"/>
                    </a:defRPr>
                  </a:pPr>
                </a:p>
              </c:txPr>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1"/>
              <c:layout>
                <c:manualLayout>
                  <c:x val="0.06739086"/>
                  <c:y val="0.121527776"/>
                </c:manualLayout>
              </c:layout>
              <c:numFmt formatCode="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a:cs typeface="Lucida Sans"/>
                    </a:defRPr>
                  </a:pPr>
                </a:p>
              </c:txPr>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numFmt formatCode="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a:cs typeface="Lucida Sans"/>
                  </a:defRPr>
                </a:pPr>
              </a:p>
            </c:txPr>
            <c:dLblPos val="bestFit"/>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{"公务用车运行维护费","公务接待费"}</c:f>
              <c:strCache>
                <c:ptCount val="2"/>
                <c:pt idx="0">
                  <c:v>公务用车运行维护费</c:v>
                </c:pt>
                <c:pt idx="1">
                  <c:v>公务接待费</c:v>
                </c:pt>
              </c:strCache>
            </c:strRef>
          </c:cat>
          <c:val>
            <c:numRef>
              <c:f>{81.8,3.45}</c:f>
              <c:numCache>
                <c:formatCode>General</c:formatCode>
                <c:ptCount val="2"/>
                <c:pt idx="0">
                  <c:v>81.8</c:v>
                </c:pt>
                <c:pt idx="1">
                  <c:v>3.45</c:v>
                </c:pt>
              </c:numCache>
            </c:numRef>
          </c:val>
        </c:ser>
        <c:dLbls>
          <c:showLegendKey val="false"/>
          <c:showVal val="false"/>
          <c:showCatName val="true"/>
          <c:showSerName val="false"/>
          <c:showPercent val="true"/>
          <c:showBubbleSize val="false"/>
          <c:showLeaderLines val="true"/>
        </c:dLbls>
        <c:firstSliceAng val="0"/>
      </c:pieChart>
      <c:spPr>
        <a:noFill/>
      </c:spPr>
    </c:plotArea>
    <c:legend>
      <c:legendPos val="r"/>
      <c:layout/>
      <c:overlay val="false"/>
      <c:spPr>
        <a:noFill/>
        <a:ln>
          <a:noFill/>
        </a:ln>
      </c:spPr>
      <c:txPr>
        <a:bodyPr rot="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a:cs typeface="Lucida Sans"/>
            </a:defRPr>
          </a:pPr>
        </a:p>
      </c:txPr>
    </c:legend>
    <c:plotVisOnly val="true"/>
    <c:dispBlanksAs val="gap"/>
    <c:showDLblsOverMax val="false"/>
  </c:chart>
  <c:txPr>
    <a:bodyPr/>
    <a:lstStyle/>
    <a:p>
      <a:pPr>
        <a:defRPr lang="zh-CN" sz="1000" b="0" i="0" u="none" strike="noStrike" baseline="0">
          <a:solidFill>
            <a:srgbClr val="000000"/>
          </a:solidFill>
          <a:latin typeface="Times New Roman" panose="02020603050405020304"/>
          <a:ea typeface="宋体"/>
          <a:cs typeface="Lucida Sans"/>
        </a:defRPr>
      </a:pPr>
    </a:p>
  </c:txPr>
  <c:externalData r:id="rId1">
    <c:autoUpdate val="false"/>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四川省财政厅</Company>
  <Pages>84</Pages>
  <Words>33411</Words>
  <Characters>36687</Characters>
  <Lines>2235</Lines>
  <Paragraphs>955</Paragraphs>
  <TotalTime>304</TotalTime>
  <ScaleCrop>false</ScaleCrop>
  <LinksUpToDate>false</LinksUpToDate>
  <CharactersWithSpaces>36926</CharactersWithSpaces>
  <Application>WPS Office_11.8.2.9864_F1E327BC-269C-435d-A152-05C5408002CA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2022-09-13T21:08:00Z</dcterms:created>
  <dc:creator>曹颖</dc:creator>
  <cp:lastModifiedBy>user</cp:lastModifiedBy>
  <cp:lastPrinted>2022-08-09T01:11:00Z</cp:lastPrinted>
  <dcterms:modified xsi:type="dcterms:W3CDTF">2025-01-13T17:14:54Z</dcterms:modified>
  <dc:title>四川省***</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