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5306267"/>
    </w:p>
    <w:p/>
    <w:p/>
    <w:p/>
    <w:p>
      <w:pPr>
        <w:adjustRightInd w:val="0"/>
        <w:snapToGrid w:val="0"/>
        <w:spacing w:line="360" w:lineRule="auto"/>
        <w:jc w:val="center"/>
        <w:outlineLvl w:val="0"/>
        <w:rPr>
          <w:rFonts w:asciiTheme="majorEastAsia" w:hAnsiTheme="majorEastAsia" w:eastAsiaTheme="majorEastAsia"/>
          <w:b/>
          <w:color w:val="000000"/>
          <w:sz w:val="72"/>
          <w:szCs w:val="72"/>
        </w:rPr>
      </w:pPr>
      <w:bookmarkStart w:id="1" w:name="_Toc15377193"/>
      <w:bookmarkStart w:id="2" w:name="_Toc15378441"/>
      <w:bookmarkStart w:id="3" w:name="_Toc15377425"/>
      <w:bookmarkStart w:id="4" w:name="_Toc15396475"/>
      <w:bookmarkStart w:id="5" w:name="_Toc15396597"/>
      <w:r>
        <w:rPr>
          <w:rFonts w:hint="eastAsia" w:asciiTheme="majorEastAsia" w:hAnsiTheme="majorEastAsia" w:eastAsiaTheme="majorEastAsia"/>
          <w:b/>
          <w:color w:val="000000"/>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asciiTheme="majorEastAsia" w:hAnsiTheme="majorEastAsia" w:eastAsiaTheme="majorEastAsia"/>
          <w:b/>
          <w:color w:val="000000"/>
          <w:sz w:val="72"/>
          <w:szCs w:val="72"/>
        </w:rPr>
      </w:pPr>
      <w:bookmarkStart w:id="6" w:name="_Toc15377194"/>
      <w:bookmarkStart w:id="7" w:name="_Toc15396598"/>
      <w:bookmarkStart w:id="8" w:name="_Toc15377426"/>
      <w:bookmarkStart w:id="9" w:name="_Toc15378442"/>
      <w:bookmarkStart w:id="10" w:name="_Toc15306268"/>
      <w:bookmarkStart w:id="11" w:name="_Toc15396476"/>
      <w:r>
        <w:rPr>
          <w:rFonts w:hint="eastAsia" w:asciiTheme="majorEastAsia" w:hAnsiTheme="majorEastAsia" w:eastAsiaTheme="majorEastAsia"/>
          <w:b/>
          <w:color w:val="000000"/>
          <w:sz w:val="72"/>
          <w:szCs w:val="72"/>
        </w:rPr>
        <w:t>攀</w:t>
      </w:r>
      <w:r>
        <w:rPr>
          <w:rFonts w:asciiTheme="majorEastAsia" w:hAnsiTheme="majorEastAsia" w:eastAsiaTheme="majorEastAsia"/>
          <w:b/>
          <w:color w:val="000000"/>
          <w:sz w:val="72"/>
          <w:szCs w:val="72"/>
        </w:rPr>
        <w:t>枝花</w:t>
      </w:r>
      <w:r>
        <w:rPr>
          <w:rFonts w:hint="eastAsia" w:asciiTheme="majorEastAsia" w:hAnsiTheme="majorEastAsia" w:eastAsiaTheme="majorEastAsia"/>
          <w:b/>
          <w:color w:val="000000"/>
          <w:sz w:val="72"/>
          <w:szCs w:val="72"/>
        </w:rPr>
        <w:t>市建筑节能和绿色建筑发展中心决算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0"/>
        <w:rPr>
          <w:rFonts w:ascii="仿宋_GB2312" w:eastAsia="仿宋_GB2312"/>
        </w:rPr>
      </w:pPr>
      <w:r>
        <w:rPr>
          <w:rFonts w:hint="eastAsia" w:ascii="仿宋_GB2312" w:eastAsia="仿宋_GB2312"/>
        </w:rPr>
        <w:t>公开时间：2024年9 月</w:t>
      </w:r>
      <w:r>
        <w:rPr>
          <w:rFonts w:hint="eastAsia" w:ascii="仿宋_GB2312" w:eastAsia="仿宋_GB2312"/>
          <w:lang w:val="en-US" w:eastAsia="zh-CN"/>
        </w:rPr>
        <w:t>23</w:t>
      </w:r>
      <w:r>
        <w:rPr>
          <w:rFonts w:hint="eastAsia" w:ascii="仿宋_GB2312" w:eastAsia="仿宋_GB2312"/>
        </w:rPr>
        <w:t>日</w:t>
      </w:r>
    </w:p>
    <w:p>
      <w:pPr>
        <w:rPr>
          <w:rFonts w:ascii="仿宋_GB2312" w:eastAsia="仿宋_GB2312"/>
        </w:rPr>
      </w:pPr>
    </w:p>
    <w:p>
      <w:pPr>
        <w:pStyle w:val="10"/>
        <w:adjustRightInd w:val="0"/>
        <w:snapToGrid w:val="0"/>
        <w:spacing w:before="0" w:line="440" w:lineRule="exact"/>
        <w:jc w:val="both"/>
        <w:rPr>
          <w:rFonts w:ascii="仿宋_GB2312" w:hAnsi="宋体" w:eastAsia="仿宋_GB2312"/>
          <w:sz w:val="24"/>
          <w:szCs w:val="24"/>
        </w:rPr>
      </w:pPr>
      <w:r>
        <w:rPr>
          <w:rFonts w:hint="eastAsia" w:ascii="仿宋_GB2312" w:hAnsi="宋体" w:eastAsia="仿宋_GB2312"/>
          <w:sz w:val="24"/>
        </w:rPr>
        <w:t>第一部分 单位概况</w:t>
      </w:r>
      <w:r>
        <w:rPr>
          <w:rFonts w:hint="eastAsia" w:ascii="仿宋_GB2312" w:hAnsi="宋体" w:eastAsia="仿宋_GB2312"/>
          <w:sz w:val="24"/>
          <w:szCs w:val="24"/>
        </w:rPr>
        <w:tab/>
      </w:r>
      <w:r>
        <w:rPr>
          <w:rFonts w:hint="eastAsia" w:ascii="仿宋_GB2312" w:hAnsi="宋体" w:eastAsia="仿宋_GB2312"/>
          <w:sz w:val="24"/>
          <w:szCs w:val="24"/>
        </w:rPr>
        <w:t>4</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一、主要职责</w:t>
      </w:r>
      <w:r>
        <w:rPr>
          <w:rFonts w:hint="eastAsia" w:asciiTheme="majorEastAsia" w:hAnsiTheme="majorEastAsia" w:eastAsiaTheme="majorEastAsia"/>
          <w:sz w:val="24"/>
        </w:rPr>
        <w:tab/>
      </w:r>
      <w:r>
        <w:rPr>
          <w:rFonts w:hint="eastAsia" w:asciiTheme="majorEastAsia" w:hAnsiTheme="majorEastAsia" w:eastAsiaTheme="majorEastAsia"/>
          <w:sz w:val="24"/>
        </w:rPr>
        <w:t>4</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二、机构设置</w:t>
      </w:r>
      <w:r>
        <w:rPr>
          <w:rFonts w:hint="eastAsia" w:asciiTheme="majorEastAsia" w:hAnsiTheme="majorEastAsia" w:eastAsiaTheme="majorEastAsia"/>
          <w:sz w:val="24"/>
        </w:rPr>
        <w:tab/>
      </w:r>
      <w:r>
        <w:rPr>
          <w:rFonts w:hint="eastAsia" w:asciiTheme="majorEastAsia" w:hAnsiTheme="majorEastAsia" w:eastAsiaTheme="majorEastAsia"/>
          <w:sz w:val="24"/>
        </w:rPr>
        <w:t>4</w:t>
      </w:r>
    </w:p>
    <w:p>
      <w:pPr>
        <w:pStyle w:val="10"/>
        <w:adjustRightInd w:val="0"/>
        <w:snapToGrid w:val="0"/>
        <w:spacing w:before="0" w:line="440" w:lineRule="exact"/>
        <w:jc w:val="both"/>
        <w:rPr>
          <w:rFonts w:ascii="仿宋_GB2312" w:hAnsi="宋体" w:eastAsia="仿宋_GB2312"/>
          <w:sz w:val="24"/>
          <w:szCs w:val="24"/>
        </w:rPr>
      </w:pPr>
      <w:r>
        <w:rPr>
          <w:rFonts w:hint="eastAsia" w:ascii="仿宋_GB2312" w:hAnsi="宋体" w:eastAsia="仿宋_GB2312"/>
          <w:sz w:val="24"/>
        </w:rPr>
        <w:t>第二部分2023年度单位决算情况说明</w:t>
      </w:r>
      <w:r>
        <w:rPr>
          <w:rFonts w:hint="eastAsia" w:ascii="仿宋_GB2312" w:hAnsi="宋体" w:eastAsia="仿宋_GB2312"/>
          <w:sz w:val="24"/>
          <w:szCs w:val="24"/>
        </w:rPr>
        <w:tab/>
      </w:r>
      <w:r>
        <w:rPr>
          <w:rFonts w:hint="eastAsia" w:ascii="仿宋_GB2312" w:hAnsi="宋体" w:eastAsia="仿宋_GB2312"/>
          <w:sz w:val="24"/>
          <w:szCs w:val="24"/>
        </w:rPr>
        <w:t>5</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一、收入支出决算总体情况说明</w:t>
      </w:r>
      <w:r>
        <w:rPr>
          <w:rFonts w:hint="eastAsia" w:asciiTheme="majorEastAsia" w:hAnsiTheme="majorEastAsia" w:eastAsiaTheme="majorEastAsia"/>
          <w:sz w:val="24"/>
        </w:rPr>
        <w:tab/>
      </w:r>
      <w:r>
        <w:rPr>
          <w:rFonts w:hint="eastAsia" w:asciiTheme="majorEastAsia" w:hAnsiTheme="majorEastAsia" w:eastAsiaTheme="majorEastAsia"/>
          <w:sz w:val="24"/>
        </w:rPr>
        <w:t>5</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二、收入决算情况说明</w:t>
      </w:r>
      <w:r>
        <w:rPr>
          <w:rFonts w:hint="eastAsia" w:asciiTheme="majorEastAsia" w:hAnsiTheme="majorEastAsia" w:eastAsiaTheme="majorEastAsia"/>
          <w:sz w:val="24"/>
        </w:rPr>
        <w:tab/>
      </w:r>
      <w:r>
        <w:rPr>
          <w:rFonts w:hint="eastAsia" w:asciiTheme="majorEastAsia" w:hAnsiTheme="majorEastAsia" w:eastAsiaTheme="majorEastAsia"/>
          <w:sz w:val="24"/>
        </w:rPr>
        <w:t>5</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三、支出决算情况说明</w:t>
      </w:r>
      <w:r>
        <w:rPr>
          <w:rFonts w:hint="eastAsia" w:asciiTheme="majorEastAsia" w:hAnsiTheme="majorEastAsia" w:eastAsiaTheme="majorEastAsia"/>
          <w:sz w:val="24"/>
        </w:rPr>
        <w:tab/>
      </w:r>
      <w:r>
        <w:rPr>
          <w:rFonts w:hint="eastAsia" w:asciiTheme="majorEastAsia" w:hAnsiTheme="majorEastAsia" w:eastAsiaTheme="majorEastAsia"/>
          <w:sz w:val="24"/>
        </w:rPr>
        <w:t>6</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四、财政拨款收入支出决算总体情况说明</w:t>
      </w:r>
      <w:r>
        <w:rPr>
          <w:rFonts w:hint="eastAsia" w:asciiTheme="majorEastAsia" w:hAnsiTheme="majorEastAsia" w:eastAsiaTheme="majorEastAsia"/>
          <w:sz w:val="24"/>
        </w:rPr>
        <w:tab/>
      </w:r>
      <w:r>
        <w:rPr>
          <w:rFonts w:hint="eastAsia" w:asciiTheme="majorEastAsia" w:hAnsiTheme="majorEastAsia" w:eastAsiaTheme="majorEastAsia"/>
          <w:sz w:val="24"/>
        </w:rPr>
        <w:t>6</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五、一般公共预算财政拨款支出决算情况说明</w:t>
      </w:r>
      <w:r>
        <w:rPr>
          <w:rFonts w:hint="eastAsia" w:asciiTheme="majorEastAsia" w:hAnsiTheme="majorEastAsia" w:eastAsiaTheme="majorEastAsia"/>
          <w:sz w:val="24"/>
        </w:rPr>
        <w:tab/>
      </w:r>
      <w:r>
        <w:rPr>
          <w:rFonts w:hint="eastAsia" w:asciiTheme="majorEastAsia" w:hAnsiTheme="majorEastAsia" w:eastAsiaTheme="majorEastAsia"/>
          <w:sz w:val="24"/>
        </w:rPr>
        <w:t>7</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六、一般公共预算财政拨款基本支出决算情况说明</w:t>
      </w:r>
      <w:r>
        <w:rPr>
          <w:rFonts w:hint="eastAsia" w:asciiTheme="majorEastAsia" w:hAnsiTheme="majorEastAsia" w:eastAsiaTheme="majorEastAsia"/>
          <w:sz w:val="24"/>
        </w:rPr>
        <w:tab/>
      </w:r>
      <w:r>
        <w:rPr>
          <w:rFonts w:hint="eastAsia" w:asciiTheme="majorEastAsia" w:hAnsiTheme="majorEastAsia" w:eastAsiaTheme="majorEastAsia"/>
          <w:sz w:val="24"/>
        </w:rPr>
        <w:t>10</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七、财政拨款“三公”经费支出决算情况说明</w:t>
      </w:r>
      <w:r>
        <w:rPr>
          <w:rFonts w:hint="eastAsia" w:asciiTheme="majorEastAsia" w:hAnsiTheme="majorEastAsia" w:eastAsiaTheme="majorEastAsia"/>
          <w:sz w:val="24"/>
        </w:rPr>
        <w:tab/>
      </w:r>
      <w:r>
        <w:rPr>
          <w:rFonts w:hint="eastAsia" w:asciiTheme="majorEastAsia" w:hAnsiTheme="majorEastAsia" w:eastAsiaTheme="majorEastAsia"/>
          <w:sz w:val="24"/>
        </w:rPr>
        <w:t>10</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八、政府性基金预算支出决算情况说明</w:t>
      </w:r>
      <w:r>
        <w:rPr>
          <w:rFonts w:hint="eastAsia" w:asciiTheme="majorEastAsia" w:hAnsiTheme="majorEastAsia" w:eastAsiaTheme="majorEastAsia"/>
          <w:sz w:val="24"/>
        </w:rPr>
        <w:tab/>
      </w:r>
      <w:r>
        <w:rPr>
          <w:rFonts w:hint="eastAsia" w:asciiTheme="majorEastAsia" w:hAnsiTheme="majorEastAsia" w:eastAsiaTheme="majorEastAsia"/>
          <w:sz w:val="24"/>
        </w:rPr>
        <w:t>12</w:t>
      </w:r>
    </w:p>
    <w:p>
      <w:pPr>
        <w:pStyle w:val="11"/>
        <w:adjustRightInd w:val="0"/>
        <w:snapToGrid w:val="0"/>
        <w:spacing w:line="440" w:lineRule="exact"/>
        <w:ind w:left="0" w:leftChars="0" w:firstLine="480" w:firstLineChars="200"/>
        <w:jc w:val="both"/>
        <w:rPr>
          <w:rFonts w:asciiTheme="majorEastAsia" w:hAnsiTheme="majorEastAsia" w:eastAsiaTheme="majorEastAsia"/>
          <w:sz w:val="24"/>
        </w:rPr>
      </w:pPr>
      <w:r>
        <w:rPr>
          <w:rFonts w:hint="eastAsia" w:asciiTheme="majorEastAsia" w:hAnsiTheme="majorEastAsia" w:eastAsiaTheme="majorEastAsia"/>
          <w:sz w:val="24"/>
        </w:rPr>
        <w:t>九、国有资本经营预算支出决算情况说明</w:t>
      </w:r>
      <w:r>
        <w:rPr>
          <w:rFonts w:hint="eastAsia" w:asciiTheme="majorEastAsia" w:hAnsiTheme="majorEastAsia" w:eastAsiaTheme="majorEastAsia"/>
          <w:sz w:val="24"/>
        </w:rPr>
        <w:tab/>
      </w:r>
      <w:r>
        <w:rPr>
          <w:rFonts w:hint="eastAsia" w:asciiTheme="majorEastAsia" w:hAnsiTheme="majorEastAsia" w:eastAsiaTheme="majorEastAsia"/>
          <w:sz w:val="24"/>
        </w:rPr>
        <w:t>12</w:t>
      </w:r>
    </w:p>
    <w:p>
      <w:pPr>
        <w:tabs>
          <w:tab w:val="right" w:leader="dot" w:pos="8306"/>
        </w:tabs>
        <w:adjustRightInd w:val="0"/>
        <w:snapToGrid w:val="0"/>
        <w:spacing w:line="440" w:lineRule="exact"/>
        <w:ind w:firstLine="480" w:firstLineChars="200"/>
        <w:jc w:val="both"/>
        <w:rPr>
          <w:rFonts w:asciiTheme="majorEastAsia" w:hAnsiTheme="majorEastAsia" w:eastAsiaTheme="majorEastAsia"/>
          <w:sz w:val="24"/>
        </w:rPr>
      </w:pPr>
      <w:r>
        <w:rPr>
          <w:rStyle w:val="15"/>
          <w:rFonts w:hint="eastAsia" w:asciiTheme="majorEastAsia" w:hAnsiTheme="majorEastAsia" w:eastAsiaTheme="majorEastAsia"/>
          <w:color w:val="000000"/>
          <w:sz w:val="24"/>
          <w:u w:val="none"/>
        </w:rPr>
        <w:t>十、</w:t>
      </w:r>
      <w:r>
        <w:rPr>
          <w:rFonts w:hint="eastAsia" w:asciiTheme="majorEastAsia" w:hAnsiTheme="majorEastAsia" w:eastAsiaTheme="majorEastAsia"/>
          <w:sz w:val="24"/>
        </w:rPr>
        <w:t>其他重要事项的情况说明</w:t>
      </w:r>
      <w:r>
        <w:rPr>
          <w:rFonts w:hint="eastAsia" w:asciiTheme="majorEastAsia" w:hAnsiTheme="majorEastAsia" w:eastAsiaTheme="majorEastAsia"/>
          <w:sz w:val="24"/>
        </w:rPr>
        <w:tab/>
      </w:r>
      <w:bookmarkStart w:id="53" w:name="_GoBack"/>
      <w:bookmarkEnd w:id="53"/>
      <w:r>
        <w:rPr>
          <w:rFonts w:hint="eastAsia" w:asciiTheme="majorEastAsia" w:hAnsiTheme="majorEastAsia" w:eastAsiaTheme="majorEastAsia"/>
          <w:sz w:val="24"/>
        </w:rPr>
        <w:t>12</w:t>
      </w:r>
    </w:p>
    <w:p>
      <w:pPr>
        <w:pStyle w:val="10"/>
        <w:adjustRightInd w:val="0"/>
        <w:snapToGrid w:val="0"/>
        <w:spacing w:before="0" w:line="440" w:lineRule="exact"/>
        <w:jc w:val="both"/>
        <w:rPr>
          <w:rFonts w:ascii="仿宋_GB2312" w:hAnsi="宋体" w:eastAsia="仿宋_GB2312"/>
          <w:sz w:val="24"/>
          <w:szCs w:val="24"/>
        </w:rPr>
      </w:pPr>
      <w:r>
        <w:rPr>
          <w:rFonts w:hint="eastAsia" w:ascii="仿宋_GB2312" w:hAnsi="宋体" w:eastAsia="仿宋_GB2312"/>
          <w:sz w:val="24"/>
        </w:rPr>
        <w:t>第三部分 名词解释</w:t>
      </w:r>
      <w:r>
        <w:rPr>
          <w:rFonts w:hint="eastAsia" w:ascii="仿宋_GB2312" w:hAnsi="宋体" w:eastAsia="仿宋_GB2312"/>
          <w:sz w:val="24"/>
          <w:szCs w:val="24"/>
        </w:rPr>
        <w:tab/>
      </w:r>
      <w:r>
        <w:rPr>
          <w:rFonts w:hint="eastAsia" w:ascii="仿宋_GB2312" w:hAnsi="宋体" w:eastAsia="仿宋_GB2312"/>
          <w:sz w:val="24"/>
          <w:szCs w:val="24"/>
        </w:rPr>
        <w:t>14</w:t>
      </w:r>
    </w:p>
    <w:p>
      <w:pPr>
        <w:pStyle w:val="10"/>
        <w:adjustRightInd w:val="0"/>
        <w:snapToGrid w:val="0"/>
        <w:spacing w:before="0" w:line="440" w:lineRule="exact"/>
        <w:jc w:val="both"/>
        <w:rPr>
          <w:rFonts w:ascii="仿宋_GB2312" w:hAnsi="宋体" w:eastAsia="仿宋_GB2312"/>
          <w:sz w:val="24"/>
          <w:szCs w:val="24"/>
        </w:rPr>
      </w:pPr>
      <w:r>
        <w:rPr>
          <w:rFonts w:hint="eastAsia" w:ascii="仿宋_GB2312" w:hAnsi="宋体" w:eastAsia="仿宋_GB2312"/>
          <w:sz w:val="24"/>
        </w:rPr>
        <w:t>第四部分 附件</w:t>
      </w:r>
      <w:r>
        <w:rPr>
          <w:rFonts w:hint="eastAsia" w:ascii="仿宋_GB2312" w:hAnsi="宋体" w:eastAsia="仿宋_GB2312"/>
          <w:sz w:val="24"/>
          <w:szCs w:val="24"/>
        </w:rPr>
        <w:tab/>
      </w:r>
      <w:r>
        <w:rPr>
          <w:rFonts w:hint="eastAsia" w:ascii="仿宋_GB2312" w:hAnsi="宋体" w:eastAsia="仿宋_GB2312"/>
          <w:sz w:val="24"/>
          <w:szCs w:val="24"/>
        </w:rPr>
        <w:t>17</w:t>
      </w:r>
    </w:p>
    <w:p>
      <w:pPr>
        <w:pStyle w:val="10"/>
        <w:adjustRightInd w:val="0"/>
        <w:snapToGrid w:val="0"/>
        <w:spacing w:before="0" w:line="440" w:lineRule="exact"/>
        <w:jc w:val="both"/>
        <w:rPr>
          <w:rFonts w:ascii="仿宋_GB2312" w:hAnsi="宋体" w:eastAsia="仿宋_GB2312"/>
          <w:sz w:val="24"/>
          <w:szCs w:val="24"/>
        </w:rPr>
      </w:pPr>
      <w:r>
        <w:rPr>
          <w:rFonts w:hint="eastAsia" w:ascii="仿宋_GB2312" w:hAnsi="宋体" w:eastAsia="仿宋_GB2312"/>
          <w:sz w:val="24"/>
        </w:rPr>
        <w:t>第五部分 附表</w:t>
      </w:r>
      <w:r>
        <w:rPr>
          <w:rFonts w:hint="eastAsia" w:ascii="仿宋_GB2312" w:hAnsi="宋体" w:eastAsia="仿宋_GB2312"/>
          <w:sz w:val="24"/>
          <w:szCs w:val="24"/>
        </w:rPr>
        <w:tab/>
      </w:r>
      <w:r>
        <w:rPr>
          <w:rFonts w:hint="eastAsia" w:ascii="仿宋_GB2312" w:hAnsi="宋体" w:eastAsia="仿宋_GB2312"/>
          <w:sz w:val="24"/>
          <w:szCs w:val="24"/>
        </w:rPr>
        <w:t>18</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一、收入支出决算总表</w:t>
      </w:r>
      <w:r>
        <w:rPr>
          <w:rFonts w:hint="eastAsia" w:asciiTheme="majorEastAsia" w:hAnsiTheme="majorEastAsia" w:eastAsiaTheme="majorEastAsia"/>
          <w:sz w:val="24"/>
        </w:rPr>
        <w:tab/>
      </w:r>
      <w:r>
        <w:rPr>
          <w:rFonts w:hint="eastAsia" w:asciiTheme="majorEastAsia" w:hAnsiTheme="majorEastAsia" w:eastAsiaTheme="majorEastAsia"/>
          <w:sz w:val="24"/>
        </w:rPr>
        <w:t>18</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二、收入决算表</w:t>
      </w:r>
      <w:r>
        <w:rPr>
          <w:rFonts w:hint="eastAsia" w:asciiTheme="majorEastAsia" w:hAnsiTheme="majorEastAsia" w:eastAsiaTheme="majorEastAsia"/>
          <w:sz w:val="24"/>
        </w:rPr>
        <w:tab/>
      </w:r>
      <w:r>
        <w:rPr>
          <w:rFonts w:hint="eastAsia" w:asciiTheme="majorEastAsia" w:hAnsiTheme="majorEastAsia" w:eastAsiaTheme="majorEastAsia"/>
          <w:sz w:val="24"/>
        </w:rPr>
        <w:t>18</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三、支出决算表</w:t>
      </w:r>
      <w:r>
        <w:rPr>
          <w:rFonts w:hint="eastAsia" w:asciiTheme="majorEastAsia" w:hAnsiTheme="majorEastAsia" w:eastAsiaTheme="majorEastAsia"/>
          <w:sz w:val="24"/>
        </w:rPr>
        <w:tab/>
      </w:r>
      <w:r>
        <w:rPr>
          <w:rFonts w:hint="eastAsia" w:asciiTheme="majorEastAsia" w:hAnsiTheme="majorEastAsia" w:eastAsiaTheme="majorEastAsia"/>
          <w:sz w:val="24"/>
        </w:rPr>
        <w:t>18</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四、财政拨款收入支出决算总表</w:t>
      </w:r>
      <w:r>
        <w:rPr>
          <w:rFonts w:hint="eastAsia" w:asciiTheme="majorEastAsia" w:hAnsiTheme="majorEastAsia" w:eastAsiaTheme="majorEastAsia"/>
          <w:sz w:val="24"/>
        </w:rPr>
        <w:tab/>
      </w:r>
      <w:r>
        <w:rPr>
          <w:rFonts w:hint="eastAsia" w:asciiTheme="majorEastAsia" w:hAnsiTheme="majorEastAsia" w:eastAsiaTheme="majorEastAsia"/>
          <w:sz w:val="24"/>
        </w:rPr>
        <w:t>18</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五、财政拨款支出决算明细表</w:t>
      </w:r>
      <w:r>
        <w:rPr>
          <w:rFonts w:hint="eastAsia" w:asciiTheme="majorEastAsia" w:hAnsiTheme="majorEastAsia" w:eastAsiaTheme="majorEastAsia"/>
          <w:sz w:val="24"/>
        </w:rPr>
        <w:tab/>
      </w:r>
      <w:r>
        <w:rPr>
          <w:rFonts w:hint="eastAsia" w:asciiTheme="majorEastAsia" w:hAnsiTheme="majorEastAsia" w:eastAsiaTheme="majorEastAsia"/>
          <w:sz w:val="24"/>
        </w:rPr>
        <w:t>18</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六、一般公共预算财政拨款支出决算表</w:t>
      </w:r>
      <w:r>
        <w:rPr>
          <w:rFonts w:hint="eastAsia" w:asciiTheme="majorEastAsia" w:hAnsiTheme="majorEastAsia" w:eastAsiaTheme="majorEastAsia"/>
          <w:sz w:val="24"/>
        </w:rPr>
        <w:tab/>
      </w:r>
      <w:r>
        <w:rPr>
          <w:rFonts w:hint="eastAsia" w:asciiTheme="majorEastAsia" w:hAnsiTheme="majorEastAsia" w:eastAsiaTheme="majorEastAsia"/>
          <w:sz w:val="24"/>
        </w:rPr>
        <w:t>18</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七、一般公共预算财政拨款支出决算明细表</w:t>
      </w:r>
      <w:r>
        <w:rPr>
          <w:rFonts w:hint="eastAsia" w:asciiTheme="majorEastAsia" w:hAnsiTheme="majorEastAsia" w:eastAsiaTheme="majorEastAsia"/>
          <w:sz w:val="24"/>
        </w:rPr>
        <w:tab/>
      </w:r>
      <w:r>
        <w:rPr>
          <w:rFonts w:hint="eastAsia" w:asciiTheme="majorEastAsia" w:hAnsiTheme="majorEastAsia" w:eastAsiaTheme="majorEastAsia"/>
          <w:sz w:val="24"/>
        </w:rPr>
        <w:t>18</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八、一般公共预算财政拨款基本支出决算明细表</w:t>
      </w:r>
      <w:r>
        <w:rPr>
          <w:rFonts w:hint="eastAsia" w:asciiTheme="majorEastAsia" w:hAnsiTheme="majorEastAsia" w:eastAsiaTheme="majorEastAsia"/>
          <w:sz w:val="24"/>
        </w:rPr>
        <w:tab/>
      </w:r>
      <w:r>
        <w:rPr>
          <w:rFonts w:hint="eastAsia" w:asciiTheme="majorEastAsia" w:hAnsiTheme="majorEastAsia" w:eastAsiaTheme="majorEastAsia"/>
          <w:sz w:val="24"/>
        </w:rPr>
        <w:t>18</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九、一般公共预算财政拨款项目支出决算表</w:t>
      </w:r>
      <w:r>
        <w:rPr>
          <w:rFonts w:hint="eastAsia" w:asciiTheme="majorEastAsia" w:hAnsiTheme="majorEastAsia" w:eastAsiaTheme="majorEastAsia"/>
          <w:sz w:val="24"/>
        </w:rPr>
        <w:tab/>
      </w:r>
      <w:r>
        <w:rPr>
          <w:rFonts w:hint="eastAsia" w:asciiTheme="majorEastAsia" w:hAnsiTheme="majorEastAsia" w:eastAsiaTheme="majorEastAsia"/>
          <w:sz w:val="24"/>
        </w:rPr>
        <w:t>18</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十、政府性基金预算财政拨款收入支出决算表</w:t>
      </w:r>
      <w:r>
        <w:rPr>
          <w:rFonts w:hint="eastAsia" w:asciiTheme="majorEastAsia" w:hAnsiTheme="majorEastAsia" w:eastAsiaTheme="majorEastAsia"/>
          <w:sz w:val="24"/>
        </w:rPr>
        <w:tab/>
      </w:r>
      <w:r>
        <w:rPr>
          <w:rFonts w:hint="eastAsia" w:asciiTheme="majorEastAsia" w:hAnsiTheme="majorEastAsia" w:eastAsiaTheme="majorEastAsia"/>
          <w:sz w:val="24"/>
        </w:rPr>
        <w:t>18</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十一、国有资本经营预算财政拨款收入支出决算表</w:t>
      </w:r>
      <w:r>
        <w:rPr>
          <w:rFonts w:hint="eastAsia" w:asciiTheme="majorEastAsia" w:hAnsiTheme="majorEastAsia" w:eastAsiaTheme="majorEastAsia"/>
          <w:sz w:val="24"/>
        </w:rPr>
        <w:tab/>
      </w:r>
      <w:r>
        <w:rPr>
          <w:rFonts w:hint="eastAsia" w:asciiTheme="majorEastAsia" w:hAnsiTheme="majorEastAsia" w:eastAsiaTheme="majorEastAsia"/>
          <w:sz w:val="24"/>
        </w:rPr>
        <w:t>18</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十二、国有资本经营预算财政拨款支出决算表</w:t>
      </w:r>
      <w:r>
        <w:rPr>
          <w:rFonts w:hint="eastAsia" w:asciiTheme="majorEastAsia" w:hAnsiTheme="majorEastAsia" w:eastAsiaTheme="majorEastAsia"/>
          <w:sz w:val="24"/>
        </w:rPr>
        <w:tab/>
      </w:r>
      <w:r>
        <w:rPr>
          <w:rFonts w:hint="eastAsia" w:asciiTheme="majorEastAsia" w:hAnsiTheme="majorEastAsia" w:eastAsiaTheme="majorEastAsia"/>
          <w:sz w:val="24"/>
        </w:rPr>
        <w:t>18</w:t>
      </w:r>
    </w:p>
    <w:p>
      <w:pPr>
        <w:pStyle w:val="11"/>
        <w:adjustRightInd w:val="0"/>
        <w:snapToGrid w:val="0"/>
        <w:spacing w:line="440" w:lineRule="exact"/>
        <w:ind w:left="420"/>
        <w:jc w:val="both"/>
        <w:rPr>
          <w:rFonts w:asciiTheme="majorEastAsia" w:hAnsiTheme="majorEastAsia" w:eastAsiaTheme="majorEastAsia"/>
          <w:sz w:val="24"/>
        </w:rPr>
      </w:pPr>
      <w:r>
        <w:rPr>
          <w:rFonts w:hint="eastAsia" w:asciiTheme="majorEastAsia" w:hAnsiTheme="majorEastAsia" w:eastAsiaTheme="majorEastAsia"/>
          <w:sz w:val="24"/>
        </w:rPr>
        <w:t>十三、财政拨款“三公”经费支出决算表</w:t>
      </w:r>
      <w:r>
        <w:rPr>
          <w:rFonts w:hint="eastAsia" w:asciiTheme="majorEastAsia" w:hAnsiTheme="majorEastAsia" w:eastAsiaTheme="majorEastAsia"/>
          <w:sz w:val="24"/>
        </w:rPr>
        <w:tab/>
      </w:r>
      <w:r>
        <w:rPr>
          <w:rFonts w:hint="eastAsia" w:asciiTheme="majorEastAsia" w:hAnsiTheme="majorEastAsia" w:eastAsiaTheme="majorEastAsia"/>
          <w:sz w:val="24"/>
        </w:rPr>
        <w:t>18</w:t>
      </w:r>
    </w:p>
    <w:p>
      <w:pPr>
        <w:widowControl/>
        <w:jc w:val="left"/>
        <w:rPr>
          <w:rFonts w:asciiTheme="majorEastAsia" w:hAnsiTheme="majorEastAsia" w:eastAsiaTheme="majorEastAsia"/>
          <w:bCs/>
          <w:kern w:val="44"/>
          <w:sz w:val="44"/>
          <w:szCs w:val="44"/>
        </w:rPr>
      </w:pPr>
      <w:r>
        <w:rPr>
          <w:rFonts w:hint="eastAsia" w:asciiTheme="majorEastAsia" w:hAnsiTheme="majorEastAsia" w:eastAsiaTheme="majorEastAsia"/>
          <w:b/>
        </w:rPr>
        <w:br w:type="page"/>
      </w:r>
    </w:p>
    <w:p>
      <w:pPr>
        <w:pStyle w:val="2"/>
        <w:spacing w:line="640" w:lineRule="exact"/>
        <w:jc w:val="center"/>
        <w:rPr>
          <w:rStyle w:val="16"/>
          <w:rFonts w:ascii="黑体" w:hAnsi="黑体" w:eastAsia="黑体"/>
          <w:b/>
          <w:bCs w:val="0"/>
        </w:rPr>
      </w:pPr>
      <w:bookmarkStart w:id="12" w:name="_Toc15396599"/>
      <w:bookmarkStart w:id="13" w:name="_Toc15377196"/>
      <w:r>
        <w:rPr>
          <w:rFonts w:hint="eastAsia" w:ascii="黑体" w:hAnsi="黑体" w:eastAsia="黑体"/>
          <w:b w:val="0"/>
        </w:rPr>
        <w:t xml:space="preserve">第一部分 </w:t>
      </w:r>
      <w:r>
        <w:rPr>
          <w:rStyle w:val="16"/>
          <w:rFonts w:hint="eastAsia" w:ascii="黑体" w:hAnsi="黑体" w:eastAsia="黑体"/>
          <w:b w:val="0"/>
          <w:bCs w:val="0"/>
        </w:rPr>
        <w:t>单位概况</w:t>
      </w:r>
      <w:bookmarkEnd w:id="12"/>
      <w:bookmarkEnd w:id="13"/>
    </w:p>
    <w:p>
      <w:pPr>
        <w:rPr>
          <w:rFonts w:eastAsia="黑体"/>
        </w:rPr>
      </w:pPr>
      <w:r>
        <w:rPr>
          <w:rStyle w:val="17"/>
          <w:rFonts w:hint="eastAsia" w:ascii="黑体" w:hAnsi="黑体" w:eastAsia="黑体"/>
          <w:b w:val="0"/>
          <w:bCs w:val="0"/>
        </w:rPr>
        <w:t xml:space="preserve">    一、主要职责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bookmarkStart w:id="14" w:name="_Toc15377199"/>
      <w:bookmarkStart w:id="15" w:name="_Toc15378446"/>
      <w:r>
        <w:rPr>
          <w:rFonts w:hint="eastAsia" w:ascii="仿宋_GB2312" w:hAnsi="仿宋" w:eastAsia="仿宋_GB2312"/>
          <w:color w:val="000000"/>
          <w:sz w:val="32"/>
          <w:szCs w:val="32"/>
        </w:rPr>
        <w:t>攀枝花市建筑节能和绿色建筑发展中心（简称：市节能绿建中心）主要职能职责为：承担全市散装水泥、新型墙材、建筑节能和绿色建筑相关事务性、服务性工作；负责散装水泥、新型墙材、建筑节能和绿色建筑相关的宣传培训、信息交流、统计上报和新技术、新材料、新工艺、新设备的推广应用；协调全市绿色建材发展工作；负责对全市散装水泥、新型墙材、建筑节能和绿色建筑发展工作的业务指导。</w:t>
      </w:r>
    </w:p>
    <w:p>
      <w:pPr>
        <w:pStyle w:val="5"/>
        <w:adjustRightInd w:val="0"/>
        <w:snapToGrid w:val="0"/>
        <w:spacing w:beforeLines="0" w:line="640" w:lineRule="exact"/>
        <w:ind w:firstLine="640" w:firstLineChars="200"/>
        <w:outlineLvl w:val="2"/>
        <w:rPr>
          <w:rFonts w:ascii="黑体" w:hAnsi="黑体" w:eastAsia="黑体"/>
          <w:bCs/>
          <w:color w:val="000000"/>
          <w:sz w:val="32"/>
          <w:szCs w:val="32"/>
        </w:rPr>
      </w:pPr>
      <w:r>
        <w:rPr>
          <w:rFonts w:hint="eastAsia" w:ascii="黑体" w:hAnsi="黑体" w:eastAsia="黑体"/>
          <w:bCs/>
          <w:color w:val="000000"/>
          <w:sz w:val="32"/>
          <w:szCs w:val="32"/>
        </w:rPr>
        <w:t>二、</w:t>
      </w:r>
      <w:bookmarkEnd w:id="14"/>
      <w:bookmarkEnd w:id="15"/>
      <w:r>
        <w:rPr>
          <w:rFonts w:hint="eastAsia" w:ascii="黑体" w:hAnsi="黑体" w:eastAsia="黑体"/>
          <w:bCs/>
          <w:color w:val="000000"/>
          <w:sz w:val="32"/>
          <w:szCs w:val="32"/>
        </w:rPr>
        <w:t>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bookmarkStart w:id="16" w:name="_Toc15377204"/>
      <w:bookmarkStart w:id="17" w:name="_Toc15396602"/>
      <w:r>
        <w:rPr>
          <w:rFonts w:hint="eastAsia" w:ascii="仿宋_GB2312" w:hAnsi="仿宋" w:eastAsia="仿宋_GB2312"/>
          <w:sz w:val="32"/>
          <w:szCs w:val="32"/>
        </w:rPr>
        <w:t>市节能绿建中心是隶属于攀枝花市住房和城乡建设局的副县级参照公务员法管理事业单位，共有编制数10个，实有在职人员9名，退休人员3名；中心设有领导班子成员2名，实有1名，共有三个内设科室，分别为：综合科、科研法规科、工程应用科。</w:t>
      </w:r>
    </w:p>
    <w:p/>
    <w:p/>
    <w:p/>
    <w:p/>
    <w:p/>
    <w:p/>
    <w:p/>
    <w:p/>
    <w:p/>
    <w:p/>
    <w:p/>
    <w:p/>
    <w:p/>
    <w:p>
      <w:pPr>
        <w:pStyle w:val="2"/>
        <w:ind w:right="440"/>
        <w:jc w:val="right"/>
        <w:rPr>
          <w:rStyle w:val="16"/>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16"/>
          <w:rFonts w:hint="eastAsia" w:ascii="黑体" w:hAnsi="黑体" w:eastAsia="黑体"/>
          <w:b w:val="0"/>
          <w:bCs w:val="0"/>
        </w:rPr>
        <w:t>2023年度单位决算情况说明</w:t>
      </w:r>
      <w:bookmarkEnd w:id="16"/>
      <w:bookmarkEnd w:id="17"/>
    </w:p>
    <w:p>
      <w:pPr>
        <w:pStyle w:val="22"/>
        <w:numPr>
          <w:ilvl w:val="0"/>
          <w:numId w:val="1"/>
        </w:numPr>
        <w:spacing w:line="640" w:lineRule="exact"/>
        <w:ind w:firstLineChars="0"/>
        <w:outlineLvl w:val="1"/>
        <w:rPr>
          <w:rStyle w:val="17"/>
          <w:rFonts w:ascii="黑体" w:hAnsi="黑体" w:eastAsia="黑体"/>
          <w:b w:val="0"/>
        </w:rPr>
      </w:pPr>
      <w:bookmarkStart w:id="18" w:name="_Toc15377205"/>
      <w:bookmarkStart w:id="19"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18"/>
      <w:bookmarkEnd w:id="19"/>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55168" behindDoc="0" locked="0" layoutInCell="1" allowOverlap="1">
            <wp:simplePos x="0" y="0"/>
            <wp:positionH relativeFrom="column">
              <wp:posOffset>132715</wp:posOffset>
            </wp:positionH>
            <wp:positionV relativeFrom="paragraph">
              <wp:posOffset>1245870</wp:posOffset>
            </wp:positionV>
            <wp:extent cx="5828665" cy="2434590"/>
            <wp:effectExtent l="0" t="0" r="0" b="0"/>
            <wp:wrapSquare wrapText="bothSides"/>
            <wp:docPr id="1"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 w:eastAsia="仿宋_GB2312"/>
          <w:sz w:val="32"/>
          <w:szCs w:val="32"/>
        </w:rPr>
        <w:t>2023年度收支总计216.03万元。与2022年相比，收支总计各减少1.3万元，下降0.6%，主要变动原因是2023年项目经费缩减。</w:t>
      </w:r>
    </w:p>
    <w:p>
      <w:pPr>
        <w:jc w:val="center"/>
        <w:rPr>
          <w:rFonts w:ascii="仿宋_GB2312" w:hAnsi="仿宋" w:eastAsia="仿宋_GB2312"/>
          <w:color w:val="000000"/>
          <w:sz w:val="32"/>
          <w:szCs w:val="32"/>
        </w:rPr>
      </w:pPr>
      <w:r>
        <w:rPr>
          <w:rFonts w:hint="eastAsia" w:ascii="仿宋_GB2312" w:hAnsi="仿宋" w:eastAsia="仿宋_GB2312"/>
          <w:color w:val="000000"/>
          <w:sz w:val="32"/>
          <w:szCs w:val="32"/>
        </w:rPr>
        <w:t>（图1：收、支决算总计变动情况图）</w:t>
      </w:r>
    </w:p>
    <w:p>
      <w:pPr>
        <w:jc w:val="center"/>
        <w:rPr>
          <w:rFonts w:ascii="仿宋" w:hAnsi="仿宋" w:eastAsia="仿宋"/>
          <w:color w:val="000000"/>
          <w:sz w:val="32"/>
          <w:szCs w:val="32"/>
        </w:rPr>
      </w:pPr>
    </w:p>
    <w:p>
      <w:pPr>
        <w:pStyle w:val="22"/>
        <w:numPr>
          <w:ilvl w:val="0"/>
          <w:numId w:val="1"/>
        </w:numPr>
        <w:spacing w:line="640" w:lineRule="exact"/>
        <w:ind w:firstLineChars="0"/>
        <w:outlineLvl w:val="1"/>
        <w:rPr>
          <w:rStyle w:val="17"/>
          <w:rFonts w:ascii="黑体" w:hAnsi="黑体" w:eastAsia="黑体"/>
          <w:b w:val="0"/>
        </w:rPr>
      </w:pPr>
      <w:bookmarkStart w:id="20" w:name="_Toc15377206"/>
      <w:bookmarkStart w:id="21"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20"/>
      <w:bookmarkEnd w:id="21"/>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2023年本年收入合计216.03万元，其中：一般公共预算财政拨款收入216.03万元，占100%；政府性基金预算财政拨款收入0万元，占0%；国有资本经营预算财政拨款收入0万元，占0%；上级补助收入0万元，占0%；事业收入0万元，占0%；经营收入0万元，占0%；附属单位上缴收入0万元，占0%；其他收入0万元，占0%。</w:t>
      </w:r>
    </w:p>
    <w:p>
      <w:pPr>
        <w:spacing w:line="600" w:lineRule="exact"/>
        <w:ind w:firstLine="640" w:firstLineChars="200"/>
        <w:outlineLvl w:val="1"/>
        <w:rPr>
          <w:rFonts w:ascii="仿宋_GB2312" w:hAnsi="仿宋" w:eastAsia="仿宋_GB2312"/>
          <w:sz w:val="32"/>
          <w:szCs w:val="32"/>
        </w:rPr>
      </w:pPr>
    </w:p>
    <w:p>
      <w:pPr>
        <w:spacing w:line="600" w:lineRule="exact"/>
        <w:ind w:firstLine="640" w:firstLineChars="200"/>
        <w:outlineLvl w:val="1"/>
        <w:rPr>
          <w:rFonts w:ascii="仿宋_GB2312" w:hAnsi="仿宋" w:eastAsia="仿宋_GB2312"/>
          <w:sz w:val="32"/>
          <w:szCs w:val="32"/>
        </w:rPr>
      </w:pPr>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color w:val="000000"/>
          <w:sz w:val="32"/>
          <w:szCs w:val="32"/>
          <w:u w:val="single"/>
        </w:rPr>
        <w:drawing>
          <wp:anchor distT="0" distB="0" distL="114300" distR="114300" simplePos="0" relativeHeight="251656192" behindDoc="0" locked="0" layoutInCell="1" allowOverlap="1">
            <wp:simplePos x="0" y="0"/>
            <wp:positionH relativeFrom="column">
              <wp:posOffset>361950</wp:posOffset>
            </wp:positionH>
            <wp:positionV relativeFrom="paragraph">
              <wp:posOffset>155575</wp:posOffset>
            </wp:positionV>
            <wp:extent cx="4093845" cy="1644650"/>
            <wp:effectExtent l="0" t="0" r="32" b="6"/>
            <wp:wrapSquare wrapText="bothSides"/>
            <wp:docPr id="2"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rPr>
          <w:rFonts w:ascii="仿宋_GB2312" w:hAnsi="仿宋" w:eastAsia="仿宋_GB2312"/>
          <w:color w:val="000000"/>
          <w:sz w:val="32"/>
          <w:szCs w:val="32"/>
        </w:rPr>
      </w:pPr>
    </w:p>
    <w:p>
      <w:pPr>
        <w:spacing w:line="600" w:lineRule="exact"/>
        <w:ind w:firstLine="640" w:firstLineChars="200"/>
        <w:jc w:val="center"/>
        <w:rPr>
          <w:rFonts w:ascii="仿宋_GB2312" w:hAnsi="仿宋" w:eastAsia="仿宋_GB2312"/>
          <w:color w:val="000000"/>
          <w:sz w:val="32"/>
          <w:szCs w:val="32"/>
        </w:rPr>
      </w:pPr>
      <w:r>
        <w:rPr>
          <w:rFonts w:hint="eastAsia" w:ascii="仿宋_GB2312" w:hAnsi="仿宋" w:eastAsia="仿宋_GB2312"/>
          <w:color w:val="000000"/>
          <w:sz w:val="32"/>
          <w:szCs w:val="32"/>
        </w:rPr>
        <w:t>（图2：收入决算结构图）</w:t>
      </w:r>
    </w:p>
    <w:p>
      <w:pPr>
        <w:spacing w:line="600" w:lineRule="exact"/>
        <w:ind w:firstLine="640" w:firstLineChars="200"/>
        <w:jc w:val="center"/>
        <w:rPr>
          <w:rFonts w:ascii="仿宋_GB2312" w:hAnsi="仿宋" w:eastAsia="仿宋_GB2312"/>
          <w:color w:val="000000"/>
          <w:sz w:val="32"/>
          <w:szCs w:val="32"/>
        </w:rPr>
      </w:pPr>
    </w:p>
    <w:p>
      <w:pPr>
        <w:pStyle w:val="22"/>
        <w:numPr>
          <w:ilvl w:val="0"/>
          <w:numId w:val="1"/>
        </w:numPr>
        <w:spacing w:line="640" w:lineRule="exact"/>
        <w:ind w:firstLineChars="0"/>
        <w:outlineLvl w:val="1"/>
        <w:rPr>
          <w:rStyle w:val="17"/>
          <w:rFonts w:ascii="黑体" w:hAnsi="黑体" w:eastAsia="黑体"/>
          <w:b w:val="0"/>
        </w:rPr>
      </w:pPr>
      <w:bookmarkStart w:id="22" w:name="_Toc15377207"/>
      <w:bookmarkStart w:id="23" w:name="_Toc15396605"/>
      <w:r>
        <w:rPr>
          <w:rFonts w:hint="eastAsia" w:ascii="黑体" w:hAnsi="黑体" w:eastAsia="黑体"/>
          <w:color w:val="000000"/>
          <w:sz w:val="32"/>
          <w:szCs w:val="32"/>
        </w:rPr>
        <w:t>支</w:t>
      </w:r>
      <w:r>
        <w:rPr>
          <w:rStyle w:val="17"/>
          <w:rFonts w:hint="eastAsia" w:ascii="黑体" w:hAnsi="黑体" w:eastAsia="黑体"/>
          <w:b w:val="0"/>
        </w:rPr>
        <w:t>出决算情况说明</w:t>
      </w:r>
      <w:bookmarkEnd w:id="22"/>
      <w:bookmarkEnd w:id="23"/>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2023年本年支出合计216.03万元，其中：基本支出215.03万元，占99.54%；项目支出1万元，占0.46%；上缴上级支出0万元，占0%；经营支出0万元，占0%；对附属单位补助支出0万元，占0%。</w:t>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57216" behindDoc="1" locked="0" layoutInCell="1" allowOverlap="1">
            <wp:simplePos x="0" y="0"/>
            <wp:positionH relativeFrom="column">
              <wp:posOffset>581025</wp:posOffset>
            </wp:positionH>
            <wp:positionV relativeFrom="paragraph">
              <wp:posOffset>276225</wp:posOffset>
            </wp:positionV>
            <wp:extent cx="3340735" cy="1677670"/>
            <wp:effectExtent l="0" t="0" r="0" b="0"/>
            <wp:wrapNone/>
            <wp:docPr id="3" name="对象 9"/>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tabs>
          <w:tab w:val="left" w:pos="3795"/>
          <w:tab w:val="left" w:pos="4005"/>
        </w:tabs>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ab/>
      </w:r>
      <w:r>
        <w:rPr>
          <w:rFonts w:hint="eastAsia" w:ascii="仿宋_GB2312" w:hAnsi="仿宋" w:eastAsia="仿宋_GB2312"/>
          <w:color w:val="000000"/>
          <w:sz w:val="32"/>
          <w:szCs w:val="32"/>
        </w:rPr>
        <w:tab/>
      </w:r>
    </w:p>
    <w:p>
      <w:pPr>
        <w:tabs>
          <w:tab w:val="left" w:pos="2745"/>
          <w:tab w:val="left" w:pos="4005"/>
        </w:tabs>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ab/>
      </w:r>
      <w:r>
        <w:rPr>
          <w:rFonts w:hint="eastAsia" w:ascii="仿宋_GB2312" w:hAnsi="仿宋" w:eastAsia="仿宋_GB2312"/>
          <w:color w:val="000000"/>
          <w:sz w:val="32"/>
          <w:szCs w:val="32"/>
        </w:rPr>
        <w:tab/>
      </w:r>
    </w:p>
    <w:p>
      <w:pPr>
        <w:tabs>
          <w:tab w:val="left" w:pos="3300"/>
        </w:tabs>
        <w:spacing w:line="600" w:lineRule="exact"/>
        <w:jc w:val="center"/>
        <w:rPr>
          <w:rFonts w:ascii="仿宋_GB2312" w:hAnsi="仿宋" w:eastAsia="仿宋_GB2312"/>
          <w:color w:val="000000"/>
          <w:sz w:val="32"/>
          <w:szCs w:val="32"/>
        </w:rPr>
      </w:pPr>
    </w:p>
    <w:p>
      <w:pPr>
        <w:tabs>
          <w:tab w:val="left" w:pos="3300"/>
        </w:tabs>
        <w:spacing w:line="600" w:lineRule="exact"/>
        <w:jc w:val="center"/>
        <w:rPr>
          <w:rFonts w:ascii="仿宋_GB2312" w:eastAsia="仿宋_GB2312"/>
        </w:rPr>
      </w:pPr>
      <w:r>
        <w:rPr>
          <w:rFonts w:hint="eastAsia" w:ascii="仿宋_GB2312" w:hAnsi="仿宋" w:eastAsia="仿宋_GB2312"/>
          <w:color w:val="000000"/>
          <w:sz w:val="32"/>
          <w:szCs w:val="32"/>
        </w:rPr>
        <w:t>（图3：支出决算结构图）</w:t>
      </w:r>
      <w:bookmarkStart w:id="24" w:name="_Toc15377208"/>
      <w:bookmarkStart w:id="25" w:name="_Toc15396606"/>
    </w:p>
    <w:p>
      <w:pPr>
        <w:spacing w:line="640" w:lineRule="exact"/>
        <w:ind w:firstLine="640" w:firstLineChars="200"/>
        <w:outlineLvl w:val="1"/>
        <w:rPr>
          <w:rFonts w:ascii="黑体" w:hAnsi="黑体" w:eastAsia="黑体"/>
          <w:color w:val="000000"/>
          <w:sz w:val="32"/>
          <w:szCs w:val="32"/>
        </w:rPr>
      </w:pPr>
    </w:p>
    <w:p>
      <w:pPr>
        <w:spacing w:line="640" w:lineRule="exact"/>
        <w:ind w:firstLine="640" w:firstLineChars="200"/>
        <w:outlineLvl w:val="1"/>
        <w:rPr>
          <w:rStyle w:val="17"/>
          <w:rFonts w:ascii="黑体" w:hAnsi="黑体" w:eastAsia="黑体"/>
          <w:b w:val="0"/>
        </w:rPr>
      </w:pPr>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_GB2312" w:hAnsi="仿宋" w:eastAsia="仿宋_GB2312"/>
          <w:color w:val="FF0000"/>
          <w:sz w:val="32"/>
          <w:szCs w:val="32"/>
        </w:rPr>
      </w:pPr>
      <w:r>
        <w:rPr>
          <w:rFonts w:hint="eastAsia" w:ascii="仿宋_GB2312" w:hAnsi="仿宋" w:eastAsia="仿宋_GB2312"/>
          <w:sz w:val="32"/>
          <w:szCs w:val="32"/>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1207770</wp:posOffset>
            </wp:positionV>
            <wp:extent cx="6995795" cy="2668270"/>
            <wp:effectExtent l="0" t="0" r="0" b="0"/>
            <wp:wrapSquare wrapText="bothSides"/>
            <wp:docPr id="4"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 w:eastAsia="仿宋_GB2312"/>
          <w:sz w:val="32"/>
          <w:szCs w:val="32"/>
        </w:rPr>
        <w:t>2023年财政拨款收支总计216.03万元。与2022年相比，财政拨款收入减少1.3万元，下降0.6%。主要变动原因是项目经费缩减。</w:t>
      </w:r>
    </w:p>
    <w:p>
      <w:pPr>
        <w:spacing w:line="600" w:lineRule="exact"/>
        <w:ind w:firstLine="640" w:firstLineChars="200"/>
        <w:jc w:val="center"/>
        <w:outlineLvl w:val="2"/>
        <w:rPr>
          <w:rFonts w:ascii="仿宋" w:hAnsi="仿宋" w:eastAsia="仿宋"/>
          <w:color w:val="000000"/>
          <w:sz w:val="32"/>
          <w:szCs w:val="32"/>
        </w:rPr>
      </w:pPr>
      <w:bookmarkStart w:id="26" w:name="_Toc15377210"/>
      <w:r>
        <w:rPr>
          <w:rFonts w:hint="eastAsia" w:ascii="仿宋_GB2312" w:hAnsi="仿宋" w:eastAsia="仿宋_GB2312"/>
          <w:color w:val="000000"/>
          <w:sz w:val="32"/>
          <w:szCs w:val="32"/>
        </w:rPr>
        <w:t>（图4：财政拨款收、支决算总计变动情况）</w:t>
      </w:r>
    </w:p>
    <w:p>
      <w:pPr>
        <w:spacing w:line="640" w:lineRule="exact"/>
        <w:ind w:firstLine="640" w:firstLineChars="200"/>
        <w:outlineLvl w:val="2"/>
        <w:rPr>
          <w:rStyle w:val="17"/>
          <w:rFonts w:ascii="黑体" w:hAnsi="黑体" w:eastAsia="黑体"/>
          <w:b w:val="0"/>
        </w:rPr>
      </w:pPr>
      <w:r>
        <w:rPr>
          <w:rFonts w:hint="eastAsia" w:ascii="黑体" w:hAnsi="黑体" w:eastAsia="黑体"/>
          <w:color w:val="000000"/>
          <w:sz w:val="32"/>
          <w:szCs w:val="32"/>
        </w:rPr>
        <w:t>五、一</w:t>
      </w:r>
      <w:r>
        <w:rPr>
          <w:rStyle w:val="17"/>
          <w:rFonts w:hint="eastAsia" w:ascii="黑体" w:hAnsi="黑体" w:eastAsia="黑体"/>
          <w:b w:val="0"/>
        </w:rPr>
        <w:t>般公共预算财政拨款支出决算情况说明</w:t>
      </w:r>
    </w:p>
    <w:p>
      <w:pPr>
        <w:spacing w:line="640" w:lineRule="exact"/>
        <w:ind w:firstLine="642" w:firstLineChars="200"/>
        <w:outlineLvl w:val="2"/>
        <w:rPr>
          <w:rFonts w:ascii="仿宋_GB2312" w:hAnsi="楷体" w:eastAsia="仿宋_GB2312"/>
          <w:b/>
          <w:color w:val="000000"/>
          <w:sz w:val="32"/>
          <w:szCs w:val="32"/>
        </w:rPr>
      </w:pPr>
      <w:r>
        <w:rPr>
          <w:rFonts w:hint="eastAsia" w:ascii="仿宋_GB2312" w:hAnsi="楷体" w:eastAsia="仿宋_GB2312"/>
          <w:b/>
          <w:color w:val="000000"/>
          <w:sz w:val="32"/>
          <w:szCs w:val="32"/>
        </w:rPr>
        <w:t>（一）一般公共预算财政拨款支出决算总体情况</w:t>
      </w:r>
      <w:bookmarkEnd w:id="26"/>
    </w:p>
    <w:p>
      <w:pPr>
        <w:spacing w:line="60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drawing>
          <wp:anchor distT="0" distB="0" distL="114300" distR="114300" simplePos="0" relativeHeight="251658240" behindDoc="0" locked="0" layoutInCell="1" allowOverlap="1">
            <wp:simplePos x="0" y="0"/>
            <wp:positionH relativeFrom="column">
              <wp:posOffset>-250825</wp:posOffset>
            </wp:positionH>
            <wp:positionV relativeFrom="paragraph">
              <wp:posOffset>1582420</wp:posOffset>
            </wp:positionV>
            <wp:extent cx="5982335" cy="2426970"/>
            <wp:effectExtent l="0" t="0" r="0" b="0"/>
            <wp:wrapSquare wrapText="bothSides"/>
            <wp:docPr id="5"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 w:eastAsia="仿宋_GB2312"/>
          <w:sz w:val="32"/>
          <w:szCs w:val="32"/>
        </w:rPr>
        <w:t>2023年一般公共预算财政拨款支出216.03万元，占本年支出合计的100%。与2022年相比，一般公共预算财政拨款支出减少1.3万元，下降0.6%。主要变动原因是项目经费缩减。</w:t>
      </w:r>
    </w:p>
    <w:p>
      <w:pPr>
        <w:spacing w:line="600" w:lineRule="exact"/>
        <w:jc w:val="center"/>
        <w:rPr>
          <w:rFonts w:ascii="仿宋_GB2312" w:hAnsi="仿宋" w:eastAsia="仿宋_GB2312"/>
          <w:color w:val="000000"/>
          <w:sz w:val="32"/>
          <w:szCs w:val="32"/>
        </w:rPr>
      </w:pPr>
    </w:p>
    <w:p>
      <w:pPr>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（图5：一般公共预算财政拨款支出决算变动情况）</w:t>
      </w:r>
    </w:p>
    <w:p>
      <w:pPr>
        <w:spacing w:line="600" w:lineRule="exact"/>
        <w:jc w:val="center"/>
        <w:rPr>
          <w:rFonts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仿宋_GB2312" w:hAnsi="仿宋" w:eastAsia="仿宋_GB2312"/>
          <w:b/>
          <w:color w:val="000000"/>
          <w:sz w:val="32"/>
          <w:szCs w:val="32"/>
        </w:rPr>
      </w:pPr>
      <w:bookmarkStart w:id="27" w:name="_Toc15377211"/>
      <w:r>
        <w:rPr>
          <w:rFonts w:hint="eastAsia" w:ascii="仿宋_GB2312" w:hAnsi="仿宋" w:eastAsia="仿宋_GB2312"/>
          <w:b/>
          <w:color w:val="000000"/>
          <w:sz w:val="32"/>
          <w:szCs w:val="32"/>
        </w:rPr>
        <w:t>（二）一般公共预算财政拨款支出决算结构情况</w:t>
      </w:r>
      <w:bookmarkEnd w:id="27"/>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 w:eastAsia="仿宋_GB2312"/>
          <w:color w:val="000000"/>
          <w:sz w:val="32"/>
          <w:szCs w:val="32"/>
        </w:rPr>
      </w:pPr>
      <w:r>
        <w:rPr>
          <w:rFonts w:ascii="仿宋_GB2312" w:hAnsi="仿宋" w:eastAsia="仿宋_GB2312"/>
          <w:color w:val="000000"/>
          <w:sz w:val="32"/>
          <w:szCs w:val="32"/>
        </w:rPr>
        <w:t>20</w:t>
      </w:r>
      <w:r>
        <w:rPr>
          <w:rFonts w:hint="eastAsia" w:ascii="仿宋_GB2312" w:hAnsi="仿宋" w:eastAsia="仿宋_GB2312"/>
          <w:color w:val="000000"/>
          <w:sz w:val="32"/>
          <w:szCs w:val="32"/>
        </w:rPr>
        <w:t>23年一般公共预算财政拨款支出</w:t>
      </w:r>
      <w:r>
        <w:rPr>
          <w:rFonts w:ascii="仿宋_GB2312" w:hAnsi="仿宋" w:eastAsia="仿宋_GB2312"/>
          <w:color w:val="000000"/>
          <w:sz w:val="32"/>
          <w:szCs w:val="32"/>
        </w:rPr>
        <w:t>21</w:t>
      </w:r>
      <w:r>
        <w:rPr>
          <w:rFonts w:hint="eastAsia" w:ascii="仿宋_GB2312" w:hAnsi="仿宋" w:eastAsia="仿宋_GB2312"/>
          <w:color w:val="000000"/>
          <w:sz w:val="32"/>
          <w:szCs w:val="32"/>
        </w:rPr>
        <w:t>6</w:t>
      </w:r>
      <w:r>
        <w:rPr>
          <w:rFonts w:ascii="仿宋_GB2312" w:hAnsi="仿宋" w:eastAsia="仿宋_GB2312"/>
          <w:color w:val="000000"/>
          <w:sz w:val="32"/>
          <w:szCs w:val="32"/>
        </w:rPr>
        <w:t>.</w:t>
      </w:r>
      <w:r>
        <w:rPr>
          <w:rFonts w:hint="eastAsia" w:ascii="仿宋_GB2312" w:hAnsi="仿宋" w:eastAsia="仿宋_GB2312"/>
          <w:color w:val="000000"/>
          <w:sz w:val="32"/>
          <w:szCs w:val="32"/>
        </w:rPr>
        <w:t>0</w:t>
      </w:r>
      <w:r>
        <w:rPr>
          <w:rFonts w:ascii="仿宋_GB2312" w:hAnsi="仿宋" w:eastAsia="仿宋_GB2312"/>
          <w:color w:val="000000"/>
          <w:sz w:val="32"/>
          <w:szCs w:val="32"/>
        </w:rPr>
        <w:t>3</w:t>
      </w:r>
      <w:r>
        <w:rPr>
          <w:rFonts w:hint="eastAsia" w:ascii="仿宋_GB2312" w:hAnsi="仿宋" w:eastAsia="仿宋_GB2312"/>
          <w:color w:val="000000"/>
          <w:sz w:val="32"/>
          <w:szCs w:val="32"/>
        </w:rPr>
        <w:t>万元，主要用于以下方面：</w:t>
      </w:r>
      <w:r>
        <w:rPr>
          <w:rFonts w:hint="eastAsia" w:ascii="仿宋_GB2312" w:hAnsi="仿宋" w:eastAsia="仿宋_GB2312"/>
          <w:b/>
          <w:bCs/>
          <w:color w:val="000000"/>
          <w:sz w:val="32"/>
          <w:szCs w:val="32"/>
        </w:rPr>
        <w:t>城乡社区支出（类）支出</w:t>
      </w:r>
      <w:r>
        <w:rPr>
          <w:rFonts w:hint="eastAsia" w:ascii="仿宋_GB2312" w:hAnsi="仿宋" w:eastAsia="仿宋_GB2312"/>
          <w:color w:val="000000"/>
          <w:sz w:val="32"/>
          <w:szCs w:val="32"/>
        </w:rPr>
        <w:t>157.79万元，占73.04</w:t>
      </w:r>
      <w:r>
        <w:rPr>
          <w:rFonts w:ascii="仿宋_GB2312" w:hAnsi="仿宋" w:eastAsia="仿宋_GB2312"/>
          <w:color w:val="000000"/>
          <w:sz w:val="32"/>
          <w:szCs w:val="32"/>
        </w:rPr>
        <w:t>%</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rPr>
        <w:t>社会保障和就业支出（类）支出</w:t>
      </w:r>
      <w:r>
        <w:rPr>
          <w:rFonts w:hint="eastAsia" w:ascii="仿宋_GB2312" w:hAnsi="仿宋" w:eastAsia="仿宋_GB2312"/>
          <w:color w:val="000000"/>
          <w:sz w:val="32"/>
          <w:szCs w:val="32"/>
        </w:rPr>
        <w:t>30.82万元，占14.27</w:t>
      </w:r>
      <w:r>
        <w:rPr>
          <w:rFonts w:ascii="仿宋_GB2312" w:hAnsi="仿宋" w:eastAsia="仿宋_GB2312"/>
          <w:color w:val="000000"/>
          <w:sz w:val="32"/>
          <w:szCs w:val="32"/>
        </w:rPr>
        <w:t>%</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rPr>
        <w:t>卫生健康支出（类）支出</w:t>
      </w:r>
      <w:r>
        <w:rPr>
          <w:rFonts w:hint="eastAsia" w:ascii="仿宋_GB2312" w:hAnsi="仿宋" w:eastAsia="仿宋_GB2312"/>
          <w:color w:val="000000"/>
          <w:sz w:val="32"/>
          <w:szCs w:val="32"/>
        </w:rPr>
        <w:t>12.29万元，占5.69</w:t>
      </w:r>
      <w:r>
        <w:rPr>
          <w:rFonts w:ascii="仿宋_GB2312" w:hAnsi="仿宋" w:eastAsia="仿宋_GB2312"/>
          <w:color w:val="000000"/>
          <w:sz w:val="32"/>
          <w:szCs w:val="32"/>
        </w:rPr>
        <w:t>%</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rPr>
        <w:t>住房保障支出（类）支出</w:t>
      </w:r>
      <w:r>
        <w:rPr>
          <w:rFonts w:ascii="仿宋_GB2312" w:hAnsi="仿宋" w:eastAsia="仿宋_GB2312"/>
          <w:color w:val="000000"/>
          <w:sz w:val="32"/>
          <w:szCs w:val="32"/>
        </w:rPr>
        <w:t>1</w:t>
      </w:r>
      <w:r>
        <w:rPr>
          <w:rFonts w:hint="eastAsia" w:ascii="仿宋_GB2312" w:hAnsi="仿宋" w:eastAsia="仿宋_GB2312"/>
          <w:color w:val="000000"/>
          <w:sz w:val="32"/>
          <w:szCs w:val="32"/>
        </w:rPr>
        <w:t>5.13万元，占7</w:t>
      </w:r>
      <w:r>
        <w:rPr>
          <w:rFonts w:ascii="仿宋_GB2312" w:hAnsi="仿宋" w:eastAsia="仿宋_GB2312"/>
          <w:color w:val="000000"/>
          <w:sz w:val="32"/>
          <w:szCs w:val="32"/>
        </w:rPr>
        <w:t>%</w:t>
      </w:r>
      <w:r>
        <w:rPr>
          <w:rFonts w:hint="eastAsia" w:ascii="仿宋_GB2312" w:hAnsi="仿宋" w:eastAsia="仿宋_GB2312"/>
          <w:color w:val="000000"/>
          <w:sz w:val="32"/>
          <w:szCs w:val="32"/>
        </w:rPr>
        <w:t>。</w:t>
      </w:r>
    </w:p>
    <w:p>
      <w:pPr>
        <w:spacing w:line="640" w:lineRule="exact"/>
        <w:ind w:firstLine="640"/>
        <w:rPr>
          <w:rFonts w:ascii="黑体" w:hAnsi="黑体" w:eastAsia="黑体"/>
          <w:sz w:val="32"/>
          <w:szCs w:val="32"/>
        </w:rPr>
      </w:pPr>
      <w:r>
        <w:rPr>
          <w:rFonts w:hint="eastAsia" w:ascii="黑体" w:hAnsi="黑体" w:eastAsia="黑体"/>
          <w:color w:val="000000"/>
          <w:sz w:val="32"/>
          <w:szCs w:val="32"/>
        </w:rPr>
        <w:drawing>
          <wp:anchor distT="0" distB="0" distL="114300" distR="114300" simplePos="0" relativeHeight="251662336" behindDoc="0" locked="0" layoutInCell="1" allowOverlap="1">
            <wp:simplePos x="0" y="0"/>
            <wp:positionH relativeFrom="column">
              <wp:posOffset>438150</wp:posOffset>
            </wp:positionH>
            <wp:positionV relativeFrom="paragraph">
              <wp:posOffset>307975</wp:posOffset>
            </wp:positionV>
            <wp:extent cx="4457065" cy="1828800"/>
            <wp:effectExtent l="4445" t="5080" r="15240" b="13970"/>
            <wp:wrapNone/>
            <wp:docPr id="6" name="对象 1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40" w:lineRule="exact"/>
        <w:ind w:firstLine="640"/>
        <w:rPr>
          <w:rFonts w:ascii="黑体" w:hAnsi="黑体" w:eastAsia="黑体"/>
          <w:sz w:val="32"/>
          <w:szCs w:val="32"/>
        </w:rPr>
      </w:pPr>
    </w:p>
    <w:p>
      <w:pPr>
        <w:spacing w:line="600" w:lineRule="exact"/>
        <w:ind w:firstLine="640"/>
        <w:rPr>
          <w:rFonts w:ascii="黑体" w:hAnsi="黑体" w:eastAsia="黑体"/>
          <w:b/>
          <w:color w:val="000000"/>
          <w:sz w:val="32"/>
          <w:szCs w:val="32"/>
        </w:rPr>
      </w:pPr>
    </w:p>
    <w:p>
      <w:pPr>
        <w:spacing w:line="600" w:lineRule="exact"/>
        <w:ind w:firstLine="640" w:firstLineChars="200"/>
        <w:rPr>
          <w:rFonts w:ascii="黑体" w:hAnsi="黑体" w:eastAsia="黑体"/>
          <w:color w:val="000000"/>
          <w:sz w:val="32"/>
          <w:szCs w:val="32"/>
        </w:rPr>
      </w:pPr>
    </w:p>
    <w:p>
      <w:pPr>
        <w:spacing w:line="600" w:lineRule="exact"/>
        <w:ind w:firstLine="640" w:firstLineChars="200"/>
        <w:rPr>
          <w:rFonts w:ascii="黑体" w:hAnsi="黑体" w:eastAsia="黑体"/>
          <w:color w:val="000000"/>
          <w:sz w:val="32"/>
          <w:szCs w:val="32"/>
        </w:rPr>
      </w:pPr>
    </w:p>
    <w:p>
      <w:pPr>
        <w:spacing w:line="600" w:lineRule="exact"/>
        <w:ind w:firstLine="640" w:firstLineChars="200"/>
        <w:jc w:val="center"/>
        <w:rPr>
          <w:rFonts w:ascii="黑体" w:hAnsi="黑体" w:eastAsia="黑体"/>
          <w:color w:val="000000"/>
          <w:sz w:val="32"/>
          <w:szCs w:val="32"/>
        </w:rPr>
      </w:pPr>
    </w:p>
    <w:p>
      <w:pPr>
        <w:spacing w:line="600" w:lineRule="exact"/>
        <w:ind w:firstLine="640" w:firstLineChars="200"/>
        <w:jc w:val="center"/>
        <w:rPr>
          <w:rFonts w:ascii="仿宋_GB2312" w:hAnsi="黑体" w:eastAsia="仿宋_GB2312"/>
          <w:color w:val="000000"/>
          <w:sz w:val="32"/>
          <w:szCs w:val="32"/>
        </w:rPr>
      </w:pPr>
      <w:r>
        <w:rPr>
          <w:rFonts w:hint="eastAsia" w:ascii="仿宋_GB2312" w:hAnsi="黑体" w:eastAsia="仿宋_GB2312"/>
          <w:color w:val="000000"/>
          <w:sz w:val="32"/>
          <w:szCs w:val="32"/>
        </w:rPr>
        <w:t>（图6：一般公共预算财政拨款支出决算结构）</w:t>
      </w:r>
    </w:p>
    <w:p>
      <w:pPr>
        <w:spacing w:line="600" w:lineRule="exact"/>
        <w:ind w:firstLine="642" w:firstLineChars="200"/>
        <w:outlineLvl w:val="2"/>
        <w:rPr>
          <w:rFonts w:ascii="仿宋_GB2312" w:hAnsi="黑体" w:eastAsia="仿宋_GB2312"/>
          <w:b/>
          <w:color w:val="000000"/>
          <w:sz w:val="32"/>
          <w:szCs w:val="32"/>
        </w:rPr>
      </w:pPr>
      <w:bookmarkStart w:id="28" w:name="_Toc15377212"/>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（三）一般公共预算财政拨款支出决算具体情况</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仿宋_GB2312" w:hAnsi="黑体" w:eastAsia="仿宋_GB2312"/>
          <w:b/>
          <w:bCs/>
          <w:sz w:val="32"/>
          <w:szCs w:val="32"/>
        </w:rPr>
      </w:pPr>
      <w:bookmarkStart w:id="29" w:name="_Toc15377213"/>
      <w:bookmarkStart w:id="30" w:name="_Toc15378460"/>
      <w:bookmarkStart w:id="31" w:name="_Toc15377444"/>
      <w:r>
        <w:rPr>
          <w:rFonts w:hint="eastAsia" w:ascii="仿宋_GB2312" w:hAnsi="黑体" w:eastAsia="仿宋_GB2312"/>
          <w:b/>
          <w:bCs/>
          <w:sz w:val="32"/>
          <w:szCs w:val="32"/>
        </w:rPr>
        <w:t>2023年一般公共预算支出决算数为216.03</w:t>
      </w:r>
      <w:r>
        <w:rPr>
          <w:rFonts w:hint="eastAsia" w:ascii="仿宋_GB2312" w:hAnsi="黑体" w:eastAsia="仿宋_GB2312"/>
          <w:b/>
          <w:bCs/>
          <w:sz w:val="32"/>
          <w:szCs w:val="32"/>
          <w:lang w:eastAsia="zh-CN"/>
        </w:rPr>
        <w:t>万元</w:t>
      </w:r>
      <w:r>
        <w:rPr>
          <w:rFonts w:hint="eastAsia" w:ascii="仿宋_GB2312" w:hAnsi="黑体" w:eastAsia="仿宋_GB2312"/>
          <w:b/>
          <w:bCs/>
          <w:sz w:val="32"/>
          <w:szCs w:val="32"/>
        </w:rPr>
        <w:t>，</w:t>
      </w:r>
      <w:r>
        <w:rPr>
          <w:rStyle w:val="14"/>
          <w:rFonts w:hint="eastAsia" w:ascii="仿宋_GB2312" w:hAnsi="黑体" w:eastAsia="仿宋_GB2312"/>
          <w:b/>
          <w:bCs/>
          <w:sz w:val="32"/>
          <w:szCs w:val="32"/>
        </w:rPr>
        <w:t>完成预算100%。其中：</w:t>
      </w:r>
      <w:bookmarkEnd w:id="29"/>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Style w:val="14"/>
          <w:rFonts w:ascii="仿宋_GB2312" w:hAnsi="黑体" w:eastAsia="仿宋_GB2312"/>
          <w:b w:val="0"/>
          <w:bCs/>
          <w:color w:val="000000"/>
          <w:sz w:val="32"/>
          <w:szCs w:val="32"/>
        </w:rPr>
      </w:pPr>
      <w:r>
        <w:rPr>
          <w:rFonts w:hint="eastAsia" w:ascii="仿宋_GB2312" w:hAnsi="黑体" w:eastAsia="仿宋_GB2312"/>
          <w:b/>
          <w:bCs w:val="0"/>
          <w:sz w:val="32"/>
          <w:szCs w:val="32"/>
          <w:lang w:val="en-US" w:eastAsia="zh-CN"/>
        </w:rPr>
        <w:t>1.</w:t>
      </w:r>
      <w:r>
        <w:rPr>
          <w:rFonts w:hint="eastAsia" w:ascii="仿宋_GB2312" w:hAnsi="黑体" w:eastAsia="仿宋_GB2312"/>
          <w:b/>
          <w:bCs w:val="0"/>
          <w:sz w:val="32"/>
          <w:szCs w:val="32"/>
        </w:rPr>
        <w:t>城乡社区支出</w:t>
      </w:r>
      <w:r>
        <w:rPr>
          <w:rStyle w:val="14"/>
          <w:rFonts w:hint="eastAsia" w:ascii="仿宋_GB2312" w:hAnsi="黑体" w:eastAsia="仿宋_GB2312"/>
          <w:b/>
          <w:bCs w:val="0"/>
          <w:sz w:val="32"/>
          <w:szCs w:val="32"/>
        </w:rPr>
        <w:t>（类）城乡社区管理事务（款）行政运行（项）：</w:t>
      </w:r>
      <w:r>
        <w:rPr>
          <w:rStyle w:val="14"/>
          <w:rFonts w:hint="eastAsia" w:ascii="仿宋_GB2312" w:hAnsi="黑体" w:eastAsia="仿宋_GB2312"/>
          <w:b w:val="0"/>
          <w:bCs/>
          <w:color w:val="000000"/>
          <w:sz w:val="32"/>
          <w:szCs w:val="32"/>
        </w:rPr>
        <w:t>支出决算为156.79万元</w:t>
      </w:r>
      <w:r>
        <w:rPr>
          <w:rStyle w:val="14"/>
          <w:rFonts w:hint="eastAsia" w:ascii="仿宋_GB2312" w:hAnsi="黑体" w:eastAsia="仿宋_GB2312"/>
          <w:b w:val="0"/>
          <w:bCs/>
          <w:sz w:val="32"/>
          <w:szCs w:val="32"/>
        </w:rPr>
        <w:t>，完成预算100%。</w:t>
      </w:r>
      <w:r>
        <w:rPr>
          <w:rStyle w:val="14"/>
          <w:rFonts w:hint="eastAsia" w:ascii="仿宋_GB2312" w:hAnsi="黑体" w:eastAsia="仿宋_GB2312"/>
          <w:b w:val="0"/>
          <w:bCs/>
          <w:color w:val="000000"/>
          <w:sz w:val="32"/>
          <w:szCs w:val="32"/>
        </w:rPr>
        <w:t>决算数等于预算数。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Style w:val="14"/>
          <w:rFonts w:ascii="仿宋_GB2312" w:hAnsi="黑体" w:eastAsia="仿宋_GB2312"/>
          <w:b w:val="0"/>
          <w:bCs/>
          <w:color w:val="000000"/>
          <w:sz w:val="32"/>
          <w:szCs w:val="32"/>
        </w:rPr>
      </w:pPr>
      <w:r>
        <w:rPr>
          <w:rFonts w:hint="eastAsia" w:ascii="仿宋_GB2312" w:hAnsi="黑体" w:eastAsia="仿宋_GB2312"/>
          <w:b/>
          <w:bCs w:val="0"/>
          <w:sz w:val="32"/>
          <w:szCs w:val="32"/>
          <w:lang w:val="en-US" w:eastAsia="zh-CN"/>
        </w:rPr>
        <w:t>2.</w:t>
      </w:r>
      <w:r>
        <w:rPr>
          <w:rFonts w:hint="eastAsia" w:ascii="仿宋_GB2312" w:hAnsi="黑体" w:eastAsia="仿宋_GB2312"/>
          <w:b/>
          <w:bCs w:val="0"/>
          <w:sz w:val="32"/>
          <w:szCs w:val="32"/>
        </w:rPr>
        <w:t>城乡社区支出</w:t>
      </w:r>
      <w:r>
        <w:rPr>
          <w:rStyle w:val="14"/>
          <w:rFonts w:hint="eastAsia" w:ascii="仿宋_GB2312" w:hAnsi="黑体" w:eastAsia="仿宋_GB2312"/>
          <w:b/>
          <w:bCs w:val="0"/>
          <w:sz w:val="32"/>
          <w:szCs w:val="32"/>
        </w:rPr>
        <w:t>（类）城乡社区管理事务（款）其他城乡社区管理事务支出（项）：</w:t>
      </w:r>
      <w:r>
        <w:rPr>
          <w:rStyle w:val="14"/>
          <w:rFonts w:hint="eastAsia" w:ascii="仿宋_GB2312" w:hAnsi="黑体" w:eastAsia="仿宋_GB2312"/>
          <w:b w:val="0"/>
          <w:bCs/>
          <w:color w:val="000000"/>
          <w:sz w:val="32"/>
          <w:szCs w:val="32"/>
        </w:rPr>
        <w:t>支出决算为1万元</w:t>
      </w:r>
      <w:r>
        <w:rPr>
          <w:rStyle w:val="14"/>
          <w:rFonts w:hint="eastAsia" w:ascii="仿宋_GB2312" w:hAnsi="黑体" w:eastAsia="仿宋_GB2312"/>
          <w:b w:val="0"/>
          <w:bCs/>
          <w:sz w:val="32"/>
          <w:szCs w:val="32"/>
        </w:rPr>
        <w:t>，完成预算100%。</w:t>
      </w:r>
      <w:r>
        <w:rPr>
          <w:rStyle w:val="14"/>
          <w:rFonts w:hint="eastAsia" w:ascii="仿宋_GB2312" w:hAnsi="黑体" w:eastAsia="仿宋_GB2312"/>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黑体" w:eastAsia="仿宋_GB2312"/>
          <w:color w:val="000000"/>
          <w:sz w:val="32"/>
          <w:szCs w:val="32"/>
        </w:rPr>
      </w:pPr>
      <w:r>
        <w:rPr>
          <w:rStyle w:val="14"/>
          <w:rFonts w:hint="eastAsia" w:ascii="仿宋_GB2312" w:hAnsi="黑体" w:eastAsia="仿宋_GB2312"/>
          <w:b/>
          <w:bCs w:val="0"/>
          <w:color w:val="000000"/>
          <w:sz w:val="32"/>
          <w:szCs w:val="32"/>
        </w:rPr>
        <w:t>3.社会保障和就业（类）行政事业单位养老支出（款）行政单位离退休（项）：</w:t>
      </w:r>
      <w:r>
        <w:rPr>
          <w:rStyle w:val="14"/>
          <w:rFonts w:hint="eastAsia" w:ascii="仿宋_GB2312" w:hAnsi="黑体" w:eastAsia="仿宋_GB2312"/>
          <w:b w:val="0"/>
          <w:bCs/>
          <w:color w:val="000000"/>
          <w:sz w:val="32"/>
          <w:szCs w:val="32"/>
        </w:rPr>
        <w:t xml:space="preserve"> 支出决算为3.89万元，完成预算100%。决算数等于预算数。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4"/>
          <w:rFonts w:ascii="仿宋_GB2312" w:hAnsi="黑体" w:eastAsia="仿宋_GB2312"/>
          <w:b w:val="0"/>
          <w:bCs/>
          <w:color w:val="000000"/>
          <w:sz w:val="32"/>
          <w:szCs w:val="32"/>
        </w:rPr>
      </w:pPr>
      <w:r>
        <w:rPr>
          <w:rStyle w:val="14"/>
          <w:rFonts w:hint="eastAsia" w:ascii="仿宋_GB2312" w:hAnsi="黑体" w:eastAsia="仿宋_GB2312"/>
          <w:b/>
          <w:bCs w:val="0"/>
          <w:color w:val="000000"/>
          <w:sz w:val="32"/>
          <w:szCs w:val="32"/>
        </w:rPr>
        <w:t>4.社会保障和就业（类）行政事业单位养老支出（款）机关事业单位基本养老保险缴费（项）：</w:t>
      </w:r>
      <w:r>
        <w:rPr>
          <w:rStyle w:val="14"/>
          <w:rFonts w:hint="eastAsia" w:ascii="仿宋_GB2312" w:hAnsi="黑体" w:eastAsia="仿宋_GB2312"/>
          <w:b w:val="0"/>
          <w:bCs/>
          <w:color w:val="000000"/>
          <w:sz w:val="32"/>
          <w:szCs w:val="32"/>
        </w:rPr>
        <w:t>支出决算为20.21万元，完成预算100%。决算数等于预算数。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4"/>
          <w:rFonts w:ascii="仿宋_GB2312" w:hAnsi="黑体" w:eastAsia="仿宋_GB2312"/>
          <w:b w:val="0"/>
          <w:bCs/>
          <w:color w:val="000000"/>
          <w:sz w:val="32"/>
          <w:szCs w:val="32"/>
        </w:rPr>
      </w:pPr>
      <w:r>
        <w:rPr>
          <w:rStyle w:val="14"/>
          <w:rFonts w:hint="eastAsia" w:ascii="仿宋_GB2312" w:hAnsi="黑体" w:eastAsia="仿宋_GB2312"/>
          <w:b/>
          <w:bCs w:val="0"/>
          <w:color w:val="000000"/>
          <w:sz w:val="32"/>
          <w:szCs w:val="32"/>
        </w:rPr>
        <w:t>5.社会保障和就业（类）行政事业单位养老（款）机关事业单位职业年金缴费支出（项）：</w:t>
      </w:r>
      <w:r>
        <w:rPr>
          <w:rStyle w:val="14"/>
          <w:rFonts w:hint="eastAsia" w:ascii="仿宋_GB2312" w:hAnsi="黑体" w:eastAsia="仿宋_GB2312"/>
          <w:b w:val="0"/>
          <w:bCs/>
          <w:color w:val="000000"/>
          <w:sz w:val="32"/>
          <w:szCs w:val="32"/>
        </w:rPr>
        <w:t>支出决算为6.72万元，完成预算100%。决算数等于预算数。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4"/>
          <w:rFonts w:ascii="仿宋_GB2312" w:hAnsi="黑体" w:eastAsia="仿宋_GB2312"/>
          <w:b w:val="0"/>
          <w:bCs/>
          <w:color w:val="000000"/>
          <w:sz w:val="32"/>
          <w:szCs w:val="32"/>
        </w:rPr>
      </w:pPr>
      <w:r>
        <w:rPr>
          <w:rStyle w:val="14"/>
          <w:rFonts w:hint="eastAsia" w:ascii="仿宋_GB2312" w:hAnsi="黑体" w:eastAsia="仿宋_GB2312"/>
          <w:b/>
          <w:bCs w:val="0"/>
          <w:color w:val="000000"/>
          <w:sz w:val="32"/>
          <w:szCs w:val="32"/>
        </w:rPr>
        <w:t>6.卫生健康支出（类）行政事业单位医疗（款）行政单位医疗（项）:</w:t>
      </w:r>
      <w:r>
        <w:rPr>
          <w:rStyle w:val="14"/>
          <w:rFonts w:hint="eastAsia" w:ascii="仿宋_GB2312" w:hAnsi="黑体" w:eastAsia="仿宋_GB2312"/>
          <w:b w:val="0"/>
          <w:bCs/>
          <w:color w:val="000000"/>
          <w:sz w:val="32"/>
          <w:szCs w:val="32"/>
        </w:rPr>
        <w:t xml:space="preserve"> 支出决算为9.83万元，完成预算100%。决算数等于预算数。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4"/>
          <w:rFonts w:ascii="仿宋_GB2312" w:hAnsi="黑体" w:eastAsia="仿宋_GB2312"/>
          <w:b w:val="0"/>
          <w:bCs/>
          <w:color w:val="000000"/>
          <w:sz w:val="32"/>
          <w:szCs w:val="32"/>
        </w:rPr>
      </w:pPr>
      <w:r>
        <w:rPr>
          <w:rStyle w:val="14"/>
          <w:rFonts w:hint="eastAsia" w:ascii="仿宋_GB2312" w:hAnsi="黑体" w:eastAsia="仿宋_GB2312"/>
          <w:b/>
          <w:bCs w:val="0"/>
          <w:color w:val="000000"/>
          <w:sz w:val="32"/>
          <w:szCs w:val="32"/>
        </w:rPr>
        <w:t>7.卫生健康支出（类）行政事业单位医疗（款）公务员医疗补助（项）:</w:t>
      </w:r>
      <w:r>
        <w:rPr>
          <w:rStyle w:val="14"/>
          <w:rFonts w:hint="eastAsia" w:ascii="仿宋_GB2312" w:hAnsi="黑体" w:eastAsia="仿宋_GB2312"/>
          <w:b w:val="0"/>
          <w:bCs/>
          <w:color w:val="000000"/>
          <w:sz w:val="32"/>
          <w:szCs w:val="32"/>
        </w:rPr>
        <w:t xml:space="preserve"> 支出决算为1.08万元，完成预算100%。决算数等于预算数。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4"/>
          <w:rFonts w:ascii="仿宋_GB2312" w:hAnsi="黑体" w:eastAsia="仿宋_GB2312"/>
          <w:b w:val="0"/>
          <w:bCs/>
          <w:color w:val="000000"/>
          <w:sz w:val="32"/>
          <w:szCs w:val="32"/>
        </w:rPr>
      </w:pPr>
      <w:r>
        <w:rPr>
          <w:rStyle w:val="14"/>
          <w:rFonts w:hint="eastAsia" w:ascii="仿宋_GB2312" w:hAnsi="黑体" w:eastAsia="仿宋_GB2312"/>
          <w:b/>
          <w:bCs w:val="0"/>
          <w:color w:val="000000"/>
          <w:sz w:val="32"/>
          <w:szCs w:val="32"/>
        </w:rPr>
        <w:t>8.卫生健康支出（类）行政事业单位医疗（款）其他行政事业单位医疗支出（项）:</w:t>
      </w:r>
      <w:r>
        <w:rPr>
          <w:rStyle w:val="14"/>
          <w:rFonts w:hint="eastAsia" w:ascii="仿宋_GB2312" w:hAnsi="黑体" w:eastAsia="仿宋_GB2312"/>
          <w:b w:val="0"/>
          <w:bCs/>
          <w:color w:val="000000"/>
          <w:sz w:val="32"/>
          <w:szCs w:val="32"/>
        </w:rPr>
        <w:t xml:space="preserve"> 支出决算为1.38万元，完成预算100%。决算数等于预算数。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4"/>
          <w:rFonts w:ascii="仿宋_GB2312" w:hAnsi="黑体" w:eastAsia="仿宋_GB2312"/>
          <w:b w:val="0"/>
          <w:bCs/>
          <w:color w:val="000000"/>
          <w:sz w:val="32"/>
          <w:szCs w:val="32"/>
        </w:rPr>
      </w:pPr>
      <w:r>
        <w:rPr>
          <w:rStyle w:val="14"/>
          <w:rFonts w:hint="eastAsia" w:ascii="仿宋_GB2312" w:hAnsi="黑体" w:eastAsia="仿宋_GB2312"/>
          <w:b/>
          <w:bCs w:val="0"/>
          <w:sz w:val="32"/>
          <w:szCs w:val="32"/>
        </w:rPr>
        <w:t>9.</w:t>
      </w:r>
      <w:r>
        <w:rPr>
          <w:rFonts w:hint="eastAsia" w:ascii="仿宋_GB2312" w:hAnsi="黑体" w:eastAsia="仿宋_GB2312"/>
          <w:b/>
          <w:bCs w:val="0"/>
          <w:sz w:val="32"/>
          <w:szCs w:val="32"/>
        </w:rPr>
        <w:t>住房保障支出</w:t>
      </w:r>
      <w:r>
        <w:rPr>
          <w:rStyle w:val="14"/>
          <w:rFonts w:hint="eastAsia" w:ascii="仿宋_GB2312" w:hAnsi="黑体" w:eastAsia="仿宋_GB2312"/>
          <w:b/>
          <w:bCs w:val="0"/>
          <w:sz w:val="32"/>
          <w:szCs w:val="32"/>
        </w:rPr>
        <w:t>（类）住房改革支出（款）住房公积金（项）：</w:t>
      </w:r>
      <w:r>
        <w:rPr>
          <w:rStyle w:val="14"/>
          <w:rFonts w:hint="eastAsia" w:ascii="仿宋_GB2312" w:hAnsi="黑体" w:eastAsia="仿宋_GB2312"/>
          <w:b w:val="0"/>
          <w:bCs/>
          <w:color w:val="000000"/>
          <w:sz w:val="32"/>
          <w:szCs w:val="32"/>
        </w:rPr>
        <w:t>支出决算为15.13万元，完成预算100%。决算数等于预算数。</w:t>
      </w:r>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17"/>
        </w:rPr>
      </w:pPr>
      <w:bookmarkStart w:id="32" w:name="_Toc15377214"/>
      <w:bookmarkStart w:id="33"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32"/>
      <w:bookmarkEnd w:id="33"/>
      <w:r>
        <w:rPr>
          <w:rStyle w:val="17"/>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hAnsi="仿宋" w:eastAsia="仿宋_GB2312"/>
          <w:sz w:val="32"/>
          <w:szCs w:val="32"/>
        </w:rPr>
      </w:pPr>
      <w:bookmarkStart w:id="34" w:name="_Toc15377215"/>
      <w:bookmarkStart w:id="35" w:name="_Toc15396609"/>
      <w:r>
        <w:rPr>
          <w:rFonts w:hint="eastAsia" w:ascii="仿宋_GB2312" w:hAnsi="仿宋" w:eastAsia="仿宋_GB2312"/>
          <w:sz w:val="32"/>
          <w:szCs w:val="32"/>
        </w:rPr>
        <w:t>2023年一般公共预算财政拨款基本支出</w:t>
      </w:r>
      <w:r>
        <w:rPr>
          <w:rFonts w:hint="eastAsia" w:ascii="仿宋_GB2312" w:hAnsi="仿宋" w:eastAsia="仿宋_GB2312"/>
          <w:sz w:val="32"/>
          <w:szCs w:val="32"/>
          <w:lang w:val="en-US" w:eastAsia="zh-CN"/>
        </w:rPr>
        <w:t>215.03</w:t>
      </w:r>
      <w:r>
        <w:rPr>
          <w:rFonts w:hint="eastAsia" w:ascii="仿宋_GB2312" w:hAnsi="仿宋"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hAnsi="仿宋" w:eastAsia="仿宋_GB2312"/>
          <w:color w:val="000000"/>
          <w:sz w:val="32"/>
          <w:szCs w:val="32"/>
        </w:rPr>
      </w:pPr>
      <w:r>
        <w:rPr>
          <w:rFonts w:hint="eastAsia" w:ascii="仿宋_GB2312" w:hAnsi="仿宋" w:eastAsia="仿宋_GB2312"/>
          <w:sz w:val="32"/>
          <w:szCs w:val="32"/>
        </w:rPr>
        <w:t>人员经费192.09万元，主要包括：基本工资、津贴补贴、奖金、机关事业单位基本养老保险缴费、职业年金缴费、</w:t>
      </w:r>
      <w:r>
        <w:rPr>
          <w:rFonts w:hint="eastAsia" w:ascii="仿宋_GB2312" w:hAnsi="仿宋" w:eastAsia="仿宋_GB2312"/>
          <w:color w:val="000000"/>
          <w:sz w:val="32"/>
          <w:szCs w:val="32"/>
        </w:rPr>
        <w:t>职工基本医疗保险缴费、公务员医疗补助缴费、其他社会保障缴费、住房公积金、生活补助、医疗费补助等。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sz w:val="32"/>
          <w:szCs w:val="32"/>
        </w:rPr>
      </w:pPr>
      <w:r>
        <w:rPr>
          <w:rFonts w:hint="eastAsia" w:ascii="仿宋_GB2312" w:hAnsi="仿宋" w:eastAsia="仿宋_GB2312"/>
          <w:sz w:val="32"/>
          <w:szCs w:val="32"/>
        </w:rPr>
        <w:t>　　公用经费22.94万元，主要包括：办公费、水费、电费、邮电费、物业管理费、差旅费、公务接待费、劳务费、工会经费、福利费、其他交通费、其他商品和服务支出等。</w:t>
      </w:r>
    </w:p>
    <w:p>
      <w:pPr>
        <w:spacing w:line="640" w:lineRule="exact"/>
        <w:ind w:firstLine="641"/>
        <w:outlineLvl w:val="1"/>
        <w:rPr>
          <w:rFonts w:ascii="仿宋_GB2312" w:eastAsia="仿宋_GB2312"/>
          <w:color w:val="000000"/>
          <w:sz w:val="32"/>
          <w:szCs w:val="32"/>
        </w:rPr>
      </w:pPr>
    </w:p>
    <w:p>
      <w:pPr>
        <w:spacing w:line="640" w:lineRule="exact"/>
        <w:ind w:firstLine="641"/>
        <w:outlineLvl w:val="1"/>
        <w:rPr>
          <w:rStyle w:val="17"/>
          <w:rFonts w:ascii="黑体" w:hAnsi="黑体" w:eastAsia="黑体"/>
          <w:b w:val="0"/>
        </w:rPr>
      </w:pPr>
      <w:r>
        <w:rPr>
          <w:rFonts w:hint="eastAsia" w:ascii="黑体" w:eastAsia="黑体"/>
          <w:color w:val="000000"/>
          <w:sz w:val="32"/>
          <w:szCs w:val="32"/>
        </w:rPr>
        <w:t>七、财政拨款</w:t>
      </w:r>
      <w:r>
        <w:rPr>
          <w:rStyle w:val="17"/>
          <w:rFonts w:hint="eastAsia" w:ascii="黑体" w:hAnsi="黑体" w:eastAsia="黑体"/>
        </w:rPr>
        <w:t>“</w:t>
      </w:r>
      <w:r>
        <w:rPr>
          <w:rStyle w:val="17"/>
          <w:rFonts w:hint="eastAsia" w:ascii="黑体" w:hAnsi="黑体" w:eastAsia="黑体"/>
          <w:b w:val="0"/>
        </w:rPr>
        <w:t>三公”经费支出决算情况说明</w:t>
      </w:r>
      <w:bookmarkEnd w:id="34"/>
      <w:bookmarkEnd w:id="35"/>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2"/>
        <w:rPr>
          <w:rFonts w:ascii="仿宋_GB2312" w:hAnsi="楷体" w:eastAsia="仿宋_GB2312"/>
          <w:b/>
          <w:color w:val="000000"/>
          <w:sz w:val="32"/>
          <w:szCs w:val="32"/>
        </w:rPr>
      </w:pPr>
      <w:bookmarkStart w:id="36" w:name="_Toc15377216"/>
      <w:r>
        <w:rPr>
          <w:rFonts w:hint="eastAsia" w:ascii="仿宋_GB2312" w:hAnsi="楷体" w:eastAsia="仿宋_GB2312"/>
          <w:b/>
          <w:color w:val="000000"/>
          <w:sz w:val="32"/>
          <w:szCs w:val="32"/>
        </w:rPr>
        <w:t>（一）“三公”经费财政拨款支出决算总体情况说明</w:t>
      </w:r>
      <w:bookmarkEnd w:id="36"/>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 w:eastAsia="仿宋_GB2312"/>
          <w:sz w:val="32"/>
          <w:szCs w:val="32"/>
        </w:rPr>
      </w:pPr>
      <w:bookmarkStart w:id="37" w:name="_Toc15377217"/>
      <w:r>
        <w:rPr>
          <w:rFonts w:hint="eastAsia" w:ascii="仿宋_GB2312" w:hAnsi="仿宋" w:eastAsia="仿宋_GB2312"/>
          <w:sz w:val="32"/>
          <w:szCs w:val="32"/>
        </w:rPr>
        <w:t>2023年“三公”经费财政拨款支出决算为0.29万元，完成预算96.67%，较上年增加0.2万元，增加222</w:t>
      </w:r>
      <w:r>
        <w:rPr>
          <w:rFonts w:hint="eastAsia" w:ascii="仿宋_GB2312" w:hAnsi="仿宋" w:eastAsia="仿宋_GB2312"/>
          <w:sz w:val="32"/>
          <w:szCs w:val="32"/>
          <w:lang w:val="en-US" w:eastAsia="zh-CN"/>
        </w:rPr>
        <w:t>.22</w:t>
      </w:r>
      <w:r>
        <w:rPr>
          <w:rFonts w:hint="eastAsia" w:ascii="仿宋_GB2312" w:hAnsi="仿宋" w:eastAsia="仿宋_GB2312"/>
          <w:sz w:val="32"/>
          <w:szCs w:val="32"/>
        </w:rPr>
        <w:t>%。主要原因是较2022年相比，接待批次和人数有所增加。</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2"/>
        <w:rPr>
          <w:rFonts w:ascii="仿宋_GB2312" w:hAnsi="楷体" w:eastAsia="仿宋_GB2312"/>
          <w:b/>
          <w:color w:val="000000"/>
          <w:sz w:val="32"/>
          <w:szCs w:val="32"/>
        </w:rPr>
      </w:pPr>
      <w:r>
        <w:rPr>
          <w:rFonts w:hint="eastAsia" w:ascii="仿宋_GB2312" w:hAnsi="楷体" w:eastAsia="仿宋_GB2312"/>
          <w:b/>
          <w:color w:val="000000"/>
          <w:sz w:val="32"/>
          <w:szCs w:val="32"/>
        </w:rPr>
        <w:t>（二）“三公”经费财政拨款支出决算具体情况说明</w:t>
      </w:r>
      <w:bookmarkEnd w:id="37"/>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2023年“三公”经费财政拨款支出决算中，因公出国（境）费支出决算0万元，占0%；公务用车购置及运行维护费支出决算0万元，占0%；公务接待费支出决算0.29万元，占100%。具体情况如下：</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具体情况如下：</w:t>
      </w:r>
    </w:p>
    <w:p>
      <w:pPr>
        <w:spacing w:line="640" w:lineRule="exact"/>
        <w:ind w:firstLine="641"/>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60288" behindDoc="1" locked="0" layoutInCell="1" allowOverlap="1">
            <wp:simplePos x="0" y="0"/>
            <wp:positionH relativeFrom="column">
              <wp:posOffset>121920</wp:posOffset>
            </wp:positionH>
            <wp:positionV relativeFrom="paragraph">
              <wp:posOffset>140970</wp:posOffset>
            </wp:positionV>
            <wp:extent cx="4933315" cy="1913890"/>
            <wp:effectExtent l="0" t="0" r="0" b="0"/>
            <wp:wrapNone/>
            <wp:docPr id="7" name="对象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tabs>
          <w:tab w:val="left" w:pos="3090"/>
        </w:tabs>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ab/>
      </w:r>
    </w:p>
    <w:p>
      <w:pPr>
        <w:tabs>
          <w:tab w:val="left" w:pos="3090"/>
          <w:tab w:val="left" w:pos="5775"/>
        </w:tabs>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ab/>
      </w:r>
      <w:r>
        <w:rPr>
          <w:rFonts w:hint="eastAsia" w:ascii="仿宋_GB2312" w:hAnsi="仿宋" w:eastAsia="仿宋_GB2312"/>
          <w:color w:val="000000"/>
          <w:sz w:val="32"/>
          <w:szCs w:val="32"/>
        </w:rPr>
        <w:tab/>
      </w:r>
    </w:p>
    <w:p>
      <w:pPr>
        <w:spacing w:line="600" w:lineRule="exact"/>
        <w:ind w:firstLine="640"/>
        <w:jc w:val="center"/>
        <w:rPr>
          <w:rFonts w:ascii="仿宋_GB2312" w:hAnsi="仿宋" w:eastAsia="仿宋_GB2312"/>
          <w:color w:val="000000"/>
          <w:sz w:val="32"/>
          <w:szCs w:val="32"/>
        </w:rPr>
      </w:pPr>
      <w:r>
        <w:rPr>
          <w:rFonts w:hint="eastAsia" w:ascii="仿宋_GB2312" w:hAnsi="仿宋" w:eastAsia="仿宋_GB2312"/>
          <w:color w:val="000000"/>
          <w:sz w:val="32"/>
          <w:szCs w:val="32"/>
        </w:rPr>
        <w:t>（图7：“三公”经费财政拨款支出结构）</w:t>
      </w:r>
    </w:p>
    <w:p>
      <w:pPr>
        <w:spacing w:line="640" w:lineRule="exact"/>
        <w:ind w:firstLine="641"/>
        <w:rPr>
          <w:rFonts w:ascii="仿宋_GB2312" w:hAnsi="仿宋" w:eastAsia="仿宋_GB2312"/>
          <w:b/>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1"/>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1.因公出国（境）经费支出</w:t>
      </w:r>
      <w:r>
        <w:rPr>
          <w:rFonts w:hint="eastAsia" w:ascii="仿宋_GB2312" w:hAnsi="仿宋" w:eastAsia="仿宋_GB2312"/>
          <w:color w:val="000000"/>
          <w:sz w:val="32"/>
          <w:szCs w:val="32"/>
        </w:rPr>
        <w:t>0万元，</w:t>
      </w:r>
      <w:r>
        <w:rPr>
          <w:rStyle w:val="14"/>
          <w:rFonts w:hint="eastAsia" w:ascii="仿宋_GB2312" w:hAnsi="仿宋" w:eastAsia="仿宋_GB2312"/>
          <w:b w:val="0"/>
          <w:bCs/>
          <w:color w:val="000000"/>
          <w:sz w:val="32"/>
          <w:szCs w:val="32"/>
        </w:rPr>
        <w:t>完成预算0%。</w:t>
      </w:r>
      <w:r>
        <w:rPr>
          <w:rFonts w:hint="eastAsia" w:ascii="仿宋_GB2312" w:hAnsi="仿宋" w:eastAsia="仿宋_GB2312"/>
          <w:color w:val="000000"/>
          <w:sz w:val="32"/>
          <w:szCs w:val="32"/>
        </w:rPr>
        <w:t>全年安排因公出国（境）团组0次，出国（境）0人。因公出国（境）支出决算与2022年持平。</w:t>
      </w:r>
    </w:p>
    <w:p>
      <w:pPr>
        <w:keepNext w:val="0"/>
        <w:keepLines w:val="0"/>
        <w:pageBreakBefore w:val="0"/>
        <w:widowControl w:val="0"/>
        <w:kinsoku/>
        <w:wordWrap/>
        <w:overflowPunct/>
        <w:topLinePunct w:val="0"/>
        <w:autoSpaceDE/>
        <w:autoSpaceDN/>
        <w:bidi w:val="0"/>
        <w:adjustRightInd/>
        <w:spacing w:line="600" w:lineRule="exact"/>
        <w:ind w:firstLine="641"/>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2.公务用车购置及运行维护费支出</w:t>
      </w:r>
      <w:r>
        <w:rPr>
          <w:rFonts w:hint="eastAsia" w:ascii="仿宋_GB2312" w:hAnsi="仿宋" w:eastAsia="仿宋_GB2312"/>
          <w:color w:val="000000"/>
          <w:sz w:val="32"/>
          <w:szCs w:val="32"/>
        </w:rPr>
        <w:t>0万元，</w:t>
      </w:r>
      <w:r>
        <w:rPr>
          <w:rStyle w:val="14"/>
          <w:rFonts w:hint="eastAsia" w:ascii="仿宋_GB2312" w:hAnsi="仿宋" w:eastAsia="仿宋_GB2312"/>
          <w:b w:val="0"/>
          <w:bCs/>
          <w:color w:val="000000"/>
          <w:sz w:val="32"/>
          <w:szCs w:val="32"/>
        </w:rPr>
        <w:t>完成预算0%。</w:t>
      </w:r>
      <w:r>
        <w:rPr>
          <w:rFonts w:hint="eastAsia" w:ascii="仿宋_GB2312" w:hAnsi="仿宋" w:eastAsia="仿宋_GB2312"/>
          <w:color w:val="000000"/>
          <w:sz w:val="32"/>
          <w:szCs w:val="32"/>
        </w:rPr>
        <w:t>公务用车购置及运行维护费支出决算与2022年持平。</w:t>
      </w:r>
    </w:p>
    <w:p>
      <w:pPr>
        <w:keepNext w:val="0"/>
        <w:keepLines w:val="0"/>
        <w:pageBreakBefore w:val="0"/>
        <w:widowControl w:val="0"/>
        <w:kinsoku/>
        <w:wordWrap/>
        <w:overflowPunct/>
        <w:topLinePunct w:val="0"/>
        <w:autoSpaceDE/>
        <w:autoSpaceDN/>
        <w:bidi w:val="0"/>
        <w:adjustRightInd/>
        <w:spacing w:line="600" w:lineRule="exact"/>
        <w:ind w:firstLine="641"/>
        <w:textAlignment w:val="auto"/>
        <w:rPr>
          <w:rFonts w:ascii="仿宋_GB2312" w:hAnsi="仿宋" w:eastAsia="仿宋_GB2312"/>
          <w:b/>
          <w:color w:val="000000"/>
          <w:sz w:val="32"/>
          <w:szCs w:val="32"/>
        </w:rPr>
      </w:pPr>
      <w:r>
        <w:rPr>
          <w:rFonts w:hint="eastAsia" w:ascii="仿宋_GB2312" w:hAnsi="仿宋" w:eastAsia="仿宋_GB2312"/>
          <w:color w:val="000000"/>
          <w:sz w:val="32"/>
          <w:szCs w:val="32"/>
        </w:rPr>
        <w:t>其中：公务用车购置支出0万元。全年按规定更新购置公务用车0辆，其中：轿车0辆、金额0万元，越野车0辆、金额0万元，载客汽车0辆、金额0万元。截至2023年12月底，单位共有公务用车0辆，其中：轿车0辆、越野车0辆、载客汽车0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公务用车运行维护费支出0万元。</w:t>
      </w:r>
    </w:p>
    <w:p>
      <w:pPr>
        <w:spacing w:line="600" w:lineRule="exact"/>
        <w:ind w:firstLine="640"/>
        <w:rPr>
          <w:rFonts w:ascii="仿宋_GB2312" w:eastAsia="仿宋_GB2312"/>
          <w:sz w:val="32"/>
          <w:szCs w:val="32"/>
        </w:rPr>
      </w:pPr>
      <w:r>
        <w:rPr>
          <w:rFonts w:hint="eastAsia" w:ascii="仿宋_GB2312" w:hAnsi="仿宋" w:eastAsia="仿宋_GB2312"/>
          <w:b/>
          <w:color w:val="000000"/>
          <w:sz w:val="32"/>
          <w:szCs w:val="32"/>
        </w:rPr>
        <w:t>3.公务接待费支出</w:t>
      </w:r>
      <w:r>
        <w:rPr>
          <w:rFonts w:hint="eastAsia" w:ascii="仿宋_GB2312" w:hAnsi="仿宋" w:eastAsia="仿宋_GB2312"/>
          <w:color w:val="000000"/>
          <w:sz w:val="32"/>
          <w:szCs w:val="32"/>
        </w:rPr>
        <w:t>0.29万元，</w:t>
      </w:r>
      <w:r>
        <w:rPr>
          <w:rStyle w:val="14"/>
          <w:rFonts w:hint="eastAsia" w:ascii="仿宋_GB2312" w:hAnsi="仿宋" w:eastAsia="仿宋_GB2312"/>
          <w:b w:val="0"/>
          <w:bCs/>
          <w:color w:val="000000"/>
          <w:sz w:val="32"/>
          <w:szCs w:val="32"/>
        </w:rPr>
        <w:t>完成预算96.67%。</w:t>
      </w:r>
      <w:r>
        <w:rPr>
          <w:rFonts w:hint="eastAsia" w:ascii="仿宋_GB2312" w:eastAsia="仿宋_GB2312"/>
          <w:sz w:val="32"/>
          <w:szCs w:val="32"/>
        </w:rPr>
        <w:t>公务接待费支出决算比2022年增加0.2万元，增长222</w:t>
      </w:r>
      <w:r>
        <w:rPr>
          <w:rFonts w:hint="eastAsia" w:ascii="仿宋_GB2312" w:eastAsia="仿宋_GB2312"/>
          <w:sz w:val="32"/>
          <w:szCs w:val="32"/>
          <w:lang w:val="en-US" w:eastAsia="zh-CN"/>
        </w:rPr>
        <w:t>.22</w:t>
      </w:r>
      <w:r>
        <w:rPr>
          <w:rFonts w:hint="eastAsia" w:ascii="仿宋_GB2312" w:eastAsia="仿宋_GB2312"/>
          <w:sz w:val="32"/>
          <w:szCs w:val="32"/>
        </w:rPr>
        <w:t>%。主要原因是接待批次较上年增加。其中：</w:t>
      </w:r>
    </w:p>
    <w:p>
      <w:pPr>
        <w:keepNext w:val="0"/>
        <w:keepLines w:val="0"/>
        <w:pageBreakBefore w:val="0"/>
        <w:widowControl w:val="0"/>
        <w:kinsoku/>
        <w:wordWrap/>
        <w:overflowPunct/>
        <w:topLinePunct w:val="0"/>
        <w:bidi w:val="0"/>
        <w:snapToGrid/>
        <w:spacing w:line="600" w:lineRule="exact"/>
        <w:ind w:firstLine="640"/>
        <w:textAlignment w:val="auto"/>
        <w:rPr>
          <w:rFonts w:ascii="仿宋_GB2312" w:eastAsia="仿宋_GB2312"/>
          <w:sz w:val="32"/>
          <w:szCs w:val="32"/>
        </w:rPr>
      </w:pPr>
      <w:r>
        <w:rPr>
          <w:rFonts w:hint="eastAsia" w:ascii="仿宋_GB2312" w:hAnsi="仿宋" w:eastAsia="仿宋_GB2312"/>
          <w:b/>
          <w:sz w:val="32"/>
          <w:szCs w:val="32"/>
        </w:rPr>
        <w:t>国内公务接待支出</w:t>
      </w:r>
      <w:r>
        <w:rPr>
          <w:rFonts w:hint="eastAsia" w:ascii="仿宋_GB2312" w:hAnsi="仿宋" w:eastAsia="仿宋_GB2312"/>
          <w:sz w:val="32"/>
          <w:szCs w:val="32"/>
        </w:rPr>
        <w:t>0.29</w:t>
      </w:r>
      <w:r>
        <w:rPr>
          <w:rFonts w:hint="eastAsia" w:ascii="仿宋_GB2312" w:eastAsia="仿宋_GB2312"/>
          <w:sz w:val="32"/>
          <w:szCs w:val="32"/>
        </w:rPr>
        <w:t>万元，主要用于开展业务活动开支的用餐费。国内公务接待5批次，19人次（不包括陪同人员），共计支出0.29万元，具体内容包括：组织4次城乡建设绿色发展“大讲堂”系列活动政策标准宣贯培训专家接待费0.21万元；省级部门领导专家莅攀调研城乡建设绿色发展工作接待费用0.08万元。</w:t>
      </w:r>
    </w:p>
    <w:p>
      <w:pPr>
        <w:keepNext w:val="0"/>
        <w:keepLines w:val="0"/>
        <w:pageBreakBefore w:val="0"/>
        <w:widowControl w:val="0"/>
        <w:kinsoku/>
        <w:wordWrap/>
        <w:overflowPunct/>
        <w:topLinePunct w:val="0"/>
        <w:bidi w:val="0"/>
        <w:snapToGrid/>
        <w:spacing w:line="600" w:lineRule="exact"/>
        <w:ind w:firstLine="640"/>
        <w:textAlignment w:val="auto"/>
        <w:rPr>
          <w:rFonts w:ascii="仿宋_GB2312" w:hAnsi="仿宋" w:eastAsia="仿宋_GB2312"/>
          <w:color w:val="000000"/>
          <w:sz w:val="32"/>
          <w:szCs w:val="32"/>
        </w:rPr>
      </w:pPr>
      <w:r>
        <w:rPr>
          <w:rFonts w:hint="eastAsia" w:ascii="仿宋_GB2312" w:hAnsi="仿宋" w:eastAsia="仿宋_GB2312"/>
          <w:b/>
          <w:color w:val="000000"/>
          <w:sz w:val="32"/>
          <w:szCs w:val="32"/>
        </w:rPr>
        <w:t>外事接待支出</w:t>
      </w:r>
      <w:r>
        <w:rPr>
          <w:rFonts w:hint="eastAsia" w:ascii="仿宋_GB2312" w:hAnsi="仿宋" w:eastAsia="仿宋_GB2312"/>
          <w:color w:val="000000"/>
          <w:sz w:val="32"/>
          <w:szCs w:val="32"/>
        </w:rPr>
        <w:t>0万元。</w:t>
      </w:r>
    </w:p>
    <w:p>
      <w:pPr>
        <w:keepNext w:val="0"/>
        <w:keepLines w:val="0"/>
        <w:pageBreakBefore w:val="0"/>
        <w:widowControl w:val="0"/>
        <w:kinsoku/>
        <w:wordWrap/>
        <w:overflowPunct/>
        <w:topLinePunct w:val="0"/>
        <w:bidi w:val="0"/>
        <w:snapToGrid/>
        <w:spacing w:line="600" w:lineRule="exact"/>
        <w:textAlignment w:val="auto"/>
      </w:pPr>
    </w:p>
    <w:p>
      <w:pPr>
        <w:keepNext w:val="0"/>
        <w:keepLines w:val="0"/>
        <w:pageBreakBefore w:val="0"/>
        <w:widowControl w:val="0"/>
        <w:kinsoku/>
        <w:wordWrap/>
        <w:overflowPunct/>
        <w:topLinePunct w:val="0"/>
        <w:bidi w:val="0"/>
        <w:snapToGrid/>
        <w:spacing w:line="600" w:lineRule="exact"/>
        <w:ind w:firstLine="640"/>
        <w:textAlignment w:val="auto"/>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p>
    <w:p>
      <w:pPr>
        <w:keepNext w:val="0"/>
        <w:keepLines w:val="0"/>
        <w:pageBreakBefore w:val="0"/>
        <w:widowControl w:val="0"/>
        <w:kinsoku/>
        <w:wordWrap/>
        <w:overflowPunct/>
        <w:topLinePunct w:val="0"/>
        <w:bidi w:val="0"/>
        <w:snapToGrid/>
        <w:spacing w:line="600" w:lineRule="exact"/>
        <w:ind w:firstLine="64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2023年政府性基金预算拨款支出0万元。</w:t>
      </w:r>
    </w:p>
    <w:p>
      <w:pPr>
        <w:keepNext w:val="0"/>
        <w:keepLines w:val="0"/>
        <w:pageBreakBefore w:val="0"/>
        <w:widowControl w:val="0"/>
        <w:kinsoku/>
        <w:wordWrap/>
        <w:overflowPunct/>
        <w:topLinePunct w:val="0"/>
        <w:bidi w:val="0"/>
        <w:snapToGrid/>
        <w:spacing w:line="600" w:lineRule="exact"/>
        <w:ind w:firstLine="640"/>
        <w:textAlignment w:val="auto"/>
        <w:rPr>
          <w:rFonts w:ascii="仿宋_GB2312" w:hAnsi="仿宋" w:eastAsia="仿宋_GB2312" w:cs="仿宋"/>
          <w:color w:val="000000"/>
          <w:sz w:val="32"/>
          <w:szCs w:val="32"/>
        </w:rPr>
      </w:pPr>
    </w:p>
    <w:p>
      <w:pPr>
        <w:keepNext w:val="0"/>
        <w:keepLines w:val="0"/>
        <w:pageBreakBefore w:val="0"/>
        <w:widowControl w:val="0"/>
        <w:numPr>
          <w:ilvl w:val="0"/>
          <w:numId w:val="2"/>
        </w:numPr>
        <w:kinsoku/>
        <w:wordWrap/>
        <w:overflowPunct/>
        <w:topLinePunct w:val="0"/>
        <w:bidi w:val="0"/>
        <w:snapToGrid/>
        <w:spacing w:line="600" w:lineRule="exact"/>
        <w:ind w:firstLine="640"/>
        <w:textAlignment w:val="auto"/>
        <w:outlineLvl w:val="1"/>
        <w:rPr>
          <w:rStyle w:val="17"/>
          <w:rFonts w:ascii="黑体" w:hAnsi="黑体" w:eastAsia="黑体"/>
          <w:b w:val="0"/>
        </w:rPr>
      </w:pPr>
      <w:r>
        <w:rPr>
          <w:rStyle w:val="17"/>
          <w:rFonts w:hint="eastAsia" w:ascii="黑体" w:hAnsi="黑体" w:eastAsia="黑体"/>
          <w:b w:val="0"/>
        </w:rPr>
        <w:t>国有资本经营预算支出决算情况说明</w:t>
      </w:r>
    </w:p>
    <w:p>
      <w:pPr>
        <w:keepNext w:val="0"/>
        <w:keepLines w:val="0"/>
        <w:pageBreakBefore w:val="0"/>
        <w:widowControl w:val="0"/>
        <w:kinsoku/>
        <w:wordWrap/>
        <w:overflowPunct/>
        <w:topLinePunct w:val="0"/>
        <w:bidi w:val="0"/>
        <w:snapToGrid/>
        <w:spacing w:line="600" w:lineRule="exact"/>
        <w:ind w:firstLine="64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2023年国有资本经营预算拨款支出0万元。</w:t>
      </w:r>
    </w:p>
    <w:p>
      <w:pPr>
        <w:keepNext w:val="0"/>
        <w:keepLines w:val="0"/>
        <w:pageBreakBefore w:val="0"/>
        <w:widowControl w:val="0"/>
        <w:kinsoku/>
        <w:wordWrap/>
        <w:overflowPunct/>
        <w:topLinePunct w:val="0"/>
        <w:bidi w:val="0"/>
        <w:snapToGrid/>
        <w:spacing w:line="600" w:lineRule="exact"/>
        <w:ind w:firstLine="640"/>
        <w:textAlignment w:val="auto"/>
        <w:rPr>
          <w:rFonts w:ascii="仿宋_GB2312" w:hAnsi="仿宋" w:eastAsia="仿宋_GB2312" w:cs="仿宋"/>
          <w:color w:val="000000"/>
          <w:sz w:val="32"/>
          <w:szCs w:val="32"/>
        </w:rPr>
      </w:pP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Style w:val="17"/>
          <w:rFonts w:ascii="黑体" w:hAnsi="黑体" w:eastAsia="黑体"/>
        </w:rPr>
      </w:pPr>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p>
    <w:p>
      <w:pPr>
        <w:keepNext w:val="0"/>
        <w:keepLines w:val="0"/>
        <w:pageBreakBefore w:val="0"/>
        <w:widowControl w:val="0"/>
        <w:kinsoku/>
        <w:wordWrap/>
        <w:overflowPunct/>
        <w:topLinePunct w:val="0"/>
        <w:bidi w:val="0"/>
        <w:snapToGrid/>
        <w:spacing w:line="600" w:lineRule="exact"/>
        <w:ind w:firstLine="642" w:firstLineChars="200"/>
        <w:textAlignment w:val="auto"/>
        <w:outlineLvl w:val="2"/>
        <w:rPr>
          <w:rFonts w:ascii="仿宋_GB2312" w:hAnsi="仿宋" w:eastAsia="仿宋_GB2312"/>
          <w:color w:val="000000"/>
          <w:sz w:val="32"/>
          <w:szCs w:val="32"/>
        </w:rPr>
      </w:pPr>
      <w:r>
        <w:rPr>
          <w:rFonts w:hint="eastAsia" w:ascii="仿宋_GB2312" w:hAnsi="仿宋" w:eastAsia="仿宋_GB2312"/>
          <w:b/>
          <w:color w:val="000000"/>
          <w:sz w:val="32"/>
          <w:szCs w:val="32"/>
        </w:rPr>
        <w:t>（一）机关运行经费支出情况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2023年，市节能绿建中心机关运行经费支出22.94万元，比2022年增加5.68万元，增长32.91%。主要原因是2023年加强机关运行保障工作，机关运行经费得以及时足额支付，因此较上年增加。</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2" w:firstLineChars="200"/>
        <w:jc w:val="left"/>
        <w:textAlignment w:val="auto"/>
        <w:outlineLvl w:val="2"/>
        <w:rPr>
          <w:rFonts w:ascii="仿宋_GB2312" w:hAnsi="楷体" w:eastAsia="仿宋_GB2312"/>
          <w:b/>
          <w:color w:val="000000"/>
          <w:sz w:val="32"/>
          <w:szCs w:val="32"/>
        </w:rPr>
      </w:pPr>
      <w:r>
        <w:rPr>
          <w:rFonts w:hint="eastAsia" w:ascii="仿宋_GB2312" w:hAnsi="楷体" w:eastAsia="仿宋_GB2312"/>
          <w:b/>
          <w:color w:val="000000"/>
          <w:sz w:val="32"/>
          <w:szCs w:val="32"/>
        </w:rPr>
        <w:t>（二）政府采购支出情况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2023年，市节能绿建中心政府采购支出总额0万元，其中：政府采购货物支出0万元、政府采购工程支出0万元、政府采购服务支出0万元。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2" w:firstLineChars="200"/>
        <w:jc w:val="left"/>
        <w:textAlignment w:val="auto"/>
        <w:outlineLvl w:val="2"/>
        <w:rPr>
          <w:rFonts w:ascii="仿宋_GB2312" w:hAnsi="楷体" w:eastAsia="仿宋_GB2312"/>
          <w:b/>
          <w:color w:val="000000"/>
          <w:sz w:val="32"/>
          <w:szCs w:val="32"/>
        </w:rPr>
      </w:pPr>
      <w:r>
        <w:rPr>
          <w:rFonts w:hint="eastAsia" w:ascii="仿宋_GB2312" w:hAnsi="楷体" w:eastAsia="仿宋_GB2312"/>
          <w:b/>
          <w:color w:val="000000"/>
          <w:sz w:val="32"/>
          <w:szCs w:val="32"/>
        </w:rPr>
        <w:t>（三）国有资产占有使用情况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截至2023年12月31日，市节能绿建中心共有车辆0辆</w:t>
      </w:r>
      <w:r>
        <w:rPr>
          <w:rFonts w:hint="eastAsia" w:ascii="仿宋_GB2312" w:eastAsia="仿宋_GB2312"/>
          <w:sz w:val="32"/>
          <w:szCs w:val="32"/>
          <w:lang w:val="en-US" w:eastAsia="zh-CN"/>
        </w:rPr>
        <w:t>,</w:t>
      </w:r>
      <w:r>
        <w:rPr>
          <w:rFonts w:hint="eastAsia" w:ascii="仿宋_GB2312" w:eastAsia="仿宋_GB2312"/>
          <w:sz w:val="32"/>
          <w:szCs w:val="32"/>
        </w:rPr>
        <w:t>其中：主要领导干部用车0辆、机要通信用车0辆、应急保障用车0辆、其他用车0辆0。单价100万元以上专用设备0台（套）。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2" w:firstLineChars="200"/>
        <w:jc w:val="left"/>
        <w:textAlignment w:val="auto"/>
        <w:outlineLvl w:val="2"/>
        <w:rPr>
          <w:rFonts w:ascii="仿宋_GB2312" w:hAnsi="楷体" w:eastAsia="仿宋_GB2312"/>
          <w:b/>
          <w:color w:val="000000"/>
          <w:sz w:val="32"/>
          <w:szCs w:val="32"/>
        </w:rPr>
      </w:pPr>
      <w:r>
        <w:rPr>
          <w:rFonts w:hint="eastAsia" w:ascii="仿宋_GB2312" w:hAnsi="楷体" w:eastAsia="仿宋_GB2312"/>
          <w:b/>
          <w:color w:val="000000"/>
          <w:sz w:val="32"/>
          <w:szCs w:val="32"/>
        </w:rPr>
        <w:t>（四）预算绩效管理情况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44"/>
          <w:szCs w:val="44"/>
        </w:rPr>
      </w:pPr>
      <w:r>
        <w:rPr>
          <w:rFonts w:hint="eastAsia" w:ascii="仿宋_GB2312" w:hAnsi="仿宋" w:eastAsia="仿宋_GB2312" w:cs="仿宋_GB2312"/>
          <w:sz w:val="32"/>
          <w:szCs w:val="32"/>
        </w:rPr>
        <w:t>根据预算绩效管理要求，本单位在年初预算编制阶段，组织对向上争取资金工作经费1个项目开展了预算事前绩效评估，对该项目编制了绩效目标，预算执行过程中，对该项目开展绩效监控，组织对该项目开展了绩效自评。绩效自评表详见第四部分附件。</w:t>
      </w:r>
    </w:p>
    <w:p>
      <w:pPr>
        <w:spacing w:line="640" w:lineRule="exact"/>
        <w:jc w:val="center"/>
        <w:rPr>
          <w:rFonts w:ascii="黑体" w:hAnsi="黑体" w:eastAsia="黑体"/>
          <w:color w:val="000000"/>
          <w:sz w:val="44"/>
          <w:szCs w:val="44"/>
        </w:rPr>
      </w:pPr>
      <w:r>
        <w:rPr>
          <w:rFonts w:ascii="黑体" w:hAnsi="黑体" w:eastAsia="黑体"/>
          <w:color w:val="000000"/>
          <w:sz w:val="44"/>
          <w:szCs w:val="44"/>
        </w:rPr>
        <w:br w:type="page"/>
      </w:r>
    </w:p>
    <w:p>
      <w:pPr>
        <w:spacing w:line="640" w:lineRule="exact"/>
        <w:jc w:val="center"/>
        <w:rPr>
          <w:rStyle w:val="16"/>
          <w:rFonts w:ascii="黑体" w:hAnsi="黑体" w:eastAsia="黑体"/>
          <w:b w:val="0"/>
        </w:rPr>
      </w:pPr>
      <w:r>
        <w:rPr>
          <w:rFonts w:hint="eastAsia" w:ascii="黑体" w:hAnsi="黑体" w:eastAsia="黑体"/>
          <w:color w:val="000000"/>
          <w:sz w:val="44"/>
          <w:szCs w:val="44"/>
        </w:rPr>
        <w:t>第三部分 名</w:t>
      </w:r>
      <w:r>
        <w:rPr>
          <w:rStyle w:val="16"/>
          <w:rFonts w:hint="eastAsia" w:ascii="黑体" w:hAnsi="黑体" w:eastAsia="黑体"/>
          <w:b w:val="0"/>
        </w:rPr>
        <w:t>词解释</w:t>
      </w:r>
    </w:p>
    <w:p>
      <w:pPr>
        <w:spacing w:line="640" w:lineRule="exact"/>
        <w:jc w:val="left"/>
        <w:rPr>
          <w:rFonts w:ascii="宋体"/>
          <w:b/>
          <w:color w:val="000000"/>
          <w:sz w:val="44"/>
          <w:szCs w:val="44"/>
        </w:rPr>
      </w:pPr>
    </w:p>
    <w:p>
      <w:pPr>
        <w:pStyle w:val="21"/>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1.财政拨款收入：指单位从同级财政部门取得的财政预算资金。</w:t>
      </w:r>
    </w:p>
    <w:p>
      <w:pPr>
        <w:keepNext w:val="0"/>
        <w:keepLines w:val="0"/>
        <w:pageBreakBefore w:val="0"/>
        <w:widowControl w:val="0"/>
        <w:kinsoku/>
        <w:wordWrap/>
        <w:overflowPunct/>
        <w:topLinePunct w:val="0"/>
        <w:bidi w:val="0"/>
        <w:snapToGrid/>
        <w:spacing w:line="600" w:lineRule="exact"/>
        <w:ind w:firstLine="640" w:firstLineChars="200"/>
        <w:textAlignment w:val="auto"/>
        <w:rPr>
          <w:rStyle w:val="14"/>
          <w:rFonts w:ascii="仿宋_GB2312" w:hAnsi="仿宋" w:eastAsia="仿宋_GB2312"/>
          <w:b w:val="0"/>
          <w:bCs/>
          <w:color w:val="000000"/>
          <w:sz w:val="32"/>
          <w:szCs w:val="32"/>
        </w:rPr>
      </w:pPr>
      <w:r>
        <w:rPr>
          <w:rFonts w:hint="eastAsia" w:ascii="仿宋_GB2312" w:hAnsi="仿宋" w:eastAsia="仿宋_GB2312"/>
          <w:color w:val="000000"/>
          <w:sz w:val="32"/>
          <w:szCs w:val="32"/>
        </w:rPr>
        <w:t>2.社会保障和就业（类）</w:t>
      </w:r>
      <w:r>
        <w:rPr>
          <w:rStyle w:val="14"/>
          <w:rFonts w:hint="eastAsia" w:ascii="仿宋_GB2312" w:hAnsi="仿宋" w:eastAsia="仿宋_GB2312"/>
          <w:b w:val="0"/>
          <w:bCs/>
          <w:color w:val="000000"/>
          <w:sz w:val="32"/>
          <w:szCs w:val="32"/>
        </w:rPr>
        <w:t>行政事业单位养老（款）行政单位离退休（项）：指反映行政单位(包括实行公务员管理的事业单位）开支的离退休经费。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color w:val="000000"/>
          <w:sz w:val="32"/>
          <w:szCs w:val="32"/>
        </w:rPr>
        <w:t>3.社会保障和就业（类）</w:t>
      </w:r>
      <w:r>
        <w:rPr>
          <w:rStyle w:val="14"/>
          <w:rFonts w:hint="eastAsia" w:ascii="仿宋_GB2312" w:hAnsi="仿宋" w:eastAsia="仿宋_GB2312"/>
          <w:b w:val="0"/>
          <w:bCs/>
          <w:color w:val="000000"/>
          <w:sz w:val="32"/>
          <w:szCs w:val="32"/>
        </w:rPr>
        <w:t>行政事业单位养老（款）</w:t>
      </w:r>
      <w:r>
        <w:rPr>
          <w:rFonts w:hint="eastAsia" w:ascii="仿宋_GB2312" w:hAnsi="仿宋" w:eastAsia="仿宋_GB2312"/>
          <w:color w:val="000000"/>
          <w:sz w:val="32"/>
          <w:szCs w:val="32"/>
        </w:rPr>
        <w:t>机关事业单位基本养老保险缴费支出（项）：指反映机关事业单位实施养老保险制度由单位缴纳的基本养老保险费支出。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4"/>
          <w:rFonts w:ascii="仿宋_GB2312" w:hAnsi="仿宋" w:eastAsia="仿宋_GB2312"/>
          <w:b w:val="0"/>
          <w:color w:val="000000"/>
          <w:sz w:val="32"/>
          <w:szCs w:val="32"/>
        </w:rPr>
      </w:pPr>
      <w:r>
        <w:rPr>
          <w:rFonts w:hint="eastAsia" w:ascii="仿宋_GB2312" w:hAnsi="仿宋" w:eastAsia="仿宋_GB2312"/>
          <w:color w:val="000000"/>
          <w:sz w:val="32"/>
          <w:szCs w:val="32"/>
        </w:rPr>
        <w:t>4.</w:t>
      </w:r>
      <w:r>
        <w:rPr>
          <w:rStyle w:val="14"/>
          <w:rFonts w:hint="eastAsia" w:ascii="仿宋_GB2312" w:hAnsi="仿宋" w:eastAsia="仿宋_GB2312"/>
          <w:b w:val="0"/>
          <w:color w:val="000000"/>
          <w:sz w:val="32"/>
          <w:szCs w:val="32"/>
        </w:rPr>
        <w:t>卫生健康支出（类）行政事业单位医疗（款）行政单位医疗（项）</w:t>
      </w:r>
      <w:r>
        <w:rPr>
          <w:rStyle w:val="14"/>
          <w:rFonts w:hint="eastAsia" w:ascii="仿宋_GB2312" w:hAnsi="仿宋" w:eastAsia="仿宋_GB2312"/>
          <w:b w:val="0"/>
          <w:color w:val="000000"/>
          <w:sz w:val="32"/>
          <w:szCs w:val="32"/>
          <w:lang w:eastAsia="zh-CN"/>
        </w:rPr>
        <w:t>：</w:t>
      </w:r>
      <w:r>
        <w:rPr>
          <w:rStyle w:val="14"/>
          <w:rFonts w:hint="eastAsia" w:ascii="仿宋_GB2312" w:hAnsi="仿宋" w:eastAsia="仿宋_GB2312"/>
          <w:b w:val="0"/>
          <w:color w:val="000000"/>
          <w:sz w:val="32"/>
          <w:szCs w:val="32"/>
        </w:rPr>
        <w:t>指</w:t>
      </w:r>
      <w:r>
        <w:rPr>
          <w:rStyle w:val="14"/>
          <w:rFonts w:hint="eastAsia" w:ascii="仿宋_GB2312" w:hAnsi="仿宋" w:eastAsia="仿宋_GB2312"/>
          <w:b w:val="0"/>
          <w:bCs/>
          <w:color w:val="000000"/>
          <w:sz w:val="32"/>
          <w:szCs w:val="32"/>
        </w:rPr>
        <w:t>行政单位(包括实行公务员管理的事业单位）</w:t>
      </w:r>
      <w:r>
        <w:rPr>
          <w:rStyle w:val="14"/>
          <w:rFonts w:hint="eastAsia" w:ascii="仿宋_GB2312" w:hAnsi="仿宋" w:eastAsia="仿宋_GB2312"/>
          <w:b w:val="0"/>
          <w:color w:val="000000"/>
          <w:sz w:val="32"/>
          <w:szCs w:val="32"/>
        </w:rPr>
        <w:t>基本医疗保险缴费经费。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4"/>
          <w:rFonts w:ascii="仿宋_GB2312" w:hAnsi="仿宋" w:eastAsia="仿宋_GB2312"/>
          <w:b w:val="0"/>
          <w:color w:val="000000"/>
          <w:sz w:val="32"/>
          <w:szCs w:val="32"/>
        </w:rPr>
      </w:pPr>
      <w:r>
        <w:rPr>
          <w:rStyle w:val="14"/>
          <w:rFonts w:hint="eastAsia" w:ascii="仿宋_GB2312" w:hAnsi="仿宋" w:eastAsia="仿宋_GB2312"/>
          <w:b w:val="0"/>
          <w:color w:val="000000"/>
          <w:sz w:val="32"/>
          <w:szCs w:val="32"/>
        </w:rPr>
        <w:t>5.卫生健康支出（类）行政事业单位医疗（款）公务员医疗补助（项）</w:t>
      </w:r>
      <w:r>
        <w:rPr>
          <w:rStyle w:val="14"/>
          <w:rFonts w:hint="eastAsia" w:ascii="仿宋_GB2312" w:hAnsi="仿宋" w:eastAsia="仿宋_GB2312"/>
          <w:b w:val="0"/>
          <w:color w:val="000000"/>
          <w:sz w:val="32"/>
          <w:szCs w:val="32"/>
          <w:lang w:eastAsia="zh-CN"/>
        </w:rPr>
        <w:t>：</w:t>
      </w:r>
      <w:r>
        <w:rPr>
          <w:rStyle w:val="14"/>
          <w:rFonts w:hint="eastAsia" w:ascii="仿宋_GB2312" w:hAnsi="仿宋" w:eastAsia="仿宋_GB2312"/>
          <w:b w:val="0"/>
          <w:color w:val="000000"/>
          <w:sz w:val="32"/>
          <w:szCs w:val="32"/>
        </w:rPr>
        <w:t>指公务员医疗补助经费。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4"/>
          <w:rFonts w:ascii="仿宋_GB2312" w:hAnsi="仿宋" w:eastAsia="仿宋_GB2312"/>
          <w:b w:val="0"/>
          <w:color w:val="000000"/>
          <w:sz w:val="32"/>
          <w:szCs w:val="32"/>
        </w:rPr>
      </w:pPr>
      <w:r>
        <w:rPr>
          <w:rStyle w:val="14"/>
          <w:rFonts w:hint="eastAsia" w:ascii="仿宋_GB2312" w:hAnsi="仿宋" w:eastAsia="仿宋_GB2312"/>
          <w:b w:val="0"/>
          <w:color w:val="000000"/>
          <w:sz w:val="32"/>
          <w:szCs w:val="32"/>
        </w:rPr>
        <w:t>6.卫生健康支出（类）行政事业单位医疗（款）其他行政事业单位医疗支出（项）</w:t>
      </w:r>
      <w:r>
        <w:rPr>
          <w:rStyle w:val="14"/>
          <w:rFonts w:hint="eastAsia" w:ascii="仿宋_GB2312" w:hAnsi="仿宋" w:eastAsia="仿宋_GB2312"/>
          <w:b w:val="0"/>
          <w:color w:val="000000"/>
          <w:sz w:val="32"/>
          <w:szCs w:val="32"/>
          <w:lang w:eastAsia="zh-CN"/>
        </w:rPr>
        <w:t>：</w:t>
      </w:r>
      <w:r>
        <w:rPr>
          <w:rStyle w:val="14"/>
          <w:rFonts w:hint="eastAsia" w:ascii="仿宋_GB2312" w:hAnsi="仿宋" w:eastAsia="仿宋_GB2312"/>
          <w:b w:val="0"/>
          <w:color w:val="000000"/>
          <w:sz w:val="32"/>
          <w:szCs w:val="32"/>
        </w:rPr>
        <w:t>指其他用于行政事业单位医疗方面的支出。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color w:val="000000"/>
          <w:sz w:val="32"/>
          <w:szCs w:val="32"/>
        </w:rPr>
        <w:t>7.</w:t>
      </w:r>
      <w:r>
        <w:rPr>
          <w:rStyle w:val="14"/>
          <w:rFonts w:hint="eastAsia" w:ascii="仿宋_GB2312" w:hAnsi="仿宋" w:eastAsia="仿宋_GB2312"/>
          <w:b w:val="0"/>
          <w:bCs/>
          <w:color w:val="000000"/>
          <w:sz w:val="32"/>
          <w:szCs w:val="32"/>
        </w:rPr>
        <w:t>城乡社区支出（类）城乡社区管理事务（款）行政运行（项）：指行政单位(包括实行公务员管理的事业单位）的基本</w:t>
      </w:r>
      <w:r>
        <w:rPr>
          <w:rFonts w:hint="eastAsia" w:ascii="仿宋_GB2312" w:hAnsi="仿宋" w:eastAsia="仿宋_GB2312"/>
          <w:sz w:val="32"/>
          <w:szCs w:val="32"/>
        </w:rPr>
        <w:t>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color w:val="000000"/>
          <w:sz w:val="32"/>
          <w:szCs w:val="32"/>
        </w:rPr>
        <w:t>8.</w:t>
      </w:r>
      <w:r>
        <w:rPr>
          <w:rStyle w:val="14"/>
          <w:rFonts w:hint="eastAsia" w:ascii="仿宋_GB2312" w:hAnsi="仿宋" w:eastAsia="仿宋_GB2312"/>
          <w:b w:val="0"/>
          <w:bCs/>
          <w:color w:val="000000"/>
          <w:sz w:val="32"/>
          <w:szCs w:val="32"/>
        </w:rPr>
        <w:t>城乡社区支出（类）城乡社区管理事务（款）其他城乡社区管理事务（项）：</w:t>
      </w:r>
      <w:r>
        <w:rPr>
          <w:rFonts w:hint="eastAsia" w:ascii="仿宋_GB2312" w:hAnsi="仿宋" w:eastAsia="仿宋_GB2312"/>
          <w:sz w:val="32"/>
          <w:szCs w:val="32"/>
        </w:rPr>
        <w:t>指其他用于城乡社区管理事务方面的支出。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bCs/>
          <w:color w:val="000000"/>
          <w:sz w:val="32"/>
          <w:szCs w:val="32"/>
        </w:rPr>
      </w:pPr>
      <w:r>
        <w:rPr>
          <w:rStyle w:val="14"/>
          <w:rFonts w:hint="eastAsia" w:ascii="仿宋_GB2312" w:hAnsi="仿宋" w:eastAsia="仿宋_GB2312"/>
          <w:b w:val="0"/>
          <w:bCs/>
          <w:color w:val="000000"/>
          <w:sz w:val="32"/>
          <w:szCs w:val="32"/>
        </w:rPr>
        <w:t>9.</w:t>
      </w:r>
      <w:r>
        <w:rPr>
          <w:rFonts w:hint="eastAsia" w:ascii="仿宋_GB2312" w:hAnsi="仿宋" w:eastAsia="仿宋_GB2312"/>
        </w:rPr>
        <w:t xml:space="preserve"> </w:t>
      </w:r>
      <w:r>
        <w:rPr>
          <w:rStyle w:val="14"/>
          <w:rFonts w:hint="eastAsia" w:ascii="仿宋_GB2312" w:hAnsi="仿宋" w:eastAsia="仿宋_GB2312"/>
          <w:b w:val="0"/>
          <w:bCs/>
          <w:color w:val="000000"/>
          <w:sz w:val="32"/>
          <w:szCs w:val="32"/>
        </w:rPr>
        <w:t>住房保障支出（类）住房改革（款）住房公积金（项）： 指</w:t>
      </w:r>
      <w:r>
        <w:rPr>
          <w:rFonts w:hint="eastAsia" w:ascii="仿宋_GB2312" w:hAnsi="仿宋" w:eastAsia="仿宋_GB2312"/>
          <w:sz w:val="32"/>
          <w:szCs w:val="32"/>
        </w:rPr>
        <w:t>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10.基本支出：指为保障机构正常运转、完成日常工作任务而发生的人员支出和公用支出。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 xml:space="preserve">11.项目支出：指在基本支出之外为完成特定行政任务和事业发展目标所发生的支出。 </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12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eastAsia="仿宋_GB2312"/>
        </w:rPr>
      </w:pPr>
      <w:bookmarkStart w:id="38" w:name="_Toc15396614"/>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spacing w:line="600" w:lineRule="exact"/>
        <w:jc w:val="center"/>
        <w:outlineLvl w:val="0"/>
        <w:rPr>
          <w:rFonts w:ascii="仿宋_GB2312" w:hAnsi="黑体" w:eastAsia="仿宋_GB2312"/>
          <w:sz w:val="44"/>
          <w:szCs w:val="44"/>
        </w:rPr>
      </w:pPr>
    </w:p>
    <w:p>
      <w:pPr>
        <w:spacing w:line="600" w:lineRule="exact"/>
        <w:jc w:val="center"/>
        <w:outlineLvl w:val="0"/>
        <w:rPr>
          <w:rFonts w:ascii="仿宋_GB2312" w:hAnsi="黑体" w:eastAsia="仿宋_GB2312"/>
          <w:sz w:val="44"/>
          <w:szCs w:val="44"/>
        </w:rPr>
      </w:pPr>
    </w:p>
    <w:p>
      <w:pPr>
        <w:spacing w:line="600" w:lineRule="exact"/>
        <w:jc w:val="center"/>
        <w:outlineLvl w:val="0"/>
        <w:rPr>
          <w:rFonts w:ascii="仿宋_GB2312" w:hAnsi="黑体" w:eastAsia="仿宋_GB2312"/>
          <w:sz w:val="44"/>
          <w:szCs w:val="44"/>
        </w:rPr>
      </w:pPr>
    </w:p>
    <w:p>
      <w:pPr>
        <w:spacing w:line="600" w:lineRule="exact"/>
        <w:jc w:val="center"/>
        <w:outlineLvl w:val="0"/>
        <w:rPr>
          <w:rFonts w:ascii="仿宋_GB2312" w:hAnsi="黑体" w:eastAsia="仿宋_GB2312"/>
          <w:sz w:val="44"/>
          <w:szCs w:val="44"/>
        </w:rPr>
      </w:pPr>
    </w:p>
    <w:p>
      <w:pPr>
        <w:spacing w:line="600" w:lineRule="exact"/>
        <w:jc w:val="center"/>
        <w:outlineLvl w:val="0"/>
        <w:rPr>
          <w:rFonts w:ascii="仿宋_GB2312" w:hAnsi="黑体" w:eastAsia="仿宋_GB2312"/>
          <w:sz w:val="44"/>
          <w:szCs w:val="44"/>
        </w:rPr>
      </w:pPr>
    </w:p>
    <w:p>
      <w:pPr>
        <w:spacing w:line="600" w:lineRule="exact"/>
        <w:jc w:val="center"/>
        <w:outlineLvl w:val="0"/>
        <w:rPr>
          <w:rFonts w:ascii="仿宋_GB2312" w:hAnsi="黑体" w:eastAsia="仿宋_GB2312"/>
          <w:sz w:val="44"/>
          <w:szCs w:val="44"/>
        </w:rPr>
      </w:pPr>
    </w:p>
    <w:p>
      <w:pPr>
        <w:spacing w:line="600" w:lineRule="exact"/>
        <w:jc w:val="center"/>
        <w:outlineLvl w:val="0"/>
        <w:rPr>
          <w:rFonts w:ascii="仿宋_GB2312" w:hAnsi="黑体" w:eastAsia="仿宋_GB2312"/>
          <w:kern w:val="44"/>
          <w:sz w:val="44"/>
          <w:szCs w:val="44"/>
        </w:rPr>
      </w:pPr>
    </w:p>
    <w:p>
      <w:pPr>
        <w:spacing w:line="600" w:lineRule="exact"/>
        <w:jc w:val="center"/>
        <w:outlineLvl w:val="0"/>
        <w:rPr>
          <w:rFonts w:ascii="仿宋_GB2312" w:hAnsi="黑体" w:eastAsia="仿宋_GB2312"/>
          <w:kern w:val="44"/>
          <w:sz w:val="44"/>
          <w:szCs w:val="44"/>
        </w:rPr>
      </w:pPr>
    </w:p>
    <w:p>
      <w:pPr>
        <w:spacing w:line="600" w:lineRule="exact"/>
        <w:jc w:val="center"/>
        <w:outlineLvl w:val="0"/>
        <w:rPr>
          <w:rFonts w:ascii="仿宋_GB2312" w:hAnsi="黑体" w:eastAsia="仿宋_GB2312"/>
          <w:kern w:val="44"/>
          <w:sz w:val="44"/>
          <w:szCs w:val="44"/>
        </w:rPr>
      </w:pPr>
    </w:p>
    <w:p>
      <w:pPr>
        <w:spacing w:line="600" w:lineRule="exact"/>
        <w:jc w:val="center"/>
        <w:outlineLvl w:val="0"/>
        <w:rPr>
          <w:rFonts w:ascii="仿宋_GB2312" w:hAnsi="黑体" w:eastAsia="仿宋_GB2312"/>
          <w:kern w:val="44"/>
          <w:sz w:val="44"/>
          <w:szCs w:val="44"/>
        </w:rPr>
      </w:pPr>
    </w:p>
    <w:p>
      <w:pPr>
        <w:spacing w:line="600" w:lineRule="exact"/>
        <w:jc w:val="center"/>
        <w:outlineLvl w:val="0"/>
        <w:rPr>
          <w:rFonts w:ascii="黑体" w:hAnsi="黑体" w:eastAsia="黑体"/>
          <w:kern w:val="44"/>
          <w:sz w:val="44"/>
          <w:szCs w:val="44"/>
        </w:rPr>
      </w:pPr>
      <w:r>
        <w:rPr>
          <w:rFonts w:hint="eastAsia" w:ascii="黑体" w:hAnsi="黑体" w:eastAsia="黑体"/>
          <w:kern w:val="44"/>
          <w:sz w:val="44"/>
          <w:szCs w:val="44"/>
        </w:rPr>
        <w:t>第四部分 附件</w:t>
      </w:r>
      <w:bookmarkEnd w:id="38"/>
    </w:p>
    <w:p>
      <w:pPr>
        <w:spacing w:line="600" w:lineRule="exact"/>
        <w:jc w:val="center"/>
        <w:outlineLvl w:val="0"/>
        <w:rPr>
          <w:rFonts w:ascii="黑体" w:hAnsi="黑体" w:eastAsia="黑体"/>
          <w:b/>
          <w:bCs/>
          <w:kern w:val="44"/>
          <w:sz w:val="44"/>
          <w:szCs w:val="44"/>
        </w:rPr>
      </w:pPr>
    </w:p>
    <w:p>
      <w:pPr>
        <w:spacing w:line="600" w:lineRule="exact"/>
        <w:jc w:val="both"/>
        <w:outlineLvl w:val="0"/>
        <w:rPr>
          <w:rFonts w:ascii="仿宋_GB2312" w:hAnsi="仿宋" w:eastAsia="仿宋_GB2312" w:cs="仿宋"/>
          <w:kern w:val="44"/>
          <w:sz w:val="32"/>
          <w:szCs w:val="32"/>
        </w:rPr>
      </w:pPr>
      <w:r>
        <w:rPr>
          <w:rFonts w:hint="eastAsia" w:ascii="仿宋_GB2312" w:hAnsi="黑体" w:eastAsia="仿宋_GB2312"/>
          <w:b/>
          <w:bCs/>
          <w:kern w:val="44"/>
          <w:sz w:val="44"/>
          <w:szCs w:val="44"/>
        </w:rPr>
        <w:t xml:space="preserve"> </w:t>
      </w:r>
      <w:r>
        <w:rPr>
          <w:rFonts w:hint="eastAsia" w:ascii="仿宋_GB2312" w:hAnsi="黑体" w:eastAsia="仿宋_GB2312"/>
          <w:kern w:val="44"/>
          <w:sz w:val="32"/>
          <w:szCs w:val="32"/>
        </w:rPr>
        <w:t xml:space="preserve"> </w:t>
      </w:r>
      <w:r>
        <w:rPr>
          <w:rFonts w:hint="eastAsia" w:ascii="仿宋_GB2312" w:hAnsi="仿宋" w:eastAsia="仿宋_GB2312" w:cs="仿宋"/>
          <w:kern w:val="44"/>
          <w:sz w:val="32"/>
          <w:szCs w:val="32"/>
        </w:rPr>
        <w:t>部门预算项目支出绩效自评表（2023年度）见附件2</w:t>
      </w:r>
    </w:p>
    <w:p>
      <w:pPr>
        <w:spacing w:line="600" w:lineRule="exact"/>
        <w:jc w:val="center"/>
        <w:outlineLvl w:val="0"/>
        <w:rPr>
          <w:rFonts w:ascii="仿宋_GB2312" w:hAnsi="仿宋" w:eastAsia="仿宋_GB2312" w:cs="仿宋"/>
          <w:b/>
          <w:bCs/>
          <w:kern w:val="44"/>
          <w:sz w:val="32"/>
          <w:szCs w:val="32"/>
        </w:rPr>
      </w:pPr>
    </w:p>
    <w:p>
      <w:pPr>
        <w:spacing w:line="600" w:lineRule="exact"/>
        <w:jc w:val="center"/>
        <w:outlineLvl w:val="0"/>
        <w:rPr>
          <w:rFonts w:ascii="仿宋_GB2312" w:hAnsi="黑体" w:eastAsia="仿宋_GB2312"/>
          <w:b/>
          <w:bCs/>
          <w:kern w:val="44"/>
          <w:sz w:val="44"/>
          <w:szCs w:val="44"/>
        </w:rPr>
      </w:pPr>
    </w:p>
    <w:p>
      <w:pPr>
        <w:spacing w:line="600" w:lineRule="exact"/>
        <w:jc w:val="center"/>
        <w:outlineLvl w:val="0"/>
        <w:rPr>
          <w:rFonts w:ascii="仿宋_GB2312" w:hAnsi="黑体" w:eastAsia="仿宋_GB2312"/>
          <w:b/>
          <w:bCs/>
          <w:kern w:val="44"/>
          <w:sz w:val="44"/>
          <w:szCs w:val="44"/>
        </w:rPr>
      </w:pPr>
    </w:p>
    <w:p>
      <w:pPr>
        <w:spacing w:line="440" w:lineRule="exact"/>
        <w:jc w:val="center"/>
        <w:outlineLvl w:val="0"/>
        <w:rPr>
          <w:rFonts w:ascii="宋体" w:hAnsi="宋体" w:cs="宋体"/>
          <w:b/>
          <w:sz w:val="32"/>
          <w:szCs w:val="32"/>
        </w:rPr>
      </w:pPr>
    </w:p>
    <w:p>
      <w:pPr>
        <w:spacing w:line="600" w:lineRule="exact"/>
        <w:jc w:val="center"/>
        <w:outlineLvl w:val="0"/>
        <w:rPr>
          <w:rFonts w:ascii="黑体" w:hAnsi="黑体" w:eastAsia="黑体"/>
          <w:sz w:val="44"/>
          <w:szCs w:val="44"/>
        </w:rPr>
      </w:pPr>
      <w:bookmarkStart w:id="39" w:name="_Toc15396618"/>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bookmarkEnd w:id="39"/>
    <w:p>
      <w:pPr>
        <w:spacing w:line="600" w:lineRule="exact"/>
        <w:jc w:val="center"/>
        <w:outlineLvl w:val="0"/>
        <w:rPr>
          <w:rFonts w:ascii="仿宋" w:hAnsi="仿宋" w:eastAsia="仿宋"/>
        </w:rPr>
      </w:pPr>
      <w:r>
        <w:rPr>
          <w:rFonts w:hint="eastAsia" w:ascii="黑体" w:hAnsi="黑体" w:eastAsia="黑体"/>
          <w:sz w:val="44"/>
          <w:szCs w:val="44"/>
        </w:rPr>
        <w:t>第</w:t>
      </w:r>
      <w:r>
        <w:rPr>
          <w:rFonts w:hint="eastAsia" w:ascii="黑体" w:hAnsi="黑体" w:eastAsia="黑体"/>
          <w:kern w:val="44"/>
          <w:sz w:val="44"/>
          <w:szCs w:val="44"/>
        </w:rPr>
        <w:t>五部分 附表</w:t>
      </w:r>
      <w:bookmarkStart w:id="40" w:name="_Toc15396619"/>
    </w:p>
    <w:p>
      <w:pPr>
        <w:keepNext/>
        <w:keepLines/>
        <w:spacing w:before="260" w:after="260" w:line="560" w:lineRule="exact"/>
        <w:outlineLvl w:val="1"/>
        <w:rPr>
          <w:rFonts w:ascii="仿宋_GB2312" w:hAnsi="仿宋" w:eastAsia="仿宋_GB2312"/>
          <w:bCs/>
          <w:sz w:val="32"/>
          <w:szCs w:val="32"/>
        </w:rPr>
      </w:pPr>
      <w:r>
        <w:rPr>
          <w:rFonts w:hint="eastAsia" w:ascii="仿宋_GB2312" w:hAnsi="仿宋" w:eastAsia="仿宋_GB2312"/>
          <w:bCs/>
          <w:sz w:val="32"/>
          <w:szCs w:val="32"/>
        </w:rPr>
        <w:t>一、收</w:t>
      </w:r>
      <w:r>
        <w:rPr>
          <w:rFonts w:hint="eastAsia" w:ascii="仿宋_GB2312" w:hAnsi="仿宋" w:eastAsia="仿宋_GB2312"/>
          <w:sz w:val="32"/>
          <w:szCs w:val="32"/>
        </w:rPr>
        <w:t>入支出决算总表</w:t>
      </w:r>
      <w:bookmarkEnd w:id="40"/>
    </w:p>
    <w:p>
      <w:pPr>
        <w:keepNext/>
        <w:keepLines/>
        <w:spacing w:before="260" w:after="260" w:line="560" w:lineRule="exact"/>
        <w:outlineLvl w:val="1"/>
        <w:rPr>
          <w:rFonts w:ascii="仿宋_GB2312" w:hAnsi="仿宋" w:eastAsia="仿宋_GB2312"/>
          <w:bCs/>
          <w:sz w:val="32"/>
          <w:szCs w:val="32"/>
        </w:rPr>
      </w:pPr>
      <w:bookmarkStart w:id="41" w:name="_Toc15396620"/>
      <w:r>
        <w:rPr>
          <w:rFonts w:hint="eastAsia" w:ascii="仿宋_GB2312" w:hAnsi="仿宋" w:eastAsia="仿宋_GB2312"/>
          <w:bCs/>
          <w:sz w:val="32"/>
          <w:szCs w:val="32"/>
        </w:rPr>
        <w:t>二、收</w:t>
      </w:r>
      <w:r>
        <w:rPr>
          <w:rFonts w:hint="eastAsia" w:ascii="仿宋_GB2312" w:hAnsi="仿宋" w:eastAsia="仿宋_GB2312"/>
          <w:sz w:val="32"/>
          <w:szCs w:val="32"/>
        </w:rPr>
        <w:t>入决算表</w:t>
      </w:r>
      <w:bookmarkEnd w:id="41"/>
    </w:p>
    <w:p>
      <w:pPr>
        <w:keepNext/>
        <w:keepLines/>
        <w:spacing w:before="260" w:after="260" w:line="560" w:lineRule="exact"/>
        <w:outlineLvl w:val="1"/>
        <w:rPr>
          <w:rFonts w:ascii="仿宋_GB2312" w:hAnsi="仿宋" w:eastAsia="仿宋_GB2312"/>
          <w:bCs/>
          <w:sz w:val="32"/>
          <w:szCs w:val="32"/>
        </w:rPr>
      </w:pPr>
      <w:bookmarkStart w:id="42" w:name="_Toc15396621"/>
      <w:r>
        <w:rPr>
          <w:rFonts w:hint="eastAsia" w:ascii="仿宋_GB2312" w:hAnsi="仿宋" w:eastAsia="仿宋_GB2312"/>
          <w:sz w:val="32"/>
          <w:szCs w:val="32"/>
        </w:rPr>
        <w:t>三、</w:t>
      </w:r>
      <w:r>
        <w:rPr>
          <w:rFonts w:hint="eastAsia" w:ascii="仿宋_GB2312" w:hAnsi="仿宋" w:eastAsia="仿宋_GB2312"/>
          <w:bCs/>
          <w:sz w:val="32"/>
          <w:szCs w:val="32"/>
        </w:rPr>
        <w:t>支</w:t>
      </w:r>
      <w:r>
        <w:rPr>
          <w:rFonts w:hint="eastAsia" w:ascii="仿宋_GB2312" w:hAnsi="仿宋" w:eastAsia="仿宋_GB2312"/>
          <w:sz w:val="32"/>
          <w:szCs w:val="32"/>
        </w:rPr>
        <w:t>出决算表</w:t>
      </w:r>
      <w:bookmarkEnd w:id="42"/>
    </w:p>
    <w:p>
      <w:pPr>
        <w:keepNext/>
        <w:keepLines/>
        <w:spacing w:before="260" w:after="260" w:line="560" w:lineRule="exact"/>
        <w:outlineLvl w:val="1"/>
        <w:rPr>
          <w:rFonts w:ascii="仿宋_GB2312" w:hAnsi="仿宋" w:eastAsia="仿宋_GB2312"/>
          <w:bCs/>
          <w:sz w:val="32"/>
          <w:szCs w:val="32"/>
        </w:rPr>
      </w:pPr>
      <w:bookmarkStart w:id="43" w:name="_Toc15396622"/>
      <w:r>
        <w:rPr>
          <w:rFonts w:hint="eastAsia" w:ascii="仿宋_GB2312" w:hAnsi="仿宋" w:eastAsia="仿宋_GB2312"/>
          <w:sz w:val="32"/>
          <w:szCs w:val="32"/>
        </w:rPr>
        <w:t>四、</w:t>
      </w:r>
      <w:r>
        <w:rPr>
          <w:rFonts w:hint="eastAsia" w:ascii="仿宋_GB2312" w:hAnsi="仿宋" w:eastAsia="仿宋_GB2312"/>
          <w:bCs/>
          <w:sz w:val="32"/>
          <w:szCs w:val="32"/>
        </w:rPr>
        <w:t>财</w:t>
      </w:r>
      <w:r>
        <w:rPr>
          <w:rFonts w:hint="eastAsia" w:ascii="仿宋_GB2312" w:hAnsi="仿宋" w:eastAsia="仿宋_GB2312"/>
          <w:sz w:val="32"/>
          <w:szCs w:val="32"/>
        </w:rPr>
        <w:t>政拨款收入支出决算总表</w:t>
      </w:r>
      <w:bookmarkEnd w:id="43"/>
    </w:p>
    <w:p>
      <w:pPr>
        <w:keepNext/>
        <w:keepLines/>
        <w:spacing w:before="260" w:after="260" w:line="560" w:lineRule="exact"/>
        <w:outlineLvl w:val="1"/>
        <w:rPr>
          <w:rFonts w:ascii="仿宋_GB2312" w:hAnsi="仿宋" w:eastAsia="仿宋_GB2312"/>
          <w:sz w:val="32"/>
          <w:szCs w:val="32"/>
        </w:rPr>
      </w:pPr>
      <w:bookmarkStart w:id="44" w:name="_Toc15396623"/>
      <w:r>
        <w:rPr>
          <w:rFonts w:hint="eastAsia" w:ascii="仿宋_GB2312" w:hAnsi="仿宋" w:eastAsia="仿宋_GB2312"/>
          <w:sz w:val="32"/>
          <w:szCs w:val="32"/>
        </w:rPr>
        <w:t>五、</w:t>
      </w:r>
      <w:r>
        <w:rPr>
          <w:rFonts w:hint="eastAsia" w:ascii="仿宋_GB2312" w:hAnsi="仿宋" w:eastAsia="仿宋_GB2312"/>
          <w:bCs/>
          <w:sz w:val="32"/>
          <w:szCs w:val="32"/>
        </w:rPr>
        <w:t>财</w:t>
      </w:r>
      <w:r>
        <w:rPr>
          <w:rFonts w:hint="eastAsia" w:ascii="仿宋_GB2312" w:hAnsi="仿宋" w:eastAsia="仿宋_GB2312"/>
          <w:sz w:val="32"/>
          <w:szCs w:val="32"/>
        </w:rPr>
        <w:t>政拨款支出决算明细表</w:t>
      </w:r>
      <w:bookmarkEnd w:id="44"/>
      <w:bookmarkStart w:id="45" w:name="_Toc15396624"/>
    </w:p>
    <w:p>
      <w:pPr>
        <w:keepNext/>
        <w:keepLines/>
        <w:spacing w:before="260" w:after="260" w:line="560" w:lineRule="exact"/>
        <w:outlineLvl w:val="1"/>
        <w:rPr>
          <w:rFonts w:ascii="仿宋_GB2312" w:hAnsi="仿宋" w:eastAsia="仿宋_GB2312"/>
          <w:bCs/>
          <w:sz w:val="32"/>
          <w:szCs w:val="32"/>
        </w:rPr>
      </w:pPr>
      <w:r>
        <w:rPr>
          <w:rFonts w:hint="eastAsia" w:ascii="仿宋_GB2312" w:hAnsi="仿宋" w:eastAsia="仿宋_GB2312"/>
          <w:sz w:val="32"/>
          <w:szCs w:val="32"/>
        </w:rPr>
        <w:t>六、</w:t>
      </w:r>
      <w:r>
        <w:rPr>
          <w:rFonts w:hint="eastAsia" w:ascii="仿宋_GB2312" w:hAnsi="仿宋" w:eastAsia="仿宋_GB2312"/>
          <w:bCs/>
          <w:sz w:val="32"/>
          <w:szCs w:val="32"/>
        </w:rPr>
        <w:t>一</w:t>
      </w:r>
      <w:r>
        <w:rPr>
          <w:rFonts w:hint="eastAsia" w:ascii="仿宋_GB2312" w:hAnsi="仿宋" w:eastAsia="仿宋_GB2312"/>
          <w:sz w:val="32"/>
          <w:szCs w:val="32"/>
        </w:rPr>
        <w:t>般公共预算财政拨款支出决算表</w:t>
      </w:r>
      <w:bookmarkEnd w:id="45"/>
    </w:p>
    <w:p>
      <w:pPr>
        <w:keepNext/>
        <w:keepLines/>
        <w:spacing w:before="260" w:after="260" w:line="560" w:lineRule="exact"/>
        <w:outlineLvl w:val="1"/>
        <w:rPr>
          <w:rFonts w:ascii="仿宋_GB2312" w:hAnsi="仿宋" w:eastAsia="仿宋_GB2312"/>
          <w:bCs/>
          <w:sz w:val="32"/>
          <w:szCs w:val="32"/>
        </w:rPr>
      </w:pPr>
      <w:bookmarkStart w:id="46" w:name="_Toc15396625"/>
      <w:r>
        <w:rPr>
          <w:rFonts w:hint="eastAsia" w:ascii="仿宋_GB2312" w:hAnsi="仿宋" w:eastAsia="仿宋_GB2312"/>
          <w:sz w:val="32"/>
          <w:szCs w:val="32"/>
        </w:rPr>
        <w:t>七、</w:t>
      </w:r>
      <w:r>
        <w:rPr>
          <w:rFonts w:hint="eastAsia" w:ascii="仿宋_GB2312" w:hAnsi="仿宋" w:eastAsia="仿宋_GB2312"/>
          <w:bCs/>
          <w:sz w:val="32"/>
          <w:szCs w:val="32"/>
        </w:rPr>
        <w:t>一</w:t>
      </w:r>
      <w:r>
        <w:rPr>
          <w:rFonts w:hint="eastAsia" w:ascii="仿宋_GB2312" w:hAnsi="仿宋" w:eastAsia="仿宋_GB2312"/>
          <w:sz w:val="32"/>
          <w:szCs w:val="32"/>
        </w:rPr>
        <w:t>般公共预算财政拨款支出决算明细表</w:t>
      </w:r>
      <w:bookmarkEnd w:id="46"/>
    </w:p>
    <w:p>
      <w:pPr>
        <w:keepNext/>
        <w:keepLines/>
        <w:spacing w:before="260" w:after="260" w:line="560" w:lineRule="exact"/>
        <w:outlineLvl w:val="1"/>
        <w:rPr>
          <w:rFonts w:ascii="仿宋_GB2312" w:hAnsi="仿宋" w:eastAsia="仿宋_GB2312"/>
          <w:bCs/>
          <w:sz w:val="32"/>
          <w:szCs w:val="32"/>
        </w:rPr>
      </w:pPr>
      <w:bookmarkStart w:id="47" w:name="_Toc15396626"/>
      <w:r>
        <w:rPr>
          <w:rFonts w:hint="eastAsia" w:ascii="仿宋_GB2312" w:hAnsi="仿宋" w:eastAsia="仿宋_GB2312"/>
          <w:sz w:val="32"/>
          <w:szCs w:val="32"/>
        </w:rPr>
        <w:t>八、</w:t>
      </w:r>
      <w:r>
        <w:rPr>
          <w:rFonts w:hint="eastAsia" w:ascii="仿宋_GB2312" w:hAnsi="仿宋" w:eastAsia="仿宋_GB2312"/>
          <w:bCs/>
          <w:sz w:val="32"/>
          <w:szCs w:val="32"/>
        </w:rPr>
        <w:t>一</w:t>
      </w:r>
      <w:r>
        <w:rPr>
          <w:rFonts w:hint="eastAsia" w:ascii="仿宋_GB2312" w:hAnsi="仿宋" w:eastAsia="仿宋_GB2312"/>
          <w:sz w:val="32"/>
          <w:szCs w:val="32"/>
        </w:rPr>
        <w:t>般公共预算财政拨款基本支出决</w:t>
      </w:r>
      <w:r>
        <w:rPr>
          <w:rFonts w:hint="eastAsia" w:ascii="仿宋_GB2312" w:hAnsi="仿宋" w:eastAsia="仿宋_GB2312"/>
          <w:color w:val="000000" w:themeColor="text1"/>
          <w:sz w:val="32"/>
          <w:szCs w:val="32"/>
        </w:rPr>
        <w:t>算明细表</w:t>
      </w:r>
      <w:bookmarkEnd w:id="47"/>
    </w:p>
    <w:p>
      <w:pPr>
        <w:keepNext/>
        <w:keepLines/>
        <w:spacing w:before="260" w:after="260" w:line="560" w:lineRule="exact"/>
        <w:outlineLvl w:val="1"/>
        <w:rPr>
          <w:rFonts w:ascii="仿宋_GB2312" w:hAnsi="仿宋" w:eastAsia="仿宋_GB2312"/>
          <w:bCs/>
          <w:sz w:val="36"/>
          <w:szCs w:val="32"/>
        </w:rPr>
      </w:pPr>
      <w:bookmarkStart w:id="48" w:name="_Toc15396627"/>
      <w:r>
        <w:rPr>
          <w:rFonts w:hint="eastAsia" w:ascii="仿宋_GB2312" w:hAnsi="仿宋" w:eastAsia="仿宋_GB2312"/>
          <w:sz w:val="32"/>
          <w:szCs w:val="32"/>
        </w:rPr>
        <w:t>九、</w:t>
      </w:r>
      <w:r>
        <w:rPr>
          <w:rFonts w:hint="eastAsia" w:ascii="仿宋_GB2312" w:hAnsi="仿宋" w:eastAsia="仿宋_GB2312"/>
          <w:bCs/>
          <w:sz w:val="32"/>
          <w:szCs w:val="32"/>
        </w:rPr>
        <w:t>一</w:t>
      </w:r>
      <w:r>
        <w:rPr>
          <w:rFonts w:hint="eastAsia" w:ascii="仿宋_GB2312" w:hAnsi="仿宋" w:eastAsia="仿宋_GB2312"/>
          <w:sz w:val="32"/>
          <w:szCs w:val="32"/>
        </w:rPr>
        <w:t>般公共预算财政拨款项目支出决算表</w:t>
      </w:r>
      <w:bookmarkEnd w:id="48"/>
    </w:p>
    <w:p>
      <w:pPr>
        <w:keepNext/>
        <w:keepLines/>
        <w:spacing w:before="260" w:after="260" w:line="560" w:lineRule="exact"/>
        <w:outlineLvl w:val="1"/>
        <w:rPr>
          <w:rFonts w:ascii="仿宋_GB2312" w:hAnsi="仿宋" w:eastAsia="仿宋_GB2312"/>
          <w:bCs/>
          <w:sz w:val="32"/>
          <w:szCs w:val="32"/>
        </w:rPr>
      </w:pPr>
      <w:bookmarkStart w:id="49" w:name="_Toc15396628"/>
      <w:r>
        <w:rPr>
          <w:rFonts w:hint="eastAsia" w:ascii="仿宋_GB2312" w:hAnsi="仿宋" w:eastAsia="仿宋_GB2312"/>
          <w:sz w:val="32"/>
          <w:szCs w:val="32"/>
        </w:rPr>
        <w:t>十、</w:t>
      </w:r>
      <w:bookmarkEnd w:id="49"/>
      <w:r>
        <w:rPr>
          <w:rFonts w:hint="eastAsia" w:ascii="仿宋_GB2312" w:hAnsi="仿宋" w:eastAsia="仿宋_GB2312"/>
          <w:bCs/>
          <w:sz w:val="32"/>
          <w:szCs w:val="32"/>
        </w:rPr>
        <w:t>政</w:t>
      </w:r>
      <w:r>
        <w:rPr>
          <w:rFonts w:hint="eastAsia" w:ascii="仿宋_GB2312" w:hAnsi="仿宋" w:eastAsia="仿宋_GB2312"/>
          <w:sz w:val="32"/>
          <w:szCs w:val="32"/>
        </w:rPr>
        <w:t>府性基金预算财政拨款收入支出决算表(此表无数据）</w:t>
      </w:r>
    </w:p>
    <w:p>
      <w:pPr>
        <w:keepNext/>
        <w:keepLines/>
        <w:spacing w:before="260" w:after="260" w:line="560" w:lineRule="exact"/>
        <w:outlineLvl w:val="1"/>
        <w:rPr>
          <w:rFonts w:ascii="仿宋_GB2312" w:hAnsi="仿宋" w:eastAsia="仿宋_GB2312"/>
          <w:bCs/>
          <w:sz w:val="32"/>
          <w:szCs w:val="32"/>
        </w:rPr>
      </w:pPr>
      <w:bookmarkStart w:id="50" w:name="_Toc15396629"/>
      <w:r>
        <w:rPr>
          <w:rFonts w:hint="eastAsia" w:ascii="仿宋_GB2312" w:hAnsi="仿宋" w:eastAsia="仿宋_GB2312"/>
          <w:sz w:val="32"/>
          <w:szCs w:val="32"/>
        </w:rPr>
        <w:t>十一、</w:t>
      </w:r>
      <w:bookmarkEnd w:id="50"/>
      <w:bookmarkStart w:id="51" w:name="_Toc15396631"/>
      <w:r>
        <w:rPr>
          <w:rFonts w:hint="eastAsia" w:ascii="仿宋_GB2312" w:hAnsi="仿宋" w:eastAsia="仿宋_GB2312"/>
          <w:bCs/>
          <w:sz w:val="32"/>
          <w:szCs w:val="32"/>
        </w:rPr>
        <w:t>国</w:t>
      </w:r>
      <w:r>
        <w:rPr>
          <w:rFonts w:hint="eastAsia" w:ascii="仿宋_GB2312" w:hAnsi="仿宋" w:eastAsia="仿宋_GB2312"/>
          <w:sz w:val="32"/>
          <w:szCs w:val="32"/>
        </w:rPr>
        <w:t>有资本经营预算财政拨款收入支出决算表</w:t>
      </w:r>
      <w:bookmarkEnd w:id="51"/>
      <w:r>
        <w:rPr>
          <w:rFonts w:hint="eastAsia" w:ascii="仿宋_GB2312" w:hAnsi="仿宋" w:eastAsia="仿宋_GB2312"/>
          <w:sz w:val="32"/>
          <w:szCs w:val="32"/>
        </w:rPr>
        <w:t>(此表无数据）</w:t>
      </w:r>
    </w:p>
    <w:p>
      <w:pPr>
        <w:keepNext/>
        <w:keepLines/>
        <w:spacing w:before="260" w:after="260" w:line="560" w:lineRule="exact"/>
        <w:outlineLvl w:val="1"/>
        <w:rPr>
          <w:rFonts w:ascii="仿宋_GB2312" w:hAnsi="仿宋" w:eastAsia="仿宋_GB2312"/>
          <w:bCs/>
          <w:sz w:val="32"/>
          <w:szCs w:val="32"/>
        </w:rPr>
      </w:pPr>
      <w:r>
        <w:rPr>
          <w:rFonts w:hint="eastAsia" w:ascii="仿宋_GB2312" w:hAnsi="仿宋" w:eastAsia="仿宋_GB2312"/>
          <w:bCs/>
          <w:sz w:val="32"/>
          <w:szCs w:val="32"/>
        </w:rPr>
        <w:t>十</w:t>
      </w:r>
      <w:bookmarkStart w:id="52" w:name="_Toc15396630"/>
      <w:r>
        <w:rPr>
          <w:rFonts w:hint="eastAsia" w:ascii="仿宋_GB2312" w:hAnsi="仿宋" w:eastAsia="仿宋_GB2312"/>
          <w:bCs/>
          <w:sz w:val="32"/>
          <w:szCs w:val="32"/>
        </w:rPr>
        <w:t>二、国有资本经营预算财政拨款支出决算表</w:t>
      </w:r>
      <w:r>
        <w:rPr>
          <w:rFonts w:hint="eastAsia" w:ascii="仿宋_GB2312" w:hAnsi="仿宋" w:eastAsia="仿宋_GB2312"/>
          <w:sz w:val="32"/>
          <w:szCs w:val="32"/>
        </w:rPr>
        <w:t>(此表无数据）</w:t>
      </w:r>
    </w:p>
    <w:p>
      <w:pPr>
        <w:keepNext/>
        <w:keepLines/>
        <w:spacing w:before="260" w:after="260" w:line="560" w:lineRule="exact"/>
        <w:outlineLvl w:val="1"/>
        <w:rPr>
          <w:rFonts w:ascii="仿宋_GB2312" w:hAnsi="仿宋" w:eastAsia="仿宋_GB2312"/>
          <w:bCs/>
          <w:sz w:val="32"/>
          <w:szCs w:val="32"/>
        </w:rPr>
      </w:pPr>
      <w:r>
        <w:rPr>
          <w:rFonts w:hint="eastAsia" w:ascii="仿宋_GB2312" w:hAnsi="仿宋" w:eastAsia="仿宋_GB2312"/>
          <w:sz w:val="32"/>
          <w:szCs w:val="32"/>
        </w:rPr>
        <w:t>十三、</w:t>
      </w:r>
      <w:bookmarkEnd w:id="52"/>
      <w:r>
        <w:rPr>
          <w:rFonts w:hint="eastAsia" w:ascii="仿宋_GB2312" w:hAnsi="仿宋" w:eastAsia="仿宋_GB2312"/>
          <w:sz w:val="32"/>
          <w:szCs w:val="32"/>
        </w:rPr>
        <w:t>财政拨款“三公”经费支出决算表</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方正宋体S-超大字符集(SIP)"/>
    <w:panose1 w:val="00000000000000000000"/>
    <w:charset w:val="00"/>
    <w:family w:val="auto"/>
    <w:pitch w:val="default"/>
    <w:sig w:usb0="00000000" w:usb1="00000000" w:usb2="00000000" w:usb3="00000000" w:csb0="20000001"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Lucida Sans">
    <w:altName w:val="Noto Naskh Arabic"/>
    <w:panose1 w:val="020B0602030504020204"/>
    <w:charset w:val="01"/>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兰亭黑_GBK">
    <w:panose1 w:val="02000000000000000000"/>
    <w:charset w:val="86"/>
    <w:family w:val="auto"/>
    <w:pitch w:val="default"/>
    <w:sig w:usb0="A00002BF" w:usb1="3ACF7CFA" w:usb2="0008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2734632"/>
    </w:sdtPr>
    <w:sdtEndPr>
      <w:rPr>
        <w:rFonts w:ascii="宋体" w:hAnsi="宋体"/>
        <w:sz w:val="24"/>
        <w:szCs w:val="24"/>
      </w:rPr>
    </w:sdtEndPr>
    <w:sdtContent>
      <w:p>
        <w:pPr>
          <w:pStyle w:val="8"/>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18</w:t>
        </w:r>
        <w:r>
          <w:rPr>
            <w:rFonts w:ascii="宋体" w:hAnsi="宋体"/>
            <w:sz w:val="24"/>
            <w:szCs w:val="24"/>
          </w:rPr>
          <w:fldChar w:fldCharType="end"/>
        </w:r>
      </w:p>
    </w:sdtContent>
  </w:sdt>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0" w:firstLine="0"/>
      </w:pPr>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YjhjM2U5YmM5YjVhMjdiOGNhZDBkMjNlMmQ4M2Y5MWEifQ=="/>
  </w:docVars>
  <w:rsids>
    <w:rsidRoot w:val="00545AE3"/>
    <w:rsid w:val="0039468C"/>
    <w:rsid w:val="003A6C49"/>
    <w:rsid w:val="004431D2"/>
    <w:rsid w:val="00545AE3"/>
    <w:rsid w:val="005C3B34"/>
    <w:rsid w:val="00694BA4"/>
    <w:rsid w:val="00705BD7"/>
    <w:rsid w:val="00BD2DAB"/>
    <w:rsid w:val="00D13148"/>
    <w:rsid w:val="00DB0959"/>
    <w:rsid w:val="00E26D09"/>
    <w:rsid w:val="00E95D24"/>
    <w:rsid w:val="00F23DB9"/>
    <w:rsid w:val="00F83462"/>
    <w:rsid w:val="312B78D2"/>
    <w:rsid w:val="3F6ED6DA"/>
    <w:rsid w:val="422D3F1D"/>
    <w:rsid w:val="4F814406"/>
    <w:rsid w:val="57E36059"/>
    <w:rsid w:val="6EDFA453"/>
    <w:rsid w:val="77BECB97"/>
    <w:rsid w:val="7CD6A0B9"/>
    <w:rsid w:val="7FF59ADF"/>
    <w:rsid w:val="A6D755DC"/>
    <w:rsid w:val="B7AE92CA"/>
    <w:rsid w:val="EB869237"/>
    <w:rsid w:val="EFE88A1F"/>
    <w:rsid w:val="F527BCD1"/>
    <w:rsid w:val="FA3FCD80"/>
    <w:rsid w:val="FBD7F5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0"/>
    <w:pPr>
      <w:tabs>
        <w:tab w:val="right" w:leader="dot" w:pos="8296"/>
      </w:tabs>
      <w:ind w:left="200" w:leftChars="200"/>
    </w:p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标题 1 Char"/>
    <w:basedOn w:val="13"/>
    <w:link w:val="2"/>
    <w:qFormat/>
    <w:uiPriority w:val="0"/>
    <w:rPr>
      <w:rFonts w:ascii="Times New Roman" w:hAnsi="Times New Roman" w:eastAsia="宋体" w:cs="Times New Roman"/>
      <w:b/>
      <w:bCs/>
      <w:kern w:val="44"/>
      <w:sz w:val="44"/>
      <w:szCs w:val="44"/>
      <w:lang w:val="en-US" w:eastAsia="zh-CN" w:bidi="ar-SA"/>
    </w:rPr>
  </w:style>
  <w:style w:type="character" w:customStyle="1" w:styleId="17">
    <w:name w:val="标题 2 Char"/>
    <w:basedOn w:val="13"/>
    <w:link w:val="3"/>
    <w:qFormat/>
    <w:uiPriority w:val="0"/>
    <w:rPr>
      <w:rFonts w:ascii="Cambria" w:hAnsi="Cambria" w:eastAsia="宋体" w:cs="Times New Roman"/>
      <w:b/>
      <w:bCs/>
      <w:kern w:val="2"/>
      <w:sz w:val="32"/>
      <w:szCs w:val="32"/>
      <w:lang w:val="en-US" w:eastAsia="zh-CN" w:bidi="ar-SA"/>
    </w:rPr>
  </w:style>
  <w:style w:type="character" w:customStyle="1" w:styleId="18">
    <w:name w:val="Header Char"/>
    <w:basedOn w:val="13"/>
    <w:qFormat/>
    <w:uiPriority w:val="0"/>
    <w:rPr>
      <w:rFonts w:ascii="Times New Roman" w:hAnsi="Times New Roman"/>
      <w:sz w:val="18"/>
      <w:szCs w:val="18"/>
    </w:rPr>
  </w:style>
  <w:style w:type="character" w:customStyle="1" w:styleId="19">
    <w:name w:val="Footer Char"/>
    <w:basedOn w:val="13"/>
    <w:qFormat/>
    <w:uiPriority w:val="0"/>
    <w:rPr>
      <w:rFonts w:ascii="Times New Roman" w:hAnsi="Times New Roman"/>
      <w:sz w:val="18"/>
      <w:szCs w:val="18"/>
    </w:rPr>
  </w:style>
  <w:style w:type="character" w:customStyle="1" w:styleId="20">
    <w:name w:val="Body Text Char"/>
    <w:basedOn w:val="13"/>
    <w:qFormat/>
    <w:uiPriority w:val="0"/>
    <w:rPr>
      <w:rFonts w:ascii="Times New Roman" w:hAnsi="Times New Roman"/>
      <w:szCs w:val="24"/>
    </w:rPr>
  </w:style>
  <w:style w:type="paragraph" w:customStyle="1" w:styleId="21">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2">
    <w:name w:val="List Paragraph"/>
    <w:basedOn w:val="1"/>
    <w:qFormat/>
    <w:uiPriority w:val="0"/>
    <w:pPr>
      <w:ind w:firstLine="200" w:firstLineChars="200"/>
    </w:pPr>
  </w:style>
  <w:style w:type="paragraph" w:customStyle="1" w:styleId="23">
    <w:name w:val="TOC 标题1"/>
    <w:basedOn w:val="2"/>
    <w:next w:val="1"/>
    <w:qFormat/>
    <w:uiPriority w:val="0"/>
    <w:pPr>
      <w:widowControl/>
      <w:spacing w:before="480" w:after="0" w:line="276" w:lineRule="auto"/>
      <w:jc w:val="left"/>
      <w:outlineLvl w:val="9"/>
    </w:pPr>
    <w:rPr>
      <w:rFonts w:ascii="Cambria" w:hAnsi="Cambria"/>
      <w:color w:val="376092"/>
      <w:kern w:val="0"/>
      <w:sz w:val="28"/>
      <w:szCs w:val="28"/>
    </w:rPr>
  </w:style>
  <w:style w:type="paragraph" w:customStyle="1" w:styleId="24">
    <w:name w:val="Char Char"/>
    <w:basedOn w:val="1"/>
    <w:qFormat/>
    <w:uiPriority w:val="0"/>
    <w:pPr>
      <w:widowControl/>
      <w:spacing w:after="160" w:line="240" w:lineRule="exact"/>
      <w:jc w:val="left"/>
    </w:pPr>
    <w:rPr>
      <w:szCs w:val="20"/>
    </w:rPr>
  </w:style>
  <w:style w:type="paragraph" w:customStyle="1" w:styleId="2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rPr>
  </w:style>
  <w:style w:type="paragraph" w:customStyle="1" w:styleId="26">
    <w:name w:val="Char"/>
    <w:basedOn w:val="1"/>
    <w:qFormat/>
    <w:uiPriority w:val="0"/>
    <w:pPr>
      <w:spacing w:line="240" w:lineRule="atLeast"/>
      <w:ind w:left="420" w:firstLine="420"/>
    </w:pPr>
    <w:rPr>
      <w:kern w:val="0"/>
      <w:szCs w:val="21"/>
    </w:rPr>
  </w:style>
  <w:style w:type="paragraph" w:customStyle="1" w:styleId="27">
    <w:name w:val="Char Char1"/>
    <w:basedOn w:val="1"/>
    <w:qFormat/>
    <w:uiPriority w:val="0"/>
    <w:pPr>
      <w:widowControl/>
      <w:spacing w:after="160" w:line="240" w:lineRule="exact"/>
      <w:jc w:val="left"/>
    </w:pPr>
    <w:rPr>
      <w:szCs w:val="20"/>
    </w:rPr>
  </w:style>
  <w:style w:type="character" w:customStyle="1" w:styleId="28">
    <w:name w:val="font71"/>
    <w:basedOn w:val="13"/>
    <w:qFormat/>
    <w:uiPriority w:val="0"/>
    <w:rPr>
      <w:rFonts w:ascii="Times New Roman" w:hAnsi="Times New Roman" w:eastAsia="楷体_GB2312"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50" b="0" i="0" u="none" strike="noStrike" kern="1200" baseline="0">
                <a:solidFill>
                  <a:srgbClr val="000000"/>
                </a:solidFill>
                <a:latin typeface="宋体" charset="-122"/>
                <a:ea typeface="宋体" charset="-122"/>
                <a:cs typeface="Lucida Sans" panose="020B0602030504020204"/>
              </a:defRPr>
            </a:pPr>
            <a:r>
              <a:rPr lang="zh-CN" sz="1250" b="0" i="0" u="none" strike="noStrike" baseline="0">
                <a:solidFill>
                  <a:srgbClr val="000000"/>
                </a:solidFill>
                <a:latin typeface="宋体" charset="-122"/>
                <a:ea typeface="宋体" charset="-122"/>
                <a:cs typeface="Lucida Sans" panose="020B0602030504020204"/>
              </a:rPr>
              <a:t>收支决算变动情况图 单位：万元</a:t>
            </a:r>
            <a:endParaRPr lang="zh-CN" sz="1250" b="0" i="0" u="none" strike="noStrike" baseline="0">
              <a:solidFill>
                <a:srgbClr val="000000"/>
              </a:solidFill>
              <a:latin typeface="宋体" charset="-122"/>
              <a:ea typeface="宋体" charset="-122"/>
              <a:cs typeface="Lucida Sans" panose="020B0602030504020204"/>
            </a:endParaRPr>
          </a:p>
        </c:rich>
      </c:tx>
      <c:layout/>
      <c:overlay val="false"/>
      <c:spPr>
        <a:ln>
          <a:noFill/>
        </a:ln>
      </c:spPr>
    </c:title>
    <c:autoTitleDeleted val="false"/>
    <c:plotArea>
      <c:layout>
        <c:manualLayout>
          <c:layoutTarget val="inner"/>
          <c:xMode val="edge"/>
          <c:yMode val="edge"/>
          <c:x val="0.0898972577768666"/>
          <c:y val="0.194521870212233"/>
          <c:w val="0.632921775397969"/>
          <c:h val="0.655982321458644"/>
        </c:manualLayout>
      </c:layout>
      <c:barChart>
        <c:barDir val="col"/>
        <c:grouping val="clustered"/>
        <c:varyColors val="false"/>
        <c:ser>
          <c:idx val="0"/>
          <c:order val="0"/>
          <c:tx>
            <c:strRef>
              <c:f>'Sheet1'!$A$2</c:f>
              <c:strCache>
                <c:ptCount val="1"/>
                <c:pt idx="0">
                  <c:v>2022年</c:v>
                </c:pt>
              </c:strCache>
            </c:strRef>
          </c:tx>
          <c:spPr>
            <a:solidFill>
              <a:srgbClr val="9999FF"/>
            </a:solidFill>
            <a:ln w="6350">
              <a:solidFill>
                <a:srgbClr val="000000"/>
              </a:solidFill>
              <a:prstDash val="solid"/>
            </a:ln>
          </c:spPr>
          <c:invertIfNegative val="false"/>
          <c:dLbls>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numRef>
              <c:f>'Sheet1'!$B$1</c:f>
              <c:numCache>
                <c:formatCode>General</c:formatCode>
                <c:ptCount val="1"/>
              </c:numCache>
            </c:numRef>
          </c:cat>
          <c:val>
            <c:numRef>
              <c:f>Sheet1!$B$2</c:f>
              <c:numCache>
                <c:formatCode>General</c:formatCode>
                <c:ptCount val="1"/>
                <c:pt idx="0">
                  <c:v>217.33</c:v>
                </c:pt>
              </c:numCache>
            </c:numRef>
          </c:val>
        </c:ser>
        <c:ser>
          <c:idx val="1"/>
          <c:order val="1"/>
          <c:tx>
            <c:strRef>
              <c:f>'Sheet1'!$A$3</c:f>
              <c:strCache>
                <c:ptCount val="1"/>
                <c:pt idx="0">
                  <c:v>2023年</c:v>
                </c:pt>
              </c:strCache>
            </c:strRef>
          </c:tx>
          <c:spPr>
            <a:solidFill>
              <a:srgbClr val="993366"/>
            </a:solidFill>
            <a:ln w="6350">
              <a:solidFill>
                <a:srgbClr val="000000"/>
              </a:solidFill>
              <a:prstDash val="solid"/>
            </a:ln>
          </c:spPr>
          <c:invertIfNegative val="false"/>
          <c:dLbls>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numRef>
              <c:f>'Sheet1'!$B$1</c:f>
              <c:numCache>
                <c:formatCode>General</c:formatCode>
                <c:ptCount val="1"/>
              </c:numCache>
            </c:numRef>
          </c:cat>
          <c:val>
            <c:numRef>
              <c:f>Sheet1!$B$3</c:f>
              <c:numCache>
                <c:formatCode>General</c:formatCode>
                <c:ptCount val="1"/>
                <c:pt idx="0">
                  <c:v>216.03</c:v>
                </c:pt>
              </c:numCache>
            </c:numRef>
          </c:val>
        </c:ser>
        <c:dLbls>
          <c:showLegendKey val="false"/>
          <c:showVal val="true"/>
          <c:showCatName val="false"/>
          <c:showSerName val="false"/>
          <c:showPercent val="false"/>
          <c:showBubbleSize val="false"/>
        </c:dLbls>
        <c:gapWidth val="150"/>
        <c:axId val="53368704"/>
        <c:axId val="53404800"/>
      </c:barChart>
      <c:catAx>
        <c:axId val="53368704"/>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050" b="0" i="0" u="none" strike="noStrike" kern="1200" baseline="0">
                <a:solidFill>
                  <a:srgbClr val="000000"/>
                </a:solidFill>
                <a:latin typeface="宋体" charset="-122"/>
                <a:ea typeface="宋体" charset="-122"/>
                <a:cs typeface="Lucida Sans" panose="020B0602030504020204"/>
              </a:defRPr>
            </a:pPr>
          </a:p>
        </c:txPr>
        <c:crossAx val="53404800"/>
        <c:crosses val="autoZero"/>
        <c:auto val="true"/>
        <c:lblAlgn val="ctr"/>
        <c:lblOffset val="100"/>
        <c:noMultiLvlLbl val="false"/>
      </c:catAx>
      <c:valAx>
        <c:axId val="53404800"/>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050" b="0" i="0" u="none" strike="noStrike" kern="1200" baseline="0">
                <a:solidFill>
                  <a:srgbClr val="000000"/>
                </a:solidFill>
                <a:latin typeface="宋体" charset="-122"/>
                <a:ea typeface="宋体" charset="-122"/>
                <a:cs typeface="Lucida Sans" panose="020B0602030504020204"/>
              </a:defRPr>
            </a:pPr>
          </a:p>
        </c:txPr>
        <c:crossAx val="53368704"/>
        <c:crossesAt val="1"/>
        <c:crossBetween val="between"/>
      </c:valAx>
      <c:spPr>
        <a:solidFill>
          <a:srgbClr val="C0C0C0"/>
        </a:solidFill>
        <a:ln w="6350">
          <a:solidFill>
            <a:srgbClr val="808080"/>
          </a:solidFill>
          <a:prstDash val="solid"/>
        </a:ln>
      </c:spPr>
    </c:plotArea>
    <c:legend>
      <c:legendPos val="r"/>
      <c:legendEntry>
        <c:idx val="0"/>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Entry>
      <c:legendEntry>
        <c:idx val="1"/>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Entry>
      <c:layout>
        <c:manualLayout>
          <c:xMode val="edge"/>
          <c:yMode val="edge"/>
          <c:x val="0.729632085563333"/>
          <c:y val="0.438859280000001"/>
          <c:w val="0.137984083833948"/>
          <c:h val="0.1891892"/>
        </c:manualLayout>
      </c:layout>
      <c:overlay val="false"/>
      <c:spPr>
        <a:noFill/>
        <a:ln w="6350">
          <a:solidFill>
            <a:srgbClr val="000000"/>
          </a:solidFill>
          <a:prstDash val="solid"/>
        </a:ln>
      </c:spPr>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05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50" b="0" i="0" u="none" strike="noStrike" kern="1200" baseline="0">
                <a:solidFill>
                  <a:srgbClr val="000000"/>
                </a:solidFill>
                <a:latin typeface="宋体" charset="-122"/>
                <a:ea typeface="宋体" charset="-122"/>
                <a:cs typeface="Lucida Sans" panose="020B0602030504020204"/>
              </a:defRPr>
            </a:pPr>
            <a:r>
              <a:rPr lang="zh-CN" sz="1250" b="0" i="0" u="none" strike="noStrike" baseline="0">
                <a:solidFill>
                  <a:srgbClr val="000000"/>
                </a:solidFill>
                <a:latin typeface="宋体" charset="-122"/>
                <a:ea typeface="宋体" charset="-122"/>
                <a:cs typeface="Lucida Sans" panose="020B0602030504020204"/>
              </a:rPr>
              <a:t>收入决算结构图 </a:t>
            </a:r>
            <a:r>
              <a:rPr lang="zh-CN" sz="900" b="0" i="0" u="none" strike="noStrike" baseline="0">
                <a:solidFill>
                  <a:srgbClr val="000000"/>
                </a:solidFill>
                <a:latin typeface="宋体" charset="-122"/>
                <a:ea typeface="宋体" charset="-122"/>
                <a:cs typeface="Lucida Sans" panose="020B0602030504020204"/>
              </a:rPr>
              <a:t>单位:</a:t>
            </a:r>
            <a:r>
              <a:rPr lang="zh-CN" sz="900" b="0" i="0" u="heavy" strike="noStrike" baseline="0">
                <a:solidFill>
                  <a:srgbClr val="000000"/>
                </a:solidFill>
                <a:uFill>
                  <a:solidFill>
                    <a:srgbClr val="000000"/>
                  </a:solidFill>
                </a:uFill>
                <a:latin typeface="宋体" charset="-122"/>
                <a:ea typeface="宋体" charset="-122"/>
                <a:cs typeface="Lucida Sans" panose="020B0602030504020204"/>
              </a:rPr>
              <a:t>万元</a:t>
            </a:r>
            <a:endParaRPr lang="zh-CN" sz="900" b="0" i="0" u="heavy" strike="noStrike" baseline="0">
              <a:solidFill>
                <a:srgbClr val="000000"/>
              </a:solidFill>
              <a:uFill>
                <a:solidFill>
                  <a:srgbClr val="000000"/>
                </a:solidFill>
              </a:uFill>
              <a:latin typeface="宋体" charset="-122"/>
              <a:ea typeface="宋体" charset="-122"/>
              <a:cs typeface="Lucida Sans" panose="020B0602030504020204"/>
            </a:endParaRPr>
          </a:p>
        </c:rich>
      </c:tx>
      <c:layout>
        <c:manualLayout>
          <c:xMode val="edge"/>
          <c:yMode val="edge"/>
          <c:x val="0.318310800000001"/>
          <c:y val="0.017374517"/>
        </c:manualLayout>
      </c:layout>
      <c:overlay val="false"/>
      <c:spPr>
        <a:ln>
          <a:noFill/>
        </a:ln>
      </c:spPr>
    </c:title>
    <c:autoTitleDeleted val="false"/>
    <c:plotArea>
      <c:layout>
        <c:manualLayout>
          <c:layoutTarget val="inner"/>
          <c:xMode val="edge"/>
          <c:yMode val="edge"/>
          <c:x val="0.19311821"/>
          <c:y val="0.22951517"/>
          <c:w val="0.535410759999999"/>
          <c:h val="0.7241379"/>
        </c:manualLayout>
      </c:layout>
      <c:pieChart>
        <c:varyColors val="true"/>
        <c:ser>
          <c:idx val="0"/>
          <c:order val="0"/>
          <c:spPr>
            <a:solidFill>
              <a:srgbClr val="9999FF"/>
            </a:solidFill>
            <a:ln w="6350">
              <a:solidFill>
                <a:srgbClr val="000000"/>
              </a:solidFill>
              <a:prstDash val="solid"/>
            </a:ln>
          </c:spPr>
          <c:explosion val="39"/>
          <c:dPt>
            <c:idx val="0"/>
            <c:bubble3D val="false"/>
            <c:explosion val="31"/>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delete val="true"/>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(2)'!$A$1:$B$1</c:f>
              <c:strCache>
                <c:ptCount val="2"/>
                <c:pt idx="0">
                  <c:v>一般公共预算财政拨款收入</c:v>
                </c:pt>
              </c:strCache>
            </c:strRef>
          </c:cat>
          <c:val>
            <c:numRef>
              <c:f>'Sheet1 (2)'!$A$2:$B$2</c:f>
              <c:numCache>
                <c:formatCode>General</c:formatCode>
                <c:ptCount val="2"/>
                <c:pt idx="0">
                  <c:v>216.03</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egendEntry>
        <c:idx val="0"/>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Entry>
      <c:legendEntry>
        <c:idx val="1"/>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Entry>
      <c:layout>
        <c:manualLayout>
          <c:xMode val="edge"/>
          <c:yMode val="edge"/>
          <c:x val="0.664742000000001"/>
          <c:y val="0.22921595"/>
          <c:w val="0.30565977"/>
          <c:h val="0.5031707"/>
        </c:manualLayout>
      </c:layout>
      <c:overlay val="false"/>
      <c:spPr>
        <a:noFill/>
        <a:ln w="6350">
          <a:solidFill>
            <a:srgbClr val="000000"/>
          </a:solidFill>
          <a:prstDash val="solid"/>
        </a:ln>
      </c:spPr>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105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50" b="0" i="0" u="none" strike="noStrike" kern="1200" baseline="0">
                <a:solidFill>
                  <a:srgbClr val="000000"/>
                </a:solidFill>
                <a:latin typeface="宋体" charset="-122"/>
                <a:ea typeface="宋体" charset="-122"/>
                <a:cs typeface="Lucida Sans" panose="020B0602030504020204"/>
              </a:defRPr>
            </a:pPr>
            <a:r>
              <a:rPr lang="zh-CN" sz="1450" b="0" i="0" u="none" strike="noStrike" baseline="0">
                <a:solidFill>
                  <a:srgbClr val="000000"/>
                </a:solidFill>
                <a:latin typeface="宋体" charset="-122"/>
                <a:ea typeface="宋体" charset="-122"/>
                <a:cs typeface="Lucida Sans" panose="020B0602030504020204"/>
              </a:rPr>
              <a:t> </a:t>
            </a:r>
            <a:r>
              <a:rPr lang="zh-CN" sz="1050" b="0" i="0" u="none" strike="noStrike" baseline="0">
                <a:solidFill>
                  <a:srgbClr val="000000"/>
                </a:solidFill>
                <a:latin typeface="宋体" charset="-122"/>
                <a:ea typeface="宋体" charset="-122"/>
                <a:cs typeface="Lucida Sans" panose="020B0602030504020204"/>
              </a:rPr>
              <a:t>支出决算结构图  </a:t>
            </a:r>
            <a:r>
              <a:rPr lang="zh-CN" sz="900" b="0" i="0" u="none" strike="noStrike" baseline="0">
                <a:solidFill>
                  <a:srgbClr val="000000"/>
                </a:solidFill>
                <a:latin typeface="宋体" charset="-122"/>
                <a:ea typeface="宋体" charset="-122"/>
                <a:cs typeface="Lucida Sans" panose="020B0602030504020204"/>
              </a:rPr>
              <a:t>单位:</a:t>
            </a:r>
            <a:r>
              <a:rPr lang="zh-CN" sz="900" b="0" i="0" u="sng" strike="noStrike" baseline="0">
                <a:solidFill>
                  <a:srgbClr val="000000"/>
                </a:solidFill>
                <a:uFill>
                  <a:solidFill>
                    <a:srgbClr val="000000"/>
                  </a:solidFill>
                </a:uFill>
                <a:latin typeface="宋体" charset="-122"/>
                <a:ea typeface="宋体" charset="-122"/>
                <a:cs typeface="Lucida Sans" panose="020B0602030504020204"/>
              </a:rPr>
              <a:t>万元</a:t>
            </a:r>
            <a:endParaRPr lang="zh-CN" sz="900" b="0" i="0" u="sng" strike="noStrike" baseline="0">
              <a:solidFill>
                <a:srgbClr val="000000"/>
              </a:solidFill>
              <a:uFill>
                <a:solidFill>
                  <a:srgbClr val="000000"/>
                </a:solidFill>
              </a:uFill>
              <a:latin typeface="宋体" charset="-122"/>
              <a:ea typeface="宋体" charset="-122"/>
              <a:cs typeface="Lucida Sans" panose="020B0602030504020204"/>
            </a:endParaRPr>
          </a:p>
        </c:rich>
      </c:tx>
      <c:layout>
        <c:manualLayout>
          <c:xMode val="edge"/>
          <c:yMode val="edge"/>
          <c:x val="0.24755971"/>
          <c:y val="0.009787928"/>
        </c:manualLayout>
      </c:layout>
      <c:overlay val="false"/>
      <c:spPr>
        <a:ln>
          <a:noFill/>
        </a:ln>
      </c:spPr>
    </c:title>
    <c:autoTitleDeleted val="false"/>
    <c:plotArea>
      <c:layout>
        <c:manualLayout>
          <c:layoutTarget val="inner"/>
          <c:xMode val="edge"/>
          <c:yMode val="edge"/>
          <c:x val="0.2104247"/>
          <c:y val="0.27332705"/>
          <c:w val="0.360574840000001"/>
          <c:h val="0.718130470000001"/>
        </c:manualLayout>
      </c:layout>
      <c:pieChart>
        <c:varyColors val="true"/>
        <c:ser>
          <c:idx val="0"/>
          <c:order val="0"/>
          <c:tx>
            <c:strRef>
              <c:f>'Sheet1 (3)'!$A$2</c:f>
              <c:strCache>
                <c:ptCount val="1"/>
                <c:pt idx="0">
                  <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Lbls>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rgbClr val="000000"/>
                    </a:solidFill>
                    <a:latin typeface="宋体" charset="-122"/>
                    <a:ea typeface="宋体"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(3)'!$B$1:$C$1</c:f>
              <c:strCache>
                <c:ptCount val="2"/>
                <c:pt idx="0">
                  <c:v>基本支出</c:v>
                </c:pt>
                <c:pt idx="1">
                  <c:v>项目支出</c:v>
                </c:pt>
              </c:strCache>
            </c:strRef>
          </c:cat>
          <c:val>
            <c:numRef>
              <c:f>'Sheet1 (3)'!$B$2:$C$2</c:f>
              <c:numCache>
                <c:formatCode>General</c:formatCode>
                <c:ptCount val="2"/>
                <c:pt idx="0">
                  <c:v>215.03</c:v>
                </c:pt>
                <c:pt idx="1">
                  <c:v>1</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733809350000001"/>
          <c:y val="0.20472956"/>
          <c:w val="0.23929068"/>
          <c:h val="0.378847570000001"/>
        </c:manualLayout>
      </c:layout>
      <c:overlay val="false"/>
      <c:spPr>
        <a:noFill/>
        <a:ln w="6350">
          <a:solidFill>
            <a:srgbClr val="000000"/>
          </a:solidFill>
          <a:prstDash val="solid"/>
        </a:ln>
      </c:spPr>
      <c:txPr>
        <a:bodyPr rot="0" spcFirstLastPara="0" vertOverflow="ellipsis" vert="horz" wrap="square" anchor="ctr" anchorCtr="true"/>
        <a:lstStyle/>
        <a:p>
          <a:pPr>
            <a:defRPr lang="zh-CN" sz="1100" b="0" i="0" u="none" strike="noStrike" kern="1200" baseline="0">
              <a:solidFill>
                <a:srgbClr val="000000"/>
              </a:solidFill>
              <a:latin typeface="宋体" charset="-122"/>
              <a:ea typeface="宋体"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120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60" b="0" i="0" u="none" strike="noStrike" kern="1200" baseline="0">
                <a:solidFill>
                  <a:srgbClr val="000000"/>
                </a:solidFill>
                <a:latin typeface="仿宋_GB2312" panose="02010609030101010101" pitchFamily="3" charset="-122"/>
                <a:ea typeface="仿宋_GB2312" panose="02010609030101010101" pitchFamily="3" charset="-122"/>
                <a:cs typeface="Lucida Sans" panose="020B0602030504020204"/>
              </a:defRPr>
            </a:pPr>
            <a:r>
              <a:rPr lang="zh-CN"/>
              <a:t>财政拨款收、支决算总计变动情况图 单位:万元   </a:t>
            </a:r>
            <a:endParaRPr lang="zh-CN"/>
          </a:p>
        </c:rich>
      </c:tx>
      <c:layout>
        <c:manualLayout>
          <c:xMode val="edge"/>
          <c:yMode val="edge"/>
          <c:x val="0.309038500985235"/>
          <c:y val="0.00328752337656984"/>
        </c:manualLayout>
      </c:layout>
      <c:overlay val="false"/>
      <c:spPr>
        <a:ln>
          <a:noFill/>
        </a:ln>
      </c:spPr>
    </c:title>
    <c:autoTitleDeleted val="false"/>
    <c:plotArea>
      <c:layout>
        <c:manualLayout>
          <c:layoutTarget val="inner"/>
          <c:xMode val="edge"/>
          <c:yMode val="edge"/>
          <c:x val="0.236625429990444"/>
          <c:y val="0.14832869237371"/>
          <c:w val="0.540339732653688"/>
          <c:h val="0.7148636"/>
        </c:manualLayout>
      </c:layout>
      <c:barChart>
        <c:barDir val="col"/>
        <c:grouping val="clustered"/>
        <c:varyColors val="false"/>
        <c:ser>
          <c:idx val="0"/>
          <c:order val="0"/>
          <c:tx>
            <c:strRef>
              <c:f>'Sheet1 (4)'!$A$2</c:f>
              <c:strCache>
                <c:ptCount val="1"/>
                <c:pt idx="0">
                  <c:v>2022年</c:v>
                </c:pt>
              </c:strCache>
            </c:strRef>
          </c:tx>
          <c:spPr>
            <a:solidFill>
              <a:srgbClr val="9999FF"/>
            </a:solidFill>
            <a:ln w="6350">
              <a:solidFill>
                <a:srgbClr val="000000"/>
              </a:solidFill>
              <a:prstDash val="solid"/>
            </a:ln>
          </c:spPr>
          <c:invertIfNegative val="false"/>
          <c:dLbls>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仿宋_GB2312" panose="02010609030101010101" pitchFamily="3" charset="-122"/>
                    <a:ea typeface="仿宋_GB2312" panose="02010609030101010101" pitchFamily="3"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numRef>
              <c:f>'Sheet1 (4)'!$B$1</c:f>
              <c:numCache>
                <c:formatCode>General</c:formatCode>
                <c:ptCount val="1"/>
              </c:numCache>
            </c:numRef>
          </c:cat>
          <c:val>
            <c:numRef>
              <c:f>Sheet1 (4)!$B$2</c:f>
              <c:numCache>
                <c:formatCode>General</c:formatCode>
                <c:ptCount val="1"/>
                <c:pt idx="0">
                  <c:v>217.33</c:v>
                </c:pt>
              </c:numCache>
            </c:numRef>
          </c:val>
        </c:ser>
        <c:ser>
          <c:idx val="1"/>
          <c:order val="1"/>
          <c:tx>
            <c:strRef>
              <c:f>'Sheet1 (4)'!$A$3</c:f>
              <c:strCache>
                <c:ptCount val="1"/>
                <c:pt idx="0">
                  <c:v>2023年</c:v>
                </c:pt>
              </c:strCache>
            </c:strRef>
          </c:tx>
          <c:spPr>
            <a:solidFill>
              <a:srgbClr val="993366"/>
            </a:solidFill>
            <a:ln w="6350">
              <a:solidFill>
                <a:srgbClr val="000000"/>
              </a:solidFill>
              <a:prstDash val="solid"/>
            </a:ln>
          </c:spPr>
          <c:invertIfNegative val="false"/>
          <c:dLbls>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仿宋_GB2312" panose="02010609030101010101" pitchFamily="3" charset="-122"/>
                    <a:ea typeface="仿宋_GB2312" panose="02010609030101010101" pitchFamily="3"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numRef>
              <c:f>'Sheet1 (4)'!$B$1</c:f>
              <c:numCache>
                <c:formatCode>General</c:formatCode>
                <c:ptCount val="1"/>
              </c:numCache>
            </c:numRef>
          </c:cat>
          <c:val>
            <c:numRef>
              <c:f>Sheet1 (4)!$B$3</c:f>
              <c:numCache>
                <c:formatCode>General</c:formatCode>
                <c:ptCount val="1"/>
                <c:pt idx="0">
                  <c:v>216.03</c:v>
                </c:pt>
              </c:numCache>
            </c:numRef>
          </c:val>
        </c:ser>
        <c:dLbls>
          <c:showLegendKey val="false"/>
          <c:showVal val="true"/>
          <c:showCatName val="false"/>
          <c:showSerName val="false"/>
          <c:showPercent val="false"/>
          <c:showBubbleSize val="false"/>
        </c:dLbls>
        <c:gapWidth val="150"/>
        <c:axId val="56378880"/>
        <c:axId val="56380416"/>
      </c:barChart>
      <c:catAx>
        <c:axId val="5637888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ctr" anchorCtr="true"/>
          <a:lstStyle/>
          <a:p>
            <a:pPr>
              <a:defRPr lang="zh-CN" sz="1050" b="0" i="0" u="none" strike="noStrike" kern="1200" baseline="0">
                <a:solidFill>
                  <a:srgbClr val="000000"/>
                </a:solidFill>
                <a:latin typeface="仿宋_GB2312" panose="02010609030101010101" pitchFamily="3" charset="-122"/>
                <a:ea typeface="仿宋_GB2312" panose="02010609030101010101" pitchFamily="3" charset="-122"/>
                <a:cs typeface="Lucida Sans" panose="020B0602030504020204"/>
              </a:defRPr>
            </a:pPr>
          </a:p>
        </c:txPr>
        <c:crossAx val="56380416"/>
        <c:crosses val="autoZero"/>
        <c:auto val="true"/>
        <c:lblAlgn val="ctr"/>
        <c:lblOffset val="100"/>
        <c:noMultiLvlLbl val="false"/>
      </c:catAx>
      <c:valAx>
        <c:axId val="56380416"/>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ctr" anchorCtr="true"/>
          <a:lstStyle/>
          <a:p>
            <a:pPr>
              <a:defRPr lang="zh-CN" sz="1050" b="0" i="0" u="none" strike="noStrike" kern="1200" baseline="0">
                <a:solidFill>
                  <a:srgbClr val="000000"/>
                </a:solidFill>
                <a:latin typeface="仿宋_GB2312" panose="02010609030101010101" pitchFamily="3" charset="-122"/>
                <a:ea typeface="仿宋_GB2312" panose="02010609030101010101" pitchFamily="3" charset="-122"/>
                <a:cs typeface="Lucida Sans" panose="020B0602030504020204"/>
              </a:defRPr>
            </a:pPr>
          </a:p>
        </c:txPr>
        <c:crossAx val="56378880"/>
        <c:crossesAt val="1"/>
        <c:crossBetween val="between"/>
      </c:valAx>
      <c:spPr>
        <a:solidFill>
          <a:srgbClr val="C0C0C0"/>
        </a:solidFill>
        <a:ln w="6350">
          <a:solidFill>
            <a:srgbClr val="808080"/>
          </a:solidFill>
          <a:prstDash val="solid"/>
        </a:ln>
      </c:spPr>
    </c:plotArea>
    <c:legend>
      <c:legendPos val="r"/>
      <c:layout>
        <c:manualLayout>
          <c:xMode val="edge"/>
          <c:yMode val="edge"/>
          <c:x val="0.789690664177553"/>
          <c:y val="0.472587856551248"/>
          <c:w val="0.120196060633566"/>
          <c:h val="0.1891892"/>
        </c:manualLayout>
      </c:layout>
      <c:overlay val="false"/>
      <c:spPr>
        <a:noFill/>
        <a:ln w="6350">
          <a:solidFill>
            <a:srgbClr val="000000"/>
          </a:solidFill>
          <a:prstDash val="solid"/>
        </a:ln>
      </c:spPr>
      <c:txPr>
        <a:bodyPr rot="0" spcFirstLastPara="0" vertOverflow="ellipsis" vert="horz" wrap="square" anchor="ctr" anchorCtr="true"/>
        <a:lstStyle/>
        <a:p>
          <a:pPr>
            <a:defRPr lang="zh-CN" sz="1050" b="0" i="0" u="none" strike="noStrike" kern="1200" baseline="0">
              <a:solidFill>
                <a:srgbClr val="000000"/>
              </a:solidFill>
              <a:latin typeface="仿宋_GB2312" panose="02010609030101010101" pitchFamily="3" charset="-122"/>
              <a:ea typeface="仿宋_GB2312" panose="02010609030101010101" pitchFamily="3"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050" b="0" i="0" u="none" strike="noStrike" baseline="0">
          <a:solidFill>
            <a:srgbClr val="000000"/>
          </a:solidFill>
          <a:latin typeface="仿宋_GB2312" panose="02010609030101010101" pitchFamily="3" charset="-122"/>
          <a:ea typeface="仿宋_GB2312" panose="02010609030101010101" pitchFamily="3" charset="-122"/>
          <a:cs typeface="Lucida Sans" panose="020B0602030504020204"/>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50" b="0" i="0" u="none" strike="noStrike" kern="1200" baseline="0">
                <a:solidFill>
                  <a:srgbClr val="000000"/>
                </a:solidFill>
                <a:latin typeface="宋体" charset="-122"/>
                <a:ea typeface="宋体" charset="-122"/>
                <a:cs typeface="Lucida Sans" panose="020B0602030504020204"/>
              </a:defRPr>
            </a:pPr>
            <a:r>
              <a:rPr lang="zh-CN" sz="1250" b="0" i="0" u="none" strike="noStrike" baseline="0">
                <a:solidFill>
                  <a:srgbClr val="000000"/>
                </a:solidFill>
                <a:latin typeface="宋体" charset="-122"/>
                <a:ea typeface="宋体" charset="-122"/>
                <a:cs typeface="Lucida Sans" panose="020B0602030504020204"/>
              </a:rPr>
              <a:t>一般公共预算财政拨款支出决算变动情况图 </a:t>
            </a:r>
            <a:r>
              <a:rPr lang="zh-CN" sz="900" b="0" i="0" u="none" strike="noStrike" baseline="0">
                <a:solidFill>
                  <a:srgbClr val="000000"/>
                </a:solidFill>
                <a:latin typeface="宋体" charset="-122"/>
                <a:ea typeface="宋体" charset="-122"/>
                <a:cs typeface="Lucida Sans" panose="020B0602030504020204"/>
              </a:rPr>
              <a:t>单位：万元</a:t>
            </a:r>
            <a:endParaRPr lang="zh-CN" sz="900" b="0" i="0" u="none" strike="noStrike" baseline="0">
              <a:solidFill>
                <a:srgbClr val="000000"/>
              </a:solidFill>
              <a:latin typeface="宋体" charset="-122"/>
              <a:ea typeface="宋体" charset="-122"/>
              <a:cs typeface="Lucida Sans" panose="020B0602030504020204"/>
            </a:endParaRPr>
          </a:p>
        </c:rich>
      </c:tx>
      <c:layout>
        <c:manualLayout>
          <c:xMode val="edge"/>
          <c:yMode val="edge"/>
          <c:x val="0.190929090810974"/>
          <c:y val="0.00749812546863284"/>
        </c:manualLayout>
      </c:layout>
      <c:overlay val="false"/>
      <c:spPr>
        <a:ln>
          <a:noFill/>
        </a:ln>
      </c:spPr>
    </c:title>
    <c:autoTitleDeleted val="false"/>
    <c:plotArea>
      <c:layout>
        <c:manualLayout>
          <c:layoutTarget val="inner"/>
          <c:xMode val="edge"/>
          <c:yMode val="edge"/>
          <c:x val="0.178401410151722"/>
          <c:y val="0.13762110653439"/>
          <c:w val="0.629971073167919"/>
          <c:h val="0.7148636"/>
        </c:manualLayout>
      </c:layout>
      <c:barChart>
        <c:barDir val="col"/>
        <c:grouping val="clustered"/>
        <c:varyColors val="false"/>
        <c:ser>
          <c:idx val="0"/>
          <c:order val="0"/>
          <c:tx>
            <c:strRef>
              <c:f>'Sheet1 (5)'!$A$2</c:f>
              <c:strCache>
                <c:ptCount val="1"/>
                <c:pt idx="0">
                  <c:v>2022年</c:v>
                </c:pt>
              </c:strCache>
            </c:strRef>
          </c:tx>
          <c:spPr>
            <a:solidFill>
              <a:srgbClr val="9999FF"/>
            </a:solidFill>
            <a:ln w="6350">
              <a:solidFill>
                <a:srgbClr val="000000"/>
              </a:solidFill>
              <a:prstDash val="solid"/>
            </a:ln>
          </c:spPr>
          <c:invertIfNegative val="false"/>
          <c:dLbls>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numRef>
              <c:f>'Sheet1 (5)'!$B$1</c:f>
              <c:numCache>
                <c:formatCode>General</c:formatCode>
                <c:ptCount val="1"/>
              </c:numCache>
            </c:numRef>
          </c:cat>
          <c:val>
            <c:numRef>
              <c:f>Sheet1 (5)!$B$2</c:f>
              <c:numCache>
                <c:formatCode>General</c:formatCode>
                <c:ptCount val="1"/>
                <c:pt idx="0">
                  <c:v>217.33</c:v>
                </c:pt>
              </c:numCache>
            </c:numRef>
          </c:val>
        </c:ser>
        <c:ser>
          <c:idx val="1"/>
          <c:order val="1"/>
          <c:tx>
            <c:strRef>
              <c:f>'Sheet1 (5)'!$A$3</c:f>
              <c:strCache>
                <c:ptCount val="1"/>
                <c:pt idx="0">
                  <c:v>2023年</c:v>
                </c:pt>
              </c:strCache>
            </c:strRef>
          </c:tx>
          <c:spPr>
            <a:solidFill>
              <a:srgbClr val="993366"/>
            </a:solidFill>
            <a:ln w="6350">
              <a:solidFill>
                <a:srgbClr val="000000"/>
              </a:solidFill>
              <a:prstDash val="solid"/>
            </a:ln>
          </c:spPr>
          <c:invertIfNegative val="false"/>
          <c:dLbls>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numRef>
              <c:f>'Sheet1 (5)'!$B$1</c:f>
              <c:numCache>
                <c:formatCode>General</c:formatCode>
                <c:ptCount val="1"/>
              </c:numCache>
            </c:numRef>
          </c:cat>
          <c:val>
            <c:numRef>
              <c:f>Sheet1 (5)!$B$3</c:f>
              <c:numCache>
                <c:formatCode>General</c:formatCode>
                <c:ptCount val="1"/>
                <c:pt idx="0">
                  <c:v>216.03</c:v>
                </c:pt>
              </c:numCache>
            </c:numRef>
          </c:val>
        </c:ser>
        <c:dLbls>
          <c:showLegendKey val="false"/>
          <c:showVal val="true"/>
          <c:showCatName val="false"/>
          <c:showSerName val="false"/>
          <c:showPercent val="false"/>
          <c:showBubbleSize val="false"/>
        </c:dLbls>
        <c:gapWidth val="150"/>
        <c:axId val="82295424"/>
        <c:axId val="101339904"/>
      </c:barChart>
      <c:catAx>
        <c:axId val="82295424"/>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050" b="0" i="0" u="none" strike="noStrike" kern="1200" baseline="0">
                <a:solidFill>
                  <a:srgbClr val="000000"/>
                </a:solidFill>
                <a:latin typeface="宋体" charset="-122"/>
                <a:ea typeface="宋体" charset="-122"/>
                <a:cs typeface="Lucida Sans" panose="020B0602030504020204"/>
              </a:defRPr>
            </a:pPr>
          </a:p>
        </c:txPr>
        <c:crossAx val="101339904"/>
        <c:crosses val="autoZero"/>
        <c:auto val="true"/>
        <c:lblAlgn val="ctr"/>
        <c:lblOffset val="100"/>
        <c:noMultiLvlLbl val="false"/>
      </c:catAx>
      <c:valAx>
        <c:axId val="101339904"/>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050" b="0" i="0" u="none" strike="noStrike" kern="1200" baseline="0">
                <a:solidFill>
                  <a:srgbClr val="000000"/>
                </a:solidFill>
                <a:latin typeface="宋体" charset="-122"/>
                <a:ea typeface="宋体" charset="-122"/>
                <a:cs typeface="Lucida Sans" panose="020B0602030504020204"/>
              </a:defRPr>
            </a:pPr>
          </a:p>
        </c:txPr>
        <c:crossAx val="82295424"/>
        <c:crossesAt val="1"/>
        <c:crossBetween val="between"/>
      </c:valAx>
      <c:spPr>
        <a:solidFill>
          <a:srgbClr val="C0C0C0"/>
        </a:solidFill>
        <a:ln w="6350">
          <a:solidFill>
            <a:srgbClr val="808080"/>
          </a:solidFill>
          <a:prstDash val="solid"/>
        </a:ln>
      </c:spPr>
    </c:plotArea>
    <c:legend>
      <c:legendPos val="r"/>
      <c:legendEntry>
        <c:idx val="0"/>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Entry>
      <c:legendEntry>
        <c:idx val="1"/>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Entry>
      <c:layout>
        <c:manualLayout>
          <c:xMode val="edge"/>
          <c:yMode val="edge"/>
          <c:x val="0.811666681989557"/>
          <c:y val="0.42643777"/>
          <c:w val="0.124842390136962"/>
          <c:h val="0.20224312"/>
        </c:manualLayout>
      </c:layout>
      <c:overlay val="false"/>
      <c:spPr>
        <a:noFill/>
        <a:ln w="6350">
          <a:solidFill>
            <a:srgbClr val="000000"/>
          </a:solidFill>
          <a:prstDash val="solid"/>
        </a:ln>
      </c:spPr>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05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rgbClr val="404040"/>
                </a:solidFill>
                <a:latin typeface="仿宋_GB2312" panose="02010609030101010101" pitchFamily="3" charset="-122"/>
                <a:ea typeface="仿宋_GB2312" panose="02010609030101010101" pitchFamily="3" charset="-122"/>
                <a:cs typeface="Lucida Sans" panose="020B0602030504020204"/>
              </a:defRPr>
            </a:pPr>
            <a:r>
              <a:rPr lang="zh-CN">
                <a:latin typeface="仿宋_GB2312" panose="02010609030101010101" pitchFamily="3" charset="-122"/>
                <a:ea typeface="仿宋_GB2312" panose="02010609030101010101" pitchFamily="3" charset="-122"/>
              </a:rPr>
              <a:t>一般公共预算财政拨款支出决算结构</a:t>
            </a:r>
            <a:endParaRPr lang="zh-CN">
              <a:latin typeface="仿宋_GB2312" panose="02010609030101010101" pitchFamily="3" charset="-122"/>
              <a:ea typeface="仿宋_GB2312" panose="02010609030101010101" pitchFamily="3" charset="-122"/>
            </a:endParaRPr>
          </a:p>
        </c:rich>
      </c:tx>
      <c:layout>
        <c:manualLayout>
          <c:xMode val="edge"/>
          <c:yMode val="edge"/>
          <c:x val="0.133288701997664"/>
          <c:y val="0.00121773840769903"/>
        </c:manualLayout>
      </c:layout>
      <c:overlay val="false"/>
      <c:spPr>
        <a:noFill/>
        <a:ln>
          <a:noFill/>
        </a:ln>
      </c:spPr>
    </c:title>
    <c:autoTitleDeleted val="false"/>
    <c:plotArea>
      <c:layout>
        <c:manualLayout>
          <c:layoutTarget val="inner"/>
          <c:xMode val="edge"/>
          <c:yMode val="edge"/>
          <c:x val="0.1178041"/>
          <c:y val="0.284324740000001"/>
          <c:w val="0.645753400000002"/>
          <c:h val="0.48821548"/>
        </c:manualLayout>
      </c:layout>
      <c:pieChart>
        <c:varyColors val="true"/>
        <c:ser>
          <c:idx val="0"/>
          <c:order val="0"/>
          <c:explosion val="25"/>
          <c:dPt>
            <c:idx val="0"/>
            <c:bubble3D val="false"/>
            <c:spPr>
              <a:solidFill>
                <a:srgbClr val="4F81BD"/>
              </a:solidFill>
              <a:ln w="6350">
                <a:solidFill>
                  <a:srgbClr val="FFFFFF"/>
                </a:solidFill>
                <a:prstDash val="solid"/>
              </a:ln>
            </c:spPr>
          </c:dPt>
          <c:dPt>
            <c:idx val="1"/>
            <c:bubble3D val="false"/>
            <c:spPr>
              <a:solidFill>
                <a:srgbClr val="C0504D"/>
              </a:solidFill>
              <a:ln w="6350">
                <a:solidFill>
                  <a:srgbClr val="FFFFFF"/>
                </a:solidFill>
                <a:prstDash val="solid"/>
              </a:ln>
            </c:spPr>
          </c:dPt>
          <c:dPt>
            <c:idx val="2"/>
            <c:bubble3D val="false"/>
            <c:spPr>
              <a:solidFill>
                <a:srgbClr val="9BBB59"/>
              </a:solidFill>
              <a:ln w="6350">
                <a:solidFill>
                  <a:srgbClr val="FFFFFF"/>
                </a:solidFill>
                <a:prstDash val="solid"/>
              </a:ln>
            </c:spPr>
          </c:dPt>
          <c:dPt>
            <c:idx val="3"/>
            <c:bubble3D val="false"/>
            <c:spPr>
              <a:solidFill>
                <a:srgbClr val="8064A2"/>
              </a:solidFill>
              <a:ln w="6350">
                <a:solidFill>
                  <a:srgbClr val="FFFFFF"/>
                </a:solidFill>
                <a:prstDash val="solid"/>
              </a:ln>
            </c:spPr>
          </c:dPt>
          <c:dLbls>
            <c:dLbl>
              <c:idx val="0"/>
              <c:layout>
                <c:manualLayout>
                  <c:x val="0.0712319258234381"/>
                  <c:y val="-0.0486111111111111"/>
                </c:manualLayout>
              </c:layout>
              <c:tx>
                <c:rich>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r>
                      <a:rPr altLang="en-US"/>
                      <a:t>14</a:t>
                    </a:r>
                    <a:r>
                      <a:rPr lang="en-US" altLang="en-US"/>
                      <a:t>.27</a:t>
                    </a:r>
                    <a:r>
                      <a:rPr altLang="en-US"/>
                      <a:t>%</a:t>
                    </a:r>
                    <a:endParaRPr altLang="en-US"/>
                  </a:p>
                </c:rich>
              </c:tx>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p>
              </c:txPr>
              <c:dLblPos val="inEnd"/>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056985720141333"/>
                  <c:y val="-0.0625"/>
                </c:manualLayout>
              </c:layout>
              <c:tx>
                <c:rich>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r>
                      <a:rPr altLang="en-US"/>
                      <a:t>73</a:t>
                    </a:r>
                    <a:r>
                      <a:rPr lang="en-US" altLang="en-US"/>
                      <a:t>.04</a:t>
                    </a:r>
                    <a:r>
                      <a:rPr altLang="en-US"/>
                      <a:t>%</a:t>
                    </a:r>
                    <a:endParaRPr altLang="en-US"/>
                  </a:p>
                </c:rich>
              </c:tx>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p>
              </c:txPr>
              <c:dLblPos val="inEnd"/>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484378621201335"/>
                  <c:y val="-0.0416666666666667"/>
                </c:manualLayout>
              </c:layout>
              <c:tx>
                <c:rich>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r>
                      <a:rPr lang="en-US" altLang="en-US"/>
                      <a:t>7</a:t>
                    </a:r>
                    <a:r>
                      <a:rPr altLang="en-US"/>
                      <a:t>%</a:t>
                    </a:r>
                    <a:endParaRPr altLang="en-US"/>
                  </a:p>
                </c:rich>
              </c:tx>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p>
              </c:txPr>
              <c:dLblPos val="inEnd"/>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
                  <c:y val="-0.0763888888888889"/>
                </c:manualLayout>
              </c:layout>
              <c:tx>
                <c:rich>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r>
                      <a:rPr lang="en-US" altLang="en-US"/>
                      <a:t>5.69</a:t>
                    </a:r>
                    <a:r>
                      <a:rPr altLang="en-US"/>
                      <a:t>%</a:t>
                    </a:r>
                    <a:endParaRPr altLang="en-US"/>
                  </a:p>
                </c:rich>
              </c:tx>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p>
              </c:txPr>
              <c:dLblPos val="inEnd"/>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方正兰亭黑_GBK" panose="02000000000000000000" charset="-122"/>
                    <a:cs typeface="Lucida Sans" panose="020B0602030504020204"/>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Sheet2!$A$2:$A$5</c:f>
              <c:strCache>
                <c:ptCount val="4"/>
                <c:pt idx="0">
                  <c:v>社会保障和就业支出</c:v>
                </c:pt>
                <c:pt idx="1">
                  <c:v>城乡社区支出</c:v>
                </c:pt>
                <c:pt idx="2">
                  <c:v>住房保障支出</c:v>
                </c:pt>
                <c:pt idx="3">
                  <c:v>卫生健康支出</c:v>
                </c:pt>
              </c:strCache>
            </c:strRef>
          </c:cat>
          <c:val>
            <c:numRef>
              <c:f>Sheet2!$B$2:$B$5</c:f>
              <c:numCache>
                <c:formatCode>#,##0.00</c:formatCode>
                <c:ptCount val="4"/>
                <c:pt idx="0">
                  <c:v>30.82</c:v>
                </c:pt>
                <c:pt idx="1">
                  <c:v>157.79</c:v>
                </c:pt>
                <c:pt idx="2">
                  <c:v>15.13</c:v>
                </c:pt>
                <c:pt idx="3" c:formatCode="General">
                  <c:v>12.29</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方正兰亭黑_GBK" panose="02000000000000000000" charset="-122"/>
              <a:cs typeface="Lucida Sans" panose="020B0602030504020204"/>
            </a:defRPr>
          </a:pPr>
        </a:p>
      </c:txPr>
    </c:legend>
    <c:plotVisOnly val="true"/>
    <c:dispBlanksAs val="zero"/>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方正兰亭黑_GBK" panose="02000000000000000000" charset="-122"/>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100" b="0" i="0" u="none" strike="noStrike" kern="1200" baseline="0">
                <a:solidFill>
                  <a:srgbClr val="000000"/>
                </a:solidFill>
                <a:latin typeface="宋体" charset="-122"/>
                <a:ea typeface="宋体" charset="-122"/>
                <a:cs typeface="Lucida Sans" panose="020B0602030504020204"/>
              </a:defRPr>
            </a:pPr>
            <a:r>
              <a:rPr lang="zh-CN" sz="1050" b="0" i="0" u="none" strike="noStrike" baseline="0">
                <a:solidFill>
                  <a:srgbClr val="000000"/>
                </a:solidFill>
                <a:latin typeface="宋体" charset="-122"/>
                <a:ea typeface="宋体" charset="-122"/>
                <a:cs typeface="Lucida Sans" panose="020B0602030504020204"/>
              </a:rPr>
              <a:t>“三公”经费财政拨款支出结构图 </a:t>
            </a:r>
            <a:r>
              <a:rPr lang="zh-CN" sz="900" b="0" i="0" u="none" strike="noStrike" baseline="0">
                <a:solidFill>
                  <a:srgbClr val="000000"/>
                </a:solidFill>
                <a:latin typeface="宋体" charset="-122"/>
                <a:ea typeface="宋体" charset="-122"/>
                <a:cs typeface="Lucida Sans" panose="020B0602030504020204"/>
              </a:rPr>
              <a:t>单位：万元</a:t>
            </a:r>
            <a:endParaRPr lang="zh-CN" sz="900" b="0" i="0" u="none" strike="noStrike" baseline="0">
              <a:solidFill>
                <a:srgbClr val="000000"/>
              </a:solidFill>
              <a:latin typeface="宋体" charset="-122"/>
              <a:ea typeface="宋体" charset="-122"/>
              <a:cs typeface="Lucida Sans" panose="020B0602030504020204"/>
            </a:endParaRPr>
          </a:p>
        </c:rich>
      </c:tx>
      <c:layout/>
      <c:overlay val="false"/>
      <c:spPr>
        <a:ln>
          <a:noFill/>
        </a:ln>
      </c:spPr>
    </c:title>
    <c:autoTitleDeleted val="false"/>
    <c:plotArea>
      <c:layout>
        <c:manualLayout>
          <c:layoutTarget val="inner"/>
          <c:xMode val="edge"/>
          <c:yMode val="edge"/>
          <c:x val="0.30521092"/>
          <c:y val="0.10869565"/>
          <c:w val="0.17866005"/>
          <c:h val="0.7826087"/>
        </c:manualLayout>
      </c:layout>
      <c:pieChart>
        <c:varyColors val="true"/>
        <c:ser>
          <c:idx val="0"/>
          <c:order val="0"/>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Pt>
            <c:idx val="2"/>
            <c:bubble3D val="false"/>
            <c:spPr>
              <a:solidFill>
                <a:srgbClr val="9999FF"/>
              </a:solidFill>
              <a:ln w="6350">
                <a:solidFill>
                  <a:srgbClr val="000000"/>
                </a:solidFill>
                <a:prstDash val="solid"/>
              </a:ln>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charset="-122"/>
                    <a:ea typeface="宋体"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(6)'!$A$1:$C$1</c:f>
              <c:strCache>
                <c:ptCount val="3"/>
                <c:pt idx="0">
                  <c:v>公务用车购置及运行维护费</c:v>
                </c:pt>
                <c:pt idx="1">
                  <c:v>公务接待费</c:v>
                </c:pt>
                <c:pt idx="2">
                  <c:v>因公出国（境)</c:v>
                </c:pt>
              </c:strCache>
            </c:strRef>
          </c:cat>
          <c:val>
            <c:numRef>
              <c:f>'Sheet1 (6)'!$A$2:$C$2</c:f>
              <c:numCache>
                <c:formatCode>General</c:formatCode>
                <c:ptCount val="3"/>
                <c:pt idx="0">
                  <c:v>0</c:v>
                </c:pt>
                <c:pt idx="1">
                  <c:v>0.29</c:v>
                </c:pt>
                <c:pt idx="2">
                  <c:v>0</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423003"/>
          <c:y val="0.18772683"/>
          <c:w val="0.288178920000001"/>
          <c:h val="0.525239169999999"/>
        </c:manualLayout>
      </c:layout>
      <c:overlay val="false"/>
      <c:spPr>
        <a:noFill/>
        <a:ln w="6350">
          <a:solidFill>
            <a:srgbClr val="000000"/>
          </a:solidFill>
          <a:prstDash val="solid"/>
        </a:ln>
      </c:spPr>
      <c:txPr>
        <a:bodyPr rot="0" spcFirstLastPara="0" vertOverflow="ellipsis" vert="horz" wrap="square" anchor="ctr" anchorCtr="true"/>
        <a:lstStyle/>
        <a:p>
          <a:pPr>
            <a:defRPr lang="zh-CN" sz="850" b="0" i="0" u="none" strike="noStrike" kern="1200" baseline="0">
              <a:solidFill>
                <a:srgbClr val="000000"/>
              </a:solidFill>
              <a:latin typeface="宋体" charset="-122"/>
              <a:ea typeface="宋体"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90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793</Words>
  <Characters>4525</Characters>
  <Lines>37</Lines>
  <Paragraphs>10</Paragraphs>
  <TotalTime>19</TotalTime>
  <ScaleCrop>false</ScaleCrop>
  <LinksUpToDate>false</LinksUpToDate>
  <CharactersWithSpaces>5308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2024-09-20T07:59:00Z</dcterms:created>
  <dc:creator>张彬茜</dc:creator>
  <cp:lastModifiedBy>user</cp:lastModifiedBy>
  <cp:lastPrinted>2024-09-12T08:37:00Z</cp:lastPrinted>
  <dcterms:modified xsi:type="dcterms:W3CDTF">2024-09-23T11:09:36Z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602C2709006F4FA6BBF23A5F43CCA924_13</vt:lpwstr>
  </property>
</Properties>
</file>