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2023年度</w:t>
      </w:r>
    </w:p>
    <w:p>
      <w:pPr>
        <w:pStyle w:val="2"/>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攀枝花市市政公用设施服务中心单位决算</w:t>
      </w:r>
    </w:p>
    <w:p>
      <w:pPr>
        <w:widowControl/>
        <w:suppressAutoHyphens/>
        <w:jc w:val="both"/>
        <w:rPr>
          <w:rFonts w:ascii="方正小标宋简体" w:hAnsi="宋体" w:eastAsia="方正小标宋简体"/>
          <w:color w:val="auto"/>
          <w:sz w:val="72"/>
          <w:szCs w:val="72"/>
          <w:highlight w:val="none"/>
        </w:rPr>
      </w:pPr>
      <w:r>
        <w:rPr>
          <w:rFonts w:ascii="方正小标宋简体" w:hAnsi="宋体" w:eastAsia="方正小标宋简体"/>
          <w:color w:val="auto"/>
          <w:sz w:val="72"/>
          <w:szCs w:val="72"/>
          <w:highlight w:val="none"/>
        </w:rPr>
        <w:br w:type="page"/>
      </w:r>
    </w:p>
    <w:p>
      <w:pPr>
        <w:widowControl/>
        <w:suppressAutoHyphens/>
        <w:jc w:val="center"/>
        <w:rPr>
          <w:rFonts w:ascii="黑体" w:eastAsia="黑体"/>
          <w:sz w:val="48"/>
          <w:szCs w:val="48"/>
        </w:rPr>
      </w:pPr>
      <w:r>
        <w:rPr>
          <w:rFonts w:hint="eastAsia" w:ascii="黑体" w:eastAsia="黑体" w:cs="黑体"/>
          <w:sz w:val="48"/>
          <w:szCs w:val="48"/>
        </w:rPr>
        <w:t>目录</w:t>
      </w:r>
    </w:p>
    <w:p>
      <w:pPr>
        <w:widowControl/>
        <w:suppressAutoHyphens/>
        <w:jc w:val="center"/>
        <w:rPr>
          <w:rFonts w:ascii="黑体" w:eastAsia="黑体"/>
          <w:sz w:val="28"/>
          <w:szCs w:val="28"/>
        </w:rPr>
      </w:pPr>
    </w:p>
    <w:p>
      <w:pPr>
        <w:pStyle w:val="11"/>
        <w:rPr>
          <w:rFonts w:hint="eastAsia" w:ascii="宋体" w:hAnsi="宋体" w:eastAsia="宋体" w:cs="宋体"/>
        </w:rPr>
      </w:pPr>
      <w:r>
        <w:rPr>
          <w:rFonts w:hint="eastAsia" w:ascii="宋体" w:hAnsi="宋体" w:eastAsia="宋体" w:cs="宋体"/>
        </w:rPr>
        <w:t>公开时间：202</w:t>
      </w:r>
      <w:r>
        <w:rPr>
          <w:rFonts w:hint="eastAsia" w:ascii="宋体" w:hAnsi="宋体" w:eastAsia="宋体" w:cs="宋体"/>
          <w:lang w:val="en-US" w:eastAsia="zh-CN"/>
        </w:rPr>
        <w:t>4</w:t>
      </w:r>
      <w:r>
        <w:rPr>
          <w:rFonts w:hint="eastAsia" w:ascii="宋体" w:hAnsi="宋体" w:eastAsia="宋体" w:cs="宋体"/>
        </w:rPr>
        <w:t>年9月</w:t>
      </w:r>
      <w:r>
        <w:rPr>
          <w:rFonts w:hint="eastAsia" w:ascii="宋体" w:hAnsi="宋体" w:eastAsia="宋体" w:cs="宋体"/>
          <w:lang w:val="en-US" w:eastAsia="zh-CN"/>
        </w:rPr>
        <w:t>23</w:t>
      </w:r>
      <w:r>
        <w:rPr>
          <w:rFonts w:hint="eastAsia" w:ascii="宋体" w:hAnsi="宋体" w:eastAsia="宋体" w:cs="宋体"/>
        </w:rPr>
        <w:t>日</w:t>
      </w:r>
    </w:p>
    <w:p/>
    <w:p>
      <w:pPr>
        <w:pStyle w:val="11"/>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t>4</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一、主要职责</w:t>
      </w:r>
      <w:r>
        <w:rPr>
          <w:rFonts w:hint="eastAsia" w:ascii="宋体" w:hAnsi="宋体" w:eastAsia="宋体" w:cs="宋体"/>
          <w:sz w:val="24"/>
          <w:szCs w:val="24"/>
        </w:rPr>
        <w:tab/>
      </w:r>
      <w:r>
        <w:rPr>
          <w:rFonts w:hint="eastAsia" w:ascii="宋体" w:hAnsi="宋体" w:eastAsia="宋体" w:cs="宋体"/>
          <w:sz w:val="24"/>
          <w:szCs w:val="24"/>
        </w:rPr>
        <w:t>4</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t>4</w:t>
      </w:r>
    </w:p>
    <w:p>
      <w:pPr>
        <w:pStyle w:val="11"/>
        <w:adjustRightInd w:val="0"/>
        <w:snapToGrid w:val="0"/>
        <w:spacing w:before="0" w:line="440" w:lineRule="exact"/>
        <w:jc w:val="left"/>
        <w:rPr>
          <w:rFonts w:hint="eastAsia" w:ascii="宋体" w:hAnsi="宋体" w:eastAsia="宋体" w:cs="宋体"/>
          <w:sz w:val="24"/>
          <w:szCs w:val="24"/>
        </w:rPr>
      </w:pPr>
      <w:r>
        <w:rPr>
          <w:rFonts w:hint="eastAsia" w:ascii="宋体" w:hAnsi="宋体" w:eastAsia="宋体" w:cs="宋体"/>
          <w:sz w:val="24"/>
          <w:szCs w:val="24"/>
        </w:rPr>
        <w:t>第二部分 202</w:t>
      </w:r>
      <w:r>
        <w:rPr>
          <w:rFonts w:hint="eastAsia" w:ascii="宋体" w:hAnsi="宋体" w:eastAsia="宋体" w:cs="宋体"/>
          <w:sz w:val="24"/>
          <w:szCs w:val="24"/>
          <w:lang w:val="en-US" w:eastAsia="zh-CN"/>
        </w:rPr>
        <w:t>3</w:t>
      </w:r>
      <w:r>
        <w:rPr>
          <w:rFonts w:hint="eastAsia" w:ascii="宋体" w:hAnsi="宋体" w:eastAsia="宋体" w:cs="宋体"/>
          <w:sz w:val="24"/>
          <w:szCs w:val="24"/>
        </w:rPr>
        <w:t>年度单位决算情况说明</w:t>
      </w:r>
      <w:r>
        <w:rPr>
          <w:rFonts w:hint="eastAsia" w:ascii="宋体" w:hAnsi="宋体" w:eastAsia="宋体" w:cs="宋体"/>
          <w:sz w:val="24"/>
          <w:szCs w:val="24"/>
        </w:rPr>
        <w:tab/>
      </w:r>
      <w:r>
        <w:rPr>
          <w:rFonts w:hint="eastAsia" w:ascii="宋体" w:hAnsi="宋体" w:eastAsia="宋体" w:cs="宋体"/>
          <w:sz w:val="24"/>
          <w:szCs w:val="24"/>
        </w:rPr>
        <w:t>5</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一、收入支出决算总体情况说明</w:t>
      </w:r>
      <w:r>
        <w:rPr>
          <w:rFonts w:hint="eastAsia" w:ascii="宋体" w:hAnsi="宋体" w:eastAsia="宋体" w:cs="宋体"/>
          <w:sz w:val="24"/>
          <w:szCs w:val="24"/>
        </w:rPr>
        <w:tab/>
      </w:r>
      <w:r>
        <w:rPr>
          <w:rFonts w:hint="eastAsia" w:ascii="宋体" w:hAnsi="宋体" w:eastAsia="宋体" w:cs="宋体"/>
          <w:sz w:val="24"/>
          <w:szCs w:val="24"/>
        </w:rPr>
        <w:t>5</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二、收入决算情况说明</w:t>
      </w:r>
      <w:r>
        <w:rPr>
          <w:rFonts w:hint="eastAsia" w:ascii="宋体" w:hAnsi="宋体" w:eastAsia="宋体" w:cs="宋体"/>
          <w:sz w:val="24"/>
          <w:szCs w:val="24"/>
        </w:rPr>
        <w:tab/>
      </w:r>
      <w:r>
        <w:rPr>
          <w:rFonts w:hint="eastAsia" w:ascii="宋体" w:hAnsi="宋体" w:eastAsia="宋体" w:cs="宋体"/>
          <w:sz w:val="24"/>
          <w:szCs w:val="24"/>
        </w:rPr>
        <w:t>5</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三、支出决算情况说明</w:t>
      </w:r>
      <w:r>
        <w:rPr>
          <w:rFonts w:hint="eastAsia" w:ascii="宋体" w:hAnsi="宋体" w:eastAsia="宋体" w:cs="宋体"/>
          <w:sz w:val="24"/>
          <w:szCs w:val="24"/>
        </w:rPr>
        <w:tab/>
      </w:r>
      <w:r>
        <w:rPr>
          <w:rFonts w:hint="eastAsia" w:ascii="宋体" w:hAnsi="宋体" w:eastAsia="宋体" w:cs="宋体"/>
          <w:sz w:val="24"/>
          <w:szCs w:val="24"/>
        </w:rPr>
        <w:t>6</w:t>
      </w:r>
    </w:p>
    <w:p>
      <w:pPr>
        <w:pStyle w:val="13"/>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t>7</w:t>
      </w:r>
    </w:p>
    <w:p>
      <w:pPr>
        <w:pStyle w:val="13"/>
        <w:adjustRightInd w:val="0"/>
        <w:snapToGrid w:val="0"/>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lang w:val="en-US" w:eastAsia="zh-CN"/>
        </w:rPr>
        <w:t>8</w:t>
      </w:r>
    </w:p>
    <w:p>
      <w:pPr>
        <w:pStyle w:val="13"/>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1</w:t>
      </w:r>
    </w:p>
    <w:p>
      <w:pPr>
        <w:pStyle w:val="13"/>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2</w:t>
      </w:r>
    </w:p>
    <w:p>
      <w:pPr>
        <w:pStyle w:val="13"/>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4</w:t>
      </w:r>
    </w:p>
    <w:p>
      <w:pPr>
        <w:pStyle w:val="13"/>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九、国有资本经营预算支出决算情况说明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4</w:t>
      </w:r>
    </w:p>
    <w:p>
      <w:pPr>
        <w:pStyle w:val="13"/>
        <w:adjustRightInd w:val="0"/>
        <w:snapToGrid w:val="0"/>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十、其他重要事项的情况说明</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4</w:t>
      </w:r>
    </w:p>
    <w:p>
      <w:pPr>
        <w:pStyle w:val="11"/>
        <w:adjustRightInd w:val="0"/>
        <w:snapToGrid w:val="0"/>
        <w:spacing w:before="0"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lang w:val="en-US" w:eastAsia="zh-CN"/>
        </w:rPr>
        <w:t>6</w:t>
      </w:r>
    </w:p>
    <w:p>
      <w:pPr>
        <w:pStyle w:val="11"/>
        <w:adjustRightInd w:val="0"/>
        <w:snapToGrid w:val="0"/>
        <w:spacing w:before="0"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第四部分 附件</w:t>
      </w:r>
      <w:r>
        <w:rPr>
          <w:rFonts w:hint="eastAsia" w:ascii="宋体" w:hAnsi="宋体" w:eastAsia="宋体" w:cs="宋体"/>
          <w:sz w:val="24"/>
          <w:szCs w:val="24"/>
        </w:rPr>
        <w:tab/>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9</w:t>
      </w:r>
    </w:p>
    <w:p>
      <w:pPr>
        <w:pStyle w:val="11"/>
        <w:adjustRightInd w:val="0"/>
        <w:snapToGrid w:val="0"/>
        <w:spacing w:before="0" w:line="440" w:lineRule="exact"/>
        <w:jc w:val="left"/>
        <w:rPr>
          <w:rFonts w:ascii="宋体" w:hAnsi="宋体" w:eastAsia="宋体" w:cs="宋体"/>
          <w:sz w:val="24"/>
          <w:szCs w:val="24"/>
          <w:lang w:val="en-US" w:eastAsia="zh-CN"/>
        </w:rPr>
      </w:pPr>
      <w:r>
        <w:rPr>
          <w:rFonts w:hint="eastAsia" w:ascii="宋体" w:hAnsi="宋体" w:eastAsia="宋体" w:cs="宋体"/>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b w:val="0"/>
          <w:bCs w:val="0"/>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八、一般公共预算财政拨款基本支出决算明细表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十一、国有资本经营预算财政拨款收入支出决算表(此表无数据)</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十二、国有资本经营预算财政拨款支出决算表(此表无数据)</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pStyle w:val="13"/>
        <w:adjustRightInd w:val="0"/>
        <w:snapToGrid w:val="0"/>
        <w:spacing w:line="440" w:lineRule="exact"/>
        <w:jc w:val="left"/>
        <w:rPr>
          <w:rFonts w:ascii="宋体" w:hAnsi="宋体" w:eastAsia="宋体" w:cs="宋体"/>
          <w:sz w:val="24"/>
          <w:szCs w:val="24"/>
          <w:lang w:val="en-US" w:eastAsia="zh-CN"/>
        </w:rPr>
      </w:pPr>
      <w:r>
        <w:rPr>
          <w:rFonts w:hint="eastAsia" w:ascii="宋体" w:hAnsi="宋体" w:eastAsia="宋体" w:cs="宋体"/>
          <w:sz w:val="24"/>
          <w:szCs w:val="24"/>
        </w:rPr>
        <w:t>十三、财政拨款“三公”经费支出决算表</w:t>
      </w:r>
      <w:r>
        <w:rPr>
          <w:rFonts w:hint="eastAsia" w:ascii="宋体" w:hAnsi="宋体" w:eastAsia="宋体" w:cs="宋体"/>
          <w:sz w:val="24"/>
          <w:szCs w:val="24"/>
        </w:rPr>
        <w:tab/>
      </w:r>
      <w:r>
        <w:rPr>
          <w:rFonts w:hint="eastAsia" w:ascii="宋体" w:hAnsi="宋体" w:eastAsia="宋体" w:cs="宋体"/>
          <w:sz w:val="24"/>
          <w:szCs w:val="24"/>
          <w:lang w:val="en-US" w:eastAsia="zh-CN"/>
        </w:rPr>
        <w:t>20</w:t>
      </w:r>
    </w:p>
    <w:p>
      <w:pPr>
        <w:widowControl/>
        <w:suppressAutoHyphens/>
        <w:adjustRightInd w:val="0"/>
        <w:snapToGrid w:val="0"/>
        <w:spacing w:line="440" w:lineRule="exact"/>
        <w:ind w:firstLine="1320" w:firstLineChars="550"/>
        <w:jc w:val="left"/>
        <w:rPr>
          <w:rFonts w:hint="eastAsia" w:ascii="宋体" w:hAnsi="宋体" w:eastAsia="宋体" w:cs="宋体"/>
          <w:color w:val="auto"/>
          <w:sz w:val="24"/>
          <w:szCs w:val="24"/>
          <w:highlight w:val="none"/>
        </w:rPr>
      </w:pPr>
    </w:p>
    <w:p>
      <w:pPr>
        <w:widowControl/>
        <w:suppressAutoHyphens/>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Style w:val="17"/>
          <w:rFonts w:ascii="黑体" w:hAnsi="黑体" w:eastAsia="黑体"/>
          <w:b/>
          <w:bCs w:val="0"/>
          <w:color w:val="auto"/>
          <w:highlight w:val="none"/>
        </w:rPr>
      </w:pPr>
      <w:bookmarkStart w:id="0" w:name="_Toc1213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7"/>
          <w:rFonts w:hint="eastAsia" w:ascii="黑体" w:hAnsi="黑体" w:eastAsia="黑体"/>
          <w:b w:val="0"/>
          <w:bCs w:val="0"/>
          <w:color w:val="auto"/>
          <w:highlight w:val="none"/>
        </w:rPr>
        <w:t>概况</w:t>
      </w:r>
      <w:bookmarkEnd w:id="0"/>
    </w:p>
    <w:p>
      <w:pPr>
        <w:widowControl/>
        <w:suppressAutoHyphens/>
        <w:jc w:val="left"/>
        <w:rPr>
          <w:rFonts w:ascii="黑体" w:eastAsia="黑体"/>
          <w:color w:val="auto"/>
          <w:sz w:val="32"/>
          <w:szCs w:val="32"/>
          <w:highlight w:val="none"/>
        </w:rPr>
      </w:pPr>
    </w:p>
    <w:p>
      <w:pPr>
        <w:pStyle w:val="4"/>
        <w:numPr>
          <w:ilvl w:val="0"/>
          <w:numId w:val="0"/>
        </w:numPr>
        <w:ind w:firstLine="640" w:firstLineChars="200"/>
        <w:rPr>
          <w:rStyle w:val="18"/>
          <w:rFonts w:hint="eastAsia" w:ascii="黑体" w:hAnsi="黑体" w:eastAsia="黑体"/>
          <w:b w:val="0"/>
          <w:bCs w:val="0"/>
          <w:color w:val="auto"/>
          <w:highlight w:val="none"/>
          <w:lang w:eastAsia="zh-CN"/>
        </w:rPr>
      </w:pPr>
      <w:bookmarkStart w:id="1" w:name="_Toc4412"/>
      <w:r>
        <w:rPr>
          <w:rStyle w:val="18"/>
          <w:rFonts w:hint="eastAsia" w:ascii="黑体" w:hAnsi="黑体" w:eastAsia="黑体"/>
          <w:b w:val="0"/>
          <w:bCs w:val="0"/>
          <w:color w:val="auto"/>
          <w:highlight w:val="none"/>
          <w:lang w:eastAsia="zh-CN"/>
        </w:rPr>
        <w:t>一、主要职责</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rPr>
        <w:t>负责建成区内城市主干道及快速路、城市桥涵、城市排水、城市照明、城市雕塑、隧道等市政公用设施维护、管理；负责城市道路挖掘、占用及市政配套设施的管理；组织起草本市市政行业管理的规范性文件，指导区县市政设施管理工作；参与市政设施的规划、市政工程建设前期论证、市政工程建设、市政工程竣工验收等。</w:t>
      </w:r>
    </w:p>
    <w:p>
      <w:pPr>
        <w:pStyle w:val="4"/>
        <w:numPr>
          <w:ilvl w:val="0"/>
          <w:numId w:val="0"/>
        </w:numPr>
        <w:ind w:leftChars="0" w:firstLine="640" w:firstLineChars="200"/>
        <w:rPr>
          <w:rFonts w:hint="eastAsia" w:ascii="黑体" w:hAnsi="黑体" w:eastAsia="黑体"/>
          <w:b w:val="0"/>
          <w:color w:val="auto"/>
          <w:highlight w:val="none"/>
          <w:lang w:val="en-US" w:eastAsia="zh-CN"/>
        </w:rPr>
      </w:pPr>
      <w:bookmarkStart w:id="2" w:name="_Toc2447"/>
      <w:r>
        <w:rPr>
          <w:rFonts w:hint="eastAsia" w:ascii="黑体" w:hAnsi="黑体" w:eastAsia="黑体"/>
          <w:b w:val="0"/>
          <w:color w:val="auto"/>
          <w:highlight w:val="none"/>
          <w:lang w:val="en-US" w:eastAsia="zh-CN"/>
        </w:rPr>
        <w:t>二、机构设置</w:t>
      </w:r>
      <w:bookmarkEnd w:id="2"/>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lang w:val="en-US" w:eastAsia="zh-CN"/>
        </w:rPr>
      </w:pPr>
      <w:r>
        <w:rPr>
          <w:rFonts w:hint="eastAsia" w:ascii="仿宋_GB2312" w:hAnsi="仿宋_GB2312" w:eastAsia="仿宋_GB2312" w:cs="仿宋_GB2312"/>
          <w:sz w:val="32"/>
          <w:szCs w:val="32"/>
          <w:lang w:eastAsia="zh-CN"/>
        </w:rPr>
        <w:t>为市住房城乡建设局二级单位，现有编制</w:t>
      </w:r>
      <w:r>
        <w:rPr>
          <w:rFonts w:hint="eastAsia" w:ascii="仿宋_GB2312" w:hAnsi="仿宋_GB2312" w:eastAsia="仿宋_GB2312" w:cs="仿宋_GB2312"/>
          <w:sz w:val="32"/>
          <w:szCs w:val="32"/>
          <w:lang w:val="en-US" w:eastAsia="zh-CN"/>
        </w:rPr>
        <w:t>145人，内设8个职能科室：党政办公室、财务科、劳人科、生产技术科、质量安全设备科、计划科、市政设施管理科、离退休管理科。6个管理单位：城市道路桥梁管理一所、城市道路桥梁管理二所、城市路灯管理所、城市排水管理所、物资供应站、有机生物（粪便无害化）处理站。</w:t>
      </w:r>
    </w:p>
    <w:p>
      <w:pPr>
        <w:widowControl/>
        <w:suppressAutoHyphens/>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7"/>
          <w:rFonts w:ascii="黑体" w:hAnsi="黑体" w:eastAsia="黑体"/>
          <w:b w:val="0"/>
          <w:bCs/>
          <w:color w:val="auto"/>
          <w:highlight w:val="none"/>
        </w:rPr>
      </w:pPr>
      <w:bookmarkStart w:id="3" w:name="_Toc3243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3"/>
    </w:p>
    <w:p>
      <w:pPr>
        <w:rPr>
          <w:color w:val="auto"/>
          <w:highlight w:val="none"/>
        </w:rPr>
      </w:pPr>
    </w:p>
    <w:p>
      <w:pPr>
        <w:pStyle w:val="19"/>
        <w:spacing w:line="600" w:lineRule="exact"/>
        <w:outlineLvl w:val="1"/>
        <w:rPr>
          <w:rStyle w:val="18"/>
          <w:rFonts w:ascii="黑体" w:hAnsi="黑体" w:eastAsia="黑体"/>
          <w:b w:val="0"/>
          <w:color w:val="auto"/>
          <w:highlight w:val="none"/>
        </w:rPr>
      </w:pPr>
      <w:bookmarkStart w:id="4" w:name="_Toc785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入支出决算总体情况说明</w:t>
      </w:r>
      <w:bookmarkEnd w:id="4"/>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lang w:val="en-US" w:eastAsia="zh-CN"/>
        </w:rPr>
        <w:t>5083.11</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相比，收、支总计各减少</w:t>
      </w:r>
      <w:r>
        <w:rPr>
          <w:rFonts w:hint="eastAsia" w:ascii="仿宋_GB2312" w:hAnsi="仿宋_GB2312" w:eastAsia="仿宋_GB2312" w:cs="仿宋_GB2312"/>
          <w:color w:val="auto"/>
          <w:sz w:val="32"/>
          <w:szCs w:val="32"/>
          <w:highlight w:val="none"/>
          <w:lang w:val="en-US" w:eastAsia="zh-CN"/>
        </w:rPr>
        <w:t>971.75</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16.04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sz w:val="32"/>
          <w:szCs w:val="32"/>
          <w:lang w:eastAsia="zh-CN"/>
        </w:rPr>
        <w:t>本年度一般公共服务支出较上年减少</w:t>
      </w:r>
      <w:r>
        <w:rPr>
          <w:rFonts w:hint="eastAsia" w:ascii="仿宋_GB2312" w:hAnsi="仿宋_GB2312" w:eastAsia="仿宋_GB2312" w:cs="仿宋_GB2312"/>
          <w:color w:val="auto"/>
          <w:sz w:val="32"/>
          <w:szCs w:val="32"/>
          <w:lang w:val="en-US" w:eastAsia="zh-CN"/>
        </w:rPr>
        <w:t>130.9</w:t>
      </w:r>
      <w:r>
        <w:rPr>
          <w:rFonts w:hint="eastAsia" w:ascii="仿宋_GB2312" w:hAnsi="仿宋_GB2312" w:eastAsia="仿宋_GB2312" w:cs="仿宋_GB2312"/>
          <w:sz w:val="32"/>
          <w:szCs w:val="32"/>
          <w:lang w:val="en-US" w:eastAsia="zh-CN"/>
        </w:rPr>
        <w:t>万元，社会保障和就业支出</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151.92万元，本年新增卫生健康支出150.1万元，</w:t>
      </w:r>
      <w:r>
        <w:rPr>
          <w:rFonts w:hint="eastAsia" w:ascii="仿宋_GB2312" w:hAnsi="仿宋_GB2312" w:eastAsia="仿宋_GB2312" w:cs="仿宋_GB2312"/>
          <w:sz w:val="32"/>
          <w:szCs w:val="32"/>
          <w:lang w:eastAsia="zh-CN"/>
        </w:rPr>
        <w:t>城乡社区支出较上年减少</w:t>
      </w:r>
      <w:r>
        <w:rPr>
          <w:rFonts w:hint="eastAsia" w:ascii="仿宋_GB2312" w:hAnsi="仿宋_GB2312" w:eastAsia="仿宋_GB2312" w:cs="仿宋_GB2312"/>
          <w:sz w:val="32"/>
          <w:szCs w:val="32"/>
          <w:lang w:val="en-US" w:eastAsia="zh-CN"/>
        </w:rPr>
        <w:t>998.43万元，</w:t>
      </w:r>
      <w:r>
        <w:rPr>
          <w:rFonts w:hint="eastAsia" w:ascii="仿宋_GB2312" w:hAnsi="仿宋_GB2312" w:eastAsia="仿宋_GB2312" w:cs="仿宋_GB2312"/>
          <w:sz w:val="32"/>
          <w:szCs w:val="32"/>
          <w:lang w:eastAsia="zh-CN"/>
        </w:rPr>
        <w:t>住房保障支出较上年减少</w:t>
      </w:r>
      <w:r>
        <w:rPr>
          <w:rFonts w:hint="eastAsia" w:ascii="仿宋_GB2312" w:hAnsi="仿宋_GB2312" w:eastAsia="仿宋_GB2312" w:cs="仿宋_GB2312"/>
          <w:sz w:val="32"/>
          <w:szCs w:val="32"/>
          <w:lang w:val="en-US" w:eastAsia="zh-CN"/>
        </w:rPr>
        <w:t>30.83万元，年初结转结余较上年减少113.61万元，正负相抵后减少971.75万元</w:t>
      </w:r>
      <w:r>
        <w:rPr>
          <w:rFonts w:hint="eastAsia" w:ascii="仿宋_GB2312" w:hAnsi="仿宋_GB2312" w:eastAsia="仿宋_GB2312" w:cs="仿宋_GB2312"/>
          <w:color w:val="auto"/>
          <w:sz w:val="32"/>
          <w:szCs w:val="32"/>
          <w:highlight w:val="none"/>
          <w:lang w:eastAsia="zh-CN"/>
        </w:rPr>
        <w:t>。</w:t>
      </w:r>
    </w:p>
    <w:p>
      <w:pPr>
        <w:pStyle w:val="1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352425</wp:posOffset>
            </wp:positionV>
            <wp:extent cx="5256530" cy="2503805"/>
            <wp:effectExtent l="4445" t="4445" r="15874" b="635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7"/>
        <w:ind w:firstLine="2880" w:firstLineChars="900"/>
        <w:jc w:val="both"/>
        <w:rPr>
          <w:rFonts w:ascii="仿宋" w:hAnsi="仿宋" w:eastAsia="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单位：万元</w:t>
      </w:r>
      <w:r>
        <w:rPr>
          <w:rFonts w:hint="eastAsia" w:ascii="仿宋_GB2312" w:hAnsi="仿宋_GB2312" w:eastAsia="仿宋_GB2312" w:cs="仿宋_GB2312"/>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 xml:space="preserve"> </w:t>
      </w:r>
    </w:p>
    <w:p>
      <w:pPr>
        <w:spacing w:line="600" w:lineRule="exact"/>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w:t>
      </w:r>
    </w:p>
    <w:p>
      <w:pPr>
        <w:pStyle w:val="19"/>
        <w:spacing w:line="600" w:lineRule="exact"/>
        <w:outlineLvl w:val="1"/>
        <w:rPr>
          <w:rStyle w:val="18"/>
          <w:rFonts w:ascii="黑体" w:hAnsi="黑体" w:eastAsia="黑体"/>
          <w:b w:val="0"/>
          <w:color w:val="auto"/>
          <w:highlight w:val="none"/>
        </w:rPr>
      </w:pPr>
      <w:bookmarkStart w:id="5" w:name="_Toc13184"/>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5"/>
    </w:p>
    <w:p>
      <w:pPr>
        <w:spacing w:line="600" w:lineRule="exact"/>
        <w:ind w:firstLine="640" w:firstLineChars="200"/>
        <w:outlineLvl w:val="1"/>
        <w:rPr>
          <w:rFonts w:hint="eastAsia" w:ascii="仿宋" w:hAnsi="仿宋" w:eastAsia="仿宋"/>
          <w:color w:val="auto"/>
          <w:sz w:val="32"/>
          <w:szCs w:val="32"/>
          <w:highlight w:val="none"/>
        </w:rPr>
      </w:pPr>
      <w:bookmarkStart w:id="6" w:name="_Toc32207"/>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本年收入合计</w:t>
      </w:r>
      <w:r>
        <w:rPr>
          <w:rFonts w:hint="eastAsia" w:ascii="仿宋_GB2312" w:hAnsi="仿宋_GB2312" w:eastAsia="仿宋_GB2312" w:cs="仿宋_GB2312"/>
          <w:color w:val="auto"/>
          <w:sz w:val="32"/>
          <w:szCs w:val="32"/>
          <w:highlight w:val="none"/>
          <w:lang w:val="en-US" w:eastAsia="zh-CN"/>
        </w:rPr>
        <w:t>4664.21</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3821.83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81.94</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842.38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18.06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bookmarkEnd w:id="6"/>
    </w:p>
    <w:p>
      <w:pPr>
        <w:pStyle w:val="2"/>
        <w:keepNext w:val="0"/>
        <w:keepLines w:val="0"/>
        <w:pageBreakBefore w:val="0"/>
        <w:widowControl w:val="0"/>
        <w:suppressAutoHyphens/>
        <w:kinsoku/>
        <w:wordWrap/>
        <w:overflowPunct/>
        <w:topLinePunct w:val="0"/>
        <w:autoSpaceDE/>
        <w:autoSpaceDN/>
        <w:bidi w:val="0"/>
        <w:adjustRightInd/>
        <w:snapToGrid/>
        <w:spacing w:line="360" w:lineRule="exact"/>
        <w:ind w:firstLine="3200" w:firstLineChars="10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-13970</wp:posOffset>
            </wp:positionH>
            <wp:positionV relativeFrom="paragraph">
              <wp:posOffset>191770</wp:posOffset>
            </wp:positionV>
            <wp:extent cx="5256530" cy="2531745"/>
            <wp:effectExtent l="4445" t="4445" r="15874" b="1651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b w:val="0"/>
          <w:bCs/>
          <w:color w:val="auto"/>
          <w:sz w:val="32"/>
          <w:szCs w:val="32"/>
          <w:highlight w:val="none"/>
          <w:lang w:eastAsia="zh-CN"/>
        </w:rPr>
        <w:t>单位：万元</w:t>
      </w:r>
    </w:p>
    <w:p>
      <w:pPr>
        <w:spacing w:line="600" w:lineRule="exact"/>
        <w:ind w:firstLine="1920" w:firstLineChars="600"/>
        <w:jc w:val="both"/>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w:t>
      </w:r>
    </w:p>
    <w:p>
      <w:pPr>
        <w:pStyle w:val="19"/>
        <w:spacing w:line="600" w:lineRule="exact"/>
        <w:outlineLvl w:val="1"/>
        <w:rPr>
          <w:rStyle w:val="18"/>
          <w:rFonts w:ascii="黑体" w:hAnsi="黑体" w:eastAsia="黑体"/>
          <w:b w:val="0"/>
          <w:color w:val="auto"/>
          <w:highlight w:val="none"/>
        </w:rPr>
      </w:pPr>
      <w:bookmarkStart w:id="7" w:name="_Toc385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8"/>
          <w:rFonts w:hint="eastAsia" w:ascii="黑体" w:hAnsi="黑体" w:eastAsia="黑体"/>
          <w:b w:val="0"/>
          <w:color w:val="auto"/>
          <w:highlight w:val="none"/>
        </w:rPr>
        <w:t>出决算情况说明</w:t>
      </w:r>
      <w:bookmarkEnd w:id="7"/>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8" w:name="_Toc11115"/>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本年支出合计</w:t>
      </w:r>
      <w:r>
        <w:rPr>
          <w:rFonts w:hint="eastAsia" w:ascii="仿宋_GB2312" w:hAnsi="仿宋_GB2312" w:eastAsia="仿宋_GB2312" w:cs="仿宋_GB2312"/>
          <w:color w:val="auto"/>
          <w:sz w:val="32"/>
          <w:szCs w:val="32"/>
          <w:highlight w:val="none"/>
          <w:lang w:val="en-US" w:eastAsia="zh-CN"/>
        </w:rPr>
        <w:t>5083.11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（含年初结转结余）</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3126.26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61.5</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1956.86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38.5</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bookmarkEnd w:id="8"/>
    </w:p>
    <w:p>
      <w:pPr>
        <w:spacing w:line="600" w:lineRule="exact"/>
        <w:jc w:val="center"/>
        <w:rPr>
          <w:rFonts w:hint="eastAsia" w:ascii="仿宋_GB2312" w:hAnsi="仿宋_GB2312" w:eastAsia="仿宋_GB2312" w:cs="仿宋_GB2312"/>
          <w:color w:val="auto"/>
          <w:sz w:val="32"/>
          <w:szCs w:val="32"/>
          <w:highlight w:val="none"/>
        </w:rPr>
      </w:pPr>
    </w:p>
    <w:p>
      <w:pPr>
        <w:spacing w:line="600" w:lineRule="exact"/>
        <w:jc w:val="center"/>
        <w:rPr>
          <w:rFonts w:hint="eastAsia" w:ascii="仿宋_GB2312" w:hAnsi="仿宋_GB2312" w:eastAsia="仿宋_GB2312" w:cs="仿宋_GB2312"/>
          <w:color w:val="auto"/>
          <w:sz w:val="32"/>
          <w:szCs w:val="32"/>
          <w:highlight w:val="none"/>
        </w:rPr>
      </w:pPr>
    </w:p>
    <w:p>
      <w:pPr>
        <w:spacing w:line="600" w:lineRule="exact"/>
        <w:jc w:val="center"/>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color w:val="auto"/>
          <w:sz w:val="32"/>
          <w:szCs w:val="32"/>
          <w:highlight w:val="none"/>
          <w:shd w:val="pct10" w:color="auto" w:fill="FFFFFF"/>
          <w:lang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98425</wp:posOffset>
            </wp:positionV>
            <wp:extent cx="5256530" cy="2483485"/>
            <wp:effectExtent l="4445" t="4445" r="15874" b="7620"/>
            <wp:wrapTight wrapText="bothSides">
              <wp:wrapPolygon>
                <wp:start x="-18" y="-55"/>
                <wp:lineTo x="-18" y="21566"/>
                <wp:lineTo x="21586" y="21566"/>
                <wp:lineTo x="21586" y="-55"/>
                <wp:lineTo x="-18" y="-55"/>
              </wp:wrapPolygon>
            </wp:wrapTight>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 w:val="0"/>
          <w:bCs/>
          <w:color w:val="auto"/>
          <w:sz w:val="32"/>
          <w:szCs w:val="32"/>
          <w:highlight w:val="none"/>
          <w:lang w:eastAsia="zh-CN"/>
        </w:rPr>
        <w:t>单位：万元</w:t>
      </w:r>
    </w:p>
    <w:p>
      <w:pPr>
        <w:pStyle w:val="2"/>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w:t>
      </w:r>
    </w:p>
    <w:p>
      <w:pPr>
        <w:pStyle w:val="2"/>
        <w:rPr>
          <w:rFonts w:hint="eastAsia"/>
          <w:lang w:eastAsia="zh-CN"/>
        </w:rPr>
      </w:pPr>
    </w:p>
    <w:p>
      <w:pPr>
        <w:spacing w:line="600" w:lineRule="exact"/>
        <w:outlineLvl w:val="1"/>
        <w:rPr>
          <w:rStyle w:val="18"/>
          <w:rFonts w:ascii="黑体" w:hAnsi="黑体" w:eastAsia="黑体"/>
          <w:b w:val="0"/>
          <w:color w:val="auto"/>
          <w:highlight w:val="none"/>
        </w:rPr>
      </w:pPr>
      <w:bookmarkStart w:id="9" w:name="_Toc17393"/>
      <w:r>
        <w:rPr>
          <w:rFonts w:hint="eastAsia" w:ascii="黑体" w:hAnsi="黑体" w:eastAsia="黑体"/>
          <w:color w:val="auto"/>
          <w:sz w:val="32"/>
          <w:szCs w:val="32"/>
          <w:highlight w:val="none"/>
        </w:rPr>
        <w:t>四、财</w:t>
      </w:r>
      <w:r>
        <w:rPr>
          <w:rStyle w:val="18"/>
          <w:rFonts w:hint="eastAsia" w:ascii="黑体" w:hAnsi="黑体" w:eastAsia="黑体"/>
          <w:b w:val="0"/>
          <w:color w:val="auto"/>
          <w:highlight w:val="none"/>
        </w:rPr>
        <w:t>政拨款收入支出决算总体情况说明</w:t>
      </w:r>
      <w:bookmarkEnd w:id="9"/>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lang w:val="en-US" w:eastAsia="zh-CN"/>
        </w:rPr>
        <w:t>4969.51</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相比，财政拨款收、支总计各减少</w:t>
      </w:r>
      <w:r>
        <w:rPr>
          <w:rFonts w:hint="eastAsia" w:ascii="仿宋_GB2312" w:hAnsi="仿宋_GB2312" w:eastAsia="仿宋_GB2312" w:cs="仿宋_GB2312"/>
          <w:color w:val="auto"/>
          <w:sz w:val="32"/>
          <w:szCs w:val="32"/>
          <w:highlight w:val="none"/>
          <w:lang w:val="en-US" w:eastAsia="zh-CN"/>
        </w:rPr>
        <w:t>971.75</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16.36</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sz w:val="32"/>
          <w:szCs w:val="32"/>
          <w:lang w:eastAsia="zh-CN"/>
        </w:rPr>
        <w:t>本年度一般公共服务支出较上年减少</w:t>
      </w:r>
      <w:r>
        <w:rPr>
          <w:rFonts w:hint="eastAsia" w:ascii="仿宋_GB2312" w:hAnsi="仿宋_GB2312" w:eastAsia="仿宋_GB2312" w:cs="仿宋_GB2312"/>
          <w:sz w:val="32"/>
          <w:szCs w:val="32"/>
          <w:lang w:val="en-US" w:eastAsia="zh-CN"/>
        </w:rPr>
        <w:t>130.9万元，社会保障和就业支出</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151.92万元，本年新增卫生健康支出150.1万元，</w:t>
      </w:r>
      <w:r>
        <w:rPr>
          <w:rFonts w:hint="eastAsia" w:ascii="仿宋_GB2312" w:hAnsi="仿宋_GB2312" w:eastAsia="仿宋_GB2312" w:cs="仿宋_GB2312"/>
          <w:sz w:val="32"/>
          <w:szCs w:val="32"/>
          <w:lang w:eastAsia="zh-CN"/>
        </w:rPr>
        <w:t>城乡社区支出较上年减少</w:t>
      </w:r>
      <w:r>
        <w:rPr>
          <w:rFonts w:hint="eastAsia" w:ascii="仿宋_GB2312" w:hAnsi="仿宋_GB2312" w:eastAsia="仿宋_GB2312" w:cs="仿宋_GB2312"/>
          <w:sz w:val="32"/>
          <w:szCs w:val="32"/>
          <w:lang w:val="en-US" w:eastAsia="zh-CN"/>
        </w:rPr>
        <w:t>998.43万元，</w:t>
      </w:r>
      <w:r>
        <w:rPr>
          <w:rFonts w:hint="eastAsia" w:ascii="仿宋_GB2312" w:hAnsi="仿宋_GB2312" w:eastAsia="仿宋_GB2312" w:cs="仿宋_GB2312"/>
          <w:sz w:val="32"/>
          <w:szCs w:val="32"/>
          <w:lang w:eastAsia="zh-CN"/>
        </w:rPr>
        <w:t>住房保障支出较上年减少</w:t>
      </w:r>
      <w:r>
        <w:rPr>
          <w:rFonts w:hint="eastAsia" w:ascii="仿宋_GB2312" w:hAnsi="仿宋_GB2312" w:eastAsia="仿宋_GB2312" w:cs="仿宋_GB2312"/>
          <w:sz w:val="32"/>
          <w:szCs w:val="32"/>
          <w:lang w:val="en-US" w:eastAsia="zh-CN"/>
        </w:rPr>
        <w:t>30.83万元，年初结转结余较上年减少113.61万元，正负相抵后减少971.75万元</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hint="eastAsia" w:ascii="仿宋" w:hAnsi="仿宋" w:eastAsia="仿宋"/>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300" w:lineRule="exact"/>
        <w:ind w:firstLine="641"/>
        <w:textAlignment w:val="auto"/>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drawing>
          <wp:inline distT="0" distB="0" distL="114300" distR="114300">
            <wp:extent cx="5256530" cy="2798445"/>
            <wp:effectExtent l="4445" t="4445" r="15874" b="1651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keepNext w:val="0"/>
        <w:keepLines w:val="0"/>
        <w:pageBreakBefore w:val="0"/>
        <w:widowControl w:val="0"/>
        <w:suppressAutoHyphens/>
        <w:kinsoku/>
        <w:wordWrap/>
        <w:overflowPunct/>
        <w:topLinePunct w:val="0"/>
        <w:autoSpaceDE/>
        <w:autoSpaceDN/>
        <w:bidi w:val="0"/>
        <w:adjustRightInd/>
        <w:snapToGrid/>
        <w:spacing w:line="360" w:lineRule="exact"/>
        <w:ind w:firstLine="3200" w:firstLineChars="10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单位：万元</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w:t>
      </w:r>
    </w:p>
    <w:p>
      <w:pPr>
        <w:pStyle w:val="2"/>
      </w:pPr>
    </w:p>
    <w:p>
      <w:pPr>
        <w:spacing w:line="600" w:lineRule="exact"/>
        <w:ind w:firstLine="640" w:firstLineChars="200"/>
        <w:outlineLvl w:val="1"/>
        <w:rPr>
          <w:rStyle w:val="18"/>
          <w:rFonts w:ascii="黑体" w:hAnsi="黑体" w:eastAsia="黑体"/>
          <w:b w:val="0"/>
          <w:color w:val="auto"/>
          <w:highlight w:val="none"/>
        </w:rPr>
      </w:pPr>
      <w:bookmarkStart w:id="10" w:name="_Toc22483"/>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般公共预算财政拨款支出决算情况说明</w:t>
      </w:r>
      <w:bookmarkEnd w:id="10"/>
    </w:p>
    <w:p>
      <w:pPr>
        <w:spacing w:line="600" w:lineRule="exact"/>
        <w:ind w:firstLine="642" w:firstLineChars="200"/>
        <w:outlineLvl w:val="2"/>
        <w:rPr>
          <w:rFonts w:hint="eastAsia" w:ascii="仿宋" w:hAnsi="仿宋" w:eastAsia="仿宋" w:cs="仿宋"/>
          <w:b/>
          <w:color w:val="auto"/>
          <w:sz w:val="32"/>
          <w:szCs w:val="32"/>
          <w:highlight w:val="none"/>
        </w:rPr>
      </w:pPr>
      <w:bookmarkStart w:id="11" w:name="_Toc20799"/>
      <w:r>
        <w:rPr>
          <w:rFonts w:hint="eastAsia" w:ascii="仿宋" w:hAnsi="仿宋" w:eastAsia="仿宋" w:cs="仿宋"/>
          <w:b/>
          <w:color w:val="auto"/>
          <w:sz w:val="32"/>
          <w:szCs w:val="32"/>
          <w:highlight w:val="none"/>
        </w:rPr>
        <w:t>（一）一般公共预算财政拨款支出决算总体情况</w:t>
      </w:r>
      <w:bookmarkEnd w:id="11"/>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4127.14</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81.19</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947.04</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18.66</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sz w:val="32"/>
          <w:szCs w:val="32"/>
          <w:lang w:eastAsia="zh-CN"/>
        </w:rPr>
        <w:t>本年度一般公共服务支出较上年减少</w:t>
      </w:r>
      <w:r>
        <w:rPr>
          <w:rFonts w:hint="eastAsia" w:ascii="仿宋_GB2312" w:hAnsi="仿宋_GB2312" w:eastAsia="仿宋_GB2312" w:cs="仿宋_GB2312"/>
          <w:sz w:val="32"/>
          <w:szCs w:val="32"/>
          <w:lang w:val="en-US" w:eastAsia="zh-CN"/>
        </w:rPr>
        <w:t>130.9万元，社会保障和就业支出</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151.92万元，本年新增卫生健康支出150.1万元，</w:t>
      </w:r>
      <w:r>
        <w:rPr>
          <w:rFonts w:hint="eastAsia" w:ascii="仿宋_GB2312" w:hAnsi="仿宋_GB2312" w:eastAsia="仿宋_GB2312" w:cs="仿宋_GB2312"/>
          <w:sz w:val="32"/>
          <w:szCs w:val="32"/>
          <w:lang w:eastAsia="zh-CN"/>
        </w:rPr>
        <w:t>城乡社区支出较上年减少</w:t>
      </w:r>
      <w:r>
        <w:rPr>
          <w:rFonts w:hint="eastAsia" w:ascii="仿宋_GB2312" w:hAnsi="仿宋_GB2312" w:eastAsia="仿宋_GB2312" w:cs="仿宋_GB2312"/>
          <w:sz w:val="32"/>
          <w:szCs w:val="32"/>
          <w:lang w:val="en-US" w:eastAsia="zh-CN"/>
        </w:rPr>
        <w:t>1087.33万元，</w:t>
      </w:r>
      <w:r>
        <w:rPr>
          <w:rFonts w:hint="eastAsia" w:ascii="仿宋_GB2312" w:hAnsi="仿宋_GB2312" w:eastAsia="仿宋_GB2312" w:cs="仿宋_GB2312"/>
          <w:sz w:val="32"/>
          <w:szCs w:val="32"/>
          <w:lang w:eastAsia="zh-CN"/>
        </w:rPr>
        <w:t>住房保障支出较上年减少</w:t>
      </w:r>
      <w:r>
        <w:rPr>
          <w:rFonts w:hint="eastAsia" w:ascii="仿宋_GB2312" w:hAnsi="仿宋_GB2312" w:eastAsia="仿宋_GB2312" w:cs="仿宋_GB2312"/>
          <w:sz w:val="32"/>
          <w:szCs w:val="32"/>
          <w:lang w:val="en-US" w:eastAsia="zh-CN"/>
        </w:rPr>
        <w:t>30.83万元，正负相抵后减少947.04万元</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 w:hAnsi="仿宋" w:eastAsia="仿宋"/>
          <w:color w:val="auto"/>
          <w:sz w:val="32"/>
          <w:szCs w:val="32"/>
          <w:highlight w:val="none"/>
        </w:rPr>
      </w:pPr>
    </w:p>
    <w:p>
      <w:pPr>
        <w:pStyle w:val="7"/>
        <w:keepNext w:val="0"/>
        <w:keepLines w:val="0"/>
        <w:pageBreakBefore w:val="0"/>
        <w:widowControl w:val="0"/>
        <w:suppressAutoHyphens/>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222885</wp:posOffset>
            </wp:positionV>
            <wp:extent cx="5256530" cy="2293620"/>
            <wp:effectExtent l="5080" t="4445" r="15240" b="6984"/>
            <wp:wrapTopAndBottom/>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单位：万元</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w:t>
      </w:r>
    </w:p>
    <w:p>
      <w:pPr>
        <w:spacing w:line="600" w:lineRule="exact"/>
        <w:ind w:firstLine="642" w:firstLineChars="200"/>
        <w:outlineLvl w:val="2"/>
        <w:rPr>
          <w:rFonts w:hint="eastAsia" w:ascii="仿宋" w:hAnsi="仿宋" w:eastAsia="仿宋" w:cs="仿宋"/>
          <w:b/>
          <w:bCs w:val="0"/>
          <w:color w:val="auto"/>
          <w:sz w:val="32"/>
          <w:szCs w:val="32"/>
          <w:highlight w:val="none"/>
        </w:rPr>
      </w:pPr>
      <w:bookmarkStart w:id="12" w:name="_Toc7539"/>
      <w:r>
        <w:rPr>
          <w:rFonts w:hint="eastAsia" w:ascii="仿宋" w:hAnsi="仿宋" w:eastAsia="仿宋" w:cs="仿宋"/>
          <w:b/>
          <w:bCs w:val="0"/>
          <w:color w:val="auto"/>
          <w:sz w:val="32"/>
          <w:szCs w:val="32"/>
          <w:highlight w:val="none"/>
        </w:rPr>
        <w:t>（二）一般公共预算财政拨款支出决算结构情况</w:t>
      </w:r>
      <w:bookmarkEnd w:id="12"/>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4127.14</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bCs w:val="0"/>
          <w:color w:val="auto"/>
          <w:sz w:val="32"/>
          <w:szCs w:val="32"/>
          <w:highlight w:val="none"/>
        </w:rPr>
        <w:t>一般公共服务支出</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0.37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highlight w:val="none"/>
        </w:rPr>
        <w:t>教育支出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val="0"/>
          <w:color w:val="auto"/>
          <w:sz w:val="32"/>
          <w:szCs w:val="32"/>
          <w:highlight w:val="none"/>
        </w:rPr>
        <w:t>科学技术支出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941.43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22.81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val="0"/>
          <w:sz w:val="32"/>
          <w:szCs w:val="32"/>
        </w:rPr>
        <w:t>城乡社区支出</w:t>
      </w:r>
      <w:r>
        <w:rPr>
          <w:rFonts w:hint="eastAsia" w:ascii="仿宋_GB2312" w:hAnsi="仿宋_GB2312" w:eastAsia="仿宋_GB2312" w:cs="仿宋_GB2312"/>
          <w:b w:val="0"/>
          <w:bCs/>
          <w:sz w:val="32"/>
          <w:szCs w:val="32"/>
          <w:lang w:val="en-US" w:eastAsia="zh-CN"/>
        </w:rPr>
        <w:t>2835.26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68.7</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150.10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3.64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185.05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4.48</w:t>
      </w:r>
      <w:r>
        <w:rPr>
          <w:rFonts w:hint="eastAsia" w:ascii="仿宋_GB2312" w:hAnsi="仿宋_GB2312" w:eastAsia="仿宋_GB2312" w:cs="仿宋_GB2312"/>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00" w:lineRule="exact"/>
        <w:ind w:firstLine="641"/>
        <w:textAlignment w:val="auto"/>
        <w:rPr>
          <w:rFonts w:ascii="仿宋" w:hAnsi="仿宋" w:eastAsia="仿宋"/>
          <w:color w:val="auto"/>
          <w:sz w:val="32"/>
          <w:szCs w:val="32"/>
          <w:highlight w:val="none"/>
        </w:rPr>
      </w:pPr>
    </w:p>
    <w:p>
      <w:pPr>
        <w:pStyle w:val="7"/>
        <w:ind w:left="0" w:leftChars="0" w:firstLine="0" w:firstLineChars="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291080"/>
            <wp:effectExtent l="4445" t="4445" r="15874" b="9525"/>
            <wp:docPr id="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keepNext w:val="0"/>
        <w:keepLines w:val="0"/>
        <w:pageBreakBefore w:val="0"/>
        <w:widowControl w:val="0"/>
        <w:suppressAutoHyphens/>
        <w:kinsoku/>
        <w:wordWrap/>
        <w:overflowPunct/>
        <w:topLinePunct w:val="0"/>
        <w:autoSpaceDE/>
        <w:autoSpaceDN/>
        <w:bidi w:val="0"/>
        <w:adjustRightInd/>
        <w:snapToGrid/>
        <w:spacing w:line="360" w:lineRule="exact"/>
        <w:ind w:firstLine="3200" w:firstLineChars="10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单位：万元</w:t>
      </w:r>
    </w:p>
    <w:p>
      <w:pPr>
        <w:spacing w:line="600" w:lineRule="exact"/>
        <w:ind w:firstLine="640" w:firstLineChars="200"/>
        <w:jc w:val="center"/>
        <w:rPr>
          <w:rFonts w:hint="eastAsia" w:ascii="仿宋_GB2312" w:hAnsi="仿宋_GB2312" w:eastAsia="仿宋_GB2312" w:cs="仿宋_GB2312"/>
          <w:color w:val="auto"/>
          <w:sz w:val="32"/>
          <w:szCs w:val="32"/>
          <w:highlight w:val="none"/>
        </w:rPr>
      </w:pPr>
    </w:p>
    <w:p>
      <w:pPr>
        <w:spacing w:line="60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w:t>
      </w:r>
    </w:p>
    <w:p>
      <w:pPr>
        <w:spacing w:line="600" w:lineRule="exact"/>
        <w:ind w:firstLine="642" w:firstLineChars="200"/>
        <w:outlineLvl w:val="2"/>
        <w:rPr>
          <w:rFonts w:hint="eastAsia" w:ascii="仿宋" w:hAnsi="仿宋" w:eastAsia="仿宋" w:cs="仿宋"/>
          <w:b/>
          <w:bCs w:val="0"/>
          <w:color w:val="auto"/>
          <w:sz w:val="32"/>
          <w:szCs w:val="32"/>
          <w:highlight w:val="none"/>
        </w:rPr>
      </w:pPr>
      <w:bookmarkStart w:id="13" w:name="_Toc18523"/>
      <w:r>
        <w:rPr>
          <w:rFonts w:hint="eastAsia" w:ascii="仿宋" w:hAnsi="仿宋" w:eastAsia="仿宋" w:cs="仿宋"/>
          <w:b/>
          <w:bCs w:val="0"/>
          <w:color w:val="auto"/>
          <w:sz w:val="32"/>
          <w:szCs w:val="32"/>
          <w:highlight w:val="none"/>
        </w:rPr>
        <w:t>（三）一般公共预算财政拨款支出决算具体情况</w:t>
      </w:r>
      <w:bookmarkEnd w:id="13"/>
    </w:p>
    <w:p>
      <w:pPr>
        <w:spacing w:line="600" w:lineRule="exact"/>
        <w:ind w:firstLine="642" w:firstLineChars="200"/>
        <w:outlineLvl w:val="2"/>
        <w:rPr>
          <w:rFonts w:hint="eastAsia" w:ascii="仿宋_GB2312" w:hAnsi="仿宋_GB2312" w:eastAsia="仿宋_GB2312" w:cs="仿宋_GB2312"/>
          <w:b/>
          <w:bCs w:val="0"/>
          <w:color w:val="auto"/>
          <w:sz w:val="32"/>
          <w:szCs w:val="32"/>
          <w:highlight w:val="none"/>
        </w:rPr>
      </w:pPr>
      <w:bookmarkStart w:id="14" w:name="_Toc11850"/>
      <w:r>
        <w:rPr>
          <w:rFonts w:hint="eastAsia" w:ascii="仿宋_GB2312" w:hAnsi="仿宋_GB2312" w:eastAsia="仿宋_GB2312" w:cs="仿宋_GB2312"/>
          <w:b/>
          <w:bCs w:val="0"/>
          <w:color w:val="auto"/>
          <w:sz w:val="32"/>
          <w:szCs w:val="32"/>
          <w:highlight w:val="none"/>
          <w:lang w:eastAsia="zh-CN"/>
        </w:rPr>
        <w:t>2023</w:t>
      </w:r>
      <w:r>
        <w:rPr>
          <w:rFonts w:hint="eastAsia" w:ascii="仿宋_GB2312" w:hAnsi="仿宋_GB2312" w:eastAsia="仿宋_GB2312" w:cs="仿宋_GB2312"/>
          <w:b/>
          <w:bCs w:val="0"/>
          <w:color w:val="auto"/>
          <w:sz w:val="32"/>
          <w:szCs w:val="32"/>
          <w:highlight w:val="none"/>
        </w:rPr>
        <w:t>年</w:t>
      </w:r>
      <w:r>
        <w:rPr>
          <w:rFonts w:hint="eastAsia" w:ascii="仿宋_GB2312" w:hAnsi="仿宋_GB2312" w:eastAsia="仿宋_GB2312" w:cs="仿宋_GB2312"/>
          <w:b/>
          <w:bCs w:val="0"/>
          <w:color w:val="auto"/>
          <w:sz w:val="32"/>
          <w:szCs w:val="32"/>
          <w:highlight w:val="none"/>
          <w:lang w:eastAsia="zh-CN"/>
        </w:rPr>
        <w:t>度一</w:t>
      </w:r>
      <w:r>
        <w:rPr>
          <w:rFonts w:hint="eastAsia" w:ascii="仿宋_GB2312" w:hAnsi="仿宋_GB2312" w:eastAsia="仿宋_GB2312" w:cs="仿宋_GB2312"/>
          <w:b/>
          <w:bCs w:val="0"/>
          <w:color w:val="auto"/>
          <w:sz w:val="32"/>
          <w:szCs w:val="32"/>
          <w:highlight w:val="none"/>
        </w:rPr>
        <w:t>般公共预算支出决算数为</w:t>
      </w:r>
      <w:r>
        <w:rPr>
          <w:rFonts w:hint="eastAsia" w:ascii="仿宋_GB2312" w:hAnsi="仿宋_GB2312" w:eastAsia="仿宋_GB2312" w:cs="仿宋_GB2312"/>
          <w:b/>
          <w:bCs w:val="0"/>
          <w:color w:val="auto"/>
          <w:sz w:val="32"/>
          <w:szCs w:val="32"/>
          <w:highlight w:val="none"/>
          <w:lang w:val="en-US" w:eastAsia="zh-CN"/>
        </w:rPr>
        <w:t>4127.14万元</w:t>
      </w:r>
      <w:r>
        <w:rPr>
          <w:rFonts w:hint="eastAsia" w:ascii="仿宋_GB2312" w:hAnsi="仿宋_GB2312" w:eastAsia="仿宋_GB2312" w:cs="仿宋_GB2312"/>
          <w:b/>
          <w:bCs w:val="0"/>
          <w:color w:val="auto"/>
          <w:sz w:val="32"/>
          <w:szCs w:val="32"/>
          <w:highlight w:val="none"/>
        </w:rPr>
        <w:t>，</w:t>
      </w:r>
      <w:r>
        <w:rPr>
          <w:rStyle w:val="16"/>
          <w:rFonts w:hint="eastAsia" w:ascii="仿宋_GB2312" w:hAnsi="仿宋_GB2312" w:eastAsia="仿宋_GB2312" w:cs="仿宋_GB2312"/>
          <w:b/>
          <w:bCs w:val="0"/>
          <w:color w:val="auto"/>
          <w:sz w:val="32"/>
          <w:szCs w:val="32"/>
          <w:highlight w:val="none"/>
        </w:rPr>
        <w:t>完成预算</w:t>
      </w:r>
      <w:r>
        <w:rPr>
          <w:rStyle w:val="16"/>
          <w:rFonts w:hint="eastAsia" w:ascii="仿宋_GB2312" w:hAnsi="仿宋_GB2312" w:eastAsia="仿宋_GB2312" w:cs="仿宋_GB2312"/>
          <w:b/>
          <w:bCs w:val="0"/>
          <w:color w:val="auto"/>
          <w:sz w:val="32"/>
          <w:szCs w:val="32"/>
          <w:highlight w:val="none"/>
          <w:lang w:val="en-US" w:eastAsia="zh-CN"/>
        </w:rPr>
        <w:t>100</w:t>
      </w:r>
      <w:r>
        <w:rPr>
          <w:rStyle w:val="16"/>
          <w:rFonts w:hint="eastAsia" w:ascii="仿宋_GB2312" w:hAnsi="仿宋_GB2312" w:eastAsia="仿宋_GB2312" w:cs="仿宋_GB2312"/>
          <w:b/>
          <w:bCs w:val="0"/>
          <w:color w:val="auto"/>
          <w:sz w:val="32"/>
          <w:szCs w:val="32"/>
          <w:highlight w:val="none"/>
        </w:rPr>
        <w:t>%。其中：</w:t>
      </w:r>
      <w:bookmarkEnd w:id="14"/>
    </w:p>
    <w:p>
      <w:pPr>
        <w:spacing w:line="600" w:lineRule="exact"/>
        <w:ind w:firstLine="642" w:firstLineChars="200"/>
        <w:rPr>
          <w:rFonts w:hint="eastAsia" w:ascii="仿宋_GB2312" w:hAnsi="仿宋_GB2312" w:eastAsia="仿宋_GB2312" w:cs="仿宋_GB2312"/>
          <w:b/>
          <w:color w:val="auto"/>
          <w:sz w:val="32"/>
          <w:szCs w:val="32"/>
          <w:highlight w:val="none"/>
        </w:rPr>
      </w:pPr>
      <w:r>
        <w:rPr>
          <w:rStyle w:val="16"/>
          <w:rFonts w:hint="eastAsia" w:ascii="仿宋_GB2312" w:hAnsi="仿宋_GB2312" w:eastAsia="仿宋_GB2312" w:cs="仿宋_GB2312"/>
          <w:b/>
          <w:bCs/>
          <w:color w:val="auto"/>
          <w:sz w:val="32"/>
          <w:szCs w:val="32"/>
          <w:highlight w:val="none"/>
        </w:rPr>
        <w:t>1.一般公共服务</w:t>
      </w:r>
      <w:r>
        <w:rPr>
          <w:rStyle w:val="16"/>
          <w:rFonts w:hint="eastAsia" w:ascii="仿宋_GB2312" w:hAnsi="仿宋_GB2312" w:eastAsia="仿宋_GB2312" w:cs="仿宋_GB2312"/>
          <w:b/>
          <w:bCs/>
          <w:color w:val="auto"/>
          <w:sz w:val="32"/>
          <w:szCs w:val="32"/>
          <w:highlight w:val="none"/>
          <w:lang w:val="en-US" w:eastAsia="zh-CN"/>
        </w:rPr>
        <w:t>201</w:t>
      </w:r>
      <w:r>
        <w:rPr>
          <w:rStyle w:val="16"/>
          <w:rFonts w:hint="eastAsia" w:ascii="仿宋_GB2312" w:hAnsi="仿宋_GB2312" w:eastAsia="仿宋_GB2312" w:cs="仿宋_GB2312"/>
          <w:b/>
          <w:bCs/>
          <w:color w:val="auto"/>
          <w:sz w:val="32"/>
          <w:szCs w:val="32"/>
          <w:highlight w:val="none"/>
        </w:rPr>
        <w:t>（类）市场监督管理事务</w:t>
      </w:r>
      <w:r>
        <w:rPr>
          <w:rStyle w:val="16"/>
          <w:rFonts w:hint="eastAsia" w:ascii="仿宋_GB2312" w:hAnsi="仿宋_GB2312" w:eastAsia="仿宋_GB2312" w:cs="仿宋_GB2312"/>
          <w:b/>
          <w:bCs/>
          <w:color w:val="auto"/>
          <w:sz w:val="32"/>
          <w:szCs w:val="32"/>
          <w:highlight w:val="none"/>
          <w:lang w:val="en-US" w:eastAsia="zh-CN"/>
        </w:rPr>
        <w:t>38</w:t>
      </w:r>
      <w:r>
        <w:rPr>
          <w:rStyle w:val="16"/>
          <w:rFonts w:hint="eastAsia" w:ascii="仿宋_GB2312" w:hAnsi="仿宋_GB2312" w:eastAsia="仿宋_GB2312" w:cs="仿宋_GB2312"/>
          <w:b/>
          <w:bCs/>
          <w:color w:val="auto"/>
          <w:sz w:val="32"/>
          <w:szCs w:val="32"/>
          <w:highlight w:val="none"/>
        </w:rPr>
        <w:t>（款）食品安全监管</w:t>
      </w:r>
      <w:r>
        <w:rPr>
          <w:rStyle w:val="16"/>
          <w:rFonts w:hint="eastAsia" w:ascii="仿宋_GB2312" w:hAnsi="仿宋_GB2312" w:eastAsia="仿宋_GB2312" w:cs="仿宋_GB2312"/>
          <w:b/>
          <w:bCs/>
          <w:color w:val="auto"/>
          <w:sz w:val="32"/>
          <w:szCs w:val="32"/>
          <w:highlight w:val="none"/>
          <w:lang w:val="en-US" w:eastAsia="zh-CN"/>
        </w:rPr>
        <w:t>16</w:t>
      </w:r>
      <w:r>
        <w:rPr>
          <w:rStyle w:val="16"/>
          <w:rFonts w:hint="eastAsia" w:ascii="仿宋_GB2312" w:hAnsi="仿宋_GB2312" w:eastAsia="仿宋_GB2312" w:cs="仿宋_GB2312"/>
          <w:b/>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Style w:val="16"/>
          <w:rFonts w:hint="eastAsia" w:ascii="仿宋_GB2312" w:hAnsi="仿宋_GB2312" w:eastAsia="仿宋_GB2312" w:cs="仿宋_GB2312"/>
          <w:b w:val="0"/>
          <w:bCs/>
          <w:color w:val="auto"/>
          <w:sz w:val="32"/>
          <w:szCs w:val="32"/>
          <w:highlight w:val="none"/>
          <w:lang w:val="en-US" w:eastAsia="zh-CN"/>
        </w:rPr>
        <w:t>15.3</w:t>
      </w:r>
      <w:r>
        <w:rPr>
          <w:rStyle w:val="16"/>
          <w:rFonts w:hint="eastAsia" w:ascii="仿宋_GB2312" w:hAnsi="仿宋_GB2312" w:eastAsia="仿宋_GB2312" w:cs="仿宋_GB2312"/>
          <w:b w:val="0"/>
          <w:bCs/>
          <w:color w:val="auto"/>
          <w:sz w:val="32"/>
          <w:szCs w:val="32"/>
          <w:highlight w:val="none"/>
        </w:rPr>
        <w:t>万元，完成预算</w:t>
      </w:r>
      <w:r>
        <w:rPr>
          <w:rStyle w:val="16"/>
          <w:rFonts w:hint="eastAsia" w:ascii="仿宋_GB2312" w:hAnsi="仿宋_GB2312" w:eastAsia="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%，决算数等于预算数。</w:t>
      </w:r>
    </w:p>
    <w:p>
      <w:pPr>
        <w:spacing w:line="600" w:lineRule="exact"/>
        <w:ind w:firstLine="642" w:firstLineChars="200"/>
        <w:rPr>
          <w:rStyle w:val="16"/>
          <w:rFonts w:hint="eastAsia" w:ascii="仿宋_GB2312" w:hAnsi="仿宋_GB2312" w:eastAsia="仿宋_GB2312" w:cs="仿宋_GB2312"/>
          <w:b w:val="0"/>
          <w:bCs w:val="0"/>
          <w:color w:val="auto"/>
          <w:sz w:val="32"/>
          <w:szCs w:val="32"/>
          <w:highlight w:val="none"/>
        </w:rPr>
      </w:pPr>
      <w:r>
        <w:rPr>
          <w:rStyle w:val="16"/>
          <w:rFonts w:hint="eastAsia" w:ascii="仿宋_GB2312" w:hAnsi="仿宋_GB2312" w:eastAsia="仿宋_GB2312" w:cs="仿宋_GB2312"/>
          <w:b/>
          <w:bCs/>
          <w:color w:val="auto"/>
          <w:sz w:val="32"/>
          <w:szCs w:val="32"/>
          <w:highlight w:val="none"/>
        </w:rPr>
        <w:t>2.社会保障和就业</w:t>
      </w:r>
      <w:r>
        <w:rPr>
          <w:rStyle w:val="16"/>
          <w:rFonts w:hint="eastAsia" w:ascii="仿宋_GB2312" w:hAnsi="仿宋_GB2312" w:eastAsia="仿宋_GB2312" w:cs="仿宋_GB2312"/>
          <w:b/>
          <w:bCs/>
          <w:color w:val="auto"/>
          <w:sz w:val="32"/>
          <w:szCs w:val="32"/>
          <w:highlight w:val="none"/>
          <w:lang w:val="en-US" w:eastAsia="zh-CN"/>
        </w:rPr>
        <w:t>208</w:t>
      </w:r>
      <w:r>
        <w:rPr>
          <w:rStyle w:val="16"/>
          <w:rFonts w:hint="eastAsia" w:ascii="仿宋_GB2312" w:hAnsi="仿宋_GB2312" w:eastAsia="仿宋_GB2312" w:cs="仿宋_GB2312"/>
          <w:b/>
          <w:bCs/>
          <w:color w:val="auto"/>
          <w:sz w:val="32"/>
          <w:szCs w:val="32"/>
          <w:highlight w:val="none"/>
        </w:rPr>
        <w:t>（类）</w:t>
      </w:r>
    </w:p>
    <w:p>
      <w:pPr>
        <w:spacing w:line="600" w:lineRule="exact"/>
        <w:ind w:firstLine="642" w:firstLineChars="200"/>
        <w:rPr>
          <w:rStyle w:val="16"/>
          <w:rFonts w:hint="eastAsia" w:ascii="仿宋_GB2312" w:hAnsi="仿宋_GB2312" w:eastAsia="仿宋_GB2312" w:cs="仿宋_GB2312"/>
          <w:b w:val="0"/>
          <w:bCs/>
          <w:color w:val="auto"/>
          <w:sz w:val="32"/>
          <w:szCs w:val="32"/>
          <w:highlight w:val="none"/>
        </w:rPr>
      </w:pPr>
      <w:r>
        <w:rPr>
          <w:rStyle w:val="16"/>
          <w:rFonts w:hint="eastAsia" w:ascii="仿宋_GB2312" w:hAnsi="仿宋_GB2312" w:eastAsia="仿宋_GB2312" w:cs="仿宋_GB2312"/>
          <w:b/>
          <w:bCs/>
          <w:color w:val="auto"/>
          <w:sz w:val="32"/>
          <w:szCs w:val="32"/>
          <w:highlight w:val="none"/>
        </w:rPr>
        <w:t>人力资源和社会保障管理事务</w:t>
      </w:r>
      <w:r>
        <w:rPr>
          <w:rStyle w:val="16"/>
          <w:rFonts w:hint="eastAsia" w:ascii="仿宋_GB2312" w:hAnsi="仿宋_GB2312" w:eastAsia="仿宋_GB2312" w:cs="仿宋_GB2312"/>
          <w:b/>
          <w:bCs/>
          <w:color w:val="auto"/>
          <w:sz w:val="32"/>
          <w:szCs w:val="32"/>
          <w:highlight w:val="none"/>
          <w:lang w:val="en-US" w:eastAsia="zh-CN"/>
        </w:rPr>
        <w:t>01</w:t>
      </w:r>
      <w:r>
        <w:rPr>
          <w:rStyle w:val="16"/>
          <w:rFonts w:hint="eastAsia" w:ascii="仿宋_GB2312" w:hAnsi="仿宋_GB2312" w:eastAsia="仿宋_GB2312" w:cs="仿宋_GB2312"/>
          <w:b/>
          <w:bCs/>
          <w:color w:val="auto"/>
          <w:sz w:val="32"/>
          <w:szCs w:val="32"/>
          <w:highlight w:val="none"/>
        </w:rPr>
        <w:t>（款）其他人力资源和社会保障管理事务支出</w:t>
      </w:r>
      <w:r>
        <w:rPr>
          <w:rStyle w:val="16"/>
          <w:rFonts w:hint="eastAsia" w:ascii="仿宋_GB2312" w:hAnsi="仿宋_GB2312" w:eastAsia="仿宋_GB2312" w:cs="仿宋_GB2312"/>
          <w:b/>
          <w:bCs/>
          <w:color w:val="auto"/>
          <w:sz w:val="32"/>
          <w:szCs w:val="32"/>
          <w:highlight w:val="none"/>
          <w:lang w:val="en-US" w:eastAsia="zh-CN"/>
        </w:rPr>
        <w:t>99</w:t>
      </w:r>
      <w:r>
        <w:rPr>
          <w:rStyle w:val="16"/>
          <w:rFonts w:hint="eastAsia" w:ascii="仿宋_GB2312" w:hAnsi="仿宋_GB2312" w:eastAsia="仿宋_GB2312" w:cs="仿宋_GB2312"/>
          <w:b/>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Style w:val="16"/>
          <w:rFonts w:hint="eastAsia" w:ascii="仿宋_GB2312" w:hAnsi="仿宋_GB2312" w:eastAsia="仿宋_GB2312" w:cs="仿宋_GB2312"/>
          <w:b w:val="0"/>
          <w:bCs/>
          <w:color w:val="auto"/>
          <w:sz w:val="32"/>
          <w:szCs w:val="32"/>
          <w:highlight w:val="none"/>
          <w:lang w:val="en-US" w:eastAsia="zh-CN"/>
        </w:rPr>
        <w:t>3</w:t>
      </w:r>
      <w:r>
        <w:rPr>
          <w:rStyle w:val="16"/>
          <w:rFonts w:hint="eastAsia" w:ascii="仿宋_GB2312" w:hAnsi="仿宋_GB2312" w:eastAsia="仿宋_GB2312" w:cs="仿宋_GB2312"/>
          <w:b w:val="0"/>
          <w:bCs/>
          <w:color w:val="auto"/>
          <w:sz w:val="32"/>
          <w:szCs w:val="32"/>
          <w:highlight w:val="none"/>
        </w:rPr>
        <w:t>万元，完成预算</w:t>
      </w:r>
      <w:r>
        <w:rPr>
          <w:rStyle w:val="16"/>
          <w:rFonts w:hint="eastAsia" w:ascii="仿宋_GB2312" w:hAnsi="仿宋_GB2312" w:eastAsia="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%，决算数等于预算数。</w:t>
      </w:r>
    </w:p>
    <w:p>
      <w:pPr>
        <w:spacing w:line="600" w:lineRule="exact"/>
        <w:ind w:firstLine="642" w:firstLineChars="200"/>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bCs/>
          <w:sz w:val="32"/>
          <w:szCs w:val="32"/>
        </w:rPr>
        <w:t>行政事业单位养老支出05（款）事业单位离退休02（项）:</w:t>
      </w:r>
      <w:r>
        <w:rPr>
          <w:rStyle w:val="16"/>
          <w:rFonts w:hint="eastAsia" w:ascii="仿宋_GB2312" w:hAnsi="仿宋_GB2312" w:eastAsia="仿宋_GB2312" w:cs="仿宋_GB2312"/>
          <w:b w:val="0"/>
          <w:bCs w:val="0"/>
          <w:sz w:val="32"/>
          <w:szCs w:val="32"/>
        </w:rPr>
        <w:t xml:space="preserve"> 支出决算为</w:t>
      </w:r>
      <w:r>
        <w:rPr>
          <w:rStyle w:val="16"/>
          <w:rFonts w:hint="eastAsia" w:ascii="仿宋_GB2312" w:hAnsi="仿宋_GB2312" w:eastAsia="仿宋_GB2312" w:cs="仿宋_GB2312"/>
          <w:b w:val="0"/>
          <w:bCs w:val="0"/>
          <w:sz w:val="32"/>
          <w:szCs w:val="32"/>
          <w:lang w:val="en-US" w:eastAsia="zh-CN"/>
        </w:rPr>
        <w:t>585.77</w:t>
      </w:r>
      <w:r>
        <w:rPr>
          <w:rStyle w:val="16"/>
          <w:rFonts w:hint="eastAsia" w:ascii="仿宋_GB2312" w:hAnsi="仿宋_GB2312" w:eastAsia="仿宋_GB2312" w:cs="仿宋_GB2312"/>
          <w:b w:val="0"/>
          <w:bCs w:val="0"/>
          <w:sz w:val="32"/>
          <w:szCs w:val="32"/>
        </w:rPr>
        <w:t>万元，完成预算100%，决算数等于预算数。</w:t>
      </w:r>
    </w:p>
    <w:p>
      <w:pPr>
        <w:pStyle w:val="2"/>
        <w:spacing w:before="93"/>
        <w:ind w:firstLine="642" w:firstLineChars="200"/>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bCs/>
          <w:sz w:val="32"/>
          <w:szCs w:val="32"/>
        </w:rPr>
        <w:t>行政事业单位养老支出05（款）机关事业单位基本养老保险缴费支出05（项）:</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284.48</w:t>
      </w:r>
      <w:r>
        <w:rPr>
          <w:rStyle w:val="16"/>
          <w:rFonts w:hint="eastAsia" w:ascii="仿宋_GB2312" w:hAnsi="仿宋_GB2312" w:eastAsia="仿宋_GB2312" w:cs="仿宋_GB2312"/>
          <w:b w:val="0"/>
          <w:bCs w:val="0"/>
          <w:sz w:val="32"/>
          <w:szCs w:val="32"/>
        </w:rPr>
        <w:t>万元，完成预算100%，决算数等于预算数。</w:t>
      </w:r>
    </w:p>
    <w:p>
      <w:pPr>
        <w:pStyle w:val="2"/>
        <w:spacing w:before="93"/>
        <w:ind w:firstLine="642" w:firstLineChars="200"/>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bCs/>
          <w:sz w:val="32"/>
          <w:szCs w:val="32"/>
        </w:rPr>
        <w:t>行政事业单位养老支出05（款）机关事业单位职业年金缴费支出</w:t>
      </w:r>
      <w:r>
        <w:rPr>
          <w:rStyle w:val="16"/>
          <w:rFonts w:hint="eastAsia" w:ascii="仿宋_GB2312" w:hAnsi="仿宋_GB2312" w:eastAsia="仿宋_GB2312" w:cs="仿宋_GB2312"/>
          <w:b/>
          <w:bCs/>
          <w:sz w:val="32"/>
          <w:szCs w:val="32"/>
          <w:lang w:val="en-US" w:eastAsia="zh-CN"/>
        </w:rPr>
        <w:t>06</w:t>
      </w:r>
      <w:r>
        <w:rPr>
          <w:rStyle w:val="16"/>
          <w:rFonts w:hint="eastAsia" w:ascii="仿宋_GB2312" w:hAnsi="仿宋_GB2312" w:eastAsia="仿宋_GB2312" w:cs="仿宋_GB2312"/>
          <w:b/>
          <w:bCs/>
          <w:sz w:val="32"/>
          <w:szCs w:val="32"/>
        </w:rPr>
        <w:t>（项）:</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51.93</w:t>
      </w:r>
      <w:r>
        <w:rPr>
          <w:rStyle w:val="16"/>
          <w:rFonts w:hint="eastAsia" w:ascii="仿宋_GB2312" w:hAnsi="仿宋_GB2312" w:eastAsia="仿宋_GB2312" w:cs="仿宋_GB2312"/>
          <w:b w:val="0"/>
          <w:bCs w:val="0"/>
          <w:sz w:val="32"/>
          <w:szCs w:val="32"/>
        </w:rPr>
        <w:t>万元，完成预算100%，决算数等于预算数。</w:t>
      </w:r>
    </w:p>
    <w:p>
      <w:pPr>
        <w:pStyle w:val="2"/>
        <w:spacing w:before="93"/>
        <w:ind w:firstLine="642" w:firstLineChars="200"/>
        <w:rPr>
          <w:rFonts w:hint="eastAsia" w:ascii="仿宋_GB2312" w:hAnsi="仿宋_GB2312" w:eastAsia="仿宋_GB2312" w:cs="仿宋_GB2312"/>
        </w:rPr>
      </w:pPr>
      <w:r>
        <w:rPr>
          <w:rStyle w:val="16"/>
          <w:rFonts w:hint="eastAsia" w:ascii="仿宋_GB2312" w:hAnsi="仿宋_GB2312" w:eastAsia="仿宋_GB2312" w:cs="仿宋_GB2312"/>
          <w:b/>
          <w:bCs/>
          <w:sz w:val="32"/>
          <w:szCs w:val="32"/>
        </w:rPr>
        <w:t>抚恤08（款）死亡抚恤01（项）:</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16.25</w:t>
      </w:r>
      <w:r>
        <w:rPr>
          <w:rStyle w:val="16"/>
          <w:rFonts w:hint="eastAsia" w:ascii="仿宋_GB2312" w:hAnsi="仿宋_GB2312" w:eastAsia="仿宋_GB2312" w:cs="仿宋_GB2312"/>
          <w:b w:val="0"/>
          <w:bCs w:val="0"/>
          <w:sz w:val="32"/>
          <w:szCs w:val="32"/>
        </w:rPr>
        <w:t>万元，完成预算100%，决算数等于预算数。</w:t>
      </w:r>
    </w:p>
    <w:p>
      <w:pPr>
        <w:spacing w:line="600" w:lineRule="exact"/>
        <w:ind w:left="0" w:firstLine="642" w:firstLineChars="200"/>
        <w:rPr>
          <w:rStyle w:val="16"/>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卫生健康</w:t>
      </w:r>
      <w:r>
        <w:rPr>
          <w:rFonts w:hint="eastAsia" w:ascii="仿宋_GB2312" w:hAnsi="仿宋_GB2312" w:eastAsia="仿宋_GB2312" w:cs="仿宋_GB2312"/>
          <w:b/>
          <w:bCs/>
          <w:color w:val="auto"/>
          <w:sz w:val="32"/>
          <w:szCs w:val="32"/>
          <w:highlight w:val="none"/>
          <w:lang w:val="en-US" w:eastAsia="zh-CN"/>
        </w:rPr>
        <w:t>210</w:t>
      </w:r>
      <w:r>
        <w:rPr>
          <w:rStyle w:val="16"/>
          <w:rFonts w:hint="eastAsia" w:ascii="仿宋_GB2312" w:hAnsi="仿宋_GB2312" w:eastAsia="仿宋_GB2312" w:cs="仿宋_GB2312"/>
          <w:b/>
          <w:bCs/>
          <w:color w:val="auto"/>
          <w:sz w:val="32"/>
          <w:szCs w:val="32"/>
          <w:highlight w:val="none"/>
        </w:rPr>
        <w:t>（类）</w:t>
      </w:r>
    </w:p>
    <w:p>
      <w:pPr>
        <w:spacing w:line="600" w:lineRule="exact"/>
        <w:ind w:left="0" w:firstLine="642" w:firstLineChars="200"/>
        <w:rPr>
          <w:rStyle w:val="16"/>
          <w:rFonts w:hint="eastAsia" w:ascii="仿宋_GB2312" w:hAnsi="仿宋_GB2312" w:eastAsia="仿宋_GB2312" w:cs="仿宋_GB2312"/>
          <w:b w:val="0"/>
          <w:bCs/>
          <w:color w:val="auto"/>
          <w:sz w:val="32"/>
          <w:szCs w:val="32"/>
          <w:highlight w:val="none"/>
          <w:lang w:eastAsia="zh-CN"/>
        </w:rPr>
      </w:pPr>
      <w:r>
        <w:rPr>
          <w:rStyle w:val="16"/>
          <w:rFonts w:hint="eastAsia" w:ascii="仿宋_GB2312" w:hAnsi="仿宋_GB2312" w:eastAsia="仿宋_GB2312" w:cs="仿宋_GB2312"/>
          <w:b/>
          <w:bCs/>
          <w:color w:val="auto"/>
          <w:sz w:val="32"/>
          <w:szCs w:val="32"/>
          <w:highlight w:val="none"/>
        </w:rPr>
        <w:t>行政事业单位医疗</w:t>
      </w:r>
      <w:r>
        <w:rPr>
          <w:rStyle w:val="16"/>
          <w:rFonts w:hint="eastAsia" w:ascii="仿宋_GB2312" w:hAnsi="仿宋_GB2312" w:eastAsia="仿宋_GB2312" w:cs="仿宋_GB2312"/>
          <w:b/>
          <w:bCs/>
          <w:color w:val="auto"/>
          <w:sz w:val="32"/>
          <w:szCs w:val="32"/>
          <w:highlight w:val="none"/>
          <w:lang w:val="en-US" w:eastAsia="zh-CN"/>
        </w:rPr>
        <w:t>11</w:t>
      </w:r>
      <w:r>
        <w:rPr>
          <w:rStyle w:val="16"/>
          <w:rFonts w:hint="eastAsia" w:ascii="仿宋_GB2312" w:hAnsi="仿宋_GB2312" w:eastAsia="仿宋_GB2312" w:cs="仿宋_GB2312"/>
          <w:b/>
          <w:bCs/>
          <w:color w:val="auto"/>
          <w:sz w:val="32"/>
          <w:szCs w:val="32"/>
          <w:highlight w:val="none"/>
        </w:rPr>
        <w:t>（款）事业单位医疗</w:t>
      </w:r>
      <w:r>
        <w:rPr>
          <w:rStyle w:val="16"/>
          <w:rFonts w:hint="eastAsia" w:ascii="仿宋_GB2312" w:hAnsi="仿宋_GB2312" w:eastAsia="仿宋_GB2312" w:cs="仿宋_GB2312"/>
          <w:b/>
          <w:bCs/>
          <w:color w:val="auto"/>
          <w:sz w:val="32"/>
          <w:szCs w:val="32"/>
          <w:highlight w:val="none"/>
          <w:lang w:val="en-US" w:eastAsia="zh-CN"/>
        </w:rPr>
        <w:t>02</w:t>
      </w:r>
      <w:r>
        <w:rPr>
          <w:rStyle w:val="16"/>
          <w:rFonts w:hint="eastAsia" w:ascii="仿宋_GB2312" w:hAnsi="仿宋_GB2312" w:eastAsia="仿宋_GB2312" w:cs="仿宋_GB2312"/>
          <w:b/>
          <w:bCs/>
          <w:color w:val="auto"/>
          <w:sz w:val="32"/>
          <w:szCs w:val="32"/>
          <w:highlight w:val="none"/>
        </w:rPr>
        <w:t xml:space="preserve">（项）: </w:t>
      </w:r>
      <w:r>
        <w:rPr>
          <w:rStyle w:val="16"/>
          <w:rFonts w:hint="eastAsia" w:ascii="仿宋_GB2312" w:hAnsi="仿宋_GB2312" w:eastAsia="仿宋_GB2312" w:cs="仿宋_GB2312"/>
          <w:b w:val="0"/>
          <w:bCs/>
          <w:color w:val="auto"/>
          <w:sz w:val="32"/>
          <w:szCs w:val="32"/>
          <w:highlight w:val="none"/>
        </w:rPr>
        <w:t>支出决算为</w:t>
      </w:r>
      <w:r>
        <w:rPr>
          <w:rStyle w:val="16"/>
          <w:rFonts w:hint="eastAsia" w:ascii="仿宋_GB2312" w:hAnsi="仿宋_GB2312" w:eastAsia="仿宋_GB2312" w:cs="仿宋_GB2312"/>
          <w:b w:val="0"/>
          <w:bCs/>
          <w:color w:val="auto"/>
          <w:sz w:val="32"/>
          <w:szCs w:val="32"/>
          <w:highlight w:val="none"/>
          <w:lang w:val="en-US" w:eastAsia="zh-CN"/>
        </w:rPr>
        <w:t>119.06</w:t>
      </w:r>
      <w:r>
        <w:rPr>
          <w:rStyle w:val="16"/>
          <w:rFonts w:hint="eastAsia" w:ascii="仿宋_GB2312" w:hAnsi="仿宋_GB2312" w:eastAsia="仿宋_GB2312" w:cs="仿宋_GB2312"/>
          <w:b w:val="0"/>
          <w:bCs/>
          <w:color w:val="auto"/>
          <w:sz w:val="32"/>
          <w:szCs w:val="32"/>
          <w:highlight w:val="none"/>
        </w:rPr>
        <w:t>万元，完成预算</w:t>
      </w:r>
      <w:r>
        <w:rPr>
          <w:rStyle w:val="16"/>
          <w:rFonts w:hint="eastAsia" w:ascii="仿宋_GB2312" w:hAnsi="仿宋_GB2312" w:eastAsia="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%，决算数等于预算数</w:t>
      </w:r>
      <w:r>
        <w:rPr>
          <w:rStyle w:val="16"/>
          <w:rFonts w:hint="eastAsia" w:ascii="仿宋_GB2312" w:hAnsi="仿宋_GB2312" w:eastAsia="仿宋_GB2312" w:cs="仿宋_GB2312"/>
          <w:b w:val="0"/>
          <w:bCs/>
          <w:color w:val="auto"/>
          <w:sz w:val="32"/>
          <w:szCs w:val="32"/>
          <w:highlight w:val="none"/>
          <w:lang w:eastAsia="zh-CN"/>
        </w:rPr>
        <w:t>。</w:t>
      </w:r>
    </w:p>
    <w:p>
      <w:pPr>
        <w:spacing w:line="600" w:lineRule="exact"/>
        <w:ind w:left="0" w:firstLine="642" w:firstLineChars="200"/>
        <w:rPr>
          <w:rStyle w:val="16"/>
          <w:rFonts w:hint="eastAsia" w:ascii="仿宋_GB2312" w:hAnsi="仿宋_GB2312" w:eastAsia="仿宋_GB2312" w:cs="仿宋_GB2312"/>
          <w:b w:val="0"/>
          <w:bCs/>
          <w:color w:val="auto"/>
          <w:sz w:val="32"/>
          <w:szCs w:val="32"/>
          <w:highlight w:val="none"/>
          <w:lang w:eastAsia="zh-CN"/>
        </w:rPr>
      </w:pPr>
      <w:r>
        <w:rPr>
          <w:rStyle w:val="16"/>
          <w:rFonts w:hint="eastAsia" w:ascii="仿宋_GB2312" w:hAnsi="仿宋_GB2312" w:eastAsia="仿宋_GB2312" w:cs="仿宋_GB2312"/>
          <w:b/>
          <w:bCs/>
          <w:color w:val="auto"/>
          <w:sz w:val="32"/>
          <w:szCs w:val="32"/>
          <w:highlight w:val="none"/>
        </w:rPr>
        <w:t>行政事业单位医疗</w:t>
      </w:r>
      <w:r>
        <w:rPr>
          <w:rStyle w:val="16"/>
          <w:rFonts w:hint="eastAsia" w:ascii="仿宋_GB2312" w:hAnsi="仿宋_GB2312" w:eastAsia="仿宋_GB2312" w:cs="仿宋_GB2312"/>
          <w:b/>
          <w:bCs/>
          <w:color w:val="auto"/>
          <w:sz w:val="32"/>
          <w:szCs w:val="32"/>
          <w:highlight w:val="none"/>
          <w:lang w:val="en-US" w:eastAsia="zh-CN"/>
        </w:rPr>
        <w:t>11</w:t>
      </w:r>
      <w:r>
        <w:rPr>
          <w:rStyle w:val="16"/>
          <w:rFonts w:hint="eastAsia" w:ascii="仿宋_GB2312" w:hAnsi="仿宋_GB2312" w:eastAsia="仿宋_GB2312" w:cs="仿宋_GB2312"/>
          <w:b/>
          <w:bCs/>
          <w:color w:val="auto"/>
          <w:sz w:val="32"/>
          <w:szCs w:val="32"/>
          <w:highlight w:val="none"/>
        </w:rPr>
        <w:t>（款）公务员医疗补助</w:t>
      </w:r>
      <w:r>
        <w:rPr>
          <w:rStyle w:val="16"/>
          <w:rFonts w:hint="eastAsia" w:ascii="仿宋_GB2312" w:hAnsi="仿宋_GB2312" w:eastAsia="仿宋_GB2312" w:cs="仿宋_GB2312"/>
          <w:b/>
          <w:bCs/>
          <w:color w:val="auto"/>
          <w:sz w:val="32"/>
          <w:szCs w:val="32"/>
          <w:highlight w:val="none"/>
          <w:lang w:val="en-US" w:eastAsia="zh-CN"/>
        </w:rPr>
        <w:t>03</w:t>
      </w:r>
      <w:r>
        <w:rPr>
          <w:rStyle w:val="16"/>
          <w:rFonts w:hint="eastAsia" w:ascii="仿宋_GB2312" w:hAnsi="仿宋_GB2312" w:eastAsia="仿宋_GB2312" w:cs="仿宋_GB2312"/>
          <w:b/>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Style w:val="16"/>
          <w:rFonts w:hint="eastAsia" w:ascii="仿宋_GB2312" w:hAnsi="仿宋_GB2312" w:eastAsia="仿宋_GB2312" w:cs="仿宋_GB2312"/>
          <w:b w:val="0"/>
          <w:bCs/>
          <w:color w:val="auto"/>
          <w:sz w:val="32"/>
          <w:szCs w:val="32"/>
          <w:highlight w:val="none"/>
          <w:lang w:val="en-US" w:eastAsia="zh-CN"/>
        </w:rPr>
        <w:t>15.31</w:t>
      </w:r>
      <w:r>
        <w:rPr>
          <w:rStyle w:val="16"/>
          <w:rFonts w:hint="eastAsia" w:ascii="仿宋_GB2312" w:hAnsi="仿宋_GB2312" w:eastAsia="仿宋_GB2312" w:cs="仿宋_GB2312"/>
          <w:b w:val="0"/>
          <w:bCs/>
          <w:color w:val="auto"/>
          <w:sz w:val="32"/>
          <w:szCs w:val="32"/>
          <w:highlight w:val="none"/>
        </w:rPr>
        <w:t>万元，完成预算</w:t>
      </w:r>
      <w:r>
        <w:rPr>
          <w:rStyle w:val="16"/>
          <w:rFonts w:hint="eastAsia" w:ascii="仿宋_GB2312" w:hAnsi="仿宋_GB2312" w:eastAsia="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%，决算数等于预算数</w:t>
      </w:r>
      <w:r>
        <w:rPr>
          <w:rStyle w:val="16"/>
          <w:rFonts w:hint="eastAsia" w:ascii="仿宋_GB2312" w:hAnsi="仿宋_GB2312" w:eastAsia="仿宋_GB2312" w:cs="仿宋_GB2312"/>
          <w:b w:val="0"/>
          <w:bCs/>
          <w:color w:val="auto"/>
          <w:sz w:val="32"/>
          <w:szCs w:val="32"/>
          <w:highlight w:val="none"/>
          <w:lang w:eastAsia="zh-CN"/>
        </w:rPr>
        <w:t>。</w:t>
      </w:r>
    </w:p>
    <w:p>
      <w:pPr>
        <w:spacing w:line="600" w:lineRule="exact"/>
        <w:ind w:left="0" w:firstLine="642" w:firstLineChars="200"/>
        <w:rPr>
          <w:rFonts w:hint="eastAsia" w:ascii="仿宋_GB2312" w:hAnsi="仿宋_GB2312" w:eastAsia="仿宋_GB2312" w:cs="仿宋_GB2312"/>
        </w:rPr>
      </w:pPr>
      <w:r>
        <w:rPr>
          <w:rStyle w:val="16"/>
          <w:rFonts w:hint="eastAsia" w:ascii="仿宋_GB2312" w:hAnsi="仿宋_GB2312" w:eastAsia="仿宋_GB2312" w:cs="仿宋_GB2312"/>
          <w:b/>
          <w:bCs/>
          <w:color w:val="auto"/>
          <w:sz w:val="32"/>
          <w:szCs w:val="32"/>
          <w:highlight w:val="none"/>
        </w:rPr>
        <w:t>行政事业单位医疗</w:t>
      </w:r>
      <w:r>
        <w:rPr>
          <w:rStyle w:val="16"/>
          <w:rFonts w:hint="eastAsia" w:ascii="仿宋_GB2312" w:hAnsi="仿宋_GB2312" w:eastAsia="仿宋_GB2312" w:cs="仿宋_GB2312"/>
          <w:b/>
          <w:bCs/>
          <w:color w:val="auto"/>
          <w:sz w:val="32"/>
          <w:szCs w:val="32"/>
          <w:highlight w:val="none"/>
          <w:lang w:val="en-US" w:eastAsia="zh-CN"/>
        </w:rPr>
        <w:t>11</w:t>
      </w:r>
      <w:r>
        <w:rPr>
          <w:rStyle w:val="16"/>
          <w:rFonts w:hint="eastAsia" w:ascii="仿宋_GB2312" w:hAnsi="仿宋_GB2312" w:eastAsia="仿宋_GB2312" w:cs="仿宋_GB2312"/>
          <w:b/>
          <w:bCs/>
          <w:color w:val="auto"/>
          <w:sz w:val="32"/>
          <w:szCs w:val="32"/>
          <w:highlight w:val="none"/>
        </w:rPr>
        <w:t>（款）其他行政事业单位医疗支出</w:t>
      </w:r>
      <w:r>
        <w:rPr>
          <w:rStyle w:val="16"/>
          <w:rFonts w:hint="eastAsia" w:ascii="仿宋_GB2312" w:hAnsi="仿宋_GB2312" w:eastAsia="仿宋_GB2312" w:cs="仿宋_GB2312"/>
          <w:b/>
          <w:bCs/>
          <w:color w:val="auto"/>
          <w:sz w:val="32"/>
          <w:szCs w:val="32"/>
          <w:highlight w:val="none"/>
          <w:lang w:val="en-US" w:eastAsia="zh-CN"/>
        </w:rPr>
        <w:t>99</w:t>
      </w:r>
      <w:r>
        <w:rPr>
          <w:rStyle w:val="16"/>
          <w:rFonts w:hint="eastAsia" w:ascii="仿宋_GB2312" w:hAnsi="仿宋_GB2312" w:eastAsia="仿宋_GB2312" w:cs="仿宋_GB2312"/>
          <w:b/>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Style w:val="16"/>
          <w:rFonts w:hint="eastAsia" w:ascii="仿宋_GB2312" w:hAnsi="仿宋_GB2312" w:eastAsia="仿宋_GB2312" w:cs="仿宋_GB2312"/>
          <w:b w:val="0"/>
          <w:bCs/>
          <w:color w:val="auto"/>
          <w:sz w:val="32"/>
          <w:szCs w:val="32"/>
          <w:highlight w:val="none"/>
          <w:lang w:val="en-US" w:eastAsia="zh-CN"/>
        </w:rPr>
        <w:t>15.72</w:t>
      </w:r>
      <w:r>
        <w:rPr>
          <w:rStyle w:val="16"/>
          <w:rFonts w:hint="eastAsia" w:ascii="仿宋_GB2312" w:hAnsi="仿宋_GB2312" w:eastAsia="仿宋_GB2312" w:cs="仿宋_GB2312"/>
          <w:b w:val="0"/>
          <w:bCs/>
          <w:color w:val="auto"/>
          <w:sz w:val="32"/>
          <w:szCs w:val="32"/>
          <w:highlight w:val="none"/>
        </w:rPr>
        <w:t>万元，完成预算</w:t>
      </w:r>
      <w:r>
        <w:rPr>
          <w:rStyle w:val="16"/>
          <w:rFonts w:hint="eastAsia" w:ascii="仿宋_GB2312" w:hAnsi="仿宋_GB2312" w:eastAsia="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%，决算数等于预算数</w:t>
      </w:r>
      <w:r>
        <w:rPr>
          <w:rStyle w:val="16"/>
          <w:rFonts w:hint="eastAsia" w:ascii="仿宋_GB2312" w:hAnsi="仿宋_GB2312" w:eastAsia="仿宋_GB2312" w:cs="仿宋_GB2312"/>
          <w:b w:val="0"/>
          <w:bCs/>
          <w:color w:val="auto"/>
          <w:sz w:val="32"/>
          <w:szCs w:val="32"/>
          <w:highlight w:val="none"/>
          <w:lang w:eastAsia="zh-CN"/>
        </w:rPr>
        <w:t>。</w:t>
      </w:r>
    </w:p>
    <w:p>
      <w:pPr>
        <w:spacing w:line="600" w:lineRule="exact"/>
        <w:ind w:left="420" w:leftChars="200"/>
        <w:rPr>
          <w:rStyle w:val="16"/>
          <w:rFonts w:hint="eastAsia" w:ascii="仿宋_GB2312" w:hAnsi="仿宋_GB2312" w:eastAsia="仿宋_GB2312" w:cs="仿宋_GB2312"/>
          <w:b/>
          <w:bCs/>
          <w:color w:val="0000FF"/>
          <w:sz w:val="32"/>
          <w:szCs w:val="32"/>
        </w:rPr>
      </w:pPr>
      <w:r>
        <w:rPr>
          <w:rStyle w:val="16"/>
          <w:rFonts w:hint="eastAsia" w:ascii="仿宋_GB2312" w:hAnsi="仿宋_GB2312" w:eastAsia="仿宋_GB2312" w:cs="仿宋_GB2312"/>
          <w:b/>
          <w:bCs/>
          <w:color w:val="auto"/>
          <w:sz w:val="32"/>
          <w:szCs w:val="32"/>
          <w:lang w:val="en-US" w:eastAsia="zh-CN"/>
        </w:rPr>
        <w:t>4.</w:t>
      </w:r>
      <w:r>
        <w:rPr>
          <w:rStyle w:val="16"/>
          <w:rFonts w:hint="eastAsia" w:ascii="仿宋_GB2312" w:hAnsi="仿宋_GB2312" w:eastAsia="仿宋_GB2312" w:cs="仿宋_GB2312"/>
          <w:b/>
          <w:bCs/>
          <w:color w:val="auto"/>
          <w:sz w:val="32"/>
          <w:szCs w:val="32"/>
        </w:rPr>
        <w:t>城乡社区支出212（类）</w:t>
      </w:r>
    </w:p>
    <w:p>
      <w:pPr>
        <w:spacing w:line="600" w:lineRule="exact"/>
        <w:ind w:left="0" w:firstLine="642" w:firstLineChars="200"/>
        <w:rPr>
          <w:rStyle w:val="16"/>
          <w:rFonts w:hint="eastAsia" w:ascii="仿宋_GB2312" w:hAnsi="仿宋_GB2312" w:eastAsia="仿宋_GB2312" w:cs="仿宋_GB2312"/>
          <w:b w:val="0"/>
          <w:bCs w:val="0"/>
          <w:color w:val="auto"/>
          <w:sz w:val="32"/>
          <w:szCs w:val="32"/>
          <w:highlight w:val="none"/>
          <w:lang w:val="en-US" w:eastAsia="zh-CN"/>
        </w:rPr>
      </w:pPr>
      <w:r>
        <w:rPr>
          <w:rStyle w:val="16"/>
          <w:rFonts w:hint="eastAsia" w:ascii="仿宋_GB2312" w:hAnsi="仿宋_GB2312" w:eastAsia="仿宋_GB2312" w:cs="仿宋_GB2312"/>
          <w:b/>
          <w:bCs/>
          <w:color w:val="auto"/>
          <w:sz w:val="32"/>
          <w:szCs w:val="32"/>
          <w:highlight w:val="none"/>
        </w:rPr>
        <w:t>城乡社区公共设施03（款）其他城乡社区公共设施支出99（项）:</w:t>
      </w:r>
      <w:r>
        <w:rPr>
          <w:rStyle w:val="16"/>
          <w:rFonts w:hint="eastAsia" w:ascii="仿宋_GB2312" w:hAnsi="仿宋_GB2312" w:eastAsia="仿宋_GB2312" w:cs="仿宋_GB2312"/>
          <w:b w:val="0"/>
          <w:bCs w:val="0"/>
          <w:color w:val="auto"/>
          <w:sz w:val="32"/>
          <w:szCs w:val="32"/>
          <w:highlight w:val="none"/>
        </w:rPr>
        <w:t>支出决算为</w:t>
      </w:r>
      <w:r>
        <w:rPr>
          <w:rStyle w:val="16"/>
          <w:rFonts w:hint="eastAsia" w:ascii="仿宋_GB2312" w:hAnsi="仿宋_GB2312" w:eastAsia="仿宋_GB2312" w:cs="仿宋_GB2312"/>
          <w:b w:val="0"/>
          <w:bCs w:val="0"/>
          <w:color w:val="auto"/>
          <w:sz w:val="32"/>
          <w:szCs w:val="32"/>
          <w:highlight w:val="none"/>
          <w:lang w:val="en-US" w:eastAsia="zh-CN"/>
        </w:rPr>
        <w:t>2826.24</w:t>
      </w:r>
      <w:r>
        <w:rPr>
          <w:rStyle w:val="16"/>
          <w:rFonts w:hint="eastAsia" w:ascii="仿宋_GB2312" w:hAnsi="仿宋_GB2312" w:eastAsia="仿宋_GB2312" w:cs="仿宋_GB2312"/>
          <w:b w:val="0"/>
          <w:bCs w:val="0"/>
          <w:color w:val="auto"/>
          <w:sz w:val="32"/>
          <w:szCs w:val="32"/>
          <w:highlight w:val="none"/>
        </w:rPr>
        <w:t>万元，其中基本支出</w:t>
      </w:r>
      <w:r>
        <w:rPr>
          <w:rStyle w:val="16"/>
          <w:rFonts w:hint="eastAsia" w:ascii="仿宋_GB2312" w:hAnsi="仿宋_GB2312" w:eastAsia="仿宋_GB2312" w:cs="仿宋_GB2312"/>
          <w:b w:val="0"/>
          <w:bCs w:val="0"/>
          <w:color w:val="auto"/>
          <w:sz w:val="32"/>
          <w:szCs w:val="32"/>
          <w:highlight w:val="none"/>
          <w:lang w:val="en-US" w:eastAsia="zh-CN"/>
        </w:rPr>
        <w:t>1849.68</w:t>
      </w:r>
      <w:r>
        <w:rPr>
          <w:rStyle w:val="16"/>
          <w:rFonts w:hint="eastAsia" w:ascii="仿宋_GB2312" w:hAnsi="仿宋_GB2312" w:eastAsia="仿宋_GB2312" w:cs="仿宋_GB2312"/>
          <w:b w:val="0"/>
          <w:bCs w:val="0"/>
          <w:color w:val="auto"/>
          <w:sz w:val="32"/>
          <w:szCs w:val="32"/>
          <w:highlight w:val="none"/>
        </w:rPr>
        <w:t>万元，项目支出</w:t>
      </w:r>
      <w:r>
        <w:rPr>
          <w:rStyle w:val="16"/>
          <w:rFonts w:hint="eastAsia" w:ascii="仿宋_GB2312" w:hAnsi="仿宋_GB2312" w:eastAsia="仿宋_GB2312" w:cs="仿宋_GB2312"/>
          <w:b w:val="0"/>
          <w:bCs w:val="0"/>
          <w:color w:val="auto"/>
          <w:sz w:val="32"/>
          <w:szCs w:val="32"/>
          <w:highlight w:val="none"/>
          <w:lang w:val="en-US" w:eastAsia="zh-CN"/>
        </w:rPr>
        <w:t>976.56</w:t>
      </w:r>
      <w:r>
        <w:rPr>
          <w:rStyle w:val="16"/>
          <w:rFonts w:hint="eastAsia" w:ascii="仿宋_GB2312" w:hAnsi="仿宋_GB2312" w:eastAsia="仿宋_GB2312" w:cs="仿宋_GB2312"/>
          <w:b w:val="0"/>
          <w:bCs w:val="0"/>
          <w:color w:val="auto"/>
          <w:sz w:val="32"/>
          <w:szCs w:val="32"/>
          <w:highlight w:val="none"/>
        </w:rPr>
        <w:t>万元，完成预算100%，决算数等于预算数。</w:t>
      </w:r>
    </w:p>
    <w:p>
      <w:pPr>
        <w:spacing w:line="600" w:lineRule="exact"/>
        <w:ind w:left="0" w:firstLine="642" w:firstLineChars="200"/>
        <w:rPr>
          <w:rStyle w:val="16"/>
          <w:rFonts w:hint="eastAsia" w:ascii="仿宋_GB2312" w:hAnsi="仿宋_GB2312" w:eastAsia="仿宋_GB2312" w:cs="仿宋_GB2312"/>
          <w:b w:val="0"/>
          <w:bCs w:val="0"/>
          <w:color w:val="auto"/>
          <w:sz w:val="32"/>
          <w:szCs w:val="32"/>
          <w:highlight w:val="none"/>
        </w:rPr>
      </w:pPr>
      <w:r>
        <w:rPr>
          <w:rStyle w:val="16"/>
          <w:rFonts w:hint="eastAsia" w:ascii="仿宋_GB2312" w:hAnsi="仿宋_GB2312" w:eastAsia="仿宋_GB2312" w:cs="仿宋_GB2312"/>
          <w:b/>
          <w:bCs/>
          <w:color w:val="auto"/>
          <w:sz w:val="32"/>
          <w:szCs w:val="32"/>
          <w:highlight w:val="none"/>
        </w:rPr>
        <w:t>其他城乡社区支出</w:t>
      </w:r>
      <w:r>
        <w:rPr>
          <w:rStyle w:val="16"/>
          <w:rFonts w:hint="eastAsia" w:ascii="仿宋_GB2312" w:hAnsi="仿宋_GB2312" w:eastAsia="仿宋_GB2312" w:cs="仿宋_GB2312"/>
          <w:b/>
          <w:bCs/>
          <w:color w:val="auto"/>
          <w:sz w:val="32"/>
          <w:szCs w:val="32"/>
          <w:highlight w:val="none"/>
          <w:lang w:val="en-US" w:eastAsia="zh-CN"/>
        </w:rPr>
        <w:t>99</w:t>
      </w:r>
      <w:r>
        <w:rPr>
          <w:rStyle w:val="16"/>
          <w:rFonts w:hint="eastAsia" w:ascii="仿宋_GB2312" w:hAnsi="仿宋_GB2312" w:eastAsia="仿宋_GB2312" w:cs="仿宋_GB2312"/>
          <w:b/>
          <w:bCs/>
          <w:color w:val="auto"/>
          <w:sz w:val="32"/>
          <w:szCs w:val="32"/>
          <w:highlight w:val="none"/>
        </w:rPr>
        <w:t xml:space="preserve">（款）其他城乡社区支出99（项）: </w:t>
      </w:r>
      <w:r>
        <w:rPr>
          <w:rStyle w:val="16"/>
          <w:rFonts w:hint="eastAsia" w:ascii="仿宋_GB2312" w:hAnsi="仿宋_GB2312" w:eastAsia="仿宋_GB2312" w:cs="仿宋_GB2312"/>
          <w:b w:val="0"/>
          <w:bCs w:val="0"/>
          <w:color w:val="auto"/>
          <w:sz w:val="32"/>
          <w:szCs w:val="32"/>
          <w:highlight w:val="none"/>
        </w:rPr>
        <w:t>支出决算为</w:t>
      </w:r>
      <w:r>
        <w:rPr>
          <w:rStyle w:val="16"/>
          <w:rFonts w:hint="eastAsia" w:ascii="仿宋_GB2312" w:hAnsi="仿宋_GB2312" w:eastAsia="仿宋_GB2312" w:cs="仿宋_GB2312"/>
          <w:b w:val="0"/>
          <w:bCs w:val="0"/>
          <w:color w:val="auto"/>
          <w:sz w:val="32"/>
          <w:szCs w:val="32"/>
          <w:highlight w:val="none"/>
          <w:lang w:val="en-US" w:eastAsia="zh-CN"/>
        </w:rPr>
        <w:t>9.02</w:t>
      </w:r>
      <w:r>
        <w:rPr>
          <w:rStyle w:val="16"/>
          <w:rFonts w:hint="eastAsia" w:ascii="仿宋_GB2312" w:hAnsi="仿宋_GB2312" w:eastAsia="仿宋_GB2312" w:cs="仿宋_GB2312"/>
          <w:b w:val="0"/>
          <w:bCs w:val="0"/>
          <w:color w:val="auto"/>
          <w:sz w:val="32"/>
          <w:szCs w:val="32"/>
          <w:highlight w:val="none"/>
        </w:rPr>
        <w:t>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%，决算数等于预算数</w:t>
      </w:r>
      <w:r>
        <w:rPr>
          <w:rStyle w:val="16"/>
          <w:rFonts w:hint="eastAsia" w:ascii="仿宋_GB2312" w:hAnsi="仿宋_GB2312" w:eastAsia="仿宋_GB2312" w:cs="仿宋_GB2312"/>
          <w:b w:val="0"/>
          <w:bCs w:val="0"/>
          <w:color w:val="auto"/>
          <w:sz w:val="32"/>
          <w:szCs w:val="32"/>
          <w:highlight w:val="none"/>
          <w:lang w:eastAsia="zh-CN"/>
        </w:rPr>
        <w:t>。</w:t>
      </w:r>
    </w:p>
    <w:p>
      <w:pPr>
        <w:spacing w:line="600" w:lineRule="exact"/>
        <w:ind w:firstLine="642" w:firstLineChars="200"/>
        <w:rPr>
          <w:rFonts w:ascii="仿宋" w:hAnsi="仿宋" w:eastAsia="仿宋"/>
          <w:b/>
          <w:color w:val="auto"/>
          <w:sz w:val="32"/>
          <w:szCs w:val="32"/>
          <w:highlight w:val="none"/>
        </w:rPr>
      </w:pPr>
      <w:r>
        <w:rPr>
          <w:rStyle w:val="16"/>
          <w:rFonts w:hint="eastAsia" w:ascii="仿宋_GB2312" w:hAnsi="仿宋_GB2312" w:eastAsia="仿宋_GB2312" w:cs="仿宋_GB2312"/>
          <w:b/>
          <w:bCs/>
          <w:color w:val="auto"/>
          <w:sz w:val="32"/>
          <w:szCs w:val="32"/>
          <w:highlight w:val="none"/>
        </w:rPr>
        <w:t>5.</w:t>
      </w:r>
      <w:r>
        <w:rPr>
          <w:rStyle w:val="16"/>
          <w:rFonts w:hint="eastAsia" w:ascii="仿宋_GB2312" w:hAnsi="仿宋_GB2312" w:eastAsia="仿宋_GB2312" w:cs="仿宋_GB2312"/>
          <w:b/>
          <w:bCs/>
          <w:sz w:val="32"/>
          <w:szCs w:val="32"/>
        </w:rPr>
        <w:t>住房保障支出221（类）住房改革支出02（款）住房公积金01（项）:</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185.05</w:t>
      </w:r>
      <w:r>
        <w:rPr>
          <w:rStyle w:val="16"/>
          <w:rFonts w:hint="eastAsia" w:ascii="仿宋_GB2312" w:hAnsi="仿宋_GB2312" w:eastAsia="仿宋_GB2312" w:cs="仿宋_GB2312"/>
          <w:b w:val="0"/>
          <w:bCs w:val="0"/>
          <w:sz w:val="32"/>
          <w:szCs w:val="32"/>
        </w:rPr>
        <w:t>万元，完成预算100%，决算数等于预算数。</w:t>
      </w:r>
    </w:p>
    <w:p>
      <w:pPr>
        <w:tabs>
          <w:tab w:val="right" w:pos="8306"/>
        </w:tabs>
        <w:spacing w:line="600" w:lineRule="exact"/>
        <w:ind w:firstLine="640"/>
        <w:outlineLvl w:val="1"/>
        <w:rPr>
          <w:rStyle w:val="18"/>
          <w:color w:val="auto"/>
          <w:highlight w:val="none"/>
        </w:rPr>
      </w:pPr>
      <w:bookmarkStart w:id="15" w:name="_Toc1868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15"/>
      <w:r>
        <w:rPr>
          <w:rStyle w:val="18"/>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eastAsia="仿宋_GB2312" w:cs="仿宋_GB2312"/>
          <w:color w:val="auto"/>
          <w:sz w:val="32"/>
          <w:szCs w:val="32"/>
          <w:highlight w:val="none"/>
          <w:lang w:val="en-US" w:eastAsia="zh-CN"/>
        </w:rPr>
        <w:t>3126.26</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2919.14</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616.19万元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80.87万元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lang w:val="en-US" w:eastAsia="zh-CN"/>
        </w:rPr>
        <w:t>911.92万元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284.48万元</w:t>
      </w:r>
      <w:r>
        <w:rPr>
          <w:rFonts w:hint="eastAsia" w:ascii="仿宋_GB2312" w:hAnsi="仿宋_GB2312" w:eastAsia="仿宋_GB2312" w:cs="仿宋_GB2312"/>
          <w:color w:val="auto"/>
          <w:sz w:val="32"/>
          <w:szCs w:val="32"/>
          <w:highlight w:val="none"/>
        </w:rPr>
        <w:t>、职业年金缴费</w:t>
      </w:r>
      <w:r>
        <w:rPr>
          <w:rFonts w:hint="eastAsia" w:ascii="仿宋_GB2312" w:hAnsi="仿宋_GB2312" w:eastAsia="仿宋_GB2312" w:cs="仿宋_GB2312"/>
          <w:color w:val="auto"/>
          <w:sz w:val="32"/>
          <w:szCs w:val="32"/>
          <w:highlight w:val="none"/>
          <w:lang w:val="en-US" w:eastAsia="zh-CN"/>
        </w:rPr>
        <w:t>51.93万元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119.06</w:t>
      </w:r>
      <w:r>
        <w:rPr>
          <w:rFonts w:hint="eastAsia" w:ascii="仿宋_GB2312" w:hAnsi="仿宋_GB2312" w:eastAsia="仿宋_GB2312" w:cs="仿宋_GB2312"/>
          <w:sz w:val="32"/>
          <w:szCs w:val="32"/>
        </w:rPr>
        <w:t>万元、公务员医疗补助缴费</w:t>
      </w:r>
      <w:r>
        <w:rPr>
          <w:rFonts w:hint="eastAsia" w:ascii="仿宋_GB2312" w:hAnsi="仿宋_GB2312" w:eastAsia="仿宋_GB2312" w:cs="仿宋_GB2312"/>
          <w:sz w:val="32"/>
          <w:szCs w:val="32"/>
          <w:lang w:val="en-US" w:eastAsia="zh-CN"/>
        </w:rPr>
        <w:t>31.04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15.14万元</w:t>
      </w:r>
      <w:r>
        <w:rPr>
          <w:rFonts w:hint="eastAsia" w:ascii="仿宋_GB2312" w:hAnsi="仿宋_GB2312" w:eastAsia="仿宋_GB2312" w:cs="仿宋_GB2312"/>
          <w:color w:val="auto"/>
          <w:sz w:val="32"/>
          <w:szCs w:val="32"/>
          <w:highlight w:val="none"/>
        </w:rPr>
        <w:t>、抚恤金</w:t>
      </w:r>
      <w:r>
        <w:rPr>
          <w:rFonts w:hint="eastAsia" w:ascii="仿宋_GB2312" w:hAnsi="仿宋_GB2312" w:eastAsia="仿宋_GB2312" w:cs="仿宋_GB2312"/>
          <w:color w:val="auto"/>
          <w:sz w:val="32"/>
          <w:szCs w:val="32"/>
          <w:highlight w:val="none"/>
          <w:lang w:val="en-US" w:eastAsia="zh-CN"/>
        </w:rPr>
        <w:t>16.25万元</w:t>
      </w:r>
      <w:r>
        <w:rPr>
          <w:rFonts w:hint="eastAsia" w:ascii="仿宋_GB2312" w:hAnsi="仿宋_GB2312" w:eastAsia="仿宋_GB2312" w:cs="仿宋_GB2312"/>
          <w:color w:val="auto"/>
          <w:sz w:val="32"/>
          <w:szCs w:val="32"/>
          <w:highlight w:val="none"/>
        </w:rPr>
        <w:t>、生活补助</w:t>
      </w:r>
      <w:r>
        <w:rPr>
          <w:rFonts w:hint="eastAsia" w:ascii="仿宋_GB2312" w:hAnsi="仿宋_GB2312" w:eastAsia="仿宋_GB2312" w:cs="仿宋_GB2312"/>
          <w:color w:val="auto"/>
          <w:sz w:val="32"/>
          <w:szCs w:val="32"/>
          <w:highlight w:val="none"/>
          <w:lang w:val="en-US" w:eastAsia="zh-CN"/>
        </w:rPr>
        <w:t>516.02万元</w:t>
      </w:r>
      <w:r>
        <w:rPr>
          <w:rFonts w:hint="eastAsia" w:ascii="仿宋_GB2312" w:hAnsi="仿宋_GB2312" w:eastAsia="仿宋_GB2312" w:cs="仿宋_GB2312"/>
          <w:color w:val="auto"/>
          <w:sz w:val="32"/>
          <w:szCs w:val="32"/>
          <w:highlight w:val="none"/>
        </w:rPr>
        <w:t>、医疗费补助</w:t>
      </w:r>
      <w:r>
        <w:rPr>
          <w:rFonts w:hint="eastAsia" w:ascii="仿宋_GB2312" w:hAnsi="仿宋_GB2312" w:eastAsia="仿宋_GB2312" w:cs="仿宋_GB2312"/>
          <w:color w:val="auto"/>
          <w:sz w:val="32"/>
          <w:szCs w:val="32"/>
          <w:highlight w:val="none"/>
          <w:lang w:val="en-US" w:eastAsia="zh-CN"/>
        </w:rPr>
        <w:t>88.19万元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185.05万元</w:t>
      </w:r>
      <w:r>
        <w:rPr>
          <w:rFonts w:hint="eastAsia" w:ascii="仿宋_GB2312" w:hAnsi="仿宋_GB2312" w:eastAsia="仿宋_GB2312" w:cs="仿宋_GB2312"/>
          <w:color w:val="auto"/>
          <w:sz w:val="32"/>
          <w:szCs w:val="32"/>
          <w:highlight w:val="none"/>
        </w:rPr>
        <w:t>、其他对个人和家庭的补助支出</w:t>
      </w:r>
      <w:r>
        <w:rPr>
          <w:rFonts w:hint="eastAsia" w:ascii="仿宋_GB2312" w:hAnsi="仿宋_GB2312" w:eastAsia="仿宋_GB2312" w:cs="仿宋_GB2312"/>
          <w:color w:val="auto"/>
          <w:sz w:val="32"/>
          <w:szCs w:val="32"/>
          <w:highlight w:val="none"/>
          <w:lang w:val="en-US" w:eastAsia="zh-CN"/>
        </w:rPr>
        <w:t>3万元</w:t>
      </w:r>
      <w:r>
        <w:rPr>
          <w:rFonts w:hint="eastAsia" w:ascii="仿宋_GB2312" w:hAnsi="仿宋_GB2312" w:eastAsia="仿宋_GB2312" w:cs="仿宋_GB2312"/>
          <w:color w:val="auto"/>
          <w:sz w:val="32"/>
          <w:szCs w:val="32"/>
          <w:highlight w:val="none"/>
        </w:rPr>
        <w:t>。</w:t>
      </w:r>
    </w:p>
    <w:p>
      <w:pPr>
        <w:spacing w:line="600" w:lineRule="exact"/>
        <w:ind w:firstLine="645"/>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207.12</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26.66万元</w:t>
      </w:r>
      <w:r>
        <w:rPr>
          <w:rFonts w:hint="eastAsia" w:ascii="仿宋_GB2312" w:hAnsi="仿宋_GB2312" w:eastAsia="仿宋_GB2312" w:cs="仿宋_GB2312"/>
          <w:color w:val="auto"/>
          <w:sz w:val="32"/>
          <w:szCs w:val="32"/>
          <w:highlight w:val="none"/>
        </w:rPr>
        <w:t>、水费</w:t>
      </w:r>
      <w:r>
        <w:rPr>
          <w:rFonts w:hint="eastAsia" w:ascii="仿宋_GB2312" w:hAnsi="仿宋_GB2312" w:eastAsia="仿宋_GB2312" w:cs="仿宋_GB2312"/>
          <w:color w:val="auto"/>
          <w:sz w:val="32"/>
          <w:szCs w:val="32"/>
          <w:highlight w:val="none"/>
          <w:lang w:val="en-US" w:eastAsia="zh-CN"/>
        </w:rPr>
        <w:t>6.15万元</w:t>
      </w:r>
      <w:r>
        <w:rPr>
          <w:rFonts w:hint="eastAsia" w:ascii="仿宋_GB2312" w:hAnsi="仿宋_GB2312" w:eastAsia="仿宋_GB2312" w:cs="仿宋_GB2312"/>
          <w:color w:val="auto"/>
          <w:sz w:val="32"/>
          <w:szCs w:val="32"/>
          <w:highlight w:val="none"/>
        </w:rPr>
        <w:t>、电费</w:t>
      </w:r>
      <w:r>
        <w:rPr>
          <w:rFonts w:hint="eastAsia" w:ascii="仿宋_GB2312" w:hAnsi="仿宋_GB2312" w:eastAsia="仿宋_GB2312" w:cs="仿宋_GB2312"/>
          <w:color w:val="auto"/>
          <w:sz w:val="32"/>
          <w:szCs w:val="32"/>
          <w:highlight w:val="none"/>
          <w:lang w:val="en-US" w:eastAsia="zh-CN"/>
        </w:rPr>
        <w:t>4.92万元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val="en-US" w:eastAsia="zh-CN"/>
        </w:rPr>
        <w:t>4.91万元</w:t>
      </w:r>
      <w:r>
        <w:rPr>
          <w:rFonts w:hint="eastAsia" w:ascii="仿宋_GB2312" w:hAnsi="仿宋_GB2312" w:eastAsia="仿宋_GB2312" w:cs="仿宋_GB2312"/>
          <w:color w:val="auto"/>
          <w:sz w:val="32"/>
          <w:szCs w:val="32"/>
          <w:highlight w:val="none"/>
        </w:rPr>
        <w:t>、取暖费、物业管理费</w:t>
      </w:r>
      <w:r>
        <w:rPr>
          <w:rFonts w:hint="eastAsia" w:ascii="仿宋_GB2312" w:hAnsi="仿宋_GB2312" w:eastAsia="仿宋_GB2312" w:cs="仿宋_GB2312"/>
          <w:color w:val="auto"/>
          <w:sz w:val="32"/>
          <w:szCs w:val="32"/>
          <w:highlight w:val="none"/>
          <w:lang w:val="en-US" w:eastAsia="zh-CN"/>
        </w:rPr>
        <w:t>13.8万元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val="en-US" w:eastAsia="zh-CN"/>
        </w:rPr>
        <w:t>8.29万元</w:t>
      </w:r>
      <w:r>
        <w:rPr>
          <w:rFonts w:hint="eastAsia" w:ascii="仿宋_GB2312" w:hAnsi="仿宋_GB2312" w:eastAsia="仿宋_GB2312" w:cs="仿宋_GB2312"/>
          <w:color w:val="auto"/>
          <w:sz w:val="32"/>
          <w:szCs w:val="32"/>
          <w:highlight w:val="none"/>
        </w:rPr>
        <w:t>、培训费</w:t>
      </w:r>
      <w:r>
        <w:rPr>
          <w:rFonts w:hint="eastAsia" w:ascii="仿宋_GB2312" w:hAnsi="仿宋_GB2312" w:eastAsia="仿宋_GB2312" w:cs="仿宋_GB2312"/>
          <w:color w:val="auto"/>
          <w:sz w:val="32"/>
          <w:szCs w:val="32"/>
          <w:highlight w:val="none"/>
          <w:lang w:val="en-US" w:eastAsia="zh-CN"/>
        </w:rPr>
        <w:t>1.13万元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32.84万元</w:t>
      </w:r>
      <w:r>
        <w:rPr>
          <w:rFonts w:hint="eastAsia" w:ascii="仿宋_GB2312" w:hAnsi="仿宋_GB2312" w:eastAsia="仿宋_GB2312" w:cs="仿宋_GB2312"/>
          <w:color w:val="auto"/>
          <w:sz w:val="32"/>
          <w:szCs w:val="32"/>
          <w:highlight w:val="none"/>
        </w:rPr>
        <w:t>、福利费</w:t>
      </w:r>
      <w:r>
        <w:rPr>
          <w:rFonts w:hint="eastAsia" w:ascii="仿宋_GB2312" w:hAnsi="仿宋_GB2312" w:eastAsia="仿宋_GB2312" w:cs="仿宋_GB2312"/>
          <w:color w:val="auto"/>
          <w:sz w:val="32"/>
          <w:szCs w:val="32"/>
          <w:highlight w:val="none"/>
          <w:lang w:val="en-US" w:eastAsia="zh-CN"/>
        </w:rPr>
        <w:t>21.93万元</w:t>
      </w:r>
      <w:r>
        <w:rPr>
          <w:rFonts w:hint="eastAsia" w:ascii="仿宋_GB2312" w:hAnsi="仿宋_GB2312" w:eastAsia="仿宋_GB2312" w:cs="仿宋_GB2312"/>
          <w:color w:val="auto"/>
          <w:sz w:val="32"/>
          <w:szCs w:val="32"/>
          <w:highlight w:val="none"/>
        </w:rPr>
        <w:t>、公务用车运行维护费</w:t>
      </w:r>
      <w:r>
        <w:rPr>
          <w:rFonts w:hint="eastAsia" w:ascii="仿宋_GB2312" w:hAnsi="仿宋_GB2312" w:eastAsia="仿宋_GB2312" w:cs="仿宋_GB2312"/>
          <w:color w:val="auto"/>
          <w:sz w:val="32"/>
          <w:szCs w:val="32"/>
          <w:highlight w:val="none"/>
          <w:lang w:val="en-US" w:eastAsia="zh-CN"/>
        </w:rPr>
        <w:t>64.57万元</w:t>
      </w:r>
      <w:r>
        <w:rPr>
          <w:rFonts w:hint="eastAsia" w:ascii="仿宋_GB2312" w:hAnsi="仿宋_GB2312" w:eastAsia="仿宋_GB2312" w:cs="仿宋_GB2312"/>
          <w:color w:val="auto"/>
          <w:sz w:val="32"/>
          <w:szCs w:val="32"/>
          <w:highlight w:val="none"/>
        </w:rPr>
        <w:t>、其他交通费</w:t>
      </w:r>
      <w:r>
        <w:rPr>
          <w:rFonts w:hint="eastAsia" w:ascii="仿宋_GB2312" w:hAnsi="仿宋_GB2312" w:eastAsia="仿宋_GB2312" w:cs="仿宋_GB2312"/>
          <w:color w:val="auto"/>
          <w:sz w:val="32"/>
          <w:szCs w:val="32"/>
          <w:highlight w:val="none"/>
          <w:lang w:val="en-US" w:eastAsia="zh-CN"/>
        </w:rPr>
        <w:t>1.64万元</w:t>
      </w:r>
      <w:r>
        <w:rPr>
          <w:rFonts w:hint="eastAsia" w:ascii="仿宋_GB2312" w:hAnsi="仿宋_GB2312" w:eastAsia="仿宋_GB2312" w:cs="仿宋_GB2312"/>
          <w:color w:val="auto"/>
          <w:sz w:val="32"/>
          <w:szCs w:val="32"/>
          <w:highlight w:val="none"/>
        </w:rPr>
        <w:t>、其他商品和服务支出</w:t>
      </w:r>
      <w:r>
        <w:rPr>
          <w:rFonts w:hint="eastAsia" w:ascii="仿宋_GB2312" w:hAnsi="仿宋_GB2312" w:eastAsia="仿宋_GB2312" w:cs="仿宋_GB2312"/>
          <w:color w:val="auto"/>
          <w:sz w:val="32"/>
          <w:szCs w:val="32"/>
          <w:highlight w:val="none"/>
          <w:lang w:val="en-US" w:eastAsia="zh-CN"/>
        </w:rPr>
        <w:t>20.28万元。</w:t>
      </w:r>
    </w:p>
    <w:p>
      <w:pPr>
        <w:spacing w:line="600" w:lineRule="exact"/>
        <w:ind w:firstLine="640"/>
        <w:outlineLvl w:val="1"/>
        <w:rPr>
          <w:rStyle w:val="18"/>
          <w:rFonts w:ascii="黑体" w:hAnsi="黑体" w:eastAsia="黑体"/>
          <w:b w:val="0"/>
          <w:color w:val="auto"/>
          <w:highlight w:val="none"/>
        </w:rPr>
      </w:pPr>
      <w:bookmarkStart w:id="16" w:name="_Toc21015"/>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16"/>
    </w:p>
    <w:p>
      <w:pPr>
        <w:spacing w:line="600" w:lineRule="exact"/>
        <w:ind w:firstLine="640"/>
        <w:outlineLvl w:val="2"/>
        <w:rPr>
          <w:rFonts w:hint="eastAsia" w:ascii="仿宋" w:hAnsi="仿宋" w:eastAsia="仿宋" w:cs="仿宋"/>
          <w:b/>
          <w:bCs w:val="0"/>
          <w:color w:val="auto"/>
          <w:sz w:val="32"/>
          <w:szCs w:val="32"/>
          <w:highlight w:val="none"/>
        </w:rPr>
      </w:pPr>
      <w:bookmarkStart w:id="17" w:name="_Toc12069"/>
      <w:r>
        <w:rPr>
          <w:rFonts w:hint="eastAsia" w:ascii="仿宋" w:hAnsi="仿宋" w:eastAsia="仿宋" w:cs="仿宋"/>
          <w:b/>
          <w:bCs w:val="0"/>
          <w:color w:val="auto"/>
          <w:sz w:val="32"/>
          <w:szCs w:val="32"/>
          <w:highlight w:val="none"/>
        </w:rPr>
        <w:t>（一）“三公”经费财政拨款支出决算总体情况说明</w:t>
      </w:r>
      <w:bookmarkEnd w:id="17"/>
    </w:p>
    <w:p>
      <w:pPr>
        <w:spacing w:line="600" w:lineRule="exact"/>
        <w:ind w:firstLine="64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eastAsia="仿宋_GB2312" w:cs="仿宋_GB2312"/>
          <w:color w:val="auto"/>
          <w:sz w:val="32"/>
          <w:szCs w:val="32"/>
          <w:highlight w:val="none"/>
          <w:lang w:val="en-US" w:eastAsia="zh-CN"/>
        </w:rPr>
        <w:t>64.57</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84.13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较上年度增加</w:t>
      </w:r>
      <w:r>
        <w:rPr>
          <w:rFonts w:hint="eastAsia" w:ascii="仿宋_GB2312" w:hAnsi="仿宋_GB2312" w:eastAsia="仿宋_GB2312" w:cs="仿宋_GB2312"/>
          <w:color w:val="auto"/>
          <w:sz w:val="32"/>
          <w:szCs w:val="32"/>
          <w:highlight w:val="none"/>
          <w:lang w:val="en-US" w:eastAsia="zh-CN"/>
        </w:rPr>
        <w:t>10.2万元，增长18.76%。</w:t>
      </w:r>
      <w:r>
        <w:rPr>
          <w:rFonts w:hint="eastAsia" w:ascii="仿宋_GB2312" w:hAnsi="仿宋_GB2312" w:eastAsia="仿宋_GB2312" w:cs="仿宋_GB2312"/>
          <w:color w:val="auto"/>
          <w:sz w:val="32"/>
          <w:szCs w:val="32"/>
          <w:highlight w:val="none"/>
        </w:rPr>
        <w:t>决算数小于预算数的主要原因</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2023年公务用车车辆油料费消耗减少；二是报废了4辆</w:t>
      </w:r>
      <w:r>
        <w:rPr>
          <w:rFonts w:hint="eastAsia" w:ascii="仿宋_GB2312" w:hAnsi="仿宋_GB2312" w:eastAsia="仿宋_GB2312" w:cs="仿宋_GB2312"/>
          <w:color w:val="000000"/>
          <w:sz w:val="32"/>
          <w:szCs w:val="32"/>
        </w:rPr>
        <w:t>特种作业车</w:t>
      </w:r>
      <w:r>
        <w:rPr>
          <w:rFonts w:hint="eastAsia" w:ascii="仿宋_GB2312" w:hAnsi="仿宋_GB2312" w:eastAsia="仿宋_GB2312" w:cs="仿宋_GB2312"/>
          <w:color w:val="000000"/>
          <w:sz w:val="32"/>
          <w:szCs w:val="32"/>
          <w:lang w:eastAsia="zh-CN"/>
        </w:rPr>
        <w:t>，所以本年支出减少</w:t>
      </w:r>
      <w:r>
        <w:rPr>
          <w:rFonts w:hint="eastAsia" w:ascii="仿宋_GB2312" w:hAnsi="仿宋_GB2312" w:eastAsia="仿宋_GB2312" w:cs="仿宋_GB2312"/>
          <w:color w:val="auto"/>
          <w:sz w:val="32"/>
          <w:szCs w:val="32"/>
          <w:lang w:eastAsia="zh-CN"/>
        </w:rPr>
        <w:t>。</w:t>
      </w:r>
    </w:p>
    <w:p>
      <w:pPr>
        <w:spacing w:line="600" w:lineRule="exact"/>
        <w:ind w:firstLine="640"/>
        <w:outlineLvl w:val="2"/>
        <w:rPr>
          <w:rFonts w:hint="eastAsia" w:ascii="仿宋" w:hAnsi="仿宋" w:eastAsia="仿宋" w:cs="仿宋"/>
          <w:b/>
          <w:bCs w:val="0"/>
          <w:color w:val="auto"/>
          <w:sz w:val="32"/>
          <w:szCs w:val="32"/>
          <w:highlight w:val="none"/>
        </w:rPr>
      </w:pPr>
      <w:bookmarkStart w:id="18" w:name="_Toc25357"/>
      <w:r>
        <w:rPr>
          <w:rFonts w:hint="eastAsia" w:ascii="仿宋" w:hAnsi="仿宋" w:eastAsia="仿宋" w:cs="仿宋"/>
          <w:b/>
          <w:bCs w:val="0"/>
          <w:color w:val="auto"/>
          <w:sz w:val="32"/>
          <w:szCs w:val="32"/>
          <w:highlight w:val="none"/>
        </w:rPr>
        <w:t>（二）“三公”经费财政拨款支出决算具体情况说明</w:t>
      </w:r>
      <w:bookmarkEnd w:id="18"/>
    </w:p>
    <w:p>
      <w:pPr>
        <w:spacing w:line="600" w:lineRule="exact"/>
        <w:ind w:firstLine="640"/>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64.57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%。具体情况如下：</w:t>
      </w:r>
    </w:p>
    <w:p>
      <w:pPr>
        <w:pStyle w:val="2"/>
        <w:rPr>
          <w:rFonts w:hint="eastAsia" w:ascii="仿宋" w:hAnsi="仿宋" w:eastAsia="仿宋"/>
          <w:color w:val="auto"/>
          <w:sz w:val="32"/>
          <w:szCs w:val="32"/>
          <w:highlight w:val="yellow"/>
        </w:rPr>
      </w:pPr>
      <w:r>
        <w:rPr>
          <w:rFonts w:hint="eastAsia" w:ascii="仿宋" w:hAnsi="仿宋" w:eastAsia="仿宋"/>
          <w:color w:val="auto"/>
          <w:sz w:val="32"/>
          <w:szCs w:val="32"/>
          <w:highlight w:val="none"/>
          <w:lang w:eastAsia="zh-CN"/>
        </w:rPr>
        <w:drawing>
          <wp:inline distT="0" distB="0" distL="114300" distR="114300">
            <wp:extent cx="5256530" cy="2368550"/>
            <wp:effectExtent l="4445" t="4445" r="15874" b="8255"/>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val="0"/>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eastAsia="仿宋_GB2312" w:cs="仿宋_GB2312"/>
          <w:b w:val="0"/>
          <w:bCs/>
          <w:color w:val="auto"/>
          <w:sz w:val="32"/>
          <w:szCs w:val="32"/>
          <w:highlight w:val="none"/>
          <w:lang w:val="en-US" w:eastAsia="zh-CN"/>
        </w:rPr>
        <w:t>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sz w:val="32"/>
          <w:szCs w:val="32"/>
        </w:rPr>
        <w:t>因公出国（境）支出决算与202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年持平。</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val="0"/>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64.57</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eastAsia="仿宋_GB2312" w:cs="仿宋_GB2312"/>
          <w:b w:val="0"/>
          <w:bCs/>
          <w:color w:val="auto"/>
          <w:sz w:val="32"/>
          <w:szCs w:val="32"/>
          <w:highlight w:val="none"/>
          <w:lang w:val="en-US" w:eastAsia="zh-CN"/>
        </w:rPr>
        <w:t>84.13</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10.2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18.76</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未支付</w:t>
      </w:r>
      <w:r>
        <w:rPr>
          <w:rFonts w:hint="eastAsia" w:ascii="仿宋_GB2312" w:hAnsi="仿宋_GB2312" w:eastAsia="仿宋_GB2312" w:cs="仿宋_GB2312"/>
          <w:color w:val="auto"/>
          <w:sz w:val="32"/>
          <w:szCs w:val="32"/>
          <w:lang w:val="en-US" w:eastAsia="zh-CN"/>
        </w:rPr>
        <w:t>9—12月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公务用车车辆修理费</w:t>
      </w:r>
      <w:r>
        <w:rPr>
          <w:rFonts w:hint="eastAsia" w:ascii="仿宋_GB2312" w:hAnsi="仿宋_GB2312" w:eastAsia="仿宋_GB2312" w:cs="仿宋_GB2312"/>
          <w:color w:val="auto"/>
          <w:sz w:val="32"/>
          <w:szCs w:val="32"/>
          <w:lang w:eastAsia="zh-CN"/>
        </w:rPr>
        <w:t>，累计到本年进行</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，所以本年</w:t>
      </w:r>
      <w:r>
        <w:rPr>
          <w:rFonts w:hint="eastAsia" w:ascii="仿宋_GB2312" w:hAnsi="仿宋_GB2312" w:eastAsia="仿宋_GB2312" w:cs="仿宋_GB2312"/>
          <w:color w:val="auto"/>
          <w:sz w:val="32"/>
          <w:szCs w:val="32"/>
          <w:highlight w:val="none"/>
        </w:rPr>
        <w:t>公务用车购置及运行维护费</w:t>
      </w:r>
      <w:r>
        <w:rPr>
          <w:rFonts w:hint="eastAsia" w:ascii="仿宋_GB2312" w:hAnsi="仿宋_GB2312" w:eastAsia="仿宋_GB2312" w:cs="仿宋_GB2312"/>
          <w:color w:val="auto"/>
          <w:sz w:val="32"/>
          <w:szCs w:val="32"/>
          <w:highlight w:val="none"/>
          <w:lang w:eastAsia="zh-CN"/>
        </w:rPr>
        <w:t>较上年有所增加</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bCs w:val="0"/>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w:t>
      </w: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val="en-US" w:eastAsia="zh-CN"/>
        </w:rPr>
        <w:t>31日</w:t>
      </w:r>
      <w:r>
        <w:rPr>
          <w:rFonts w:hint="eastAsia" w:ascii="仿宋_GB2312" w:hAnsi="仿宋_GB2312" w:eastAsia="仿宋_GB2312" w:cs="仿宋_GB2312"/>
          <w:color w:val="auto"/>
          <w:sz w:val="32"/>
          <w:szCs w:val="32"/>
          <w:highlight w:val="none"/>
        </w:rPr>
        <w:t>，单位共有公务用车</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辆、越野车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货车及特种作业车</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64.57</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000000"/>
          <w:sz w:val="32"/>
          <w:szCs w:val="32"/>
        </w:rPr>
        <w:t>市政公用设施维修维护等所需的</w:t>
      </w:r>
      <w:r>
        <w:rPr>
          <w:rFonts w:hint="eastAsia" w:ascii="仿宋_GB2312" w:hAnsi="仿宋_GB2312" w:eastAsia="仿宋_GB2312" w:cs="仿宋_GB2312"/>
          <w:sz w:val="32"/>
          <w:szCs w:val="32"/>
        </w:rPr>
        <w:t>公务用车</w:t>
      </w:r>
      <w:r>
        <w:rPr>
          <w:rFonts w:hint="eastAsia" w:ascii="仿宋_GB2312" w:hAnsi="仿宋_GB2312" w:eastAsia="仿宋_GB2312" w:cs="仿宋_GB2312"/>
          <w:color w:val="auto"/>
          <w:sz w:val="32"/>
          <w:szCs w:val="32"/>
          <w:highlight w:val="none"/>
        </w:rPr>
        <w:t>燃料费、维修费、过路过桥费、保险费等支出。</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eastAsia="仿宋_GB2312" w:cs="仿宋_GB2312"/>
          <w:b w:val="0"/>
          <w:bCs/>
          <w:color w:val="auto"/>
          <w:sz w:val="32"/>
          <w:szCs w:val="32"/>
          <w:highlight w:val="none"/>
          <w:lang w:val="en-US" w:eastAsia="zh-CN"/>
        </w:rPr>
        <w:t>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sz w:val="32"/>
          <w:szCs w:val="32"/>
        </w:rPr>
        <w:t>公务接待费支出决算比202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持平。</w:t>
      </w:r>
      <w:r>
        <w:rPr>
          <w:rFonts w:hint="eastAsia" w:ascii="仿宋_GB2312" w:hAnsi="仿宋_GB2312" w:eastAsia="仿宋_GB2312" w:cs="仿宋_GB2312"/>
          <w:color w:val="auto"/>
          <w:sz w:val="32"/>
          <w:szCs w:val="32"/>
          <w:highlight w:val="none"/>
        </w:rPr>
        <w:t>其中：</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国内公务接待支出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万元，国内公务接待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人次，共计支出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2" w:firstLineChars="200"/>
        <w:rPr>
          <w:rFonts w:ascii="黑体" w:eastAsia="黑体"/>
          <w:color w:val="auto"/>
          <w:sz w:val="32"/>
          <w:szCs w:val="32"/>
          <w:highlight w:val="none"/>
        </w:rPr>
      </w:pPr>
      <w:r>
        <w:rPr>
          <w:rFonts w:hint="eastAsia" w:ascii="仿宋_GB2312" w:hAnsi="仿宋_GB2312" w:eastAsia="仿宋_GB2312" w:cs="仿宋_GB2312"/>
          <w:b/>
          <w:bCs w:val="0"/>
          <w:color w:val="auto"/>
          <w:sz w:val="32"/>
          <w:szCs w:val="32"/>
          <w:highlight w:val="none"/>
        </w:rPr>
        <w:t>外事接待支出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w:t>
      </w:r>
      <w:r>
        <w:rPr>
          <w:rFonts w:hint="eastAsia" w:ascii="仿宋_GB2312" w:hAnsi="仿宋_GB2312" w:eastAsia="仿宋_GB2312" w:cs="仿宋_GB2312"/>
          <w:color w:val="auto"/>
          <w:sz w:val="32"/>
          <w:szCs w:val="32"/>
          <w:highlight w:val="none"/>
        </w:rPr>
        <w:t>，共计支出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1"/>
        <w:rPr>
          <w:rStyle w:val="18"/>
          <w:rFonts w:ascii="黑体" w:hAnsi="黑体" w:eastAsia="黑体"/>
          <w:color w:val="auto"/>
          <w:highlight w:val="none"/>
        </w:rPr>
      </w:pPr>
      <w:bookmarkStart w:id="19" w:name="_Toc2446"/>
      <w:r>
        <w:rPr>
          <w:rFonts w:hint="eastAsia" w:ascii="黑体" w:eastAsia="黑体"/>
          <w:color w:val="auto"/>
          <w:sz w:val="32"/>
          <w:szCs w:val="32"/>
          <w:highlight w:val="none"/>
        </w:rPr>
        <w:t>八、</w:t>
      </w:r>
      <w:r>
        <w:rPr>
          <w:rStyle w:val="18"/>
          <w:rFonts w:hint="eastAsia" w:ascii="黑体" w:hAnsi="黑体" w:eastAsia="黑体"/>
          <w:b w:val="0"/>
          <w:color w:val="auto"/>
          <w:highlight w:val="none"/>
        </w:rPr>
        <w:t>政府性基金预算支出决算情况说明</w:t>
      </w:r>
      <w:bookmarkEnd w:id="19"/>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842.38</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firstLine="640" w:firstLineChars="200"/>
        <w:textAlignment w:val="auto"/>
        <w:outlineLvl w:val="1"/>
        <w:rPr>
          <w:rStyle w:val="18"/>
          <w:rFonts w:ascii="黑体" w:hAnsi="黑体" w:eastAsia="黑体"/>
          <w:b w:val="0"/>
          <w:color w:val="auto"/>
          <w:highlight w:val="none"/>
        </w:rPr>
      </w:pPr>
      <w:bookmarkStart w:id="20" w:name="_Toc9485"/>
      <w:r>
        <w:rPr>
          <w:rStyle w:val="18"/>
          <w:rFonts w:hint="eastAsia" w:ascii="黑体" w:hAnsi="黑体" w:eastAsia="黑体"/>
          <w:b w:val="0"/>
          <w:color w:val="auto"/>
          <w:highlight w:val="none"/>
          <w:lang w:eastAsia="zh-CN"/>
        </w:rPr>
        <w:t>九、</w:t>
      </w:r>
      <w:r>
        <w:rPr>
          <w:rStyle w:val="18"/>
          <w:rFonts w:hint="eastAsia" w:ascii="黑体" w:hAnsi="黑体" w:eastAsia="黑体"/>
          <w:b w:val="0"/>
          <w:color w:val="auto"/>
          <w:highlight w:val="none"/>
        </w:rPr>
        <w:t>国有资本经营预算支出决算情况说明</w:t>
      </w:r>
      <w:bookmarkEnd w:id="20"/>
    </w:p>
    <w:p>
      <w:pPr>
        <w:spacing w:line="600" w:lineRule="exact"/>
        <w:ind w:firstLine="640"/>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firstLine="640" w:firstLineChars="200"/>
        <w:textAlignment w:val="auto"/>
        <w:outlineLvl w:val="1"/>
        <w:rPr>
          <w:rStyle w:val="18"/>
          <w:rFonts w:hint="eastAsia" w:ascii="黑体" w:hAnsi="黑体" w:eastAsia="黑体"/>
          <w:b w:val="0"/>
          <w:color w:val="auto"/>
          <w:highlight w:val="none"/>
        </w:rPr>
      </w:pPr>
      <w:bookmarkStart w:id="21" w:name="_Toc25721"/>
      <w:r>
        <w:rPr>
          <w:rStyle w:val="18"/>
          <w:rFonts w:hint="eastAsia" w:ascii="黑体" w:hAnsi="黑体" w:eastAsia="黑体"/>
          <w:b w:val="0"/>
          <w:color w:val="auto"/>
          <w:highlight w:val="none"/>
          <w:lang w:eastAsia="zh-CN"/>
        </w:rPr>
        <w:t>十、</w:t>
      </w:r>
      <w:r>
        <w:rPr>
          <w:rStyle w:val="18"/>
          <w:rFonts w:hint="eastAsia" w:ascii="黑体" w:hAnsi="黑体" w:eastAsia="黑体"/>
          <w:b w:val="0"/>
          <w:color w:val="auto"/>
          <w:highlight w:val="none"/>
        </w:rPr>
        <w:t>其他重要事项的情况说明</w:t>
      </w:r>
      <w:bookmarkEnd w:id="21"/>
    </w:p>
    <w:p>
      <w:pPr>
        <w:spacing w:line="600" w:lineRule="exact"/>
        <w:ind w:firstLine="642" w:firstLineChars="200"/>
        <w:outlineLvl w:val="2"/>
        <w:rPr>
          <w:rFonts w:hint="eastAsia" w:ascii="仿宋" w:hAnsi="仿宋" w:eastAsia="仿宋" w:cs="仿宋"/>
          <w:b/>
          <w:bCs w:val="0"/>
          <w:color w:val="auto"/>
          <w:sz w:val="32"/>
          <w:szCs w:val="32"/>
          <w:highlight w:val="none"/>
        </w:rPr>
      </w:pPr>
      <w:bookmarkStart w:id="22" w:name="_Toc29616"/>
      <w:r>
        <w:rPr>
          <w:rFonts w:hint="eastAsia" w:ascii="仿宋" w:hAnsi="仿宋" w:eastAsia="仿宋" w:cs="仿宋"/>
          <w:b/>
          <w:bCs w:val="0"/>
          <w:color w:val="auto"/>
          <w:sz w:val="32"/>
          <w:szCs w:val="32"/>
          <w:highlight w:val="none"/>
        </w:rPr>
        <w:t>（一）机关运行经费支出情况</w:t>
      </w:r>
      <w:bookmarkEnd w:id="22"/>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s="仿宋_GB2312"/>
          <w:sz w:val="32"/>
          <w:szCs w:val="32"/>
        </w:rPr>
        <w:t>市政服务中心机关运行经费支出</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年决算数持平。</w:t>
      </w:r>
    </w:p>
    <w:p>
      <w:pPr>
        <w:autoSpaceDE w:val="0"/>
        <w:autoSpaceDN w:val="0"/>
        <w:adjustRightInd w:val="0"/>
        <w:spacing w:line="600" w:lineRule="exact"/>
        <w:ind w:firstLine="642" w:firstLineChars="200"/>
        <w:jc w:val="left"/>
        <w:outlineLvl w:val="2"/>
        <w:rPr>
          <w:rFonts w:ascii="仿宋" w:hAnsi="仿宋" w:eastAsia="仿宋"/>
          <w:b/>
          <w:bCs w:val="0"/>
          <w:color w:val="auto"/>
          <w:sz w:val="32"/>
          <w:szCs w:val="32"/>
          <w:highlight w:val="none"/>
        </w:rPr>
      </w:pPr>
      <w:bookmarkStart w:id="23" w:name="_Toc5131"/>
      <w:r>
        <w:rPr>
          <w:rFonts w:hint="eastAsia" w:ascii="仿宋" w:hAnsi="仿宋" w:eastAsia="仿宋"/>
          <w:b/>
          <w:bCs w:val="0"/>
          <w:color w:val="auto"/>
          <w:sz w:val="32"/>
          <w:szCs w:val="32"/>
          <w:highlight w:val="none"/>
        </w:rPr>
        <w:t>（二）政府采购支出情况</w:t>
      </w:r>
      <w:bookmarkEnd w:id="23"/>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s="仿宋_GB2312"/>
          <w:sz w:val="32"/>
          <w:szCs w:val="32"/>
        </w:rPr>
        <w:t>市政服务中心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bCs w:val="0"/>
          <w:color w:val="auto"/>
          <w:sz w:val="32"/>
          <w:szCs w:val="32"/>
          <w:highlight w:val="none"/>
        </w:rPr>
      </w:pPr>
      <w:bookmarkStart w:id="24" w:name="_Toc26027"/>
      <w:r>
        <w:rPr>
          <w:rFonts w:hint="eastAsia" w:ascii="仿宋" w:hAnsi="仿宋" w:eastAsia="仿宋"/>
          <w:b/>
          <w:bCs w:val="0"/>
          <w:color w:val="auto"/>
          <w:sz w:val="32"/>
          <w:szCs w:val="32"/>
          <w:highlight w:val="none"/>
        </w:rPr>
        <w:t>（三）国有资产占有使用情况</w:t>
      </w:r>
      <w:bookmarkEnd w:id="24"/>
    </w:p>
    <w:p>
      <w:pPr>
        <w:autoSpaceDE w:val="0"/>
        <w:autoSpaceDN w:val="0"/>
        <w:adjustRightInd w:val="0"/>
        <w:spacing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sz w:val="32"/>
          <w:szCs w:val="32"/>
        </w:rPr>
        <w:t>市政服务中心</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000000"/>
          <w:sz w:val="32"/>
          <w:szCs w:val="32"/>
        </w:rPr>
        <w:t>特种专业技术用车</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highlight w:val="none"/>
        </w:rPr>
        <w:t>其他用车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特种专业技术用车</w:t>
      </w:r>
      <w:r>
        <w:rPr>
          <w:rFonts w:hint="eastAsia" w:ascii="仿宋_GB2312" w:hAnsi="仿宋_GB2312" w:eastAsia="仿宋_GB2312" w:cs="仿宋_GB2312"/>
          <w:sz w:val="32"/>
          <w:szCs w:val="32"/>
        </w:rPr>
        <w:t>主要是用于</w:t>
      </w:r>
      <w:r>
        <w:rPr>
          <w:rFonts w:hint="eastAsia" w:ascii="仿宋_GB2312" w:hAnsi="仿宋_GB2312" w:eastAsia="仿宋_GB2312" w:cs="仿宋_GB2312"/>
          <w:color w:val="000000"/>
          <w:sz w:val="32"/>
          <w:szCs w:val="32"/>
        </w:rPr>
        <w:t>城市路灯、道路、排水、桥涵等市政设施的维修维护工作</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单价50万元以上通用设备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台，</w:t>
      </w:r>
      <w:r>
        <w:rPr>
          <w:rFonts w:hint="eastAsia" w:ascii="仿宋_GB2312" w:hAnsi="仿宋_GB2312" w:eastAsia="仿宋_GB2312" w:cs="仿宋_GB2312"/>
          <w:color w:val="auto"/>
          <w:sz w:val="32"/>
          <w:szCs w:val="32"/>
          <w:highlight w:val="none"/>
          <w:lang w:eastAsia="zh-CN"/>
        </w:rPr>
        <w:t>分别是价值</w:t>
      </w:r>
      <w:r>
        <w:rPr>
          <w:rFonts w:hint="eastAsia" w:ascii="仿宋_GB2312" w:hAnsi="仿宋_GB2312" w:eastAsia="仿宋_GB2312" w:cs="仿宋_GB2312"/>
          <w:color w:val="auto"/>
          <w:sz w:val="32"/>
          <w:szCs w:val="32"/>
          <w:highlight w:val="none"/>
          <w:lang w:val="en-US" w:eastAsia="zh-CN"/>
        </w:rPr>
        <w:t>165万元的沥青车和价值52.83万元的护栏清洗车。</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eastAsia="仿宋_GB2312" w:cs="仿宋_GB2312"/>
          <w:color w:val="auto"/>
          <w:sz w:val="32"/>
          <w:szCs w:val="32"/>
          <w:highlight w:val="none"/>
          <w:lang w:eastAsia="zh-CN"/>
        </w:rPr>
        <w:t>（不含车辆）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bCs w:val="0"/>
          <w:color w:val="auto"/>
          <w:sz w:val="32"/>
          <w:szCs w:val="32"/>
          <w:highlight w:val="none"/>
          <w:lang w:eastAsia="zh-CN"/>
        </w:rPr>
      </w:pPr>
      <w:bookmarkStart w:id="25" w:name="_Toc17061"/>
      <w:r>
        <w:rPr>
          <w:rFonts w:hint="eastAsia" w:ascii="仿宋" w:hAnsi="仿宋" w:eastAsia="仿宋"/>
          <w:b/>
          <w:bCs w:val="0"/>
          <w:color w:val="auto"/>
          <w:sz w:val="32"/>
          <w:szCs w:val="32"/>
          <w:highlight w:val="none"/>
        </w:rPr>
        <w:t>（四）预算绩效管理情况</w:t>
      </w:r>
      <w:bookmarkEnd w:id="25"/>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预算编制阶段，组织了对物业管理费、路灯电费及运行维护材料、市政设施日常维修维护（含车辆保险费）、攀枝花市食品安全示范城市宣传氛围营造</w:t>
      </w:r>
      <w:r>
        <w:rPr>
          <w:rFonts w:hint="eastAsia" w:ascii="仿宋_GB2312" w:hAnsi="Times New Roman" w:eastAsia="仿宋_GB2312" w:cs="Times New Roman"/>
          <w:color w:val="auto"/>
          <w:sz w:val="32"/>
          <w:szCs w:val="32"/>
          <w:highlight w:val="none"/>
          <w:lang w:val="en-US" w:eastAsia="zh-CN"/>
        </w:rPr>
        <w:t>4个项目</w:t>
      </w:r>
      <w:r>
        <w:rPr>
          <w:rFonts w:hint="eastAsia" w:ascii="仿宋_GB2312" w:hAnsi="Times New Roman" w:eastAsia="仿宋_GB2312" w:cs="Times New Roman"/>
          <w:color w:val="auto"/>
          <w:sz w:val="32"/>
          <w:szCs w:val="32"/>
          <w:highlight w:val="none"/>
          <w:lang w:eastAsia="zh-CN"/>
        </w:rPr>
        <w:t>开展了预算事前绩效评估，其余</w:t>
      </w:r>
      <w:r>
        <w:rPr>
          <w:rFonts w:hint="eastAsia" w:ascii="仿宋_GB2312" w:hAnsi="Times New Roman" w:eastAsia="仿宋_GB2312" w:cs="Times New Roman"/>
          <w:color w:val="auto"/>
          <w:sz w:val="32"/>
          <w:szCs w:val="32"/>
          <w:highlight w:val="none"/>
          <w:lang w:val="en-US" w:eastAsia="zh-CN"/>
        </w:rPr>
        <w:t>4个以前年度项目：</w:t>
      </w:r>
      <w:r>
        <w:rPr>
          <w:rFonts w:hint="eastAsia" w:ascii="仿宋_GB2312" w:hAnsi="Times New Roman" w:eastAsia="仿宋_GB2312" w:cs="Times New Roman"/>
          <w:color w:val="auto"/>
          <w:sz w:val="32"/>
          <w:szCs w:val="32"/>
          <w:highlight w:val="none"/>
          <w:lang w:eastAsia="zh-CN"/>
        </w:rPr>
        <w:t>高速公路出口至市区道路功能性照明完善工程、攀枝花大道东段交警三大队沿线山体边坡地质灾害治理工程、攀枝花市城区排水设施建设、渡口桥南连接线等六处边坡地质灾害治理工程编制了绩效目标，预算执行过程中，选取</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8个项目开展绩效自评，绩效自评表详见第四部分附件。</w:t>
      </w:r>
    </w:p>
    <w:p>
      <w:pPr>
        <w:spacing w:line="60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pPr>
        <w:spacing w:line="600" w:lineRule="exact"/>
        <w:jc w:val="center"/>
        <w:outlineLvl w:val="0"/>
        <w:rPr>
          <w:rStyle w:val="17"/>
          <w:rFonts w:ascii="黑体" w:hAnsi="黑体" w:eastAsia="黑体"/>
          <w:b w:val="0"/>
          <w:color w:val="auto"/>
          <w:highlight w:val="none"/>
        </w:rPr>
      </w:pPr>
      <w:bookmarkStart w:id="26" w:name="_Toc14422"/>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26"/>
    </w:p>
    <w:p>
      <w:pPr>
        <w:spacing w:line="600" w:lineRule="exact"/>
        <w:jc w:val="left"/>
        <w:rPr>
          <w:rFonts w:ascii="宋体"/>
          <w:b/>
          <w:color w:val="auto"/>
          <w:sz w:val="44"/>
          <w:szCs w:val="44"/>
          <w:highlight w:val="none"/>
        </w:rPr>
      </w:pPr>
    </w:p>
    <w:p>
      <w:pPr>
        <w:pStyle w:val="20"/>
        <w:spacing w:line="560" w:lineRule="exact"/>
        <w:ind w:firstLine="640" w:firstLineChars="200"/>
        <w:jc w:val="both"/>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pPr>
        <w:pStyle w:val="20"/>
        <w:spacing w:line="560" w:lineRule="exact"/>
        <w:ind w:firstLine="640" w:firstLineChars="200"/>
        <w:jc w:val="both"/>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政府性基金预算收入：指按规定收取、转入或通过当年财政安排，纳入政府预算管理，具有指定用途的政府性基金收入。</w:t>
      </w:r>
    </w:p>
    <w:p>
      <w:pPr>
        <w:pStyle w:val="20"/>
        <w:spacing w:line="560" w:lineRule="exact"/>
        <w:ind w:firstLine="640" w:firstLineChars="200"/>
        <w:jc w:val="both"/>
        <w:rPr>
          <w:rFonts w:ascii="仿宋_GB2312" w:eastAsia="仿宋_GB2312" w:cs="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使用非财政拨款结余：指事业单位使用以前年度积累的非财政拨款结余弥补当年收支差额的金额。</w:t>
      </w:r>
      <w:r>
        <w:rPr>
          <w:rFonts w:ascii="仿宋_GB2312" w:eastAsia="仿宋_GB2312" w:cs="仿宋_GB2312"/>
          <w:color w:val="auto"/>
          <w:sz w:val="32"/>
          <w:szCs w:val="32"/>
        </w:rPr>
        <w:t xml:space="preserve"> </w:t>
      </w:r>
    </w:p>
    <w:p>
      <w:pPr>
        <w:pStyle w:val="20"/>
        <w:spacing w:line="560" w:lineRule="exact"/>
        <w:ind w:firstLine="640" w:firstLineChars="200"/>
        <w:jc w:val="both"/>
        <w:rPr>
          <w:rFonts w:ascii="仿宋_GB2312" w:eastAsia="仿宋_GB2312" w:cs="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pPr>
        <w:pStyle w:val="20"/>
        <w:spacing w:line="560" w:lineRule="exact"/>
        <w:ind w:firstLine="640" w:firstLineChars="200"/>
        <w:jc w:val="both"/>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、年末结转和结余：指单位按有关规定结转到下年或以后年度继续使用的资金。</w:t>
      </w:r>
    </w:p>
    <w:p>
      <w:pPr>
        <w:pStyle w:val="20"/>
        <w:spacing w:line="560" w:lineRule="exact"/>
        <w:ind w:firstLine="640" w:firstLineChars="200"/>
        <w:jc w:val="both"/>
        <w:rPr>
          <w:rStyle w:val="16"/>
          <w:rFonts w:hint="eastAsia"/>
          <w:b w:val="0"/>
          <w:bCs w:val="0"/>
          <w:sz w:val="32"/>
          <w:szCs w:val="32"/>
        </w:rPr>
      </w:pPr>
      <w:r>
        <w:rPr>
          <w:rFonts w:ascii="仿宋_GB2312" w:eastAsia="仿宋_GB2312" w:cs="仿宋_GB2312"/>
          <w:color w:val="auto"/>
          <w:sz w:val="32"/>
          <w:szCs w:val="32"/>
        </w:rPr>
        <w:t>6.</w:t>
      </w:r>
      <w:r>
        <w:rPr>
          <w:rStyle w:val="16"/>
          <w:rFonts w:hint="eastAsia" w:ascii="仿宋_GB2312" w:hAnsi="仿宋_GB2312" w:eastAsia="仿宋_GB2312" w:cs="仿宋_GB2312"/>
          <w:b w:val="0"/>
          <w:bCs w:val="0"/>
          <w:color w:val="auto"/>
          <w:sz w:val="32"/>
          <w:szCs w:val="32"/>
          <w:highlight w:val="none"/>
        </w:rPr>
        <w:t>一般公共服务</w:t>
      </w:r>
      <w:r>
        <w:rPr>
          <w:rStyle w:val="16"/>
          <w:rFonts w:hint="eastAsia" w:ascii="仿宋_GB2312" w:hAnsi="仿宋_GB2312" w:eastAsia="仿宋_GB2312" w:cs="仿宋_GB2312"/>
          <w:b w:val="0"/>
          <w:bCs w:val="0"/>
          <w:color w:val="auto"/>
          <w:sz w:val="32"/>
          <w:szCs w:val="32"/>
          <w:highlight w:val="none"/>
          <w:lang w:val="en-US" w:eastAsia="zh-CN"/>
        </w:rPr>
        <w:t>201</w:t>
      </w:r>
      <w:r>
        <w:rPr>
          <w:rStyle w:val="16"/>
          <w:rFonts w:hint="eastAsia" w:ascii="仿宋_GB2312" w:hAnsi="仿宋_GB2312" w:eastAsia="仿宋_GB2312" w:cs="仿宋_GB2312"/>
          <w:b w:val="0"/>
          <w:bCs w:val="0"/>
          <w:color w:val="auto"/>
          <w:sz w:val="32"/>
          <w:szCs w:val="32"/>
          <w:highlight w:val="none"/>
        </w:rPr>
        <w:t>（类）市场监督管理事务</w:t>
      </w:r>
      <w:r>
        <w:rPr>
          <w:rStyle w:val="16"/>
          <w:rFonts w:hint="eastAsia" w:ascii="仿宋_GB2312" w:hAnsi="仿宋_GB2312" w:eastAsia="仿宋_GB2312" w:cs="仿宋_GB2312"/>
          <w:b w:val="0"/>
          <w:bCs w:val="0"/>
          <w:color w:val="auto"/>
          <w:sz w:val="32"/>
          <w:szCs w:val="32"/>
          <w:highlight w:val="none"/>
          <w:lang w:val="en-US" w:eastAsia="zh-CN"/>
        </w:rPr>
        <w:t>38</w:t>
      </w:r>
      <w:r>
        <w:rPr>
          <w:rStyle w:val="16"/>
          <w:rFonts w:hint="eastAsia" w:ascii="仿宋_GB2312" w:hAnsi="仿宋_GB2312" w:eastAsia="仿宋_GB2312" w:cs="仿宋_GB2312"/>
          <w:b w:val="0"/>
          <w:bCs w:val="0"/>
          <w:color w:val="auto"/>
          <w:sz w:val="32"/>
          <w:szCs w:val="32"/>
          <w:highlight w:val="none"/>
        </w:rPr>
        <w:t>（款）食品安全监管</w:t>
      </w:r>
      <w:r>
        <w:rPr>
          <w:rStyle w:val="16"/>
          <w:rFonts w:hint="eastAsia" w:ascii="仿宋_GB2312" w:hAnsi="仿宋_GB2312" w:eastAsia="仿宋_GB2312" w:cs="仿宋_GB2312"/>
          <w:b w:val="0"/>
          <w:bCs w:val="0"/>
          <w:color w:val="auto"/>
          <w:sz w:val="32"/>
          <w:szCs w:val="32"/>
          <w:highlight w:val="none"/>
          <w:lang w:val="en-US" w:eastAsia="zh-CN"/>
        </w:rPr>
        <w:t>16</w:t>
      </w:r>
      <w:r>
        <w:rPr>
          <w:rStyle w:val="16"/>
          <w:rFonts w:hint="eastAsia" w:ascii="仿宋_GB2312" w:hAnsi="仿宋_GB2312" w:eastAsia="仿宋_GB2312" w:cs="仿宋_GB2312"/>
          <w:b w:val="0"/>
          <w:bCs w:val="0"/>
          <w:color w:val="auto"/>
          <w:sz w:val="32"/>
          <w:szCs w:val="32"/>
          <w:highlight w:val="none"/>
        </w:rPr>
        <w:t>（项）</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eastAsia="zh-CN"/>
        </w:rPr>
        <w:t>反映食品安全监管等专项工作支出</w:t>
      </w:r>
      <w:r>
        <w:rPr>
          <w:rStyle w:val="16"/>
          <w:rFonts w:hint="eastAsia" w:ascii="仿宋_GB2312" w:hAnsi="仿宋_GB2312" w:eastAsia="仿宋_GB2312" w:cs="仿宋_GB2312"/>
          <w:b w:val="0"/>
          <w:bCs w:val="0"/>
          <w:sz w:val="32"/>
          <w:szCs w:val="32"/>
        </w:rPr>
        <w:t>。</w:t>
      </w:r>
    </w:p>
    <w:p>
      <w:pPr>
        <w:pStyle w:val="20"/>
        <w:spacing w:line="560" w:lineRule="exact"/>
        <w:ind w:firstLine="640" w:firstLineChars="200"/>
        <w:jc w:val="both"/>
        <w:rPr>
          <w:rStyle w:val="16"/>
          <w:rFonts w:hint="eastAsia" w:eastAsia="仿宋"/>
          <w:b w:val="0"/>
          <w:bCs w:val="0"/>
          <w:sz w:val="32"/>
          <w:szCs w:val="32"/>
          <w:lang w:eastAsia="zh-CN"/>
        </w:rPr>
      </w:pPr>
      <w:r>
        <w:rPr>
          <w:rFonts w:hint="eastAsia" w:asci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社会保障和就业208（类）</w:t>
      </w:r>
      <w:r>
        <w:rPr>
          <w:rStyle w:val="16"/>
          <w:rFonts w:hint="eastAsia" w:ascii="仿宋_GB2312" w:hAnsi="仿宋_GB2312" w:eastAsia="仿宋_GB2312" w:cs="仿宋_GB2312"/>
          <w:b w:val="0"/>
          <w:bCs w:val="0"/>
          <w:color w:val="auto"/>
          <w:sz w:val="32"/>
          <w:szCs w:val="32"/>
          <w:highlight w:val="none"/>
        </w:rPr>
        <w:t>人力资源和社会保障管理事务</w:t>
      </w:r>
      <w:r>
        <w:rPr>
          <w:rStyle w:val="16"/>
          <w:rFonts w:hint="eastAsia" w:ascii="仿宋_GB2312" w:hAnsi="仿宋_GB2312" w:eastAsia="仿宋_GB2312" w:cs="仿宋_GB2312"/>
          <w:b w:val="0"/>
          <w:bCs w:val="0"/>
          <w:color w:val="auto"/>
          <w:sz w:val="32"/>
          <w:szCs w:val="32"/>
          <w:highlight w:val="none"/>
          <w:lang w:val="en-US" w:eastAsia="zh-CN"/>
        </w:rPr>
        <w:t>01</w:t>
      </w:r>
      <w:r>
        <w:rPr>
          <w:rStyle w:val="16"/>
          <w:rFonts w:hint="eastAsia" w:ascii="仿宋_GB2312" w:hAnsi="仿宋_GB2312" w:eastAsia="仿宋_GB2312" w:cs="仿宋_GB2312"/>
          <w:b w:val="0"/>
          <w:bCs w:val="0"/>
          <w:color w:val="auto"/>
          <w:sz w:val="32"/>
          <w:szCs w:val="32"/>
          <w:highlight w:val="none"/>
        </w:rPr>
        <w:t>（款）其他人力资源和社会保障管理事务支出</w:t>
      </w:r>
      <w:r>
        <w:rPr>
          <w:rStyle w:val="16"/>
          <w:rFonts w:hint="eastAsia" w:ascii="仿宋_GB2312" w:hAnsi="仿宋_GB2312" w:eastAsia="仿宋_GB2312" w:cs="仿宋_GB2312"/>
          <w:b w:val="0"/>
          <w:bCs w:val="0"/>
          <w:color w:val="auto"/>
          <w:sz w:val="32"/>
          <w:szCs w:val="32"/>
          <w:highlight w:val="none"/>
          <w:lang w:val="en-US" w:eastAsia="zh-CN"/>
        </w:rPr>
        <w:t>99</w:t>
      </w:r>
      <w:r>
        <w:rPr>
          <w:rStyle w:val="16"/>
          <w:rFonts w:hint="eastAsia" w:ascii="仿宋_GB2312" w:hAnsi="仿宋_GB2312" w:eastAsia="仿宋_GB2312" w:cs="仿宋_GB2312"/>
          <w:b w:val="0"/>
          <w:bCs w:val="0"/>
          <w:color w:val="auto"/>
          <w:sz w:val="32"/>
          <w:szCs w:val="32"/>
          <w:highlight w:val="none"/>
        </w:rPr>
        <w:t>（项）</w:t>
      </w:r>
      <w:r>
        <w:rPr>
          <w:rStyle w:val="16"/>
          <w:rFonts w:hint="eastAsia" w:ascii="仿宋_GB2312" w:hAnsi="仿宋_GB2312" w:eastAsia="仿宋_GB2312" w:cs="仿宋_GB2312"/>
          <w:b w:val="0"/>
          <w:bCs w:val="0"/>
          <w:color w:val="auto"/>
          <w:sz w:val="32"/>
          <w:szCs w:val="32"/>
          <w:highlight w:val="none"/>
          <w:lang w:eastAsia="zh-CN"/>
        </w:rPr>
        <w:t>：指其他用于人力资源和社会保障管理事务方面的支出。</w:t>
      </w:r>
    </w:p>
    <w:p>
      <w:pPr>
        <w:ind w:firstLine="640" w:firstLineChars="200"/>
        <w:jc w:val="both"/>
        <w:rPr>
          <w:rFonts w:ascii="仿宋_GB2312" w:eastAsia="仿宋_GB2312"/>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 xml:space="preserve">. </w:t>
      </w:r>
      <w:r>
        <w:rPr>
          <w:rFonts w:hint="eastAsia" w:ascii="仿宋_GB2312" w:eastAsia="仿宋_GB2312" w:cs="仿宋_GB2312"/>
          <w:sz w:val="32"/>
          <w:szCs w:val="32"/>
        </w:rPr>
        <w:t>社会保障和就业</w:t>
      </w:r>
      <w:r>
        <w:rPr>
          <w:rFonts w:ascii="仿宋_GB2312" w:eastAsia="仿宋_GB2312" w:cs="仿宋_GB2312"/>
          <w:sz w:val="32"/>
          <w:szCs w:val="32"/>
        </w:rPr>
        <w:t>208</w:t>
      </w:r>
      <w:r>
        <w:rPr>
          <w:rFonts w:hint="eastAsia" w:ascii="仿宋_GB2312" w:eastAsia="仿宋_GB2312" w:cs="仿宋_GB2312"/>
          <w:sz w:val="32"/>
          <w:szCs w:val="32"/>
        </w:rPr>
        <w:t>（类）行政事业单位养老支出</w:t>
      </w:r>
      <w:r>
        <w:rPr>
          <w:rFonts w:ascii="仿宋_GB2312" w:eastAsia="仿宋_GB2312" w:cs="仿宋_GB2312"/>
          <w:sz w:val="32"/>
          <w:szCs w:val="32"/>
        </w:rPr>
        <w:t>05</w:t>
      </w:r>
      <w:r>
        <w:rPr>
          <w:rFonts w:hint="eastAsia" w:ascii="仿宋_GB2312" w:eastAsia="仿宋_GB2312" w:cs="仿宋_GB2312"/>
          <w:sz w:val="32"/>
          <w:szCs w:val="32"/>
        </w:rPr>
        <w:t>（款）事业单位离退休</w:t>
      </w:r>
      <w:r>
        <w:rPr>
          <w:rFonts w:ascii="仿宋_GB2312" w:eastAsia="仿宋_GB2312" w:cs="仿宋_GB2312"/>
          <w:sz w:val="32"/>
          <w:szCs w:val="32"/>
        </w:rPr>
        <w:t>02</w:t>
      </w:r>
      <w:r>
        <w:rPr>
          <w:rFonts w:hint="eastAsia" w:ascii="仿宋_GB2312" w:eastAsia="仿宋_GB2312" w:cs="仿宋_GB2312"/>
          <w:sz w:val="32"/>
          <w:szCs w:val="32"/>
        </w:rPr>
        <w:t>（项）：指事业单位开支的离退休经费。</w:t>
      </w:r>
    </w:p>
    <w:p>
      <w:pPr>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9</w:t>
      </w:r>
      <w:r>
        <w:rPr>
          <w:rFonts w:ascii="仿宋_GB2312" w:eastAsia="仿宋_GB2312" w:cs="仿宋_GB2312"/>
          <w:sz w:val="32"/>
          <w:szCs w:val="32"/>
        </w:rPr>
        <w:t xml:space="preserve">. </w:t>
      </w:r>
      <w:r>
        <w:rPr>
          <w:rFonts w:hint="eastAsia" w:ascii="仿宋_GB2312" w:eastAsia="仿宋_GB2312" w:cs="仿宋_GB2312"/>
          <w:sz w:val="32"/>
          <w:szCs w:val="32"/>
        </w:rPr>
        <w:t>社会保障和就业</w:t>
      </w:r>
      <w:r>
        <w:rPr>
          <w:rFonts w:ascii="仿宋_GB2312" w:eastAsia="仿宋_GB2312" w:cs="仿宋_GB2312"/>
          <w:sz w:val="32"/>
          <w:szCs w:val="32"/>
        </w:rPr>
        <w:t>208</w:t>
      </w:r>
      <w:r>
        <w:rPr>
          <w:rFonts w:hint="eastAsia" w:ascii="仿宋_GB2312" w:eastAsia="仿宋_GB2312" w:cs="仿宋_GB2312"/>
          <w:sz w:val="32"/>
          <w:szCs w:val="32"/>
        </w:rPr>
        <w:t>（类）行政事业单位养老支出</w:t>
      </w:r>
      <w:r>
        <w:rPr>
          <w:rFonts w:ascii="仿宋_GB2312" w:eastAsia="仿宋_GB2312" w:cs="仿宋_GB2312"/>
          <w:sz w:val="32"/>
          <w:szCs w:val="32"/>
        </w:rPr>
        <w:t>05</w:t>
      </w:r>
      <w:r>
        <w:rPr>
          <w:rFonts w:hint="eastAsia" w:ascii="仿宋_GB2312" w:eastAsia="仿宋_GB2312" w:cs="仿宋_GB2312"/>
          <w:sz w:val="32"/>
          <w:szCs w:val="32"/>
        </w:rPr>
        <w:t>（款）机关事业单位基本养老保险缴费支出</w:t>
      </w:r>
      <w:r>
        <w:rPr>
          <w:rFonts w:ascii="仿宋_GB2312" w:eastAsia="仿宋_GB2312" w:cs="仿宋_GB2312"/>
          <w:sz w:val="32"/>
          <w:szCs w:val="32"/>
        </w:rPr>
        <w:t>05</w:t>
      </w:r>
      <w:r>
        <w:rPr>
          <w:rFonts w:hint="eastAsia" w:ascii="仿宋_GB2312" w:eastAsia="仿宋_GB2312" w:cs="仿宋_GB2312"/>
          <w:sz w:val="32"/>
          <w:szCs w:val="32"/>
        </w:rPr>
        <w:t>（项）：指机关事业单位实施养老保险制度由单位缴纳的基本养老保险支出。</w:t>
      </w:r>
    </w:p>
    <w:p>
      <w:pPr>
        <w:pStyle w:val="2"/>
        <w:ind w:firstLine="640" w:firstLineChars="200"/>
        <w:jc w:val="both"/>
        <w:rPr>
          <w:rFonts w:hint="eastAsia" w:eastAsia="仿宋_GB2312"/>
          <w:lang w:eastAsia="zh-CN"/>
        </w:rPr>
      </w:pPr>
      <w:r>
        <w:rPr>
          <w:rFonts w:hint="eastAsia" w:asci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社会保障和就业208（类）行政事业单位养老支出05（款）</w:t>
      </w:r>
      <w:r>
        <w:rPr>
          <w:rStyle w:val="16"/>
          <w:rFonts w:hint="eastAsia" w:ascii="仿宋_GB2312" w:hAnsi="仿宋_GB2312" w:eastAsia="仿宋_GB2312" w:cs="仿宋_GB2312"/>
          <w:b w:val="0"/>
          <w:bCs w:val="0"/>
          <w:sz w:val="32"/>
          <w:szCs w:val="32"/>
        </w:rPr>
        <w:t>机关事业单位职业年金缴费支出</w:t>
      </w:r>
      <w:r>
        <w:rPr>
          <w:rStyle w:val="16"/>
          <w:rFonts w:hint="eastAsia" w:ascii="仿宋_GB2312" w:hAnsi="仿宋_GB2312" w:eastAsia="仿宋_GB2312" w:cs="仿宋_GB2312"/>
          <w:b w:val="0"/>
          <w:bCs w:val="0"/>
          <w:sz w:val="32"/>
          <w:szCs w:val="32"/>
          <w:lang w:val="en-US" w:eastAsia="zh-CN"/>
        </w:rPr>
        <w:t>06</w:t>
      </w:r>
      <w:r>
        <w:rPr>
          <w:rStyle w:val="16"/>
          <w:rFonts w:hint="eastAsia" w:ascii="仿宋_GB2312" w:hAnsi="仿宋_GB2312" w:eastAsia="仿宋_GB2312" w:cs="仿宋_GB2312"/>
          <w:b w:val="0"/>
          <w:bCs w:val="0"/>
          <w:sz w:val="32"/>
          <w:szCs w:val="32"/>
        </w:rPr>
        <w:t>（项）</w:t>
      </w:r>
      <w:r>
        <w:rPr>
          <w:rStyle w:val="16"/>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指机关事业单位实施养老保险制度由单位缴纳的</w:t>
      </w:r>
      <w:r>
        <w:rPr>
          <w:rFonts w:hint="eastAsia" w:ascii="仿宋_GB2312" w:hAnsi="仿宋_GB2312" w:eastAsia="仿宋_GB2312" w:cs="仿宋_GB2312"/>
          <w:sz w:val="32"/>
          <w:szCs w:val="32"/>
          <w:lang w:eastAsia="zh-CN"/>
        </w:rPr>
        <w:t>职业年金支出。</w:t>
      </w:r>
    </w:p>
    <w:p>
      <w:pPr>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11</w:t>
      </w:r>
      <w:r>
        <w:rPr>
          <w:rFonts w:ascii="仿宋_GB2312" w:eastAsia="仿宋_GB2312" w:cs="仿宋_GB2312"/>
          <w:sz w:val="32"/>
          <w:szCs w:val="32"/>
        </w:rPr>
        <w:t xml:space="preserve">. </w:t>
      </w:r>
      <w:r>
        <w:rPr>
          <w:rFonts w:hint="eastAsia" w:ascii="仿宋_GB2312" w:eastAsia="仿宋_GB2312" w:cs="仿宋_GB2312"/>
          <w:sz w:val="32"/>
          <w:szCs w:val="32"/>
        </w:rPr>
        <w:t>社会保障和就业</w:t>
      </w:r>
      <w:r>
        <w:rPr>
          <w:rFonts w:ascii="仿宋_GB2312" w:eastAsia="仿宋_GB2312" w:cs="仿宋_GB2312"/>
          <w:sz w:val="32"/>
          <w:szCs w:val="32"/>
        </w:rPr>
        <w:t>208</w:t>
      </w:r>
      <w:r>
        <w:rPr>
          <w:rFonts w:hint="eastAsia" w:ascii="仿宋_GB2312" w:eastAsia="仿宋_GB2312" w:cs="仿宋_GB2312"/>
          <w:sz w:val="32"/>
          <w:szCs w:val="32"/>
        </w:rPr>
        <w:t>（类）抚恤</w:t>
      </w:r>
      <w:r>
        <w:rPr>
          <w:rFonts w:ascii="仿宋_GB2312" w:eastAsia="仿宋_GB2312" w:cs="仿宋_GB2312"/>
          <w:sz w:val="32"/>
          <w:szCs w:val="32"/>
        </w:rPr>
        <w:t>08</w:t>
      </w:r>
      <w:r>
        <w:rPr>
          <w:rFonts w:hint="eastAsia" w:ascii="仿宋_GB2312" w:eastAsia="仿宋_GB2312" w:cs="仿宋_GB2312"/>
          <w:sz w:val="32"/>
          <w:szCs w:val="32"/>
        </w:rPr>
        <w:t>（款）死亡抚恤</w:t>
      </w:r>
      <w:r>
        <w:rPr>
          <w:rFonts w:ascii="仿宋_GB2312" w:eastAsia="仿宋_GB2312" w:cs="仿宋_GB2312"/>
          <w:sz w:val="32"/>
          <w:szCs w:val="32"/>
        </w:rPr>
        <w:t>01</w:t>
      </w:r>
      <w:r>
        <w:rPr>
          <w:rFonts w:hint="eastAsia" w:ascii="仿宋_GB2312" w:eastAsia="仿宋_GB2312" w:cs="仿宋_GB2312"/>
          <w:sz w:val="32"/>
          <w:szCs w:val="32"/>
        </w:rPr>
        <w:t>（项）：指按规定用于烈士和牺牲、病故人员家属的一次性和定期抚恤金以及丧葬补助费。</w:t>
      </w:r>
    </w:p>
    <w:p>
      <w:pPr>
        <w:spacing w:line="600" w:lineRule="exact"/>
        <w:ind w:left="0" w:firstLine="640" w:firstLineChars="200"/>
        <w:jc w:val="both"/>
        <w:rPr>
          <w:rStyle w:val="16"/>
          <w:rFonts w:hint="eastAsia" w:ascii="仿宋" w:hAnsi="仿宋" w:eastAsia="仿宋"/>
          <w:b w:val="0"/>
          <w:bCs/>
          <w:color w:val="auto"/>
          <w:sz w:val="32"/>
          <w:szCs w:val="32"/>
          <w:highlight w:val="none"/>
          <w:lang w:eastAsia="zh-CN"/>
        </w:rPr>
      </w:pPr>
      <w:r>
        <w:rPr>
          <w:rFonts w:hint="eastAsia" w:ascii="仿宋_GB2312" w:eastAsia="仿宋_GB2312" w:cs="仿宋_GB2312"/>
          <w:sz w:val="32"/>
          <w:szCs w:val="32"/>
          <w:lang w:val="en-US" w:eastAsia="zh-CN"/>
        </w:rPr>
        <w:t>12.</w:t>
      </w:r>
      <w:r>
        <w:rPr>
          <w:rFonts w:hint="eastAsia" w:ascii="仿宋_GB2312" w:hAnsi="仿宋_GB2312" w:eastAsia="仿宋_GB2312" w:cs="仿宋_GB2312"/>
          <w:b w:val="0"/>
          <w:bCs w:val="0"/>
          <w:color w:val="auto"/>
          <w:sz w:val="32"/>
          <w:szCs w:val="32"/>
          <w:highlight w:val="none"/>
        </w:rPr>
        <w:t>卫生健康</w:t>
      </w:r>
      <w:r>
        <w:rPr>
          <w:rFonts w:hint="eastAsia" w:ascii="仿宋_GB2312" w:hAnsi="仿宋_GB2312" w:eastAsia="仿宋_GB2312" w:cs="仿宋_GB2312"/>
          <w:b w:val="0"/>
          <w:bCs w:val="0"/>
          <w:color w:val="auto"/>
          <w:sz w:val="32"/>
          <w:szCs w:val="32"/>
          <w:highlight w:val="none"/>
          <w:lang w:val="en-US" w:eastAsia="zh-CN"/>
        </w:rPr>
        <w:t>210</w:t>
      </w:r>
      <w:r>
        <w:rPr>
          <w:rStyle w:val="16"/>
          <w:rFonts w:hint="eastAsia" w:ascii="仿宋_GB2312" w:hAnsi="仿宋_GB2312" w:eastAsia="仿宋_GB2312" w:cs="仿宋_GB2312"/>
          <w:b w:val="0"/>
          <w:bCs w:val="0"/>
          <w:color w:val="auto"/>
          <w:sz w:val="32"/>
          <w:szCs w:val="32"/>
          <w:highlight w:val="none"/>
        </w:rPr>
        <w:t>（类）行政事业单位医疗</w:t>
      </w:r>
      <w:r>
        <w:rPr>
          <w:rStyle w:val="16"/>
          <w:rFonts w:hint="eastAsia" w:ascii="仿宋_GB2312" w:hAnsi="仿宋_GB2312" w:eastAsia="仿宋_GB2312" w:cs="仿宋_GB2312"/>
          <w:b w:val="0"/>
          <w:bCs w:val="0"/>
          <w:color w:val="auto"/>
          <w:sz w:val="32"/>
          <w:szCs w:val="32"/>
          <w:highlight w:val="none"/>
          <w:lang w:val="en-US" w:eastAsia="zh-CN"/>
        </w:rPr>
        <w:t>11</w:t>
      </w:r>
      <w:r>
        <w:rPr>
          <w:rStyle w:val="16"/>
          <w:rFonts w:hint="eastAsia" w:ascii="仿宋_GB2312" w:hAnsi="仿宋_GB2312" w:eastAsia="仿宋_GB2312" w:cs="仿宋_GB2312"/>
          <w:b w:val="0"/>
          <w:bCs w:val="0"/>
          <w:color w:val="auto"/>
          <w:sz w:val="32"/>
          <w:szCs w:val="32"/>
          <w:highlight w:val="none"/>
        </w:rPr>
        <w:t>（款）事业单位医疗</w:t>
      </w:r>
      <w:r>
        <w:rPr>
          <w:rStyle w:val="16"/>
          <w:rFonts w:hint="eastAsia" w:ascii="仿宋_GB2312" w:hAnsi="仿宋_GB2312" w:eastAsia="仿宋_GB2312" w:cs="仿宋_GB2312"/>
          <w:b w:val="0"/>
          <w:bCs w:val="0"/>
          <w:color w:val="auto"/>
          <w:sz w:val="32"/>
          <w:szCs w:val="32"/>
          <w:highlight w:val="none"/>
          <w:lang w:val="en-US" w:eastAsia="zh-CN"/>
        </w:rPr>
        <w:t>02</w:t>
      </w:r>
      <w:r>
        <w:rPr>
          <w:rStyle w:val="16"/>
          <w:rFonts w:hint="eastAsia" w:ascii="仿宋_GB2312" w:hAnsi="仿宋_GB2312" w:eastAsia="仿宋_GB2312" w:cs="仿宋_GB2312"/>
          <w:b w:val="0"/>
          <w:bCs w:val="0"/>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w:t>
      </w:r>
      <w:r>
        <w:rPr>
          <w:rStyle w:val="16"/>
          <w:rFonts w:hint="eastAsia" w:ascii="仿宋_GB2312" w:hAnsi="仿宋_GB2312" w:eastAsia="仿宋_GB2312" w:cs="仿宋_GB2312"/>
          <w:b w:val="0"/>
          <w:bCs/>
          <w:color w:val="auto"/>
          <w:sz w:val="32"/>
          <w:szCs w:val="32"/>
          <w:highlight w:val="none"/>
          <w:lang w:eastAsia="zh-CN"/>
        </w:rPr>
        <w:t>指财政部门安排的事业单位基本医疗保险缴费经费，未参加医疗保险的事业单位的公费医疗经费，按国家规定享受离休人员待遇的医疗经费。</w:t>
      </w:r>
    </w:p>
    <w:p>
      <w:pPr>
        <w:spacing w:line="600" w:lineRule="exact"/>
        <w:ind w:left="0" w:firstLine="640" w:firstLineChars="200"/>
        <w:jc w:val="both"/>
        <w:rPr>
          <w:rStyle w:val="16"/>
          <w:rFonts w:hint="eastAsia" w:ascii="仿宋" w:hAnsi="仿宋" w:eastAsia="仿宋"/>
          <w:b w:val="0"/>
          <w:bCs/>
          <w:color w:val="auto"/>
          <w:sz w:val="32"/>
          <w:szCs w:val="32"/>
          <w:highlight w:val="none"/>
          <w:lang w:eastAsia="zh-CN"/>
        </w:rPr>
      </w:pPr>
      <w:r>
        <w:rPr>
          <w:rFonts w:hint="eastAsia" w:ascii="仿宋" w:hAnsi="仿宋" w:eastAsia="仿宋"/>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rPr>
        <w:t>卫生健康</w:t>
      </w:r>
      <w:r>
        <w:rPr>
          <w:rFonts w:hint="eastAsia" w:ascii="仿宋_GB2312" w:hAnsi="仿宋_GB2312" w:eastAsia="仿宋_GB2312" w:cs="仿宋_GB2312"/>
          <w:b w:val="0"/>
          <w:bCs w:val="0"/>
          <w:color w:val="auto"/>
          <w:sz w:val="32"/>
          <w:szCs w:val="32"/>
          <w:highlight w:val="none"/>
          <w:lang w:val="en-US" w:eastAsia="zh-CN"/>
        </w:rPr>
        <w:t>210</w:t>
      </w:r>
      <w:r>
        <w:rPr>
          <w:rStyle w:val="16"/>
          <w:rFonts w:hint="eastAsia" w:ascii="仿宋_GB2312" w:hAnsi="仿宋_GB2312" w:eastAsia="仿宋_GB2312" w:cs="仿宋_GB2312"/>
          <w:b w:val="0"/>
          <w:bCs w:val="0"/>
          <w:color w:val="auto"/>
          <w:sz w:val="32"/>
          <w:szCs w:val="32"/>
          <w:highlight w:val="none"/>
        </w:rPr>
        <w:t>（类）行政事业单位医疗</w:t>
      </w:r>
      <w:r>
        <w:rPr>
          <w:rStyle w:val="16"/>
          <w:rFonts w:hint="eastAsia" w:ascii="仿宋_GB2312" w:hAnsi="仿宋_GB2312" w:eastAsia="仿宋_GB2312" w:cs="仿宋_GB2312"/>
          <w:b w:val="0"/>
          <w:bCs w:val="0"/>
          <w:color w:val="auto"/>
          <w:sz w:val="32"/>
          <w:szCs w:val="32"/>
          <w:highlight w:val="none"/>
          <w:lang w:val="en-US" w:eastAsia="zh-CN"/>
        </w:rPr>
        <w:t>11</w:t>
      </w:r>
      <w:r>
        <w:rPr>
          <w:rStyle w:val="16"/>
          <w:rFonts w:hint="eastAsia" w:ascii="仿宋_GB2312" w:hAnsi="仿宋_GB2312" w:eastAsia="仿宋_GB2312" w:cs="仿宋_GB2312"/>
          <w:b w:val="0"/>
          <w:bCs w:val="0"/>
          <w:color w:val="auto"/>
          <w:sz w:val="32"/>
          <w:szCs w:val="32"/>
          <w:highlight w:val="none"/>
        </w:rPr>
        <w:t>（款）公务员医疗补助</w:t>
      </w:r>
      <w:r>
        <w:rPr>
          <w:rStyle w:val="16"/>
          <w:rFonts w:hint="eastAsia" w:ascii="仿宋_GB2312" w:hAnsi="仿宋_GB2312" w:eastAsia="仿宋_GB2312" w:cs="仿宋_GB2312"/>
          <w:b w:val="0"/>
          <w:bCs w:val="0"/>
          <w:color w:val="auto"/>
          <w:sz w:val="32"/>
          <w:szCs w:val="32"/>
          <w:highlight w:val="none"/>
          <w:lang w:val="en-US" w:eastAsia="zh-CN"/>
        </w:rPr>
        <w:t>03</w:t>
      </w:r>
      <w:r>
        <w:rPr>
          <w:rStyle w:val="16"/>
          <w:rFonts w:hint="eastAsia" w:ascii="仿宋_GB2312" w:hAnsi="仿宋_GB2312" w:eastAsia="仿宋_GB2312" w:cs="仿宋_GB2312"/>
          <w:b w:val="0"/>
          <w:bCs w:val="0"/>
          <w:color w:val="auto"/>
          <w:sz w:val="32"/>
          <w:szCs w:val="32"/>
          <w:highlight w:val="none"/>
        </w:rPr>
        <w:t>（项）:</w:t>
      </w:r>
      <w:r>
        <w:rPr>
          <w:rStyle w:val="16"/>
          <w:rFonts w:hint="eastAsia" w:ascii="仿宋_GB2312" w:hAnsi="仿宋_GB2312" w:eastAsia="仿宋_GB2312" w:cs="仿宋_GB2312"/>
          <w:b w:val="0"/>
          <w:bCs w:val="0"/>
          <w:color w:val="auto"/>
          <w:sz w:val="32"/>
          <w:szCs w:val="32"/>
          <w:highlight w:val="none"/>
          <w:lang w:eastAsia="zh-CN"/>
        </w:rPr>
        <w:t>指</w:t>
      </w:r>
      <w:r>
        <w:rPr>
          <w:rStyle w:val="16"/>
          <w:rFonts w:hint="eastAsia" w:ascii="仿宋_GB2312" w:hAnsi="仿宋_GB2312" w:eastAsia="仿宋_GB2312" w:cs="仿宋_GB2312"/>
          <w:b w:val="0"/>
          <w:bCs/>
          <w:color w:val="auto"/>
          <w:sz w:val="32"/>
          <w:szCs w:val="32"/>
          <w:highlight w:val="none"/>
          <w:lang w:eastAsia="zh-CN"/>
        </w:rPr>
        <w:t>财政部门安排的</w:t>
      </w:r>
      <w:r>
        <w:rPr>
          <w:rStyle w:val="16"/>
          <w:rFonts w:hint="eastAsia" w:ascii="仿宋_GB2312" w:hAnsi="仿宋_GB2312" w:eastAsia="仿宋_GB2312" w:cs="仿宋_GB2312"/>
          <w:b w:val="0"/>
          <w:bCs w:val="0"/>
          <w:color w:val="auto"/>
          <w:sz w:val="32"/>
          <w:szCs w:val="32"/>
          <w:highlight w:val="none"/>
        </w:rPr>
        <w:t>公务员医疗补助</w:t>
      </w:r>
      <w:r>
        <w:rPr>
          <w:rStyle w:val="16"/>
          <w:rFonts w:hint="eastAsia" w:ascii="仿宋_GB2312" w:hAnsi="仿宋_GB2312" w:eastAsia="仿宋_GB2312" w:cs="仿宋_GB2312"/>
          <w:b w:val="0"/>
          <w:bCs w:val="0"/>
          <w:color w:val="auto"/>
          <w:sz w:val="32"/>
          <w:szCs w:val="32"/>
          <w:highlight w:val="none"/>
          <w:lang w:eastAsia="zh-CN"/>
        </w:rPr>
        <w:t>经费</w:t>
      </w:r>
      <w:r>
        <w:rPr>
          <w:rStyle w:val="16"/>
          <w:rFonts w:hint="eastAsia" w:ascii="仿宋_GB2312" w:hAnsi="仿宋_GB2312" w:eastAsia="仿宋_GB2312" w:cs="仿宋_GB2312"/>
          <w:b w:val="0"/>
          <w:bCs/>
          <w:color w:val="auto"/>
          <w:sz w:val="32"/>
          <w:szCs w:val="32"/>
          <w:highlight w:val="none"/>
        </w:rPr>
        <w:t xml:space="preserve"> </w:t>
      </w:r>
      <w:r>
        <w:rPr>
          <w:rStyle w:val="16"/>
          <w:rFonts w:hint="eastAsia" w:ascii="仿宋_GB2312" w:hAnsi="仿宋_GB2312" w:eastAsia="仿宋_GB2312" w:cs="仿宋_GB2312"/>
          <w:b w:val="0"/>
          <w:bCs/>
          <w:color w:val="auto"/>
          <w:sz w:val="32"/>
          <w:szCs w:val="32"/>
          <w:highlight w:val="none"/>
          <w:lang w:eastAsia="zh-CN"/>
        </w:rPr>
        <w:t>。</w:t>
      </w:r>
    </w:p>
    <w:p>
      <w:pPr>
        <w:spacing w:line="600" w:lineRule="exact"/>
        <w:ind w:left="0" w:firstLine="640" w:firstLineChars="200"/>
        <w:jc w:val="both"/>
        <w:rPr>
          <w:rFonts w:eastAsia="仿宋_GB2312"/>
          <w:lang w:val="en-US" w:eastAsia="zh-CN"/>
        </w:rPr>
      </w:pPr>
      <w:r>
        <w:rPr>
          <w:rFonts w:hint="eastAsia" w:ascii="仿宋" w:hAnsi="仿宋" w:eastAsia="仿宋"/>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rPr>
        <w:t>卫生健康</w:t>
      </w:r>
      <w:r>
        <w:rPr>
          <w:rFonts w:hint="eastAsia" w:ascii="仿宋_GB2312" w:hAnsi="仿宋_GB2312" w:eastAsia="仿宋_GB2312" w:cs="仿宋_GB2312"/>
          <w:b w:val="0"/>
          <w:bCs w:val="0"/>
          <w:color w:val="auto"/>
          <w:sz w:val="32"/>
          <w:szCs w:val="32"/>
          <w:highlight w:val="none"/>
          <w:lang w:val="en-US" w:eastAsia="zh-CN"/>
        </w:rPr>
        <w:t>210</w:t>
      </w:r>
      <w:r>
        <w:rPr>
          <w:rStyle w:val="16"/>
          <w:rFonts w:hint="eastAsia" w:ascii="仿宋_GB2312" w:hAnsi="仿宋_GB2312" w:eastAsia="仿宋_GB2312" w:cs="仿宋_GB2312"/>
          <w:b w:val="0"/>
          <w:bCs w:val="0"/>
          <w:color w:val="auto"/>
          <w:sz w:val="32"/>
          <w:szCs w:val="32"/>
          <w:highlight w:val="none"/>
        </w:rPr>
        <w:t>（类）行政事业单位医疗</w:t>
      </w:r>
      <w:r>
        <w:rPr>
          <w:rStyle w:val="16"/>
          <w:rFonts w:hint="eastAsia" w:ascii="仿宋_GB2312" w:hAnsi="仿宋_GB2312" w:eastAsia="仿宋_GB2312" w:cs="仿宋_GB2312"/>
          <w:b w:val="0"/>
          <w:bCs w:val="0"/>
          <w:color w:val="auto"/>
          <w:sz w:val="32"/>
          <w:szCs w:val="32"/>
          <w:highlight w:val="none"/>
          <w:lang w:val="en-US" w:eastAsia="zh-CN"/>
        </w:rPr>
        <w:t>11</w:t>
      </w:r>
      <w:r>
        <w:rPr>
          <w:rStyle w:val="16"/>
          <w:rFonts w:hint="eastAsia" w:ascii="仿宋_GB2312" w:hAnsi="仿宋_GB2312" w:eastAsia="仿宋_GB2312" w:cs="仿宋_GB2312"/>
          <w:b w:val="0"/>
          <w:bCs w:val="0"/>
          <w:color w:val="auto"/>
          <w:sz w:val="32"/>
          <w:szCs w:val="32"/>
          <w:highlight w:val="none"/>
        </w:rPr>
        <w:t>（款）其他行政事业单位医疗支出</w:t>
      </w:r>
      <w:r>
        <w:rPr>
          <w:rStyle w:val="16"/>
          <w:rFonts w:hint="eastAsia" w:ascii="仿宋_GB2312" w:hAnsi="仿宋_GB2312" w:eastAsia="仿宋_GB2312" w:cs="仿宋_GB2312"/>
          <w:b w:val="0"/>
          <w:bCs w:val="0"/>
          <w:color w:val="auto"/>
          <w:sz w:val="32"/>
          <w:szCs w:val="32"/>
          <w:highlight w:val="none"/>
          <w:lang w:val="en-US" w:eastAsia="zh-CN"/>
        </w:rPr>
        <w:t>99</w:t>
      </w:r>
      <w:r>
        <w:rPr>
          <w:rStyle w:val="16"/>
          <w:rFonts w:hint="eastAsia" w:ascii="仿宋_GB2312" w:hAnsi="仿宋_GB2312" w:eastAsia="仿宋_GB2312" w:cs="仿宋_GB2312"/>
          <w:b w:val="0"/>
          <w:bCs w:val="0"/>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w:t>
      </w:r>
      <w:r>
        <w:rPr>
          <w:rStyle w:val="16"/>
          <w:rFonts w:hint="eastAsia" w:ascii="仿宋_GB2312" w:hAnsi="仿宋_GB2312" w:eastAsia="仿宋_GB2312" w:cs="仿宋_GB2312"/>
          <w:b w:val="0"/>
          <w:bCs/>
          <w:color w:val="auto"/>
          <w:sz w:val="32"/>
          <w:szCs w:val="32"/>
          <w:highlight w:val="none"/>
          <w:lang w:eastAsia="zh-CN"/>
        </w:rPr>
        <w:t>指上述项目以外的其他用于行政事业单位医疗方面的支出。</w:t>
      </w:r>
    </w:p>
    <w:p>
      <w:pPr>
        <w:ind w:firstLine="640" w:firstLineChars="200"/>
        <w:jc w:val="both"/>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城乡社区支出</w:t>
      </w:r>
      <w:r>
        <w:rPr>
          <w:rFonts w:ascii="仿宋_GB2312" w:eastAsia="仿宋_GB2312" w:cs="仿宋_GB2312"/>
          <w:sz w:val="32"/>
          <w:szCs w:val="32"/>
        </w:rPr>
        <w:t>212</w:t>
      </w:r>
      <w:r>
        <w:rPr>
          <w:rFonts w:hint="eastAsia" w:ascii="仿宋_GB2312" w:eastAsia="仿宋_GB2312" w:cs="仿宋_GB2312"/>
          <w:sz w:val="32"/>
          <w:szCs w:val="32"/>
        </w:rPr>
        <w:t>（类）城乡社区公共设施</w:t>
      </w:r>
      <w:r>
        <w:rPr>
          <w:rFonts w:ascii="仿宋_GB2312" w:eastAsia="仿宋_GB2312" w:cs="仿宋_GB2312"/>
          <w:sz w:val="32"/>
          <w:szCs w:val="32"/>
        </w:rPr>
        <w:t>03</w:t>
      </w:r>
      <w:r>
        <w:rPr>
          <w:rFonts w:hint="eastAsia" w:ascii="仿宋_GB2312" w:eastAsia="仿宋_GB2312" w:cs="仿宋_GB2312"/>
          <w:sz w:val="32"/>
          <w:szCs w:val="32"/>
        </w:rPr>
        <w:t>（款）其他城乡社区公共设施支出</w:t>
      </w:r>
      <w:r>
        <w:rPr>
          <w:rFonts w:ascii="仿宋_GB2312" w:eastAsia="仿宋_GB2312" w:cs="仿宋_GB2312"/>
          <w:sz w:val="32"/>
          <w:szCs w:val="32"/>
        </w:rPr>
        <w:t>99</w:t>
      </w:r>
      <w:r>
        <w:rPr>
          <w:rFonts w:hint="eastAsia" w:ascii="仿宋_GB2312" w:eastAsia="仿宋_GB2312" w:cs="仿宋_GB2312"/>
          <w:sz w:val="32"/>
          <w:szCs w:val="32"/>
        </w:rPr>
        <w:t>（项）：指其他用于城乡社区公共设施方面的支出。</w:t>
      </w:r>
    </w:p>
    <w:p>
      <w:pPr>
        <w:pStyle w:val="2"/>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16.城乡社区支出</w:t>
      </w:r>
      <w:r>
        <w:rPr>
          <w:rFonts w:ascii="仿宋_GB2312" w:eastAsia="仿宋_GB2312" w:cs="仿宋_GB2312"/>
          <w:sz w:val="32"/>
          <w:szCs w:val="32"/>
        </w:rPr>
        <w:t>212</w:t>
      </w:r>
      <w:r>
        <w:rPr>
          <w:rFonts w:hint="eastAsia" w:ascii="仿宋_GB2312" w:eastAsia="仿宋_GB2312" w:cs="仿宋_GB2312"/>
          <w:sz w:val="32"/>
          <w:szCs w:val="32"/>
        </w:rPr>
        <w:t>（类）城市基础设施配套费安排的支出</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（款）其他城市基础设施配套费安排的支出</w:t>
      </w:r>
      <w:r>
        <w:rPr>
          <w:rFonts w:ascii="仿宋_GB2312" w:eastAsia="仿宋_GB2312" w:cs="仿宋_GB2312"/>
          <w:sz w:val="32"/>
          <w:szCs w:val="32"/>
        </w:rPr>
        <w:t>99</w:t>
      </w:r>
      <w:r>
        <w:rPr>
          <w:rFonts w:hint="eastAsia" w:ascii="仿宋_GB2312" w:eastAsia="仿宋_GB2312" w:cs="仿宋_GB2312"/>
          <w:sz w:val="32"/>
          <w:szCs w:val="32"/>
        </w:rPr>
        <w:t>（项）</w:t>
      </w:r>
      <w:r>
        <w:rPr>
          <w:rFonts w:hint="eastAsia" w:ascii="仿宋_GB2312" w:eastAsia="仿宋_GB2312" w:cs="仿宋_GB2312"/>
          <w:sz w:val="32"/>
          <w:szCs w:val="32"/>
          <w:lang w:eastAsia="zh-CN"/>
        </w:rPr>
        <w:t>：指上述项目以外的城市基础设施配套费支出。</w:t>
      </w:r>
    </w:p>
    <w:p>
      <w:pPr>
        <w:ind w:firstLine="640" w:firstLineChars="200"/>
        <w:jc w:val="both"/>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7</w:t>
      </w:r>
      <w:r>
        <w:rPr>
          <w:rFonts w:ascii="仿宋_GB2312" w:eastAsia="仿宋_GB2312" w:cs="仿宋_GB2312"/>
          <w:sz w:val="32"/>
          <w:szCs w:val="32"/>
        </w:rPr>
        <w:t xml:space="preserve">. </w:t>
      </w:r>
      <w:r>
        <w:rPr>
          <w:rFonts w:hint="eastAsia" w:ascii="仿宋_GB2312" w:eastAsia="仿宋_GB2312" w:cs="仿宋_GB2312"/>
          <w:sz w:val="32"/>
          <w:szCs w:val="32"/>
        </w:rPr>
        <w:t>城乡社区支出</w:t>
      </w:r>
      <w:r>
        <w:rPr>
          <w:rFonts w:ascii="仿宋_GB2312" w:eastAsia="仿宋_GB2312" w:cs="仿宋_GB2312"/>
          <w:sz w:val="32"/>
          <w:szCs w:val="32"/>
        </w:rPr>
        <w:t>212</w:t>
      </w:r>
      <w:r>
        <w:rPr>
          <w:rFonts w:hint="eastAsia" w:ascii="仿宋_GB2312" w:eastAsia="仿宋_GB2312" w:cs="仿宋_GB2312"/>
          <w:sz w:val="32"/>
          <w:szCs w:val="32"/>
        </w:rPr>
        <w:t>（类）其他城乡社区支出</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（款）其他城乡社区支出</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（项）：指</w:t>
      </w:r>
      <w:r>
        <w:rPr>
          <w:rFonts w:hint="eastAsia" w:ascii="仿宋_GB2312" w:eastAsia="仿宋_GB2312" w:cs="仿宋_GB2312"/>
          <w:sz w:val="32"/>
          <w:szCs w:val="32"/>
          <w:lang w:eastAsia="zh-CN"/>
        </w:rPr>
        <w:t>除上述项目以外其他用于城乡社区方面的支出</w:t>
      </w:r>
      <w:r>
        <w:rPr>
          <w:rFonts w:hint="eastAsia" w:ascii="仿宋_GB2312" w:eastAsia="仿宋_GB2312" w:cs="仿宋_GB2312"/>
          <w:sz w:val="32"/>
          <w:szCs w:val="32"/>
        </w:rPr>
        <w:t>。</w:t>
      </w:r>
    </w:p>
    <w:p>
      <w:pPr>
        <w:ind w:firstLine="640" w:firstLineChars="200"/>
        <w:jc w:val="both"/>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rPr>
        <w:t>住房保障支出</w:t>
      </w:r>
      <w:r>
        <w:rPr>
          <w:rFonts w:ascii="仿宋_GB2312" w:eastAsia="仿宋_GB2312" w:cs="仿宋_GB2312"/>
          <w:sz w:val="32"/>
          <w:szCs w:val="32"/>
        </w:rPr>
        <w:t>221</w:t>
      </w:r>
      <w:r>
        <w:rPr>
          <w:rFonts w:hint="eastAsia" w:ascii="仿宋_GB2312" w:eastAsia="仿宋_GB2312" w:cs="仿宋_GB2312"/>
          <w:sz w:val="32"/>
          <w:szCs w:val="32"/>
        </w:rPr>
        <w:t>（类）住房改革支出</w:t>
      </w:r>
      <w:r>
        <w:rPr>
          <w:rFonts w:ascii="仿宋_GB2312" w:eastAsia="仿宋_GB2312" w:cs="仿宋_GB2312"/>
          <w:sz w:val="32"/>
          <w:szCs w:val="32"/>
        </w:rPr>
        <w:t>02</w:t>
      </w:r>
      <w:r>
        <w:rPr>
          <w:rFonts w:hint="eastAsia" w:ascii="仿宋_GB2312" w:eastAsia="仿宋_GB2312" w:cs="仿宋_GB2312"/>
          <w:sz w:val="32"/>
          <w:szCs w:val="32"/>
        </w:rPr>
        <w:t>（款）住房公积金</w:t>
      </w:r>
      <w:r>
        <w:rPr>
          <w:rFonts w:ascii="仿宋_GB2312" w:eastAsia="仿宋_GB2312" w:cs="仿宋_GB2312"/>
          <w:sz w:val="32"/>
          <w:szCs w:val="32"/>
        </w:rPr>
        <w:t>01</w:t>
      </w:r>
      <w:r>
        <w:rPr>
          <w:rFonts w:hint="eastAsia" w:ascii="仿宋_GB2312" w:eastAsia="仿宋_GB2312" w:cs="仿宋_GB2312"/>
          <w:sz w:val="32"/>
          <w:szCs w:val="32"/>
        </w:rPr>
        <w:t>（项）：指行政事业单位按人力资源和社会保障部、财政部规定的基本工资和津贴补贴以及规定比例为职工缴纳的住房公积金。</w:t>
      </w:r>
      <w:r>
        <w:rPr>
          <w:rFonts w:ascii="仿宋_GB2312" w:eastAsia="仿宋_GB2312" w:cs="仿宋_GB2312"/>
          <w:sz w:val="32"/>
          <w:szCs w:val="32"/>
        </w:rPr>
        <w:t xml:space="preserve"> </w:t>
      </w:r>
    </w:p>
    <w:p>
      <w:pPr>
        <w:ind w:firstLine="640" w:firstLineChars="200"/>
        <w:jc w:val="both"/>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9</w:t>
      </w:r>
      <w:r>
        <w:rPr>
          <w:rFonts w:ascii="仿宋_GB2312" w:eastAsia="仿宋_GB2312" w:cs="仿宋_GB2312"/>
          <w:sz w:val="32"/>
          <w:szCs w:val="32"/>
        </w:rPr>
        <w:t>.</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jc w:val="both"/>
        <w:rPr>
          <w:rFonts w:ascii="仿宋_GB2312" w:eastAsia="仿宋_GB2312" w:cs="仿宋_GB2312"/>
          <w:sz w:val="32"/>
          <w:szCs w:val="32"/>
        </w:rPr>
      </w:pPr>
      <w:r>
        <w:rPr>
          <w:rFonts w:hint="eastAsia" w:ascii="仿宋_GB2312" w:eastAsia="仿宋_GB2312" w:cs="仿宋_GB2312"/>
          <w:sz w:val="32"/>
          <w:szCs w:val="32"/>
          <w:lang w:val="en-US" w:eastAsia="zh-CN"/>
        </w:rPr>
        <w:t>20</w:t>
      </w:r>
      <w:r>
        <w:rPr>
          <w:rFonts w:ascii="仿宋_GB2312" w:eastAsia="仿宋_GB2312" w:cs="仿宋_GB2312"/>
          <w:sz w:val="32"/>
          <w:szCs w:val="32"/>
        </w:rPr>
        <w:t>.</w:t>
      </w:r>
      <w:r>
        <w:rPr>
          <w:rFonts w:hint="eastAsia" w:ascii="仿宋_GB2312" w:eastAsia="仿宋_GB2312" w:cs="仿宋_GB2312"/>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pStyle w:val="20"/>
        <w:spacing w:line="560" w:lineRule="exact"/>
        <w:ind w:firstLine="640" w:firstLineChars="200"/>
        <w:jc w:val="both"/>
        <w:rPr>
          <w:rFonts w:ascii="仿宋_GB2312" w:eastAsia="仿宋_GB2312" w:cs="Times New Roman"/>
          <w:color w:val="auto"/>
          <w:sz w:val="32"/>
          <w:szCs w:val="32"/>
        </w:rPr>
      </w:pPr>
      <w:r>
        <w:rPr>
          <w:rFonts w:hint="eastAsia" w:ascii="仿宋_GB2312" w:eastAsia="仿宋_GB2312" w:cs="仿宋_GB2312"/>
          <w:color w:val="auto"/>
          <w:sz w:val="32"/>
          <w:szCs w:val="32"/>
          <w:lang w:val="en-US" w:eastAsia="zh-CN"/>
        </w:rPr>
        <w:t>21</w:t>
      </w:r>
      <w:r>
        <w:rPr>
          <w:rFonts w:ascii="仿宋_GB2312" w:eastAsia="仿宋_GB2312" w:cs="仿宋_GB2312"/>
          <w:color w:val="auto"/>
          <w:sz w:val="32"/>
          <w:szCs w:val="32"/>
        </w:rPr>
        <w:t>.</w:t>
      </w:r>
      <w:r>
        <w:rPr>
          <w:rFonts w:hint="eastAsia" w:ascii="仿宋_GB2312" w:eastAsia="仿宋_GB2312" w:cs="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ascii="仿宋_GB2312" w:eastAsia="仿宋_GB2312" w:cs="Times New Roman"/>
          <w:color w:val="auto"/>
          <w:sz w:val="32"/>
          <w:szCs w:val="32"/>
        </w:rPr>
      </w:pPr>
    </w:p>
    <w:p>
      <w:pPr>
        <w:spacing w:line="600" w:lineRule="exact"/>
        <w:jc w:val="center"/>
        <w:outlineLvl w:val="0"/>
        <w:rPr>
          <w:rStyle w:val="17"/>
          <w:rFonts w:ascii="黑体" w:hAnsi="黑体" w:eastAsia="黑体"/>
          <w:b w:val="0"/>
          <w:color w:val="auto"/>
          <w:highlight w:val="none"/>
        </w:rPr>
      </w:pPr>
      <w:r>
        <w:rPr>
          <w:rFonts w:ascii="宋体"/>
          <w:b/>
          <w:color w:val="auto"/>
          <w:sz w:val="44"/>
          <w:szCs w:val="44"/>
          <w:highlight w:val="none"/>
        </w:rPr>
        <w:br w:type="page"/>
      </w:r>
      <w:bookmarkStart w:id="27" w:name="_Toc27347"/>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27"/>
    </w:p>
    <w:p>
      <w:pPr>
        <w:keepNext w:val="0"/>
        <w:keepLines w:val="0"/>
        <w:pageBreakBefore w:val="0"/>
        <w:widowControl w:val="0"/>
        <w:suppressAutoHyphens/>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_GB2312"/>
          <w:color w:val="auto"/>
          <w:kern w:val="0"/>
          <w:sz w:val="32"/>
          <w:szCs w:val="32"/>
          <w:lang w:val="en-US" w:eastAsia="zh-CN" w:bidi="ar-SA"/>
        </w:rPr>
      </w:pPr>
      <w:bookmarkStart w:id="28" w:name="_Toc11353"/>
      <w:r>
        <w:rPr>
          <w:rFonts w:hint="eastAsia" w:ascii="仿宋_GB2312" w:hAnsi="Calibri" w:eastAsia="仿宋_GB2312" w:cs="仿宋_GB2312"/>
          <w:color w:val="auto"/>
          <w:kern w:val="0"/>
          <w:sz w:val="32"/>
          <w:szCs w:val="32"/>
          <w:lang w:val="en-US" w:eastAsia="zh-CN" w:bidi="ar-SA"/>
        </w:rPr>
        <w:t>部门预算项目支出绩效自评表（2023年度）见附件</w:t>
      </w:r>
      <w:bookmarkEnd w:id="28"/>
      <w:r>
        <w:rPr>
          <w:rFonts w:hint="eastAsia" w:ascii="仿宋_GB2312" w:hAnsi="Calibri" w:eastAsia="仿宋_GB2312" w:cs="仿宋_GB2312"/>
          <w:color w:val="auto"/>
          <w:kern w:val="0"/>
          <w:sz w:val="32"/>
          <w:szCs w:val="32"/>
          <w:lang w:val="en-US" w:eastAsia="zh-CN" w:bidi="ar-SA"/>
        </w:rPr>
        <w:t>2</w:t>
      </w:r>
    </w:p>
    <w:p>
      <w:pPr>
        <w:pStyle w:val="7"/>
        <w:keepNext w:val="0"/>
        <w:keepLines w:val="0"/>
        <w:pageBreakBefore w:val="0"/>
        <w:widowControl w:val="0"/>
        <w:suppressAutoHyphens/>
        <w:kinsoku/>
        <w:wordWrap/>
        <w:overflowPunct/>
        <w:topLinePunct w:val="0"/>
        <w:autoSpaceDE/>
        <w:autoSpaceDN/>
        <w:bidi w:val="0"/>
        <w:spacing w:line="560" w:lineRule="exact"/>
        <w:ind w:left="0" w:leftChars="0" w:firstLine="640" w:firstLineChars="200"/>
        <w:textAlignment w:val="auto"/>
        <w:rPr>
          <w:rFonts w:hint="eastAsia" w:hAnsi="Times New Roman" w:cs="Times New Roman"/>
          <w:sz w:val="32"/>
          <w:szCs w:val="32"/>
          <w:highlight w:val="none"/>
          <w:lang w:val="en-US" w:eastAsia="zh-CN"/>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仿宋" w:hAnsi="仿宋" w:eastAsia="仿宋"/>
          <w:b w:val="0"/>
          <w:color w:val="auto"/>
          <w:highlight w:val="none"/>
        </w:rPr>
      </w:pPr>
      <w:bookmarkStart w:id="29" w:name="_Toc25025"/>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29"/>
    </w:p>
    <w:p>
      <w:pPr>
        <w:pStyle w:val="4"/>
        <w:rPr>
          <w:rFonts w:ascii="仿宋" w:hAnsi="仿宋" w:eastAsia="仿宋"/>
          <w:color w:val="auto"/>
          <w:highlight w:val="none"/>
        </w:rPr>
      </w:pPr>
      <w:bookmarkStart w:id="30" w:name="_Toc1226"/>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30"/>
    </w:p>
    <w:p>
      <w:pPr>
        <w:pStyle w:val="4"/>
        <w:rPr>
          <w:rFonts w:ascii="仿宋" w:hAnsi="仿宋" w:eastAsia="仿宋"/>
          <w:color w:val="auto"/>
          <w:highlight w:val="none"/>
        </w:rPr>
      </w:pPr>
      <w:bookmarkStart w:id="31" w:name="_Toc32350"/>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31"/>
    </w:p>
    <w:p>
      <w:pPr>
        <w:pStyle w:val="4"/>
        <w:rPr>
          <w:rFonts w:ascii="仿宋" w:hAnsi="仿宋" w:eastAsia="仿宋"/>
          <w:color w:val="auto"/>
          <w:highlight w:val="none"/>
        </w:rPr>
      </w:pPr>
      <w:bookmarkStart w:id="32" w:name="_Toc9287"/>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32"/>
    </w:p>
    <w:p>
      <w:pPr>
        <w:pStyle w:val="4"/>
        <w:rPr>
          <w:rFonts w:ascii="仿宋" w:hAnsi="仿宋" w:eastAsia="仿宋"/>
          <w:b w:val="0"/>
          <w:color w:val="auto"/>
          <w:highlight w:val="none"/>
        </w:rPr>
      </w:pPr>
      <w:bookmarkStart w:id="33" w:name="_Toc2706"/>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33"/>
    </w:p>
    <w:p>
      <w:pPr>
        <w:pStyle w:val="4"/>
        <w:rPr>
          <w:rStyle w:val="18"/>
          <w:rFonts w:ascii="仿宋" w:hAnsi="仿宋" w:eastAsia="仿宋"/>
          <w:b w:val="0"/>
          <w:bCs w:val="0"/>
          <w:color w:val="auto"/>
          <w:highlight w:val="none"/>
        </w:rPr>
      </w:pPr>
      <w:bookmarkStart w:id="34" w:name="_Toc24524"/>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34"/>
    </w:p>
    <w:p>
      <w:pPr>
        <w:pStyle w:val="4"/>
        <w:rPr>
          <w:rFonts w:ascii="仿宋" w:hAnsi="仿宋" w:eastAsia="仿宋"/>
          <w:color w:val="auto"/>
          <w:highlight w:val="none"/>
        </w:rPr>
      </w:pPr>
      <w:bookmarkStart w:id="35" w:name="_Toc22328"/>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35"/>
    </w:p>
    <w:p>
      <w:pPr>
        <w:pStyle w:val="4"/>
        <w:rPr>
          <w:rFonts w:ascii="仿宋" w:hAnsi="仿宋" w:eastAsia="仿宋"/>
          <w:color w:val="auto"/>
          <w:highlight w:val="none"/>
        </w:rPr>
      </w:pPr>
      <w:bookmarkStart w:id="36" w:name="_Toc7515"/>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36"/>
    </w:p>
    <w:p>
      <w:pPr>
        <w:pStyle w:val="4"/>
        <w:rPr>
          <w:rFonts w:ascii="仿宋" w:hAnsi="仿宋" w:eastAsia="仿宋"/>
          <w:color w:val="auto"/>
          <w:highlight w:val="green"/>
        </w:rPr>
      </w:pPr>
      <w:bookmarkStart w:id="37" w:name="_Toc20655"/>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般公共预算财政拨款基本支出决算明细表</w:t>
      </w:r>
      <w:bookmarkEnd w:id="37"/>
    </w:p>
    <w:p>
      <w:pPr>
        <w:pStyle w:val="4"/>
        <w:rPr>
          <w:rFonts w:ascii="仿宋" w:hAnsi="仿宋" w:eastAsia="仿宋"/>
          <w:color w:val="auto"/>
          <w:highlight w:val="none"/>
        </w:rPr>
      </w:pPr>
      <w:bookmarkStart w:id="38" w:name="_Toc17577"/>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38"/>
    </w:p>
    <w:p>
      <w:pPr>
        <w:pStyle w:val="4"/>
        <w:rPr>
          <w:rFonts w:ascii="仿宋" w:hAnsi="仿宋" w:eastAsia="仿宋"/>
          <w:color w:val="auto"/>
          <w:highlight w:val="none"/>
        </w:rPr>
      </w:pPr>
      <w:bookmarkStart w:id="39" w:name="_Toc8521"/>
      <w:r>
        <w:rPr>
          <w:rStyle w:val="18"/>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39"/>
    </w:p>
    <w:p>
      <w:pPr>
        <w:pStyle w:val="4"/>
        <w:rPr>
          <w:rFonts w:ascii="仿宋" w:hAnsi="仿宋" w:eastAsia="仿宋"/>
          <w:color w:val="auto"/>
          <w:highlight w:val="none"/>
        </w:rPr>
      </w:pPr>
      <w:bookmarkStart w:id="40" w:name="_Toc31342"/>
      <w:r>
        <w:rPr>
          <w:rStyle w:val="18"/>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w:t>
      </w:r>
      <w:bookmarkStart w:id="43" w:name="_GoBack"/>
      <w:bookmarkEnd w:id="43"/>
      <w:r>
        <w:rPr>
          <w:rStyle w:val="18"/>
          <w:rFonts w:hint="eastAsia" w:ascii="仿宋" w:hAnsi="仿宋" w:eastAsia="仿宋"/>
          <w:b w:val="0"/>
          <w:bCs w:val="0"/>
          <w:color w:val="auto"/>
          <w:highlight w:val="none"/>
        </w:rPr>
        <w:t>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r>
        <w:rPr>
          <w:rStyle w:val="18"/>
          <w:rFonts w:hint="eastAsia" w:ascii="仿宋" w:eastAsia="仿宋" w:cs="仿宋"/>
          <w:b w:val="0"/>
          <w:bCs w:val="0"/>
        </w:rPr>
        <w:t>（此表无数据）</w:t>
      </w:r>
      <w:bookmarkEnd w:id="40"/>
    </w:p>
    <w:p>
      <w:pPr>
        <w:pStyle w:val="4"/>
        <w:rPr>
          <w:rFonts w:ascii="仿宋" w:hAnsi="仿宋" w:eastAsia="仿宋"/>
          <w:color w:val="auto"/>
          <w:highlight w:val="none"/>
        </w:rPr>
      </w:pPr>
      <w:bookmarkStart w:id="41" w:name="_Toc6114"/>
      <w:r>
        <w:rPr>
          <w:rStyle w:val="18"/>
          <w:rFonts w:hint="eastAsia" w:ascii="仿宋" w:hAnsi="仿宋" w:eastAsia="仿宋"/>
          <w:b w:val="0"/>
          <w:bCs w:val="0"/>
          <w:color w:val="auto"/>
          <w:highlight w:val="none"/>
        </w:rPr>
        <w:t>十二、</w:t>
      </w:r>
      <w:r>
        <w:rPr>
          <w:rStyle w:val="18"/>
          <w:rFonts w:hint="eastAsia" w:ascii="仿宋" w:hAnsi="仿宋" w:eastAsia="仿宋"/>
          <w:b w:val="0"/>
          <w:bCs w:val="0"/>
          <w:color w:val="auto"/>
          <w:highlight w:val="none"/>
          <w:lang w:eastAsia="zh-CN"/>
        </w:rPr>
        <w:t>国有资本经营预算财政拨款支出决算表</w:t>
      </w:r>
      <w:r>
        <w:rPr>
          <w:rStyle w:val="18"/>
          <w:rFonts w:hint="eastAsia" w:ascii="仿宋" w:eastAsia="仿宋" w:cs="仿宋"/>
          <w:b w:val="0"/>
          <w:bCs w:val="0"/>
        </w:rPr>
        <w:t>（此表无数据）</w:t>
      </w:r>
      <w:bookmarkEnd w:id="41"/>
    </w:p>
    <w:p>
      <w:pPr>
        <w:pStyle w:val="4"/>
        <w:rPr>
          <w:rFonts w:hint="eastAsia" w:eastAsia="仿宋"/>
          <w:color w:val="auto"/>
          <w:highlight w:val="none"/>
          <w:lang w:eastAsia="zh-CN"/>
        </w:rPr>
      </w:pPr>
      <w:bookmarkStart w:id="42" w:name="_Toc8975"/>
      <w:r>
        <w:rPr>
          <w:rStyle w:val="18"/>
          <w:rFonts w:hint="eastAsia" w:ascii="仿宋" w:hAnsi="仿宋" w:eastAsia="仿宋"/>
          <w:b w:val="0"/>
          <w:bCs w:val="0"/>
          <w:color w:val="auto"/>
          <w:highlight w:val="none"/>
        </w:rPr>
        <w:t>十三、</w:t>
      </w:r>
      <w:r>
        <w:rPr>
          <w:rStyle w:val="18"/>
          <w:rFonts w:hint="eastAsia" w:ascii="仿宋" w:hAnsi="仿宋" w:eastAsia="仿宋"/>
          <w:b w:val="0"/>
          <w:bCs w:val="0"/>
          <w:color w:val="auto"/>
          <w:highlight w:val="none"/>
          <w:lang w:eastAsia="zh-CN"/>
        </w:rPr>
        <w:t>财政拨款“三公”经费支出决算表</w:t>
      </w:r>
      <w:bookmarkEnd w:id="42"/>
    </w:p>
    <w:p/>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auto"/>
    <w:pitch w:val="default"/>
    <w:sig w:usb0="00000000" w:usb1="00000000" w:usb2="00000000" w:usb3="00000000" w:csb0="2000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ucida Sans">
    <w:altName w:val="仿宋"/>
    <w:panose1 w:val="00000000000000000000"/>
    <w:charset w:val="01"/>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5"/>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5" o:spid="_x0000_s1026" o:spt="1"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lUH61gAAAAMBAAAPAAAAAAAAAAEAIAAAADgAAABkcnMvZG93&#10;bnJldi54bWxQSwECFAAUAAAACACHTuJAO/krruwBAACuAwAADgAAAAAAAAABACAAAAA7AQAAZHJz&#10;L2Uyb0RvYy54bWxQSwUGAAAAAAYABgBZAQAAmQUAAAAA&#10;">
              <v:fill on="f" focussize="0,0"/>
              <v:stroke on="f" weight="0.5pt" joinstyle="round"/>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mJlNTBhZjQ5NTcxOGFmYTAwZWIzNTFlNGUzNTgzZDEifQ=="/>
  </w:docVars>
  <w:rsids>
    <w:rsidRoot w:val="00000000"/>
    <w:rsid w:val="07F7358F"/>
    <w:rsid w:val="15145780"/>
    <w:rsid w:val="15AA307D"/>
    <w:rsid w:val="16D7DDA7"/>
    <w:rsid w:val="17936E30"/>
    <w:rsid w:val="1CC47A8B"/>
    <w:rsid w:val="23F5677C"/>
    <w:rsid w:val="25AA5166"/>
    <w:rsid w:val="2B3C2D5E"/>
    <w:rsid w:val="3598340C"/>
    <w:rsid w:val="404D5BF3"/>
    <w:rsid w:val="4FFE626B"/>
    <w:rsid w:val="51087240"/>
    <w:rsid w:val="58AB32D2"/>
    <w:rsid w:val="5EACC1AD"/>
    <w:rsid w:val="5ECF75EF"/>
    <w:rsid w:val="60430294"/>
    <w:rsid w:val="64151F48"/>
    <w:rsid w:val="72C708B1"/>
    <w:rsid w:val="75662603"/>
    <w:rsid w:val="776E3F08"/>
    <w:rsid w:val="785B13C8"/>
    <w:rsid w:val="79646E59"/>
    <w:rsid w:val="7C571DDD"/>
    <w:rsid w:val="7CFF816B"/>
    <w:rsid w:val="7D2D3A06"/>
    <w:rsid w:val="7F6554DD"/>
    <w:rsid w:val="7FF7A10F"/>
    <w:rsid w:val="B3F4C046"/>
    <w:rsid w:val="D5D7969E"/>
    <w:rsid w:val="DDBBB589"/>
    <w:rsid w:val="DF5BA77E"/>
    <w:rsid w:val="F9FDF1E9"/>
    <w:rsid w:val="FEEFB49F"/>
    <w:rsid w:val="FFF6633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7"/>
    <w:qFormat/>
    <w:uiPriority w:val="0"/>
    <w:pPr>
      <w:keepNext/>
      <w:keepLines/>
      <w:widowControl w:val="0"/>
      <w:suppressAutoHyphen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widowControl w:val="0"/>
      <w:suppressAutoHyphens/>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Body Text Indent"/>
    <w:basedOn w:val="1"/>
    <w:next w:val="7"/>
    <w:qFormat/>
    <w:uiPriority w:val="0"/>
    <w:pPr>
      <w:spacing w:after="120"/>
      <w:ind w:left="200" w:leftChars="200"/>
    </w:pPr>
    <w:rPr>
      <w:rFonts w:ascii="仿宋_GB2312" w:hAnsi="仿宋_GB2312"/>
      <w:szCs w:val="32"/>
    </w:rPr>
  </w:style>
  <w:style w:type="paragraph" w:styleId="7">
    <w:name w:val="Body Text First Indent 2"/>
    <w:basedOn w:val="6"/>
    <w:qFormat/>
    <w:uiPriority w:val="0"/>
    <w:pPr>
      <w:ind w:firstLine="200" w:firstLineChars="200"/>
    </w:pPr>
  </w:style>
  <w:style w:type="paragraph" w:styleId="8">
    <w:name w:val="toc 3"/>
    <w:basedOn w:val="1"/>
    <w:next w:val="1"/>
    <w:qFormat/>
    <w:uiPriority w:val="0"/>
    <w:pPr>
      <w:ind w:left="40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2">
    <w:name w:val="footnote text"/>
    <w:basedOn w:val="1"/>
    <w:next w:val="7"/>
    <w:qFormat/>
    <w:uiPriority w:val="0"/>
    <w:pPr>
      <w:snapToGrid w:val="0"/>
      <w:jc w:val="left"/>
    </w:pPr>
    <w:rPr>
      <w:sz w:val="18"/>
      <w:szCs w:val="18"/>
    </w:rPr>
  </w:style>
  <w:style w:type="paragraph" w:styleId="13">
    <w:name w:val="toc 2"/>
    <w:basedOn w:val="1"/>
    <w:next w:val="1"/>
    <w:qFormat/>
    <w:uiPriority w:val="0"/>
    <w:pPr>
      <w:tabs>
        <w:tab w:val="right" w:leader="dot" w:pos="8296"/>
      </w:tabs>
      <w:ind w:left="200" w:leftChars="200"/>
    </w:pPr>
  </w:style>
  <w:style w:type="character" w:styleId="16">
    <w:name w:val="Strong"/>
    <w:basedOn w:val="15"/>
    <w:qFormat/>
    <w:uiPriority w:val="0"/>
    <w:rPr>
      <w:b/>
    </w:rPr>
  </w:style>
  <w:style w:type="character" w:customStyle="1" w:styleId="17">
    <w:name w:val="heading 1 Char"/>
    <w:basedOn w:val="15"/>
    <w:link w:val="3"/>
    <w:qFormat/>
    <w:uiPriority w:val="0"/>
    <w:rPr>
      <w:rFonts w:ascii="Calibri" w:hAnsi="Calibri" w:eastAsia="宋体" w:cs="Times New Roman"/>
      <w:b/>
      <w:bCs/>
      <w:color w:val="auto"/>
      <w:kern w:val="44"/>
      <w:sz w:val="44"/>
      <w:szCs w:val="44"/>
      <w:lang w:val="en-US" w:eastAsia="zh-CN" w:bidi="ar-SA"/>
    </w:rPr>
  </w:style>
  <w:style w:type="character" w:customStyle="1" w:styleId="18">
    <w:name w:val="heading 2 Char"/>
    <w:basedOn w:val="15"/>
    <w:link w:val="4"/>
    <w:qFormat/>
    <w:uiPriority w:val="0"/>
    <w:rPr>
      <w:rFonts w:ascii="Cambria" w:hAnsi="Cambria" w:eastAsia="宋体" w:cs="Times New Roman"/>
      <w:b/>
      <w:bCs/>
      <w:color w:val="auto"/>
      <w:kern w:val="2"/>
      <w:sz w:val="32"/>
      <w:szCs w:val="32"/>
      <w:lang w:val="en-US" w:eastAsia="zh-CN" w:bidi="ar-SA"/>
    </w:rPr>
  </w:style>
  <w:style w:type="paragraph" w:styleId="19">
    <w:name w:val="List Paragraph"/>
    <w:basedOn w:val="1"/>
    <w:qFormat/>
    <w:uiPriority w:val="0"/>
    <w:pPr>
      <w:ind w:firstLine="200" w:firstLineChars="200"/>
    </w:pPr>
  </w:style>
  <w:style w:type="paragraph" w:customStyle="1" w:styleId="2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rgbClr val="404040"/>
                </a:solidFill>
                <a:latin typeface="Times New Roman" panose="02020603050405020304"/>
                <a:ea typeface="宋体" charset="-122"/>
                <a:cs typeface="Lucida Sans"/>
              </a:defRPr>
            </a:pPr>
            <a:r>
              <a:rPr lang="zh-CN"/>
              <a:t>收入支出</a:t>
            </a:r>
            <a:endParaRPr lang="zh-CN"/>
          </a:p>
        </c:rich>
      </c:tx>
      <c:layout/>
      <c:overlay val="false"/>
      <c:spPr>
        <a:noFill/>
        <a:ln>
          <a:noFill/>
        </a:ln>
      </c:spPr>
    </c:title>
    <c:autoTitleDeleted val="false"/>
    <c:plotArea>
      <c:layout>
        <c:manualLayout>
          <c:layoutTarget val="inner"/>
          <c:xMode val="edge"/>
          <c:yMode val="edge"/>
          <c:x val="0.032012563"/>
          <c:y val="0.14640884"/>
          <c:w val="0.9468471"/>
          <c:h val="0.6679558"/>
        </c:manualLayout>
      </c:layout>
      <c:barChart>
        <c:barDir val="col"/>
        <c:grouping val="clustered"/>
        <c:varyColors val="false"/>
        <c:ser>
          <c:idx val="0"/>
          <c:order val="0"/>
          <c:tx>
            <c:strRef>
              <c:f>Sheet1!$B$1</c:f>
              <c:strCache>
                <c:ptCount val="1"/>
                <c:pt idx="0">
                  <c:v>系列 1</c:v>
                </c:pt>
              </c:strCache>
            </c:strRef>
          </c:tx>
          <c:spPr>
            <a:solidFill>
              <a:srgbClr val="4874CB"/>
            </a:solidFill>
            <a:ln>
              <a:noFill/>
            </a:ln>
          </c:spPr>
          <c:invertIfNegative val="false"/>
          <c:dLbls>
            <c:dLbl>
              <c:idx val="1"/>
              <c:layout/>
              <c:tx>
                <c:rich>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r>
                      <a:rPr lang="zh-CN" sz="1000" b="0" i="0" u="none" strike="noStrike" baseline="0">
                        <a:solidFill>
                          <a:srgbClr val="404040"/>
                        </a:solidFill>
                        <a:latin typeface="Times New Roman" panose="02020603050405020304"/>
                        <a:ea typeface="宋体" charset="-122"/>
                        <a:cs typeface="Lucida Sans"/>
                      </a:rPr>
                      <a:t>5083.11</a:t>
                    </a:r>
                    <a:endParaRPr lang="zh-CN" sz="1000" b="0" i="0" u="none" strike="noStrike" baseline="0">
                      <a:solidFill>
                        <a:srgbClr val="404040"/>
                      </a:solidFill>
                      <a:latin typeface="Times New Roman" panose="02020603050405020304"/>
                      <a:ea typeface="宋体" charset="-122"/>
                      <a:cs typeface="Lucida Sans"/>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2022年</c:v>
                </c:pt>
                <c:pt idx="1">
                  <c:v>2023年</c:v>
                </c:pt>
              </c:strCache>
            </c:strRef>
          </c:cat>
          <c:val>
            <c:numRef>
              <c:f>Sheet1!$B$2:$B$3</c:f>
              <c:numCache>
                <c:formatCode>General</c:formatCode>
                <c:ptCount val="2"/>
                <c:pt idx="0">
                  <c:v>6054.86</c:v>
                </c:pt>
                <c:pt idx="1">
                  <c:v>5083.12</c:v>
                </c:pt>
              </c:numCache>
            </c:numRef>
          </c:val>
        </c:ser>
        <c:dLbls>
          <c:showLegendKey val="false"/>
          <c:showVal val="true"/>
          <c:showCatName val="false"/>
          <c:showSerName val="false"/>
          <c:showPercent val="false"/>
          <c:showBubbleSize val="false"/>
        </c:dLbls>
        <c:gapWidth val="157"/>
        <c:overlap val="-19"/>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1"/>
        <c:crosses val="autoZero"/>
        <c:auto val="true"/>
        <c:lblAlgn val="ctr"/>
        <c:lblOffset val="100"/>
        <c:noMultiLvlLbl val="false"/>
      </c:catAx>
      <c:valAx>
        <c:axId val="1"/>
        <c:scaling>
          <c:orientation val="minMax"/>
          <c:min val="3000"/>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0"/>
        <c:crossesAt val="1"/>
        <c:crossBetween val="between"/>
        <c:majorUnit val="1000"/>
      </c:valAx>
      <c:spPr>
        <a:noFill/>
        <a:ln>
          <a:noFill/>
        </a:ln>
      </c:spPr>
    </c:plotArea>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rgbClr val="404040"/>
                </a:solidFill>
                <a:latin typeface="Times New Roman" panose="02020603050405020304"/>
                <a:ea typeface="宋体" charset="-122"/>
                <a:cs typeface="Lucida Sans"/>
              </a:defRPr>
            </a:pPr>
            <a:r>
              <a:rPr lang="zh-CN"/>
              <a:t>收入决算</a:t>
            </a:r>
            <a:endParaRPr lang="zh-CN"/>
          </a:p>
        </c:rich>
      </c:tx>
      <c:layout/>
      <c:overlay val="false"/>
      <c:spPr>
        <a:noFill/>
        <a:ln>
          <a:noFill/>
        </a:ln>
      </c:spPr>
    </c:title>
    <c:autoTitleDeleted val="false"/>
    <c:plotArea>
      <c:layout/>
      <c:pieChart>
        <c:varyColors val="true"/>
        <c:ser>
          <c:idx val="0"/>
          <c:order val="0"/>
          <c:tx>
            <c:strRef>
              <c:f>'Sheet1 (2)'!$B$1</c:f>
              <c:strCache>
                <c:ptCount val="1"/>
                <c:pt idx="0">
                  <c:v>销售额</c:v>
                </c:pt>
              </c:strCache>
            </c:strRef>
          </c:tx>
          <c:spPr>
            <a:ln>
              <a:noFill/>
            </a:ln>
          </c:spPr>
          <c:explosion val="0"/>
          <c:dPt>
            <c:idx val="0"/>
            <c:bubble3D val="false"/>
            <c:spPr>
              <a:solidFill>
                <a:srgbClr val="4874CB"/>
              </a:solidFill>
              <a:ln w="6350">
                <a:solidFill>
                  <a:srgbClr val="FFFFFF"/>
                </a:solidFill>
                <a:prstDash val="solid"/>
              </a:ln>
            </c:spPr>
          </c:dPt>
          <c:dPt>
            <c:idx val="1"/>
            <c:bubble3D val="false"/>
            <c:spPr>
              <a:solidFill>
                <a:srgbClr val="EE822F"/>
              </a:solidFill>
              <a:ln w="6350">
                <a:solidFill>
                  <a:srgbClr val="FFFFFF"/>
                </a:solidFill>
                <a:prstDash val="solid"/>
              </a:ln>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(2)'!$A$2:$A$3</c:f>
              <c:strCache>
                <c:ptCount val="2"/>
                <c:pt idx="0">
                  <c:v>政府性基金预算财政拨款收入</c:v>
                </c:pt>
                <c:pt idx="1">
                  <c:v>一般公共预算财政拨款收入</c:v>
                </c:pt>
              </c:strCache>
            </c:strRef>
          </c:cat>
          <c:val>
            <c:numRef>
              <c:f>'Sheet1 (2)'!$B$2:$B$3</c:f>
              <c:numCache>
                <c:formatCode>General</c:formatCode>
                <c:ptCount val="2"/>
                <c:pt idx="0">
                  <c:v>842.38</c:v>
                </c:pt>
                <c:pt idx="1">
                  <c:v>3821.83</c:v>
                </c:pt>
              </c:numCache>
            </c:numRef>
          </c:val>
        </c:ser>
        <c:dLbls>
          <c:showLegendKey val="false"/>
          <c:showVal val="false"/>
          <c:showCatName val="true"/>
          <c:showSerName val="false"/>
          <c:showPercent val="true"/>
          <c:showBubbleSize val="false"/>
          <c:showLeaderLines val="true"/>
        </c:dLbls>
        <c:firstSliceAng val="0"/>
      </c:pieChart>
      <c:spPr>
        <a:noFill/>
        <a:ln>
          <a:noFill/>
        </a:ln>
      </c:spPr>
    </c:plotArea>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rgbClr val="404040"/>
                </a:solidFill>
                <a:latin typeface="Times New Roman" panose="02020603050405020304"/>
                <a:ea typeface="宋体" charset="-122"/>
                <a:cs typeface="Lucida Sans"/>
              </a:defRPr>
            </a:pPr>
            <a:r>
              <a:rPr lang="zh-CN"/>
              <a:t>支出决算</a:t>
            </a:r>
            <a:endParaRPr lang="zh-CN"/>
          </a:p>
        </c:rich>
      </c:tx>
      <c:layout/>
      <c:overlay val="false"/>
      <c:spPr>
        <a:noFill/>
        <a:ln>
          <a:noFill/>
        </a:ln>
      </c:spPr>
    </c:title>
    <c:autoTitleDeleted val="false"/>
    <c:plotArea>
      <c:layout/>
      <c:pieChart>
        <c:varyColors val="true"/>
        <c:ser>
          <c:idx val="0"/>
          <c:order val="0"/>
          <c:tx>
            <c:strRef>
              <c:f>'Sheet1 (3)'!$B$1</c:f>
              <c:strCache>
                <c:ptCount val="1"/>
                <c:pt idx="0">
                  <c:v>支出决算</c:v>
                </c:pt>
              </c:strCache>
            </c:strRef>
          </c:tx>
          <c:spPr>
            <a:ln>
              <a:noFill/>
            </a:ln>
          </c:spPr>
          <c:explosion val="0"/>
          <c:dPt>
            <c:idx val="0"/>
            <c:bubble3D val="false"/>
            <c:spPr>
              <a:solidFill>
                <a:srgbClr val="4874CB"/>
              </a:solidFill>
              <a:ln w="6350">
                <a:solidFill>
                  <a:srgbClr val="FFFFFF"/>
                </a:solidFill>
                <a:prstDash val="solid"/>
              </a:ln>
            </c:spPr>
          </c:dPt>
          <c:dPt>
            <c:idx val="1"/>
            <c:bubble3D val="false"/>
            <c:spPr>
              <a:solidFill>
                <a:srgbClr val="EE822F"/>
              </a:solidFill>
              <a:ln w="6350">
                <a:solidFill>
                  <a:srgbClr val="FFFFFF"/>
                </a:solidFill>
                <a:prstDash val="solid"/>
              </a:ln>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000000"/>
                        </a:solidFill>
                        <a:latin typeface="Times New Roman" panose="02020603050405020304"/>
                        <a:ea typeface="宋体" charset="-122"/>
                        <a:cs typeface="Lucida Sans"/>
                      </a:defRPr>
                    </a:pPr>
                    <a:r>
                      <a:t>项目支出38.5%</a:t>
                    </a:r>
                  </a:p>
                </c:rich>
              </c:tx>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000000"/>
                        </a:solidFill>
                        <a:latin typeface="Times New Roman" panose="02020603050405020304"/>
                        <a:ea typeface="宋体" charset="-122"/>
                        <a:cs typeface="Lucida Sans"/>
                      </a:defRPr>
                    </a:pPr>
                    <a:r>
                      <a:t>基本支出61.5%</a:t>
                    </a:r>
                  </a:p>
                </c:rich>
              </c:tx>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(3)'!$A$2:$A$3</c:f>
              <c:strCache>
                <c:ptCount val="2"/>
                <c:pt idx="0">
                  <c:v>项目支出</c:v>
                </c:pt>
                <c:pt idx="1">
                  <c:v>基本支出</c:v>
                </c:pt>
              </c:strCache>
            </c:strRef>
          </c:cat>
          <c:val>
            <c:numRef>
              <c:f>'Sheet1 (3)'!$B$2:$B$3</c:f>
              <c:numCache>
                <c:formatCode>General</c:formatCode>
                <c:ptCount val="2"/>
                <c:pt idx="0">
                  <c:v>1956.86</c:v>
                </c:pt>
                <c:pt idx="1">
                  <c:v>3126.26</c:v>
                </c:pt>
              </c:numCache>
            </c:numRef>
          </c:val>
        </c:ser>
        <c:dLbls>
          <c:showLegendKey val="false"/>
          <c:showVal val="false"/>
          <c:showCatName val="true"/>
          <c:showSerName val="false"/>
          <c:showPercent val="true"/>
          <c:showBubbleSize val="false"/>
          <c:showLeaderLines val="true"/>
        </c:dLbls>
        <c:firstSliceAng val="0"/>
      </c:pieChart>
      <c:spPr>
        <a:noFill/>
        <a:ln>
          <a:noFill/>
        </a:ln>
      </c:spPr>
    </c:plotArea>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100" b="1" i="0" u="none" strike="noStrike" kern="1200" baseline="0">
                <a:solidFill>
                  <a:srgbClr val="404040"/>
                </a:solidFill>
                <a:latin typeface="Times New Roman" panose="02020603050405020304"/>
                <a:ea typeface="宋体" charset="-122"/>
                <a:cs typeface="Lucida Sans"/>
              </a:defRPr>
            </a:pPr>
            <a:r>
              <a:rPr lang="zh-CN"/>
              <a:t>财政拨款收入</a:t>
            </a:r>
            <a:endParaRPr lang="zh-CN"/>
          </a:p>
        </c:rich>
      </c:tx>
      <c:layout/>
      <c:overlay val="false"/>
      <c:spPr>
        <a:noFill/>
        <a:ln>
          <a:noFill/>
        </a:ln>
      </c:spPr>
    </c:title>
    <c:autoTitleDeleted val="false"/>
    <c:plotArea>
      <c:layout>
        <c:manualLayout>
          <c:layoutTarget val="inner"/>
          <c:xMode val="edge"/>
          <c:yMode val="edge"/>
          <c:x val="0.056970283"/>
          <c:y val="0.22000405"/>
          <c:w val="0.9303455"/>
          <c:h val="0.6386315"/>
        </c:manualLayout>
      </c:layout>
      <c:barChart>
        <c:barDir val="col"/>
        <c:grouping val="clustered"/>
        <c:varyColors val="false"/>
        <c:ser>
          <c:idx val="0"/>
          <c:order val="0"/>
          <c:tx>
            <c:strRef>
              <c:f>'Sheet1 (4)'!$B$1</c:f>
              <c:strCache>
                <c:ptCount val="1"/>
                <c:pt idx="0">
                  <c:v>财政拨款收入/财政拨款支出</c:v>
                </c:pt>
              </c:strCache>
            </c:strRef>
          </c:tx>
          <c:spPr>
            <a:solidFill>
              <a:srgbClr val="4874CB"/>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charset="-122"/>
                    <a:cs typeface="Lucida San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(4)'!$A$2:$A$3</c:f>
              <c:strCache>
                <c:ptCount val="2"/>
                <c:pt idx="0">
                  <c:v>2022年</c:v>
                </c:pt>
                <c:pt idx="1">
                  <c:v>2023年</c:v>
                </c:pt>
              </c:strCache>
            </c:strRef>
          </c:cat>
          <c:val>
            <c:numRef>
              <c:f>'Sheet1 (4)'!$B$2:$B$3</c:f>
              <c:numCache>
                <c:formatCode>General</c:formatCode>
                <c:ptCount val="2"/>
                <c:pt idx="0">
                  <c:v>5941.26</c:v>
                </c:pt>
                <c:pt idx="1">
                  <c:v>4969.51</c:v>
                </c:pt>
              </c:numCache>
            </c:numRef>
          </c:val>
        </c:ser>
        <c:dLbls>
          <c:showLegendKey val="false"/>
          <c:showVal val="true"/>
          <c:showCatName val="false"/>
          <c:showSerName val="false"/>
          <c:showPercent val="false"/>
          <c:showBubbleSize val="false"/>
        </c:dLbls>
        <c:gapWidth val="152"/>
        <c:overlap val="-32"/>
        <c:axId val="0"/>
        <c:axId val="1"/>
      </c:barChart>
      <c:catAx>
        <c:axId val="0"/>
        <c:scaling>
          <c:orientation val="minMax"/>
        </c:scaling>
        <c:delete val="false"/>
        <c:axPos val="b"/>
        <c:numFmt formatCode="General" sourceLinked="true"/>
        <c:majorTickMark val="out"/>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1"/>
        <c:crosses val="autoZero"/>
        <c:auto val="true"/>
        <c:lblAlgn val="ctr"/>
        <c:lblOffset val="100"/>
        <c:noMultiLvlLbl val="false"/>
      </c:catAx>
      <c:valAx>
        <c:axId val="1"/>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0"/>
        <c:crossesAt val="1"/>
        <c:crossBetween val="between"/>
        <c:majorUnit val="500"/>
      </c:valAx>
      <c:spPr>
        <a:noFill/>
        <a:ln>
          <a:noFill/>
        </a:ln>
      </c:spPr>
    </c:plotArea>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9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2012563"/>
          <c:y val="0.15313813"/>
          <c:w val="0.9468471"/>
          <c:h val="0.76272845"/>
        </c:manualLayout>
      </c:layout>
      <c:barChart>
        <c:barDir val="col"/>
        <c:grouping val="clustered"/>
        <c:varyColors val="false"/>
        <c:ser>
          <c:idx val="0"/>
          <c:order val="0"/>
          <c:tx>
            <c:strRef>
              <c:f>'Sheet1 (5)'!$B$1</c:f>
              <c:strCache>
                <c:ptCount val="1"/>
                <c:pt idx="0">
                  <c:v>一般公共预算财政拨款支出</c:v>
                </c:pt>
              </c:strCache>
            </c:strRef>
          </c:tx>
          <c:spPr>
            <a:solidFill>
              <a:srgbClr val="4874CB"/>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2022年</c:v>
                </c:pt>
                <c:pt idx="1">
                  <c:v>2023年</c:v>
                </c:pt>
              </c:strCache>
            </c:strRef>
          </c:cat>
          <c:val>
            <c:numRef>
              <c:f>'Sheet1 (5)'!$B$2:$B$3</c:f>
              <c:numCache>
                <c:formatCode>General</c:formatCode>
                <c:ptCount val="2"/>
                <c:pt idx="0">
                  <c:v>5074.18</c:v>
                </c:pt>
                <c:pt idx="1">
                  <c:v>4127.14</c:v>
                </c:pt>
              </c:numCache>
            </c:numRef>
          </c:val>
        </c:ser>
        <c:dLbls>
          <c:showLegendKey val="false"/>
          <c:showVal val="true"/>
          <c:showCatName val="false"/>
          <c:showSerName val="false"/>
          <c:showPercent val="false"/>
          <c:showBubbleSize val="false"/>
        </c:dLbls>
        <c:gapWidth val="146"/>
        <c:overlap val="-28"/>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1"/>
        <c:crosses val="autoZero"/>
        <c:auto val="true"/>
        <c:lblAlgn val="ctr"/>
        <c:lblOffset val="100"/>
        <c:noMultiLvlLbl val="false"/>
      </c:catAx>
      <c:valAx>
        <c:axId val="1"/>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crossAx val="0"/>
        <c:crossesAt val="1"/>
        <c:crossBetween val="between"/>
      </c:valAx>
      <c:spPr>
        <a:noFill/>
        <a:ln>
          <a:noFill/>
        </a:ln>
      </c:spPr>
    </c:plotArea>
    <c:legend>
      <c:legendPos val="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(6)'!$B$1</c:f>
              <c:strCache>
                <c:ptCount val="1"/>
                <c:pt idx="0">
                  <c:v>销售额</c:v>
                </c:pt>
              </c:strCache>
            </c:strRef>
          </c:tx>
          <c:spPr>
            <a:ln>
              <a:noFill/>
            </a:ln>
          </c:spPr>
          <c:explosion val="0"/>
          <c:dPt>
            <c:idx val="0"/>
            <c:bubble3D val="false"/>
            <c:spPr>
              <a:solidFill>
                <a:srgbClr val="4874CB"/>
              </a:solidFill>
              <a:ln w="6350">
                <a:solidFill>
                  <a:srgbClr val="FFFFFF"/>
                </a:solidFill>
                <a:prstDash val="solid"/>
              </a:ln>
            </c:spPr>
          </c:dPt>
          <c:dPt>
            <c:idx val="1"/>
            <c:bubble3D val="false"/>
            <c:spPr>
              <a:solidFill>
                <a:srgbClr val="EE822F"/>
              </a:solidFill>
              <a:ln w="6350">
                <a:solidFill>
                  <a:srgbClr val="FFFFFF"/>
                </a:solidFill>
                <a:prstDash val="solid"/>
              </a:ln>
            </c:spPr>
          </c:dPt>
          <c:dPt>
            <c:idx val="2"/>
            <c:bubble3D val="false"/>
            <c:spPr>
              <a:solidFill>
                <a:srgbClr val="F2BA02"/>
              </a:solidFill>
              <a:ln w="6350">
                <a:solidFill>
                  <a:srgbClr val="FFFFFF"/>
                </a:solidFill>
                <a:prstDash val="solid"/>
              </a:ln>
            </c:spPr>
          </c:dPt>
          <c:dPt>
            <c:idx val="3"/>
            <c:bubble3D val="false"/>
            <c:spPr>
              <a:solidFill>
                <a:srgbClr val="75BD42"/>
              </a:solidFill>
              <a:ln w="6350">
                <a:solidFill>
                  <a:srgbClr val="FFFFFF"/>
                </a:solidFill>
                <a:prstDash val="solid"/>
              </a:ln>
            </c:spPr>
          </c:dPt>
          <c:dPt>
            <c:idx val="4"/>
            <c:bubble3D val="false"/>
            <c:spPr>
              <a:solidFill>
                <a:srgbClr val="30C0B4"/>
              </a:solidFill>
              <a:ln w="6350">
                <a:solidFill>
                  <a:srgbClr val="FFFFFF"/>
                </a:solidFill>
                <a:prstDash val="solid"/>
              </a:ln>
            </c:spPr>
          </c:dPt>
          <c:dLbls>
            <c:dLbl>
              <c:idx val="0"/>
              <c:layout>
                <c:manualLayout>
                  <c:x val="0.00069942645"/>
                  <c:y val="0.099360526"/>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000000"/>
                        </a:solidFill>
                        <a:latin typeface="Times New Roman" panose="02020603050405020304"/>
                        <a:ea typeface="宋体" charset="-122"/>
                        <a:cs typeface="Lucida Sans"/>
                      </a:defRPr>
                    </a:pPr>
                    <a:r>
                      <a:t>68.7%</a:t>
                    </a:r>
                  </a:p>
                </c:rich>
              </c:tx>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charset="-122"/>
                      <a:cs typeface="Lucida Sans"/>
                    </a:defRPr>
                  </a:pPr>
                </a:p>
              </c:txPr>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3"/>
              <c:layout>
                <c:manualLayout>
                  <c:x val="0.045318007"/>
                  <c:y val="0.2440208"/>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20059302"/>
                  <c:y val="0.18132794"/>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(6)'!$A$2:$A$6</c:f>
              <c:strCache>
                <c:ptCount val="5"/>
                <c:pt idx="0">
                  <c:v>一般公共服务支出</c:v>
                </c:pt>
                <c:pt idx="1">
                  <c:v>社会保障和就业支出</c:v>
                </c:pt>
                <c:pt idx="2">
                  <c:v>城乡社区支出</c:v>
                </c:pt>
                <c:pt idx="3">
                  <c:v>卫生健康支出</c:v>
                </c:pt>
                <c:pt idx="4">
                  <c:v>住房保障支出</c:v>
                </c:pt>
              </c:strCache>
            </c:strRef>
          </c:cat>
          <c:val>
            <c:numRef>
              <c:f>'Sheet1 (6)'!$B$2:$B$6</c:f>
              <c:numCache>
                <c:formatCode>General</c:formatCode>
                <c:ptCount val="5"/>
                <c:pt idx="0">
                  <c:v>15.3</c:v>
                </c:pt>
                <c:pt idx="1">
                  <c:v>941.43</c:v>
                </c:pt>
                <c:pt idx="2">
                  <c:v>2835.26</c:v>
                </c:pt>
                <c:pt idx="3">
                  <c:v>150.1</c:v>
                </c:pt>
                <c:pt idx="4">
                  <c:v>185.05</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(7)'!$B$1</c:f>
              <c:strCache>
                <c:ptCount val="1"/>
                <c:pt idx="0">
                  <c:v>销售额</c:v>
                </c:pt>
              </c:strCache>
            </c:strRef>
          </c:tx>
          <c:spPr>
            <a:ln>
              <a:noFill/>
            </a:ln>
          </c:spPr>
          <c:explosion val="0"/>
          <c:dPt>
            <c:idx val="0"/>
            <c:bubble3D val="false"/>
            <c:spPr>
              <a:solidFill>
                <a:srgbClr val="4874CB"/>
              </a:solidFill>
              <a:ln>
                <a:noFill/>
              </a:ln>
            </c:spPr>
          </c:dPt>
          <c:dPt>
            <c:idx val="1"/>
            <c:bubble3D val="false"/>
            <c:spPr>
              <a:ln>
                <a:noFill/>
              </a:ln>
            </c:spPr>
          </c:dPt>
          <c:dPt>
            <c:idx val="2"/>
            <c:bubble3D val="false"/>
            <c:spPr>
              <a:ln>
                <a:noFill/>
              </a:ln>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000000"/>
                        </a:solidFill>
                        <a:latin typeface="Times New Roman" panose="02020603050405020304"/>
                        <a:ea typeface="宋体" charset="-122"/>
                        <a:cs typeface="Lucida Sans"/>
                      </a:defRPr>
                    </a:pPr>
                    <a:r>
                      <a:t>公务用车购置及运行维护费100%</a:t>
                    </a:r>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manualLayout>
                  <c:x val="-0.0924143338951107"/>
                  <c:y val="0.3742091152833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19593567447858"/>
                  <c:y val="0.370187667562389"/>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(7)'!$A$2:$A$4</c:f>
              <c:strCache>
                <c:ptCount val="3"/>
                <c:pt idx="0">
                  <c:v>公务用车运行维护费</c:v>
                </c:pt>
                <c:pt idx="1">
                  <c:v>因公出国（境）费</c:v>
                </c:pt>
                <c:pt idx="2">
                  <c:v>公务接待费</c:v>
                </c:pt>
              </c:strCache>
            </c:strRef>
          </c:cat>
          <c:val>
            <c:numRef>
              <c:f>'Sheet1 (7)'!$B$2:$B$4</c:f>
              <c:numCache>
                <c:formatCode>General</c:formatCode>
                <c:ptCount val="3"/>
                <c:pt idx="0">
                  <c:v>8.2</c:v>
                </c:pt>
                <c:pt idx="1">
                  <c:v>0</c:v>
                </c:pt>
                <c:pt idx="2">
                  <c:v>0</c:v>
                </c:pt>
              </c:numCache>
            </c:numRef>
          </c:val>
        </c:ser>
        <c:dLbls>
          <c:showLegendKey val="false"/>
          <c:showVal val="false"/>
          <c:showCatName val="true"/>
          <c:showSerName val="false"/>
          <c:showPercent val="true"/>
          <c:showBubbleSize val="false"/>
          <c:showLeaderLines val="true"/>
        </c:dLbls>
        <c:firstSliceAng val="0"/>
      </c:pieChart>
      <c:spPr>
        <a:noFill/>
        <a:ln>
          <a:noFill/>
        </a:ln>
      </c:spPr>
    </c:plotArea>
    <c:plotVisOnly val="fals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20</Pages>
  <Words>5958</Words>
  <Characters>6766</Characters>
  <Lines>0</Lines>
  <Paragraphs>188</Paragraphs>
  <TotalTime>22</TotalTime>
  <ScaleCrop>false</ScaleCrop>
  <LinksUpToDate>false</LinksUpToDate>
  <CharactersWithSpaces>6847</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2024-09-07T22:54:00Z</dcterms:created>
  <dc:creator>沙林燕</dc:creator>
  <cp:lastModifiedBy>user</cp:lastModifiedBy>
  <cp:lastPrinted>2024-09-12T00:18:00Z</cp:lastPrinted>
  <dcterms:modified xsi:type="dcterms:W3CDTF">2024-09-23T10:56:18Z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B5D0F25EA94E4494AC0892B74F962041_11</vt:lpwstr>
  </property>
</Properties>
</file>