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textAlignment w:val="auto"/>
        <w:rPr>
          <w:rFonts w:hint="default" w:ascii="Times New Roman" w:hAnsi="Times New Roman" w:cs="Times New Roman"/>
        </w:rPr>
      </w:pPr>
      <w:bookmarkStart w:id="0" w:name="_Toc15306267"/>
    </w:p>
    <w:p>
      <w:pPr>
        <w:pStyle w:val="2"/>
        <w:rPr>
          <w:rFonts w:hint="default"/>
        </w:rPr>
      </w:pPr>
    </w:p>
    <w:p>
      <w:pPr>
        <w:pStyle w:val="8"/>
        <w:suppressAutoHyphens/>
        <w:bidi w:val="0"/>
        <w:spacing w:before="0" w:beforeLines="-2147483648" w:after="140" w:line="276" w:lineRule="auto"/>
        <w:jc w:val="center"/>
        <w:rPr>
          <w:rFonts w:hint="default" w:ascii="方正小标宋简体" w:hAnsi="宋体" w:eastAsia="方正小标宋简体" w:cs="Times New Roman"/>
          <w:b w:val="0"/>
          <w:bCs w:val="0"/>
          <w:color w:val="auto"/>
          <w:kern w:val="2"/>
          <w:sz w:val="44"/>
          <w:szCs w:val="44"/>
          <w:highlight w:val="none"/>
          <w:lang w:val="en-US" w:eastAsia="zh-CN" w:bidi="ar-SA"/>
        </w:rPr>
      </w:pPr>
      <w:bookmarkStart w:id="1" w:name="_Toc15378441"/>
      <w:bookmarkStart w:id="2" w:name="_Toc15396597"/>
      <w:bookmarkStart w:id="3" w:name="_Toc15396475"/>
      <w:bookmarkStart w:id="4" w:name="_Toc15377425"/>
      <w:bookmarkStart w:id="5" w:name="_Toc15377193"/>
      <w:r>
        <w:rPr>
          <w:rFonts w:hint="default" w:ascii="方正小标宋简体" w:hAnsi="宋体" w:eastAsia="方正小标宋简体" w:cs="Times New Roman"/>
          <w:b w:val="0"/>
          <w:bCs w:val="0"/>
          <w:color w:val="auto"/>
          <w:kern w:val="2"/>
          <w:sz w:val="44"/>
          <w:szCs w:val="44"/>
          <w:highlight w:val="none"/>
          <w:lang w:val="en-US" w:eastAsia="zh-CN" w:bidi="ar-SA"/>
        </w:rPr>
        <w:t>2023年度</w:t>
      </w:r>
      <w:bookmarkEnd w:id="1"/>
      <w:bookmarkEnd w:id="2"/>
      <w:bookmarkEnd w:id="3"/>
      <w:bookmarkEnd w:id="4"/>
      <w:bookmarkEnd w:id="5"/>
    </w:p>
    <w:bookmarkEnd w:id="0"/>
    <w:p>
      <w:pPr>
        <w:pStyle w:val="8"/>
        <w:suppressAutoHyphens/>
        <w:bidi w:val="0"/>
        <w:spacing w:before="0" w:beforeLines="-2147483648" w:after="140" w:line="276" w:lineRule="auto"/>
        <w:jc w:val="center"/>
        <w:rPr>
          <w:rFonts w:hint="eastAsia" w:ascii="方正小标宋简体" w:hAnsi="宋体" w:eastAsia="方正小标宋简体" w:cs="Times New Roman"/>
          <w:b w:val="0"/>
          <w:bCs w:val="0"/>
          <w:color w:val="auto"/>
          <w:kern w:val="2"/>
          <w:sz w:val="44"/>
          <w:szCs w:val="44"/>
          <w:highlight w:val="none"/>
          <w:lang w:val="en-US" w:eastAsia="zh-CN" w:bidi="ar-SA"/>
        </w:rPr>
      </w:pPr>
      <w:bookmarkStart w:id="6" w:name="_Toc15396598"/>
      <w:bookmarkStart w:id="7" w:name="_Toc15377426"/>
      <w:bookmarkStart w:id="8" w:name="_Toc15396476"/>
      <w:bookmarkStart w:id="9" w:name="_Toc15306268"/>
      <w:bookmarkStart w:id="10" w:name="_Toc15377194"/>
      <w:bookmarkStart w:id="11" w:name="_Toc15378442"/>
      <w:r>
        <w:rPr>
          <w:rFonts w:hint="default" w:ascii="方正小标宋简体" w:hAnsi="宋体" w:eastAsia="方正小标宋简体" w:cs="Times New Roman"/>
          <w:b w:val="0"/>
          <w:bCs w:val="0"/>
          <w:color w:val="auto"/>
          <w:kern w:val="2"/>
          <w:sz w:val="44"/>
          <w:szCs w:val="44"/>
          <w:highlight w:val="none"/>
          <w:lang w:val="en-US" w:eastAsia="zh-CN" w:bidi="ar-SA"/>
        </w:rPr>
        <w:t>攀枝花市住房保障</w:t>
      </w:r>
      <w:r>
        <w:rPr>
          <w:rFonts w:hint="eastAsia" w:ascii="方正小标宋简体" w:hAnsi="宋体" w:eastAsia="方正小标宋简体" w:cs="Times New Roman"/>
          <w:b w:val="0"/>
          <w:bCs w:val="0"/>
          <w:color w:val="auto"/>
          <w:kern w:val="2"/>
          <w:sz w:val="44"/>
          <w:szCs w:val="44"/>
          <w:highlight w:val="none"/>
          <w:lang w:val="en-US" w:eastAsia="zh-CN" w:bidi="ar-SA"/>
        </w:rPr>
        <w:t>和建设项目服务中心</w:t>
      </w:r>
    </w:p>
    <w:p>
      <w:pPr>
        <w:pStyle w:val="8"/>
        <w:suppressAutoHyphens/>
        <w:bidi w:val="0"/>
        <w:spacing w:before="0" w:beforeLines="-2147483648" w:after="140" w:line="276" w:lineRule="auto"/>
        <w:jc w:val="center"/>
        <w:rPr>
          <w:rFonts w:hint="eastAsia" w:ascii="方正小标宋简体" w:hAnsi="宋体" w:eastAsia="方正小标宋简体" w:cs="Times New Roman"/>
          <w:b w:val="0"/>
          <w:bCs w:val="0"/>
          <w:color w:val="auto"/>
          <w:kern w:val="2"/>
          <w:sz w:val="44"/>
          <w:szCs w:val="44"/>
          <w:highlight w:val="none"/>
          <w:lang w:val="en-US" w:eastAsia="zh-CN" w:bidi="ar-SA"/>
        </w:rPr>
      </w:pPr>
      <w:r>
        <w:rPr>
          <w:rFonts w:hint="eastAsia" w:ascii="方正小标宋简体" w:hAnsi="宋体" w:eastAsia="方正小标宋简体" w:cs="Times New Roman"/>
          <w:b w:val="0"/>
          <w:bCs w:val="0"/>
          <w:color w:val="auto"/>
          <w:kern w:val="2"/>
          <w:sz w:val="44"/>
          <w:szCs w:val="44"/>
          <w:highlight w:val="none"/>
          <w:lang w:val="en-US" w:eastAsia="zh-CN" w:bidi="ar-SA"/>
        </w:rPr>
        <w:t>单位决算</w:t>
      </w:r>
      <w:bookmarkEnd w:id="6"/>
      <w:bookmarkEnd w:id="7"/>
      <w:bookmarkEnd w:id="8"/>
      <w:bookmarkEnd w:id="9"/>
      <w:bookmarkEnd w:id="10"/>
      <w:bookmarkEnd w:id="11"/>
    </w:p>
    <w:p>
      <w:pPr>
        <w:pageBreakBefore w:val="0"/>
        <w:widowControl/>
        <w:kinsoku/>
        <w:wordWrap/>
        <w:overflowPunct/>
        <w:topLinePunct w:val="0"/>
        <w:bidi w:val="0"/>
        <w:spacing w:line="600" w:lineRule="exact"/>
        <w:jc w:val="center"/>
        <w:textAlignment w:val="auto"/>
        <w:rPr>
          <w:rFonts w:hint="eastAsia" w:ascii="黑体" w:hAnsi="黑体" w:eastAsia="黑体" w:cs="黑体"/>
          <w:color w:val="000000"/>
          <w:sz w:val="48"/>
          <w:szCs w:val="48"/>
        </w:rPr>
      </w:pPr>
      <w:r>
        <w:rPr>
          <w:rFonts w:hint="default" w:ascii="Times New Roman" w:hAnsi="Times New Roman" w:eastAsia="方正小标宋简体" w:cs="Times New Roman"/>
          <w:color w:val="000000"/>
          <w:sz w:val="36"/>
          <w:szCs w:val="36"/>
        </w:rPr>
        <w:br w:type="page"/>
      </w:r>
      <w:r>
        <w:rPr>
          <w:rFonts w:hint="eastAsia" w:ascii="黑体" w:hAnsi="黑体" w:eastAsia="黑体" w:cs="黑体"/>
          <w:color w:val="000000"/>
          <w:sz w:val="48"/>
          <w:szCs w:val="48"/>
        </w:rPr>
        <w:t>目录</w:t>
      </w: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28"/>
          <w:szCs w:val="28"/>
        </w:rPr>
      </w:pPr>
    </w:p>
    <w:p>
      <w:pPr>
        <w:pStyle w:val="13"/>
        <w:pageBreakBefore w:val="0"/>
        <w:kinsoku/>
        <w:wordWrap/>
        <w:overflowPunct/>
        <w:topLinePunct w:val="0"/>
        <w:bidi w:val="0"/>
        <w:spacing w:line="60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公开时间：202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年9 月</w:t>
      </w:r>
      <w:r>
        <w:rPr>
          <w:rFonts w:hint="default" w:ascii="Times New Roman" w:hAnsi="Times New Roman" w:eastAsia="仿宋_GB2312" w:cs="Times New Roman"/>
          <w:lang w:val="en-US" w:eastAsia="zh-CN"/>
        </w:rPr>
        <w:t>2</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rPr>
        <w:t>日</w:t>
      </w:r>
    </w:p>
    <w:p>
      <w:pPr>
        <w:pageBreakBefore w:val="0"/>
        <w:kinsoku/>
        <w:wordWrap/>
        <w:overflowPunct/>
        <w:topLinePunct w:val="0"/>
        <w:bidi w:val="0"/>
        <w:spacing w:line="600" w:lineRule="exact"/>
        <w:textAlignment w:val="auto"/>
        <w:rPr>
          <w:rFonts w:hint="eastAsia" w:ascii="仿宋_GB2312" w:hAnsi="仿宋_GB2312" w:eastAsia="仿宋_GB2312" w:cs="仿宋_GB2312"/>
        </w:rPr>
      </w:pP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both"/>
        <w:textAlignment w:val="auto"/>
        <w:rPr>
          <w:rFonts w:hint="eastAsia" w:ascii="仿宋" w:hAnsi="仿宋" w:eastAsia="仿宋" w:cs="仿宋"/>
          <w:sz w:val="24"/>
          <w:szCs w:val="24"/>
        </w:rPr>
      </w:pPr>
      <w:r>
        <w:rPr>
          <w:rFonts w:hint="eastAsia" w:ascii="仿宋" w:hAnsi="仿宋" w:eastAsia="仿宋" w:cs="仿宋"/>
          <w:sz w:val="24"/>
        </w:rPr>
        <w:t>第一部分 单位概况</w:t>
      </w:r>
      <w:r>
        <w:rPr>
          <w:rFonts w:hint="eastAsia" w:ascii="仿宋" w:hAnsi="仿宋" w:eastAsia="仿宋" w:cs="仿宋"/>
          <w:sz w:val="24"/>
          <w:szCs w:val="24"/>
        </w:rPr>
        <w:tab/>
      </w:r>
      <w:bookmarkStart w:id="55" w:name="_GoBack"/>
      <w:bookmarkEnd w:id="55"/>
      <w:r>
        <w:rPr>
          <w:rFonts w:hint="eastAsia" w:ascii="仿宋" w:hAnsi="仿宋" w:eastAsia="仿宋" w:cs="仿宋"/>
          <w:sz w:val="24"/>
          <w:szCs w:val="24"/>
        </w:rPr>
        <w:t>4</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eastAsia="zh-CN"/>
        </w:rPr>
        <w:t>主要职责</w:t>
      </w:r>
      <w:r>
        <w:rPr>
          <w:rFonts w:hint="eastAsia" w:ascii="宋体" w:hAnsi="宋体" w:eastAsia="宋体" w:cs="宋体"/>
          <w:sz w:val="24"/>
        </w:rPr>
        <w:tab/>
      </w:r>
      <w:r>
        <w:rPr>
          <w:rFonts w:hint="eastAsia" w:ascii="宋体" w:hAnsi="宋体" w:eastAsia="宋体" w:cs="宋体"/>
          <w:sz w:val="24"/>
        </w:rPr>
        <w:t>4</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eastAsia="zh-CN"/>
        </w:rPr>
        <w:t>机构设置</w:t>
      </w:r>
      <w:r>
        <w:rPr>
          <w:rFonts w:hint="eastAsia" w:ascii="宋体" w:hAnsi="宋体" w:eastAsia="宋体" w:cs="宋体"/>
          <w:sz w:val="24"/>
        </w:rPr>
        <w:tab/>
      </w:r>
      <w:r>
        <w:rPr>
          <w:rFonts w:hint="eastAsia" w:ascii="宋体" w:hAnsi="宋体" w:eastAsia="宋体" w:cs="宋体"/>
          <w:sz w:val="24"/>
        </w:rPr>
        <w:t>4</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rPr>
        <w:t>第二部分202</w:t>
      </w:r>
      <w:r>
        <w:rPr>
          <w:rFonts w:hint="eastAsia" w:ascii="仿宋" w:hAnsi="仿宋" w:eastAsia="仿宋" w:cs="仿宋"/>
          <w:sz w:val="24"/>
          <w:lang w:val="en-US" w:eastAsia="zh-CN"/>
        </w:rPr>
        <w:t>3</w:t>
      </w:r>
      <w:r>
        <w:rPr>
          <w:rFonts w:hint="eastAsia" w:ascii="仿宋" w:hAnsi="仿宋" w:eastAsia="仿宋" w:cs="仿宋"/>
          <w:sz w:val="24"/>
        </w:rPr>
        <w:t>年度单位决算情况说明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一、收入支出决算总体情况说明</w:t>
      </w:r>
      <w:r>
        <w:rPr>
          <w:rFonts w:hint="eastAsia" w:ascii="宋体" w:hAnsi="宋体" w:eastAsia="宋体" w:cs="宋体"/>
          <w:sz w:val="24"/>
        </w:rPr>
        <w:tab/>
      </w:r>
      <w:r>
        <w:rPr>
          <w:rFonts w:hint="eastAsia" w:ascii="宋体" w:hAnsi="宋体" w:eastAsia="宋体" w:cs="宋体"/>
          <w:sz w:val="24"/>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二、收入决算情况说明</w:t>
      </w:r>
      <w:r>
        <w:rPr>
          <w:rFonts w:hint="eastAsia" w:ascii="宋体" w:hAnsi="宋体" w:eastAsia="宋体" w:cs="宋体"/>
          <w:sz w:val="24"/>
        </w:rPr>
        <w:tab/>
      </w:r>
      <w:r>
        <w:rPr>
          <w:rFonts w:hint="eastAsia" w:ascii="宋体" w:hAnsi="宋体" w:eastAsia="宋体" w:cs="宋体"/>
          <w:sz w:val="24"/>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三、支出决算情况说明</w:t>
      </w:r>
      <w:r>
        <w:rPr>
          <w:rFonts w:hint="eastAsia" w:ascii="宋体" w:hAnsi="宋体" w:eastAsia="宋体" w:cs="宋体"/>
          <w:sz w:val="24"/>
        </w:rPr>
        <w:tab/>
      </w:r>
      <w:r>
        <w:rPr>
          <w:rFonts w:hint="eastAsia" w:ascii="宋体" w:hAnsi="宋体" w:eastAsia="宋体" w:cs="宋体"/>
          <w:sz w:val="24"/>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四、财政拨款收入支出决算总体情况说明</w:t>
      </w:r>
      <w:r>
        <w:rPr>
          <w:rFonts w:hint="eastAsia" w:ascii="宋体" w:hAnsi="宋体" w:eastAsia="宋体" w:cs="宋体"/>
          <w:sz w:val="24"/>
        </w:rPr>
        <w:tab/>
      </w:r>
      <w:r>
        <w:rPr>
          <w:rFonts w:hint="eastAsia" w:ascii="宋体" w:hAnsi="宋体" w:eastAsia="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五、一般公共预算财政拨款支出决算情况说明</w:t>
      </w:r>
      <w:r>
        <w:rPr>
          <w:rFonts w:hint="eastAsia" w:ascii="宋体" w:hAnsi="宋体" w:eastAsia="宋体" w:cs="宋体"/>
          <w:sz w:val="24"/>
        </w:rPr>
        <w:tab/>
      </w:r>
      <w:r>
        <w:rPr>
          <w:rFonts w:hint="eastAsia" w:ascii="宋体" w:hAnsi="宋体" w:cs="宋体"/>
          <w:sz w:val="24"/>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六、一般公共预算财政拨款基本支出决算情况说明</w:t>
      </w:r>
      <w:r>
        <w:rPr>
          <w:rFonts w:hint="eastAsia" w:ascii="宋体" w:hAnsi="宋体" w:eastAsia="宋体" w:cs="宋体"/>
          <w:sz w:val="24"/>
        </w:rPr>
        <w:tab/>
      </w:r>
      <w:r>
        <w:rPr>
          <w:rFonts w:hint="eastAsia" w:ascii="宋体" w:hAnsi="宋体" w:eastAsia="宋体" w:cs="宋体"/>
          <w:sz w:val="24"/>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七、</w:t>
      </w:r>
      <w:r>
        <w:rPr>
          <w:rFonts w:hint="eastAsia" w:ascii="宋体" w:hAnsi="宋体" w:eastAsia="宋体" w:cs="宋体"/>
          <w:sz w:val="24"/>
          <w:lang w:eastAsia="zh-CN"/>
        </w:rPr>
        <w:t>财政拨款</w:t>
      </w:r>
      <w:r>
        <w:rPr>
          <w:rFonts w:hint="eastAsia" w:ascii="宋体" w:hAnsi="宋体" w:eastAsia="宋体" w:cs="宋体"/>
          <w:sz w:val="24"/>
        </w:rPr>
        <w:t>“三公”经费支出决算情况说明</w:t>
      </w:r>
      <w:r>
        <w:rPr>
          <w:rFonts w:hint="eastAsia" w:ascii="宋体" w:hAnsi="宋体" w:eastAsia="宋体" w:cs="宋体"/>
          <w:sz w:val="24"/>
        </w:rPr>
        <w:tab/>
      </w:r>
      <w:r>
        <w:rPr>
          <w:rFonts w:hint="eastAsia" w:ascii="宋体" w:hAnsi="宋体" w:eastAsia="宋体" w:cs="宋体"/>
          <w:sz w:val="24"/>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八、政府性基金预算支出决算情况说明</w:t>
      </w:r>
      <w:r>
        <w:rPr>
          <w:rFonts w:hint="eastAsia" w:ascii="宋体" w:hAnsi="宋体" w:eastAsia="宋体" w:cs="宋体"/>
          <w:sz w:val="24"/>
        </w:rPr>
        <w:tab/>
      </w:r>
      <w:r>
        <w:rPr>
          <w:rFonts w:hint="eastAsia" w:ascii="宋体" w:hAnsi="宋体" w:eastAsia="宋体" w:cs="宋体"/>
          <w:sz w:val="24"/>
        </w:rPr>
        <w:t>1</w:t>
      </w:r>
      <w:r>
        <w:rPr>
          <w:rFonts w:hint="eastAsia" w:ascii="宋体" w:hAnsi="宋体" w:eastAsia="宋体" w:cs="宋体"/>
          <w:sz w:val="24"/>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420" w:leftChars="0"/>
        <w:jc w:val="both"/>
        <w:textAlignment w:val="auto"/>
        <w:rPr>
          <w:rFonts w:hint="eastAsia" w:ascii="宋体" w:hAnsi="宋体" w:eastAsia="宋体" w:cs="宋体"/>
          <w:sz w:val="24"/>
          <w:lang w:val="en-US" w:eastAsia="zh-CN"/>
        </w:rPr>
      </w:pPr>
      <w:r>
        <w:rPr>
          <w:rFonts w:hint="eastAsia" w:ascii="宋体" w:hAnsi="宋体" w:eastAsia="宋体" w:cs="宋体"/>
          <w:sz w:val="24"/>
        </w:rPr>
        <w:t>九、国有资本经营预算支出决算情况说明</w:t>
      </w:r>
      <w:r>
        <w:rPr>
          <w:rFonts w:hint="eastAsia" w:ascii="宋体" w:hAnsi="宋体" w:eastAsia="宋体" w:cs="宋体"/>
          <w:sz w:val="24"/>
        </w:rPr>
        <w:tab/>
      </w:r>
      <w:r>
        <w:rPr>
          <w:rFonts w:hint="eastAsia" w:ascii="宋体" w:hAnsi="宋体" w:eastAsia="宋体" w:cs="宋体"/>
          <w:sz w:val="24"/>
        </w:rPr>
        <w:t>1</w:t>
      </w:r>
      <w:r>
        <w:rPr>
          <w:rFonts w:hint="eastAsia" w:ascii="宋体" w:hAnsi="宋体" w:eastAsia="宋体" w:cs="宋体"/>
          <w:sz w:val="24"/>
          <w:lang w:val="en-US" w:eastAsia="zh-CN"/>
        </w:rPr>
        <w:t>1</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ind w:firstLine="480" w:firstLineChars="200"/>
        <w:jc w:val="both"/>
        <w:textAlignment w:val="auto"/>
        <w:rPr>
          <w:rFonts w:hint="default" w:ascii="宋体" w:hAnsi="宋体" w:eastAsia="宋体" w:cs="宋体"/>
          <w:sz w:val="24"/>
          <w:lang w:val="en-US" w:eastAsia="zh-CN"/>
        </w:rPr>
      </w:pPr>
      <w:r>
        <w:rPr>
          <w:rStyle w:val="18"/>
          <w:rFonts w:hint="eastAsia" w:ascii="宋体" w:hAnsi="宋体" w:eastAsia="宋体" w:cs="宋体"/>
          <w:color w:val="000000"/>
          <w:sz w:val="24"/>
          <w:u w:val="none"/>
        </w:rPr>
        <w:t>十、</w:t>
      </w:r>
      <w:r>
        <w:rPr>
          <w:rFonts w:hint="eastAsia" w:ascii="宋体" w:hAnsi="宋体" w:eastAsia="宋体" w:cs="宋体"/>
          <w:sz w:val="24"/>
        </w:rPr>
        <w:t>其他重要事项的情况说明</w:t>
      </w:r>
      <w:r>
        <w:rPr>
          <w:rFonts w:hint="eastAsia" w:ascii="宋体" w:hAnsi="宋体" w:eastAsia="宋体" w:cs="宋体"/>
          <w:sz w:val="24"/>
        </w:rPr>
        <w:tab/>
      </w:r>
      <w:r>
        <w:rPr>
          <w:rFonts w:hint="eastAsia" w:ascii="宋体" w:hAnsi="宋体" w:cs="宋体"/>
          <w:sz w:val="24"/>
          <w:lang w:val="en-US" w:eastAsia="zh-CN"/>
        </w:rPr>
        <w:t>11</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rPr>
        <w:t>第三部分 名词解释</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lang w:val="en-US" w:eastAsia="zh-CN"/>
        </w:rPr>
        <w:t>3</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rPr>
        <w:t>第四部分 附件</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cs="仿宋"/>
          <w:sz w:val="24"/>
          <w:szCs w:val="24"/>
          <w:lang w:val="en-US" w:eastAsia="zh-CN"/>
        </w:rPr>
        <w:t>5</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rPr>
        <w:t>第五部分 附表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cs="仿宋"/>
          <w:sz w:val="24"/>
          <w:szCs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sz w:val="24"/>
          <w:lang w:val="en-US" w:eastAsia="zh-CN"/>
        </w:rPr>
      </w:pPr>
      <w:r>
        <w:rPr>
          <w:rFonts w:hint="eastAsia" w:ascii="宋体" w:hAnsi="宋体" w:eastAsia="宋体" w:cs="宋体"/>
          <w:sz w:val="24"/>
        </w:rPr>
        <w:t>一、收入支出决算总表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二、收入决算表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三、支出决算表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四、财政拨款收入支出决算总表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五、财政拨款支出决算明细表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六、一般公共预算财政拨款支出决算表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七、一般公共预算财政拨款支出决算明细表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八、一般公共预算财政拨款基本支出决算明细表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九、一般公共预算财政拨款项目支出决算表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十、政府性基金预算财政拨款收入支出决算表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十</w:t>
      </w:r>
      <w:r>
        <w:rPr>
          <w:rFonts w:hint="eastAsia" w:ascii="宋体" w:hAnsi="宋体" w:eastAsia="宋体" w:cs="宋体"/>
          <w:sz w:val="24"/>
          <w:lang w:eastAsia="zh-CN"/>
        </w:rPr>
        <w:t>一</w:t>
      </w:r>
      <w:r>
        <w:rPr>
          <w:rFonts w:hint="eastAsia" w:ascii="宋体" w:hAnsi="宋体" w:eastAsia="宋体" w:cs="宋体"/>
          <w:sz w:val="24"/>
        </w:rPr>
        <w:t>、国有资本经营预算财政拨款收入支出决算表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十</w:t>
      </w:r>
      <w:r>
        <w:rPr>
          <w:rFonts w:hint="eastAsia" w:ascii="宋体" w:hAnsi="宋体" w:eastAsia="宋体" w:cs="宋体"/>
          <w:sz w:val="24"/>
          <w:lang w:eastAsia="zh-CN"/>
        </w:rPr>
        <w:t>二</w:t>
      </w:r>
      <w:r>
        <w:rPr>
          <w:rFonts w:hint="eastAsia" w:ascii="宋体" w:hAnsi="宋体" w:eastAsia="宋体" w:cs="宋体"/>
          <w:sz w:val="24"/>
        </w:rPr>
        <w:t>、国有资本经营预算财政拨款支出决算表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sz w:val="24"/>
          <w:lang w:val="en-US" w:eastAsia="zh-CN"/>
        </w:rPr>
      </w:pPr>
      <w:r>
        <w:rPr>
          <w:rFonts w:hint="eastAsia" w:ascii="宋体" w:hAnsi="宋体" w:eastAsia="宋体" w:cs="宋体"/>
          <w:sz w:val="24"/>
        </w:rPr>
        <w:t>十</w:t>
      </w:r>
      <w:r>
        <w:rPr>
          <w:rFonts w:hint="eastAsia" w:ascii="宋体" w:hAnsi="宋体" w:eastAsia="宋体" w:cs="宋体"/>
          <w:sz w:val="24"/>
          <w:lang w:eastAsia="zh-CN"/>
        </w:rPr>
        <w:t>三</w:t>
      </w:r>
      <w:r>
        <w:rPr>
          <w:rFonts w:hint="eastAsia" w:ascii="宋体" w:hAnsi="宋体" w:eastAsia="宋体" w:cs="宋体"/>
          <w:sz w:val="24"/>
        </w:rPr>
        <w:t>、财政拨款</w:t>
      </w:r>
      <w:r>
        <w:rPr>
          <w:rFonts w:hint="eastAsia" w:ascii="宋体" w:hAnsi="宋体" w:eastAsia="宋体" w:cs="宋体"/>
          <w:sz w:val="24"/>
          <w:lang w:eastAsia="zh-CN"/>
        </w:rPr>
        <w:t>“三公”经费</w:t>
      </w:r>
      <w:r>
        <w:rPr>
          <w:rFonts w:hint="eastAsia" w:ascii="宋体" w:hAnsi="宋体" w:eastAsia="宋体" w:cs="宋体"/>
          <w:sz w:val="24"/>
        </w:rPr>
        <w:t>支出决算表</w:t>
      </w:r>
      <w:r>
        <w:rPr>
          <w:rFonts w:hint="eastAsia" w:ascii="宋体" w:hAnsi="宋体" w:eastAsia="宋体" w:cs="宋体"/>
          <w:sz w:val="24"/>
        </w:rPr>
        <w:tab/>
      </w:r>
      <w:r>
        <w:rPr>
          <w:rFonts w:hint="eastAsia" w:ascii="宋体" w:hAnsi="宋体" w:eastAsia="宋体" w:cs="宋体"/>
          <w:sz w:val="24"/>
          <w:lang w:val="en-US" w:eastAsia="zh-CN"/>
        </w:rPr>
        <w:t>1</w:t>
      </w:r>
      <w:r>
        <w:rPr>
          <w:rFonts w:hint="eastAsia" w:ascii="宋体" w:hAnsi="宋体" w:cs="宋体"/>
          <w:sz w:val="24"/>
          <w:lang w:val="en-US" w:eastAsia="zh-CN"/>
        </w:rPr>
        <w:t>6</w:t>
      </w:r>
    </w:p>
    <w:p>
      <w:pPr>
        <w:pageBreakBefore w:val="0"/>
        <w:widowControl/>
        <w:kinsoku/>
        <w:wordWrap/>
        <w:overflowPunct/>
        <w:topLinePunct w:val="0"/>
        <w:bidi w:val="0"/>
        <w:spacing w:line="600" w:lineRule="exact"/>
        <w:jc w:val="left"/>
        <w:textAlignment w:val="auto"/>
        <w:rPr>
          <w:rFonts w:hint="default" w:ascii="Times New Roman" w:hAnsi="Times New Roman" w:cs="Times New Roman"/>
          <w:bCs/>
          <w:kern w:val="44"/>
          <w:sz w:val="44"/>
          <w:szCs w:val="44"/>
        </w:rPr>
      </w:pPr>
      <w:bookmarkStart w:id="12" w:name="_Toc15377196"/>
      <w:bookmarkStart w:id="13" w:name="_Toc15396599"/>
      <w:r>
        <w:rPr>
          <w:rFonts w:hint="default" w:ascii="Times New Roman" w:hAnsi="Times New Roman" w:cs="Times New Roman"/>
          <w:b/>
        </w:rPr>
        <w:br w:type="page"/>
      </w:r>
    </w:p>
    <w:p>
      <w:pPr>
        <w:pStyle w:val="5"/>
        <w:pageBreakBefore w:val="0"/>
        <w:kinsoku/>
        <w:wordWrap/>
        <w:overflowPunct/>
        <w:topLinePunct w:val="0"/>
        <w:bidi w:val="0"/>
        <w:spacing w:line="600" w:lineRule="exact"/>
        <w:jc w:val="center"/>
        <w:textAlignment w:val="auto"/>
        <w:rPr>
          <w:rStyle w:val="19"/>
          <w:rFonts w:hint="eastAsia" w:ascii="黑体" w:hAnsi="黑体" w:eastAsia="黑体" w:cs="黑体"/>
          <w:b/>
          <w:bCs w:val="0"/>
        </w:rPr>
      </w:pPr>
      <w:r>
        <w:rPr>
          <w:rFonts w:hint="eastAsia" w:ascii="黑体" w:hAnsi="黑体" w:eastAsia="黑体" w:cs="黑体"/>
          <w:b w:val="0"/>
        </w:rPr>
        <w:t xml:space="preserve">第一部分 </w:t>
      </w:r>
      <w:r>
        <w:rPr>
          <w:rStyle w:val="19"/>
          <w:rFonts w:hint="eastAsia" w:ascii="黑体" w:hAnsi="黑体" w:eastAsia="黑体" w:cs="黑体"/>
          <w:b w:val="0"/>
          <w:bCs w:val="0"/>
        </w:rPr>
        <w:t>单位概况</w:t>
      </w:r>
      <w:bookmarkEnd w:id="12"/>
      <w:bookmarkEnd w:id="13"/>
    </w:p>
    <w:p>
      <w:pPr>
        <w:pageBreakBefore w:val="0"/>
        <w:kinsoku/>
        <w:wordWrap/>
        <w:overflowPunct/>
        <w:topLinePunct w:val="0"/>
        <w:bidi w:val="0"/>
        <w:spacing w:line="600" w:lineRule="exact"/>
        <w:textAlignment w:val="auto"/>
        <w:rPr>
          <w:rFonts w:hint="default" w:ascii="Times New Roman" w:hAnsi="Times New Roman" w:eastAsia="黑体" w:cs="Times New Roman"/>
          <w:lang w:val="en-US" w:eastAsia="zh-CN"/>
        </w:rPr>
      </w:pPr>
      <w:r>
        <w:rPr>
          <w:rStyle w:val="20"/>
          <w:rFonts w:hint="default" w:ascii="Times New Roman" w:hAnsi="Times New Roman" w:eastAsia="黑体" w:cs="Times New Roman"/>
          <w:b w:val="0"/>
          <w:bCs w:val="0"/>
          <w:lang w:val="en-US" w:eastAsia="zh-CN"/>
        </w:rPr>
        <w:t xml:space="preserve">    一、主要职责</w:t>
      </w:r>
    </w:p>
    <w:p>
      <w:pPr>
        <w:pageBreakBefore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sz w:val="32"/>
          <w:szCs w:val="32"/>
        </w:rPr>
      </w:pPr>
      <w:bookmarkStart w:id="14" w:name="_Toc15377198"/>
      <w:bookmarkStart w:id="15" w:name="_Toc15378445"/>
      <w:r>
        <w:rPr>
          <w:rFonts w:hint="default" w:ascii="Times New Roman" w:hAnsi="Times New Roman" w:eastAsia="仿宋_GB2312" w:cs="Times New Roman"/>
          <w:sz w:val="32"/>
          <w:szCs w:val="32"/>
        </w:rPr>
        <w:t>攀枝花</w:t>
      </w:r>
      <w:r>
        <w:rPr>
          <w:rFonts w:hint="default" w:ascii="Times New Roman" w:hAnsi="Times New Roman" w:eastAsia="仿宋_GB2312" w:cs="Times New Roman"/>
          <w:sz w:val="32"/>
          <w:szCs w:val="32"/>
          <w:lang w:eastAsia="zh-CN"/>
        </w:rPr>
        <w:t>市住房保障和建设项目服务中心</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市住保和建设项目中心</w:t>
      </w:r>
      <w:r>
        <w:rPr>
          <w:rFonts w:hint="default" w:ascii="Times New Roman" w:hAnsi="Times New Roman" w:eastAsia="仿宋_GB2312" w:cs="Times New Roman"/>
          <w:sz w:val="32"/>
          <w:szCs w:val="32"/>
        </w:rPr>
        <w:t>）</w:t>
      </w:r>
      <w:r>
        <w:rPr>
          <w:rStyle w:val="31"/>
          <w:rFonts w:hint="default" w:ascii="Times New Roman" w:hAnsi="Times New Roman" w:eastAsia="仿宋_GB2312" w:cs="Times New Roman"/>
          <w:sz w:val="32"/>
          <w:szCs w:val="32"/>
        </w:rPr>
        <w:t>负责全市保障性安居工程建设的具体事务性、技术性、辅助性工作</w:t>
      </w:r>
      <w:r>
        <w:rPr>
          <w:rStyle w:val="31"/>
          <w:rFonts w:hint="eastAsia" w:ascii="Times New Roman" w:hAnsi="Times New Roman" w:eastAsia="仿宋_GB2312" w:cs="Times New Roman"/>
          <w:sz w:val="32"/>
          <w:szCs w:val="32"/>
          <w:lang w:eastAsia="zh-CN"/>
        </w:rPr>
        <w:t>；</w:t>
      </w:r>
      <w:r>
        <w:rPr>
          <w:rStyle w:val="31"/>
          <w:rFonts w:hint="default" w:ascii="Times New Roman" w:hAnsi="Times New Roman" w:eastAsia="仿宋_GB2312" w:cs="Times New Roman"/>
          <w:sz w:val="32"/>
          <w:szCs w:val="32"/>
        </w:rPr>
        <w:t>负责市本级市政基础设施项目策划、储备、建设模式选择等前期工作和建设及具体实施的事务性、技术性、辅助性工作；负责市政府非经营性投资项目代建业务实施过程中事务性、技术性、辅助性工作。</w:t>
      </w:r>
    </w:p>
    <w:bookmarkEnd w:id="14"/>
    <w:bookmarkEnd w:id="15"/>
    <w:p>
      <w:pPr>
        <w:pStyle w:val="8"/>
        <w:pageBreakBefore w:val="0"/>
        <w:kinsoku/>
        <w:wordWrap/>
        <w:overflowPunct/>
        <w:topLinePunct w:val="0"/>
        <w:bidi w:val="0"/>
        <w:adjustRightInd w:val="0"/>
        <w:snapToGrid w:val="0"/>
        <w:spacing w:before="93" w:beforeLines="0" w:line="600" w:lineRule="exact"/>
        <w:ind w:firstLine="640" w:firstLineChars="200"/>
        <w:textAlignment w:val="auto"/>
        <w:outlineLvl w:val="2"/>
        <w:rPr>
          <w:rFonts w:hint="default" w:ascii="Times New Roman" w:hAnsi="Times New Roman" w:eastAsia="黑体" w:cs="Times New Roman"/>
          <w:bCs/>
          <w:color w:val="000000"/>
          <w:sz w:val="32"/>
          <w:szCs w:val="32"/>
          <w:lang w:eastAsia="zh-CN"/>
        </w:rPr>
      </w:pPr>
      <w:bookmarkStart w:id="16" w:name="_Toc15377199"/>
      <w:bookmarkStart w:id="17" w:name="_Toc15378446"/>
      <w:r>
        <w:rPr>
          <w:rFonts w:hint="default" w:ascii="Times New Roman" w:hAnsi="Times New Roman" w:eastAsia="黑体" w:cs="Times New Roman"/>
          <w:bCs/>
          <w:color w:val="000000"/>
          <w:sz w:val="32"/>
          <w:szCs w:val="32"/>
        </w:rPr>
        <w:t>二、</w:t>
      </w:r>
      <w:bookmarkEnd w:id="16"/>
      <w:bookmarkEnd w:id="17"/>
      <w:r>
        <w:rPr>
          <w:rFonts w:hint="default" w:ascii="Times New Roman" w:hAnsi="Times New Roman" w:eastAsia="黑体" w:cs="Times New Roman"/>
          <w:bCs/>
          <w:color w:val="000000"/>
          <w:sz w:val="32"/>
          <w:szCs w:val="32"/>
          <w:lang w:eastAsia="zh-CN"/>
        </w:rPr>
        <w:t>机构设置</w:t>
      </w:r>
    </w:p>
    <w:p>
      <w:pPr>
        <w:pStyle w:val="8"/>
        <w:pageBreakBefore w:val="0"/>
        <w:kinsoku/>
        <w:wordWrap/>
        <w:overflowPunct/>
        <w:topLinePunct w:val="0"/>
        <w:bidi w:val="0"/>
        <w:adjustRightInd w:val="0"/>
        <w:snapToGrid w:val="0"/>
        <w:spacing w:before="93" w:beforeLines="0" w:line="600" w:lineRule="exact"/>
        <w:ind w:firstLine="640" w:firstLineChars="200"/>
        <w:textAlignment w:val="auto"/>
        <w:outlineLvl w:val="2"/>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lang w:eastAsia="zh-CN"/>
        </w:rPr>
        <w:t>市住保和建设项目中心属市住房城乡建设局下属公益一类科级事业单位。</w:t>
      </w:r>
    </w:p>
    <w:p>
      <w:pPr>
        <w:pageBreakBefore w:val="0"/>
        <w:kinsoku/>
        <w:wordWrap/>
        <w:overflowPunct/>
        <w:topLinePunct w:val="0"/>
        <w:bidi w:val="0"/>
        <w:spacing w:line="600" w:lineRule="exact"/>
        <w:textAlignment w:val="auto"/>
        <w:rPr>
          <w:rFonts w:hint="default" w:ascii="Times New Roman" w:hAnsi="Times New Roman" w:eastAsia="仿宋_GB2312" w:cs="Times New Roman"/>
          <w:sz w:val="32"/>
          <w:szCs w:val="32"/>
        </w:rPr>
      </w:pPr>
      <w:bookmarkStart w:id="18" w:name="_Toc15396602"/>
      <w:bookmarkStart w:id="19" w:name="_Toc15377204"/>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Style w:val="5"/>
        <w:pageBreakBefore w:val="0"/>
        <w:kinsoku/>
        <w:wordWrap/>
        <w:overflowPunct/>
        <w:topLinePunct w:val="0"/>
        <w:bidi w:val="0"/>
        <w:spacing w:line="600" w:lineRule="exact"/>
        <w:ind w:right="440"/>
        <w:jc w:val="right"/>
        <w:textAlignment w:val="auto"/>
        <w:rPr>
          <w:rStyle w:val="19"/>
          <w:rFonts w:hint="eastAsia" w:ascii="黑体" w:hAnsi="黑体" w:eastAsia="黑体" w:cs="黑体"/>
          <w:b w:val="0"/>
          <w:bCs/>
        </w:rPr>
      </w:pPr>
      <w:r>
        <w:rPr>
          <w:rFonts w:hint="eastAsia" w:ascii="黑体" w:hAnsi="黑体" w:eastAsia="黑体" w:cs="黑体"/>
          <w:b w:val="0"/>
          <w:bCs/>
          <w:color w:val="000000"/>
        </w:rPr>
        <w:t xml:space="preserve">第二部分 </w:t>
      </w:r>
      <w:r>
        <w:rPr>
          <w:rStyle w:val="19"/>
          <w:rFonts w:hint="eastAsia" w:ascii="黑体" w:hAnsi="黑体" w:eastAsia="黑体" w:cs="黑体"/>
          <w:b w:val="0"/>
          <w:bCs/>
        </w:rPr>
        <w:t>202</w:t>
      </w:r>
      <w:r>
        <w:rPr>
          <w:rStyle w:val="19"/>
          <w:rFonts w:hint="eastAsia" w:ascii="黑体" w:hAnsi="黑体" w:eastAsia="黑体" w:cs="黑体"/>
          <w:b w:val="0"/>
          <w:bCs/>
          <w:lang w:val="en-US" w:eastAsia="zh-CN"/>
        </w:rPr>
        <w:t>3</w:t>
      </w:r>
      <w:r>
        <w:rPr>
          <w:rStyle w:val="19"/>
          <w:rFonts w:hint="eastAsia" w:ascii="黑体" w:hAnsi="黑体" w:eastAsia="黑体" w:cs="黑体"/>
          <w:b w:val="0"/>
          <w:bCs/>
        </w:rPr>
        <w:t>年度单位决算情况说明</w:t>
      </w:r>
      <w:bookmarkEnd w:id="18"/>
      <w:bookmarkEnd w:id="19"/>
    </w:p>
    <w:p>
      <w:pPr>
        <w:pStyle w:val="25"/>
        <w:pageBreakBefore w:val="0"/>
        <w:numPr>
          <w:ilvl w:val="0"/>
          <w:numId w:val="1"/>
        </w:numPr>
        <w:kinsoku/>
        <w:wordWrap/>
        <w:overflowPunct/>
        <w:topLinePunct w:val="0"/>
        <w:bidi w:val="0"/>
        <w:spacing w:line="600" w:lineRule="exact"/>
        <w:ind w:firstLineChars="0"/>
        <w:textAlignment w:val="auto"/>
        <w:outlineLvl w:val="1"/>
        <w:rPr>
          <w:rStyle w:val="20"/>
          <w:rFonts w:hint="default" w:ascii="Times New Roman" w:hAnsi="Times New Roman" w:eastAsia="黑体" w:cs="Times New Roman"/>
          <w:b w:val="0"/>
        </w:rPr>
      </w:pPr>
      <w:bookmarkStart w:id="20" w:name="_Toc15377205"/>
      <w:bookmarkStart w:id="21" w:name="_Toc15396603"/>
      <w:r>
        <w:rPr>
          <w:rFonts w:hint="default" w:ascii="Times New Roman" w:hAnsi="Times New Roman" w:eastAsia="黑体" w:cs="Times New Roman"/>
          <w:color w:val="000000"/>
          <w:sz w:val="32"/>
          <w:szCs w:val="32"/>
        </w:rPr>
        <w:t>收</w:t>
      </w:r>
      <w:r>
        <w:rPr>
          <w:rStyle w:val="20"/>
          <w:rFonts w:hint="default" w:ascii="Times New Roman" w:hAnsi="Times New Roman" w:eastAsia="黑体" w:cs="Times New Roman"/>
          <w:b w:val="0"/>
        </w:rPr>
        <w:t>入支出决算总体情况说明</w:t>
      </w:r>
      <w:bookmarkEnd w:id="20"/>
      <w:bookmarkEnd w:id="21"/>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年度收、支总计</w:t>
      </w:r>
      <w:r>
        <w:rPr>
          <w:rFonts w:hint="default" w:ascii="Times New Roman" w:hAnsi="Times New Roman" w:eastAsia="仿宋_GB2312" w:cs="Times New Roman"/>
          <w:color w:val="000000"/>
          <w:sz w:val="32"/>
          <w:szCs w:val="32"/>
          <w:lang w:val="en-US" w:eastAsia="zh-CN"/>
        </w:rPr>
        <w:t>234.43</w:t>
      </w:r>
      <w:r>
        <w:rPr>
          <w:rFonts w:hint="default" w:ascii="Times New Roman" w:hAnsi="Times New Roman" w:eastAsia="仿宋_GB2312" w:cs="Times New Roman"/>
          <w:color w:val="000000"/>
          <w:sz w:val="32"/>
          <w:szCs w:val="32"/>
        </w:rPr>
        <w:t>万元。与202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年相比，收、支总计各增加</w:t>
      </w:r>
      <w:r>
        <w:rPr>
          <w:rFonts w:hint="default" w:ascii="Times New Roman" w:hAnsi="Times New Roman" w:eastAsia="仿宋_GB2312" w:cs="Times New Roman"/>
          <w:color w:val="000000"/>
          <w:sz w:val="32"/>
          <w:szCs w:val="32"/>
          <w:lang w:val="en-US" w:eastAsia="zh-CN"/>
        </w:rPr>
        <w:t>12.24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5.51</w:t>
      </w:r>
      <w:r>
        <w:rPr>
          <w:rFonts w:hint="default" w:ascii="Times New Roman" w:hAnsi="Times New Roman" w:eastAsia="仿宋_GB2312" w:cs="Times New Roman"/>
          <w:color w:val="000000"/>
          <w:sz w:val="32"/>
          <w:szCs w:val="32"/>
        </w:rPr>
        <w:t>%。主要变动原因是202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年人员增加，人员经费增加。</w:t>
      </w:r>
    </w:p>
    <w:p>
      <w:pPr>
        <w:pageBreakBefore w:val="0"/>
        <w:kinsoku/>
        <w:wordWrap/>
        <w:overflowPunct/>
        <w:topLinePunct w:val="0"/>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59264" behindDoc="0" locked="0" layoutInCell="1" allowOverlap="1">
            <wp:simplePos x="0" y="0"/>
            <wp:positionH relativeFrom="column">
              <wp:posOffset>764540</wp:posOffset>
            </wp:positionH>
            <wp:positionV relativeFrom="paragraph">
              <wp:posOffset>110490</wp:posOffset>
            </wp:positionV>
            <wp:extent cx="3653155" cy="1736090"/>
            <wp:effectExtent l="4445" t="4445" r="19050" b="12065"/>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both"/>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both"/>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left"/>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（图1：收、支决算总计变动情况图）</w:t>
      </w:r>
    </w:p>
    <w:p>
      <w:pPr>
        <w:pStyle w:val="2"/>
        <w:rPr>
          <w:rFonts w:hint="default"/>
        </w:rPr>
      </w:pPr>
    </w:p>
    <w:p>
      <w:pPr>
        <w:pStyle w:val="25"/>
        <w:pageBreakBefore w:val="0"/>
        <w:numPr>
          <w:ilvl w:val="0"/>
          <w:numId w:val="1"/>
        </w:numPr>
        <w:kinsoku/>
        <w:wordWrap/>
        <w:overflowPunct/>
        <w:topLinePunct w:val="0"/>
        <w:bidi w:val="0"/>
        <w:spacing w:line="600" w:lineRule="exact"/>
        <w:ind w:firstLineChars="0"/>
        <w:textAlignment w:val="auto"/>
        <w:outlineLvl w:val="1"/>
        <w:rPr>
          <w:rStyle w:val="20"/>
          <w:rFonts w:hint="default" w:ascii="Times New Roman" w:hAnsi="Times New Roman" w:eastAsia="黑体" w:cs="Times New Roman"/>
          <w:b w:val="0"/>
        </w:rPr>
      </w:pPr>
      <w:bookmarkStart w:id="22" w:name="_Toc15396604"/>
      <w:bookmarkStart w:id="23" w:name="_Toc15377206"/>
      <w:r>
        <w:rPr>
          <w:rFonts w:hint="default" w:ascii="Times New Roman" w:hAnsi="Times New Roman" w:eastAsia="黑体" w:cs="Times New Roman"/>
          <w:color w:val="000000"/>
          <w:sz w:val="32"/>
          <w:szCs w:val="32"/>
        </w:rPr>
        <w:t>收</w:t>
      </w:r>
      <w:r>
        <w:rPr>
          <w:rStyle w:val="20"/>
          <w:rFonts w:hint="default" w:ascii="Times New Roman" w:hAnsi="Times New Roman" w:eastAsia="黑体" w:cs="Times New Roman"/>
          <w:b w:val="0"/>
        </w:rPr>
        <w:t>入决算情况说明</w:t>
      </w:r>
      <w:bookmarkEnd w:id="22"/>
      <w:bookmarkEnd w:id="23"/>
    </w:p>
    <w:p>
      <w:pPr>
        <w:pageBreakBefore w:val="0"/>
        <w:kinsoku/>
        <w:wordWrap/>
        <w:overflowPunct/>
        <w:topLinePunct w:val="0"/>
        <w:bidi w:val="0"/>
        <w:spacing w:line="600" w:lineRule="exact"/>
        <w:ind w:left="64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年本年收入合计</w:t>
      </w:r>
      <w:r>
        <w:rPr>
          <w:rFonts w:hint="default" w:ascii="Times New Roman" w:hAnsi="Times New Roman" w:eastAsia="仿宋_GB2312" w:cs="Times New Roman"/>
          <w:color w:val="000000"/>
          <w:sz w:val="32"/>
          <w:szCs w:val="32"/>
          <w:lang w:val="en-US" w:eastAsia="zh-CN"/>
        </w:rPr>
        <w:t>234.43</w:t>
      </w:r>
      <w:r>
        <w:rPr>
          <w:rFonts w:hint="default" w:ascii="Times New Roman" w:hAnsi="Times New Roman" w:eastAsia="仿宋_GB2312" w:cs="Times New Roman"/>
          <w:color w:val="000000"/>
          <w:sz w:val="32"/>
          <w:szCs w:val="32"/>
        </w:rPr>
        <w:t>万元，其中：一般公共预</w:t>
      </w:r>
    </w:p>
    <w:p>
      <w:pPr>
        <w:pageBreakBefore w:val="0"/>
        <w:kinsoku/>
        <w:wordWrap/>
        <w:overflowPunct/>
        <w:topLinePunct w:val="0"/>
        <w:bidi w:val="0"/>
        <w:spacing w:line="600" w:lineRule="exact"/>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算财政拨款收入</w:t>
      </w:r>
      <w:r>
        <w:rPr>
          <w:rFonts w:hint="default" w:ascii="Times New Roman" w:hAnsi="Times New Roman" w:eastAsia="仿宋_GB2312" w:cs="Times New Roman"/>
          <w:color w:val="000000"/>
          <w:sz w:val="32"/>
          <w:szCs w:val="32"/>
          <w:lang w:val="en-US" w:eastAsia="zh-CN"/>
        </w:rPr>
        <w:t>234.43</w:t>
      </w:r>
      <w:r>
        <w:rPr>
          <w:rFonts w:hint="default" w:ascii="Times New Roman" w:hAnsi="Times New Roman" w:eastAsia="仿宋_GB2312" w:cs="Times New Roman"/>
          <w:color w:val="000000"/>
          <w:sz w:val="32"/>
          <w:szCs w:val="32"/>
        </w:rPr>
        <w:t>万元，占100%。</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u w:val="single"/>
        </w:rPr>
        <w:drawing>
          <wp:anchor distT="0" distB="0" distL="114300" distR="114300" simplePos="0" relativeHeight="251659264" behindDoc="0" locked="0" layoutInCell="1" allowOverlap="1">
            <wp:simplePos x="0" y="0"/>
            <wp:positionH relativeFrom="column">
              <wp:posOffset>604520</wp:posOffset>
            </wp:positionH>
            <wp:positionV relativeFrom="paragraph">
              <wp:posOffset>93345</wp:posOffset>
            </wp:positionV>
            <wp:extent cx="3505200" cy="1874520"/>
            <wp:effectExtent l="4445" t="4445" r="14604" b="6984"/>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both"/>
        <w:textAlignment w:val="auto"/>
        <w:rPr>
          <w:rFonts w:hint="default" w:ascii="Times New Roman" w:hAnsi="Times New Roman" w:eastAsia="仿宋" w:cs="Times New Roman"/>
          <w:color w:val="000000"/>
          <w:sz w:val="32"/>
          <w:szCs w:val="32"/>
          <w:lang w:val="en-US" w:eastAsia="zh-CN"/>
        </w:rPr>
      </w:pPr>
    </w:p>
    <w:p>
      <w:pPr>
        <w:pageBreakBefore w:val="0"/>
        <w:kinsoku/>
        <w:wordWrap/>
        <w:overflowPunct/>
        <w:topLinePunct w:val="0"/>
        <w:bidi w:val="0"/>
        <w:spacing w:line="600" w:lineRule="exact"/>
        <w:ind w:firstLine="1600" w:firstLineChars="5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（图2：收入</w:t>
      </w:r>
      <w:r>
        <w:rPr>
          <w:rFonts w:hint="default" w:ascii="Times New Roman" w:hAnsi="Times New Roman" w:eastAsia="仿宋_GB2312" w:cs="Times New Roman"/>
          <w:color w:val="000000"/>
          <w:sz w:val="32"/>
          <w:szCs w:val="32"/>
        </w:rPr>
        <w:t>决算结构图）</w:t>
      </w:r>
    </w:p>
    <w:p>
      <w:pPr>
        <w:pStyle w:val="25"/>
        <w:pageBreakBefore w:val="0"/>
        <w:numPr>
          <w:ilvl w:val="0"/>
          <w:numId w:val="1"/>
        </w:numPr>
        <w:kinsoku/>
        <w:wordWrap/>
        <w:overflowPunct/>
        <w:topLinePunct w:val="0"/>
        <w:bidi w:val="0"/>
        <w:spacing w:line="600" w:lineRule="exact"/>
        <w:ind w:firstLineChars="0"/>
        <w:textAlignment w:val="auto"/>
        <w:outlineLvl w:val="1"/>
        <w:rPr>
          <w:rStyle w:val="20"/>
          <w:rFonts w:hint="default" w:ascii="Times New Roman" w:hAnsi="Times New Roman" w:eastAsia="黑体" w:cs="Times New Roman"/>
          <w:b w:val="0"/>
        </w:rPr>
      </w:pPr>
      <w:bookmarkStart w:id="24" w:name="_Toc15396605"/>
      <w:bookmarkStart w:id="25" w:name="_Toc15377207"/>
      <w:r>
        <w:rPr>
          <w:rFonts w:hint="default" w:ascii="Times New Roman" w:hAnsi="Times New Roman" w:eastAsia="黑体" w:cs="Times New Roman"/>
          <w:color w:val="000000"/>
          <w:sz w:val="32"/>
          <w:szCs w:val="32"/>
        </w:rPr>
        <w:t>支</w:t>
      </w:r>
      <w:r>
        <w:rPr>
          <w:rStyle w:val="20"/>
          <w:rFonts w:hint="default" w:ascii="Times New Roman" w:hAnsi="Times New Roman" w:eastAsia="黑体" w:cs="Times New Roman"/>
          <w:b w:val="0"/>
        </w:rPr>
        <w:t>出决算情况说明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left="640"/>
        <w:jc w:val="distribute"/>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年本年支出合计</w:t>
      </w:r>
      <w:r>
        <w:rPr>
          <w:rFonts w:hint="default" w:ascii="Times New Roman" w:hAnsi="Times New Roman" w:eastAsia="仿宋_GB2312" w:cs="Times New Roman"/>
          <w:color w:val="000000"/>
          <w:sz w:val="32"/>
          <w:szCs w:val="32"/>
          <w:lang w:val="en-US" w:eastAsia="zh-CN"/>
        </w:rPr>
        <w:t>234.43</w:t>
      </w:r>
      <w:r>
        <w:rPr>
          <w:rFonts w:hint="default" w:ascii="Times New Roman" w:hAnsi="Times New Roman" w:eastAsia="仿宋_GB2312" w:cs="Times New Roman"/>
          <w:color w:val="000000"/>
          <w:sz w:val="32"/>
          <w:szCs w:val="32"/>
        </w:rPr>
        <w:t>万元，其中：基本支出</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1"/>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227.36</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96.98</w:t>
      </w:r>
      <w:r>
        <w:rPr>
          <w:rFonts w:hint="default" w:ascii="Times New Roman" w:hAnsi="Times New Roman" w:eastAsia="仿宋_GB2312" w:cs="Times New Roman"/>
          <w:color w:val="000000"/>
          <w:sz w:val="32"/>
          <w:szCs w:val="32"/>
        </w:rPr>
        <w:t>%；项目支出</w:t>
      </w:r>
      <w:r>
        <w:rPr>
          <w:rFonts w:hint="default" w:ascii="Times New Roman" w:hAnsi="Times New Roman" w:eastAsia="仿宋_GB2312" w:cs="Times New Roman"/>
          <w:color w:val="000000"/>
          <w:sz w:val="32"/>
          <w:szCs w:val="32"/>
          <w:lang w:val="en-US" w:eastAsia="zh-CN"/>
        </w:rPr>
        <w:t>7.07</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3.02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59264" behindDoc="1" locked="0" layoutInCell="1" allowOverlap="1">
            <wp:simplePos x="0" y="0"/>
            <wp:positionH relativeFrom="column">
              <wp:posOffset>479425</wp:posOffset>
            </wp:positionH>
            <wp:positionV relativeFrom="paragraph">
              <wp:posOffset>144145</wp:posOffset>
            </wp:positionV>
            <wp:extent cx="3648710" cy="2082800"/>
            <wp:effectExtent l="4445" t="4445" r="23495" b="8255"/>
            <wp:wrapNone/>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p>
    <w:p>
      <w:pPr>
        <w:pageBreakBefore w:val="0"/>
        <w:tabs>
          <w:tab w:val="left" w:pos="3795"/>
          <w:tab w:val="left" w:pos="4005"/>
        </w:tabs>
        <w:kinsoku/>
        <w:wordWrap/>
        <w:overflowPunct/>
        <w:topLinePunct w:val="0"/>
        <w:bidi w:val="0"/>
        <w:spacing w:line="600" w:lineRule="exact"/>
        <w:ind w:firstLine="640"/>
        <w:jc w:val="center"/>
        <w:textAlignment w:val="auto"/>
        <w:rPr>
          <w:rFonts w:hint="default" w:ascii="Times New Roman" w:hAnsi="Times New Roman" w:eastAsia="仿宋" w:cs="Times New Roman"/>
          <w:color w:val="000000"/>
          <w:sz w:val="32"/>
          <w:szCs w:val="32"/>
        </w:rPr>
      </w:pPr>
    </w:p>
    <w:p>
      <w:pPr>
        <w:pageBreakBefore w:val="0"/>
        <w:tabs>
          <w:tab w:val="left" w:pos="2745"/>
          <w:tab w:val="left" w:pos="4005"/>
        </w:tabs>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ab/>
      </w:r>
      <w:r>
        <w:rPr>
          <w:rFonts w:hint="default" w:ascii="Times New Roman" w:hAnsi="Times New Roman" w:eastAsia="仿宋" w:cs="Times New Roman"/>
          <w:b/>
          <w:bCs/>
          <w:color w:val="000000"/>
          <w:sz w:val="18"/>
          <w:szCs w:val="18"/>
        </w:rPr>
        <w:tab/>
      </w:r>
    </w:p>
    <w:p>
      <w:pPr>
        <w:pageBreakBefore w:val="0"/>
        <w:tabs>
          <w:tab w:val="left" w:pos="3300"/>
        </w:tabs>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（图3：支出决算结构图）</w:t>
      </w:r>
    </w:p>
    <w:p>
      <w:pPr>
        <w:pageBreakBefore w:val="0"/>
        <w:kinsoku/>
        <w:wordWrap/>
        <w:overflowPunct/>
        <w:topLinePunct w:val="0"/>
        <w:bidi w:val="0"/>
        <w:spacing w:line="600" w:lineRule="exact"/>
        <w:textAlignment w:val="auto"/>
        <w:rPr>
          <w:rFonts w:hint="default" w:ascii="Times New Roman" w:hAnsi="Times New Roman" w:cs="Times New Roman"/>
        </w:rPr>
      </w:pPr>
      <w:bookmarkStart w:id="26" w:name="_Toc15377208"/>
      <w:bookmarkStart w:id="27" w:name="_Toc15396606"/>
    </w:p>
    <w:p>
      <w:pPr>
        <w:pageBreakBefore w:val="0"/>
        <w:kinsoku/>
        <w:wordWrap/>
        <w:overflowPunct/>
        <w:topLinePunct w:val="0"/>
        <w:bidi w:val="0"/>
        <w:spacing w:line="600" w:lineRule="exact"/>
        <w:ind w:firstLine="640" w:firstLineChars="200"/>
        <w:textAlignment w:val="auto"/>
        <w:outlineLvl w:val="1"/>
        <w:rPr>
          <w:rStyle w:val="20"/>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20"/>
          <w:rFonts w:hint="default" w:ascii="Times New Roman" w:hAnsi="Times New Roman" w:eastAsia="黑体" w:cs="Times New Roman"/>
          <w:b w:val="0"/>
        </w:rPr>
        <w:t>政拨款收入支出决算总体情况说明</w:t>
      </w:r>
      <w:bookmarkEnd w:id="26"/>
      <w:bookmarkEnd w:id="27"/>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年财政拨款收、支总计</w:t>
      </w:r>
      <w:r>
        <w:rPr>
          <w:rFonts w:hint="default" w:ascii="Times New Roman" w:hAnsi="Times New Roman" w:eastAsia="仿宋_GB2312" w:cs="Times New Roman"/>
          <w:color w:val="000000"/>
          <w:sz w:val="32"/>
          <w:szCs w:val="32"/>
          <w:lang w:val="en-US" w:eastAsia="zh-CN"/>
        </w:rPr>
        <w:t>234.43</w:t>
      </w:r>
      <w:r>
        <w:rPr>
          <w:rFonts w:hint="default" w:ascii="Times New Roman" w:hAnsi="Times New Roman" w:eastAsia="仿宋_GB2312" w:cs="Times New Roman"/>
          <w:color w:val="000000"/>
          <w:sz w:val="32"/>
          <w:szCs w:val="32"/>
        </w:rPr>
        <w:t>万元，与202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年相比，财政拨款收、支总计各增加</w:t>
      </w:r>
      <w:r>
        <w:rPr>
          <w:rFonts w:hint="default" w:ascii="Times New Roman" w:hAnsi="Times New Roman" w:eastAsia="仿宋_GB2312" w:cs="Times New Roman"/>
          <w:color w:val="000000"/>
          <w:sz w:val="32"/>
          <w:szCs w:val="32"/>
          <w:lang w:val="en-US" w:eastAsia="zh-CN"/>
        </w:rPr>
        <w:t>12.24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5.51</w:t>
      </w:r>
      <w:r>
        <w:rPr>
          <w:rFonts w:hint="default" w:ascii="Times New Roman" w:hAnsi="Times New Roman" w:eastAsia="仿宋_GB2312" w:cs="Times New Roman"/>
          <w:color w:val="000000"/>
          <w:sz w:val="32"/>
          <w:szCs w:val="32"/>
        </w:rPr>
        <w:t>%。主要变动原因是202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年人员增加，人员经费增加。</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420" w:firstLineChars="200"/>
        <w:textAlignment w:val="auto"/>
        <w:rPr>
          <w:rFonts w:hint="default" w:ascii="Times New Roman" w:hAnsi="Times New Roman" w:eastAsia="仿宋" w:cs="Times New Roman"/>
          <w:color w:val="000000"/>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532130</wp:posOffset>
            </wp:positionH>
            <wp:positionV relativeFrom="paragraph">
              <wp:posOffset>72390</wp:posOffset>
            </wp:positionV>
            <wp:extent cx="4064635" cy="1933575"/>
            <wp:effectExtent l="4445" t="4445" r="7620" b="508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jc w:val="both"/>
        <w:textAlignment w:val="auto"/>
        <w:outlineLvl w:val="2"/>
        <w:rPr>
          <w:rFonts w:hint="default" w:ascii="Times New Roman" w:hAnsi="Times New Roman" w:eastAsia="仿宋" w:cs="Times New Roman"/>
          <w:color w:val="000000"/>
          <w:sz w:val="32"/>
          <w:szCs w:val="32"/>
        </w:rPr>
      </w:pPr>
      <w:bookmarkStart w:id="28" w:name="_Toc15377210"/>
    </w:p>
    <w:p>
      <w:pPr>
        <w:pageBreakBefore w:val="0"/>
        <w:kinsoku/>
        <w:wordWrap/>
        <w:overflowPunct/>
        <w:topLinePunct w:val="0"/>
        <w:bidi w:val="0"/>
        <w:spacing w:line="600" w:lineRule="exact"/>
        <w:jc w:val="both"/>
        <w:textAlignment w:val="auto"/>
        <w:outlineLvl w:val="2"/>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center"/>
        <w:textAlignment w:val="auto"/>
        <w:outlineLvl w:val="2"/>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jc w:val="center"/>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（图4：财政拨款收、支决算总计变动情况）</w:t>
      </w:r>
    </w:p>
    <w:p>
      <w:pPr>
        <w:pageBreakBefore w:val="0"/>
        <w:kinsoku/>
        <w:wordWrap/>
        <w:overflowPunct/>
        <w:topLinePunct w:val="0"/>
        <w:bidi w:val="0"/>
        <w:spacing w:line="600" w:lineRule="exact"/>
        <w:jc w:val="center"/>
        <w:textAlignment w:val="auto"/>
        <w:rPr>
          <w:rFonts w:hint="default" w:ascii="Times New Roman" w:hAnsi="Times New Roman" w:cs="Times New Roman"/>
        </w:rPr>
      </w:pPr>
    </w:p>
    <w:p>
      <w:pPr>
        <w:pageBreakBefore w:val="0"/>
        <w:kinsoku/>
        <w:wordWrap/>
        <w:overflowPunct/>
        <w:topLinePunct w:val="0"/>
        <w:bidi w:val="0"/>
        <w:spacing w:line="600" w:lineRule="exact"/>
        <w:ind w:firstLine="640" w:firstLineChars="200"/>
        <w:textAlignment w:val="auto"/>
        <w:outlineLvl w:val="2"/>
        <w:rPr>
          <w:rStyle w:val="20"/>
          <w:rFonts w:hint="default" w:ascii="Times New Roman" w:hAnsi="Times New Roman" w:eastAsia="黑体" w:cs="Times New Roman"/>
          <w:b w:val="0"/>
        </w:rPr>
      </w:pPr>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0"/>
          <w:rFonts w:hint="default" w:ascii="Times New Roman" w:hAnsi="Times New Roman" w:eastAsia="黑体" w:cs="Times New Roman"/>
          <w:b w:val="0"/>
        </w:rPr>
        <w:t>般公共预算财政拨款支出决算情况说明</w:t>
      </w:r>
    </w:p>
    <w:p>
      <w:pPr>
        <w:pageBreakBefore w:val="0"/>
        <w:kinsoku/>
        <w:wordWrap/>
        <w:overflowPunct/>
        <w:topLinePunct w:val="0"/>
        <w:bidi w:val="0"/>
        <w:spacing w:line="600" w:lineRule="exact"/>
        <w:ind w:firstLine="642" w:firstLineChars="200"/>
        <w:textAlignment w:val="auto"/>
        <w:outlineLvl w:val="2"/>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（一）一般公共预算财政拨款支出决算总体情况</w:t>
      </w:r>
      <w:bookmarkEnd w:id="28"/>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年一般公共预算财政拨款支出</w:t>
      </w:r>
      <w:r>
        <w:rPr>
          <w:rFonts w:hint="default" w:ascii="Times New Roman" w:hAnsi="Times New Roman" w:eastAsia="仿宋_GB2312" w:cs="Times New Roman"/>
          <w:color w:val="000000"/>
          <w:sz w:val="32"/>
          <w:szCs w:val="32"/>
          <w:lang w:val="en-US" w:eastAsia="zh-CN"/>
        </w:rPr>
        <w:t>234.43</w:t>
      </w:r>
      <w:r>
        <w:rPr>
          <w:rFonts w:hint="default" w:ascii="Times New Roman" w:hAnsi="Times New Roman" w:eastAsia="仿宋_GB2312" w:cs="Times New Roman"/>
          <w:color w:val="000000"/>
          <w:sz w:val="32"/>
          <w:szCs w:val="32"/>
        </w:rPr>
        <w:t>万元，占本年支出合计的100%。与202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年相比，一般公共预算财政拨款支出增加</w:t>
      </w:r>
      <w:r>
        <w:rPr>
          <w:rFonts w:hint="default" w:ascii="Times New Roman" w:hAnsi="Times New Roman" w:eastAsia="仿宋_GB2312" w:cs="Times New Roman"/>
          <w:color w:val="000000"/>
          <w:sz w:val="32"/>
          <w:szCs w:val="32"/>
          <w:lang w:val="en-US" w:eastAsia="zh-CN"/>
        </w:rPr>
        <w:t>12.24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5.51</w:t>
      </w:r>
      <w:r>
        <w:rPr>
          <w:rFonts w:hint="default" w:ascii="Times New Roman" w:hAnsi="Times New Roman" w:eastAsia="仿宋_GB2312" w:cs="Times New Roman"/>
          <w:color w:val="000000"/>
          <w:sz w:val="32"/>
          <w:szCs w:val="32"/>
        </w:rPr>
        <w:t>%。主要变动原因是202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年人员增加，人员经费拨款增加。</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anchor distT="0" distB="0" distL="114300" distR="114300" simplePos="0" relativeHeight="251659264" behindDoc="0" locked="0" layoutInCell="1" allowOverlap="1">
            <wp:simplePos x="0" y="0"/>
            <wp:positionH relativeFrom="column">
              <wp:posOffset>408940</wp:posOffset>
            </wp:positionH>
            <wp:positionV relativeFrom="paragraph">
              <wp:posOffset>273050</wp:posOffset>
            </wp:positionV>
            <wp:extent cx="4579620" cy="2176780"/>
            <wp:effectExtent l="4445" t="4445" r="6984" b="9525"/>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（图5：一般公共预算财政拨款支出决算变动情况）</w:t>
      </w:r>
    </w:p>
    <w:p>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ind w:firstLine="642" w:firstLineChars="200"/>
        <w:textAlignment w:val="auto"/>
        <w:outlineLvl w:val="2"/>
        <w:rPr>
          <w:rFonts w:hint="default" w:ascii="Times New Roman" w:hAnsi="Times New Roman" w:eastAsia="仿宋_GB2312" w:cs="Times New Roman"/>
          <w:b/>
          <w:color w:val="000000"/>
          <w:sz w:val="32"/>
          <w:szCs w:val="32"/>
        </w:rPr>
      </w:pPr>
      <w:bookmarkStart w:id="29" w:name="_Toc15377211"/>
      <w:r>
        <w:rPr>
          <w:rFonts w:hint="default" w:ascii="Times New Roman" w:hAnsi="Times New Roman" w:eastAsia="仿宋_GB2312" w:cs="Times New Roman"/>
          <w:b/>
          <w:color w:val="000000"/>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年一般公共预算财政拨款支出</w:t>
      </w:r>
      <w:r>
        <w:rPr>
          <w:rFonts w:hint="default" w:ascii="Times New Roman" w:hAnsi="Times New Roman" w:eastAsia="仿宋_GB2312" w:cs="Times New Roman"/>
          <w:sz w:val="32"/>
          <w:szCs w:val="32"/>
          <w:lang w:val="en-US" w:eastAsia="zh-CN"/>
        </w:rPr>
        <w:t>234.43</w:t>
      </w:r>
      <w:r>
        <w:rPr>
          <w:rFonts w:hint="default" w:ascii="Times New Roman" w:hAnsi="Times New Roman" w:eastAsia="仿宋_GB2312" w:cs="Times New Roman"/>
          <w:sz w:val="32"/>
          <w:szCs w:val="32"/>
        </w:rPr>
        <w:t>万元，主要用于以下方面:</w:t>
      </w:r>
      <w:r>
        <w:rPr>
          <w:rFonts w:hint="default" w:ascii="Times New Roman" w:hAnsi="Times New Roman" w:eastAsia="仿宋_GB2312" w:cs="Times New Roman"/>
          <w:b/>
          <w:sz w:val="32"/>
          <w:szCs w:val="32"/>
        </w:rPr>
        <w:t>社会保障和就业（类）</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35.09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14.97</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lang w:eastAsia="zh-CN"/>
        </w:rPr>
        <w:t>卫生健康支出</w:t>
      </w:r>
      <w:r>
        <w:rPr>
          <w:rFonts w:hint="default" w:ascii="Times New Roman" w:hAnsi="Times New Roman" w:eastAsia="仿宋_GB2312" w:cs="Times New Roman"/>
          <w:b/>
          <w:sz w:val="32"/>
          <w:szCs w:val="32"/>
        </w:rPr>
        <w:t>（类）</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12.79万元，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5.46</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城乡社区(类)</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169.64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72.36</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住房保障(类)</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16.91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7.21</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drawing>
          <wp:anchor distT="0" distB="0" distL="114300" distR="114300" simplePos="0" relativeHeight="251659264" behindDoc="0" locked="0" layoutInCell="1" allowOverlap="1">
            <wp:simplePos x="0" y="0"/>
            <wp:positionH relativeFrom="column">
              <wp:posOffset>582930</wp:posOffset>
            </wp:positionH>
            <wp:positionV relativeFrom="paragraph">
              <wp:posOffset>86995</wp:posOffset>
            </wp:positionV>
            <wp:extent cx="4086225" cy="1823085"/>
            <wp:effectExtent l="4445" t="4445" r="5080" b="20320"/>
            <wp:wrapNone/>
            <wp:docPr id="6" name="对象 1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b/>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（图6：一般公共预算财政拨款支出决算结构）</w:t>
      </w:r>
    </w:p>
    <w:p>
      <w:pPr>
        <w:pageBreakBefore w:val="0"/>
        <w:kinsoku/>
        <w:wordWrap/>
        <w:overflowPunct/>
        <w:topLinePunct w:val="0"/>
        <w:bidi w:val="0"/>
        <w:spacing w:line="600" w:lineRule="exact"/>
        <w:textAlignment w:val="auto"/>
        <w:rPr>
          <w:rFonts w:hint="default" w:ascii="Times New Roman" w:hAnsi="Times New Roman" w:cs="Times New Roman"/>
        </w:rPr>
      </w:pPr>
      <w:bookmarkStart w:id="30" w:name="_Toc15377212"/>
    </w:p>
    <w:p>
      <w:pPr>
        <w:pageBreakBefore w:val="0"/>
        <w:kinsoku/>
        <w:wordWrap/>
        <w:overflowPunct/>
        <w:topLinePunct w:val="0"/>
        <w:bidi w:val="0"/>
        <w:spacing w:line="600" w:lineRule="exact"/>
        <w:ind w:firstLine="642" w:firstLineChars="200"/>
        <w:textAlignment w:val="auto"/>
        <w:outlineLvl w:val="2"/>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（三）一般公共预算财政拨款支出决算具体情况</w:t>
      </w:r>
      <w:bookmarkEnd w:id="30"/>
    </w:p>
    <w:p>
      <w:pPr>
        <w:pageBreakBefore w:val="0"/>
        <w:kinsoku/>
        <w:wordWrap/>
        <w:overflowPunct/>
        <w:topLinePunct w:val="0"/>
        <w:bidi w:val="0"/>
        <w:spacing w:line="600" w:lineRule="exact"/>
        <w:ind w:firstLine="642" w:firstLineChars="200"/>
        <w:textAlignment w:val="auto"/>
        <w:outlineLvl w:val="2"/>
        <w:rPr>
          <w:rFonts w:hint="default" w:ascii="Times New Roman" w:hAnsi="Times New Roman" w:eastAsia="仿宋_GB2312" w:cs="Times New Roman"/>
          <w:color w:val="FF0000"/>
          <w:sz w:val="32"/>
          <w:szCs w:val="32"/>
        </w:rPr>
      </w:pPr>
      <w:bookmarkStart w:id="31" w:name="_Toc15377444"/>
      <w:bookmarkStart w:id="32" w:name="_Toc15378460"/>
      <w:bookmarkStart w:id="33" w:name="_Toc15377213"/>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年一般公共预算支出决算数为</w:t>
      </w:r>
      <w:r>
        <w:rPr>
          <w:rFonts w:hint="default" w:ascii="Times New Roman" w:hAnsi="Times New Roman" w:eastAsia="仿宋_GB2312" w:cs="Times New Roman"/>
          <w:b/>
          <w:color w:val="000000"/>
          <w:sz w:val="32"/>
          <w:szCs w:val="32"/>
          <w:lang w:val="en-US" w:eastAsia="zh-CN"/>
        </w:rPr>
        <w:t>234.43</w:t>
      </w:r>
      <w:r>
        <w:rPr>
          <w:rFonts w:hint="default" w:ascii="Times New Roman" w:hAnsi="Times New Roman" w:eastAsia="仿宋_GB2312" w:cs="Times New Roman"/>
          <w:b/>
          <w:color w:val="000000"/>
          <w:sz w:val="32"/>
          <w:szCs w:val="32"/>
        </w:rPr>
        <w:t>万元</w:t>
      </w:r>
      <w:r>
        <w:rPr>
          <w:rFonts w:hint="default" w:ascii="Times New Roman" w:hAnsi="Times New Roman" w:eastAsia="仿宋_GB2312" w:cs="Times New Roman"/>
          <w:color w:val="000000"/>
          <w:sz w:val="32"/>
          <w:szCs w:val="32"/>
        </w:rPr>
        <w:t>，</w:t>
      </w:r>
      <w:r>
        <w:rPr>
          <w:rStyle w:val="17"/>
          <w:rFonts w:hint="default" w:ascii="Times New Roman" w:hAnsi="Times New Roman" w:eastAsia="仿宋_GB2312" w:cs="Times New Roman"/>
          <w:bCs/>
          <w:color w:val="000000"/>
          <w:sz w:val="32"/>
          <w:szCs w:val="32"/>
        </w:rPr>
        <w:t>完成预算100%。其中：</w:t>
      </w:r>
      <w:bookmarkEnd w:id="31"/>
      <w:bookmarkEnd w:id="32"/>
      <w:bookmarkEnd w:id="33"/>
    </w:p>
    <w:p>
      <w:pPr>
        <w:pageBreakBefore w:val="0"/>
        <w:kinsoku/>
        <w:wordWrap/>
        <w:overflowPunct/>
        <w:topLinePunct w:val="0"/>
        <w:bidi w:val="0"/>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7"/>
          <w:rFonts w:hint="default" w:ascii="Times New Roman" w:hAnsi="Times New Roman" w:eastAsia="仿宋_GB2312" w:cs="Times New Roman"/>
          <w:bCs/>
          <w:color w:val="000000"/>
          <w:sz w:val="32"/>
          <w:szCs w:val="32"/>
          <w:lang w:val="en-US" w:eastAsia="zh-CN"/>
        </w:rPr>
        <w:t>1</w:t>
      </w:r>
      <w:r>
        <w:rPr>
          <w:rStyle w:val="17"/>
          <w:rFonts w:hint="default" w:ascii="Times New Roman" w:hAnsi="Times New Roman" w:eastAsia="仿宋_GB2312" w:cs="Times New Roman"/>
          <w:bCs/>
          <w:color w:val="000000"/>
          <w:sz w:val="32"/>
          <w:szCs w:val="32"/>
        </w:rPr>
        <w:t>.社会保障和就业（类）行政事业单位养老（款）事业单位离退休（项）: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9.19</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ind w:firstLine="642" w:firstLineChars="200"/>
        <w:textAlignment w:val="auto"/>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Cs/>
          <w:color w:val="000000"/>
          <w:sz w:val="32"/>
          <w:szCs w:val="32"/>
          <w:lang w:val="en-US" w:eastAsia="zh-CN"/>
        </w:rPr>
        <w:t>2</w:t>
      </w:r>
      <w:r>
        <w:rPr>
          <w:rStyle w:val="17"/>
          <w:rFonts w:hint="default" w:ascii="Times New Roman" w:hAnsi="Times New Roman" w:eastAsia="仿宋_GB2312" w:cs="Times New Roman"/>
          <w:bCs/>
          <w:color w:val="000000"/>
          <w:sz w:val="32"/>
          <w:szCs w:val="32"/>
        </w:rPr>
        <w:t>.社会保障和就业（类）行政事业单位养老（款）机关事业单位基本养老保险缴费（项）: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25.9</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ind w:firstLine="642" w:firstLineChars="200"/>
        <w:textAlignment w:val="auto"/>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
          <w:bCs w:val="0"/>
          <w:color w:val="000000"/>
          <w:sz w:val="32"/>
          <w:szCs w:val="32"/>
          <w:lang w:val="en-US" w:eastAsia="zh-CN"/>
        </w:rPr>
        <w:t>3</w:t>
      </w:r>
      <w:r>
        <w:rPr>
          <w:rStyle w:val="17"/>
          <w:rFonts w:hint="default" w:ascii="Times New Roman" w:hAnsi="Times New Roman" w:eastAsia="仿宋_GB2312" w:cs="Times New Roman"/>
          <w:b/>
          <w:bCs w:val="0"/>
          <w:color w:val="000000"/>
          <w:sz w:val="32"/>
          <w:szCs w:val="32"/>
        </w:rPr>
        <w:t>.</w:t>
      </w:r>
      <w:r>
        <w:rPr>
          <w:rStyle w:val="17"/>
          <w:rFonts w:hint="default" w:ascii="Times New Roman" w:hAnsi="Times New Roman" w:eastAsia="仿宋_GB2312" w:cs="Times New Roman"/>
          <w:bCs/>
          <w:color w:val="000000"/>
          <w:sz w:val="32"/>
          <w:szCs w:val="32"/>
          <w:lang w:eastAsia="zh-CN"/>
        </w:rPr>
        <w:t>卫生健康支出</w:t>
      </w:r>
      <w:r>
        <w:rPr>
          <w:rStyle w:val="17"/>
          <w:rFonts w:hint="default" w:ascii="Times New Roman" w:hAnsi="Times New Roman" w:eastAsia="仿宋_GB2312" w:cs="Times New Roman"/>
          <w:bCs/>
          <w:color w:val="000000"/>
          <w:sz w:val="32"/>
          <w:szCs w:val="32"/>
        </w:rPr>
        <w:t>（类）</w:t>
      </w:r>
      <w:r>
        <w:rPr>
          <w:rStyle w:val="17"/>
          <w:rFonts w:hint="default" w:ascii="Times New Roman" w:hAnsi="Times New Roman" w:eastAsia="仿宋_GB2312" w:cs="Times New Roman"/>
          <w:bCs/>
          <w:color w:val="000000"/>
          <w:sz w:val="32"/>
          <w:szCs w:val="32"/>
          <w:lang w:eastAsia="zh-CN"/>
        </w:rPr>
        <w:t>行政事业单位医疗</w:t>
      </w:r>
      <w:r>
        <w:rPr>
          <w:rStyle w:val="17"/>
          <w:rFonts w:hint="default" w:ascii="Times New Roman" w:hAnsi="Times New Roman" w:eastAsia="仿宋_GB2312" w:cs="Times New Roman"/>
          <w:bCs/>
          <w:color w:val="000000"/>
          <w:sz w:val="32"/>
          <w:szCs w:val="32"/>
        </w:rPr>
        <w:t>（款）</w:t>
      </w:r>
      <w:r>
        <w:rPr>
          <w:rStyle w:val="17"/>
          <w:rFonts w:hint="default" w:ascii="Times New Roman" w:hAnsi="Times New Roman" w:eastAsia="仿宋_GB2312" w:cs="Times New Roman"/>
          <w:bCs/>
          <w:color w:val="000000"/>
          <w:sz w:val="32"/>
          <w:szCs w:val="32"/>
          <w:lang w:eastAsia="zh-CN"/>
        </w:rPr>
        <w:t>事业单位医疗</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9.93</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ind w:firstLine="642" w:firstLineChars="200"/>
        <w:textAlignment w:val="auto"/>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Cs/>
          <w:color w:val="000000"/>
          <w:sz w:val="32"/>
          <w:szCs w:val="32"/>
          <w:lang w:val="en-US" w:eastAsia="zh-CN"/>
        </w:rPr>
        <w:t>4</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eastAsia="zh-CN"/>
        </w:rPr>
        <w:t>卫生健康支出</w:t>
      </w:r>
      <w:r>
        <w:rPr>
          <w:rStyle w:val="17"/>
          <w:rFonts w:hint="default" w:ascii="Times New Roman" w:hAnsi="Times New Roman" w:eastAsia="仿宋_GB2312" w:cs="Times New Roman"/>
          <w:bCs/>
          <w:color w:val="000000"/>
          <w:sz w:val="32"/>
          <w:szCs w:val="32"/>
        </w:rPr>
        <w:t>（类）</w:t>
      </w:r>
      <w:r>
        <w:rPr>
          <w:rStyle w:val="17"/>
          <w:rFonts w:hint="default" w:ascii="Times New Roman" w:hAnsi="Times New Roman" w:eastAsia="仿宋_GB2312" w:cs="Times New Roman"/>
          <w:bCs/>
          <w:color w:val="000000"/>
          <w:sz w:val="32"/>
          <w:szCs w:val="32"/>
          <w:lang w:eastAsia="zh-CN"/>
        </w:rPr>
        <w:t>行政事业单位医疗</w:t>
      </w:r>
      <w:r>
        <w:rPr>
          <w:rStyle w:val="17"/>
          <w:rFonts w:hint="default" w:ascii="Times New Roman" w:hAnsi="Times New Roman" w:eastAsia="仿宋_GB2312" w:cs="Times New Roman"/>
          <w:bCs/>
          <w:color w:val="000000"/>
          <w:sz w:val="32"/>
          <w:szCs w:val="32"/>
        </w:rPr>
        <w:t>（款）</w:t>
      </w:r>
      <w:r>
        <w:rPr>
          <w:rStyle w:val="17"/>
          <w:rFonts w:hint="default" w:ascii="Times New Roman" w:hAnsi="Times New Roman" w:eastAsia="仿宋_GB2312" w:cs="Times New Roman"/>
          <w:bCs/>
          <w:color w:val="000000"/>
          <w:sz w:val="32"/>
          <w:szCs w:val="32"/>
          <w:lang w:eastAsia="zh-CN"/>
        </w:rPr>
        <w:t>公务员医疗补助</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1.48</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ind w:firstLine="642" w:firstLineChars="200"/>
        <w:textAlignment w:val="auto"/>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Cs/>
          <w:color w:val="000000"/>
          <w:sz w:val="32"/>
          <w:szCs w:val="32"/>
          <w:lang w:val="en-US" w:eastAsia="zh-CN"/>
        </w:rPr>
        <w:t>5</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eastAsia="zh-CN"/>
        </w:rPr>
        <w:t>卫生健康支出</w:t>
      </w:r>
      <w:r>
        <w:rPr>
          <w:rStyle w:val="17"/>
          <w:rFonts w:hint="default" w:ascii="Times New Roman" w:hAnsi="Times New Roman" w:eastAsia="仿宋_GB2312" w:cs="Times New Roman"/>
          <w:bCs/>
          <w:color w:val="000000"/>
          <w:sz w:val="32"/>
          <w:szCs w:val="32"/>
        </w:rPr>
        <w:t>（类）</w:t>
      </w:r>
      <w:r>
        <w:rPr>
          <w:rStyle w:val="17"/>
          <w:rFonts w:hint="default" w:ascii="Times New Roman" w:hAnsi="Times New Roman" w:eastAsia="仿宋_GB2312" w:cs="Times New Roman"/>
          <w:bCs/>
          <w:color w:val="000000"/>
          <w:sz w:val="32"/>
          <w:szCs w:val="32"/>
          <w:lang w:eastAsia="zh-CN"/>
        </w:rPr>
        <w:t>行政事业单位医疗</w:t>
      </w:r>
      <w:r>
        <w:rPr>
          <w:rStyle w:val="17"/>
          <w:rFonts w:hint="default" w:ascii="Times New Roman" w:hAnsi="Times New Roman" w:eastAsia="仿宋_GB2312" w:cs="Times New Roman"/>
          <w:bCs/>
          <w:color w:val="000000"/>
          <w:sz w:val="32"/>
          <w:szCs w:val="32"/>
        </w:rPr>
        <w:t>（款）</w:t>
      </w:r>
      <w:r>
        <w:rPr>
          <w:rStyle w:val="17"/>
          <w:rFonts w:hint="default" w:ascii="Times New Roman" w:hAnsi="Times New Roman" w:eastAsia="仿宋_GB2312" w:cs="Times New Roman"/>
          <w:bCs/>
          <w:color w:val="000000"/>
          <w:sz w:val="32"/>
          <w:szCs w:val="32"/>
          <w:lang w:eastAsia="zh-CN"/>
        </w:rPr>
        <w:t>其他行政事业单位医疗支出</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1.38</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7"/>
          <w:rFonts w:hint="default" w:ascii="Times New Roman" w:hAnsi="Times New Roman" w:eastAsia="仿宋_GB2312" w:cs="Times New Roman"/>
          <w:bCs/>
          <w:color w:val="000000"/>
          <w:sz w:val="32"/>
          <w:szCs w:val="32"/>
          <w:lang w:val="en-US" w:eastAsia="zh-CN"/>
        </w:rPr>
        <w:t>6</w:t>
      </w:r>
      <w:r>
        <w:rPr>
          <w:rStyle w:val="17"/>
          <w:rFonts w:hint="default" w:ascii="Times New Roman" w:hAnsi="Times New Roman" w:eastAsia="仿宋_GB2312" w:cs="Times New Roman"/>
          <w:bCs/>
          <w:color w:val="000000"/>
          <w:sz w:val="32"/>
          <w:szCs w:val="32"/>
        </w:rPr>
        <w:t>.城乡社区（类）城乡社区管理事务（款）其他城乡社区管理事务（项）: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169.64</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ind w:firstLine="642" w:firstLineChars="200"/>
        <w:textAlignment w:val="auto"/>
        <w:rPr>
          <w:rFonts w:hint="default" w:ascii="Times New Roman" w:hAnsi="Times New Roman" w:eastAsia="仿宋_GB2312" w:cs="Times New Roman"/>
          <w:color w:val="000000"/>
          <w:sz w:val="32"/>
          <w:szCs w:val="32"/>
        </w:rPr>
      </w:pPr>
      <w:r>
        <w:rPr>
          <w:rStyle w:val="17"/>
          <w:rFonts w:hint="default" w:ascii="Times New Roman" w:hAnsi="Times New Roman" w:eastAsia="仿宋_GB2312" w:cs="Times New Roman"/>
          <w:bCs/>
          <w:color w:val="000000"/>
          <w:sz w:val="32"/>
          <w:szCs w:val="32"/>
          <w:lang w:val="en-US" w:eastAsia="zh-CN"/>
        </w:rPr>
        <w:t>7</w:t>
      </w:r>
      <w:r>
        <w:rPr>
          <w:rStyle w:val="17"/>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
          <w:bCs/>
          <w:color w:val="000000"/>
          <w:sz w:val="32"/>
          <w:szCs w:val="32"/>
        </w:rPr>
        <w:t>住房保障</w:t>
      </w:r>
      <w:r>
        <w:rPr>
          <w:rStyle w:val="17"/>
          <w:rFonts w:hint="default" w:ascii="Times New Roman" w:hAnsi="Times New Roman" w:eastAsia="仿宋_GB2312" w:cs="Times New Roman"/>
          <w:bCs/>
          <w:color w:val="000000"/>
          <w:sz w:val="32"/>
          <w:szCs w:val="32"/>
        </w:rPr>
        <w:t>（类）住房改革（款）住房公积金（项）:</w:t>
      </w:r>
      <w:r>
        <w:rPr>
          <w:rStyle w:val="17"/>
          <w:rFonts w:hint="default" w:ascii="Times New Roman" w:hAnsi="Times New Roman" w:eastAsia="仿宋_GB2312" w:cs="Times New Roman"/>
          <w:b w:val="0"/>
          <w:bCs/>
          <w:color w:val="000000"/>
          <w:sz w:val="32"/>
          <w:szCs w:val="32"/>
        </w:rPr>
        <w:t>支出决算为</w:t>
      </w:r>
      <w:r>
        <w:rPr>
          <w:rStyle w:val="17"/>
          <w:rFonts w:hint="default" w:ascii="Times New Roman" w:hAnsi="Times New Roman" w:eastAsia="仿宋_GB2312" w:cs="Times New Roman"/>
          <w:b w:val="0"/>
          <w:bCs/>
          <w:color w:val="000000"/>
          <w:sz w:val="32"/>
          <w:szCs w:val="32"/>
          <w:lang w:val="en-US" w:eastAsia="zh-CN"/>
        </w:rPr>
        <w:t>16.91</w:t>
      </w:r>
      <w:r>
        <w:rPr>
          <w:rStyle w:val="17"/>
          <w:rFonts w:hint="default" w:ascii="Times New Roman" w:hAnsi="Times New Roman" w:eastAsia="仿宋_GB2312" w:cs="Times New Roman"/>
          <w:b w:val="0"/>
          <w:bCs/>
          <w:color w:val="000000"/>
          <w:sz w:val="32"/>
          <w:szCs w:val="32"/>
        </w:rPr>
        <w:t>万元，完成预算100%。决算数等于预算数。</w:t>
      </w:r>
    </w:p>
    <w:p>
      <w:pPr>
        <w:pageBreakBefore w:val="0"/>
        <w:kinsoku/>
        <w:wordWrap/>
        <w:overflowPunct/>
        <w:topLinePunct w:val="0"/>
        <w:bidi w:val="0"/>
        <w:spacing w:line="600" w:lineRule="exact"/>
        <w:textAlignment w:val="auto"/>
        <w:rPr>
          <w:rFonts w:hint="default" w:ascii="Times New Roman" w:hAnsi="Times New Roman" w:cs="Times New Roman"/>
        </w:rPr>
      </w:pPr>
      <w:bookmarkStart w:id="34" w:name="_Toc15396608"/>
      <w:bookmarkStart w:id="35" w:name="_Toc15377214"/>
    </w:p>
    <w:p>
      <w:pPr>
        <w:pageBreakBefore w:val="0"/>
        <w:tabs>
          <w:tab w:val="right" w:pos="8306"/>
        </w:tabs>
        <w:kinsoku/>
        <w:wordWrap/>
        <w:overflowPunct/>
        <w:topLinePunct w:val="0"/>
        <w:bidi w:val="0"/>
        <w:spacing w:line="600" w:lineRule="exact"/>
        <w:ind w:firstLine="640"/>
        <w:textAlignment w:val="auto"/>
        <w:outlineLvl w:val="1"/>
        <w:rPr>
          <w:rStyle w:val="20"/>
          <w:rFonts w:hint="default" w:ascii="Times New Roman" w:hAnsi="Times New Roman" w:cs="Times New Roman"/>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0"/>
          <w:rFonts w:hint="default" w:ascii="Times New Roman" w:hAnsi="Times New Roman" w:eastAsia="黑体" w:cs="Times New Roman"/>
          <w:b w:val="0"/>
        </w:rPr>
        <w:t>般公共预算财政拨款基本支出决算情况说明</w:t>
      </w:r>
      <w:bookmarkEnd w:id="34"/>
      <w:bookmarkEnd w:id="35"/>
      <w:r>
        <w:rPr>
          <w:rStyle w:val="20"/>
          <w:rFonts w:hint="default" w:ascii="Times New Roman" w:hAnsi="Times New Roman" w:eastAsia="黑体" w:cs="Times New Roman"/>
          <w:b w:val="0"/>
        </w:rPr>
        <w:tab/>
      </w:r>
    </w:p>
    <w:p>
      <w:pPr>
        <w:pageBreakBefore w:val="0"/>
        <w:kinsoku/>
        <w:wordWrap/>
        <w:overflowPunct/>
        <w:topLinePunct w:val="0"/>
        <w:bidi w:val="0"/>
        <w:spacing w:line="600" w:lineRule="exact"/>
        <w:ind w:firstLine="64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年一般公共预算财政拨款基本支出</w:t>
      </w:r>
      <w:r>
        <w:rPr>
          <w:rFonts w:hint="default" w:ascii="Times New Roman" w:hAnsi="Times New Roman" w:eastAsia="仿宋_GB2312" w:cs="Times New Roman"/>
          <w:color w:val="000000"/>
          <w:sz w:val="32"/>
          <w:szCs w:val="32"/>
          <w:lang w:val="en-US" w:eastAsia="zh-CN"/>
        </w:rPr>
        <w:t>227.36</w:t>
      </w:r>
      <w:r>
        <w:rPr>
          <w:rFonts w:hint="default" w:ascii="Times New Roman" w:hAnsi="Times New Roman" w:eastAsia="仿宋_GB2312" w:cs="Times New Roman"/>
          <w:color w:val="000000"/>
          <w:sz w:val="32"/>
          <w:szCs w:val="32"/>
        </w:rPr>
        <w:t>万元，其中：</w:t>
      </w:r>
    </w:p>
    <w:p>
      <w:pPr>
        <w:pageBreakBefore w:val="0"/>
        <w:kinsoku/>
        <w:wordWrap/>
        <w:overflowPunct/>
        <w:topLinePunct w:val="0"/>
        <w:bidi w:val="0"/>
        <w:spacing w:line="600" w:lineRule="exact"/>
        <w:ind w:firstLine="64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val="en-US" w:eastAsia="zh-CN"/>
        </w:rPr>
        <w:t>211.17</w:t>
      </w:r>
      <w:r>
        <w:rPr>
          <w:rFonts w:hint="default" w:ascii="Times New Roman" w:hAnsi="Times New Roman" w:eastAsia="仿宋_GB2312" w:cs="Times New Roman"/>
          <w:color w:val="000000"/>
          <w:sz w:val="32"/>
          <w:szCs w:val="32"/>
        </w:rPr>
        <w:t>万元，主要包括：基本工资、津贴补贴、绩效工资、机关事业单位基本养老保险缴费、职工基本医疗保险缴费、公务员医疗补助缴费、其他社会保障缴费、住房公积金、生活补助、医疗费补助等。</w:t>
      </w:r>
    </w:p>
    <w:p>
      <w:pPr>
        <w:pageBreakBefore w:val="0"/>
        <w:kinsoku/>
        <w:wordWrap/>
        <w:overflowPunct/>
        <w:topLinePunct w:val="0"/>
        <w:bidi w:val="0"/>
        <w:spacing w:line="600" w:lineRule="exact"/>
        <w:ind w:firstLine="64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日常公用经费</w:t>
      </w:r>
      <w:r>
        <w:rPr>
          <w:rFonts w:hint="default" w:ascii="Times New Roman" w:hAnsi="Times New Roman" w:eastAsia="仿宋_GB2312" w:cs="Times New Roman"/>
          <w:color w:val="000000"/>
          <w:sz w:val="32"/>
          <w:szCs w:val="32"/>
          <w:lang w:val="en-US" w:eastAsia="zh-CN"/>
        </w:rPr>
        <w:t>16.19</w:t>
      </w:r>
      <w:r>
        <w:rPr>
          <w:rFonts w:hint="default" w:ascii="Times New Roman" w:hAnsi="Times New Roman" w:eastAsia="仿宋_GB2312" w:cs="Times New Roman"/>
          <w:color w:val="000000"/>
          <w:sz w:val="32"/>
          <w:szCs w:val="32"/>
        </w:rPr>
        <w:t>万元，主要包括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办公费、水费、电费、差旅费、工会经费、福利费、公务用车运行维护费、其他商品和服务支出等。</w:t>
      </w: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b/>
          <w:color w:val="FF0000"/>
          <w:sz w:val="32"/>
          <w:szCs w:val="32"/>
        </w:rPr>
      </w:pPr>
    </w:p>
    <w:p>
      <w:pPr>
        <w:pageBreakBefore w:val="0"/>
        <w:kinsoku/>
        <w:wordWrap/>
        <w:overflowPunct/>
        <w:topLinePunct w:val="0"/>
        <w:bidi w:val="0"/>
        <w:spacing w:line="600" w:lineRule="exact"/>
        <w:ind w:firstLine="641"/>
        <w:textAlignment w:val="auto"/>
        <w:outlineLvl w:val="1"/>
        <w:rPr>
          <w:rStyle w:val="20"/>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color w:val="000000"/>
          <w:sz w:val="32"/>
          <w:szCs w:val="32"/>
        </w:rPr>
        <w:t>七、</w:t>
      </w:r>
      <w:r>
        <w:rPr>
          <w:rFonts w:hint="default" w:ascii="Times New Roman" w:hAnsi="Times New Roman" w:eastAsia="黑体" w:cs="Times New Roman"/>
          <w:color w:val="000000"/>
          <w:sz w:val="32"/>
          <w:szCs w:val="32"/>
          <w:lang w:eastAsia="zh-CN"/>
        </w:rPr>
        <w:t>财政拨款</w:t>
      </w:r>
      <w:r>
        <w:rPr>
          <w:rStyle w:val="20"/>
          <w:rFonts w:hint="default" w:ascii="Times New Roman" w:hAnsi="Times New Roman" w:eastAsia="黑体" w:cs="Times New Roman"/>
        </w:rPr>
        <w:t>“</w:t>
      </w:r>
      <w:r>
        <w:rPr>
          <w:rStyle w:val="20"/>
          <w:rFonts w:hint="default" w:ascii="Times New Roman" w:hAnsi="Times New Roman" w:eastAsia="黑体" w:cs="Times New Roman"/>
          <w:b w:val="0"/>
        </w:rPr>
        <w:t>三公”经费支出决算情况说明</w:t>
      </w:r>
      <w:bookmarkEnd w:id="36"/>
      <w:bookmarkEnd w:id="37"/>
    </w:p>
    <w:p>
      <w:pPr>
        <w:pageBreakBefore w:val="0"/>
        <w:kinsoku/>
        <w:wordWrap/>
        <w:overflowPunct/>
        <w:topLinePunct w:val="0"/>
        <w:bidi w:val="0"/>
        <w:spacing w:line="600" w:lineRule="exact"/>
        <w:ind w:firstLine="641"/>
        <w:textAlignment w:val="auto"/>
        <w:outlineLvl w:val="2"/>
        <w:rPr>
          <w:rFonts w:hint="default" w:ascii="Times New Roman" w:hAnsi="Times New Roman" w:eastAsia="楷体" w:cs="Times New Roman"/>
          <w:b/>
          <w:color w:val="000000"/>
          <w:sz w:val="32"/>
          <w:szCs w:val="32"/>
        </w:rPr>
      </w:pPr>
      <w:bookmarkStart w:id="38" w:name="_Toc15377216"/>
      <w:r>
        <w:rPr>
          <w:rFonts w:hint="default" w:ascii="Times New Roman" w:hAnsi="Times New Roman" w:eastAsia="楷体" w:cs="Times New Roman"/>
          <w:b/>
          <w:color w:val="000000"/>
          <w:sz w:val="32"/>
          <w:szCs w:val="32"/>
        </w:rPr>
        <w:t>（一）“三公”经费财政拨款支出决算总体情况说明</w:t>
      </w:r>
      <w:bookmarkEnd w:id="38"/>
    </w:p>
    <w:p>
      <w:pPr>
        <w:pageBreakBefore w:val="0"/>
        <w:kinsoku/>
        <w:wordWrap/>
        <w:overflowPunct/>
        <w:topLinePunct w:val="0"/>
        <w:bidi w:val="0"/>
        <w:spacing w:line="600" w:lineRule="exact"/>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年“三公”经费财政拨款支出决算为</w:t>
      </w:r>
      <w:r>
        <w:rPr>
          <w:rFonts w:hint="default" w:ascii="Times New Roman" w:hAnsi="Times New Roman" w:eastAsia="仿宋_GB2312" w:cs="Times New Roman"/>
          <w:color w:val="000000"/>
          <w:sz w:val="32"/>
          <w:szCs w:val="32"/>
          <w:lang w:val="en-US" w:eastAsia="zh-CN"/>
        </w:rPr>
        <w:t>2.92</w:t>
      </w:r>
      <w:r>
        <w:rPr>
          <w:rFonts w:hint="default" w:ascii="Times New Roman" w:hAnsi="Times New Roman" w:eastAsia="仿宋_GB2312" w:cs="Times New Roman"/>
          <w:color w:val="000000"/>
          <w:sz w:val="32"/>
          <w:szCs w:val="32"/>
        </w:rPr>
        <w:t>万元，完成预算</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较上年减少</w:t>
      </w:r>
      <w:r>
        <w:rPr>
          <w:rFonts w:hint="default" w:ascii="Times New Roman" w:hAnsi="Times New Roman" w:eastAsia="仿宋_GB2312" w:cs="Times New Roman"/>
          <w:color w:val="000000"/>
          <w:sz w:val="32"/>
          <w:szCs w:val="32"/>
          <w:lang w:val="en-US" w:eastAsia="zh-CN"/>
        </w:rPr>
        <w:t>1.12万元，下降27.72%，决算数与预算数持平</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600" w:lineRule="exact"/>
        <w:ind w:firstLine="641"/>
        <w:textAlignment w:val="auto"/>
        <w:outlineLvl w:val="2"/>
        <w:rPr>
          <w:rFonts w:hint="default" w:ascii="Times New Roman" w:hAnsi="Times New Roman" w:eastAsia="楷体" w:cs="Times New Roman"/>
          <w:b/>
          <w:color w:val="000000"/>
          <w:sz w:val="32"/>
          <w:szCs w:val="32"/>
        </w:rPr>
      </w:pPr>
      <w:bookmarkStart w:id="39" w:name="_Toc15377217"/>
      <w:r>
        <w:rPr>
          <w:rFonts w:hint="default" w:ascii="Times New Roman" w:hAnsi="Times New Roman" w:eastAsia="楷体" w:cs="Times New Roman"/>
          <w:b/>
          <w:color w:val="000000"/>
          <w:sz w:val="32"/>
          <w:szCs w:val="32"/>
        </w:rPr>
        <w:t>（二）“三公”经费财政拨款支出决算具体情况说明</w:t>
      </w:r>
      <w:bookmarkEnd w:id="39"/>
    </w:p>
    <w:p>
      <w:pPr>
        <w:pageBreakBefore w:val="0"/>
        <w:kinsoku/>
        <w:wordWrap/>
        <w:overflowPunct/>
        <w:topLinePunct w:val="0"/>
        <w:bidi w:val="0"/>
        <w:spacing w:line="600" w:lineRule="exact"/>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年“三公”经费财政拨款支出决算中，因公出国（境）费支出决算0万元，占0%；公务用车购置及运行维护费支出决算</w:t>
      </w:r>
      <w:r>
        <w:rPr>
          <w:rFonts w:hint="default" w:ascii="Times New Roman" w:hAnsi="Times New Roman" w:eastAsia="仿宋_GB2312" w:cs="Times New Roman"/>
          <w:color w:val="000000"/>
          <w:sz w:val="32"/>
          <w:szCs w:val="32"/>
          <w:lang w:val="en-US" w:eastAsia="zh-CN"/>
        </w:rPr>
        <w:t>2.92</w:t>
      </w:r>
      <w:r>
        <w:rPr>
          <w:rFonts w:hint="default" w:ascii="Times New Roman" w:hAnsi="Times New Roman" w:eastAsia="仿宋_GB2312" w:cs="Times New Roman"/>
          <w:color w:val="000000"/>
          <w:sz w:val="32"/>
          <w:szCs w:val="32"/>
        </w:rPr>
        <w:t>万元，占100%；公务接待费支出决算0万元，占0%。具体情况如下：</w:t>
      </w: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59264" behindDoc="1" locked="0" layoutInCell="1" allowOverlap="1">
            <wp:simplePos x="0" y="0"/>
            <wp:positionH relativeFrom="column">
              <wp:posOffset>219075</wp:posOffset>
            </wp:positionH>
            <wp:positionV relativeFrom="paragraph">
              <wp:posOffset>3175</wp:posOffset>
            </wp:positionV>
            <wp:extent cx="4434840" cy="1718310"/>
            <wp:effectExtent l="5080" t="5080" r="17780" b="1016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tabs>
          <w:tab w:val="left" w:pos="3090"/>
        </w:tabs>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ab/>
      </w:r>
    </w:p>
    <w:p>
      <w:pPr>
        <w:pageBreakBefore w:val="0"/>
        <w:tabs>
          <w:tab w:val="left" w:pos="3090"/>
          <w:tab w:val="left" w:pos="5775"/>
        </w:tabs>
        <w:kinsoku/>
        <w:wordWrap/>
        <w:overflowPunct/>
        <w:topLinePunct w:val="0"/>
        <w:bidi w:val="0"/>
        <w:spacing w:line="600" w:lineRule="exact"/>
        <w:ind w:firstLine="5126" w:firstLineChars="1602"/>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ab/>
      </w: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textAlignment w:val="auto"/>
        <w:rPr>
          <w:rFonts w:hint="default" w:ascii="Times New Roman" w:hAnsi="Times New Roman" w:eastAsia="仿宋" w:cs="Times New Roman"/>
          <w:color w:val="000000"/>
          <w:sz w:val="32"/>
          <w:szCs w:val="32"/>
        </w:rPr>
      </w:pPr>
    </w:p>
    <w:p>
      <w:pPr>
        <w:pageBreakBefore w:val="0"/>
        <w:kinsoku/>
        <w:wordWrap/>
        <w:overflowPunct/>
        <w:topLinePunct w:val="0"/>
        <w:bidi w:val="0"/>
        <w:spacing w:line="600" w:lineRule="exact"/>
        <w:ind w:firstLine="64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（图7：“三公”经费财政拨款支出结构）</w:t>
      </w:r>
    </w:p>
    <w:p>
      <w:pPr>
        <w:pageBreakBefore w:val="0"/>
        <w:kinsoku/>
        <w:wordWrap/>
        <w:overflowPunct/>
        <w:topLinePunct w:val="0"/>
        <w:bidi w:val="0"/>
        <w:spacing w:line="600" w:lineRule="exact"/>
        <w:ind w:firstLine="641"/>
        <w:textAlignment w:val="auto"/>
        <w:rPr>
          <w:rFonts w:hint="default" w:ascii="Times New Roman" w:hAnsi="Times New Roman" w:eastAsia="仿宋" w:cs="Times New Roman"/>
          <w:b/>
          <w:color w:val="000000"/>
          <w:sz w:val="32"/>
          <w:szCs w:val="32"/>
        </w:rPr>
      </w:pPr>
    </w:p>
    <w:p>
      <w:pPr>
        <w:pageBreakBefore w:val="0"/>
        <w:kinsoku/>
        <w:wordWrap/>
        <w:overflowPunct/>
        <w:topLinePunct w:val="0"/>
        <w:bidi w:val="0"/>
        <w:spacing w:line="600" w:lineRule="exact"/>
        <w:ind w:firstLine="641"/>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rPr>
        <w:t>0万元，</w:t>
      </w:r>
      <w:r>
        <w:rPr>
          <w:rStyle w:val="17"/>
          <w:rFonts w:hint="default" w:ascii="Times New Roman" w:hAnsi="Times New Roman" w:eastAsia="仿宋_GB2312" w:cs="Times New Roman"/>
          <w:b w:val="0"/>
          <w:bCs/>
          <w:color w:val="000000"/>
          <w:sz w:val="32"/>
          <w:szCs w:val="32"/>
        </w:rPr>
        <w:t>完成预算0%。</w:t>
      </w:r>
      <w:r>
        <w:rPr>
          <w:rFonts w:hint="default" w:ascii="Times New Roman" w:hAnsi="Times New Roman" w:eastAsia="仿宋_GB2312" w:cs="Times New Roman"/>
          <w:color w:val="000000"/>
          <w:sz w:val="32"/>
          <w:szCs w:val="32"/>
        </w:rPr>
        <w:t>全年安排因公出国（境）团组0次，出国（境）0人。因公出国（境）支出决算与202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年持平。</w:t>
      </w:r>
    </w:p>
    <w:p>
      <w:pPr>
        <w:pageBreakBefore w:val="0"/>
        <w:kinsoku/>
        <w:wordWrap/>
        <w:overflowPunct/>
        <w:topLinePunct w:val="0"/>
        <w:bidi w:val="0"/>
        <w:spacing w:line="600" w:lineRule="exact"/>
        <w:ind w:firstLine="641"/>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color w:val="000000"/>
          <w:sz w:val="32"/>
          <w:szCs w:val="32"/>
          <w:lang w:val="en-US" w:eastAsia="zh-CN"/>
        </w:rPr>
        <w:t>2.92</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_GB2312" w:cs="Times New Roman"/>
          <w:b w:val="0"/>
          <w:bCs/>
          <w:color w:val="000000"/>
          <w:sz w:val="32"/>
          <w:szCs w:val="32"/>
        </w:rPr>
        <w:t>完成预算</w:t>
      </w:r>
      <w:r>
        <w:rPr>
          <w:rStyle w:val="17"/>
          <w:rFonts w:hint="default" w:ascii="Times New Roman" w:hAnsi="Times New Roman" w:eastAsia="仿宋_GB2312" w:cs="Times New Roman"/>
          <w:b w:val="0"/>
          <w:bCs/>
          <w:color w:val="000000"/>
          <w:sz w:val="32"/>
          <w:szCs w:val="32"/>
          <w:lang w:val="en-US" w:eastAsia="zh-CN"/>
        </w:rPr>
        <w:t>100</w:t>
      </w:r>
      <w:r>
        <w:rPr>
          <w:rStyle w:val="17"/>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w:t>
      </w:r>
      <w:r>
        <w:rPr>
          <w:rFonts w:hint="default" w:ascii="Times New Roman" w:hAnsi="Times New Roman" w:eastAsia="仿宋_GB2312" w:cs="Times New Roman"/>
          <w:color w:val="000000"/>
          <w:sz w:val="32"/>
          <w:szCs w:val="32"/>
          <w:lang w:eastAsia="zh-CN"/>
        </w:rPr>
        <w:t>比</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减少</w:t>
      </w:r>
      <w:r>
        <w:rPr>
          <w:rFonts w:hint="default" w:ascii="Times New Roman" w:hAnsi="Times New Roman" w:eastAsia="仿宋_GB2312" w:cs="Times New Roman"/>
          <w:color w:val="000000"/>
          <w:sz w:val="32"/>
          <w:szCs w:val="32"/>
          <w:lang w:val="en-US" w:eastAsia="zh-CN"/>
        </w:rPr>
        <w:t>1.12万元，下降27.72%，主要原因是厉行节约，压减公务用车运行维护费</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600" w:lineRule="exact"/>
        <w:ind w:firstLine="641"/>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rPr>
        <w:t>0万元。全年按规定更新购置公务用车0辆，其中：轿车0辆、金额0万元，越野车0辆、金额0万元，载客汽车0辆、金额0万元。截至202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年12月</w:t>
      </w:r>
      <w:r>
        <w:rPr>
          <w:rFonts w:hint="default" w:ascii="Times New Roman" w:hAnsi="Times New Roman" w:eastAsia="仿宋_GB2312" w:cs="Times New Roman"/>
          <w:color w:val="000000"/>
          <w:sz w:val="32"/>
          <w:szCs w:val="32"/>
          <w:lang w:val="en-US" w:eastAsia="zh-CN"/>
        </w:rPr>
        <w:t>31日</w:t>
      </w:r>
      <w:r>
        <w:rPr>
          <w:rFonts w:hint="default" w:ascii="Times New Roman" w:hAnsi="Times New Roman" w:eastAsia="仿宋_GB2312" w:cs="Times New Roman"/>
          <w:color w:val="000000"/>
          <w:sz w:val="32"/>
          <w:szCs w:val="32"/>
        </w:rPr>
        <w:t>，单位共有公务用车1辆，其中：轿车0辆、越野车1辆、载客汽车0辆。</w:t>
      </w:r>
    </w:p>
    <w:p>
      <w:pPr>
        <w:pageBreakBefore w:val="0"/>
        <w:kinsoku/>
        <w:wordWrap/>
        <w:overflowPunct/>
        <w:topLinePunct w:val="0"/>
        <w:bidi w:val="0"/>
        <w:snapToGrid w:val="0"/>
        <w:spacing w:line="600" w:lineRule="exact"/>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lang w:val="en-US" w:eastAsia="zh-CN"/>
        </w:rPr>
        <w:t>2.92</w:t>
      </w:r>
      <w:r>
        <w:rPr>
          <w:rFonts w:hint="default" w:ascii="Times New Roman" w:hAnsi="Times New Roman" w:eastAsia="仿宋_GB2312" w:cs="Times New Roman"/>
          <w:color w:val="000000"/>
          <w:sz w:val="32"/>
          <w:szCs w:val="32"/>
        </w:rPr>
        <w:t>万元。</w:t>
      </w:r>
      <w:r>
        <w:rPr>
          <w:rStyle w:val="31"/>
          <w:rFonts w:hint="default" w:ascii="Times New Roman" w:hAnsi="Times New Roman" w:eastAsia="仿宋_GB2312" w:cs="Times New Roman"/>
          <w:sz w:val="32"/>
          <w:szCs w:val="32"/>
        </w:rPr>
        <w:t>主要用于保障性安居工程建设、市本级市政基础设施项目策划、储备、建设模式选择等前期工作和建设及具体实施、市政府非经营性投资项目代建业务实施过程中事务性、技术性、辅助性工作</w:t>
      </w:r>
      <w:r>
        <w:rPr>
          <w:rFonts w:hint="default" w:ascii="Times New Roman" w:hAnsi="Times New Roman" w:eastAsia="仿宋_GB2312" w:cs="Times New Roman"/>
          <w:color w:val="000000"/>
          <w:sz w:val="32"/>
          <w:szCs w:val="32"/>
        </w:rPr>
        <w:t>等所需的公务用车燃料费、维修费、过路过桥费、保险费等支出。</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rPr>
        <w:t>0万元，</w:t>
      </w:r>
      <w:r>
        <w:rPr>
          <w:rStyle w:val="17"/>
          <w:rFonts w:hint="default" w:ascii="Times New Roman" w:hAnsi="Times New Roman" w:eastAsia="仿宋_GB2312" w:cs="Times New Roman"/>
          <w:b w:val="0"/>
          <w:bCs/>
          <w:color w:val="000000"/>
          <w:sz w:val="32"/>
          <w:szCs w:val="32"/>
        </w:rPr>
        <w:t>完成预算0%。</w:t>
      </w:r>
      <w:r>
        <w:rPr>
          <w:rFonts w:hint="default" w:ascii="Times New Roman" w:hAnsi="Times New Roman" w:eastAsia="仿宋_GB2312" w:cs="Times New Roman"/>
          <w:color w:val="000000"/>
          <w:sz w:val="32"/>
          <w:szCs w:val="32"/>
        </w:rPr>
        <w:t>公务接待费支出决算与202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年持平。</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国内公务接待支出</w:t>
      </w:r>
      <w:r>
        <w:rPr>
          <w:rFonts w:hint="default" w:ascii="Times New Roman" w:hAnsi="Times New Roman" w:eastAsia="仿宋_GB2312" w:cs="Times New Roman"/>
          <w:color w:val="000000"/>
          <w:sz w:val="32"/>
          <w:szCs w:val="32"/>
        </w:rPr>
        <w:t>0万元。</w:t>
      </w:r>
    </w:p>
    <w:p>
      <w:pPr>
        <w:pageBreakBefore w:val="0"/>
        <w:kinsoku/>
        <w:wordWrap/>
        <w:overflowPunct/>
        <w:topLinePunct w:val="0"/>
        <w:bidi w:val="0"/>
        <w:spacing w:line="600" w:lineRule="exact"/>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外事接待支出</w:t>
      </w:r>
      <w:r>
        <w:rPr>
          <w:rFonts w:hint="default" w:ascii="Times New Roman" w:hAnsi="Times New Roman" w:eastAsia="仿宋_GB2312" w:cs="Times New Roman"/>
          <w:color w:val="000000"/>
          <w:sz w:val="32"/>
          <w:szCs w:val="32"/>
        </w:rPr>
        <w:t>0万元。</w:t>
      </w:r>
    </w:p>
    <w:p>
      <w:pPr>
        <w:pageBreakBefore w:val="0"/>
        <w:kinsoku/>
        <w:wordWrap/>
        <w:overflowPunct/>
        <w:topLinePunct w:val="0"/>
        <w:bidi w:val="0"/>
        <w:spacing w:line="600" w:lineRule="exact"/>
        <w:textAlignment w:val="auto"/>
        <w:rPr>
          <w:rFonts w:hint="default" w:ascii="Times New Roman" w:hAnsi="Times New Roman" w:cs="Times New Roman"/>
        </w:rPr>
      </w:pPr>
    </w:p>
    <w:p>
      <w:pPr>
        <w:pageBreakBefore w:val="0"/>
        <w:kinsoku/>
        <w:wordWrap/>
        <w:overflowPunct/>
        <w:topLinePunct w:val="0"/>
        <w:bidi w:val="0"/>
        <w:spacing w:line="600" w:lineRule="exact"/>
        <w:ind w:firstLine="640"/>
        <w:textAlignment w:val="auto"/>
        <w:outlineLvl w:val="1"/>
        <w:rPr>
          <w:rStyle w:val="20"/>
          <w:rFonts w:hint="default" w:ascii="Times New Roman" w:hAnsi="Times New Roman" w:eastAsia="黑体" w:cs="Times New Roman"/>
        </w:rPr>
      </w:pPr>
      <w:r>
        <w:rPr>
          <w:rFonts w:hint="default" w:ascii="Times New Roman" w:hAnsi="Times New Roman" w:eastAsia="黑体" w:cs="Times New Roman"/>
          <w:color w:val="000000"/>
          <w:sz w:val="32"/>
          <w:szCs w:val="32"/>
        </w:rPr>
        <w:t>八、</w:t>
      </w:r>
      <w:r>
        <w:rPr>
          <w:rStyle w:val="20"/>
          <w:rFonts w:hint="default" w:ascii="Times New Roman" w:hAnsi="Times New Roman" w:eastAsia="黑体" w:cs="Times New Roman"/>
          <w:b w:val="0"/>
        </w:rPr>
        <w:t>政府性基金预算支出决算情况说明</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年政府性基金预算拨款支出0万元。</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p>
    <w:p>
      <w:pPr>
        <w:pageBreakBefore w:val="0"/>
        <w:numPr>
          <w:ilvl w:val="0"/>
          <w:numId w:val="0"/>
        </w:numPr>
        <w:kinsoku/>
        <w:wordWrap/>
        <w:overflowPunct/>
        <w:topLinePunct w:val="0"/>
        <w:bidi w:val="0"/>
        <w:spacing w:line="600" w:lineRule="exact"/>
        <w:ind w:left="640" w:leftChars="0"/>
        <w:textAlignment w:val="auto"/>
        <w:outlineLvl w:val="1"/>
        <w:rPr>
          <w:rStyle w:val="20"/>
          <w:rFonts w:hint="default" w:ascii="Times New Roman" w:hAnsi="Times New Roman" w:eastAsia="黑体" w:cs="Times New Roman"/>
          <w:b w:val="0"/>
        </w:rPr>
      </w:pPr>
      <w:r>
        <w:rPr>
          <w:rStyle w:val="20"/>
          <w:rFonts w:hint="eastAsia" w:ascii="Times New Roman" w:hAnsi="Times New Roman" w:eastAsia="黑体" w:cs="Times New Roman"/>
          <w:b w:val="0"/>
        </w:rPr>
        <w:t>九、</w:t>
      </w:r>
      <w:r>
        <w:rPr>
          <w:rStyle w:val="20"/>
          <w:rFonts w:hint="default" w:ascii="Times New Roman" w:hAnsi="Times New Roman" w:eastAsia="黑体" w:cs="Times New Roman"/>
          <w:b w:val="0"/>
        </w:rPr>
        <w:t>国有资本经营预算支出决算情况说明</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年国有资本经营预算拨款支出0万元。</w:t>
      </w:r>
    </w:p>
    <w:p>
      <w:pPr>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sz w:val="44"/>
          <w:szCs w:val="44"/>
        </w:rPr>
      </w:pPr>
    </w:p>
    <w:p>
      <w:pPr>
        <w:pageBreakBefore w:val="0"/>
        <w:kinsoku/>
        <w:wordWrap/>
        <w:overflowPunct/>
        <w:topLinePunct w:val="0"/>
        <w:bidi w:val="0"/>
        <w:spacing w:line="600" w:lineRule="exact"/>
        <w:ind w:firstLine="800" w:firstLineChars="250"/>
        <w:textAlignment w:val="auto"/>
        <w:outlineLvl w:val="1"/>
        <w:rPr>
          <w:rStyle w:val="20"/>
          <w:rFonts w:hint="default" w:ascii="Times New Roman" w:hAnsi="Times New Roman" w:eastAsia="黑体" w:cs="Times New Roman"/>
        </w:rPr>
      </w:pPr>
      <w:r>
        <w:rPr>
          <w:rFonts w:hint="default" w:ascii="Times New Roman" w:hAnsi="Times New Roman" w:eastAsia="黑体" w:cs="Times New Roman"/>
          <w:color w:val="000000"/>
          <w:sz w:val="32"/>
          <w:szCs w:val="32"/>
        </w:rPr>
        <w:t>十</w:t>
      </w:r>
      <w:r>
        <w:rPr>
          <w:rStyle w:val="20"/>
          <w:rFonts w:hint="default" w:ascii="Times New Roman" w:hAnsi="Times New Roman" w:eastAsia="黑体" w:cs="Times New Roman"/>
        </w:rPr>
        <w:t>、</w:t>
      </w:r>
      <w:r>
        <w:rPr>
          <w:rStyle w:val="20"/>
          <w:rFonts w:hint="default" w:ascii="Times New Roman" w:hAnsi="Times New Roman" w:eastAsia="黑体" w:cs="Times New Roman"/>
          <w:b w:val="0"/>
        </w:rPr>
        <w:t>其他重要事项的情况说明</w:t>
      </w:r>
    </w:p>
    <w:p>
      <w:pPr>
        <w:pageBreakBefore w:val="0"/>
        <w:kinsoku/>
        <w:wordWrap/>
        <w:overflowPunct/>
        <w:topLinePunct w:val="0"/>
        <w:bidi w:val="0"/>
        <w:spacing w:line="600" w:lineRule="exact"/>
        <w:ind w:firstLine="642" w:firstLineChars="200"/>
        <w:textAlignment w:val="auto"/>
        <w:outlineLvl w:val="2"/>
        <w:rPr>
          <w:rFonts w:hint="eastAsia" w:ascii="楷体_GB2312" w:hAnsi="楷体_GB2312" w:eastAsia="楷体_GB2312" w:cs="楷体_GB2312"/>
          <w:color w:val="000000"/>
          <w:sz w:val="32"/>
          <w:szCs w:val="32"/>
        </w:rPr>
      </w:pPr>
      <w:r>
        <w:rPr>
          <w:rFonts w:hint="eastAsia" w:ascii="楷体_GB2312" w:hAnsi="楷体_GB2312" w:eastAsia="楷体_GB2312" w:cs="楷体_GB2312"/>
          <w:b/>
          <w:color w:val="000000"/>
          <w:sz w:val="32"/>
          <w:szCs w:val="32"/>
        </w:rPr>
        <w:t>（一）机关运行经费支出情况</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度</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市住保和建设项目中心</w:t>
      </w:r>
      <w:r>
        <w:rPr>
          <w:rFonts w:hint="default" w:ascii="Times New Roman" w:hAnsi="Times New Roman" w:eastAsia="仿宋_GB2312" w:cs="Times New Roman"/>
          <w:color w:val="000000"/>
          <w:sz w:val="32"/>
          <w:szCs w:val="32"/>
        </w:rPr>
        <w:t>机关运行经费支出0万元，与202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年决算数持平。</w:t>
      </w:r>
    </w:p>
    <w:p>
      <w:pPr>
        <w:pageBreakBefore w:val="0"/>
        <w:kinsoku/>
        <w:wordWrap/>
        <w:overflowPunct/>
        <w:topLinePunct w:val="0"/>
        <w:bidi w:val="0"/>
        <w:spacing w:line="600" w:lineRule="exact"/>
        <w:ind w:firstLine="642" w:firstLineChars="200"/>
        <w:textAlignment w:val="auto"/>
        <w:outlineLvl w:val="2"/>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（二）政府采购支出情况</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市住保和建设项目中心</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auto"/>
          <w:sz w:val="32"/>
          <w:szCs w:val="32"/>
        </w:rPr>
        <w:t>其中：政府采购货物支出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万元、政府采购工程支出0万元、政府采购服务支出0万元。授予中小企业合同金额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ageBreakBefore w:val="0"/>
        <w:kinsoku/>
        <w:wordWrap/>
        <w:overflowPunct/>
        <w:topLinePunct w:val="0"/>
        <w:bidi w:val="0"/>
        <w:spacing w:line="600" w:lineRule="exact"/>
        <w:ind w:firstLine="642" w:firstLineChars="200"/>
        <w:textAlignment w:val="auto"/>
        <w:outlineLvl w:val="2"/>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年12月31日，市住保和建设项目中心共有车辆1辆，其中：</w:t>
      </w:r>
      <w:r>
        <w:rPr>
          <w:rFonts w:hint="default" w:ascii="Times New Roman" w:hAnsi="Times New Roman" w:eastAsia="仿宋_GB2312" w:cs="Times New Roman"/>
          <w:color w:val="000000"/>
          <w:sz w:val="32"/>
          <w:szCs w:val="32"/>
          <w:lang w:eastAsia="zh-CN"/>
        </w:rPr>
        <w:t>主要领导干部用车</w:t>
      </w:r>
      <w:r>
        <w:rPr>
          <w:rFonts w:hint="default" w:ascii="Times New Roman" w:hAnsi="Times New Roman" w:eastAsia="仿宋_GB2312" w:cs="Times New Roman"/>
          <w:color w:val="000000"/>
          <w:sz w:val="32"/>
          <w:szCs w:val="32"/>
          <w:lang w:val="en-US" w:eastAsia="zh-CN"/>
        </w:rPr>
        <w:t>0辆、机车通信用车0辆、应急保障用车0辆、</w:t>
      </w:r>
      <w:r>
        <w:rPr>
          <w:rFonts w:hint="default" w:ascii="Times New Roman" w:hAnsi="Times New Roman" w:eastAsia="仿宋_GB2312" w:cs="Times New Roman"/>
          <w:color w:val="000000"/>
          <w:sz w:val="32"/>
          <w:szCs w:val="32"/>
        </w:rPr>
        <w:t>其他用车1辆，其他用车主要是用于</w:t>
      </w:r>
      <w:r>
        <w:rPr>
          <w:rFonts w:hint="default" w:ascii="Times New Roman" w:hAnsi="Times New Roman" w:eastAsia="仿宋_GB2312" w:cs="Times New Roman"/>
          <w:color w:val="000000"/>
          <w:sz w:val="32"/>
          <w:szCs w:val="32"/>
          <w:lang w:eastAsia="zh-CN"/>
        </w:rPr>
        <w:t>市住保和建设项目中心</w:t>
      </w:r>
      <w:r>
        <w:rPr>
          <w:rFonts w:hint="default" w:ascii="Times New Roman" w:hAnsi="Times New Roman" w:eastAsia="仿宋_GB2312" w:cs="Times New Roman"/>
          <w:color w:val="000000"/>
          <w:sz w:val="32"/>
          <w:szCs w:val="32"/>
        </w:rPr>
        <w:t>业务用车。</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单价50万元以上通用设备0台（套）</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color w:val="000000"/>
          <w:sz w:val="32"/>
          <w:szCs w:val="32"/>
        </w:rPr>
        <w:t>单价100万</w:t>
      </w:r>
      <w:r>
        <w:rPr>
          <w:rFonts w:hint="default" w:ascii="Times New Roman" w:hAnsi="Times New Roman" w:eastAsia="仿宋_GB2312" w:cs="Times New Roman"/>
          <w:color w:val="000000"/>
          <w:sz w:val="32"/>
          <w:szCs w:val="32"/>
          <w:lang w:eastAsia="zh-CN"/>
        </w:rPr>
        <w:t>元以上专用设</w:t>
      </w:r>
      <w:r>
        <w:rPr>
          <w:rFonts w:hint="default" w:ascii="Times New Roman" w:hAnsi="Times New Roman" w:eastAsia="仿宋_GB2312" w:cs="Times New Roman"/>
          <w:color w:val="000000"/>
          <w:sz w:val="32"/>
          <w:szCs w:val="32"/>
        </w:rPr>
        <w:t>备0台（套）。</w:t>
      </w:r>
    </w:p>
    <w:p>
      <w:pPr>
        <w:pageBreakBefore w:val="0"/>
        <w:kinsoku/>
        <w:wordWrap/>
        <w:overflowPunct/>
        <w:topLinePunct w:val="0"/>
        <w:bidi w:val="0"/>
        <w:spacing w:line="600" w:lineRule="exact"/>
        <w:ind w:firstLine="642" w:firstLineChars="200"/>
        <w:textAlignment w:val="auto"/>
        <w:outlineLvl w:val="2"/>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（四）预算绩效管理情况</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根据预算绩效管理要求，本单位在年初预算编制阶段，组织对</w:t>
      </w:r>
      <w:r>
        <w:rPr>
          <w:rFonts w:hint="default" w:ascii="Times New Roman" w:hAnsi="Times New Roman" w:eastAsia="仿宋_GB2312" w:cs="Times New Roman"/>
          <w:color w:val="auto"/>
          <w:kern w:val="2"/>
          <w:sz w:val="32"/>
          <w:szCs w:val="32"/>
        </w:rPr>
        <w:t>政策性住房上市交易补交房款和土地收益等价款及火车南站站前基础设施营运收入征管直接成本支出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城市更新项目费、物业管理费</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个项目开展绩效监控，</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个项目开展了绩效自评。绩效自评表</w:t>
      </w:r>
      <w:r>
        <w:rPr>
          <w:rFonts w:hint="default" w:ascii="Times New Roman" w:hAnsi="Times New Roman" w:eastAsia="仿宋_GB2312" w:cs="Times New Roman"/>
          <w:sz w:val="32"/>
          <w:szCs w:val="32"/>
          <w:lang w:eastAsia="zh-CN"/>
        </w:rPr>
        <w:t>详</w:t>
      </w:r>
      <w:r>
        <w:rPr>
          <w:rFonts w:hint="default" w:ascii="Times New Roman" w:hAnsi="Times New Roman" w:eastAsia="仿宋_GB2312" w:cs="Times New Roman"/>
          <w:sz w:val="32"/>
          <w:szCs w:val="32"/>
        </w:rPr>
        <w:t>见第四部分附件。</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rPr>
      </w:pPr>
    </w:p>
    <w:p>
      <w:pPr>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rPr>
      </w:pPr>
    </w:p>
    <w:p>
      <w:pPr>
        <w:pageBreakBefore w:val="0"/>
        <w:kinsoku/>
        <w:wordWrap/>
        <w:overflowPunct/>
        <w:topLinePunct w:val="0"/>
        <w:bidi w:val="0"/>
        <w:spacing w:line="600" w:lineRule="exact"/>
        <w:jc w:val="center"/>
        <w:textAlignment w:val="auto"/>
        <w:rPr>
          <w:rStyle w:val="19"/>
          <w:rFonts w:hint="eastAsia" w:ascii="黑体" w:hAnsi="黑体" w:eastAsia="黑体" w:cs="黑体"/>
          <w:b w:val="0"/>
        </w:rPr>
      </w:pPr>
      <w:r>
        <w:rPr>
          <w:rFonts w:hint="eastAsia" w:ascii="黑体" w:hAnsi="黑体" w:eastAsia="黑体" w:cs="黑体"/>
          <w:color w:val="000000"/>
          <w:sz w:val="44"/>
          <w:szCs w:val="44"/>
        </w:rPr>
        <w:t>第三部分 名</w:t>
      </w:r>
      <w:r>
        <w:rPr>
          <w:rStyle w:val="19"/>
          <w:rFonts w:hint="eastAsia" w:ascii="黑体" w:hAnsi="黑体" w:eastAsia="黑体" w:cs="黑体"/>
          <w:b w:val="0"/>
        </w:rPr>
        <w:t>词解释</w:t>
      </w:r>
    </w:p>
    <w:p>
      <w:pPr>
        <w:pageBreakBefore w:val="0"/>
        <w:kinsoku/>
        <w:wordWrap/>
        <w:overflowPunct/>
        <w:topLinePunct w:val="0"/>
        <w:bidi w:val="0"/>
        <w:spacing w:line="600" w:lineRule="exact"/>
        <w:jc w:val="left"/>
        <w:textAlignment w:val="auto"/>
        <w:rPr>
          <w:rFonts w:hint="eastAsia" w:ascii="方正小标宋_GBK" w:hAnsi="方正小标宋_GBK" w:eastAsia="方正小标宋_GBK" w:cs="方正小标宋_GBK"/>
          <w:b/>
          <w:color w:val="000000"/>
          <w:sz w:val="44"/>
          <w:szCs w:val="44"/>
        </w:rPr>
      </w:pPr>
    </w:p>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 w:val="0"/>
          <w:bCs/>
          <w:color w:val="000000"/>
          <w:sz w:val="32"/>
          <w:szCs w:val="32"/>
        </w:rPr>
        <w:t>1.财政拨款收入：指单位从同级财政部门取得的财政预算资金。</w:t>
      </w:r>
    </w:p>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 w:val="0"/>
          <w:bCs/>
          <w:color w:val="000000"/>
          <w:sz w:val="32"/>
          <w:szCs w:val="32"/>
        </w:rPr>
        <w:t>2.社会保障和就业（类）行政事业单位养老（款）事业单位离退休（项）：指事业单位开支的离退休经费。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Style w:val="17"/>
          <w:rFonts w:hint="default" w:ascii="Times New Roman" w:hAnsi="Times New Roman" w:eastAsia="仿宋_GB2312" w:cs="Times New Roman"/>
          <w:b w:val="0"/>
          <w:bCs/>
          <w:color w:val="000000"/>
          <w:sz w:val="32"/>
          <w:szCs w:val="32"/>
          <w:lang w:val="en-US" w:eastAsia="zh-CN"/>
        </w:rPr>
        <w:t>3</w:t>
      </w:r>
      <w:r>
        <w:rPr>
          <w:rStyle w:val="17"/>
          <w:rFonts w:hint="default" w:ascii="Times New Roman" w:hAnsi="Times New Roman" w:eastAsia="仿宋_GB2312" w:cs="Times New Roman"/>
          <w:b w:val="0"/>
          <w:bCs/>
          <w:color w:val="000000"/>
          <w:sz w:val="32"/>
          <w:szCs w:val="32"/>
        </w:rPr>
        <w:t>.社会保障和就业（类）行政事业单位养老（款）机关事业单位基本养老保险缴费支出（项）</w:t>
      </w:r>
      <w:r>
        <w:rPr>
          <w:rFonts w:hint="default" w:ascii="Times New Roman" w:hAnsi="Times New Roman" w:eastAsia="仿宋_GB2312" w:cs="Times New Roman"/>
          <w:color w:val="000000"/>
          <w:sz w:val="32"/>
          <w:szCs w:val="32"/>
        </w:rPr>
        <w:t>：指机关事业单位实施养老保险制度由单位缴纳的基本养老保险费支出。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Style w:val="17"/>
          <w:rFonts w:hint="default" w:ascii="Times New Roman" w:hAnsi="Times New Roman" w:eastAsia="仿宋_GB2312" w:cs="Times New Roman"/>
          <w:b w:val="0"/>
          <w:bCs/>
          <w:color w:val="000000"/>
          <w:sz w:val="32"/>
          <w:szCs w:val="32"/>
          <w:lang w:eastAsia="zh-CN"/>
        </w:rPr>
      </w:pPr>
      <w:r>
        <w:rPr>
          <w:rStyle w:val="17"/>
          <w:rFonts w:hint="default" w:ascii="Times New Roman" w:hAnsi="Times New Roman" w:eastAsia="仿宋_GB2312" w:cs="Times New Roman"/>
          <w:b w:val="0"/>
          <w:bCs/>
          <w:color w:val="000000"/>
          <w:sz w:val="32"/>
          <w:szCs w:val="32"/>
          <w:lang w:val="en-US" w:eastAsia="zh-CN"/>
        </w:rPr>
        <w:t>4</w:t>
      </w:r>
      <w:r>
        <w:rPr>
          <w:rStyle w:val="17"/>
          <w:rFonts w:hint="default" w:ascii="Times New Roman" w:hAnsi="Times New Roman" w:eastAsia="仿宋_GB2312" w:cs="Times New Roman"/>
          <w:b w:val="0"/>
          <w:bCs/>
          <w:color w:val="000000"/>
          <w:sz w:val="32"/>
          <w:szCs w:val="32"/>
        </w:rPr>
        <w:t>.</w:t>
      </w:r>
      <w:r>
        <w:rPr>
          <w:rStyle w:val="17"/>
          <w:rFonts w:hint="default" w:ascii="Times New Roman" w:hAnsi="Times New Roman" w:eastAsia="仿宋_GB2312" w:cs="Times New Roman"/>
          <w:b w:val="0"/>
          <w:bCs/>
          <w:color w:val="000000"/>
          <w:sz w:val="32"/>
          <w:szCs w:val="32"/>
          <w:lang w:eastAsia="zh-CN"/>
        </w:rPr>
        <w:t>卫生健康支出</w:t>
      </w:r>
      <w:r>
        <w:rPr>
          <w:rStyle w:val="17"/>
          <w:rFonts w:hint="default" w:ascii="Times New Roman" w:hAnsi="Times New Roman" w:eastAsia="仿宋_GB2312" w:cs="Times New Roman"/>
          <w:b w:val="0"/>
          <w:bCs/>
          <w:color w:val="000000"/>
          <w:sz w:val="32"/>
          <w:szCs w:val="32"/>
        </w:rPr>
        <w:t>（类）</w:t>
      </w:r>
      <w:r>
        <w:rPr>
          <w:rStyle w:val="17"/>
          <w:rFonts w:hint="default" w:ascii="Times New Roman" w:hAnsi="Times New Roman" w:eastAsia="仿宋_GB2312" w:cs="Times New Roman"/>
          <w:b w:val="0"/>
          <w:bCs/>
          <w:color w:val="000000"/>
          <w:sz w:val="32"/>
          <w:szCs w:val="32"/>
          <w:lang w:eastAsia="zh-CN"/>
        </w:rPr>
        <w:t>行政事业单位医疗</w:t>
      </w:r>
      <w:r>
        <w:rPr>
          <w:rStyle w:val="17"/>
          <w:rFonts w:hint="default" w:ascii="Times New Roman" w:hAnsi="Times New Roman" w:eastAsia="仿宋_GB2312" w:cs="Times New Roman"/>
          <w:b w:val="0"/>
          <w:bCs/>
          <w:color w:val="000000"/>
          <w:sz w:val="32"/>
          <w:szCs w:val="32"/>
        </w:rPr>
        <w:t>（款）</w:t>
      </w:r>
      <w:r>
        <w:rPr>
          <w:rStyle w:val="17"/>
          <w:rFonts w:hint="default" w:ascii="Times New Roman" w:hAnsi="Times New Roman" w:eastAsia="仿宋_GB2312" w:cs="Times New Roman"/>
          <w:b w:val="0"/>
          <w:bCs/>
          <w:color w:val="000000"/>
          <w:sz w:val="32"/>
          <w:szCs w:val="32"/>
          <w:lang w:eastAsia="zh-CN"/>
        </w:rPr>
        <w:t>事业单位医疗</w:t>
      </w:r>
      <w:r>
        <w:rPr>
          <w:rStyle w:val="17"/>
          <w:rFonts w:hint="default" w:ascii="Times New Roman" w:hAnsi="Times New Roman" w:eastAsia="仿宋_GB2312" w:cs="Times New Roman"/>
          <w:b w:val="0"/>
          <w:bCs/>
          <w:color w:val="000000"/>
          <w:sz w:val="32"/>
          <w:szCs w:val="32"/>
          <w:lang w:val="en-US" w:eastAsia="zh-CN"/>
        </w:rPr>
        <w:t>（项）</w:t>
      </w:r>
      <w:r>
        <w:rPr>
          <w:rStyle w:val="17"/>
          <w:rFonts w:hint="eastAsia" w:ascii="Times New Roman" w:hAnsi="Times New Roman" w:eastAsia="仿宋_GB2312" w:cs="Times New Roman"/>
          <w:b w:val="0"/>
          <w:bCs/>
          <w:color w:val="000000"/>
          <w:sz w:val="32"/>
          <w:szCs w:val="32"/>
          <w:lang w:val="en-US" w:eastAsia="zh-CN"/>
        </w:rPr>
        <w:t>：</w:t>
      </w:r>
      <w:r>
        <w:rPr>
          <w:rStyle w:val="17"/>
          <w:rFonts w:hint="default" w:ascii="Times New Roman" w:hAnsi="Times New Roman" w:eastAsia="仿宋_GB2312" w:cs="Times New Roman"/>
          <w:b w:val="0"/>
          <w:bCs/>
          <w:color w:val="000000"/>
          <w:sz w:val="32"/>
          <w:szCs w:val="32"/>
          <w:lang w:val="en-US" w:eastAsia="zh-CN"/>
        </w:rPr>
        <w:t>指</w:t>
      </w:r>
      <w:r>
        <w:rPr>
          <w:rStyle w:val="17"/>
          <w:rFonts w:hint="default" w:ascii="Times New Roman" w:hAnsi="Times New Roman" w:eastAsia="仿宋_GB2312" w:cs="Times New Roman"/>
          <w:b w:val="0"/>
          <w:bCs/>
          <w:color w:val="000000"/>
          <w:sz w:val="32"/>
          <w:szCs w:val="32"/>
          <w:lang w:eastAsia="zh-CN"/>
        </w:rPr>
        <w:t>事业单位基本医疗保险缴费经费。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Style w:val="17"/>
          <w:rFonts w:hint="default" w:ascii="Times New Roman" w:hAnsi="Times New Roman" w:eastAsia="仿宋_GB2312" w:cs="Times New Roman"/>
          <w:b w:val="0"/>
          <w:bCs/>
          <w:color w:val="000000"/>
          <w:sz w:val="32"/>
          <w:szCs w:val="32"/>
          <w:lang w:val="en-US" w:eastAsia="zh-CN"/>
        </w:rPr>
      </w:pPr>
      <w:r>
        <w:rPr>
          <w:rStyle w:val="17"/>
          <w:rFonts w:hint="default" w:ascii="Times New Roman" w:hAnsi="Times New Roman" w:eastAsia="仿宋_GB2312" w:cs="Times New Roman"/>
          <w:b w:val="0"/>
          <w:bCs/>
          <w:color w:val="000000"/>
          <w:sz w:val="32"/>
          <w:szCs w:val="32"/>
          <w:lang w:val="en-US" w:eastAsia="zh-CN"/>
        </w:rPr>
        <w:t>5</w:t>
      </w:r>
      <w:r>
        <w:rPr>
          <w:rStyle w:val="17"/>
          <w:rFonts w:hint="default" w:ascii="Times New Roman" w:hAnsi="Times New Roman" w:eastAsia="仿宋_GB2312" w:cs="Times New Roman"/>
          <w:b w:val="0"/>
          <w:bCs/>
          <w:color w:val="000000"/>
          <w:sz w:val="32"/>
          <w:szCs w:val="32"/>
        </w:rPr>
        <w:t>.</w:t>
      </w:r>
      <w:r>
        <w:rPr>
          <w:rStyle w:val="17"/>
          <w:rFonts w:hint="default" w:ascii="Times New Roman" w:hAnsi="Times New Roman" w:eastAsia="仿宋_GB2312" w:cs="Times New Roman"/>
          <w:b w:val="0"/>
          <w:bCs/>
          <w:color w:val="000000"/>
          <w:sz w:val="32"/>
          <w:szCs w:val="32"/>
          <w:lang w:eastAsia="zh-CN"/>
        </w:rPr>
        <w:t>卫生健康支出</w:t>
      </w:r>
      <w:r>
        <w:rPr>
          <w:rStyle w:val="17"/>
          <w:rFonts w:hint="default" w:ascii="Times New Roman" w:hAnsi="Times New Roman" w:eastAsia="仿宋_GB2312" w:cs="Times New Roman"/>
          <w:b w:val="0"/>
          <w:bCs/>
          <w:color w:val="000000"/>
          <w:sz w:val="32"/>
          <w:szCs w:val="32"/>
        </w:rPr>
        <w:t>（类）</w:t>
      </w:r>
      <w:r>
        <w:rPr>
          <w:rStyle w:val="17"/>
          <w:rFonts w:hint="default" w:ascii="Times New Roman" w:hAnsi="Times New Roman" w:eastAsia="仿宋_GB2312" w:cs="Times New Roman"/>
          <w:b w:val="0"/>
          <w:bCs/>
          <w:color w:val="000000"/>
          <w:sz w:val="32"/>
          <w:szCs w:val="32"/>
          <w:lang w:eastAsia="zh-CN"/>
        </w:rPr>
        <w:t>行政事业单位医疗</w:t>
      </w:r>
      <w:r>
        <w:rPr>
          <w:rStyle w:val="17"/>
          <w:rFonts w:hint="default" w:ascii="Times New Roman" w:hAnsi="Times New Roman" w:eastAsia="仿宋_GB2312" w:cs="Times New Roman"/>
          <w:b w:val="0"/>
          <w:bCs/>
          <w:color w:val="000000"/>
          <w:sz w:val="32"/>
          <w:szCs w:val="32"/>
        </w:rPr>
        <w:t>（款）</w:t>
      </w:r>
      <w:r>
        <w:rPr>
          <w:rStyle w:val="17"/>
          <w:rFonts w:hint="default" w:ascii="Times New Roman" w:hAnsi="Times New Roman" w:eastAsia="仿宋_GB2312" w:cs="Times New Roman"/>
          <w:b w:val="0"/>
          <w:bCs/>
          <w:color w:val="000000"/>
          <w:sz w:val="32"/>
          <w:szCs w:val="32"/>
          <w:lang w:eastAsia="zh-CN"/>
        </w:rPr>
        <w:t>公务员医疗补</w:t>
      </w:r>
      <w:r>
        <w:rPr>
          <w:rStyle w:val="17"/>
          <w:rFonts w:hint="default" w:ascii="Times New Roman" w:hAnsi="Times New Roman" w:eastAsia="仿宋_GB2312" w:cs="Times New Roman"/>
          <w:b w:val="0"/>
          <w:bCs/>
          <w:color w:val="000000"/>
          <w:sz w:val="32"/>
          <w:szCs w:val="32"/>
          <w:lang w:val="en-US" w:eastAsia="zh-CN"/>
        </w:rPr>
        <w:t>助（项）</w:t>
      </w:r>
      <w:r>
        <w:rPr>
          <w:rStyle w:val="17"/>
          <w:rFonts w:hint="eastAsia" w:ascii="Times New Roman" w:hAnsi="Times New Roman" w:eastAsia="仿宋_GB2312" w:cs="Times New Roman"/>
          <w:b w:val="0"/>
          <w:bCs/>
          <w:color w:val="000000"/>
          <w:sz w:val="32"/>
          <w:szCs w:val="32"/>
          <w:lang w:val="en-US" w:eastAsia="zh-CN"/>
        </w:rPr>
        <w:t>：</w:t>
      </w:r>
      <w:r>
        <w:rPr>
          <w:rStyle w:val="17"/>
          <w:rFonts w:hint="default" w:ascii="Times New Roman" w:hAnsi="Times New Roman" w:eastAsia="仿宋_GB2312" w:cs="Times New Roman"/>
          <w:b w:val="0"/>
          <w:bCs/>
          <w:color w:val="000000"/>
          <w:sz w:val="32"/>
          <w:szCs w:val="32"/>
          <w:lang w:eastAsia="zh-CN"/>
        </w:rPr>
        <w:t>指公务员医疗补助经费。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Style w:val="17"/>
          <w:rFonts w:hint="default" w:ascii="Times New Roman" w:hAnsi="Times New Roman" w:eastAsia="仿宋_GB2312" w:cs="Times New Roman"/>
          <w:b w:val="0"/>
          <w:bCs/>
          <w:color w:val="000000"/>
          <w:sz w:val="32"/>
          <w:szCs w:val="32"/>
          <w:lang w:eastAsia="zh-CN"/>
        </w:rPr>
      </w:pPr>
      <w:r>
        <w:rPr>
          <w:rStyle w:val="17"/>
          <w:rFonts w:hint="default" w:ascii="Times New Roman" w:hAnsi="Times New Roman" w:eastAsia="仿宋_GB2312" w:cs="Times New Roman"/>
          <w:b w:val="0"/>
          <w:bCs/>
          <w:color w:val="000000"/>
          <w:sz w:val="32"/>
          <w:szCs w:val="32"/>
          <w:lang w:val="en-US" w:eastAsia="zh-CN"/>
        </w:rPr>
        <w:t>6</w:t>
      </w:r>
      <w:r>
        <w:rPr>
          <w:rStyle w:val="17"/>
          <w:rFonts w:hint="default" w:ascii="Times New Roman" w:hAnsi="Times New Roman" w:eastAsia="仿宋_GB2312" w:cs="Times New Roman"/>
          <w:b w:val="0"/>
          <w:bCs/>
          <w:color w:val="000000"/>
          <w:sz w:val="32"/>
          <w:szCs w:val="32"/>
        </w:rPr>
        <w:t>.</w:t>
      </w:r>
      <w:r>
        <w:rPr>
          <w:rStyle w:val="17"/>
          <w:rFonts w:hint="default" w:ascii="Times New Roman" w:hAnsi="Times New Roman" w:eastAsia="仿宋_GB2312" w:cs="Times New Roman"/>
          <w:b w:val="0"/>
          <w:bCs/>
          <w:color w:val="000000"/>
          <w:sz w:val="32"/>
          <w:szCs w:val="32"/>
          <w:lang w:eastAsia="zh-CN"/>
        </w:rPr>
        <w:t>卫生健康支出</w:t>
      </w:r>
      <w:r>
        <w:rPr>
          <w:rStyle w:val="17"/>
          <w:rFonts w:hint="default" w:ascii="Times New Roman" w:hAnsi="Times New Roman" w:eastAsia="仿宋_GB2312" w:cs="Times New Roman"/>
          <w:b w:val="0"/>
          <w:bCs/>
          <w:color w:val="000000"/>
          <w:sz w:val="32"/>
          <w:szCs w:val="32"/>
        </w:rPr>
        <w:t>（类）</w:t>
      </w:r>
      <w:r>
        <w:rPr>
          <w:rStyle w:val="17"/>
          <w:rFonts w:hint="default" w:ascii="Times New Roman" w:hAnsi="Times New Roman" w:eastAsia="仿宋_GB2312" w:cs="Times New Roman"/>
          <w:b w:val="0"/>
          <w:bCs/>
          <w:color w:val="000000"/>
          <w:sz w:val="32"/>
          <w:szCs w:val="32"/>
          <w:lang w:eastAsia="zh-CN"/>
        </w:rPr>
        <w:t>行政事业单位医疗</w:t>
      </w:r>
      <w:r>
        <w:rPr>
          <w:rStyle w:val="17"/>
          <w:rFonts w:hint="default" w:ascii="Times New Roman" w:hAnsi="Times New Roman" w:eastAsia="仿宋_GB2312" w:cs="Times New Roman"/>
          <w:b w:val="0"/>
          <w:bCs/>
          <w:color w:val="000000"/>
          <w:sz w:val="32"/>
          <w:szCs w:val="32"/>
        </w:rPr>
        <w:t>（款）</w:t>
      </w:r>
      <w:r>
        <w:rPr>
          <w:rStyle w:val="17"/>
          <w:rFonts w:hint="default" w:ascii="Times New Roman" w:hAnsi="Times New Roman" w:eastAsia="仿宋_GB2312" w:cs="Times New Roman"/>
          <w:b w:val="0"/>
          <w:bCs/>
          <w:color w:val="000000"/>
          <w:sz w:val="32"/>
          <w:szCs w:val="32"/>
          <w:lang w:eastAsia="zh-CN"/>
        </w:rPr>
        <w:t>其他行政事业单位医疗支出</w:t>
      </w:r>
      <w:r>
        <w:rPr>
          <w:rStyle w:val="17"/>
          <w:rFonts w:hint="default" w:ascii="Times New Roman" w:hAnsi="Times New Roman" w:eastAsia="仿宋_GB2312" w:cs="Times New Roman"/>
          <w:b w:val="0"/>
          <w:bCs/>
          <w:color w:val="000000"/>
          <w:sz w:val="32"/>
          <w:szCs w:val="32"/>
        </w:rPr>
        <w:t>（</w:t>
      </w:r>
      <w:r>
        <w:rPr>
          <w:rStyle w:val="17"/>
          <w:rFonts w:hint="default" w:ascii="Times New Roman" w:hAnsi="Times New Roman" w:eastAsia="仿宋_GB2312" w:cs="Times New Roman"/>
          <w:b w:val="0"/>
          <w:bCs/>
          <w:color w:val="000000"/>
          <w:sz w:val="32"/>
          <w:szCs w:val="32"/>
          <w:lang w:val="en-US" w:eastAsia="zh-CN"/>
        </w:rPr>
        <w:t>项）</w:t>
      </w:r>
      <w:r>
        <w:rPr>
          <w:rStyle w:val="17"/>
          <w:rFonts w:hint="eastAsia" w:ascii="Times New Roman" w:hAnsi="Times New Roman" w:eastAsia="仿宋_GB2312" w:cs="Times New Roman"/>
          <w:b w:val="0"/>
          <w:bCs/>
          <w:color w:val="000000"/>
          <w:sz w:val="32"/>
          <w:szCs w:val="32"/>
          <w:lang w:val="en-US" w:eastAsia="zh-CN"/>
        </w:rPr>
        <w:t>：</w:t>
      </w:r>
      <w:r>
        <w:rPr>
          <w:rStyle w:val="17"/>
          <w:rFonts w:hint="default" w:ascii="Times New Roman" w:hAnsi="Times New Roman" w:eastAsia="仿宋_GB2312" w:cs="Times New Roman"/>
          <w:b w:val="0"/>
          <w:bCs/>
          <w:color w:val="000000"/>
          <w:sz w:val="32"/>
          <w:szCs w:val="32"/>
          <w:lang w:val="en-US" w:eastAsia="zh-CN"/>
        </w:rPr>
        <w:t>指其</w:t>
      </w:r>
      <w:r>
        <w:rPr>
          <w:rStyle w:val="17"/>
          <w:rFonts w:hint="default" w:ascii="Times New Roman" w:hAnsi="Times New Roman" w:eastAsia="仿宋_GB2312" w:cs="Times New Roman"/>
          <w:b w:val="0"/>
          <w:bCs/>
          <w:color w:val="000000"/>
          <w:sz w:val="32"/>
          <w:szCs w:val="32"/>
          <w:lang w:eastAsia="zh-CN"/>
        </w:rPr>
        <w:t>他</w:t>
      </w:r>
      <w:r>
        <w:rPr>
          <w:rStyle w:val="17"/>
          <w:rFonts w:hint="default" w:ascii="Times New Roman" w:hAnsi="Times New Roman" w:eastAsia="仿宋_GB2312" w:cs="Times New Roman"/>
          <w:b w:val="0"/>
          <w:bCs/>
          <w:color w:val="000000"/>
          <w:sz w:val="32"/>
          <w:szCs w:val="32"/>
          <w:lang w:val="en-US" w:eastAsia="zh-CN"/>
        </w:rPr>
        <w:t>用于</w:t>
      </w:r>
      <w:r>
        <w:rPr>
          <w:rStyle w:val="17"/>
          <w:rFonts w:hint="default" w:ascii="Times New Roman" w:hAnsi="Times New Roman" w:eastAsia="仿宋_GB2312" w:cs="Times New Roman"/>
          <w:b w:val="0"/>
          <w:bCs/>
          <w:color w:val="000000"/>
          <w:sz w:val="32"/>
          <w:szCs w:val="32"/>
          <w:lang w:eastAsia="zh-CN"/>
        </w:rPr>
        <w:t>行政事业单位医疗方面的支出。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Style w:val="17"/>
          <w:rFonts w:hint="default" w:ascii="Times New Roman" w:hAnsi="Times New Roman" w:eastAsia="仿宋_GB2312" w:cs="Times New Roman"/>
          <w:b w:val="0"/>
          <w:sz w:val="32"/>
          <w:szCs w:val="32"/>
        </w:rPr>
      </w:pPr>
      <w:r>
        <w:rPr>
          <w:rStyle w:val="17"/>
          <w:rFonts w:hint="default" w:ascii="Times New Roman" w:hAnsi="Times New Roman" w:eastAsia="仿宋_GB2312" w:cs="Times New Roman"/>
          <w:b w:val="0"/>
          <w:bCs/>
          <w:color w:val="000000"/>
          <w:sz w:val="32"/>
          <w:szCs w:val="32"/>
          <w:lang w:val="en-US" w:eastAsia="zh-CN"/>
        </w:rPr>
        <w:t>7.</w:t>
      </w:r>
      <w:r>
        <w:rPr>
          <w:rStyle w:val="17"/>
          <w:rFonts w:hint="default" w:ascii="Times New Roman" w:hAnsi="Times New Roman" w:eastAsia="仿宋_GB2312" w:cs="Times New Roman"/>
          <w:b w:val="0"/>
          <w:bCs/>
          <w:color w:val="000000"/>
          <w:sz w:val="32"/>
          <w:szCs w:val="32"/>
        </w:rPr>
        <w:t>城乡社区支出（类）城乡社区管理事务（款）其他城乡社区管理事务（项）</w:t>
      </w:r>
      <w:r>
        <w:rPr>
          <w:rStyle w:val="17"/>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sz w:val="32"/>
          <w:szCs w:val="32"/>
        </w:rPr>
        <w:t>指其他用于城乡社区管理事务方面的支出。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000000"/>
          <w:sz w:val="32"/>
          <w:szCs w:val="32"/>
        </w:rPr>
      </w:pPr>
      <w:r>
        <w:rPr>
          <w:rStyle w:val="17"/>
          <w:rFonts w:hint="default" w:ascii="Times New Roman" w:hAnsi="Times New Roman" w:eastAsia="仿宋_GB2312" w:cs="Times New Roman"/>
          <w:b w:val="0"/>
          <w:bCs/>
          <w:color w:val="000000"/>
          <w:sz w:val="32"/>
          <w:szCs w:val="32"/>
          <w:lang w:val="en-US" w:eastAsia="zh-CN"/>
        </w:rPr>
        <w:t>8.</w:t>
      </w:r>
      <w:r>
        <w:rPr>
          <w:rStyle w:val="17"/>
          <w:rFonts w:hint="default" w:ascii="Times New Roman" w:hAnsi="Times New Roman" w:eastAsia="仿宋_GB2312" w:cs="Times New Roman"/>
          <w:b w:val="0"/>
          <w:bCs/>
          <w:color w:val="000000"/>
          <w:sz w:val="32"/>
          <w:szCs w:val="32"/>
        </w:rPr>
        <w:t>住房保障支出（类）住房改革（款）住房公积金（项）</w:t>
      </w:r>
      <w:r>
        <w:rPr>
          <w:rStyle w:val="17"/>
          <w:rFonts w:hint="eastAsia" w:ascii="Times New Roman" w:hAnsi="Times New Roman" w:eastAsia="仿宋_GB2312" w:cs="Times New Roman"/>
          <w:b w:val="0"/>
          <w:bCs/>
          <w:color w:val="000000"/>
          <w:sz w:val="32"/>
          <w:szCs w:val="32"/>
          <w:lang w:eastAsia="zh-CN"/>
        </w:rPr>
        <w:t>：</w:t>
      </w:r>
      <w:r>
        <w:rPr>
          <w:rStyle w:val="17"/>
          <w:rFonts w:hint="default" w:ascii="Times New Roman" w:hAnsi="Times New Roman" w:eastAsia="仿宋_GB2312" w:cs="Times New Roman"/>
          <w:b w:val="0"/>
          <w:bCs/>
          <w:color w:val="000000"/>
          <w:sz w:val="32"/>
          <w:szCs w:val="32"/>
        </w:rPr>
        <w:t>指</w:t>
      </w:r>
      <w:r>
        <w:rPr>
          <w:rFonts w:hint="default"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.基本支出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ageBreakBefore w:val="0"/>
        <w:numPr>
          <w:ilvl w:val="0"/>
          <w:numId w:val="2"/>
        </w:numPr>
        <w:kinsoku/>
        <w:wordWrap/>
        <w:overflowPunct/>
        <w:topLinePunct w:val="0"/>
        <w:bidi w:val="0"/>
        <w:spacing w:line="600" w:lineRule="exact"/>
        <w:jc w:val="center"/>
        <w:textAlignment w:val="auto"/>
        <w:outlineLvl w:val="0"/>
        <w:rPr>
          <w:rFonts w:hint="default" w:ascii="Times New Roman" w:hAnsi="Times New Roman" w:eastAsia="黑体" w:cs="Times New Roman"/>
          <w:b w:val="0"/>
          <w:bCs w:val="0"/>
          <w:kern w:val="44"/>
          <w:sz w:val="44"/>
          <w:szCs w:val="44"/>
        </w:rPr>
      </w:pPr>
      <w:bookmarkStart w:id="40" w:name="_Toc15396614"/>
      <w:r>
        <w:rPr>
          <w:rFonts w:hint="default" w:ascii="Times New Roman" w:hAnsi="Times New Roman" w:eastAsia="黑体" w:cs="Times New Roman"/>
          <w:b w:val="0"/>
          <w:bCs w:val="0"/>
          <w:kern w:val="44"/>
          <w:sz w:val="44"/>
          <w:szCs w:val="44"/>
        </w:rPr>
        <w:t>附件</w:t>
      </w:r>
      <w:bookmarkEnd w:id="40"/>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黑体" w:cs="Times New Roman"/>
          <w:b/>
          <w:bCs/>
          <w:kern w:val="44"/>
          <w:sz w:val="44"/>
          <w:szCs w:val="44"/>
        </w:rPr>
      </w:pPr>
    </w:p>
    <w:p>
      <w:pPr>
        <w:pageBreakBefore w:val="0"/>
        <w:widowControl w:val="0"/>
        <w:kinsoku/>
        <w:wordWrap/>
        <w:overflowPunct/>
        <w:topLinePunct w:val="0"/>
        <w:bidi w:val="0"/>
        <w:spacing w:line="600" w:lineRule="exact"/>
        <w:jc w:val="both"/>
        <w:textAlignment w:val="auto"/>
        <w:outlineLvl w:val="0"/>
        <w:rPr>
          <w:rFonts w:hint="default" w:ascii="Times New Roman" w:hAnsi="Times New Roman" w:eastAsia="仿宋_GB2312" w:cs="Times New Roman"/>
          <w:b w:val="0"/>
          <w:bCs w:val="0"/>
          <w:kern w:val="44"/>
          <w:sz w:val="32"/>
          <w:szCs w:val="32"/>
          <w:lang w:val="en-US" w:eastAsia="zh-CN"/>
        </w:rPr>
      </w:pPr>
      <w:r>
        <w:rPr>
          <w:rFonts w:hint="default" w:ascii="Times New Roman" w:hAnsi="Times New Roman" w:eastAsia="仿宋_GB2312" w:cs="Times New Roman"/>
          <w:b/>
          <w:bCs/>
          <w:kern w:val="44"/>
          <w:sz w:val="44"/>
          <w:szCs w:val="44"/>
          <w:lang w:val="en-US" w:eastAsia="zh-CN"/>
        </w:rPr>
        <w:t xml:space="preserve"> </w:t>
      </w:r>
      <w:r>
        <w:rPr>
          <w:rFonts w:hint="default" w:ascii="Times New Roman" w:hAnsi="Times New Roman" w:eastAsia="仿宋_GB2312" w:cs="Times New Roman"/>
          <w:b w:val="0"/>
          <w:bCs w:val="0"/>
          <w:kern w:val="44"/>
          <w:sz w:val="32"/>
          <w:szCs w:val="32"/>
          <w:lang w:val="en-US" w:eastAsia="zh-CN"/>
        </w:rPr>
        <w:t xml:space="preserve"> 部门预算项目支出绩效自评表（2023年度）</w:t>
      </w:r>
      <w:r>
        <w:rPr>
          <w:rFonts w:hint="eastAsia" w:ascii="Times New Roman" w:hAnsi="Times New Roman" w:eastAsia="仿宋_GB2312" w:cs="Times New Roman"/>
          <w:b w:val="0"/>
          <w:bCs w:val="0"/>
          <w:kern w:val="44"/>
          <w:sz w:val="32"/>
          <w:szCs w:val="32"/>
          <w:lang w:val="en-US" w:eastAsia="zh-CN"/>
        </w:rPr>
        <w:t>（详</w:t>
      </w:r>
      <w:r>
        <w:rPr>
          <w:rFonts w:hint="default" w:ascii="Times New Roman" w:hAnsi="Times New Roman" w:eastAsia="仿宋_GB2312" w:cs="Times New Roman"/>
          <w:b w:val="0"/>
          <w:bCs w:val="0"/>
          <w:kern w:val="44"/>
          <w:sz w:val="32"/>
          <w:szCs w:val="32"/>
          <w:lang w:val="en-US" w:eastAsia="zh-CN"/>
        </w:rPr>
        <w:t>见附件2</w:t>
      </w:r>
      <w:r>
        <w:rPr>
          <w:rFonts w:hint="eastAsia" w:ascii="Times New Roman" w:hAnsi="Times New Roman" w:eastAsia="仿宋_GB2312" w:cs="Times New Roman"/>
          <w:b w:val="0"/>
          <w:bCs w:val="0"/>
          <w:kern w:val="44"/>
          <w:sz w:val="32"/>
          <w:szCs w:val="32"/>
          <w:lang w:val="en-US" w:eastAsia="zh-CN"/>
        </w:rPr>
        <w:t>）</w:t>
      </w:r>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仿宋" w:cs="Times New Roman"/>
          <w:b/>
          <w:bCs/>
          <w:kern w:val="44"/>
          <w:sz w:val="32"/>
          <w:szCs w:val="32"/>
        </w:rPr>
      </w:pPr>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黑体" w:cs="Times New Roman"/>
          <w:b/>
          <w:bCs/>
          <w:kern w:val="44"/>
          <w:sz w:val="44"/>
          <w:szCs w:val="44"/>
        </w:rPr>
      </w:pPr>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黑体" w:cs="Times New Roman"/>
          <w:b/>
          <w:bCs/>
          <w:kern w:val="44"/>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cs="Times New Roman"/>
          <w:b/>
          <w:sz w:val="32"/>
          <w:szCs w:val="32"/>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bookmarkStart w:id="41" w:name="_Toc15396618"/>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cs="黑体"/>
          <w:b w:val="0"/>
          <w:bCs w:val="0"/>
          <w:sz w:val="44"/>
          <w:szCs w:val="44"/>
        </w:rPr>
      </w:pPr>
      <w:r>
        <w:rPr>
          <w:rFonts w:hint="eastAsia" w:ascii="黑体" w:hAnsi="黑体" w:eastAsia="黑体" w:cs="黑体"/>
          <w:b w:val="0"/>
          <w:bCs w:val="0"/>
          <w:sz w:val="44"/>
          <w:szCs w:val="44"/>
        </w:rPr>
        <w:t>第</w:t>
      </w:r>
      <w:r>
        <w:rPr>
          <w:rFonts w:hint="eastAsia" w:ascii="黑体" w:hAnsi="黑体" w:eastAsia="黑体" w:cs="黑体"/>
          <w:b w:val="0"/>
          <w:bCs w:val="0"/>
          <w:kern w:val="44"/>
          <w:sz w:val="44"/>
          <w:szCs w:val="44"/>
        </w:rPr>
        <w:t>五部分 附表</w:t>
      </w:r>
      <w:bookmarkEnd w:id="41"/>
      <w:bookmarkStart w:id="42" w:name="_Toc15396619"/>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一、收</w:t>
      </w:r>
      <w:r>
        <w:rPr>
          <w:rFonts w:hint="default" w:ascii="Times New Roman" w:hAnsi="Times New Roman" w:eastAsia="仿宋_GB2312" w:cs="Times New Roman"/>
          <w:sz w:val="32"/>
          <w:szCs w:val="32"/>
        </w:rPr>
        <w:t>入支出决算总表</w:t>
      </w:r>
      <w:bookmarkEnd w:id="42"/>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43" w:name="_Toc15396620"/>
      <w:r>
        <w:rPr>
          <w:rFonts w:hint="default" w:ascii="Times New Roman" w:hAnsi="Times New Roman" w:eastAsia="仿宋_GB2312" w:cs="Times New Roman"/>
          <w:bCs/>
          <w:sz w:val="32"/>
          <w:szCs w:val="32"/>
        </w:rPr>
        <w:t>二、收</w:t>
      </w:r>
      <w:r>
        <w:rPr>
          <w:rFonts w:hint="default" w:ascii="Times New Roman" w:hAnsi="Times New Roman" w:eastAsia="仿宋_GB2312" w:cs="Times New Roman"/>
          <w:sz w:val="32"/>
          <w:szCs w:val="32"/>
        </w:rPr>
        <w:t>入决算表</w:t>
      </w:r>
      <w:bookmarkEnd w:id="43"/>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44" w:name="_Toc15396621"/>
      <w:r>
        <w:rPr>
          <w:rFonts w:hint="default" w:ascii="Times New Roman" w:hAnsi="Times New Roman" w:eastAsia="仿宋_GB2312" w:cs="Times New Roman"/>
          <w:sz w:val="32"/>
          <w:szCs w:val="32"/>
        </w:rPr>
        <w:t>三、</w:t>
      </w:r>
      <w:r>
        <w:rPr>
          <w:rFonts w:hint="default" w:ascii="Times New Roman" w:hAnsi="Times New Roman" w:eastAsia="仿宋_GB2312" w:cs="Times New Roman"/>
          <w:bCs/>
          <w:sz w:val="32"/>
          <w:szCs w:val="32"/>
        </w:rPr>
        <w:t>支</w:t>
      </w:r>
      <w:r>
        <w:rPr>
          <w:rFonts w:hint="default" w:ascii="Times New Roman" w:hAnsi="Times New Roman" w:eastAsia="仿宋_GB2312" w:cs="Times New Roman"/>
          <w:sz w:val="32"/>
          <w:szCs w:val="32"/>
        </w:rPr>
        <w:t>出决算表</w:t>
      </w:r>
      <w:bookmarkEnd w:id="44"/>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45" w:name="_Toc15396622"/>
      <w:r>
        <w:rPr>
          <w:rFonts w:hint="default" w:ascii="Times New Roman" w:hAnsi="Times New Roman" w:eastAsia="仿宋_GB2312" w:cs="Times New Roman"/>
          <w:sz w:val="32"/>
          <w:szCs w:val="32"/>
        </w:rPr>
        <w:t>四、</w:t>
      </w:r>
      <w:r>
        <w:rPr>
          <w:rFonts w:hint="default" w:ascii="Times New Roman" w:hAnsi="Times New Roman" w:eastAsia="仿宋_GB2312" w:cs="Times New Roman"/>
          <w:bCs/>
          <w:sz w:val="32"/>
          <w:szCs w:val="32"/>
        </w:rPr>
        <w:t>财</w:t>
      </w:r>
      <w:r>
        <w:rPr>
          <w:rFonts w:hint="default" w:ascii="Times New Roman" w:hAnsi="Times New Roman" w:eastAsia="仿宋_GB2312" w:cs="Times New Roman"/>
          <w:sz w:val="32"/>
          <w:szCs w:val="32"/>
        </w:rPr>
        <w:t>政拨款收入支出决算总表</w:t>
      </w:r>
      <w:bookmarkEnd w:id="45"/>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sz w:val="32"/>
          <w:szCs w:val="32"/>
        </w:rPr>
      </w:pPr>
      <w:bookmarkStart w:id="46" w:name="_Toc15396623"/>
      <w:r>
        <w:rPr>
          <w:rFonts w:hint="default" w:ascii="Times New Roman" w:hAnsi="Times New Roman" w:eastAsia="仿宋_GB2312" w:cs="Times New Roman"/>
          <w:sz w:val="32"/>
          <w:szCs w:val="32"/>
        </w:rPr>
        <w:t>五、</w:t>
      </w:r>
      <w:r>
        <w:rPr>
          <w:rFonts w:hint="default" w:ascii="Times New Roman" w:hAnsi="Times New Roman" w:eastAsia="仿宋_GB2312" w:cs="Times New Roman"/>
          <w:bCs/>
          <w:sz w:val="32"/>
          <w:szCs w:val="32"/>
        </w:rPr>
        <w:t>财</w:t>
      </w:r>
      <w:r>
        <w:rPr>
          <w:rFonts w:hint="default" w:ascii="Times New Roman" w:hAnsi="Times New Roman" w:eastAsia="仿宋_GB2312" w:cs="Times New Roman"/>
          <w:sz w:val="32"/>
          <w:szCs w:val="32"/>
        </w:rPr>
        <w:t>政拨款支出决算明细表</w:t>
      </w:r>
      <w:bookmarkEnd w:id="46"/>
      <w:bookmarkStart w:id="47" w:name="_Toc15396624"/>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般公共预算财政拨款支出决算表</w:t>
      </w:r>
      <w:bookmarkEnd w:id="47"/>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48" w:name="_Toc15396625"/>
      <w:r>
        <w:rPr>
          <w:rFonts w:hint="default" w:ascii="Times New Roman" w:hAnsi="Times New Roman" w:eastAsia="仿宋_GB2312" w:cs="Times New Roman"/>
          <w:sz w:val="32"/>
          <w:szCs w:val="32"/>
        </w:rPr>
        <w:t>七、</w:t>
      </w: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般公共预算财政拨款支出决算明细表</w:t>
      </w:r>
      <w:bookmarkEnd w:id="48"/>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49" w:name="_Toc15396626"/>
      <w:r>
        <w:rPr>
          <w:rFonts w:hint="default" w:ascii="Times New Roman" w:hAnsi="Times New Roman" w:eastAsia="仿宋_GB2312" w:cs="Times New Roman"/>
          <w:sz w:val="32"/>
          <w:szCs w:val="32"/>
        </w:rPr>
        <w:t>八、</w:t>
      </w: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般公共预算财政拨款基本支出决算</w:t>
      </w:r>
      <w:r>
        <w:rPr>
          <w:rFonts w:hint="default" w:ascii="Times New Roman" w:hAnsi="Times New Roman" w:eastAsia="仿宋_GB2312" w:cs="Times New Roman"/>
          <w:sz w:val="32"/>
          <w:szCs w:val="32"/>
          <w:lang w:eastAsia="zh-CN"/>
        </w:rPr>
        <w:t>明细</w:t>
      </w:r>
      <w:r>
        <w:rPr>
          <w:rFonts w:hint="default" w:ascii="Times New Roman" w:hAnsi="Times New Roman" w:eastAsia="仿宋_GB2312" w:cs="Times New Roman"/>
          <w:sz w:val="32"/>
          <w:szCs w:val="32"/>
        </w:rPr>
        <w:t>表</w:t>
      </w:r>
      <w:bookmarkEnd w:id="49"/>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50" w:name="_Toc15396627"/>
      <w:r>
        <w:rPr>
          <w:rFonts w:hint="default" w:ascii="Times New Roman" w:hAnsi="Times New Roman" w:eastAsia="仿宋_GB2312" w:cs="Times New Roman"/>
          <w:sz w:val="32"/>
          <w:szCs w:val="32"/>
        </w:rPr>
        <w:t>九、</w:t>
      </w: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般公共预算财政拨款项目支出决算表</w:t>
      </w:r>
      <w:bookmarkEnd w:id="50"/>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bookmarkStart w:id="51" w:name="_Toc15396628"/>
      <w:r>
        <w:rPr>
          <w:rFonts w:hint="default" w:ascii="Times New Roman" w:hAnsi="Times New Roman" w:eastAsia="仿宋_GB2312" w:cs="Times New Roman"/>
          <w:sz w:val="32"/>
          <w:szCs w:val="32"/>
        </w:rPr>
        <w:t>十、</w:t>
      </w:r>
      <w:bookmarkEnd w:id="51"/>
      <w:r>
        <w:rPr>
          <w:rFonts w:hint="default" w:ascii="Times New Roman" w:hAnsi="Times New Roman" w:eastAsia="仿宋_GB2312" w:cs="Times New Roman"/>
          <w:bCs/>
          <w:sz w:val="32"/>
          <w:szCs w:val="32"/>
        </w:rPr>
        <w:t>政</w:t>
      </w:r>
      <w:r>
        <w:rPr>
          <w:rFonts w:hint="default" w:ascii="Times New Roman" w:hAnsi="Times New Roman" w:eastAsia="仿宋_GB2312" w:cs="Times New Roman"/>
          <w:sz w:val="32"/>
          <w:szCs w:val="32"/>
        </w:rPr>
        <w:t>府性基金预算财政拨款收入支出决算表(此表无数据）</w:t>
      </w:r>
    </w:p>
    <w:p>
      <w:pPr>
        <w:keepNext/>
        <w:keepLines/>
        <w:pageBreakBefore w:val="0"/>
        <w:widowControl w:val="0"/>
        <w:kinsoku/>
        <w:wordWrap/>
        <w:overflowPunct/>
        <w:topLinePunct w:val="0"/>
        <w:autoSpaceDE/>
        <w:autoSpaceDN/>
        <w:bidi w:val="0"/>
        <w:adjustRightInd/>
        <w:snapToGrid/>
        <w:spacing w:before="260" w:after="260" w:line="600" w:lineRule="exact"/>
        <w:ind w:left="800" w:hanging="800" w:hangingChars="250"/>
        <w:textAlignment w:val="auto"/>
        <w:outlineLvl w:val="1"/>
        <w:rPr>
          <w:rFonts w:hint="default" w:ascii="Times New Roman" w:hAnsi="Times New Roman" w:eastAsia="仿宋_GB2312" w:cs="Times New Roman"/>
          <w:bCs/>
          <w:sz w:val="32"/>
          <w:szCs w:val="32"/>
        </w:rPr>
      </w:pPr>
      <w:bookmarkStart w:id="52" w:name="_Toc15396629"/>
      <w:r>
        <w:rPr>
          <w:rFonts w:hint="default" w:ascii="Times New Roman" w:hAnsi="Times New Roman" w:eastAsia="仿宋_GB2312" w:cs="Times New Roman"/>
          <w:sz w:val="32"/>
          <w:szCs w:val="32"/>
        </w:rPr>
        <w:t>十一、</w:t>
      </w:r>
      <w:bookmarkEnd w:id="52"/>
      <w:bookmarkStart w:id="53" w:name="_Toc15396631"/>
      <w:r>
        <w:rPr>
          <w:rFonts w:hint="default" w:ascii="Times New Roman" w:hAnsi="Times New Roman" w:eastAsia="仿宋_GB2312" w:cs="Times New Roman"/>
          <w:bCs/>
          <w:sz w:val="32"/>
          <w:szCs w:val="32"/>
        </w:rPr>
        <w:t>国</w:t>
      </w:r>
      <w:r>
        <w:rPr>
          <w:rFonts w:hint="default" w:ascii="Times New Roman" w:hAnsi="Times New Roman" w:eastAsia="仿宋_GB2312" w:cs="Times New Roman"/>
          <w:sz w:val="32"/>
          <w:szCs w:val="32"/>
        </w:rPr>
        <w:t>有资本经营预算财政拨款收入支出决算表</w:t>
      </w:r>
      <w:bookmarkEnd w:id="53"/>
      <w:r>
        <w:rPr>
          <w:rFonts w:hint="default" w:ascii="Times New Roman" w:hAnsi="Times New Roman" w:eastAsia="仿宋_GB2312" w:cs="Times New Roman"/>
          <w:sz w:val="32"/>
          <w:szCs w:val="32"/>
        </w:rPr>
        <w:t>(此表无数据）</w:t>
      </w:r>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十</w:t>
      </w:r>
      <w:bookmarkStart w:id="54" w:name="_Toc15396630"/>
      <w:r>
        <w:rPr>
          <w:rFonts w:hint="default" w:ascii="Times New Roman" w:hAnsi="Times New Roman" w:eastAsia="仿宋_GB2312" w:cs="Times New Roman"/>
          <w:bCs/>
          <w:sz w:val="32"/>
          <w:szCs w:val="32"/>
          <w:lang w:eastAsia="zh-CN"/>
        </w:rPr>
        <w:t>二、</w:t>
      </w:r>
      <w:r>
        <w:rPr>
          <w:rFonts w:hint="default" w:ascii="Times New Roman" w:hAnsi="Times New Roman" w:eastAsia="仿宋_GB2312" w:cs="Times New Roman"/>
          <w:bCs/>
          <w:sz w:val="32"/>
          <w:szCs w:val="32"/>
        </w:rPr>
        <w:t>国有资本经营预算财政拨款支出决算表</w:t>
      </w:r>
      <w:r>
        <w:rPr>
          <w:rFonts w:hint="default" w:ascii="Times New Roman" w:hAnsi="Times New Roman" w:eastAsia="仿宋_GB2312" w:cs="Times New Roman"/>
          <w:sz w:val="32"/>
          <w:szCs w:val="32"/>
        </w:rPr>
        <w:t>(此表无数据）</w:t>
      </w:r>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bookmarkEnd w:id="54"/>
      <w:r>
        <w:rPr>
          <w:rFonts w:hint="default" w:ascii="Times New Roman" w:hAnsi="Times New Roman" w:eastAsia="仿宋_GB2312" w:cs="Times New Roman"/>
          <w:sz w:val="32"/>
          <w:szCs w:val="32"/>
        </w:rPr>
        <w:t>财政拨款“三公”经费支出决算表</w:t>
      </w:r>
    </w:p>
    <w:p>
      <w:pPr>
        <w:keepNext/>
        <w:keepLines/>
        <w:pageBreakBefore w:val="0"/>
        <w:widowControl w:val="0"/>
        <w:kinsoku/>
        <w:wordWrap/>
        <w:overflowPunct/>
        <w:topLinePunct w:val="0"/>
        <w:bidi w:val="0"/>
        <w:spacing w:before="260" w:after="260" w:line="600" w:lineRule="exact"/>
        <w:textAlignment w:val="auto"/>
        <w:outlineLvl w:val="1"/>
        <w:rPr>
          <w:rFonts w:hint="default" w:ascii="Times New Roman" w:hAnsi="Times New Roman" w:eastAsia="仿宋_GB2312" w:cs="Times New Roman"/>
          <w:sz w:val="32"/>
          <w:szCs w:val="32"/>
        </w:rPr>
      </w:pP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Naskh Arabic"/>
    <w:panose1 w:val="020B0602030504020204"/>
    <w:charset w:val="00"/>
    <w:family w:val="auto"/>
    <w:pitch w:val="default"/>
    <w:sig w:usb0="00000000" w:usb1="00000000" w:usb2="00000000" w:usb3="00000000" w:csb0="2000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ucida Sans">
    <w:altName w:val="Noto Naskh Arabic"/>
    <w:panose1 w:val="020B0602030504020204"/>
    <w:charset w:val="01"/>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9248230"/>
    </w:sdtPr>
    <w:sdtEndPr>
      <w:rPr>
        <w:rFonts w:ascii="宋体" w:hAnsi="宋体"/>
        <w:sz w:val="24"/>
        <w:szCs w:val="24"/>
      </w:rPr>
    </w:sdtEndPr>
    <w:sdtContent>
      <w:p>
        <w:pPr>
          <w:pStyle w:val="11"/>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12</w:t>
        </w:r>
        <w:r>
          <w:rPr>
            <w:rFonts w:ascii="宋体" w:hAnsi="宋体"/>
            <w:sz w:val="24"/>
            <w:szCs w:val="24"/>
          </w:rPr>
          <w:fldChar w:fldCharType="end"/>
        </w:r>
      </w:p>
    </w:sdtContent>
  </w:sdt>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8432BA"/>
    <w:multiLevelType w:val="singleLevel"/>
    <w:tmpl w:val="378432BA"/>
    <w:lvl w:ilvl="0" w:tentative="0">
      <w:start w:val="4"/>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WNlMzViMzY2NDAyYTMyZTIwMmZmY2YzNmM4ZmJkZGIifQ=="/>
  </w:docVars>
  <w:rsids>
    <w:rsidRoot w:val="00000000"/>
    <w:rsid w:val="05382402"/>
    <w:rsid w:val="09983879"/>
    <w:rsid w:val="0F0D1101"/>
    <w:rsid w:val="1CA70D00"/>
    <w:rsid w:val="20620D6A"/>
    <w:rsid w:val="25C36E4A"/>
    <w:rsid w:val="309335A5"/>
    <w:rsid w:val="3FBD419A"/>
    <w:rsid w:val="449C7E1E"/>
    <w:rsid w:val="45FF924F"/>
    <w:rsid w:val="4D207454"/>
    <w:rsid w:val="50722D7F"/>
    <w:rsid w:val="51346287"/>
    <w:rsid w:val="5A5666AC"/>
    <w:rsid w:val="5F9C3975"/>
    <w:rsid w:val="5FBBD001"/>
    <w:rsid w:val="6883753F"/>
    <w:rsid w:val="6F0B01CF"/>
    <w:rsid w:val="6F8E1C9C"/>
    <w:rsid w:val="6FDA3C3E"/>
    <w:rsid w:val="74116287"/>
    <w:rsid w:val="757137F2"/>
    <w:rsid w:val="76A35191"/>
    <w:rsid w:val="F3F73423"/>
    <w:rsid w:val="FDDF296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0"/>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0">
    <w:name w:val="heading 2 Char"/>
    <w:basedOn w:val="16"/>
    <w:link w:val="6"/>
    <w:qFormat/>
    <w:uiPriority w:val="0"/>
    <w:rPr>
      <w:rFonts w:ascii="Cambria" w:hAnsi="Cambria" w:eastAsia="宋体" w:cs="Times New Roman"/>
      <w:b/>
      <w:bCs/>
      <w:kern w:val="2"/>
      <w:sz w:val="32"/>
      <w:szCs w:val="32"/>
      <w:lang w:val="en-US" w:eastAsia="zh-CN" w:bidi="ar-SA"/>
    </w:rPr>
  </w:style>
  <w:style w:type="character" w:customStyle="1" w:styleId="21">
    <w:name w:val="Header Char"/>
    <w:basedOn w:val="16"/>
    <w:qFormat/>
    <w:uiPriority w:val="0"/>
    <w:rPr>
      <w:rFonts w:ascii="Times New Roman" w:hAnsi="Times New Roman"/>
      <w:sz w:val="18"/>
      <w:szCs w:val="18"/>
    </w:rPr>
  </w:style>
  <w:style w:type="character" w:customStyle="1" w:styleId="22">
    <w:name w:val="Footer Char"/>
    <w:basedOn w:val="16"/>
    <w:qFormat/>
    <w:uiPriority w:val="0"/>
    <w:rPr>
      <w:rFonts w:ascii="Times New Roman" w:hAnsi="Times New Roman"/>
      <w:sz w:val="18"/>
      <w:szCs w:val="18"/>
    </w:rPr>
  </w:style>
  <w:style w:type="character" w:customStyle="1" w:styleId="23">
    <w:name w:val="Body Text Char"/>
    <w:basedOn w:val="16"/>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0"/>
    <w:pPr>
      <w:ind w:firstLine="200" w:firstLineChars="200"/>
    </w:pPr>
  </w:style>
  <w:style w:type="paragraph" w:customStyle="1" w:styleId="26">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7">
    <w:name w:val="Char Char"/>
    <w:basedOn w:val="1"/>
    <w:qFormat/>
    <w:uiPriority w:val="0"/>
    <w:pPr>
      <w:widowControl/>
      <w:spacing w:after="160" w:line="240" w:lineRule="exact"/>
      <w:jc w:val="left"/>
    </w:pPr>
    <w:rPr>
      <w:szCs w:val="20"/>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29">
    <w:name w:val="Char"/>
    <w:basedOn w:val="1"/>
    <w:qFormat/>
    <w:uiPriority w:val="0"/>
    <w:pPr>
      <w:spacing w:line="240" w:lineRule="atLeast"/>
      <w:ind w:left="420" w:firstLine="420"/>
    </w:pPr>
    <w:rPr>
      <w:kern w:val="0"/>
      <w:szCs w:val="21"/>
    </w:rPr>
  </w:style>
  <w:style w:type="paragraph" w:customStyle="1" w:styleId="30">
    <w:name w:val="Char Char1"/>
    <w:basedOn w:val="1"/>
    <w:qFormat/>
    <w:uiPriority w:val="0"/>
    <w:pPr>
      <w:widowControl/>
      <w:spacing w:after="160" w:line="240" w:lineRule="exact"/>
      <w:jc w:val="left"/>
    </w:pPr>
    <w:rPr>
      <w:szCs w:val="20"/>
    </w:rPr>
  </w:style>
  <w:style w:type="character" w:customStyle="1" w:styleId="31">
    <w:name w:val="font71"/>
    <w:basedOn w:val="16"/>
    <w:qFormat/>
    <w:uiPriority w:val="0"/>
    <w:rPr>
      <w:rFonts w:ascii="Times New Roman" w:hAnsi="Times New Roman" w:eastAsia="楷体_GB2312"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收、支决算总计变动情况图  </a:t>
            </a:r>
            <a:r>
              <a:rPr lang="zh-CN" sz="900" b="1" i="0" u="none" strike="noStrike" baseline="0">
                <a:solidFill>
                  <a:srgbClr val="404040"/>
                </a:solidFill>
                <a:latin typeface="Times New Roman" panose="02020603050405020304"/>
                <a:ea typeface="宋体" charset="-122"/>
                <a:cs typeface="Lucida Sans" panose="020B0602030504020204"/>
              </a:rPr>
              <a:t>单位：万元</a:t>
            </a:r>
            <a:endParaRPr lang="zh-CN" sz="900" b="1" i="0" u="none" strike="noStrike" baseline="0">
              <a:solidFill>
                <a:srgbClr val="404040"/>
              </a:solidFill>
              <a:latin typeface="Times New Roman" panose="02020603050405020304"/>
              <a:ea typeface="宋体" charset="-122"/>
              <a:cs typeface="Lucida Sans" panose="020B0602030504020204"/>
            </a:endParaRPr>
          </a:p>
        </c:rich>
      </c:tx>
      <c:layout>
        <c:manualLayout>
          <c:xMode val="edge"/>
          <c:yMode val="edge"/>
          <c:x val="0.2536598"/>
          <c:y val="0.029998345"/>
        </c:manualLayout>
      </c:layout>
      <c:overlay val="false"/>
      <c:spPr>
        <a:noFill/>
        <a:ln>
          <a:noFill/>
        </a:ln>
      </c:spPr>
    </c:title>
    <c:autoTitleDeleted val="false"/>
    <c:plotArea>
      <c:layout>
        <c:manualLayout>
          <c:layoutTarget val="inner"/>
          <c:xMode val="edge"/>
          <c:yMode val="edge"/>
          <c:x val="0.14463192"/>
          <c:y val="0.16247644"/>
          <c:w val="0.6406451"/>
          <c:h val="0.660088"/>
        </c:manualLayout>
      </c:layout>
      <c:barChart>
        <c:barDir val="col"/>
        <c:grouping val="clustered"/>
        <c:varyColors val="false"/>
        <c:ser>
          <c:idx val="0"/>
          <c:order val="0"/>
          <c:tx>
            <c:strRef>
              <c:f>Sheet1!$B$2</c:f>
              <c:strCache>
                <c:ptCount val="1"/>
                <c:pt idx="0">
                  <c:v>2023年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Sheet1!$C$1</c:f>
              <c:strCache>
                <c:ptCount val="1"/>
                <c:pt idx="0">
                  <c:v>单位：万元</c:v>
                </c:pt>
              </c:strCache>
            </c:strRef>
          </c:cat>
          <c:val>
            <c:numRef>
              <c:f>Sheet1!$C$2</c:f>
              <c:numCache>
                <c:formatCode>General</c:formatCode>
                <c:ptCount val="1"/>
                <c:pt idx="0">
                  <c:v>234.43</c:v>
                </c:pt>
              </c:numCache>
            </c:numRef>
          </c:val>
        </c:ser>
        <c:ser>
          <c:idx val="1"/>
          <c:order val="1"/>
          <c:tx>
            <c:strRef>
              <c:f>Sheet1!$B$3</c:f>
              <c:strCache>
                <c:ptCount val="1"/>
                <c:pt idx="0">
                  <c:v>2022年</c:v>
                </c:pt>
              </c:strCache>
            </c:strRef>
          </c:tx>
          <c:spPr>
            <a:solidFill>
              <a:srgbClr val="C0504D"/>
            </a:solidFill>
            <a:ln>
              <a:noFill/>
            </a:ln>
          </c:spPr>
          <c:invertIfNegative val="false"/>
          <c:dLbls>
            <c:dLbl>
              <c:idx val="0"/>
              <c:layout>
                <c:manualLayout>
                  <c:x val="0.0050985725"/>
                  <c:y val="-0.06971755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Sheet1!$C$1</c:f>
              <c:strCache>
                <c:ptCount val="1"/>
                <c:pt idx="0">
                  <c:v>单位：万元</c:v>
                </c:pt>
              </c:strCache>
            </c:strRef>
          </c:cat>
          <c:val>
            <c:numRef>
              <c:f>Sheet1!$C$3</c:f>
              <c:numCache>
                <c:formatCode>General</c:formatCode>
                <c:ptCount val="1"/>
                <c:pt idx="0">
                  <c:v>222.19</c:v>
                </c:pt>
              </c:numCache>
            </c:numRef>
          </c:val>
        </c:ser>
        <c:dLbls>
          <c:showLegendKey val="false"/>
          <c:showVal val="true"/>
          <c:showCatName val="false"/>
          <c:showSerName val="false"/>
          <c:showPercent val="false"/>
          <c:showBubbleSize val="false"/>
        </c:dLbls>
        <c:gapWidth val="246"/>
        <c:overlap val="-28"/>
        <c:axId val="0"/>
        <c:axId val="1"/>
      </c:barChart>
      <c:catAx>
        <c:axId val="0"/>
        <c:scaling>
          <c:orientation val="minMax"/>
        </c:scaling>
        <c:delete val="true"/>
        <c:axPos val="b"/>
        <c:numFmt formatCode="General" sourceLinked="true"/>
        <c:majorTickMark val="in"/>
        <c:minorTickMark val="none"/>
        <c:tickLblPos val="nextTo"/>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E6E6E6"/>
              </a:solidFill>
              <a:prstDash val="solid"/>
              <a:round/>
            </a:ln>
          </c:spPr>
        </c:majorGridlines>
        <c:numFmt formatCode="General" sourceLinked="true"/>
        <c:majorTickMark val="in"/>
        <c:minorTickMark val="none"/>
        <c:tickLblPos val="nextTo"/>
        <c:spPr>
          <a:ln w="9525" cap="flat" cmpd="sng" algn="ctr">
            <a:noFill/>
            <a:prstDash val="solid"/>
            <a:round/>
          </a:ln>
        </c:spPr>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0"/>
        <c:crossesAt val="1"/>
        <c:crossBetween val="between"/>
      </c:valAx>
      <c:spPr>
        <a:noFill/>
        <a:ln>
          <a:noFill/>
        </a:ln>
      </c:spPr>
    </c:plotArea>
    <c:legend>
      <c:legendPos val="b"/>
      <c:layout>
        <c:manualLayout>
          <c:xMode val="edge"/>
          <c:yMode val="edge"/>
          <c:x val="0.7867097"/>
          <c:y val="0.21283348"/>
          <c:w val="0.14530931"/>
          <c:h val="0.4236682"/>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 收入决算结构图  </a:t>
            </a:r>
            <a:r>
              <a:rPr lang="zh-CN" sz="900" b="1" i="0" u="none" strike="noStrike" baseline="0">
                <a:solidFill>
                  <a:srgbClr val="404040"/>
                </a:solidFill>
                <a:latin typeface="Times New Roman" panose="02020603050405020304"/>
                <a:ea typeface="宋体" charset="-122"/>
                <a:cs typeface="Lucida Sans" panose="020B0602030504020204"/>
              </a:rPr>
              <a:t>    </a:t>
            </a:r>
            <a:r>
              <a:rPr lang="zh-CN" sz="900" b="1" i="0" u="sng" strike="noStrike" baseline="0">
                <a:solidFill>
                  <a:srgbClr val="404040"/>
                </a:solidFill>
                <a:uFill>
                  <a:solidFill>
                    <a:srgbClr val="404040"/>
                  </a:solidFill>
                </a:uFill>
                <a:latin typeface="宋体" charset="-122"/>
                <a:ea typeface="宋体" charset="-122"/>
                <a:cs typeface="Lucida Sans" panose="020B0602030504020204"/>
              </a:rPr>
              <a:t>单位：万元</a:t>
            </a:r>
            <a:endParaRPr lang="zh-CN" sz="900" b="1" i="0" u="sng" strike="noStrike" baseline="0">
              <a:solidFill>
                <a:srgbClr val="404040"/>
              </a:solidFill>
              <a:uFill>
                <a:solidFill>
                  <a:srgbClr val="404040"/>
                </a:solidFill>
              </a:uFill>
              <a:latin typeface="宋体" charset="-122"/>
              <a:ea typeface="宋体" charset="-122"/>
              <a:cs typeface="Lucida Sans" panose="020B0602030504020204"/>
            </a:endParaRPr>
          </a:p>
        </c:rich>
      </c:tx>
      <c:layout>
        <c:manualLayout>
          <c:xMode val="edge"/>
          <c:yMode val="edge"/>
          <c:x val="0.2803523"/>
          <c:y val="0.12655915"/>
        </c:manualLayout>
      </c:layout>
      <c:overlay val="false"/>
      <c:spPr>
        <a:noFill/>
        <a:ln>
          <a:noFill/>
        </a:ln>
      </c:spPr>
    </c:title>
    <c:autoTitleDeleted val="false"/>
    <c:plotArea>
      <c:layout>
        <c:manualLayout>
          <c:layoutTarget val="inner"/>
          <c:xMode val="edge"/>
          <c:yMode val="edge"/>
          <c:x val="0.21175617"/>
          <c:y val="0.26664266"/>
          <c:w val="0.53541076"/>
          <c:h val="0.7241379"/>
        </c:manualLayout>
      </c:layout>
      <c:pieChart>
        <c:varyColors val="true"/>
        <c:ser>
          <c:idx val="0"/>
          <c:order val="0"/>
          <c:tx>
            <c:strRef>
              <c:f>'Sheet1 (2)'!$A$2</c:f>
              <c:strCache>
                <c:ptCount val="1"/>
                <c:pt idx="0">
                  <c:v/>
                </c:pt>
              </c:strCache>
            </c:strRef>
          </c:tx>
          <c:spPr>
            <a:ln>
              <a:noFill/>
            </a:ln>
          </c:spPr>
          <c:explosion val="39"/>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Lbls>
            <c:dLbl>
              <c:idx val="1"/>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(2)'!$B$1:$C$1</c:f>
              <c:strCache>
                <c:ptCount val="2"/>
                <c:pt idx="0">
                  <c:v>一般公共预算财政拨款收入</c:v>
                </c:pt>
              </c:strCache>
            </c:strRef>
          </c:cat>
          <c:val>
            <c:numRef>
              <c:f>'Sheet1 (2)'!$B$2:$C$2</c:f>
              <c:numCache>
                <c:formatCode>General</c:formatCode>
                <c:ptCount val="2"/>
                <c:pt idx="0">
                  <c:v>234.43</c:v>
                </c:pt>
              </c:numCache>
            </c:numRef>
          </c:val>
        </c:ser>
        <c:dLbls>
          <c:showLegendKey val="false"/>
          <c:showVal val="true"/>
          <c:showCatName val="false"/>
          <c:showSerName val="false"/>
          <c:showPercent val="false"/>
          <c:showBubbleSize val="false"/>
          <c:showLeaderLines val="true"/>
        </c:dLbls>
        <c:firstSliceAng val="0"/>
      </c:pieChart>
      <c:spPr>
        <a:noFill/>
        <a:ln>
          <a:noFill/>
        </a:ln>
      </c:spPr>
    </c:plotArea>
    <c:legend>
      <c:legendPos val="t"/>
      <c:layout>
        <c:manualLayout>
          <c:xMode val="edge"/>
          <c:yMode val="edge"/>
          <c:x val="0.7110488"/>
          <c:y val="0.4299556"/>
          <c:w val="0.25010788"/>
          <c:h val="0.557933"/>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400" b="1" i="0" u="none" strike="noStrike" baseline="0">
                <a:solidFill>
                  <a:srgbClr val="404040"/>
                </a:solidFill>
                <a:latin typeface="宋体" charset="-122"/>
                <a:ea typeface="宋体" charset="-122"/>
                <a:cs typeface="Lucida Sans" panose="020B0602030504020204"/>
              </a:rPr>
              <a:t> </a:t>
            </a:r>
            <a:r>
              <a:rPr lang="zh-CN" sz="1050" b="1" i="0" u="none" strike="noStrike" baseline="0">
                <a:solidFill>
                  <a:srgbClr val="404040"/>
                </a:solidFill>
                <a:latin typeface="宋体" charset="-122"/>
                <a:ea typeface="宋体" charset="-122"/>
                <a:cs typeface="Lucida Sans" panose="020B0602030504020204"/>
              </a:rPr>
              <a:t>支出决算结构图  </a:t>
            </a:r>
            <a:r>
              <a:rPr lang="zh-CN" sz="900" b="1" i="0" u="none" strike="noStrike" baseline="0">
                <a:solidFill>
                  <a:srgbClr val="404040"/>
                </a:solidFill>
                <a:latin typeface="宋体" charset="-122"/>
                <a:ea typeface="宋体" charset="-122"/>
                <a:cs typeface="Lucida Sans" panose="020B0602030504020204"/>
              </a:rPr>
              <a:t>  单位：万元</a:t>
            </a:r>
            <a:endParaRPr lang="zh-CN" sz="900" b="1" i="0" u="none" strike="noStrike" baseline="0">
              <a:solidFill>
                <a:srgbClr val="404040"/>
              </a:solidFill>
              <a:latin typeface="宋体" charset="-122"/>
              <a:ea typeface="宋体" charset="-122"/>
              <a:cs typeface="Lucida Sans" panose="020B0602030504020204"/>
            </a:endParaRPr>
          </a:p>
        </c:rich>
      </c:tx>
      <c:layout>
        <c:manualLayout>
          <c:xMode val="edge"/>
          <c:yMode val="edge"/>
          <c:x val="0.27112272"/>
          <c:y val="0.03006012"/>
        </c:manualLayout>
      </c:layout>
      <c:overlay val="false"/>
      <c:spPr>
        <a:noFill/>
        <a:ln>
          <a:noFill/>
        </a:ln>
      </c:spPr>
    </c:title>
    <c:autoTitleDeleted val="false"/>
    <c:plotArea>
      <c:layout>
        <c:manualLayout>
          <c:layoutTarget val="inner"/>
          <c:xMode val="edge"/>
          <c:yMode val="edge"/>
          <c:x val="0.2163771"/>
          <c:y val="0.28333634"/>
          <c:w val="0.36057484"/>
          <c:h val="0.71813047"/>
        </c:manualLayout>
      </c:layout>
      <c:pieChart>
        <c:varyColors val="true"/>
        <c:ser>
          <c:idx val="0"/>
          <c:order val="0"/>
          <c:tx>
            <c:strRef>
              <c:f>'Sheet1 (3)'!$D$1</c:f>
              <c:strCache>
                <c:ptCount val="1"/>
                <c:pt idx="0">
                  <c:v/>
                </c:pt>
              </c:strCache>
            </c:strRef>
          </c:tx>
          <c:spPr>
            <a:ln>
              <a:noFill/>
            </a:ln>
          </c:spPr>
          <c:explosion val="0"/>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Lbls>
            <c:dLbl>
              <c:idx val="1"/>
              <c:layout>
                <c:manualLayout>
                  <c:x val="-0.071566656"/>
                  <c:y val="0"/>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c:v>
                </c:pt>
                <c:pt idx="1">
                  <c:v>项目支出</c:v>
                </c:pt>
              </c:strCache>
            </c:strRef>
          </c:cat>
          <c:val>
            <c:numRef>
              <c:f>'Sheet1 (3)'!$B$2:$C$2</c:f>
              <c:numCache>
                <c:formatCode>General</c:formatCode>
                <c:ptCount val="2"/>
                <c:pt idx="0">
                  <c:v>227.36</c:v>
                </c:pt>
                <c:pt idx="1">
                  <c:v>7.07</c:v>
                </c:pt>
              </c:numCache>
            </c:numRef>
          </c:val>
        </c:ser>
        <c:dLbls>
          <c:showLegendKey val="false"/>
          <c:showVal val="true"/>
          <c:showCatName val="false"/>
          <c:showSerName val="false"/>
          <c:showPercent val="false"/>
          <c:showBubbleSize val="false"/>
          <c:showLeaderLines val="true"/>
        </c:dLbls>
        <c:firstSliceAng val="0"/>
      </c:pieChart>
      <c:spPr>
        <a:noFill/>
        <a:ln>
          <a:noFill/>
        </a:ln>
      </c:spPr>
    </c:plotArea>
    <c:legend>
      <c:legendPos val="t"/>
      <c:layout>
        <c:manualLayout>
          <c:xMode val="edge"/>
          <c:yMode val="edge"/>
          <c:x val="0.5979015"/>
          <c:y val="0.4052772"/>
          <c:w val="0.30969706"/>
          <c:h val="0.15120071"/>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000000"/>
                </a:solidFill>
                <a:latin typeface="宋体" charset="-122"/>
                <a:ea typeface="宋体" charset="-122"/>
                <a:cs typeface="Lucida Sans" panose="020B0602030504020204"/>
              </a:rPr>
              <a:t>财政拨款收、支决算总计变动情况图 </a:t>
            </a:r>
            <a:r>
              <a:rPr lang="zh-CN" sz="900" b="1" i="0" u="none" strike="noStrike" baseline="0">
                <a:solidFill>
                  <a:srgbClr val="000000"/>
                </a:solidFill>
                <a:latin typeface="宋体" charset="-122"/>
                <a:ea typeface="宋体" charset="-122"/>
                <a:cs typeface="Lucida Sans" panose="020B0602030504020204"/>
              </a:rPr>
              <a:t>单位：万元</a:t>
            </a:r>
            <a:endParaRPr lang="zh-CN" sz="900" b="1" i="0" u="none" strike="noStrike" baseline="0">
              <a:solidFill>
                <a:srgbClr val="000000"/>
              </a:solidFill>
              <a:latin typeface="宋体" charset="-122"/>
              <a:ea typeface="宋体" charset="-122"/>
              <a:cs typeface="Lucida Sans" panose="020B0602030504020204"/>
            </a:endParaRPr>
          </a:p>
        </c:rich>
      </c:tx>
      <c:layout/>
      <c:overlay val="false"/>
      <c:spPr>
        <a:ln>
          <a:noFill/>
        </a:ln>
      </c:spPr>
    </c:title>
    <c:autoTitleDeleted val="false"/>
    <c:plotArea>
      <c:layout>
        <c:manualLayout>
          <c:layoutTarget val="inner"/>
          <c:xMode val="edge"/>
          <c:yMode val="edge"/>
          <c:x val="0.15694423"/>
          <c:y val="0.24170771"/>
          <c:w val="0.6726137"/>
          <c:h val="0.6158949"/>
        </c:manualLayout>
      </c:layout>
      <c:barChart>
        <c:barDir val="col"/>
        <c:grouping val="clustered"/>
        <c:varyColors val="false"/>
        <c:ser>
          <c:idx val="0"/>
          <c:order val="0"/>
          <c:tx>
            <c:strRef>
              <c:f>'Sheet1 (4)'!$A$2</c:f>
              <c:strCache>
                <c:ptCount val="1"/>
                <c:pt idx="0">
                  <c:v>2023年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(4)'!$B$1</c:f>
              <c:strCache>
                <c:ptCount val="1"/>
                <c:pt idx="0">
                  <c:v>单位：万元</c:v>
                </c:pt>
              </c:strCache>
            </c:strRef>
          </c:cat>
          <c:val>
            <c:numRef>
              <c:f>'Sheet1 (4)'!$B$2</c:f>
              <c:numCache>
                <c:formatCode>General</c:formatCode>
                <c:ptCount val="1"/>
                <c:pt idx="0">
                  <c:v>234.43</c:v>
                </c:pt>
              </c:numCache>
            </c:numRef>
          </c:val>
        </c:ser>
        <c:ser>
          <c:idx val="1"/>
          <c:order val="1"/>
          <c:tx>
            <c:strRef>
              <c:f>'Sheet1 (4)'!$A$3</c:f>
              <c:strCache>
                <c:ptCount val="1"/>
                <c:pt idx="0">
                  <c:v>2022年</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(4)'!$B$1</c:f>
              <c:strCache>
                <c:ptCount val="1"/>
                <c:pt idx="0">
                  <c:v>单位：万元</c:v>
                </c:pt>
              </c:strCache>
            </c:strRef>
          </c:cat>
          <c:val>
            <c:numRef>
              <c:f>'Sheet1 (4)'!$B$3</c:f>
              <c:numCache>
                <c:formatCode>General</c:formatCode>
                <c:ptCount val="1"/>
                <c:pt idx="0">
                  <c:v>222.19</c:v>
                </c:pt>
              </c:numCache>
            </c:numRef>
          </c:val>
        </c:ser>
        <c:dLbls>
          <c:showLegendKey val="false"/>
          <c:showVal val="true"/>
          <c:showCatName val="false"/>
          <c:showSerName val="false"/>
          <c:showPercent val="false"/>
          <c:showBubbleSize val="false"/>
        </c:dLbls>
        <c:gapWidth val="246"/>
        <c:overlap val="-28"/>
        <c:axId val="0"/>
        <c:axId val="1"/>
      </c:barChart>
      <c:catAx>
        <c:axId val="0"/>
        <c:scaling>
          <c:orientation val="minMax"/>
        </c:scaling>
        <c:delete val="true"/>
        <c:axPos val="b"/>
        <c:numFmt formatCode="General" sourceLinked="true"/>
        <c:majorTickMark val="in"/>
        <c:minorTickMark val="none"/>
        <c:tickLblPos val="nextTo"/>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E6E6E6"/>
              </a:solidFill>
              <a:prstDash val="solid"/>
              <a:round/>
            </a:ln>
          </c:spPr>
        </c:majorGridlines>
        <c:numFmt formatCode="General" sourceLinked="true"/>
        <c:majorTickMark val="in"/>
        <c:minorTickMark val="none"/>
        <c:tickLblPos val="nextTo"/>
        <c:spPr>
          <a:ln w="9525" cap="flat" cmpd="sng" algn="ctr">
            <a:noFill/>
            <a:prstDash val="solid"/>
            <a:round/>
          </a:ln>
        </c:spPr>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0"/>
        <c:crossesAt val="1"/>
        <c:crossBetween val="between"/>
      </c:valAx>
      <c:spPr>
        <a:noFill/>
        <a:ln>
          <a:noFill/>
        </a:ln>
      </c:spPr>
    </c:plotArea>
    <c:legend>
      <c:legendPos val="b"/>
      <c:layout>
        <c:manualLayout>
          <c:xMode val="edge"/>
          <c:yMode val="edge"/>
          <c:x val="0.83370775"/>
          <c:y val="0.26161587"/>
          <c:w val="0.1522651"/>
          <c:h val="0.606701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一般公共预算财政拨款支出决算变动情况图</a:t>
            </a:r>
            <a:r>
              <a:rPr lang="zh-CN" sz="1400" b="1" i="0" u="none" strike="noStrike" baseline="0">
                <a:solidFill>
                  <a:srgbClr val="404040"/>
                </a:solidFill>
                <a:latin typeface="Times New Roman" panose="02020603050405020304"/>
                <a:ea typeface="宋体" charset="-122"/>
                <a:cs typeface="Lucida Sans" panose="020B0602030504020204"/>
              </a:rPr>
              <a:t> </a:t>
            </a:r>
            <a:r>
              <a:rPr lang="zh-CN" sz="900" b="1" i="0" u="none" strike="noStrike" baseline="0">
                <a:solidFill>
                  <a:srgbClr val="404040"/>
                </a:solidFill>
                <a:latin typeface="Times New Roman" panose="02020603050405020304"/>
                <a:ea typeface="宋体" charset="-122"/>
                <a:cs typeface="Lucida Sans" panose="020B0602030504020204"/>
              </a:rPr>
              <a:t>单位：万元</a:t>
            </a:r>
            <a:endParaRPr lang="zh-CN" sz="900" b="1" i="0" u="none" strike="noStrike" baseline="0">
              <a:solidFill>
                <a:srgbClr val="404040"/>
              </a:solidFill>
              <a:latin typeface="Times New Roman" panose="02020603050405020304"/>
              <a:ea typeface="宋体" charset="-122"/>
              <a:cs typeface="Lucida Sans" panose="020B0602030504020204"/>
            </a:endParaRPr>
          </a:p>
        </c:rich>
      </c:tx>
      <c:layout>
        <c:manualLayout>
          <c:xMode val="edge"/>
          <c:yMode val="edge"/>
          <c:x val="0.17177261"/>
          <c:y val="0.036669735"/>
        </c:manualLayout>
      </c:layout>
      <c:overlay val="false"/>
      <c:spPr>
        <a:noFill/>
        <a:ln>
          <a:noFill/>
        </a:ln>
      </c:spPr>
    </c:title>
    <c:autoTitleDeleted val="false"/>
    <c:plotArea>
      <c:layout>
        <c:manualLayout>
          <c:layoutTarget val="inner"/>
          <c:xMode val="edge"/>
          <c:yMode val="edge"/>
          <c:x val="0.14809011"/>
          <c:y val="0.22892494"/>
          <c:w val="0.64381623"/>
          <c:h val="0.7148636"/>
        </c:manualLayout>
      </c:layout>
      <c:barChart>
        <c:barDir val="col"/>
        <c:grouping val="clustered"/>
        <c:varyColors val="false"/>
        <c:ser>
          <c:idx val="0"/>
          <c:order val="0"/>
          <c:tx>
            <c:strRef>
              <c:f>'Sheet1 (5)'!$A$2</c:f>
              <c:strCache>
                <c:ptCount val="1"/>
                <c:pt idx="0">
                  <c:v>2023年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(5)'!$B$1</c:f>
              <c:strCache>
                <c:ptCount val="1"/>
                <c:pt idx="0">
                  <c:v>单位：万元</c:v>
                </c:pt>
              </c:strCache>
            </c:strRef>
          </c:cat>
          <c:val>
            <c:numRef>
              <c:f>'Sheet1 (5)'!$B$2</c:f>
              <c:numCache>
                <c:formatCode>General</c:formatCode>
                <c:ptCount val="1"/>
                <c:pt idx="0">
                  <c:v>234.43</c:v>
                </c:pt>
              </c:numCache>
            </c:numRef>
          </c:val>
        </c:ser>
        <c:ser>
          <c:idx val="1"/>
          <c:order val="1"/>
          <c:tx>
            <c:strRef>
              <c:f>'Sheet1 (5)'!$A$3</c:f>
              <c:strCache>
                <c:ptCount val="1"/>
                <c:pt idx="0">
                  <c:v>2022年</c:v>
                </c:pt>
              </c:strCache>
            </c:strRef>
          </c:tx>
          <c:spPr>
            <a:solidFill>
              <a:srgbClr val="C0504D"/>
            </a:solidFill>
            <a:ln>
              <a:noFill/>
            </a:ln>
          </c:spPr>
          <c:invertIfNegative val="false"/>
          <c:dLbls>
            <c:dLbl>
              <c:idx val="0"/>
              <c:layout>
                <c:manualLayout>
                  <c:x val="0.015479876"/>
                  <c:y val="-0.05426917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(5)'!$B$1</c:f>
              <c:strCache>
                <c:ptCount val="1"/>
                <c:pt idx="0">
                  <c:v>单位：万元</c:v>
                </c:pt>
              </c:strCache>
            </c:strRef>
          </c:cat>
          <c:val>
            <c:numRef>
              <c:f>'Sheet1 (5)'!$B$3</c:f>
              <c:numCache>
                <c:formatCode>General</c:formatCode>
                <c:ptCount val="1"/>
                <c:pt idx="0">
                  <c:v>222.19</c:v>
                </c:pt>
              </c:numCache>
            </c:numRef>
          </c:val>
        </c:ser>
        <c:dLbls>
          <c:showLegendKey val="false"/>
          <c:showVal val="true"/>
          <c:showCatName val="false"/>
          <c:showSerName val="false"/>
          <c:showPercent val="false"/>
          <c:showBubbleSize val="false"/>
        </c:dLbls>
        <c:gapWidth val="246"/>
        <c:overlap val="-28"/>
        <c:axId val="0"/>
        <c:axId val="1"/>
      </c:barChart>
      <c:catAx>
        <c:axId val="0"/>
        <c:scaling>
          <c:orientation val="minMax"/>
        </c:scaling>
        <c:delete val="true"/>
        <c:axPos val="b"/>
        <c:numFmt formatCode="General" sourceLinked="true"/>
        <c:majorTickMark val="in"/>
        <c:minorTickMark val="none"/>
        <c:tickLblPos val="nextTo"/>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E6E6E6"/>
              </a:solidFill>
              <a:prstDash val="solid"/>
              <a:round/>
            </a:ln>
          </c:spPr>
        </c:majorGridlines>
        <c:numFmt formatCode="General" sourceLinked="true"/>
        <c:majorTickMark val="in"/>
        <c:minorTickMark val="none"/>
        <c:tickLblPos val="nextTo"/>
        <c:spPr>
          <a:ln w="9525" cap="flat" cmpd="sng" algn="ctr">
            <a:noFill/>
            <a:prstDash val="solid"/>
            <a:round/>
          </a:ln>
        </c:spPr>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0"/>
        <c:crossesAt val="1"/>
        <c:crossBetween val="between"/>
      </c:valAx>
      <c:spPr>
        <a:noFill/>
        <a:ln>
          <a:noFill/>
        </a:ln>
      </c:spPr>
    </c:plotArea>
    <c:legend>
      <c:legendPos val="b"/>
      <c:layout>
        <c:manualLayout>
          <c:xMode val="edge"/>
          <c:yMode val="edge"/>
          <c:x val="0.77382183"/>
          <c:y val="0.37952244"/>
          <c:w val="0.16769865"/>
          <c:h val="0.4992764"/>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050" b="1" i="0" u="none" strike="noStrike" kern="1200" baseline="0">
                <a:solidFill>
                  <a:srgbClr val="000000"/>
                </a:solidFill>
                <a:latin typeface="宋体" charset="-122"/>
                <a:ea typeface="宋体" charset="-122"/>
                <a:cs typeface="Lucida Sans" panose="020B0602030504020204"/>
              </a:defRPr>
            </a:pPr>
            <a:r>
              <a:rPr lang="zh-CN"/>
              <a:t>一般公共预算财政拨款支出决算结构图</a:t>
            </a:r>
            <a:endParaRPr lang="zh-CN"/>
          </a:p>
        </c:rich>
      </c:tx>
      <c:layout/>
      <c:overlay val="false"/>
      <c:spPr>
        <a:noFill/>
        <a:ln>
          <a:noFill/>
        </a:ln>
      </c:spPr>
    </c:title>
    <c:autoTitleDeleted val="false"/>
    <c:plotArea>
      <c:layout>
        <c:manualLayout>
          <c:layoutTarget val="inner"/>
          <c:xMode val="edge"/>
          <c:yMode val="edge"/>
          <c:x val="0.11785714"/>
          <c:y val="0.32539684"/>
          <c:w val="0.5303571"/>
          <c:h val="0.46825397"/>
        </c:manualLayout>
      </c:layout>
      <c:pieChart>
        <c:varyColors val="true"/>
        <c:ser>
          <c:idx val="0"/>
          <c:order val="0"/>
          <c:spPr>
            <a:ln>
              <a:noFill/>
            </a:ln>
          </c:spPr>
          <c:explosion val="0"/>
          <c:dPt>
            <c:idx val="0"/>
            <c:bubble3D val="false"/>
            <c:spPr>
              <a:solidFill>
                <a:srgbClr val="F79646"/>
              </a:solidFill>
              <a:ln>
                <a:noFill/>
              </a:ln>
            </c:spPr>
          </c:dPt>
          <c:dPt>
            <c:idx val="1"/>
            <c:bubble3D val="false"/>
            <c:spPr>
              <a:solidFill>
                <a:srgbClr val="4BACC6"/>
              </a:solidFill>
              <a:ln>
                <a:noFill/>
              </a:ln>
            </c:spPr>
          </c:dPt>
          <c:dPt>
            <c:idx val="2"/>
            <c:bubble3D val="false"/>
            <c:spPr>
              <a:solidFill>
                <a:srgbClr val="8064A2"/>
              </a:solidFill>
              <a:ln>
                <a:noFill/>
              </a:ln>
            </c:spPr>
          </c:dPt>
          <c:dPt>
            <c:idx val="3"/>
            <c:bubble3D val="false"/>
            <c:spPr>
              <a:solidFill>
                <a:srgbClr val="B65708"/>
              </a:solidFill>
              <a:ln>
                <a:noFill/>
              </a:ln>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Sheet2!$A$2:$A$5</c:f>
              <c:strCache>
                <c:ptCount val="4"/>
                <c:pt idx="0">
                  <c:v>社会保障和就业支出</c:v>
                </c:pt>
                <c:pt idx="1">
                  <c:v>城乡社区支出</c:v>
                </c:pt>
                <c:pt idx="2">
                  <c:v>住房保障支出</c:v>
                </c:pt>
                <c:pt idx="3">
                  <c:v>卫生健康支出</c:v>
                </c:pt>
              </c:strCache>
            </c:strRef>
          </c:cat>
          <c:val>
            <c:numRef>
              <c:f>Sheet2!$B$2:$B$5</c:f>
              <c:numCache>
                <c:formatCode>#,##0.00</c:formatCode>
                <c:ptCount val="4"/>
                <c:pt idx="0">
                  <c:v>35.09</c:v>
                </c:pt>
                <c:pt idx="1">
                  <c:v>169.64</c:v>
                </c:pt>
                <c:pt idx="2">
                  <c:v>16.91</c:v>
                </c:pt>
                <c:pt idx="3">
                  <c:v>12.79</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manualLayout>
          <c:xMode val="edge"/>
          <c:yMode val="edge"/>
          <c:x val="0.5666611"/>
          <c:y val="0.33034045"/>
          <c:w val="0.2908393"/>
          <c:h val="0.48073325"/>
        </c:manualLayout>
      </c:layout>
      <c:overlay val="false"/>
      <c:spPr>
        <a:solidFill>
          <a:srgbClr val="FFFFFF"/>
        </a:solidFill>
        <a:ln w="6350">
          <a:solidFill>
            <a:srgbClr val="000000"/>
          </a:solidFill>
          <a:prstDash val="solid"/>
        </a:ln>
      </c:spPr>
      <c:txPr>
        <a:bodyPr rot="0" spcFirstLastPara="0" vertOverflow="ellipsis" vert="horz" wrap="square" anchor="ctr" anchorCtr="true"/>
        <a:lstStyle/>
        <a:p>
          <a:pPr>
            <a:defRPr lang="zh-CN" sz="80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000000"/>
      </a:solidFill>
      <a:prstDash val="solid"/>
      <a:round/>
    </a:ln>
  </c:spPr>
  <c:txPr>
    <a:bodyPr/>
    <a:lstStyle/>
    <a:p>
      <a:pPr>
        <a:defRPr lang="zh-CN" sz="9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宋体" charset="-122"/>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“三公”经费财政拨款支出结构</a:t>
            </a:r>
            <a:r>
              <a:rPr lang="zh-CN" sz="1400" b="1" i="0" u="none" strike="noStrike" baseline="0">
                <a:solidFill>
                  <a:srgbClr val="404040"/>
                </a:solidFill>
                <a:latin typeface="宋体" charset="-122"/>
                <a:ea typeface="宋体" charset="-122"/>
                <a:cs typeface="Lucida Sans" panose="020B0602030504020204"/>
              </a:rPr>
              <a:t> </a:t>
            </a:r>
            <a:r>
              <a:rPr lang="zh-CN" sz="900" b="1" i="0" u="none" strike="noStrike" baseline="0">
                <a:solidFill>
                  <a:srgbClr val="404040"/>
                </a:solidFill>
                <a:latin typeface="宋体" charset="-122"/>
                <a:ea typeface="宋体" charset="-122"/>
                <a:cs typeface="Lucida Sans" panose="020B0602030504020204"/>
              </a:rPr>
              <a:t>单位：万元</a:t>
            </a:r>
            <a:endParaRPr lang="zh-CN" sz="900" b="1" i="0" u="none" strike="noStrike" baseline="0">
              <a:solidFill>
                <a:srgbClr val="404040"/>
              </a:solidFill>
              <a:latin typeface="宋体" charset="-122"/>
              <a:ea typeface="宋体" charset="-122"/>
              <a:cs typeface="Lucida Sans" panose="020B0602030504020204"/>
            </a:endParaRPr>
          </a:p>
        </c:rich>
      </c:tx>
      <c:layout>
        <c:manualLayout>
          <c:xMode val="edge"/>
          <c:yMode val="edge"/>
          <c:x val="0.20554124"/>
          <c:y val="0.03880266"/>
        </c:manualLayout>
      </c:layout>
      <c:overlay val="false"/>
      <c:spPr>
        <a:noFill/>
        <a:ln>
          <a:noFill/>
        </a:ln>
      </c:spPr>
    </c:title>
    <c:autoTitleDeleted val="false"/>
    <c:plotArea>
      <c:layout>
        <c:manualLayout>
          <c:layoutTarget val="inner"/>
          <c:xMode val="edge"/>
          <c:yMode val="edge"/>
          <c:x val="0.30521092"/>
          <c:y val="0.10869565"/>
          <c:w val="0.17866005"/>
          <c:h val="0.7826087"/>
        </c:manualLayout>
      </c:layout>
      <c:pieChart>
        <c:varyColors val="true"/>
        <c:ser>
          <c:idx val="0"/>
          <c:order val="0"/>
          <c:spPr>
            <a:ln>
              <a:noFill/>
            </a:ln>
          </c:spPr>
          <c:explosion val="0"/>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Pt>
            <c:idx val="2"/>
            <c:bubble3D val="false"/>
            <c:spPr>
              <a:solidFill>
                <a:srgbClr val="9BBB59"/>
              </a:solidFill>
              <a:ln w="6350">
                <a:solidFill>
                  <a:srgbClr val="FFFFFF"/>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(6)'!$A$1:$C$1</c:f>
              <c:strCache>
                <c:ptCount val="3"/>
                <c:pt idx="0">
                  <c:v>公务用车购置及运行维护费</c:v>
                </c:pt>
                <c:pt idx="1">
                  <c:v>公务接待费</c:v>
                </c:pt>
                <c:pt idx="2">
                  <c:v>因公出国（境)</c:v>
                </c:pt>
              </c:strCache>
            </c:strRef>
          </c:cat>
          <c:val>
            <c:numRef>
              <c:f>'Sheet1 (6)'!$A$2:$C$2</c:f>
              <c:numCache>
                <c:formatCode>General</c:formatCode>
                <c:ptCount val="3"/>
                <c:pt idx="0">
                  <c:v>2.92</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c:spPr>
    </c:plotArea>
    <c:legend>
      <c:legendPos val="t"/>
      <c:legendEntry>
        <c:idx val="0"/>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Entry>
      <c:legendEntry>
        <c:idx val="2"/>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Entry>
      <c:layout>
        <c:manualLayout>
          <c:xMode val="edge"/>
          <c:yMode val="edge"/>
          <c:x val="0.595504"/>
          <c:y val="0.35144123"/>
          <c:w val="0.34493127"/>
          <c:h val="0.4323725"/>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16</Pages>
  <Words>4113</Words>
  <Characters>4484</Characters>
  <Lines>0</Lines>
  <Paragraphs>259</Paragraphs>
  <TotalTime>50</TotalTime>
  <ScaleCrop>false</ScaleCrop>
  <LinksUpToDate>false</LinksUpToDate>
  <CharactersWithSpaces>4535</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2022-08-31T09:43:00Z</dcterms:created>
  <dc:creator>张彬茜</dc:creator>
  <cp:lastModifiedBy>user</cp:lastModifiedBy>
  <cp:lastPrinted>2023-09-18T23:42:00Z</cp:lastPrinted>
  <dcterms:modified xsi:type="dcterms:W3CDTF">2024-09-23T10:56:38Z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3038EAF9D07A4EB0B9F33967A31B9F46_13</vt:lpwstr>
  </property>
</Properties>
</file>