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C40" w:rsidRDefault="008D4C40">
      <w:pPr>
        <w:spacing w:line="600" w:lineRule="exact"/>
        <w:jc w:val="center"/>
        <w:outlineLvl w:val="0"/>
        <w:rPr>
          <w:rFonts w:ascii="方正小标宋简体" w:eastAsia="方正小标宋简体" w:hAnsi="宋体"/>
          <w:sz w:val="72"/>
          <w:szCs w:val="72"/>
        </w:rPr>
      </w:pPr>
      <w:bookmarkStart w:id="0" w:name="_Toc15306267"/>
    </w:p>
    <w:p w:rsidR="008D4C40" w:rsidRDefault="008D4C40">
      <w:pPr>
        <w:spacing w:line="600" w:lineRule="exact"/>
        <w:jc w:val="center"/>
        <w:outlineLvl w:val="0"/>
        <w:rPr>
          <w:rFonts w:ascii="方正小标宋简体" w:eastAsia="方正小标宋简体" w:hAnsi="宋体"/>
          <w:sz w:val="72"/>
          <w:szCs w:val="72"/>
        </w:rPr>
      </w:pPr>
    </w:p>
    <w:p w:rsidR="008D4C40" w:rsidRDefault="008D4C40">
      <w:pPr>
        <w:spacing w:line="600" w:lineRule="exact"/>
        <w:jc w:val="center"/>
        <w:outlineLvl w:val="0"/>
        <w:rPr>
          <w:rFonts w:ascii="方正小标宋简体" w:eastAsia="方正小标宋简体" w:hAnsi="宋体"/>
          <w:sz w:val="72"/>
          <w:szCs w:val="72"/>
        </w:rPr>
      </w:pPr>
    </w:p>
    <w:p w:rsidR="008D4C40" w:rsidRDefault="008D4C40">
      <w:pPr>
        <w:spacing w:line="600" w:lineRule="exact"/>
        <w:jc w:val="center"/>
        <w:outlineLvl w:val="0"/>
        <w:rPr>
          <w:rFonts w:ascii="方正小标宋简体" w:eastAsia="方正小标宋简体" w:hAnsi="宋体"/>
          <w:sz w:val="72"/>
          <w:szCs w:val="72"/>
        </w:rPr>
      </w:pPr>
    </w:p>
    <w:p w:rsidR="008D4C40" w:rsidRDefault="008D4C40">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1" w:name="_Toc15377193"/>
      <w:bookmarkStart w:id="2" w:name="_Toc15378441"/>
      <w:bookmarkStart w:id="3" w:name="_Toc15396597"/>
      <w:bookmarkStart w:id="4" w:name="_Toc15396475"/>
      <w:bookmarkStart w:id="5" w:name="_Toc15377425"/>
      <w:r>
        <w:rPr>
          <w:rFonts w:ascii="方正小标宋简体" w:eastAsia="方正小标宋简体" w:hAnsi="方正小标宋简体" w:cs="方正小标宋简体" w:hint="eastAsia"/>
          <w:sz w:val="72"/>
          <w:szCs w:val="72"/>
        </w:rPr>
        <w:t>2021年度</w:t>
      </w:r>
      <w:bookmarkEnd w:id="1"/>
      <w:bookmarkEnd w:id="2"/>
      <w:bookmarkEnd w:id="3"/>
      <w:bookmarkEnd w:id="4"/>
      <w:bookmarkEnd w:id="5"/>
    </w:p>
    <w:p w:rsidR="00D13277" w:rsidRDefault="008D4C40">
      <w:pPr>
        <w:adjustRightInd w:val="0"/>
        <w:snapToGrid w:val="0"/>
        <w:spacing w:line="360" w:lineRule="auto"/>
        <w:jc w:val="center"/>
        <w:outlineLvl w:val="0"/>
        <w:rPr>
          <w:rFonts w:ascii="方正小标宋简体" w:eastAsia="方正小标宋简体" w:hAnsi="方正小标宋简体" w:cs="方正小标宋简体"/>
          <w:sz w:val="72"/>
          <w:szCs w:val="72"/>
        </w:rPr>
      </w:pPr>
      <w:bookmarkStart w:id="6" w:name="_Toc15396598"/>
      <w:bookmarkStart w:id="7" w:name="_Toc15377426"/>
      <w:bookmarkStart w:id="8" w:name="_Toc15396476"/>
      <w:bookmarkStart w:id="9" w:name="_Toc15378442"/>
      <w:bookmarkStart w:id="10" w:name="_Toc15377194"/>
      <w:r>
        <w:rPr>
          <w:rFonts w:ascii="方正小标宋简体" w:eastAsia="方正小标宋简体" w:hAnsi="方正小标宋简体" w:cs="方正小标宋简体" w:hint="eastAsia"/>
          <w:sz w:val="72"/>
          <w:szCs w:val="72"/>
        </w:rPr>
        <w:t>四川省</w:t>
      </w:r>
      <w:bookmarkStart w:id="11" w:name="_Toc15306268"/>
      <w:bookmarkEnd w:id="0"/>
      <w:r>
        <w:rPr>
          <w:rFonts w:ascii="方正小标宋简体" w:eastAsia="方正小标宋简体" w:hAnsi="方正小标宋简体" w:cs="方正小标宋简体" w:hint="eastAsia"/>
          <w:sz w:val="72"/>
          <w:szCs w:val="72"/>
        </w:rPr>
        <w:t>攀枝花市建设工程造价站</w:t>
      </w:r>
      <w:r w:rsidR="0038258C">
        <w:rPr>
          <w:rFonts w:ascii="方正小标宋简体" w:eastAsia="方正小标宋简体" w:hAnsi="方正小标宋简体" w:cs="方正小标宋简体" w:hint="eastAsia"/>
          <w:sz w:val="72"/>
          <w:szCs w:val="72"/>
        </w:rPr>
        <w:t>单位</w:t>
      </w:r>
      <w:r>
        <w:rPr>
          <w:rFonts w:ascii="方正小标宋简体" w:eastAsia="方正小标宋简体" w:hAnsi="方正小标宋简体" w:cs="方正小标宋简体" w:hint="eastAsia"/>
          <w:sz w:val="72"/>
          <w:szCs w:val="72"/>
        </w:rPr>
        <w:t>决算</w:t>
      </w:r>
      <w:bookmarkEnd w:id="6"/>
      <w:bookmarkEnd w:id="7"/>
      <w:bookmarkEnd w:id="8"/>
      <w:bookmarkEnd w:id="9"/>
      <w:bookmarkEnd w:id="10"/>
      <w:bookmarkEnd w:id="11"/>
    </w:p>
    <w:p w:rsidR="00D13277" w:rsidRDefault="00A3779E">
      <w:pPr>
        <w:widowControl/>
        <w:jc w:val="center"/>
        <w:rPr>
          <w:rFonts w:ascii="黑体" w:eastAsia="黑体" w:hAnsi="黑体"/>
          <w:sz w:val="48"/>
          <w:szCs w:val="48"/>
        </w:rPr>
      </w:pPr>
      <w:r>
        <w:rPr>
          <w:rFonts w:ascii="方正小标宋简体" w:eastAsia="方正小标宋简体" w:hAnsi="宋体"/>
          <w:sz w:val="36"/>
          <w:szCs w:val="36"/>
        </w:rPr>
        <w:br w:type="page"/>
      </w:r>
      <w:r>
        <w:rPr>
          <w:rFonts w:ascii="黑体" w:eastAsia="黑体" w:hAnsi="黑体" w:hint="eastAsia"/>
          <w:sz w:val="48"/>
          <w:szCs w:val="48"/>
        </w:rPr>
        <w:lastRenderedPageBreak/>
        <w:t>目录</w:t>
      </w:r>
    </w:p>
    <w:p w:rsidR="00D13277" w:rsidRDefault="00D13277">
      <w:pPr>
        <w:widowControl/>
        <w:jc w:val="center"/>
        <w:rPr>
          <w:rFonts w:ascii="黑体" w:eastAsia="黑体" w:hAnsi="黑体" w:cstheme="minorBidi"/>
          <w:sz w:val="28"/>
          <w:szCs w:val="28"/>
        </w:rPr>
      </w:pPr>
    </w:p>
    <w:p w:rsidR="00D13277" w:rsidRDefault="00A3779E">
      <w:pPr>
        <w:pStyle w:val="10"/>
      </w:pPr>
      <w:r>
        <w:rPr>
          <w:rFonts w:hint="eastAsia"/>
        </w:rPr>
        <w:t>公开时间：2022年9月</w:t>
      </w:r>
      <w:r w:rsidR="00FF2AB6">
        <w:rPr>
          <w:rFonts w:hint="eastAsia"/>
        </w:rPr>
        <w:t>13</w:t>
      </w:r>
      <w:r>
        <w:rPr>
          <w:rFonts w:hint="eastAsia"/>
        </w:rPr>
        <w:t>日</w:t>
      </w:r>
    </w:p>
    <w:p w:rsidR="00D13277" w:rsidRDefault="00D13277"/>
    <w:p w:rsidR="009079BB" w:rsidRPr="00254F54" w:rsidRDefault="009079BB" w:rsidP="009079BB">
      <w:pPr>
        <w:pStyle w:val="10"/>
        <w:adjustRightInd w:val="0"/>
        <w:snapToGrid w:val="0"/>
        <w:spacing w:before="0" w:line="440" w:lineRule="exact"/>
        <w:jc w:val="left"/>
        <w:rPr>
          <w:sz w:val="24"/>
          <w:szCs w:val="24"/>
        </w:rPr>
      </w:pPr>
      <w:r w:rsidRPr="00254F54">
        <w:rPr>
          <w:rFonts w:hint="eastAsia"/>
          <w:sz w:val="24"/>
        </w:rPr>
        <w:t>第一部分单位概况</w:t>
      </w:r>
      <w:r w:rsidR="00BF5A0B" w:rsidRPr="00254F54">
        <w:rPr>
          <w:sz w:val="24"/>
        </w:rPr>
        <w:tab/>
      </w:r>
      <w:r w:rsidR="00BF5A0B" w:rsidRPr="00254F54">
        <w:rPr>
          <w:rFonts w:hint="eastAsia"/>
          <w:sz w:val="24"/>
        </w:rPr>
        <w:t>4</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一、职能简介</w:t>
      </w:r>
      <w:r w:rsidRPr="00254F54">
        <w:rPr>
          <w:rFonts w:ascii="仿宋" w:eastAsia="仿宋" w:hAnsi="仿宋"/>
          <w:sz w:val="24"/>
        </w:rPr>
        <w:tab/>
      </w:r>
      <w:r w:rsidRPr="00254F54">
        <w:rPr>
          <w:rFonts w:ascii="仿宋" w:eastAsia="仿宋" w:hAnsi="仿宋" w:hint="eastAsia"/>
          <w:sz w:val="24"/>
        </w:rPr>
        <w:t>4</w:t>
      </w:r>
    </w:p>
    <w:p w:rsidR="00BF5A0B"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二、2021年重点工作完成情况</w:t>
      </w:r>
      <w:r w:rsidRPr="00254F54">
        <w:rPr>
          <w:rFonts w:ascii="仿宋" w:eastAsia="仿宋" w:hAnsi="仿宋"/>
          <w:sz w:val="24"/>
        </w:rPr>
        <w:tab/>
      </w:r>
      <w:r w:rsidR="007B682C">
        <w:rPr>
          <w:rFonts w:ascii="仿宋" w:eastAsia="仿宋" w:hAnsi="仿宋" w:hint="eastAsia"/>
          <w:sz w:val="24"/>
        </w:rPr>
        <w:t>4</w:t>
      </w:r>
    </w:p>
    <w:p w:rsidR="00BF5A0B" w:rsidRPr="00BF5A0B" w:rsidRDefault="009079BB" w:rsidP="00BF5A0B">
      <w:pPr>
        <w:pStyle w:val="20"/>
        <w:adjustRightInd w:val="0"/>
        <w:snapToGrid w:val="0"/>
        <w:spacing w:line="440" w:lineRule="exact"/>
        <w:ind w:leftChars="0" w:left="0"/>
        <w:jc w:val="left"/>
        <w:rPr>
          <w:rFonts w:ascii="仿宋" w:eastAsia="仿宋" w:hAnsi="仿宋"/>
          <w:sz w:val="24"/>
        </w:rPr>
      </w:pPr>
      <w:r w:rsidRPr="00BF5A0B">
        <w:rPr>
          <w:rFonts w:ascii="仿宋" w:eastAsia="仿宋" w:hAnsi="仿宋" w:hint="eastAsia"/>
          <w:sz w:val="24"/>
        </w:rPr>
        <w:t>第二部分2</w:t>
      </w:r>
      <w:r w:rsidRPr="00BF5A0B">
        <w:rPr>
          <w:rFonts w:ascii="仿宋" w:eastAsia="仿宋" w:hAnsi="仿宋"/>
          <w:sz w:val="24"/>
        </w:rPr>
        <w:t>02</w:t>
      </w:r>
      <w:r w:rsidRPr="00BF5A0B">
        <w:rPr>
          <w:rFonts w:ascii="仿宋" w:eastAsia="仿宋" w:hAnsi="仿宋" w:hint="eastAsia"/>
          <w:sz w:val="24"/>
        </w:rPr>
        <w:t>1年度单位决算情况说明</w:t>
      </w:r>
      <w:r w:rsidR="00BF5A0B" w:rsidRPr="00BF5A0B">
        <w:rPr>
          <w:rFonts w:ascii="仿宋" w:eastAsia="仿宋" w:hAnsi="仿宋"/>
          <w:sz w:val="24"/>
        </w:rPr>
        <w:tab/>
      </w:r>
      <w:r w:rsidR="006F391A">
        <w:rPr>
          <w:rFonts w:ascii="仿宋" w:eastAsia="仿宋" w:hAnsi="仿宋" w:hint="eastAsia"/>
          <w:sz w:val="24"/>
        </w:rPr>
        <w:t>5</w:t>
      </w:r>
    </w:p>
    <w:p w:rsidR="009079BB" w:rsidRPr="00254F54" w:rsidRDefault="009079BB" w:rsidP="00172B65">
      <w:pPr>
        <w:pStyle w:val="20"/>
        <w:adjustRightInd w:val="0"/>
        <w:snapToGrid w:val="0"/>
        <w:spacing w:line="440" w:lineRule="exact"/>
        <w:ind w:leftChars="0" w:left="0" w:firstLineChars="150" w:firstLine="360"/>
        <w:jc w:val="left"/>
        <w:rPr>
          <w:rFonts w:ascii="仿宋" w:eastAsia="仿宋" w:hAnsi="仿宋"/>
          <w:sz w:val="24"/>
        </w:rPr>
      </w:pPr>
      <w:r w:rsidRPr="00254F54">
        <w:rPr>
          <w:rFonts w:ascii="仿宋" w:eastAsia="仿宋" w:hAnsi="仿宋" w:hint="eastAsia"/>
          <w:sz w:val="24"/>
        </w:rPr>
        <w:t>一、收入支出决算总体情况说明</w:t>
      </w:r>
      <w:r w:rsidRPr="00254F54">
        <w:rPr>
          <w:rFonts w:ascii="仿宋" w:eastAsia="仿宋" w:hAnsi="仿宋"/>
          <w:sz w:val="24"/>
        </w:rPr>
        <w:tab/>
      </w:r>
      <w:r w:rsidRPr="00254F54">
        <w:rPr>
          <w:rFonts w:ascii="仿宋" w:eastAsia="仿宋" w:hAnsi="仿宋" w:hint="eastAsia"/>
          <w:sz w:val="24"/>
        </w:rPr>
        <w:t>5</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二、收入决算情况说明</w:t>
      </w:r>
      <w:r w:rsidRPr="00254F54">
        <w:rPr>
          <w:rFonts w:ascii="仿宋" w:eastAsia="仿宋" w:hAnsi="仿宋"/>
          <w:sz w:val="24"/>
        </w:rPr>
        <w:tab/>
      </w:r>
      <w:r w:rsidR="007B682C">
        <w:rPr>
          <w:rFonts w:ascii="仿宋" w:eastAsia="仿宋" w:hAnsi="仿宋" w:hint="eastAsia"/>
          <w:sz w:val="24"/>
        </w:rPr>
        <w:t>5</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三、支出决算情况说明</w:t>
      </w:r>
      <w:r w:rsidRPr="00254F54">
        <w:rPr>
          <w:rFonts w:ascii="仿宋" w:eastAsia="仿宋" w:hAnsi="仿宋"/>
          <w:sz w:val="24"/>
        </w:rPr>
        <w:tab/>
      </w:r>
      <w:r w:rsidR="007B682C">
        <w:rPr>
          <w:rFonts w:ascii="仿宋" w:eastAsia="仿宋" w:hAnsi="仿宋" w:hint="eastAsia"/>
          <w:sz w:val="24"/>
        </w:rPr>
        <w:t>6</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四、财政拨款收入支出决算总体情况说明</w:t>
      </w:r>
      <w:r w:rsidRPr="00254F54">
        <w:rPr>
          <w:rFonts w:ascii="仿宋" w:eastAsia="仿宋" w:hAnsi="仿宋"/>
          <w:sz w:val="24"/>
        </w:rPr>
        <w:tab/>
      </w:r>
      <w:r w:rsidR="007B682C">
        <w:rPr>
          <w:rFonts w:ascii="仿宋" w:eastAsia="仿宋" w:hAnsi="仿宋" w:hint="eastAsia"/>
          <w:sz w:val="24"/>
        </w:rPr>
        <w:t>6</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五、一般公共预算财政拨款支出决算情况说明</w:t>
      </w:r>
      <w:r w:rsidRPr="00254F54">
        <w:rPr>
          <w:rFonts w:ascii="仿宋" w:eastAsia="仿宋" w:hAnsi="仿宋"/>
          <w:sz w:val="24"/>
        </w:rPr>
        <w:tab/>
      </w:r>
      <w:r w:rsidR="007B682C">
        <w:rPr>
          <w:rFonts w:ascii="仿宋" w:eastAsia="仿宋" w:hAnsi="仿宋" w:hint="eastAsia"/>
          <w:sz w:val="24"/>
        </w:rPr>
        <w:t>7</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六、一般公共预算财政拨款基本支出决算情况说明</w:t>
      </w:r>
      <w:r w:rsidRPr="00254F54">
        <w:rPr>
          <w:rFonts w:ascii="仿宋" w:eastAsia="仿宋" w:hAnsi="仿宋"/>
          <w:sz w:val="24"/>
        </w:rPr>
        <w:tab/>
      </w:r>
      <w:r w:rsidR="007B682C">
        <w:rPr>
          <w:rFonts w:ascii="仿宋" w:eastAsia="仿宋" w:hAnsi="仿宋" w:hint="eastAsia"/>
          <w:sz w:val="24"/>
        </w:rPr>
        <w:t>9</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七、</w:t>
      </w:r>
      <w:r w:rsidRPr="00254F54">
        <w:rPr>
          <w:rFonts w:ascii="仿宋" w:eastAsia="仿宋" w:hAnsi="仿宋"/>
          <w:sz w:val="24"/>
        </w:rPr>
        <w:t>“</w:t>
      </w:r>
      <w:r w:rsidRPr="00254F54">
        <w:rPr>
          <w:rFonts w:ascii="仿宋" w:eastAsia="仿宋" w:hAnsi="仿宋" w:hint="eastAsia"/>
          <w:sz w:val="24"/>
        </w:rPr>
        <w:t>三公”经费财政拨款支出决算情况说明</w:t>
      </w:r>
      <w:r w:rsidRPr="00254F54">
        <w:rPr>
          <w:rFonts w:ascii="仿宋" w:eastAsia="仿宋" w:hAnsi="仿宋"/>
          <w:sz w:val="24"/>
        </w:rPr>
        <w:tab/>
      </w:r>
      <w:r w:rsidR="007B682C">
        <w:rPr>
          <w:rFonts w:ascii="仿宋" w:eastAsia="仿宋" w:hAnsi="仿宋" w:hint="eastAsia"/>
          <w:sz w:val="24"/>
        </w:rPr>
        <w:t>9</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八、政府性基金预算支出决算情况说明</w:t>
      </w:r>
      <w:r w:rsidRPr="00254F54">
        <w:rPr>
          <w:rFonts w:ascii="仿宋" w:eastAsia="仿宋" w:hAnsi="仿宋"/>
          <w:sz w:val="24"/>
        </w:rPr>
        <w:tab/>
      </w:r>
      <w:r w:rsidR="007B682C">
        <w:rPr>
          <w:rFonts w:ascii="仿宋" w:eastAsia="仿宋" w:hAnsi="仿宋" w:hint="eastAsia"/>
          <w:sz w:val="24"/>
        </w:rPr>
        <w:t>11</w:t>
      </w:r>
    </w:p>
    <w:p w:rsidR="009079BB" w:rsidRPr="00254F54" w:rsidRDefault="009079BB" w:rsidP="009079BB">
      <w:pPr>
        <w:pStyle w:val="20"/>
        <w:adjustRightInd w:val="0"/>
        <w:snapToGrid w:val="0"/>
        <w:spacing w:line="440" w:lineRule="exact"/>
        <w:ind w:leftChars="0"/>
        <w:jc w:val="left"/>
        <w:rPr>
          <w:rFonts w:ascii="仿宋" w:eastAsia="仿宋" w:hAnsi="仿宋"/>
          <w:sz w:val="24"/>
        </w:rPr>
      </w:pPr>
      <w:r w:rsidRPr="00254F54">
        <w:rPr>
          <w:rFonts w:ascii="仿宋" w:eastAsia="仿宋" w:hAnsi="仿宋" w:hint="eastAsia"/>
          <w:sz w:val="24"/>
        </w:rPr>
        <w:t>九、国有资本经营预算支出决算情况说明</w:t>
      </w:r>
      <w:r w:rsidRPr="00254F54">
        <w:rPr>
          <w:rFonts w:ascii="仿宋" w:eastAsia="仿宋" w:hAnsi="仿宋"/>
          <w:sz w:val="24"/>
        </w:rPr>
        <w:tab/>
      </w:r>
      <w:r w:rsidR="007B682C">
        <w:rPr>
          <w:rFonts w:ascii="仿宋" w:eastAsia="仿宋" w:hAnsi="仿宋" w:hint="eastAsia"/>
          <w:sz w:val="24"/>
        </w:rPr>
        <w:t>11</w:t>
      </w:r>
    </w:p>
    <w:p w:rsidR="009079BB" w:rsidRPr="00254F54" w:rsidRDefault="009079BB" w:rsidP="00172B65">
      <w:pPr>
        <w:tabs>
          <w:tab w:val="right" w:leader="dot" w:pos="8306"/>
        </w:tabs>
        <w:adjustRightInd w:val="0"/>
        <w:snapToGrid w:val="0"/>
        <w:spacing w:line="440" w:lineRule="exact"/>
        <w:ind w:firstLineChars="200" w:firstLine="480"/>
        <w:jc w:val="left"/>
        <w:rPr>
          <w:rFonts w:ascii="仿宋" w:eastAsia="仿宋" w:hAnsi="仿宋"/>
          <w:sz w:val="24"/>
        </w:rPr>
      </w:pPr>
      <w:r w:rsidRPr="00254F54">
        <w:rPr>
          <w:rStyle w:val="a8"/>
          <w:rFonts w:ascii="仿宋" w:eastAsia="仿宋" w:hAnsi="仿宋" w:hint="eastAsia"/>
          <w:color w:val="000000"/>
          <w:sz w:val="24"/>
        </w:rPr>
        <w:t>十、</w:t>
      </w:r>
      <w:r w:rsidRPr="00254F54">
        <w:rPr>
          <w:rFonts w:ascii="仿宋" w:eastAsia="仿宋" w:hAnsi="仿宋" w:hint="eastAsia"/>
          <w:sz w:val="24"/>
        </w:rPr>
        <w:t>其他重要事项的情况说明</w:t>
      </w:r>
      <w:r w:rsidRPr="00254F54">
        <w:rPr>
          <w:rFonts w:ascii="仿宋" w:eastAsia="仿宋" w:hAnsi="仿宋"/>
          <w:sz w:val="24"/>
        </w:rPr>
        <w:tab/>
      </w:r>
      <w:r w:rsidR="007B682C">
        <w:rPr>
          <w:rFonts w:ascii="仿宋" w:eastAsia="仿宋" w:hAnsi="仿宋" w:hint="eastAsia"/>
          <w:sz w:val="24"/>
        </w:rPr>
        <w:t>11</w:t>
      </w:r>
    </w:p>
    <w:p w:rsidR="009079BB" w:rsidRPr="00254F54" w:rsidRDefault="009079BB" w:rsidP="009079BB">
      <w:pPr>
        <w:pStyle w:val="10"/>
        <w:adjustRightInd w:val="0"/>
        <w:snapToGrid w:val="0"/>
        <w:spacing w:before="0" w:line="440" w:lineRule="exact"/>
        <w:jc w:val="left"/>
        <w:rPr>
          <w:sz w:val="24"/>
          <w:szCs w:val="24"/>
        </w:rPr>
      </w:pPr>
      <w:r w:rsidRPr="00254F54">
        <w:rPr>
          <w:rFonts w:hint="eastAsia"/>
          <w:sz w:val="24"/>
        </w:rPr>
        <w:t>第三部分名词解释</w:t>
      </w:r>
      <w:r w:rsidRPr="00254F54">
        <w:rPr>
          <w:sz w:val="24"/>
          <w:szCs w:val="24"/>
        </w:rPr>
        <w:tab/>
      </w:r>
      <w:r w:rsidR="007B682C">
        <w:rPr>
          <w:rFonts w:hint="eastAsia"/>
          <w:sz w:val="24"/>
          <w:szCs w:val="24"/>
        </w:rPr>
        <w:t>14</w:t>
      </w:r>
    </w:p>
    <w:p w:rsidR="009079BB" w:rsidRPr="00254F54" w:rsidRDefault="009079BB" w:rsidP="009079BB">
      <w:pPr>
        <w:pStyle w:val="10"/>
        <w:adjustRightInd w:val="0"/>
        <w:snapToGrid w:val="0"/>
        <w:spacing w:before="0" w:line="440" w:lineRule="exact"/>
        <w:jc w:val="left"/>
        <w:rPr>
          <w:sz w:val="24"/>
          <w:szCs w:val="24"/>
        </w:rPr>
      </w:pPr>
      <w:r w:rsidRPr="00254F54">
        <w:rPr>
          <w:rFonts w:hint="eastAsia"/>
          <w:sz w:val="24"/>
        </w:rPr>
        <w:t>第四部分附件</w:t>
      </w:r>
      <w:r w:rsidRPr="00254F54">
        <w:rPr>
          <w:sz w:val="24"/>
          <w:szCs w:val="24"/>
        </w:rPr>
        <w:tab/>
      </w:r>
      <w:r w:rsidR="00BF5A0B">
        <w:rPr>
          <w:rFonts w:hint="eastAsia"/>
          <w:sz w:val="24"/>
          <w:szCs w:val="24"/>
        </w:rPr>
        <w:t>17</w:t>
      </w:r>
    </w:p>
    <w:p w:rsidR="009079BB" w:rsidRPr="00254F54" w:rsidRDefault="009079BB" w:rsidP="009079BB">
      <w:pPr>
        <w:pStyle w:val="10"/>
        <w:adjustRightInd w:val="0"/>
        <w:snapToGrid w:val="0"/>
        <w:spacing w:before="0" w:line="440" w:lineRule="exact"/>
        <w:jc w:val="left"/>
        <w:rPr>
          <w:sz w:val="24"/>
          <w:szCs w:val="24"/>
        </w:rPr>
      </w:pPr>
      <w:r w:rsidRPr="00254F54">
        <w:rPr>
          <w:rFonts w:hint="eastAsia"/>
          <w:sz w:val="24"/>
        </w:rPr>
        <w:t>第五部分附表</w:t>
      </w:r>
      <w:r w:rsidRPr="00254F54">
        <w:rPr>
          <w:sz w:val="24"/>
          <w:szCs w:val="24"/>
        </w:rPr>
        <w:tab/>
      </w:r>
      <w:r w:rsidR="00BF5A0B">
        <w:rPr>
          <w:rFonts w:hint="eastAsia"/>
          <w:sz w:val="24"/>
          <w:szCs w:val="24"/>
        </w:rPr>
        <w:t>19</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一、收入支出决算总表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二、收入决算表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三、支出决算表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四、财政拨款收入支出决算总表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五、财政拨款支出决算明细表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六、一般公共预算财政拨款支出决算表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七、一般公共预算财政拨款支出决算明细表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八、一般公共预算财政拨款基本支出决算表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九、一般公共预算财政拨款项目支出决算表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lastRenderedPageBreak/>
        <w:t>十、一般公共预算财政拨款“三公”经费支出决算表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十一、政府性基金预算财政拨款收入支出决算表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tabs>
          <w:tab w:val="clear" w:pos="8296"/>
          <w:tab w:val="right" w:leader="dot" w:pos="8306"/>
        </w:tabs>
        <w:adjustRightInd w:val="0"/>
        <w:snapToGrid w:val="0"/>
        <w:spacing w:line="440" w:lineRule="exact"/>
        <w:jc w:val="left"/>
        <w:rPr>
          <w:rFonts w:ascii="仿宋" w:eastAsia="仿宋" w:hAnsi="仿宋"/>
          <w:sz w:val="24"/>
        </w:rPr>
      </w:pPr>
      <w:r w:rsidRPr="00254F54">
        <w:rPr>
          <w:rFonts w:ascii="仿宋" w:eastAsia="仿宋" w:hAnsi="仿宋" w:hint="eastAsia"/>
          <w:sz w:val="24"/>
        </w:rPr>
        <w:t>十二、政府性基金预算财政拨款“三公”经费支出决算表</w:t>
      </w:r>
      <w:r w:rsidRPr="00254F54">
        <w:rPr>
          <w:rFonts w:ascii="仿宋" w:eastAsia="仿宋" w:hAnsi="仿宋"/>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十三、国有资本经营预算财政拨款收入支出决算表</w:t>
      </w:r>
      <w:r w:rsidRPr="00254F54">
        <w:rPr>
          <w:rFonts w:ascii="仿宋" w:eastAsia="仿宋" w:hAnsi="仿宋" w:hint="eastAsia"/>
          <w:sz w:val="24"/>
        </w:rPr>
        <w:tab/>
      </w:r>
      <w:r w:rsidR="00BF5A0B">
        <w:rPr>
          <w:rFonts w:ascii="仿宋" w:eastAsia="仿宋" w:hAnsi="仿宋" w:hint="eastAsia"/>
          <w:sz w:val="24"/>
        </w:rPr>
        <w:t>20</w:t>
      </w:r>
    </w:p>
    <w:p w:rsidR="009079BB" w:rsidRPr="00254F54" w:rsidRDefault="009079BB" w:rsidP="00172B65">
      <w:pPr>
        <w:pStyle w:val="20"/>
        <w:adjustRightInd w:val="0"/>
        <w:snapToGrid w:val="0"/>
        <w:spacing w:line="440" w:lineRule="exact"/>
        <w:jc w:val="left"/>
        <w:rPr>
          <w:rFonts w:ascii="仿宋" w:eastAsia="仿宋" w:hAnsi="仿宋"/>
          <w:sz w:val="24"/>
        </w:rPr>
      </w:pPr>
      <w:r w:rsidRPr="00254F54">
        <w:rPr>
          <w:rFonts w:ascii="仿宋" w:eastAsia="仿宋" w:hAnsi="仿宋" w:hint="eastAsia"/>
          <w:sz w:val="24"/>
        </w:rPr>
        <w:t>十四、国有资本经营预算财政拨款支出决算表</w:t>
      </w:r>
      <w:r w:rsidRPr="00254F54">
        <w:rPr>
          <w:rFonts w:ascii="仿宋" w:eastAsia="仿宋" w:hAnsi="仿宋" w:hint="eastAsia"/>
          <w:sz w:val="24"/>
        </w:rPr>
        <w:tab/>
      </w:r>
      <w:r w:rsidR="00BF5A0B">
        <w:rPr>
          <w:rFonts w:ascii="仿宋" w:eastAsia="仿宋" w:hAnsi="仿宋" w:hint="eastAsia"/>
          <w:sz w:val="24"/>
        </w:rPr>
        <w:t>20</w:t>
      </w:r>
    </w:p>
    <w:p w:rsidR="0038258C" w:rsidRPr="009079BB"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Default="0038258C" w:rsidP="0038258C">
      <w:pPr>
        <w:pStyle w:val="a0"/>
        <w:spacing w:before="93"/>
      </w:pPr>
    </w:p>
    <w:p w:rsidR="0038258C" w:rsidRPr="0038258C" w:rsidRDefault="0038258C" w:rsidP="0038258C">
      <w:pPr>
        <w:pStyle w:val="a0"/>
        <w:spacing w:before="93"/>
      </w:pPr>
    </w:p>
    <w:p w:rsidR="00D13277" w:rsidRDefault="00A3779E">
      <w:pPr>
        <w:pStyle w:val="1"/>
        <w:jc w:val="center"/>
        <w:rPr>
          <w:rStyle w:val="1Char"/>
          <w:rFonts w:ascii="黑体" w:eastAsia="黑体" w:hAnsi="黑体"/>
          <w:b/>
        </w:rPr>
      </w:pPr>
      <w:bookmarkStart w:id="12" w:name="_Toc15396599"/>
      <w:bookmarkStart w:id="13" w:name="_Toc15377196"/>
      <w:r>
        <w:rPr>
          <w:rFonts w:ascii="黑体" w:eastAsia="黑体" w:hAnsi="黑体" w:hint="eastAsia"/>
          <w:b w:val="0"/>
        </w:rPr>
        <w:lastRenderedPageBreak/>
        <w:t>第一部分 单位</w:t>
      </w:r>
      <w:r>
        <w:rPr>
          <w:rStyle w:val="1Char"/>
          <w:rFonts w:ascii="黑体" w:eastAsia="黑体" w:hAnsi="黑体" w:hint="eastAsia"/>
        </w:rPr>
        <w:t>概况</w:t>
      </w:r>
      <w:bookmarkEnd w:id="12"/>
      <w:bookmarkEnd w:id="13"/>
    </w:p>
    <w:p w:rsidR="00D13277" w:rsidRDefault="00D13277">
      <w:pPr>
        <w:widowControl/>
        <w:jc w:val="left"/>
        <w:rPr>
          <w:rFonts w:ascii="黑体" w:eastAsia="黑体"/>
          <w:sz w:val="32"/>
          <w:szCs w:val="32"/>
        </w:rPr>
      </w:pPr>
    </w:p>
    <w:p w:rsidR="00B90A36" w:rsidRDefault="00B90A36" w:rsidP="00B90A36">
      <w:pPr>
        <w:widowControl/>
        <w:spacing w:line="440" w:lineRule="exact"/>
        <w:rPr>
          <w:rStyle w:val="2Char"/>
          <w:rFonts w:ascii="黑体" w:eastAsia="黑体" w:hAnsi="黑体"/>
        </w:rPr>
      </w:pPr>
      <w:bookmarkStart w:id="14" w:name="_Toc15396600"/>
      <w:bookmarkStart w:id="15" w:name="_Toc15377197"/>
      <w:r>
        <w:rPr>
          <w:rStyle w:val="2Char"/>
          <w:rFonts w:ascii="黑体" w:eastAsia="黑体" w:hAnsi="黑体" w:hint="eastAsia"/>
        </w:rPr>
        <w:t xml:space="preserve">一、职能简介  </w:t>
      </w:r>
    </w:p>
    <w:p w:rsidR="00B90A36" w:rsidRPr="0066044B" w:rsidRDefault="00B90A36" w:rsidP="005E1703">
      <w:pPr>
        <w:widowControl/>
        <w:spacing w:line="660" w:lineRule="exact"/>
        <w:ind w:firstLineChars="200" w:firstLine="640"/>
        <w:rPr>
          <w:rFonts w:ascii="仿宋" w:eastAsia="仿宋" w:hAnsi="仿宋"/>
          <w:sz w:val="32"/>
          <w:szCs w:val="32"/>
        </w:rPr>
      </w:pPr>
      <w:r w:rsidRPr="0066044B">
        <w:rPr>
          <w:rFonts w:ascii="仿宋" w:eastAsia="仿宋" w:hAnsi="仿宋" w:hint="eastAsia"/>
          <w:sz w:val="32"/>
          <w:szCs w:val="32"/>
        </w:rPr>
        <w:t>攀枝花市建设工程造价站是预算内全额拨款事业单位，主要职责是：负责全市建设工程发承包计价等相关事务性工作；负责全市建筑材料价格信息、定额人工费调整系数、工程造价指数等信息收集、整理、上报、发布工作；负责全市建设工程计价纠纷的协调工作；负责全市建设工程安全文明施工费费率测定工作；负责全市《四川省施工企业工程规费计取标准》证书的核发和定额缺项的补充收集工作。</w:t>
      </w:r>
    </w:p>
    <w:p w:rsidR="00D13277" w:rsidRDefault="00B90A36">
      <w:pPr>
        <w:pStyle w:val="2"/>
        <w:rPr>
          <w:rFonts w:ascii="黑体" w:eastAsia="黑体" w:hAnsi="黑体"/>
          <w:b w:val="0"/>
        </w:rPr>
      </w:pPr>
      <w:r>
        <w:rPr>
          <w:rFonts w:ascii="黑体" w:eastAsia="黑体" w:hAnsi="黑体" w:hint="eastAsia"/>
          <w:b w:val="0"/>
        </w:rPr>
        <w:t>二、2021年重点工作</w:t>
      </w:r>
      <w:bookmarkEnd w:id="14"/>
      <w:bookmarkEnd w:id="15"/>
      <w:r w:rsidR="00A3779E">
        <w:rPr>
          <w:rFonts w:ascii="黑体" w:eastAsia="黑体" w:hAnsi="黑体" w:hint="eastAsia"/>
          <w:b w:val="0"/>
        </w:rPr>
        <w:t>完成情况</w:t>
      </w:r>
    </w:p>
    <w:p w:rsidR="004C535C" w:rsidRDefault="004C535C" w:rsidP="00172B65">
      <w:pPr>
        <w:autoSpaceDE w:val="0"/>
        <w:autoSpaceDN w:val="0"/>
        <w:adjustRightInd w:val="0"/>
        <w:ind w:firstLineChars="200" w:firstLine="640"/>
        <w:jc w:val="left"/>
        <w:rPr>
          <w:rFonts w:ascii="仿宋" w:eastAsia="仿宋" w:hAnsi="仿宋" w:cs="宋体"/>
          <w:color w:val="000000"/>
          <w:sz w:val="32"/>
          <w:szCs w:val="32"/>
        </w:rPr>
      </w:pPr>
      <w:r w:rsidRPr="0066044B">
        <w:rPr>
          <w:rFonts w:ascii="仿宋" w:eastAsia="仿宋" w:hAnsi="仿宋" w:hint="eastAsia"/>
          <w:kern w:val="0"/>
          <w:sz w:val="32"/>
          <w:szCs w:val="32"/>
        </w:rPr>
        <w:t xml:space="preserve">2021 </w:t>
      </w:r>
      <w:r w:rsidRPr="0066044B">
        <w:rPr>
          <w:rFonts w:ascii="仿宋" w:eastAsia="仿宋" w:hAnsi="仿宋" w:cs="方正仿宋_GBK-WinCharSetFFFF-H" w:hint="eastAsia"/>
          <w:kern w:val="0"/>
          <w:sz w:val="32"/>
          <w:szCs w:val="32"/>
        </w:rPr>
        <w:t>年，市建设工程造价站始终坚持以习近平新时代中国特色社会主义思想为指导，深入贯彻落实中央、省委、市委各项决策部署，主动作为、狠抓落实，推动建设工程造价事业取得新的成绩。</w:t>
      </w:r>
      <w:r w:rsidR="00BF5A0B">
        <w:rPr>
          <w:rFonts w:ascii="仿宋" w:eastAsia="仿宋" w:hAnsi="仿宋" w:cs="方正仿宋_GBK-WinCharSetFFFF-H" w:hint="eastAsia"/>
          <w:kern w:val="0"/>
          <w:sz w:val="32"/>
          <w:szCs w:val="32"/>
        </w:rPr>
        <w:t>1、</w:t>
      </w:r>
      <w:r w:rsidRPr="0066044B">
        <w:rPr>
          <w:rFonts w:ascii="仿宋" w:eastAsia="仿宋" w:hAnsi="仿宋" w:cs="方正仿宋_GBK-WinCharSetFFFF-H" w:hint="eastAsia"/>
          <w:kern w:val="0"/>
          <w:sz w:val="32"/>
          <w:szCs w:val="32"/>
        </w:rPr>
        <w:t>圆满</w:t>
      </w:r>
      <w:r w:rsidRPr="0066044B">
        <w:rPr>
          <w:rFonts w:ascii="仿宋" w:eastAsia="仿宋" w:hAnsi="仿宋" w:cs="宋体" w:hint="eastAsia"/>
          <w:color w:val="000000"/>
          <w:sz w:val="32"/>
          <w:szCs w:val="32"/>
        </w:rPr>
        <w:t>完成了2021年攀枝花市辖区内建筑业人工、材料、机械台班价格信息的收集、整理、汇总上报工作</w:t>
      </w:r>
      <w:r w:rsidR="00BF5A0B">
        <w:rPr>
          <w:rFonts w:ascii="仿宋" w:eastAsia="仿宋" w:hAnsi="仿宋" w:cs="宋体" w:hint="eastAsia"/>
          <w:color w:val="000000"/>
          <w:sz w:val="32"/>
          <w:szCs w:val="32"/>
        </w:rPr>
        <w:t>；2、完成了</w:t>
      </w:r>
      <w:r w:rsidR="00BF5A0B">
        <w:rPr>
          <w:rFonts w:ascii="仿宋" w:eastAsia="仿宋" w:hAnsi="仿宋" w:hint="eastAsia"/>
          <w:sz w:val="32"/>
          <w:szCs w:val="32"/>
        </w:rPr>
        <w:t>全市建设工程安全文明施工费费率测定工作；3、完成了</w:t>
      </w:r>
      <w:r w:rsidRPr="0066044B">
        <w:rPr>
          <w:rFonts w:ascii="仿宋" w:eastAsia="仿宋" w:hAnsi="仿宋" w:hint="eastAsia"/>
          <w:sz w:val="32"/>
          <w:szCs w:val="32"/>
        </w:rPr>
        <w:t>全市《四川省施工企业工程规费计取标准》证书的核发和定额缺项的补充收集工作</w:t>
      </w:r>
      <w:r w:rsidR="00BF5A0B">
        <w:rPr>
          <w:rFonts w:ascii="仿宋" w:eastAsia="仿宋" w:hAnsi="仿宋" w:hint="eastAsia"/>
          <w:sz w:val="32"/>
          <w:szCs w:val="32"/>
        </w:rPr>
        <w:t>；4、完成了攀枝花市辖区内建筑计价纠纷调解工作</w:t>
      </w:r>
      <w:r w:rsidRPr="0066044B">
        <w:rPr>
          <w:rFonts w:ascii="仿宋" w:eastAsia="仿宋" w:hAnsi="仿宋" w:cs="宋体" w:hint="eastAsia"/>
          <w:color w:val="000000"/>
          <w:sz w:val="32"/>
          <w:szCs w:val="32"/>
        </w:rPr>
        <w:t>。</w:t>
      </w:r>
    </w:p>
    <w:p w:rsidR="00D13277" w:rsidRPr="00526065" w:rsidRDefault="00A3779E" w:rsidP="005E1703">
      <w:pPr>
        <w:widowControl/>
        <w:ind w:firstLineChars="150" w:firstLine="660"/>
        <w:jc w:val="left"/>
        <w:rPr>
          <w:rStyle w:val="1Char"/>
          <w:rFonts w:ascii="黑体" w:eastAsia="黑体" w:hAnsi="黑体"/>
          <w:b w:val="0"/>
          <w:bCs w:val="0"/>
          <w:kern w:val="0"/>
          <w:sz w:val="32"/>
          <w:szCs w:val="32"/>
        </w:rPr>
      </w:pPr>
      <w:bookmarkStart w:id="16" w:name="_Toc15396602"/>
      <w:bookmarkStart w:id="17" w:name="_Toc15377204"/>
      <w:r w:rsidRPr="00526065">
        <w:rPr>
          <w:rFonts w:ascii="黑体" w:eastAsia="黑体" w:hAnsi="黑体" w:hint="eastAsia"/>
          <w:sz w:val="44"/>
          <w:szCs w:val="44"/>
        </w:rPr>
        <w:lastRenderedPageBreak/>
        <w:t>第二部分 2021年度</w:t>
      </w:r>
      <w:r w:rsidRPr="00526065">
        <w:rPr>
          <w:rStyle w:val="1Char"/>
          <w:rFonts w:ascii="黑体" w:eastAsia="黑体" w:hAnsi="黑体" w:hint="eastAsia"/>
        </w:rPr>
        <w:t>单位决算情况说明</w:t>
      </w:r>
      <w:bookmarkEnd w:id="16"/>
      <w:bookmarkEnd w:id="17"/>
    </w:p>
    <w:p w:rsidR="00D13277" w:rsidRDefault="00D13277"/>
    <w:p w:rsidR="00D13277" w:rsidRDefault="00A3779E">
      <w:pPr>
        <w:pStyle w:val="a9"/>
        <w:numPr>
          <w:ilvl w:val="0"/>
          <w:numId w:val="1"/>
        </w:numPr>
        <w:spacing w:line="600" w:lineRule="exact"/>
        <w:ind w:firstLineChars="0"/>
        <w:outlineLvl w:val="1"/>
        <w:rPr>
          <w:rStyle w:val="2Char"/>
          <w:rFonts w:ascii="黑体" w:eastAsia="黑体" w:hAnsi="黑体"/>
          <w:b w:val="0"/>
        </w:rPr>
      </w:pPr>
      <w:bookmarkStart w:id="18" w:name="_Toc15396603"/>
      <w:bookmarkStart w:id="19" w:name="_Toc15377205"/>
      <w:r>
        <w:rPr>
          <w:rFonts w:ascii="黑体" w:eastAsia="黑体" w:hAnsi="黑体" w:hint="eastAsia"/>
          <w:sz w:val="32"/>
          <w:szCs w:val="32"/>
        </w:rPr>
        <w:t>收</w:t>
      </w:r>
      <w:r>
        <w:rPr>
          <w:rStyle w:val="2Char"/>
          <w:rFonts w:ascii="黑体" w:eastAsia="黑体" w:hAnsi="黑体" w:hint="eastAsia"/>
          <w:b w:val="0"/>
        </w:rPr>
        <w:t>入支出决算总体情况说明</w:t>
      </w:r>
      <w:bookmarkEnd w:id="18"/>
      <w:bookmarkEnd w:id="19"/>
    </w:p>
    <w:p w:rsidR="0020417E" w:rsidRPr="00F940CD" w:rsidRDefault="00A3779E" w:rsidP="00172B65">
      <w:pPr>
        <w:snapToGrid w:val="0"/>
        <w:spacing w:line="520" w:lineRule="exact"/>
        <w:ind w:firstLineChars="200" w:firstLine="640"/>
        <w:rPr>
          <w:rFonts w:ascii="仿宋_GB2312" w:eastAsia="仿宋_GB2312" w:hAnsi="仿宋"/>
          <w:b/>
          <w:color w:val="000000"/>
          <w:sz w:val="32"/>
          <w:szCs w:val="32"/>
        </w:rPr>
      </w:pPr>
      <w:r>
        <w:rPr>
          <w:rFonts w:ascii="仿宋" w:eastAsia="仿宋" w:hAnsi="仿宋" w:hint="eastAsia"/>
          <w:sz w:val="32"/>
          <w:szCs w:val="32"/>
        </w:rPr>
        <w:t>2021年度收、支总计</w:t>
      </w:r>
      <w:r w:rsidR="0020417E">
        <w:rPr>
          <w:rFonts w:ascii="仿宋" w:eastAsia="仿宋" w:hAnsi="仿宋" w:hint="eastAsia"/>
          <w:sz w:val="32"/>
          <w:szCs w:val="32"/>
        </w:rPr>
        <w:t>356.06</w:t>
      </w:r>
      <w:r>
        <w:rPr>
          <w:rFonts w:ascii="仿宋" w:eastAsia="仿宋" w:hAnsi="仿宋" w:hint="eastAsia"/>
          <w:sz w:val="32"/>
          <w:szCs w:val="32"/>
        </w:rPr>
        <w:t>万元。与2020年相比，收、支总计各增加</w:t>
      </w:r>
      <w:r w:rsidR="0020417E">
        <w:rPr>
          <w:rFonts w:ascii="仿宋" w:eastAsia="仿宋" w:hAnsi="仿宋" w:hint="eastAsia"/>
          <w:sz w:val="32"/>
          <w:szCs w:val="32"/>
        </w:rPr>
        <w:t>44.01</w:t>
      </w:r>
      <w:r>
        <w:rPr>
          <w:rFonts w:ascii="仿宋" w:eastAsia="仿宋" w:hAnsi="仿宋" w:hint="eastAsia"/>
          <w:sz w:val="32"/>
          <w:szCs w:val="32"/>
        </w:rPr>
        <w:t>万元，增长</w:t>
      </w:r>
      <w:r w:rsidR="0020417E">
        <w:rPr>
          <w:rFonts w:ascii="仿宋" w:eastAsia="仿宋" w:hAnsi="仿宋" w:hint="eastAsia"/>
          <w:sz w:val="32"/>
          <w:szCs w:val="32"/>
        </w:rPr>
        <w:t>14</w:t>
      </w:r>
      <w:r>
        <w:rPr>
          <w:rFonts w:ascii="仿宋" w:eastAsia="仿宋" w:hAnsi="仿宋"/>
          <w:sz w:val="32"/>
          <w:szCs w:val="32"/>
        </w:rPr>
        <w:t>%</w:t>
      </w:r>
      <w:r>
        <w:rPr>
          <w:rFonts w:ascii="仿宋" w:eastAsia="仿宋" w:hAnsi="仿宋" w:hint="eastAsia"/>
          <w:sz w:val="32"/>
          <w:szCs w:val="32"/>
        </w:rPr>
        <w:t>。主要变动原因是</w:t>
      </w:r>
      <w:r w:rsidR="00061033">
        <w:rPr>
          <w:rFonts w:ascii="仿宋" w:eastAsia="仿宋" w:hAnsi="仿宋" w:hint="eastAsia"/>
          <w:sz w:val="32"/>
          <w:szCs w:val="32"/>
        </w:rPr>
        <w:t>：1、</w:t>
      </w:r>
      <w:r w:rsidR="0020417E">
        <w:rPr>
          <w:rFonts w:ascii="仿宋_GB2312" w:eastAsia="仿宋_GB2312" w:hAnsi="仿宋_GB2312" w:cs="仿宋_GB2312" w:hint="eastAsia"/>
          <w:bCs/>
          <w:color w:val="000000"/>
          <w:sz w:val="32"/>
          <w:szCs w:val="32"/>
        </w:rPr>
        <w:t>2021</w:t>
      </w:r>
      <w:r w:rsidR="0020417E" w:rsidRPr="00F940CD">
        <w:rPr>
          <w:rFonts w:ascii="仿宋_GB2312" w:eastAsia="仿宋_GB2312" w:hAnsi="仿宋_GB2312" w:cs="仿宋_GB2312" w:hint="eastAsia"/>
          <w:bCs/>
          <w:color w:val="000000"/>
          <w:sz w:val="32"/>
          <w:szCs w:val="32"/>
        </w:rPr>
        <w:t>年</w:t>
      </w:r>
      <w:r w:rsidR="0020417E">
        <w:rPr>
          <w:rFonts w:ascii="仿宋_GB2312" w:eastAsia="仿宋_GB2312" w:hAnsi="仿宋_GB2312" w:cs="仿宋_GB2312" w:hint="eastAsia"/>
          <w:bCs/>
          <w:color w:val="000000"/>
          <w:sz w:val="32"/>
          <w:szCs w:val="32"/>
        </w:rPr>
        <w:t>调入2人，公招1</w:t>
      </w:r>
      <w:r w:rsidR="0020417E" w:rsidRPr="00F940CD">
        <w:rPr>
          <w:rFonts w:ascii="仿宋_GB2312" w:eastAsia="仿宋_GB2312" w:hAnsi="仿宋_GB2312" w:cs="仿宋_GB2312" w:hint="eastAsia"/>
          <w:bCs/>
          <w:color w:val="000000"/>
          <w:sz w:val="32"/>
          <w:szCs w:val="32"/>
        </w:rPr>
        <w:t>人，</w:t>
      </w:r>
      <w:r w:rsidR="0020417E">
        <w:rPr>
          <w:rFonts w:ascii="仿宋_GB2312" w:eastAsia="仿宋_GB2312" w:hAnsi="仿宋_GB2312" w:cs="仿宋_GB2312" w:hint="eastAsia"/>
          <w:bCs/>
          <w:color w:val="000000"/>
          <w:sz w:val="32"/>
          <w:szCs w:val="32"/>
        </w:rPr>
        <w:t>相应增加工资及基本养老保险、其他社保和公积金等人员经费</w:t>
      </w:r>
      <w:r w:rsidR="00061033">
        <w:rPr>
          <w:rFonts w:ascii="仿宋_GB2312" w:eastAsia="仿宋_GB2312" w:hAnsi="仿宋_GB2312" w:cs="仿宋_GB2312" w:hint="eastAsia"/>
          <w:bCs/>
          <w:color w:val="000000"/>
          <w:sz w:val="32"/>
          <w:szCs w:val="32"/>
        </w:rPr>
        <w:t>；2、补发退休中人待遇</w:t>
      </w:r>
      <w:r w:rsidR="0020417E" w:rsidRPr="00F940CD">
        <w:rPr>
          <w:rFonts w:ascii="仿宋_GB2312" w:eastAsia="仿宋_GB2312" w:hAnsi="仿宋_GB2312" w:cs="仿宋_GB2312" w:hint="eastAsia"/>
          <w:bCs/>
          <w:color w:val="000000"/>
          <w:sz w:val="32"/>
          <w:szCs w:val="32"/>
        </w:rPr>
        <w:t>。</w:t>
      </w:r>
    </w:p>
    <w:p w:rsidR="0020417E" w:rsidRPr="001040CD" w:rsidRDefault="00A3779E" w:rsidP="00172B65">
      <w:pPr>
        <w:spacing w:line="600" w:lineRule="exact"/>
        <w:ind w:firstLineChars="200" w:firstLine="640"/>
        <w:rPr>
          <w:rFonts w:ascii="仿宋" w:eastAsia="仿宋" w:hAnsi="仿宋"/>
          <w:sz w:val="32"/>
          <w:szCs w:val="32"/>
        </w:rPr>
      </w:pPr>
      <w:r>
        <w:rPr>
          <w:rFonts w:ascii="仿宋" w:eastAsia="仿宋" w:hAnsi="仿宋" w:hint="eastAsia"/>
          <w:sz w:val="32"/>
          <w:szCs w:val="32"/>
        </w:rPr>
        <w:t>（图</w:t>
      </w:r>
      <w:r>
        <w:rPr>
          <w:rFonts w:ascii="仿宋" w:eastAsia="仿宋" w:hAnsi="仿宋"/>
          <w:sz w:val="32"/>
          <w:szCs w:val="32"/>
        </w:rPr>
        <w:t>1</w:t>
      </w:r>
      <w:r>
        <w:rPr>
          <w:rFonts w:ascii="仿宋" w:eastAsia="仿宋" w:hAnsi="仿宋" w:hint="eastAsia"/>
          <w:sz w:val="32"/>
          <w:szCs w:val="32"/>
        </w:rPr>
        <w:t>：收、支决算总计变动情况图）（柱状图）</w:t>
      </w:r>
    </w:p>
    <w:p w:rsidR="0020417E" w:rsidRPr="00F940CD" w:rsidRDefault="0020417E" w:rsidP="00172B65">
      <w:pPr>
        <w:spacing w:line="600" w:lineRule="exact"/>
        <w:ind w:firstLineChars="200" w:firstLine="640"/>
        <w:rPr>
          <w:rFonts w:ascii="仿宋_GB2312" w:eastAsia="仿宋_GB2312" w:hAnsi="仿宋"/>
          <w:color w:val="000000"/>
          <w:sz w:val="32"/>
          <w:szCs w:val="32"/>
        </w:rPr>
      </w:pPr>
      <w:r>
        <w:rPr>
          <w:rFonts w:ascii="仿宋_GB2312" w:eastAsia="仿宋_GB2312" w:hAnsi="仿宋"/>
          <w:noProof/>
          <w:color w:val="000000"/>
          <w:sz w:val="32"/>
          <w:szCs w:val="32"/>
        </w:rPr>
        <w:drawing>
          <wp:anchor distT="0" distB="0" distL="114300" distR="114300" simplePos="0" relativeHeight="251661312" behindDoc="0" locked="0" layoutInCell="1" allowOverlap="1">
            <wp:simplePos x="0" y="0"/>
            <wp:positionH relativeFrom="column">
              <wp:posOffset>400050</wp:posOffset>
            </wp:positionH>
            <wp:positionV relativeFrom="paragraph">
              <wp:posOffset>33089</wp:posOffset>
            </wp:positionV>
            <wp:extent cx="4007931" cy="1912431"/>
            <wp:effectExtent l="19050" t="0" r="11619" b="0"/>
            <wp:wrapNone/>
            <wp:docPr id="1" name="对象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20417E" w:rsidRDefault="0020417E" w:rsidP="00172B65">
      <w:pPr>
        <w:spacing w:line="600" w:lineRule="exact"/>
        <w:ind w:firstLineChars="200" w:firstLine="640"/>
        <w:rPr>
          <w:rFonts w:ascii="仿宋_GB2312" w:eastAsia="仿宋_GB2312" w:hAnsi="仿宋"/>
          <w:color w:val="000000"/>
          <w:sz w:val="32"/>
          <w:szCs w:val="32"/>
        </w:rPr>
      </w:pPr>
    </w:p>
    <w:p w:rsidR="0020417E" w:rsidRDefault="0020417E" w:rsidP="00172B65">
      <w:pPr>
        <w:spacing w:line="600" w:lineRule="exact"/>
        <w:ind w:firstLineChars="200" w:firstLine="640"/>
        <w:rPr>
          <w:rFonts w:ascii="仿宋_GB2312" w:eastAsia="仿宋_GB2312" w:hAnsi="仿宋"/>
          <w:color w:val="000000"/>
          <w:sz w:val="32"/>
          <w:szCs w:val="32"/>
        </w:rPr>
      </w:pPr>
    </w:p>
    <w:p w:rsidR="00D13277" w:rsidRPr="001040CD" w:rsidRDefault="00061033" w:rsidP="00172B65">
      <w:pPr>
        <w:spacing w:line="600" w:lineRule="exact"/>
        <w:ind w:firstLineChars="200" w:firstLine="640"/>
        <w:outlineLvl w:val="1"/>
        <w:rPr>
          <w:rStyle w:val="2Char"/>
          <w:rFonts w:ascii="黑体" w:eastAsia="黑体" w:hAnsi="黑体"/>
          <w:b w:val="0"/>
        </w:rPr>
      </w:pPr>
      <w:bookmarkStart w:id="20" w:name="_Toc15396604"/>
      <w:bookmarkStart w:id="21" w:name="_Toc15377206"/>
      <w:r>
        <w:rPr>
          <w:rFonts w:ascii="黑体" w:eastAsia="黑体" w:hAnsi="黑体" w:hint="eastAsia"/>
          <w:sz w:val="32"/>
          <w:szCs w:val="32"/>
        </w:rPr>
        <w:t>二、</w:t>
      </w:r>
      <w:r w:rsidRPr="001040CD">
        <w:rPr>
          <w:rFonts w:ascii="黑体" w:eastAsia="黑体" w:hAnsi="黑体" w:hint="eastAsia"/>
          <w:sz w:val="32"/>
          <w:szCs w:val="32"/>
        </w:rPr>
        <w:t>收</w:t>
      </w:r>
      <w:r w:rsidRPr="001040CD">
        <w:rPr>
          <w:rStyle w:val="2Char"/>
          <w:rFonts w:ascii="黑体" w:eastAsia="黑体" w:hAnsi="黑体" w:hint="eastAsia"/>
          <w:b w:val="0"/>
        </w:rPr>
        <w:t>入决算情况说明</w:t>
      </w:r>
      <w:bookmarkEnd w:id="20"/>
      <w:bookmarkEnd w:id="21"/>
    </w:p>
    <w:p w:rsidR="00D13277" w:rsidRDefault="00A3779E" w:rsidP="00172B65">
      <w:pPr>
        <w:spacing w:line="600" w:lineRule="exact"/>
        <w:ind w:firstLineChars="200" w:firstLine="640"/>
        <w:outlineLvl w:val="1"/>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21年本年收入合计</w:t>
      </w:r>
      <w:r w:rsidR="0020417E">
        <w:rPr>
          <w:rFonts w:ascii="仿宋" w:eastAsia="仿宋" w:hAnsi="仿宋" w:hint="eastAsia"/>
          <w:sz w:val="32"/>
          <w:szCs w:val="32"/>
        </w:rPr>
        <w:t>356.06</w:t>
      </w:r>
      <w:r>
        <w:rPr>
          <w:rFonts w:ascii="仿宋" w:eastAsia="仿宋" w:hAnsi="仿宋" w:hint="eastAsia"/>
          <w:sz w:val="32"/>
          <w:szCs w:val="32"/>
        </w:rPr>
        <w:t>万元，其中：一般公共预算财政拨款收入</w:t>
      </w:r>
      <w:r w:rsidR="0020417E">
        <w:rPr>
          <w:rFonts w:ascii="仿宋" w:eastAsia="仿宋" w:hAnsi="仿宋" w:hint="eastAsia"/>
          <w:sz w:val="32"/>
          <w:szCs w:val="32"/>
        </w:rPr>
        <w:t>356.06</w:t>
      </w:r>
      <w:r>
        <w:rPr>
          <w:rFonts w:ascii="仿宋" w:eastAsia="仿宋" w:hAnsi="仿宋" w:hint="eastAsia"/>
          <w:sz w:val="32"/>
          <w:szCs w:val="32"/>
        </w:rPr>
        <w:t>万元，占</w:t>
      </w:r>
      <w:r w:rsidR="0020417E">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；政府性基金预算财政拨款收入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；国有资本经营预算财政拨款收入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；上级补助收入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bookmarkStart w:id="22" w:name="_GoBack"/>
      <w:bookmarkEnd w:id="22"/>
      <w:r>
        <w:rPr>
          <w:rFonts w:ascii="仿宋" w:eastAsia="仿宋" w:hAnsi="仿宋" w:hint="eastAsia"/>
          <w:sz w:val="32"/>
          <w:szCs w:val="32"/>
        </w:rPr>
        <w:t>；事业收入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；经营收入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；附属单位上缴收入</w:t>
      </w:r>
      <w:r w:rsidR="001040CD">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；其他收入</w:t>
      </w:r>
      <w:r w:rsidR="0020417E">
        <w:rPr>
          <w:rFonts w:ascii="仿宋" w:eastAsia="仿宋" w:hAnsi="仿宋" w:hint="eastAsia"/>
          <w:sz w:val="32"/>
          <w:szCs w:val="32"/>
        </w:rPr>
        <w:t>0</w:t>
      </w:r>
      <w:r>
        <w:rPr>
          <w:rFonts w:ascii="仿宋" w:eastAsia="仿宋" w:hAnsi="仿宋" w:hint="eastAsia"/>
          <w:sz w:val="32"/>
          <w:szCs w:val="32"/>
        </w:rPr>
        <w:t>万元，占</w:t>
      </w:r>
      <w:r w:rsidR="0020417E">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w:t>
      </w:r>
    </w:p>
    <w:p w:rsidR="0020417E" w:rsidRPr="0020417E" w:rsidRDefault="00A3779E" w:rsidP="00172B65">
      <w:pPr>
        <w:spacing w:line="600" w:lineRule="exact"/>
        <w:ind w:firstLineChars="150" w:firstLine="480"/>
        <w:rPr>
          <w:rFonts w:ascii="仿宋" w:eastAsia="仿宋" w:hAnsi="仿宋"/>
          <w:sz w:val="32"/>
          <w:szCs w:val="32"/>
        </w:rPr>
      </w:pPr>
      <w:r>
        <w:rPr>
          <w:rFonts w:ascii="仿宋" w:eastAsia="仿宋" w:hAnsi="仿宋" w:hint="eastAsia"/>
          <w:sz w:val="32"/>
          <w:szCs w:val="32"/>
        </w:rPr>
        <w:t>（图2</w:t>
      </w:r>
      <w:r w:rsidR="0020417E">
        <w:rPr>
          <w:rFonts w:ascii="仿宋" w:eastAsia="仿宋" w:hAnsi="仿宋" w:hint="eastAsia"/>
          <w:sz w:val="32"/>
          <w:szCs w:val="32"/>
        </w:rPr>
        <w:t>：收入决算结构图）（饼状图</w:t>
      </w:r>
      <w:r w:rsidR="00061033">
        <w:rPr>
          <w:rFonts w:ascii="仿宋" w:eastAsia="仿宋" w:hAnsi="仿宋" w:hint="eastAsia"/>
          <w:sz w:val="32"/>
          <w:szCs w:val="32"/>
        </w:rPr>
        <w:t>）</w:t>
      </w:r>
    </w:p>
    <w:p w:rsidR="0020417E" w:rsidRPr="00F940CD" w:rsidRDefault="007B682C" w:rsidP="00172B65">
      <w:pPr>
        <w:spacing w:line="600" w:lineRule="exact"/>
        <w:ind w:firstLineChars="200" w:firstLine="640"/>
        <w:rPr>
          <w:rFonts w:ascii="仿宋_GB2312" w:eastAsia="仿宋_GB2312" w:hAnsi="仿宋"/>
          <w:color w:val="000000"/>
          <w:sz w:val="32"/>
          <w:szCs w:val="32"/>
        </w:rPr>
      </w:pPr>
      <w:r>
        <w:rPr>
          <w:rFonts w:ascii="仿宋_GB2312" w:eastAsia="仿宋_GB2312" w:hAnsi="仿宋"/>
          <w:noProof/>
          <w:color w:val="000000"/>
          <w:sz w:val="32"/>
          <w:szCs w:val="32"/>
        </w:rPr>
        <w:drawing>
          <wp:anchor distT="0" distB="0" distL="114300" distR="114300" simplePos="0" relativeHeight="251663360" behindDoc="0" locked="0" layoutInCell="1" allowOverlap="1">
            <wp:simplePos x="0" y="0"/>
            <wp:positionH relativeFrom="column">
              <wp:posOffset>400050</wp:posOffset>
            </wp:positionH>
            <wp:positionV relativeFrom="paragraph">
              <wp:posOffset>96931</wp:posOffset>
            </wp:positionV>
            <wp:extent cx="3913539" cy="1820545"/>
            <wp:effectExtent l="19050" t="0" r="10761" b="8255"/>
            <wp:wrapNone/>
            <wp:docPr id="2" name="对象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162774" w:rsidRPr="00162774" w:rsidRDefault="00162774" w:rsidP="00172B65">
      <w:pPr>
        <w:spacing w:line="600" w:lineRule="exact"/>
        <w:ind w:firstLineChars="200" w:firstLine="643"/>
        <w:outlineLvl w:val="1"/>
        <w:rPr>
          <w:rFonts w:ascii="黑体" w:eastAsia="黑体" w:hAnsi="黑体"/>
          <w:b/>
          <w:sz w:val="32"/>
          <w:szCs w:val="32"/>
        </w:rPr>
      </w:pPr>
      <w:r w:rsidRPr="00162774">
        <w:rPr>
          <w:rFonts w:ascii="黑体" w:eastAsia="黑体" w:hAnsi="黑体" w:hint="eastAsia"/>
          <w:b/>
          <w:sz w:val="32"/>
          <w:szCs w:val="32"/>
        </w:rPr>
        <w:lastRenderedPageBreak/>
        <w:t>三、支出决算情况说明</w:t>
      </w:r>
    </w:p>
    <w:p w:rsidR="00D13277" w:rsidRDefault="00A3779E" w:rsidP="00172B65">
      <w:pPr>
        <w:spacing w:line="600" w:lineRule="exact"/>
        <w:ind w:firstLineChars="200" w:firstLine="640"/>
        <w:outlineLvl w:val="1"/>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21年本年支出合计</w:t>
      </w:r>
      <w:r w:rsidR="0020417E">
        <w:rPr>
          <w:rFonts w:ascii="仿宋" w:eastAsia="仿宋" w:hAnsi="仿宋" w:hint="eastAsia"/>
          <w:sz w:val="32"/>
          <w:szCs w:val="32"/>
        </w:rPr>
        <w:t>356.06</w:t>
      </w:r>
      <w:r>
        <w:rPr>
          <w:rFonts w:ascii="仿宋" w:eastAsia="仿宋" w:hAnsi="仿宋" w:hint="eastAsia"/>
          <w:sz w:val="32"/>
          <w:szCs w:val="32"/>
        </w:rPr>
        <w:t>万元，其中：基本支出</w:t>
      </w:r>
      <w:r w:rsidR="001040CD">
        <w:rPr>
          <w:rFonts w:ascii="仿宋" w:eastAsia="仿宋" w:hAnsi="仿宋" w:hint="eastAsia"/>
          <w:sz w:val="32"/>
          <w:szCs w:val="32"/>
        </w:rPr>
        <w:t>348.62</w:t>
      </w:r>
      <w:r>
        <w:rPr>
          <w:rFonts w:ascii="仿宋" w:eastAsia="仿宋" w:hAnsi="仿宋" w:hint="eastAsia"/>
          <w:sz w:val="32"/>
          <w:szCs w:val="32"/>
        </w:rPr>
        <w:t>万元，占</w:t>
      </w:r>
      <w:r w:rsidR="001040CD">
        <w:rPr>
          <w:rFonts w:ascii="仿宋" w:eastAsia="仿宋" w:hAnsi="仿宋" w:hint="eastAsia"/>
          <w:sz w:val="32"/>
          <w:szCs w:val="32"/>
        </w:rPr>
        <w:t>98</w:t>
      </w:r>
      <w:r>
        <w:rPr>
          <w:rFonts w:ascii="仿宋" w:eastAsia="仿宋" w:hAnsi="仿宋"/>
          <w:sz w:val="32"/>
          <w:szCs w:val="32"/>
        </w:rPr>
        <w:t>%</w:t>
      </w:r>
      <w:r>
        <w:rPr>
          <w:rFonts w:ascii="仿宋" w:eastAsia="仿宋" w:hAnsi="仿宋" w:hint="eastAsia"/>
          <w:sz w:val="32"/>
          <w:szCs w:val="32"/>
        </w:rPr>
        <w:t>；项目支出</w:t>
      </w:r>
      <w:r w:rsidR="001040CD">
        <w:rPr>
          <w:rFonts w:ascii="仿宋" w:eastAsia="仿宋" w:hAnsi="仿宋" w:hint="eastAsia"/>
          <w:sz w:val="32"/>
          <w:szCs w:val="32"/>
        </w:rPr>
        <w:t>7.44</w:t>
      </w:r>
      <w:r>
        <w:rPr>
          <w:rFonts w:ascii="仿宋" w:eastAsia="仿宋" w:hAnsi="仿宋" w:hint="eastAsia"/>
          <w:sz w:val="32"/>
          <w:szCs w:val="32"/>
        </w:rPr>
        <w:t>万元，占</w:t>
      </w:r>
      <w:r w:rsidR="001040CD">
        <w:rPr>
          <w:rFonts w:ascii="仿宋" w:eastAsia="仿宋" w:hAnsi="仿宋" w:hint="eastAsia"/>
          <w:sz w:val="32"/>
          <w:szCs w:val="32"/>
        </w:rPr>
        <w:t>2</w:t>
      </w:r>
      <w:r>
        <w:rPr>
          <w:rFonts w:ascii="仿宋" w:eastAsia="仿宋" w:hAnsi="仿宋"/>
          <w:sz w:val="32"/>
          <w:szCs w:val="32"/>
        </w:rPr>
        <w:t>%</w:t>
      </w:r>
      <w:r>
        <w:rPr>
          <w:rFonts w:ascii="仿宋" w:eastAsia="仿宋" w:hAnsi="仿宋" w:hint="eastAsia"/>
          <w:sz w:val="32"/>
          <w:szCs w:val="32"/>
        </w:rPr>
        <w:t>；上缴上级支出</w:t>
      </w:r>
      <w:r w:rsidR="001040CD">
        <w:rPr>
          <w:rFonts w:ascii="仿宋" w:eastAsia="仿宋" w:hAnsi="仿宋" w:hint="eastAsia"/>
          <w:sz w:val="32"/>
          <w:szCs w:val="32"/>
        </w:rPr>
        <w:t>0</w:t>
      </w:r>
      <w:r>
        <w:rPr>
          <w:rFonts w:ascii="仿宋" w:eastAsia="仿宋" w:hAnsi="仿宋" w:hint="eastAsia"/>
          <w:sz w:val="32"/>
          <w:szCs w:val="32"/>
        </w:rPr>
        <w:t>万元，占</w:t>
      </w:r>
      <w:r w:rsidR="001040CD">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；经营支出</w:t>
      </w:r>
      <w:r w:rsidR="001040CD">
        <w:rPr>
          <w:rFonts w:ascii="仿宋" w:eastAsia="仿宋" w:hAnsi="仿宋" w:hint="eastAsia"/>
          <w:sz w:val="32"/>
          <w:szCs w:val="32"/>
        </w:rPr>
        <w:t>0</w:t>
      </w:r>
      <w:r>
        <w:rPr>
          <w:rFonts w:ascii="仿宋" w:eastAsia="仿宋" w:hAnsi="仿宋" w:hint="eastAsia"/>
          <w:sz w:val="32"/>
          <w:szCs w:val="32"/>
        </w:rPr>
        <w:t>万元，占</w:t>
      </w:r>
      <w:r w:rsidR="001040CD">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；对附属单位补助支出</w:t>
      </w:r>
      <w:r w:rsidR="001040CD">
        <w:rPr>
          <w:rFonts w:ascii="仿宋" w:eastAsia="仿宋" w:hAnsi="仿宋" w:hint="eastAsia"/>
          <w:sz w:val="32"/>
          <w:szCs w:val="32"/>
        </w:rPr>
        <w:t>0</w:t>
      </w:r>
      <w:r>
        <w:rPr>
          <w:rFonts w:ascii="仿宋" w:eastAsia="仿宋" w:hAnsi="仿宋" w:hint="eastAsia"/>
          <w:sz w:val="32"/>
          <w:szCs w:val="32"/>
        </w:rPr>
        <w:t>万元，占</w:t>
      </w:r>
      <w:r w:rsidR="001040CD">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w:t>
      </w:r>
    </w:p>
    <w:p w:rsidR="00526065" w:rsidRDefault="00526065" w:rsidP="00172B65">
      <w:pPr>
        <w:spacing w:line="600" w:lineRule="exact"/>
        <w:ind w:firstLineChars="200" w:firstLine="643"/>
        <w:rPr>
          <w:rFonts w:ascii="仿宋" w:eastAsia="仿宋" w:hAnsi="仿宋"/>
          <w:b/>
          <w:sz w:val="32"/>
          <w:szCs w:val="32"/>
        </w:rPr>
      </w:pPr>
      <w:r>
        <w:rPr>
          <w:rFonts w:ascii="仿宋" w:eastAsia="仿宋" w:hAnsi="仿宋" w:hint="eastAsia"/>
          <w:b/>
          <w:sz w:val="32"/>
          <w:szCs w:val="32"/>
        </w:rPr>
        <w:t>（注：数据来源于财决</w:t>
      </w:r>
      <w:r>
        <w:rPr>
          <w:rFonts w:ascii="仿宋" w:eastAsia="仿宋" w:hAnsi="仿宋"/>
          <w:b/>
          <w:sz w:val="32"/>
          <w:szCs w:val="32"/>
        </w:rPr>
        <w:t>01</w:t>
      </w:r>
      <w:r>
        <w:rPr>
          <w:rFonts w:ascii="仿宋" w:eastAsia="仿宋" w:hAnsi="仿宋" w:hint="eastAsia"/>
          <w:b/>
          <w:sz w:val="32"/>
          <w:szCs w:val="32"/>
        </w:rPr>
        <w:t>-1表</w:t>
      </w:r>
      <w:r>
        <w:rPr>
          <w:rFonts w:ascii="仿宋" w:eastAsia="仿宋" w:hAnsi="仿宋"/>
          <w:b/>
          <w:sz w:val="32"/>
          <w:szCs w:val="32"/>
        </w:rPr>
        <w:t>）</w:t>
      </w:r>
    </w:p>
    <w:p w:rsidR="0020417E" w:rsidRPr="001040CD" w:rsidRDefault="00A3779E" w:rsidP="00172B65">
      <w:pPr>
        <w:spacing w:line="600" w:lineRule="exact"/>
        <w:ind w:firstLineChars="200" w:firstLine="640"/>
        <w:outlineLvl w:val="1"/>
        <w:rPr>
          <w:rFonts w:ascii="仿宋" w:eastAsia="仿宋" w:hAnsi="仿宋"/>
          <w:b/>
          <w:sz w:val="32"/>
          <w:szCs w:val="32"/>
        </w:rPr>
      </w:pPr>
      <w:r>
        <w:rPr>
          <w:rFonts w:ascii="仿宋" w:eastAsia="仿宋" w:hAnsi="仿宋" w:hint="eastAsia"/>
          <w:sz w:val="32"/>
          <w:szCs w:val="32"/>
        </w:rPr>
        <w:t>（图3：支出决算结构图）（饼状图）</w:t>
      </w:r>
    </w:p>
    <w:p w:rsidR="0020417E" w:rsidRPr="00F940CD" w:rsidRDefault="007B682C" w:rsidP="00172B65">
      <w:pPr>
        <w:spacing w:line="600" w:lineRule="exact"/>
        <w:ind w:firstLineChars="200" w:firstLine="640"/>
        <w:rPr>
          <w:rFonts w:ascii="仿宋_GB2312" w:eastAsia="仿宋_GB2312" w:hAnsi="仿宋"/>
          <w:color w:val="000000"/>
          <w:sz w:val="32"/>
          <w:szCs w:val="32"/>
        </w:rPr>
      </w:pPr>
      <w:r>
        <w:rPr>
          <w:rFonts w:ascii="仿宋_GB2312" w:eastAsia="仿宋_GB2312" w:hAnsi="仿宋"/>
          <w:noProof/>
          <w:color w:val="000000"/>
          <w:sz w:val="32"/>
          <w:szCs w:val="32"/>
        </w:rPr>
        <w:drawing>
          <wp:anchor distT="0" distB="0" distL="114300" distR="114300" simplePos="0" relativeHeight="251665408" behindDoc="0" locked="0" layoutInCell="1" allowOverlap="1">
            <wp:simplePos x="0" y="0"/>
            <wp:positionH relativeFrom="column">
              <wp:posOffset>21109</wp:posOffset>
            </wp:positionH>
            <wp:positionV relativeFrom="paragraph">
              <wp:posOffset>18535</wp:posOffset>
            </wp:positionV>
            <wp:extent cx="4769005" cy="1982144"/>
            <wp:effectExtent l="19050" t="0" r="12545" b="0"/>
            <wp:wrapNone/>
            <wp:docPr id="17" name="对象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20417E" w:rsidRPr="00F940CD" w:rsidRDefault="0020417E" w:rsidP="00172B65">
      <w:pPr>
        <w:spacing w:line="600" w:lineRule="exact"/>
        <w:ind w:firstLineChars="200" w:firstLine="640"/>
        <w:rPr>
          <w:rFonts w:ascii="仿宋_GB2312" w:eastAsia="仿宋_GB2312" w:hAnsi="仿宋"/>
          <w:color w:val="000000"/>
          <w:sz w:val="32"/>
          <w:szCs w:val="32"/>
        </w:rPr>
      </w:pPr>
    </w:p>
    <w:p w:rsidR="00D13277" w:rsidRDefault="00A3779E" w:rsidP="00172B65">
      <w:pPr>
        <w:spacing w:line="600" w:lineRule="exact"/>
        <w:ind w:firstLineChars="200" w:firstLine="640"/>
        <w:outlineLvl w:val="1"/>
        <w:rPr>
          <w:rStyle w:val="2Char"/>
          <w:rFonts w:ascii="黑体" w:eastAsia="黑体" w:hAnsi="黑体"/>
          <w:b w:val="0"/>
        </w:rPr>
      </w:pPr>
      <w:bookmarkStart w:id="23" w:name="_Toc15377208"/>
      <w:bookmarkStart w:id="24" w:name="_Toc15396606"/>
      <w:r>
        <w:rPr>
          <w:rFonts w:ascii="黑体" w:eastAsia="黑体" w:hAnsi="黑体" w:hint="eastAsia"/>
          <w:sz w:val="32"/>
          <w:szCs w:val="32"/>
        </w:rPr>
        <w:t>四、财</w:t>
      </w:r>
      <w:r>
        <w:rPr>
          <w:rStyle w:val="2Char"/>
          <w:rFonts w:ascii="黑体" w:eastAsia="黑体" w:hAnsi="黑体" w:hint="eastAsia"/>
          <w:b w:val="0"/>
        </w:rPr>
        <w:t>政拨款收入支出决算总体情况说明</w:t>
      </w:r>
      <w:bookmarkEnd w:id="23"/>
      <w:bookmarkEnd w:id="24"/>
    </w:p>
    <w:p w:rsidR="00061033" w:rsidRDefault="00061033" w:rsidP="00172B65">
      <w:pPr>
        <w:spacing w:line="640" w:lineRule="exact"/>
        <w:ind w:firstLineChars="200" w:firstLine="640"/>
        <w:outlineLvl w:val="1"/>
        <w:rPr>
          <w:rFonts w:ascii="黑体" w:eastAsia="黑体" w:hAnsi="黑体"/>
          <w:color w:val="000000"/>
          <w:sz w:val="32"/>
          <w:szCs w:val="32"/>
        </w:rPr>
      </w:pPr>
    </w:p>
    <w:p w:rsidR="00162774" w:rsidRPr="00162774" w:rsidRDefault="009E4D40" w:rsidP="00172B65">
      <w:pPr>
        <w:spacing w:line="640" w:lineRule="exact"/>
        <w:ind w:firstLineChars="200" w:firstLine="640"/>
        <w:outlineLvl w:val="1"/>
        <w:rPr>
          <w:rFonts w:ascii="黑体" w:eastAsia="黑体" w:hAnsi="黑体" w:cstheme="majorBidi"/>
          <w:b/>
          <w:bCs/>
          <w:sz w:val="32"/>
          <w:szCs w:val="32"/>
        </w:rPr>
      </w:pPr>
      <w:r w:rsidRPr="00CE49DA">
        <w:rPr>
          <w:rFonts w:ascii="黑体" w:eastAsia="黑体" w:hAnsi="黑体" w:hint="eastAsia"/>
          <w:color w:val="000000"/>
          <w:sz w:val="32"/>
          <w:szCs w:val="32"/>
        </w:rPr>
        <w:t>四、财</w:t>
      </w:r>
      <w:r w:rsidRPr="00C42709">
        <w:rPr>
          <w:rStyle w:val="2Char"/>
          <w:rFonts w:ascii="黑体" w:eastAsia="黑体" w:hAnsi="黑体" w:hint="eastAsia"/>
        </w:rPr>
        <w:t>政拨款收入支出决算总体情况说明</w:t>
      </w:r>
    </w:p>
    <w:p w:rsidR="00061033" w:rsidRPr="005A4D76" w:rsidRDefault="00A3779E" w:rsidP="00172B65">
      <w:pPr>
        <w:snapToGrid w:val="0"/>
        <w:spacing w:line="520" w:lineRule="exact"/>
        <w:ind w:firstLineChars="200" w:firstLine="640"/>
        <w:rPr>
          <w:rFonts w:ascii="仿宋" w:eastAsia="仿宋" w:hAnsi="仿宋" w:cs="仿宋_GB2312"/>
          <w:bCs/>
          <w:color w:val="000000"/>
          <w:sz w:val="32"/>
          <w:szCs w:val="32"/>
        </w:rPr>
      </w:pPr>
      <w:r w:rsidRPr="005A4D76">
        <w:rPr>
          <w:rFonts w:ascii="仿宋" w:eastAsia="仿宋" w:hAnsi="仿宋"/>
          <w:sz w:val="32"/>
          <w:szCs w:val="32"/>
        </w:rPr>
        <w:t>20</w:t>
      </w:r>
      <w:r w:rsidRPr="005A4D76">
        <w:rPr>
          <w:rFonts w:ascii="仿宋" w:eastAsia="仿宋" w:hAnsi="仿宋" w:hint="eastAsia"/>
          <w:sz w:val="32"/>
          <w:szCs w:val="32"/>
        </w:rPr>
        <w:t>21年财政拨款收、支总计</w:t>
      </w:r>
      <w:r w:rsidR="009E4D40" w:rsidRPr="005A4D76">
        <w:rPr>
          <w:rFonts w:ascii="仿宋" w:eastAsia="仿宋" w:hAnsi="仿宋" w:hint="eastAsia"/>
          <w:sz w:val="32"/>
          <w:szCs w:val="32"/>
        </w:rPr>
        <w:t>356.06</w:t>
      </w:r>
      <w:r w:rsidRPr="005A4D76">
        <w:rPr>
          <w:rFonts w:ascii="仿宋" w:eastAsia="仿宋" w:hAnsi="仿宋" w:hint="eastAsia"/>
          <w:sz w:val="32"/>
          <w:szCs w:val="32"/>
        </w:rPr>
        <w:t>万元。与</w:t>
      </w:r>
      <w:r w:rsidRPr="005A4D76">
        <w:rPr>
          <w:rFonts w:ascii="仿宋" w:eastAsia="仿宋" w:hAnsi="仿宋"/>
          <w:sz w:val="32"/>
          <w:szCs w:val="32"/>
        </w:rPr>
        <w:t>20</w:t>
      </w:r>
      <w:r w:rsidRPr="005A4D76">
        <w:rPr>
          <w:rFonts w:ascii="仿宋" w:eastAsia="仿宋" w:hAnsi="仿宋" w:hint="eastAsia"/>
          <w:sz w:val="32"/>
          <w:szCs w:val="32"/>
        </w:rPr>
        <w:t>20年相比，财政拨款收、支总计各增加</w:t>
      </w:r>
      <w:r w:rsidR="009E4D40" w:rsidRPr="005A4D76">
        <w:rPr>
          <w:rFonts w:ascii="仿宋" w:eastAsia="仿宋" w:hAnsi="仿宋" w:hint="eastAsia"/>
          <w:sz w:val="32"/>
          <w:szCs w:val="32"/>
        </w:rPr>
        <w:t>44.01</w:t>
      </w:r>
      <w:r w:rsidRPr="005A4D76">
        <w:rPr>
          <w:rFonts w:ascii="仿宋" w:eastAsia="仿宋" w:hAnsi="仿宋" w:hint="eastAsia"/>
          <w:sz w:val="32"/>
          <w:szCs w:val="32"/>
        </w:rPr>
        <w:t>万元，增长</w:t>
      </w:r>
      <w:r w:rsidR="009E4D40" w:rsidRPr="005A4D76">
        <w:rPr>
          <w:rFonts w:ascii="仿宋" w:eastAsia="仿宋" w:hAnsi="仿宋" w:hint="eastAsia"/>
          <w:sz w:val="32"/>
          <w:szCs w:val="32"/>
        </w:rPr>
        <w:t>14</w:t>
      </w:r>
      <w:r w:rsidRPr="005A4D76">
        <w:rPr>
          <w:rFonts w:ascii="仿宋" w:eastAsia="仿宋" w:hAnsi="仿宋"/>
          <w:sz w:val="32"/>
          <w:szCs w:val="32"/>
        </w:rPr>
        <w:t>%</w:t>
      </w:r>
      <w:r w:rsidRPr="005A4D76">
        <w:rPr>
          <w:rFonts w:ascii="仿宋" w:eastAsia="仿宋" w:hAnsi="仿宋" w:hint="eastAsia"/>
          <w:sz w:val="32"/>
          <w:szCs w:val="32"/>
        </w:rPr>
        <w:t>。主要变动原因是</w:t>
      </w:r>
      <w:r w:rsidR="00061033" w:rsidRPr="005A4D76">
        <w:rPr>
          <w:rFonts w:ascii="仿宋" w:eastAsia="仿宋" w:hAnsi="仿宋" w:hint="eastAsia"/>
          <w:sz w:val="32"/>
          <w:szCs w:val="32"/>
        </w:rPr>
        <w:t>：1、</w:t>
      </w:r>
      <w:r w:rsidR="00061033" w:rsidRPr="005A4D76">
        <w:rPr>
          <w:rFonts w:ascii="仿宋" w:eastAsia="仿宋" w:hAnsi="仿宋" w:cs="仿宋_GB2312" w:hint="eastAsia"/>
          <w:bCs/>
          <w:color w:val="000000"/>
          <w:sz w:val="32"/>
          <w:szCs w:val="32"/>
        </w:rPr>
        <w:t>2021年调入2人，公招1人，相应增加工资及基本养老保险、其他社保和公积金等人员经费；2、补发退休中人待遇。</w:t>
      </w:r>
    </w:p>
    <w:p w:rsidR="007B682C" w:rsidRDefault="007B682C" w:rsidP="00172B65">
      <w:pPr>
        <w:spacing w:line="600" w:lineRule="exact"/>
        <w:ind w:firstLineChars="200" w:firstLine="643"/>
        <w:rPr>
          <w:rFonts w:ascii="仿宋" w:eastAsia="仿宋" w:hAnsi="仿宋"/>
          <w:b/>
          <w:sz w:val="32"/>
          <w:szCs w:val="32"/>
        </w:rPr>
      </w:pPr>
      <w:r>
        <w:rPr>
          <w:rFonts w:ascii="仿宋" w:eastAsia="仿宋" w:hAnsi="仿宋" w:hint="eastAsia"/>
          <w:b/>
          <w:sz w:val="32"/>
          <w:szCs w:val="32"/>
        </w:rPr>
        <w:t>（注：数据来源于财决</w:t>
      </w:r>
      <w:r>
        <w:rPr>
          <w:rFonts w:ascii="仿宋" w:eastAsia="仿宋" w:hAnsi="仿宋"/>
          <w:b/>
          <w:sz w:val="32"/>
          <w:szCs w:val="32"/>
        </w:rPr>
        <w:t>01</w:t>
      </w:r>
      <w:r>
        <w:rPr>
          <w:rFonts w:ascii="仿宋" w:eastAsia="仿宋" w:hAnsi="仿宋" w:hint="eastAsia"/>
          <w:b/>
          <w:sz w:val="32"/>
          <w:szCs w:val="32"/>
        </w:rPr>
        <w:t>-1表</w:t>
      </w:r>
      <w:r>
        <w:rPr>
          <w:rFonts w:ascii="仿宋" w:eastAsia="仿宋" w:hAnsi="仿宋"/>
          <w:b/>
          <w:sz w:val="32"/>
          <w:szCs w:val="32"/>
        </w:rPr>
        <w:t>）</w:t>
      </w:r>
    </w:p>
    <w:p w:rsidR="00D13277" w:rsidRDefault="00A3779E" w:rsidP="00172B65">
      <w:pPr>
        <w:snapToGrid w:val="0"/>
        <w:spacing w:line="520" w:lineRule="exact"/>
        <w:ind w:firstLineChars="150" w:firstLine="480"/>
        <w:rPr>
          <w:rFonts w:ascii="仿宋" w:eastAsia="仿宋" w:hAnsi="仿宋"/>
          <w:sz w:val="32"/>
          <w:szCs w:val="32"/>
        </w:rPr>
      </w:pPr>
      <w:r>
        <w:rPr>
          <w:rFonts w:ascii="仿宋" w:eastAsia="仿宋" w:hAnsi="仿宋" w:hint="eastAsia"/>
          <w:sz w:val="32"/>
          <w:szCs w:val="32"/>
        </w:rPr>
        <w:t>（图4：财政拨款收、支决算总计变动情况）（柱状图）</w:t>
      </w:r>
    </w:p>
    <w:p w:rsidR="009E4D40" w:rsidRPr="00F940CD" w:rsidRDefault="007B682C" w:rsidP="009E4D40">
      <w:pPr>
        <w:spacing w:line="600" w:lineRule="exact"/>
        <w:rPr>
          <w:rFonts w:ascii="仿宋_GB2312" w:eastAsia="仿宋_GB2312" w:hAnsi="仿宋"/>
          <w:color w:val="000000"/>
          <w:sz w:val="32"/>
          <w:szCs w:val="32"/>
        </w:rPr>
      </w:pPr>
      <w:r>
        <w:rPr>
          <w:rFonts w:ascii="仿宋_GB2312" w:eastAsia="仿宋_GB2312" w:hAnsi="仿宋"/>
          <w:noProof/>
          <w:color w:val="000000"/>
          <w:sz w:val="32"/>
          <w:szCs w:val="32"/>
        </w:rPr>
        <w:drawing>
          <wp:anchor distT="0" distB="0" distL="114300" distR="114300" simplePos="0" relativeHeight="251667456" behindDoc="0" locked="0" layoutInCell="1" allowOverlap="1">
            <wp:simplePos x="0" y="0"/>
            <wp:positionH relativeFrom="column">
              <wp:posOffset>177165</wp:posOffset>
            </wp:positionH>
            <wp:positionV relativeFrom="paragraph">
              <wp:posOffset>64135</wp:posOffset>
            </wp:positionV>
            <wp:extent cx="4413250" cy="2042795"/>
            <wp:effectExtent l="19050" t="0" r="25400" b="0"/>
            <wp:wrapNone/>
            <wp:docPr id="19" name="对象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9E4D40" w:rsidRPr="00F940CD" w:rsidRDefault="009E4D40" w:rsidP="009E4D40">
      <w:pPr>
        <w:spacing w:line="600" w:lineRule="exact"/>
        <w:rPr>
          <w:rFonts w:ascii="仿宋_GB2312" w:eastAsia="仿宋_GB2312" w:hAnsi="仿宋"/>
          <w:color w:val="000000"/>
          <w:sz w:val="32"/>
          <w:szCs w:val="32"/>
        </w:rPr>
      </w:pPr>
    </w:p>
    <w:p w:rsidR="009E4D40" w:rsidRPr="00F940CD" w:rsidRDefault="009E4D40" w:rsidP="009E4D40">
      <w:pPr>
        <w:spacing w:line="600" w:lineRule="exact"/>
        <w:rPr>
          <w:rFonts w:ascii="仿宋_GB2312" w:eastAsia="仿宋_GB2312" w:hAnsi="仿宋"/>
          <w:color w:val="000000"/>
          <w:sz w:val="32"/>
          <w:szCs w:val="32"/>
        </w:rPr>
      </w:pPr>
    </w:p>
    <w:p w:rsidR="009E4D40" w:rsidRPr="00F940CD" w:rsidRDefault="009E4D40" w:rsidP="009E4D40">
      <w:pPr>
        <w:spacing w:line="600" w:lineRule="exact"/>
        <w:rPr>
          <w:rFonts w:ascii="仿宋_GB2312" w:eastAsia="仿宋_GB2312" w:hAnsi="仿宋"/>
          <w:color w:val="000000"/>
          <w:sz w:val="32"/>
          <w:szCs w:val="32"/>
        </w:rPr>
      </w:pPr>
    </w:p>
    <w:p w:rsidR="00D13277" w:rsidRDefault="00A3779E" w:rsidP="00172B65">
      <w:pPr>
        <w:spacing w:line="600" w:lineRule="exact"/>
        <w:ind w:firstLineChars="250" w:firstLine="800"/>
        <w:outlineLvl w:val="1"/>
        <w:rPr>
          <w:rStyle w:val="2Char"/>
          <w:rFonts w:ascii="黑体" w:eastAsia="黑体" w:hAnsi="黑体"/>
          <w:b w:val="0"/>
        </w:rPr>
      </w:pPr>
      <w:bookmarkStart w:id="25" w:name="_Toc15396607"/>
      <w:bookmarkStart w:id="26" w:name="_Toc15377209"/>
      <w:r>
        <w:rPr>
          <w:rFonts w:ascii="黑体" w:eastAsia="黑体" w:hAnsi="黑体" w:hint="eastAsia"/>
          <w:sz w:val="32"/>
          <w:szCs w:val="32"/>
        </w:rPr>
        <w:t>五、</w:t>
      </w:r>
      <w:r>
        <w:rPr>
          <w:rFonts w:ascii="黑体" w:eastAsia="黑体" w:hAnsi="黑体" w:hint="eastAsia"/>
          <w:b/>
          <w:sz w:val="32"/>
          <w:szCs w:val="32"/>
        </w:rPr>
        <w:t>一</w:t>
      </w:r>
      <w:r>
        <w:rPr>
          <w:rStyle w:val="2Char"/>
          <w:rFonts w:ascii="黑体" w:eastAsia="黑体" w:hAnsi="黑体" w:hint="eastAsia"/>
          <w:b w:val="0"/>
        </w:rPr>
        <w:t>般公共预算财政拨款支出决算情况说明</w:t>
      </w:r>
      <w:bookmarkEnd w:id="25"/>
      <w:bookmarkEnd w:id="26"/>
    </w:p>
    <w:p w:rsidR="00D13277" w:rsidRDefault="00A3779E" w:rsidP="00172B65">
      <w:pPr>
        <w:spacing w:line="600" w:lineRule="exact"/>
        <w:ind w:firstLineChars="200" w:firstLine="643"/>
        <w:outlineLvl w:val="2"/>
        <w:rPr>
          <w:rFonts w:ascii="仿宋" w:eastAsia="仿宋" w:hAnsi="仿宋"/>
          <w:b/>
          <w:sz w:val="32"/>
          <w:szCs w:val="32"/>
        </w:rPr>
      </w:pPr>
      <w:bookmarkStart w:id="27" w:name="_Toc15377210"/>
      <w:r>
        <w:rPr>
          <w:rFonts w:ascii="仿宋" w:eastAsia="仿宋" w:hAnsi="仿宋" w:hint="eastAsia"/>
          <w:b/>
          <w:sz w:val="32"/>
          <w:szCs w:val="32"/>
        </w:rPr>
        <w:t>（一）一般公共预算财政拨款支出决算总体情况</w:t>
      </w:r>
      <w:bookmarkEnd w:id="27"/>
    </w:p>
    <w:p w:rsidR="00162774" w:rsidRPr="005A4D76" w:rsidRDefault="00A3779E" w:rsidP="00172B65">
      <w:pPr>
        <w:snapToGrid w:val="0"/>
        <w:spacing w:line="520" w:lineRule="exact"/>
        <w:ind w:firstLineChars="200" w:firstLine="640"/>
        <w:rPr>
          <w:rFonts w:ascii="仿宋" w:eastAsia="仿宋" w:hAnsi="仿宋" w:cs="仿宋_GB2312"/>
          <w:bCs/>
          <w:color w:val="000000"/>
          <w:sz w:val="32"/>
          <w:szCs w:val="32"/>
        </w:rPr>
      </w:pPr>
      <w:r w:rsidRPr="005A4D76">
        <w:rPr>
          <w:rFonts w:ascii="仿宋" w:eastAsia="仿宋" w:hAnsi="仿宋"/>
          <w:sz w:val="32"/>
          <w:szCs w:val="32"/>
        </w:rPr>
        <w:t>20</w:t>
      </w:r>
      <w:r w:rsidRPr="005A4D76">
        <w:rPr>
          <w:rFonts w:ascii="仿宋" w:eastAsia="仿宋" w:hAnsi="仿宋" w:hint="eastAsia"/>
          <w:sz w:val="32"/>
          <w:szCs w:val="32"/>
        </w:rPr>
        <w:t>21年一般公共预算财政拨款支出</w:t>
      </w:r>
      <w:r w:rsidR="009E4D40" w:rsidRPr="005A4D76">
        <w:rPr>
          <w:rFonts w:ascii="仿宋" w:eastAsia="仿宋" w:hAnsi="仿宋" w:hint="eastAsia"/>
          <w:sz w:val="32"/>
          <w:szCs w:val="32"/>
        </w:rPr>
        <w:t>356.06</w:t>
      </w:r>
      <w:r w:rsidRPr="005A4D76">
        <w:rPr>
          <w:rFonts w:ascii="仿宋" w:eastAsia="仿宋" w:hAnsi="仿宋" w:hint="eastAsia"/>
          <w:sz w:val="32"/>
          <w:szCs w:val="32"/>
        </w:rPr>
        <w:t>万元，占本年支出合计的</w:t>
      </w:r>
      <w:r w:rsidR="009E4D40" w:rsidRPr="005A4D76">
        <w:rPr>
          <w:rFonts w:ascii="仿宋" w:eastAsia="仿宋" w:hAnsi="仿宋" w:hint="eastAsia"/>
          <w:sz w:val="32"/>
          <w:szCs w:val="32"/>
        </w:rPr>
        <w:t>100</w:t>
      </w:r>
      <w:r w:rsidRPr="005A4D76">
        <w:rPr>
          <w:rFonts w:ascii="仿宋" w:eastAsia="仿宋" w:hAnsi="仿宋"/>
          <w:sz w:val="32"/>
          <w:szCs w:val="32"/>
        </w:rPr>
        <w:t>%</w:t>
      </w:r>
      <w:r w:rsidRPr="005A4D76">
        <w:rPr>
          <w:rFonts w:ascii="仿宋" w:eastAsia="仿宋" w:hAnsi="仿宋" w:hint="eastAsia"/>
          <w:sz w:val="32"/>
          <w:szCs w:val="32"/>
        </w:rPr>
        <w:t>。与</w:t>
      </w:r>
      <w:r w:rsidRPr="005A4D76">
        <w:rPr>
          <w:rFonts w:ascii="仿宋" w:eastAsia="仿宋" w:hAnsi="仿宋"/>
          <w:sz w:val="32"/>
          <w:szCs w:val="32"/>
        </w:rPr>
        <w:t>20</w:t>
      </w:r>
      <w:r w:rsidRPr="005A4D76">
        <w:rPr>
          <w:rFonts w:ascii="仿宋" w:eastAsia="仿宋" w:hAnsi="仿宋" w:hint="eastAsia"/>
          <w:sz w:val="32"/>
          <w:szCs w:val="32"/>
        </w:rPr>
        <w:t>20年相比，一般公共预算财政拨款支出增加</w:t>
      </w:r>
      <w:r w:rsidR="009E4D40" w:rsidRPr="005A4D76">
        <w:rPr>
          <w:rFonts w:ascii="仿宋" w:eastAsia="仿宋" w:hAnsi="仿宋" w:hint="eastAsia"/>
          <w:sz w:val="32"/>
          <w:szCs w:val="32"/>
        </w:rPr>
        <w:t>44.01</w:t>
      </w:r>
      <w:r w:rsidRPr="005A4D76">
        <w:rPr>
          <w:rFonts w:ascii="仿宋" w:eastAsia="仿宋" w:hAnsi="仿宋" w:hint="eastAsia"/>
          <w:sz w:val="32"/>
          <w:szCs w:val="32"/>
        </w:rPr>
        <w:t>万元，增长</w:t>
      </w:r>
      <w:r w:rsidR="009E4D40" w:rsidRPr="005A4D76">
        <w:rPr>
          <w:rFonts w:ascii="仿宋" w:eastAsia="仿宋" w:hAnsi="仿宋" w:hint="eastAsia"/>
          <w:sz w:val="32"/>
          <w:szCs w:val="32"/>
        </w:rPr>
        <w:t>14</w:t>
      </w:r>
      <w:r w:rsidRPr="005A4D76">
        <w:rPr>
          <w:rFonts w:ascii="仿宋" w:eastAsia="仿宋" w:hAnsi="仿宋"/>
          <w:sz w:val="32"/>
          <w:szCs w:val="32"/>
        </w:rPr>
        <w:t>%</w:t>
      </w:r>
      <w:r w:rsidRPr="005A4D76">
        <w:rPr>
          <w:rFonts w:ascii="仿宋" w:eastAsia="仿宋" w:hAnsi="仿宋" w:hint="eastAsia"/>
          <w:sz w:val="32"/>
          <w:szCs w:val="32"/>
        </w:rPr>
        <w:t>。主要变动原因是</w:t>
      </w:r>
      <w:r w:rsidR="00061033" w:rsidRPr="005A4D76">
        <w:rPr>
          <w:rFonts w:ascii="仿宋" w:eastAsia="仿宋" w:hAnsi="仿宋" w:hint="eastAsia"/>
          <w:sz w:val="32"/>
          <w:szCs w:val="32"/>
        </w:rPr>
        <w:t>：1、</w:t>
      </w:r>
      <w:r w:rsidR="00061033" w:rsidRPr="005A4D76">
        <w:rPr>
          <w:rFonts w:ascii="仿宋" w:eastAsia="仿宋" w:hAnsi="仿宋" w:cs="仿宋_GB2312" w:hint="eastAsia"/>
          <w:bCs/>
          <w:color w:val="000000"/>
          <w:sz w:val="32"/>
          <w:szCs w:val="32"/>
        </w:rPr>
        <w:t>2021年调入2人，公招1人，相应增加工资及基本养老保险、其他社保和公积金等人员经费；2、补发退休中人待遇。</w:t>
      </w:r>
    </w:p>
    <w:p w:rsidR="009E4D40" w:rsidRPr="005A4D76" w:rsidRDefault="00162774" w:rsidP="00172B65">
      <w:pPr>
        <w:snapToGrid w:val="0"/>
        <w:spacing w:line="520" w:lineRule="exact"/>
        <w:ind w:firstLineChars="200" w:firstLine="640"/>
        <w:rPr>
          <w:rFonts w:ascii="仿宋" w:eastAsia="仿宋" w:hAnsi="仿宋"/>
          <w:sz w:val="32"/>
          <w:szCs w:val="32"/>
        </w:rPr>
      </w:pPr>
      <w:r w:rsidRPr="005A4D76">
        <w:rPr>
          <w:rFonts w:ascii="仿宋" w:eastAsia="仿宋" w:hAnsi="仿宋" w:hint="eastAsia"/>
          <w:noProof/>
          <w:sz w:val="32"/>
          <w:szCs w:val="32"/>
        </w:rPr>
        <w:drawing>
          <wp:anchor distT="0" distB="0" distL="114300" distR="114300" simplePos="0" relativeHeight="251669504" behindDoc="0" locked="0" layoutInCell="1" allowOverlap="1">
            <wp:simplePos x="0" y="0"/>
            <wp:positionH relativeFrom="column">
              <wp:posOffset>622300</wp:posOffset>
            </wp:positionH>
            <wp:positionV relativeFrom="paragraph">
              <wp:posOffset>601980</wp:posOffset>
            </wp:positionV>
            <wp:extent cx="4172585" cy="1894840"/>
            <wp:effectExtent l="19050" t="0" r="18415" b="0"/>
            <wp:wrapNone/>
            <wp:docPr id="13" name="对象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3779E" w:rsidRPr="005A4D76">
        <w:rPr>
          <w:rFonts w:ascii="仿宋" w:eastAsia="仿宋" w:hAnsi="仿宋" w:hint="eastAsia"/>
          <w:sz w:val="32"/>
          <w:szCs w:val="32"/>
        </w:rPr>
        <w:t>（图5：一般公共预算财政拨款支出决算变动情况）（柱状图）</w:t>
      </w:r>
    </w:p>
    <w:p w:rsidR="009E4D40" w:rsidRPr="00F940CD" w:rsidRDefault="009E4D40" w:rsidP="00172B65">
      <w:pPr>
        <w:spacing w:line="600" w:lineRule="exact"/>
        <w:ind w:firstLineChars="200" w:firstLine="640"/>
        <w:rPr>
          <w:rFonts w:ascii="仿宋_GB2312" w:eastAsia="仿宋_GB2312" w:hAnsi="仿宋"/>
          <w:color w:val="000000"/>
          <w:sz w:val="32"/>
          <w:szCs w:val="32"/>
        </w:rPr>
      </w:pPr>
    </w:p>
    <w:p w:rsidR="009E4D40" w:rsidRPr="00F940CD" w:rsidRDefault="009E4D40" w:rsidP="00172B65">
      <w:pPr>
        <w:spacing w:line="600" w:lineRule="exact"/>
        <w:ind w:firstLineChars="200" w:firstLine="640"/>
        <w:rPr>
          <w:rFonts w:ascii="仿宋_GB2312" w:eastAsia="仿宋_GB2312" w:hAnsi="仿宋"/>
          <w:color w:val="000000"/>
          <w:sz w:val="32"/>
          <w:szCs w:val="32"/>
        </w:rPr>
      </w:pPr>
    </w:p>
    <w:p w:rsidR="009E4D40" w:rsidRPr="00F940CD" w:rsidRDefault="009E4D40" w:rsidP="00172B65">
      <w:pPr>
        <w:spacing w:line="600" w:lineRule="exact"/>
        <w:ind w:firstLineChars="200" w:firstLine="640"/>
        <w:rPr>
          <w:rFonts w:ascii="仿宋_GB2312" w:eastAsia="仿宋_GB2312" w:hAnsi="仿宋"/>
          <w:color w:val="000000"/>
          <w:sz w:val="32"/>
          <w:szCs w:val="32"/>
        </w:rPr>
      </w:pPr>
    </w:p>
    <w:p w:rsidR="009E4D40" w:rsidRPr="00F940CD" w:rsidRDefault="009E4D40" w:rsidP="00172B65">
      <w:pPr>
        <w:spacing w:line="600" w:lineRule="exact"/>
        <w:ind w:firstLineChars="200" w:firstLine="640"/>
        <w:rPr>
          <w:rFonts w:ascii="仿宋_GB2312" w:eastAsia="仿宋_GB2312" w:hAnsi="仿宋"/>
          <w:color w:val="000000"/>
          <w:sz w:val="32"/>
          <w:szCs w:val="32"/>
        </w:rPr>
      </w:pPr>
    </w:p>
    <w:p w:rsidR="00061033" w:rsidRDefault="00061033" w:rsidP="00172B65">
      <w:pPr>
        <w:spacing w:line="600" w:lineRule="exact"/>
        <w:ind w:firstLineChars="147" w:firstLine="472"/>
        <w:outlineLvl w:val="2"/>
        <w:rPr>
          <w:rFonts w:ascii="仿宋" w:eastAsia="仿宋" w:hAnsi="仿宋"/>
          <w:b/>
          <w:sz w:val="32"/>
          <w:szCs w:val="32"/>
        </w:rPr>
      </w:pPr>
      <w:bookmarkStart w:id="28" w:name="_Toc15377211"/>
    </w:p>
    <w:p w:rsidR="00D13277" w:rsidRDefault="00A3779E" w:rsidP="00172B65">
      <w:pPr>
        <w:spacing w:line="600" w:lineRule="exact"/>
        <w:ind w:firstLineChars="147" w:firstLine="472"/>
        <w:outlineLvl w:val="2"/>
        <w:rPr>
          <w:rFonts w:ascii="仿宋" w:eastAsia="仿宋" w:hAnsi="仿宋"/>
          <w:b/>
          <w:sz w:val="32"/>
          <w:szCs w:val="32"/>
        </w:rPr>
      </w:pPr>
      <w:r>
        <w:rPr>
          <w:rFonts w:ascii="仿宋" w:eastAsia="仿宋" w:hAnsi="仿宋" w:hint="eastAsia"/>
          <w:b/>
          <w:sz w:val="32"/>
          <w:szCs w:val="32"/>
        </w:rPr>
        <w:t>（二）一般公共预算财政拨款支出决算结构情况</w:t>
      </w:r>
      <w:bookmarkEnd w:id="28"/>
    </w:p>
    <w:p w:rsidR="00D13277" w:rsidRPr="005A4D76" w:rsidRDefault="00A3779E">
      <w:pPr>
        <w:spacing w:line="600" w:lineRule="exact"/>
        <w:ind w:firstLine="640"/>
        <w:rPr>
          <w:rFonts w:ascii="仿宋" w:eastAsia="仿宋" w:hAnsi="仿宋"/>
          <w:sz w:val="32"/>
          <w:szCs w:val="32"/>
        </w:rPr>
      </w:pPr>
      <w:r w:rsidRPr="005A4D76">
        <w:rPr>
          <w:rFonts w:ascii="仿宋" w:eastAsia="仿宋" w:hAnsi="仿宋"/>
          <w:sz w:val="32"/>
          <w:szCs w:val="32"/>
        </w:rPr>
        <w:t>20</w:t>
      </w:r>
      <w:r w:rsidRPr="005A4D76">
        <w:rPr>
          <w:rFonts w:ascii="仿宋" w:eastAsia="仿宋" w:hAnsi="仿宋" w:hint="eastAsia"/>
          <w:sz w:val="32"/>
          <w:szCs w:val="32"/>
        </w:rPr>
        <w:t>21年一般公共预算财政拨款支出</w:t>
      </w:r>
      <w:r w:rsidR="00C40F2F" w:rsidRPr="005A4D76">
        <w:rPr>
          <w:rFonts w:ascii="仿宋" w:eastAsia="仿宋" w:hAnsi="仿宋" w:hint="eastAsia"/>
          <w:sz w:val="32"/>
          <w:szCs w:val="32"/>
        </w:rPr>
        <w:t>356.06</w:t>
      </w:r>
      <w:r w:rsidRPr="005A4D76">
        <w:rPr>
          <w:rFonts w:ascii="仿宋" w:eastAsia="仿宋" w:hAnsi="仿宋" w:hint="eastAsia"/>
          <w:sz w:val="32"/>
          <w:szCs w:val="32"/>
        </w:rPr>
        <w:t>万元，主要用于以下方面</w:t>
      </w:r>
      <w:r w:rsidRPr="005A4D76">
        <w:rPr>
          <w:rFonts w:ascii="仿宋" w:eastAsia="仿宋" w:hAnsi="仿宋"/>
          <w:sz w:val="32"/>
          <w:szCs w:val="32"/>
        </w:rPr>
        <w:t>:</w:t>
      </w:r>
      <w:r w:rsidR="00C40F2F" w:rsidRPr="005A4D76">
        <w:rPr>
          <w:rFonts w:ascii="仿宋" w:eastAsia="仿宋" w:hAnsi="仿宋" w:hint="eastAsia"/>
          <w:b/>
          <w:bCs/>
          <w:sz w:val="32"/>
          <w:szCs w:val="32"/>
        </w:rPr>
        <w:t>城乡社区</w:t>
      </w:r>
      <w:r w:rsidRPr="005A4D76">
        <w:rPr>
          <w:rFonts w:ascii="仿宋" w:eastAsia="仿宋" w:hAnsi="仿宋" w:hint="eastAsia"/>
          <w:b/>
          <w:bCs/>
          <w:sz w:val="32"/>
          <w:szCs w:val="32"/>
        </w:rPr>
        <w:t>（类）支出</w:t>
      </w:r>
      <w:r w:rsidR="00C40F2F" w:rsidRPr="005A4D76">
        <w:rPr>
          <w:rFonts w:ascii="仿宋" w:eastAsia="仿宋" w:hAnsi="仿宋" w:hint="eastAsia"/>
          <w:b/>
          <w:bCs/>
          <w:sz w:val="32"/>
          <w:szCs w:val="32"/>
        </w:rPr>
        <w:t>266.28</w:t>
      </w:r>
      <w:r w:rsidRPr="005A4D76">
        <w:rPr>
          <w:rFonts w:ascii="仿宋" w:eastAsia="仿宋" w:hAnsi="仿宋" w:hint="eastAsia"/>
          <w:b/>
          <w:bCs/>
          <w:sz w:val="32"/>
          <w:szCs w:val="32"/>
        </w:rPr>
        <w:t>万元，占</w:t>
      </w:r>
      <w:r w:rsidR="00C40F2F" w:rsidRPr="005A4D76">
        <w:rPr>
          <w:rFonts w:ascii="仿宋" w:eastAsia="仿宋" w:hAnsi="仿宋" w:hint="eastAsia"/>
          <w:b/>
          <w:bCs/>
          <w:sz w:val="32"/>
          <w:szCs w:val="32"/>
        </w:rPr>
        <w:t>75</w:t>
      </w:r>
      <w:r w:rsidRPr="005A4D76">
        <w:rPr>
          <w:rFonts w:ascii="仿宋" w:eastAsia="仿宋" w:hAnsi="仿宋"/>
          <w:b/>
          <w:bCs/>
          <w:sz w:val="32"/>
          <w:szCs w:val="32"/>
        </w:rPr>
        <w:t>%</w:t>
      </w:r>
      <w:r w:rsidRPr="005A4D76">
        <w:rPr>
          <w:rFonts w:ascii="仿宋" w:eastAsia="仿宋" w:hAnsi="仿宋" w:hint="eastAsia"/>
          <w:sz w:val="32"/>
          <w:szCs w:val="32"/>
        </w:rPr>
        <w:t>；</w:t>
      </w:r>
      <w:r w:rsidRPr="005A4D76">
        <w:rPr>
          <w:rFonts w:ascii="仿宋" w:eastAsia="仿宋" w:hAnsi="仿宋" w:hint="eastAsia"/>
          <w:b/>
          <w:sz w:val="32"/>
          <w:szCs w:val="32"/>
        </w:rPr>
        <w:t>社会保障和就业（类）</w:t>
      </w:r>
      <w:r w:rsidRPr="005A4D76">
        <w:rPr>
          <w:rFonts w:ascii="仿宋" w:eastAsia="仿宋" w:hAnsi="仿宋" w:hint="eastAsia"/>
          <w:sz w:val="32"/>
          <w:szCs w:val="32"/>
        </w:rPr>
        <w:t>支出</w:t>
      </w:r>
      <w:r w:rsidR="00AC4DD1" w:rsidRPr="005A4D76">
        <w:rPr>
          <w:rFonts w:ascii="仿宋" w:eastAsia="仿宋" w:hAnsi="仿宋" w:hint="eastAsia"/>
          <w:sz w:val="32"/>
          <w:szCs w:val="32"/>
        </w:rPr>
        <w:t>66.43</w:t>
      </w:r>
      <w:r w:rsidRPr="005A4D76">
        <w:rPr>
          <w:rFonts w:ascii="仿宋" w:eastAsia="仿宋" w:hAnsi="仿宋" w:hint="eastAsia"/>
          <w:sz w:val="32"/>
          <w:szCs w:val="32"/>
        </w:rPr>
        <w:t>万元，占</w:t>
      </w:r>
      <w:r w:rsidR="00C40F2F" w:rsidRPr="005A4D76">
        <w:rPr>
          <w:rFonts w:ascii="仿宋" w:eastAsia="仿宋" w:hAnsi="仿宋" w:hint="eastAsia"/>
          <w:sz w:val="32"/>
          <w:szCs w:val="32"/>
        </w:rPr>
        <w:t>19</w:t>
      </w:r>
      <w:r w:rsidRPr="005A4D76">
        <w:rPr>
          <w:rFonts w:ascii="仿宋" w:eastAsia="仿宋" w:hAnsi="仿宋"/>
          <w:sz w:val="32"/>
          <w:szCs w:val="32"/>
        </w:rPr>
        <w:t>%</w:t>
      </w:r>
      <w:r w:rsidRPr="005A4D76">
        <w:rPr>
          <w:rFonts w:ascii="仿宋" w:eastAsia="仿宋" w:hAnsi="仿宋" w:hint="eastAsia"/>
          <w:sz w:val="32"/>
          <w:szCs w:val="32"/>
        </w:rPr>
        <w:t>；住房保障支出</w:t>
      </w:r>
      <w:r w:rsidR="00C40F2F" w:rsidRPr="005A4D76">
        <w:rPr>
          <w:rFonts w:ascii="仿宋" w:eastAsia="仿宋" w:hAnsi="仿宋" w:hint="eastAsia"/>
          <w:sz w:val="32"/>
          <w:szCs w:val="32"/>
        </w:rPr>
        <w:t>23.35</w:t>
      </w:r>
      <w:r w:rsidRPr="005A4D76">
        <w:rPr>
          <w:rFonts w:ascii="仿宋" w:eastAsia="仿宋" w:hAnsi="仿宋" w:hint="eastAsia"/>
          <w:sz w:val="32"/>
          <w:szCs w:val="32"/>
        </w:rPr>
        <w:t>万元，占</w:t>
      </w:r>
      <w:r w:rsidR="00C40F2F" w:rsidRPr="005A4D76">
        <w:rPr>
          <w:rFonts w:ascii="仿宋" w:eastAsia="仿宋" w:hAnsi="仿宋" w:hint="eastAsia"/>
          <w:sz w:val="32"/>
          <w:szCs w:val="32"/>
        </w:rPr>
        <w:t>6</w:t>
      </w:r>
      <w:r w:rsidRPr="005A4D76">
        <w:rPr>
          <w:rFonts w:ascii="仿宋" w:eastAsia="仿宋" w:hAnsi="仿宋"/>
          <w:sz w:val="32"/>
          <w:szCs w:val="32"/>
        </w:rPr>
        <w:t>%</w:t>
      </w:r>
      <w:r w:rsidRPr="005A4D76">
        <w:rPr>
          <w:rFonts w:ascii="仿宋" w:eastAsia="仿宋" w:hAnsi="仿宋" w:hint="eastAsia"/>
          <w:sz w:val="32"/>
          <w:szCs w:val="32"/>
        </w:rPr>
        <w:t>。</w:t>
      </w:r>
    </w:p>
    <w:p w:rsidR="00526065" w:rsidRPr="00D80B04" w:rsidRDefault="00526065" w:rsidP="00526065">
      <w:pPr>
        <w:spacing w:line="640" w:lineRule="exact"/>
        <w:ind w:firstLine="640"/>
        <w:rPr>
          <w:rFonts w:ascii="仿宋" w:eastAsia="仿宋" w:hAnsi="仿宋"/>
          <w:b/>
          <w:sz w:val="32"/>
          <w:szCs w:val="32"/>
        </w:rPr>
      </w:pPr>
      <w:r w:rsidRPr="00D80B04">
        <w:rPr>
          <w:rFonts w:ascii="仿宋" w:eastAsia="仿宋" w:hAnsi="仿宋" w:hint="eastAsia"/>
          <w:b/>
          <w:sz w:val="32"/>
          <w:szCs w:val="32"/>
        </w:rPr>
        <w:t>（注：数据来源于财决01-1表，仅罗列本单位涉及的全部功能分类科目，至类级。）</w:t>
      </w:r>
    </w:p>
    <w:p w:rsidR="00526065" w:rsidRPr="00526065" w:rsidRDefault="00526065" w:rsidP="00526065">
      <w:pPr>
        <w:pStyle w:val="a0"/>
        <w:spacing w:before="93"/>
      </w:pPr>
    </w:p>
    <w:p w:rsidR="00D13277" w:rsidRDefault="00A3779E" w:rsidP="00172B65">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（图6：一般公共预算财政拨款支出决算结构）（饼状图）</w:t>
      </w:r>
    </w:p>
    <w:p w:rsidR="00C40F2F" w:rsidRPr="00F940CD" w:rsidRDefault="00526065" w:rsidP="00172B65">
      <w:pPr>
        <w:spacing w:line="600" w:lineRule="exact"/>
        <w:ind w:firstLineChars="50" w:firstLine="160"/>
        <w:rPr>
          <w:rFonts w:ascii="仿宋_GB2312" w:eastAsia="仿宋_GB2312" w:hAnsi="仿宋"/>
          <w:color w:val="000000"/>
          <w:sz w:val="32"/>
          <w:szCs w:val="32"/>
        </w:rPr>
      </w:pPr>
      <w:r>
        <w:rPr>
          <w:rFonts w:ascii="仿宋_GB2312" w:eastAsia="仿宋_GB2312" w:hAnsi="仿宋"/>
          <w:noProof/>
          <w:color w:val="000000"/>
          <w:sz w:val="32"/>
          <w:szCs w:val="32"/>
        </w:rPr>
        <w:drawing>
          <wp:anchor distT="0" distB="0" distL="114300" distR="114300" simplePos="0" relativeHeight="251671552" behindDoc="0" locked="0" layoutInCell="1" allowOverlap="1">
            <wp:simplePos x="0" y="0"/>
            <wp:positionH relativeFrom="column">
              <wp:posOffset>622472</wp:posOffset>
            </wp:positionH>
            <wp:positionV relativeFrom="paragraph">
              <wp:posOffset>286265</wp:posOffset>
            </wp:positionV>
            <wp:extent cx="4399554" cy="1952368"/>
            <wp:effectExtent l="19050" t="0" r="20046" b="0"/>
            <wp:wrapNone/>
            <wp:docPr id="5" name="对象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C40F2F" w:rsidRPr="00F940CD" w:rsidRDefault="00C40F2F" w:rsidP="00172B65">
      <w:pPr>
        <w:spacing w:line="600" w:lineRule="exact"/>
        <w:ind w:firstLineChars="50" w:firstLine="160"/>
        <w:rPr>
          <w:rFonts w:ascii="仿宋_GB2312" w:eastAsia="仿宋_GB2312" w:hAnsi="仿宋"/>
          <w:color w:val="000000"/>
          <w:sz w:val="32"/>
          <w:szCs w:val="32"/>
        </w:rPr>
      </w:pPr>
    </w:p>
    <w:p w:rsidR="00C40F2F" w:rsidRPr="00F940CD" w:rsidRDefault="00C40F2F" w:rsidP="00172B65">
      <w:pPr>
        <w:spacing w:line="600" w:lineRule="exact"/>
        <w:ind w:firstLineChars="50" w:firstLine="160"/>
        <w:rPr>
          <w:rFonts w:ascii="仿宋_GB2312" w:eastAsia="仿宋_GB2312" w:hAnsi="仿宋"/>
          <w:color w:val="000000"/>
          <w:sz w:val="32"/>
          <w:szCs w:val="32"/>
        </w:rPr>
      </w:pPr>
    </w:p>
    <w:p w:rsidR="00C40F2F" w:rsidRPr="00F940CD" w:rsidRDefault="00C40F2F" w:rsidP="00172B65">
      <w:pPr>
        <w:spacing w:line="600" w:lineRule="exact"/>
        <w:ind w:firstLineChars="50" w:firstLine="160"/>
        <w:rPr>
          <w:rFonts w:ascii="仿宋_GB2312" w:eastAsia="仿宋_GB2312" w:hAnsi="仿宋"/>
          <w:color w:val="000000"/>
          <w:sz w:val="32"/>
          <w:szCs w:val="32"/>
        </w:rPr>
      </w:pPr>
    </w:p>
    <w:p w:rsidR="00526065" w:rsidRDefault="00526065" w:rsidP="00172B65">
      <w:pPr>
        <w:spacing w:line="600" w:lineRule="exact"/>
        <w:ind w:firstLineChars="100" w:firstLine="321"/>
        <w:outlineLvl w:val="2"/>
        <w:rPr>
          <w:rFonts w:ascii="仿宋" w:eastAsia="仿宋" w:hAnsi="仿宋"/>
          <w:b/>
          <w:sz w:val="32"/>
          <w:szCs w:val="32"/>
        </w:rPr>
      </w:pPr>
      <w:bookmarkStart w:id="29" w:name="_Toc15377212"/>
    </w:p>
    <w:p w:rsidR="00526065" w:rsidRDefault="00526065" w:rsidP="00172B65">
      <w:pPr>
        <w:spacing w:line="600" w:lineRule="exact"/>
        <w:ind w:firstLineChars="100" w:firstLine="321"/>
        <w:outlineLvl w:val="2"/>
        <w:rPr>
          <w:rFonts w:ascii="仿宋" w:eastAsia="仿宋" w:hAnsi="仿宋"/>
          <w:b/>
          <w:sz w:val="32"/>
          <w:szCs w:val="32"/>
        </w:rPr>
      </w:pPr>
    </w:p>
    <w:p w:rsidR="00D13277" w:rsidRDefault="00A3779E" w:rsidP="00172B65">
      <w:pPr>
        <w:spacing w:line="600" w:lineRule="exact"/>
        <w:ind w:firstLineChars="149" w:firstLine="479"/>
        <w:outlineLvl w:val="2"/>
        <w:rPr>
          <w:rFonts w:ascii="仿宋" w:eastAsia="仿宋" w:hAnsi="仿宋"/>
          <w:b/>
          <w:sz w:val="32"/>
          <w:szCs w:val="32"/>
        </w:rPr>
      </w:pPr>
      <w:r>
        <w:rPr>
          <w:rFonts w:ascii="仿宋" w:eastAsia="仿宋" w:hAnsi="仿宋" w:hint="eastAsia"/>
          <w:b/>
          <w:sz w:val="32"/>
          <w:szCs w:val="32"/>
        </w:rPr>
        <w:t>（三）一般公共预算财政拨款支出决算具体情况</w:t>
      </w:r>
      <w:bookmarkEnd w:id="29"/>
    </w:p>
    <w:p w:rsidR="006F34B0" w:rsidRDefault="006F34B0" w:rsidP="00172B65">
      <w:pPr>
        <w:spacing w:line="640" w:lineRule="exact"/>
        <w:ind w:firstLineChars="200" w:firstLine="643"/>
        <w:outlineLvl w:val="2"/>
        <w:rPr>
          <w:rFonts w:ascii="仿宋" w:eastAsia="仿宋" w:hAnsi="仿宋"/>
          <w:color w:val="FF0000"/>
          <w:sz w:val="32"/>
          <w:szCs w:val="32"/>
        </w:rPr>
      </w:pPr>
      <w:bookmarkStart w:id="30" w:name="_Toc15377213"/>
      <w:bookmarkStart w:id="31" w:name="_Toc15378460"/>
      <w:bookmarkStart w:id="32" w:name="_Toc15377444"/>
      <w:r>
        <w:rPr>
          <w:rFonts w:ascii="仿宋" w:eastAsia="仿宋" w:hAnsi="仿宋"/>
          <w:b/>
          <w:color w:val="000000"/>
          <w:sz w:val="32"/>
          <w:szCs w:val="32"/>
        </w:rPr>
        <w:t>202</w:t>
      </w:r>
      <w:r>
        <w:rPr>
          <w:rFonts w:ascii="仿宋" w:eastAsia="仿宋" w:hAnsi="仿宋" w:hint="eastAsia"/>
          <w:b/>
          <w:color w:val="000000"/>
          <w:sz w:val="32"/>
          <w:szCs w:val="32"/>
        </w:rPr>
        <w:t>1年一般公共预算支出决算数为356.06万元</w:t>
      </w:r>
      <w:r>
        <w:rPr>
          <w:rFonts w:ascii="仿宋" w:eastAsia="仿宋" w:hAnsi="仿宋" w:hint="eastAsia"/>
          <w:color w:val="000000"/>
          <w:sz w:val="32"/>
          <w:szCs w:val="32"/>
        </w:rPr>
        <w:t>，</w:t>
      </w:r>
      <w:r>
        <w:rPr>
          <w:rStyle w:val="a7"/>
          <w:rFonts w:ascii="仿宋" w:eastAsia="仿宋" w:hAnsi="仿宋" w:hint="eastAsia"/>
          <w:bCs/>
          <w:color w:val="000000"/>
          <w:sz w:val="32"/>
          <w:szCs w:val="32"/>
        </w:rPr>
        <w:t>完成预算100</w:t>
      </w:r>
      <w:r>
        <w:rPr>
          <w:rStyle w:val="a7"/>
          <w:rFonts w:ascii="仿宋" w:eastAsia="仿宋" w:hAnsi="仿宋"/>
          <w:bCs/>
          <w:color w:val="000000"/>
          <w:sz w:val="32"/>
          <w:szCs w:val="32"/>
        </w:rPr>
        <w:t>%</w:t>
      </w:r>
      <w:r>
        <w:rPr>
          <w:rStyle w:val="a7"/>
          <w:rFonts w:ascii="仿宋" w:eastAsia="仿宋" w:hAnsi="仿宋" w:hint="eastAsia"/>
          <w:bCs/>
          <w:color w:val="000000"/>
          <w:sz w:val="32"/>
          <w:szCs w:val="32"/>
        </w:rPr>
        <w:t>。其中：</w:t>
      </w:r>
      <w:bookmarkEnd w:id="30"/>
      <w:bookmarkEnd w:id="31"/>
      <w:bookmarkEnd w:id="32"/>
    </w:p>
    <w:p w:rsidR="006F34B0" w:rsidRPr="008E4BC2" w:rsidRDefault="006F34B0" w:rsidP="00172B65">
      <w:pPr>
        <w:spacing w:line="640" w:lineRule="exact"/>
        <w:ind w:firstLineChars="200" w:firstLine="643"/>
        <w:rPr>
          <w:rFonts w:ascii="仿宋" w:eastAsia="仿宋" w:hAnsi="仿宋"/>
          <w:b/>
          <w:color w:val="000000"/>
          <w:sz w:val="32"/>
          <w:szCs w:val="32"/>
        </w:rPr>
      </w:pPr>
      <w:r>
        <w:rPr>
          <w:rStyle w:val="a7"/>
          <w:rFonts w:ascii="仿宋" w:eastAsia="仿宋" w:hAnsi="仿宋" w:hint="eastAsia"/>
          <w:bCs/>
          <w:color w:val="000000"/>
          <w:sz w:val="32"/>
          <w:szCs w:val="32"/>
        </w:rPr>
        <w:t>1</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社会保障和就业（类）行政事业单位养老（款）事业单位离退休（项）</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支出决算为</w:t>
      </w:r>
      <w:r w:rsidR="00B75A0B">
        <w:rPr>
          <w:rStyle w:val="a7"/>
          <w:rFonts w:ascii="仿宋" w:eastAsia="仿宋" w:hAnsi="仿宋" w:hint="eastAsia"/>
          <w:bCs/>
          <w:color w:val="000000"/>
          <w:sz w:val="32"/>
          <w:szCs w:val="32"/>
        </w:rPr>
        <w:t>43.49</w:t>
      </w:r>
      <w:r w:rsidRPr="008E4BC2">
        <w:rPr>
          <w:rStyle w:val="a7"/>
          <w:rFonts w:ascii="仿宋" w:eastAsia="仿宋" w:hAnsi="仿宋" w:hint="eastAsia"/>
          <w:bCs/>
          <w:color w:val="000000"/>
          <w:sz w:val="32"/>
          <w:szCs w:val="32"/>
        </w:rPr>
        <w:t>万元，完成预算100</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。决算数等于预算数。</w:t>
      </w:r>
    </w:p>
    <w:p w:rsidR="006F34B0" w:rsidRPr="008E4BC2" w:rsidRDefault="006F34B0" w:rsidP="00172B65">
      <w:pPr>
        <w:spacing w:line="640" w:lineRule="exact"/>
        <w:ind w:firstLineChars="200" w:firstLine="643"/>
        <w:rPr>
          <w:rStyle w:val="a7"/>
          <w:rFonts w:ascii="仿宋" w:eastAsia="仿宋" w:hAnsi="仿宋"/>
          <w:b w:val="0"/>
          <w:bCs/>
          <w:color w:val="000000"/>
          <w:sz w:val="32"/>
          <w:szCs w:val="32"/>
        </w:rPr>
      </w:pPr>
      <w:r>
        <w:rPr>
          <w:rStyle w:val="a7"/>
          <w:rFonts w:ascii="仿宋" w:eastAsia="仿宋" w:hAnsi="仿宋" w:hint="eastAsia"/>
          <w:bCs/>
          <w:color w:val="000000"/>
          <w:sz w:val="32"/>
          <w:szCs w:val="32"/>
        </w:rPr>
        <w:t>2</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 xml:space="preserve"> 社会保障和就业（类）行政事业单位养老（款）机关事业单位基本养老保险缴费（项）</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支出决算为</w:t>
      </w:r>
      <w:r w:rsidR="00B75A0B">
        <w:rPr>
          <w:rStyle w:val="a7"/>
          <w:rFonts w:ascii="仿宋" w:eastAsia="仿宋" w:hAnsi="仿宋" w:hint="eastAsia"/>
          <w:bCs/>
          <w:color w:val="000000"/>
          <w:sz w:val="32"/>
          <w:szCs w:val="32"/>
        </w:rPr>
        <w:t>22.9</w:t>
      </w:r>
      <w:r w:rsidR="00AC4DD1">
        <w:rPr>
          <w:rStyle w:val="a7"/>
          <w:rFonts w:ascii="仿宋" w:eastAsia="仿宋" w:hAnsi="仿宋" w:hint="eastAsia"/>
          <w:bCs/>
          <w:color w:val="000000"/>
          <w:sz w:val="32"/>
          <w:szCs w:val="32"/>
        </w:rPr>
        <w:t>4</w:t>
      </w:r>
      <w:r w:rsidRPr="008E4BC2">
        <w:rPr>
          <w:rStyle w:val="a7"/>
          <w:rFonts w:ascii="仿宋" w:eastAsia="仿宋" w:hAnsi="仿宋" w:hint="eastAsia"/>
          <w:bCs/>
          <w:color w:val="000000"/>
          <w:sz w:val="32"/>
          <w:szCs w:val="32"/>
        </w:rPr>
        <w:t>万元，完成预算100</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。决算数等于预算数。</w:t>
      </w:r>
    </w:p>
    <w:p w:rsidR="006F34B0" w:rsidRPr="008E4BC2" w:rsidRDefault="006F34B0" w:rsidP="00172B65">
      <w:pPr>
        <w:spacing w:line="640" w:lineRule="exact"/>
        <w:ind w:firstLineChars="200" w:firstLine="643"/>
        <w:rPr>
          <w:rFonts w:ascii="仿宋" w:eastAsia="仿宋" w:hAnsi="仿宋"/>
          <w:b/>
          <w:color w:val="000000"/>
          <w:sz w:val="32"/>
          <w:szCs w:val="32"/>
        </w:rPr>
      </w:pPr>
      <w:r>
        <w:rPr>
          <w:rStyle w:val="a7"/>
          <w:rFonts w:ascii="仿宋" w:eastAsia="仿宋" w:hAnsi="仿宋" w:hint="eastAsia"/>
          <w:bCs/>
          <w:color w:val="000000"/>
          <w:sz w:val="32"/>
          <w:szCs w:val="32"/>
        </w:rPr>
        <w:t>3</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城乡社区（类）城乡社区管理事务（款）</w:t>
      </w:r>
      <w:r w:rsidR="006463AC" w:rsidRPr="006463AC">
        <w:rPr>
          <w:rStyle w:val="a7"/>
          <w:rFonts w:ascii="仿宋" w:eastAsia="仿宋" w:hAnsi="仿宋" w:hint="eastAsia"/>
          <w:bCs/>
          <w:color w:val="000000"/>
          <w:sz w:val="32"/>
          <w:szCs w:val="32"/>
        </w:rPr>
        <w:t>工程建设标准规范编制与监管</w:t>
      </w:r>
      <w:r w:rsidRPr="008E4BC2">
        <w:rPr>
          <w:rStyle w:val="a7"/>
          <w:rFonts w:ascii="仿宋" w:eastAsia="仿宋" w:hAnsi="仿宋" w:hint="eastAsia"/>
          <w:bCs/>
          <w:color w:val="000000"/>
          <w:sz w:val="32"/>
          <w:szCs w:val="32"/>
        </w:rPr>
        <w:t>（项）</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支出决算为</w:t>
      </w:r>
      <w:r>
        <w:rPr>
          <w:rStyle w:val="a7"/>
          <w:rFonts w:ascii="仿宋" w:eastAsia="仿宋" w:hAnsi="仿宋" w:hint="eastAsia"/>
          <w:bCs/>
          <w:color w:val="000000"/>
          <w:sz w:val="32"/>
          <w:szCs w:val="32"/>
        </w:rPr>
        <w:t>266.28</w:t>
      </w:r>
      <w:r w:rsidRPr="008E4BC2">
        <w:rPr>
          <w:rStyle w:val="a7"/>
          <w:rFonts w:ascii="仿宋" w:eastAsia="仿宋" w:hAnsi="仿宋" w:hint="eastAsia"/>
          <w:bCs/>
          <w:color w:val="000000"/>
          <w:sz w:val="32"/>
          <w:szCs w:val="32"/>
        </w:rPr>
        <w:t>万元，完成预算100</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。决算数等于预算数。</w:t>
      </w:r>
    </w:p>
    <w:p w:rsidR="006F34B0" w:rsidRDefault="006F34B0" w:rsidP="00172B65">
      <w:pPr>
        <w:spacing w:line="640" w:lineRule="exact"/>
        <w:ind w:firstLineChars="200" w:firstLine="643"/>
        <w:rPr>
          <w:rFonts w:ascii="仿宋" w:eastAsia="仿宋" w:hAnsi="仿宋"/>
          <w:color w:val="000000"/>
          <w:sz w:val="32"/>
          <w:szCs w:val="32"/>
        </w:rPr>
      </w:pPr>
      <w:r>
        <w:rPr>
          <w:rStyle w:val="a7"/>
          <w:rFonts w:ascii="仿宋" w:eastAsia="仿宋" w:hAnsi="仿宋" w:hint="eastAsia"/>
          <w:bCs/>
          <w:color w:val="000000"/>
          <w:sz w:val="32"/>
          <w:szCs w:val="32"/>
        </w:rPr>
        <w:t>4</w:t>
      </w:r>
      <w:r w:rsidRPr="008E4BC2">
        <w:rPr>
          <w:rStyle w:val="a7"/>
          <w:rFonts w:ascii="仿宋" w:eastAsia="仿宋" w:hAnsi="仿宋"/>
          <w:bCs/>
          <w:color w:val="000000"/>
          <w:sz w:val="32"/>
          <w:szCs w:val="32"/>
        </w:rPr>
        <w:t>.</w:t>
      </w:r>
      <w:r w:rsidRPr="008E4BC2">
        <w:rPr>
          <w:rFonts w:ascii="仿宋" w:eastAsia="仿宋" w:hAnsi="仿宋" w:hint="eastAsia"/>
          <w:b/>
          <w:bCs/>
          <w:color w:val="000000"/>
          <w:sz w:val="32"/>
          <w:szCs w:val="32"/>
        </w:rPr>
        <w:t>住房保障</w:t>
      </w:r>
      <w:r w:rsidRPr="008E4BC2">
        <w:rPr>
          <w:rStyle w:val="a7"/>
          <w:rFonts w:ascii="仿宋" w:eastAsia="仿宋" w:hAnsi="仿宋" w:hint="eastAsia"/>
          <w:bCs/>
          <w:color w:val="000000"/>
          <w:sz w:val="32"/>
          <w:szCs w:val="32"/>
        </w:rPr>
        <w:t>（类）住房改革（款）住房公积金（项）</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支出决算为</w:t>
      </w:r>
      <w:r>
        <w:rPr>
          <w:rStyle w:val="a7"/>
          <w:rFonts w:ascii="仿宋" w:eastAsia="仿宋" w:hAnsi="仿宋" w:hint="eastAsia"/>
          <w:bCs/>
          <w:color w:val="000000"/>
          <w:sz w:val="32"/>
          <w:szCs w:val="32"/>
        </w:rPr>
        <w:t>23.35</w:t>
      </w:r>
      <w:r w:rsidRPr="008E4BC2">
        <w:rPr>
          <w:rStyle w:val="a7"/>
          <w:rFonts w:ascii="仿宋" w:eastAsia="仿宋" w:hAnsi="仿宋" w:hint="eastAsia"/>
          <w:bCs/>
          <w:color w:val="000000"/>
          <w:sz w:val="32"/>
          <w:szCs w:val="32"/>
        </w:rPr>
        <w:t>万元，完成预算100</w:t>
      </w:r>
      <w:r w:rsidRPr="008E4BC2">
        <w:rPr>
          <w:rStyle w:val="a7"/>
          <w:rFonts w:ascii="仿宋" w:eastAsia="仿宋" w:hAnsi="仿宋"/>
          <w:bCs/>
          <w:color w:val="000000"/>
          <w:sz w:val="32"/>
          <w:szCs w:val="32"/>
        </w:rPr>
        <w:t>%</w:t>
      </w:r>
      <w:r w:rsidRPr="008E4BC2">
        <w:rPr>
          <w:rStyle w:val="a7"/>
          <w:rFonts w:ascii="仿宋" w:eastAsia="仿宋" w:hAnsi="仿宋" w:hint="eastAsia"/>
          <w:bCs/>
          <w:color w:val="000000"/>
          <w:sz w:val="32"/>
          <w:szCs w:val="32"/>
        </w:rPr>
        <w:t>。</w:t>
      </w:r>
      <w:r>
        <w:rPr>
          <w:rStyle w:val="a7"/>
          <w:rFonts w:ascii="仿宋" w:eastAsia="仿宋" w:hAnsi="仿宋" w:hint="eastAsia"/>
          <w:bCs/>
          <w:color w:val="000000"/>
          <w:sz w:val="32"/>
          <w:szCs w:val="32"/>
        </w:rPr>
        <w:t>决算数等于预算数。</w:t>
      </w:r>
    </w:p>
    <w:p w:rsidR="00D13277" w:rsidRDefault="00A3779E" w:rsidP="00172B65">
      <w:pPr>
        <w:spacing w:line="600" w:lineRule="exact"/>
        <w:ind w:firstLineChars="100" w:firstLine="321"/>
        <w:rPr>
          <w:rFonts w:ascii="仿宋" w:eastAsia="仿宋" w:hAnsi="仿宋"/>
          <w:b/>
          <w:sz w:val="32"/>
          <w:szCs w:val="32"/>
        </w:rPr>
      </w:pPr>
      <w:r>
        <w:rPr>
          <w:rFonts w:ascii="仿宋" w:eastAsia="仿宋" w:hAnsi="仿宋" w:hint="eastAsia"/>
          <w:b/>
          <w:sz w:val="32"/>
          <w:szCs w:val="32"/>
        </w:rPr>
        <w:t>（注：数据来源于财决</w:t>
      </w:r>
      <w:r>
        <w:rPr>
          <w:rFonts w:ascii="仿宋" w:eastAsia="仿宋" w:hAnsi="仿宋"/>
          <w:b/>
          <w:sz w:val="32"/>
          <w:szCs w:val="32"/>
        </w:rPr>
        <w:t>0</w:t>
      </w:r>
      <w:r>
        <w:rPr>
          <w:rFonts w:ascii="仿宋" w:eastAsia="仿宋" w:hAnsi="仿宋" w:hint="eastAsia"/>
          <w:b/>
          <w:sz w:val="32"/>
          <w:szCs w:val="32"/>
        </w:rPr>
        <w:t>1-1表和财决08表，仅罗列本单</w:t>
      </w:r>
      <w:r>
        <w:rPr>
          <w:rFonts w:ascii="仿宋" w:eastAsia="仿宋" w:hAnsi="仿宋" w:hint="eastAsia"/>
          <w:b/>
          <w:sz w:val="32"/>
          <w:szCs w:val="32"/>
        </w:rPr>
        <w:lastRenderedPageBreak/>
        <w:t>位涉及的全部功能分类科目，至项级。上述“预算”口径为调整预算数。增减变动原因为决算数</w:t>
      </w:r>
      <w:r>
        <w:rPr>
          <w:rFonts w:ascii="仿宋" w:eastAsia="仿宋" w:hAnsi="仿宋"/>
          <w:b/>
          <w:sz w:val="32"/>
          <w:szCs w:val="32"/>
        </w:rPr>
        <w:t>&lt;</w:t>
      </w:r>
      <w:r>
        <w:rPr>
          <w:rFonts w:ascii="仿宋" w:eastAsia="仿宋" w:hAnsi="仿宋" w:hint="eastAsia"/>
          <w:b/>
          <w:sz w:val="32"/>
          <w:szCs w:val="32"/>
        </w:rPr>
        <w:t>项级</w:t>
      </w:r>
      <w:r>
        <w:rPr>
          <w:rFonts w:ascii="仿宋" w:eastAsia="仿宋" w:hAnsi="仿宋"/>
          <w:b/>
          <w:sz w:val="32"/>
          <w:szCs w:val="32"/>
        </w:rPr>
        <w:t>&gt;</w:t>
      </w:r>
      <w:r>
        <w:rPr>
          <w:rFonts w:ascii="仿宋" w:eastAsia="仿宋" w:hAnsi="仿宋" w:hint="eastAsia"/>
          <w:b/>
          <w:sz w:val="32"/>
          <w:szCs w:val="32"/>
        </w:rPr>
        <w:t>和调整预算数</w:t>
      </w:r>
      <w:r>
        <w:rPr>
          <w:rFonts w:ascii="仿宋" w:eastAsia="仿宋" w:hAnsi="仿宋"/>
          <w:b/>
          <w:sz w:val="32"/>
          <w:szCs w:val="32"/>
        </w:rPr>
        <w:t>&lt;</w:t>
      </w:r>
      <w:r>
        <w:rPr>
          <w:rFonts w:ascii="仿宋" w:eastAsia="仿宋" w:hAnsi="仿宋" w:hint="eastAsia"/>
          <w:b/>
          <w:sz w:val="32"/>
          <w:szCs w:val="32"/>
        </w:rPr>
        <w:t>项级</w:t>
      </w:r>
      <w:r>
        <w:rPr>
          <w:rFonts w:ascii="仿宋" w:eastAsia="仿宋" w:hAnsi="仿宋"/>
          <w:b/>
          <w:sz w:val="32"/>
          <w:szCs w:val="32"/>
        </w:rPr>
        <w:t>&gt;</w:t>
      </w:r>
      <w:r>
        <w:rPr>
          <w:rFonts w:ascii="仿宋" w:eastAsia="仿宋" w:hAnsi="仿宋" w:hint="eastAsia"/>
          <w:b/>
          <w:sz w:val="32"/>
          <w:szCs w:val="32"/>
        </w:rPr>
        <w:t>比较，与预算数持平可以不写原因。）</w:t>
      </w:r>
    </w:p>
    <w:p w:rsidR="00D13277" w:rsidRDefault="00A3779E" w:rsidP="00172B65">
      <w:pPr>
        <w:tabs>
          <w:tab w:val="right" w:pos="8306"/>
        </w:tabs>
        <w:spacing w:line="600" w:lineRule="exact"/>
        <w:ind w:firstLineChars="196" w:firstLine="627"/>
        <w:outlineLvl w:val="1"/>
        <w:rPr>
          <w:rStyle w:val="2Char"/>
        </w:rPr>
      </w:pPr>
      <w:bookmarkStart w:id="33" w:name="_Toc15396608"/>
      <w:bookmarkStart w:id="34" w:name="_Toc15377214"/>
      <w:r>
        <w:rPr>
          <w:rFonts w:ascii="黑体" w:eastAsia="黑体" w:hint="eastAsia"/>
          <w:sz w:val="32"/>
          <w:szCs w:val="32"/>
        </w:rPr>
        <w:t>六</w:t>
      </w:r>
      <w:r>
        <w:rPr>
          <w:rFonts w:ascii="黑体" w:eastAsia="黑体" w:hint="eastAsia"/>
          <w:b/>
          <w:sz w:val="32"/>
          <w:szCs w:val="32"/>
        </w:rPr>
        <w:t>、</w:t>
      </w:r>
      <w:r>
        <w:rPr>
          <w:rFonts w:ascii="黑体" w:eastAsia="黑体" w:hAnsi="黑体" w:hint="eastAsia"/>
          <w:b/>
          <w:sz w:val="32"/>
          <w:szCs w:val="32"/>
        </w:rPr>
        <w:t>一</w:t>
      </w:r>
      <w:r>
        <w:rPr>
          <w:rStyle w:val="2Char"/>
          <w:rFonts w:ascii="黑体" w:eastAsia="黑体" w:hAnsi="黑体" w:hint="eastAsia"/>
          <w:b w:val="0"/>
        </w:rPr>
        <w:t>般公共预算财政拨款基本支出决算情况说明</w:t>
      </w:r>
      <w:bookmarkEnd w:id="33"/>
      <w:bookmarkEnd w:id="34"/>
      <w:r>
        <w:rPr>
          <w:rStyle w:val="2Char"/>
          <w:rFonts w:ascii="黑体" w:eastAsia="黑体" w:hAnsi="黑体"/>
          <w:b w:val="0"/>
        </w:rPr>
        <w:tab/>
      </w:r>
    </w:p>
    <w:p w:rsidR="00D13277" w:rsidRDefault="00A3779E">
      <w:pPr>
        <w:spacing w:line="600" w:lineRule="exact"/>
        <w:ind w:firstLine="645"/>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21年一般公共预算财政拨款基本支出</w:t>
      </w:r>
      <w:r w:rsidR="006F34B0">
        <w:rPr>
          <w:rFonts w:ascii="仿宋" w:eastAsia="仿宋" w:hAnsi="仿宋" w:hint="eastAsia"/>
          <w:sz w:val="32"/>
          <w:szCs w:val="32"/>
        </w:rPr>
        <w:t>348.62</w:t>
      </w:r>
      <w:r>
        <w:rPr>
          <w:rFonts w:ascii="仿宋" w:eastAsia="仿宋" w:hAnsi="仿宋" w:hint="eastAsia"/>
          <w:sz w:val="32"/>
          <w:szCs w:val="32"/>
        </w:rPr>
        <w:t>万元，其中：</w:t>
      </w:r>
    </w:p>
    <w:p w:rsidR="00D13277" w:rsidRDefault="00A3779E">
      <w:pPr>
        <w:spacing w:line="600" w:lineRule="exact"/>
        <w:ind w:firstLine="645"/>
        <w:rPr>
          <w:rFonts w:ascii="仿宋" w:eastAsia="仿宋" w:hAnsi="仿宋"/>
          <w:sz w:val="32"/>
          <w:szCs w:val="32"/>
        </w:rPr>
      </w:pPr>
      <w:r>
        <w:rPr>
          <w:rFonts w:ascii="仿宋" w:eastAsia="仿宋" w:hAnsi="仿宋" w:hint="eastAsia"/>
          <w:sz w:val="32"/>
          <w:szCs w:val="32"/>
        </w:rPr>
        <w:t>人员经费</w:t>
      </w:r>
      <w:r w:rsidR="006F34B0">
        <w:rPr>
          <w:rFonts w:ascii="仿宋" w:eastAsia="仿宋" w:hAnsi="仿宋" w:hint="eastAsia"/>
          <w:sz w:val="32"/>
          <w:szCs w:val="32"/>
        </w:rPr>
        <w:t>335.77</w:t>
      </w:r>
      <w:r>
        <w:rPr>
          <w:rFonts w:ascii="仿宋" w:eastAsia="仿宋" w:hAnsi="仿宋" w:hint="eastAsia"/>
          <w:sz w:val="32"/>
          <w:szCs w:val="32"/>
        </w:rPr>
        <w:t>万元，主要包括：基本工资、津贴补贴、奖金、伙食补助费、绩效工资、机关事业单位基本养老保险缴费、职业年金缴费、其他社会保障缴费、其他工资福利支出、退休费、生活补助、医疗费补助、住房公积金、其他对个人和家庭的补助支出等。</w:t>
      </w:r>
      <w:r>
        <w:rPr>
          <w:rFonts w:ascii="仿宋" w:eastAsia="仿宋" w:hAnsi="仿宋"/>
          <w:sz w:val="32"/>
          <w:szCs w:val="32"/>
        </w:rPr>
        <w:br/>
      </w:r>
      <w:r>
        <w:rPr>
          <w:rFonts w:ascii="仿宋" w:eastAsia="仿宋" w:hAnsi="仿宋" w:hint="eastAsia"/>
          <w:sz w:val="32"/>
          <w:szCs w:val="32"/>
        </w:rPr>
        <w:t xml:space="preserve">　　公用经费</w:t>
      </w:r>
      <w:r w:rsidR="006F34B0">
        <w:rPr>
          <w:rFonts w:ascii="仿宋" w:eastAsia="仿宋" w:hAnsi="仿宋" w:hint="eastAsia"/>
          <w:sz w:val="32"/>
          <w:szCs w:val="32"/>
        </w:rPr>
        <w:t>12.85</w:t>
      </w:r>
      <w:r w:rsidR="005A4D76">
        <w:rPr>
          <w:rFonts w:ascii="仿宋" w:eastAsia="仿宋" w:hAnsi="仿宋" w:hint="eastAsia"/>
          <w:sz w:val="32"/>
          <w:szCs w:val="32"/>
        </w:rPr>
        <w:t>万元，主要包括：办公费、水费、电费、邮电费、差旅费</w:t>
      </w:r>
      <w:r>
        <w:rPr>
          <w:rFonts w:ascii="仿宋" w:eastAsia="仿宋" w:hAnsi="仿宋" w:hint="eastAsia"/>
          <w:sz w:val="32"/>
          <w:szCs w:val="32"/>
        </w:rPr>
        <w:t>、培训费、劳务费、工会经费、</w:t>
      </w:r>
      <w:r w:rsidR="009434BD">
        <w:rPr>
          <w:rFonts w:ascii="仿宋" w:eastAsia="仿宋" w:hAnsi="仿宋" w:hint="eastAsia"/>
          <w:sz w:val="32"/>
          <w:szCs w:val="32"/>
        </w:rPr>
        <w:t>维修（护）费、</w:t>
      </w:r>
      <w:r>
        <w:rPr>
          <w:rFonts w:ascii="仿宋" w:eastAsia="仿宋" w:hAnsi="仿宋" w:hint="eastAsia"/>
          <w:sz w:val="32"/>
          <w:szCs w:val="32"/>
        </w:rPr>
        <w:t>公务用车运行维护费、其他交通费、其他商品和服务支出等。</w:t>
      </w:r>
    </w:p>
    <w:p w:rsidR="00526065" w:rsidRPr="00226956" w:rsidRDefault="00526065" w:rsidP="00526065">
      <w:pPr>
        <w:spacing w:line="600" w:lineRule="exact"/>
        <w:ind w:firstLine="645"/>
        <w:rPr>
          <w:rFonts w:ascii="仿宋" w:eastAsia="仿宋" w:hAnsi="仿宋"/>
          <w:b/>
          <w:sz w:val="32"/>
          <w:szCs w:val="32"/>
        </w:rPr>
      </w:pPr>
      <w:r w:rsidRPr="00226956">
        <w:rPr>
          <w:rFonts w:ascii="仿宋" w:eastAsia="仿宋" w:hAnsi="仿宋" w:hint="eastAsia"/>
          <w:b/>
          <w:sz w:val="32"/>
          <w:szCs w:val="32"/>
        </w:rPr>
        <w:t>（注：数据来源于财决</w:t>
      </w:r>
      <w:r w:rsidRPr="00226956">
        <w:rPr>
          <w:rFonts w:ascii="仿宋" w:eastAsia="仿宋" w:hAnsi="仿宋"/>
          <w:b/>
          <w:sz w:val="32"/>
          <w:szCs w:val="32"/>
        </w:rPr>
        <w:t>0</w:t>
      </w:r>
      <w:r w:rsidRPr="00226956">
        <w:rPr>
          <w:rFonts w:ascii="仿宋" w:eastAsia="仿宋" w:hAnsi="仿宋" w:hint="eastAsia"/>
          <w:b/>
          <w:sz w:val="32"/>
          <w:szCs w:val="32"/>
        </w:rPr>
        <w:t>7表和财决08-1表，仅罗列本单位实际支出涉及的经济分类科目。）</w:t>
      </w:r>
    </w:p>
    <w:p w:rsidR="00D13277" w:rsidRDefault="00A3779E" w:rsidP="00172B65">
      <w:pPr>
        <w:spacing w:line="600" w:lineRule="exact"/>
        <w:ind w:firstLineChars="250" w:firstLine="800"/>
        <w:outlineLvl w:val="1"/>
        <w:rPr>
          <w:rStyle w:val="2Char"/>
          <w:rFonts w:ascii="黑体" w:eastAsia="黑体" w:hAnsi="黑体"/>
          <w:b w:val="0"/>
        </w:rPr>
      </w:pPr>
      <w:bookmarkStart w:id="35" w:name="_Toc15396609"/>
      <w:bookmarkStart w:id="36" w:name="_Toc15377215"/>
      <w:r>
        <w:rPr>
          <w:rFonts w:ascii="黑体" w:eastAsia="黑体" w:hint="eastAsia"/>
          <w:sz w:val="32"/>
          <w:szCs w:val="32"/>
        </w:rPr>
        <w:t>七、</w:t>
      </w:r>
      <w:r>
        <w:rPr>
          <w:rStyle w:val="2Char"/>
          <w:rFonts w:ascii="黑体" w:eastAsia="黑体" w:hAnsi="黑体" w:hint="eastAsia"/>
        </w:rPr>
        <w:t>“</w:t>
      </w:r>
      <w:r>
        <w:rPr>
          <w:rStyle w:val="2Char"/>
          <w:rFonts w:ascii="黑体" w:eastAsia="黑体" w:hAnsi="黑体" w:hint="eastAsia"/>
          <w:b w:val="0"/>
        </w:rPr>
        <w:t>三公”经费财政拨款支出决算情况说明</w:t>
      </w:r>
      <w:bookmarkEnd w:id="35"/>
      <w:bookmarkEnd w:id="36"/>
    </w:p>
    <w:p w:rsidR="00D13277" w:rsidRDefault="00A3779E">
      <w:pPr>
        <w:spacing w:line="600" w:lineRule="exact"/>
        <w:ind w:firstLine="640"/>
        <w:outlineLvl w:val="2"/>
        <w:rPr>
          <w:rFonts w:ascii="仿宋" w:eastAsia="仿宋" w:hAnsi="仿宋"/>
          <w:b/>
          <w:sz w:val="32"/>
          <w:szCs w:val="32"/>
        </w:rPr>
      </w:pPr>
      <w:bookmarkStart w:id="37" w:name="_Toc15377216"/>
      <w:r>
        <w:rPr>
          <w:rFonts w:ascii="仿宋" w:eastAsia="仿宋" w:hAnsi="仿宋" w:hint="eastAsia"/>
          <w:b/>
          <w:sz w:val="32"/>
          <w:szCs w:val="32"/>
        </w:rPr>
        <w:t>（一）“三公”经费财政拨款支出决算总体情况说明</w:t>
      </w:r>
      <w:bookmarkEnd w:id="37"/>
    </w:p>
    <w:p w:rsidR="00B80601" w:rsidRDefault="00A3779E" w:rsidP="00B80601">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21年“三公”经费财政拨款支出决算为</w:t>
      </w:r>
      <w:r w:rsidR="00B80601">
        <w:rPr>
          <w:rFonts w:ascii="仿宋" w:eastAsia="仿宋" w:hAnsi="仿宋" w:hint="eastAsia"/>
          <w:sz w:val="32"/>
          <w:szCs w:val="32"/>
        </w:rPr>
        <w:t>1.46</w:t>
      </w:r>
      <w:r>
        <w:rPr>
          <w:rFonts w:ascii="仿宋" w:eastAsia="仿宋" w:hAnsi="仿宋" w:hint="eastAsia"/>
          <w:sz w:val="32"/>
          <w:szCs w:val="32"/>
        </w:rPr>
        <w:t>万元，完成预算</w:t>
      </w:r>
      <w:r w:rsidR="009434BD">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，决算数预算数</w:t>
      </w:r>
      <w:r w:rsidR="009434BD">
        <w:rPr>
          <w:rFonts w:ascii="仿宋" w:eastAsia="仿宋" w:hAnsi="仿宋" w:hint="eastAsia"/>
          <w:sz w:val="32"/>
          <w:szCs w:val="32"/>
        </w:rPr>
        <w:t>持平。</w:t>
      </w:r>
    </w:p>
    <w:p w:rsidR="00526065" w:rsidRPr="00F6211E" w:rsidRDefault="00526065" w:rsidP="00526065">
      <w:pPr>
        <w:spacing w:line="600" w:lineRule="exact"/>
        <w:ind w:firstLine="640"/>
        <w:rPr>
          <w:rFonts w:ascii="仿宋" w:eastAsia="仿宋" w:hAnsi="仿宋"/>
          <w:b/>
          <w:sz w:val="32"/>
          <w:szCs w:val="32"/>
        </w:rPr>
      </w:pPr>
      <w:r w:rsidRPr="00F6211E">
        <w:rPr>
          <w:rFonts w:ascii="仿宋" w:eastAsia="仿宋" w:hAnsi="仿宋" w:hint="eastAsia"/>
          <w:b/>
          <w:sz w:val="32"/>
          <w:szCs w:val="32"/>
        </w:rPr>
        <w:t>（注：上述“预算”口径为调整预算数，包括一般公共预算和政府性基金预算财政拨款支出决算情况。）</w:t>
      </w:r>
    </w:p>
    <w:p w:rsidR="00D13277" w:rsidRDefault="00A3779E" w:rsidP="00172B65">
      <w:pPr>
        <w:spacing w:line="600" w:lineRule="exact"/>
        <w:ind w:firstLineChars="150" w:firstLine="482"/>
        <w:outlineLvl w:val="2"/>
        <w:rPr>
          <w:rFonts w:ascii="仿宋" w:eastAsia="仿宋" w:hAnsi="仿宋"/>
          <w:b/>
          <w:sz w:val="32"/>
          <w:szCs w:val="32"/>
        </w:rPr>
      </w:pPr>
      <w:bookmarkStart w:id="38" w:name="_Toc15377217"/>
      <w:r>
        <w:rPr>
          <w:rFonts w:ascii="仿宋" w:eastAsia="仿宋" w:hAnsi="仿宋" w:hint="eastAsia"/>
          <w:b/>
          <w:sz w:val="32"/>
          <w:szCs w:val="32"/>
        </w:rPr>
        <w:lastRenderedPageBreak/>
        <w:t>（二）“三公”经费财政拨款支出决算具体情况说明</w:t>
      </w:r>
      <w:bookmarkEnd w:id="38"/>
    </w:p>
    <w:p w:rsidR="00D13277" w:rsidRDefault="00A3779E">
      <w:pPr>
        <w:spacing w:line="600" w:lineRule="exact"/>
        <w:ind w:firstLine="640"/>
        <w:rPr>
          <w:rFonts w:ascii="仿宋" w:eastAsia="仿宋" w:hAnsi="仿宋"/>
          <w:sz w:val="32"/>
          <w:szCs w:val="32"/>
        </w:rPr>
      </w:pPr>
      <w:r>
        <w:rPr>
          <w:rFonts w:ascii="仿宋" w:eastAsia="仿宋" w:hAnsi="仿宋"/>
          <w:sz w:val="32"/>
          <w:szCs w:val="32"/>
        </w:rPr>
        <w:t>20</w:t>
      </w:r>
      <w:r>
        <w:rPr>
          <w:rFonts w:ascii="仿宋" w:eastAsia="仿宋" w:hAnsi="仿宋" w:hint="eastAsia"/>
          <w:sz w:val="32"/>
          <w:szCs w:val="32"/>
        </w:rPr>
        <w:t>21年“三公”经费财政拨款支出决算中，因公出国（境）费支出决算</w:t>
      </w:r>
      <w:r w:rsidR="00B80601">
        <w:rPr>
          <w:rFonts w:ascii="仿宋" w:eastAsia="仿宋" w:hAnsi="仿宋" w:hint="eastAsia"/>
          <w:sz w:val="32"/>
          <w:szCs w:val="32"/>
        </w:rPr>
        <w:t>0</w:t>
      </w:r>
      <w:r>
        <w:rPr>
          <w:rFonts w:ascii="仿宋" w:eastAsia="仿宋" w:hAnsi="仿宋" w:hint="eastAsia"/>
          <w:sz w:val="32"/>
          <w:szCs w:val="32"/>
        </w:rPr>
        <w:t>万元，占</w:t>
      </w:r>
      <w:r w:rsidR="00B80601">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；公务用车购置及运行维护费支出决算</w:t>
      </w:r>
      <w:r w:rsidR="00B80601">
        <w:rPr>
          <w:rFonts w:ascii="仿宋" w:eastAsia="仿宋" w:hAnsi="仿宋" w:hint="eastAsia"/>
          <w:sz w:val="32"/>
          <w:szCs w:val="32"/>
        </w:rPr>
        <w:t>1.46</w:t>
      </w:r>
      <w:r>
        <w:rPr>
          <w:rFonts w:ascii="仿宋" w:eastAsia="仿宋" w:hAnsi="仿宋" w:hint="eastAsia"/>
          <w:sz w:val="32"/>
          <w:szCs w:val="32"/>
        </w:rPr>
        <w:t>万元，占</w:t>
      </w:r>
      <w:r w:rsidR="00B80601">
        <w:rPr>
          <w:rFonts w:ascii="仿宋" w:eastAsia="仿宋" w:hAnsi="仿宋" w:hint="eastAsia"/>
          <w:sz w:val="32"/>
          <w:szCs w:val="32"/>
        </w:rPr>
        <w:t>100</w:t>
      </w:r>
      <w:r>
        <w:rPr>
          <w:rFonts w:ascii="仿宋" w:eastAsia="仿宋" w:hAnsi="仿宋"/>
          <w:sz w:val="32"/>
          <w:szCs w:val="32"/>
        </w:rPr>
        <w:t>%</w:t>
      </w:r>
      <w:r>
        <w:rPr>
          <w:rFonts w:ascii="仿宋" w:eastAsia="仿宋" w:hAnsi="仿宋" w:hint="eastAsia"/>
          <w:sz w:val="32"/>
          <w:szCs w:val="32"/>
        </w:rPr>
        <w:t>；公务接待费支出决算</w:t>
      </w:r>
      <w:r w:rsidR="00B80601">
        <w:rPr>
          <w:rFonts w:ascii="仿宋" w:eastAsia="仿宋" w:hAnsi="仿宋" w:hint="eastAsia"/>
          <w:sz w:val="32"/>
          <w:szCs w:val="32"/>
        </w:rPr>
        <w:t>0</w:t>
      </w:r>
      <w:r>
        <w:rPr>
          <w:rFonts w:ascii="仿宋" w:eastAsia="仿宋" w:hAnsi="仿宋" w:hint="eastAsia"/>
          <w:sz w:val="32"/>
          <w:szCs w:val="32"/>
        </w:rPr>
        <w:t>万元，占</w:t>
      </w:r>
      <w:r w:rsidR="00B80601">
        <w:rPr>
          <w:rFonts w:ascii="仿宋" w:eastAsia="仿宋" w:hAnsi="仿宋" w:hint="eastAsia"/>
          <w:sz w:val="32"/>
          <w:szCs w:val="32"/>
        </w:rPr>
        <w:t>0</w:t>
      </w:r>
      <w:r>
        <w:rPr>
          <w:rFonts w:ascii="仿宋" w:eastAsia="仿宋" w:hAnsi="仿宋"/>
          <w:sz w:val="32"/>
          <w:szCs w:val="32"/>
        </w:rPr>
        <w:t>%</w:t>
      </w:r>
      <w:r>
        <w:rPr>
          <w:rFonts w:ascii="仿宋" w:eastAsia="仿宋" w:hAnsi="仿宋" w:hint="eastAsia"/>
          <w:sz w:val="32"/>
          <w:szCs w:val="32"/>
        </w:rPr>
        <w:t>。具体情况如下：</w:t>
      </w:r>
    </w:p>
    <w:p w:rsidR="00D13277" w:rsidRDefault="00A3779E">
      <w:pPr>
        <w:spacing w:line="600" w:lineRule="exact"/>
        <w:ind w:firstLine="640"/>
        <w:rPr>
          <w:rFonts w:ascii="仿宋" w:eastAsia="仿宋" w:hAnsi="仿宋"/>
          <w:sz w:val="32"/>
          <w:szCs w:val="32"/>
        </w:rPr>
      </w:pPr>
      <w:r>
        <w:rPr>
          <w:rFonts w:ascii="仿宋" w:eastAsia="仿宋" w:hAnsi="仿宋" w:hint="eastAsia"/>
          <w:sz w:val="32"/>
          <w:szCs w:val="32"/>
        </w:rPr>
        <w:t>（图7：“三公”经费财政拨款支出结构）（饼状图）</w:t>
      </w:r>
    </w:p>
    <w:p w:rsidR="009434BD" w:rsidRPr="009434BD" w:rsidRDefault="00061033" w:rsidP="009434BD">
      <w:pPr>
        <w:pStyle w:val="a0"/>
        <w:spacing w:before="93"/>
      </w:pPr>
      <w:r>
        <w:rPr>
          <w:noProof/>
        </w:rPr>
        <w:drawing>
          <wp:anchor distT="0" distB="0" distL="114300" distR="114300" simplePos="0" relativeHeight="251673600" behindDoc="0" locked="0" layoutInCell="1" allowOverlap="1">
            <wp:simplePos x="0" y="0"/>
            <wp:positionH relativeFrom="column">
              <wp:posOffset>136439</wp:posOffset>
            </wp:positionH>
            <wp:positionV relativeFrom="paragraph">
              <wp:posOffset>325395</wp:posOffset>
            </wp:positionV>
            <wp:extent cx="5074439" cy="2436495"/>
            <wp:effectExtent l="19050" t="0" r="11911" b="1905"/>
            <wp:wrapNone/>
            <wp:docPr id="14" name="对象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80601" w:rsidRPr="00F940CD" w:rsidRDefault="00B80601" w:rsidP="00B80601">
      <w:pPr>
        <w:spacing w:line="600" w:lineRule="exact"/>
        <w:ind w:firstLine="640"/>
        <w:rPr>
          <w:rFonts w:ascii="仿宋_GB2312" w:eastAsia="仿宋_GB2312" w:hAnsi="仿宋"/>
          <w:color w:val="000000"/>
          <w:sz w:val="32"/>
          <w:szCs w:val="32"/>
        </w:rPr>
      </w:pPr>
    </w:p>
    <w:p w:rsidR="00B80601" w:rsidRPr="00F940CD" w:rsidRDefault="00B80601" w:rsidP="00B80601">
      <w:pPr>
        <w:spacing w:line="600" w:lineRule="exact"/>
        <w:ind w:firstLine="640"/>
        <w:rPr>
          <w:rFonts w:ascii="仿宋_GB2312" w:eastAsia="仿宋_GB2312" w:hAnsi="仿宋"/>
          <w:color w:val="000000"/>
          <w:sz w:val="32"/>
          <w:szCs w:val="32"/>
        </w:rPr>
      </w:pPr>
    </w:p>
    <w:p w:rsidR="00B80601" w:rsidRPr="00F940CD" w:rsidRDefault="00B80601" w:rsidP="00B80601">
      <w:pPr>
        <w:spacing w:line="600" w:lineRule="exact"/>
        <w:ind w:firstLine="640"/>
        <w:rPr>
          <w:rFonts w:ascii="仿宋_GB2312" w:eastAsia="仿宋_GB2312" w:hAnsi="仿宋"/>
          <w:color w:val="000000"/>
          <w:sz w:val="32"/>
          <w:szCs w:val="32"/>
        </w:rPr>
      </w:pPr>
    </w:p>
    <w:p w:rsidR="00B80601" w:rsidRPr="00F940CD" w:rsidRDefault="00B80601" w:rsidP="00B80601">
      <w:pPr>
        <w:spacing w:line="600" w:lineRule="exact"/>
        <w:ind w:firstLine="640"/>
        <w:rPr>
          <w:rFonts w:ascii="仿宋_GB2312" w:eastAsia="仿宋_GB2312" w:hAnsi="仿宋"/>
          <w:color w:val="000000"/>
          <w:sz w:val="32"/>
          <w:szCs w:val="32"/>
        </w:rPr>
      </w:pPr>
    </w:p>
    <w:p w:rsidR="00B80601" w:rsidRPr="00F940CD" w:rsidRDefault="00B80601" w:rsidP="00B80601">
      <w:pPr>
        <w:spacing w:line="600" w:lineRule="exact"/>
        <w:ind w:firstLine="640"/>
        <w:rPr>
          <w:rFonts w:ascii="仿宋_GB2312" w:eastAsia="仿宋_GB2312" w:hAnsi="仿宋"/>
          <w:color w:val="000000"/>
          <w:sz w:val="32"/>
          <w:szCs w:val="32"/>
        </w:rPr>
      </w:pPr>
    </w:p>
    <w:p w:rsidR="00B80601" w:rsidRPr="00F940CD" w:rsidRDefault="00B80601" w:rsidP="00B80601">
      <w:pPr>
        <w:spacing w:line="600" w:lineRule="exact"/>
        <w:ind w:firstLine="640"/>
        <w:rPr>
          <w:rFonts w:ascii="仿宋_GB2312" w:eastAsia="仿宋_GB2312" w:hAnsi="仿宋"/>
          <w:color w:val="000000"/>
          <w:sz w:val="32"/>
          <w:szCs w:val="32"/>
        </w:rPr>
      </w:pPr>
    </w:p>
    <w:p w:rsidR="00D13277" w:rsidRDefault="00A3779E" w:rsidP="00172B65">
      <w:pPr>
        <w:spacing w:line="600" w:lineRule="exact"/>
        <w:ind w:firstLineChars="200" w:firstLine="643"/>
        <w:rPr>
          <w:rFonts w:ascii="仿宋_GB2312" w:eastAsia="仿宋_GB2312"/>
          <w:b/>
          <w:sz w:val="32"/>
          <w:szCs w:val="32"/>
        </w:rPr>
      </w:pPr>
      <w:r>
        <w:rPr>
          <w:rFonts w:ascii="仿宋_GB2312" w:eastAsia="仿宋_GB2312"/>
          <w:b/>
          <w:sz w:val="32"/>
          <w:szCs w:val="32"/>
        </w:rPr>
        <w:t>1.</w:t>
      </w:r>
      <w:r>
        <w:rPr>
          <w:rFonts w:ascii="仿宋_GB2312" w:eastAsia="仿宋_GB2312" w:hint="eastAsia"/>
          <w:b/>
          <w:sz w:val="32"/>
          <w:szCs w:val="32"/>
        </w:rPr>
        <w:t>因公出国（境）经费支出</w:t>
      </w:r>
      <w:r w:rsidR="00B80601">
        <w:rPr>
          <w:rFonts w:ascii="仿宋_GB2312" w:eastAsia="仿宋_GB2312" w:hint="eastAsia"/>
          <w:sz w:val="32"/>
          <w:szCs w:val="32"/>
        </w:rPr>
        <w:t>0</w:t>
      </w:r>
      <w:r>
        <w:rPr>
          <w:rFonts w:ascii="仿宋_GB2312" w:eastAsia="仿宋_GB2312" w:hint="eastAsia"/>
          <w:sz w:val="32"/>
          <w:szCs w:val="32"/>
        </w:rPr>
        <w:t>万元，</w:t>
      </w:r>
      <w:r>
        <w:rPr>
          <w:rStyle w:val="a7"/>
          <w:rFonts w:ascii="仿宋" w:eastAsia="仿宋" w:hAnsi="仿宋" w:hint="eastAsia"/>
          <w:b w:val="0"/>
          <w:bCs/>
          <w:sz w:val="32"/>
          <w:szCs w:val="32"/>
        </w:rPr>
        <w:t>完成预算</w:t>
      </w:r>
      <w:r w:rsidR="00B80601">
        <w:rPr>
          <w:rStyle w:val="a7"/>
          <w:rFonts w:ascii="仿宋" w:eastAsia="仿宋" w:hAnsi="仿宋" w:hint="eastAsia"/>
          <w:b w:val="0"/>
          <w:bCs/>
          <w:sz w:val="32"/>
          <w:szCs w:val="32"/>
        </w:rPr>
        <w:t>0</w:t>
      </w:r>
      <w:r>
        <w:rPr>
          <w:rStyle w:val="a7"/>
          <w:rFonts w:ascii="仿宋" w:eastAsia="仿宋" w:hAnsi="仿宋"/>
          <w:b w:val="0"/>
          <w:bCs/>
          <w:sz w:val="32"/>
          <w:szCs w:val="32"/>
        </w:rPr>
        <w:t>%</w:t>
      </w:r>
      <w:r>
        <w:rPr>
          <w:rStyle w:val="a7"/>
          <w:rFonts w:ascii="仿宋" w:eastAsia="仿宋" w:hAnsi="仿宋" w:hint="eastAsia"/>
          <w:b w:val="0"/>
          <w:bCs/>
          <w:sz w:val="32"/>
          <w:szCs w:val="32"/>
        </w:rPr>
        <w:t>。</w:t>
      </w:r>
      <w:r>
        <w:rPr>
          <w:rFonts w:ascii="仿宋_GB2312" w:eastAsia="仿宋_GB2312" w:hint="eastAsia"/>
          <w:sz w:val="32"/>
          <w:szCs w:val="32"/>
        </w:rPr>
        <w:t>全年安排因公出国（境）团组</w:t>
      </w:r>
      <w:r w:rsidR="00B80601">
        <w:rPr>
          <w:rFonts w:ascii="仿宋_GB2312" w:eastAsia="仿宋_GB2312" w:hint="eastAsia"/>
          <w:sz w:val="32"/>
          <w:szCs w:val="32"/>
        </w:rPr>
        <w:t>0</w:t>
      </w:r>
      <w:r>
        <w:rPr>
          <w:rFonts w:ascii="仿宋_GB2312" w:eastAsia="仿宋_GB2312" w:hint="eastAsia"/>
          <w:sz w:val="32"/>
          <w:szCs w:val="32"/>
        </w:rPr>
        <w:t>次，出国（境）</w:t>
      </w:r>
      <w:r w:rsidR="00B80601">
        <w:rPr>
          <w:rFonts w:ascii="仿宋_GB2312" w:eastAsia="仿宋_GB2312" w:hint="eastAsia"/>
          <w:sz w:val="32"/>
          <w:szCs w:val="32"/>
        </w:rPr>
        <w:t>0人。因公出国（境）支出决算与</w:t>
      </w:r>
      <w:r>
        <w:rPr>
          <w:rFonts w:ascii="仿宋_GB2312" w:eastAsia="仿宋_GB2312"/>
          <w:sz w:val="32"/>
          <w:szCs w:val="32"/>
        </w:rPr>
        <w:t>20</w:t>
      </w:r>
      <w:r>
        <w:rPr>
          <w:rFonts w:ascii="仿宋_GB2312" w:eastAsia="仿宋_GB2312" w:hint="eastAsia"/>
          <w:sz w:val="32"/>
          <w:szCs w:val="32"/>
        </w:rPr>
        <w:t>20年</w:t>
      </w:r>
      <w:r w:rsidR="00B80601">
        <w:rPr>
          <w:rFonts w:ascii="仿宋_GB2312" w:eastAsia="仿宋_GB2312" w:hint="eastAsia"/>
          <w:sz w:val="32"/>
          <w:szCs w:val="32"/>
        </w:rPr>
        <w:t>持平。</w:t>
      </w:r>
    </w:p>
    <w:p w:rsidR="00D13277" w:rsidRDefault="00A3779E">
      <w:pPr>
        <w:spacing w:line="600" w:lineRule="exact"/>
        <w:ind w:firstLine="640"/>
        <w:rPr>
          <w:rFonts w:ascii="仿宋_GB2312" w:eastAsia="仿宋_GB2312"/>
          <w:b/>
          <w:sz w:val="32"/>
          <w:szCs w:val="32"/>
        </w:rPr>
      </w:pPr>
      <w:r>
        <w:rPr>
          <w:rFonts w:ascii="仿宋_GB2312" w:eastAsia="仿宋_GB2312"/>
          <w:b/>
          <w:sz w:val="32"/>
          <w:szCs w:val="32"/>
        </w:rPr>
        <w:t>2.</w:t>
      </w:r>
      <w:r>
        <w:rPr>
          <w:rFonts w:ascii="仿宋_GB2312" w:eastAsia="仿宋_GB2312" w:hint="eastAsia"/>
          <w:b/>
          <w:sz w:val="32"/>
          <w:szCs w:val="32"/>
        </w:rPr>
        <w:t>公务用车购置及运行维护费支出</w:t>
      </w:r>
      <w:r w:rsidR="00B80601">
        <w:rPr>
          <w:rFonts w:ascii="仿宋_GB2312" w:eastAsia="仿宋_GB2312" w:hint="eastAsia"/>
          <w:sz w:val="32"/>
          <w:szCs w:val="32"/>
        </w:rPr>
        <w:t>1.46</w:t>
      </w:r>
      <w:r>
        <w:rPr>
          <w:rFonts w:ascii="仿宋_GB2312" w:eastAsia="仿宋_GB2312" w:hint="eastAsia"/>
          <w:sz w:val="32"/>
          <w:szCs w:val="32"/>
        </w:rPr>
        <w:t>万元,</w:t>
      </w:r>
      <w:r>
        <w:rPr>
          <w:rStyle w:val="a7"/>
          <w:rFonts w:ascii="仿宋" w:eastAsia="仿宋" w:hAnsi="仿宋" w:hint="eastAsia"/>
          <w:b w:val="0"/>
          <w:bCs/>
          <w:sz w:val="32"/>
          <w:szCs w:val="32"/>
        </w:rPr>
        <w:t>完成预算</w:t>
      </w:r>
      <w:r w:rsidR="009434BD">
        <w:rPr>
          <w:rStyle w:val="a7"/>
          <w:rFonts w:ascii="仿宋" w:eastAsia="仿宋" w:hAnsi="仿宋" w:hint="eastAsia"/>
          <w:b w:val="0"/>
          <w:bCs/>
          <w:sz w:val="32"/>
          <w:szCs w:val="32"/>
        </w:rPr>
        <w:t>100</w:t>
      </w:r>
      <w:r>
        <w:rPr>
          <w:rStyle w:val="a7"/>
          <w:rFonts w:ascii="仿宋" w:eastAsia="仿宋" w:hAnsi="仿宋"/>
          <w:b w:val="0"/>
          <w:bCs/>
          <w:sz w:val="32"/>
          <w:szCs w:val="32"/>
        </w:rPr>
        <w:t>%</w:t>
      </w:r>
      <w:r>
        <w:rPr>
          <w:rStyle w:val="a7"/>
          <w:rFonts w:ascii="仿宋" w:eastAsia="仿宋" w:hAnsi="仿宋" w:hint="eastAsia"/>
          <w:b w:val="0"/>
          <w:bCs/>
          <w:sz w:val="32"/>
          <w:szCs w:val="32"/>
        </w:rPr>
        <w:t>。</w:t>
      </w:r>
      <w:r>
        <w:rPr>
          <w:rFonts w:ascii="仿宋_GB2312" w:eastAsia="仿宋_GB2312" w:hint="eastAsia"/>
          <w:sz w:val="32"/>
          <w:szCs w:val="32"/>
        </w:rPr>
        <w:t>公务用车购置及运行维护费支出决算比</w:t>
      </w:r>
      <w:r>
        <w:rPr>
          <w:rFonts w:ascii="仿宋_GB2312" w:eastAsia="仿宋_GB2312"/>
          <w:sz w:val="32"/>
          <w:szCs w:val="32"/>
        </w:rPr>
        <w:t>20</w:t>
      </w:r>
      <w:r>
        <w:rPr>
          <w:rFonts w:ascii="仿宋_GB2312" w:eastAsia="仿宋_GB2312" w:hint="eastAsia"/>
          <w:sz w:val="32"/>
          <w:szCs w:val="32"/>
        </w:rPr>
        <w:t>20年增加</w:t>
      </w:r>
      <w:r w:rsidR="00B80601">
        <w:rPr>
          <w:rFonts w:ascii="仿宋_GB2312" w:eastAsia="仿宋_GB2312" w:hint="eastAsia"/>
          <w:sz w:val="32"/>
          <w:szCs w:val="32"/>
        </w:rPr>
        <w:t>0.57</w:t>
      </w:r>
      <w:r>
        <w:rPr>
          <w:rFonts w:ascii="仿宋_GB2312" w:eastAsia="仿宋_GB2312" w:hint="eastAsia"/>
          <w:sz w:val="32"/>
          <w:szCs w:val="32"/>
        </w:rPr>
        <w:t>万元，增长</w:t>
      </w:r>
      <w:r w:rsidR="00B80601">
        <w:rPr>
          <w:rFonts w:ascii="仿宋_GB2312" w:eastAsia="仿宋_GB2312" w:hint="eastAsia"/>
          <w:sz w:val="32"/>
          <w:szCs w:val="32"/>
        </w:rPr>
        <w:t>64</w:t>
      </w:r>
      <w:r>
        <w:rPr>
          <w:rFonts w:ascii="仿宋_GB2312" w:eastAsia="仿宋_GB2312"/>
          <w:sz w:val="32"/>
          <w:szCs w:val="32"/>
        </w:rPr>
        <w:t>%</w:t>
      </w:r>
      <w:r>
        <w:rPr>
          <w:rFonts w:ascii="仿宋_GB2312" w:eastAsia="仿宋_GB2312" w:hint="eastAsia"/>
          <w:sz w:val="32"/>
          <w:szCs w:val="32"/>
        </w:rPr>
        <w:t>。主要原因是</w:t>
      </w:r>
      <w:r w:rsidR="00840BB3">
        <w:rPr>
          <w:rFonts w:ascii="仿宋_GB2312" w:eastAsia="仿宋_GB2312" w:hint="eastAsia"/>
          <w:sz w:val="32"/>
          <w:szCs w:val="32"/>
        </w:rPr>
        <w:t>为保证造价信息的准确性</w:t>
      </w:r>
      <w:r w:rsidR="00B80601">
        <w:rPr>
          <w:rFonts w:ascii="仿宋_GB2312" w:eastAsia="仿宋_GB2312" w:hint="eastAsia"/>
          <w:sz w:val="32"/>
          <w:szCs w:val="32"/>
        </w:rPr>
        <w:t>，2021年度建筑业材料价格和人工费价格采集次数</w:t>
      </w:r>
      <w:r w:rsidR="00840BB3">
        <w:rPr>
          <w:rFonts w:ascii="仿宋_GB2312" w:eastAsia="仿宋_GB2312" w:hint="eastAsia"/>
          <w:sz w:val="32"/>
          <w:szCs w:val="32"/>
        </w:rPr>
        <w:t>增加，使用车辆频次增加，造成车辆燃油费、过路费等费用增加</w:t>
      </w:r>
      <w:r>
        <w:rPr>
          <w:rFonts w:ascii="仿宋_GB2312" w:eastAsia="仿宋_GB2312" w:hint="eastAsia"/>
          <w:sz w:val="32"/>
          <w:szCs w:val="32"/>
        </w:rPr>
        <w:t>。</w:t>
      </w:r>
    </w:p>
    <w:p w:rsidR="00D13277" w:rsidRDefault="00A3779E" w:rsidP="00172B65">
      <w:pPr>
        <w:spacing w:line="600" w:lineRule="exact"/>
        <w:ind w:firstLineChars="200" w:firstLine="640"/>
        <w:rPr>
          <w:rFonts w:ascii="仿宋_GB2312" w:eastAsia="仿宋_GB2312"/>
          <w:b/>
          <w:sz w:val="32"/>
          <w:szCs w:val="32"/>
        </w:rPr>
      </w:pPr>
      <w:r>
        <w:rPr>
          <w:rFonts w:ascii="仿宋_GB2312" w:eastAsia="仿宋_GB2312" w:hint="eastAsia"/>
          <w:sz w:val="32"/>
          <w:szCs w:val="32"/>
        </w:rPr>
        <w:t>其中：</w:t>
      </w:r>
      <w:r>
        <w:rPr>
          <w:rFonts w:ascii="仿宋_GB2312" w:eastAsia="仿宋_GB2312" w:hint="eastAsia"/>
          <w:b/>
          <w:sz w:val="32"/>
          <w:szCs w:val="32"/>
        </w:rPr>
        <w:t>公务用车购置支出</w:t>
      </w:r>
      <w:r w:rsidR="00840BB3">
        <w:rPr>
          <w:rFonts w:ascii="仿宋_GB2312" w:eastAsia="仿宋_GB2312" w:hint="eastAsia"/>
          <w:sz w:val="32"/>
          <w:szCs w:val="32"/>
        </w:rPr>
        <w:t>0</w:t>
      </w:r>
      <w:r>
        <w:rPr>
          <w:rFonts w:ascii="仿宋_GB2312" w:eastAsia="仿宋_GB2312" w:hint="eastAsia"/>
          <w:sz w:val="32"/>
          <w:szCs w:val="32"/>
        </w:rPr>
        <w:t>万元。全年按规定更新购置公务用车</w:t>
      </w:r>
      <w:r w:rsidR="00840BB3">
        <w:rPr>
          <w:rFonts w:ascii="仿宋_GB2312" w:eastAsia="仿宋_GB2312" w:hint="eastAsia"/>
          <w:sz w:val="32"/>
          <w:szCs w:val="32"/>
        </w:rPr>
        <w:t>0</w:t>
      </w:r>
      <w:r>
        <w:rPr>
          <w:rFonts w:ascii="仿宋_GB2312" w:eastAsia="仿宋_GB2312" w:hint="eastAsia"/>
          <w:sz w:val="32"/>
          <w:szCs w:val="32"/>
        </w:rPr>
        <w:t>辆，其中：轿车</w:t>
      </w:r>
      <w:r w:rsidR="00840BB3">
        <w:rPr>
          <w:rFonts w:ascii="仿宋_GB2312" w:eastAsia="仿宋_GB2312" w:hint="eastAsia"/>
          <w:sz w:val="32"/>
          <w:szCs w:val="32"/>
        </w:rPr>
        <w:t>0</w:t>
      </w:r>
      <w:r>
        <w:rPr>
          <w:rFonts w:ascii="仿宋_GB2312" w:eastAsia="仿宋_GB2312" w:hint="eastAsia"/>
          <w:sz w:val="32"/>
          <w:szCs w:val="32"/>
        </w:rPr>
        <w:t>辆、金额</w:t>
      </w:r>
      <w:r w:rsidR="00840BB3">
        <w:rPr>
          <w:rFonts w:ascii="仿宋_GB2312" w:eastAsia="仿宋_GB2312" w:hint="eastAsia"/>
          <w:sz w:val="32"/>
          <w:szCs w:val="32"/>
        </w:rPr>
        <w:t>0</w:t>
      </w:r>
      <w:r>
        <w:rPr>
          <w:rFonts w:ascii="仿宋_GB2312" w:eastAsia="仿宋_GB2312" w:hint="eastAsia"/>
          <w:sz w:val="32"/>
          <w:szCs w:val="32"/>
        </w:rPr>
        <w:t>万元，越野车</w:t>
      </w:r>
      <w:r w:rsidR="00840BB3">
        <w:rPr>
          <w:rFonts w:ascii="仿宋_GB2312" w:eastAsia="仿宋_GB2312" w:hint="eastAsia"/>
          <w:sz w:val="32"/>
          <w:szCs w:val="32"/>
        </w:rPr>
        <w:t>0</w:t>
      </w:r>
      <w:r>
        <w:rPr>
          <w:rFonts w:ascii="仿宋_GB2312" w:eastAsia="仿宋_GB2312" w:hint="eastAsia"/>
          <w:sz w:val="32"/>
          <w:szCs w:val="32"/>
        </w:rPr>
        <w:t>辆、</w:t>
      </w:r>
      <w:r>
        <w:rPr>
          <w:rFonts w:ascii="仿宋_GB2312" w:eastAsia="仿宋_GB2312" w:hint="eastAsia"/>
          <w:sz w:val="32"/>
          <w:szCs w:val="32"/>
        </w:rPr>
        <w:lastRenderedPageBreak/>
        <w:t>金额</w:t>
      </w:r>
      <w:r w:rsidR="00840BB3">
        <w:rPr>
          <w:rFonts w:ascii="仿宋_GB2312" w:eastAsia="仿宋_GB2312" w:hint="eastAsia"/>
          <w:sz w:val="32"/>
          <w:szCs w:val="32"/>
        </w:rPr>
        <w:t>0</w:t>
      </w:r>
      <w:r>
        <w:rPr>
          <w:rFonts w:ascii="仿宋_GB2312" w:eastAsia="仿宋_GB2312" w:hint="eastAsia"/>
          <w:sz w:val="32"/>
          <w:szCs w:val="32"/>
        </w:rPr>
        <w:t>万元，载客汽车</w:t>
      </w:r>
      <w:r w:rsidR="00840BB3">
        <w:rPr>
          <w:rFonts w:ascii="仿宋_GB2312" w:eastAsia="仿宋_GB2312" w:hint="eastAsia"/>
          <w:sz w:val="32"/>
          <w:szCs w:val="32"/>
        </w:rPr>
        <w:t>0</w:t>
      </w:r>
      <w:r>
        <w:rPr>
          <w:rFonts w:ascii="仿宋_GB2312" w:eastAsia="仿宋_GB2312" w:hint="eastAsia"/>
          <w:sz w:val="32"/>
          <w:szCs w:val="32"/>
        </w:rPr>
        <w:t>辆、金额</w:t>
      </w:r>
      <w:r w:rsidR="00840BB3">
        <w:rPr>
          <w:rFonts w:ascii="仿宋_GB2312" w:eastAsia="仿宋_GB2312" w:hint="eastAsia"/>
          <w:sz w:val="32"/>
          <w:szCs w:val="32"/>
        </w:rPr>
        <w:t>0</w:t>
      </w:r>
      <w:r>
        <w:rPr>
          <w:rFonts w:ascii="仿宋_GB2312" w:eastAsia="仿宋_GB2312" w:hint="eastAsia"/>
          <w:sz w:val="32"/>
          <w:szCs w:val="32"/>
        </w:rPr>
        <w:t>万元。截至</w:t>
      </w:r>
      <w:r>
        <w:rPr>
          <w:rFonts w:ascii="仿宋_GB2312" w:eastAsia="仿宋_GB2312"/>
          <w:sz w:val="32"/>
          <w:szCs w:val="32"/>
        </w:rPr>
        <w:t>20</w:t>
      </w:r>
      <w:r>
        <w:rPr>
          <w:rFonts w:ascii="仿宋_GB2312" w:eastAsia="仿宋_GB2312" w:hint="eastAsia"/>
          <w:sz w:val="32"/>
          <w:szCs w:val="32"/>
        </w:rPr>
        <w:t>21年</w:t>
      </w:r>
      <w:r>
        <w:rPr>
          <w:rFonts w:ascii="仿宋_GB2312" w:eastAsia="仿宋_GB2312"/>
          <w:sz w:val="32"/>
          <w:szCs w:val="32"/>
        </w:rPr>
        <w:t>12</w:t>
      </w:r>
      <w:r>
        <w:rPr>
          <w:rFonts w:ascii="仿宋_GB2312" w:eastAsia="仿宋_GB2312" w:hint="eastAsia"/>
          <w:sz w:val="32"/>
          <w:szCs w:val="32"/>
        </w:rPr>
        <w:t>月底，单位共有公务用车</w:t>
      </w:r>
      <w:r w:rsidR="00840BB3">
        <w:rPr>
          <w:rFonts w:ascii="仿宋_GB2312" w:eastAsia="仿宋_GB2312" w:hint="eastAsia"/>
          <w:sz w:val="32"/>
          <w:szCs w:val="32"/>
        </w:rPr>
        <w:t>1</w:t>
      </w:r>
      <w:r>
        <w:rPr>
          <w:rFonts w:ascii="仿宋_GB2312" w:eastAsia="仿宋_GB2312" w:hint="eastAsia"/>
          <w:sz w:val="32"/>
          <w:szCs w:val="32"/>
        </w:rPr>
        <w:t>辆，其中：轿车</w:t>
      </w:r>
      <w:r w:rsidR="00840BB3">
        <w:rPr>
          <w:rFonts w:ascii="仿宋_GB2312" w:eastAsia="仿宋_GB2312" w:hint="eastAsia"/>
          <w:sz w:val="32"/>
          <w:szCs w:val="32"/>
        </w:rPr>
        <w:t>0</w:t>
      </w:r>
      <w:r>
        <w:rPr>
          <w:rFonts w:ascii="仿宋_GB2312" w:eastAsia="仿宋_GB2312" w:hint="eastAsia"/>
          <w:sz w:val="32"/>
          <w:szCs w:val="32"/>
        </w:rPr>
        <w:t>辆、越野车</w:t>
      </w:r>
      <w:r w:rsidR="00840BB3">
        <w:rPr>
          <w:rFonts w:ascii="仿宋_GB2312" w:eastAsia="仿宋_GB2312" w:hint="eastAsia"/>
          <w:sz w:val="32"/>
          <w:szCs w:val="32"/>
        </w:rPr>
        <w:t>1</w:t>
      </w:r>
      <w:r>
        <w:rPr>
          <w:rFonts w:ascii="仿宋_GB2312" w:eastAsia="仿宋_GB2312" w:hint="eastAsia"/>
          <w:sz w:val="32"/>
          <w:szCs w:val="32"/>
        </w:rPr>
        <w:t>辆、载客汽车</w:t>
      </w:r>
      <w:r w:rsidR="00840BB3">
        <w:rPr>
          <w:rFonts w:ascii="仿宋_GB2312" w:eastAsia="仿宋_GB2312" w:hint="eastAsia"/>
          <w:sz w:val="32"/>
          <w:szCs w:val="32"/>
        </w:rPr>
        <w:t>0</w:t>
      </w:r>
      <w:r>
        <w:rPr>
          <w:rFonts w:ascii="仿宋_GB2312" w:eastAsia="仿宋_GB2312" w:hint="eastAsia"/>
          <w:sz w:val="32"/>
          <w:szCs w:val="32"/>
        </w:rPr>
        <w:t>辆。</w:t>
      </w:r>
    </w:p>
    <w:p w:rsidR="00D13277" w:rsidRDefault="00A3779E">
      <w:pPr>
        <w:spacing w:line="600" w:lineRule="exact"/>
        <w:ind w:firstLine="640"/>
        <w:rPr>
          <w:rFonts w:ascii="仿宋_GB2312" w:eastAsia="仿宋_GB2312"/>
          <w:sz w:val="32"/>
          <w:szCs w:val="32"/>
        </w:rPr>
      </w:pPr>
      <w:r>
        <w:rPr>
          <w:rFonts w:ascii="仿宋_GB2312" w:eastAsia="仿宋_GB2312" w:hint="eastAsia"/>
          <w:b/>
          <w:sz w:val="32"/>
          <w:szCs w:val="32"/>
        </w:rPr>
        <w:t>公务用车运行维护费支出</w:t>
      </w:r>
      <w:r w:rsidR="00840BB3">
        <w:rPr>
          <w:rFonts w:ascii="仿宋_GB2312" w:eastAsia="仿宋_GB2312" w:hint="eastAsia"/>
          <w:sz w:val="32"/>
          <w:szCs w:val="32"/>
        </w:rPr>
        <w:t>1.46</w:t>
      </w:r>
      <w:r>
        <w:rPr>
          <w:rFonts w:ascii="仿宋_GB2312" w:eastAsia="仿宋_GB2312" w:hint="eastAsia"/>
          <w:sz w:val="32"/>
          <w:szCs w:val="32"/>
        </w:rPr>
        <w:t>万元。主要用于</w:t>
      </w:r>
      <w:r w:rsidR="00840BB3">
        <w:rPr>
          <w:rFonts w:ascii="仿宋_GB2312" w:eastAsia="仿宋_GB2312" w:hint="eastAsia"/>
          <w:sz w:val="32"/>
          <w:szCs w:val="32"/>
        </w:rPr>
        <w:t>保障单位日常用车及建筑业材料和人工费价格采集等相关工作</w:t>
      </w:r>
      <w:r>
        <w:rPr>
          <w:rFonts w:ascii="仿宋_GB2312" w:eastAsia="仿宋_GB2312" w:hint="eastAsia"/>
          <w:sz w:val="32"/>
          <w:szCs w:val="32"/>
        </w:rPr>
        <w:t>所需的公务用车燃料费、维修费、过路过桥费、保险费等支出。</w:t>
      </w:r>
    </w:p>
    <w:p w:rsidR="00D13277" w:rsidRDefault="00A3779E">
      <w:pPr>
        <w:spacing w:line="600" w:lineRule="exact"/>
        <w:ind w:firstLine="640"/>
        <w:rPr>
          <w:rFonts w:ascii="仿宋_GB2312" w:eastAsia="仿宋_GB2312"/>
          <w:sz w:val="32"/>
          <w:szCs w:val="32"/>
        </w:rPr>
      </w:pPr>
      <w:r>
        <w:rPr>
          <w:rFonts w:ascii="仿宋_GB2312" w:eastAsia="仿宋_GB2312"/>
          <w:b/>
          <w:sz w:val="32"/>
          <w:szCs w:val="32"/>
        </w:rPr>
        <w:t>3.</w:t>
      </w:r>
      <w:r>
        <w:rPr>
          <w:rFonts w:ascii="仿宋_GB2312" w:eastAsia="仿宋_GB2312" w:hint="eastAsia"/>
          <w:b/>
          <w:sz w:val="32"/>
          <w:szCs w:val="32"/>
        </w:rPr>
        <w:t>公务接待费支出</w:t>
      </w:r>
      <w:r w:rsidR="00840BB3">
        <w:rPr>
          <w:rFonts w:ascii="仿宋_GB2312" w:eastAsia="仿宋_GB2312" w:hint="eastAsia"/>
          <w:sz w:val="32"/>
          <w:szCs w:val="32"/>
        </w:rPr>
        <w:t>0</w:t>
      </w:r>
      <w:r>
        <w:rPr>
          <w:rFonts w:ascii="仿宋_GB2312" w:eastAsia="仿宋_GB2312" w:hint="eastAsia"/>
          <w:sz w:val="32"/>
          <w:szCs w:val="32"/>
        </w:rPr>
        <w:t>万元，</w:t>
      </w:r>
      <w:r>
        <w:rPr>
          <w:rStyle w:val="a7"/>
          <w:rFonts w:ascii="仿宋" w:eastAsia="仿宋" w:hAnsi="仿宋" w:hint="eastAsia"/>
          <w:b w:val="0"/>
          <w:bCs/>
          <w:sz w:val="32"/>
          <w:szCs w:val="32"/>
        </w:rPr>
        <w:t>完成预算</w:t>
      </w:r>
      <w:r w:rsidR="00840BB3">
        <w:rPr>
          <w:rStyle w:val="a7"/>
          <w:rFonts w:ascii="仿宋" w:eastAsia="仿宋" w:hAnsi="仿宋" w:hint="eastAsia"/>
          <w:b w:val="0"/>
          <w:bCs/>
          <w:sz w:val="32"/>
          <w:szCs w:val="32"/>
        </w:rPr>
        <w:t>0</w:t>
      </w:r>
      <w:r>
        <w:rPr>
          <w:rStyle w:val="a7"/>
          <w:rFonts w:ascii="仿宋" w:eastAsia="仿宋" w:hAnsi="仿宋"/>
          <w:b w:val="0"/>
          <w:bCs/>
          <w:sz w:val="32"/>
          <w:szCs w:val="32"/>
        </w:rPr>
        <w:t>%</w:t>
      </w:r>
      <w:r>
        <w:rPr>
          <w:rStyle w:val="a7"/>
          <w:rFonts w:ascii="仿宋" w:eastAsia="仿宋" w:hAnsi="仿宋" w:hint="eastAsia"/>
          <w:b w:val="0"/>
          <w:bCs/>
          <w:sz w:val="32"/>
          <w:szCs w:val="32"/>
        </w:rPr>
        <w:t>。</w:t>
      </w:r>
      <w:r w:rsidR="00840BB3">
        <w:rPr>
          <w:rFonts w:ascii="仿宋_GB2312" w:eastAsia="仿宋_GB2312" w:hint="eastAsia"/>
          <w:sz w:val="32"/>
          <w:szCs w:val="32"/>
        </w:rPr>
        <w:t>公务接待费支出决算与</w:t>
      </w:r>
      <w:r>
        <w:rPr>
          <w:rFonts w:ascii="仿宋_GB2312" w:eastAsia="仿宋_GB2312"/>
          <w:sz w:val="32"/>
          <w:szCs w:val="32"/>
        </w:rPr>
        <w:t>20</w:t>
      </w:r>
      <w:r>
        <w:rPr>
          <w:rFonts w:ascii="仿宋_GB2312" w:eastAsia="仿宋_GB2312" w:hint="eastAsia"/>
          <w:sz w:val="32"/>
          <w:szCs w:val="32"/>
        </w:rPr>
        <w:t>20年</w:t>
      </w:r>
      <w:r w:rsidR="00840BB3">
        <w:rPr>
          <w:rFonts w:ascii="仿宋_GB2312" w:eastAsia="仿宋_GB2312" w:hint="eastAsia"/>
          <w:sz w:val="32"/>
          <w:szCs w:val="32"/>
        </w:rPr>
        <w:t>持平。</w:t>
      </w:r>
    </w:p>
    <w:p w:rsidR="00D13277" w:rsidRDefault="00A3779E">
      <w:pPr>
        <w:spacing w:line="600" w:lineRule="exact"/>
        <w:ind w:firstLine="640"/>
        <w:rPr>
          <w:rFonts w:ascii="仿宋_GB2312" w:eastAsia="仿宋_GB2312"/>
          <w:sz w:val="32"/>
          <w:szCs w:val="32"/>
        </w:rPr>
      </w:pPr>
      <w:r>
        <w:rPr>
          <w:rFonts w:ascii="仿宋" w:eastAsia="仿宋" w:hAnsi="仿宋" w:hint="eastAsia"/>
          <w:b/>
          <w:sz w:val="32"/>
          <w:szCs w:val="32"/>
        </w:rPr>
        <w:t>国内公务接待支出</w:t>
      </w:r>
      <w:r w:rsidR="00840BB3">
        <w:rPr>
          <w:rFonts w:ascii="仿宋" w:eastAsia="仿宋" w:hAnsi="仿宋" w:hint="eastAsia"/>
          <w:sz w:val="32"/>
          <w:szCs w:val="32"/>
        </w:rPr>
        <w:t>0</w:t>
      </w:r>
      <w:r w:rsidR="00840BB3">
        <w:rPr>
          <w:rFonts w:ascii="仿宋_GB2312" w:eastAsia="仿宋_GB2312" w:hint="eastAsia"/>
          <w:sz w:val="32"/>
          <w:szCs w:val="32"/>
        </w:rPr>
        <w:t>万元</w:t>
      </w:r>
      <w:r w:rsidR="00840BB3">
        <w:rPr>
          <w:rFonts w:ascii="仿宋_GB2312" w:eastAsia="仿宋_GB2312"/>
          <w:sz w:val="32"/>
          <w:szCs w:val="32"/>
        </w:rPr>
        <w:t xml:space="preserve"> </w:t>
      </w:r>
    </w:p>
    <w:p w:rsidR="00840BB3" w:rsidRDefault="00A3779E" w:rsidP="00172B65">
      <w:pPr>
        <w:spacing w:line="600" w:lineRule="exact"/>
        <w:ind w:firstLineChars="200" w:firstLine="643"/>
        <w:rPr>
          <w:rFonts w:ascii="黑体" w:eastAsia="黑体"/>
          <w:sz w:val="32"/>
          <w:szCs w:val="32"/>
        </w:rPr>
      </w:pPr>
      <w:r>
        <w:rPr>
          <w:rFonts w:ascii="仿宋" w:eastAsia="仿宋" w:hAnsi="仿宋" w:hint="eastAsia"/>
          <w:b/>
          <w:sz w:val="32"/>
          <w:szCs w:val="32"/>
        </w:rPr>
        <w:t>外事接待支出</w:t>
      </w:r>
      <w:r w:rsidR="00840BB3">
        <w:rPr>
          <w:rFonts w:ascii="仿宋" w:eastAsia="仿宋" w:hAnsi="仿宋" w:hint="eastAsia"/>
          <w:sz w:val="32"/>
          <w:szCs w:val="32"/>
        </w:rPr>
        <w:t>0</w:t>
      </w:r>
      <w:r>
        <w:rPr>
          <w:rFonts w:ascii="仿宋_GB2312" w:eastAsia="仿宋_GB2312" w:hint="eastAsia"/>
          <w:sz w:val="32"/>
          <w:szCs w:val="32"/>
        </w:rPr>
        <w:t>万元</w:t>
      </w:r>
      <w:bookmarkStart w:id="39" w:name="_Toc15396610"/>
      <w:bookmarkStart w:id="40" w:name="_Toc15377218"/>
      <w:r w:rsidR="00840BB3">
        <w:rPr>
          <w:rFonts w:ascii="仿宋_GB2312" w:eastAsia="仿宋_GB2312" w:hint="eastAsia"/>
          <w:sz w:val="32"/>
          <w:szCs w:val="32"/>
        </w:rPr>
        <w:t>。</w:t>
      </w:r>
      <w:r w:rsidR="00840BB3">
        <w:rPr>
          <w:rFonts w:ascii="黑体" w:eastAsia="黑体"/>
          <w:sz w:val="32"/>
          <w:szCs w:val="32"/>
        </w:rPr>
        <w:t xml:space="preserve"> </w:t>
      </w:r>
    </w:p>
    <w:p w:rsidR="00D13277" w:rsidRDefault="00840BB3">
      <w:pPr>
        <w:spacing w:line="600" w:lineRule="exact"/>
        <w:ind w:firstLine="640"/>
        <w:outlineLvl w:val="1"/>
        <w:rPr>
          <w:rStyle w:val="2Char"/>
          <w:rFonts w:ascii="黑体" w:eastAsia="黑体" w:hAnsi="黑体"/>
        </w:rPr>
      </w:pPr>
      <w:r>
        <w:rPr>
          <w:rFonts w:ascii="黑体" w:eastAsia="黑体" w:hint="eastAsia"/>
          <w:sz w:val="32"/>
          <w:szCs w:val="32"/>
        </w:rPr>
        <w:t>八、</w:t>
      </w:r>
      <w:r>
        <w:rPr>
          <w:rStyle w:val="2Char"/>
          <w:rFonts w:ascii="黑体" w:eastAsia="黑体" w:hAnsi="黑体" w:hint="eastAsia"/>
          <w:b w:val="0"/>
        </w:rPr>
        <w:t>政府性基金预算支出决算情况说明</w:t>
      </w:r>
      <w:bookmarkEnd w:id="39"/>
      <w:bookmarkEnd w:id="40"/>
    </w:p>
    <w:p w:rsidR="00D13277" w:rsidRDefault="00A3779E">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21年政府性基金预算财政拨款支出</w:t>
      </w:r>
      <w:r w:rsidR="00840BB3">
        <w:rPr>
          <w:rFonts w:ascii="仿宋_GB2312" w:eastAsia="仿宋_GB2312" w:hint="eastAsia"/>
          <w:sz w:val="32"/>
          <w:szCs w:val="32"/>
        </w:rPr>
        <w:t>0</w:t>
      </w:r>
      <w:r>
        <w:rPr>
          <w:rFonts w:ascii="仿宋_GB2312" w:eastAsia="仿宋_GB2312" w:hint="eastAsia"/>
          <w:sz w:val="32"/>
          <w:szCs w:val="32"/>
        </w:rPr>
        <w:t>万元。</w:t>
      </w:r>
    </w:p>
    <w:p w:rsidR="00D13277" w:rsidRDefault="00D13277">
      <w:pPr>
        <w:spacing w:line="600" w:lineRule="exact"/>
        <w:ind w:firstLine="640"/>
        <w:rPr>
          <w:rFonts w:ascii="仿宋_GB2312" w:eastAsia="仿宋_GB2312"/>
          <w:sz w:val="32"/>
          <w:szCs w:val="32"/>
        </w:rPr>
      </w:pPr>
    </w:p>
    <w:p w:rsidR="00D13277" w:rsidRDefault="00A3779E">
      <w:pPr>
        <w:numPr>
          <w:ilvl w:val="0"/>
          <w:numId w:val="2"/>
        </w:numPr>
        <w:spacing w:line="600" w:lineRule="exact"/>
        <w:ind w:firstLine="640"/>
        <w:outlineLvl w:val="1"/>
        <w:rPr>
          <w:rStyle w:val="2Char"/>
          <w:rFonts w:ascii="黑体" w:eastAsia="黑体" w:hAnsi="黑体"/>
          <w:b w:val="0"/>
        </w:rPr>
      </w:pPr>
      <w:bookmarkStart w:id="41" w:name="_Toc15377219"/>
      <w:bookmarkStart w:id="42" w:name="_Toc15396611"/>
      <w:r>
        <w:rPr>
          <w:rStyle w:val="2Char"/>
          <w:rFonts w:ascii="黑体" w:eastAsia="黑体" w:hAnsi="黑体" w:hint="eastAsia"/>
          <w:b w:val="0"/>
        </w:rPr>
        <w:t>国有资本经营预算支出决算情况说明</w:t>
      </w:r>
      <w:bookmarkEnd w:id="41"/>
      <w:bookmarkEnd w:id="42"/>
    </w:p>
    <w:p w:rsidR="00D13277" w:rsidRDefault="00A3779E">
      <w:pPr>
        <w:spacing w:line="600" w:lineRule="exact"/>
        <w:ind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21年国有资本经营预算财政拨款支出</w:t>
      </w:r>
      <w:r w:rsidR="00840BB3">
        <w:rPr>
          <w:rFonts w:ascii="仿宋_GB2312" w:eastAsia="仿宋_GB2312" w:hint="eastAsia"/>
          <w:sz w:val="32"/>
          <w:szCs w:val="32"/>
        </w:rPr>
        <w:t>0</w:t>
      </w:r>
      <w:r>
        <w:rPr>
          <w:rFonts w:ascii="仿宋_GB2312" w:eastAsia="仿宋_GB2312" w:hint="eastAsia"/>
          <w:sz w:val="32"/>
          <w:szCs w:val="32"/>
        </w:rPr>
        <w:t>万元。</w:t>
      </w:r>
    </w:p>
    <w:p w:rsidR="00D13277" w:rsidRDefault="00D13277">
      <w:pPr>
        <w:spacing w:line="580" w:lineRule="exact"/>
        <w:jc w:val="center"/>
        <w:rPr>
          <w:rFonts w:ascii="方正小标宋简体" w:eastAsia="方正小标宋简体" w:hAnsi="方正小标宋简体" w:cs="方正小标宋简体"/>
          <w:sz w:val="44"/>
          <w:szCs w:val="44"/>
        </w:rPr>
      </w:pPr>
    </w:p>
    <w:p w:rsidR="00D13277" w:rsidRDefault="00A3779E">
      <w:pPr>
        <w:numPr>
          <w:ilvl w:val="0"/>
          <w:numId w:val="2"/>
        </w:numPr>
        <w:spacing w:line="600" w:lineRule="exact"/>
        <w:ind w:firstLine="640"/>
        <w:outlineLvl w:val="1"/>
        <w:rPr>
          <w:rStyle w:val="2Char"/>
          <w:rFonts w:ascii="黑体" w:eastAsia="黑体" w:hAnsi="黑体"/>
          <w:b w:val="0"/>
        </w:rPr>
      </w:pPr>
      <w:bookmarkStart w:id="43" w:name="_Toc15396612"/>
      <w:bookmarkStart w:id="44" w:name="_Toc15377221"/>
      <w:r>
        <w:rPr>
          <w:rStyle w:val="2Char"/>
          <w:rFonts w:ascii="黑体" w:eastAsia="黑体" w:hAnsi="黑体" w:hint="eastAsia"/>
          <w:b w:val="0"/>
        </w:rPr>
        <w:t>其他重要事项的情况说明</w:t>
      </w:r>
      <w:bookmarkEnd w:id="43"/>
      <w:bookmarkEnd w:id="44"/>
    </w:p>
    <w:p w:rsidR="00D13277" w:rsidRDefault="00A3779E" w:rsidP="00172B65">
      <w:pPr>
        <w:spacing w:line="600" w:lineRule="exact"/>
        <w:ind w:firstLineChars="200" w:firstLine="643"/>
        <w:outlineLvl w:val="2"/>
        <w:rPr>
          <w:rFonts w:ascii="仿宋" w:eastAsia="仿宋" w:hAnsi="仿宋"/>
          <w:sz w:val="32"/>
          <w:szCs w:val="32"/>
        </w:rPr>
      </w:pPr>
      <w:bookmarkStart w:id="45" w:name="_Toc15377222"/>
      <w:r>
        <w:rPr>
          <w:rFonts w:ascii="仿宋" w:eastAsia="仿宋" w:hAnsi="仿宋" w:hint="eastAsia"/>
          <w:b/>
          <w:sz w:val="32"/>
          <w:szCs w:val="32"/>
        </w:rPr>
        <w:t>（一）机关运行经费支出情况</w:t>
      </w:r>
      <w:bookmarkEnd w:id="45"/>
    </w:p>
    <w:p w:rsidR="00D13277" w:rsidRDefault="00B75A0B" w:rsidP="00172B65">
      <w:pPr>
        <w:spacing w:line="600" w:lineRule="exact"/>
        <w:ind w:firstLineChars="200" w:firstLine="640"/>
        <w:rPr>
          <w:rFonts w:ascii="仿宋_GB2312" w:eastAsia="仿宋_GB2312"/>
          <w:sz w:val="32"/>
          <w:szCs w:val="32"/>
        </w:rPr>
      </w:pPr>
      <w:r>
        <w:rPr>
          <w:rFonts w:ascii="仿宋_GB2312" w:eastAsia="仿宋_GB2312"/>
          <w:sz w:val="32"/>
          <w:szCs w:val="32"/>
        </w:rPr>
        <w:t>攀枝花</w:t>
      </w:r>
      <w:r w:rsidR="00840BB3">
        <w:rPr>
          <w:rFonts w:ascii="仿宋_GB2312" w:eastAsia="仿宋_GB2312"/>
          <w:sz w:val="32"/>
          <w:szCs w:val="32"/>
        </w:rPr>
        <w:t>市建设工程造价站系市住建局下属全额拨款事业单位</w:t>
      </w:r>
      <w:r w:rsidR="00840BB3">
        <w:rPr>
          <w:rFonts w:ascii="仿宋_GB2312" w:eastAsia="仿宋_GB2312" w:hint="eastAsia"/>
          <w:sz w:val="32"/>
          <w:szCs w:val="32"/>
        </w:rPr>
        <w:t>，</w:t>
      </w:r>
      <w:r w:rsidR="00840BB3">
        <w:rPr>
          <w:rFonts w:ascii="仿宋_GB2312" w:eastAsia="仿宋_GB2312"/>
          <w:sz w:val="32"/>
          <w:szCs w:val="32"/>
        </w:rPr>
        <w:t>无机关运行经费</w:t>
      </w:r>
      <w:r w:rsidR="00840BB3">
        <w:rPr>
          <w:rFonts w:ascii="仿宋_GB2312" w:eastAsia="仿宋_GB2312" w:hint="eastAsia"/>
          <w:sz w:val="32"/>
          <w:szCs w:val="32"/>
        </w:rPr>
        <w:t>。</w:t>
      </w:r>
      <w:r w:rsidR="00A3779E">
        <w:rPr>
          <w:rFonts w:ascii="仿宋_GB2312" w:eastAsia="仿宋_GB2312"/>
          <w:sz w:val="32"/>
          <w:szCs w:val="32"/>
        </w:rPr>
        <w:t>20</w:t>
      </w:r>
      <w:r w:rsidR="00A3779E">
        <w:rPr>
          <w:rFonts w:ascii="仿宋_GB2312" w:eastAsia="仿宋_GB2312" w:hint="eastAsia"/>
          <w:sz w:val="32"/>
          <w:szCs w:val="32"/>
        </w:rPr>
        <w:t>21年，机关运行经费支出</w:t>
      </w:r>
      <w:r w:rsidR="00840BB3">
        <w:rPr>
          <w:rFonts w:ascii="仿宋_GB2312" w:eastAsia="仿宋_GB2312" w:hint="eastAsia"/>
          <w:sz w:val="32"/>
          <w:szCs w:val="32"/>
        </w:rPr>
        <w:t>0万元，与</w:t>
      </w:r>
      <w:r w:rsidR="00840BB3">
        <w:rPr>
          <w:rFonts w:ascii="仿宋_GB2312" w:eastAsia="仿宋_GB2312"/>
          <w:sz w:val="32"/>
          <w:szCs w:val="32"/>
        </w:rPr>
        <w:t>20</w:t>
      </w:r>
      <w:r w:rsidR="00840BB3">
        <w:rPr>
          <w:rFonts w:ascii="仿宋_GB2312" w:eastAsia="仿宋_GB2312" w:hint="eastAsia"/>
          <w:sz w:val="32"/>
          <w:szCs w:val="32"/>
        </w:rPr>
        <w:t>20年决算数持平。</w:t>
      </w:r>
    </w:p>
    <w:p w:rsidR="00D13277" w:rsidRDefault="00A3779E" w:rsidP="00172B65">
      <w:pPr>
        <w:spacing w:line="600" w:lineRule="exact"/>
        <w:ind w:firstLineChars="200" w:firstLine="643"/>
        <w:rPr>
          <w:rFonts w:ascii="仿宋" w:eastAsia="仿宋" w:hAnsi="仿宋"/>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w:t>
      </w:r>
    </w:p>
    <w:p w:rsidR="00137935" w:rsidRPr="00137935" w:rsidRDefault="00137935" w:rsidP="00137935">
      <w:pPr>
        <w:pStyle w:val="a0"/>
        <w:spacing w:before="93"/>
      </w:pPr>
    </w:p>
    <w:p w:rsidR="00137935" w:rsidRPr="00137935" w:rsidRDefault="00A3779E" w:rsidP="00172B65">
      <w:pPr>
        <w:autoSpaceDE w:val="0"/>
        <w:autoSpaceDN w:val="0"/>
        <w:adjustRightInd w:val="0"/>
        <w:spacing w:line="600" w:lineRule="exact"/>
        <w:ind w:firstLineChars="200" w:firstLine="643"/>
        <w:jc w:val="left"/>
        <w:outlineLvl w:val="2"/>
        <w:rPr>
          <w:rFonts w:ascii="仿宋" w:eastAsia="仿宋" w:hAnsi="仿宋"/>
          <w:b/>
          <w:sz w:val="32"/>
          <w:szCs w:val="32"/>
        </w:rPr>
      </w:pPr>
      <w:bookmarkStart w:id="46" w:name="_Toc15377223"/>
      <w:r>
        <w:rPr>
          <w:rFonts w:ascii="仿宋" w:eastAsia="仿宋" w:hAnsi="仿宋" w:hint="eastAsia"/>
          <w:b/>
          <w:sz w:val="32"/>
          <w:szCs w:val="32"/>
        </w:rPr>
        <w:lastRenderedPageBreak/>
        <w:t>（二）政府采购支出情况</w:t>
      </w:r>
      <w:bookmarkEnd w:id="46"/>
    </w:p>
    <w:p w:rsidR="00D13277" w:rsidRDefault="00A3779E" w:rsidP="00172B65">
      <w:pPr>
        <w:spacing w:line="600" w:lineRule="exact"/>
        <w:ind w:firstLineChars="200" w:firstLine="640"/>
        <w:rPr>
          <w:rFonts w:ascii="仿宋_GB2312" w:eastAsia="仿宋_GB2312"/>
          <w:sz w:val="32"/>
          <w:szCs w:val="32"/>
        </w:rPr>
      </w:pPr>
      <w:r>
        <w:rPr>
          <w:rFonts w:ascii="仿宋_GB2312" w:eastAsia="仿宋_GB2312"/>
          <w:sz w:val="32"/>
          <w:szCs w:val="32"/>
        </w:rPr>
        <w:t>20</w:t>
      </w:r>
      <w:r>
        <w:rPr>
          <w:rFonts w:ascii="仿宋_GB2312" w:eastAsia="仿宋_GB2312" w:hint="eastAsia"/>
          <w:sz w:val="32"/>
          <w:szCs w:val="32"/>
        </w:rPr>
        <w:t>21年，</w:t>
      </w:r>
      <w:r w:rsidR="00840BB3">
        <w:rPr>
          <w:rFonts w:ascii="仿宋_GB2312" w:eastAsia="仿宋_GB2312" w:hint="eastAsia"/>
          <w:sz w:val="32"/>
          <w:szCs w:val="32"/>
        </w:rPr>
        <w:t>攀枝花市建设工程造价站</w:t>
      </w:r>
      <w:r>
        <w:rPr>
          <w:rFonts w:ascii="仿宋_GB2312" w:eastAsia="仿宋_GB2312" w:hint="eastAsia"/>
          <w:sz w:val="32"/>
          <w:szCs w:val="32"/>
        </w:rPr>
        <w:t>政府采购支出总额</w:t>
      </w:r>
      <w:r w:rsidR="009F7F8B">
        <w:rPr>
          <w:rFonts w:ascii="仿宋_GB2312" w:eastAsia="仿宋_GB2312" w:hint="eastAsia"/>
          <w:sz w:val="32"/>
          <w:szCs w:val="32"/>
        </w:rPr>
        <w:t>0</w:t>
      </w:r>
      <w:r>
        <w:rPr>
          <w:rFonts w:ascii="仿宋_GB2312" w:eastAsia="仿宋_GB2312" w:hint="eastAsia"/>
          <w:sz w:val="32"/>
          <w:szCs w:val="32"/>
        </w:rPr>
        <w:t>万元，其中：政府采购货物支出</w:t>
      </w:r>
      <w:r w:rsidR="009F7F8B">
        <w:rPr>
          <w:rFonts w:ascii="仿宋_GB2312" w:eastAsia="仿宋_GB2312" w:hint="eastAsia"/>
          <w:sz w:val="32"/>
          <w:szCs w:val="32"/>
        </w:rPr>
        <w:t>0</w:t>
      </w:r>
      <w:r>
        <w:rPr>
          <w:rFonts w:ascii="仿宋_GB2312" w:eastAsia="仿宋_GB2312" w:hint="eastAsia"/>
          <w:sz w:val="32"/>
          <w:szCs w:val="32"/>
        </w:rPr>
        <w:t>万元、政府采购工程支出</w:t>
      </w:r>
      <w:r w:rsidR="009F7F8B">
        <w:rPr>
          <w:rFonts w:ascii="仿宋_GB2312" w:eastAsia="仿宋_GB2312" w:hint="eastAsia"/>
          <w:sz w:val="32"/>
          <w:szCs w:val="32"/>
        </w:rPr>
        <w:t>0</w:t>
      </w:r>
      <w:r>
        <w:rPr>
          <w:rFonts w:ascii="仿宋_GB2312" w:eastAsia="仿宋_GB2312" w:hint="eastAsia"/>
          <w:sz w:val="32"/>
          <w:szCs w:val="32"/>
        </w:rPr>
        <w:t>万元、政府采购服务支出</w:t>
      </w:r>
      <w:r w:rsidR="009F7F8B">
        <w:rPr>
          <w:rFonts w:ascii="仿宋_GB2312" w:eastAsia="仿宋_GB2312" w:hint="eastAsia"/>
          <w:sz w:val="32"/>
          <w:szCs w:val="32"/>
        </w:rPr>
        <w:t>0</w:t>
      </w:r>
      <w:r>
        <w:rPr>
          <w:rFonts w:ascii="仿宋_GB2312" w:eastAsia="仿宋_GB2312" w:hint="eastAsia"/>
          <w:sz w:val="32"/>
          <w:szCs w:val="32"/>
        </w:rPr>
        <w:t>万元。授予中小企业合同金额</w:t>
      </w:r>
      <w:r w:rsidR="009F7F8B">
        <w:rPr>
          <w:rFonts w:ascii="仿宋_GB2312" w:eastAsia="仿宋_GB2312" w:hint="eastAsia"/>
          <w:sz w:val="32"/>
          <w:szCs w:val="32"/>
        </w:rPr>
        <w:t>0</w:t>
      </w:r>
      <w:r>
        <w:rPr>
          <w:rFonts w:ascii="仿宋_GB2312" w:eastAsia="仿宋_GB2312" w:hint="eastAsia"/>
          <w:sz w:val="32"/>
          <w:szCs w:val="32"/>
        </w:rPr>
        <w:t>万元，占政府采购支出总额的</w:t>
      </w:r>
      <w:r w:rsidR="009F7F8B">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，其中：授予小微企业合同金额</w:t>
      </w:r>
      <w:r w:rsidR="009F7F8B">
        <w:rPr>
          <w:rFonts w:ascii="仿宋_GB2312" w:eastAsia="仿宋_GB2312" w:hint="eastAsia"/>
          <w:sz w:val="32"/>
          <w:szCs w:val="32"/>
        </w:rPr>
        <w:t>0</w:t>
      </w:r>
      <w:r>
        <w:rPr>
          <w:rFonts w:ascii="仿宋_GB2312" w:eastAsia="仿宋_GB2312" w:hint="eastAsia"/>
          <w:sz w:val="32"/>
          <w:szCs w:val="32"/>
        </w:rPr>
        <w:t>万元，占政府采购支出总额的</w:t>
      </w:r>
      <w:r w:rsidR="009F7F8B">
        <w:rPr>
          <w:rFonts w:ascii="仿宋_GB2312" w:eastAsia="仿宋_GB2312" w:hint="eastAsia"/>
          <w:sz w:val="32"/>
          <w:szCs w:val="32"/>
        </w:rPr>
        <w:t>0</w:t>
      </w:r>
      <w:r>
        <w:rPr>
          <w:rFonts w:ascii="仿宋_GB2312" w:eastAsia="仿宋_GB2312"/>
          <w:sz w:val="32"/>
          <w:szCs w:val="32"/>
        </w:rPr>
        <w:t>%</w:t>
      </w:r>
      <w:r>
        <w:rPr>
          <w:rFonts w:ascii="仿宋_GB2312" w:eastAsia="仿宋_GB2312" w:hint="eastAsia"/>
          <w:sz w:val="32"/>
          <w:szCs w:val="32"/>
        </w:rPr>
        <w:t>。</w:t>
      </w:r>
    </w:p>
    <w:p w:rsidR="00D13277" w:rsidRDefault="00A3779E" w:rsidP="00172B65">
      <w:pPr>
        <w:spacing w:line="600" w:lineRule="exact"/>
        <w:ind w:firstLineChars="200" w:firstLine="643"/>
        <w:rPr>
          <w:rFonts w:ascii="仿宋" w:eastAsia="仿宋" w:hAnsi="仿宋"/>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w:t>
      </w:r>
    </w:p>
    <w:p w:rsidR="00D13277" w:rsidRDefault="00A3779E" w:rsidP="00172B65">
      <w:pPr>
        <w:autoSpaceDE w:val="0"/>
        <w:autoSpaceDN w:val="0"/>
        <w:adjustRightInd w:val="0"/>
        <w:spacing w:line="600" w:lineRule="exact"/>
        <w:ind w:firstLineChars="200" w:firstLine="643"/>
        <w:jc w:val="left"/>
        <w:outlineLvl w:val="2"/>
        <w:rPr>
          <w:rFonts w:ascii="仿宋" w:eastAsia="仿宋" w:hAnsi="仿宋"/>
          <w:b/>
          <w:sz w:val="32"/>
          <w:szCs w:val="32"/>
        </w:rPr>
      </w:pPr>
      <w:bookmarkStart w:id="47" w:name="_Toc15377224"/>
      <w:r>
        <w:rPr>
          <w:rFonts w:ascii="仿宋" w:eastAsia="仿宋" w:hAnsi="仿宋" w:hint="eastAsia"/>
          <w:b/>
          <w:sz w:val="32"/>
          <w:szCs w:val="32"/>
        </w:rPr>
        <w:t>（三）国有资产占有使用情况</w:t>
      </w:r>
      <w:bookmarkEnd w:id="47"/>
    </w:p>
    <w:p w:rsidR="00D13277" w:rsidRDefault="00A3779E" w:rsidP="00172B65">
      <w:pPr>
        <w:autoSpaceDE w:val="0"/>
        <w:autoSpaceDN w:val="0"/>
        <w:adjustRightInd w:val="0"/>
        <w:spacing w:line="600" w:lineRule="exact"/>
        <w:ind w:firstLineChars="200" w:firstLine="640"/>
        <w:jc w:val="left"/>
        <w:rPr>
          <w:rFonts w:ascii="仿宋_GB2312" w:eastAsia="仿宋_GB2312"/>
          <w:sz w:val="32"/>
          <w:szCs w:val="32"/>
        </w:rPr>
      </w:pPr>
      <w:r>
        <w:rPr>
          <w:rFonts w:ascii="仿宋_GB2312" w:eastAsia="仿宋_GB2312" w:hint="eastAsia"/>
          <w:sz w:val="32"/>
          <w:szCs w:val="32"/>
        </w:rPr>
        <w:t>截至</w:t>
      </w:r>
      <w:r>
        <w:rPr>
          <w:rFonts w:ascii="仿宋_GB2312" w:eastAsia="仿宋_GB2312"/>
          <w:sz w:val="32"/>
          <w:szCs w:val="32"/>
        </w:rPr>
        <w:t>20</w:t>
      </w:r>
      <w:r>
        <w:rPr>
          <w:rFonts w:ascii="仿宋_GB2312" w:eastAsia="仿宋_GB2312" w:hint="eastAsia"/>
          <w:sz w:val="32"/>
          <w:szCs w:val="32"/>
        </w:rPr>
        <w:t>21年</w:t>
      </w:r>
      <w:r>
        <w:rPr>
          <w:rFonts w:ascii="仿宋_GB2312" w:eastAsia="仿宋_GB2312"/>
          <w:sz w:val="32"/>
          <w:szCs w:val="32"/>
        </w:rPr>
        <w:t>12</w:t>
      </w:r>
      <w:r>
        <w:rPr>
          <w:rFonts w:ascii="仿宋_GB2312" w:eastAsia="仿宋_GB2312" w:hint="eastAsia"/>
          <w:sz w:val="32"/>
          <w:szCs w:val="32"/>
        </w:rPr>
        <w:t>月</w:t>
      </w:r>
      <w:r>
        <w:rPr>
          <w:rFonts w:ascii="仿宋_GB2312" w:eastAsia="仿宋_GB2312"/>
          <w:sz w:val="32"/>
          <w:szCs w:val="32"/>
        </w:rPr>
        <w:t>31</w:t>
      </w:r>
      <w:r>
        <w:rPr>
          <w:rFonts w:ascii="仿宋_GB2312" w:eastAsia="仿宋_GB2312" w:hint="eastAsia"/>
          <w:sz w:val="32"/>
          <w:szCs w:val="32"/>
        </w:rPr>
        <w:t>日，</w:t>
      </w:r>
      <w:r w:rsidR="009F7F8B">
        <w:rPr>
          <w:rFonts w:ascii="仿宋_GB2312" w:eastAsia="仿宋_GB2312" w:hint="eastAsia"/>
          <w:sz w:val="32"/>
          <w:szCs w:val="32"/>
        </w:rPr>
        <w:t>攀枝花市建设工程造价站</w:t>
      </w:r>
      <w:r>
        <w:rPr>
          <w:rFonts w:ascii="仿宋_GB2312" w:eastAsia="仿宋_GB2312" w:hint="eastAsia"/>
          <w:sz w:val="32"/>
          <w:szCs w:val="32"/>
        </w:rPr>
        <w:t>共有车辆</w:t>
      </w:r>
      <w:r w:rsidR="009F7F8B">
        <w:rPr>
          <w:rFonts w:ascii="仿宋_GB2312" w:eastAsia="仿宋_GB2312" w:hint="eastAsia"/>
          <w:sz w:val="32"/>
          <w:szCs w:val="32"/>
        </w:rPr>
        <w:t>1</w:t>
      </w:r>
      <w:r>
        <w:rPr>
          <w:rFonts w:ascii="仿宋_GB2312" w:eastAsia="仿宋_GB2312" w:hint="eastAsia"/>
          <w:sz w:val="32"/>
          <w:szCs w:val="32"/>
        </w:rPr>
        <w:t>辆，其中：主要领导干部用车</w:t>
      </w:r>
      <w:r w:rsidR="009F7F8B">
        <w:rPr>
          <w:rFonts w:ascii="仿宋_GB2312" w:eastAsia="仿宋_GB2312" w:hint="eastAsia"/>
          <w:sz w:val="32"/>
          <w:szCs w:val="32"/>
        </w:rPr>
        <w:t>0</w:t>
      </w:r>
      <w:r>
        <w:rPr>
          <w:rFonts w:ascii="仿宋_GB2312" w:eastAsia="仿宋_GB2312" w:hint="eastAsia"/>
          <w:sz w:val="32"/>
          <w:szCs w:val="32"/>
        </w:rPr>
        <w:t>辆、机要通信用车</w:t>
      </w:r>
      <w:r w:rsidR="009F7F8B">
        <w:rPr>
          <w:rFonts w:ascii="仿宋_GB2312" w:eastAsia="仿宋_GB2312" w:hint="eastAsia"/>
          <w:sz w:val="32"/>
          <w:szCs w:val="32"/>
        </w:rPr>
        <w:t>0</w:t>
      </w:r>
      <w:r>
        <w:rPr>
          <w:rFonts w:ascii="仿宋_GB2312" w:eastAsia="仿宋_GB2312" w:hint="eastAsia"/>
          <w:sz w:val="32"/>
          <w:szCs w:val="32"/>
        </w:rPr>
        <w:t>辆、应急保障用车</w:t>
      </w:r>
      <w:r w:rsidR="009F7F8B">
        <w:rPr>
          <w:rFonts w:ascii="仿宋_GB2312" w:eastAsia="仿宋_GB2312" w:hint="eastAsia"/>
          <w:sz w:val="32"/>
          <w:szCs w:val="32"/>
        </w:rPr>
        <w:t>0</w:t>
      </w:r>
      <w:r>
        <w:rPr>
          <w:rFonts w:ascii="仿宋_GB2312" w:eastAsia="仿宋_GB2312" w:hint="eastAsia"/>
          <w:sz w:val="32"/>
          <w:szCs w:val="32"/>
        </w:rPr>
        <w:t>辆、其他用车</w:t>
      </w:r>
      <w:r w:rsidR="009F7F8B">
        <w:rPr>
          <w:rFonts w:ascii="仿宋_GB2312" w:eastAsia="仿宋_GB2312" w:hint="eastAsia"/>
          <w:sz w:val="32"/>
          <w:szCs w:val="32"/>
        </w:rPr>
        <w:t>1</w:t>
      </w:r>
      <w:r>
        <w:rPr>
          <w:rFonts w:ascii="仿宋_GB2312" w:eastAsia="仿宋_GB2312" w:hint="eastAsia"/>
          <w:sz w:val="32"/>
          <w:szCs w:val="32"/>
        </w:rPr>
        <w:t>辆</w:t>
      </w:r>
      <w:r w:rsidR="009F7F8B">
        <w:rPr>
          <w:rFonts w:ascii="仿宋_GB2312" w:eastAsia="仿宋_GB2312" w:hint="eastAsia"/>
          <w:sz w:val="32"/>
          <w:szCs w:val="32"/>
        </w:rPr>
        <w:t>，</w:t>
      </w:r>
      <w:r>
        <w:rPr>
          <w:rFonts w:ascii="仿宋_GB2312" w:eastAsia="仿宋_GB2312" w:hint="eastAsia"/>
          <w:sz w:val="32"/>
          <w:szCs w:val="32"/>
        </w:rPr>
        <w:t>其他用车主要是用于</w:t>
      </w:r>
      <w:r w:rsidR="009F7F8B">
        <w:rPr>
          <w:rFonts w:ascii="仿宋_GB2312" w:eastAsia="仿宋_GB2312" w:hint="eastAsia"/>
          <w:sz w:val="32"/>
          <w:szCs w:val="32"/>
        </w:rPr>
        <w:t>保障单位日常用车及建筑业材料和人工费价格采集等相关工作用车。</w:t>
      </w:r>
      <w:r>
        <w:rPr>
          <w:rFonts w:ascii="仿宋_GB2312" w:eastAsia="仿宋_GB2312" w:hint="eastAsia"/>
          <w:sz w:val="32"/>
          <w:szCs w:val="32"/>
        </w:rPr>
        <w:t>单价</w:t>
      </w:r>
      <w:r>
        <w:rPr>
          <w:rFonts w:ascii="仿宋_GB2312" w:eastAsia="仿宋_GB2312"/>
          <w:sz w:val="32"/>
          <w:szCs w:val="32"/>
        </w:rPr>
        <w:t>50</w:t>
      </w:r>
      <w:r>
        <w:rPr>
          <w:rFonts w:ascii="仿宋_GB2312" w:eastAsia="仿宋_GB2312" w:hint="eastAsia"/>
          <w:sz w:val="32"/>
          <w:szCs w:val="32"/>
        </w:rPr>
        <w:t>万元以上通用设备</w:t>
      </w:r>
      <w:r w:rsidR="009F7F8B">
        <w:rPr>
          <w:rFonts w:ascii="仿宋_GB2312" w:eastAsia="仿宋_GB2312" w:hint="eastAsia"/>
          <w:sz w:val="32"/>
          <w:szCs w:val="32"/>
        </w:rPr>
        <w:t>0</w:t>
      </w:r>
      <w:r>
        <w:rPr>
          <w:rFonts w:ascii="仿宋_GB2312" w:eastAsia="仿宋_GB2312" w:hint="eastAsia"/>
          <w:sz w:val="32"/>
          <w:szCs w:val="32"/>
        </w:rPr>
        <w:t>台（套），单价</w:t>
      </w:r>
      <w:r>
        <w:rPr>
          <w:rFonts w:ascii="仿宋_GB2312" w:eastAsia="仿宋_GB2312"/>
          <w:sz w:val="32"/>
          <w:szCs w:val="32"/>
        </w:rPr>
        <w:t>100</w:t>
      </w:r>
      <w:r>
        <w:rPr>
          <w:rFonts w:ascii="仿宋_GB2312" w:eastAsia="仿宋_GB2312" w:hint="eastAsia"/>
          <w:sz w:val="32"/>
          <w:szCs w:val="32"/>
        </w:rPr>
        <w:t>万元以上专用设备</w:t>
      </w:r>
      <w:r w:rsidR="009F7F8B">
        <w:rPr>
          <w:rFonts w:ascii="仿宋_GB2312" w:eastAsia="仿宋_GB2312" w:hint="eastAsia"/>
          <w:sz w:val="32"/>
          <w:szCs w:val="32"/>
        </w:rPr>
        <w:t>0</w:t>
      </w:r>
      <w:r>
        <w:rPr>
          <w:rFonts w:ascii="仿宋_GB2312" w:eastAsia="仿宋_GB2312" w:hint="eastAsia"/>
          <w:sz w:val="32"/>
          <w:szCs w:val="32"/>
        </w:rPr>
        <w:t>台（套）。</w:t>
      </w:r>
    </w:p>
    <w:p w:rsidR="00D13277" w:rsidRDefault="00A3779E" w:rsidP="00172B65">
      <w:pPr>
        <w:autoSpaceDE w:val="0"/>
        <w:autoSpaceDN w:val="0"/>
        <w:adjustRightInd w:val="0"/>
        <w:spacing w:line="600" w:lineRule="exact"/>
        <w:ind w:firstLineChars="200" w:firstLine="643"/>
        <w:jc w:val="left"/>
        <w:rPr>
          <w:rFonts w:ascii="仿宋" w:eastAsia="仿宋" w:hAnsi="仿宋"/>
          <w:b/>
          <w:sz w:val="32"/>
          <w:szCs w:val="32"/>
        </w:rPr>
      </w:pPr>
      <w:r>
        <w:rPr>
          <w:rFonts w:ascii="仿宋" w:eastAsia="仿宋" w:hAnsi="仿宋" w:hint="eastAsia"/>
          <w:b/>
          <w:sz w:val="32"/>
          <w:szCs w:val="32"/>
        </w:rPr>
        <w:t>（注：数据来源于财决附</w:t>
      </w:r>
      <w:r>
        <w:rPr>
          <w:rFonts w:ascii="仿宋" w:eastAsia="仿宋" w:hAnsi="仿宋"/>
          <w:b/>
          <w:sz w:val="32"/>
          <w:szCs w:val="32"/>
        </w:rPr>
        <w:t>03</w:t>
      </w:r>
      <w:r>
        <w:rPr>
          <w:rFonts w:ascii="仿宋" w:eastAsia="仿宋" w:hAnsi="仿宋" w:hint="eastAsia"/>
          <w:b/>
          <w:sz w:val="32"/>
          <w:szCs w:val="32"/>
        </w:rPr>
        <w:t>表，按单位决算报表填报数据罗列车辆情况。）</w:t>
      </w:r>
    </w:p>
    <w:p w:rsidR="00D13277" w:rsidRDefault="00A3779E" w:rsidP="00172B65">
      <w:pPr>
        <w:autoSpaceDE w:val="0"/>
        <w:autoSpaceDN w:val="0"/>
        <w:adjustRightInd w:val="0"/>
        <w:spacing w:line="600" w:lineRule="exact"/>
        <w:ind w:firstLineChars="200" w:firstLine="643"/>
        <w:jc w:val="left"/>
        <w:outlineLvl w:val="2"/>
        <w:rPr>
          <w:rFonts w:ascii="仿宋" w:eastAsia="仿宋" w:hAnsi="仿宋"/>
          <w:b/>
          <w:sz w:val="32"/>
          <w:szCs w:val="32"/>
        </w:rPr>
      </w:pPr>
      <w:r>
        <w:rPr>
          <w:rFonts w:ascii="仿宋" w:eastAsia="仿宋" w:hAnsi="仿宋" w:hint="eastAsia"/>
          <w:b/>
          <w:sz w:val="32"/>
          <w:szCs w:val="32"/>
        </w:rPr>
        <w:t>（四）预算绩效管理情况</w:t>
      </w:r>
    </w:p>
    <w:p w:rsidR="00D13277" w:rsidRDefault="00A3779E" w:rsidP="00172B65">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根据预算绩效管理要求，本单位在2021年度预算编制阶段，组织对</w:t>
      </w:r>
      <w:r w:rsidR="009F7F8B">
        <w:rPr>
          <w:rFonts w:ascii="仿宋_GB2312" w:eastAsia="仿宋_GB2312" w:hAnsi="仿宋_GB2312" w:cs="仿宋_GB2312" w:hint="eastAsia"/>
          <w:sz w:val="32"/>
          <w:szCs w:val="32"/>
        </w:rPr>
        <w:t>建筑业价格调查经费</w:t>
      </w:r>
      <w:r>
        <w:rPr>
          <w:rFonts w:ascii="仿宋_GB2312" w:eastAsia="仿宋_GB2312" w:hAnsi="仿宋_GB2312" w:cs="仿宋_GB2312" w:hint="eastAsia"/>
          <w:sz w:val="32"/>
          <w:szCs w:val="32"/>
        </w:rPr>
        <w:t>等</w:t>
      </w:r>
      <w:r w:rsidR="009F7F8B">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个项目开展了预算事前绩效评估，对</w:t>
      </w:r>
      <w:r w:rsidR="009F7F8B">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个项目编制了绩效目标，预算执行过程中，选取</w:t>
      </w:r>
      <w:r w:rsidR="009F7F8B">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个项目开展绩效监控，年终执行完毕后，对</w:t>
      </w:r>
      <w:r w:rsidR="009F7F8B">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个项目开展了绩效自评，2021年特定目标类部门预算项目绩效目标自评表见附件（第四部分）。</w:t>
      </w:r>
    </w:p>
    <w:p w:rsidR="00137935" w:rsidRPr="00137935" w:rsidRDefault="00137935" w:rsidP="00137935">
      <w:pPr>
        <w:pStyle w:val="a0"/>
        <w:spacing w:before="93"/>
      </w:pPr>
    </w:p>
    <w:p w:rsidR="00D13277" w:rsidRDefault="00A3779E" w:rsidP="00172B65">
      <w:pPr>
        <w:autoSpaceDE w:val="0"/>
        <w:autoSpaceDN w:val="0"/>
        <w:adjustRightInd w:val="0"/>
        <w:spacing w:line="600" w:lineRule="exact"/>
        <w:ind w:firstLineChars="200" w:firstLine="643"/>
        <w:rPr>
          <w:rFonts w:ascii="仿宋" w:eastAsia="仿宋" w:hAnsi="仿宋"/>
          <w:b/>
          <w:sz w:val="32"/>
          <w:szCs w:val="32"/>
        </w:rPr>
      </w:pPr>
      <w:r>
        <w:rPr>
          <w:rFonts w:ascii="仿宋" w:eastAsia="仿宋" w:hAnsi="仿宋" w:hint="eastAsia"/>
          <w:b/>
          <w:sz w:val="32"/>
          <w:szCs w:val="32"/>
        </w:rPr>
        <w:t>（注：单位</w:t>
      </w:r>
      <w:r>
        <w:rPr>
          <w:rFonts w:ascii="仿宋_GB2312" w:eastAsia="仿宋_GB2312" w:hAnsi="仿宋_GB2312" w:cs="仿宋_GB2312" w:hint="eastAsia"/>
          <w:b/>
          <w:sz w:val="32"/>
          <w:szCs w:val="32"/>
        </w:rPr>
        <w:t>2021年特定目标类部门预算项目绩效目标自评表为本部门2021年部门整体支出绩效评价报告中涉及本单位的附表</w:t>
      </w:r>
      <w:r>
        <w:rPr>
          <w:rFonts w:ascii="仿宋" w:eastAsia="仿宋" w:hAnsi="仿宋" w:hint="eastAsia"/>
          <w:b/>
          <w:sz w:val="32"/>
          <w:szCs w:val="32"/>
        </w:rPr>
        <w:t>）</w:t>
      </w:r>
    </w:p>
    <w:p w:rsidR="00D13277" w:rsidRDefault="00D13277" w:rsidP="008D4C40">
      <w:pPr>
        <w:pStyle w:val="a0"/>
        <w:spacing w:before="93"/>
        <w:rPr>
          <w:highlight w:val="yellow"/>
        </w:rPr>
      </w:pPr>
    </w:p>
    <w:p w:rsidR="00D13277" w:rsidRDefault="00A3779E">
      <w:pPr>
        <w:widowControl/>
        <w:jc w:val="left"/>
        <w:rPr>
          <w:rFonts w:ascii="仿宋_GB2312" w:eastAsia="仿宋_GB2312"/>
          <w:b/>
          <w:sz w:val="32"/>
          <w:szCs w:val="32"/>
        </w:rPr>
      </w:pPr>
      <w:r>
        <w:rPr>
          <w:rFonts w:ascii="仿宋_GB2312" w:eastAsia="仿宋_GB2312"/>
          <w:b/>
          <w:sz w:val="32"/>
          <w:szCs w:val="32"/>
        </w:rPr>
        <w:br w:type="page"/>
      </w:r>
    </w:p>
    <w:p w:rsidR="00D13277" w:rsidRDefault="00A3779E" w:rsidP="00172B65">
      <w:pPr>
        <w:numPr>
          <w:ilvl w:val="0"/>
          <w:numId w:val="3"/>
        </w:numPr>
        <w:spacing w:line="600" w:lineRule="exact"/>
        <w:ind w:firstLineChars="150" w:firstLine="660"/>
        <w:jc w:val="center"/>
        <w:outlineLvl w:val="0"/>
        <w:rPr>
          <w:rStyle w:val="1Char"/>
          <w:rFonts w:ascii="黑体" w:eastAsia="黑体" w:hAnsi="黑体"/>
          <w:b w:val="0"/>
        </w:rPr>
      </w:pPr>
      <w:bookmarkStart w:id="48" w:name="_Toc15396613"/>
      <w:bookmarkStart w:id="49" w:name="_Toc15377225"/>
      <w:r>
        <w:rPr>
          <w:rFonts w:ascii="黑体" w:eastAsia="黑体" w:hAnsi="黑体" w:hint="eastAsia"/>
          <w:sz w:val="44"/>
          <w:szCs w:val="44"/>
        </w:rPr>
        <w:lastRenderedPageBreak/>
        <w:t>名</w:t>
      </w:r>
      <w:r>
        <w:rPr>
          <w:rStyle w:val="1Char"/>
          <w:rFonts w:ascii="黑体" w:eastAsia="黑体" w:hAnsi="黑体" w:hint="eastAsia"/>
          <w:b w:val="0"/>
        </w:rPr>
        <w:t>词解释</w:t>
      </w:r>
      <w:bookmarkEnd w:id="48"/>
      <w:bookmarkEnd w:id="49"/>
    </w:p>
    <w:p w:rsidR="00D13277" w:rsidRDefault="00D13277">
      <w:pPr>
        <w:spacing w:line="600" w:lineRule="exact"/>
        <w:jc w:val="left"/>
        <w:rPr>
          <w:rFonts w:ascii="宋体"/>
          <w:b/>
          <w:sz w:val="44"/>
          <w:szCs w:val="44"/>
        </w:rPr>
      </w:pP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1.</w:t>
      </w:r>
      <w:r>
        <w:rPr>
          <w:rFonts w:ascii="仿宋_GB2312" w:eastAsia="仿宋_GB2312" w:hint="eastAsia"/>
          <w:color w:val="auto"/>
          <w:sz w:val="32"/>
          <w:szCs w:val="32"/>
        </w:rPr>
        <w:t>财政拨款收入：指单位从同级财政部门取得的财政预算资金。</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2.</w:t>
      </w:r>
      <w:r>
        <w:rPr>
          <w:rFonts w:ascii="仿宋_GB2312" w:eastAsia="仿宋_GB2312" w:hint="eastAsia"/>
          <w:color w:val="auto"/>
          <w:sz w:val="32"/>
          <w:szCs w:val="32"/>
        </w:rPr>
        <w:t>事业收入：指事业单位开展专业业务活动及辅助活动取得的收入。如…（二级预算单位事业收入情况）等。</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3.</w:t>
      </w:r>
      <w:r>
        <w:rPr>
          <w:rFonts w:ascii="仿宋_GB2312" w:eastAsia="仿宋_GB2312" w:hint="eastAsia"/>
          <w:color w:val="auto"/>
          <w:sz w:val="32"/>
          <w:szCs w:val="32"/>
        </w:rPr>
        <w:t>经营收入：指事业单位在专业业务活动及其辅助活动之外开展非独立核算经营活动取得的收入。如…（二级预算单位经营收入情况）等。</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4.</w:t>
      </w:r>
      <w:r>
        <w:rPr>
          <w:rFonts w:ascii="仿宋_GB2312" w:eastAsia="仿宋_GB2312" w:hint="eastAsia"/>
          <w:color w:val="auto"/>
          <w:sz w:val="32"/>
          <w:szCs w:val="32"/>
        </w:rPr>
        <w:t>其他收入：指单位取得的除上述收入以外的各项收入。主要是…（收入类型）等。</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5.</w:t>
      </w:r>
      <w:r>
        <w:rPr>
          <w:rFonts w:ascii="仿宋_GB2312" w:eastAsia="仿宋_GB2312" w:hint="eastAsia"/>
          <w:color w:val="auto"/>
          <w:sz w:val="32"/>
          <w:szCs w:val="32"/>
        </w:rPr>
        <w:t>使用非财政拨款结余：指事业单位使用以前年度积累的非财政拨款结余弥补当年收支差额的金额。</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6.</w:t>
      </w:r>
      <w:r>
        <w:rPr>
          <w:rFonts w:ascii="仿宋_GB2312" w:eastAsia="仿宋_GB2312" w:hint="eastAsia"/>
          <w:color w:val="auto"/>
          <w:sz w:val="32"/>
          <w:szCs w:val="32"/>
        </w:rPr>
        <w:t>年初结转和结余：指以前年度尚未完成、结转到本年按有关规定继续使用的资金。</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7.</w:t>
      </w:r>
      <w:r>
        <w:rPr>
          <w:rFonts w:ascii="仿宋_GB2312" w:eastAsia="仿宋_GB2312" w:hint="eastAsia"/>
          <w:color w:val="auto"/>
          <w:sz w:val="32"/>
          <w:szCs w:val="32"/>
        </w:rPr>
        <w:t>结余分配：指事业单位按照会计制度规定缴纳的所得税、提取的专用结余以及转入非财政拨款结余的金额等。</w:t>
      </w:r>
    </w:p>
    <w:p w:rsidR="00D13277" w:rsidRDefault="00A3779E" w:rsidP="00172B65">
      <w:pPr>
        <w:pStyle w:val="Default"/>
        <w:spacing w:line="560" w:lineRule="exact"/>
        <w:ind w:firstLineChars="200" w:firstLine="640"/>
        <w:rPr>
          <w:rFonts w:ascii="仿宋_GB2312" w:eastAsia="仿宋_GB2312"/>
          <w:color w:val="auto"/>
          <w:sz w:val="32"/>
          <w:szCs w:val="32"/>
        </w:rPr>
      </w:pPr>
      <w:r>
        <w:rPr>
          <w:rFonts w:ascii="仿宋_GB2312" w:eastAsia="仿宋_GB2312"/>
          <w:color w:val="auto"/>
          <w:sz w:val="32"/>
          <w:szCs w:val="32"/>
        </w:rPr>
        <w:t>8</w:t>
      </w:r>
      <w:r>
        <w:rPr>
          <w:rFonts w:ascii="仿宋_GB2312" w:eastAsia="仿宋_GB2312" w:hint="eastAsia"/>
          <w:color w:val="auto"/>
          <w:sz w:val="32"/>
          <w:szCs w:val="32"/>
        </w:rPr>
        <w:t>、年末结转和结余：指单位按有关规定结转到下年或以后年度继续使用的资金。</w:t>
      </w:r>
    </w:p>
    <w:p w:rsidR="0066044B" w:rsidRDefault="00A3779E" w:rsidP="00172B65">
      <w:pPr>
        <w:spacing w:line="640" w:lineRule="exact"/>
        <w:ind w:firstLineChars="200" w:firstLine="640"/>
        <w:rPr>
          <w:rStyle w:val="a7"/>
          <w:rFonts w:ascii="仿宋" w:eastAsia="仿宋" w:hAnsi="仿宋"/>
          <w:b w:val="0"/>
          <w:bCs/>
          <w:color w:val="000000"/>
          <w:sz w:val="32"/>
          <w:szCs w:val="32"/>
        </w:rPr>
      </w:pPr>
      <w:r>
        <w:rPr>
          <w:rFonts w:ascii="仿宋_GB2312" w:eastAsia="仿宋_GB2312"/>
          <w:sz w:val="32"/>
          <w:szCs w:val="32"/>
        </w:rPr>
        <w:t>9.</w:t>
      </w:r>
      <w:r w:rsidR="0066044B" w:rsidRPr="0066044B">
        <w:rPr>
          <w:rFonts w:ascii="仿宋" w:eastAsia="仿宋" w:hAnsi="仿宋" w:hint="eastAsia"/>
          <w:color w:val="000000"/>
          <w:sz w:val="32"/>
          <w:szCs w:val="32"/>
        </w:rPr>
        <w:t xml:space="preserve"> </w:t>
      </w:r>
      <w:r w:rsidR="0066044B" w:rsidRPr="00B975A6">
        <w:rPr>
          <w:rFonts w:ascii="仿宋" w:eastAsia="仿宋" w:hAnsi="仿宋" w:hint="eastAsia"/>
          <w:color w:val="000000"/>
          <w:sz w:val="32"/>
          <w:szCs w:val="32"/>
        </w:rPr>
        <w:t>社会保障和就业（类）</w:t>
      </w:r>
      <w:r w:rsidR="0066044B" w:rsidRPr="00B975A6">
        <w:rPr>
          <w:rStyle w:val="a7"/>
          <w:rFonts w:ascii="仿宋" w:eastAsia="仿宋" w:hAnsi="仿宋" w:hint="eastAsia"/>
          <w:bCs/>
          <w:color w:val="000000"/>
          <w:sz w:val="32"/>
          <w:szCs w:val="32"/>
        </w:rPr>
        <w:t>行政事业单位养老（款）事业单位离退休（项）：</w:t>
      </w:r>
      <w:r w:rsidR="0066044B">
        <w:rPr>
          <w:rStyle w:val="a7"/>
          <w:rFonts w:ascii="仿宋" w:eastAsia="仿宋" w:hAnsi="仿宋" w:hint="eastAsia"/>
          <w:bCs/>
          <w:color w:val="000000"/>
          <w:sz w:val="32"/>
          <w:szCs w:val="32"/>
        </w:rPr>
        <w:t>指</w:t>
      </w:r>
      <w:r w:rsidR="0066044B" w:rsidRPr="00B975A6">
        <w:rPr>
          <w:rStyle w:val="a7"/>
          <w:rFonts w:ascii="仿宋" w:eastAsia="仿宋" w:hAnsi="仿宋" w:hint="eastAsia"/>
          <w:bCs/>
          <w:color w:val="000000"/>
          <w:sz w:val="32"/>
          <w:szCs w:val="32"/>
        </w:rPr>
        <w:t>反映事业单位开支的离退休经费。</w:t>
      </w:r>
    </w:p>
    <w:p w:rsidR="0066044B" w:rsidRPr="00B975A6" w:rsidRDefault="0066044B" w:rsidP="00172B65">
      <w:pPr>
        <w:spacing w:line="640" w:lineRule="exact"/>
        <w:ind w:firstLineChars="200" w:firstLine="640"/>
        <w:rPr>
          <w:rFonts w:ascii="仿宋" w:eastAsia="仿宋" w:hAnsi="仿宋"/>
          <w:sz w:val="32"/>
          <w:szCs w:val="32"/>
        </w:rPr>
      </w:pPr>
      <w:r>
        <w:rPr>
          <w:rFonts w:ascii="仿宋" w:eastAsia="仿宋" w:hAnsi="仿宋" w:hint="eastAsia"/>
          <w:color w:val="000000"/>
          <w:sz w:val="32"/>
          <w:szCs w:val="32"/>
        </w:rPr>
        <w:t>10.社会保障和就业（类）</w:t>
      </w:r>
      <w:r w:rsidRPr="00B975A6">
        <w:rPr>
          <w:rStyle w:val="a7"/>
          <w:rFonts w:ascii="仿宋" w:eastAsia="仿宋" w:hAnsi="仿宋" w:hint="eastAsia"/>
          <w:bCs/>
          <w:color w:val="000000"/>
          <w:sz w:val="32"/>
          <w:szCs w:val="32"/>
        </w:rPr>
        <w:t>行政事业单位养老（款）</w:t>
      </w:r>
      <w:r w:rsidRPr="00B975A6">
        <w:rPr>
          <w:rFonts w:ascii="仿宋" w:eastAsia="仿宋" w:hAnsi="仿宋" w:hint="eastAsia"/>
          <w:color w:val="000000"/>
          <w:sz w:val="32"/>
          <w:szCs w:val="32"/>
        </w:rPr>
        <w:t>机关事业单位基本养老保险缴费支出（项）：指反映机关事业单位实施养老保险制度由单位缴纳的基本养老保险费支出。</w:t>
      </w:r>
    </w:p>
    <w:p w:rsidR="0066044B" w:rsidRPr="00B975A6" w:rsidRDefault="0066044B" w:rsidP="00172B65">
      <w:pPr>
        <w:spacing w:line="640" w:lineRule="exact"/>
        <w:ind w:firstLineChars="200" w:firstLine="640"/>
        <w:rPr>
          <w:rStyle w:val="a7"/>
          <w:rFonts w:ascii="仿宋" w:eastAsia="仿宋" w:hAnsi="仿宋"/>
          <w:b w:val="0"/>
          <w:sz w:val="32"/>
          <w:szCs w:val="32"/>
        </w:rPr>
      </w:pPr>
      <w:r w:rsidRPr="00B975A6">
        <w:rPr>
          <w:rFonts w:ascii="仿宋" w:eastAsia="仿宋" w:hAnsi="仿宋" w:hint="eastAsia"/>
          <w:color w:val="000000"/>
          <w:sz w:val="32"/>
          <w:szCs w:val="32"/>
        </w:rPr>
        <w:lastRenderedPageBreak/>
        <w:t>1</w:t>
      </w:r>
      <w:r>
        <w:rPr>
          <w:rFonts w:ascii="仿宋" w:eastAsia="仿宋" w:hAnsi="仿宋" w:hint="eastAsia"/>
          <w:color w:val="000000"/>
          <w:sz w:val="32"/>
          <w:szCs w:val="32"/>
        </w:rPr>
        <w:t>1.</w:t>
      </w:r>
      <w:r w:rsidRPr="00B975A6">
        <w:rPr>
          <w:rStyle w:val="a7"/>
          <w:rFonts w:ascii="仿宋" w:eastAsia="仿宋" w:hAnsi="仿宋" w:hint="eastAsia"/>
          <w:bCs/>
          <w:color w:val="000000"/>
          <w:sz w:val="32"/>
          <w:szCs w:val="32"/>
        </w:rPr>
        <w:t xml:space="preserve">城乡社区支出（类）城乡社区管理事务（款）其他城乡社区管理事务（项）: </w:t>
      </w:r>
      <w:r>
        <w:rPr>
          <w:rFonts w:ascii="仿宋" w:eastAsia="仿宋" w:hAnsi="仿宋" w:hint="eastAsia"/>
          <w:sz w:val="32"/>
          <w:szCs w:val="32"/>
        </w:rPr>
        <w:t>指</w:t>
      </w:r>
      <w:r w:rsidRPr="00B975A6">
        <w:rPr>
          <w:rFonts w:ascii="仿宋" w:eastAsia="仿宋" w:hAnsi="仿宋" w:hint="eastAsia"/>
          <w:sz w:val="32"/>
          <w:szCs w:val="32"/>
        </w:rPr>
        <w:t>其他用于城乡社区管理事务方面的支出。</w:t>
      </w:r>
    </w:p>
    <w:p w:rsidR="0066044B" w:rsidRPr="00B975A6" w:rsidRDefault="0066044B" w:rsidP="00172B65">
      <w:pPr>
        <w:spacing w:line="640" w:lineRule="exact"/>
        <w:ind w:firstLineChars="200" w:firstLine="643"/>
        <w:rPr>
          <w:rFonts w:ascii="仿宋" w:eastAsia="仿宋" w:hAnsi="仿宋"/>
          <w:bCs/>
          <w:color w:val="000000"/>
          <w:sz w:val="32"/>
          <w:szCs w:val="32"/>
        </w:rPr>
      </w:pPr>
      <w:r w:rsidRPr="00B975A6">
        <w:rPr>
          <w:rStyle w:val="a7"/>
          <w:rFonts w:ascii="仿宋" w:eastAsia="仿宋" w:hAnsi="仿宋" w:hint="eastAsia"/>
          <w:bCs/>
          <w:color w:val="000000"/>
          <w:sz w:val="32"/>
          <w:szCs w:val="32"/>
        </w:rPr>
        <w:t>1</w:t>
      </w:r>
      <w:r>
        <w:rPr>
          <w:rStyle w:val="a7"/>
          <w:rFonts w:ascii="仿宋" w:eastAsia="仿宋" w:hAnsi="仿宋" w:hint="eastAsia"/>
          <w:bCs/>
          <w:color w:val="000000"/>
          <w:sz w:val="32"/>
          <w:szCs w:val="32"/>
        </w:rPr>
        <w:t>2</w:t>
      </w:r>
      <w:r w:rsidRPr="00B975A6">
        <w:rPr>
          <w:rStyle w:val="a7"/>
          <w:rFonts w:ascii="仿宋" w:eastAsia="仿宋" w:hAnsi="仿宋" w:hint="eastAsia"/>
          <w:bCs/>
          <w:color w:val="000000"/>
          <w:sz w:val="32"/>
          <w:szCs w:val="32"/>
        </w:rPr>
        <w:t xml:space="preserve">.住房保障支出（类）住房改革（款）住房公积金（项）: </w:t>
      </w:r>
      <w:r>
        <w:rPr>
          <w:rStyle w:val="a7"/>
          <w:rFonts w:ascii="仿宋" w:eastAsia="仿宋" w:hAnsi="仿宋" w:hint="eastAsia"/>
          <w:bCs/>
          <w:color w:val="000000"/>
          <w:sz w:val="32"/>
          <w:szCs w:val="32"/>
        </w:rPr>
        <w:t>指</w:t>
      </w:r>
      <w:r w:rsidRPr="00B975A6">
        <w:rPr>
          <w:rFonts w:ascii="仿宋" w:eastAsia="仿宋" w:hAnsi="仿宋" w:hint="eastAsia"/>
          <w:sz w:val="32"/>
          <w:szCs w:val="32"/>
        </w:rPr>
        <w:t>反映行政事业单位按人力资源和社会保障部、财政部规定的基本工资和津贴补贴以及规定比例为职工缴纳的住房公积金。</w:t>
      </w:r>
    </w:p>
    <w:p w:rsidR="00D13277" w:rsidRDefault="0066044B" w:rsidP="00172B65">
      <w:pPr>
        <w:ind w:firstLineChars="200" w:firstLine="640"/>
        <w:rPr>
          <w:rFonts w:ascii="仿宋_GB2312" w:eastAsia="仿宋_GB2312"/>
          <w:sz w:val="32"/>
          <w:szCs w:val="32"/>
        </w:rPr>
      </w:pPr>
      <w:r>
        <w:rPr>
          <w:rFonts w:ascii="仿宋_GB2312" w:eastAsia="仿宋_GB2312" w:hint="eastAsia"/>
          <w:sz w:val="32"/>
          <w:szCs w:val="32"/>
        </w:rPr>
        <w:t>13</w:t>
      </w:r>
      <w:r w:rsidR="00A3779E">
        <w:rPr>
          <w:rFonts w:ascii="仿宋_GB2312" w:eastAsia="仿宋_GB2312"/>
          <w:sz w:val="32"/>
          <w:szCs w:val="32"/>
        </w:rPr>
        <w:t>.</w:t>
      </w:r>
      <w:r w:rsidR="00A3779E">
        <w:rPr>
          <w:rFonts w:ascii="仿宋_GB2312" w:eastAsia="仿宋_GB2312" w:hint="eastAsia"/>
          <w:sz w:val="32"/>
          <w:szCs w:val="32"/>
        </w:rPr>
        <w:t>基本支出：指为保障机构正常运转、完成日常工作任务而发生的人员支出和公用支出。</w:t>
      </w:r>
    </w:p>
    <w:p w:rsidR="00D13277" w:rsidRDefault="0066044B" w:rsidP="00172B65">
      <w:pPr>
        <w:ind w:firstLineChars="200" w:firstLine="640"/>
        <w:rPr>
          <w:rFonts w:ascii="仿宋_GB2312" w:eastAsia="仿宋_GB2312"/>
          <w:sz w:val="32"/>
          <w:szCs w:val="32"/>
        </w:rPr>
      </w:pPr>
      <w:r>
        <w:rPr>
          <w:rFonts w:ascii="仿宋_GB2312" w:eastAsia="仿宋_GB2312" w:hint="eastAsia"/>
          <w:sz w:val="32"/>
          <w:szCs w:val="32"/>
        </w:rPr>
        <w:t>14</w:t>
      </w:r>
      <w:r w:rsidR="00A3779E">
        <w:rPr>
          <w:rFonts w:ascii="仿宋_GB2312" w:eastAsia="仿宋_GB2312"/>
          <w:sz w:val="32"/>
          <w:szCs w:val="32"/>
        </w:rPr>
        <w:t>.</w:t>
      </w:r>
      <w:r w:rsidR="00A3779E">
        <w:rPr>
          <w:rFonts w:ascii="仿宋_GB2312" w:eastAsia="仿宋_GB2312" w:hint="eastAsia"/>
          <w:sz w:val="32"/>
          <w:szCs w:val="32"/>
        </w:rPr>
        <w:t>项目支出：指在基本支出之外为完成特定行政任务和事业发展目标所发生的支出。</w:t>
      </w:r>
    </w:p>
    <w:p w:rsidR="00D13277" w:rsidRDefault="0066044B" w:rsidP="00172B65">
      <w:pPr>
        <w:ind w:firstLineChars="200" w:firstLine="640"/>
        <w:rPr>
          <w:rFonts w:ascii="仿宋_GB2312" w:eastAsia="仿宋_GB2312"/>
          <w:sz w:val="32"/>
          <w:szCs w:val="32"/>
        </w:rPr>
      </w:pPr>
      <w:r>
        <w:rPr>
          <w:rFonts w:ascii="仿宋_GB2312" w:eastAsia="仿宋_GB2312" w:hint="eastAsia"/>
          <w:sz w:val="32"/>
          <w:szCs w:val="32"/>
        </w:rPr>
        <w:t>15</w:t>
      </w:r>
      <w:r w:rsidR="00A3779E">
        <w:rPr>
          <w:rFonts w:ascii="仿宋_GB2312" w:eastAsia="仿宋_GB2312"/>
          <w:sz w:val="32"/>
          <w:szCs w:val="32"/>
        </w:rPr>
        <w:t>.</w:t>
      </w:r>
      <w:r w:rsidR="00A3779E">
        <w:rPr>
          <w:rFonts w:ascii="仿宋_GB2312" w:eastAsia="仿宋_GB2312" w:hint="eastAsia"/>
          <w:sz w:val="32"/>
          <w:szCs w:val="32"/>
        </w:rPr>
        <w:t>经营支出：指事业单位在专业业务活动及其辅助活动之外开展非独立核算经营活动发生的支出。</w:t>
      </w:r>
    </w:p>
    <w:p w:rsidR="00D13277" w:rsidRDefault="0066044B" w:rsidP="00172B65">
      <w:pPr>
        <w:pStyle w:val="Default"/>
        <w:spacing w:line="56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16</w:t>
      </w:r>
      <w:r w:rsidR="00A3779E">
        <w:rPr>
          <w:rFonts w:ascii="仿宋_GB2312" w:eastAsia="仿宋_GB2312"/>
          <w:color w:val="auto"/>
          <w:sz w:val="32"/>
          <w:szCs w:val="32"/>
        </w:rPr>
        <w:t>.</w:t>
      </w:r>
      <w:r w:rsidR="00A3779E">
        <w:rPr>
          <w:rFonts w:ascii="仿宋_GB2312" w:eastAsia="仿宋_GB2312" w:hint="eastAsia"/>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D13277" w:rsidRDefault="0066044B" w:rsidP="00172B65">
      <w:pPr>
        <w:pStyle w:val="Default"/>
        <w:spacing w:line="560" w:lineRule="exact"/>
        <w:ind w:firstLineChars="200" w:firstLine="640"/>
        <w:rPr>
          <w:rFonts w:ascii="仿宋_GB2312" w:eastAsia="仿宋_GB2312"/>
          <w:color w:val="auto"/>
          <w:sz w:val="32"/>
          <w:szCs w:val="32"/>
        </w:rPr>
      </w:pPr>
      <w:r>
        <w:rPr>
          <w:rFonts w:ascii="仿宋_GB2312" w:eastAsia="仿宋_GB2312" w:hint="eastAsia"/>
          <w:color w:val="auto"/>
          <w:sz w:val="32"/>
          <w:szCs w:val="32"/>
        </w:rPr>
        <w:t>17</w:t>
      </w:r>
      <w:r w:rsidR="00A3779E">
        <w:rPr>
          <w:rFonts w:ascii="仿宋_GB2312" w:eastAsia="仿宋_GB2312"/>
          <w:color w:val="auto"/>
          <w:sz w:val="32"/>
          <w:szCs w:val="32"/>
        </w:rPr>
        <w:t>.</w:t>
      </w:r>
      <w:r w:rsidR="00A3779E">
        <w:rPr>
          <w:rFonts w:ascii="仿宋_GB2312" w:eastAsia="仿宋_GB2312" w:hint="eastAsia"/>
          <w:color w:val="auto"/>
          <w:sz w:val="32"/>
          <w:szCs w:val="32"/>
        </w:rPr>
        <w:t>机关运行经费：为保障行政单位（含参照公务员法管理的事业单位）运行用于购买货物和服务的各项资金，包</w:t>
      </w:r>
      <w:r w:rsidR="00A3779E">
        <w:rPr>
          <w:rFonts w:ascii="仿宋_GB2312" w:eastAsia="仿宋_GB2312" w:hint="eastAsia"/>
          <w:color w:val="auto"/>
          <w:sz w:val="32"/>
          <w:szCs w:val="32"/>
        </w:rPr>
        <w:lastRenderedPageBreak/>
        <w:t>括办公及印刷费、邮电费、差旅费、会议费、福利费、日常维修费、专用材料及一般设备购置费、办公用房水电费、办公用房取暖费、办公用房物业管理费、公务用车运行维护费以及其他费用。</w:t>
      </w:r>
    </w:p>
    <w:p w:rsidR="00D13277" w:rsidRDefault="00D13277" w:rsidP="00172B65">
      <w:pPr>
        <w:pStyle w:val="Default"/>
        <w:spacing w:line="560" w:lineRule="exact"/>
        <w:ind w:firstLineChars="200" w:firstLine="640"/>
        <w:rPr>
          <w:rFonts w:ascii="仿宋_GB2312" w:eastAsia="仿宋_GB2312" w:cs="黑体"/>
          <w:color w:val="auto"/>
          <w:sz w:val="32"/>
          <w:szCs w:val="32"/>
        </w:rPr>
      </w:pPr>
    </w:p>
    <w:p w:rsidR="00D13277" w:rsidRDefault="00D13277" w:rsidP="00172B65">
      <w:pPr>
        <w:ind w:firstLineChars="200" w:firstLine="643"/>
        <w:rPr>
          <w:rFonts w:ascii="仿宋" w:eastAsia="仿宋" w:hAnsi="仿宋"/>
          <w:b/>
          <w:sz w:val="32"/>
          <w:szCs w:val="32"/>
        </w:rPr>
      </w:pPr>
    </w:p>
    <w:p w:rsidR="0090722B" w:rsidRDefault="0090722B" w:rsidP="0090722B">
      <w:pPr>
        <w:spacing w:line="600" w:lineRule="exact"/>
        <w:jc w:val="center"/>
        <w:outlineLvl w:val="0"/>
        <w:rPr>
          <w:rStyle w:val="1Char"/>
          <w:rFonts w:ascii="黑体" w:eastAsia="黑体" w:hAnsi="黑体"/>
          <w:b w:val="0"/>
        </w:rPr>
      </w:pPr>
      <w:bookmarkStart w:id="50" w:name="_Toc15377226"/>
      <w:r>
        <w:rPr>
          <w:rFonts w:ascii="宋体"/>
          <w:b/>
          <w:sz w:val="44"/>
          <w:szCs w:val="44"/>
        </w:rPr>
        <w:br w:type="page"/>
      </w:r>
      <w:bookmarkStart w:id="51" w:name="_Toc15396614"/>
      <w:r>
        <w:rPr>
          <w:rFonts w:ascii="黑体" w:eastAsia="黑体" w:hAnsi="黑体" w:hint="eastAsia"/>
          <w:sz w:val="44"/>
          <w:szCs w:val="44"/>
        </w:rPr>
        <w:lastRenderedPageBreak/>
        <w:t>第</w:t>
      </w:r>
      <w:r>
        <w:rPr>
          <w:rStyle w:val="1Char"/>
          <w:rFonts w:ascii="黑体" w:eastAsia="黑体" w:hAnsi="黑体" w:hint="eastAsia"/>
          <w:b w:val="0"/>
        </w:rPr>
        <w:t>四部分 附件</w:t>
      </w:r>
      <w:bookmarkEnd w:id="51"/>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Default="007B682C" w:rsidP="007B682C">
      <w:pPr>
        <w:pStyle w:val="a0"/>
        <w:spacing w:before="93"/>
      </w:pPr>
    </w:p>
    <w:p w:rsidR="007B682C" w:rsidRPr="007B682C" w:rsidRDefault="007B682C" w:rsidP="007B682C">
      <w:pPr>
        <w:pStyle w:val="a0"/>
        <w:spacing w:before="93"/>
      </w:pPr>
    </w:p>
    <w:tbl>
      <w:tblPr>
        <w:tblpPr w:leftFromText="180" w:rightFromText="180" w:vertAnchor="text" w:horzAnchor="page" w:tblpX="611" w:tblpY="660"/>
        <w:tblOverlap w:val="never"/>
        <w:tblW w:w="11470" w:type="dxa"/>
        <w:tblLayout w:type="fixed"/>
        <w:tblLook w:val="04A0"/>
      </w:tblPr>
      <w:tblGrid>
        <w:gridCol w:w="1101"/>
        <w:gridCol w:w="850"/>
        <w:gridCol w:w="425"/>
        <w:gridCol w:w="709"/>
        <w:gridCol w:w="1418"/>
        <w:gridCol w:w="1559"/>
        <w:gridCol w:w="1774"/>
        <w:gridCol w:w="636"/>
        <w:gridCol w:w="2409"/>
        <w:gridCol w:w="589"/>
      </w:tblGrid>
      <w:tr w:rsidR="0090722B" w:rsidTr="0090722B">
        <w:trPr>
          <w:trHeight w:val="675"/>
        </w:trPr>
        <w:tc>
          <w:tcPr>
            <w:tcW w:w="10881" w:type="dxa"/>
            <w:gridSpan w:val="9"/>
            <w:tcBorders>
              <w:top w:val="nil"/>
              <w:left w:val="nil"/>
              <w:bottom w:val="nil"/>
              <w:right w:val="nil"/>
            </w:tcBorders>
            <w:shd w:val="clear" w:color="auto" w:fill="auto"/>
            <w:vAlign w:val="center"/>
          </w:tcPr>
          <w:p w:rsidR="0090722B" w:rsidRPr="005A4D76" w:rsidRDefault="005A4D76" w:rsidP="00172B65">
            <w:pPr>
              <w:widowControl/>
              <w:adjustRightInd w:val="0"/>
              <w:snapToGrid w:val="0"/>
              <w:spacing w:line="580" w:lineRule="exact"/>
              <w:ind w:firstLineChars="200" w:firstLine="640"/>
              <w:contextualSpacing/>
              <w:jc w:val="left"/>
              <w:rPr>
                <w:rFonts w:ascii="仿宋_GB2312" w:eastAsia="仿宋_GB2312" w:hAnsi="宋体" w:cs="宋体"/>
                <w:kern w:val="0"/>
                <w:sz w:val="32"/>
                <w:szCs w:val="32"/>
                <w:shd w:val="clear" w:color="auto" w:fill="FFFFFF"/>
                <w:lang w:val="zh-CN"/>
              </w:rPr>
            </w:pPr>
            <w:bookmarkStart w:id="52" w:name="_Toc15396618"/>
            <w:r>
              <w:rPr>
                <w:rFonts w:ascii="仿宋_GB2312" w:eastAsia="仿宋_GB2312" w:hAnsi="宋体" w:cs="宋体" w:hint="eastAsia"/>
                <w:kern w:val="0"/>
                <w:sz w:val="32"/>
                <w:szCs w:val="32"/>
                <w:shd w:val="clear" w:color="auto" w:fill="FFFFFF"/>
                <w:lang w:val="zh-CN"/>
              </w:rPr>
              <w:lastRenderedPageBreak/>
              <w:t>附表：</w:t>
            </w:r>
          </w:p>
        </w:tc>
        <w:tc>
          <w:tcPr>
            <w:tcW w:w="589" w:type="dxa"/>
            <w:tcBorders>
              <w:top w:val="nil"/>
              <w:left w:val="nil"/>
              <w:bottom w:val="nil"/>
              <w:right w:val="nil"/>
            </w:tcBorders>
            <w:shd w:val="clear" w:color="auto" w:fill="auto"/>
            <w:vAlign w:val="center"/>
          </w:tcPr>
          <w:p w:rsidR="0090722B" w:rsidRDefault="0090722B" w:rsidP="0090722B">
            <w:pPr>
              <w:widowControl/>
              <w:jc w:val="center"/>
              <w:textAlignment w:val="center"/>
              <w:rPr>
                <w:rFonts w:ascii="宋体" w:hAnsi="宋体" w:cs="宋体"/>
                <w:b/>
                <w:kern w:val="0"/>
                <w:sz w:val="32"/>
                <w:szCs w:val="32"/>
              </w:rPr>
            </w:pPr>
          </w:p>
        </w:tc>
      </w:tr>
      <w:tr w:rsidR="0090722B" w:rsidRPr="00137935" w:rsidTr="00D14309">
        <w:trPr>
          <w:gridAfter w:val="1"/>
          <w:wAfter w:w="589" w:type="dxa"/>
          <w:trHeight w:val="254"/>
        </w:trPr>
        <w:tc>
          <w:tcPr>
            <w:tcW w:w="237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主管部门及代码</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textAlignment w:val="center"/>
              <w:rPr>
                <w:rFonts w:ascii="黑体" w:eastAsia="黑体" w:hAnsi="黑体" w:cs="宋体"/>
                <w:sz w:val="15"/>
                <w:szCs w:val="15"/>
              </w:rPr>
            </w:pPr>
            <w:r w:rsidRPr="00137935">
              <w:rPr>
                <w:rFonts w:ascii="黑体" w:eastAsia="黑体" w:hAnsi="黑体" w:cs="宋体"/>
                <w:sz w:val="15"/>
                <w:szCs w:val="15"/>
              </w:rPr>
              <w:t>攀枝花市住房和城乡建设局</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实施单位</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D14309">
            <w:pPr>
              <w:widowControl/>
              <w:spacing w:line="320" w:lineRule="exact"/>
              <w:jc w:val="left"/>
              <w:textAlignment w:val="center"/>
              <w:rPr>
                <w:rFonts w:ascii="黑体" w:eastAsia="黑体" w:hAnsi="黑体" w:cs="宋体"/>
                <w:sz w:val="15"/>
                <w:szCs w:val="15"/>
              </w:rPr>
            </w:pPr>
            <w:r w:rsidRPr="00137935">
              <w:rPr>
                <w:rFonts w:ascii="黑体" w:eastAsia="黑体" w:hAnsi="黑体" w:cs="宋体"/>
                <w:sz w:val="15"/>
                <w:szCs w:val="15"/>
              </w:rPr>
              <w:t>攀枝花市建设工程造价站</w:t>
            </w:r>
          </w:p>
        </w:tc>
      </w:tr>
      <w:tr w:rsidR="0090722B" w:rsidRPr="00137935" w:rsidTr="00D14309">
        <w:trPr>
          <w:gridAfter w:val="1"/>
          <w:wAfter w:w="589" w:type="dxa"/>
          <w:trHeight w:val="341"/>
        </w:trPr>
        <w:tc>
          <w:tcPr>
            <w:tcW w:w="237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项目预算</w:t>
            </w:r>
            <w:r w:rsidRPr="00137935">
              <w:rPr>
                <w:rFonts w:ascii="黑体" w:eastAsia="黑体" w:hAnsi="黑体" w:cs="宋体" w:hint="eastAsia"/>
                <w:kern w:val="0"/>
                <w:sz w:val="15"/>
                <w:szCs w:val="15"/>
              </w:rPr>
              <w:br/>
              <w:t>执行情况</w:t>
            </w:r>
            <w:r w:rsidRPr="00137935">
              <w:rPr>
                <w:rFonts w:ascii="黑体" w:eastAsia="黑体" w:hAnsi="黑体" w:cs="宋体" w:hint="eastAsia"/>
                <w:kern w:val="0"/>
                <w:sz w:val="15"/>
                <w:szCs w:val="15"/>
              </w:rPr>
              <w:br/>
              <w:t>（万元）</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 xml:space="preserve"> 预算数：</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D14309">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sz w:val="15"/>
                <w:szCs w:val="15"/>
              </w:rPr>
              <w:t>7.44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 xml:space="preserve"> 执行数：</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sz w:val="15"/>
                <w:szCs w:val="15"/>
              </w:rPr>
              <w:t>7.44</w:t>
            </w:r>
          </w:p>
        </w:tc>
      </w:tr>
      <w:tr w:rsidR="0090722B" w:rsidRPr="00137935" w:rsidTr="00D14309">
        <w:trPr>
          <w:gridAfter w:val="1"/>
          <w:wAfter w:w="589" w:type="dxa"/>
          <w:trHeight w:val="465"/>
        </w:trPr>
        <w:tc>
          <w:tcPr>
            <w:tcW w:w="237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宋体"/>
                <w:sz w:val="15"/>
                <w:szCs w:val="15"/>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kern w:val="0"/>
                <w:sz w:val="15"/>
                <w:szCs w:val="15"/>
              </w:rPr>
            </w:pPr>
            <w:r w:rsidRPr="00137935">
              <w:rPr>
                <w:rFonts w:ascii="黑体" w:eastAsia="黑体" w:hAnsi="黑体" w:cs="宋体" w:hint="eastAsia"/>
                <w:kern w:val="0"/>
                <w:sz w:val="15"/>
                <w:szCs w:val="15"/>
              </w:rPr>
              <w:t>其中：</w:t>
            </w:r>
          </w:p>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财政拨款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D14309">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sz w:val="15"/>
                <w:szCs w:val="15"/>
              </w:rPr>
              <w:t>7.44</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kern w:val="0"/>
                <w:sz w:val="15"/>
                <w:szCs w:val="15"/>
              </w:rPr>
            </w:pPr>
            <w:r w:rsidRPr="00137935">
              <w:rPr>
                <w:rFonts w:ascii="黑体" w:eastAsia="黑体" w:hAnsi="黑体" w:cs="宋体" w:hint="eastAsia"/>
                <w:kern w:val="0"/>
                <w:sz w:val="15"/>
                <w:szCs w:val="15"/>
              </w:rPr>
              <w:t>其中：</w:t>
            </w:r>
          </w:p>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财政拨款</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textAlignment w:val="center"/>
              <w:rPr>
                <w:rFonts w:ascii="黑体" w:eastAsia="黑体" w:hAnsi="黑体" w:cs="宋体"/>
                <w:sz w:val="15"/>
                <w:szCs w:val="15"/>
              </w:rPr>
            </w:pPr>
            <w:r w:rsidRPr="00137935">
              <w:rPr>
                <w:rFonts w:ascii="黑体" w:eastAsia="黑体" w:hAnsi="黑体" w:cs="宋体" w:hint="eastAsia"/>
                <w:sz w:val="15"/>
                <w:szCs w:val="15"/>
              </w:rPr>
              <w:t>7.44</w:t>
            </w:r>
          </w:p>
        </w:tc>
      </w:tr>
      <w:tr w:rsidR="0090722B" w:rsidRPr="00137935" w:rsidTr="00D14309">
        <w:trPr>
          <w:gridAfter w:val="1"/>
          <w:wAfter w:w="589" w:type="dxa"/>
          <w:trHeight w:val="247"/>
        </w:trPr>
        <w:tc>
          <w:tcPr>
            <w:tcW w:w="237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宋体"/>
                <w:sz w:val="15"/>
                <w:szCs w:val="15"/>
              </w:rPr>
            </w:pP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其他资金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9BB" w:rsidP="00D14309">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sz w:val="15"/>
                <w:szCs w:val="15"/>
              </w:rPr>
              <w:t>0</w:t>
            </w:r>
          </w:p>
        </w:tc>
        <w:tc>
          <w:tcPr>
            <w:tcW w:w="17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kern w:val="0"/>
                <w:sz w:val="15"/>
                <w:szCs w:val="15"/>
              </w:rPr>
              <w:t>其他资金</w:t>
            </w: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9BB" w:rsidP="009079BB">
            <w:pPr>
              <w:widowControl/>
              <w:spacing w:line="320" w:lineRule="exact"/>
              <w:jc w:val="left"/>
              <w:textAlignment w:val="center"/>
              <w:rPr>
                <w:rFonts w:ascii="黑体" w:eastAsia="黑体" w:hAnsi="黑体" w:cs="宋体"/>
                <w:sz w:val="15"/>
                <w:szCs w:val="15"/>
              </w:rPr>
            </w:pPr>
            <w:r w:rsidRPr="00137935">
              <w:rPr>
                <w:rFonts w:ascii="黑体" w:eastAsia="黑体" w:hAnsi="黑体" w:cs="宋体" w:hint="eastAsia"/>
                <w:sz w:val="15"/>
                <w:szCs w:val="15"/>
              </w:rPr>
              <w:t>0</w:t>
            </w:r>
          </w:p>
        </w:tc>
      </w:tr>
      <w:tr w:rsidR="0090722B" w:rsidRPr="00137935" w:rsidTr="005A4D76">
        <w:trPr>
          <w:gridAfter w:val="1"/>
          <w:wAfter w:w="589" w:type="dxa"/>
          <w:trHeight w:val="217"/>
        </w:trPr>
        <w:tc>
          <w:tcPr>
            <w:tcW w:w="11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kern w:val="0"/>
                <w:sz w:val="15"/>
                <w:szCs w:val="15"/>
              </w:rPr>
            </w:pPr>
            <w:r w:rsidRPr="00137935">
              <w:rPr>
                <w:rFonts w:ascii="黑体" w:eastAsia="黑体" w:hAnsi="黑体" w:cs="宋体" w:hint="eastAsia"/>
                <w:kern w:val="0"/>
                <w:sz w:val="15"/>
                <w:szCs w:val="15"/>
              </w:rPr>
              <w:t>年度总体目标</w:t>
            </w:r>
          </w:p>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完成情况</w:t>
            </w:r>
          </w:p>
        </w:tc>
        <w:tc>
          <w:tcPr>
            <w:tcW w:w="496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预期目标</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宋体"/>
                <w:sz w:val="15"/>
                <w:szCs w:val="15"/>
              </w:rPr>
            </w:pPr>
            <w:r w:rsidRPr="00137935">
              <w:rPr>
                <w:rFonts w:ascii="黑体" w:eastAsia="黑体" w:hAnsi="黑体" w:cs="宋体" w:hint="eastAsia"/>
                <w:kern w:val="0"/>
                <w:sz w:val="15"/>
                <w:szCs w:val="15"/>
              </w:rPr>
              <w:t>目标实际完成情况</w:t>
            </w:r>
          </w:p>
        </w:tc>
      </w:tr>
      <w:tr w:rsidR="0090722B" w:rsidRPr="00137935" w:rsidTr="005A4D76">
        <w:trPr>
          <w:gridAfter w:val="1"/>
          <w:wAfter w:w="589" w:type="dxa"/>
          <w:trHeight w:val="797"/>
        </w:trPr>
        <w:tc>
          <w:tcPr>
            <w:tcW w:w="110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宋体"/>
                <w:sz w:val="15"/>
                <w:szCs w:val="15"/>
              </w:rPr>
            </w:pPr>
          </w:p>
        </w:tc>
        <w:tc>
          <w:tcPr>
            <w:tcW w:w="4961" w:type="dxa"/>
            <w:gridSpan w:val="5"/>
            <w:tcBorders>
              <w:top w:val="single" w:sz="4" w:space="0" w:color="000000"/>
              <w:left w:val="single" w:sz="4" w:space="0" w:color="000000"/>
              <w:bottom w:val="single" w:sz="4" w:space="0" w:color="000000"/>
              <w:right w:val="single" w:sz="4" w:space="0" w:color="000000"/>
            </w:tcBorders>
            <w:shd w:val="clear" w:color="auto" w:fill="auto"/>
          </w:tcPr>
          <w:p w:rsidR="0090722B" w:rsidRPr="00137935" w:rsidRDefault="0090722B" w:rsidP="0090722B">
            <w:pPr>
              <w:widowControl/>
              <w:spacing w:line="320" w:lineRule="exact"/>
              <w:jc w:val="left"/>
              <w:textAlignment w:val="top"/>
              <w:rPr>
                <w:rFonts w:ascii="黑体" w:eastAsia="黑体" w:hAnsi="黑体" w:cs="宋体"/>
                <w:sz w:val="15"/>
                <w:szCs w:val="15"/>
              </w:rPr>
            </w:pPr>
            <w:r w:rsidRPr="00137935">
              <w:rPr>
                <w:rFonts w:ascii="黑体" w:eastAsia="黑体" w:hAnsi="黑体" w:cs="宋体" w:hint="eastAsia"/>
                <w:sz w:val="15"/>
                <w:szCs w:val="15"/>
              </w:rPr>
              <w:t>1、完成攀枝花辖区内的建筑业人工、材料、机械台班价格信息的收集、整理、汇总上报工作，促进建筑计价健康有序发展；2、通过考察学习及培训，掌握先进工作经验，提高工作效率。</w:t>
            </w:r>
          </w:p>
        </w:tc>
        <w:tc>
          <w:tcPr>
            <w:tcW w:w="4819" w:type="dxa"/>
            <w:gridSpan w:val="3"/>
            <w:tcBorders>
              <w:top w:val="single" w:sz="4" w:space="0" w:color="000000"/>
              <w:left w:val="single" w:sz="4" w:space="0" w:color="000000"/>
              <w:bottom w:val="single" w:sz="4" w:space="0" w:color="000000"/>
              <w:right w:val="single" w:sz="4" w:space="0" w:color="000000"/>
            </w:tcBorders>
            <w:shd w:val="clear" w:color="auto" w:fill="auto"/>
          </w:tcPr>
          <w:p w:rsidR="0090722B" w:rsidRPr="00137935" w:rsidRDefault="0090722B" w:rsidP="0090722B">
            <w:pPr>
              <w:widowControl/>
              <w:spacing w:line="320" w:lineRule="exact"/>
              <w:jc w:val="left"/>
              <w:textAlignment w:val="top"/>
              <w:rPr>
                <w:rFonts w:ascii="黑体" w:eastAsia="黑体" w:hAnsi="黑体" w:cs="宋体"/>
                <w:sz w:val="15"/>
                <w:szCs w:val="15"/>
              </w:rPr>
            </w:pPr>
            <w:r w:rsidRPr="00137935">
              <w:rPr>
                <w:rFonts w:ascii="黑体" w:eastAsia="黑体" w:hAnsi="黑体" w:cs="宋体" w:hint="eastAsia"/>
                <w:sz w:val="15"/>
                <w:szCs w:val="15"/>
              </w:rPr>
              <w:t>1、完成</w:t>
            </w:r>
            <w:r w:rsidR="00FF2AB6">
              <w:rPr>
                <w:rFonts w:ascii="黑体" w:eastAsia="黑体" w:hAnsi="黑体" w:cs="宋体" w:hint="eastAsia"/>
                <w:sz w:val="15"/>
                <w:szCs w:val="15"/>
              </w:rPr>
              <w:t>了</w:t>
            </w:r>
            <w:r w:rsidRPr="00137935">
              <w:rPr>
                <w:rFonts w:ascii="黑体" w:eastAsia="黑体" w:hAnsi="黑体" w:cs="宋体" w:hint="eastAsia"/>
                <w:sz w:val="15"/>
                <w:szCs w:val="15"/>
              </w:rPr>
              <w:t>攀枝花辖区内的建筑业人工、材料、机械台班价格信息的收集、整理、汇总上报工作，促进建筑计价健康有序发展；2、通过考察学习及培训，掌握</w:t>
            </w:r>
            <w:r w:rsidR="00FF2AB6">
              <w:rPr>
                <w:rFonts w:ascii="黑体" w:eastAsia="黑体" w:hAnsi="黑体" w:cs="宋体" w:hint="eastAsia"/>
                <w:sz w:val="15"/>
                <w:szCs w:val="15"/>
              </w:rPr>
              <w:t>了</w:t>
            </w:r>
            <w:r w:rsidRPr="00137935">
              <w:rPr>
                <w:rFonts w:ascii="黑体" w:eastAsia="黑体" w:hAnsi="黑体" w:cs="宋体" w:hint="eastAsia"/>
                <w:sz w:val="15"/>
                <w:szCs w:val="15"/>
              </w:rPr>
              <w:t>先进工作经验，提高工作效率。</w:t>
            </w:r>
          </w:p>
        </w:tc>
      </w:tr>
      <w:tr w:rsidR="0090722B" w:rsidRPr="00137935" w:rsidTr="005A4D76">
        <w:trPr>
          <w:gridAfter w:val="1"/>
          <w:wAfter w:w="589" w:type="dxa"/>
          <w:trHeight w:val="693"/>
        </w:trPr>
        <w:tc>
          <w:tcPr>
            <w:tcW w:w="1101" w:type="dxa"/>
            <w:vMerge w:val="restart"/>
            <w:tcBorders>
              <w:top w:val="single" w:sz="4" w:space="0" w:color="000000"/>
              <w:left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年度绩效指标完成情况</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kern w:val="0"/>
                <w:sz w:val="15"/>
                <w:szCs w:val="15"/>
              </w:rPr>
            </w:pPr>
            <w:r w:rsidRPr="00137935">
              <w:rPr>
                <w:rFonts w:ascii="黑体" w:eastAsia="黑体" w:hAnsi="黑体" w:cs="仿宋_GB2312" w:hint="eastAsia"/>
                <w:kern w:val="0"/>
                <w:sz w:val="15"/>
                <w:szCs w:val="15"/>
              </w:rPr>
              <w:t>一级</w:t>
            </w:r>
          </w:p>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指标</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kern w:val="0"/>
                <w:sz w:val="15"/>
                <w:szCs w:val="15"/>
              </w:rPr>
            </w:pPr>
            <w:r w:rsidRPr="00137935">
              <w:rPr>
                <w:rFonts w:ascii="黑体" w:eastAsia="黑体" w:hAnsi="黑体" w:cs="仿宋_GB2312" w:hint="eastAsia"/>
                <w:kern w:val="0"/>
                <w:sz w:val="15"/>
                <w:szCs w:val="15"/>
              </w:rPr>
              <w:t>二级</w:t>
            </w:r>
          </w:p>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kern w:val="0"/>
                <w:sz w:val="15"/>
                <w:szCs w:val="15"/>
              </w:rPr>
            </w:pPr>
            <w:r w:rsidRPr="00137935">
              <w:rPr>
                <w:rFonts w:ascii="黑体" w:eastAsia="黑体" w:hAnsi="黑体" w:cs="仿宋_GB2312" w:hint="eastAsia"/>
                <w:kern w:val="0"/>
                <w:sz w:val="15"/>
                <w:szCs w:val="15"/>
              </w:rPr>
              <w:t>三级</w:t>
            </w:r>
          </w:p>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指标</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预期指标值</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center"/>
              <w:rPr>
                <w:rFonts w:ascii="黑体" w:eastAsia="黑体" w:hAnsi="黑体" w:cs="仿宋_GB2312"/>
                <w:sz w:val="15"/>
                <w:szCs w:val="15"/>
              </w:rPr>
            </w:pPr>
            <w:r w:rsidRPr="00137935">
              <w:rPr>
                <w:rFonts w:ascii="黑体" w:eastAsia="黑体" w:hAnsi="黑体" w:cs="仿宋_GB2312" w:hint="eastAsia"/>
                <w:kern w:val="0"/>
                <w:sz w:val="15"/>
                <w:szCs w:val="15"/>
              </w:rPr>
              <w:t>实际完成指标值</w:t>
            </w:r>
          </w:p>
        </w:tc>
      </w:tr>
      <w:tr w:rsidR="0090722B" w:rsidRPr="00137935" w:rsidTr="005A4D76">
        <w:trPr>
          <w:gridAfter w:val="1"/>
          <w:wAfter w:w="589" w:type="dxa"/>
          <w:trHeight w:val="415"/>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val="restart"/>
            <w:tcBorders>
              <w:top w:val="single" w:sz="4" w:space="0" w:color="000000"/>
              <w:left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r w:rsidRPr="00137935">
              <w:rPr>
                <w:rFonts w:ascii="黑体" w:eastAsia="黑体" w:hAnsi="黑体" w:cs="仿宋_GB2312" w:hint="eastAsia"/>
                <w:kern w:val="0"/>
                <w:sz w:val="15"/>
                <w:szCs w:val="15"/>
              </w:rPr>
              <w:t>完成</w:t>
            </w:r>
          </w:p>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指标</w:t>
            </w:r>
          </w:p>
        </w:tc>
        <w:tc>
          <w:tcPr>
            <w:tcW w:w="1134" w:type="dxa"/>
            <w:gridSpan w:val="2"/>
            <w:vMerge w:val="restart"/>
            <w:tcBorders>
              <w:top w:val="single" w:sz="4" w:space="0" w:color="000000"/>
              <w:left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数量指标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材料价格信息员及专职价格信息员及相关考察学习及培训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1、材料价格信息员收集建筑业材料价格每人5次每月（12人）；专职价格信息员每月整理、上报1次；2、考察学习、培训每年至少1次</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1、材料价格信息员收集建筑业材料价格每人5次每月；专职价格信息员每月整理、上报1次；2、全年考察学习、培训1次</w:t>
            </w:r>
          </w:p>
        </w:tc>
      </w:tr>
      <w:tr w:rsidR="0090722B" w:rsidRPr="00137935" w:rsidTr="005A4D76">
        <w:trPr>
          <w:gridAfter w:val="1"/>
          <w:wAfter w:w="589" w:type="dxa"/>
          <w:trHeight w:val="415"/>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right w:val="single" w:sz="4" w:space="0" w:color="000000"/>
            </w:tcBorders>
            <w:shd w:val="clear" w:color="auto" w:fill="auto"/>
            <w:vAlign w:val="center"/>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p>
        </w:tc>
        <w:tc>
          <w:tcPr>
            <w:tcW w:w="1134" w:type="dxa"/>
            <w:gridSpan w:val="2"/>
            <w:vMerge/>
            <w:tcBorders>
              <w:left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建筑业人工费信息员</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建筑业人工费信息员每人1次每月(6人）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建筑业人工费信息员每人1次每月(6人）</w:t>
            </w:r>
          </w:p>
        </w:tc>
      </w:tr>
      <w:tr w:rsidR="0090722B" w:rsidRPr="00137935" w:rsidTr="005A4D76">
        <w:trPr>
          <w:gridAfter w:val="1"/>
          <w:wAfter w:w="589" w:type="dxa"/>
          <w:trHeight w:val="415"/>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vMerge w:val="restart"/>
            <w:tcBorders>
              <w:top w:val="single" w:sz="4" w:space="0" w:color="000000"/>
              <w:left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质量指标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材料价格准确率和及时性</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材料价格信息准确率90%以上，价格信息每月上报、发布一次</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准确率90%以上，材料价格信息每月上报、发布一次</w:t>
            </w:r>
          </w:p>
        </w:tc>
      </w:tr>
      <w:tr w:rsidR="0090722B" w:rsidRPr="00137935" w:rsidTr="005A4D76">
        <w:trPr>
          <w:gridAfter w:val="1"/>
          <w:wAfter w:w="589" w:type="dxa"/>
          <w:trHeight w:val="415"/>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vMerge/>
            <w:tcBorders>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人工费价格准确率和及时性</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人工费价格信息准确率90%以上，价格信息每月上报、发布一次</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准确率90%以上，人工费价格信息每月上报、发布一次</w:t>
            </w:r>
          </w:p>
        </w:tc>
      </w:tr>
      <w:tr w:rsidR="0090722B" w:rsidRPr="00137935" w:rsidTr="005A4D76">
        <w:trPr>
          <w:gridAfter w:val="1"/>
          <w:wAfter w:w="589" w:type="dxa"/>
          <w:trHeight w:val="415"/>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时效指标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按照工作计划推进</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2021年年度内</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2021年年度内</w:t>
            </w:r>
          </w:p>
        </w:tc>
      </w:tr>
      <w:tr w:rsidR="0090722B" w:rsidRPr="00137935" w:rsidTr="005A4D76">
        <w:trPr>
          <w:gridAfter w:val="1"/>
          <w:wAfter w:w="589" w:type="dxa"/>
          <w:trHeight w:val="480"/>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vMerge w:val="restart"/>
            <w:tcBorders>
              <w:top w:val="single" w:sz="4" w:space="0" w:color="000000"/>
              <w:left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成本指标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材料价格及专职价格信息员劳务费和相关考察学习及培训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材料价格信息员及专职价格信息员劳务费及考察学习及培训</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6.72万元</w:t>
            </w:r>
          </w:p>
        </w:tc>
      </w:tr>
      <w:tr w:rsidR="0090722B" w:rsidRPr="00137935" w:rsidTr="005A4D76">
        <w:trPr>
          <w:gridAfter w:val="1"/>
          <w:wAfter w:w="589" w:type="dxa"/>
          <w:trHeight w:val="480"/>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vMerge/>
            <w:tcBorders>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人工费信息员劳务费</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人工费信息员劳务费</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0.72万元</w:t>
            </w:r>
          </w:p>
        </w:tc>
      </w:tr>
      <w:tr w:rsidR="0090722B" w:rsidRPr="00137935" w:rsidTr="005A4D76">
        <w:trPr>
          <w:gridAfter w:val="1"/>
          <w:wAfter w:w="589" w:type="dxa"/>
          <w:trHeight w:val="480"/>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社会效益  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建筑业材料和人工费价格的采集、整理、上报和发布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通过准确、及时发布建筑业材料和人工费价格，减少相关单位和个人的价格纠纷，减少了建设工程领域不稳定的因素</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完成2021年度建筑业材料和人工费价格的发布，减少相关单位和个人的价格纠纷，减少了建设工程领域不稳定的因素</w:t>
            </w:r>
          </w:p>
        </w:tc>
      </w:tr>
      <w:tr w:rsidR="0090722B" w:rsidRPr="00137935" w:rsidTr="005A4D76">
        <w:trPr>
          <w:gridAfter w:val="1"/>
          <w:wAfter w:w="589" w:type="dxa"/>
          <w:trHeight w:val="480"/>
        </w:trPr>
        <w:tc>
          <w:tcPr>
            <w:tcW w:w="1101" w:type="dxa"/>
            <w:vMerge/>
            <w:tcBorders>
              <w:left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spacing w:line="320" w:lineRule="exact"/>
              <w:jc w:val="center"/>
              <w:rPr>
                <w:rFonts w:ascii="黑体" w:eastAsia="黑体" w:hAnsi="黑体" w:cs="仿宋_GB2312"/>
                <w:sz w:val="15"/>
                <w:szCs w:val="15"/>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可持续影响 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完成建筑业材料和人工费价格的采集、整理、上报和发布</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发布建筑业材料和人工费价格，为相关单位和个人提供价格依据和参考</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发布建筑业材料和人工费价格，为相关单位和个人提供价格依据和参考</w:t>
            </w:r>
          </w:p>
        </w:tc>
      </w:tr>
      <w:tr w:rsidR="0090722B" w:rsidRPr="00137935" w:rsidTr="005A4D76">
        <w:trPr>
          <w:gridAfter w:val="1"/>
          <w:wAfter w:w="589" w:type="dxa"/>
          <w:trHeight w:val="530"/>
        </w:trPr>
        <w:tc>
          <w:tcPr>
            <w:tcW w:w="1101" w:type="dxa"/>
            <w:vMerge/>
            <w:tcBorders>
              <w:left w:val="single" w:sz="4" w:space="0" w:color="000000"/>
              <w:bottom w:val="single" w:sz="4" w:space="0" w:color="000000"/>
              <w:right w:val="single" w:sz="4" w:space="0" w:color="000000"/>
            </w:tcBorders>
            <w:shd w:val="clear" w:color="auto" w:fill="auto"/>
            <w:vAlign w:val="center"/>
          </w:tcPr>
          <w:p w:rsidR="0090722B" w:rsidRPr="00137935" w:rsidRDefault="0090722B" w:rsidP="0090722B">
            <w:pPr>
              <w:spacing w:line="320" w:lineRule="exact"/>
              <w:jc w:val="center"/>
              <w:rPr>
                <w:rFonts w:ascii="黑体" w:eastAsia="黑体" w:hAnsi="黑体" w:cs="仿宋_GB2312"/>
                <w:sz w:val="15"/>
                <w:szCs w:val="15"/>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满意</w:t>
            </w:r>
            <w:r w:rsidRPr="00137935">
              <w:rPr>
                <w:rFonts w:ascii="黑体" w:eastAsia="黑体" w:hAnsi="黑体" w:cs="仿宋_GB2312" w:hint="eastAsia"/>
                <w:kern w:val="0"/>
                <w:sz w:val="15"/>
                <w:szCs w:val="15"/>
              </w:rPr>
              <w:br/>
              <w:t>度指标</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kern w:val="0"/>
                <w:sz w:val="15"/>
                <w:szCs w:val="15"/>
              </w:rPr>
            </w:pPr>
            <w:r w:rsidRPr="00137935">
              <w:rPr>
                <w:rFonts w:ascii="黑体" w:eastAsia="黑体" w:hAnsi="黑体" w:cs="仿宋_GB2312" w:hint="eastAsia"/>
                <w:kern w:val="0"/>
                <w:sz w:val="15"/>
                <w:szCs w:val="15"/>
              </w:rPr>
              <w:t>满意度</w:t>
            </w:r>
          </w:p>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kern w:val="0"/>
                <w:sz w:val="15"/>
                <w:szCs w:val="15"/>
              </w:rPr>
              <w:t>指标</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22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建筑业材料价格和人工费信息员、专职价格信息员及相关服务对象满意度</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9B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满意度</w:t>
            </w:r>
            <w:r w:rsidR="0090722B" w:rsidRPr="00137935">
              <w:rPr>
                <w:rFonts w:ascii="黑体" w:eastAsia="黑体" w:hAnsi="黑体" w:cs="仿宋_GB2312" w:hint="eastAsia"/>
                <w:sz w:val="15"/>
                <w:szCs w:val="15"/>
              </w:rPr>
              <w:t>≥90%</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0722B" w:rsidRPr="00137935" w:rsidRDefault="009079BB" w:rsidP="0090722B">
            <w:pPr>
              <w:widowControl/>
              <w:spacing w:line="320" w:lineRule="exact"/>
              <w:jc w:val="center"/>
              <w:textAlignment w:val="bottom"/>
              <w:rPr>
                <w:rFonts w:ascii="黑体" w:eastAsia="黑体" w:hAnsi="黑体" w:cs="仿宋_GB2312"/>
                <w:sz w:val="15"/>
                <w:szCs w:val="15"/>
              </w:rPr>
            </w:pPr>
            <w:r w:rsidRPr="00137935">
              <w:rPr>
                <w:rFonts w:ascii="黑体" w:eastAsia="黑体" w:hAnsi="黑体" w:cs="仿宋_GB2312" w:hint="eastAsia"/>
                <w:sz w:val="15"/>
                <w:szCs w:val="15"/>
              </w:rPr>
              <w:t>满意度</w:t>
            </w:r>
            <w:r w:rsidR="0090722B" w:rsidRPr="00137935">
              <w:rPr>
                <w:rFonts w:ascii="黑体" w:eastAsia="黑体" w:hAnsi="黑体" w:cs="仿宋_GB2312" w:hint="eastAsia"/>
                <w:sz w:val="15"/>
                <w:szCs w:val="15"/>
              </w:rPr>
              <w:t>≥90%</w:t>
            </w:r>
          </w:p>
        </w:tc>
      </w:tr>
    </w:tbl>
    <w:p w:rsidR="0090722B" w:rsidRPr="00137935" w:rsidRDefault="0090722B">
      <w:pPr>
        <w:spacing w:line="600" w:lineRule="exact"/>
        <w:jc w:val="center"/>
        <w:outlineLvl w:val="0"/>
        <w:rPr>
          <w:rFonts w:ascii="仿宋" w:eastAsia="仿宋" w:hAnsi="仿宋"/>
          <w:sz w:val="15"/>
          <w:szCs w:val="15"/>
        </w:rPr>
      </w:pPr>
    </w:p>
    <w:p w:rsidR="0090722B" w:rsidRPr="00137935" w:rsidRDefault="0090722B">
      <w:pPr>
        <w:spacing w:line="600" w:lineRule="exact"/>
        <w:jc w:val="center"/>
        <w:outlineLvl w:val="0"/>
        <w:rPr>
          <w:rFonts w:ascii="黑体" w:eastAsia="黑体" w:hAnsi="黑体"/>
          <w:sz w:val="15"/>
          <w:szCs w:val="15"/>
        </w:rPr>
      </w:pPr>
    </w:p>
    <w:p w:rsidR="0090722B" w:rsidRDefault="0090722B">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162774" w:rsidRDefault="00162774">
      <w:pPr>
        <w:spacing w:line="600" w:lineRule="exact"/>
        <w:jc w:val="center"/>
        <w:outlineLvl w:val="0"/>
        <w:rPr>
          <w:rFonts w:ascii="黑体" w:eastAsia="黑体" w:hAnsi="黑体"/>
          <w:sz w:val="44"/>
          <w:szCs w:val="44"/>
        </w:rPr>
      </w:pPr>
    </w:p>
    <w:p w:rsidR="0090722B" w:rsidRDefault="0090722B">
      <w:pPr>
        <w:spacing w:line="600" w:lineRule="exact"/>
        <w:jc w:val="center"/>
        <w:outlineLvl w:val="0"/>
        <w:rPr>
          <w:rStyle w:val="1Char"/>
          <w:rFonts w:ascii="黑体" w:eastAsia="黑体" w:hAnsi="黑体"/>
          <w:b w:val="0"/>
        </w:rPr>
      </w:pPr>
      <w:r>
        <w:rPr>
          <w:rFonts w:ascii="黑体" w:eastAsia="黑体" w:hAnsi="黑体" w:hint="eastAsia"/>
          <w:sz w:val="44"/>
          <w:szCs w:val="44"/>
        </w:rPr>
        <w:t>第</w:t>
      </w:r>
      <w:r>
        <w:rPr>
          <w:rStyle w:val="1Char"/>
          <w:rFonts w:ascii="黑体" w:eastAsia="黑体" w:hAnsi="黑体" w:hint="eastAsia"/>
          <w:b w:val="0"/>
        </w:rPr>
        <w:t>五部分 附表</w:t>
      </w:r>
      <w:bookmarkEnd w:id="50"/>
      <w:bookmarkEnd w:id="52"/>
    </w:p>
    <w:p w:rsidR="00162774" w:rsidRDefault="00162774" w:rsidP="00162774">
      <w:pPr>
        <w:pStyle w:val="a0"/>
        <w:spacing w:before="93"/>
      </w:pPr>
    </w:p>
    <w:p w:rsidR="00162774" w:rsidRPr="00162774" w:rsidRDefault="00162774" w:rsidP="00162774">
      <w:pPr>
        <w:pStyle w:val="a0"/>
        <w:spacing w:before="93"/>
      </w:pPr>
    </w:p>
    <w:p w:rsidR="00D13277" w:rsidRDefault="0090722B">
      <w:pPr>
        <w:pStyle w:val="2"/>
        <w:rPr>
          <w:rFonts w:ascii="仿宋" w:eastAsia="仿宋" w:hAnsi="仿宋"/>
        </w:rPr>
      </w:pPr>
      <w:bookmarkStart w:id="53" w:name="_Toc15396619"/>
      <w:r>
        <w:rPr>
          <w:rFonts w:ascii="仿宋" w:eastAsia="仿宋" w:hAnsi="仿宋" w:hint="eastAsia"/>
          <w:b w:val="0"/>
        </w:rPr>
        <w:lastRenderedPageBreak/>
        <w:t>一、收</w:t>
      </w:r>
      <w:r>
        <w:rPr>
          <w:rStyle w:val="2Char"/>
          <w:rFonts w:ascii="仿宋" w:eastAsia="仿宋" w:hAnsi="仿宋" w:hint="eastAsia"/>
        </w:rPr>
        <w:t>入支出决算总表</w:t>
      </w:r>
      <w:bookmarkEnd w:id="53"/>
    </w:p>
    <w:p w:rsidR="00D13277" w:rsidRDefault="00A3779E">
      <w:pPr>
        <w:pStyle w:val="2"/>
        <w:rPr>
          <w:rFonts w:ascii="仿宋" w:eastAsia="仿宋" w:hAnsi="仿宋"/>
        </w:rPr>
      </w:pPr>
      <w:bookmarkStart w:id="54" w:name="_Toc15396620"/>
      <w:r>
        <w:rPr>
          <w:rFonts w:ascii="仿宋" w:eastAsia="仿宋" w:hAnsi="仿宋" w:hint="eastAsia"/>
          <w:b w:val="0"/>
        </w:rPr>
        <w:t>二、收</w:t>
      </w:r>
      <w:r>
        <w:rPr>
          <w:rStyle w:val="2Char"/>
          <w:rFonts w:ascii="仿宋" w:eastAsia="仿宋" w:hAnsi="仿宋" w:hint="eastAsia"/>
        </w:rPr>
        <w:t>入决算表</w:t>
      </w:r>
      <w:bookmarkEnd w:id="54"/>
    </w:p>
    <w:p w:rsidR="00D13277" w:rsidRDefault="00A3779E">
      <w:pPr>
        <w:pStyle w:val="2"/>
        <w:rPr>
          <w:rFonts w:ascii="仿宋" w:eastAsia="仿宋" w:hAnsi="仿宋"/>
        </w:rPr>
      </w:pPr>
      <w:bookmarkStart w:id="55" w:name="_Toc15396621"/>
      <w:r>
        <w:rPr>
          <w:rStyle w:val="2Char"/>
          <w:rFonts w:ascii="仿宋" w:eastAsia="仿宋" w:hAnsi="仿宋" w:hint="eastAsia"/>
        </w:rPr>
        <w:t>三、</w:t>
      </w:r>
      <w:r>
        <w:rPr>
          <w:rFonts w:ascii="仿宋" w:eastAsia="仿宋" w:hAnsi="仿宋" w:hint="eastAsia"/>
          <w:b w:val="0"/>
        </w:rPr>
        <w:t>支</w:t>
      </w:r>
      <w:r>
        <w:rPr>
          <w:rStyle w:val="2Char"/>
          <w:rFonts w:ascii="仿宋" w:eastAsia="仿宋" w:hAnsi="仿宋" w:hint="eastAsia"/>
        </w:rPr>
        <w:t>出决算表</w:t>
      </w:r>
      <w:bookmarkEnd w:id="55"/>
    </w:p>
    <w:p w:rsidR="00D13277" w:rsidRDefault="00A3779E">
      <w:pPr>
        <w:pStyle w:val="2"/>
        <w:rPr>
          <w:rFonts w:ascii="仿宋" w:eastAsia="仿宋" w:hAnsi="仿宋"/>
          <w:b w:val="0"/>
        </w:rPr>
      </w:pPr>
      <w:bookmarkStart w:id="56" w:name="_Toc15396622"/>
      <w:r>
        <w:rPr>
          <w:rStyle w:val="2Char"/>
          <w:rFonts w:ascii="仿宋" w:eastAsia="仿宋" w:hAnsi="仿宋" w:hint="eastAsia"/>
        </w:rPr>
        <w:t>四、</w:t>
      </w:r>
      <w:r>
        <w:rPr>
          <w:rFonts w:ascii="仿宋" w:eastAsia="仿宋" w:hAnsi="仿宋" w:hint="eastAsia"/>
          <w:b w:val="0"/>
        </w:rPr>
        <w:t>财</w:t>
      </w:r>
      <w:r>
        <w:rPr>
          <w:rStyle w:val="2Char"/>
          <w:rFonts w:ascii="仿宋" w:eastAsia="仿宋" w:hAnsi="仿宋" w:hint="eastAsia"/>
        </w:rPr>
        <w:t>政拨款收入支出决算总表</w:t>
      </w:r>
      <w:bookmarkEnd w:id="56"/>
    </w:p>
    <w:p w:rsidR="00D13277" w:rsidRDefault="00A3779E">
      <w:pPr>
        <w:pStyle w:val="2"/>
        <w:rPr>
          <w:rStyle w:val="2Char"/>
          <w:rFonts w:ascii="仿宋" w:eastAsia="仿宋" w:hAnsi="仿宋"/>
        </w:rPr>
      </w:pPr>
      <w:bookmarkStart w:id="57" w:name="_Toc15396623"/>
      <w:r>
        <w:rPr>
          <w:rStyle w:val="2Char"/>
          <w:rFonts w:ascii="仿宋" w:eastAsia="仿宋" w:hAnsi="仿宋" w:hint="eastAsia"/>
        </w:rPr>
        <w:t>五、</w:t>
      </w:r>
      <w:r>
        <w:rPr>
          <w:rFonts w:ascii="仿宋" w:eastAsia="仿宋" w:hAnsi="仿宋" w:hint="eastAsia"/>
          <w:b w:val="0"/>
        </w:rPr>
        <w:t>财</w:t>
      </w:r>
      <w:r>
        <w:rPr>
          <w:rStyle w:val="2Char"/>
          <w:rFonts w:ascii="仿宋" w:eastAsia="仿宋" w:hAnsi="仿宋" w:hint="eastAsia"/>
        </w:rPr>
        <w:t>政拨款支出决算明细表</w:t>
      </w:r>
      <w:bookmarkStart w:id="58" w:name="_Toc15396624"/>
      <w:bookmarkEnd w:id="57"/>
    </w:p>
    <w:p w:rsidR="00D13277" w:rsidRDefault="00A3779E">
      <w:pPr>
        <w:pStyle w:val="2"/>
        <w:rPr>
          <w:rFonts w:ascii="仿宋" w:eastAsia="仿宋" w:hAnsi="仿宋"/>
        </w:rPr>
      </w:pPr>
      <w:r>
        <w:rPr>
          <w:rStyle w:val="2Char"/>
          <w:rFonts w:ascii="仿宋" w:eastAsia="仿宋" w:hAnsi="仿宋" w:hint="eastAsia"/>
        </w:rPr>
        <w:t>六、</w:t>
      </w:r>
      <w:r>
        <w:rPr>
          <w:rFonts w:ascii="仿宋" w:eastAsia="仿宋" w:hAnsi="仿宋" w:hint="eastAsia"/>
          <w:b w:val="0"/>
        </w:rPr>
        <w:t>一</w:t>
      </w:r>
      <w:r>
        <w:rPr>
          <w:rStyle w:val="2Char"/>
          <w:rFonts w:ascii="仿宋" w:eastAsia="仿宋" w:hAnsi="仿宋" w:hint="eastAsia"/>
        </w:rPr>
        <w:t>般公共预算财政拨款支出决算表</w:t>
      </w:r>
      <w:bookmarkEnd w:id="58"/>
    </w:p>
    <w:p w:rsidR="00D13277" w:rsidRDefault="00A3779E">
      <w:pPr>
        <w:pStyle w:val="2"/>
        <w:rPr>
          <w:rFonts w:ascii="仿宋" w:eastAsia="仿宋" w:hAnsi="仿宋"/>
        </w:rPr>
      </w:pPr>
      <w:bookmarkStart w:id="59" w:name="_Toc15396625"/>
      <w:r>
        <w:rPr>
          <w:rStyle w:val="2Char"/>
          <w:rFonts w:ascii="仿宋" w:eastAsia="仿宋" w:hAnsi="仿宋" w:hint="eastAsia"/>
        </w:rPr>
        <w:t>七、</w:t>
      </w:r>
      <w:r>
        <w:rPr>
          <w:rFonts w:ascii="仿宋" w:eastAsia="仿宋" w:hAnsi="仿宋" w:hint="eastAsia"/>
          <w:b w:val="0"/>
        </w:rPr>
        <w:t>一</w:t>
      </w:r>
      <w:r>
        <w:rPr>
          <w:rStyle w:val="2Char"/>
          <w:rFonts w:ascii="仿宋" w:eastAsia="仿宋" w:hAnsi="仿宋" w:hint="eastAsia"/>
        </w:rPr>
        <w:t>般公共预算财政拨款支出决算明细表</w:t>
      </w:r>
      <w:bookmarkEnd w:id="59"/>
    </w:p>
    <w:p w:rsidR="00D13277" w:rsidRDefault="00A3779E">
      <w:pPr>
        <w:pStyle w:val="2"/>
        <w:rPr>
          <w:rFonts w:ascii="仿宋" w:eastAsia="仿宋" w:hAnsi="仿宋"/>
        </w:rPr>
      </w:pPr>
      <w:bookmarkStart w:id="60" w:name="_Toc15396626"/>
      <w:r>
        <w:rPr>
          <w:rStyle w:val="2Char"/>
          <w:rFonts w:ascii="仿宋" w:eastAsia="仿宋" w:hAnsi="仿宋" w:hint="eastAsia"/>
        </w:rPr>
        <w:t>八、</w:t>
      </w:r>
      <w:r>
        <w:rPr>
          <w:rFonts w:ascii="仿宋" w:eastAsia="仿宋" w:hAnsi="仿宋" w:hint="eastAsia"/>
          <w:b w:val="0"/>
        </w:rPr>
        <w:t>一</w:t>
      </w:r>
      <w:r>
        <w:rPr>
          <w:rStyle w:val="2Char"/>
          <w:rFonts w:ascii="仿宋" w:eastAsia="仿宋" w:hAnsi="仿宋" w:hint="eastAsia"/>
        </w:rPr>
        <w:t>般公共预算财政拨款基本支出决算表</w:t>
      </w:r>
      <w:bookmarkEnd w:id="60"/>
    </w:p>
    <w:p w:rsidR="00D13277" w:rsidRDefault="00A3779E">
      <w:pPr>
        <w:pStyle w:val="2"/>
        <w:rPr>
          <w:rFonts w:ascii="仿宋" w:eastAsia="仿宋" w:hAnsi="仿宋"/>
        </w:rPr>
      </w:pPr>
      <w:bookmarkStart w:id="61" w:name="_Toc15396627"/>
      <w:r>
        <w:rPr>
          <w:rStyle w:val="2Char"/>
          <w:rFonts w:ascii="仿宋" w:eastAsia="仿宋" w:hAnsi="仿宋" w:hint="eastAsia"/>
        </w:rPr>
        <w:t>九、</w:t>
      </w:r>
      <w:r>
        <w:rPr>
          <w:rFonts w:ascii="仿宋" w:eastAsia="仿宋" w:hAnsi="仿宋" w:hint="eastAsia"/>
          <w:b w:val="0"/>
        </w:rPr>
        <w:t>一</w:t>
      </w:r>
      <w:r>
        <w:rPr>
          <w:rStyle w:val="2Char"/>
          <w:rFonts w:ascii="仿宋" w:eastAsia="仿宋" w:hAnsi="仿宋" w:hint="eastAsia"/>
        </w:rPr>
        <w:t>般公共预算财政拨款项目支出决算表</w:t>
      </w:r>
      <w:bookmarkEnd w:id="61"/>
    </w:p>
    <w:p w:rsidR="00D13277" w:rsidRDefault="00A3779E">
      <w:pPr>
        <w:pStyle w:val="2"/>
        <w:rPr>
          <w:rFonts w:ascii="仿宋" w:eastAsia="仿宋" w:hAnsi="仿宋"/>
        </w:rPr>
      </w:pPr>
      <w:bookmarkStart w:id="62" w:name="_Toc15396628"/>
      <w:r>
        <w:rPr>
          <w:rStyle w:val="2Char"/>
          <w:rFonts w:ascii="仿宋" w:eastAsia="仿宋" w:hAnsi="仿宋" w:hint="eastAsia"/>
        </w:rPr>
        <w:t>十、</w:t>
      </w:r>
      <w:r>
        <w:rPr>
          <w:rFonts w:ascii="仿宋" w:eastAsia="仿宋" w:hAnsi="仿宋" w:hint="eastAsia"/>
          <w:b w:val="0"/>
        </w:rPr>
        <w:t>一</w:t>
      </w:r>
      <w:r>
        <w:rPr>
          <w:rStyle w:val="2Char"/>
          <w:rFonts w:ascii="仿宋" w:eastAsia="仿宋" w:hAnsi="仿宋" w:hint="eastAsia"/>
        </w:rPr>
        <w:t>般公共预算财政拨款“三公”经费支出决算表</w:t>
      </w:r>
      <w:bookmarkEnd w:id="62"/>
    </w:p>
    <w:p w:rsidR="00D13277" w:rsidRDefault="00A3779E">
      <w:pPr>
        <w:pStyle w:val="2"/>
        <w:rPr>
          <w:rFonts w:ascii="仿宋" w:eastAsia="仿宋" w:hAnsi="仿宋"/>
        </w:rPr>
      </w:pPr>
      <w:bookmarkStart w:id="63" w:name="_Toc15396629"/>
      <w:r>
        <w:rPr>
          <w:rStyle w:val="2Char"/>
          <w:rFonts w:ascii="仿宋" w:eastAsia="仿宋" w:hAnsi="仿宋" w:hint="eastAsia"/>
        </w:rPr>
        <w:t>十一、</w:t>
      </w:r>
      <w:r>
        <w:rPr>
          <w:rFonts w:ascii="仿宋" w:eastAsia="仿宋" w:hAnsi="仿宋" w:hint="eastAsia"/>
          <w:b w:val="0"/>
        </w:rPr>
        <w:t>政</w:t>
      </w:r>
      <w:r>
        <w:rPr>
          <w:rStyle w:val="2Char"/>
          <w:rFonts w:ascii="仿宋" w:eastAsia="仿宋" w:hAnsi="仿宋" w:hint="eastAsia"/>
        </w:rPr>
        <w:t>府性基金预算财政拨款收入支出决算表</w:t>
      </w:r>
      <w:bookmarkEnd w:id="63"/>
      <w:r w:rsidR="00FF2AB6">
        <w:rPr>
          <w:rStyle w:val="2Char"/>
          <w:rFonts w:ascii="仿宋" w:eastAsia="仿宋" w:hAnsi="仿宋" w:hint="eastAsia"/>
        </w:rPr>
        <w:t>（此表无数据）</w:t>
      </w:r>
    </w:p>
    <w:p w:rsidR="00D13277" w:rsidRPr="00FF2AB6" w:rsidRDefault="00A3779E">
      <w:pPr>
        <w:pStyle w:val="2"/>
        <w:rPr>
          <w:rFonts w:ascii="仿宋" w:eastAsia="仿宋" w:hAnsi="仿宋"/>
        </w:rPr>
      </w:pPr>
      <w:bookmarkStart w:id="64" w:name="_Toc15396630"/>
      <w:r>
        <w:rPr>
          <w:rStyle w:val="2Char"/>
          <w:rFonts w:ascii="仿宋" w:eastAsia="仿宋" w:hAnsi="仿宋" w:hint="eastAsia"/>
        </w:rPr>
        <w:t>十二、</w:t>
      </w:r>
      <w:r>
        <w:rPr>
          <w:rFonts w:ascii="仿宋" w:eastAsia="仿宋" w:hAnsi="仿宋" w:hint="eastAsia"/>
          <w:b w:val="0"/>
        </w:rPr>
        <w:t>政</w:t>
      </w:r>
      <w:r>
        <w:rPr>
          <w:rStyle w:val="2Char"/>
          <w:rFonts w:ascii="仿宋" w:eastAsia="仿宋" w:hAnsi="仿宋" w:hint="eastAsia"/>
        </w:rPr>
        <w:t>府性基金预算财政拨款“三公”经费支出决算表</w:t>
      </w:r>
      <w:bookmarkEnd w:id="64"/>
      <w:r w:rsidR="00FF2AB6">
        <w:rPr>
          <w:rStyle w:val="2Char"/>
          <w:rFonts w:ascii="仿宋" w:eastAsia="仿宋" w:hAnsi="仿宋" w:hint="eastAsia"/>
        </w:rPr>
        <w:t>（此表无数据）</w:t>
      </w:r>
    </w:p>
    <w:p w:rsidR="00D13277" w:rsidRPr="00FF2AB6" w:rsidRDefault="00A3779E">
      <w:pPr>
        <w:pStyle w:val="2"/>
        <w:rPr>
          <w:rStyle w:val="2Char"/>
          <w:rFonts w:ascii="仿宋" w:eastAsia="仿宋" w:hAnsi="仿宋"/>
          <w:b/>
          <w:bCs/>
        </w:rPr>
      </w:pPr>
      <w:bookmarkStart w:id="65" w:name="_Toc15396631"/>
      <w:r>
        <w:rPr>
          <w:rStyle w:val="2Char"/>
          <w:rFonts w:ascii="仿宋" w:eastAsia="仿宋" w:hAnsi="仿宋" w:hint="eastAsia"/>
        </w:rPr>
        <w:t>十三、</w:t>
      </w:r>
      <w:r>
        <w:rPr>
          <w:rFonts w:ascii="仿宋" w:eastAsia="仿宋" w:hAnsi="仿宋" w:hint="eastAsia"/>
          <w:b w:val="0"/>
        </w:rPr>
        <w:t>国</w:t>
      </w:r>
      <w:r>
        <w:rPr>
          <w:rStyle w:val="2Char"/>
          <w:rFonts w:ascii="仿宋" w:eastAsia="仿宋" w:hAnsi="仿宋" w:hint="eastAsia"/>
        </w:rPr>
        <w:t>有资本经营预算财政拨款收入支出决算表</w:t>
      </w:r>
      <w:bookmarkEnd w:id="65"/>
      <w:r w:rsidR="00FF2AB6">
        <w:rPr>
          <w:rStyle w:val="2Char"/>
          <w:rFonts w:ascii="仿宋" w:eastAsia="仿宋" w:hAnsi="仿宋" w:hint="eastAsia"/>
        </w:rPr>
        <w:t>（此表无数据）</w:t>
      </w:r>
    </w:p>
    <w:p w:rsidR="00FF2AB6" w:rsidRDefault="00A3779E" w:rsidP="00FF2AB6">
      <w:pPr>
        <w:pStyle w:val="2"/>
        <w:rPr>
          <w:rFonts w:ascii="仿宋" w:eastAsia="仿宋" w:hAnsi="仿宋"/>
        </w:rPr>
      </w:pPr>
      <w:r>
        <w:rPr>
          <w:rStyle w:val="2Char"/>
          <w:rFonts w:ascii="仿宋" w:eastAsia="仿宋" w:hAnsi="仿宋" w:hint="eastAsia"/>
        </w:rPr>
        <w:t>十四、国有资本经营预算财政拨款支出决算表</w:t>
      </w:r>
      <w:r w:rsidR="00FF2AB6">
        <w:rPr>
          <w:rStyle w:val="2Char"/>
          <w:rFonts w:ascii="仿宋" w:eastAsia="仿宋" w:hAnsi="仿宋" w:hint="eastAsia"/>
        </w:rPr>
        <w:t>（此表无数据）</w:t>
      </w:r>
    </w:p>
    <w:p w:rsidR="00D13277" w:rsidRPr="00FF2AB6" w:rsidRDefault="00D13277">
      <w:pPr>
        <w:rPr>
          <w:rFonts w:eastAsia="仿宋"/>
        </w:rPr>
      </w:pPr>
    </w:p>
    <w:sectPr w:rsidR="00D13277" w:rsidRPr="00FF2AB6" w:rsidSect="00172B65">
      <w:headerReference w:type="default" r:id="rId15"/>
      <w:footerReference w:type="default" r:id="rId16"/>
      <w:pgSz w:w="11906" w:h="16838" w:code="9"/>
      <w:pgMar w:top="1440" w:right="1797" w:bottom="1440" w:left="1797"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AE1" w:rsidRDefault="00146AE1" w:rsidP="00D13277">
      <w:r>
        <w:separator/>
      </w:r>
    </w:p>
  </w:endnote>
  <w:endnote w:type="continuationSeparator" w:id="1">
    <w:p w:rsidR="00146AE1" w:rsidRDefault="00146AE1" w:rsidP="00D13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仿宋_GBK-WinCharSetFFFF-H">
    <w:altName w:val="黑体"/>
    <w:panose1 w:val="00000000000000000000"/>
    <w:charset w:val="86"/>
    <w:family w:val="auto"/>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606063"/>
    </w:sdtPr>
    <w:sdtContent>
      <w:p w:rsidR="009F7F8B" w:rsidRDefault="00A32D97">
        <w:pPr>
          <w:pStyle w:val="a5"/>
          <w:jc w:val="center"/>
        </w:pPr>
        <w:fldSimple w:instr="PAGE   \* MERGEFORMAT">
          <w:r w:rsidR="00B90A36" w:rsidRPr="00B90A36">
            <w:rPr>
              <w:noProof/>
              <w:lang w:val="zh-CN"/>
            </w:rPr>
            <w:t>17</w:t>
          </w:r>
        </w:fldSimple>
      </w:p>
    </w:sdtContent>
  </w:sdt>
  <w:p w:rsidR="009F7F8B" w:rsidRDefault="009F7F8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AE1" w:rsidRDefault="00146AE1" w:rsidP="00D13277">
      <w:r>
        <w:separator/>
      </w:r>
    </w:p>
  </w:footnote>
  <w:footnote w:type="continuationSeparator" w:id="1">
    <w:p w:rsidR="00146AE1" w:rsidRDefault="00146AE1" w:rsidP="00D132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F8B" w:rsidRDefault="009F7F8B">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ascii="黑体" w:eastAsia="黑体" w:hAnsi="黑体" w:cs="黑体" w:hint="eastAsia"/>
        <w:sz w:val="44"/>
        <w:szCs w:val="44"/>
      </w:rPr>
    </w:lvl>
  </w:abstractNum>
  <w:abstractNum w:abstractNumId="2">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290C6B03"/>
    <w:multiLevelType w:val="hybridMultilevel"/>
    <w:tmpl w:val="3438BE3E"/>
    <w:lvl w:ilvl="0" w:tplc="1DFC9128">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1361C"/>
    <w:rsid w:val="9E3A10E2"/>
    <w:rsid w:val="F2E1F9D4"/>
    <w:rsid w:val="F7880819"/>
    <w:rsid w:val="000222C6"/>
    <w:rsid w:val="0002549F"/>
    <w:rsid w:val="000468DB"/>
    <w:rsid w:val="00061033"/>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190B"/>
    <w:rsid w:val="000E6613"/>
    <w:rsid w:val="000E7119"/>
    <w:rsid w:val="001040CD"/>
    <w:rsid w:val="00114E9B"/>
    <w:rsid w:val="00137935"/>
    <w:rsid w:val="00142216"/>
    <w:rsid w:val="00144D6A"/>
    <w:rsid w:val="00146AE1"/>
    <w:rsid w:val="0014729F"/>
    <w:rsid w:val="00157BAB"/>
    <w:rsid w:val="00162774"/>
    <w:rsid w:val="001654D1"/>
    <w:rsid w:val="00172B65"/>
    <w:rsid w:val="00174518"/>
    <w:rsid w:val="0018106D"/>
    <w:rsid w:val="001877A7"/>
    <w:rsid w:val="00191536"/>
    <w:rsid w:val="00196687"/>
    <w:rsid w:val="001A3C1B"/>
    <w:rsid w:val="001C0962"/>
    <w:rsid w:val="001C5665"/>
    <w:rsid w:val="001D7531"/>
    <w:rsid w:val="001E737D"/>
    <w:rsid w:val="001F0592"/>
    <w:rsid w:val="001F7506"/>
    <w:rsid w:val="002006CD"/>
    <w:rsid w:val="00202B36"/>
    <w:rsid w:val="0020417E"/>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8258C"/>
    <w:rsid w:val="003A484F"/>
    <w:rsid w:val="003A4883"/>
    <w:rsid w:val="003A76EB"/>
    <w:rsid w:val="003B0BE0"/>
    <w:rsid w:val="003B0C1B"/>
    <w:rsid w:val="003B688C"/>
    <w:rsid w:val="003C0291"/>
    <w:rsid w:val="003C39AE"/>
    <w:rsid w:val="003C7B60"/>
    <w:rsid w:val="003D0C0F"/>
    <w:rsid w:val="003D1FB2"/>
    <w:rsid w:val="003D610F"/>
    <w:rsid w:val="003D66DA"/>
    <w:rsid w:val="003E1310"/>
    <w:rsid w:val="003E6F55"/>
    <w:rsid w:val="00406254"/>
    <w:rsid w:val="004223DE"/>
    <w:rsid w:val="00434489"/>
    <w:rsid w:val="00437085"/>
    <w:rsid w:val="004371A2"/>
    <w:rsid w:val="00443880"/>
    <w:rsid w:val="004464F4"/>
    <w:rsid w:val="00471401"/>
    <w:rsid w:val="00473F31"/>
    <w:rsid w:val="0048263A"/>
    <w:rsid w:val="00487E5D"/>
    <w:rsid w:val="004A711F"/>
    <w:rsid w:val="004B199D"/>
    <w:rsid w:val="004B4690"/>
    <w:rsid w:val="004C3379"/>
    <w:rsid w:val="004C535C"/>
    <w:rsid w:val="004E0A2D"/>
    <w:rsid w:val="004E206B"/>
    <w:rsid w:val="004E6DF7"/>
    <w:rsid w:val="004F0FBD"/>
    <w:rsid w:val="00505A47"/>
    <w:rsid w:val="00512FDA"/>
    <w:rsid w:val="00520DA0"/>
    <w:rsid w:val="00526065"/>
    <w:rsid w:val="005664BB"/>
    <w:rsid w:val="00566FFA"/>
    <w:rsid w:val="0057481D"/>
    <w:rsid w:val="0058486E"/>
    <w:rsid w:val="00585B33"/>
    <w:rsid w:val="0059014D"/>
    <w:rsid w:val="005A4D76"/>
    <w:rsid w:val="005B3E31"/>
    <w:rsid w:val="005B5C64"/>
    <w:rsid w:val="005C5337"/>
    <w:rsid w:val="005C6BD0"/>
    <w:rsid w:val="005D1C8B"/>
    <w:rsid w:val="005D468D"/>
    <w:rsid w:val="005D5CED"/>
    <w:rsid w:val="005E1703"/>
    <w:rsid w:val="005F1A4C"/>
    <w:rsid w:val="00605688"/>
    <w:rsid w:val="006070AF"/>
    <w:rsid w:val="00607E6C"/>
    <w:rsid w:val="006101B1"/>
    <w:rsid w:val="00613467"/>
    <w:rsid w:val="00614E44"/>
    <w:rsid w:val="0062270A"/>
    <w:rsid w:val="00622830"/>
    <w:rsid w:val="00623DA0"/>
    <w:rsid w:val="00630AEF"/>
    <w:rsid w:val="006325F8"/>
    <w:rsid w:val="0063266E"/>
    <w:rsid w:val="00633463"/>
    <w:rsid w:val="00634C9A"/>
    <w:rsid w:val="006440E4"/>
    <w:rsid w:val="006463AC"/>
    <w:rsid w:val="0066044B"/>
    <w:rsid w:val="0066343B"/>
    <w:rsid w:val="00664777"/>
    <w:rsid w:val="006748A4"/>
    <w:rsid w:val="00681A31"/>
    <w:rsid w:val="00683E73"/>
    <w:rsid w:val="006A3141"/>
    <w:rsid w:val="006A5E34"/>
    <w:rsid w:val="006B2422"/>
    <w:rsid w:val="006B2B9A"/>
    <w:rsid w:val="006C1937"/>
    <w:rsid w:val="006F020C"/>
    <w:rsid w:val="006F34B0"/>
    <w:rsid w:val="006F391A"/>
    <w:rsid w:val="007127B7"/>
    <w:rsid w:val="0071798E"/>
    <w:rsid w:val="007416B6"/>
    <w:rsid w:val="00746F48"/>
    <w:rsid w:val="0075404D"/>
    <w:rsid w:val="0076182A"/>
    <w:rsid w:val="00767B7E"/>
    <w:rsid w:val="007770C3"/>
    <w:rsid w:val="00784D24"/>
    <w:rsid w:val="00785DDB"/>
    <w:rsid w:val="00785FBA"/>
    <w:rsid w:val="00786E4A"/>
    <w:rsid w:val="007875EB"/>
    <w:rsid w:val="0079426B"/>
    <w:rsid w:val="007B682C"/>
    <w:rsid w:val="007D1682"/>
    <w:rsid w:val="007D312A"/>
    <w:rsid w:val="007D3F19"/>
    <w:rsid w:val="007E23B0"/>
    <w:rsid w:val="007E23E5"/>
    <w:rsid w:val="007F1991"/>
    <w:rsid w:val="007F2C2F"/>
    <w:rsid w:val="007F55FC"/>
    <w:rsid w:val="007F5665"/>
    <w:rsid w:val="00800112"/>
    <w:rsid w:val="00813348"/>
    <w:rsid w:val="00813959"/>
    <w:rsid w:val="008253BB"/>
    <w:rsid w:val="008258B4"/>
    <w:rsid w:val="0083706E"/>
    <w:rsid w:val="008408F6"/>
    <w:rsid w:val="00840BB3"/>
    <w:rsid w:val="008423A5"/>
    <w:rsid w:val="00850625"/>
    <w:rsid w:val="00853718"/>
    <w:rsid w:val="00855221"/>
    <w:rsid w:val="00860645"/>
    <w:rsid w:val="00871F71"/>
    <w:rsid w:val="00872FD8"/>
    <w:rsid w:val="00885AF4"/>
    <w:rsid w:val="00892918"/>
    <w:rsid w:val="008939CD"/>
    <w:rsid w:val="008B768C"/>
    <w:rsid w:val="008C4DB1"/>
    <w:rsid w:val="008C4EAF"/>
    <w:rsid w:val="008C5176"/>
    <w:rsid w:val="008C7FD0"/>
    <w:rsid w:val="008D4C40"/>
    <w:rsid w:val="008E1DE7"/>
    <w:rsid w:val="008E57E8"/>
    <w:rsid w:val="008E707C"/>
    <w:rsid w:val="00900B08"/>
    <w:rsid w:val="00902155"/>
    <w:rsid w:val="00902FA3"/>
    <w:rsid w:val="0090722B"/>
    <w:rsid w:val="009079BB"/>
    <w:rsid w:val="00923564"/>
    <w:rsid w:val="0092392E"/>
    <w:rsid w:val="009315F9"/>
    <w:rsid w:val="00933499"/>
    <w:rsid w:val="00935C98"/>
    <w:rsid w:val="009434BD"/>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C4D44"/>
    <w:rsid w:val="009D24A8"/>
    <w:rsid w:val="009D3447"/>
    <w:rsid w:val="009D4711"/>
    <w:rsid w:val="009E4D40"/>
    <w:rsid w:val="009F1185"/>
    <w:rsid w:val="009F18CD"/>
    <w:rsid w:val="009F2A13"/>
    <w:rsid w:val="009F7527"/>
    <w:rsid w:val="009F7F8B"/>
    <w:rsid w:val="00A04EB0"/>
    <w:rsid w:val="00A13CC1"/>
    <w:rsid w:val="00A16847"/>
    <w:rsid w:val="00A237D8"/>
    <w:rsid w:val="00A268C4"/>
    <w:rsid w:val="00A307CD"/>
    <w:rsid w:val="00A32D97"/>
    <w:rsid w:val="00A331C8"/>
    <w:rsid w:val="00A3779E"/>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C4DD1"/>
    <w:rsid w:val="00AD5620"/>
    <w:rsid w:val="00AD656B"/>
    <w:rsid w:val="00AD7C1B"/>
    <w:rsid w:val="00AE16BA"/>
    <w:rsid w:val="00AE1EBE"/>
    <w:rsid w:val="00AE63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0AFD"/>
    <w:rsid w:val="00B75A0B"/>
    <w:rsid w:val="00B77EA6"/>
    <w:rsid w:val="00B80601"/>
    <w:rsid w:val="00B81598"/>
    <w:rsid w:val="00B841F1"/>
    <w:rsid w:val="00B90A36"/>
    <w:rsid w:val="00B944D6"/>
    <w:rsid w:val="00BB4DF0"/>
    <w:rsid w:val="00BC289F"/>
    <w:rsid w:val="00BC2D50"/>
    <w:rsid w:val="00BC5361"/>
    <w:rsid w:val="00BC5460"/>
    <w:rsid w:val="00BC6B50"/>
    <w:rsid w:val="00BD0E25"/>
    <w:rsid w:val="00BD6FB3"/>
    <w:rsid w:val="00BF5A0B"/>
    <w:rsid w:val="00BF5BD6"/>
    <w:rsid w:val="00BF7CB8"/>
    <w:rsid w:val="00C03E31"/>
    <w:rsid w:val="00C17437"/>
    <w:rsid w:val="00C33E72"/>
    <w:rsid w:val="00C354B2"/>
    <w:rsid w:val="00C35554"/>
    <w:rsid w:val="00C40F2F"/>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04684"/>
    <w:rsid w:val="00D114F0"/>
    <w:rsid w:val="00D13277"/>
    <w:rsid w:val="00D14309"/>
    <w:rsid w:val="00D20620"/>
    <w:rsid w:val="00D20623"/>
    <w:rsid w:val="00D254F7"/>
    <w:rsid w:val="00D26091"/>
    <w:rsid w:val="00D2685C"/>
    <w:rsid w:val="00D33D55"/>
    <w:rsid w:val="00D34E7C"/>
    <w:rsid w:val="00D35489"/>
    <w:rsid w:val="00D36AFE"/>
    <w:rsid w:val="00D47BEF"/>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2AB6"/>
    <w:rsid w:val="00FF30B4"/>
    <w:rsid w:val="0A2032A3"/>
    <w:rsid w:val="0B8A37D8"/>
    <w:rsid w:val="10C055FF"/>
    <w:rsid w:val="118107EC"/>
    <w:rsid w:val="11DD6519"/>
    <w:rsid w:val="16BB723D"/>
    <w:rsid w:val="18015F3F"/>
    <w:rsid w:val="1BE8440E"/>
    <w:rsid w:val="1D155CEE"/>
    <w:rsid w:val="20F57F95"/>
    <w:rsid w:val="240371BF"/>
    <w:rsid w:val="25C741E6"/>
    <w:rsid w:val="27842671"/>
    <w:rsid w:val="29FD04D3"/>
    <w:rsid w:val="2ABE7A3E"/>
    <w:rsid w:val="2EFA178C"/>
    <w:rsid w:val="30B46D73"/>
    <w:rsid w:val="319F7F4E"/>
    <w:rsid w:val="39AE70AB"/>
    <w:rsid w:val="3C0C0783"/>
    <w:rsid w:val="3F9F3A96"/>
    <w:rsid w:val="493C27E9"/>
    <w:rsid w:val="496F39ED"/>
    <w:rsid w:val="49FF41D3"/>
    <w:rsid w:val="4BE068DB"/>
    <w:rsid w:val="4BF6002B"/>
    <w:rsid w:val="4ECE2238"/>
    <w:rsid w:val="51DB4B86"/>
    <w:rsid w:val="55333C3E"/>
    <w:rsid w:val="64CA39A1"/>
    <w:rsid w:val="6C4A05C8"/>
    <w:rsid w:val="72734D90"/>
    <w:rsid w:val="79E7B28D"/>
    <w:rsid w:val="7F9F20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D1327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D1327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D1327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D13277"/>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99"/>
    <w:qFormat/>
    <w:rsid w:val="00D13277"/>
    <w:pPr>
      <w:spacing w:beforeLines="30"/>
    </w:pPr>
    <w:rPr>
      <w:rFonts w:ascii="仿宋_GB2312" w:eastAsia="仿宋_GB2312"/>
      <w:kern w:val="0"/>
      <w:sz w:val="30"/>
    </w:rPr>
  </w:style>
  <w:style w:type="paragraph" w:styleId="30">
    <w:name w:val="toc 3"/>
    <w:basedOn w:val="a"/>
    <w:next w:val="a"/>
    <w:uiPriority w:val="39"/>
    <w:unhideWhenUsed/>
    <w:qFormat/>
    <w:rsid w:val="00D13277"/>
    <w:pPr>
      <w:tabs>
        <w:tab w:val="right" w:leader="dot" w:pos="8296"/>
      </w:tabs>
      <w:ind w:leftChars="400" w:left="840"/>
    </w:pPr>
  </w:style>
  <w:style w:type="paragraph" w:styleId="a4">
    <w:name w:val="Balloon Text"/>
    <w:basedOn w:val="a"/>
    <w:link w:val="Char0"/>
    <w:uiPriority w:val="99"/>
    <w:semiHidden/>
    <w:unhideWhenUsed/>
    <w:qFormat/>
    <w:rsid w:val="00D13277"/>
    <w:rPr>
      <w:sz w:val="18"/>
      <w:szCs w:val="18"/>
    </w:rPr>
  </w:style>
  <w:style w:type="paragraph" w:styleId="a5">
    <w:name w:val="footer"/>
    <w:basedOn w:val="a"/>
    <w:link w:val="Char1"/>
    <w:uiPriority w:val="99"/>
    <w:qFormat/>
    <w:rsid w:val="00D13277"/>
    <w:pPr>
      <w:tabs>
        <w:tab w:val="center" w:pos="4153"/>
        <w:tab w:val="right" w:pos="8306"/>
      </w:tabs>
      <w:snapToGrid w:val="0"/>
      <w:jc w:val="left"/>
    </w:pPr>
    <w:rPr>
      <w:rFonts w:ascii="Calibri" w:hAnsi="Calibri"/>
      <w:kern w:val="0"/>
      <w:sz w:val="18"/>
      <w:szCs w:val="18"/>
    </w:rPr>
  </w:style>
  <w:style w:type="paragraph" w:styleId="a6">
    <w:name w:val="header"/>
    <w:basedOn w:val="a"/>
    <w:link w:val="Char2"/>
    <w:uiPriority w:val="99"/>
    <w:semiHidden/>
    <w:qFormat/>
    <w:rsid w:val="00D13277"/>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D13277"/>
    <w:pPr>
      <w:tabs>
        <w:tab w:val="right" w:leader="dot" w:pos="8296"/>
      </w:tabs>
      <w:spacing w:before="93"/>
      <w:jc w:val="center"/>
    </w:pPr>
    <w:rPr>
      <w:rFonts w:ascii="仿宋" w:eastAsia="仿宋" w:hAnsi="仿宋"/>
      <w:sz w:val="28"/>
      <w:szCs w:val="28"/>
    </w:rPr>
  </w:style>
  <w:style w:type="paragraph" w:styleId="20">
    <w:name w:val="toc 2"/>
    <w:basedOn w:val="a"/>
    <w:next w:val="a"/>
    <w:uiPriority w:val="39"/>
    <w:unhideWhenUsed/>
    <w:qFormat/>
    <w:rsid w:val="00D13277"/>
    <w:pPr>
      <w:tabs>
        <w:tab w:val="right" w:leader="dot" w:pos="8296"/>
      </w:tabs>
      <w:ind w:leftChars="200" w:left="420"/>
    </w:pPr>
  </w:style>
  <w:style w:type="character" w:styleId="a7">
    <w:name w:val="Strong"/>
    <w:basedOn w:val="a1"/>
    <w:uiPriority w:val="99"/>
    <w:qFormat/>
    <w:rsid w:val="00D13277"/>
    <w:rPr>
      <w:b/>
    </w:rPr>
  </w:style>
  <w:style w:type="character" w:styleId="a8">
    <w:name w:val="Hyperlink"/>
    <w:basedOn w:val="a1"/>
    <w:uiPriority w:val="99"/>
    <w:unhideWhenUsed/>
    <w:qFormat/>
    <w:rsid w:val="00D13277"/>
    <w:rPr>
      <w:color w:val="0000FF" w:themeColor="hyperlink"/>
      <w:u w:val="single"/>
    </w:rPr>
  </w:style>
  <w:style w:type="character" w:customStyle="1" w:styleId="HeaderChar">
    <w:name w:val="Header Char"/>
    <w:basedOn w:val="a1"/>
    <w:uiPriority w:val="99"/>
    <w:semiHidden/>
    <w:qFormat/>
    <w:rsid w:val="00D13277"/>
    <w:rPr>
      <w:rFonts w:ascii="Times New Roman" w:hAnsi="Times New Roman"/>
      <w:sz w:val="18"/>
      <w:szCs w:val="18"/>
    </w:rPr>
  </w:style>
  <w:style w:type="character" w:customStyle="1" w:styleId="Char2">
    <w:name w:val="页眉 Char"/>
    <w:link w:val="a6"/>
    <w:uiPriority w:val="99"/>
    <w:semiHidden/>
    <w:qFormat/>
    <w:locked/>
    <w:rsid w:val="00D13277"/>
    <w:rPr>
      <w:sz w:val="18"/>
    </w:rPr>
  </w:style>
  <w:style w:type="character" w:customStyle="1" w:styleId="FooterChar">
    <w:name w:val="Footer Char"/>
    <w:basedOn w:val="a1"/>
    <w:uiPriority w:val="99"/>
    <w:semiHidden/>
    <w:qFormat/>
    <w:rsid w:val="00D13277"/>
    <w:rPr>
      <w:rFonts w:ascii="Times New Roman" w:hAnsi="Times New Roman"/>
      <w:sz w:val="18"/>
      <w:szCs w:val="18"/>
    </w:rPr>
  </w:style>
  <w:style w:type="character" w:customStyle="1" w:styleId="Char1">
    <w:name w:val="页脚 Char"/>
    <w:link w:val="a5"/>
    <w:uiPriority w:val="99"/>
    <w:qFormat/>
    <w:locked/>
    <w:rsid w:val="00D13277"/>
    <w:rPr>
      <w:sz w:val="18"/>
    </w:rPr>
  </w:style>
  <w:style w:type="character" w:customStyle="1" w:styleId="BodyTextChar">
    <w:name w:val="Body Text Char"/>
    <w:basedOn w:val="a1"/>
    <w:uiPriority w:val="99"/>
    <w:semiHidden/>
    <w:qFormat/>
    <w:rsid w:val="00D13277"/>
    <w:rPr>
      <w:rFonts w:ascii="Times New Roman" w:hAnsi="Times New Roman"/>
      <w:szCs w:val="24"/>
    </w:rPr>
  </w:style>
  <w:style w:type="character" w:customStyle="1" w:styleId="Char">
    <w:name w:val="正文文本 Char"/>
    <w:link w:val="a0"/>
    <w:uiPriority w:val="99"/>
    <w:qFormat/>
    <w:locked/>
    <w:rsid w:val="00D13277"/>
    <w:rPr>
      <w:rFonts w:ascii="仿宋_GB2312" w:eastAsia="仿宋_GB2312" w:hAnsi="Times New Roman"/>
      <w:sz w:val="24"/>
    </w:rPr>
  </w:style>
  <w:style w:type="paragraph" w:customStyle="1" w:styleId="Default">
    <w:name w:val="Default"/>
    <w:uiPriority w:val="99"/>
    <w:qFormat/>
    <w:rsid w:val="00D13277"/>
    <w:pPr>
      <w:widowControl w:val="0"/>
      <w:autoSpaceDE w:val="0"/>
      <w:autoSpaceDN w:val="0"/>
      <w:adjustRightInd w:val="0"/>
    </w:pPr>
    <w:rPr>
      <w:rFonts w:ascii="仿宋" w:eastAsia="仿宋" w:hAnsi="Calibri" w:cs="仿宋"/>
      <w:color w:val="000000"/>
      <w:sz w:val="24"/>
      <w:szCs w:val="24"/>
    </w:rPr>
  </w:style>
  <w:style w:type="paragraph" w:styleId="a9">
    <w:name w:val="List Paragraph"/>
    <w:basedOn w:val="a"/>
    <w:uiPriority w:val="34"/>
    <w:qFormat/>
    <w:rsid w:val="00D13277"/>
    <w:pPr>
      <w:ind w:firstLineChars="200" w:firstLine="420"/>
    </w:pPr>
  </w:style>
  <w:style w:type="character" w:customStyle="1" w:styleId="1Char">
    <w:name w:val="标题 1 Char"/>
    <w:basedOn w:val="a1"/>
    <w:link w:val="1"/>
    <w:uiPriority w:val="9"/>
    <w:qFormat/>
    <w:rsid w:val="00D13277"/>
    <w:rPr>
      <w:rFonts w:ascii="Times New Roman" w:hAnsi="Times New Roman"/>
      <w:b/>
      <w:bCs/>
      <w:kern w:val="44"/>
      <w:sz w:val="44"/>
      <w:szCs w:val="44"/>
    </w:rPr>
  </w:style>
  <w:style w:type="character" w:customStyle="1" w:styleId="2Char">
    <w:name w:val="标题 2 Char"/>
    <w:basedOn w:val="a1"/>
    <w:link w:val="2"/>
    <w:uiPriority w:val="9"/>
    <w:qFormat/>
    <w:rsid w:val="00D13277"/>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D1327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1"/>
    <w:link w:val="a4"/>
    <w:uiPriority w:val="99"/>
    <w:semiHidden/>
    <w:qFormat/>
    <w:rsid w:val="00D13277"/>
    <w:rPr>
      <w:rFonts w:ascii="Times New Roman" w:hAnsi="Times New Roman"/>
      <w:kern w:val="2"/>
      <w:sz w:val="18"/>
      <w:szCs w:val="18"/>
    </w:rPr>
  </w:style>
  <w:style w:type="character" w:customStyle="1" w:styleId="3Char">
    <w:name w:val="标题 3 Char"/>
    <w:basedOn w:val="a1"/>
    <w:link w:val="3"/>
    <w:uiPriority w:val="9"/>
    <w:qFormat/>
    <w:rsid w:val="00D13277"/>
    <w:rPr>
      <w:rFonts w:ascii="Times New Roman" w:hAnsi="Times New Roman"/>
      <w:b/>
      <w:bCs/>
      <w:kern w:val="2"/>
      <w:sz w:val="32"/>
      <w:szCs w:val="32"/>
    </w:rPr>
  </w:style>
  <w:style w:type="paragraph" w:customStyle="1" w:styleId="TOC2">
    <w:name w:val="TOC 标题2"/>
    <w:basedOn w:val="1"/>
    <w:next w:val="a"/>
    <w:uiPriority w:val="39"/>
    <w:unhideWhenUsed/>
    <w:qFormat/>
    <w:rsid w:val="00D1327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1111111111111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121212121112121212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131313131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141414141114141414141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151515151115151515151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161616161616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1717171717171717171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75" b="0" i="0" u="none" strike="noStrike" baseline="0">
                <a:solidFill>
                  <a:srgbClr val="000000"/>
                </a:solidFill>
                <a:latin typeface="宋体"/>
                <a:ea typeface="宋体"/>
                <a:cs typeface="宋体"/>
              </a:defRPr>
            </a:pPr>
            <a:r>
              <a:rPr lang="zh-CN" altLang="en-US"/>
              <a:t>收、支决算总计变动情况图</a:t>
            </a:r>
          </a:p>
        </c:rich>
      </c:tx>
      <c:layout>
        <c:manualLayout>
          <c:xMode val="edge"/>
          <c:yMode val="edge"/>
          <c:x val="0.36545454545455036"/>
          <c:y val="1.9230769230769516E-2"/>
        </c:manualLayout>
      </c:layout>
      <c:spPr>
        <a:noFill/>
        <a:ln w="25400">
          <a:noFill/>
        </a:ln>
      </c:spPr>
    </c:title>
    <c:plotArea>
      <c:layout>
        <c:manualLayout>
          <c:layoutTarget val="inner"/>
          <c:xMode val="edge"/>
          <c:yMode val="edge"/>
          <c:x val="0.12828965129358638"/>
          <c:y val="0.17366863905325439"/>
          <c:w val="0.78727272727272657"/>
          <c:h val="0.67307692307692313"/>
        </c:manualLayout>
      </c:layout>
      <c:barChart>
        <c:barDir val="col"/>
        <c:grouping val="clustered"/>
        <c:ser>
          <c:idx val="0"/>
          <c:order val="0"/>
          <c:dLbls>
            <c:spPr>
              <a:noFill/>
              <a:ln w="25400">
                <a:noFill/>
              </a:ln>
            </c:spPr>
            <c:txPr>
              <a:bodyPr wrap="square" lIns="38100" tIns="19050" rIns="38100" bIns="19050" anchor="ctr">
                <a:spAutoFit/>
              </a:bodyPr>
              <a:lstStyle/>
              <a:p>
                <a:pPr>
                  <a:defRPr sz="875" b="0" i="0" u="none" strike="noStrike" baseline="0">
                    <a:solidFill>
                      <a:srgbClr val="000000"/>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Sheet2!$A$3:$A$4</c:f>
              <c:strCache>
                <c:ptCount val="2"/>
                <c:pt idx="0">
                  <c:v>2020年</c:v>
                </c:pt>
                <c:pt idx="1">
                  <c:v>2021年</c:v>
                </c:pt>
              </c:strCache>
            </c:strRef>
          </c:cat>
          <c:val>
            <c:numRef>
              <c:f>Sheet2!$B$3:$B$4</c:f>
              <c:numCache>
                <c:formatCode>General</c:formatCode>
                <c:ptCount val="2"/>
                <c:pt idx="0">
                  <c:v>312.05</c:v>
                </c:pt>
                <c:pt idx="1">
                  <c:v>356.06</c:v>
                </c:pt>
              </c:numCache>
            </c:numRef>
          </c:val>
          <c:extLst xmlns:c16r2="http://schemas.microsoft.com/office/drawing/2015/06/chart">
            <c:ext xmlns:c16="http://schemas.microsoft.com/office/drawing/2014/chart" uri="{C3380CC4-5D6E-409C-BE32-E72D297353CC}">
              <c16:uniqueId val="{00000000-098A-4911-90F8-89F544F3C244}"/>
            </c:ext>
          </c:extLst>
        </c:ser>
        <c:dLbls>
          <c:showVal val="1"/>
        </c:dLbls>
        <c:axId val="42859520"/>
        <c:axId val="42887424"/>
      </c:barChart>
      <c:catAx>
        <c:axId val="4285952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42887424"/>
        <c:crosses val="autoZero"/>
        <c:auto val="1"/>
        <c:lblAlgn val="ctr"/>
        <c:lblOffset val="100"/>
        <c:tickLblSkip val="1"/>
        <c:tickMarkSkip val="1"/>
      </c:catAx>
      <c:valAx>
        <c:axId val="42887424"/>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875" b="0" i="0" u="none" strike="noStrike" baseline="0">
                <a:solidFill>
                  <a:srgbClr val="000000"/>
                </a:solidFill>
                <a:latin typeface="宋体"/>
                <a:ea typeface="宋体"/>
                <a:cs typeface="宋体"/>
              </a:defRPr>
            </a:pPr>
            <a:endParaRPr lang="zh-CN"/>
          </a:p>
        </c:txPr>
        <c:crossAx val="42859520"/>
        <c:crosses val="autoZero"/>
        <c:crossBetween val="between"/>
      </c:valAx>
      <c:spPr>
        <a:solidFill>
          <a:srgbClr val="C0C0C0"/>
        </a:solidFill>
        <a:ln w="12700">
          <a:solidFill>
            <a:srgbClr val="808080"/>
          </a:solidFill>
          <a:prstDash val="solid"/>
        </a:ln>
      </c:spPr>
    </c:plotArea>
    <c:legend>
      <c:legendPos val="r"/>
      <c:layout>
        <c:manualLayout>
          <c:xMode val="edge"/>
          <c:yMode val="edge"/>
          <c:x val="0.90181818181818152"/>
          <c:y val="0.48846153846153773"/>
          <c:w val="9.0909090909091508E-2"/>
          <c:h val="6.9230769230769304E-2"/>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宋体"/>
          <a:ea typeface="宋体"/>
          <a:cs typeface="宋体"/>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98" b="0" i="0" u="none" strike="noStrike" baseline="0">
                <a:solidFill>
                  <a:srgbClr val="000000"/>
                </a:solidFill>
                <a:latin typeface="宋体"/>
                <a:ea typeface="宋体"/>
                <a:cs typeface="宋体"/>
              </a:defRPr>
            </a:pPr>
            <a:r>
              <a:rPr lang="zh-CN" altLang="en-US"/>
              <a:t>收入决算结构图</a:t>
            </a:r>
          </a:p>
        </c:rich>
      </c:tx>
      <c:layout>
        <c:manualLayout>
          <c:xMode val="edge"/>
          <c:yMode val="edge"/>
          <c:x val="0.42307692307692718"/>
          <c:y val="1.9230769230769516E-2"/>
        </c:manualLayout>
      </c:layout>
      <c:spPr>
        <a:noFill/>
        <a:ln w="25356">
          <a:noFill/>
        </a:ln>
      </c:spPr>
    </c:title>
    <c:view3D>
      <c:perspective val="0"/>
    </c:view3D>
    <c:plotArea>
      <c:layout>
        <c:manualLayout>
          <c:layoutTarget val="inner"/>
          <c:xMode val="edge"/>
          <c:yMode val="edge"/>
          <c:x val="0.16958041958041994"/>
          <c:y val="0.36153846153846642"/>
          <c:w val="0.45279720279720276"/>
          <c:h val="0.39615384615385035"/>
        </c:manualLayout>
      </c:layout>
      <c:pie3DChart>
        <c:varyColors val="1"/>
        <c:ser>
          <c:idx val="0"/>
          <c:order val="0"/>
          <c:spPr>
            <a:solidFill>
              <a:srgbClr val="9999FF"/>
            </a:solidFill>
            <a:ln w="12678">
              <a:solidFill>
                <a:srgbClr val="000000"/>
              </a:solidFill>
              <a:prstDash val="solid"/>
            </a:ln>
          </c:spPr>
          <c:explosion val="25"/>
          <c:dLbls>
            <c:spPr>
              <a:noFill/>
              <a:ln w="25356">
                <a:noFill/>
              </a:ln>
            </c:spPr>
            <c:txPr>
              <a:bodyPr wrap="square" lIns="38100" tIns="19050" rIns="38100" bIns="19050" anchor="ctr">
                <a:spAutoFit/>
              </a:bodyPr>
              <a:lstStyle/>
              <a:p>
                <a:pPr>
                  <a:defRPr sz="898" b="0" i="0" u="none" strike="noStrike" baseline="0">
                    <a:solidFill>
                      <a:srgbClr val="000000"/>
                    </a:solidFill>
                    <a:latin typeface="宋体"/>
                    <a:ea typeface="宋体"/>
                    <a:cs typeface="宋体"/>
                  </a:defRPr>
                </a:pPr>
                <a:endParaRPr lang="zh-CN"/>
              </a:p>
            </c:txPr>
            <c:showVal val="1"/>
            <c:showLeaderLines val="1"/>
            <c:extLst xmlns:c16r2="http://schemas.microsoft.com/office/drawing/2015/06/chart">
              <c:ext xmlns:c15="http://schemas.microsoft.com/office/drawing/2012/chart" uri="{CE6537A1-D6FC-4f65-9D91-7224C49458BB}"/>
            </c:extLst>
          </c:dLbls>
          <c:val>
            <c:numRef>
              <c:f>Sheet2!$B$3</c:f>
              <c:numCache>
                <c:formatCode>General</c:formatCode>
                <c:ptCount val="1"/>
                <c:pt idx="0">
                  <c:v>356.06</c:v>
                </c:pt>
              </c:numCache>
            </c:numRef>
          </c:val>
          <c:extLst xmlns:c16r2="http://schemas.microsoft.com/office/drawing/2015/06/chart">
            <c:ext xmlns:c16="http://schemas.microsoft.com/office/drawing/2014/chart" uri="{C3380CC4-5D6E-409C-BE32-E72D297353CC}">
              <c16:uniqueId val="{00000003-5335-4F35-AB65-56F9C4805ADC}"/>
            </c:ext>
          </c:extLst>
        </c:ser>
        <c:dLbls>
          <c:showVal val="1"/>
        </c:dLbls>
      </c:pie3DChart>
      <c:spPr>
        <a:noFill/>
        <a:ln w="25356">
          <a:noFill/>
        </a:ln>
      </c:spPr>
    </c:plotArea>
    <c:legend>
      <c:legendPos val="r"/>
      <c:layout>
        <c:manualLayout>
          <c:xMode val="edge"/>
          <c:yMode val="edge"/>
          <c:x val="0.79020979020979065"/>
          <c:y val="0.45769230769230768"/>
          <c:w val="0.20279720279720637"/>
          <c:h val="0.2"/>
        </c:manualLayout>
      </c:layout>
      <c:spPr>
        <a:solidFill>
          <a:srgbClr val="FFFFFF"/>
        </a:solidFill>
        <a:ln w="3170">
          <a:solidFill>
            <a:srgbClr val="000000"/>
          </a:solidFill>
          <a:prstDash val="solid"/>
        </a:ln>
      </c:spPr>
      <c:txPr>
        <a:bodyPr/>
        <a:lstStyle/>
        <a:p>
          <a:pPr rtl="0">
            <a:defRPr sz="824" b="0" i="0" u="none" strike="noStrike" baseline="0">
              <a:solidFill>
                <a:srgbClr val="000000"/>
              </a:solidFill>
              <a:latin typeface="宋体"/>
              <a:ea typeface="宋体"/>
              <a:cs typeface="宋体"/>
            </a:defRPr>
          </a:pPr>
          <a:endParaRPr lang="zh-CN"/>
        </a:p>
      </c:txPr>
    </c:legend>
    <c:plotVisOnly val="1"/>
    <c:dispBlanksAs val="zero"/>
  </c:chart>
  <c:spPr>
    <a:solidFill>
      <a:srgbClr val="FFFFFF"/>
    </a:solidFill>
    <a:ln w="3170">
      <a:solidFill>
        <a:srgbClr val="000000"/>
      </a:solidFill>
      <a:prstDash val="solid"/>
    </a:ln>
  </c:spPr>
  <c:txPr>
    <a:bodyPr/>
    <a:lstStyle/>
    <a:p>
      <a:pPr>
        <a:defRPr sz="898" b="0" i="0" u="none" strike="noStrike" baseline="0">
          <a:solidFill>
            <a:srgbClr val="000000"/>
          </a:solidFill>
          <a:latin typeface="宋体"/>
          <a:ea typeface="宋体"/>
          <a:cs typeface="宋体"/>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922" b="0" i="0" u="none" strike="noStrike" baseline="0">
                <a:solidFill>
                  <a:srgbClr val="000000"/>
                </a:solidFill>
                <a:latin typeface="宋体"/>
                <a:ea typeface="宋体"/>
                <a:cs typeface="宋体"/>
              </a:defRPr>
            </a:pPr>
            <a:r>
              <a:rPr lang="zh-CN" altLang="en-US"/>
              <a:t>支出决算结构图</a:t>
            </a:r>
          </a:p>
        </c:rich>
      </c:tx>
      <c:layout>
        <c:manualLayout>
          <c:xMode val="edge"/>
          <c:yMode val="edge"/>
          <c:x val="0.42517006802721496"/>
          <c:y val="2.0833333333333412E-2"/>
        </c:manualLayout>
      </c:layout>
      <c:spPr>
        <a:noFill/>
        <a:ln w="25315">
          <a:noFill/>
        </a:ln>
      </c:spPr>
    </c:title>
    <c:plotArea>
      <c:layout>
        <c:manualLayout>
          <c:layoutTarget val="inner"/>
          <c:xMode val="edge"/>
          <c:yMode val="edge"/>
          <c:x val="0.33503401360544793"/>
          <c:y val="0.30833333333333335"/>
          <c:w val="0.20918367346938777"/>
          <c:h val="0.51249999999999996"/>
        </c:manualLayout>
      </c:layout>
      <c:pieChart>
        <c:varyColors val="1"/>
        <c:ser>
          <c:idx val="0"/>
          <c:order val="0"/>
          <c:spPr>
            <a:solidFill>
              <a:srgbClr val="9999FF"/>
            </a:solidFill>
            <a:ln w="12658">
              <a:solidFill>
                <a:srgbClr val="000000"/>
              </a:solidFill>
              <a:prstDash val="solid"/>
            </a:ln>
          </c:spPr>
          <c:explosion val="25"/>
          <c:dPt>
            <c:idx val="1"/>
            <c:spPr>
              <a:solidFill>
                <a:srgbClr val="993366"/>
              </a:solidFill>
              <a:ln w="12658">
                <a:solidFill>
                  <a:srgbClr val="000000"/>
                </a:solidFill>
                <a:prstDash val="solid"/>
              </a:ln>
            </c:spPr>
            <c:extLst xmlns:c16r2="http://schemas.microsoft.com/office/drawing/2015/06/chart">
              <c:ext xmlns:c16="http://schemas.microsoft.com/office/drawing/2014/chart" uri="{C3380CC4-5D6E-409C-BE32-E72D297353CC}">
                <c16:uniqueId val="{00000001-5D84-47E3-A66F-4FD3DD044086}"/>
              </c:ext>
            </c:extLst>
          </c:dPt>
          <c:dLbls>
            <c:spPr>
              <a:noFill/>
              <a:ln w="25315">
                <a:noFill/>
              </a:ln>
            </c:spPr>
            <c:txPr>
              <a:bodyPr wrap="square" lIns="38100" tIns="19050" rIns="38100" bIns="19050" anchor="ctr">
                <a:spAutoFit/>
              </a:bodyPr>
              <a:lstStyle/>
              <a:p>
                <a:pPr>
                  <a:defRPr sz="922" b="0" i="0" u="none" strike="noStrike" baseline="0">
                    <a:solidFill>
                      <a:srgbClr val="000000"/>
                    </a:solidFill>
                    <a:latin typeface="宋体"/>
                    <a:ea typeface="宋体"/>
                    <a:cs typeface="宋体"/>
                  </a:defRPr>
                </a:pPr>
                <a:endParaRPr lang="zh-CN"/>
              </a:p>
            </c:txPr>
            <c:showVal val="1"/>
            <c:showLeaderLines val="1"/>
            <c:extLst xmlns:c16r2="http://schemas.microsoft.com/office/drawing/2015/06/chart">
              <c:ext xmlns:c15="http://schemas.microsoft.com/office/drawing/2012/chart" uri="{CE6537A1-D6FC-4f65-9D91-7224C49458BB}"/>
            </c:extLst>
          </c:dLbls>
          <c:cat>
            <c:strRef>
              <c:f>Sheet2!$A$10:$A$11</c:f>
              <c:strCache>
                <c:ptCount val="2"/>
                <c:pt idx="0">
                  <c:v>基本支出</c:v>
                </c:pt>
                <c:pt idx="1">
                  <c:v>项目支出</c:v>
                </c:pt>
              </c:strCache>
            </c:strRef>
          </c:cat>
          <c:val>
            <c:numRef>
              <c:f>Sheet2!$B$10:$B$11</c:f>
              <c:numCache>
                <c:formatCode>General</c:formatCode>
                <c:ptCount val="2"/>
                <c:pt idx="0">
                  <c:v>348.62</c:v>
                </c:pt>
                <c:pt idx="1">
                  <c:v>7.44</c:v>
                </c:pt>
              </c:numCache>
            </c:numRef>
          </c:val>
          <c:extLst xmlns:c16r2="http://schemas.microsoft.com/office/drawing/2015/06/chart">
            <c:ext xmlns:c16="http://schemas.microsoft.com/office/drawing/2014/chart" uri="{C3380CC4-5D6E-409C-BE32-E72D297353CC}">
              <c16:uniqueId val="{00000002-5D84-47E3-A66F-4FD3DD044086}"/>
            </c:ext>
          </c:extLst>
        </c:ser>
        <c:dLbls>
          <c:showVal val="1"/>
        </c:dLbls>
        <c:firstSliceAng val="0"/>
      </c:pieChart>
      <c:spPr>
        <a:noFill/>
        <a:ln w="25315">
          <a:noFill/>
        </a:ln>
      </c:spPr>
    </c:plotArea>
    <c:legend>
      <c:legendPos val="r"/>
      <c:layout>
        <c:manualLayout>
          <c:xMode val="edge"/>
          <c:yMode val="edge"/>
          <c:x val="0.87755102040817101"/>
          <c:y val="0.48750000000000032"/>
          <c:w val="0.11564625850340172"/>
          <c:h val="0.14583333333333529"/>
        </c:manualLayout>
      </c:layout>
      <c:spPr>
        <a:solidFill>
          <a:srgbClr val="FFFFFF"/>
        </a:solidFill>
        <a:ln w="3164">
          <a:solidFill>
            <a:srgbClr val="000000"/>
          </a:solidFill>
          <a:prstDash val="solid"/>
        </a:ln>
      </c:spPr>
      <c:txPr>
        <a:bodyPr/>
        <a:lstStyle/>
        <a:p>
          <a:pPr>
            <a:defRPr sz="847" b="0" i="0" u="none" strike="noStrike" baseline="0">
              <a:solidFill>
                <a:srgbClr val="000000"/>
              </a:solidFill>
              <a:latin typeface="宋体"/>
              <a:ea typeface="宋体"/>
              <a:cs typeface="宋体"/>
            </a:defRPr>
          </a:pPr>
          <a:endParaRPr lang="zh-CN"/>
        </a:p>
      </c:txPr>
    </c:legend>
    <c:plotVisOnly val="1"/>
    <c:dispBlanksAs val="zero"/>
  </c:chart>
  <c:spPr>
    <a:solidFill>
      <a:srgbClr val="FFFFFF"/>
    </a:solidFill>
    <a:ln w="3164">
      <a:solidFill>
        <a:srgbClr val="000000"/>
      </a:solidFill>
      <a:prstDash val="solid"/>
    </a:ln>
  </c:spPr>
  <c:txPr>
    <a:bodyPr/>
    <a:lstStyle/>
    <a:p>
      <a:pPr>
        <a:defRPr sz="922" b="0" i="0" u="none" strike="noStrike" baseline="0">
          <a:solidFill>
            <a:srgbClr val="000000"/>
          </a:solidFill>
          <a:latin typeface="宋体"/>
          <a:ea typeface="宋体"/>
          <a:cs typeface="宋体"/>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98" b="0" i="0" u="none" strike="noStrike" baseline="0">
                <a:solidFill>
                  <a:srgbClr val="000000"/>
                </a:solidFill>
                <a:latin typeface="宋体"/>
                <a:ea typeface="宋体"/>
                <a:cs typeface="宋体"/>
              </a:defRPr>
            </a:pPr>
            <a:r>
              <a:rPr lang="zh-CN" altLang="en-US"/>
              <a:t>财政拨款收、支决算总计变动情况</a:t>
            </a:r>
          </a:p>
        </c:rich>
      </c:tx>
      <c:layout>
        <c:manualLayout>
          <c:xMode val="edge"/>
          <c:yMode val="edge"/>
          <c:x val="0.34027777777778145"/>
          <c:y val="1.9230769230769516E-2"/>
        </c:manualLayout>
      </c:layout>
      <c:spPr>
        <a:noFill/>
        <a:ln w="25357">
          <a:noFill/>
        </a:ln>
      </c:spPr>
    </c:title>
    <c:plotArea>
      <c:layout>
        <c:manualLayout>
          <c:layoutTarget val="inner"/>
          <c:xMode val="edge"/>
          <c:yMode val="edge"/>
          <c:x val="9.2013888888888881E-2"/>
          <c:y val="0.18846153846154068"/>
          <c:w val="0.80729166666666663"/>
          <c:h val="0.67307692307692313"/>
        </c:manualLayout>
      </c:layout>
      <c:barChart>
        <c:barDir val="col"/>
        <c:grouping val="clustered"/>
        <c:ser>
          <c:idx val="0"/>
          <c:order val="0"/>
          <c:tx>
            <c:strRef>
              <c:f>Sheet2!$A$10</c:f>
              <c:strCache>
                <c:ptCount val="1"/>
                <c:pt idx="0">
                  <c:v>收入</c:v>
                </c:pt>
              </c:strCache>
            </c:strRef>
          </c:tx>
          <c:spPr>
            <a:solidFill>
              <a:srgbClr val="9999FF"/>
            </a:solidFill>
            <a:ln w="12678">
              <a:solidFill>
                <a:srgbClr val="000000"/>
              </a:solidFill>
              <a:prstDash val="solid"/>
            </a:ln>
          </c:spPr>
          <c:dLbls>
            <c:spPr>
              <a:noFill/>
              <a:ln w="25357">
                <a:noFill/>
              </a:ln>
            </c:spPr>
            <c:txPr>
              <a:bodyPr wrap="square" lIns="38100" tIns="19050" rIns="38100" bIns="19050" anchor="ctr">
                <a:spAutoFit/>
              </a:bodyPr>
              <a:lstStyle/>
              <a:p>
                <a:pPr>
                  <a:defRPr sz="898" b="0" i="0" u="none" strike="noStrike" baseline="0">
                    <a:solidFill>
                      <a:srgbClr val="000000"/>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Sheet2!$B$9:$C$9</c:f>
              <c:strCache>
                <c:ptCount val="2"/>
                <c:pt idx="0">
                  <c:v>2020年</c:v>
                </c:pt>
                <c:pt idx="1">
                  <c:v>2021年</c:v>
                </c:pt>
              </c:strCache>
            </c:strRef>
          </c:cat>
          <c:val>
            <c:numRef>
              <c:f>Sheet2!$B$10:$C$10</c:f>
              <c:numCache>
                <c:formatCode>General</c:formatCode>
                <c:ptCount val="2"/>
                <c:pt idx="0">
                  <c:v>312.05</c:v>
                </c:pt>
                <c:pt idx="1">
                  <c:v>356.06</c:v>
                </c:pt>
              </c:numCache>
            </c:numRef>
          </c:val>
          <c:extLst xmlns:c16r2="http://schemas.microsoft.com/office/drawing/2015/06/chart">
            <c:ext xmlns:c16="http://schemas.microsoft.com/office/drawing/2014/chart" uri="{C3380CC4-5D6E-409C-BE32-E72D297353CC}">
              <c16:uniqueId val="{00000000-E602-4976-B161-AAA874DD5DA1}"/>
            </c:ext>
          </c:extLst>
        </c:ser>
        <c:ser>
          <c:idx val="1"/>
          <c:order val="1"/>
          <c:tx>
            <c:strRef>
              <c:f>Sheet2!$A$11</c:f>
              <c:strCache>
                <c:ptCount val="1"/>
                <c:pt idx="0">
                  <c:v>支出</c:v>
                </c:pt>
              </c:strCache>
            </c:strRef>
          </c:tx>
          <c:spPr>
            <a:solidFill>
              <a:srgbClr val="993366"/>
            </a:solidFill>
            <a:ln w="12678">
              <a:solidFill>
                <a:srgbClr val="000000"/>
              </a:solidFill>
              <a:prstDash val="solid"/>
            </a:ln>
          </c:spPr>
          <c:dLbls>
            <c:spPr>
              <a:noFill/>
              <a:ln w="25357">
                <a:noFill/>
              </a:ln>
            </c:spPr>
            <c:txPr>
              <a:bodyPr wrap="square" lIns="38100" tIns="19050" rIns="38100" bIns="19050" anchor="ctr">
                <a:spAutoFit/>
              </a:bodyPr>
              <a:lstStyle/>
              <a:p>
                <a:pPr>
                  <a:defRPr sz="898" b="0" i="0" u="none" strike="noStrike" baseline="0">
                    <a:solidFill>
                      <a:srgbClr val="000000"/>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Sheet2!$B$9:$C$9</c:f>
              <c:strCache>
                <c:ptCount val="2"/>
                <c:pt idx="0">
                  <c:v>2020年</c:v>
                </c:pt>
                <c:pt idx="1">
                  <c:v>2021年</c:v>
                </c:pt>
              </c:strCache>
            </c:strRef>
          </c:cat>
          <c:val>
            <c:numRef>
              <c:f>Sheet2!$B$11:$C$11</c:f>
              <c:numCache>
                <c:formatCode>General</c:formatCode>
                <c:ptCount val="2"/>
                <c:pt idx="0">
                  <c:v>312.05</c:v>
                </c:pt>
                <c:pt idx="1">
                  <c:v>356.06</c:v>
                </c:pt>
              </c:numCache>
            </c:numRef>
          </c:val>
          <c:extLst xmlns:c16r2="http://schemas.microsoft.com/office/drawing/2015/06/chart">
            <c:ext xmlns:c16="http://schemas.microsoft.com/office/drawing/2014/chart" uri="{C3380CC4-5D6E-409C-BE32-E72D297353CC}">
              <c16:uniqueId val="{00000001-E602-4976-B161-AAA874DD5DA1}"/>
            </c:ext>
          </c:extLst>
        </c:ser>
        <c:dLbls>
          <c:showVal val="1"/>
        </c:dLbls>
        <c:axId val="228871168"/>
        <c:axId val="236414848"/>
      </c:barChart>
      <c:catAx>
        <c:axId val="228871168"/>
        <c:scaling>
          <c:orientation val="minMax"/>
        </c:scaling>
        <c:axPos val="b"/>
        <c:numFmt formatCode="General" sourceLinked="1"/>
        <c:majorTickMark val="in"/>
        <c:tickLblPos val="nextTo"/>
        <c:spPr>
          <a:ln w="3170">
            <a:solidFill>
              <a:srgbClr val="000000"/>
            </a:solidFill>
            <a:prstDash val="solid"/>
          </a:ln>
        </c:spPr>
        <c:txPr>
          <a:bodyPr rot="0" vert="horz"/>
          <a:lstStyle/>
          <a:p>
            <a:pPr>
              <a:defRPr sz="898" b="0" i="0" u="none" strike="noStrike" baseline="0">
                <a:solidFill>
                  <a:srgbClr val="000000"/>
                </a:solidFill>
                <a:latin typeface="宋体"/>
                <a:ea typeface="宋体"/>
                <a:cs typeface="宋体"/>
              </a:defRPr>
            </a:pPr>
            <a:endParaRPr lang="zh-CN"/>
          </a:p>
        </c:txPr>
        <c:crossAx val="236414848"/>
        <c:crosses val="autoZero"/>
        <c:auto val="1"/>
        <c:lblAlgn val="ctr"/>
        <c:lblOffset val="100"/>
        <c:tickLblSkip val="1"/>
        <c:tickMarkSkip val="1"/>
      </c:catAx>
      <c:valAx>
        <c:axId val="236414848"/>
        <c:scaling>
          <c:orientation val="minMax"/>
        </c:scaling>
        <c:axPos val="l"/>
        <c:majorGridlines>
          <c:spPr>
            <a:ln w="3170">
              <a:solidFill>
                <a:srgbClr val="000000"/>
              </a:solidFill>
              <a:prstDash val="solid"/>
            </a:ln>
          </c:spPr>
        </c:majorGridlines>
        <c:numFmt formatCode="General" sourceLinked="1"/>
        <c:majorTickMark val="in"/>
        <c:tickLblPos val="nextTo"/>
        <c:spPr>
          <a:ln w="3170">
            <a:solidFill>
              <a:srgbClr val="000000"/>
            </a:solidFill>
            <a:prstDash val="solid"/>
          </a:ln>
        </c:spPr>
        <c:txPr>
          <a:bodyPr rot="0" vert="horz"/>
          <a:lstStyle/>
          <a:p>
            <a:pPr>
              <a:defRPr sz="898" b="0" i="0" u="none" strike="noStrike" baseline="0">
                <a:solidFill>
                  <a:srgbClr val="000000"/>
                </a:solidFill>
                <a:latin typeface="宋体"/>
                <a:ea typeface="宋体"/>
                <a:cs typeface="宋体"/>
              </a:defRPr>
            </a:pPr>
            <a:endParaRPr lang="zh-CN"/>
          </a:p>
        </c:txPr>
        <c:crossAx val="228871168"/>
        <c:crosses val="autoZero"/>
        <c:crossBetween val="between"/>
      </c:valAx>
      <c:spPr>
        <a:solidFill>
          <a:srgbClr val="C0C0C0"/>
        </a:solidFill>
        <a:ln w="12678">
          <a:solidFill>
            <a:srgbClr val="808080"/>
          </a:solidFill>
          <a:prstDash val="solid"/>
        </a:ln>
      </c:spPr>
    </c:plotArea>
    <c:legend>
      <c:legendPos val="r"/>
      <c:layout>
        <c:manualLayout>
          <c:xMode val="edge"/>
          <c:yMode val="edge"/>
          <c:x val="0.91666666666666652"/>
          <c:y val="0.45384615384615384"/>
          <c:w val="7.6388888888888895E-2"/>
          <c:h val="0.13461538461538491"/>
        </c:manualLayout>
      </c:layout>
      <c:spPr>
        <a:solidFill>
          <a:srgbClr val="FFFFFF"/>
        </a:solidFill>
        <a:ln w="3170">
          <a:solidFill>
            <a:srgbClr val="000000"/>
          </a:solidFill>
          <a:prstDash val="solid"/>
        </a:ln>
      </c:spPr>
      <c:txPr>
        <a:bodyPr/>
        <a:lstStyle/>
        <a:p>
          <a:pPr>
            <a:defRPr sz="824"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0">
      <a:solidFill>
        <a:srgbClr val="000000"/>
      </a:solidFill>
      <a:prstDash val="solid"/>
    </a:ln>
  </c:spPr>
  <c:txPr>
    <a:bodyPr/>
    <a:lstStyle/>
    <a:p>
      <a:pPr>
        <a:defRPr sz="898" b="0" i="0" u="none" strike="noStrike" baseline="0">
          <a:solidFill>
            <a:srgbClr val="000000"/>
          </a:solidFill>
          <a:latin typeface="宋体"/>
          <a:ea typeface="宋体"/>
          <a:cs typeface="宋体"/>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0598290598292691E-2"/>
          <c:y val="7.662835249042145E-2"/>
          <c:w val="0.8"/>
          <c:h val="0.78544061302682644"/>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wrap="square" lIns="38100" tIns="19050" rIns="38100" bIns="19050" anchor="ctr">
                <a:spAutoFit/>
              </a:bodyPr>
              <a:lstStyle/>
              <a:p>
                <a:pPr>
                  <a:defRPr sz="925" b="0" i="0" u="none" strike="noStrike" baseline="0">
                    <a:solidFill>
                      <a:srgbClr val="000000"/>
                    </a:solidFill>
                    <a:latin typeface="宋体"/>
                    <a:ea typeface="宋体"/>
                    <a:cs typeface="宋体"/>
                  </a:defRPr>
                </a:pPr>
                <a:endParaRPr lang="zh-CN"/>
              </a:p>
            </c:txPr>
            <c:showVal val="1"/>
            <c:extLst xmlns:c16r2="http://schemas.microsoft.com/office/drawing/2015/06/chart">
              <c:ext xmlns:c15="http://schemas.microsoft.com/office/drawing/2012/chart" uri="{CE6537A1-D6FC-4f65-9D91-7224C49458BB}">
                <c15:showLeaderLines val="0"/>
              </c:ext>
            </c:extLst>
          </c:dLbls>
          <c:cat>
            <c:strRef>
              <c:f>Sheet2!$A$3:$A$4</c:f>
              <c:strCache>
                <c:ptCount val="2"/>
                <c:pt idx="0">
                  <c:v>2020年</c:v>
                </c:pt>
                <c:pt idx="1">
                  <c:v>2021年</c:v>
                </c:pt>
              </c:strCache>
            </c:strRef>
          </c:cat>
          <c:val>
            <c:numRef>
              <c:f>Sheet2!$B$3:$B$4</c:f>
              <c:numCache>
                <c:formatCode>General</c:formatCode>
                <c:ptCount val="2"/>
                <c:pt idx="0">
                  <c:v>312.05</c:v>
                </c:pt>
                <c:pt idx="1">
                  <c:v>356.06</c:v>
                </c:pt>
              </c:numCache>
            </c:numRef>
          </c:val>
          <c:extLst xmlns:c16r2="http://schemas.microsoft.com/office/drawing/2015/06/chart">
            <c:ext xmlns:c16="http://schemas.microsoft.com/office/drawing/2014/chart" uri="{C3380CC4-5D6E-409C-BE32-E72D297353CC}">
              <c16:uniqueId val="{00000000-6104-436B-BF63-FDD0CC0AEE72}"/>
            </c:ext>
          </c:extLst>
        </c:ser>
        <c:dLbls>
          <c:showVal val="1"/>
        </c:dLbls>
        <c:axId val="44999040"/>
        <c:axId val="45000576"/>
      </c:barChart>
      <c:catAx>
        <c:axId val="44999040"/>
        <c:scaling>
          <c:orientation val="minMax"/>
        </c:scaling>
        <c:axPos val="b"/>
        <c:numFmt formatCode="General" sourceLinked="1"/>
        <c:majorTickMark val="in"/>
        <c:tickLblPos val="nextTo"/>
        <c:spPr>
          <a:ln w="3175">
            <a:solidFill>
              <a:srgbClr val="000000"/>
            </a:solidFill>
            <a:prstDash val="solid"/>
          </a:ln>
        </c:spPr>
        <c:txPr>
          <a:bodyPr rot="0" vert="horz"/>
          <a:lstStyle/>
          <a:p>
            <a:pPr>
              <a:defRPr sz="925" b="0" i="0" u="none" strike="noStrike" baseline="0">
                <a:solidFill>
                  <a:srgbClr val="000000"/>
                </a:solidFill>
                <a:latin typeface="宋体"/>
                <a:ea typeface="宋体"/>
                <a:cs typeface="宋体"/>
              </a:defRPr>
            </a:pPr>
            <a:endParaRPr lang="zh-CN"/>
          </a:p>
        </c:txPr>
        <c:crossAx val="45000576"/>
        <c:crosses val="autoZero"/>
        <c:auto val="1"/>
        <c:lblAlgn val="ctr"/>
        <c:lblOffset val="100"/>
        <c:tickLblSkip val="1"/>
        <c:tickMarkSkip val="1"/>
      </c:catAx>
      <c:valAx>
        <c:axId val="45000576"/>
        <c:scaling>
          <c:orientation val="minMax"/>
        </c:scaling>
        <c:axPos val="l"/>
        <c:majorGridlines>
          <c:spPr>
            <a:ln w="3175">
              <a:solidFill>
                <a:srgbClr val="000000"/>
              </a:solidFill>
              <a:prstDash val="solid"/>
            </a:ln>
          </c:spPr>
        </c:majorGridlines>
        <c:numFmt formatCode="General" sourceLinked="1"/>
        <c:majorTickMark val="in"/>
        <c:tickLblPos val="nextTo"/>
        <c:spPr>
          <a:ln w="3175">
            <a:solidFill>
              <a:srgbClr val="000000"/>
            </a:solidFill>
            <a:prstDash val="solid"/>
          </a:ln>
        </c:spPr>
        <c:txPr>
          <a:bodyPr rot="0" vert="horz"/>
          <a:lstStyle/>
          <a:p>
            <a:pPr>
              <a:defRPr sz="925" b="0" i="0" u="none" strike="noStrike" baseline="0">
                <a:solidFill>
                  <a:srgbClr val="000000"/>
                </a:solidFill>
                <a:latin typeface="宋体"/>
                <a:ea typeface="宋体"/>
                <a:cs typeface="宋体"/>
              </a:defRPr>
            </a:pPr>
            <a:endParaRPr lang="zh-CN"/>
          </a:p>
        </c:txPr>
        <c:crossAx val="44999040"/>
        <c:crosses val="autoZero"/>
        <c:crossBetween val="between"/>
      </c:valAx>
    </c:plotArea>
    <c:legend>
      <c:legendPos val="r"/>
      <c:layout>
        <c:manualLayout>
          <c:xMode val="edge"/>
          <c:yMode val="edge"/>
          <c:x val="0.90769230769230769"/>
          <c:y val="0.43295019157088704"/>
          <c:w val="8.5470085470085472E-2"/>
          <c:h val="6.8965517241379309E-2"/>
        </c:manualLayout>
      </c:layout>
      <c:spPr>
        <a:solidFill>
          <a:srgbClr val="FFFFFF"/>
        </a:solidFill>
        <a:ln w="3175">
          <a:solidFill>
            <a:srgbClr val="000000"/>
          </a:solidFill>
          <a:prstDash val="solid"/>
        </a:ln>
      </c:spPr>
      <c:txPr>
        <a:bodyPr/>
        <a:lstStyle/>
        <a:p>
          <a:pPr>
            <a:defRPr sz="850" b="0" i="0" u="none" strike="noStrike" baseline="0">
              <a:solidFill>
                <a:srgbClr val="000000"/>
              </a:solidFill>
              <a:latin typeface="宋体"/>
              <a:ea typeface="宋体"/>
              <a:cs typeface="宋体"/>
            </a:defRPr>
          </a:pPr>
          <a:endParaRPr lang="zh-CN"/>
        </a:p>
      </c:txPr>
    </c:legend>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宋体"/>
          <a:ea typeface="宋体"/>
          <a:cs typeface="宋体"/>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75" b="0" i="0" u="none" strike="noStrike" baseline="0">
                <a:solidFill>
                  <a:srgbClr val="000000"/>
                </a:solidFill>
                <a:latin typeface="宋体"/>
                <a:ea typeface="宋体"/>
                <a:cs typeface="宋体"/>
              </a:defRPr>
            </a:pPr>
            <a:r>
              <a:rPr lang="zh-CN" altLang="en-US"/>
              <a:t>一般公共预算财政拨款支出决算结构</a:t>
            </a:r>
          </a:p>
        </c:rich>
      </c:tx>
      <c:layout>
        <c:manualLayout>
          <c:xMode val="edge"/>
          <c:yMode val="edge"/>
          <c:x val="0.32500000000000362"/>
          <c:y val="1.984126984127009E-2"/>
        </c:manualLayout>
      </c:layout>
      <c:spPr>
        <a:noFill/>
        <a:ln w="25400">
          <a:noFill/>
        </a:ln>
      </c:spPr>
    </c:title>
    <c:view3D>
      <c:perspective val="0"/>
    </c:view3D>
    <c:plotArea>
      <c:layout>
        <c:manualLayout>
          <c:layoutTarget val="inner"/>
          <c:xMode val="edge"/>
          <c:yMode val="edge"/>
          <c:x val="0.11785714285714285"/>
          <c:y val="0.32539682539683268"/>
          <c:w val="0.53035714285713553"/>
          <c:h val="0.46825396825396831"/>
        </c:manualLayout>
      </c:layout>
      <c:pie3DChart>
        <c:varyColors val="1"/>
        <c:ser>
          <c:idx val="0"/>
          <c:order val="0"/>
          <c:explosion val="25"/>
          <c:dLbls>
            <c:numFmt formatCode="0%" sourceLinked="0"/>
            <c:spPr>
              <a:noFill/>
              <a:ln w="25400">
                <a:noFill/>
              </a:ln>
            </c:spPr>
            <c:txPr>
              <a:bodyPr wrap="square" lIns="38100" tIns="19050" rIns="38100" bIns="19050" anchor="ctr">
                <a:spAutoFit/>
              </a:bodyPr>
              <a:lstStyle/>
              <a:p>
                <a:pPr>
                  <a:defRPr sz="875" b="0" i="0" u="none" strike="noStrike" baseline="0">
                    <a:solidFill>
                      <a:srgbClr val="000000"/>
                    </a:solidFill>
                    <a:latin typeface="宋体"/>
                    <a:ea typeface="宋体"/>
                    <a:cs typeface="宋体"/>
                  </a:defRPr>
                </a:pPr>
                <a:endParaRPr lang="zh-CN"/>
              </a:p>
            </c:txPr>
            <c:showPercent val="1"/>
            <c:showLeaderLines val="1"/>
            <c:extLst xmlns:c16r2="http://schemas.microsoft.com/office/drawing/2015/06/chart">
              <c:ext xmlns:c15="http://schemas.microsoft.com/office/drawing/2012/chart" uri="{CE6537A1-D6FC-4f65-9D91-7224C49458BB}"/>
            </c:extLst>
          </c:dLbls>
          <c:cat>
            <c:strRef>
              <c:f>Sheet2!$A$2:$A$4</c:f>
              <c:strCache>
                <c:ptCount val="3"/>
                <c:pt idx="0">
                  <c:v>社会保障和就业支出</c:v>
                </c:pt>
                <c:pt idx="1">
                  <c:v>城乡社区支出</c:v>
                </c:pt>
                <c:pt idx="2">
                  <c:v>住房保障支出</c:v>
                </c:pt>
              </c:strCache>
            </c:strRef>
          </c:cat>
          <c:val>
            <c:numRef>
              <c:f>Sheet2!$B$2:$B$4</c:f>
              <c:numCache>
                <c:formatCode>#,##0.00</c:formatCode>
                <c:ptCount val="3"/>
                <c:pt idx="0">
                  <c:v>66.430000000000007</c:v>
                </c:pt>
                <c:pt idx="1">
                  <c:v>266.27999999999969</c:v>
                </c:pt>
                <c:pt idx="2">
                  <c:v>23.35</c:v>
                </c:pt>
              </c:numCache>
            </c:numRef>
          </c:val>
          <c:extLst xmlns:c16r2="http://schemas.microsoft.com/office/drawing/2015/06/chart">
            <c:ext xmlns:c16="http://schemas.microsoft.com/office/drawing/2014/chart" uri="{C3380CC4-5D6E-409C-BE32-E72D297353CC}">
              <c16:uniqueId val="{00000006-EBC0-4C19-9E5B-B4BA6ECFD91D}"/>
            </c:ext>
          </c:extLst>
        </c:ser>
        <c:dLbls>
          <c:showPercent val="1"/>
        </c:dLbls>
      </c:pie3DChart>
      <c:spPr>
        <a:noFill/>
        <a:ln w="25400">
          <a:noFill/>
        </a:ln>
      </c:spPr>
    </c:plotArea>
    <c:legend>
      <c:legendPos val="r"/>
      <c:layout>
        <c:manualLayout>
          <c:xMode val="edge"/>
          <c:yMode val="edge"/>
          <c:x val="0.76428571428572145"/>
          <c:y val="0.35317460317461058"/>
          <c:w val="0.22857142857143051"/>
          <c:h val="0.4087301587301555"/>
        </c:manualLayout>
      </c:layout>
      <c:spPr>
        <a:solidFill>
          <a:srgbClr val="FFFFFF"/>
        </a:solidFill>
        <a:ln w="3175">
          <a:solidFill>
            <a:srgbClr val="000000"/>
          </a:solidFill>
          <a:prstDash val="solid"/>
        </a:ln>
      </c:spPr>
      <c:txPr>
        <a:bodyPr/>
        <a:lstStyle/>
        <a:p>
          <a:pPr>
            <a:defRPr sz="805" b="0" i="0" u="none" strike="noStrike" baseline="0">
              <a:solidFill>
                <a:srgbClr val="000000"/>
              </a:solidFill>
              <a:latin typeface="宋体"/>
              <a:ea typeface="宋体"/>
              <a:cs typeface="宋体"/>
            </a:defRPr>
          </a:pPr>
          <a:endParaRPr lang="zh-CN"/>
        </a:p>
      </c:txPr>
    </c:legend>
    <c:plotVisOnly val="1"/>
    <c:dispBlanksAs val="zero"/>
  </c:chart>
  <c:spPr>
    <a:solidFill>
      <a:srgbClr val="FFFFFF"/>
    </a:solidFill>
    <a:ln w="3175">
      <a:solidFill>
        <a:srgbClr val="000000"/>
      </a:solidFill>
      <a:prstDash val="solid"/>
    </a:ln>
  </c:spPr>
  <c:txPr>
    <a:bodyPr/>
    <a:lstStyle/>
    <a:p>
      <a:pPr>
        <a:defRPr sz="875" b="0" i="0" u="none" strike="noStrike" baseline="0">
          <a:solidFill>
            <a:srgbClr val="000000"/>
          </a:solidFill>
          <a:latin typeface="宋体"/>
          <a:ea typeface="宋体"/>
          <a:cs typeface="宋体"/>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sz="895" b="0" i="0" u="none" strike="noStrike" baseline="0">
                <a:solidFill>
                  <a:srgbClr val="000000"/>
                </a:solidFill>
                <a:latin typeface="宋体"/>
                <a:ea typeface="宋体"/>
                <a:cs typeface="宋体"/>
              </a:defRPr>
            </a:pPr>
            <a:r>
              <a:rPr lang="zh-CN" altLang="en-US"/>
              <a:t>“三公”经费财政拨款支出结构</a:t>
            </a:r>
          </a:p>
        </c:rich>
      </c:tx>
      <c:layout>
        <c:manualLayout>
          <c:xMode val="edge"/>
          <c:yMode val="edge"/>
          <c:x val="0.35017421602787874"/>
          <c:y val="1.858736059479554E-2"/>
        </c:manualLayout>
      </c:layout>
      <c:spPr>
        <a:noFill/>
        <a:ln w="25270">
          <a:noFill/>
        </a:ln>
      </c:spPr>
    </c:title>
    <c:view3D>
      <c:perspective val="0"/>
    </c:view3D>
    <c:plotArea>
      <c:layout>
        <c:manualLayout>
          <c:layoutTarget val="inner"/>
          <c:xMode val="edge"/>
          <c:yMode val="edge"/>
          <c:x val="0.23519163763066203"/>
          <c:y val="0.41263940520446507"/>
          <c:w val="0.34320557491289388"/>
          <c:h val="0.28996282527881762"/>
        </c:manualLayout>
      </c:layout>
      <c:pie3DChart>
        <c:varyColors val="1"/>
        <c:ser>
          <c:idx val="0"/>
          <c:order val="0"/>
          <c:spPr>
            <a:solidFill>
              <a:srgbClr val="9999FF"/>
            </a:solidFill>
            <a:ln w="12635">
              <a:solidFill>
                <a:srgbClr val="000000"/>
              </a:solidFill>
              <a:prstDash val="solid"/>
            </a:ln>
          </c:spPr>
          <c:explosion val="25"/>
          <c:dPt>
            <c:idx val="1"/>
            <c:spPr>
              <a:solidFill>
                <a:srgbClr val="993366"/>
              </a:solidFill>
              <a:ln w="12635">
                <a:solidFill>
                  <a:srgbClr val="000000"/>
                </a:solidFill>
                <a:prstDash val="solid"/>
              </a:ln>
            </c:spPr>
            <c:extLst xmlns:c16r2="http://schemas.microsoft.com/office/drawing/2015/06/chart">
              <c:ext xmlns:c16="http://schemas.microsoft.com/office/drawing/2014/chart" uri="{C3380CC4-5D6E-409C-BE32-E72D297353CC}">
                <c16:uniqueId val="{00000001-29D8-425C-9A5B-1F553AF4F55D}"/>
              </c:ext>
            </c:extLst>
          </c:dPt>
          <c:dLbls>
            <c:numFmt formatCode="0%" sourceLinked="0"/>
            <c:spPr>
              <a:noFill/>
              <a:ln w="25270">
                <a:noFill/>
              </a:ln>
            </c:spPr>
            <c:txPr>
              <a:bodyPr wrap="square" lIns="38100" tIns="19050" rIns="38100" bIns="19050" anchor="ctr">
                <a:spAutoFit/>
              </a:bodyPr>
              <a:lstStyle/>
              <a:p>
                <a:pPr>
                  <a:defRPr sz="895" b="0" i="0" u="none" strike="noStrike" baseline="0">
                    <a:solidFill>
                      <a:srgbClr val="000000"/>
                    </a:solidFill>
                    <a:latin typeface="宋体"/>
                    <a:ea typeface="宋体"/>
                    <a:cs typeface="宋体"/>
                  </a:defRPr>
                </a:pPr>
                <a:endParaRPr lang="zh-CN"/>
              </a:p>
            </c:txPr>
            <c:showCatName val="1"/>
            <c:showPercent val="1"/>
            <c:showLeaderLines val="1"/>
            <c:extLst xmlns:c16r2="http://schemas.microsoft.com/office/drawing/2015/06/chart">
              <c:ext xmlns:c15="http://schemas.microsoft.com/office/drawing/2012/chart" uri="{CE6537A1-D6FC-4f65-9D91-7224C49458BB}"/>
            </c:extLst>
          </c:dLbls>
          <c:cat>
            <c:strRef>
              <c:f>Sheet2!$A$3:$A$4</c:f>
              <c:strCache>
                <c:ptCount val="2"/>
                <c:pt idx="0">
                  <c:v>公务用车运行费</c:v>
                </c:pt>
                <c:pt idx="1">
                  <c:v>公务接待费</c:v>
                </c:pt>
              </c:strCache>
            </c:strRef>
          </c:cat>
          <c:val>
            <c:numRef>
              <c:f>Sheet2!$B$3:$B$4</c:f>
              <c:numCache>
                <c:formatCode>General</c:formatCode>
                <c:ptCount val="2"/>
                <c:pt idx="0">
                  <c:v>1.46</c:v>
                </c:pt>
                <c:pt idx="1">
                  <c:v>0</c:v>
                </c:pt>
              </c:numCache>
            </c:numRef>
          </c:val>
          <c:extLst xmlns:c16r2="http://schemas.microsoft.com/office/drawing/2015/06/chart">
            <c:ext xmlns:c16="http://schemas.microsoft.com/office/drawing/2014/chart" uri="{C3380CC4-5D6E-409C-BE32-E72D297353CC}">
              <c16:uniqueId val="{00000002-29D8-425C-9A5B-1F553AF4F55D}"/>
            </c:ext>
          </c:extLst>
        </c:ser>
        <c:dLbls>
          <c:showCatName val="1"/>
          <c:showPercent val="1"/>
        </c:dLbls>
      </c:pie3DChart>
      <c:spPr>
        <a:noFill/>
        <a:ln w="25270">
          <a:noFill/>
        </a:ln>
      </c:spPr>
    </c:plotArea>
    <c:legend>
      <c:legendPos val="r"/>
      <c:layout>
        <c:manualLayout>
          <c:xMode val="edge"/>
          <c:yMode val="edge"/>
          <c:x val="0.8118466898954706"/>
          <c:y val="0.49070631970260703"/>
          <c:w val="0.18118466898954511"/>
          <c:h val="0.13011152416356817"/>
        </c:manualLayout>
      </c:layout>
      <c:spPr>
        <a:solidFill>
          <a:srgbClr val="FFFFFF"/>
        </a:solidFill>
        <a:ln w="3159">
          <a:solidFill>
            <a:srgbClr val="000000"/>
          </a:solidFill>
          <a:prstDash val="solid"/>
        </a:ln>
      </c:spPr>
      <c:txPr>
        <a:bodyPr/>
        <a:lstStyle/>
        <a:p>
          <a:pPr>
            <a:defRPr sz="821" b="0" i="0" u="none" strike="noStrike" baseline="0">
              <a:solidFill>
                <a:srgbClr val="000000"/>
              </a:solidFill>
              <a:latin typeface="宋体"/>
              <a:ea typeface="宋体"/>
              <a:cs typeface="宋体"/>
            </a:defRPr>
          </a:pPr>
          <a:endParaRPr lang="zh-CN"/>
        </a:p>
      </c:txPr>
    </c:legend>
    <c:plotVisOnly val="1"/>
    <c:dispBlanksAs val="zero"/>
  </c:chart>
  <c:spPr>
    <a:solidFill>
      <a:srgbClr val="FFFFFF"/>
    </a:solidFill>
    <a:ln w="3159">
      <a:solidFill>
        <a:srgbClr val="000000"/>
      </a:solidFill>
      <a:prstDash val="solid"/>
    </a:ln>
  </c:spPr>
  <c:txPr>
    <a:bodyPr/>
    <a:lstStyle/>
    <a:p>
      <a:pPr>
        <a:defRPr sz="895" b="0" i="0" u="none" strike="noStrike" baseline="0">
          <a:solidFill>
            <a:srgbClr val="000000"/>
          </a:solidFill>
          <a:latin typeface="宋体"/>
          <a:ea typeface="宋体"/>
          <a:cs typeface="宋体"/>
        </a:defRPr>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1057</Words>
  <Characters>6026</Characters>
  <Application>Microsoft Office Word</Application>
  <DocSecurity>0</DocSecurity>
  <Lines>50</Lines>
  <Paragraphs>14</Paragraphs>
  <ScaleCrop>false</ScaleCrop>
  <Company>四川省财政厅</Company>
  <LinksUpToDate>false</LinksUpToDate>
  <CharactersWithSpaces>7069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蒲艳</cp:lastModifiedBy>
  <cp:revision>21</cp:revision>
  <cp:lastPrinted>2022-08-06T02:23:00Z</cp:lastPrinted>
  <dcterms:created xsi:type="dcterms:W3CDTF">2022-09-02T03:10:00Z</dcterms:created>
  <dcterms:modified xsi:type="dcterms:W3CDTF">2022-09-13T01:17:00Z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