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rPr>
      </w:pPr>
      <w:bookmarkStart w:id="0"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简体" w:eastAsia="方正小标宋简体"/>
          <w:sz w:val="72"/>
          <w:szCs w:val="72"/>
        </w:rPr>
      </w:pPr>
      <w:bookmarkStart w:id="1" w:name="_Toc15378441"/>
      <w:bookmarkStart w:id="2" w:name="_Toc15396475"/>
      <w:bookmarkStart w:id="3" w:name="_Toc15377425"/>
      <w:bookmarkStart w:id="4" w:name="_Toc15377193"/>
      <w:bookmarkStart w:id="5" w:name="_Toc15396597"/>
      <w:r>
        <w:rPr>
          <w:rFonts w:ascii="方正小标宋简体" w:eastAsia="方正小标宋简体" w:cs="方正小标宋简体"/>
          <w:sz w:val="72"/>
          <w:szCs w:val="72"/>
        </w:rPr>
        <w:t>2022</w:t>
      </w:r>
      <w:r>
        <w:rPr>
          <w:rFonts w:ascii="方正小标宋简体" w:eastAsia="方正小标宋简体" w:cs="方正小标宋简体" w:hint="eastAsia"/>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sz w:val="72"/>
          <w:szCs w:val="72"/>
        </w:rPr>
      </w:pPr>
      <w:bookmarkStart w:id="6" w:name="_Toc15377426"/>
      <w:bookmarkStart w:id="7" w:name="_Toc15378442"/>
      <w:bookmarkStart w:id="8" w:name="_Toc15396598"/>
      <w:bookmarkStart w:id="9" w:name="_Toc15377194"/>
      <w:bookmarkStart w:id="10" w:name="_Toc15396476"/>
      <w:r>
        <w:rPr>
          <w:rFonts w:ascii="方正小标宋简体" w:eastAsia="方正小标宋简体" w:cs="方正小标宋简体" w:hint="eastAsia"/>
          <w:sz w:val="72"/>
          <w:szCs w:val="72"/>
        </w:rPr>
        <w:t>攀枝花市</w:t>
      </w:r>
      <w:bookmarkStart w:id="11" w:name="_Toc15306268"/>
      <w:bookmarkEnd w:id="0"/>
      <w:r>
        <w:rPr>
          <w:rFonts w:ascii="方正小标宋简体" w:eastAsia="方正小标宋简体" w:cs="方正小标宋简体" w:hint="eastAsia"/>
          <w:sz w:val="72"/>
          <w:szCs w:val="72"/>
        </w:rPr>
        <w:t>城市基本建设档案馆单位决算</w:t>
      </w:r>
      <w:bookmarkEnd w:id="6"/>
      <w:bookmarkEnd w:id="7"/>
      <w:bookmarkEnd w:id="8"/>
      <w:bookmarkEnd w:id="9"/>
      <w:bookmarkEnd w:id="10"/>
      <w:bookmarkEnd w:id="11"/>
    </w:p>
    <w:p>
      <w:pPr>
        <w:widowControl/>
        <w:jc w:val="center"/>
        <w:rPr>
          <w:rFonts w:ascii="黑体" w:eastAsia="黑体"/>
          <w:sz w:val="48"/>
          <w:szCs w:val="48"/>
        </w:rPr>
      </w:pPr>
      <w:r>
        <w:rPr>
          <w:rFonts w:ascii="方正小标宋简体" w:eastAsia="方正小标宋简体"/>
          <w:sz w:val="36"/>
          <w:szCs w:val="36"/>
        </w:rPr>
        <w:br w:type="page"/>
      </w:r>
      <w:r>
        <w:rPr>
          <w:rFonts w:ascii="黑体" w:eastAsia="黑体" w:cs="黑体" w:hint="eastAsia"/>
          <w:sz w:val="48"/>
          <w:szCs w:val="48"/>
        </w:rPr>
        <w:t>目录</w:t>
      </w:r>
    </w:p>
    <w:p>
      <w:pPr>
        <w:widowControl/>
        <w:jc w:val="center"/>
        <w:rPr>
          <w:rFonts w:ascii="黑体" w:eastAsia="黑体"/>
          <w:sz w:val="28"/>
          <w:szCs w:val="28"/>
        </w:rPr>
      </w:pPr>
    </w:p>
    <w:p>
      <w:pPr>
        <w:pStyle w:val="20"/>
        <w:tabs>
          <w:tab w:val="right" w:leader="dot" w:pos="8296"/>
        </w:tabs>
        <w:rPr>
          <w:rFonts w:cs="Times New Roman"/>
        </w:rPr>
      </w:pPr>
      <w:r>
        <w:rPr>
          <w:rFonts w:hint="eastAsia"/>
        </w:rPr>
        <w:t>公开时间：</w:t>
      </w:r>
      <w:r>
        <w:t>2023</w:t>
      </w:r>
      <w:r>
        <w:rPr>
          <w:rFonts w:hint="eastAsia"/>
        </w:rPr>
        <w:t>年</w:t>
      </w:r>
      <w:r>
        <w:t>9</w:t>
      </w:r>
      <w:r>
        <w:rPr>
          <w:rFonts w:hint="eastAsia"/>
        </w:rPr>
        <w:t>月</w:t>
      </w:r>
      <w:r>
        <w:t>15</w:t>
      </w:r>
      <w:bookmarkStart w:id="12" w:name="_GoBack"/>
      <w:bookmarkEnd w:id="12"/>
      <w:r>
        <w:rPr>
          <w:rFonts w:hint="eastAsia"/>
        </w:rPr>
        <w:t>日</w:t>
      </w:r>
    </w:p>
    <w:p/>
    <w:p>
      <w:pPr>
        <w:pStyle w:val="20"/>
        <w:tabs>
          <w:tab w:val="right" w:leader="dot" w:pos="8296"/>
        </w:tabs>
        <w:adjustRightInd w:val="0"/>
        <w:snapToGrid w:val="0"/>
        <w:spacing w:before="0" w:line="440" w:lineRule="exact"/>
        <w:jc w:val="left"/>
        <w:rPr>
          <w:sz w:val="24"/>
          <w:szCs w:val="24"/>
        </w:rPr>
      </w:pPr>
      <w:r>
        <w:rPr>
          <w:rFonts w:hint="eastAsia"/>
          <w:sz w:val="24"/>
          <w:szCs w:val="24"/>
        </w:rPr>
        <w:t>第一部分单位概况</w:t>
      </w:r>
      <w:r>
        <w:rPr>
          <w:rFonts w:cs="Times New Roman"/>
          <w:sz w:val="24"/>
          <w:szCs w:val="24"/>
        </w:rPr>
        <w:tab/>
      </w:r>
      <w:r>
        <w:rPr>
          <w:sz w:val="24"/>
          <w:szCs w:val="24"/>
        </w:rPr>
        <w:t>4</w:t>
      </w:r>
    </w:p>
    <w:p>
      <w:pPr>
        <w:pStyle w:val="21"/>
        <w:tabs>
          <w:tab w:val="right" w:leader="dot" w:pos="8296"/>
        </w:tabs>
        <w:adjustRightInd w:val="0"/>
        <w:snapToGrid w:val="0"/>
        <w:spacing w:line="440" w:lineRule="exact"/>
        <w:jc w:val="left"/>
        <w:rPr>
          <w:sz w:val="24"/>
          <w:szCs w:val="24"/>
        </w:rPr>
      </w:pPr>
      <w:r>
        <w:rPr>
          <w:rFonts w:cs="宋体" w:hint="eastAsia"/>
          <w:sz w:val="24"/>
          <w:szCs w:val="24"/>
        </w:rPr>
        <w:t>一、主要职责</w:t>
      </w:r>
      <w:r>
        <w:rPr>
          <w:sz w:val="24"/>
          <w:szCs w:val="24"/>
        </w:rPr>
        <w:tab/>
        <w:t>4</w:t>
      </w:r>
    </w:p>
    <w:p>
      <w:pPr>
        <w:pStyle w:val="21"/>
        <w:tabs>
          <w:tab w:val="right" w:leader="dot" w:pos="8296"/>
        </w:tabs>
        <w:adjustRightInd w:val="0"/>
        <w:snapToGrid w:val="0"/>
        <w:spacing w:line="440" w:lineRule="exact"/>
        <w:jc w:val="left"/>
      </w:pPr>
      <w:r>
        <w:rPr>
          <w:rFonts w:cs="宋体" w:hint="eastAsia"/>
          <w:sz w:val="24"/>
          <w:szCs w:val="24"/>
        </w:rPr>
        <w:t>二、机构设置</w:t>
      </w:r>
      <w:r>
        <w:rPr>
          <w:sz w:val="24"/>
          <w:szCs w:val="24"/>
        </w:rPr>
        <w:tab/>
        <w:t>4</w:t>
      </w:r>
    </w:p>
    <w:p>
      <w:pPr>
        <w:pStyle w:val="20"/>
        <w:tabs>
          <w:tab w:val="right" w:leader="dot" w:pos="8296"/>
        </w:tabs>
        <w:adjustRightInd w:val="0"/>
        <w:snapToGrid w:val="0"/>
        <w:spacing w:before="0" w:line="440" w:lineRule="exact"/>
        <w:jc w:val="left"/>
        <w:rPr>
          <w:rFonts w:cs="Times New Roman"/>
          <w:sz w:val="24"/>
          <w:szCs w:val="24"/>
        </w:rPr>
      </w:pPr>
      <w:r>
        <w:rPr>
          <w:rFonts w:hint="eastAsia"/>
          <w:sz w:val="24"/>
          <w:szCs w:val="24"/>
        </w:rPr>
        <w:t>第二部分</w:t>
      </w:r>
      <w:r>
        <w:rPr>
          <w:sz w:val="24"/>
          <w:szCs w:val="24"/>
        </w:rPr>
        <w:t xml:space="preserve"> 2022</w:t>
      </w:r>
      <w:r>
        <w:rPr>
          <w:rFonts w:hint="eastAsia"/>
          <w:sz w:val="24"/>
          <w:szCs w:val="24"/>
        </w:rPr>
        <w:t>年度单位决算情况说明</w:t>
      </w:r>
      <w:r>
        <w:rPr>
          <w:rFonts w:cs="Times New Roman"/>
          <w:sz w:val="24"/>
          <w:szCs w:val="24"/>
        </w:rPr>
        <w:tab/>
      </w:r>
      <w:r>
        <w:rPr>
          <w:sz w:val="24"/>
          <w:szCs w:val="24"/>
        </w:rPr>
        <w:t>4</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一、收入支出决算总体情况说明</w:t>
      </w:r>
      <w:r>
        <w:rPr>
          <w:sz w:val="24"/>
          <w:szCs w:val="24"/>
        </w:rPr>
        <w:tab/>
        <w:t>4</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二、收入决算情况说明</w:t>
      </w:r>
      <w:r>
        <w:rPr>
          <w:sz w:val="24"/>
          <w:szCs w:val="24"/>
        </w:rPr>
        <w:tab/>
        <w:t>5</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三、支出决算情况说明</w:t>
      </w:r>
      <w:r>
        <w:rPr>
          <w:sz w:val="24"/>
          <w:szCs w:val="24"/>
        </w:rPr>
        <w:tab/>
        <w:t>6</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四、财政拨款收入支出决算总体情况说明</w:t>
      </w:r>
      <w:r>
        <w:rPr>
          <w:sz w:val="24"/>
          <w:szCs w:val="24"/>
        </w:rPr>
        <w:tab/>
        <w:t>6</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五、一般公共预算财政拨款支出决算情况说明</w:t>
      </w:r>
      <w:r>
        <w:rPr>
          <w:sz w:val="24"/>
          <w:szCs w:val="24"/>
        </w:rPr>
        <w:tab/>
        <w:t>7</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六、一般公共预算财政拨款基本支出决算情况说明</w:t>
      </w:r>
      <w:r>
        <w:rPr>
          <w:sz w:val="24"/>
          <w:szCs w:val="24"/>
        </w:rPr>
        <w:tab/>
        <w:t>9</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七、财政拨款“三公”经费支出决算情况说明</w:t>
      </w:r>
      <w:r>
        <w:rPr>
          <w:sz w:val="24"/>
          <w:szCs w:val="24"/>
        </w:rPr>
        <w:tab/>
        <w:t>9</w:t>
      </w:r>
    </w:p>
    <w:p>
      <w:pPr>
        <w:pStyle w:val="21"/>
        <w:tabs>
          <w:tab w:val="right" w:leader="dot" w:pos="8296"/>
        </w:tabs>
        <w:adjustRightInd w:val="0"/>
        <w:snapToGrid w:val="0"/>
        <w:spacing w:line="440" w:lineRule="exact"/>
        <w:jc w:val="left"/>
        <w:rPr>
          <w:rFonts w:ascii="仿宋" w:eastAsia="仿宋"/>
          <w:sz w:val="24"/>
          <w:szCs w:val="24"/>
        </w:rPr>
      </w:pPr>
      <w:r>
        <w:rPr>
          <w:rFonts w:cs="宋体" w:hint="eastAsia"/>
          <w:sz w:val="24"/>
          <w:szCs w:val="24"/>
        </w:rPr>
        <w:t>八、政府性基金预算支出决算情况说明</w:t>
      </w:r>
      <w:r>
        <w:rPr>
          <w:sz w:val="24"/>
          <w:szCs w:val="24"/>
        </w:rPr>
        <w:tab/>
        <w:t>11</w:t>
      </w:r>
    </w:p>
    <w:p>
      <w:pPr>
        <w:pStyle w:val="21"/>
        <w:tabs>
          <w:tab w:val="right" w:leader="dot" w:pos="8296"/>
        </w:tabs>
        <w:adjustRightInd w:val="0"/>
        <w:snapToGrid w:val="0"/>
        <w:spacing w:line="440" w:lineRule="exact"/>
        <w:jc w:val="left"/>
        <w:rPr>
          <w:sz w:val="24"/>
          <w:szCs w:val="24"/>
        </w:rPr>
      </w:pPr>
      <w:r>
        <w:rPr>
          <w:rFonts w:cs="宋体" w:hint="eastAsia"/>
          <w:sz w:val="24"/>
          <w:szCs w:val="24"/>
        </w:rPr>
        <w:t>九、国有资本经营预算支出决算情况说明</w:t>
      </w:r>
      <w:r>
        <w:rPr>
          <w:sz w:val="24"/>
          <w:szCs w:val="24"/>
        </w:rPr>
        <w:tab/>
        <w:t>11</w:t>
      </w:r>
    </w:p>
    <w:p>
      <w:pPr>
        <w:pStyle w:val="21"/>
        <w:tabs>
          <w:tab w:val="right" w:leader="dot" w:pos="8296"/>
        </w:tabs>
        <w:adjustRightInd w:val="0"/>
        <w:snapToGrid w:val="0"/>
        <w:spacing w:line="440" w:lineRule="exact"/>
        <w:jc w:val="left"/>
        <w:rPr>
          <w:sz w:val="24"/>
          <w:szCs w:val="24"/>
        </w:rPr>
      </w:pPr>
      <w:r>
        <w:rPr>
          <w:rFonts w:cs="宋体" w:hint="eastAsia"/>
          <w:sz w:val="24"/>
          <w:szCs w:val="24"/>
        </w:rPr>
        <w:t>十、其他重要事项的情况说明</w:t>
      </w:r>
      <w:r>
        <w:rPr>
          <w:sz w:val="24"/>
          <w:szCs w:val="24"/>
        </w:rPr>
        <w:tab/>
        <w:t>11</w:t>
      </w:r>
    </w:p>
    <w:p>
      <w:pPr>
        <w:pStyle w:val="20"/>
        <w:tabs>
          <w:tab w:val="right" w:leader="dot" w:pos="8296"/>
        </w:tabs>
        <w:adjustRightInd w:val="0"/>
        <w:snapToGrid w:val="0"/>
        <w:spacing w:before="0" w:line="440" w:lineRule="exact"/>
        <w:jc w:val="left"/>
        <w:rPr>
          <w:rFonts w:cs="Times New Roman"/>
          <w:sz w:val="24"/>
          <w:szCs w:val="24"/>
        </w:rPr>
      </w:pPr>
      <w:r>
        <w:rPr>
          <w:rFonts w:hint="eastAsia"/>
          <w:sz w:val="24"/>
          <w:szCs w:val="24"/>
        </w:rPr>
        <w:t>第三部分名词解释</w:t>
      </w:r>
      <w:r>
        <w:rPr>
          <w:rFonts w:cs="Times New Roman"/>
          <w:sz w:val="24"/>
          <w:szCs w:val="24"/>
        </w:rPr>
        <w:tab/>
      </w:r>
      <w:r>
        <w:rPr>
          <w:sz w:val="24"/>
          <w:szCs w:val="24"/>
        </w:rPr>
        <w:t>13</w:t>
      </w:r>
    </w:p>
    <w:p>
      <w:pPr>
        <w:pStyle w:val="20"/>
        <w:tabs>
          <w:tab w:val="right" w:leader="dot" w:pos="8296"/>
        </w:tabs>
        <w:adjustRightInd w:val="0"/>
        <w:snapToGrid w:val="0"/>
        <w:spacing w:before="0" w:line="440" w:lineRule="exact"/>
        <w:jc w:val="left"/>
        <w:rPr>
          <w:rFonts w:cs="Times New Roman"/>
          <w:sz w:val="24"/>
          <w:szCs w:val="24"/>
        </w:rPr>
      </w:pPr>
      <w:r>
        <w:rPr>
          <w:rFonts w:hint="eastAsia"/>
          <w:sz w:val="24"/>
          <w:szCs w:val="24"/>
        </w:rPr>
        <w:t>第四部分附件</w:t>
      </w:r>
      <w:r>
        <w:rPr>
          <w:rFonts w:cs="Times New Roman"/>
          <w:sz w:val="24"/>
          <w:szCs w:val="24"/>
        </w:rPr>
        <w:tab/>
      </w:r>
      <w:r>
        <w:rPr>
          <w:sz w:val="24"/>
          <w:szCs w:val="24"/>
        </w:rPr>
        <w:t>15</w:t>
      </w:r>
    </w:p>
    <w:p>
      <w:pPr>
        <w:pStyle w:val="20"/>
        <w:tabs>
          <w:tab w:val="right" w:leader="dot" w:pos="8296"/>
        </w:tabs>
        <w:adjustRightInd w:val="0"/>
        <w:snapToGrid w:val="0"/>
        <w:spacing w:before="0" w:line="440" w:lineRule="exact"/>
        <w:jc w:val="left"/>
        <w:rPr>
          <w:rFonts w:cs="Times New Roman"/>
          <w:sz w:val="24"/>
          <w:szCs w:val="24"/>
        </w:rPr>
      </w:pPr>
      <w:r>
        <w:rPr>
          <w:rFonts w:hint="eastAsia"/>
          <w:sz w:val="24"/>
          <w:szCs w:val="24"/>
        </w:rPr>
        <w:t>第五部分附表</w:t>
      </w:r>
      <w:r>
        <w:rPr>
          <w:rFonts w:cs="Times New Roman"/>
          <w:sz w:val="24"/>
          <w:szCs w:val="24"/>
        </w:rPr>
        <w:tab/>
      </w:r>
      <w:r>
        <w:rPr>
          <w:sz w:val="24"/>
          <w:szCs w:val="24"/>
        </w:rPr>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一、收入支出决算总表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二、收入决算表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三、支出决算表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四、财政拨款收入支出决算总表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五、财政拨款支出决算明细表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六、一般公共预算财政拨款支出决算表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七、一般公共预算财政拨款支出决算明细表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八、一般公共预算财政拨款基本支出决算明细表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九、一般公共预算财政拨款项目支出决算表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十、政府性基金预算财政拨款收入支出决算表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十一、国有资本经营预算财政拨款收入支出决算表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十二、国有资本经营预算财政拨款支出决算表</w:t>
      </w:r>
      <w:r>
        <w:rPr>
          <w:sz w:val="24"/>
          <w:szCs w:val="24"/>
        </w:rPr>
        <w:tab/>
        <w:t>16</w:t>
      </w:r>
    </w:p>
    <w:p>
      <w:pPr>
        <w:pStyle w:val="21"/>
        <w:tabs>
          <w:tab w:val="right" w:leader="dot" w:pos="8296"/>
        </w:tabs>
        <w:adjustRightInd w:val="0"/>
        <w:snapToGrid w:val="0"/>
        <w:spacing w:line="440" w:lineRule="exact"/>
        <w:jc w:val="left"/>
        <w:rPr>
          <w:sz w:val="24"/>
          <w:szCs w:val="24"/>
        </w:rPr>
      </w:pPr>
      <w:r>
        <w:rPr>
          <w:rFonts w:cs="宋体" w:hint="eastAsia"/>
          <w:sz w:val="24"/>
          <w:szCs w:val="24"/>
        </w:rPr>
        <w:t>十三、财政拨款“三公”经费支出决算表</w:t>
      </w:r>
      <w:r>
        <w:rPr>
          <w:sz w:val="24"/>
          <w:szCs w:val="24"/>
        </w:rPr>
        <w:tab/>
        <w:t>16</w:t>
      </w:r>
    </w:p>
    <w:p>
      <w:pPr>
        <w:widowControl/>
        <w:adjustRightInd w:val="0"/>
        <w:snapToGrid w:val="0"/>
        <w:spacing w:line="440" w:lineRule="exact"/>
        <w:ind w:firstLineChars="550" w:firstLine="1320"/>
        <w:jc w:val="left"/>
        <w:rPr>
          <w:rFonts w:ascii="仿宋" w:eastAsia="仿宋"/>
          <w:sz w:val="24"/>
          <w:szCs w:val="24"/>
        </w:rPr>
      </w:pPr>
    </w:p>
    <w:p>
      <w:pPr>
        <w:widowControl/>
        <w:spacing w:line="440" w:lineRule="exact"/>
        <w:jc w:val="left"/>
        <w:rPr>
          <w:rFonts w:ascii="仿宋" w:eastAsia="仿宋"/>
          <w:kern w:val="44"/>
          <w:sz w:val="24"/>
          <w:szCs w:val="24"/>
        </w:rPr>
      </w:pPr>
      <w:bookmarkStart w:id="13" w:name="_Toc15377196"/>
      <w:bookmarkStart w:id="14" w:name="_Toc15396599"/>
      <w:r>
        <w:rPr>
          <w:rFonts w:ascii="仿宋" w:eastAsia="仿宋"/>
          <w:b/>
          <w:bCs/>
          <w:sz w:val="24"/>
          <w:szCs w:val="24"/>
        </w:rPr>
        <w:br w:type="page"/>
      </w:r>
    </w:p>
    <w:p>
      <w:pPr>
        <w:pStyle w:val="1"/>
        <w:jc w:val="center"/>
        <w:rPr>
          <w:rStyle w:val="1Char"/>
          <w:rFonts w:ascii="黑体" w:eastAsia="黑体"/>
          <w:b/>
          <w:bCs/>
        </w:rPr>
      </w:pPr>
      <w:r>
        <w:rPr>
          <w:rFonts w:ascii="黑体" w:eastAsia="黑体" w:cs="黑体" w:hint="eastAsia"/>
          <w:b w:val="0"/>
          <w:bCs w:val="0"/>
        </w:rPr>
        <w:t>第一部分</w:t>
      </w:r>
      <w:r>
        <w:rPr>
          <w:rFonts w:ascii="黑体" w:eastAsia="黑体" w:cs="黑体"/>
          <w:b w:val="0"/>
          <w:bCs w:val="0"/>
        </w:rPr>
        <w:t xml:space="preserve"> </w:t>
      </w:r>
      <w:r>
        <w:rPr>
          <w:rFonts w:ascii="黑体" w:eastAsia="黑体" w:cs="黑体" w:hint="eastAsia"/>
          <w:b w:val="0"/>
          <w:bCs w:val="0"/>
        </w:rPr>
        <w:t>单位</w:t>
      </w:r>
      <w:r>
        <w:rPr>
          <w:rStyle w:val="1Char"/>
          <w:rFonts w:ascii="黑体" w:eastAsia="黑体" w:cs="黑体" w:hint="eastAsia"/>
        </w:rPr>
        <w:t>概况</w:t>
      </w:r>
      <w:bookmarkEnd w:id="13"/>
      <w:bookmarkEnd w:id="14"/>
    </w:p>
    <w:p>
      <w:pPr>
        <w:widowControl/>
        <w:jc w:val="left"/>
        <w:rPr>
          <w:rFonts w:ascii="黑体" w:eastAsia="黑体"/>
          <w:sz w:val="32"/>
          <w:szCs w:val="32"/>
        </w:rPr>
      </w:pPr>
    </w:p>
    <w:p>
      <w:pPr>
        <w:pStyle w:val="2"/>
        <w:numPr>
          <w:ilvl w:val="0"/>
          <w:numId w:val="1"/>
        </w:numPr>
        <w:rPr>
          <w:rStyle w:val="2Char"/>
          <w:rFonts w:ascii="黑体" w:eastAsia="黑体" w:cs="Times New Roman"/>
        </w:rPr>
      </w:pPr>
      <w:bookmarkStart w:id="15" w:name="_Toc15377197"/>
      <w:bookmarkStart w:id="16" w:name="_Toc15396600"/>
      <w:r>
        <w:rPr>
          <w:rStyle w:val="2Char"/>
          <w:rFonts w:ascii="黑体" w:eastAsia="黑体" w:cs="黑体" w:hint="eastAsia"/>
        </w:rPr>
        <w:t>主要职责</w:t>
      </w:r>
    </w:p>
    <w:p>
      <w:pPr>
        <w:snapToGrid w:val="0"/>
        <w:spacing w:line="520" w:lineRule="exact"/>
        <w:ind w:firstLineChars="200" w:firstLine="640"/>
        <w:rPr>
          <w:rFonts w:ascii="仿宋_GB2312" w:eastAsia="仿宋_GB2312"/>
          <w:sz w:val="32"/>
          <w:szCs w:val="32"/>
        </w:rPr>
      </w:pPr>
      <w:r>
        <w:rPr>
          <w:rFonts w:ascii="仿宋_GB2312" w:eastAsia="仿宋_GB2312" w:cs="仿宋_GB2312" w:hint="eastAsia"/>
          <w:sz w:val="32"/>
          <w:szCs w:val="32"/>
        </w:rPr>
        <w:t>主要工作职责是接收、管理、利用全市城乡建设档案，为城乡规划、建设、管理和城市科学研究服务。</w:t>
      </w:r>
    </w:p>
    <w:p>
      <w:pPr>
        <w:pStyle w:val="2"/>
        <w:rPr>
          <w:rFonts w:ascii="黑体" w:eastAsia="黑体" w:cs="Times New Roman"/>
          <w:b w:val="0"/>
          <w:bCs w:val="0"/>
        </w:rPr>
      </w:pPr>
      <w:r>
        <w:rPr>
          <w:rFonts w:ascii="黑体" w:eastAsia="黑体" w:cs="黑体" w:hint="eastAsia"/>
          <w:b w:val="0"/>
          <w:bCs w:val="0"/>
        </w:rPr>
        <w:t>二、机构设置</w:t>
      </w:r>
    </w:p>
    <w:p>
      <w:pPr>
        <w:snapToGrid w:val="0"/>
        <w:spacing w:line="520" w:lineRule="exact"/>
        <w:ind w:firstLineChars="200" w:firstLine="640"/>
        <w:rPr>
          <w:rFonts w:ascii="仿宋_GB2312" w:eastAsia="仿宋_GB2312"/>
          <w:sz w:val="32"/>
          <w:szCs w:val="32"/>
        </w:rPr>
      </w:pPr>
      <w:bookmarkEnd w:id="15"/>
      <w:bookmarkEnd w:id="16"/>
      <w:r>
        <w:rPr>
          <w:rFonts w:ascii="仿宋_GB2312" w:eastAsia="仿宋_GB2312" w:cs="仿宋_GB2312" w:hint="eastAsia"/>
          <w:sz w:val="32"/>
          <w:szCs w:val="32"/>
        </w:rPr>
        <w:t>攀枝花市城建档案馆（处）成立于</w:t>
      </w:r>
      <w:r>
        <w:rPr>
          <w:rFonts w:ascii="仿宋_GB2312" w:eastAsia="仿宋_GB2312" w:cs="仿宋_GB2312"/>
          <w:sz w:val="32"/>
          <w:szCs w:val="32"/>
        </w:rPr>
        <w:t>1981</w:t>
      </w:r>
      <w:r>
        <w:rPr>
          <w:rFonts w:ascii="仿宋_GB2312" w:eastAsia="仿宋_GB2312" w:cs="仿宋_GB2312" w:hint="eastAsia"/>
          <w:sz w:val="32"/>
          <w:szCs w:val="32"/>
        </w:rPr>
        <w:t>年</w:t>
      </w:r>
      <w:r>
        <w:rPr>
          <w:rFonts w:ascii="仿宋_GB2312" w:eastAsia="仿宋_GB2312" w:cs="仿宋_GB2312"/>
          <w:sz w:val="32"/>
          <w:szCs w:val="32"/>
        </w:rPr>
        <w:t>4</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日，属全额拨款的二级事业单位，归口市住房城乡建设局领导。馆内机构设有办公室、声像信息科、工程接收科、管理编研科</w:t>
      </w:r>
      <w:r>
        <w:rPr>
          <w:rFonts w:ascii="楷体_GB2312" w:eastAsia="楷体_GB2312" w:cs="楷体_GB2312" w:hint="eastAsia"/>
          <w:sz w:val="28"/>
          <w:szCs w:val="28"/>
        </w:rPr>
        <w:t>。</w:t>
      </w:r>
    </w:p>
    <w:p>
      <w:pPr>
        <w:pStyle w:val="1"/>
        <w:ind w:right="440"/>
        <w:jc w:val="center"/>
        <w:rPr>
          <w:rStyle w:val="1Char"/>
          <w:rFonts w:ascii="黑体" w:eastAsia="黑体"/>
        </w:rPr>
      </w:pPr>
      <w:bookmarkStart w:id="17" w:name="_Toc15396602"/>
      <w:bookmarkStart w:id="18" w:name="_Toc15377204"/>
      <w:r>
        <w:rPr>
          <w:rFonts w:ascii="黑体" w:eastAsia="黑体" w:cs="黑体" w:hint="eastAsia"/>
          <w:b w:val="0"/>
          <w:bCs w:val="0"/>
        </w:rPr>
        <w:t>第二部分</w:t>
      </w:r>
      <w:r>
        <w:rPr>
          <w:rFonts w:ascii="黑体" w:eastAsia="黑体" w:cs="黑体"/>
          <w:b w:val="0"/>
          <w:bCs w:val="0"/>
        </w:rPr>
        <w:t xml:space="preserve"> 2022</w:t>
      </w:r>
      <w:r>
        <w:rPr>
          <w:rFonts w:ascii="黑体" w:eastAsia="黑体" w:cs="黑体" w:hint="eastAsia"/>
          <w:b w:val="0"/>
          <w:bCs w:val="0"/>
        </w:rPr>
        <w:t>年度</w:t>
      </w:r>
      <w:r>
        <w:rPr>
          <w:rStyle w:val="1Char"/>
          <w:rFonts w:ascii="黑体" w:eastAsia="黑体" w:cs="黑体" w:hint="eastAsia"/>
        </w:rPr>
        <w:t>单位决算情况说明</w:t>
      </w:r>
      <w:bookmarkEnd w:id="17"/>
      <w:bookmarkEnd w:id="18"/>
    </w:p>
    <w:p/>
    <w:p>
      <w:pPr>
        <w:pStyle w:val="25"/>
        <w:numPr>
          <w:ilvl w:val="0"/>
          <w:numId w:val="2"/>
        </w:numPr>
        <w:spacing w:line="600" w:lineRule="exact"/>
        <w:ind w:firstLineChars="0"/>
        <w:outlineLvl w:val="1"/>
        <w:rPr>
          <w:rStyle w:val="2Char"/>
          <w:rFonts w:ascii="黑体" w:eastAsia="黑体" w:cs="Times New Roman"/>
          <w:b w:val="0"/>
          <w:bCs w:val="0"/>
        </w:rPr>
      </w:pPr>
      <w:bookmarkStart w:id="19" w:name="_Toc15377205"/>
      <w:bookmarkStart w:id="20" w:name="_Toc15396603"/>
      <w:r>
        <w:rPr>
          <w:rFonts w:ascii="黑体" w:eastAsia="黑体" w:cs="黑体" w:hint="eastAsia"/>
          <w:sz w:val="32"/>
          <w:szCs w:val="32"/>
        </w:rPr>
        <w:t>收</w:t>
      </w:r>
      <w:r>
        <w:rPr>
          <w:rStyle w:val="2Char"/>
          <w:rFonts w:ascii="黑体" w:eastAsia="黑体" w:cs="黑体" w:hint="eastAsia"/>
          <w:b w:val="0"/>
          <w:bCs w:val="0"/>
        </w:rPr>
        <w:t>入支出决算总体情况说明</w:t>
      </w:r>
      <w:bookmarkEnd w:id="19"/>
      <w:bookmarkEnd w:id="20"/>
    </w:p>
    <w:p>
      <w:pPr>
        <w:spacing w:line="600" w:lineRule="exact"/>
        <w:ind w:firstLineChars="200"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年财政拨款收、支总计</w:t>
      </w:r>
      <w:r>
        <w:rPr>
          <w:rFonts w:ascii="仿宋" w:eastAsia="仿宋" w:cs="仿宋"/>
          <w:sz w:val="32"/>
          <w:szCs w:val="32"/>
        </w:rPr>
        <w:t>610.14</w:t>
      </w:r>
      <w:r>
        <w:rPr>
          <w:rFonts w:ascii="仿宋" w:eastAsia="仿宋" w:cs="仿宋" w:hint="eastAsia"/>
          <w:sz w:val="32"/>
          <w:szCs w:val="32"/>
        </w:rPr>
        <w:t>万元。与</w:t>
      </w:r>
      <w:r>
        <w:rPr>
          <w:rFonts w:ascii="仿宋" w:eastAsia="仿宋" w:cs="仿宋"/>
          <w:sz w:val="32"/>
          <w:szCs w:val="32"/>
        </w:rPr>
        <w:t>2021</w:t>
      </w:r>
      <w:r>
        <w:rPr>
          <w:rFonts w:ascii="仿宋" w:eastAsia="仿宋" w:cs="仿宋" w:hint="eastAsia"/>
          <w:sz w:val="32"/>
          <w:szCs w:val="32"/>
        </w:rPr>
        <w:t>年相比，收入减少</w:t>
      </w:r>
      <w:r>
        <w:rPr>
          <w:rFonts w:ascii="仿宋" w:eastAsia="仿宋" w:cs="仿宋"/>
          <w:sz w:val="32"/>
          <w:szCs w:val="32"/>
        </w:rPr>
        <w:t>29.97</w:t>
      </w:r>
      <w:r>
        <w:rPr>
          <w:rFonts w:ascii="仿宋" w:eastAsia="仿宋" w:cs="仿宋" w:hint="eastAsia"/>
          <w:sz w:val="32"/>
          <w:szCs w:val="32"/>
        </w:rPr>
        <w:t>万元，减少</w:t>
      </w:r>
      <w:r>
        <w:rPr>
          <w:rFonts w:ascii="仿宋" w:eastAsia="仿宋" w:cs="仿宋"/>
          <w:sz w:val="32"/>
          <w:szCs w:val="32"/>
        </w:rPr>
        <w:t>9.14%</w:t>
      </w:r>
      <w:r>
        <w:rPr>
          <w:rFonts w:ascii="仿宋" w:eastAsia="仿宋" w:cs="仿宋" w:hint="eastAsia"/>
          <w:sz w:val="32"/>
          <w:szCs w:val="32"/>
        </w:rPr>
        <w:t>、上年结转、结余</w:t>
      </w:r>
      <w:r>
        <w:rPr>
          <w:rFonts w:ascii="仿宋" w:eastAsia="仿宋" w:cs="仿宋"/>
          <w:sz w:val="32"/>
          <w:szCs w:val="32"/>
        </w:rPr>
        <w:t>7.12</w:t>
      </w:r>
      <w:r>
        <w:rPr>
          <w:rFonts w:ascii="仿宋" w:eastAsia="仿宋" w:cs="仿宋" w:hint="eastAsia"/>
          <w:sz w:val="32"/>
          <w:szCs w:val="32"/>
        </w:rPr>
        <w:t>万元，支出减少</w:t>
      </w:r>
      <w:r>
        <w:rPr>
          <w:rFonts w:ascii="仿宋" w:eastAsia="仿宋" w:cs="仿宋"/>
          <w:sz w:val="32"/>
          <w:szCs w:val="32"/>
        </w:rPr>
        <w:t>22.85</w:t>
      </w:r>
      <w:r>
        <w:rPr>
          <w:rFonts w:ascii="仿宋" w:eastAsia="仿宋" w:cs="仿宋" w:hint="eastAsia"/>
          <w:sz w:val="32"/>
          <w:szCs w:val="32"/>
        </w:rPr>
        <w:t>万元，减少</w:t>
      </w:r>
      <w:r>
        <w:rPr>
          <w:rFonts w:ascii="仿宋" w:eastAsia="仿宋" w:cs="仿宋"/>
          <w:sz w:val="32"/>
          <w:szCs w:val="32"/>
        </w:rPr>
        <w:t>6.97%</w:t>
      </w:r>
      <w:r>
        <w:rPr>
          <w:rFonts w:ascii="仿宋" w:eastAsia="仿宋" w:cs="仿宋" w:hint="eastAsia"/>
          <w:sz w:val="32"/>
          <w:szCs w:val="32"/>
        </w:rPr>
        <w:t>。主要变动原因是主要原因是主要变动原因节约过紧日子，缩减成本支出，日常公用经费收、支减少。</w:t>
      </w:r>
    </w:p>
    <w:p>
      <w:pPr>
        <w:spacing w:line="600" w:lineRule="exact"/>
        <w:ind w:firstLineChars="200" w:firstLine="640"/>
        <w:rPr>
          <w:rFonts w:ascii="仿宋" w:eastAsia="仿宋"/>
          <w:sz w:val="32"/>
          <w:szCs w:val="32"/>
        </w:rPr>
      </w:pPr>
    </w:p>
    <w:p>
      <w:pPr>
        <w:spacing w:line="600" w:lineRule="exact"/>
        <w:ind w:firstLineChars="200" w:firstLine="640"/>
      </w:pPr>
      <w:r>
        <w:rPr>
          <w:rFonts w:ascii="仿宋" w:eastAsia="仿宋" w:cs="仿宋" w:hint="eastAsia"/>
          <w:sz w:val="32"/>
          <w:szCs w:val="32"/>
        </w:rPr>
        <w:t>（图</w:t>
      </w:r>
      <w:r>
        <w:rPr>
          <w:rFonts w:ascii="仿宋" w:eastAsia="仿宋" w:cs="仿宋"/>
          <w:sz w:val="32"/>
          <w:szCs w:val="32"/>
        </w:rPr>
        <w:t>1</w:t>
      </w:r>
      <w:r>
        <w:rPr>
          <w:rFonts w:ascii="仿宋" w:eastAsia="仿宋" w:cs="仿宋" w:hint="eastAsia"/>
          <w:sz w:val="32"/>
          <w:szCs w:val="32"/>
        </w:rPr>
        <w:t>：收、支决算总计变动情况图）</w:t>
      </w:r>
    </w:p>
    <w:p>
      <w:pPr>
        <w:spacing w:line="600" w:lineRule="exact"/>
        <w:ind w:firstLineChars="200" w:firstLine="420"/>
        <w:jc w:val="right"/>
        <w:rPr>
          <w:rFonts w:ascii="仿宋_GB2312" w:eastAsia="仿宋_GB2312"/>
        </w:rPr>
      </w:pPr>
      <w:r>
        <w:rPr>
          <w:rFonts w:ascii="仿宋_GB2312" w:eastAsia="仿宋_GB2312" w:cs="仿宋_GB2312" w:hint="eastAsia"/>
        </w:rPr>
        <w:t>单位：万元</w:t>
      </w:r>
    </w:p>
    <w:p>
      <w:pPr>
        <w:pStyle w:val="15"/>
        <w:spacing w:beforeLines="0" w:before="93"/>
        <w:rPr>
          <w:rFonts w:cs="Times New Roman"/>
          <w:color w:val="000000"/>
          <w:sz w:val="32"/>
          <w:szCs w:val="32"/>
        </w:rPr>
      </w:pPr>
      <w:r>
        <w:rPr>
          <w:rFonts w:cs="Times New Roman"/>
          <w:sz w:val="32"/>
          <w:szCs w:val="32"/>
        </w:rPr>
        <w:drawing>
          <wp:inline distT="0" distB="0" distL="114298" distR="114298">
            <wp:extent cx="5095874" cy="3076575"/>
            <wp:effectExtent l="0" t="0" r="18" b="47"/>
            <wp:docPr id="1" name="图表 4"/>
            <wp:cNvGraphicFramePr>
              <a:graphicFrameLocks noChangeAspect="0"/>
            </wp:cNvGraphicFramePr>
            <a:graphic>
              <a:graphicData uri="http://schemas.openxmlformats.org/drawingml/2006/picture">
                <pic:pic>
                  <pic:nvPicPr>
                    <pic:cNvPr id="3" name="图表 4 3"/>
                    <pic:cNvPicPr/>
                  </pic:nvPicPr>
                  <pic:blipFill>
                    <a:blip r:embed="rId4"/>
                    <a:srcRect b="-19"/>
                    <a:stretch>
                      <a:fillRect/>
                    </a:stretch>
                  </pic:blipFill>
                  <pic:spPr>
                    <a:xfrm rot="0">
                      <a:off x="0" y="0"/>
                      <a:ext cx="5095874" cy="3076575"/>
                    </a:xfrm>
                    <a:prstGeom prst="rect"/>
                    <a:noFill/>
                    <a:ln w="9525" cmpd="sng" cap="flat">
                      <a:noFill/>
                      <a:prstDash val="solid"/>
                      <a:miter/>
                    </a:ln>
                  </pic:spPr>
                </pic:pic>
              </a:graphicData>
            </a:graphic>
          </wp:inline>
        </w:drawing>
      </w:r>
    </w:p>
    <w:p>
      <w:pPr>
        <w:pStyle w:val="25"/>
        <w:numPr>
          <w:ilvl w:val="0"/>
          <w:numId w:val="2"/>
        </w:numPr>
        <w:spacing w:line="600" w:lineRule="exact"/>
        <w:ind w:firstLineChars="0"/>
        <w:outlineLvl w:val="1"/>
        <w:rPr>
          <w:rStyle w:val="2Char"/>
          <w:rFonts w:ascii="黑体" w:eastAsia="黑体" w:cs="Times New Roman"/>
          <w:b w:val="0"/>
          <w:bCs w:val="0"/>
        </w:rPr>
      </w:pPr>
      <w:bookmarkStart w:id="21" w:name="_Toc15396604"/>
      <w:bookmarkStart w:id="22" w:name="_Toc15377206"/>
      <w:r>
        <w:rPr>
          <w:rFonts w:ascii="黑体" w:eastAsia="黑体" w:cs="黑体" w:hint="eastAsia"/>
          <w:sz w:val="32"/>
          <w:szCs w:val="32"/>
        </w:rPr>
        <w:t>收</w:t>
      </w:r>
      <w:r>
        <w:rPr>
          <w:rStyle w:val="2Char"/>
          <w:rFonts w:ascii="黑体" w:eastAsia="黑体" w:cs="黑体" w:hint="eastAsia"/>
          <w:b w:val="0"/>
          <w:bCs w:val="0"/>
        </w:rPr>
        <w:t>入决算情况说明</w:t>
      </w:r>
      <w:bookmarkEnd w:id="21"/>
      <w:bookmarkEnd w:id="22"/>
    </w:p>
    <w:p>
      <w:pPr>
        <w:spacing w:line="600" w:lineRule="exact"/>
        <w:ind w:firstLineChars="200" w:firstLine="640"/>
        <w:outlineLvl w:val="1"/>
        <w:rPr>
          <w:rFonts w:ascii="仿宋" w:eastAsia="仿宋" w:cs="仿宋"/>
          <w:sz w:val="32"/>
          <w:szCs w:val="32"/>
        </w:rPr>
      </w:pPr>
      <w:r>
        <w:rPr>
          <w:rFonts w:ascii="仿宋" w:eastAsia="仿宋" w:cs="仿宋"/>
          <w:sz w:val="32"/>
          <w:szCs w:val="32"/>
        </w:rPr>
        <w:t>2022</w:t>
      </w:r>
      <w:r>
        <w:rPr>
          <w:rFonts w:ascii="仿宋" w:eastAsia="仿宋" w:cs="仿宋" w:hint="eastAsia"/>
          <w:sz w:val="32"/>
          <w:szCs w:val="32"/>
        </w:rPr>
        <w:t>年本年收入合计</w:t>
      </w:r>
      <w:r>
        <w:rPr>
          <w:rFonts w:ascii="仿宋" w:eastAsia="仿宋" w:cs="仿宋"/>
          <w:sz w:val="32"/>
          <w:szCs w:val="32"/>
        </w:rPr>
        <w:t>305.07</w:t>
      </w:r>
      <w:r>
        <w:rPr>
          <w:rFonts w:ascii="仿宋" w:eastAsia="仿宋" w:cs="仿宋" w:hint="eastAsia"/>
          <w:sz w:val="32"/>
          <w:szCs w:val="32"/>
        </w:rPr>
        <w:t>万元，其中：一般公共预算财政拨款收入</w:t>
      </w:r>
      <w:r>
        <w:rPr>
          <w:rFonts w:ascii="仿宋" w:eastAsia="仿宋" w:cs="仿宋"/>
          <w:sz w:val="32"/>
          <w:szCs w:val="32"/>
        </w:rPr>
        <w:t>297.95</w:t>
      </w:r>
      <w:r>
        <w:rPr>
          <w:rFonts w:ascii="仿宋" w:eastAsia="仿宋" w:cs="仿宋" w:hint="eastAsia"/>
          <w:sz w:val="32"/>
          <w:szCs w:val="32"/>
        </w:rPr>
        <w:t>万元，占</w:t>
      </w:r>
      <w:r>
        <w:rPr>
          <w:rFonts w:ascii="仿宋" w:eastAsia="仿宋" w:cs="仿宋"/>
          <w:sz w:val="32"/>
          <w:szCs w:val="32"/>
        </w:rPr>
        <w:t>97.67%</w:t>
      </w:r>
      <w:r>
        <w:rPr>
          <w:rFonts w:ascii="仿宋" w:eastAsia="仿宋" w:cs="仿宋" w:hint="eastAsia"/>
          <w:sz w:val="32"/>
          <w:szCs w:val="32"/>
        </w:rPr>
        <w:t>，</w:t>
      </w:r>
      <w:r>
        <w:rPr>
          <w:rFonts w:ascii="仿宋_GB2312" w:eastAsia="仿宋_GB2312" w:cs="仿宋_GB2312" w:hint="eastAsia"/>
          <w:sz w:val="32"/>
          <w:szCs w:val="32"/>
        </w:rPr>
        <w:t>年初结转和结余</w:t>
      </w:r>
      <w:r>
        <w:rPr>
          <w:rFonts w:ascii="仿宋_GB2312" w:eastAsia="仿宋_GB2312" w:cs="仿宋_GB2312"/>
          <w:sz w:val="32"/>
          <w:szCs w:val="32"/>
        </w:rPr>
        <w:t>7.12</w:t>
      </w:r>
      <w:r>
        <w:rPr>
          <w:rFonts w:ascii="仿宋_GB2312" w:eastAsia="仿宋_GB2312" w:cs="仿宋_GB2312" w:hint="eastAsia"/>
          <w:sz w:val="32"/>
          <w:szCs w:val="32"/>
        </w:rPr>
        <w:t>万元，占</w:t>
      </w:r>
      <w:r>
        <w:rPr>
          <w:rFonts w:ascii="仿宋" w:eastAsia="仿宋" w:cs="仿宋"/>
          <w:sz w:val="32"/>
          <w:szCs w:val="32"/>
        </w:rPr>
        <w:t>2.33%</w:t>
      </w:r>
    </w:p>
    <w:p>
      <w:pPr>
        <w:spacing w:line="600" w:lineRule="exact"/>
        <w:ind w:firstLineChars="400" w:firstLine="1280"/>
        <w:rPr>
          <w:rFonts w:ascii="仿宋" w:eastAsia="仿宋"/>
          <w:sz w:val="32"/>
          <w:szCs w:val="32"/>
        </w:rPr>
      </w:pPr>
      <w:r>
        <w:rPr>
          <w:rFonts w:ascii="仿宋" w:eastAsia="仿宋" w:cs="仿宋" w:hint="eastAsia"/>
          <w:sz w:val="32"/>
          <w:szCs w:val="32"/>
        </w:rPr>
        <w:t>（图</w:t>
      </w:r>
      <w:r>
        <w:rPr>
          <w:rFonts w:ascii="仿宋" w:eastAsia="仿宋" w:cs="仿宋"/>
          <w:sz w:val="32"/>
          <w:szCs w:val="32"/>
        </w:rPr>
        <w:t>2</w:t>
      </w:r>
      <w:r>
        <w:rPr>
          <w:rFonts w:ascii="仿宋" w:eastAsia="仿宋" w:cs="仿宋" w:hint="eastAsia"/>
          <w:sz w:val="32"/>
          <w:szCs w:val="32"/>
        </w:rPr>
        <w:t>：收入决算结构图）</w:t>
      </w:r>
    </w:p>
    <w:p>
      <w:pPr>
        <w:spacing w:line="600" w:lineRule="exact"/>
        <w:ind w:firstLineChars="200" w:firstLine="420"/>
        <w:jc w:val="right"/>
        <w:rPr>
          <w:rFonts w:ascii="仿宋_GB2312" w:eastAsia="仿宋_GB2312"/>
        </w:rPr>
      </w:pPr>
      <w:r>
        <w:rPr>
          <w:rFonts w:ascii="仿宋_GB2312" w:eastAsia="仿宋_GB2312" w:cs="仿宋_GB2312" w:hint="eastAsia"/>
        </w:rPr>
        <w:t>单位：万元</w:t>
      </w:r>
    </w:p>
    <w:p>
      <w:pPr>
        <w:pStyle w:val="15"/>
        <w:spacing w:beforeLines="0" w:before="93"/>
        <w:jc w:val="right"/>
        <w:rPr>
          <w:rFonts w:ascii="仿宋" w:eastAsia="仿宋" w:cs="Times New Roman"/>
          <w:sz w:val="32"/>
          <w:szCs w:val="32"/>
        </w:rPr>
      </w:pPr>
      <w:r>
        <w:rPr>
          <w:rFonts w:cs="Times New Roman"/>
          <w:sz w:val="32"/>
          <w:szCs w:val="32"/>
        </w:rPr>
        <w:drawing>
          <wp:inline distT="0" distB="0" distL="114298" distR="114298">
            <wp:extent cx="5095874" cy="2743200"/>
            <wp:effectExtent l="0" t="0" r="18" b="42"/>
            <wp:docPr id="4" name="图表 2"/>
            <wp:cNvGraphicFramePr>
              <a:graphicFrameLocks noChangeAspect="0"/>
            </wp:cNvGraphicFramePr>
            <a:graphic>
              <a:graphicData uri="http://schemas.openxmlformats.org/drawingml/2006/picture">
                <pic:pic>
                  <pic:nvPicPr>
                    <pic:cNvPr id="6" name="图表 2 6"/>
                    <pic:cNvPicPr/>
                  </pic:nvPicPr>
                  <pic:blipFill>
                    <a:blip r:embed="rId5"/>
                    <a:stretch>
                      <a:fillRect/>
                    </a:stretch>
                  </pic:blipFill>
                  <pic:spPr>
                    <a:xfrm rot="0">
                      <a:off x="0" y="0"/>
                      <a:ext cx="5095874" cy="2743200"/>
                    </a:xfrm>
                    <a:prstGeom prst="rect"/>
                    <a:noFill/>
                    <a:ln w="9525" cmpd="sng" cap="flat">
                      <a:noFill/>
                      <a:prstDash val="solid"/>
                      <a:miter/>
                    </a:ln>
                  </pic:spPr>
                </pic:pic>
              </a:graphicData>
            </a:graphic>
          </wp:inline>
        </w:drawing>
      </w:r>
    </w:p>
    <w:p>
      <w:pPr>
        <w:pStyle w:val="25"/>
        <w:numPr>
          <w:ilvl w:val="0"/>
          <w:numId w:val="2"/>
        </w:numPr>
        <w:spacing w:line="600" w:lineRule="exact"/>
        <w:ind w:firstLineChars="0"/>
        <w:outlineLvl w:val="1"/>
        <w:rPr>
          <w:rStyle w:val="2Char"/>
          <w:rFonts w:ascii="黑体" w:eastAsia="黑体" w:cs="Times New Roman"/>
          <w:b w:val="0"/>
          <w:bCs w:val="0"/>
        </w:rPr>
      </w:pPr>
      <w:bookmarkStart w:id="23" w:name="_Toc15396605"/>
      <w:bookmarkStart w:id="24" w:name="_Toc15377207"/>
      <w:r>
        <w:rPr>
          <w:rFonts w:ascii="黑体" w:eastAsia="黑体" w:cs="黑体" w:hint="eastAsia"/>
          <w:sz w:val="32"/>
          <w:szCs w:val="32"/>
        </w:rPr>
        <w:t>支</w:t>
      </w:r>
      <w:r>
        <w:rPr>
          <w:rStyle w:val="2Char"/>
          <w:rFonts w:ascii="黑体" w:eastAsia="黑体" w:cs="黑体" w:hint="eastAsia"/>
          <w:b w:val="0"/>
          <w:bCs w:val="0"/>
        </w:rPr>
        <w:t>出决算情况说明</w:t>
      </w:r>
      <w:bookmarkEnd w:id="23"/>
      <w:bookmarkEnd w:id="24"/>
    </w:p>
    <w:p>
      <w:pPr>
        <w:spacing w:line="600" w:lineRule="exact"/>
        <w:ind w:firstLineChars="200" w:firstLine="640"/>
        <w:outlineLvl w:val="1"/>
        <w:rPr>
          <w:rFonts w:ascii="仿宋" w:eastAsia="仿宋"/>
          <w:sz w:val="32"/>
          <w:szCs w:val="32"/>
          <w:shd w:val="pct10" w:color="auto" w:fill="FFFFFF"/>
        </w:rPr>
      </w:pPr>
      <w:r>
        <w:rPr>
          <w:rFonts w:ascii="仿宋" w:eastAsia="仿宋" w:cs="仿宋"/>
          <w:sz w:val="32"/>
          <w:szCs w:val="32"/>
        </w:rPr>
        <w:t>2022</w:t>
      </w:r>
      <w:r>
        <w:rPr>
          <w:rFonts w:ascii="仿宋" w:eastAsia="仿宋" w:cs="仿宋" w:hint="eastAsia"/>
          <w:sz w:val="32"/>
          <w:szCs w:val="32"/>
        </w:rPr>
        <w:t>年本年支出合计</w:t>
      </w:r>
      <w:r>
        <w:rPr>
          <w:rFonts w:ascii="仿宋" w:eastAsia="仿宋" w:cs="仿宋"/>
          <w:sz w:val="32"/>
          <w:szCs w:val="32"/>
        </w:rPr>
        <w:t>305.07</w:t>
      </w:r>
      <w:r>
        <w:rPr>
          <w:rFonts w:ascii="仿宋" w:eastAsia="仿宋" w:cs="仿宋" w:hint="eastAsia"/>
          <w:sz w:val="32"/>
          <w:szCs w:val="32"/>
        </w:rPr>
        <w:t>万元，其中：基本支出</w:t>
      </w:r>
      <w:r>
        <w:rPr>
          <w:rFonts w:ascii="仿宋" w:eastAsia="仿宋" w:cs="仿宋"/>
          <w:sz w:val="32"/>
          <w:szCs w:val="32"/>
        </w:rPr>
        <w:t>293.07</w:t>
      </w:r>
      <w:r>
        <w:rPr>
          <w:rFonts w:ascii="仿宋" w:eastAsia="仿宋" w:cs="仿宋" w:hint="eastAsia"/>
          <w:sz w:val="32"/>
          <w:szCs w:val="32"/>
        </w:rPr>
        <w:t>万元，占</w:t>
      </w:r>
      <w:r>
        <w:rPr>
          <w:rFonts w:ascii="仿宋" w:eastAsia="仿宋" w:cs="仿宋"/>
          <w:sz w:val="32"/>
          <w:szCs w:val="32"/>
        </w:rPr>
        <w:t>96.07%</w:t>
      </w:r>
      <w:r>
        <w:rPr>
          <w:rFonts w:ascii="仿宋" w:eastAsia="仿宋" w:cs="仿宋" w:hint="eastAsia"/>
          <w:sz w:val="32"/>
          <w:szCs w:val="32"/>
        </w:rPr>
        <w:t>；项目支出</w:t>
      </w:r>
      <w:r>
        <w:rPr>
          <w:rFonts w:ascii="仿宋" w:eastAsia="仿宋" w:cs="仿宋"/>
          <w:sz w:val="32"/>
          <w:szCs w:val="32"/>
        </w:rPr>
        <w:t>12</w:t>
      </w:r>
      <w:r>
        <w:rPr>
          <w:rFonts w:ascii="仿宋" w:eastAsia="仿宋" w:cs="仿宋" w:hint="eastAsia"/>
          <w:sz w:val="32"/>
          <w:szCs w:val="32"/>
        </w:rPr>
        <w:t>万元，占</w:t>
      </w:r>
      <w:r>
        <w:rPr>
          <w:rFonts w:ascii="仿宋" w:eastAsia="仿宋" w:cs="仿宋"/>
          <w:sz w:val="32"/>
          <w:szCs w:val="32"/>
        </w:rPr>
        <w:t>3.93%</w:t>
      </w:r>
      <w:r>
        <w:rPr>
          <w:rFonts w:ascii="仿宋" w:eastAsia="仿宋" w:cs="仿宋" w:hint="eastAsia"/>
          <w:sz w:val="32"/>
          <w:szCs w:val="32"/>
        </w:rPr>
        <w:t>。</w:t>
      </w:r>
    </w:p>
    <w:p>
      <w:pPr>
        <w:spacing w:line="600" w:lineRule="exact"/>
        <w:ind w:firstLineChars="600" w:firstLine="1920"/>
      </w:pPr>
      <w:r>
        <w:rPr>
          <w:rFonts w:ascii="仿宋" w:eastAsia="仿宋" w:cs="仿宋" w:hint="eastAsia"/>
          <w:sz w:val="32"/>
          <w:szCs w:val="32"/>
        </w:rPr>
        <w:t>（图</w:t>
      </w:r>
      <w:r>
        <w:rPr>
          <w:rFonts w:ascii="仿宋" w:eastAsia="仿宋" w:cs="仿宋"/>
          <w:sz w:val="32"/>
          <w:szCs w:val="32"/>
        </w:rPr>
        <w:t>3</w:t>
      </w:r>
      <w:r>
        <w:rPr>
          <w:rFonts w:ascii="仿宋" w:eastAsia="仿宋" w:cs="仿宋" w:hint="eastAsia"/>
          <w:sz w:val="32"/>
          <w:szCs w:val="32"/>
        </w:rPr>
        <w:t>：支出决算结构图）</w:t>
      </w:r>
    </w:p>
    <w:p>
      <w:pPr>
        <w:spacing w:line="600" w:lineRule="exact"/>
        <w:ind w:firstLineChars="200" w:firstLine="420"/>
        <w:jc w:val="right"/>
        <w:rPr>
          <w:rFonts w:ascii="仿宋_GB2312" w:eastAsia="仿宋_GB2312"/>
        </w:rPr>
      </w:pPr>
      <w: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position:absolute;margin-left:12.649999pt;margin-top:29.05pt;width:401.30002pt;height:243.35pt;z-index:-11;mso-position-horizontal:absolute;mso-position-vertical:absolute;mso-wrap-distance-left:8.999863pt;mso-wrap-distance-bottom:0.02pt;mso-wrap-distance-right:8.999863pt;" o:ole="">
            <v:stroke color="#000000"/>
            <v:imagedata r:id="rId6" o:title="image3"/>
            <o:lock aspectratio="t"/>
          </v:shape>
          <o:OLEObject Type="Embed" ProgID="Package" ShapeID="_x0000_i1" DrawAspect="Content" ObjectID="_1393063351" r:id="rId7"/>
        </w:object>
      </w:r>
      <w:r>
        <w:rPr>
          <w:rFonts w:ascii="仿宋_GB2312" w:eastAsia="仿宋_GB2312" w:cs="仿宋_GB2312" w:hint="eastAsia"/>
        </w:rPr>
        <w:t>单位：万元</w:t>
      </w: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ind w:firstLineChars="200" w:firstLine="640"/>
        <w:jc w:val="center"/>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Chars="200" w:firstLine="640"/>
        <w:outlineLvl w:val="1"/>
        <w:rPr>
          <w:rStyle w:val="2Char"/>
          <w:rFonts w:ascii="黑体" w:eastAsia="黑体" w:cs="Times New Roman"/>
          <w:b w:val="0"/>
          <w:bCs w:val="0"/>
        </w:rPr>
      </w:pPr>
      <w:bookmarkStart w:id="25" w:name="_Toc15396606"/>
      <w:bookmarkStart w:id="26" w:name="_Toc15377208"/>
      <w:r>
        <w:rPr>
          <w:rFonts w:ascii="黑体" w:eastAsia="黑体" w:cs="黑体" w:hint="eastAsia"/>
          <w:sz w:val="32"/>
          <w:szCs w:val="32"/>
        </w:rPr>
        <w:t>四、财</w:t>
      </w:r>
      <w:r>
        <w:rPr>
          <w:rStyle w:val="2Char"/>
          <w:rFonts w:ascii="黑体" w:eastAsia="黑体" w:cs="黑体" w:hint="eastAsia"/>
          <w:b w:val="0"/>
          <w:bCs w:val="0"/>
        </w:rPr>
        <w:t>政拨款收入支出决算总体情况说明</w:t>
      </w:r>
      <w:bookmarkEnd w:id="25"/>
      <w:bookmarkEnd w:id="26"/>
    </w:p>
    <w:p>
      <w:pPr>
        <w:spacing w:line="600" w:lineRule="exact"/>
        <w:ind w:firstLineChars="200"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年财政拨款收、支总计</w:t>
      </w:r>
      <w:r>
        <w:rPr>
          <w:rFonts w:ascii="仿宋" w:eastAsia="仿宋" w:cs="仿宋"/>
          <w:sz w:val="32"/>
          <w:szCs w:val="32"/>
        </w:rPr>
        <w:t>610.14</w:t>
      </w:r>
      <w:r>
        <w:rPr>
          <w:rFonts w:ascii="仿宋" w:eastAsia="仿宋" w:cs="仿宋" w:hint="eastAsia"/>
          <w:sz w:val="32"/>
          <w:szCs w:val="32"/>
        </w:rPr>
        <w:t>万元。与</w:t>
      </w:r>
      <w:r>
        <w:rPr>
          <w:rFonts w:ascii="仿宋" w:eastAsia="仿宋" w:cs="仿宋"/>
          <w:sz w:val="32"/>
          <w:szCs w:val="32"/>
        </w:rPr>
        <w:t>2021</w:t>
      </w:r>
      <w:r>
        <w:rPr>
          <w:rFonts w:ascii="仿宋" w:eastAsia="仿宋" w:cs="仿宋" w:hint="eastAsia"/>
          <w:sz w:val="32"/>
          <w:szCs w:val="32"/>
        </w:rPr>
        <w:t>年相比，收入减少</w:t>
      </w:r>
      <w:r>
        <w:rPr>
          <w:rFonts w:ascii="仿宋" w:eastAsia="仿宋" w:cs="仿宋"/>
          <w:sz w:val="32"/>
          <w:szCs w:val="32"/>
        </w:rPr>
        <w:t>29.97</w:t>
      </w:r>
      <w:r>
        <w:rPr>
          <w:rFonts w:ascii="仿宋" w:eastAsia="仿宋" w:cs="仿宋" w:hint="eastAsia"/>
          <w:sz w:val="32"/>
          <w:szCs w:val="32"/>
        </w:rPr>
        <w:t>万元，减少</w:t>
      </w:r>
      <w:r>
        <w:rPr>
          <w:rFonts w:ascii="仿宋" w:eastAsia="仿宋" w:cs="仿宋"/>
          <w:sz w:val="32"/>
          <w:szCs w:val="32"/>
        </w:rPr>
        <w:t>9.14%</w:t>
      </w:r>
      <w:r>
        <w:rPr>
          <w:rFonts w:ascii="仿宋" w:eastAsia="仿宋" w:cs="仿宋" w:hint="eastAsia"/>
          <w:sz w:val="32"/>
          <w:szCs w:val="32"/>
        </w:rPr>
        <w:t>、上年结转、结余</w:t>
      </w:r>
      <w:r>
        <w:rPr>
          <w:rFonts w:ascii="仿宋" w:eastAsia="仿宋" w:cs="仿宋"/>
          <w:sz w:val="32"/>
          <w:szCs w:val="32"/>
        </w:rPr>
        <w:t>7.12</w:t>
      </w:r>
      <w:r>
        <w:rPr>
          <w:rFonts w:ascii="仿宋" w:eastAsia="仿宋" w:cs="仿宋" w:hint="eastAsia"/>
          <w:sz w:val="32"/>
          <w:szCs w:val="32"/>
        </w:rPr>
        <w:t>万元，支出减少</w:t>
      </w:r>
      <w:r>
        <w:rPr>
          <w:rFonts w:ascii="仿宋" w:eastAsia="仿宋" w:cs="仿宋"/>
          <w:sz w:val="32"/>
          <w:szCs w:val="32"/>
        </w:rPr>
        <w:t>22.85</w:t>
      </w:r>
      <w:r>
        <w:rPr>
          <w:rFonts w:ascii="仿宋" w:eastAsia="仿宋" w:cs="仿宋" w:hint="eastAsia"/>
          <w:sz w:val="32"/>
          <w:szCs w:val="32"/>
        </w:rPr>
        <w:t>万元，减少</w:t>
      </w:r>
      <w:r>
        <w:rPr>
          <w:rFonts w:ascii="仿宋" w:eastAsia="仿宋" w:cs="仿宋"/>
          <w:sz w:val="32"/>
          <w:szCs w:val="32"/>
        </w:rPr>
        <w:t>6.97%</w:t>
      </w:r>
      <w:r>
        <w:rPr>
          <w:rFonts w:ascii="仿宋" w:eastAsia="仿宋" w:cs="仿宋" w:hint="eastAsia"/>
          <w:sz w:val="32"/>
          <w:szCs w:val="32"/>
        </w:rPr>
        <w:t>。主要变动原因是节约过紧日子，缩减成本支出，日常公用经费收、支减少。</w:t>
      </w:r>
    </w:p>
    <w:p>
      <w:pPr>
        <w:spacing w:line="600" w:lineRule="exact"/>
        <w:ind w:firstLineChars="200" w:firstLine="640"/>
        <w:rPr>
          <w:rFonts w:ascii="仿宋" w:eastAsia="仿宋"/>
          <w:sz w:val="32"/>
          <w:szCs w:val="32"/>
        </w:rPr>
      </w:pPr>
      <w:r>
        <w:rPr>
          <w:rFonts w:ascii="仿宋" w:eastAsia="仿宋" w:cs="仿宋" w:hint="eastAsia"/>
          <w:sz w:val="32"/>
          <w:szCs w:val="32"/>
        </w:rPr>
        <w:t>（图</w:t>
      </w:r>
      <w:r>
        <w:rPr>
          <w:rFonts w:ascii="仿宋" w:eastAsia="仿宋" w:cs="仿宋"/>
          <w:sz w:val="32"/>
          <w:szCs w:val="32"/>
        </w:rPr>
        <w:t>4</w:t>
      </w:r>
      <w:r>
        <w:rPr>
          <w:rFonts w:ascii="仿宋" w:eastAsia="仿宋" w:cs="仿宋" w:hint="eastAsia"/>
          <w:sz w:val="32"/>
          <w:szCs w:val="32"/>
        </w:rPr>
        <w:t>：财政拨款收、支决算总计变动情况）</w:t>
      </w:r>
    </w:p>
    <w:p>
      <w:pPr>
        <w:spacing w:line="600" w:lineRule="exact"/>
        <w:ind w:firstLineChars="200" w:firstLine="420"/>
        <w:jc w:val="right"/>
        <w:rPr>
          <w:rFonts w:ascii="仿宋_GB2312" w:eastAsia="仿宋_GB2312"/>
        </w:rPr>
      </w:pPr>
    </w:p>
    <w:p>
      <w:pPr>
        <w:spacing w:line="600" w:lineRule="exact"/>
        <w:ind w:firstLineChars="200" w:firstLine="420"/>
        <w:jc w:val="right"/>
        <w:rPr>
          <w:rFonts w:ascii="仿宋_GB2312" w:eastAsia="仿宋_GB2312"/>
        </w:rPr>
      </w:pPr>
    </w:p>
    <w:p>
      <w:pPr>
        <w:spacing w:line="600" w:lineRule="exact"/>
        <w:ind w:firstLineChars="200" w:firstLine="420"/>
        <w:jc w:val="right"/>
        <w:rPr>
          <w:rFonts w:ascii="仿宋_GB2312" w:eastAsia="仿宋_GB2312"/>
        </w:rPr>
      </w:pPr>
    </w:p>
    <w:p>
      <w:pPr>
        <w:spacing w:line="600" w:lineRule="exact"/>
        <w:ind w:firstLineChars="200" w:firstLine="420"/>
        <w:jc w:val="right"/>
        <w:rPr>
          <w:rFonts w:ascii="仿宋_GB2312" w:eastAsia="仿宋_GB2312"/>
        </w:rPr>
      </w:pPr>
      <w:r>
        <w:rPr>
          <w:rFonts w:ascii="仿宋_GB2312" w:eastAsia="仿宋_GB2312" w:cs="仿宋_GB2312" w:hint="eastAsia"/>
        </w:rPr>
        <w:t>单位：万元</w:t>
      </w:r>
    </w:p>
    <w:p>
      <w:pPr>
        <w:pStyle w:val="15"/>
        <w:spacing w:beforeLines="0" w:before="93"/>
        <w:rPr>
          <w:rFonts w:ascii="仿宋" w:eastAsia="仿宋" w:cs="Times New Roman"/>
          <w:b/>
          <w:bCs/>
          <w:sz w:val="32"/>
          <w:szCs w:val="32"/>
        </w:rPr>
      </w:pPr>
      <w:r>
        <w:rPr>
          <w:rFonts w:cs="Times New Roman"/>
        </w:rPr>
        <w:drawing>
          <wp:inline distT="0" distB="0" distL="114298" distR="114298">
            <wp:extent cx="5095874" cy="2638425"/>
            <wp:effectExtent l="0" t="0" r="18" b="41"/>
            <wp:docPr id="9" name="图表 1"/>
            <wp:cNvGraphicFramePr>
              <a:graphicFrameLocks noChangeAspect="0"/>
            </wp:cNvGraphicFramePr>
            <a:graphic>
              <a:graphicData uri="http://schemas.openxmlformats.org/drawingml/2006/picture">
                <pic:pic>
                  <pic:nvPicPr>
                    <pic:cNvPr id="11" name="图表 1 11"/>
                    <pic:cNvPicPr/>
                  </pic:nvPicPr>
                  <pic:blipFill>
                    <a:blip r:embed="rId8"/>
                    <a:stretch>
                      <a:fillRect/>
                    </a:stretch>
                  </pic:blipFill>
                  <pic:spPr>
                    <a:xfrm rot="0">
                      <a:off x="0" y="0"/>
                      <a:ext cx="5095874" cy="2638425"/>
                    </a:xfrm>
                    <a:prstGeom prst="rect"/>
                    <a:noFill/>
                    <a:ln w="9525" cmpd="sng" cap="flat">
                      <a:noFill/>
                      <a:prstDash val="solid"/>
                      <a:miter/>
                    </a:ln>
                  </pic:spPr>
                </pic:pic>
              </a:graphicData>
            </a:graphic>
          </wp:inline>
        </w:drawing>
      </w:r>
    </w:p>
    <w:p>
      <w:pPr>
        <w:spacing w:line="600" w:lineRule="exact"/>
        <w:ind w:firstLineChars="200" w:firstLine="640"/>
        <w:outlineLvl w:val="1"/>
        <w:rPr>
          <w:rStyle w:val="2Char"/>
          <w:rFonts w:ascii="黑体" w:eastAsia="黑体" w:cs="Times New Roman"/>
          <w:b w:val="0"/>
          <w:bCs w:val="0"/>
        </w:rPr>
      </w:pPr>
      <w:bookmarkStart w:id="27" w:name="_Toc15396607"/>
      <w:bookmarkStart w:id="28" w:name="_Toc15377209"/>
      <w:r>
        <w:rPr>
          <w:rFonts w:ascii="黑体" w:eastAsia="黑体" w:cs="黑体" w:hint="eastAsia"/>
          <w:sz w:val="32"/>
          <w:szCs w:val="32"/>
        </w:rPr>
        <w:t>五、</w:t>
      </w:r>
      <w:r>
        <w:rPr>
          <w:rFonts w:ascii="黑体" w:eastAsia="黑体" w:cs="黑体" w:hint="eastAsia"/>
          <w:b/>
          <w:bCs/>
          <w:sz w:val="32"/>
          <w:szCs w:val="32"/>
        </w:rPr>
        <w:t>一</w:t>
      </w:r>
      <w:r>
        <w:rPr>
          <w:rStyle w:val="2Char"/>
          <w:rFonts w:ascii="黑体" w:eastAsia="黑体" w:cs="黑体" w:hint="eastAsia"/>
          <w:b w:val="0"/>
          <w:bCs w:val="0"/>
        </w:rPr>
        <w:t>般公共预算财政拨款支出决算情况说明</w:t>
      </w:r>
      <w:bookmarkEnd w:id="27"/>
      <w:bookmarkEnd w:id="28"/>
    </w:p>
    <w:p>
      <w:pPr>
        <w:spacing w:line="600" w:lineRule="exact"/>
        <w:ind w:firstLineChars="200" w:firstLine="640"/>
        <w:outlineLvl w:val="2"/>
        <w:rPr>
          <w:rFonts w:ascii="仿宋" w:eastAsia="仿宋"/>
          <w:b/>
          <w:bCs/>
          <w:sz w:val="32"/>
          <w:szCs w:val="32"/>
        </w:rPr>
      </w:pPr>
      <w:bookmarkStart w:id="29" w:name="_Toc15377210"/>
      <w:r>
        <w:rPr>
          <w:rFonts w:ascii="仿宋" w:eastAsia="仿宋" w:cs="仿宋" w:hint="eastAsia"/>
          <w:b/>
          <w:bCs/>
          <w:sz w:val="32"/>
          <w:szCs w:val="32"/>
        </w:rPr>
        <w:t>（一）一般公共预算财政拨款支出决算总体情况</w:t>
      </w:r>
      <w:bookmarkEnd w:id="29"/>
    </w:p>
    <w:p>
      <w:pPr>
        <w:spacing w:line="600" w:lineRule="exact"/>
        <w:ind w:firstLineChars="200"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年一般公共预算财政拨款支出</w:t>
      </w:r>
      <w:r>
        <w:rPr>
          <w:rFonts w:ascii="仿宋" w:eastAsia="仿宋" w:cs="仿宋"/>
          <w:sz w:val="32"/>
          <w:szCs w:val="32"/>
        </w:rPr>
        <w:t>305.07</w:t>
      </w:r>
      <w:r>
        <w:rPr>
          <w:rFonts w:ascii="仿宋" w:eastAsia="仿宋" w:cs="仿宋" w:hint="eastAsia"/>
          <w:sz w:val="32"/>
          <w:szCs w:val="32"/>
        </w:rPr>
        <w:t>万元，占本年支出合计的</w:t>
      </w:r>
      <w:r>
        <w:rPr>
          <w:rFonts w:ascii="仿宋" w:eastAsia="仿宋" w:cs="仿宋"/>
          <w:sz w:val="32"/>
          <w:szCs w:val="32"/>
        </w:rPr>
        <w:t>100%</w:t>
      </w:r>
      <w:r>
        <w:rPr>
          <w:rFonts w:ascii="仿宋" w:eastAsia="仿宋" w:cs="仿宋" w:hint="eastAsia"/>
          <w:sz w:val="32"/>
          <w:szCs w:val="32"/>
        </w:rPr>
        <w:t>。与</w:t>
      </w:r>
      <w:r>
        <w:rPr>
          <w:rFonts w:ascii="仿宋" w:eastAsia="仿宋" w:cs="仿宋"/>
          <w:sz w:val="32"/>
          <w:szCs w:val="32"/>
        </w:rPr>
        <w:t>2021</w:t>
      </w:r>
      <w:r>
        <w:rPr>
          <w:rFonts w:ascii="仿宋" w:eastAsia="仿宋" w:cs="仿宋" w:hint="eastAsia"/>
          <w:sz w:val="32"/>
          <w:szCs w:val="32"/>
        </w:rPr>
        <w:t>年相比，一般公共预算财政拨款支出减少</w:t>
      </w:r>
      <w:r>
        <w:rPr>
          <w:rFonts w:ascii="仿宋" w:eastAsia="仿宋" w:cs="仿宋"/>
          <w:sz w:val="32"/>
          <w:szCs w:val="32"/>
        </w:rPr>
        <w:t>22.85</w:t>
      </w:r>
      <w:r>
        <w:rPr>
          <w:rFonts w:ascii="仿宋" w:eastAsia="仿宋" w:cs="仿宋" w:hint="eastAsia"/>
          <w:sz w:val="32"/>
          <w:szCs w:val="32"/>
        </w:rPr>
        <w:t>万元，减少</w:t>
      </w:r>
      <w:r>
        <w:rPr>
          <w:rFonts w:ascii="仿宋" w:eastAsia="仿宋" w:cs="仿宋"/>
          <w:sz w:val="32"/>
          <w:szCs w:val="32"/>
        </w:rPr>
        <w:t>6.97%</w:t>
      </w:r>
      <w:r>
        <w:rPr>
          <w:rFonts w:ascii="仿宋" w:eastAsia="仿宋" w:cs="仿宋" w:hint="eastAsia"/>
          <w:sz w:val="32"/>
          <w:szCs w:val="32"/>
        </w:rPr>
        <w:t>。主要变动原因是节约过紧日子，缩减成本支出，日常公用经费收、支减少。</w:t>
      </w:r>
    </w:p>
    <w:p>
      <w:pPr>
        <w:spacing w:line="600" w:lineRule="exact"/>
        <w:rPr>
          <w:rFonts w:ascii="仿宋" w:eastAsia="仿宋"/>
          <w:sz w:val="32"/>
          <w:szCs w:val="32"/>
        </w:rPr>
      </w:pPr>
      <w:r>
        <w:rPr>
          <w:rFonts w:ascii="仿宋" w:eastAsia="仿宋" w:cs="仿宋" w:hint="eastAsia"/>
          <w:sz w:val="32"/>
          <w:szCs w:val="32"/>
        </w:rPr>
        <w:t>（图</w:t>
      </w:r>
      <w:r>
        <w:rPr>
          <w:rFonts w:ascii="仿宋" w:eastAsia="仿宋" w:cs="仿宋"/>
          <w:sz w:val="32"/>
          <w:szCs w:val="32"/>
        </w:rPr>
        <w:t>5</w:t>
      </w:r>
      <w:r>
        <w:rPr>
          <w:rFonts w:ascii="仿宋" w:eastAsia="仿宋" w:cs="仿宋" w:hint="eastAsia"/>
          <w:sz w:val="32"/>
          <w:szCs w:val="32"/>
        </w:rPr>
        <w:t>：一般公共预算财政拨款支出决算变动情况）</w:t>
      </w:r>
    </w:p>
    <w:p>
      <w:pPr>
        <w:pStyle w:val="15"/>
        <w:spacing w:beforeLines="0" w:before="93"/>
        <w:jc w:val="right"/>
        <w:rPr>
          <w:rFonts w:cs="Times New Roman"/>
          <w:kern w:val="2"/>
          <w:sz w:val="21"/>
          <w:szCs w:val="21"/>
        </w:rPr>
      </w:pPr>
      <w:r>
        <w:rPr>
          <w:rFonts w:hint="eastAsia"/>
          <w:kern w:val="2"/>
          <w:sz w:val="21"/>
          <w:szCs w:val="21"/>
        </w:rPr>
        <w:t>单位：万元</w:t>
      </w:r>
    </w:p>
    <w:p>
      <w:pPr>
        <w:pStyle w:val="15"/>
        <w:spacing w:beforeLines="0" w:before="93"/>
        <w:rPr>
          <w:rFonts w:ascii="仿宋" w:eastAsia="仿宋" w:cs="Times New Roman"/>
          <w:sz w:val="32"/>
          <w:szCs w:val="32"/>
        </w:rPr>
      </w:pPr>
      <w:r>
        <w:rPr>
          <w:rFonts w:ascii="仿宋" w:eastAsia="仿宋" w:cs="Times New Roman"/>
          <w:sz w:val="32"/>
          <w:szCs w:val="32"/>
        </w:rPr>
        <w:drawing>
          <wp:inline distT="0" distB="0" distL="114298" distR="114298">
            <wp:extent cx="5114925" cy="2362200"/>
            <wp:effectExtent l="0" t="0" r="17" b="36"/>
            <wp:docPr id="12" name="图表 7"/>
            <wp:cNvGraphicFramePr>
              <a:graphicFrameLocks noChangeAspect="0"/>
            </wp:cNvGraphicFramePr>
            <a:graphic>
              <a:graphicData uri="http://schemas.openxmlformats.org/drawingml/2006/picture">
                <pic:pic>
                  <pic:nvPicPr>
                    <pic:cNvPr id="14" name="图表 7 14"/>
                    <pic:cNvPicPr/>
                  </pic:nvPicPr>
                  <pic:blipFill>
                    <a:blip r:embed="rId9"/>
                    <a:stretch>
                      <a:fillRect/>
                    </a:stretch>
                  </pic:blipFill>
                  <pic:spPr>
                    <a:xfrm rot="0">
                      <a:off x="0" y="0"/>
                      <a:ext cx="5114925" cy="2362200"/>
                    </a:xfrm>
                    <a:prstGeom prst="rect"/>
                    <a:noFill/>
                    <a:ln w="9525" cmpd="sng" cap="flat">
                      <a:noFill/>
                      <a:prstDash val="solid"/>
                      <a:miter/>
                    </a:ln>
                  </pic:spPr>
                </pic:pic>
              </a:graphicData>
            </a:graphic>
          </wp:inline>
        </w:drawing>
      </w:r>
    </w:p>
    <w:p>
      <w:pPr>
        <w:spacing w:line="600" w:lineRule="exact"/>
        <w:ind w:firstLineChars="200" w:firstLine="640"/>
        <w:outlineLvl w:val="2"/>
        <w:rPr>
          <w:rFonts w:ascii="仿宋" w:eastAsia="仿宋"/>
          <w:b/>
          <w:bCs/>
          <w:sz w:val="32"/>
          <w:szCs w:val="32"/>
        </w:rPr>
      </w:pPr>
      <w:bookmarkStart w:id="30" w:name="_Toc15377211"/>
      <w:r>
        <w:rPr>
          <w:rFonts w:ascii="仿宋" w:eastAsia="仿宋" w:cs="仿宋" w:hint="eastAsia"/>
          <w:b/>
          <w:bCs/>
          <w:sz w:val="32"/>
          <w:szCs w:val="32"/>
        </w:rPr>
        <w:t>（二）一般公共预算财政拨款支出决算结构情况</w:t>
      </w:r>
      <w:bookmarkEnd w:id="30"/>
    </w:p>
    <w:p>
      <w:pPr>
        <w:spacing w:line="600" w:lineRule="exact"/>
        <w:ind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年一般公共预算财政拨款支出</w:t>
      </w:r>
      <w:r>
        <w:rPr>
          <w:rFonts w:ascii="仿宋" w:eastAsia="仿宋" w:cs="仿宋"/>
          <w:sz w:val="32"/>
          <w:szCs w:val="32"/>
        </w:rPr>
        <w:t>305.07</w:t>
      </w:r>
      <w:r>
        <w:rPr>
          <w:rFonts w:ascii="仿宋" w:eastAsia="仿宋" w:cs="仿宋" w:hint="eastAsia"/>
          <w:sz w:val="32"/>
          <w:szCs w:val="32"/>
        </w:rPr>
        <w:t>万元，主要用于以下方面</w:t>
      </w:r>
      <w:r>
        <w:rPr>
          <w:rFonts w:ascii="仿宋" w:eastAsia="仿宋" w:cs="仿宋"/>
          <w:sz w:val="32"/>
          <w:szCs w:val="32"/>
        </w:rPr>
        <w:t>:</w:t>
      </w:r>
      <w:r>
        <w:rPr>
          <w:rFonts w:ascii="仿宋" w:eastAsia="仿宋" w:cs="仿宋" w:hint="eastAsia"/>
          <w:sz w:val="32"/>
          <w:szCs w:val="32"/>
        </w:rPr>
        <w:t>社会保障和就业（类）支出</w:t>
      </w:r>
      <w:r>
        <w:rPr>
          <w:rFonts w:ascii="仿宋" w:eastAsia="仿宋" w:cs="仿宋"/>
          <w:sz w:val="32"/>
          <w:szCs w:val="32"/>
        </w:rPr>
        <w:t>47.30</w:t>
      </w:r>
      <w:r>
        <w:rPr>
          <w:rFonts w:ascii="仿宋" w:eastAsia="仿宋" w:cs="仿宋" w:hint="eastAsia"/>
          <w:sz w:val="32"/>
          <w:szCs w:val="32"/>
        </w:rPr>
        <w:t>万元，占</w:t>
      </w:r>
      <w:r>
        <w:rPr>
          <w:rFonts w:ascii="仿宋" w:eastAsia="仿宋" w:cs="仿宋"/>
          <w:sz w:val="32"/>
          <w:szCs w:val="32"/>
        </w:rPr>
        <w:t>15.50%</w:t>
      </w:r>
      <w:r>
        <w:rPr>
          <w:rFonts w:ascii="仿宋" w:eastAsia="仿宋" w:cs="仿宋" w:hint="eastAsia"/>
          <w:sz w:val="32"/>
          <w:szCs w:val="32"/>
        </w:rPr>
        <w:t>；住房保障支出（类）</w:t>
      </w:r>
      <w:r>
        <w:rPr>
          <w:rFonts w:ascii="仿宋" w:eastAsia="仿宋" w:cs="仿宋"/>
          <w:sz w:val="32"/>
          <w:szCs w:val="32"/>
        </w:rPr>
        <w:t>19.82</w:t>
      </w:r>
      <w:r>
        <w:rPr>
          <w:rFonts w:ascii="仿宋" w:eastAsia="仿宋" w:cs="仿宋" w:hint="eastAsia"/>
          <w:sz w:val="32"/>
          <w:szCs w:val="32"/>
        </w:rPr>
        <w:t>万元，占</w:t>
      </w:r>
      <w:r>
        <w:rPr>
          <w:rFonts w:ascii="仿宋" w:eastAsia="仿宋" w:cs="仿宋"/>
          <w:sz w:val="32"/>
          <w:szCs w:val="32"/>
        </w:rPr>
        <w:t>6.50%</w:t>
      </w:r>
      <w:r>
        <w:rPr>
          <w:rFonts w:ascii="仿宋" w:eastAsia="仿宋" w:cs="仿宋" w:hint="eastAsia"/>
          <w:sz w:val="32"/>
          <w:szCs w:val="32"/>
        </w:rPr>
        <w:t>；城乡社区支出（类）</w:t>
      </w:r>
      <w:r>
        <w:rPr>
          <w:rFonts w:ascii="仿宋" w:eastAsia="仿宋" w:cs="仿宋"/>
          <w:sz w:val="32"/>
          <w:szCs w:val="32"/>
        </w:rPr>
        <w:t>237.95</w:t>
      </w:r>
      <w:r>
        <w:rPr>
          <w:rFonts w:ascii="仿宋" w:eastAsia="仿宋" w:cs="仿宋" w:hint="eastAsia"/>
          <w:sz w:val="32"/>
          <w:szCs w:val="32"/>
        </w:rPr>
        <w:t>万元，占</w:t>
      </w:r>
      <w:r>
        <w:rPr>
          <w:rFonts w:ascii="仿宋" w:eastAsia="仿宋" w:cs="仿宋"/>
          <w:sz w:val="32"/>
          <w:szCs w:val="32"/>
        </w:rPr>
        <w:t>78.00%</w:t>
      </w:r>
      <w:r>
        <w:rPr>
          <w:rFonts w:ascii="仿宋" w:eastAsia="仿宋" w:cs="仿宋" w:hint="eastAsia"/>
          <w:sz w:val="32"/>
          <w:szCs w:val="32"/>
        </w:rPr>
        <w:t>。</w:t>
      </w:r>
    </w:p>
    <w:p>
      <w:pPr>
        <w:spacing w:line="600" w:lineRule="exact"/>
        <w:ind w:firstLineChars="200" w:firstLine="640"/>
        <w:rPr>
          <w:rFonts w:ascii="仿宋" w:eastAsia="仿宋"/>
          <w:sz w:val="32"/>
          <w:szCs w:val="32"/>
        </w:rPr>
      </w:pPr>
      <w:r>
        <w:rPr>
          <w:rFonts w:ascii="仿宋" w:eastAsia="仿宋" w:cs="仿宋" w:hint="eastAsia"/>
          <w:sz w:val="32"/>
          <w:szCs w:val="32"/>
        </w:rPr>
        <w:t>（图</w:t>
      </w:r>
      <w:r>
        <w:rPr>
          <w:rFonts w:ascii="仿宋" w:eastAsia="仿宋" w:cs="仿宋"/>
          <w:sz w:val="32"/>
          <w:szCs w:val="32"/>
        </w:rPr>
        <w:t>6</w:t>
      </w:r>
      <w:r>
        <w:rPr>
          <w:rFonts w:ascii="仿宋" w:eastAsia="仿宋" w:cs="仿宋" w:hint="eastAsia"/>
          <w:sz w:val="32"/>
          <w:szCs w:val="32"/>
        </w:rPr>
        <w:t>：一般公共预算财政拨款支出决算结构）</w:t>
      </w:r>
    </w:p>
    <w:p>
      <w:pPr>
        <w:spacing w:line="600" w:lineRule="exact"/>
        <w:ind w:firstLineChars="200" w:firstLine="420"/>
        <w:jc w:val="right"/>
        <w:rPr>
          <w:rFonts w:ascii="仿宋_GB2312" w:eastAsia="仿宋_GB2312"/>
        </w:rPr>
      </w:pPr>
      <w:r>
        <w:object>
          <v:shape id="_x0000_i2" type="#_x0000_t75" filled="f" stroked="f" style="position:absolute;margin-left:-33.2pt;margin-top:25.65pt;width:489.14996pt;height:217.0pt;z-index:-10;mso-position-horizontal:absolute;mso-position-vertical:absolute;mso-wrap-distance-left:8.999863pt;mso-wrap-distance-bottom:0.19930391pt;mso-wrap-distance-right:8.999863pt;" o:ole="">
            <v:stroke color="#000000"/>
            <v:imagedata r:id="rId10" o:title="image6"/>
            <o:lock aspectratio="t"/>
          </v:shape>
          <o:OLEObject Type="Embed" ProgID="Package" ShapeID="_x0000_i2" DrawAspect="Content" ObjectID="_1393063352" r:id="rId11"/>
        </w:object>
      </w:r>
      <w:r>
        <w:rPr>
          <w:rFonts w:ascii="仿宋_GB2312" w:eastAsia="仿宋_GB2312" w:cs="仿宋_GB2312" w:hint="eastAsia"/>
        </w:rPr>
        <w:t>单位：万元</w:t>
      </w:r>
    </w:p>
    <w:p>
      <w:pPr>
        <w:pStyle w:val="15"/>
        <w:spacing w:beforeLines="0" w:before="93"/>
        <w:rPr>
          <w:rFonts w:eastAsia="仿宋" w:cs="Times New Roman"/>
        </w:rPr>
      </w:pPr>
    </w:p>
    <w:p>
      <w:pPr>
        <w:spacing w:line="600" w:lineRule="exact"/>
        <w:ind w:firstLineChars="200" w:firstLine="640"/>
        <w:rPr>
          <w:rFonts w:ascii="仿宋" w:eastAsia="仿宋"/>
          <w:sz w:val="32"/>
          <w:szCs w:val="32"/>
        </w:rPr>
      </w:pPr>
    </w:p>
    <w:p>
      <w:pPr>
        <w:spacing w:line="600" w:lineRule="exact"/>
        <w:ind w:firstLineChars="200" w:firstLine="640"/>
        <w:outlineLvl w:val="2"/>
        <w:rPr>
          <w:rFonts w:ascii="仿宋" w:eastAsia="仿宋"/>
          <w:b/>
          <w:bCs/>
          <w:sz w:val="32"/>
          <w:szCs w:val="32"/>
        </w:rPr>
      </w:pPr>
      <w:bookmarkStart w:id="31" w:name="_Toc15377212"/>
    </w:p>
    <w:p>
      <w:pPr>
        <w:spacing w:line="600" w:lineRule="exact"/>
        <w:ind w:firstLineChars="200" w:firstLine="640"/>
        <w:outlineLvl w:val="2"/>
        <w:rPr>
          <w:rFonts w:ascii="仿宋" w:eastAsia="仿宋"/>
          <w:b/>
          <w:bCs/>
          <w:sz w:val="32"/>
          <w:szCs w:val="32"/>
        </w:rPr>
      </w:pPr>
    </w:p>
    <w:p>
      <w:pPr>
        <w:spacing w:line="600" w:lineRule="exact"/>
        <w:ind w:firstLineChars="200" w:firstLine="640"/>
        <w:outlineLvl w:val="2"/>
        <w:rPr>
          <w:rFonts w:ascii="仿宋" w:eastAsia="仿宋"/>
          <w:b/>
          <w:bCs/>
          <w:sz w:val="32"/>
          <w:szCs w:val="32"/>
        </w:rPr>
      </w:pPr>
    </w:p>
    <w:p>
      <w:pPr>
        <w:spacing w:line="600" w:lineRule="exact"/>
        <w:ind w:firstLineChars="200" w:firstLine="640"/>
        <w:outlineLvl w:val="2"/>
        <w:rPr>
          <w:rFonts w:ascii="仿宋" w:eastAsia="仿宋"/>
          <w:b/>
          <w:bCs/>
          <w:sz w:val="32"/>
          <w:szCs w:val="32"/>
        </w:rPr>
      </w:pPr>
    </w:p>
    <w:p>
      <w:pPr>
        <w:tabs>
          <w:tab w:val="left" w:pos="1807"/>
          <w:tab w:val="left" w:pos="3220"/>
          <w:tab w:val="left" w:pos="3614"/>
          <w:tab w:val="left" w:pos="6996"/>
        </w:tabs>
        <w:spacing w:line="600" w:lineRule="exact"/>
        <w:ind w:firstLineChars="200" w:firstLine="640"/>
        <w:outlineLvl w:val="2"/>
        <w:rPr>
          <w:rFonts w:ascii="仿宋" w:eastAsia="仿宋"/>
          <w:b/>
          <w:bCs/>
        </w:rPr>
      </w:pPr>
      <w:r>
        <w:rPr>
          <w:rFonts w:ascii="仿宋" w:eastAsia="仿宋"/>
          <w:b/>
          <w:bCs/>
          <w:sz w:val="32"/>
          <w:szCs w:val="32"/>
        </w:rPr>
        <w:tab/>
        <w:tab/>
        <w:tab/>
        <w:tab/>
      </w:r>
    </w:p>
    <w:p>
      <w:pPr>
        <w:spacing w:line="600" w:lineRule="exact"/>
        <w:ind w:firstLineChars="200" w:firstLine="640"/>
        <w:outlineLvl w:val="2"/>
        <w:rPr>
          <w:rFonts w:ascii="仿宋" w:eastAsia="仿宋"/>
          <w:b/>
          <w:bCs/>
          <w:sz w:val="32"/>
          <w:szCs w:val="32"/>
        </w:rPr>
      </w:pPr>
      <w:r>
        <w:rPr>
          <w:rFonts w:ascii="仿宋" w:eastAsia="仿宋" w:cs="仿宋" w:hint="eastAsia"/>
          <w:b/>
          <w:bCs/>
          <w:sz w:val="32"/>
          <w:szCs w:val="32"/>
        </w:rPr>
        <w:t>（三）一般公共预算财政拨款支出决算具体情况</w:t>
      </w:r>
      <w:bookmarkEnd w:id="31"/>
    </w:p>
    <w:p>
      <w:pPr>
        <w:spacing w:line="600" w:lineRule="exact"/>
        <w:ind w:firstLineChars="200" w:firstLine="640"/>
        <w:outlineLvl w:val="2"/>
        <w:rPr>
          <w:rFonts w:ascii="仿宋" w:eastAsia="仿宋"/>
          <w:sz w:val="32"/>
          <w:szCs w:val="32"/>
        </w:rPr>
      </w:pPr>
      <w:bookmarkStart w:id="32" w:name="_Toc15378460"/>
      <w:bookmarkStart w:id="33" w:name="_Toc15377444"/>
      <w:bookmarkStart w:id="34" w:name="_Toc15377213"/>
      <w:r>
        <w:rPr>
          <w:rFonts w:ascii="仿宋" w:eastAsia="仿宋" w:cs="仿宋"/>
          <w:b/>
          <w:bCs/>
          <w:sz w:val="32"/>
          <w:szCs w:val="32"/>
        </w:rPr>
        <w:t>2022</w:t>
      </w:r>
      <w:r>
        <w:rPr>
          <w:rFonts w:ascii="仿宋" w:eastAsia="仿宋" w:cs="仿宋" w:hint="eastAsia"/>
          <w:b/>
          <w:bCs/>
          <w:sz w:val="32"/>
          <w:szCs w:val="32"/>
        </w:rPr>
        <w:t>年一般公共预算支出决算数为</w:t>
      </w:r>
      <w:r>
        <w:rPr>
          <w:rFonts w:ascii="仿宋" w:eastAsia="仿宋" w:cs="仿宋"/>
          <w:b/>
          <w:bCs/>
          <w:sz w:val="32"/>
          <w:szCs w:val="32"/>
        </w:rPr>
        <w:t>305.07</w:t>
      </w:r>
      <w:r>
        <w:rPr>
          <w:rFonts w:ascii="仿宋" w:eastAsia="仿宋" w:cs="仿宋" w:hint="eastAsia"/>
          <w:b/>
          <w:bCs/>
          <w:sz w:val="32"/>
          <w:szCs w:val="32"/>
        </w:rPr>
        <w:t>万元</w:t>
      </w:r>
      <w:r>
        <w:rPr>
          <w:rFonts w:ascii="仿宋" w:eastAsia="仿宋" w:cs="仿宋" w:hint="eastAsia"/>
          <w:sz w:val="32"/>
          <w:szCs w:val="32"/>
        </w:rPr>
        <w:t>，</w:t>
      </w:r>
      <w:r>
        <w:rPr>
          <w:rStyle w:val="22"/>
          <w:rFonts w:ascii="仿宋" w:eastAsia="仿宋" w:cs="仿宋" w:hint="eastAsia"/>
          <w:sz w:val="32"/>
          <w:szCs w:val="32"/>
        </w:rPr>
        <w:t>完成预算</w:t>
      </w:r>
      <w:r>
        <w:rPr>
          <w:rStyle w:val="22"/>
          <w:rFonts w:ascii="仿宋" w:eastAsia="仿宋" w:cs="仿宋"/>
          <w:sz w:val="32"/>
          <w:szCs w:val="32"/>
        </w:rPr>
        <w:t>100%</w:t>
      </w:r>
      <w:r>
        <w:rPr>
          <w:rStyle w:val="22"/>
          <w:rFonts w:ascii="仿宋" w:eastAsia="仿宋" w:cs="仿宋" w:hint="eastAsia"/>
          <w:sz w:val="32"/>
          <w:szCs w:val="32"/>
        </w:rPr>
        <w:t>。其中：</w:t>
      </w:r>
      <w:bookmarkEnd w:id="32"/>
      <w:bookmarkEnd w:id="33"/>
      <w:bookmarkEnd w:id="34"/>
    </w:p>
    <w:p>
      <w:pPr>
        <w:spacing w:line="600" w:lineRule="exact"/>
        <w:ind w:firstLine="640"/>
        <w:rPr>
          <w:rFonts w:ascii="仿宋" w:eastAsia="仿宋"/>
          <w:sz w:val="32"/>
          <w:szCs w:val="32"/>
        </w:rPr>
      </w:pPr>
      <w:r>
        <w:rPr>
          <w:rStyle w:val="22"/>
          <w:rFonts w:ascii="仿宋" w:eastAsia="仿宋" w:cs="仿宋"/>
          <w:sz w:val="32"/>
          <w:szCs w:val="32"/>
        </w:rPr>
        <w:t>1.</w:t>
      </w:r>
      <w:r>
        <w:rPr>
          <w:rStyle w:val="22"/>
          <w:rFonts w:ascii="仿宋" w:eastAsia="仿宋" w:cs="仿宋" w:hint="eastAsia"/>
          <w:sz w:val="32"/>
          <w:szCs w:val="32"/>
        </w:rPr>
        <w:t>社会保障和就业（类）行政事业单位养老支出（款）机关事业单位基本养老保险缴费支出（项）</w:t>
      </w:r>
      <w:r>
        <w:rPr>
          <w:rStyle w:val="22"/>
          <w:rFonts w:ascii="仿宋" w:eastAsia="仿宋" w:cs="仿宋"/>
          <w:sz w:val="32"/>
          <w:szCs w:val="32"/>
        </w:rPr>
        <w:t>:</w:t>
      </w:r>
      <w:r>
        <w:rPr>
          <w:rFonts w:ascii="仿宋" w:eastAsia="仿宋" w:cs="仿宋" w:hint="eastAsia"/>
          <w:sz w:val="32"/>
          <w:szCs w:val="32"/>
        </w:rPr>
        <w:t>支出决算为</w:t>
      </w:r>
      <w:r>
        <w:rPr>
          <w:rFonts w:ascii="仿宋" w:eastAsia="仿宋" w:cs="仿宋"/>
          <w:sz w:val="32"/>
          <w:szCs w:val="32"/>
        </w:rPr>
        <w:t>18.98</w:t>
      </w:r>
      <w:r>
        <w:rPr>
          <w:rFonts w:ascii="仿宋" w:eastAsia="仿宋" w:cs="仿宋" w:hint="eastAsia"/>
          <w:sz w:val="32"/>
          <w:szCs w:val="32"/>
        </w:rPr>
        <w:t>万元，完成预算</w:t>
      </w:r>
      <w:r>
        <w:rPr>
          <w:rFonts w:ascii="仿宋" w:eastAsia="仿宋" w:cs="仿宋"/>
          <w:sz w:val="32"/>
          <w:szCs w:val="32"/>
        </w:rPr>
        <w:t>100%</w:t>
      </w:r>
      <w:r>
        <w:rPr>
          <w:rFonts w:ascii="仿宋" w:eastAsia="仿宋" w:cs="仿宋" w:hint="eastAsia"/>
          <w:sz w:val="32"/>
          <w:szCs w:val="32"/>
        </w:rPr>
        <w:t>，决算数等于预算数。</w:t>
      </w:r>
    </w:p>
    <w:p>
      <w:pPr>
        <w:spacing w:line="600" w:lineRule="exact"/>
        <w:ind w:firstLine="640"/>
        <w:rPr>
          <w:rFonts w:ascii="仿宋" w:eastAsia="仿宋"/>
          <w:sz w:val="32"/>
          <w:szCs w:val="32"/>
        </w:rPr>
      </w:pPr>
      <w:r>
        <w:rPr>
          <w:rStyle w:val="22"/>
          <w:rFonts w:ascii="仿宋" w:eastAsia="仿宋" w:cs="仿宋" w:hint="eastAsia"/>
          <w:sz w:val="32"/>
          <w:szCs w:val="32"/>
        </w:rPr>
        <w:t>社会保障和就业（类）行政事业单位养老支出（款）事业单位离退休（项）：</w:t>
      </w:r>
      <w:r>
        <w:rPr>
          <w:rFonts w:ascii="仿宋" w:eastAsia="仿宋" w:cs="仿宋" w:hint="eastAsia"/>
          <w:sz w:val="32"/>
          <w:szCs w:val="32"/>
        </w:rPr>
        <w:t>支出决算数为</w:t>
      </w:r>
      <w:r>
        <w:rPr>
          <w:rFonts w:ascii="仿宋" w:eastAsia="仿宋" w:cs="仿宋"/>
          <w:sz w:val="32"/>
          <w:szCs w:val="32"/>
        </w:rPr>
        <w:t>28.32</w:t>
      </w:r>
      <w:r>
        <w:rPr>
          <w:rFonts w:ascii="仿宋" w:eastAsia="仿宋" w:cs="仿宋" w:hint="eastAsia"/>
          <w:sz w:val="32"/>
          <w:szCs w:val="32"/>
        </w:rPr>
        <w:t>万元，完成预算</w:t>
      </w:r>
      <w:r>
        <w:rPr>
          <w:rFonts w:ascii="仿宋" w:eastAsia="仿宋" w:cs="仿宋"/>
          <w:sz w:val="32"/>
          <w:szCs w:val="32"/>
        </w:rPr>
        <w:t>100%</w:t>
      </w:r>
      <w:r>
        <w:rPr>
          <w:rFonts w:ascii="仿宋" w:eastAsia="仿宋" w:cs="仿宋" w:hint="eastAsia"/>
          <w:sz w:val="32"/>
          <w:szCs w:val="32"/>
        </w:rPr>
        <w:t>，决算数等于预算数。</w:t>
      </w:r>
    </w:p>
    <w:p>
      <w:pPr>
        <w:spacing w:line="600" w:lineRule="exact"/>
        <w:ind w:firstLine="640"/>
        <w:rPr>
          <w:rFonts w:ascii="仿宋" w:eastAsia="仿宋"/>
          <w:sz w:val="32"/>
          <w:szCs w:val="32"/>
        </w:rPr>
      </w:pPr>
      <w:r>
        <w:rPr>
          <w:rStyle w:val="22"/>
          <w:rFonts w:ascii="仿宋" w:eastAsia="仿宋" w:cs="仿宋"/>
          <w:sz w:val="32"/>
          <w:szCs w:val="32"/>
        </w:rPr>
        <w:t>2.</w:t>
      </w:r>
      <w:r>
        <w:rPr>
          <w:rStyle w:val="22"/>
          <w:rFonts w:ascii="仿宋" w:eastAsia="仿宋" w:cs="仿宋" w:hint="eastAsia"/>
          <w:sz w:val="32"/>
          <w:szCs w:val="32"/>
        </w:rPr>
        <w:t>城乡社区支出（类）城乡社区管理事务（款）其他城乡社区管理事务支出（项）：</w:t>
      </w:r>
      <w:r>
        <w:rPr>
          <w:rFonts w:ascii="仿宋" w:eastAsia="仿宋" w:cs="仿宋" w:hint="eastAsia"/>
          <w:sz w:val="32"/>
          <w:szCs w:val="32"/>
        </w:rPr>
        <w:t>支出决算数为</w:t>
      </w:r>
      <w:r>
        <w:rPr>
          <w:rFonts w:ascii="仿宋" w:eastAsia="仿宋" w:cs="仿宋"/>
          <w:sz w:val="32"/>
          <w:szCs w:val="32"/>
        </w:rPr>
        <w:t>237.95</w:t>
      </w:r>
      <w:r>
        <w:rPr>
          <w:rFonts w:ascii="仿宋" w:eastAsia="仿宋" w:cs="仿宋" w:hint="eastAsia"/>
          <w:sz w:val="32"/>
          <w:szCs w:val="32"/>
        </w:rPr>
        <w:t>万元，完成预算</w:t>
      </w:r>
      <w:r>
        <w:rPr>
          <w:rFonts w:ascii="仿宋" w:eastAsia="仿宋" w:cs="仿宋"/>
          <w:sz w:val="32"/>
          <w:szCs w:val="32"/>
        </w:rPr>
        <w:t>100%</w:t>
      </w:r>
      <w:r>
        <w:rPr>
          <w:rFonts w:ascii="仿宋" w:eastAsia="仿宋" w:cs="仿宋" w:hint="eastAsia"/>
          <w:sz w:val="32"/>
          <w:szCs w:val="32"/>
        </w:rPr>
        <w:t>，决算数等于预算数。</w:t>
      </w:r>
    </w:p>
    <w:p>
      <w:pPr>
        <w:spacing w:line="600" w:lineRule="exact"/>
        <w:ind w:firstLine="640"/>
        <w:rPr>
          <w:rFonts w:ascii="仿宋" w:eastAsia="仿宋"/>
          <w:b/>
          <w:bCs/>
          <w:sz w:val="32"/>
          <w:szCs w:val="32"/>
        </w:rPr>
      </w:pPr>
      <w:r>
        <w:rPr>
          <w:rStyle w:val="22"/>
          <w:rFonts w:ascii="仿宋" w:eastAsia="仿宋" w:cs="仿宋"/>
          <w:sz w:val="32"/>
          <w:szCs w:val="32"/>
        </w:rPr>
        <w:t>3.</w:t>
      </w:r>
      <w:r>
        <w:rPr>
          <w:rStyle w:val="22"/>
          <w:rFonts w:ascii="仿宋" w:eastAsia="仿宋" w:cs="仿宋" w:hint="eastAsia"/>
          <w:sz w:val="32"/>
          <w:szCs w:val="32"/>
        </w:rPr>
        <w:t>住房保障支出（类）住房改革支出（款）住房公积金（项）：</w:t>
      </w:r>
      <w:r>
        <w:rPr>
          <w:rFonts w:ascii="仿宋" w:eastAsia="仿宋" w:cs="仿宋" w:hint="eastAsia"/>
          <w:sz w:val="32"/>
          <w:szCs w:val="32"/>
        </w:rPr>
        <w:t>支出决算数为</w:t>
      </w:r>
      <w:r>
        <w:rPr>
          <w:rFonts w:ascii="仿宋" w:eastAsia="仿宋" w:cs="仿宋"/>
          <w:sz w:val="32"/>
          <w:szCs w:val="32"/>
        </w:rPr>
        <w:t>19.82</w:t>
      </w:r>
      <w:r>
        <w:rPr>
          <w:rFonts w:ascii="仿宋" w:eastAsia="仿宋" w:cs="仿宋" w:hint="eastAsia"/>
          <w:sz w:val="32"/>
          <w:szCs w:val="32"/>
        </w:rPr>
        <w:t>万元，完成预算</w:t>
      </w:r>
      <w:r>
        <w:rPr>
          <w:rFonts w:ascii="仿宋" w:eastAsia="仿宋" w:cs="仿宋"/>
          <w:sz w:val="32"/>
          <w:szCs w:val="32"/>
        </w:rPr>
        <w:t>100%</w:t>
      </w:r>
      <w:r>
        <w:rPr>
          <w:rFonts w:ascii="仿宋" w:eastAsia="仿宋" w:cs="仿宋" w:hint="eastAsia"/>
          <w:sz w:val="32"/>
          <w:szCs w:val="32"/>
        </w:rPr>
        <w:t>。</w:t>
      </w:r>
    </w:p>
    <w:p>
      <w:pPr>
        <w:tabs>
          <w:tab w:val="right" w:pos="8306"/>
        </w:tabs>
        <w:spacing w:line="600" w:lineRule="exact"/>
        <w:ind w:firstLine="640"/>
        <w:outlineLvl w:val="1"/>
        <w:rPr>
          <w:rStyle w:val="2Char"/>
        </w:rPr>
      </w:pPr>
      <w:bookmarkStart w:id="35" w:name="_Toc15396608"/>
      <w:bookmarkStart w:id="36" w:name="_Toc15377214"/>
      <w:r>
        <w:rPr>
          <w:rFonts w:ascii="黑体" w:eastAsia="黑体" w:cs="黑体" w:hint="eastAsia"/>
          <w:sz w:val="32"/>
          <w:szCs w:val="32"/>
        </w:rPr>
        <w:t>六</w:t>
      </w:r>
      <w:r>
        <w:rPr>
          <w:rFonts w:ascii="黑体" w:eastAsia="黑体" w:cs="黑体" w:hint="eastAsia"/>
          <w:b/>
          <w:bCs/>
          <w:sz w:val="32"/>
          <w:szCs w:val="32"/>
        </w:rPr>
        <w:t>、一</w:t>
      </w:r>
      <w:r>
        <w:rPr>
          <w:rStyle w:val="2Char"/>
          <w:rFonts w:ascii="黑体" w:eastAsia="黑体" w:cs="黑体" w:hint="eastAsia"/>
          <w:b w:val="0"/>
          <w:bCs w:val="0"/>
        </w:rPr>
        <w:t>般公共预算财政拨款基本支出决算情况说明</w:t>
      </w:r>
      <w:bookmarkEnd w:id="35"/>
      <w:bookmarkEnd w:id="36"/>
      <w:r>
        <w:rPr>
          <w:rStyle w:val="2Char"/>
          <w:rFonts w:ascii="黑体" w:eastAsia="黑体" w:cs="Times New Roman"/>
          <w:b w:val="0"/>
          <w:bCs w:val="0"/>
        </w:rPr>
        <w:tab/>
      </w:r>
    </w:p>
    <w:p>
      <w:pPr>
        <w:spacing w:line="600" w:lineRule="exact"/>
        <w:ind w:firstLine="645"/>
        <w:rPr>
          <w:rFonts w:ascii="仿宋" w:eastAsia="仿宋"/>
          <w:sz w:val="32"/>
          <w:szCs w:val="32"/>
        </w:rPr>
      </w:pPr>
      <w:r>
        <w:rPr>
          <w:rFonts w:ascii="仿宋" w:eastAsia="仿宋" w:cs="仿宋"/>
          <w:sz w:val="32"/>
          <w:szCs w:val="32"/>
        </w:rPr>
        <w:t>2022</w:t>
      </w:r>
      <w:r>
        <w:rPr>
          <w:rFonts w:ascii="仿宋" w:eastAsia="仿宋" w:cs="仿宋" w:hint="eastAsia"/>
          <w:sz w:val="32"/>
          <w:szCs w:val="32"/>
        </w:rPr>
        <w:t>年一般公共预算财政拨款基本支出</w:t>
      </w:r>
      <w:r>
        <w:rPr>
          <w:rFonts w:ascii="仿宋" w:eastAsia="仿宋" w:cs="仿宋"/>
          <w:sz w:val="32"/>
          <w:szCs w:val="32"/>
        </w:rPr>
        <w:t>293.07</w:t>
      </w:r>
      <w:r>
        <w:rPr>
          <w:rFonts w:ascii="仿宋" w:eastAsia="仿宋" w:cs="仿宋" w:hint="eastAsia"/>
          <w:sz w:val="32"/>
          <w:szCs w:val="32"/>
        </w:rPr>
        <w:t>万元，其中：</w:t>
      </w:r>
    </w:p>
    <w:p>
      <w:pPr>
        <w:spacing w:line="600" w:lineRule="exact"/>
        <w:ind w:firstLine="645"/>
        <w:rPr>
          <w:rFonts w:ascii="仿宋" w:eastAsia="仿宋"/>
          <w:b/>
          <w:bCs/>
          <w:sz w:val="32"/>
          <w:szCs w:val="32"/>
        </w:rPr>
      </w:pPr>
      <w:r>
        <w:rPr>
          <w:rFonts w:ascii="仿宋" w:eastAsia="仿宋" w:cs="仿宋" w:hint="eastAsia"/>
          <w:sz w:val="32"/>
          <w:szCs w:val="32"/>
        </w:rPr>
        <w:t>人员经费</w:t>
      </w:r>
      <w:r>
        <w:rPr>
          <w:rFonts w:ascii="仿宋" w:eastAsia="仿宋" w:cs="仿宋"/>
          <w:sz w:val="32"/>
          <w:szCs w:val="32"/>
        </w:rPr>
        <w:t>279.15</w:t>
      </w:r>
      <w:r>
        <w:rPr>
          <w:rFonts w:ascii="仿宋" w:eastAsia="仿宋" w:cs="仿宋" w:hint="eastAsia"/>
          <w:sz w:val="32"/>
          <w:szCs w:val="32"/>
        </w:rPr>
        <w:t>万元，主要包括：基本工资</w:t>
      </w:r>
      <w:r>
        <w:rPr>
          <w:rFonts w:ascii="仿宋" w:eastAsia="仿宋" w:cs="仿宋"/>
          <w:sz w:val="32"/>
          <w:szCs w:val="32"/>
        </w:rPr>
        <w:t>71.34</w:t>
      </w:r>
      <w:r>
        <w:rPr>
          <w:rFonts w:ascii="仿宋" w:eastAsia="仿宋" w:cs="仿宋" w:hint="eastAsia"/>
          <w:sz w:val="32"/>
          <w:szCs w:val="32"/>
        </w:rPr>
        <w:t>万元、津贴补贴</w:t>
      </w:r>
      <w:r>
        <w:rPr>
          <w:rFonts w:ascii="仿宋" w:eastAsia="仿宋" w:cs="仿宋"/>
          <w:sz w:val="32"/>
          <w:szCs w:val="32"/>
        </w:rPr>
        <w:t>8.43</w:t>
      </w:r>
      <w:r>
        <w:rPr>
          <w:rFonts w:ascii="仿宋" w:eastAsia="仿宋" w:cs="仿宋" w:hint="eastAsia"/>
          <w:sz w:val="32"/>
          <w:szCs w:val="32"/>
        </w:rPr>
        <w:t>万元、绩效工资</w:t>
      </w:r>
      <w:r>
        <w:rPr>
          <w:rFonts w:ascii="仿宋" w:eastAsia="仿宋" w:cs="仿宋"/>
          <w:sz w:val="32"/>
          <w:szCs w:val="32"/>
        </w:rPr>
        <w:t>101.49</w:t>
      </w:r>
      <w:r>
        <w:rPr>
          <w:rFonts w:ascii="仿宋" w:eastAsia="仿宋" w:cs="仿宋" w:hint="eastAsia"/>
          <w:sz w:val="32"/>
          <w:szCs w:val="32"/>
        </w:rPr>
        <w:t>万元、机关事业单位基本养老保险缴费</w:t>
      </w:r>
      <w:r>
        <w:rPr>
          <w:rFonts w:ascii="仿宋" w:eastAsia="仿宋" w:cs="仿宋"/>
          <w:sz w:val="32"/>
          <w:szCs w:val="32"/>
        </w:rPr>
        <w:t>18.98</w:t>
      </w:r>
      <w:r>
        <w:rPr>
          <w:rFonts w:ascii="仿宋" w:eastAsia="仿宋" w:cs="仿宋" w:hint="eastAsia"/>
          <w:sz w:val="32"/>
          <w:szCs w:val="32"/>
        </w:rPr>
        <w:t>元、职工基本医疗保险缴费</w:t>
      </w:r>
      <w:r>
        <w:rPr>
          <w:rFonts w:ascii="仿宋" w:eastAsia="仿宋" w:cs="仿宋"/>
          <w:sz w:val="32"/>
          <w:szCs w:val="32"/>
        </w:rPr>
        <w:t>14.54</w:t>
      </w:r>
      <w:r>
        <w:rPr>
          <w:rFonts w:ascii="仿宋" w:eastAsia="仿宋" w:cs="仿宋" w:hint="eastAsia"/>
          <w:sz w:val="32"/>
          <w:szCs w:val="32"/>
        </w:rPr>
        <w:t>万元、公务员医疗补助缴费</w:t>
      </w:r>
      <w:r>
        <w:rPr>
          <w:rFonts w:ascii="仿宋" w:eastAsia="仿宋" w:cs="仿宋"/>
          <w:sz w:val="32"/>
          <w:szCs w:val="32"/>
        </w:rPr>
        <w:t>7.42</w:t>
      </w:r>
      <w:r>
        <w:rPr>
          <w:rFonts w:ascii="仿宋" w:eastAsia="仿宋" w:cs="仿宋" w:hint="eastAsia"/>
          <w:sz w:val="32"/>
          <w:szCs w:val="32"/>
        </w:rPr>
        <w:t>万元、其他社会保障缴费</w:t>
      </w:r>
      <w:r>
        <w:rPr>
          <w:rFonts w:ascii="仿宋" w:eastAsia="仿宋" w:cs="仿宋"/>
          <w:sz w:val="32"/>
          <w:szCs w:val="32"/>
        </w:rPr>
        <w:t>2.57</w:t>
      </w:r>
      <w:r>
        <w:rPr>
          <w:rFonts w:ascii="仿宋" w:eastAsia="仿宋" w:cs="仿宋" w:hint="eastAsia"/>
          <w:sz w:val="32"/>
          <w:szCs w:val="32"/>
        </w:rPr>
        <w:t>万元、其他工资福利支出</w:t>
      </w:r>
      <w:r>
        <w:rPr>
          <w:rFonts w:ascii="仿宋" w:eastAsia="仿宋" w:cs="仿宋"/>
          <w:sz w:val="32"/>
          <w:szCs w:val="32"/>
        </w:rPr>
        <w:t>6.24</w:t>
      </w:r>
      <w:r>
        <w:rPr>
          <w:rFonts w:ascii="仿宋" w:eastAsia="仿宋" w:cs="仿宋" w:hint="eastAsia"/>
          <w:sz w:val="32"/>
          <w:szCs w:val="32"/>
        </w:rPr>
        <w:t>万元、生活补助</w:t>
      </w:r>
      <w:r>
        <w:rPr>
          <w:rFonts w:ascii="仿宋" w:eastAsia="仿宋" w:cs="仿宋"/>
          <w:sz w:val="32"/>
          <w:szCs w:val="32"/>
        </w:rPr>
        <w:t>28.32</w:t>
      </w:r>
      <w:r>
        <w:rPr>
          <w:rFonts w:ascii="仿宋" w:eastAsia="仿宋" w:cs="仿宋" w:hint="eastAsia"/>
          <w:sz w:val="32"/>
          <w:szCs w:val="32"/>
        </w:rPr>
        <w:t>万元、住房公积金</w:t>
      </w:r>
      <w:r>
        <w:rPr>
          <w:rFonts w:ascii="仿宋" w:eastAsia="仿宋" w:cs="仿宋"/>
          <w:sz w:val="32"/>
          <w:szCs w:val="32"/>
        </w:rPr>
        <w:t>19.82</w:t>
      </w:r>
      <w:r>
        <w:rPr>
          <w:rFonts w:ascii="仿宋" w:eastAsia="仿宋" w:cs="仿宋" w:hint="eastAsia"/>
          <w:sz w:val="32"/>
          <w:szCs w:val="32"/>
        </w:rPr>
        <w:t>万元等。</w:t>
      </w:r>
      <w:r>
        <w:rPr>
          <w:rFonts w:ascii="仿宋" w:eastAsia="仿宋"/>
          <w:sz w:val="32"/>
          <w:szCs w:val="32"/>
        </w:rPr>
        <w:br/>
      </w:r>
      <w:r>
        <w:rPr>
          <w:rFonts w:ascii="仿宋" w:eastAsia="仿宋" w:cs="仿宋" w:hint="eastAsia"/>
          <w:sz w:val="32"/>
          <w:szCs w:val="32"/>
        </w:rPr>
        <w:t>　　公用经费</w:t>
      </w:r>
      <w:r>
        <w:rPr>
          <w:rFonts w:ascii="仿宋" w:eastAsia="仿宋" w:cs="仿宋"/>
          <w:sz w:val="32"/>
          <w:szCs w:val="32"/>
        </w:rPr>
        <w:t>13.92</w:t>
      </w:r>
      <w:r>
        <w:rPr>
          <w:rFonts w:ascii="仿宋" w:eastAsia="仿宋" w:cs="仿宋" w:hint="eastAsia"/>
          <w:sz w:val="32"/>
          <w:szCs w:val="32"/>
        </w:rPr>
        <w:t>万元，主要包括：办公费</w:t>
      </w:r>
      <w:r>
        <w:rPr>
          <w:rFonts w:ascii="仿宋" w:eastAsia="仿宋" w:cs="仿宋"/>
          <w:sz w:val="32"/>
          <w:szCs w:val="32"/>
        </w:rPr>
        <w:t>6.47</w:t>
      </w:r>
      <w:r>
        <w:rPr>
          <w:rFonts w:ascii="仿宋" w:eastAsia="仿宋" w:cs="仿宋" w:hint="eastAsia"/>
          <w:sz w:val="32"/>
          <w:szCs w:val="32"/>
        </w:rPr>
        <w:t>万元、水费</w:t>
      </w:r>
      <w:r>
        <w:rPr>
          <w:rFonts w:ascii="仿宋" w:eastAsia="仿宋" w:cs="仿宋"/>
          <w:sz w:val="32"/>
          <w:szCs w:val="32"/>
        </w:rPr>
        <w:t>0.18</w:t>
      </w:r>
      <w:r>
        <w:rPr>
          <w:rFonts w:ascii="仿宋" w:eastAsia="仿宋" w:cs="仿宋" w:hint="eastAsia"/>
          <w:sz w:val="32"/>
          <w:szCs w:val="32"/>
        </w:rPr>
        <w:t>万元、电费</w:t>
      </w:r>
      <w:r>
        <w:rPr>
          <w:rFonts w:ascii="仿宋" w:eastAsia="仿宋" w:cs="仿宋"/>
          <w:sz w:val="32"/>
          <w:szCs w:val="32"/>
        </w:rPr>
        <w:t>0.92</w:t>
      </w:r>
      <w:r>
        <w:rPr>
          <w:rFonts w:ascii="仿宋" w:eastAsia="仿宋" w:cs="仿宋" w:hint="eastAsia"/>
          <w:sz w:val="32"/>
          <w:szCs w:val="32"/>
        </w:rPr>
        <w:t>万元、邮电费</w:t>
      </w:r>
      <w:r>
        <w:rPr>
          <w:rFonts w:ascii="仿宋" w:eastAsia="仿宋" w:cs="仿宋"/>
          <w:sz w:val="32"/>
          <w:szCs w:val="32"/>
        </w:rPr>
        <w:t>1.67</w:t>
      </w:r>
      <w:r>
        <w:rPr>
          <w:rFonts w:ascii="仿宋" w:eastAsia="仿宋" w:cs="仿宋" w:hint="eastAsia"/>
          <w:sz w:val="32"/>
          <w:szCs w:val="32"/>
        </w:rPr>
        <w:t>万元、差旅费</w:t>
      </w:r>
      <w:r>
        <w:rPr>
          <w:rFonts w:ascii="仿宋" w:eastAsia="仿宋" w:cs="仿宋"/>
          <w:sz w:val="32"/>
          <w:szCs w:val="32"/>
        </w:rPr>
        <w:t>0.86</w:t>
      </w:r>
      <w:r>
        <w:rPr>
          <w:rFonts w:ascii="仿宋" w:eastAsia="仿宋" w:cs="仿宋" w:hint="eastAsia"/>
          <w:sz w:val="32"/>
          <w:szCs w:val="32"/>
        </w:rPr>
        <w:t>万元、工会经费</w:t>
      </w:r>
      <w:r>
        <w:rPr>
          <w:rFonts w:ascii="仿宋" w:eastAsia="仿宋" w:cs="仿宋"/>
          <w:sz w:val="32"/>
          <w:szCs w:val="32"/>
        </w:rPr>
        <w:t>3.26</w:t>
      </w:r>
      <w:r>
        <w:rPr>
          <w:rFonts w:ascii="仿宋" w:eastAsia="仿宋" w:cs="仿宋" w:hint="eastAsia"/>
          <w:sz w:val="32"/>
          <w:szCs w:val="32"/>
        </w:rPr>
        <w:t>万元、福利费</w:t>
      </w:r>
      <w:r>
        <w:rPr>
          <w:rFonts w:ascii="仿宋" w:eastAsia="仿宋" w:cs="仿宋"/>
          <w:sz w:val="32"/>
          <w:szCs w:val="32"/>
        </w:rPr>
        <w:t>0.20</w:t>
      </w:r>
      <w:r>
        <w:rPr>
          <w:rFonts w:ascii="仿宋" w:eastAsia="仿宋" w:cs="仿宋" w:hint="eastAsia"/>
          <w:sz w:val="32"/>
          <w:szCs w:val="32"/>
        </w:rPr>
        <w:t>万元、公务用车运行维护费</w:t>
      </w:r>
      <w:r>
        <w:rPr>
          <w:rFonts w:ascii="仿宋" w:eastAsia="仿宋" w:cs="仿宋"/>
          <w:sz w:val="32"/>
          <w:szCs w:val="32"/>
        </w:rPr>
        <w:t>0.14</w:t>
      </w:r>
      <w:r>
        <w:rPr>
          <w:rFonts w:ascii="仿宋" w:eastAsia="仿宋" w:cs="仿宋" w:hint="eastAsia"/>
          <w:sz w:val="32"/>
          <w:szCs w:val="32"/>
        </w:rPr>
        <w:t>万元、其他商品和服务支出</w:t>
      </w:r>
      <w:r>
        <w:rPr>
          <w:rFonts w:ascii="仿宋" w:eastAsia="仿宋" w:cs="仿宋"/>
          <w:sz w:val="32"/>
          <w:szCs w:val="32"/>
        </w:rPr>
        <w:t>0.22</w:t>
      </w:r>
      <w:r>
        <w:rPr>
          <w:rFonts w:ascii="仿宋" w:eastAsia="仿宋" w:cs="仿宋" w:hint="eastAsia"/>
          <w:sz w:val="32"/>
          <w:szCs w:val="32"/>
        </w:rPr>
        <w:t>万元。</w:t>
      </w:r>
    </w:p>
    <w:p>
      <w:pPr>
        <w:spacing w:line="600" w:lineRule="exact"/>
        <w:ind w:firstLine="640"/>
        <w:outlineLvl w:val="1"/>
        <w:rPr>
          <w:rStyle w:val="2Char"/>
          <w:rFonts w:ascii="黑体" w:eastAsia="黑体" w:cs="Times New Roman"/>
          <w:b w:val="0"/>
          <w:bCs w:val="0"/>
        </w:rPr>
      </w:pPr>
      <w:bookmarkStart w:id="37" w:name="_Toc15396609"/>
      <w:bookmarkStart w:id="38" w:name="_Toc15377215"/>
      <w:r>
        <w:rPr>
          <w:rFonts w:ascii="黑体" w:eastAsia="黑体" w:cs="黑体" w:hint="eastAsia"/>
          <w:sz w:val="32"/>
          <w:szCs w:val="32"/>
        </w:rPr>
        <w:t>七、</w:t>
      </w:r>
      <w:r>
        <w:rPr>
          <w:rStyle w:val="2Char"/>
          <w:rFonts w:ascii="黑体" w:eastAsia="黑体" w:cs="黑体" w:hint="eastAsia"/>
          <w:b w:val="0"/>
          <w:bCs w:val="0"/>
        </w:rPr>
        <w:t>财政拨款</w:t>
      </w:r>
      <w:r>
        <w:rPr>
          <w:rStyle w:val="2Char"/>
          <w:rFonts w:ascii="黑体" w:eastAsia="黑体" w:cs="黑体" w:hint="eastAsia"/>
        </w:rPr>
        <w:t>“</w:t>
      </w:r>
      <w:r>
        <w:rPr>
          <w:rStyle w:val="2Char"/>
          <w:rFonts w:ascii="黑体" w:eastAsia="黑体" w:cs="黑体" w:hint="eastAsia"/>
          <w:b w:val="0"/>
          <w:bCs w:val="0"/>
        </w:rPr>
        <w:t>三公”经费支出决算情况说明</w:t>
      </w:r>
      <w:bookmarkEnd w:id="37"/>
      <w:bookmarkEnd w:id="38"/>
    </w:p>
    <w:p>
      <w:pPr>
        <w:spacing w:line="600" w:lineRule="exact"/>
        <w:ind w:firstLine="640"/>
        <w:outlineLvl w:val="2"/>
        <w:rPr>
          <w:rFonts w:ascii="仿宋" w:eastAsia="仿宋"/>
          <w:b/>
          <w:bCs/>
          <w:sz w:val="32"/>
          <w:szCs w:val="32"/>
        </w:rPr>
      </w:pPr>
      <w:bookmarkStart w:id="39" w:name="_Toc15377216"/>
      <w:r>
        <w:rPr>
          <w:rFonts w:ascii="仿宋" w:eastAsia="仿宋" w:cs="仿宋" w:hint="eastAsia"/>
          <w:b/>
          <w:bCs/>
          <w:sz w:val="32"/>
          <w:szCs w:val="32"/>
        </w:rPr>
        <w:t>（一）“三公”经费财政拨款支出决算总体情况说明</w:t>
      </w:r>
      <w:bookmarkEnd w:id="39"/>
    </w:p>
    <w:p>
      <w:pPr>
        <w:spacing w:line="600" w:lineRule="exact"/>
        <w:ind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年“三公”经费财政拨款支出决算为</w:t>
      </w:r>
      <w:r>
        <w:rPr>
          <w:rFonts w:ascii="仿宋" w:eastAsia="仿宋" w:cs="仿宋"/>
          <w:sz w:val="32"/>
          <w:szCs w:val="32"/>
        </w:rPr>
        <w:t>0.14</w:t>
      </w:r>
      <w:r>
        <w:rPr>
          <w:rFonts w:ascii="仿宋" w:eastAsia="仿宋" w:cs="仿宋" w:hint="eastAsia"/>
          <w:sz w:val="32"/>
          <w:szCs w:val="32"/>
        </w:rPr>
        <w:t>万元，完成预算</w:t>
      </w:r>
      <w:r>
        <w:rPr>
          <w:rFonts w:ascii="仿宋" w:eastAsia="仿宋" w:cs="仿宋"/>
          <w:sz w:val="32"/>
          <w:szCs w:val="32"/>
        </w:rPr>
        <w:t>7.20%</w:t>
      </w:r>
      <w:r>
        <w:rPr>
          <w:rFonts w:ascii="仿宋" w:eastAsia="仿宋" w:cs="仿宋" w:hint="eastAsia"/>
          <w:sz w:val="32"/>
          <w:szCs w:val="32"/>
        </w:rPr>
        <w:t>，较上年减少</w:t>
      </w:r>
      <w:r>
        <w:rPr>
          <w:rFonts w:ascii="仿宋" w:eastAsia="仿宋" w:cs="仿宋"/>
          <w:sz w:val="32"/>
          <w:szCs w:val="32"/>
        </w:rPr>
        <w:t>0.11</w:t>
      </w:r>
      <w:r>
        <w:rPr>
          <w:rFonts w:ascii="仿宋" w:eastAsia="仿宋" w:cs="仿宋" w:hint="eastAsia"/>
          <w:sz w:val="32"/>
          <w:szCs w:val="32"/>
        </w:rPr>
        <w:t>万元，下降</w:t>
      </w:r>
      <w:r>
        <w:rPr>
          <w:rFonts w:ascii="仿宋" w:eastAsia="仿宋" w:cs="仿宋"/>
          <w:sz w:val="32"/>
          <w:szCs w:val="32"/>
        </w:rPr>
        <w:t>44%</w:t>
      </w:r>
      <w:r>
        <w:rPr>
          <w:rFonts w:ascii="仿宋" w:eastAsia="仿宋" w:cs="仿宋" w:hint="eastAsia"/>
          <w:sz w:val="32"/>
          <w:szCs w:val="32"/>
        </w:rPr>
        <w:t>。决算数小于预算数的主要原因是合理用车，减少公务用车出行成本，无公务接待费发生。</w:t>
      </w:r>
    </w:p>
    <w:p>
      <w:pPr>
        <w:spacing w:line="600" w:lineRule="exact"/>
        <w:ind w:firstLine="640"/>
        <w:outlineLvl w:val="2"/>
        <w:rPr>
          <w:rFonts w:ascii="仿宋" w:eastAsia="仿宋"/>
          <w:b/>
          <w:bCs/>
          <w:sz w:val="32"/>
          <w:szCs w:val="32"/>
        </w:rPr>
      </w:pPr>
      <w:bookmarkStart w:id="40" w:name="_Toc15377217"/>
      <w:r>
        <w:rPr>
          <w:rFonts w:ascii="仿宋" w:eastAsia="仿宋" w:cs="仿宋" w:hint="eastAsia"/>
          <w:b/>
          <w:bCs/>
          <w:sz w:val="32"/>
          <w:szCs w:val="32"/>
        </w:rPr>
        <w:t>（二）“三公”经费财政拨款支出决算具体情况说明</w:t>
      </w:r>
      <w:bookmarkEnd w:id="40"/>
    </w:p>
    <w:p>
      <w:pPr>
        <w:spacing w:line="600" w:lineRule="exact"/>
        <w:ind w:firstLine="640"/>
        <w:rPr>
          <w:rFonts w:ascii="仿宋" w:eastAsia="仿宋"/>
          <w:sz w:val="32"/>
          <w:szCs w:val="32"/>
        </w:rPr>
      </w:pPr>
      <w:r>
        <w:rPr>
          <w:rFonts w:ascii="仿宋" w:eastAsia="仿宋" w:cs="仿宋"/>
          <w:sz w:val="32"/>
          <w:szCs w:val="32"/>
        </w:rPr>
        <w:t>2022</w:t>
      </w:r>
      <w:r>
        <w:rPr>
          <w:rFonts w:ascii="仿宋" w:eastAsia="仿宋" w:cs="仿宋" w:hint="eastAsia"/>
          <w:sz w:val="32"/>
          <w:szCs w:val="32"/>
        </w:rPr>
        <w:t>年“三公”经费财政拨款支出决算中，因公出国（境）费支出决算</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；公务用车购置及运行维护费支出决算</w:t>
      </w:r>
      <w:r>
        <w:rPr>
          <w:rFonts w:ascii="仿宋" w:eastAsia="仿宋" w:cs="仿宋"/>
          <w:sz w:val="32"/>
          <w:szCs w:val="32"/>
        </w:rPr>
        <w:t>0.14</w:t>
      </w:r>
      <w:r>
        <w:rPr>
          <w:rFonts w:ascii="仿宋" w:eastAsia="仿宋" w:cs="仿宋" w:hint="eastAsia"/>
          <w:sz w:val="32"/>
          <w:szCs w:val="32"/>
        </w:rPr>
        <w:t>万元，占</w:t>
      </w:r>
      <w:r>
        <w:rPr>
          <w:rFonts w:ascii="仿宋" w:eastAsia="仿宋" w:cs="仿宋"/>
          <w:sz w:val="32"/>
          <w:szCs w:val="32"/>
        </w:rPr>
        <w:t>100%</w:t>
      </w:r>
      <w:r>
        <w:rPr>
          <w:rFonts w:ascii="仿宋" w:eastAsia="仿宋" w:cs="仿宋" w:hint="eastAsia"/>
          <w:sz w:val="32"/>
          <w:szCs w:val="32"/>
        </w:rPr>
        <w:t>；公务接待费支出决算</w:t>
      </w:r>
      <w:r>
        <w:rPr>
          <w:rFonts w:ascii="仿宋" w:eastAsia="仿宋" w:cs="仿宋"/>
          <w:sz w:val="32"/>
          <w:szCs w:val="32"/>
        </w:rPr>
        <w:t>0</w:t>
      </w:r>
      <w:r>
        <w:rPr>
          <w:rFonts w:ascii="仿宋" w:eastAsia="仿宋" w:cs="仿宋" w:hint="eastAsia"/>
          <w:sz w:val="32"/>
          <w:szCs w:val="32"/>
        </w:rPr>
        <w:t>万元，占</w:t>
      </w:r>
      <w:r>
        <w:rPr>
          <w:rFonts w:ascii="仿宋" w:eastAsia="仿宋" w:cs="仿宋"/>
          <w:sz w:val="32"/>
          <w:szCs w:val="32"/>
        </w:rPr>
        <w:t>0%</w:t>
      </w:r>
      <w:r>
        <w:rPr>
          <w:rFonts w:ascii="仿宋" w:eastAsia="仿宋" w:cs="仿宋" w:hint="eastAsia"/>
          <w:sz w:val="32"/>
          <w:szCs w:val="32"/>
        </w:rPr>
        <w:t>。具体情况如下：</w:t>
      </w:r>
    </w:p>
    <w:p>
      <w:pPr>
        <w:spacing w:line="600" w:lineRule="exact"/>
        <w:ind w:firstLine="640"/>
        <w:rPr>
          <w:rFonts w:ascii="仿宋" w:eastAsia="仿宋"/>
          <w:sz w:val="32"/>
          <w:szCs w:val="32"/>
        </w:rPr>
      </w:pPr>
      <w:r>
        <w:rPr>
          <w:rFonts w:ascii="仿宋" w:eastAsia="仿宋" w:cs="仿宋" w:hint="eastAsia"/>
          <w:sz w:val="32"/>
          <w:szCs w:val="32"/>
        </w:rPr>
        <w:t>（图</w:t>
      </w:r>
      <w:r>
        <w:rPr>
          <w:rFonts w:ascii="仿宋" w:eastAsia="仿宋" w:cs="仿宋"/>
          <w:sz w:val="32"/>
          <w:szCs w:val="32"/>
        </w:rPr>
        <w:t>7</w:t>
      </w:r>
      <w:r>
        <w:rPr>
          <w:rFonts w:ascii="仿宋" w:eastAsia="仿宋" w:cs="仿宋" w:hint="eastAsia"/>
          <w:sz w:val="32"/>
          <w:szCs w:val="32"/>
        </w:rPr>
        <w:t>：“三公”经费财政拨款支出结构）</w:t>
      </w:r>
    </w:p>
    <w:p>
      <w:pPr>
        <w:spacing w:line="600" w:lineRule="exact"/>
        <w:ind w:firstLineChars="200" w:firstLine="420"/>
        <w:jc w:val="right"/>
        <w:rPr>
          <w:rFonts w:ascii="仿宋_GB2312" w:eastAsia="仿宋_GB2312"/>
        </w:rPr>
      </w:pPr>
      <w:r>
        <w:rPr>
          <w:rFonts w:ascii="仿宋_GB2312" w:eastAsia="仿宋_GB2312" w:cs="仿宋_GB2312" w:hint="eastAsia"/>
        </w:rPr>
        <w:t>单位：万元</w:t>
      </w:r>
    </w:p>
    <w:p>
      <w:pPr>
        <w:pStyle w:val="15"/>
        <w:spacing w:beforeLines="0" w:before="93"/>
        <w:rPr>
          <w:rFonts w:eastAsia="仿宋" w:cs="Times New Roman"/>
        </w:rPr>
      </w:pPr>
      <w:r>
        <w:rPr>
          <w:rFonts w:eastAsia="仿宋" w:cs="Times New Roman"/>
        </w:rPr>
        <w:drawing>
          <wp:inline distT="0" distB="0" distL="114298" distR="114298">
            <wp:extent cx="5095874" cy="3600450"/>
            <wp:effectExtent l="0" t="0" r="18" b="40"/>
            <wp:docPr id="17" name="图表 9"/>
            <wp:cNvGraphicFramePr>
              <a:graphicFrameLocks noChangeAspect="0"/>
            </wp:cNvGraphicFramePr>
            <a:graphic>
              <a:graphicData uri="http://schemas.openxmlformats.org/drawingml/2006/picture">
                <pic:pic>
                  <pic:nvPicPr>
                    <pic:cNvPr id="19" name="图表 9 19"/>
                    <pic:cNvPicPr/>
                  </pic:nvPicPr>
                  <pic:blipFill>
                    <a:blip r:embed="rId12"/>
                    <a:stretch>
                      <a:fillRect/>
                    </a:stretch>
                  </pic:blipFill>
                  <pic:spPr>
                    <a:xfrm rot="0">
                      <a:off x="0" y="0"/>
                      <a:ext cx="5095874" cy="3600450"/>
                    </a:xfrm>
                    <a:prstGeom prst="rect"/>
                    <a:noFill/>
                    <a:ln w="9525" cmpd="sng" cap="flat">
                      <a:noFill/>
                      <a:prstDash val="solid"/>
                      <a:miter/>
                    </a:ln>
                  </pic:spPr>
                </pic:pic>
              </a:graphicData>
            </a:graphic>
          </wp:inline>
        </w:drawing>
      </w:r>
    </w:p>
    <w:p>
      <w:pPr>
        <w:spacing w:line="600" w:lineRule="exact"/>
        <w:ind w:firstLine="640"/>
        <w:rPr>
          <w:rFonts w:ascii="仿宋_GB2312" w:eastAsia="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因公出国（境）经费支出</w:t>
      </w:r>
      <w:r>
        <w:rPr>
          <w:rFonts w:ascii="仿宋_GB2312" w:eastAsia="仿宋_GB2312" w:cs="仿宋_GB2312"/>
          <w:sz w:val="32"/>
          <w:szCs w:val="32"/>
        </w:rPr>
        <w:t>0</w:t>
      </w:r>
      <w:r>
        <w:rPr>
          <w:rFonts w:ascii="仿宋_GB2312" w:eastAsia="仿宋_GB2312" w:cs="仿宋_GB2312" w:hint="eastAsia"/>
          <w:sz w:val="32"/>
          <w:szCs w:val="32"/>
        </w:rPr>
        <w:t>万元，</w:t>
      </w:r>
      <w:r>
        <w:rPr>
          <w:rStyle w:val="22"/>
          <w:rFonts w:ascii="仿宋" w:eastAsia="仿宋" w:cs="仿宋" w:hint="eastAsia"/>
          <w:b w:val="0"/>
          <w:bCs w:val="0"/>
          <w:sz w:val="32"/>
          <w:szCs w:val="32"/>
        </w:rPr>
        <w:t>完成预算</w:t>
      </w:r>
      <w:r>
        <w:rPr>
          <w:rStyle w:val="22"/>
          <w:rFonts w:ascii="仿宋" w:eastAsia="仿宋" w:cs="仿宋"/>
          <w:b w:val="0"/>
          <w:bCs w:val="0"/>
          <w:sz w:val="32"/>
          <w:szCs w:val="32"/>
        </w:rPr>
        <w:t>0%</w:t>
      </w:r>
      <w:r>
        <w:rPr>
          <w:rStyle w:val="22"/>
          <w:rFonts w:ascii="仿宋" w:eastAsia="仿宋" w:cs="仿宋" w:hint="eastAsia"/>
          <w:b w:val="0"/>
          <w:bCs w:val="0"/>
          <w:sz w:val="32"/>
          <w:szCs w:val="32"/>
        </w:rPr>
        <w:t>。</w:t>
      </w:r>
      <w:r>
        <w:rPr>
          <w:rFonts w:ascii="仿宋_GB2312" w:eastAsia="仿宋_GB2312" w:cs="仿宋_GB2312" w:hint="eastAsia"/>
          <w:sz w:val="32"/>
          <w:szCs w:val="32"/>
        </w:rPr>
        <w:t>全年安排因公出国（境）团组</w:t>
      </w:r>
      <w:r>
        <w:rPr>
          <w:rFonts w:ascii="仿宋_GB2312" w:eastAsia="仿宋_GB2312" w:cs="仿宋_GB2312"/>
          <w:sz w:val="32"/>
          <w:szCs w:val="32"/>
        </w:rPr>
        <w:t>0</w:t>
      </w:r>
      <w:r>
        <w:rPr>
          <w:rFonts w:ascii="仿宋_GB2312" w:eastAsia="仿宋_GB2312" w:cs="仿宋_GB2312" w:hint="eastAsia"/>
          <w:sz w:val="32"/>
          <w:szCs w:val="32"/>
        </w:rPr>
        <w:t>次，出国（境）</w:t>
      </w:r>
      <w:r>
        <w:rPr>
          <w:rFonts w:ascii="仿宋_GB2312" w:eastAsia="仿宋_GB2312" w:cs="仿宋_GB2312"/>
          <w:sz w:val="32"/>
          <w:szCs w:val="32"/>
        </w:rPr>
        <w:t>0</w:t>
      </w:r>
      <w:r>
        <w:rPr>
          <w:rFonts w:ascii="仿宋_GB2312" w:eastAsia="仿宋_GB2312" w:cs="仿宋_GB2312" w:hint="eastAsia"/>
          <w:sz w:val="32"/>
          <w:szCs w:val="32"/>
        </w:rPr>
        <w:t>人。因公出国（境）支出决算与</w:t>
      </w:r>
      <w:r>
        <w:rPr>
          <w:rFonts w:ascii="仿宋" w:eastAsia="仿宋" w:cs="仿宋"/>
          <w:sz w:val="32"/>
          <w:szCs w:val="32"/>
        </w:rPr>
        <w:t>2021</w:t>
      </w:r>
      <w:r>
        <w:rPr>
          <w:rFonts w:ascii="仿宋" w:eastAsia="仿宋" w:cs="仿宋" w:hint="eastAsia"/>
          <w:sz w:val="32"/>
          <w:szCs w:val="32"/>
        </w:rPr>
        <w:t>年持平，均无发生额</w:t>
      </w:r>
      <w:r>
        <w:rPr>
          <w:rFonts w:ascii="仿宋_GB2312" w:eastAsia="仿宋_GB2312" w:cs="仿宋_GB2312" w:hint="eastAsia"/>
          <w:sz w:val="32"/>
          <w:szCs w:val="32"/>
        </w:rPr>
        <w:t>。</w:t>
      </w:r>
    </w:p>
    <w:p>
      <w:pPr>
        <w:spacing w:line="600" w:lineRule="exact"/>
        <w:ind w:firstLine="640"/>
        <w:rPr>
          <w:rFonts w:ascii="仿宋_GB2312" w:eastAsia="仿宋_GB2312"/>
          <w:sz w:val="32"/>
          <w:szCs w:val="32"/>
        </w:rPr>
      </w:pPr>
      <w:r>
        <w:rPr>
          <w:rFonts w:ascii="仿宋_GB2312" w:eastAsia="仿宋_GB2312" w:cs="仿宋_GB2312" w:hint="eastAsia"/>
          <w:sz w:val="32"/>
          <w:szCs w:val="32"/>
        </w:rPr>
        <w:t>开支内容包括：无。</w:t>
      </w:r>
    </w:p>
    <w:p>
      <w:pPr>
        <w:spacing w:line="600" w:lineRule="exact"/>
        <w:ind w:firstLine="640"/>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公务用车购置及运行维护费支出</w:t>
      </w:r>
      <w:r>
        <w:rPr>
          <w:rFonts w:ascii="仿宋_GB2312" w:eastAsia="仿宋_GB2312" w:cs="仿宋_GB2312"/>
          <w:sz w:val="32"/>
          <w:szCs w:val="32"/>
        </w:rPr>
        <w:t>0.14</w:t>
      </w:r>
      <w:r>
        <w:rPr>
          <w:rFonts w:ascii="仿宋_GB2312" w:eastAsia="仿宋_GB2312" w:cs="仿宋_GB2312" w:hint="eastAsia"/>
          <w:sz w:val="32"/>
          <w:szCs w:val="32"/>
        </w:rPr>
        <w:t>万元</w:t>
      </w:r>
      <w:r>
        <w:rPr>
          <w:rFonts w:ascii="仿宋_GB2312" w:eastAsia="仿宋_GB2312" w:cs="仿宋_GB2312"/>
          <w:sz w:val="32"/>
          <w:szCs w:val="32"/>
        </w:rPr>
        <w:t>,</w:t>
      </w:r>
      <w:r>
        <w:rPr>
          <w:rStyle w:val="22"/>
          <w:rFonts w:ascii="仿宋" w:eastAsia="仿宋" w:cs="仿宋" w:hint="eastAsia"/>
          <w:b w:val="0"/>
          <w:bCs w:val="0"/>
          <w:sz w:val="32"/>
          <w:szCs w:val="32"/>
        </w:rPr>
        <w:t>完成预算</w:t>
      </w:r>
      <w:r>
        <w:rPr>
          <w:rStyle w:val="22"/>
          <w:rFonts w:ascii="仿宋" w:eastAsia="仿宋" w:cs="仿宋"/>
          <w:b w:val="0"/>
          <w:bCs w:val="0"/>
          <w:sz w:val="32"/>
          <w:szCs w:val="32"/>
        </w:rPr>
        <w:t>7.20%</w:t>
      </w:r>
      <w:r>
        <w:rPr>
          <w:rStyle w:val="22"/>
          <w:rFonts w:ascii="仿宋" w:eastAsia="仿宋" w:cs="仿宋" w:hint="eastAsia"/>
          <w:b w:val="0"/>
          <w:bCs w:val="0"/>
          <w:sz w:val="32"/>
          <w:szCs w:val="32"/>
        </w:rPr>
        <w:t>。</w:t>
      </w:r>
      <w:r>
        <w:rPr>
          <w:rFonts w:ascii="仿宋_GB2312" w:eastAsia="仿宋_GB2312" w:cs="仿宋_GB2312" w:hint="eastAsia"/>
          <w:sz w:val="32"/>
          <w:szCs w:val="32"/>
        </w:rPr>
        <w:t>公务用车购置及运行维护费支出决算比</w:t>
      </w:r>
      <w:r>
        <w:rPr>
          <w:rFonts w:ascii="仿宋_GB2312" w:eastAsia="仿宋_GB2312" w:cs="仿宋_GB2312"/>
          <w:sz w:val="32"/>
          <w:szCs w:val="32"/>
        </w:rPr>
        <w:t>2021</w:t>
      </w:r>
      <w:r>
        <w:rPr>
          <w:rFonts w:ascii="仿宋_GB2312" w:eastAsia="仿宋_GB2312" w:cs="仿宋_GB2312" w:hint="eastAsia"/>
          <w:sz w:val="32"/>
          <w:szCs w:val="32"/>
        </w:rPr>
        <w:t>年减少</w:t>
      </w:r>
      <w:r>
        <w:rPr>
          <w:rFonts w:ascii="仿宋_GB2312" w:eastAsia="仿宋_GB2312" w:cs="仿宋_GB2312"/>
          <w:sz w:val="32"/>
          <w:szCs w:val="32"/>
        </w:rPr>
        <w:t>0.11</w:t>
      </w:r>
      <w:r>
        <w:rPr>
          <w:rFonts w:ascii="仿宋_GB2312" w:eastAsia="仿宋_GB2312" w:cs="仿宋_GB2312" w:hint="eastAsia"/>
          <w:sz w:val="32"/>
          <w:szCs w:val="32"/>
        </w:rPr>
        <w:t>万元，下降</w:t>
      </w:r>
      <w:r>
        <w:rPr>
          <w:rFonts w:ascii="仿宋_GB2312" w:eastAsia="仿宋_GB2312" w:cs="仿宋_GB2312"/>
          <w:sz w:val="32"/>
          <w:szCs w:val="32"/>
        </w:rPr>
        <w:t>44%</w:t>
      </w:r>
      <w:r>
        <w:rPr>
          <w:rFonts w:ascii="仿宋_GB2312" w:eastAsia="仿宋_GB2312" w:cs="仿宋_GB2312" w:hint="eastAsia"/>
          <w:sz w:val="32"/>
          <w:szCs w:val="32"/>
        </w:rPr>
        <w:t>。主要原因是</w:t>
      </w:r>
      <w:r>
        <w:rPr>
          <w:rFonts w:ascii="仿宋" w:eastAsia="仿宋" w:cs="仿宋" w:hint="eastAsia"/>
          <w:sz w:val="32"/>
          <w:szCs w:val="32"/>
        </w:rPr>
        <w:t>合理用车，减少公务用车出行成本</w:t>
      </w:r>
      <w:r>
        <w:rPr>
          <w:rFonts w:ascii="仿宋_GB2312" w:eastAsia="仿宋_GB2312" w:cs="仿宋_GB2312" w:hint="eastAsia"/>
          <w:sz w:val="32"/>
          <w:szCs w:val="32"/>
        </w:rPr>
        <w:t>。</w:t>
      </w:r>
    </w:p>
    <w:p>
      <w:pPr>
        <w:spacing w:line="600" w:lineRule="exact"/>
        <w:ind w:firstLineChars="200" w:firstLine="640"/>
        <w:rPr>
          <w:rFonts w:ascii="仿宋_GB2312" w:eastAsia="仿宋_GB2312"/>
          <w:b/>
          <w:bCs/>
          <w:sz w:val="32"/>
          <w:szCs w:val="32"/>
        </w:rPr>
      </w:pPr>
      <w:r>
        <w:rPr>
          <w:rFonts w:ascii="仿宋_GB2312" w:eastAsia="仿宋_GB2312" w:cs="仿宋_GB2312" w:hint="eastAsia"/>
          <w:sz w:val="32"/>
          <w:szCs w:val="32"/>
        </w:rPr>
        <w:t>其中：</w:t>
      </w:r>
      <w:r>
        <w:rPr>
          <w:rFonts w:ascii="仿宋_GB2312" w:eastAsia="仿宋_GB2312" w:cs="仿宋_GB2312" w:hint="eastAsia"/>
          <w:b/>
          <w:bCs/>
          <w:sz w:val="32"/>
          <w:szCs w:val="32"/>
        </w:rPr>
        <w:t>公务用车购置支出</w:t>
      </w:r>
      <w:r>
        <w:rPr>
          <w:rFonts w:ascii="仿宋_GB2312" w:eastAsia="仿宋_GB2312" w:cs="仿宋_GB2312"/>
          <w:sz w:val="32"/>
          <w:szCs w:val="32"/>
        </w:rPr>
        <w:t>0</w:t>
      </w:r>
      <w:r>
        <w:rPr>
          <w:rFonts w:ascii="仿宋_GB2312" w:eastAsia="仿宋_GB2312" w:cs="仿宋_GB2312" w:hint="eastAsia"/>
          <w:sz w:val="32"/>
          <w:szCs w:val="32"/>
        </w:rPr>
        <w:t>万元。全年按规定更新购置公务用车</w:t>
      </w:r>
      <w:r>
        <w:rPr>
          <w:rFonts w:ascii="仿宋_GB2312" w:eastAsia="仿宋_GB2312" w:cs="仿宋_GB2312"/>
          <w:sz w:val="32"/>
          <w:szCs w:val="32"/>
        </w:rPr>
        <w:t>0</w:t>
      </w:r>
      <w:r>
        <w:rPr>
          <w:rFonts w:ascii="仿宋_GB2312" w:eastAsia="仿宋_GB2312" w:cs="仿宋_GB2312" w:hint="eastAsia"/>
          <w:sz w:val="32"/>
          <w:szCs w:val="32"/>
        </w:rPr>
        <w:t>辆，其中：轿车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万元，越野车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万元，载客汽车</w:t>
      </w:r>
      <w:r>
        <w:rPr>
          <w:rFonts w:ascii="仿宋_GB2312" w:eastAsia="仿宋_GB2312" w:cs="仿宋_GB2312"/>
          <w:sz w:val="32"/>
          <w:szCs w:val="32"/>
        </w:rPr>
        <w:t>0</w:t>
      </w:r>
      <w:r>
        <w:rPr>
          <w:rFonts w:ascii="仿宋_GB2312" w:eastAsia="仿宋_GB2312" w:cs="仿宋_GB2312" w:hint="eastAsia"/>
          <w:sz w:val="32"/>
          <w:szCs w:val="32"/>
        </w:rPr>
        <w:t>辆、金额</w:t>
      </w:r>
      <w:r>
        <w:rPr>
          <w:rFonts w:ascii="仿宋_GB2312" w:eastAsia="仿宋_GB2312" w:cs="仿宋_GB2312"/>
          <w:sz w:val="32"/>
          <w:szCs w:val="32"/>
        </w:rPr>
        <w:t>0</w:t>
      </w:r>
      <w:r>
        <w:rPr>
          <w:rFonts w:ascii="仿宋_GB2312" w:eastAsia="仿宋_GB2312" w:cs="仿宋_GB2312" w:hint="eastAsia"/>
          <w:sz w:val="32"/>
          <w:szCs w:val="32"/>
        </w:rPr>
        <w:t>万元。截至</w:t>
      </w:r>
      <w:r>
        <w:rPr>
          <w:rFonts w:ascii="仿宋_GB2312" w:eastAsia="仿宋_GB2312" w:cs="仿宋_GB2312"/>
          <w:sz w:val="32"/>
          <w:szCs w:val="32"/>
        </w:rPr>
        <w:t>2022</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月底，单位共有公务用车</w:t>
      </w:r>
      <w:r>
        <w:rPr>
          <w:rFonts w:ascii="仿宋_GB2312" w:eastAsia="仿宋_GB2312" w:cs="仿宋_GB2312"/>
          <w:sz w:val="32"/>
          <w:szCs w:val="32"/>
        </w:rPr>
        <w:t>1</w:t>
      </w:r>
      <w:r>
        <w:rPr>
          <w:rFonts w:ascii="仿宋_GB2312" w:eastAsia="仿宋_GB2312" w:cs="仿宋_GB2312" w:hint="eastAsia"/>
          <w:sz w:val="32"/>
          <w:szCs w:val="32"/>
        </w:rPr>
        <w:t>辆，其中：轿车</w:t>
      </w:r>
      <w:r>
        <w:rPr>
          <w:rFonts w:ascii="仿宋_GB2312" w:eastAsia="仿宋_GB2312" w:cs="仿宋_GB2312"/>
          <w:sz w:val="32"/>
          <w:szCs w:val="32"/>
        </w:rPr>
        <w:t>0</w:t>
      </w:r>
      <w:r>
        <w:rPr>
          <w:rFonts w:ascii="仿宋_GB2312" w:eastAsia="仿宋_GB2312" w:cs="仿宋_GB2312" w:hint="eastAsia"/>
          <w:sz w:val="32"/>
          <w:szCs w:val="32"/>
        </w:rPr>
        <w:t>辆、越野车</w:t>
      </w:r>
      <w:r>
        <w:rPr>
          <w:rFonts w:ascii="仿宋_GB2312" w:eastAsia="仿宋_GB2312" w:cs="仿宋_GB2312"/>
          <w:sz w:val="32"/>
          <w:szCs w:val="32"/>
        </w:rPr>
        <w:t>1</w:t>
      </w:r>
      <w:r>
        <w:rPr>
          <w:rFonts w:ascii="仿宋_GB2312" w:eastAsia="仿宋_GB2312" w:cs="仿宋_GB2312" w:hint="eastAsia"/>
          <w:sz w:val="32"/>
          <w:szCs w:val="32"/>
        </w:rPr>
        <w:t>辆、载客汽车</w:t>
      </w:r>
      <w:r>
        <w:rPr>
          <w:rFonts w:ascii="仿宋_GB2312" w:eastAsia="仿宋_GB2312" w:cs="仿宋_GB2312"/>
          <w:sz w:val="32"/>
          <w:szCs w:val="32"/>
        </w:rPr>
        <w:t>0</w:t>
      </w:r>
      <w:r>
        <w:rPr>
          <w:rFonts w:ascii="仿宋_GB2312" w:eastAsia="仿宋_GB2312" w:cs="仿宋_GB2312" w:hint="eastAsia"/>
          <w:sz w:val="32"/>
          <w:szCs w:val="32"/>
        </w:rPr>
        <w:t>辆。</w:t>
      </w:r>
    </w:p>
    <w:p>
      <w:pPr>
        <w:spacing w:line="600" w:lineRule="exact"/>
        <w:ind w:firstLine="640"/>
        <w:rPr>
          <w:rFonts w:ascii="仿宋_GB2312" w:eastAsia="仿宋_GB2312"/>
          <w:sz w:val="32"/>
          <w:szCs w:val="32"/>
        </w:rPr>
      </w:pPr>
      <w:r>
        <w:rPr>
          <w:rFonts w:ascii="仿宋_GB2312" w:eastAsia="仿宋_GB2312" w:cs="仿宋_GB2312" w:hint="eastAsia"/>
          <w:b/>
          <w:bCs/>
          <w:sz w:val="32"/>
          <w:szCs w:val="32"/>
        </w:rPr>
        <w:t>公务用车运行维护费支出</w:t>
      </w:r>
      <w:r>
        <w:rPr>
          <w:rFonts w:ascii="仿宋_GB2312" w:eastAsia="仿宋_GB2312" w:cs="仿宋_GB2312"/>
          <w:sz w:val="32"/>
          <w:szCs w:val="32"/>
        </w:rPr>
        <w:t>0.14</w:t>
      </w:r>
      <w:r>
        <w:rPr>
          <w:rFonts w:ascii="仿宋_GB2312" w:eastAsia="仿宋_GB2312" w:cs="仿宋_GB2312" w:hint="eastAsia"/>
          <w:sz w:val="32"/>
          <w:szCs w:val="32"/>
        </w:rPr>
        <w:t>万元。主要用于公务用车保险费、维修费支出。</w:t>
      </w:r>
    </w:p>
    <w:p>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公务接待费支出</w:t>
      </w:r>
      <w:r>
        <w:rPr>
          <w:rFonts w:ascii="仿宋_GB2312" w:eastAsia="仿宋_GB2312" w:cs="仿宋_GB2312"/>
          <w:sz w:val="32"/>
          <w:szCs w:val="32"/>
        </w:rPr>
        <w:t>0</w:t>
      </w:r>
      <w:r>
        <w:rPr>
          <w:rFonts w:ascii="仿宋_GB2312" w:eastAsia="仿宋_GB2312" w:cs="仿宋_GB2312" w:hint="eastAsia"/>
          <w:sz w:val="32"/>
          <w:szCs w:val="32"/>
        </w:rPr>
        <w:t>万元，</w:t>
      </w:r>
      <w:r>
        <w:rPr>
          <w:rStyle w:val="22"/>
          <w:rFonts w:ascii="仿宋" w:eastAsia="仿宋" w:cs="仿宋" w:hint="eastAsia"/>
          <w:b w:val="0"/>
          <w:bCs w:val="0"/>
          <w:sz w:val="32"/>
          <w:szCs w:val="32"/>
        </w:rPr>
        <w:t>完成预算</w:t>
      </w:r>
      <w:r>
        <w:rPr>
          <w:rStyle w:val="22"/>
          <w:rFonts w:ascii="仿宋" w:eastAsia="仿宋" w:cs="仿宋"/>
          <w:b w:val="0"/>
          <w:bCs w:val="0"/>
          <w:sz w:val="32"/>
          <w:szCs w:val="32"/>
        </w:rPr>
        <w:t>0%</w:t>
      </w:r>
      <w:r>
        <w:rPr>
          <w:rStyle w:val="22"/>
          <w:rFonts w:ascii="仿宋" w:eastAsia="仿宋" w:cs="仿宋" w:hint="eastAsia"/>
          <w:b w:val="0"/>
          <w:bCs w:val="0"/>
          <w:sz w:val="32"/>
          <w:szCs w:val="32"/>
        </w:rPr>
        <w:t>。</w:t>
      </w:r>
      <w:r>
        <w:rPr>
          <w:rFonts w:ascii="仿宋_GB2312" w:eastAsia="仿宋_GB2312" w:cs="仿宋_GB2312" w:hint="eastAsia"/>
          <w:sz w:val="32"/>
          <w:szCs w:val="32"/>
        </w:rPr>
        <w:t>本年无公务接待发生。其中：</w:t>
      </w:r>
    </w:p>
    <w:p>
      <w:pPr>
        <w:spacing w:line="600" w:lineRule="exact"/>
        <w:ind w:firstLine="640"/>
        <w:rPr>
          <w:rFonts w:ascii="仿宋_GB2312" w:eastAsia="仿宋_GB2312"/>
          <w:sz w:val="32"/>
          <w:szCs w:val="32"/>
        </w:rPr>
      </w:pPr>
      <w:r>
        <w:rPr>
          <w:rFonts w:ascii="仿宋" w:eastAsia="仿宋" w:cs="仿宋" w:hint="eastAsia"/>
          <w:b/>
          <w:bCs/>
          <w:sz w:val="32"/>
          <w:szCs w:val="32"/>
        </w:rPr>
        <w:t>国内公务接待支出</w:t>
      </w:r>
      <w:r>
        <w:rPr>
          <w:rFonts w:ascii="仿宋" w:eastAsia="仿宋" w:cs="仿宋"/>
          <w:sz w:val="32"/>
          <w:szCs w:val="32"/>
        </w:rPr>
        <w:t>0</w:t>
      </w:r>
      <w:r>
        <w:rPr>
          <w:rFonts w:ascii="仿宋_GB2312" w:eastAsia="仿宋_GB2312" w:cs="仿宋_GB2312" w:hint="eastAsia"/>
          <w:sz w:val="32"/>
          <w:szCs w:val="32"/>
        </w:rPr>
        <w:t>万元。国内公务接待</w:t>
      </w:r>
      <w:r>
        <w:rPr>
          <w:rFonts w:ascii="仿宋_GB2312" w:eastAsia="仿宋_GB2312" w:cs="仿宋_GB2312"/>
          <w:sz w:val="32"/>
          <w:szCs w:val="32"/>
        </w:rPr>
        <w:t>0</w:t>
      </w:r>
      <w:r>
        <w:rPr>
          <w:rFonts w:ascii="仿宋_GB2312" w:eastAsia="仿宋_GB2312" w:cs="仿宋_GB2312" w:hint="eastAsia"/>
          <w:sz w:val="32"/>
          <w:szCs w:val="32"/>
        </w:rPr>
        <w:t>批次，</w:t>
      </w:r>
      <w:r>
        <w:rPr>
          <w:rFonts w:ascii="仿宋_GB2312" w:eastAsia="仿宋_GB2312" w:cs="仿宋_GB2312"/>
          <w:sz w:val="32"/>
          <w:szCs w:val="32"/>
        </w:rPr>
        <w:t>0</w:t>
      </w:r>
      <w:r>
        <w:rPr>
          <w:rFonts w:ascii="仿宋_GB2312" w:eastAsia="仿宋_GB2312" w:cs="仿宋_GB2312" w:hint="eastAsia"/>
          <w:sz w:val="32"/>
          <w:szCs w:val="32"/>
        </w:rPr>
        <w:t>人次（不包括陪同人员），共计支出</w:t>
      </w:r>
      <w:r>
        <w:rPr>
          <w:rFonts w:ascii="仿宋_GB2312" w:eastAsia="仿宋_GB2312" w:cs="仿宋_GB2312"/>
          <w:sz w:val="32"/>
          <w:szCs w:val="32"/>
        </w:rPr>
        <w:t>0</w:t>
      </w:r>
      <w:r>
        <w:rPr>
          <w:rFonts w:ascii="仿宋_GB2312" w:eastAsia="仿宋_GB2312" w:cs="仿宋_GB2312" w:hint="eastAsia"/>
          <w:sz w:val="32"/>
          <w:szCs w:val="32"/>
        </w:rPr>
        <w:t>万元。</w:t>
      </w:r>
    </w:p>
    <w:p>
      <w:pPr>
        <w:spacing w:line="600" w:lineRule="exact"/>
        <w:ind w:firstLineChars="200" w:firstLine="640"/>
        <w:rPr>
          <w:rFonts w:ascii="黑体" w:eastAsia="黑体"/>
          <w:sz w:val="32"/>
          <w:szCs w:val="32"/>
        </w:rPr>
      </w:pPr>
      <w:r>
        <w:rPr>
          <w:rFonts w:ascii="仿宋" w:eastAsia="仿宋" w:cs="仿宋" w:hint="eastAsia"/>
          <w:b/>
          <w:bCs/>
          <w:sz w:val="32"/>
          <w:szCs w:val="32"/>
        </w:rPr>
        <w:t>外事接待支出</w:t>
      </w:r>
      <w:r>
        <w:rPr>
          <w:rFonts w:ascii="仿宋" w:eastAsia="仿宋" w:cs="仿宋"/>
          <w:sz w:val="32"/>
          <w:szCs w:val="32"/>
        </w:rPr>
        <w:t>0</w:t>
      </w:r>
      <w:r>
        <w:rPr>
          <w:rFonts w:ascii="仿宋_GB2312" w:eastAsia="仿宋_GB2312" w:cs="仿宋_GB2312" w:hint="eastAsia"/>
          <w:sz w:val="32"/>
          <w:szCs w:val="32"/>
        </w:rPr>
        <w:t>万元。外事接待</w:t>
      </w:r>
      <w:r>
        <w:rPr>
          <w:rFonts w:ascii="仿宋_GB2312" w:eastAsia="仿宋_GB2312" w:cs="仿宋_GB2312"/>
          <w:sz w:val="32"/>
          <w:szCs w:val="32"/>
        </w:rPr>
        <w:t>0</w:t>
      </w:r>
      <w:r>
        <w:rPr>
          <w:rFonts w:ascii="仿宋_GB2312" w:eastAsia="仿宋_GB2312" w:cs="仿宋_GB2312" w:hint="eastAsia"/>
          <w:sz w:val="32"/>
          <w:szCs w:val="32"/>
        </w:rPr>
        <w:t>批次，</w:t>
      </w:r>
      <w:r>
        <w:rPr>
          <w:rFonts w:ascii="仿宋_GB2312" w:eastAsia="仿宋_GB2312" w:cs="仿宋_GB2312"/>
          <w:sz w:val="32"/>
          <w:szCs w:val="32"/>
        </w:rPr>
        <w:t>0</w:t>
      </w:r>
      <w:r>
        <w:rPr>
          <w:rFonts w:ascii="仿宋_GB2312" w:eastAsia="仿宋_GB2312" w:cs="仿宋_GB2312" w:hint="eastAsia"/>
          <w:sz w:val="32"/>
          <w:szCs w:val="32"/>
        </w:rPr>
        <w:t>人次（不包括陪同人员），共计支出</w:t>
      </w:r>
      <w:r>
        <w:rPr>
          <w:rFonts w:ascii="仿宋_GB2312" w:eastAsia="仿宋_GB2312" w:cs="仿宋_GB2312"/>
          <w:sz w:val="32"/>
          <w:szCs w:val="32"/>
        </w:rPr>
        <w:t>0</w:t>
      </w:r>
      <w:r>
        <w:rPr>
          <w:rFonts w:ascii="仿宋_GB2312" w:eastAsia="仿宋_GB2312" w:cs="仿宋_GB2312" w:hint="eastAsia"/>
          <w:sz w:val="32"/>
          <w:szCs w:val="32"/>
        </w:rPr>
        <w:t>万元。</w:t>
      </w:r>
      <w:bookmarkStart w:id="41" w:name="_Toc15377218"/>
      <w:bookmarkStart w:id="42" w:name="_Toc15396610"/>
    </w:p>
    <w:p>
      <w:pPr>
        <w:spacing w:line="600" w:lineRule="exact"/>
        <w:ind w:firstLine="640"/>
        <w:outlineLvl w:val="1"/>
        <w:rPr>
          <w:rStyle w:val="2Char"/>
          <w:rFonts w:ascii="黑体" w:eastAsia="黑体" w:cs="Times New Roman"/>
        </w:rPr>
      </w:pPr>
      <w:r>
        <w:rPr>
          <w:rFonts w:ascii="黑体" w:eastAsia="黑体" w:cs="黑体" w:hint="eastAsia"/>
          <w:sz w:val="32"/>
          <w:szCs w:val="32"/>
        </w:rPr>
        <w:t>八、</w:t>
      </w:r>
      <w:r>
        <w:rPr>
          <w:rStyle w:val="2Char"/>
          <w:rFonts w:ascii="黑体" w:eastAsia="黑体" w:cs="黑体" w:hint="eastAsia"/>
          <w:b w:val="0"/>
          <w:bCs w:val="0"/>
        </w:rPr>
        <w:t>政府性基金预算支出决算情况说明</w:t>
      </w:r>
      <w:bookmarkEnd w:id="41"/>
      <w:bookmarkEnd w:id="42"/>
    </w:p>
    <w:p>
      <w:pPr>
        <w:spacing w:line="600" w:lineRule="exact"/>
        <w:ind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年政府性基金预算财政拨款支出</w:t>
      </w:r>
      <w:r>
        <w:rPr>
          <w:rFonts w:ascii="仿宋_GB2312" w:eastAsia="仿宋_GB2312" w:cs="仿宋_GB2312"/>
          <w:sz w:val="32"/>
          <w:szCs w:val="32"/>
        </w:rPr>
        <w:t>0</w:t>
      </w:r>
      <w:r>
        <w:rPr>
          <w:rFonts w:ascii="仿宋_GB2312" w:eastAsia="仿宋_GB2312" w:cs="仿宋_GB2312" w:hint="eastAsia"/>
          <w:sz w:val="32"/>
          <w:szCs w:val="32"/>
        </w:rPr>
        <w:t>万元。</w:t>
      </w:r>
    </w:p>
    <w:p>
      <w:pPr>
        <w:numPr>
          <w:ilvl w:val="0"/>
          <w:numId w:val="3"/>
        </w:numPr>
        <w:spacing w:line="600" w:lineRule="exact"/>
        <w:ind w:left="0" w:firstLine="640"/>
        <w:outlineLvl w:val="1"/>
        <w:rPr>
          <w:rStyle w:val="2Char"/>
          <w:rFonts w:ascii="黑体" w:eastAsia="黑体" w:cs="Times New Roman"/>
          <w:b w:val="0"/>
          <w:bCs w:val="0"/>
        </w:rPr>
      </w:pPr>
      <w:bookmarkStart w:id="43" w:name="_Toc15396611"/>
      <w:bookmarkStart w:id="44" w:name="_Toc15377219"/>
      <w:r>
        <w:rPr>
          <w:rStyle w:val="2Char"/>
          <w:rFonts w:ascii="黑体" w:eastAsia="黑体" w:cs="黑体" w:hint="eastAsia"/>
          <w:b w:val="0"/>
          <w:bCs w:val="0"/>
        </w:rPr>
        <w:t>国有资本经营预算支出决算情况说明</w:t>
      </w:r>
      <w:bookmarkEnd w:id="43"/>
      <w:bookmarkEnd w:id="44"/>
    </w:p>
    <w:p>
      <w:pPr>
        <w:spacing w:line="600" w:lineRule="exact"/>
        <w:ind w:firstLine="640"/>
        <w:rPr>
          <w:rFonts w:ascii="方正小标宋简体" w:eastAsia="方正小标宋简体"/>
          <w:sz w:val="44"/>
          <w:szCs w:val="44"/>
        </w:rPr>
      </w:pPr>
      <w:r>
        <w:rPr>
          <w:rFonts w:ascii="仿宋_GB2312" w:eastAsia="仿宋_GB2312" w:cs="仿宋_GB2312"/>
          <w:sz w:val="32"/>
          <w:szCs w:val="32"/>
        </w:rPr>
        <w:t>2022</w:t>
      </w:r>
      <w:r>
        <w:rPr>
          <w:rFonts w:ascii="仿宋_GB2312" w:eastAsia="仿宋_GB2312" w:cs="仿宋_GB2312" w:hint="eastAsia"/>
          <w:sz w:val="32"/>
          <w:szCs w:val="32"/>
        </w:rPr>
        <w:t>年国有资本经营预算财政拨款支出</w:t>
      </w:r>
      <w:r>
        <w:rPr>
          <w:rFonts w:ascii="仿宋_GB2312" w:eastAsia="仿宋_GB2312" w:cs="仿宋_GB2312"/>
          <w:sz w:val="32"/>
          <w:szCs w:val="32"/>
        </w:rPr>
        <w:t>0</w:t>
      </w:r>
      <w:r>
        <w:rPr>
          <w:rFonts w:ascii="仿宋_GB2312" w:eastAsia="仿宋_GB2312" w:cs="仿宋_GB2312" w:hint="eastAsia"/>
          <w:sz w:val="32"/>
          <w:szCs w:val="32"/>
        </w:rPr>
        <w:t>万元。</w:t>
      </w:r>
    </w:p>
    <w:p>
      <w:pPr>
        <w:numPr>
          <w:ilvl w:val="0"/>
          <w:numId w:val="3"/>
        </w:numPr>
        <w:spacing w:line="600" w:lineRule="exact"/>
        <w:ind w:left="0" w:firstLine="640"/>
        <w:outlineLvl w:val="1"/>
        <w:rPr>
          <w:rStyle w:val="2Char"/>
          <w:rFonts w:ascii="黑体" w:eastAsia="黑体" w:cs="Times New Roman"/>
          <w:b w:val="0"/>
          <w:bCs w:val="0"/>
        </w:rPr>
      </w:pPr>
      <w:bookmarkStart w:id="45" w:name="_Toc15377221"/>
      <w:bookmarkStart w:id="46" w:name="_Toc15396612"/>
      <w:r>
        <w:rPr>
          <w:rStyle w:val="2Char"/>
          <w:rFonts w:ascii="黑体" w:eastAsia="黑体" w:cs="黑体" w:hint="eastAsia"/>
          <w:b w:val="0"/>
          <w:bCs w:val="0"/>
        </w:rPr>
        <w:t>其他重要事项的情况说明</w:t>
      </w:r>
      <w:bookmarkEnd w:id="45"/>
      <w:bookmarkEnd w:id="46"/>
    </w:p>
    <w:p>
      <w:pPr>
        <w:spacing w:line="600" w:lineRule="exact"/>
        <w:ind w:firstLineChars="200" w:firstLine="640"/>
        <w:outlineLvl w:val="2"/>
        <w:rPr>
          <w:rFonts w:ascii="仿宋" w:eastAsia="仿宋"/>
          <w:sz w:val="32"/>
          <w:szCs w:val="32"/>
        </w:rPr>
      </w:pPr>
      <w:bookmarkStart w:id="47" w:name="_Toc15377222"/>
      <w:r>
        <w:rPr>
          <w:rFonts w:ascii="仿宋" w:eastAsia="仿宋" w:cs="仿宋" w:hint="eastAsia"/>
          <w:b/>
          <w:bCs/>
          <w:sz w:val="32"/>
          <w:szCs w:val="32"/>
        </w:rPr>
        <w:t>（一）机关运行经费支出情况</w:t>
      </w:r>
      <w:bookmarkEnd w:id="47"/>
    </w:p>
    <w:p>
      <w:pPr>
        <w:spacing w:line="600" w:lineRule="exact"/>
        <w:ind w:firstLineChars="200"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w:t>
      </w:r>
      <w:r>
        <w:rPr>
          <w:rFonts w:ascii="仿宋" w:eastAsia="仿宋" w:cs="仿宋" w:hint="eastAsia"/>
          <w:sz w:val="32"/>
          <w:szCs w:val="32"/>
        </w:rPr>
        <w:t>单位无机关运行经费支出事项。</w:t>
      </w:r>
    </w:p>
    <w:p>
      <w:pPr>
        <w:autoSpaceDE w:val="0"/>
        <w:autoSpaceDN w:val="0"/>
        <w:adjustRightInd w:val="0"/>
        <w:spacing w:line="600" w:lineRule="exact"/>
        <w:ind w:firstLineChars="200" w:firstLine="640"/>
        <w:jc w:val="left"/>
        <w:outlineLvl w:val="2"/>
        <w:rPr>
          <w:rFonts w:ascii="仿宋" w:eastAsia="仿宋"/>
          <w:b/>
          <w:bCs/>
          <w:sz w:val="32"/>
          <w:szCs w:val="32"/>
        </w:rPr>
      </w:pPr>
      <w:bookmarkStart w:id="48" w:name="_Toc15377223"/>
      <w:r>
        <w:rPr>
          <w:rFonts w:ascii="仿宋" w:eastAsia="仿宋" w:cs="仿宋" w:hint="eastAsia"/>
          <w:b/>
          <w:bCs/>
          <w:sz w:val="32"/>
          <w:szCs w:val="32"/>
        </w:rPr>
        <w:t>（二）政府采购支出情况</w:t>
      </w:r>
      <w:bookmarkEnd w:id="48"/>
    </w:p>
    <w:p>
      <w:pPr>
        <w:spacing w:line="600" w:lineRule="exact"/>
        <w:ind w:firstLineChars="200"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w:t>
      </w:r>
      <w:r>
        <w:rPr>
          <w:rFonts w:ascii="仿宋" w:eastAsia="仿宋" w:cs="仿宋" w:hint="eastAsia"/>
          <w:sz w:val="32"/>
          <w:szCs w:val="32"/>
        </w:rPr>
        <w:t>单位无政府采购支出。</w:t>
      </w:r>
    </w:p>
    <w:p>
      <w:pPr>
        <w:autoSpaceDE w:val="0"/>
        <w:autoSpaceDN w:val="0"/>
        <w:adjustRightInd w:val="0"/>
        <w:spacing w:line="600" w:lineRule="exact"/>
        <w:ind w:firstLineChars="200" w:firstLine="640"/>
        <w:jc w:val="left"/>
        <w:outlineLvl w:val="2"/>
        <w:rPr>
          <w:rFonts w:ascii="仿宋" w:eastAsia="仿宋"/>
          <w:b/>
          <w:bCs/>
          <w:sz w:val="32"/>
          <w:szCs w:val="32"/>
        </w:rPr>
      </w:pPr>
      <w:bookmarkStart w:id="49" w:name="_Toc15377224"/>
      <w:r>
        <w:rPr>
          <w:rFonts w:ascii="仿宋" w:eastAsia="仿宋" w:cs="仿宋" w:hint="eastAsia"/>
          <w:b/>
          <w:bCs/>
          <w:sz w:val="32"/>
          <w:szCs w:val="32"/>
        </w:rPr>
        <w:t>（三）国有资产占有使用情况</w:t>
      </w:r>
      <w:bookmarkEnd w:id="49"/>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2022</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w:t>
      </w:r>
      <w:r>
        <w:rPr>
          <w:rFonts w:ascii="仿宋" w:eastAsia="仿宋" w:cs="仿宋" w:hint="eastAsia"/>
          <w:sz w:val="32"/>
          <w:szCs w:val="32"/>
        </w:rPr>
        <w:t>攀枝花市城市基本建设档案馆共有车辆</w:t>
      </w:r>
      <w:r>
        <w:rPr>
          <w:rFonts w:ascii="仿宋" w:eastAsia="仿宋" w:cs="仿宋"/>
          <w:sz w:val="32"/>
          <w:szCs w:val="32"/>
        </w:rPr>
        <w:t>1</w:t>
      </w:r>
      <w:r>
        <w:rPr>
          <w:rFonts w:ascii="仿宋" w:eastAsia="仿宋" w:cs="仿宋" w:hint="eastAsia"/>
          <w:sz w:val="32"/>
          <w:szCs w:val="32"/>
        </w:rPr>
        <w:t>辆，其中：主要领导干部用车</w:t>
      </w:r>
      <w:r>
        <w:rPr>
          <w:rFonts w:ascii="仿宋" w:eastAsia="仿宋" w:cs="仿宋"/>
          <w:sz w:val="32"/>
          <w:szCs w:val="32"/>
        </w:rPr>
        <w:t>0</w:t>
      </w:r>
      <w:r>
        <w:rPr>
          <w:rFonts w:ascii="仿宋" w:eastAsia="仿宋" w:cs="仿宋" w:hint="eastAsia"/>
          <w:sz w:val="32"/>
          <w:szCs w:val="32"/>
        </w:rPr>
        <w:t>辆、机要通信用车</w:t>
      </w:r>
      <w:r>
        <w:rPr>
          <w:rFonts w:ascii="仿宋" w:eastAsia="仿宋" w:cs="仿宋"/>
          <w:sz w:val="32"/>
          <w:szCs w:val="32"/>
        </w:rPr>
        <w:t>0</w:t>
      </w:r>
      <w:r>
        <w:rPr>
          <w:rFonts w:ascii="仿宋" w:eastAsia="仿宋" w:cs="仿宋" w:hint="eastAsia"/>
          <w:sz w:val="32"/>
          <w:szCs w:val="32"/>
        </w:rPr>
        <w:t>辆、应急保障用车</w:t>
      </w:r>
      <w:r>
        <w:rPr>
          <w:rFonts w:ascii="仿宋" w:eastAsia="仿宋" w:cs="仿宋"/>
          <w:sz w:val="32"/>
          <w:szCs w:val="32"/>
        </w:rPr>
        <w:t>0</w:t>
      </w:r>
      <w:r>
        <w:rPr>
          <w:rFonts w:ascii="仿宋" w:eastAsia="仿宋" w:cs="仿宋" w:hint="eastAsia"/>
          <w:sz w:val="32"/>
          <w:szCs w:val="32"/>
        </w:rPr>
        <w:t>辆、其他用车</w:t>
      </w:r>
      <w:r>
        <w:rPr>
          <w:rFonts w:ascii="仿宋" w:eastAsia="仿宋" w:cs="仿宋"/>
          <w:sz w:val="32"/>
          <w:szCs w:val="32"/>
        </w:rPr>
        <w:t>1</w:t>
      </w:r>
      <w:r>
        <w:rPr>
          <w:rFonts w:ascii="仿宋" w:eastAsia="仿宋" w:cs="仿宋" w:hint="eastAsia"/>
          <w:sz w:val="32"/>
          <w:szCs w:val="32"/>
        </w:rPr>
        <w:t>辆，其他用车主要是用于城建档案业务指导、验收、声像档案拍摄等工作，单价</w:t>
      </w:r>
      <w:r>
        <w:rPr>
          <w:rFonts w:ascii="仿宋" w:eastAsia="仿宋" w:cs="仿宋"/>
          <w:sz w:val="32"/>
          <w:szCs w:val="32"/>
        </w:rPr>
        <w:t>50</w:t>
      </w:r>
      <w:r>
        <w:rPr>
          <w:rFonts w:ascii="仿宋" w:eastAsia="仿宋" w:cs="仿宋" w:hint="eastAsia"/>
          <w:sz w:val="32"/>
          <w:szCs w:val="32"/>
        </w:rPr>
        <w:t>万元以上通用设备</w:t>
      </w:r>
      <w:r>
        <w:rPr>
          <w:rFonts w:ascii="仿宋" w:eastAsia="仿宋" w:cs="仿宋"/>
          <w:sz w:val="32"/>
          <w:szCs w:val="32"/>
        </w:rPr>
        <w:t>0</w:t>
      </w:r>
      <w:r>
        <w:rPr>
          <w:rFonts w:ascii="仿宋" w:eastAsia="仿宋" w:cs="仿宋" w:hint="eastAsia"/>
          <w:sz w:val="32"/>
          <w:szCs w:val="32"/>
        </w:rPr>
        <w:t>台（套），单价</w:t>
      </w:r>
      <w:r>
        <w:rPr>
          <w:rFonts w:ascii="仿宋" w:eastAsia="仿宋" w:cs="仿宋"/>
          <w:sz w:val="32"/>
          <w:szCs w:val="32"/>
        </w:rPr>
        <w:t>100</w:t>
      </w:r>
      <w:r>
        <w:rPr>
          <w:rFonts w:ascii="仿宋" w:eastAsia="仿宋" w:cs="仿宋" w:hint="eastAsia"/>
          <w:sz w:val="32"/>
          <w:szCs w:val="32"/>
        </w:rPr>
        <w:t>万元以上专用设备</w:t>
      </w:r>
      <w:r>
        <w:rPr>
          <w:rFonts w:ascii="仿宋" w:eastAsia="仿宋" w:cs="仿宋"/>
          <w:sz w:val="32"/>
          <w:szCs w:val="32"/>
        </w:rPr>
        <w:t>0</w:t>
      </w:r>
      <w:r>
        <w:rPr>
          <w:rFonts w:ascii="仿宋" w:eastAsia="仿宋" w:cs="仿宋" w:hint="eastAsia"/>
          <w:sz w:val="32"/>
          <w:szCs w:val="32"/>
        </w:rPr>
        <w:t>台（套）。</w:t>
      </w:r>
    </w:p>
    <w:p>
      <w:pPr>
        <w:autoSpaceDE w:val="0"/>
        <w:autoSpaceDN w:val="0"/>
        <w:adjustRightInd w:val="0"/>
        <w:spacing w:line="600" w:lineRule="exact"/>
        <w:ind w:firstLineChars="200" w:firstLine="640"/>
        <w:jc w:val="left"/>
        <w:outlineLvl w:val="2"/>
        <w:rPr>
          <w:rFonts w:ascii="仿宋" w:eastAsia="仿宋"/>
          <w:b/>
          <w:bCs/>
          <w:sz w:val="32"/>
          <w:szCs w:val="32"/>
        </w:rPr>
      </w:pPr>
      <w:r>
        <w:rPr>
          <w:rFonts w:ascii="仿宋" w:eastAsia="仿宋" w:cs="仿宋" w:hint="eastAsia"/>
          <w:b/>
          <w:bCs/>
          <w:sz w:val="32"/>
          <w:szCs w:val="32"/>
        </w:rPr>
        <w:t>（四）预算绩效管理情况</w:t>
      </w:r>
    </w:p>
    <w:p>
      <w:pPr>
        <w:pStyle w:val="15"/>
        <w:spacing w:beforeLines="0" w:before="93"/>
        <w:ind w:firstLineChars="200" w:firstLine="640"/>
        <w:rPr>
          <w:rFonts w:cs="Times New Roman"/>
          <w:sz w:val="32"/>
          <w:szCs w:val="32"/>
        </w:rPr>
      </w:pPr>
      <w:r>
        <w:rPr>
          <w:rFonts w:hint="eastAsia"/>
          <w:sz w:val="32"/>
          <w:szCs w:val="32"/>
        </w:rPr>
        <w:t>根据预算绩效管理要求，本单位在</w:t>
      </w:r>
      <w:r>
        <w:rPr>
          <w:sz w:val="32"/>
          <w:szCs w:val="32"/>
        </w:rPr>
        <w:t>2022</w:t>
      </w:r>
      <w:r>
        <w:rPr>
          <w:rFonts w:hint="eastAsia"/>
          <w:sz w:val="32"/>
          <w:szCs w:val="32"/>
        </w:rPr>
        <w:t>年度预算编制阶段，组织对业务运行费、档案管理利用费等</w:t>
      </w:r>
      <w:r>
        <w:rPr>
          <w:sz w:val="32"/>
          <w:szCs w:val="32"/>
        </w:rPr>
        <w:t>2</w:t>
      </w:r>
      <w:r>
        <w:rPr>
          <w:rFonts w:hint="eastAsia"/>
          <w:sz w:val="32"/>
          <w:szCs w:val="32"/>
        </w:rPr>
        <w:t>个项目开展了预算事前绩效评估，对</w:t>
      </w:r>
      <w:r>
        <w:rPr>
          <w:sz w:val="32"/>
          <w:szCs w:val="32"/>
        </w:rPr>
        <w:t>2</w:t>
      </w:r>
      <w:r>
        <w:rPr>
          <w:rFonts w:hint="eastAsia"/>
          <w:sz w:val="32"/>
          <w:szCs w:val="32"/>
        </w:rPr>
        <w:t>个项目编制了绩效目标，预算执行过程中，选取</w:t>
      </w:r>
      <w:r>
        <w:rPr>
          <w:sz w:val="32"/>
          <w:szCs w:val="32"/>
        </w:rPr>
        <w:t>2</w:t>
      </w:r>
      <w:r>
        <w:rPr>
          <w:rFonts w:hint="eastAsia"/>
          <w:sz w:val="32"/>
          <w:szCs w:val="32"/>
        </w:rPr>
        <w:t>个项目开展绩效监控，组织对</w:t>
      </w:r>
      <w:r>
        <w:rPr>
          <w:sz w:val="32"/>
          <w:szCs w:val="32"/>
        </w:rPr>
        <w:t>16</w:t>
      </w:r>
      <w:r>
        <w:rPr>
          <w:rFonts w:hint="eastAsia"/>
          <w:sz w:val="32"/>
          <w:szCs w:val="32"/>
        </w:rPr>
        <w:t>个项目开展绩效自评，绩效自评表详见第四部分附件。</w:t>
      </w: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pStyle w:val="15"/>
        <w:spacing w:beforeLines="0" w:before="93"/>
        <w:ind w:firstLineChars="200" w:firstLine="640"/>
        <w:rPr>
          <w:rFonts w:cs="Times New Roman"/>
          <w:sz w:val="32"/>
          <w:szCs w:val="32"/>
        </w:rPr>
      </w:pPr>
    </w:p>
    <w:p>
      <w:pPr>
        <w:numPr>
          <w:ilvl w:val="0"/>
          <w:numId w:val="4"/>
        </w:numPr>
        <w:spacing w:line="600" w:lineRule="exact"/>
        <w:ind w:left="0" w:firstLineChars="150" w:firstLine="660"/>
        <w:jc w:val="center"/>
        <w:outlineLvl w:val="0"/>
        <w:rPr>
          <w:rStyle w:val="1Char"/>
          <w:rFonts w:ascii="黑体" w:eastAsia="黑体"/>
          <w:b w:val="0"/>
          <w:bCs w:val="0"/>
        </w:rPr>
      </w:pPr>
      <w:bookmarkStart w:id="50" w:name="_Toc15396613"/>
      <w:bookmarkStart w:id="51" w:name="_Toc15377225"/>
      <w:r>
        <w:rPr>
          <w:rFonts w:ascii="黑体" w:eastAsia="黑体" w:cs="黑体" w:hint="eastAsia"/>
          <w:sz w:val="44"/>
          <w:szCs w:val="44"/>
        </w:rPr>
        <w:t>名</w:t>
      </w:r>
      <w:r>
        <w:rPr>
          <w:rStyle w:val="1Char"/>
          <w:rFonts w:ascii="黑体" w:eastAsia="黑体" w:cs="黑体" w:hint="eastAsia"/>
          <w:b w:val="0"/>
          <w:bCs w:val="0"/>
        </w:rPr>
        <w:t>词解释</w:t>
      </w:r>
      <w:bookmarkEnd w:id="50"/>
      <w:bookmarkEnd w:id="51"/>
    </w:p>
    <w:p>
      <w:pPr>
        <w:spacing w:line="600" w:lineRule="exact"/>
        <w:jc w:val="left"/>
        <w:rPr>
          <w:rFonts w:ascii="宋体"/>
          <w:b/>
          <w:bCs/>
          <w:sz w:val="44"/>
          <w:szCs w:val="44"/>
        </w:rPr>
      </w:pPr>
    </w:p>
    <w:p>
      <w:pPr>
        <w:pStyle w:val="24"/>
        <w:spacing w:line="560" w:lineRule="exact"/>
        <w:ind w:firstLineChars="200" w:firstLine="640"/>
        <w:rPr>
          <w:rFonts w:cs="Times New Roman"/>
          <w:color w:val="auto"/>
          <w:sz w:val="32"/>
          <w:szCs w:val="32"/>
        </w:rPr>
      </w:pPr>
      <w:r>
        <w:rPr>
          <w:color w:val="auto"/>
          <w:sz w:val="32"/>
          <w:szCs w:val="32"/>
        </w:rPr>
        <w:t>1.</w:t>
      </w:r>
      <w:r>
        <w:rPr>
          <w:rFonts w:hint="eastAsia"/>
          <w:color w:val="auto"/>
          <w:sz w:val="32"/>
          <w:szCs w:val="32"/>
        </w:rPr>
        <w:t>财政拨款收入：指单位从同级财政部门取得的财政预算资金。</w:t>
      </w:r>
    </w:p>
    <w:p>
      <w:pPr>
        <w:pStyle w:val="24"/>
        <w:spacing w:line="560" w:lineRule="exact"/>
        <w:ind w:firstLineChars="200" w:firstLine="640"/>
        <w:rPr>
          <w:rFonts w:cs="Times New Roman"/>
          <w:color w:val="auto"/>
          <w:sz w:val="32"/>
          <w:szCs w:val="32"/>
        </w:rPr>
      </w:pPr>
      <w:r>
        <w:rPr>
          <w:color w:val="auto"/>
          <w:sz w:val="32"/>
          <w:szCs w:val="32"/>
        </w:rPr>
        <w:t>2.</w:t>
      </w:r>
      <w:r>
        <w:rPr>
          <w:rFonts w:hint="eastAsia"/>
          <w:color w:val="auto"/>
          <w:sz w:val="32"/>
          <w:szCs w:val="32"/>
        </w:rPr>
        <w:t>年初结转和结余：指以前年度尚未完成、结转到本年按有关规定继续使用的资金。</w:t>
      </w:r>
    </w:p>
    <w:p>
      <w:pPr>
        <w:pStyle w:val="24"/>
        <w:spacing w:line="560" w:lineRule="exact"/>
        <w:ind w:firstLineChars="200" w:firstLine="640"/>
        <w:rPr>
          <w:rFonts w:cs="Times New Roman"/>
          <w:color w:val="auto"/>
          <w:sz w:val="32"/>
          <w:szCs w:val="32"/>
        </w:rPr>
      </w:pPr>
      <w:r>
        <w:rPr>
          <w:color w:val="auto"/>
          <w:sz w:val="32"/>
          <w:szCs w:val="32"/>
        </w:rPr>
        <w:t>3</w:t>
      </w:r>
      <w:r>
        <w:rPr>
          <w:rFonts w:hint="eastAsia"/>
          <w:color w:val="auto"/>
          <w:sz w:val="32"/>
          <w:szCs w:val="32"/>
        </w:rPr>
        <w:t>、年末结转和结余：指单位按有关规定结转到下年或以后年度继续使用的资金。</w:t>
      </w:r>
    </w:p>
    <w:p>
      <w:pPr>
        <w:ind w:firstLineChars="200" w:firstLine="640"/>
        <w:rPr>
          <w:rFonts w:ascii="仿宋" w:eastAsia="仿宋"/>
          <w:sz w:val="32"/>
          <w:szCs w:val="32"/>
        </w:rPr>
      </w:pPr>
      <w:r>
        <w:rPr>
          <w:rFonts w:ascii="仿宋" w:eastAsia="仿宋" w:cs="仿宋"/>
          <w:sz w:val="32"/>
          <w:szCs w:val="32"/>
        </w:rPr>
        <w:t>4.</w:t>
      </w:r>
      <w:r>
        <w:rPr>
          <w:rFonts w:ascii="仿宋" w:eastAsia="仿宋" w:cs="仿宋" w:hint="eastAsia"/>
          <w:sz w:val="32"/>
          <w:szCs w:val="32"/>
        </w:rPr>
        <w:t>社会保障和就业（类）行政事业单位养老支出（款）事业单位离退休（项）：指反映事业单位开支的离退休经费。</w:t>
      </w:r>
    </w:p>
    <w:p>
      <w:pPr>
        <w:pStyle w:val="15"/>
        <w:spacing w:beforeLines="0" w:before="93"/>
        <w:ind w:firstLineChars="200" w:firstLine="640"/>
        <w:rPr>
          <w:rFonts w:ascii="仿宋" w:eastAsia="仿宋" w:cs="Times New Roman"/>
        </w:rPr>
      </w:pPr>
      <w:r>
        <w:rPr>
          <w:rFonts w:ascii="仿宋" w:eastAsia="仿宋" w:cs="仿宋"/>
          <w:sz w:val="32"/>
          <w:szCs w:val="32"/>
        </w:rPr>
        <w:t>5.</w:t>
      </w:r>
      <w:r>
        <w:rPr>
          <w:rFonts w:ascii="仿宋" w:eastAsia="仿宋" w:cs="仿宋" w:hint="eastAsia"/>
          <w:sz w:val="32"/>
          <w:szCs w:val="32"/>
        </w:rPr>
        <w:t>社会保障和就业（类）行政事业单位养老支出（款）机关事业单位基本养老保险缴费支出（项）：指反映机关事业单位实施养老保险制度由单位缴纳的基本养老保险费支出。</w:t>
      </w:r>
    </w:p>
    <w:p>
      <w:pPr>
        <w:ind w:firstLineChars="200" w:firstLine="640"/>
        <w:rPr>
          <w:rFonts w:ascii="仿宋" w:eastAsia="仿宋"/>
          <w:sz w:val="32"/>
          <w:szCs w:val="32"/>
        </w:rPr>
      </w:pPr>
      <w:r>
        <w:rPr>
          <w:rFonts w:ascii="仿宋" w:eastAsia="仿宋" w:cs="仿宋"/>
          <w:sz w:val="32"/>
          <w:szCs w:val="32"/>
        </w:rPr>
        <w:t>6.</w:t>
      </w:r>
      <w:r>
        <w:rPr>
          <w:rFonts w:ascii="仿宋" w:eastAsia="仿宋" w:cs="仿宋" w:hint="eastAsia"/>
          <w:sz w:val="32"/>
          <w:szCs w:val="32"/>
        </w:rPr>
        <w:t>城乡社区支出（类）城乡社区管理事务（款）其他城乡社区管理事务支出（项）：指反映其他用于其他城乡社区管理事务方面的支出。</w:t>
      </w:r>
    </w:p>
    <w:p>
      <w:pPr>
        <w:ind w:firstLineChars="200" w:firstLine="640"/>
        <w:rPr>
          <w:rFonts w:ascii="仿宋" w:eastAsia="仿宋"/>
          <w:sz w:val="32"/>
          <w:szCs w:val="32"/>
        </w:rPr>
      </w:pPr>
      <w:r>
        <w:rPr>
          <w:rFonts w:ascii="仿宋" w:eastAsia="仿宋" w:cs="仿宋"/>
          <w:sz w:val="32"/>
          <w:szCs w:val="32"/>
        </w:rPr>
        <w:t>7.</w:t>
      </w:r>
      <w:r>
        <w:rPr>
          <w:rFonts w:ascii="仿宋" w:eastAsia="仿宋" w:cs="仿宋" w:hint="eastAsia"/>
          <w:sz w:val="32"/>
          <w:szCs w:val="32"/>
        </w:rPr>
        <w:t>住房保障（类）住房改革支出（款）住房公积金（项）：指反映行政事业单位按照人力资源和社会保障部、财政部规定的基本工资和津补贴以及规定比例为职工缴纳的住房公积金。</w:t>
      </w:r>
    </w:p>
    <w:p>
      <w:pPr>
        <w:ind w:firstLineChars="200" w:firstLine="640"/>
        <w:rPr>
          <w:rFonts w:ascii="仿宋" w:eastAsia="仿宋"/>
          <w:color w:val="000000"/>
          <w:sz w:val="32"/>
          <w:szCs w:val="32"/>
        </w:rPr>
      </w:pPr>
      <w:r>
        <w:rPr>
          <w:rFonts w:ascii="仿宋" w:eastAsia="仿宋" w:cs="仿宋"/>
          <w:sz w:val="32"/>
          <w:szCs w:val="32"/>
        </w:rPr>
        <w:t>8.</w:t>
      </w:r>
      <w:r>
        <w:rPr>
          <w:rFonts w:ascii="仿宋" w:eastAsia="仿宋" w:cs="仿宋" w:hint="eastAsia"/>
          <w:sz w:val="32"/>
          <w:szCs w:val="32"/>
        </w:rPr>
        <w:t>基本支出：指</w:t>
      </w:r>
      <w:r>
        <w:rPr>
          <w:rFonts w:ascii="仿宋" w:eastAsia="仿宋" w:cs="仿宋" w:hint="eastAsia"/>
          <w:color w:val="000000"/>
          <w:sz w:val="32"/>
          <w:szCs w:val="32"/>
        </w:rPr>
        <w:t>为保障机构正常运转、完成日常工作任务而发生的人员支出和公用支出。</w:t>
      </w:r>
    </w:p>
    <w:p>
      <w:pPr>
        <w:ind w:firstLineChars="200" w:firstLine="640"/>
        <w:rPr>
          <w:rFonts w:ascii="仿宋" w:eastAsia="仿宋"/>
          <w:color w:val="000000"/>
          <w:sz w:val="32"/>
          <w:szCs w:val="32"/>
        </w:rPr>
      </w:pPr>
      <w:r>
        <w:rPr>
          <w:rFonts w:ascii="仿宋" w:eastAsia="仿宋" w:cs="仿宋"/>
          <w:color w:val="000000"/>
          <w:sz w:val="32"/>
          <w:szCs w:val="32"/>
        </w:rPr>
        <w:t>9.</w:t>
      </w:r>
      <w:r>
        <w:rPr>
          <w:rFonts w:ascii="仿宋" w:eastAsia="仿宋" w:cs="仿宋" w:hint="eastAsia"/>
          <w:color w:val="000000"/>
          <w:sz w:val="32"/>
          <w:szCs w:val="32"/>
        </w:rPr>
        <w:t>项目支出：指在基本支出之外为完成特定行政任务和事业发展目标所发生的支出。</w:t>
      </w:r>
    </w:p>
    <w:p>
      <w:pPr>
        <w:pStyle w:val="24"/>
        <w:spacing w:line="560" w:lineRule="exact"/>
        <w:ind w:firstLineChars="200" w:firstLine="640"/>
        <w:rPr>
          <w:rFonts w:cs="Times New Roman"/>
          <w:color w:val="auto"/>
          <w:kern w:val="2"/>
          <w:sz w:val="32"/>
          <w:szCs w:val="32"/>
        </w:rPr>
      </w:pPr>
      <w:r>
        <w:rPr>
          <w:color w:val="auto"/>
          <w:sz w:val="32"/>
          <w:szCs w:val="32"/>
        </w:rPr>
        <w:t>10</w:t>
      </w:r>
      <w:r>
        <w:rPr>
          <w:color w:val="auto"/>
          <w:kern w:val="2"/>
          <w:sz w:val="32"/>
          <w:szCs w:val="32"/>
        </w:rPr>
        <w:t>.</w:t>
      </w:r>
      <w:r>
        <w:rPr>
          <w:rFonts w:hint="eastAsia"/>
          <w:color w:val="auto"/>
          <w:kern w:val="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Chars="200" w:firstLine="640"/>
        <w:rPr>
          <w:rFonts w:ascii="仿宋_GB2312" w:eastAsia="仿宋_GB2312" w:cs="Times New Roman"/>
          <w:color w:val="auto"/>
          <w:sz w:val="32"/>
          <w:szCs w:val="32"/>
        </w:rPr>
      </w:pPr>
    </w:p>
    <w:p>
      <w:pPr>
        <w:spacing w:line="600" w:lineRule="exact"/>
        <w:jc w:val="center"/>
        <w:outlineLvl w:val="0"/>
        <w:rPr>
          <w:rFonts w:ascii="黑体" w:eastAsia="黑体"/>
          <w:sz w:val="44"/>
          <w:szCs w:val="44"/>
        </w:rPr>
      </w:pPr>
      <w:bookmarkStart w:id="52" w:name="_Toc15396614"/>
      <w:bookmarkStart w:id="53" w:name="_Toc15377226"/>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Style w:val="1Char"/>
          <w:rFonts w:ascii="黑体" w:eastAsia="黑体"/>
          <w:b w:val="0"/>
          <w:bCs w:val="0"/>
        </w:rPr>
      </w:pPr>
      <w:r>
        <w:rPr>
          <w:rFonts w:ascii="黑体" w:eastAsia="黑体" w:cs="黑体" w:hint="eastAsia"/>
          <w:sz w:val="44"/>
          <w:szCs w:val="44"/>
        </w:rPr>
        <w:t>第</w:t>
      </w:r>
      <w:r>
        <w:rPr>
          <w:rStyle w:val="1Char"/>
          <w:rFonts w:ascii="黑体" w:eastAsia="黑体" w:cs="黑体" w:hint="eastAsia"/>
          <w:b w:val="0"/>
          <w:bCs w:val="0"/>
        </w:rPr>
        <w:t>四部分</w:t>
      </w:r>
      <w:r>
        <w:rPr>
          <w:rStyle w:val="1Char"/>
          <w:rFonts w:ascii="黑体" w:eastAsia="黑体" w:cs="黑体"/>
          <w:b w:val="0"/>
          <w:bCs w:val="0"/>
        </w:rPr>
        <w:t xml:space="preserve"> </w:t>
      </w:r>
      <w:r>
        <w:rPr>
          <w:rStyle w:val="1Char"/>
          <w:rFonts w:ascii="黑体" w:eastAsia="黑体" w:cs="黑体" w:hint="eastAsia"/>
          <w:b w:val="0"/>
          <w:bCs w:val="0"/>
        </w:rPr>
        <w:t>附件</w:t>
      </w:r>
      <w:bookmarkEnd w:id="52"/>
    </w:p>
    <w:p>
      <w:pPr>
        <w:spacing w:line="572" w:lineRule="exact"/>
        <w:jc w:val="left"/>
        <w:outlineLvl w:val="0"/>
        <w:rPr>
          <w:rFonts w:ascii="仿宋_GB2312" w:eastAsia="仿宋_GB2312"/>
          <w:sz w:val="32"/>
          <w:szCs w:val="32"/>
        </w:rPr>
      </w:pPr>
    </w:p>
    <w:p>
      <w:pPr>
        <w:spacing w:line="600" w:lineRule="exact"/>
        <w:jc w:val="center"/>
        <w:outlineLvl w:val="0"/>
        <w:rPr>
          <w:rFonts w:ascii="宋体"/>
          <w:kern w:val="0"/>
          <w:sz w:val="32"/>
          <w:szCs w:val="32"/>
        </w:rPr>
      </w:pPr>
      <w:bookmarkStart w:id="54" w:name="_Toc15396618"/>
      <w:r>
        <w:rPr>
          <w:rFonts w:ascii="宋体" w:cs="宋体" w:hint="eastAsia"/>
          <w:kern w:val="0"/>
          <w:sz w:val="32"/>
          <w:szCs w:val="32"/>
        </w:rPr>
        <w:t>部门预算项目支出绩效自评表（</w:t>
      </w:r>
      <w:r>
        <w:rPr>
          <w:rFonts w:ascii="宋体" w:cs="宋体"/>
          <w:kern w:val="0"/>
          <w:sz w:val="32"/>
          <w:szCs w:val="32"/>
        </w:rPr>
        <w:t>2022</w:t>
      </w:r>
      <w:r>
        <w:rPr>
          <w:rFonts w:ascii="宋体" w:cs="宋体" w:hint="eastAsia"/>
          <w:kern w:val="0"/>
          <w:sz w:val="32"/>
          <w:szCs w:val="32"/>
        </w:rPr>
        <w:t>年度）见附件</w:t>
      </w:r>
      <w:r>
        <w:rPr>
          <w:rFonts w:ascii="宋体" w:cs="宋体"/>
          <w:kern w:val="0"/>
          <w:sz w:val="32"/>
          <w:szCs w:val="32"/>
        </w:rPr>
        <w:t>2</w:t>
      </w:r>
    </w:p>
    <w:p>
      <w:pPr>
        <w:spacing w:line="600" w:lineRule="exact"/>
        <w:jc w:val="left"/>
        <w:outlineLvl w:val="0"/>
        <w:rPr>
          <w:rFonts w:ascii="仿宋_GB2312" w:eastAsia="仿宋_GB2312"/>
          <w:kern w:val="0"/>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pStyle w:val="15"/>
        <w:spacing w:beforeLines="0" w:before="93"/>
        <w:rPr>
          <w:rFonts w:cs="Times New Roman"/>
          <w:sz w:val="32"/>
          <w:szCs w:val="32"/>
        </w:rPr>
      </w:pPr>
    </w:p>
    <w:p>
      <w:pPr>
        <w:spacing w:line="600" w:lineRule="exact"/>
        <w:jc w:val="center"/>
        <w:outlineLvl w:val="0"/>
        <w:rPr>
          <w:rFonts w:ascii="仿宋" w:eastAsia="仿宋"/>
        </w:rPr>
      </w:pPr>
      <w:r>
        <w:rPr>
          <w:rFonts w:ascii="黑体" w:eastAsia="黑体" w:cs="黑体" w:hint="eastAsia"/>
          <w:sz w:val="44"/>
          <w:szCs w:val="44"/>
        </w:rPr>
        <w:t>第</w:t>
      </w:r>
      <w:r>
        <w:rPr>
          <w:rStyle w:val="1Char"/>
          <w:rFonts w:ascii="黑体" w:eastAsia="黑体" w:cs="黑体" w:hint="eastAsia"/>
          <w:b w:val="0"/>
          <w:bCs w:val="0"/>
        </w:rPr>
        <w:t>五部分</w:t>
      </w:r>
      <w:r>
        <w:rPr>
          <w:rStyle w:val="1Char"/>
          <w:rFonts w:ascii="黑体" w:eastAsia="黑体" w:cs="黑体"/>
          <w:b w:val="0"/>
          <w:bCs w:val="0"/>
        </w:rPr>
        <w:t xml:space="preserve"> </w:t>
      </w:r>
      <w:r>
        <w:rPr>
          <w:rStyle w:val="1Char"/>
          <w:rFonts w:ascii="黑体" w:eastAsia="黑体" w:cs="黑体" w:hint="eastAsia"/>
          <w:b w:val="0"/>
          <w:bCs w:val="0"/>
        </w:rPr>
        <w:t>附表</w:t>
      </w:r>
      <w:bookmarkStart w:id="55" w:name="_Toc15396619"/>
      <w:bookmarkEnd w:id="53"/>
      <w:bookmarkEnd w:id="54"/>
    </w:p>
    <w:p>
      <w:pPr>
        <w:pStyle w:val="2"/>
        <w:rPr>
          <w:rFonts w:ascii="仿宋" w:eastAsia="仿宋" w:cs="Times New Roman"/>
        </w:rPr>
      </w:pPr>
      <w:r>
        <w:rPr>
          <w:rFonts w:ascii="仿宋" w:eastAsia="仿宋" w:cs="仿宋" w:hint="eastAsia"/>
          <w:b w:val="0"/>
          <w:bCs w:val="0"/>
        </w:rPr>
        <w:t>一、收</w:t>
      </w:r>
      <w:r>
        <w:rPr>
          <w:rStyle w:val="2Char"/>
          <w:rFonts w:ascii="仿宋" w:eastAsia="仿宋" w:cs="仿宋" w:hint="eastAsia"/>
        </w:rPr>
        <w:t>入支出决算总表</w:t>
      </w:r>
      <w:bookmarkEnd w:id="55"/>
    </w:p>
    <w:p>
      <w:pPr>
        <w:pStyle w:val="2"/>
        <w:rPr>
          <w:rFonts w:ascii="仿宋" w:eastAsia="仿宋" w:cs="Times New Roman"/>
        </w:rPr>
      </w:pPr>
      <w:bookmarkStart w:id="56" w:name="_Toc15396620"/>
      <w:r>
        <w:rPr>
          <w:rFonts w:ascii="仿宋" w:eastAsia="仿宋" w:cs="仿宋" w:hint="eastAsia"/>
          <w:b w:val="0"/>
          <w:bCs w:val="0"/>
        </w:rPr>
        <w:t>二、收</w:t>
      </w:r>
      <w:r>
        <w:rPr>
          <w:rStyle w:val="2Char"/>
          <w:rFonts w:ascii="仿宋" w:eastAsia="仿宋" w:cs="仿宋" w:hint="eastAsia"/>
        </w:rPr>
        <w:t>入决算表</w:t>
      </w:r>
      <w:bookmarkEnd w:id="56"/>
    </w:p>
    <w:p>
      <w:pPr>
        <w:pStyle w:val="2"/>
        <w:rPr>
          <w:rFonts w:ascii="仿宋" w:eastAsia="仿宋" w:cs="Times New Roman"/>
        </w:rPr>
      </w:pPr>
      <w:bookmarkStart w:id="57" w:name="_Toc15396621"/>
      <w:r>
        <w:rPr>
          <w:rStyle w:val="2Char"/>
          <w:rFonts w:ascii="仿宋" w:eastAsia="仿宋" w:cs="仿宋" w:hint="eastAsia"/>
        </w:rPr>
        <w:t>三、</w:t>
      </w:r>
      <w:r>
        <w:rPr>
          <w:rFonts w:ascii="仿宋" w:eastAsia="仿宋" w:cs="仿宋" w:hint="eastAsia"/>
          <w:b w:val="0"/>
          <w:bCs w:val="0"/>
        </w:rPr>
        <w:t>支</w:t>
      </w:r>
      <w:r>
        <w:rPr>
          <w:rStyle w:val="2Char"/>
          <w:rFonts w:ascii="仿宋" w:eastAsia="仿宋" w:cs="仿宋" w:hint="eastAsia"/>
        </w:rPr>
        <w:t>出决算表</w:t>
      </w:r>
      <w:bookmarkEnd w:id="57"/>
    </w:p>
    <w:p>
      <w:pPr>
        <w:pStyle w:val="2"/>
        <w:rPr>
          <w:rFonts w:ascii="仿宋" w:eastAsia="仿宋" w:cs="Times New Roman"/>
          <w:b w:val="0"/>
          <w:bCs w:val="0"/>
        </w:rPr>
      </w:pPr>
      <w:bookmarkStart w:id="58" w:name="_Toc15396622"/>
      <w:r>
        <w:rPr>
          <w:rStyle w:val="2Char"/>
          <w:rFonts w:ascii="仿宋" w:eastAsia="仿宋" w:cs="仿宋" w:hint="eastAsia"/>
        </w:rPr>
        <w:t>四、</w:t>
      </w:r>
      <w:r>
        <w:rPr>
          <w:rFonts w:ascii="仿宋" w:eastAsia="仿宋" w:cs="仿宋" w:hint="eastAsia"/>
          <w:b w:val="0"/>
          <w:bCs w:val="0"/>
        </w:rPr>
        <w:t>财</w:t>
      </w:r>
      <w:r>
        <w:rPr>
          <w:rStyle w:val="2Char"/>
          <w:rFonts w:ascii="仿宋" w:eastAsia="仿宋" w:cs="仿宋" w:hint="eastAsia"/>
        </w:rPr>
        <w:t>政拨款收入支出决算总表</w:t>
      </w:r>
      <w:bookmarkEnd w:id="58"/>
    </w:p>
    <w:p>
      <w:pPr>
        <w:pStyle w:val="2"/>
        <w:rPr>
          <w:rStyle w:val="2Char"/>
          <w:rFonts w:ascii="仿宋" w:eastAsia="仿宋" w:cs="Times New Roman"/>
        </w:rPr>
      </w:pPr>
      <w:bookmarkStart w:id="59" w:name="_Toc15396623"/>
      <w:r>
        <w:rPr>
          <w:rStyle w:val="2Char"/>
          <w:rFonts w:ascii="仿宋" w:eastAsia="仿宋" w:cs="仿宋" w:hint="eastAsia"/>
        </w:rPr>
        <w:t>五、</w:t>
      </w:r>
      <w:r>
        <w:rPr>
          <w:rFonts w:ascii="仿宋" w:eastAsia="仿宋" w:cs="仿宋" w:hint="eastAsia"/>
          <w:b w:val="0"/>
          <w:bCs w:val="0"/>
        </w:rPr>
        <w:t>财</w:t>
      </w:r>
      <w:r>
        <w:rPr>
          <w:rStyle w:val="2Char"/>
          <w:rFonts w:ascii="仿宋" w:eastAsia="仿宋" w:cs="仿宋" w:hint="eastAsia"/>
        </w:rPr>
        <w:t>政拨款支出决算明细表</w:t>
      </w:r>
      <w:bookmarkStart w:id="60" w:name="_Toc15396624"/>
      <w:bookmarkEnd w:id="59"/>
    </w:p>
    <w:p>
      <w:pPr>
        <w:pStyle w:val="2"/>
        <w:rPr>
          <w:rFonts w:ascii="仿宋" w:eastAsia="仿宋" w:cs="Times New Roman"/>
        </w:rPr>
      </w:pPr>
      <w:r>
        <w:rPr>
          <w:rStyle w:val="2Char"/>
          <w:rFonts w:ascii="仿宋" w:eastAsia="仿宋" w:cs="仿宋" w:hint="eastAsia"/>
        </w:rPr>
        <w:t>六、</w:t>
      </w:r>
      <w:r>
        <w:rPr>
          <w:rFonts w:ascii="仿宋" w:eastAsia="仿宋" w:cs="仿宋" w:hint="eastAsia"/>
          <w:b w:val="0"/>
          <w:bCs w:val="0"/>
        </w:rPr>
        <w:t>一</w:t>
      </w:r>
      <w:r>
        <w:rPr>
          <w:rStyle w:val="2Char"/>
          <w:rFonts w:ascii="仿宋" w:eastAsia="仿宋" w:cs="仿宋" w:hint="eastAsia"/>
        </w:rPr>
        <w:t>般公共预算财政拨款支出决算表</w:t>
      </w:r>
      <w:bookmarkEnd w:id="60"/>
    </w:p>
    <w:p>
      <w:pPr>
        <w:pStyle w:val="2"/>
        <w:rPr>
          <w:rFonts w:ascii="仿宋" w:eastAsia="仿宋" w:cs="Times New Roman"/>
        </w:rPr>
      </w:pPr>
      <w:bookmarkStart w:id="61" w:name="_Toc15396625"/>
      <w:r>
        <w:rPr>
          <w:rStyle w:val="2Char"/>
          <w:rFonts w:ascii="仿宋" w:eastAsia="仿宋" w:cs="仿宋" w:hint="eastAsia"/>
        </w:rPr>
        <w:t>七、</w:t>
      </w:r>
      <w:r>
        <w:rPr>
          <w:rFonts w:ascii="仿宋" w:eastAsia="仿宋" w:cs="仿宋" w:hint="eastAsia"/>
          <w:b w:val="0"/>
          <w:bCs w:val="0"/>
        </w:rPr>
        <w:t>一</w:t>
      </w:r>
      <w:r>
        <w:rPr>
          <w:rStyle w:val="2Char"/>
          <w:rFonts w:ascii="仿宋" w:eastAsia="仿宋" w:cs="仿宋" w:hint="eastAsia"/>
        </w:rPr>
        <w:t>般公共预算财政拨款支出决算明细表</w:t>
      </w:r>
      <w:bookmarkEnd w:id="61"/>
    </w:p>
    <w:p>
      <w:pPr>
        <w:pStyle w:val="2"/>
        <w:rPr>
          <w:rFonts w:ascii="仿宋" w:eastAsia="仿宋" w:cs="Times New Roman"/>
        </w:rPr>
      </w:pPr>
      <w:bookmarkStart w:id="62" w:name="_Toc15396626"/>
      <w:r>
        <w:rPr>
          <w:rStyle w:val="2Char"/>
          <w:rFonts w:ascii="仿宋" w:eastAsia="仿宋" w:cs="仿宋" w:hint="eastAsia"/>
        </w:rPr>
        <w:t>八、</w:t>
      </w:r>
      <w:r>
        <w:rPr>
          <w:rFonts w:ascii="仿宋" w:eastAsia="仿宋" w:cs="仿宋" w:hint="eastAsia"/>
          <w:b w:val="0"/>
          <w:bCs w:val="0"/>
        </w:rPr>
        <w:t>一</w:t>
      </w:r>
      <w:r>
        <w:rPr>
          <w:rStyle w:val="2Char"/>
          <w:rFonts w:ascii="仿宋" w:eastAsia="仿宋" w:cs="仿宋" w:hint="eastAsia"/>
        </w:rPr>
        <w:t>般公共预算财政拨款基本支出决算表</w:t>
      </w:r>
      <w:bookmarkEnd w:id="62"/>
    </w:p>
    <w:p>
      <w:pPr>
        <w:pStyle w:val="2"/>
        <w:rPr>
          <w:rFonts w:ascii="仿宋" w:eastAsia="仿宋" w:cs="Times New Roman"/>
        </w:rPr>
      </w:pPr>
      <w:bookmarkStart w:id="63" w:name="_Toc15396627"/>
      <w:r>
        <w:rPr>
          <w:rStyle w:val="2Char"/>
          <w:rFonts w:ascii="仿宋" w:eastAsia="仿宋" w:cs="仿宋" w:hint="eastAsia"/>
        </w:rPr>
        <w:t>九、</w:t>
      </w:r>
      <w:r>
        <w:rPr>
          <w:rFonts w:ascii="仿宋" w:eastAsia="仿宋" w:cs="仿宋" w:hint="eastAsia"/>
          <w:b w:val="0"/>
          <w:bCs w:val="0"/>
        </w:rPr>
        <w:t>一</w:t>
      </w:r>
      <w:r>
        <w:rPr>
          <w:rStyle w:val="2Char"/>
          <w:rFonts w:ascii="仿宋" w:eastAsia="仿宋" w:cs="仿宋" w:hint="eastAsia"/>
        </w:rPr>
        <w:t>般公共预算财政拨款项目支出决算表</w:t>
      </w:r>
      <w:bookmarkEnd w:id="63"/>
    </w:p>
    <w:p>
      <w:pPr>
        <w:pStyle w:val="2"/>
        <w:rPr>
          <w:rFonts w:ascii="仿宋" w:eastAsia="仿宋" w:cs="Times New Roman"/>
        </w:rPr>
      </w:pPr>
      <w:bookmarkStart w:id="64" w:name="_Toc15396628"/>
      <w:r>
        <w:rPr>
          <w:rStyle w:val="2Char"/>
          <w:rFonts w:ascii="仿宋" w:eastAsia="仿宋" w:cs="仿宋" w:hint="eastAsia"/>
        </w:rPr>
        <w:t>十、</w:t>
      </w:r>
      <w:bookmarkEnd w:id="64"/>
      <w:r>
        <w:rPr>
          <w:rFonts w:ascii="仿宋" w:eastAsia="仿宋" w:cs="仿宋" w:hint="eastAsia"/>
          <w:b w:val="0"/>
          <w:bCs w:val="0"/>
        </w:rPr>
        <w:t>政</w:t>
      </w:r>
      <w:r>
        <w:rPr>
          <w:rStyle w:val="2Char"/>
          <w:rFonts w:ascii="仿宋" w:eastAsia="仿宋" w:cs="仿宋" w:hint="eastAsia"/>
        </w:rPr>
        <w:t>府性基金预算财政拨款收入支出决算表</w:t>
      </w:r>
    </w:p>
    <w:p>
      <w:pPr>
        <w:pStyle w:val="2"/>
        <w:rPr>
          <w:rFonts w:ascii="仿宋" w:eastAsia="仿宋" w:cs="Times New Roman"/>
        </w:rPr>
      </w:pPr>
      <w:bookmarkStart w:id="65" w:name="_Toc15396629"/>
      <w:r>
        <w:rPr>
          <w:rStyle w:val="2Char"/>
          <w:rFonts w:ascii="仿宋" w:eastAsia="仿宋" w:cs="仿宋" w:hint="eastAsia"/>
        </w:rPr>
        <w:t>十一、</w:t>
      </w:r>
      <w:bookmarkEnd w:id="65"/>
      <w:r>
        <w:rPr>
          <w:rFonts w:ascii="仿宋" w:eastAsia="仿宋" w:cs="仿宋" w:hint="eastAsia"/>
          <w:b w:val="0"/>
          <w:bCs w:val="0"/>
        </w:rPr>
        <w:t>国</w:t>
      </w:r>
      <w:r>
        <w:rPr>
          <w:rStyle w:val="2Char"/>
          <w:rFonts w:ascii="仿宋" w:eastAsia="仿宋" w:cs="仿宋" w:hint="eastAsia"/>
        </w:rPr>
        <w:t>有资本经营预算财政拨款收入支出决算表</w:t>
      </w:r>
    </w:p>
    <w:p>
      <w:pPr>
        <w:pStyle w:val="2"/>
        <w:rPr>
          <w:rFonts w:ascii="仿宋" w:eastAsia="仿宋" w:cs="Times New Roman"/>
        </w:rPr>
      </w:pPr>
      <w:bookmarkStart w:id="66" w:name="_Toc15396630"/>
      <w:r>
        <w:rPr>
          <w:rStyle w:val="2Char"/>
          <w:rFonts w:ascii="仿宋" w:eastAsia="仿宋" w:cs="仿宋" w:hint="eastAsia"/>
        </w:rPr>
        <w:t>十二、</w:t>
      </w:r>
      <w:bookmarkEnd w:id="66"/>
      <w:r>
        <w:rPr>
          <w:rStyle w:val="2Char"/>
          <w:rFonts w:ascii="仿宋" w:eastAsia="仿宋" w:cs="仿宋" w:hint="eastAsia"/>
        </w:rPr>
        <w:t>国有资本经营预算财政拨款支出决算表</w:t>
      </w:r>
    </w:p>
    <w:p>
      <w:pPr>
        <w:pStyle w:val="2"/>
        <w:rPr>
          <w:rFonts w:eastAsia="仿宋" w:cs="Times New Roman"/>
        </w:rPr>
      </w:pPr>
      <w:bookmarkStart w:id="67" w:name="_Toc15396631"/>
      <w:r>
        <w:rPr>
          <w:rStyle w:val="2Char"/>
          <w:rFonts w:ascii="仿宋" w:eastAsia="仿宋" w:cs="仿宋" w:hint="eastAsia"/>
        </w:rPr>
        <w:t>十三、</w:t>
      </w:r>
      <w:bookmarkEnd w:id="67"/>
      <w:r>
        <w:rPr>
          <w:rStyle w:val="2Char"/>
          <w:rFonts w:ascii="仿宋" w:eastAsia="仿宋" w:cs="仿宋" w:hint="eastAsia"/>
        </w:rPr>
        <w:t>财政拨款“三公”经费支出决算表</w:t>
      </w:r>
    </w:p>
    <w:sectPr>
      <w:headerReference w:type="default" r:id="rId2"/>
      <w:footerReference w:type="default" r:id="rId3"/>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2A87" w:usb1="80000000" w:usb2="00000008" w:usb3="00000000" w:csb0="000001FF" w:csb1="00000000"/>
  </w:font>
  <w:font w:name="方正小标宋简体">
    <w:altName w:val="阿里巴巴普惠体 R"/>
    <w:panose1 w:val="00000000000000000000"/>
    <w:charset w:val="86"/>
    <w:family w:val="script"/>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
    <w:altName w:val="黑体"/>
    <w:panose1 w:val="00000000000000000000"/>
    <w:charset w:val="86"/>
    <w:family w:val="modern"/>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rPr>
        <w:rFonts w:cs="Times New Roman"/>
      </w:rPr>
    </w:pPr>
    <w:r>
      <w:fldChar w:fldCharType="begin"/>
    </w:r>
    <w:r>
      <w:instrText>PAGE   \* MERGEFORMAT</w:instrText>
    </w:r>
    <w:r>
      <w:fldChar w:fldCharType="separate"/>
    </w:r>
    <w:r>
      <w:rPr>
        <w:lang w:val="zh-CN"/>
      </w:rPr>
      <w:t>16</w:t>
    </w:r>
    <w:r>
      <w:fldChar w:fldCharType="end"/>
    </w:r>
  </w:p>
  <w:p>
    <w:pPr>
      <w:pStyle w:val="18"/>
      <w:tabs>
        <w:tab w:val="center" w:pos="4153"/>
        <w:tab w:val="right" w:pos="8306"/>
      </w:tabs>
      <w:rPr>
        <w:rFonts w:cs="Times New Roman"/>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rPr>
        <w:rFonts w:cs="Times New Roman"/>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ind w:left="0" w:hanging="0"/>
      </w:pPr>
      <w:rPr>
        <w:rFonts w:hint="eastAsia"/>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ind w:left="0" w:hanging="0"/>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ind w:left="0" w:hanging="0"/>
      </w:pPr>
      <w:rPr>
        <w:rFonts w:ascii="黑体" w:hAnsi="黑体" w:eastAsia="黑体" w:hint="eastAsia"/>
        <w:sz w:val="44"/>
        <w:szCs w:val="44"/>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cs="Cambria" w:hAnsi="Cambria"/>
      <w:b/>
      <w:bCs/>
      <w:sz w:val="32"/>
      <w:szCs w:val="32"/>
    </w:rPr>
  </w:style>
  <w:style w:type="character" w:customStyle="1" w:styleId="2Char">
    <w:name w:val="heading 2 Char"/>
    <w:basedOn w:val="10"/>
    <w:link w:val="2"/>
    <w:rPr>
      <w:rFonts w:ascii="Cambria" w:eastAsia="宋体" w:cs="Cambria"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cs="仿宋_GB2312"/>
      <w:kern w:val="0"/>
      <w:sz w:val="24"/>
      <w:szCs w:val="24"/>
    </w:rPr>
  </w:style>
  <w:style w:type="paragraph" w:styleId="16">
    <w:name w:val="toc 3"/>
    <w:basedOn w:val="0"/>
    <w:autoRedefine/>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cs="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cs="Calibri" w:hAnsi="Calibri"/>
      <w:kern w:val="0"/>
      <w:sz w:val="18"/>
      <w:szCs w:val="18"/>
    </w:rPr>
  </w:style>
  <w:style w:type="paragraph" w:styleId="20">
    <w:name w:val="toc 1"/>
    <w:basedOn w:val="0"/>
    <w:autoRedefine/>
    <w:next w:val="0"/>
    <w:pPr>
      <w:tabs>
        <w:tab w:val="right" w:leader="dot" w:pos="8296"/>
      </w:tabs>
      <w:spacing w:before="93"/>
      <w:jc w:val="center"/>
    </w:pPr>
    <w:rPr>
      <w:rFonts w:ascii="仿宋" w:eastAsia="仿宋" w:cs="仿宋"/>
      <w:sz w:val="28"/>
      <w:szCs w:val="28"/>
    </w:rPr>
  </w:style>
  <w:style w:type="paragraph" w:styleId="21">
    <w:name w:val="toc 2"/>
    <w:basedOn w:val="0"/>
    <w:autoRedefine/>
    <w:next w:val="0"/>
    <w:pPr>
      <w:tabs>
        <w:tab w:val="right" w:leader="dot" w:pos="8296"/>
      </w:tabs>
      <w:ind w:leftChars="200" w:left="200"/>
    </w:pPr>
  </w:style>
  <w:style w:type="character" w:styleId="22">
    <w:name w:val="Strong"/>
    <w:basedOn w:val="10"/>
    <w:rPr>
      <w:b/>
      <w:bCs/>
    </w:rPr>
  </w:style>
  <w:style w:type="character" w:styleId="23">
    <w:name w:val="Hyperlink"/>
    <w:basedOn w:val="10"/>
    <w:rPr>
      <w:color w:val="0000FF"/>
      <w:u w:val="single"/>
    </w:rPr>
  </w:style>
  <w:style w:type="paragraph" w:customStyle="1" w:styleId="24">
    <w:name w:val="Default"/>
    <w:pPr>
      <w:widowControl w:val="0"/>
      <w:autoSpaceDE w:val="0"/>
      <w:autoSpaceDN w:val="0"/>
      <w:adjustRightInd w:val="0"/>
    </w:pPr>
    <w:rPr>
      <w:rFonts w:ascii="仿宋" w:eastAsia="仿宋" w:cs="仿宋"/>
      <w:color w:val="000000"/>
      <w:kern w:val="0"/>
      <w:sz w:val="24"/>
      <w:szCs w:val="24"/>
      <w:lang w:val="en-US" w:eastAsia="zh-CN" w:bidi="ar-SA"/>
    </w:rPr>
  </w:style>
  <w:style w:type="paragraph" w:styleId="25">
    <w:name w:val="List Paragraph"/>
    <w:basedOn w:val="0"/>
    <w:pPr>
      <w:ind w:firstLineChars="200" w:firstLine="200"/>
    </w:pPr>
  </w:style>
  <w:style w:type="paragraph" w:customStyle="1" w:styleId="26">
    <w:name w:val="TOC 标题1"/>
    <w:basedOn w:val="1"/>
    <w:next w:val="0"/>
    <w:pPr>
      <w:keepNext/>
      <w:keepLines/>
      <w:widowControl/>
      <w:spacing w:before="480" w:after="0" w:line="276" w:lineRule="auto"/>
      <w:jc w:val="left"/>
      <w:outlineLvl w:val="9"/>
    </w:pPr>
    <w:rPr>
      <w:rFonts w:ascii="Cambria" w:cs="Cambria" w:hAnsi="Cambria"/>
      <w:color w:val="365F91"/>
      <w:kern w:val="0"/>
      <w:sz w:val="28"/>
      <w:szCs w:val="28"/>
    </w:rPr>
  </w:style>
  <w:style w:type="paragraph" w:customStyle="1" w:styleId="27">
    <w:name w:val="TOC 标题2"/>
    <w:basedOn w:val="1"/>
    <w:next w:val="0"/>
    <w:pPr>
      <w:keepNext/>
      <w:keepLines/>
      <w:widowControl/>
      <w:spacing w:before="480" w:after="0" w:line="276" w:lineRule="auto"/>
      <w:jc w:val="left"/>
      <w:outlineLvl w:val="9"/>
    </w:pPr>
    <w:rPr>
      <w:rFonts w:ascii="Cambria" w:cs="Cambria"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png"/><Relationship Id="rId5" Type="http://schemas.openxmlformats.org/officeDocument/2006/relationships/image" Target="media/5.png"/><Relationship Id="rId6" Type="http://schemas.openxmlformats.org/officeDocument/2006/relationships/image" Target="media/8.emf"/><Relationship Id="rId7" Type="http://schemas.openxmlformats.org/officeDocument/2006/relationships/oleObject" Target="embeddings/oleObject1.bin"/><Relationship Id="rId8" Type="http://schemas.openxmlformats.org/officeDocument/2006/relationships/image" Target="media/10.png"/><Relationship Id="rId9" Type="http://schemas.openxmlformats.org/officeDocument/2006/relationships/image" Target="media/13.png"/><Relationship Id="rId10" Type="http://schemas.openxmlformats.org/officeDocument/2006/relationships/image" Target="media/16.emf"/><Relationship Id="rId11" Type="http://schemas.openxmlformats.org/officeDocument/2006/relationships/oleObject" Target="embeddings/oleObject2.bin"/><Relationship Id="rId12" Type="http://schemas.openxmlformats.org/officeDocument/2006/relationships/image" Target="media/18.png"/><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s>
</file>

<file path=docProps/app.xml><?xml version="1.0" encoding="utf-8"?>
<Properties xmlns="http://schemas.openxmlformats.org/officeDocument/2006/extended-properties">
  <Template>Normal.eit</Template>
  <TotalTime>1896</TotalTime>
  <Application>Yozo_Office27021597764231179</Application>
  <Pages>17</Pages>
  <Words>3829</Words>
  <Characters>4246</Characters>
  <Lines>296</Lines>
  <Paragraphs>129</Paragraphs>
  <CharactersWithSpaces>4293</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62</cp:revision>
  <cp:lastPrinted>2023-07-31T02:35:00Z</cp:lastPrinted>
  <dcterms:created xsi:type="dcterms:W3CDTF">2020-08-05T01:49:00Z</dcterms:created>
  <dcterms:modified xsi:type="dcterms:W3CDTF">2023-09-15T08:44:30Z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2052-11.8.2.8053</vt:lpwstr>
  </property>
</Properties>
</file>