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77193"/>
      <w:bookmarkStart w:id="3" w:name="_Toc15378441"/>
      <w:bookmarkStart w:id="4" w:name="_Toc15396475"/>
      <w:bookmarkStart w:id="5" w:name="_Toc113952845"/>
      <w:bookmarkStart w:id="6" w:name="_Toc15377425"/>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5396476"/>
      <w:bookmarkStart w:id="8" w:name="_Toc15377426"/>
      <w:bookmarkStart w:id="9" w:name="_Toc15378442"/>
      <w:bookmarkStart w:id="10" w:name="_Toc113952846"/>
      <w:bookmarkStart w:id="11" w:name="_Toc15396598"/>
      <w:bookmarkStart w:id="12" w:name="_Toc15377194"/>
      <w:r>
        <w:rPr>
          <w:rFonts w:hint="eastAsia" w:ascii="方正小标宋简体" w:hAnsi="方正小标宋简体" w:eastAsia="方正小标宋简体" w:cs="方正小标宋简体"/>
          <w:sz w:val="72"/>
          <w:szCs w:val="72"/>
        </w:rPr>
        <w:t>四川省</w:t>
      </w:r>
      <w:bookmarkEnd w:id="0"/>
      <w:bookmarkStart w:id="13" w:name="_Toc15306268"/>
      <w:r>
        <w:rPr>
          <w:rFonts w:hint="eastAsia" w:ascii="方正小标宋简体" w:hAnsi="宋体" w:eastAsia="方正小标宋简体"/>
          <w:color w:val="000000"/>
          <w:sz w:val="72"/>
          <w:szCs w:val="72"/>
        </w:rPr>
        <w:t>攀枝花市</w:t>
      </w:r>
      <w:r>
        <w:rPr>
          <w:rFonts w:ascii="方正小标宋简体" w:hAnsi="宋体" w:eastAsia="方正小标宋简体"/>
          <w:color w:val="000000"/>
          <w:sz w:val="72"/>
          <w:szCs w:val="72"/>
        </w:rPr>
        <w:t>建设工程质量安全站</w:t>
      </w:r>
      <w:r>
        <w:rPr>
          <w:rFonts w:hint="eastAsia" w:ascii="方正小标宋简体" w:hAnsi="方正小标宋简体" w:eastAsia="方正小标宋简体" w:cs="方正小标宋简体"/>
          <w:sz w:val="72"/>
          <w:szCs w:val="72"/>
        </w:rPr>
        <w:t>单位决算</w:t>
      </w:r>
      <w:bookmarkEnd w:id="7"/>
      <w:bookmarkEnd w:id="8"/>
      <w:bookmarkEnd w:id="9"/>
      <w:bookmarkEnd w:id="10"/>
      <w:bookmarkEnd w:id="11"/>
      <w:bookmarkEnd w:id="12"/>
      <w:bookmarkEnd w:id="13"/>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公开时间：2022年9月14日</w:t>
      </w:r>
    </w:p>
    <w:sdt>
      <w:sdtPr>
        <w:rPr>
          <w:lang w:val="zh-CN"/>
        </w:rPr>
        <w:id w:val="1039235847"/>
        <w:docPartObj>
          <w:docPartGallery w:val="Table of Contents"/>
          <w:docPartUnique/>
        </w:docPartObj>
      </w:sdtPr>
      <w:sdtEndPr>
        <w:rPr>
          <w:lang w:val="en-US"/>
        </w:rPr>
      </w:sdtEndPr>
      <w:sdtContent>
        <w:p>
          <w:pPr>
            <w:pStyle w:val="11"/>
            <w:adjustRightInd w:val="0"/>
            <w:snapToGrid w:val="0"/>
            <w:spacing w:before="0" w:line="440" w:lineRule="exact"/>
            <w:jc w:val="both"/>
            <w:rPr>
              <w:rFonts w:ascii="宋体" w:hAnsi="宋体" w:eastAsia="宋体"/>
              <w:sz w:val="24"/>
              <w:szCs w:val="24"/>
            </w:rPr>
          </w:pPr>
          <w:r>
            <w:rPr>
              <w:rFonts w:hint="eastAsia"/>
              <w:sz w:val="24"/>
              <w:szCs w:val="24"/>
            </w:rPr>
            <w:t>第一部分单位概况</w:t>
          </w:r>
          <w:r>
            <w:rPr>
              <w:sz w:val="24"/>
            </w:rPr>
            <w:fldChar w:fldCharType="begin"/>
          </w:r>
          <w:r>
            <w:rPr>
              <w:sz w:val="24"/>
            </w:rPr>
            <w:instrText xml:space="preserve"> TOC \o "1-3" \h \z \u </w:instrText>
          </w:r>
          <w:r>
            <w:rPr>
              <w:sz w:val="24"/>
            </w:rPr>
            <w:fldChar w:fldCharType="separate"/>
          </w:r>
        </w:p>
        <w:p>
          <w:pPr>
            <w:pStyle w:val="11"/>
            <w:adjustRightInd w:val="0"/>
            <w:snapToGrid w:val="0"/>
            <w:spacing w:before="0" w:line="440" w:lineRule="exact"/>
            <w:ind w:left="420" w:leftChars="200"/>
            <w:jc w:val="both"/>
            <w:rPr>
              <w:rFonts w:ascii="宋体" w:hAnsi="宋体" w:eastAsia="宋体"/>
              <w:sz w:val="24"/>
              <w:szCs w:val="24"/>
            </w:rPr>
          </w:pPr>
          <w:r>
            <w:fldChar w:fldCharType="begin"/>
          </w:r>
          <w:r>
            <w:instrText xml:space="preserve"> HYPERLINK \l "_Toc113952848" </w:instrText>
          </w:r>
          <w:r>
            <w:fldChar w:fldCharType="separate"/>
          </w:r>
          <w:r>
            <w:rPr>
              <w:rFonts w:hint="eastAsia" w:ascii="宋体" w:hAnsi="宋体" w:eastAsia="宋体"/>
              <w:sz w:val="24"/>
              <w:szCs w:val="24"/>
            </w:rPr>
            <w:t>一、职能简介</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_Toc113952848 \h </w:instrText>
          </w:r>
          <w:r>
            <w:rPr>
              <w:rFonts w:ascii="宋体" w:hAnsi="宋体" w:eastAsia="宋体"/>
              <w:sz w:val="24"/>
              <w:szCs w:val="24"/>
            </w:rPr>
            <w:fldChar w:fldCharType="separate"/>
          </w:r>
          <w:r>
            <w:rPr>
              <w:rFonts w:ascii="宋体" w:hAnsi="宋体" w:eastAsia="宋体"/>
              <w:sz w:val="24"/>
              <w:szCs w:val="24"/>
            </w:rPr>
            <w:t>4</w:t>
          </w:r>
          <w:r>
            <w:rPr>
              <w:rFonts w:ascii="宋体" w:hAnsi="宋体" w:eastAsia="宋体"/>
              <w:sz w:val="24"/>
              <w:szCs w:val="24"/>
            </w:rPr>
            <w:fldChar w:fldCharType="end"/>
          </w:r>
          <w:r>
            <w:rPr>
              <w:rFonts w:ascii="宋体" w:hAnsi="宋体" w:eastAsia="宋体"/>
              <w:sz w:val="24"/>
              <w:szCs w:val="24"/>
            </w:rPr>
            <w:fldChar w:fldCharType="end"/>
          </w:r>
        </w:p>
        <w:p>
          <w:pPr>
            <w:pStyle w:val="11"/>
            <w:adjustRightInd w:val="0"/>
            <w:snapToGrid w:val="0"/>
            <w:spacing w:before="0" w:line="440" w:lineRule="exact"/>
            <w:ind w:left="420" w:leftChars="200"/>
            <w:jc w:val="both"/>
            <w:rPr>
              <w:rFonts w:ascii="宋体" w:hAnsi="宋体" w:eastAsia="宋体"/>
              <w:sz w:val="24"/>
              <w:szCs w:val="24"/>
            </w:rPr>
          </w:pPr>
          <w:r>
            <w:fldChar w:fldCharType="begin"/>
          </w:r>
          <w:r>
            <w:instrText xml:space="preserve"> HYPERLINK \l "_Toc113952849" </w:instrText>
          </w:r>
          <w:r>
            <w:fldChar w:fldCharType="separate"/>
          </w:r>
          <w:r>
            <w:rPr>
              <w:rFonts w:hint="eastAsia" w:ascii="宋体" w:hAnsi="宋体" w:eastAsia="宋体"/>
              <w:sz w:val="24"/>
              <w:szCs w:val="24"/>
            </w:rPr>
            <w:t>二、</w:t>
          </w:r>
          <w:r>
            <w:rPr>
              <w:rFonts w:ascii="宋体" w:hAnsi="宋体" w:eastAsia="宋体"/>
              <w:sz w:val="24"/>
              <w:szCs w:val="24"/>
            </w:rPr>
            <w:t>2021</w:t>
          </w:r>
          <w:r>
            <w:rPr>
              <w:rFonts w:hint="eastAsia" w:ascii="宋体" w:hAnsi="宋体" w:eastAsia="宋体"/>
              <w:sz w:val="24"/>
              <w:szCs w:val="24"/>
            </w:rPr>
            <w:t>年重点工作完成情况</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_Toc113952849 \h </w:instrText>
          </w:r>
          <w:r>
            <w:rPr>
              <w:rFonts w:ascii="宋体" w:hAnsi="宋体" w:eastAsia="宋体"/>
              <w:sz w:val="24"/>
              <w:szCs w:val="24"/>
            </w:rPr>
            <w:fldChar w:fldCharType="separate"/>
          </w:r>
          <w:r>
            <w:rPr>
              <w:rFonts w:ascii="宋体" w:hAnsi="宋体" w:eastAsia="宋体"/>
              <w:sz w:val="24"/>
              <w:szCs w:val="24"/>
            </w:rPr>
            <w:t>4</w:t>
          </w:r>
          <w:r>
            <w:rPr>
              <w:rFonts w:ascii="宋体" w:hAnsi="宋体" w:eastAsia="宋体"/>
              <w:sz w:val="24"/>
              <w:szCs w:val="24"/>
            </w:rPr>
            <w:fldChar w:fldCharType="end"/>
          </w:r>
          <w:r>
            <w:rPr>
              <w:rFonts w:ascii="宋体" w:hAnsi="宋体" w:eastAsia="宋体"/>
              <w:sz w:val="24"/>
              <w:szCs w:val="24"/>
            </w:rPr>
            <w:fldChar w:fldCharType="end"/>
          </w:r>
        </w:p>
        <w:p>
          <w:pPr>
            <w:pStyle w:val="11"/>
            <w:adjustRightInd w:val="0"/>
            <w:snapToGrid w:val="0"/>
            <w:spacing w:before="0" w:line="440" w:lineRule="exact"/>
            <w:ind w:left="420" w:leftChars="200"/>
            <w:jc w:val="both"/>
            <w:rPr>
              <w:rFonts w:ascii="宋体" w:hAnsi="宋体" w:eastAsia="宋体"/>
              <w:sz w:val="24"/>
              <w:szCs w:val="24"/>
            </w:rPr>
          </w:pPr>
          <w:r>
            <w:fldChar w:fldCharType="begin"/>
          </w:r>
          <w:r>
            <w:instrText xml:space="preserve"> HYPERLINK \l "_Toc113952849" </w:instrText>
          </w:r>
          <w:r>
            <w:fldChar w:fldCharType="separate"/>
          </w:r>
          <w:r>
            <w:rPr>
              <w:rFonts w:hint="eastAsia" w:ascii="宋体" w:hAnsi="宋体" w:eastAsia="宋体"/>
              <w:sz w:val="24"/>
              <w:szCs w:val="24"/>
            </w:rPr>
            <w:t>三、机构设置</w:t>
          </w:r>
          <w:r>
            <w:rPr>
              <w:rFonts w:ascii="宋体" w:hAnsi="宋体" w:eastAsia="宋体"/>
              <w:sz w:val="24"/>
              <w:szCs w:val="24"/>
            </w:rPr>
            <w:tab/>
          </w:r>
          <w:r>
            <w:rPr>
              <w:rFonts w:hint="eastAsia" w:ascii="宋体" w:hAnsi="宋体" w:eastAsia="宋体"/>
              <w:sz w:val="24"/>
              <w:szCs w:val="24"/>
            </w:rPr>
            <w:t>7</w:t>
          </w:r>
          <w:r>
            <w:rPr>
              <w:rFonts w:hint="eastAsia" w:ascii="宋体" w:hAnsi="宋体" w:eastAsia="宋体"/>
              <w:sz w:val="24"/>
              <w:szCs w:val="24"/>
            </w:rPr>
            <w:fldChar w:fldCharType="end"/>
          </w:r>
        </w:p>
        <w:p>
          <w:pPr>
            <w:pStyle w:val="11"/>
            <w:adjustRightInd w:val="0"/>
            <w:snapToGrid w:val="0"/>
            <w:spacing w:before="0" w:line="440" w:lineRule="exact"/>
            <w:jc w:val="both"/>
            <w:rPr>
              <w:sz w:val="24"/>
              <w:szCs w:val="24"/>
            </w:rPr>
          </w:pPr>
          <w:r>
            <w:fldChar w:fldCharType="begin"/>
          </w:r>
          <w:r>
            <w:instrText xml:space="preserve"> HYPERLINK \l "_Toc113952850" </w:instrText>
          </w:r>
          <w:r>
            <w:fldChar w:fldCharType="separate"/>
          </w:r>
          <w:r>
            <w:rPr>
              <w:rFonts w:hint="eastAsia"/>
              <w:sz w:val="24"/>
              <w:szCs w:val="24"/>
            </w:rPr>
            <w:t>第二部分</w:t>
          </w:r>
          <w:r>
            <w:rPr>
              <w:sz w:val="24"/>
              <w:szCs w:val="24"/>
            </w:rPr>
            <w:t>2021</w:t>
          </w:r>
          <w:r>
            <w:rPr>
              <w:rFonts w:hint="eastAsia"/>
              <w:sz w:val="24"/>
              <w:szCs w:val="24"/>
            </w:rPr>
            <w:t>年度单位决算情况说明</w:t>
          </w:r>
          <w:r>
            <w:rPr>
              <w:rFonts w:hint="eastAsia"/>
              <w:sz w:val="24"/>
              <w:szCs w:val="24"/>
            </w:rPr>
            <w:fldChar w:fldCharType="end"/>
          </w:r>
        </w:p>
        <w:p>
          <w:pPr>
            <w:pStyle w:val="11"/>
            <w:adjustRightInd w:val="0"/>
            <w:snapToGrid w:val="0"/>
            <w:spacing w:before="0" w:line="440" w:lineRule="exact"/>
            <w:ind w:left="420" w:leftChars="200"/>
            <w:jc w:val="both"/>
            <w:rPr>
              <w:rFonts w:ascii="宋体" w:hAnsi="宋体" w:eastAsia="宋体"/>
              <w:sz w:val="24"/>
              <w:szCs w:val="24"/>
            </w:rPr>
          </w:pPr>
          <w:r>
            <w:fldChar w:fldCharType="begin"/>
          </w:r>
          <w:r>
            <w:instrText xml:space="preserve"> HYPERLINK \l "_Toc113952851" </w:instrText>
          </w:r>
          <w:r>
            <w:fldChar w:fldCharType="separate"/>
          </w:r>
          <w:r>
            <w:rPr>
              <w:rFonts w:hint="eastAsia" w:ascii="宋体" w:hAnsi="宋体" w:eastAsia="宋体"/>
              <w:sz w:val="24"/>
              <w:szCs w:val="24"/>
            </w:rPr>
            <w:t>一、收入支出决算总体情况说明</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_Toc113952851 \h </w:instrText>
          </w:r>
          <w:r>
            <w:rPr>
              <w:rFonts w:ascii="宋体" w:hAnsi="宋体" w:eastAsia="宋体"/>
              <w:sz w:val="24"/>
              <w:szCs w:val="24"/>
            </w:rPr>
            <w:fldChar w:fldCharType="separate"/>
          </w:r>
          <w:r>
            <w:rPr>
              <w:rFonts w:ascii="宋体" w:hAnsi="宋体" w:eastAsia="宋体"/>
              <w:sz w:val="24"/>
              <w:szCs w:val="24"/>
            </w:rPr>
            <w:t>8</w:t>
          </w:r>
          <w:r>
            <w:rPr>
              <w:rFonts w:ascii="宋体" w:hAnsi="宋体" w:eastAsia="宋体"/>
              <w:sz w:val="24"/>
              <w:szCs w:val="24"/>
            </w:rPr>
            <w:fldChar w:fldCharType="end"/>
          </w:r>
          <w:r>
            <w:rPr>
              <w:rFonts w:ascii="宋体" w:hAnsi="宋体" w:eastAsia="宋体"/>
              <w:sz w:val="24"/>
              <w:szCs w:val="24"/>
            </w:rPr>
            <w:fldChar w:fldCharType="end"/>
          </w:r>
        </w:p>
        <w:p>
          <w:pPr>
            <w:pStyle w:val="11"/>
            <w:adjustRightInd w:val="0"/>
            <w:snapToGrid w:val="0"/>
            <w:spacing w:before="0" w:line="440" w:lineRule="exact"/>
            <w:ind w:left="420" w:leftChars="200"/>
            <w:jc w:val="both"/>
            <w:rPr>
              <w:rFonts w:ascii="宋体" w:hAnsi="宋体" w:eastAsia="宋体"/>
              <w:sz w:val="24"/>
              <w:szCs w:val="24"/>
            </w:rPr>
          </w:pPr>
          <w:r>
            <w:fldChar w:fldCharType="begin"/>
          </w:r>
          <w:r>
            <w:instrText xml:space="preserve"> HYPERLINK \l "_Toc113952852" </w:instrText>
          </w:r>
          <w:r>
            <w:fldChar w:fldCharType="separate"/>
          </w:r>
          <w:r>
            <w:rPr>
              <w:rFonts w:hint="eastAsia" w:ascii="宋体" w:hAnsi="宋体" w:eastAsia="宋体"/>
              <w:sz w:val="24"/>
              <w:szCs w:val="24"/>
            </w:rPr>
            <w:t>二、收入决算情况说明</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_Toc113952852 \h </w:instrText>
          </w:r>
          <w:r>
            <w:rPr>
              <w:rFonts w:ascii="宋体" w:hAnsi="宋体" w:eastAsia="宋体"/>
              <w:sz w:val="24"/>
              <w:szCs w:val="24"/>
            </w:rPr>
            <w:fldChar w:fldCharType="separate"/>
          </w:r>
          <w:r>
            <w:rPr>
              <w:rFonts w:ascii="宋体" w:hAnsi="宋体" w:eastAsia="宋体"/>
              <w:sz w:val="24"/>
              <w:szCs w:val="24"/>
            </w:rPr>
            <w:t>8</w:t>
          </w:r>
          <w:r>
            <w:rPr>
              <w:rFonts w:ascii="宋体" w:hAnsi="宋体" w:eastAsia="宋体"/>
              <w:sz w:val="24"/>
              <w:szCs w:val="24"/>
            </w:rPr>
            <w:fldChar w:fldCharType="end"/>
          </w:r>
          <w:r>
            <w:rPr>
              <w:rFonts w:ascii="宋体" w:hAnsi="宋体" w:eastAsia="宋体"/>
              <w:sz w:val="24"/>
              <w:szCs w:val="24"/>
            </w:rPr>
            <w:fldChar w:fldCharType="end"/>
          </w:r>
        </w:p>
        <w:p>
          <w:pPr>
            <w:pStyle w:val="11"/>
            <w:adjustRightInd w:val="0"/>
            <w:snapToGrid w:val="0"/>
            <w:spacing w:before="0" w:line="440" w:lineRule="exact"/>
            <w:ind w:left="420" w:leftChars="200"/>
            <w:jc w:val="both"/>
            <w:rPr>
              <w:sz w:val="24"/>
            </w:rPr>
          </w:pPr>
          <w:r>
            <w:fldChar w:fldCharType="begin"/>
          </w:r>
          <w:r>
            <w:instrText xml:space="preserve"> HYPERLINK \l "_Toc113952854" </w:instrText>
          </w:r>
          <w:r>
            <w:fldChar w:fldCharType="separate"/>
          </w:r>
          <w:r>
            <w:rPr>
              <w:rFonts w:hint="eastAsia" w:ascii="宋体" w:hAnsi="宋体" w:eastAsia="宋体"/>
              <w:sz w:val="24"/>
              <w:szCs w:val="24"/>
            </w:rPr>
            <w:t>三、支出决算情况说明</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_Toc113952854 \h </w:instrText>
          </w:r>
          <w:r>
            <w:rPr>
              <w:rFonts w:ascii="宋体" w:hAnsi="宋体" w:eastAsia="宋体"/>
              <w:sz w:val="24"/>
              <w:szCs w:val="24"/>
            </w:rPr>
            <w:fldChar w:fldCharType="separate"/>
          </w:r>
          <w:r>
            <w:rPr>
              <w:rFonts w:ascii="宋体" w:hAnsi="宋体" w:eastAsia="宋体"/>
              <w:sz w:val="24"/>
              <w:szCs w:val="24"/>
            </w:rPr>
            <w:t>8</w:t>
          </w:r>
          <w:r>
            <w:rPr>
              <w:rFonts w:ascii="宋体" w:hAnsi="宋体" w:eastAsia="宋体"/>
              <w:sz w:val="24"/>
              <w:szCs w:val="24"/>
            </w:rPr>
            <w:fldChar w:fldCharType="end"/>
          </w:r>
          <w:r>
            <w:rPr>
              <w:rFonts w:ascii="宋体" w:hAnsi="宋体" w:eastAsia="宋体"/>
              <w:sz w:val="24"/>
              <w:szCs w:val="24"/>
            </w:rPr>
            <w:fldChar w:fldCharType="end"/>
          </w:r>
        </w:p>
        <w:p>
          <w:pPr>
            <w:pStyle w:val="11"/>
            <w:adjustRightInd w:val="0"/>
            <w:snapToGrid w:val="0"/>
            <w:spacing w:before="0" w:line="440" w:lineRule="exact"/>
            <w:ind w:left="420" w:leftChars="200"/>
            <w:jc w:val="left"/>
            <w:rPr>
              <w:rFonts w:asciiTheme="minorEastAsia" w:hAnsiTheme="minorEastAsia" w:eastAsiaTheme="minorEastAsia"/>
              <w:sz w:val="24"/>
            </w:rPr>
          </w:pPr>
          <w:r>
            <w:fldChar w:fldCharType="begin"/>
          </w:r>
          <w:r>
            <w:instrText xml:space="preserve"> HYPERLINK \l "_Toc113952856" </w:instrText>
          </w:r>
          <w:r>
            <w:fldChar w:fldCharType="separate"/>
          </w:r>
          <w:r>
            <w:rPr>
              <w:rFonts w:hint="eastAsia" w:asciiTheme="minorEastAsia" w:hAnsiTheme="minorEastAsia" w:eastAsiaTheme="minorEastAsia"/>
              <w:sz w:val="24"/>
            </w:rPr>
            <w:t>四、财政拨款收入支出决算总体情况说明</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_Toc113952856 \h </w:instrText>
          </w:r>
          <w:r>
            <w:rPr>
              <w:rFonts w:asciiTheme="minorEastAsia" w:hAnsiTheme="minorEastAsia" w:eastAsiaTheme="minorEastAsia"/>
              <w:sz w:val="24"/>
            </w:rPr>
            <w:fldChar w:fldCharType="separate"/>
          </w:r>
          <w:r>
            <w:rPr>
              <w:rFonts w:asciiTheme="minorEastAsia" w:hAnsiTheme="minorEastAsia" w:eastAsiaTheme="minorEastAsia"/>
              <w:sz w:val="24"/>
            </w:rPr>
            <w:t>9</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1"/>
            <w:adjustRightInd w:val="0"/>
            <w:snapToGrid w:val="0"/>
            <w:spacing w:before="0" w:line="440" w:lineRule="exact"/>
            <w:ind w:left="420" w:leftChars="200"/>
            <w:jc w:val="left"/>
            <w:rPr>
              <w:rFonts w:asciiTheme="minorEastAsia" w:hAnsiTheme="minorEastAsia" w:eastAsiaTheme="minorEastAsia"/>
              <w:sz w:val="24"/>
            </w:rPr>
          </w:pPr>
          <w:r>
            <w:fldChar w:fldCharType="begin"/>
          </w:r>
          <w:r>
            <w:instrText xml:space="preserve"> HYPERLINK \l "_Toc113952857" </w:instrText>
          </w:r>
          <w:r>
            <w:fldChar w:fldCharType="separate"/>
          </w:r>
          <w:r>
            <w:rPr>
              <w:rFonts w:hint="eastAsia" w:asciiTheme="minorEastAsia" w:hAnsiTheme="minorEastAsia" w:eastAsiaTheme="minorEastAsia"/>
              <w:sz w:val="24"/>
            </w:rPr>
            <w:t>五、一般公共预算财政拨款支出决算情况说明</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_Toc113952857 \h </w:instrText>
          </w:r>
          <w:r>
            <w:rPr>
              <w:rFonts w:asciiTheme="minorEastAsia" w:hAnsiTheme="minorEastAsia" w:eastAsiaTheme="minorEastAsia"/>
              <w:sz w:val="24"/>
            </w:rPr>
            <w:fldChar w:fldCharType="separate"/>
          </w:r>
          <w:r>
            <w:rPr>
              <w:rFonts w:asciiTheme="minorEastAsia" w:hAnsiTheme="minorEastAsia" w:eastAsiaTheme="minorEastAsia"/>
              <w:sz w:val="24"/>
            </w:rPr>
            <w:t>10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1"/>
            <w:adjustRightInd w:val="0"/>
            <w:snapToGrid w:val="0"/>
            <w:spacing w:before="0" w:line="440" w:lineRule="exact"/>
            <w:ind w:left="420" w:leftChars="200"/>
            <w:jc w:val="left"/>
            <w:rPr>
              <w:rFonts w:asciiTheme="minorEastAsia" w:hAnsiTheme="minorEastAsia" w:eastAsiaTheme="minorEastAsia"/>
              <w:sz w:val="24"/>
            </w:rPr>
          </w:pPr>
          <w:r>
            <w:fldChar w:fldCharType="begin"/>
          </w:r>
          <w:r>
            <w:instrText xml:space="preserve"> HYPERLINK \l "_Toc113952862" </w:instrText>
          </w:r>
          <w:r>
            <w:fldChar w:fldCharType="separate"/>
          </w:r>
          <w:r>
            <w:rPr>
              <w:rFonts w:hint="eastAsia" w:asciiTheme="minorEastAsia" w:hAnsiTheme="minorEastAsia" w:eastAsiaTheme="minorEastAsia"/>
              <w:sz w:val="24"/>
            </w:rPr>
            <w:t>六、一般公共预算财政拨款基本支出决算情况说明</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_Toc113952862 \h </w:instrText>
          </w:r>
          <w:r>
            <w:rPr>
              <w:rFonts w:asciiTheme="minorEastAsia" w:hAnsiTheme="minorEastAsia" w:eastAsiaTheme="minorEastAsia"/>
              <w:sz w:val="24"/>
            </w:rPr>
            <w:fldChar w:fldCharType="separate"/>
          </w:r>
          <w:r>
            <w:rPr>
              <w:rFonts w:asciiTheme="minorEastAsia" w:hAnsiTheme="minorEastAsia" w:eastAsiaTheme="minorEastAsia"/>
              <w:sz w:val="24"/>
            </w:rPr>
            <w:t>12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1"/>
            <w:adjustRightInd w:val="0"/>
            <w:snapToGrid w:val="0"/>
            <w:spacing w:before="0" w:line="440" w:lineRule="exact"/>
            <w:ind w:left="420" w:leftChars="200"/>
            <w:jc w:val="left"/>
            <w:rPr>
              <w:rFonts w:asciiTheme="minorEastAsia" w:hAnsiTheme="minorEastAsia" w:eastAsiaTheme="minorEastAsia"/>
              <w:sz w:val="24"/>
            </w:rPr>
          </w:pPr>
          <w:r>
            <w:fldChar w:fldCharType="begin"/>
          </w:r>
          <w:r>
            <w:instrText xml:space="preserve"> HYPERLINK \l "_Toc113952863" </w:instrText>
          </w:r>
          <w:r>
            <w:fldChar w:fldCharType="separate"/>
          </w:r>
          <w:r>
            <w:rPr>
              <w:rFonts w:hint="eastAsia" w:asciiTheme="minorEastAsia" w:hAnsiTheme="minorEastAsia" w:eastAsiaTheme="minorEastAsia"/>
              <w:sz w:val="24"/>
            </w:rPr>
            <w:t>七、</w:t>
          </w:r>
          <w:r>
            <w:rPr>
              <w:rFonts w:asciiTheme="minorEastAsia" w:hAnsiTheme="minorEastAsia" w:eastAsiaTheme="minorEastAsia"/>
              <w:sz w:val="24"/>
            </w:rPr>
            <w:t>“</w:t>
          </w:r>
          <w:r>
            <w:rPr>
              <w:rFonts w:hint="eastAsia" w:asciiTheme="minorEastAsia" w:hAnsiTheme="minorEastAsia" w:eastAsiaTheme="minorEastAsia"/>
              <w:sz w:val="24"/>
            </w:rPr>
            <w:t>三公”经费财政拨款支出决算情况说明</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_Toc113952863 \h </w:instrText>
          </w:r>
          <w:r>
            <w:rPr>
              <w:rFonts w:asciiTheme="minorEastAsia" w:hAnsiTheme="minorEastAsia" w:eastAsiaTheme="minorEastAsia"/>
              <w:sz w:val="24"/>
            </w:rPr>
            <w:fldChar w:fldCharType="separate"/>
          </w:r>
          <w:r>
            <w:rPr>
              <w:rFonts w:asciiTheme="minorEastAsia" w:hAnsiTheme="minorEastAsia" w:eastAsiaTheme="minorEastAsia"/>
              <w:sz w:val="24"/>
            </w:rPr>
            <w:t>12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1"/>
            <w:adjustRightInd w:val="0"/>
            <w:snapToGrid w:val="0"/>
            <w:spacing w:before="0" w:line="440" w:lineRule="exact"/>
            <w:ind w:left="420" w:leftChars="200"/>
            <w:jc w:val="left"/>
            <w:rPr>
              <w:rFonts w:asciiTheme="minorEastAsia" w:hAnsiTheme="minorEastAsia" w:eastAsiaTheme="minorEastAsia"/>
              <w:sz w:val="24"/>
            </w:rPr>
          </w:pPr>
          <w:r>
            <w:fldChar w:fldCharType="begin"/>
          </w:r>
          <w:r>
            <w:instrText xml:space="preserve"> HYPERLINK \l "_Toc113952866" </w:instrText>
          </w:r>
          <w:r>
            <w:fldChar w:fldCharType="separate"/>
          </w:r>
          <w:r>
            <w:rPr>
              <w:rFonts w:hint="eastAsia" w:asciiTheme="minorEastAsia" w:hAnsiTheme="minorEastAsia" w:eastAsiaTheme="minorEastAsia"/>
              <w:sz w:val="24"/>
            </w:rPr>
            <w:t>八、政府性基金预算支出决算情况说明</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_Toc113952866 \h </w:instrText>
          </w:r>
          <w:r>
            <w:rPr>
              <w:rFonts w:asciiTheme="minorEastAsia" w:hAnsiTheme="minorEastAsia" w:eastAsiaTheme="minorEastAsia"/>
              <w:sz w:val="24"/>
            </w:rPr>
            <w:fldChar w:fldCharType="separate"/>
          </w:r>
          <w:r>
            <w:rPr>
              <w:rFonts w:asciiTheme="minorEastAsia" w:hAnsiTheme="minorEastAsia" w:eastAsiaTheme="minorEastAsia"/>
              <w:sz w:val="24"/>
            </w:rPr>
            <w:t>14</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1"/>
            <w:adjustRightInd w:val="0"/>
            <w:snapToGrid w:val="0"/>
            <w:spacing w:before="0" w:line="440" w:lineRule="exact"/>
            <w:ind w:left="420" w:leftChars="200"/>
            <w:jc w:val="left"/>
            <w:rPr>
              <w:rFonts w:asciiTheme="minorEastAsia" w:hAnsiTheme="minorEastAsia" w:eastAsiaTheme="minorEastAsia"/>
              <w:sz w:val="24"/>
            </w:rPr>
          </w:pPr>
          <w:r>
            <w:fldChar w:fldCharType="begin"/>
          </w:r>
          <w:r>
            <w:instrText xml:space="preserve"> HYPERLINK \l "_Toc113952867" </w:instrText>
          </w:r>
          <w:r>
            <w:fldChar w:fldCharType="separate"/>
          </w:r>
          <w:r>
            <w:rPr>
              <w:rFonts w:hint="eastAsia" w:asciiTheme="minorEastAsia" w:hAnsiTheme="minorEastAsia" w:eastAsiaTheme="minorEastAsia"/>
              <w:sz w:val="24"/>
            </w:rPr>
            <w:t>九、 国有资本经营预算支出决算情况说明</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_Toc113952867 \h </w:instrText>
          </w:r>
          <w:r>
            <w:rPr>
              <w:rFonts w:asciiTheme="minorEastAsia" w:hAnsiTheme="minorEastAsia" w:eastAsiaTheme="minorEastAsia"/>
              <w:sz w:val="24"/>
            </w:rPr>
            <w:fldChar w:fldCharType="separate"/>
          </w:r>
          <w:r>
            <w:rPr>
              <w:rFonts w:asciiTheme="minorEastAsia" w:hAnsiTheme="minorEastAsia" w:eastAsiaTheme="minorEastAsia"/>
              <w:sz w:val="24"/>
            </w:rPr>
            <w:t>14</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1"/>
            <w:adjustRightInd w:val="0"/>
            <w:snapToGrid w:val="0"/>
            <w:spacing w:before="0" w:line="440" w:lineRule="exact"/>
            <w:ind w:left="420" w:leftChars="200"/>
            <w:jc w:val="left"/>
            <w:rPr>
              <w:rFonts w:asciiTheme="minorEastAsia" w:hAnsiTheme="minorEastAsia" w:eastAsiaTheme="minorEastAsia"/>
              <w:sz w:val="24"/>
            </w:rPr>
          </w:pPr>
          <w:r>
            <w:fldChar w:fldCharType="begin"/>
          </w:r>
          <w:r>
            <w:instrText xml:space="preserve"> HYPERLINK \l "_Toc113952868" </w:instrText>
          </w:r>
          <w:r>
            <w:fldChar w:fldCharType="separate"/>
          </w:r>
          <w:r>
            <w:rPr>
              <w:rFonts w:hint="eastAsia" w:asciiTheme="minorEastAsia" w:hAnsiTheme="minorEastAsia" w:eastAsiaTheme="minorEastAsia"/>
              <w:sz w:val="24"/>
            </w:rPr>
            <w:t>十、 其他重要事项的情况说明</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_Toc113952868 \h </w:instrText>
          </w:r>
          <w:r>
            <w:rPr>
              <w:rFonts w:asciiTheme="minorEastAsia" w:hAnsiTheme="minorEastAsia" w:eastAsiaTheme="minorEastAsia"/>
              <w:sz w:val="24"/>
            </w:rPr>
            <w:fldChar w:fldCharType="separate"/>
          </w:r>
          <w:r>
            <w:rPr>
              <w:rFonts w:asciiTheme="minorEastAsia" w:hAnsiTheme="minorEastAsia" w:eastAsiaTheme="minorEastAsia"/>
              <w:sz w:val="24"/>
            </w:rPr>
            <w:t>14</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1"/>
            <w:adjustRightInd w:val="0"/>
            <w:snapToGrid w:val="0"/>
            <w:spacing w:before="0" w:line="440" w:lineRule="exact"/>
            <w:jc w:val="both"/>
            <w:rPr>
              <w:sz w:val="24"/>
              <w:szCs w:val="24"/>
            </w:rPr>
          </w:pPr>
          <w:r>
            <w:fldChar w:fldCharType="begin"/>
          </w:r>
          <w:r>
            <w:instrText xml:space="preserve"> HYPERLINK \l "_Toc113952873" </w:instrText>
          </w:r>
          <w:r>
            <w:fldChar w:fldCharType="separate"/>
          </w:r>
          <w:r>
            <w:rPr>
              <w:rFonts w:hint="eastAsia"/>
              <w:sz w:val="24"/>
              <w:szCs w:val="24"/>
            </w:rPr>
            <w:t>第三部分 名词解释</w:t>
          </w:r>
          <w:r>
            <w:rPr>
              <w:sz w:val="24"/>
              <w:szCs w:val="24"/>
            </w:rPr>
            <w:tab/>
          </w:r>
          <w:r>
            <w:rPr>
              <w:sz w:val="24"/>
              <w:szCs w:val="24"/>
            </w:rPr>
            <w:fldChar w:fldCharType="begin"/>
          </w:r>
          <w:r>
            <w:rPr>
              <w:sz w:val="24"/>
              <w:szCs w:val="24"/>
            </w:rPr>
            <w:instrText xml:space="preserve"> PAGEREF _Toc113952873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11"/>
            <w:adjustRightInd w:val="0"/>
            <w:snapToGrid w:val="0"/>
            <w:spacing w:before="0" w:line="440" w:lineRule="exact"/>
            <w:jc w:val="left"/>
            <w:rPr>
              <w:sz w:val="24"/>
            </w:rPr>
          </w:pPr>
          <w:r>
            <w:fldChar w:fldCharType="begin"/>
          </w:r>
          <w:r>
            <w:instrText xml:space="preserve"> HYPERLINK \l "_Toc113952874" </w:instrText>
          </w:r>
          <w:r>
            <w:fldChar w:fldCharType="separate"/>
          </w:r>
          <w:r>
            <w:rPr>
              <w:rFonts w:hint="eastAsia"/>
              <w:sz w:val="24"/>
            </w:rPr>
            <w:t>第四部分附件</w:t>
          </w:r>
          <w:r>
            <w:rPr>
              <w:sz w:val="24"/>
            </w:rPr>
            <w:tab/>
          </w:r>
          <w:r>
            <w:rPr>
              <w:sz w:val="24"/>
            </w:rPr>
            <w:fldChar w:fldCharType="begin"/>
          </w:r>
          <w:r>
            <w:rPr>
              <w:sz w:val="24"/>
            </w:rPr>
            <w:instrText xml:space="preserve"> PAGEREF _Toc113952874 \h </w:instrText>
          </w:r>
          <w:r>
            <w:rPr>
              <w:sz w:val="24"/>
            </w:rPr>
            <w:fldChar w:fldCharType="separate"/>
          </w:r>
          <w:r>
            <w:rPr>
              <w:sz w:val="24"/>
            </w:rPr>
            <w:t>20</w:t>
          </w:r>
          <w:r>
            <w:rPr>
              <w:sz w:val="24"/>
            </w:rPr>
            <w:fldChar w:fldCharType="end"/>
          </w:r>
          <w:r>
            <w:rPr>
              <w:sz w:val="24"/>
            </w:rPr>
            <w:fldChar w:fldCharType="end"/>
          </w:r>
        </w:p>
        <w:p>
          <w:pPr>
            <w:pStyle w:val="11"/>
            <w:adjustRightInd w:val="0"/>
            <w:snapToGrid w:val="0"/>
            <w:spacing w:before="0" w:line="440" w:lineRule="exact"/>
            <w:jc w:val="left"/>
            <w:rPr>
              <w:sz w:val="24"/>
            </w:rPr>
          </w:pPr>
          <w:r>
            <w:fldChar w:fldCharType="begin"/>
          </w:r>
          <w:r>
            <w:instrText xml:space="preserve"> HYPERLINK \l "_Toc113952876" </w:instrText>
          </w:r>
          <w:r>
            <w:fldChar w:fldCharType="separate"/>
          </w:r>
          <w:r>
            <w:rPr>
              <w:rFonts w:hint="eastAsia"/>
              <w:sz w:val="24"/>
            </w:rPr>
            <w:t>第五部分附表</w:t>
          </w:r>
          <w:r>
            <w:rPr>
              <w:sz w:val="24"/>
            </w:rPr>
            <w:tab/>
          </w:r>
          <w:r>
            <w:rPr>
              <w:sz w:val="24"/>
            </w:rPr>
            <w:fldChar w:fldCharType="begin"/>
          </w:r>
          <w:r>
            <w:rPr>
              <w:sz w:val="24"/>
            </w:rPr>
            <w:instrText xml:space="preserve"> PAGEREF _Toc113952876 \h </w:instrText>
          </w:r>
          <w:r>
            <w:rPr>
              <w:sz w:val="24"/>
            </w:rPr>
            <w:fldChar w:fldCharType="separate"/>
          </w:r>
          <w:r>
            <w:rPr>
              <w:sz w:val="24"/>
            </w:rPr>
            <w:t>30</w:t>
          </w:r>
          <w:r>
            <w:rPr>
              <w:sz w:val="24"/>
            </w:rPr>
            <w:fldChar w:fldCharType="end"/>
          </w:r>
          <w:r>
            <w:rPr>
              <w:sz w:val="24"/>
            </w:rPr>
            <w:fldChar w:fldCharType="end"/>
          </w:r>
        </w:p>
        <w:p>
          <w:pPr>
            <w:pStyle w:val="11"/>
            <w:adjustRightInd w:val="0"/>
            <w:snapToGrid w:val="0"/>
            <w:spacing w:before="0" w:line="440" w:lineRule="exact"/>
            <w:ind w:left="420" w:leftChars="200"/>
            <w:jc w:val="left"/>
            <w:rPr>
              <w:rFonts w:asciiTheme="minorEastAsia" w:hAnsiTheme="minorEastAsia" w:eastAsiaTheme="minorEastAsia"/>
              <w:sz w:val="24"/>
            </w:rPr>
          </w:pPr>
          <w:r>
            <w:fldChar w:fldCharType="begin"/>
          </w:r>
          <w:r>
            <w:instrText xml:space="preserve"> HYPERLINK \l "_Toc113952877" </w:instrText>
          </w:r>
          <w:r>
            <w:fldChar w:fldCharType="separate"/>
          </w:r>
          <w:r>
            <w:rPr>
              <w:rFonts w:hint="eastAsia" w:asciiTheme="minorEastAsia" w:hAnsiTheme="minorEastAsia" w:eastAsiaTheme="minorEastAsia"/>
              <w:sz w:val="24"/>
            </w:rPr>
            <w:t>一、收入支出决算总表</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_Toc113952877 \h </w:instrText>
          </w:r>
          <w:r>
            <w:rPr>
              <w:rFonts w:asciiTheme="minorEastAsia" w:hAnsiTheme="minorEastAsia" w:eastAsiaTheme="minorEastAsia"/>
              <w:sz w:val="24"/>
            </w:rPr>
            <w:fldChar w:fldCharType="separate"/>
          </w:r>
          <w:r>
            <w:rPr>
              <w:rFonts w:asciiTheme="minorEastAsia" w:hAnsiTheme="minorEastAsia" w:eastAsiaTheme="minorEastAsia"/>
              <w:sz w:val="24"/>
            </w:rPr>
            <w:t>30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1"/>
            <w:adjustRightInd w:val="0"/>
            <w:snapToGrid w:val="0"/>
            <w:spacing w:before="0" w:line="440" w:lineRule="exact"/>
            <w:ind w:left="420" w:leftChars="200"/>
            <w:jc w:val="left"/>
            <w:rPr>
              <w:rFonts w:asciiTheme="minorEastAsia" w:hAnsiTheme="minorEastAsia" w:eastAsiaTheme="minorEastAsia"/>
              <w:sz w:val="24"/>
            </w:rPr>
          </w:pPr>
          <w:r>
            <w:fldChar w:fldCharType="begin"/>
          </w:r>
          <w:r>
            <w:instrText xml:space="preserve"> HYPERLINK \l "_Toc113952878" </w:instrText>
          </w:r>
          <w:r>
            <w:fldChar w:fldCharType="separate"/>
          </w:r>
          <w:r>
            <w:rPr>
              <w:rFonts w:hint="eastAsia" w:asciiTheme="minorEastAsia" w:hAnsiTheme="minorEastAsia" w:eastAsiaTheme="minorEastAsia"/>
              <w:sz w:val="24"/>
            </w:rPr>
            <w:t>二、收入决算表</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_Toc113952878 \h </w:instrText>
          </w:r>
          <w:r>
            <w:rPr>
              <w:rFonts w:asciiTheme="minorEastAsia" w:hAnsiTheme="minorEastAsia" w:eastAsiaTheme="minorEastAsia"/>
              <w:sz w:val="24"/>
            </w:rPr>
            <w:fldChar w:fldCharType="separate"/>
          </w:r>
          <w:r>
            <w:rPr>
              <w:rFonts w:asciiTheme="minorEastAsia" w:hAnsiTheme="minorEastAsia" w:eastAsiaTheme="minorEastAsia"/>
              <w:sz w:val="24"/>
            </w:rPr>
            <w:t>30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1"/>
            <w:adjustRightInd w:val="0"/>
            <w:snapToGrid w:val="0"/>
            <w:spacing w:before="0" w:line="440" w:lineRule="exact"/>
            <w:ind w:left="420" w:leftChars="200"/>
            <w:jc w:val="left"/>
            <w:rPr>
              <w:rFonts w:asciiTheme="minorEastAsia" w:hAnsiTheme="minorEastAsia" w:eastAsiaTheme="minorEastAsia"/>
              <w:sz w:val="24"/>
            </w:rPr>
          </w:pPr>
          <w:r>
            <w:fldChar w:fldCharType="begin"/>
          </w:r>
          <w:r>
            <w:instrText xml:space="preserve"> HYPERLINK \l "_Toc113952879" </w:instrText>
          </w:r>
          <w:r>
            <w:fldChar w:fldCharType="separate"/>
          </w:r>
          <w:r>
            <w:rPr>
              <w:rFonts w:hint="eastAsia" w:asciiTheme="minorEastAsia" w:hAnsiTheme="minorEastAsia" w:eastAsiaTheme="minorEastAsia"/>
              <w:sz w:val="24"/>
            </w:rPr>
            <w:t>三、支出决算表</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_Toc113952879 \h </w:instrText>
          </w:r>
          <w:r>
            <w:rPr>
              <w:rFonts w:asciiTheme="minorEastAsia" w:hAnsiTheme="minorEastAsia" w:eastAsiaTheme="minorEastAsia"/>
              <w:sz w:val="24"/>
            </w:rPr>
            <w:fldChar w:fldCharType="separate"/>
          </w:r>
          <w:r>
            <w:rPr>
              <w:rFonts w:asciiTheme="minorEastAsia" w:hAnsiTheme="minorEastAsia" w:eastAsiaTheme="minorEastAsia"/>
              <w:sz w:val="24"/>
            </w:rPr>
            <w:t>30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1"/>
            <w:adjustRightInd w:val="0"/>
            <w:snapToGrid w:val="0"/>
            <w:spacing w:before="0" w:line="440" w:lineRule="exact"/>
            <w:ind w:left="420" w:leftChars="200"/>
            <w:jc w:val="left"/>
            <w:rPr>
              <w:rFonts w:asciiTheme="minorEastAsia" w:hAnsiTheme="minorEastAsia" w:eastAsiaTheme="minorEastAsia"/>
              <w:sz w:val="24"/>
            </w:rPr>
          </w:pPr>
          <w:r>
            <w:fldChar w:fldCharType="begin"/>
          </w:r>
          <w:r>
            <w:instrText xml:space="preserve"> HYPERLINK \l "_Toc113952880" </w:instrText>
          </w:r>
          <w:r>
            <w:fldChar w:fldCharType="separate"/>
          </w:r>
          <w:r>
            <w:rPr>
              <w:rFonts w:hint="eastAsia" w:asciiTheme="minorEastAsia" w:hAnsiTheme="minorEastAsia" w:eastAsiaTheme="minorEastAsia"/>
              <w:sz w:val="24"/>
            </w:rPr>
            <w:t>四、财政拨款收入支出决算总表</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_Toc113952880 \h </w:instrText>
          </w:r>
          <w:r>
            <w:rPr>
              <w:rFonts w:asciiTheme="minorEastAsia" w:hAnsiTheme="minorEastAsia" w:eastAsiaTheme="minorEastAsia"/>
              <w:sz w:val="24"/>
            </w:rPr>
            <w:fldChar w:fldCharType="separate"/>
          </w:r>
          <w:r>
            <w:rPr>
              <w:rFonts w:asciiTheme="minorEastAsia" w:hAnsiTheme="minorEastAsia" w:eastAsiaTheme="minorEastAsia"/>
              <w:sz w:val="24"/>
            </w:rPr>
            <w:t>30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1"/>
            <w:adjustRightInd w:val="0"/>
            <w:snapToGrid w:val="0"/>
            <w:spacing w:before="0" w:line="440" w:lineRule="exact"/>
            <w:ind w:left="420" w:leftChars="200"/>
            <w:jc w:val="left"/>
            <w:rPr>
              <w:rFonts w:asciiTheme="minorEastAsia" w:hAnsiTheme="minorEastAsia" w:eastAsiaTheme="minorEastAsia"/>
              <w:sz w:val="24"/>
            </w:rPr>
          </w:pPr>
          <w:r>
            <w:fldChar w:fldCharType="begin"/>
          </w:r>
          <w:r>
            <w:instrText xml:space="preserve"> HYPERLINK \l "_Toc113952881" </w:instrText>
          </w:r>
          <w:r>
            <w:fldChar w:fldCharType="separate"/>
          </w:r>
          <w:r>
            <w:rPr>
              <w:rFonts w:hint="eastAsia" w:asciiTheme="minorEastAsia" w:hAnsiTheme="minorEastAsia" w:eastAsiaTheme="minorEastAsia"/>
              <w:sz w:val="24"/>
            </w:rPr>
            <w:t>五、财政拨款支出决算明细表</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_Toc113952881 \h </w:instrText>
          </w:r>
          <w:r>
            <w:rPr>
              <w:rFonts w:asciiTheme="minorEastAsia" w:hAnsiTheme="minorEastAsia" w:eastAsiaTheme="minorEastAsia"/>
              <w:sz w:val="24"/>
            </w:rPr>
            <w:fldChar w:fldCharType="separate"/>
          </w:r>
          <w:r>
            <w:rPr>
              <w:rFonts w:asciiTheme="minorEastAsia" w:hAnsiTheme="minorEastAsia" w:eastAsiaTheme="minorEastAsia"/>
              <w:sz w:val="24"/>
            </w:rPr>
            <w:t>30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1"/>
            <w:adjustRightInd w:val="0"/>
            <w:snapToGrid w:val="0"/>
            <w:spacing w:before="0" w:line="440" w:lineRule="exact"/>
            <w:ind w:left="420" w:leftChars="200"/>
            <w:jc w:val="left"/>
            <w:rPr>
              <w:rFonts w:asciiTheme="minorEastAsia" w:hAnsiTheme="minorEastAsia" w:eastAsiaTheme="minorEastAsia"/>
              <w:sz w:val="24"/>
            </w:rPr>
          </w:pPr>
          <w:r>
            <w:fldChar w:fldCharType="begin"/>
          </w:r>
          <w:r>
            <w:instrText xml:space="preserve"> HYPERLINK \l "_Toc113952882" </w:instrText>
          </w:r>
          <w:r>
            <w:fldChar w:fldCharType="separate"/>
          </w:r>
          <w:r>
            <w:rPr>
              <w:rFonts w:hint="eastAsia" w:asciiTheme="minorEastAsia" w:hAnsiTheme="minorEastAsia" w:eastAsiaTheme="minorEastAsia"/>
              <w:sz w:val="24"/>
            </w:rPr>
            <w:t>六、一般公共预算财政拨款支出决算表</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_Toc113952882 \h </w:instrText>
          </w:r>
          <w:r>
            <w:rPr>
              <w:rFonts w:asciiTheme="minorEastAsia" w:hAnsiTheme="minorEastAsia" w:eastAsiaTheme="minorEastAsia"/>
              <w:sz w:val="24"/>
            </w:rPr>
            <w:fldChar w:fldCharType="separate"/>
          </w:r>
          <w:r>
            <w:rPr>
              <w:rFonts w:asciiTheme="minorEastAsia" w:hAnsiTheme="minorEastAsia" w:eastAsiaTheme="minorEastAsia"/>
              <w:sz w:val="24"/>
            </w:rPr>
            <w:t>30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1"/>
            <w:adjustRightInd w:val="0"/>
            <w:snapToGrid w:val="0"/>
            <w:spacing w:before="0" w:line="440" w:lineRule="exact"/>
            <w:ind w:left="420" w:leftChars="200"/>
            <w:jc w:val="left"/>
            <w:rPr>
              <w:rFonts w:asciiTheme="minorEastAsia" w:hAnsiTheme="minorEastAsia" w:eastAsiaTheme="minorEastAsia"/>
              <w:sz w:val="24"/>
            </w:rPr>
          </w:pPr>
          <w:r>
            <w:fldChar w:fldCharType="begin"/>
          </w:r>
          <w:r>
            <w:instrText xml:space="preserve"> HYPERLINK \l "_Toc113952883" </w:instrText>
          </w:r>
          <w:r>
            <w:fldChar w:fldCharType="separate"/>
          </w:r>
          <w:r>
            <w:rPr>
              <w:rFonts w:hint="eastAsia" w:asciiTheme="minorEastAsia" w:hAnsiTheme="minorEastAsia" w:eastAsiaTheme="minorEastAsia"/>
              <w:sz w:val="24"/>
            </w:rPr>
            <w:t>七、一般公共预算财政拨款支出决算明细表</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_Toc113952883 \h </w:instrText>
          </w:r>
          <w:r>
            <w:rPr>
              <w:rFonts w:asciiTheme="minorEastAsia" w:hAnsiTheme="minorEastAsia" w:eastAsiaTheme="minorEastAsia"/>
              <w:sz w:val="24"/>
            </w:rPr>
            <w:fldChar w:fldCharType="separate"/>
          </w:r>
          <w:r>
            <w:rPr>
              <w:rFonts w:asciiTheme="minorEastAsia" w:hAnsiTheme="minorEastAsia" w:eastAsiaTheme="minorEastAsia"/>
              <w:sz w:val="24"/>
            </w:rPr>
            <w:t>30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1"/>
            <w:adjustRightInd w:val="0"/>
            <w:snapToGrid w:val="0"/>
            <w:spacing w:before="0" w:line="440" w:lineRule="exact"/>
            <w:ind w:left="420" w:leftChars="200"/>
            <w:jc w:val="left"/>
            <w:rPr>
              <w:rFonts w:asciiTheme="minorEastAsia" w:hAnsiTheme="minorEastAsia" w:eastAsiaTheme="minorEastAsia"/>
              <w:sz w:val="24"/>
            </w:rPr>
          </w:pPr>
          <w:r>
            <w:fldChar w:fldCharType="begin"/>
          </w:r>
          <w:r>
            <w:instrText xml:space="preserve"> HYPERLINK \l "_Toc113952884" </w:instrText>
          </w:r>
          <w:r>
            <w:fldChar w:fldCharType="separate"/>
          </w:r>
          <w:r>
            <w:rPr>
              <w:rFonts w:hint="eastAsia" w:asciiTheme="minorEastAsia" w:hAnsiTheme="minorEastAsia" w:eastAsiaTheme="minorEastAsia"/>
              <w:sz w:val="24"/>
            </w:rPr>
            <w:t>八、一般公共预算财政拨款基本支出决算表</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_Toc113952884 \h </w:instrText>
          </w:r>
          <w:r>
            <w:rPr>
              <w:rFonts w:asciiTheme="minorEastAsia" w:hAnsiTheme="minorEastAsia" w:eastAsiaTheme="minorEastAsia"/>
              <w:sz w:val="24"/>
            </w:rPr>
            <w:fldChar w:fldCharType="separate"/>
          </w:r>
          <w:r>
            <w:rPr>
              <w:rFonts w:asciiTheme="minorEastAsia" w:hAnsiTheme="minorEastAsia" w:eastAsiaTheme="minorEastAsia"/>
              <w:sz w:val="24"/>
            </w:rPr>
            <w:t>30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1"/>
            <w:adjustRightInd w:val="0"/>
            <w:snapToGrid w:val="0"/>
            <w:spacing w:before="0" w:line="440" w:lineRule="exact"/>
            <w:ind w:left="420" w:leftChars="200"/>
            <w:jc w:val="left"/>
            <w:rPr>
              <w:rFonts w:asciiTheme="minorEastAsia" w:hAnsiTheme="minorEastAsia" w:eastAsiaTheme="minorEastAsia"/>
              <w:sz w:val="24"/>
            </w:rPr>
          </w:pPr>
          <w:r>
            <w:fldChar w:fldCharType="begin"/>
          </w:r>
          <w:r>
            <w:instrText xml:space="preserve"> HYPERLINK \l "_Toc113952885" </w:instrText>
          </w:r>
          <w:r>
            <w:fldChar w:fldCharType="separate"/>
          </w:r>
          <w:r>
            <w:rPr>
              <w:rFonts w:hint="eastAsia" w:asciiTheme="minorEastAsia" w:hAnsiTheme="minorEastAsia" w:eastAsiaTheme="minorEastAsia"/>
              <w:sz w:val="24"/>
            </w:rPr>
            <w:t>九、一般公共预算财政拨款项目支出决算表</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_Toc113952885 \h </w:instrText>
          </w:r>
          <w:r>
            <w:rPr>
              <w:rFonts w:asciiTheme="minorEastAsia" w:hAnsiTheme="minorEastAsia" w:eastAsiaTheme="minorEastAsia"/>
              <w:sz w:val="24"/>
            </w:rPr>
            <w:fldChar w:fldCharType="separate"/>
          </w:r>
          <w:r>
            <w:rPr>
              <w:rFonts w:asciiTheme="minorEastAsia" w:hAnsiTheme="minorEastAsia" w:eastAsiaTheme="minorEastAsia"/>
              <w:sz w:val="24"/>
            </w:rPr>
            <w:t>30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1"/>
            <w:adjustRightInd w:val="0"/>
            <w:snapToGrid w:val="0"/>
            <w:spacing w:before="0" w:line="440" w:lineRule="exact"/>
            <w:ind w:left="420" w:leftChars="200"/>
            <w:jc w:val="left"/>
            <w:rPr>
              <w:rFonts w:asciiTheme="minorEastAsia" w:hAnsiTheme="minorEastAsia" w:eastAsiaTheme="minorEastAsia"/>
              <w:sz w:val="24"/>
            </w:rPr>
          </w:pPr>
          <w:r>
            <w:fldChar w:fldCharType="begin"/>
          </w:r>
          <w:r>
            <w:instrText xml:space="preserve"> HYPERLINK \l "_Toc113952886" </w:instrText>
          </w:r>
          <w:r>
            <w:fldChar w:fldCharType="separate"/>
          </w:r>
          <w:r>
            <w:rPr>
              <w:rFonts w:hint="eastAsia" w:asciiTheme="minorEastAsia" w:hAnsiTheme="minorEastAsia" w:eastAsiaTheme="minorEastAsia"/>
              <w:sz w:val="24"/>
            </w:rPr>
            <w:t>十、一般公共预算财政拨款“三公”经费支出决算表</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_Toc113952886 \h </w:instrText>
          </w:r>
          <w:r>
            <w:rPr>
              <w:rFonts w:asciiTheme="minorEastAsia" w:hAnsiTheme="minorEastAsia" w:eastAsiaTheme="minorEastAsia"/>
              <w:sz w:val="24"/>
            </w:rPr>
            <w:fldChar w:fldCharType="separate"/>
          </w:r>
          <w:r>
            <w:rPr>
              <w:rFonts w:asciiTheme="minorEastAsia" w:hAnsiTheme="minorEastAsia" w:eastAsiaTheme="minorEastAsia"/>
              <w:sz w:val="24"/>
            </w:rPr>
            <w:t>30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1"/>
            <w:adjustRightInd w:val="0"/>
            <w:snapToGrid w:val="0"/>
            <w:spacing w:before="0" w:line="440" w:lineRule="exact"/>
            <w:ind w:left="420" w:leftChars="200"/>
            <w:jc w:val="left"/>
            <w:rPr>
              <w:rFonts w:asciiTheme="minorEastAsia" w:hAnsiTheme="minorEastAsia" w:eastAsiaTheme="minorEastAsia"/>
              <w:sz w:val="24"/>
            </w:rPr>
          </w:pPr>
          <w:r>
            <w:fldChar w:fldCharType="begin"/>
          </w:r>
          <w:r>
            <w:instrText xml:space="preserve"> HYPERLINK \l "_Toc113952887" </w:instrText>
          </w:r>
          <w:r>
            <w:fldChar w:fldCharType="separate"/>
          </w:r>
          <w:r>
            <w:rPr>
              <w:rFonts w:hint="eastAsia" w:asciiTheme="minorEastAsia" w:hAnsiTheme="minorEastAsia" w:eastAsiaTheme="minorEastAsia"/>
              <w:sz w:val="24"/>
            </w:rPr>
            <w:t>十一、政府性基金预算财政拨款收入支出决算表</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_Toc113952887 \h </w:instrText>
          </w:r>
          <w:r>
            <w:rPr>
              <w:rFonts w:asciiTheme="minorEastAsia" w:hAnsiTheme="minorEastAsia" w:eastAsiaTheme="minorEastAsia"/>
              <w:sz w:val="24"/>
            </w:rPr>
            <w:fldChar w:fldCharType="separate"/>
          </w:r>
          <w:r>
            <w:rPr>
              <w:rFonts w:asciiTheme="minorEastAsia" w:hAnsiTheme="minorEastAsia" w:eastAsiaTheme="minorEastAsia"/>
              <w:sz w:val="24"/>
            </w:rPr>
            <w:t>30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1"/>
            <w:adjustRightInd w:val="0"/>
            <w:snapToGrid w:val="0"/>
            <w:spacing w:before="0" w:line="440" w:lineRule="exact"/>
            <w:ind w:left="420" w:leftChars="200"/>
            <w:jc w:val="left"/>
            <w:rPr>
              <w:rFonts w:asciiTheme="minorEastAsia" w:hAnsiTheme="minorEastAsia" w:eastAsiaTheme="minorEastAsia"/>
              <w:sz w:val="24"/>
            </w:rPr>
          </w:pPr>
          <w:r>
            <w:fldChar w:fldCharType="begin"/>
          </w:r>
          <w:r>
            <w:instrText xml:space="preserve"> HYPERLINK \l "_Toc113952888" </w:instrText>
          </w:r>
          <w:r>
            <w:fldChar w:fldCharType="separate"/>
          </w:r>
          <w:r>
            <w:rPr>
              <w:rFonts w:hint="eastAsia" w:asciiTheme="minorEastAsia" w:hAnsiTheme="minorEastAsia" w:eastAsiaTheme="minorEastAsia"/>
              <w:sz w:val="24"/>
            </w:rPr>
            <w:t>十二、政府性基金预算财政拨款“三公”经费支出决算表</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_Toc113952888 \h </w:instrText>
          </w:r>
          <w:r>
            <w:rPr>
              <w:rFonts w:asciiTheme="minorEastAsia" w:hAnsiTheme="minorEastAsia" w:eastAsiaTheme="minorEastAsia"/>
              <w:sz w:val="24"/>
            </w:rPr>
            <w:fldChar w:fldCharType="separate"/>
          </w:r>
          <w:r>
            <w:rPr>
              <w:rFonts w:asciiTheme="minorEastAsia" w:hAnsiTheme="minorEastAsia" w:eastAsiaTheme="minorEastAsia"/>
              <w:sz w:val="24"/>
            </w:rPr>
            <w:t>31</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1"/>
            <w:adjustRightInd w:val="0"/>
            <w:snapToGrid w:val="0"/>
            <w:spacing w:before="0" w:line="440" w:lineRule="exact"/>
            <w:ind w:left="420" w:leftChars="200"/>
            <w:jc w:val="left"/>
            <w:rPr>
              <w:rFonts w:asciiTheme="minorEastAsia" w:hAnsiTheme="minorEastAsia" w:eastAsiaTheme="minorEastAsia"/>
              <w:sz w:val="24"/>
            </w:rPr>
          </w:pPr>
          <w:r>
            <w:fldChar w:fldCharType="begin"/>
          </w:r>
          <w:r>
            <w:instrText xml:space="preserve"> HYPERLINK \l "_Toc113952889" </w:instrText>
          </w:r>
          <w:r>
            <w:fldChar w:fldCharType="separate"/>
          </w:r>
          <w:r>
            <w:rPr>
              <w:rFonts w:hint="eastAsia" w:asciiTheme="minorEastAsia" w:hAnsiTheme="minorEastAsia" w:eastAsiaTheme="minorEastAsia"/>
              <w:sz w:val="24"/>
            </w:rPr>
            <w:t>十三、国有资本经营预算财政拨款收入支出决算表</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_Toc113952889 \h </w:instrText>
          </w:r>
          <w:r>
            <w:rPr>
              <w:rFonts w:asciiTheme="minorEastAsia" w:hAnsiTheme="minorEastAsia" w:eastAsiaTheme="minorEastAsia"/>
              <w:sz w:val="24"/>
            </w:rPr>
            <w:fldChar w:fldCharType="separate"/>
          </w:r>
          <w:r>
            <w:rPr>
              <w:rFonts w:asciiTheme="minorEastAsia" w:hAnsiTheme="minorEastAsia" w:eastAsiaTheme="minorEastAsia"/>
              <w:sz w:val="24"/>
            </w:rPr>
            <w:t>31</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1"/>
            <w:adjustRightInd w:val="0"/>
            <w:snapToGrid w:val="0"/>
            <w:spacing w:before="0" w:line="440" w:lineRule="exact"/>
            <w:ind w:left="420" w:leftChars="200"/>
            <w:jc w:val="left"/>
            <w:rPr>
              <w:rFonts w:asciiTheme="minorEastAsia" w:hAnsiTheme="minorEastAsia" w:eastAsiaTheme="minorEastAsia"/>
              <w:sz w:val="24"/>
            </w:rPr>
          </w:pPr>
          <w:r>
            <w:fldChar w:fldCharType="begin"/>
          </w:r>
          <w:r>
            <w:instrText xml:space="preserve"> HYPERLINK \l "_Toc113952890" </w:instrText>
          </w:r>
          <w:r>
            <w:fldChar w:fldCharType="separate"/>
          </w:r>
          <w:r>
            <w:rPr>
              <w:rFonts w:hint="eastAsia" w:asciiTheme="minorEastAsia" w:hAnsiTheme="minorEastAsia" w:eastAsiaTheme="minorEastAsia"/>
              <w:sz w:val="24"/>
            </w:rPr>
            <w:t>十四、国有资本经营预算财政拨款支出决算表</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_Toc113952890 \h </w:instrText>
          </w:r>
          <w:r>
            <w:rPr>
              <w:rFonts w:asciiTheme="minorEastAsia" w:hAnsiTheme="minorEastAsia" w:eastAsiaTheme="minorEastAsia"/>
              <w:sz w:val="24"/>
            </w:rPr>
            <w:fldChar w:fldCharType="separate"/>
          </w:r>
          <w:r>
            <w:rPr>
              <w:rFonts w:asciiTheme="minorEastAsia" w:hAnsiTheme="minorEastAsia" w:eastAsiaTheme="minorEastAsia"/>
              <w:sz w:val="24"/>
            </w:rPr>
            <w:t>31</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1"/>
            <w:adjustRightInd w:val="0"/>
            <w:snapToGrid w:val="0"/>
            <w:spacing w:before="0" w:line="440" w:lineRule="exact"/>
            <w:jc w:val="left"/>
          </w:pPr>
          <w:r>
            <w:rPr>
              <w:sz w:val="24"/>
            </w:rPr>
            <w:fldChar w:fldCharType="end"/>
          </w:r>
        </w:p>
      </w:sdtContent>
    </w:sdt>
    <w:p>
      <w:bookmarkStart w:id="14" w:name="_Toc15377196"/>
      <w:bookmarkStart w:id="15" w:name="_Toc113952847"/>
      <w:bookmarkStart w:id="16" w:name="_Toc15396599"/>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3"/>
        <w:jc w:val="center"/>
        <w:rPr>
          <w:rFonts w:ascii="黑体" w:hAnsi="黑体" w:eastAsia="黑体"/>
          <w:bCs w:val="0"/>
        </w:rPr>
      </w:pPr>
      <w:r>
        <w:rPr>
          <w:rFonts w:hint="eastAsia" w:ascii="黑体" w:hAnsi="黑体" w:eastAsia="黑体"/>
          <w:b w:val="0"/>
        </w:rPr>
        <w:t>第一部分 单位</w:t>
      </w:r>
      <w:r>
        <w:rPr>
          <w:rStyle w:val="25"/>
          <w:rFonts w:hint="eastAsia" w:ascii="黑体" w:hAnsi="黑体" w:eastAsia="黑体"/>
          <w:b w:val="0"/>
          <w:bCs w:val="0"/>
        </w:rPr>
        <w:t>概况</w:t>
      </w:r>
      <w:bookmarkEnd w:id="14"/>
      <w:bookmarkEnd w:id="15"/>
      <w:bookmarkEnd w:id="16"/>
    </w:p>
    <w:p>
      <w:pPr>
        <w:pStyle w:val="4"/>
        <w:numPr>
          <w:ilvl w:val="0"/>
          <w:numId w:val="1"/>
        </w:numPr>
        <w:rPr>
          <w:rStyle w:val="26"/>
          <w:rFonts w:ascii="黑体" w:hAnsi="黑体" w:eastAsia="黑体"/>
          <w:b w:val="0"/>
          <w:bCs w:val="0"/>
        </w:rPr>
      </w:pPr>
      <w:bookmarkStart w:id="17" w:name="_Toc113952848"/>
      <w:bookmarkStart w:id="18" w:name="_Toc15396600"/>
      <w:bookmarkStart w:id="19" w:name="_Toc15377197"/>
      <w:r>
        <w:rPr>
          <w:rStyle w:val="26"/>
          <w:rFonts w:hint="eastAsia" w:ascii="黑体" w:hAnsi="黑体" w:eastAsia="黑体"/>
          <w:b w:val="0"/>
          <w:bCs w:val="0"/>
        </w:rPr>
        <w:t>职能简介</w:t>
      </w:r>
      <w:bookmarkEnd w:id="17"/>
    </w:p>
    <w:p>
      <w:pPr>
        <w:ind w:firstLine="640" w:firstLineChars="200"/>
        <w:rPr>
          <w:rFonts w:cs="仿宋_GB2312" w:hAnsiTheme="minorEastAsia"/>
          <w:color w:val="000000" w:themeColor="text1"/>
          <w:sz w:val="32"/>
          <w:szCs w:val="32"/>
        </w:rPr>
      </w:pPr>
      <w:r>
        <w:rPr>
          <w:rFonts w:hint="eastAsia" w:cs="仿宋_GB2312" w:hAnsiTheme="minorEastAsia"/>
          <w:color w:val="000000" w:themeColor="text1"/>
          <w:sz w:val="32"/>
          <w:szCs w:val="32"/>
        </w:rPr>
        <w:t>我单位主要职责是受市住房和城乡建设局委托，负责对市局办理完成质量安全监督备案手续的房屋建筑和市政基础设施工程，以及有关市级重点工程的工程质量责任主体的质量行为、责任主体的安全生产行为、工程实体质量和施工现场安全生产实体防护状况实施监督；负责对文明施工、扬尘防治等进行检查；负责对防雷、水电燃气安装、通风与空调等安装工程，工程项目施工过程的消防设施建设等工程质量实施监督；负责市局监管项目工程质量安全投诉处理协调工作；负责全市工程质量检测机构的管理、项目监理机构工作质量考评具体事务性工作；负责建筑工地远程视频监管的代管工作；负责建筑工地质量安全标椎化建设、建筑企业项目评优工作；参与消防工程、防雷工程过程检查及验收工作，并承担相关事务性、技术性工作；对县（区）工程质量安全监督机构开展业务指导；负责收集汇总上报本市工程质量安全信息统计工作。</w:t>
      </w:r>
    </w:p>
    <w:p>
      <w:pPr>
        <w:pStyle w:val="4"/>
        <w:rPr>
          <w:rFonts w:ascii="黑体" w:hAnsi="黑体" w:eastAsia="黑体"/>
          <w:b w:val="0"/>
        </w:rPr>
      </w:pPr>
      <w:bookmarkStart w:id="20" w:name="_Toc113952849"/>
      <w:r>
        <w:rPr>
          <w:rFonts w:hint="eastAsia" w:ascii="黑体" w:hAnsi="黑体" w:eastAsia="黑体"/>
          <w:b w:val="0"/>
        </w:rPr>
        <w:t>二、2021年重点工作</w:t>
      </w:r>
      <w:bookmarkEnd w:id="18"/>
      <w:bookmarkEnd w:id="19"/>
      <w:r>
        <w:rPr>
          <w:rFonts w:hint="eastAsia" w:ascii="黑体" w:hAnsi="黑体" w:eastAsia="黑体"/>
          <w:b w:val="0"/>
        </w:rPr>
        <w:t>完成情况</w:t>
      </w:r>
      <w:bookmarkEnd w:id="20"/>
    </w:p>
    <w:p>
      <w:pPr>
        <w:ind w:firstLine="640" w:firstLineChars="200"/>
        <w:rPr>
          <w:sz w:val="32"/>
        </w:rPr>
      </w:pPr>
      <w:r>
        <w:rPr>
          <w:rFonts w:hint="eastAsia"/>
          <w:sz w:val="32"/>
        </w:rPr>
        <w:t>2021年我站监督的工程项目有65个(46个房建、19个市政)，建筑面积281.9万余平方米，其中14个属于提前介入项目。到目前已完成竣工验收13个项目（房建10个、市政3个），面积28.4万平方米。工程竣工验收合格率100%。其中由我站监管的市政务服务中心项目一期工程成为攀枝花首个获得2020—2021年度国家优质工程奖的公共建筑，填补了我市建筑行业在国家优质工程的空白。</w:t>
      </w:r>
    </w:p>
    <w:p>
      <w:pPr>
        <w:ind w:firstLine="643" w:firstLineChars="200"/>
        <w:rPr>
          <w:rFonts w:ascii="楷体" w:hAnsi="楷体" w:eastAsia="楷体"/>
          <w:b/>
          <w:sz w:val="32"/>
          <w:szCs w:val="32"/>
        </w:rPr>
      </w:pPr>
      <w:r>
        <w:rPr>
          <w:rFonts w:hint="eastAsia" w:ascii="楷体" w:hAnsi="楷体" w:eastAsia="楷体"/>
          <w:b/>
          <w:sz w:val="32"/>
          <w:szCs w:val="32"/>
        </w:rPr>
        <w:t>（一）加大工程质量监督力度，提升质量管理水平。</w:t>
      </w:r>
    </w:p>
    <w:p>
      <w:pPr>
        <w:pStyle w:val="2"/>
        <w:spacing w:before="93"/>
        <w:ind w:firstLine="640" w:firstLineChars="200"/>
        <w:rPr>
          <w:rFonts w:ascii="Times New Roman" w:eastAsia="宋体"/>
          <w:kern w:val="2"/>
          <w:sz w:val="32"/>
        </w:rPr>
      </w:pPr>
      <w:r>
        <w:rPr>
          <w:rFonts w:hint="eastAsia" w:ascii="Times New Roman" w:eastAsia="宋体"/>
          <w:kern w:val="2"/>
          <w:sz w:val="32"/>
        </w:rPr>
        <w:t>我站全年审核各种申报资料885份。开展现场实体质量监督检查（含巡查）470次，发出《整改通知书》20份，《停工通知书》1份，质量问题处理合格率100%。委托第三方检测机构开展工程质量监督抽测工作，对16个项目的45个单位工程进行了工程质量监督抽测，共抽测290个构件。2021年至今共对10个工程项目开展监理考评工作，下达整改通知书5份，督促监理单位针对存在的问题逐项整改。积极开展“地条钢”专项检查工作，通过查看钢筋进场验收记录、见证取样送检台账、进场复检报告等资料，随机抽查现场堆放钢筋吊牌及钢筋外观质量，以及由我站委托第三方检测机构取样抽测等方式，继续有效的规范了各方钢筋使用行为。积极组织筹备并召开了2021年度质量安全观摩会，市质安站积极为全市建筑企业项目搭建平台。全市16家建设工程检测机构共完成各类检测项目217726组，不合格检测报告共39份，完成总产值约2800万。全年市质安站共受理工程质量安全投诉53件，均已处理完毕。</w:t>
      </w:r>
    </w:p>
    <w:p>
      <w:pPr>
        <w:pStyle w:val="2"/>
        <w:spacing w:before="93"/>
        <w:ind w:firstLine="643" w:firstLineChars="200"/>
        <w:rPr>
          <w:rFonts w:ascii="楷体" w:hAnsi="楷体" w:eastAsia="楷体" w:cs="仿宋_GB2312"/>
          <w:b/>
          <w:kern w:val="2"/>
          <w:sz w:val="32"/>
          <w:szCs w:val="32"/>
        </w:rPr>
      </w:pPr>
      <w:r>
        <w:rPr>
          <w:rFonts w:hint="eastAsia" w:ascii="楷体" w:hAnsi="楷体" w:eastAsia="楷体" w:cs="仿宋_GB2312"/>
          <w:b/>
          <w:kern w:val="2"/>
          <w:sz w:val="32"/>
          <w:szCs w:val="32"/>
        </w:rPr>
        <w:t>（二）稳定安全生产形势，持续开展安全生产大检查</w:t>
      </w:r>
    </w:p>
    <w:p>
      <w:pPr>
        <w:pStyle w:val="31"/>
        <w:spacing w:line="560" w:lineRule="exact"/>
        <w:ind w:firstLine="640" w:firstLineChars="200"/>
        <w:rPr>
          <w:kern w:val="2"/>
          <w:sz w:val="32"/>
          <w:szCs w:val="24"/>
        </w:rPr>
      </w:pPr>
      <w:r>
        <w:rPr>
          <w:rFonts w:hint="eastAsia"/>
          <w:kern w:val="2"/>
          <w:sz w:val="32"/>
          <w:szCs w:val="24"/>
        </w:rPr>
        <w:t>截至目前，我站共开展安全计划监督检查、专项检查及日常巡查合计250余次、出动工作人员600余（人次），下发整改通知书81份，停工通知书15份，出具综合评分表16份，向市住房城乡建设局报送项目问题处置报告21份。加大安全隐患检查力度，确保工程项目安全生产形势平稳，并开展建筑施工安全生产百日攻坚行动。按照我站2021年建筑起重机械专项检查方案的要求，对我站在监项目开展了建筑起重机械专项检查，重点针对安全生产责任制、从业人员持证上岗、安全专项施工方案管理等情况进行检查；持续开展扬尘治理专项检查，配合局质安科开展智慧工地平台建设工作；通过开展“四不两直”督查工作，对各县（区）质安站进行层级监督和业务指导工作，深入县（区）项目一线施工作业区域开展检查、指导，重点检查各县（区）监督机构危大工程管理，疫情防控、防汛减灾、扬尘污染防治等工作落实情况。积极开展各类会议培训，提升自身及行业业务水平。</w:t>
      </w:r>
    </w:p>
    <w:p>
      <w:pPr>
        <w:pStyle w:val="31"/>
        <w:spacing w:line="560" w:lineRule="exact"/>
        <w:ind w:firstLine="643" w:firstLineChars="200"/>
        <w:rPr>
          <w:rFonts w:ascii="楷体" w:hAnsi="楷体" w:eastAsia="楷体" w:cs="仿宋"/>
          <w:b/>
          <w:sz w:val="32"/>
          <w:szCs w:val="32"/>
        </w:rPr>
      </w:pPr>
      <w:r>
        <w:rPr>
          <w:rFonts w:hint="eastAsia" w:ascii="楷体" w:hAnsi="楷体" w:eastAsia="楷体" w:cs="仿宋"/>
          <w:b/>
          <w:sz w:val="32"/>
          <w:szCs w:val="32"/>
        </w:rPr>
        <w:t>（三）做好中央、省级各项迎检工作，积极准备迎检材料</w:t>
      </w:r>
    </w:p>
    <w:p>
      <w:pPr>
        <w:pStyle w:val="31"/>
        <w:spacing w:line="560" w:lineRule="exact"/>
        <w:ind w:firstLine="640" w:firstLineChars="200"/>
        <w:rPr>
          <w:kern w:val="2"/>
          <w:sz w:val="32"/>
          <w:szCs w:val="24"/>
        </w:rPr>
      </w:pPr>
      <w:r>
        <w:rPr>
          <w:rFonts w:hint="eastAsia"/>
          <w:kern w:val="2"/>
          <w:sz w:val="32"/>
          <w:szCs w:val="24"/>
        </w:rPr>
        <w:t>为做好中央、省环保督察迎检工作，全力配合市住房城乡建设局，提供环保督察印证资料电子材料2次、纸质材料2次，合计280余份资料；编写环境保护工作报告2份，提交环保督察问题清单整改情况印证资料电子材料2次、纸质材料2次，合计40余份资料；提供2021年扬尘污染防治巡查印证资料1次，合计100余份。依照分工分组，对分工项目开展扬尘污染防治巡查40余次，对恒大边坡、交警三大队边坡、市民体育公园等项目的扬尘污染防治问题形成了处置报告。编制了扬尘污染防治工作方案，采取包联分工的方式，对项目开展扬尘污染防治管控。筹备迎检资料和补充资料400余份，编写迎接中央环保督察专报3篇，真实详细展示自身工作开展情况。通过全站职工共同努力，安全包联项目未有受到中央环保督察通报的情况，取得了较好的扬尘污染防治工作成效。</w:t>
      </w:r>
    </w:p>
    <w:p>
      <w:pPr>
        <w:pStyle w:val="4"/>
        <w:rPr>
          <w:rFonts w:ascii="黑体" w:hAnsi="黑体" w:eastAsia="黑体"/>
          <w:b w:val="0"/>
          <w:color w:val="auto"/>
        </w:rPr>
      </w:pPr>
      <w:r>
        <w:rPr>
          <w:rFonts w:hint="eastAsia" w:ascii="黑体" w:hAnsi="黑体" w:eastAsia="黑体"/>
          <w:b w:val="0"/>
          <w:color w:val="auto"/>
        </w:rPr>
        <w:t>三、机构设置</w:t>
      </w:r>
    </w:p>
    <w:p>
      <w:pPr>
        <w:ind w:firstLine="640" w:firstLineChars="200"/>
        <w:rPr>
          <w:rFonts w:hint="eastAsia"/>
          <w:color w:val="auto"/>
          <w:sz w:val="32"/>
        </w:rPr>
      </w:pPr>
      <w:r>
        <w:rPr>
          <w:color w:val="auto"/>
          <w:sz w:val="32"/>
        </w:rPr>
        <w:t>攀枝花市建设</w:t>
      </w:r>
      <w:r>
        <w:rPr>
          <w:rFonts w:hint="eastAsia"/>
          <w:color w:val="auto"/>
          <w:sz w:val="32"/>
        </w:rPr>
        <w:t>工程质量安全站属于攀枝花市住房和城乡建设局下属的二级预算单位，下设独立编制机构0个，其中行政机构0个，参照公务员法管理的事业机构0个，其他事业机构0个。</w:t>
      </w:r>
    </w:p>
    <w:p>
      <w:pPr>
        <w:widowControl/>
        <w:jc w:val="left"/>
        <w:rPr>
          <w:rFonts w:ascii="仿宋" w:hAnsi="仿宋" w:eastAsia="仿宋"/>
          <w:sz w:val="32"/>
          <w:szCs w:val="32"/>
        </w:rPr>
      </w:pPr>
    </w:p>
    <w:p>
      <w:pPr>
        <w:pStyle w:val="2"/>
        <w:spacing w:before="93"/>
      </w:pPr>
    </w:p>
    <w:p>
      <w:pPr>
        <w:pStyle w:val="2"/>
        <w:spacing w:before="93"/>
      </w:pPr>
    </w:p>
    <w:p>
      <w:pPr>
        <w:pStyle w:val="2"/>
        <w:spacing w:before="93"/>
      </w:pPr>
    </w:p>
    <w:p>
      <w:pPr>
        <w:pStyle w:val="2"/>
        <w:spacing w:before="93"/>
      </w:pPr>
    </w:p>
    <w:p>
      <w:pPr>
        <w:pStyle w:val="2"/>
        <w:spacing w:before="93"/>
      </w:pPr>
    </w:p>
    <w:p>
      <w:pPr>
        <w:pStyle w:val="3"/>
        <w:ind w:right="440"/>
        <w:jc w:val="center"/>
        <w:rPr>
          <w:rStyle w:val="25"/>
          <w:rFonts w:ascii="黑体" w:hAnsi="黑体" w:eastAsia="黑体"/>
          <w:b w:val="0"/>
          <w:bCs/>
        </w:rPr>
      </w:pPr>
      <w:bookmarkStart w:id="21" w:name="_Toc113952850"/>
      <w:bookmarkStart w:id="22" w:name="_Toc15396602"/>
      <w:bookmarkStart w:id="23" w:name="_Toc15377204"/>
      <w:r>
        <w:rPr>
          <w:rFonts w:hint="eastAsia" w:ascii="黑体" w:hAnsi="黑体" w:eastAsia="黑体"/>
          <w:b w:val="0"/>
        </w:rPr>
        <w:t>第二部分 2021年度</w:t>
      </w:r>
      <w:r>
        <w:rPr>
          <w:rStyle w:val="25"/>
          <w:rFonts w:hint="eastAsia" w:ascii="黑体" w:hAnsi="黑体" w:eastAsia="黑体"/>
          <w:b w:val="0"/>
          <w:bCs/>
        </w:rPr>
        <w:t>单位决算情况说明</w:t>
      </w:r>
      <w:bookmarkEnd w:id="21"/>
      <w:bookmarkEnd w:id="22"/>
      <w:bookmarkEnd w:id="23"/>
    </w:p>
    <w:p/>
    <w:p>
      <w:pPr>
        <w:pStyle w:val="24"/>
        <w:numPr>
          <w:ilvl w:val="0"/>
          <w:numId w:val="2"/>
        </w:numPr>
        <w:spacing w:line="600" w:lineRule="exact"/>
        <w:ind w:firstLineChars="0"/>
        <w:outlineLvl w:val="1"/>
        <w:rPr>
          <w:rStyle w:val="26"/>
          <w:rFonts w:ascii="黑体" w:hAnsi="黑体" w:eastAsia="黑体"/>
          <w:b w:val="0"/>
        </w:rPr>
      </w:pPr>
      <w:bookmarkStart w:id="24" w:name="_Toc15396603"/>
      <w:bookmarkStart w:id="25" w:name="_Toc15377205"/>
      <w:bookmarkStart w:id="26" w:name="_Toc113952851"/>
      <w:r>
        <w:rPr>
          <w:rFonts w:hint="eastAsia" w:ascii="黑体" w:hAnsi="黑体" w:eastAsia="黑体"/>
          <w:sz w:val="32"/>
          <w:szCs w:val="32"/>
        </w:rPr>
        <w:t>收</w:t>
      </w:r>
      <w:r>
        <w:rPr>
          <w:rStyle w:val="26"/>
          <w:rFonts w:hint="eastAsia" w:ascii="黑体" w:hAnsi="黑体" w:eastAsia="黑体"/>
          <w:b w:val="0"/>
        </w:rPr>
        <w:t>入支出决算总体情况说明</w:t>
      </w:r>
      <w:bookmarkEnd w:id="24"/>
      <w:bookmarkEnd w:id="25"/>
      <w:bookmarkEnd w:id="26"/>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2021年度收、支总计932.37万元。与2020年相比，收、支总计各增加11.02万元，增长1.20</w:t>
      </w:r>
      <w:r>
        <w:rPr>
          <w:rFonts w:ascii="仿宋" w:hAnsi="仿宋" w:eastAsia="仿宋"/>
          <w:sz w:val="32"/>
          <w:szCs w:val="32"/>
        </w:rPr>
        <w:t>%</w:t>
      </w:r>
      <w:r>
        <w:rPr>
          <w:rFonts w:hint="eastAsia" w:ascii="仿宋" w:hAnsi="仿宋" w:eastAsia="仿宋"/>
          <w:sz w:val="32"/>
          <w:szCs w:val="32"/>
        </w:rPr>
        <w:t>。主要变动原因是人员经费增加。</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
        <w:spacing w:before="93"/>
        <w:ind w:firstLine="750" w:firstLineChars="250"/>
      </w:pPr>
      <w:r>
        <w:rPr>
          <w:rFonts w:hint="eastAsia"/>
        </w:rPr>
        <w:drawing>
          <wp:anchor distT="0" distB="0" distL="114300" distR="114300" simplePos="0" relativeHeight="251663360" behindDoc="1" locked="0" layoutInCell="1" allowOverlap="1">
            <wp:simplePos x="0" y="0"/>
            <wp:positionH relativeFrom="column">
              <wp:posOffset>333375</wp:posOffset>
            </wp:positionH>
            <wp:positionV relativeFrom="paragraph">
              <wp:posOffset>124460</wp:posOffset>
            </wp:positionV>
            <wp:extent cx="4543425" cy="3060065"/>
            <wp:effectExtent l="0" t="0" r="9525" b="64135"/>
            <wp:wrapTight wrapText="bothSides">
              <wp:wrapPolygon>
                <wp:start x="0" y="0"/>
                <wp:lineTo x="0" y="21515"/>
                <wp:lineTo x="21555" y="21515"/>
                <wp:lineTo x="21555" y="0"/>
                <wp:lineTo x="0" y="0"/>
              </wp:wrapPolygon>
            </wp:wrapTight>
            <wp:docPr id="1" name="图片 1" descr="1689230444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9230444599"/>
                    <pic:cNvPicPr>
                      <a:picLocks noChangeAspect="1"/>
                    </pic:cNvPicPr>
                  </pic:nvPicPr>
                  <pic:blipFill>
                    <a:blip r:embed="rId6"/>
                    <a:stretch>
                      <a:fillRect/>
                    </a:stretch>
                  </pic:blipFill>
                  <pic:spPr>
                    <a:xfrm>
                      <a:off x="0" y="0"/>
                      <a:ext cx="4543425" cy="3060065"/>
                    </a:xfrm>
                    <a:prstGeom prst="rect">
                      <a:avLst/>
                    </a:prstGeom>
                  </pic:spPr>
                </pic:pic>
              </a:graphicData>
            </a:graphic>
          </wp:anchor>
        </w:drawing>
      </w:r>
    </w:p>
    <w:p>
      <w:pPr>
        <w:pStyle w:val="24"/>
        <w:numPr>
          <w:ilvl w:val="0"/>
          <w:numId w:val="2"/>
        </w:numPr>
        <w:spacing w:line="600" w:lineRule="exact"/>
        <w:ind w:firstLineChars="0"/>
        <w:outlineLvl w:val="1"/>
        <w:rPr>
          <w:rStyle w:val="26"/>
          <w:rFonts w:ascii="黑体" w:hAnsi="黑体" w:eastAsia="黑体"/>
          <w:b w:val="0"/>
        </w:rPr>
      </w:pPr>
      <w:bookmarkStart w:id="27" w:name="_Toc15377206"/>
      <w:bookmarkStart w:id="28" w:name="_Toc113952852"/>
      <w:bookmarkStart w:id="29" w:name="_Toc15396604"/>
      <w:r>
        <w:rPr>
          <w:rFonts w:hint="eastAsia" w:ascii="黑体" w:hAnsi="黑体" w:eastAsia="黑体"/>
          <w:sz w:val="32"/>
          <w:szCs w:val="32"/>
        </w:rPr>
        <w:t>收</w:t>
      </w:r>
      <w:r>
        <w:rPr>
          <w:rStyle w:val="26"/>
          <w:rFonts w:hint="eastAsia" w:ascii="黑体" w:hAnsi="黑体" w:eastAsia="黑体"/>
          <w:b w:val="0"/>
        </w:rPr>
        <w:t>入决算情况说明</w:t>
      </w:r>
      <w:bookmarkEnd w:id="27"/>
      <w:bookmarkEnd w:id="28"/>
      <w:bookmarkEnd w:id="29"/>
    </w:p>
    <w:p>
      <w:pPr>
        <w:spacing w:line="600" w:lineRule="exact"/>
        <w:ind w:firstLine="640" w:firstLineChars="200"/>
        <w:outlineLvl w:val="1"/>
        <w:rPr>
          <w:rFonts w:ascii="仿宋" w:hAnsi="仿宋" w:eastAsia="仿宋"/>
          <w:sz w:val="32"/>
          <w:szCs w:val="32"/>
        </w:rPr>
      </w:pPr>
      <w:bookmarkStart w:id="30" w:name="_Toc113952853"/>
      <w:r>
        <w:rPr>
          <w:rFonts w:ascii="仿宋" w:hAnsi="仿宋" w:eastAsia="仿宋"/>
          <w:sz w:val="32"/>
          <w:szCs w:val="32"/>
        </w:rPr>
        <w:t>20</w:t>
      </w:r>
      <w:r>
        <w:rPr>
          <w:rFonts w:hint="eastAsia" w:ascii="仿宋" w:hAnsi="仿宋" w:eastAsia="仿宋"/>
          <w:sz w:val="32"/>
          <w:szCs w:val="32"/>
        </w:rPr>
        <w:t>21年本年收入合计932.37万元，其中：一般公共预算财政拨款收入932.37万元，占100</w:t>
      </w:r>
      <w:r>
        <w:rPr>
          <w:rFonts w:ascii="仿宋" w:hAnsi="仿宋" w:eastAsia="仿宋"/>
          <w:sz w:val="32"/>
          <w:szCs w:val="32"/>
        </w:rPr>
        <w:t>%</w:t>
      </w:r>
      <w:r>
        <w:rPr>
          <w:rFonts w:hint="eastAsia" w:ascii="仿宋" w:hAnsi="仿宋" w:eastAsia="仿宋"/>
          <w:sz w:val="32"/>
          <w:szCs w:val="32"/>
        </w:rPr>
        <w:t>。</w:t>
      </w:r>
      <w:bookmarkEnd w:id="30"/>
    </w:p>
    <w:p>
      <w:pPr>
        <w:pStyle w:val="24"/>
        <w:numPr>
          <w:ilvl w:val="0"/>
          <w:numId w:val="2"/>
        </w:numPr>
        <w:spacing w:line="600" w:lineRule="exact"/>
        <w:ind w:firstLineChars="0"/>
        <w:outlineLvl w:val="1"/>
        <w:rPr>
          <w:rStyle w:val="26"/>
          <w:rFonts w:ascii="黑体" w:hAnsi="黑体" w:eastAsia="黑体"/>
          <w:b w:val="0"/>
        </w:rPr>
      </w:pPr>
      <w:bookmarkStart w:id="31" w:name="_Toc113952854"/>
      <w:bookmarkStart w:id="32" w:name="_Toc15377207"/>
      <w:bookmarkStart w:id="33" w:name="_Toc15396605"/>
      <w:r>
        <w:rPr>
          <w:rFonts w:hint="eastAsia" w:ascii="黑体" w:hAnsi="黑体" w:eastAsia="黑体"/>
          <w:sz w:val="32"/>
          <w:szCs w:val="32"/>
        </w:rPr>
        <w:t>支</w:t>
      </w:r>
      <w:r>
        <w:rPr>
          <w:rStyle w:val="26"/>
          <w:rFonts w:hint="eastAsia" w:ascii="黑体" w:hAnsi="黑体" w:eastAsia="黑体"/>
          <w:b w:val="0"/>
        </w:rPr>
        <w:t>出决算情况说明</w:t>
      </w:r>
      <w:bookmarkEnd w:id="31"/>
      <w:bookmarkEnd w:id="32"/>
      <w:bookmarkEnd w:id="33"/>
    </w:p>
    <w:p>
      <w:pPr>
        <w:spacing w:line="600" w:lineRule="exact"/>
        <w:ind w:firstLine="640" w:firstLineChars="200"/>
        <w:outlineLvl w:val="1"/>
        <w:rPr>
          <w:rFonts w:ascii="仿宋" w:hAnsi="仿宋" w:eastAsia="仿宋"/>
          <w:sz w:val="32"/>
          <w:szCs w:val="32"/>
        </w:rPr>
      </w:pPr>
      <w:bookmarkStart w:id="34" w:name="_Toc113952855"/>
      <w:r>
        <w:rPr>
          <w:rFonts w:ascii="仿宋" w:hAnsi="仿宋" w:eastAsia="仿宋"/>
          <w:sz w:val="32"/>
          <w:szCs w:val="32"/>
        </w:rPr>
        <w:t>20</w:t>
      </w:r>
      <w:r>
        <w:rPr>
          <w:rFonts w:hint="eastAsia" w:ascii="仿宋" w:hAnsi="仿宋" w:eastAsia="仿宋"/>
          <w:sz w:val="32"/>
          <w:szCs w:val="32"/>
        </w:rPr>
        <w:t>21年本年支出合计932.37万元，其中：基本支出715.17万元，占76.7</w:t>
      </w:r>
      <w:r>
        <w:rPr>
          <w:rFonts w:ascii="仿宋" w:hAnsi="仿宋" w:eastAsia="仿宋"/>
          <w:sz w:val="32"/>
          <w:szCs w:val="32"/>
        </w:rPr>
        <w:t>%</w:t>
      </w:r>
      <w:r>
        <w:rPr>
          <w:rFonts w:hint="eastAsia" w:ascii="仿宋" w:hAnsi="仿宋" w:eastAsia="仿宋"/>
          <w:sz w:val="32"/>
          <w:szCs w:val="32"/>
        </w:rPr>
        <w:t>；项目支出217.2万元，占23.3</w:t>
      </w:r>
      <w:r>
        <w:rPr>
          <w:rFonts w:ascii="仿宋" w:hAnsi="仿宋" w:eastAsia="仿宋"/>
          <w:sz w:val="32"/>
          <w:szCs w:val="32"/>
        </w:rPr>
        <w:t>%</w:t>
      </w:r>
      <w:r>
        <w:rPr>
          <w:rFonts w:hint="eastAsia" w:ascii="仿宋" w:hAnsi="仿宋" w:eastAsia="仿宋"/>
          <w:sz w:val="32"/>
          <w:szCs w:val="32"/>
        </w:rPr>
        <w:t>。</w:t>
      </w:r>
      <w:bookmarkEnd w:id="34"/>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（图2：支出决算结构图）（饼状图）</w:t>
      </w:r>
    </w:p>
    <w:p>
      <w:pPr>
        <w:pStyle w:val="2"/>
        <w:spacing w:before="93"/>
        <w:ind w:firstLine="450" w:firstLineChars="150"/>
      </w:pPr>
      <w:r>
        <w:drawing>
          <wp:inline distT="0" distB="0" distL="114300" distR="114300">
            <wp:extent cx="4598670" cy="3036570"/>
            <wp:effectExtent l="0" t="0" r="11430" b="1143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4596130" cy="3036570"/>
                    </a:xfrm>
                    <a:prstGeom prst="rect">
                      <a:avLst/>
                    </a:prstGeom>
                    <a:noFill/>
                    <a:ln>
                      <a:noFill/>
                    </a:ln>
                  </pic:spPr>
                </pic:pic>
              </a:graphicData>
            </a:graphic>
          </wp:inline>
        </w:drawing>
      </w:r>
      <w:bookmarkStart w:id="35" w:name="_Toc113952856"/>
      <w:bookmarkStart w:id="36" w:name="_Toc15396606"/>
      <w:bookmarkStart w:id="37" w:name="_Toc15377208"/>
    </w:p>
    <w:p>
      <w:pPr>
        <w:spacing w:line="600" w:lineRule="exact"/>
        <w:ind w:firstLine="640" w:firstLineChars="200"/>
        <w:outlineLvl w:val="1"/>
        <w:rPr>
          <w:rStyle w:val="26"/>
          <w:rFonts w:ascii="黑体" w:hAnsi="黑体" w:eastAsia="黑体"/>
          <w:b w:val="0"/>
        </w:rPr>
      </w:pPr>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35"/>
      <w:bookmarkEnd w:id="36"/>
      <w:bookmarkEnd w:id="37"/>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21年财政拨款收、支总计932.37万元。与</w:t>
      </w:r>
      <w:r>
        <w:rPr>
          <w:rFonts w:ascii="仿宋" w:hAnsi="仿宋" w:eastAsia="仿宋"/>
          <w:sz w:val="32"/>
          <w:szCs w:val="32"/>
        </w:rPr>
        <w:t>20</w:t>
      </w:r>
      <w:r>
        <w:rPr>
          <w:rFonts w:hint="eastAsia" w:ascii="仿宋" w:hAnsi="仿宋" w:eastAsia="仿宋"/>
          <w:sz w:val="32"/>
          <w:szCs w:val="32"/>
        </w:rPr>
        <w:t>20年相比，财政拨款收、支总计各增加11.02万元，增长1.20</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000000"/>
          <w:sz w:val="32"/>
          <w:szCs w:val="32"/>
        </w:rPr>
        <w:t>人员经费的增加</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（图3：财政拨款收、支决算总计变动情况）</w:t>
      </w:r>
    </w:p>
    <w:p>
      <w:pPr>
        <w:spacing w:line="600" w:lineRule="exact"/>
        <w:ind w:firstLine="640"/>
        <w:rPr>
          <w:rFonts w:ascii="仿宋" w:hAnsi="仿宋" w:eastAsia="仿宋"/>
          <w:b/>
          <w:sz w:val="32"/>
          <w:szCs w:val="32"/>
        </w:rPr>
      </w:pPr>
    </w:p>
    <w:p>
      <w:pPr>
        <w:spacing w:line="600" w:lineRule="exact"/>
        <w:ind w:firstLine="640"/>
        <w:rPr>
          <w:rFonts w:ascii="仿宋" w:hAnsi="仿宋" w:eastAsia="仿宋"/>
          <w:b/>
          <w:sz w:val="32"/>
          <w:szCs w:val="32"/>
        </w:rPr>
      </w:pPr>
      <w:r>
        <w:rPr>
          <w:rFonts w:hint="eastAsia" w:ascii="仿宋" w:hAnsi="仿宋" w:eastAsia="仿宋"/>
          <w:b/>
          <w:sz w:val="32"/>
          <w:szCs w:val="32"/>
        </w:rPr>
        <w:drawing>
          <wp:anchor distT="0" distB="0" distL="114300" distR="114300" simplePos="0" relativeHeight="251659264" behindDoc="1" locked="0" layoutInCell="1" allowOverlap="1">
            <wp:simplePos x="0" y="0"/>
            <wp:positionH relativeFrom="column">
              <wp:posOffset>352425</wp:posOffset>
            </wp:positionH>
            <wp:positionV relativeFrom="paragraph">
              <wp:posOffset>139065</wp:posOffset>
            </wp:positionV>
            <wp:extent cx="4590415" cy="3012440"/>
            <wp:effectExtent l="0" t="0" r="635" b="16510"/>
            <wp:wrapTight wrapText="bothSides">
              <wp:wrapPolygon>
                <wp:start x="0" y="0"/>
                <wp:lineTo x="0" y="21445"/>
                <wp:lineTo x="21513" y="21445"/>
                <wp:lineTo x="21513" y="0"/>
                <wp:lineTo x="0" y="0"/>
              </wp:wrapPolygon>
            </wp:wrapTight>
            <wp:docPr id="3" name="图片 3" descr="1689230598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89230598472"/>
                    <pic:cNvPicPr>
                      <a:picLocks noChangeAspect="1"/>
                    </pic:cNvPicPr>
                  </pic:nvPicPr>
                  <pic:blipFill>
                    <a:blip r:embed="rId8"/>
                    <a:stretch>
                      <a:fillRect/>
                    </a:stretch>
                  </pic:blipFill>
                  <pic:spPr>
                    <a:xfrm>
                      <a:off x="0" y="0"/>
                      <a:ext cx="4590415" cy="3012440"/>
                    </a:xfrm>
                    <a:prstGeom prst="rect">
                      <a:avLst/>
                    </a:prstGeom>
                  </pic:spPr>
                </pic:pic>
              </a:graphicData>
            </a:graphic>
          </wp:anchor>
        </w:drawing>
      </w:r>
    </w:p>
    <w:p>
      <w:pPr>
        <w:spacing w:line="600" w:lineRule="exact"/>
        <w:ind w:firstLine="640"/>
        <w:rPr>
          <w:rFonts w:ascii="仿宋" w:hAnsi="仿宋" w:eastAsia="仿宋"/>
          <w:b/>
          <w:sz w:val="32"/>
          <w:szCs w:val="32"/>
        </w:rPr>
      </w:pPr>
    </w:p>
    <w:p>
      <w:pPr>
        <w:pStyle w:val="2"/>
        <w:spacing w:before="93"/>
      </w:pPr>
    </w:p>
    <w:p>
      <w:pPr>
        <w:pStyle w:val="2"/>
        <w:spacing w:before="93"/>
      </w:pPr>
    </w:p>
    <w:p>
      <w:pPr>
        <w:spacing w:line="600" w:lineRule="exact"/>
        <w:ind w:firstLine="640"/>
        <w:rPr>
          <w:rFonts w:ascii="仿宋" w:hAnsi="仿宋" w:eastAsia="仿宋"/>
          <w:b/>
          <w:sz w:val="32"/>
          <w:szCs w:val="32"/>
        </w:rPr>
      </w:pPr>
    </w:p>
    <w:p>
      <w:pPr>
        <w:spacing w:line="600" w:lineRule="exact"/>
        <w:ind w:firstLine="640"/>
        <w:rPr>
          <w:rFonts w:ascii="仿宋" w:hAnsi="仿宋" w:eastAsia="仿宋"/>
          <w:b/>
          <w:sz w:val="32"/>
          <w:szCs w:val="32"/>
        </w:rPr>
      </w:pPr>
    </w:p>
    <w:p>
      <w:pPr>
        <w:spacing w:line="600" w:lineRule="exact"/>
        <w:outlineLvl w:val="1"/>
        <w:rPr>
          <w:rFonts w:ascii="黑体" w:hAnsi="黑体" w:eastAsia="黑体"/>
          <w:sz w:val="32"/>
          <w:szCs w:val="32"/>
        </w:rPr>
      </w:pPr>
      <w:bookmarkStart w:id="38" w:name="_Toc15377209"/>
      <w:bookmarkStart w:id="39" w:name="_Toc113952857"/>
      <w:bookmarkStart w:id="40" w:name="_Toc15396607"/>
    </w:p>
    <w:p>
      <w:pPr>
        <w:spacing w:line="600" w:lineRule="exact"/>
        <w:ind w:firstLine="640" w:firstLineChars="200"/>
        <w:outlineLvl w:val="1"/>
        <w:rPr>
          <w:rStyle w:val="26"/>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38"/>
      <w:bookmarkEnd w:id="39"/>
      <w:bookmarkEnd w:id="40"/>
    </w:p>
    <w:p>
      <w:pPr>
        <w:spacing w:line="600" w:lineRule="exact"/>
        <w:ind w:firstLine="643" w:firstLineChars="200"/>
        <w:outlineLvl w:val="2"/>
        <w:rPr>
          <w:rFonts w:ascii="仿宋" w:hAnsi="仿宋" w:eastAsia="仿宋"/>
          <w:b/>
          <w:sz w:val="32"/>
          <w:szCs w:val="32"/>
        </w:rPr>
      </w:pPr>
      <w:bookmarkStart w:id="41" w:name="_Toc113952858"/>
      <w:bookmarkStart w:id="42" w:name="_Toc15377210"/>
      <w:r>
        <w:rPr>
          <w:rFonts w:hint="eastAsia" w:ascii="仿宋" w:hAnsi="仿宋" w:eastAsia="仿宋"/>
          <w:b/>
          <w:sz w:val="32"/>
          <w:szCs w:val="32"/>
        </w:rPr>
        <w:t>（一）一般公共预算财政拨款支出决算总体情况</w:t>
      </w:r>
      <w:bookmarkEnd w:id="41"/>
      <w:bookmarkEnd w:id="42"/>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21年一般公共预算财政拨款支出932.37万元，占本年支出合计的100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20年相比，一般公共预算财政拨款支出增加11.02万元，增长1.20</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000000"/>
          <w:sz w:val="32"/>
          <w:szCs w:val="32"/>
        </w:rPr>
        <w:t>人员经费的增加。</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（图4：一般公共预算财政拨款支出决算变动情况）</w:t>
      </w:r>
      <w:bookmarkStart w:id="43" w:name="_Toc15377211"/>
    </w:p>
    <w:p>
      <w:pPr>
        <w:pStyle w:val="2"/>
        <w:spacing w:before="93"/>
      </w:pPr>
      <w:bookmarkStart w:id="44" w:name="_Toc113952859"/>
      <w:r>
        <w:rPr>
          <w:rFonts w:hint="eastAsia"/>
        </w:rPr>
        <w:drawing>
          <wp:anchor distT="0" distB="0" distL="114300" distR="114300" simplePos="0" relativeHeight="251660288" behindDoc="1" locked="0" layoutInCell="1" allowOverlap="1">
            <wp:simplePos x="0" y="0"/>
            <wp:positionH relativeFrom="column">
              <wp:posOffset>247650</wp:posOffset>
            </wp:positionH>
            <wp:positionV relativeFrom="paragraph">
              <wp:posOffset>21590</wp:posOffset>
            </wp:positionV>
            <wp:extent cx="4695825" cy="2952750"/>
            <wp:effectExtent l="0" t="0" r="9525" b="0"/>
            <wp:wrapTight wrapText="bothSides">
              <wp:wrapPolygon>
                <wp:start x="0" y="0"/>
                <wp:lineTo x="0" y="21461"/>
                <wp:lineTo x="21556" y="21461"/>
                <wp:lineTo x="21556" y="0"/>
                <wp:lineTo x="0" y="0"/>
              </wp:wrapPolygon>
            </wp:wrapTight>
            <wp:docPr id="4" name="图片 4" descr="1689230707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89230707480"/>
                    <pic:cNvPicPr>
                      <a:picLocks noChangeAspect="1"/>
                    </pic:cNvPicPr>
                  </pic:nvPicPr>
                  <pic:blipFill>
                    <a:blip r:embed="rId9"/>
                    <a:stretch>
                      <a:fillRect/>
                    </a:stretch>
                  </pic:blipFill>
                  <pic:spPr>
                    <a:xfrm>
                      <a:off x="0" y="0"/>
                      <a:ext cx="4695825" cy="2952750"/>
                    </a:xfrm>
                    <a:prstGeom prst="rect">
                      <a:avLst/>
                    </a:prstGeom>
                  </pic:spPr>
                </pic:pic>
              </a:graphicData>
            </a:graphic>
          </wp:anchor>
        </w:drawing>
      </w:r>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bookmarkEnd w:id="43"/>
      <w:bookmarkEnd w:id="44"/>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21年一般公共预算财政拨款支出932.37万元，主要用于以下方面</w:t>
      </w:r>
      <w:r>
        <w:rPr>
          <w:rFonts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支出148.08万元，占15.88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color w:val="000000"/>
          <w:sz w:val="32"/>
          <w:szCs w:val="32"/>
        </w:rPr>
        <w:t>城乡社区支出（类）</w:t>
      </w:r>
      <w:r>
        <w:rPr>
          <w:rFonts w:hint="eastAsia" w:ascii="仿宋" w:hAnsi="仿宋" w:eastAsia="仿宋"/>
          <w:color w:val="000000"/>
          <w:sz w:val="32"/>
          <w:szCs w:val="32"/>
        </w:rPr>
        <w:t>751.02万元，占80.55%；</w:t>
      </w:r>
      <w:r>
        <w:rPr>
          <w:rFonts w:hint="eastAsia" w:ascii="仿宋" w:hAnsi="仿宋" w:eastAsia="仿宋"/>
          <w:b/>
          <w:color w:val="000000"/>
          <w:sz w:val="32"/>
          <w:szCs w:val="32"/>
        </w:rPr>
        <w:t>住房保障支出（类）</w:t>
      </w:r>
      <w:r>
        <w:rPr>
          <w:rFonts w:hint="eastAsia" w:ascii="仿宋" w:hAnsi="仿宋" w:eastAsia="仿宋"/>
          <w:sz w:val="32"/>
          <w:szCs w:val="32"/>
        </w:rPr>
        <w:t>33.27万元，占3.57</w:t>
      </w:r>
      <w:r>
        <w:rPr>
          <w:rFonts w:ascii="仿宋" w:hAnsi="仿宋" w:eastAsia="仿宋"/>
          <w:sz w:val="32"/>
          <w:szCs w:val="32"/>
        </w:rPr>
        <w:t>%</w:t>
      </w:r>
      <w:r>
        <w:rPr>
          <w:rFonts w:hint="eastAsia" w:ascii="仿宋" w:hAnsi="仿宋" w:eastAsia="仿宋"/>
          <w:sz w:val="32"/>
          <w:szCs w:val="32"/>
        </w:rPr>
        <w:t>。</w:t>
      </w:r>
    </w:p>
    <w:p>
      <w:pPr>
        <w:pStyle w:val="2"/>
        <w:spacing w:before="93"/>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（图5：一般公共预算财政拨款支出决算结构）</w:t>
      </w:r>
    </w:p>
    <w:p>
      <w:pPr>
        <w:pStyle w:val="2"/>
        <w:spacing w:before="93"/>
        <w:ind w:firstLine="900" w:firstLineChars="300"/>
      </w:pPr>
      <w:r>
        <w:rPr>
          <w:rFonts w:hint="eastAsia"/>
        </w:rPr>
        <w:drawing>
          <wp:anchor distT="0" distB="0" distL="114300" distR="114300" simplePos="0" relativeHeight="251661312" behindDoc="1" locked="0" layoutInCell="1" allowOverlap="1">
            <wp:simplePos x="0" y="0"/>
            <wp:positionH relativeFrom="column">
              <wp:posOffset>257175</wp:posOffset>
            </wp:positionH>
            <wp:positionV relativeFrom="paragraph">
              <wp:posOffset>19050</wp:posOffset>
            </wp:positionV>
            <wp:extent cx="4686300" cy="2965450"/>
            <wp:effectExtent l="0" t="0" r="0" b="0"/>
            <wp:wrapTight wrapText="bothSides">
              <wp:wrapPolygon>
                <wp:start x="0" y="0"/>
                <wp:lineTo x="0" y="21507"/>
                <wp:lineTo x="21512" y="21507"/>
                <wp:lineTo x="21512" y="0"/>
                <wp:lineTo x="0" y="0"/>
              </wp:wrapPolygon>
            </wp:wrapTight>
            <wp:docPr id="6" name="图片 6" descr="1689230757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89230757602"/>
                    <pic:cNvPicPr>
                      <a:picLocks noChangeAspect="1"/>
                    </pic:cNvPicPr>
                  </pic:nvPicPr>
                  <pic:blipFill>
                    <a:blip r:embed="rId10"/>
                    <a:stretch>
                      <a:fillRect/>
                    </a:stretch>
                  </pic:blipFill>
                  <pic:spPr>
                    <a:xfrm>
                      <a:off x="0" y="0"/>
                      <a:ext cx="4686300" cy="2965450"/>
                    </a:xfrm>
                    <a:prstGeom prst="rect">
                      <a:avLst/>
                    </a:prstGeom>
                  </pic:spPr>
                </pic:pic>
              </a:graphicData>
            </a:graphic>
          </wp:anchor>
        </w:drawing>
      </w:r>
    </w:p>
    <w:p>
      <w:pPr>
        <w:pStyle w:val="2"/>
        <w:spacing w:before="93"/>
      </w:pPr>
    </w:p>
    <w:p>
      <w:pPr>
        <w:spacing w:line="600" w:lineRule="exact"/>
        <w:ind w:firstLine="643" w:firstLineChars="200"/>
        <w:outlineLvl w:val="2"/>
        <w:rPr>
          <w:rFonts w:ascii="仿宋" w:hAnsi="仿宋" w:eastAsia="仿宋"/>
          <w:b/>
          <w:sz w:val="32"/>
          <w:szCs w:val="32"/>
        </w:rPr>
      </w:pPr>
      <w:bookmarkStart w:id="45" w:name="_Toc113952860"/>
      <w:bookmarkStart w:id="46" w:name="_Toc15377212"/>
      <w:r>
        <w:rPr>
          <w:rFonts w:hint="eastAsia" w:ascii="仿宋" w:hAnsi="仿宋" w:eastAsia="仿宋"/>
          <w:b/>
          <w:sz w:val="32"/>
          <w:szCs w:val="32"/>
        </w:rPr>
        <w:t>（三）一般公共预算财政拨款支出决算具体情况</w:t>
      </w:r>
      <w:bookmarkEnd w:id="45"/>
      <w:bookmarkEnd w:id="46"/>
    </w:p>
    <w:p>
      <w:pPr>
        <w:spacing w:line="600" w:lineRule="exact"/>
        <w:ind w:firstLine="643" w:firstLineChars="200"/>
        <w:outlineLvl w:val="2"/>
        <w:rPr>
          <w:rFonts w:ascii="仿宋" w:hAnsi="仿宋" w:eastAsia="仿宋"/>
          <w:sz w:val="32"/>
          <w:szCs w:val="32"/>
        </w:rPr>
      </w:pPr>
      <w:bookmarkStart w:id="47" w:name="_Toc15377213"/>
      <w:bookmarkStart w:id="48" w:name="_Toc15377444"/>
      <w:bookmarkStart w:id="49" w:name="_Toc113952861"/>
      <w:bookmarkStart w:id="50" w:name="_Toc15378460"/>
      <w:r>
        <w:rPr>
          <w:rFonts w:hint="eastAsia" w:ascii="仿宋" w:hAnsi="仿宋" w:eastAsia="仿宋"/>
          <w:b/>
          <w:sz w:val="32"/>
          <w:szCs w:val="32"/>
        </w:rPr>
        <w:t>2021年一般公共预算支出决算数为</w:t>
      </w:r>
      <w:r>
        <w:rPr>
          <w:rFonts w:hint="eastAsia" w:ascii="仿宋" w:hAnsi="仿宋" w:eastAsia="仿宋"/>
          <w:sz w:val="32"/>
          <w:szCs w:val="32"/>
        </w:rPr>
        <w:t>932.37，</w:t>
      </w:r>
      <w:r>
        <w:rPr>
          <w:rStyle w:val="15"/>
          <w:rFonts w:hint="eastAsia" w:ascii="仿宋" w:hAnsi="仿宋" w:eastAsia="仿宋"/>
          <w:bCs/>
          <w:sz w:val="32"/>
          <w:szCs w:val="32"/>
        </w:rPr>
        <w:t>完成预算100</w:t>
      </w:r>
      <w:r>
        <w:rPr>
          <w:rStyle w:val="15"/>
          <w:rFonts w:ascii="仿宋" w:hAnsi="仿宋" w:eastAsia="仿宋"/>
          <w:bCs/>
          <w:sz w:val="32"/>
          <w:szCs w:val="32"/>
        </w:rPr>
        <w:t>%</w:t>
      </w:r>
      <w:r>
        <w:rPr>
          <w:rStyle w:val="15"/>
          <w:rFonts w:hint="eastAsia" w:ascii="仿宋" w:hAnsi="仿宋" w:eastAsia="仿宋"/>
          <w:bCs/>
          <w:sz w:val="32"/>
          <w:szCs w:val="32"/>
        </w:rPr>
        <w:t>。其中：</w:t>
      </w:r>
      <w:bookmarkEnd w:id="47"/>
      <w:bookmarkEnd w:id="48"/>
      <w:bookmarkEnd w:id="49"/>
      <w:bookmarkEnd w:id="50"/>
    </w:p>
    <w:p>
      <w:pPr>
        <w:spacing w:line="600" w:lineRule="exact"/>
        <w:ind w:left="638" w:leftChars="304" w:firstLine="1"/>
        <w:rPr>
          <w:rStyle w:val="15"/>
          <w:rFonts w:ascii="仿宋" w:hAnsi="仿宋" w:eastAsia="仿宋"/>
          <w:bCs/>
          <w:color w:val="000000"/>
          <w:sz w:val="32"/>
          <w:szCs w:val="32"/>
        </w:rPr>
      </w:pPr>
      <w:r>
        <w:rPr>
          <w:rStyle w:val="15"/>
          <w:rFonts w:hint="eastAsia" w:ascii="仿宋" w:hAnsi="仿宋" w:eastAsia="仿宋"/>
          <w:bCs/>
          <w:color w:val="000000"/>
          <w:sz w:val="32"/>
          <w:szCs w:val="32"/>
        </w:rPr>
        <w:t>1</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社会保障和就业208（类）</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行政事业单位养老支出</w:t>
      </w:r>
    </w:p>
    <w:p>
      <w:pPr>
        <w:spacing w:line="600" w:lineRule="exact"/>
        <w:rPr>
          <w:rFonts w:ascii="仿宋" w:hAnsi="仿宋" w:eastAsia="仿宋"/>
          <w:b/>
          <w:bCs/>
          <w:color w:val="000000"/>
          <w:sz w:val="32"/>
          <w:szCs w:val="32"/>
        </w:rPr>
      </w:pPr>
      <w:r>
        <w:rPr>
          <w:rStyle w:val="15"/>
          <w:rFonts w:hint="eastAsia" w:ascii="仿宋" w:hAnsi="仿宋" w:eastAsia="仿宋"/>
          <w:bCs/>
          <w:color w:val="000000"/>
          <w:sz w:val="32"/>
          <w:szCs w:val="32"/>
        </w:rPr>
        <w:t>05（款）行政单位离退休01（项）</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支出决算为</w:t>
      </w:r>
      <w:r>
        <w:rPr>
          <w:rFonts w:hint="eastAsia" w:ascii="仿宋" w:hAnsi="仿宋" w:eastAsia="仿宋"/>
          <w:sz w:val="32"/>
          <w:szCs w:val="32"/>
        </w:rPr>
        <w:t>148.08</w:t>
      </w:r>
      <w:r>
        <w:rPr>
          <w:rStyle w:val="15"/>
          <w:rFonts w:hint="eastAsia" w:ascii="仿宋" w:hAnsi="仿宋" w:eastAsia="仿宋"/>
          <w:bCs/>
          <w:color w:val="000000"/>
          <w:sz w:val="32"/>
          <w:szCs w:val="32"/>
        </w:rPr>
        <w:t>万元，完成预算100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w:t>
      </w:r>
    </w:p>
    <w:p>
      <w:pPr>
        <w:spacing w:line="600" w:lineRule="exact"/>
        <w:ind w:firstLine="643" w:firstLineChars="200"/>
        <w:rPr>
          <w:rStyle w:val="15"/>
          <w:rFonts w:ascii="仿宋" w:hAnsi="仿宋" w:eastAsia="仿宋"/>
          <w:bCs/>
          <w:color w:val="000000"/>
          <w:sz w:val="32"/>
          <w:szCs w:val="32"/>
        </w:rPr>
      </w:pPr>
      <w:r>
        <w:rPr>
          <w:rStyle w:val="15"/>
          <w:rFonts w:hint="eastAsia" w:ascii="仿宋" w:hAnsi="仿宋" w:eastAsia="仿宋"/>
          <w:bCs/>
          <w:color w:val="000000"/>
          <w:sz w:val="32"/>
          <w:szCs w:val="32"/>
        </w:rPr>
        <w:t>2</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城乡社区支出212（类）:</w:t>
      </w:r>
    </w:p>
    <w:p>
      <w:pPr>
        <w:spacing w:line="600" w:lineRule="exact"/>
        <w:ind w:firstLine="630" w:firstLineChars="196"/>
        <w:rPr>
          <w:rStyle w:val="15"/>
          <w:rFonts w:ascii="仿宋" w:hAnsi="仿宋" w:eastAsia="仿宋"/>
          <w:b w:val="0"/>
          <w:bCs/>
          <w:color w:val="000000"/>
          <w:sz w:val="32"/>
          <w:szCs w:val="32"/>
        </w:rPr>
      </w:pPr>
      <w:r>
        <w:rPr>
          <w:rStyle w:val="15"/>
          <w:rFonts w:hint="eastAsia" w:ascii="仿宋" w:hAnsi="仿宋" w:eastAsia="仿宋"/>
          <w:bCs/>
          <w:color w:val="000000"/>
          <w:sz w:val="32"/>
          <w:szCs w:val="32"/>
        </w:rPr>
        <w:t>城乡社区管理事务01（款）行政运行01（项）</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 xml:space="preserve"> 支出决算为533.82万元，完成预算100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w:t>
      </w:r>
    </w:p>
    <w:p>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城乡社区管理事务01（款）建设市场管理与监督06（项）</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 xml:space="preserve"> 支出决算为217.20万元，完成预算100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w:t>
      </w:r>
    </w:p>
    <w:p>
      <w:pPr>
        <w:spacing w:line="600" w:lineRule="exact"/>
        <w:ind w:firstLine="643" w:firstLineChars="200"/>
        <w:rPr>
          <w:rStyle w:val="15"/>
          <w:rFonts w:ascii="仿宋" w:hAnsi="仿宋" w:eastAsia="仿宋"/>
          <w:bCs/>
          <w:color w:val="000000"/>
          <w:sz w:val="32"/>
          <w:szCs w:val="32"/>
        </w:rPr>
      </w:pPr>
      <w:r>
        <w:rPr>
          <w:rStyle w:val="15"/>
          <w:rFonts w:hint="eastAsia" w:ascii="仿宋" w:hAnsi="仿宋" w:eastAsia="仿宋"/>
          <w:bCs/>
          <w:color w:val="000000"/>
          <w:sz w:val="32"/>
          <w:szCs w:val="32"/>
        </w:rPr>
        <w:t>3</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住房保障支出221（类）</w:t>
      </w:r>
    </w:p>
    <w:p>
      <w:pPr>
        <w:spacing w:line="600" w:lineRule="exact"/>
        <w:ind w:firstLine="643" w:firstLineChars="200"/>
        <w:rPr>
          <w:rFonts w:ascii="仿宋" w:hAnsi="仿宋" w:eastAsia="仿宋"/>
          <w:bCs/>
          <w:color w:val="000000"/>
          <w:sz w:val="32"/>
          <w:szCs w:val="32"/>
        </w:rPr>
      </w:pPr>
      <w:r>
        <w:rPr>
          <w:rStyle w:val="15"/>
          <w:rFonts w:hint="eastAsia" w:ascii="仿宋" w:hAnsi="仿宋" w:eastAsia="仿宋"/>
          <w:bCs/>
          <w:color w:val="000000"/>
          <w:sz w:val="32"/>
          <w:szCs w:val="32"/>
        </w:rPr>
        <w:t>住房改革支出02（款）住房公积金01（项）</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 xml:space="preserve"> 支出决算为</w:t>
      </w:r>
      <w:r>
        <w:rPr>
          <w:rFonts w:hint="eastAsia" w:ascii="仿宋" w:hAnsi="仿宋" w:eastAsia="仿宋"/>
          <w:sz w:val="32"/>
          <w:szCs w:val="32"/>
        </w:rPr>
        <w:t>33.27</w:t>
      </w:r>
      <w:r>
        <w:rPr>
          <w:rStyle w:val="15"/>
          <w:rFonts w:hint="eastAsia" w:ascii="仿宋" w:hAnsi="仿宋" w:eastAsia="仿宋"/>
          <w:bCs/>
          <w:color w:val="000000"/>
          <w:sz w:val="32"/>
          <w:szCs w:val="32"/>
        </w:rPr>
        <w:t>万元，完成预算100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w:t>
      </w:r>
    </w:p>
    <w:p>
      <w:pPr>
        <w:spacing w:line="600" w:lineRule="exact"/>
        <w:rPr>
          <w:rFonts w:ascii="仿宋" w:hAnsi="仿宋" w:eastAsia="仿宋"/>
          <w:b/>
          <w:sz w:val="32"/>
          <w:szCs w:val="32"/>
        </w:rPr>
      </w:pPr>
    </w:p>
    <w:p>
      <w:pPr>
        <w:tabs>
          <w:tab w:val="right" w:pos="8306"/>
        </w:tabs>
        <w:spacing w:line="600" w:lineRule="exact"/>
        <w:ind w:firstLine="640"/>
        <w:outlineLvl w:val="1"/>
        <w:rPr>
          <w:rStyle w:val="26"/>
        </w:rPr>
      </w:pPr>
      <w:bookmarkStart w:id="51" w:name="_Toc113952862"/>
      <w:bookmarkStart w:id="52" w:name="_Toc15377214"/>
      <w:bookmarkStart w:id="53"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51"/>
      <w:bookmarkEnd w:id="52"/>
      <w:bookmarkEnd w:id="53"/>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w:t>
      </w:r>
      <w:r>
        <w:rPr>
          <w:rFonts w:hint="eastAsia" w:ascii="仿宋" w:hAnsi="仿宋" w:eastAsia="仿宋"/>
          <w:color w:val="000000"/>
          <w:sz w:val="32"/>
          <w:szCs w:val="32"/>
        </w:rPr>
        <w:t>715.17</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color w:val="000000"/>
          <w:sz w:val="32"/>
          <w:szCs w:val="32"/>
        </w:rPr>
        <w:t>627.97</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sz w:val="32"/>
          <w:szCs w:val="32"/>
        </w:rPr>
      </w:pPr>
      <w:r>
        <w:rPr>
          <w:rFonts w:hint="eastAsia" w:ascii="仿宋" w:hAnsi="仿宋" w:eastAsia="仿宋"/>
          <w:sz w:val="32"/>
          <w:szCs w:val="32"/>
        </w:rPr>
        <w:t>　　公用经费</w:t>
      </w:r>
      <w:r>
        <w:rPr>
          <w:rFonts w:hint="eastAsia" w:ascii="仿宋" w:hAnsi="仿宋" w:eastAsia="仿宋"/>
          <w:color w:val="000000"/>
          <w:sz w:val="32"/>
          <w:szCs w:val="32"/>
        </w:rPr>
        <w:t>87.20</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54" w:name="_Toc15377215"/>
      <w:bookmarkStart w:id="55" w:name="_Toc113952863"/>
      <w:bookmarkStart w:id="56" w:name="_Toc15396609"/>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54"/>
      <w:bookmarkEnd w:id="55"/>
      <w:bookmarkEnd w:id="56"/>
    </w:p>
    <w:p>
      <w:pPr>
        <w:spacing w:line="600" w:lineRule="exact"/>
        <w:ind w:firstLine="640"/>
        <w:outlineLvl w:val="2"/>
        <w:rPr>
          <w:rFonts w:ascii="仿宋" w:hAnsi="仿宋" w:eastAsia="仿宋"/>
          <w:b/>
          <w:sz w:val="32"/>
          <w:szCs w:val="32"/>
        </w:rPr>
      </w:pPr>
      <w:bookmarkStart w:id="57" w:name="_Toc113952864"/>
      <w:bookmarkStart w:id="58" w:name="_Toc15377216"/>
      <w:r>
        <w:rPr>
          <w:rFonts w:hint="eastAsia" w:ascii="仿宋" w:hAnsi="仿宋" w:eastAsia="仿宋"/>
          <w:b/>
          <w:sz w:val="32"/>
          <w:szCs w:val="32"/>
        </w:rPr>
        <w:t>（一）“三公”经费财政拨款支出决算总体情况说明</w:t>
      </w:r>
      <w:bookmarkEnd w:id="57"/>
      <w:bookmarkEnd w:id="5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21年“三公”经费财政拨款支出决算为5.71万元，完成预算100</w:t>
      </w:r>
      <w:r>
        <w:rPr>
          <w:rFonts w:ascii="仿宋" w:hAnsi="仿宋" w:eastAsia="仿宋"/>
          <w:sz w:val="32"/>
          <w:szCs w:val="32"/>
        </w:rPr>
        <w:t>%</w:t>
      </w:r>
      <w:r>
        <w:rPr>
          <w:rFonts w:hint="eastAsia" w:ascii="仿宋" w:hAnsi="仿宋" w:eastAsia="仿宋"/>
          <w:sz w:val="32"/>
          <w:szCs w:val="32"/>
        </w:rPr>
        <w:t>，决算数与预算数持平的主要原因是</w:t>
      </w:r>
      <w:r>
        <w:rPr>
          <w:rFonts w:hint="eastAsia" w:ascii="仿宋" w:hAnsi="仿宋" w:eastAsia="仿宋"/>
          <w:color w:val="000000"/>
          <w:sz w:val="32"/>
          <w:szCs w:val="32"/>
        </w:rPr>
        <w:t>本年度按照标准进行公务用车运行维护费及公务接待费支出</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59" w:name="_Toc113952865"/>
      <w:bookmarkStart w:id="60" w:name="_Toc15377217"/>
      <w:r>
        <w:rPr>
          <w:rFonts w:hint="eastAsia" w:ascii="仿宋" w:hAnsi="仿宋" w:eastAsia="仿宋"/>
          <w:b/>
          <w:sz w:val="32"/>
          <w:szCs w:val="32"/>
        </w:rPr>
        <w:t>（二）“三公”经费财政拨款支出决算具体情况说明</w:t>
      </w:r>
      <w:bookmarkEnd w:id="59"/>
      <w:bookmarkEnd w:id="60"/>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；公务用车购置及运行维护费支出决算4.76万元，占83.36</w:t>
      </w:r>
      <w:r>
        <w:rPr>
          <w:rFonts w:ascii="仿宋" w:hAnsi="仿宋" w:eastAsia="仿宋"/>
          <w:sz w:val="32"/>
          <w:szCs w:val="32"/>
        </w:rPr>
        <w:t>%</w:t>
      </w:r>
      <w:r>
        <w:rPr>
          <w:rFonts w:hint="eastAsia" w:ascii="仿宋" w:hAnsi="仿宋" w:eastAsia="仿宋"/>
          <w:sz w:val="32"/>
          <w:szCs w:val="32"/>
        </w:rPr>
        <w:t>；公务接待费支出决算0.95万元，占16.64</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eastAsia="仿宋_GB2312"/>
        </w:rPr>
      </w:pPr>
      <w:r>
        <w:rPr>
          <w:rFonts w:hint="eastAsia" w:ascii="仿宋" w:hAnsi="仿宋" w:eastAsia="仿宋"/>
          <w:sz w:val="32"/>
          <w:szCs w:val="32"/>
        </w:rPr>
        <w:t>（图6：“三公”经费财政拨款支出结构）</w:t>
      </w:r>
      <w:r>
        <w:rPr>
          <w:rFonts w:hint="eastAsia" w:eastAsia="仿宋_GB2312"/>
        </w:rPr>
        <w:drawing>
          <wp:anchor distT="0" distB="0" distL="114300" distR="114300" simplePos="0" relativeHeight="251662336" behindDoc="1" locked="0" layoutInCell="1" allowOverlap="1">
            <wp:simplePos x="0" y="0"/>
            <wp:positionH relativeFrom="column">
              <wp:posOffset>200025</wp:posOffset>
            </wp:positionH>
            <wp:positionV relativeFrom="paragraph">
              <wp:posOffset>82550</wp:posOffset>
            </wp:positionV>
            <wp:extent cx="5128260" cy="3133725"/>
            <wp:effectExtent l="0" t="0" r="0" b="0"/>
            <wp:wrapTight wrapText="bothSides">
              <wp:wrapPolygon>
                <wp:start x="0" y="0"/>
                <wp:lineTo x="0" y="21534"/>
                <wp:lineTo x="21504" y="21534"/>
                <wp:lineTo x="21504" y="0"/>
                <wp:lineTo x="0" y="0"/>
              </wp:wrapPolygon>
            </wp:wrapTight>
            <wp:docPr id="9" name="图片 9" descr="1689230838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89230838876"/>
                    <pic:cNvPicPr>
                      <a:picLocks noChangeAspect="1"/>
                    </pic:cNvPicPr>
                  </pic:nvPicPr>
                  <pic:blipFill>
                    <a:blip r:embed="rId11"/>
                    <a:stretch>
                      <a:fillRect/>
                    </a:stretch>
                  </pic:blipFill>
                  <pic:spPr>
                    <a:xfrm>
                      <a:off x="0" y="0"/>
                      <a:ext cx="5128260" cy="3133725"/>
                    </a:xfrm>
                    <a:prstGeom prst="rect">
                      <a:avLst/>
                    </a:prstGeom>
                  </pic:spPr>
                </pic:pic>
              </a:graphicData>
            </a:graphic>
          </wp:anchor>
        </w:drawing>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5"/>
          <w:rFonts w:hint="eastAsia" w:ascii="仿宋" w:hAnsi="仿宋" w:eastAsia="仿宋"/>
          <w:b w:val="0"/>
          <w:bCs/>
          <w:sz w:val="32"/>
          <w:szCs w:val="32"/>
        </w:rPr>
        <w:t>完成预算</w:t>
      </w:r>
      <w:r>
        <w:rPr>
          <w:rFonts w:hint="eastAsia" w:ascii="仿宋_GB2312" w:eastAsia="仿宋_GB2312"/>
          <w:sz w:val="32"/>
          <w:szCs w:val="32"/>
        </w:rPr>
        <w:t>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20年增加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w:t>
      </w:r>
    </w:p>
    <w:p>
      <w:pPr>
        <w:spacing w:line="600" w:lineRule="exact"/>
        <w:ind w:firstLine="640"/>
        <w:rPr>
          <w:rFonts w:hint="eastAsia" w:ascii="仿宋_GB2312" w:eastAsia="仿宋_GB2312"/>
          <w:b/>
          <w:color w:val="FF0000"/>
          <w:sz w:val="32"/>
          <w:szCs w:val="32"/>
          <w:lang w:eastAsia="zh-CN"/>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 w:hAnsi="仿宋" w:eastAsia="仿宋"/>
          <w:sz w:val="32"/>
          <w:szCs w:val="32"/>
        </w:rPr>
        <w:t>4.76</w:t>
      </w:r>
      <w:r>
        <w:rPr>
          <w:rFonts w:hint="eastAsia" w:ascii="仿宋_GB2312" w:eastAsia="仿宋_GB2312"/>
          <w:sz w:val="32"/>
          <w:szCs w:val="32"/>
        </w:rPr>
        <w:t>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20年减少3.69万元，下降43.</w:t>
      </w:r>
      <w:r>
        <w:rPr>
          <w:rFonts w:hint="eastAsia" w:ascii="仿宋_GB2312" w:eastAsia="仿宋_GB2312"/>
          <w:color w:val="auto"/>
          <w:sz w:val="32"/>
          <w:szCs w:val="32"/>
        </w:rPr>
        <w:t>67</w:t>
      </w:r>
      <w:r>
        <w:rPr>
          <w:rFonts w:ascii="仿宋_GB2312" w:eastAsia="仿宋_GB2312"/>
          <w:color w:val="auto"/>
          <w:sz w:val="32"/>
          <w:szCs w:val="32"/>
        </w:rPr>
        <w:t>%</w:t>
      </w:r>
      <w:r>
        <w:rPr>
          <w:rFonts w:hint="eastAsia" w:ascii="仿宋_GB2312" w:eastAsia="仿宋_GB2312"/>
          <w:color w:val="auto"/>
          <w:sz w:val="32"/>
          <w:szCs w:val="32"/>
        </w:rPr>
        <w:t>。主要原因是</w:t>
      </w:r>
      <w:r>
        <w:rPr>
          <w:rFonts w:hint="eastAsia" w:ascii="仿宋_GB2312" w:eastAsia="仿宋_GB2312"/>
          <w:color w:val="auto"/>
          <w:sz w:val="32"/>
          <w:szCs w:val="32"/>
          <w:lang w:val="en-US" w:eastAsia="zh-CN"/>
        </w:rPr>
        <w:t>年终未执行</w:t>
      </w:r>
      <w:bookmarkStart w:id="113" w:name="_GoBack"/>
      <w:bookmarkEnd w:id="113"/>
      <w:r>
        <w:rPr>
          <w:rFonts w:hint="eastAsia" w:ascii="仿宋_GB2312" w:eastAsia="仿宋_GB2312"/>
          <w:color w:val="auto"/>
          <w:sz w:val="32"/>
          <w:szCs w:val="32"/>
          <w:lang w:val="en-US" w:eastAsia="zh-CN"/>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月底，单位共有公务用车4辆，其中：轿车1辆、越野车3辆、载客汽车0辆。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 w:hAnsi="仿宋" w:eastAsia="仿宋"/>
          <w:sz w:val="32"/>
          <w:szCs w:val="32"/>
        </w:rPr>
        <w:t>4.76</w:t>
      </w:r>
      <w:r>
        <w:rPr>
          <w:rFonts w:hint="eastAsia" w:ascii="仿宋_GB2312" w:eastAsia="仿宋_GB2312"/>
          <w:sz w:val="32"/>
          <w:szCs w:val="32"/>
        </w:rPr>
        <w:t>万元。主要用于</w:t>
      </w:r>
      <w:r>
        <w:rPr>
          <w:rFonts w:hint="eastAsia" w:ascii="仿宋_GB2312" w:eastAsia="仿宋_GB2312"/>
          <w:color w:val="000000"/>
          <w:sz w:val="32"/>
          <w:szCs w:val="32"/>
        </w:rPr>
        <w:t>建设工程质量安全抽检等工作所需的公务用车燃料费、维修费、过路过桥费、保险费等支出</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 w:hAnsi="仿宋" w:eastAsia="仿宋"/>
          <w:sz w:val="32"/>
          <w:szCs w:val="32"/>
        </w:rPr>
        <w:t>0.95</w:t>
      </w:r>
      <w:r>
        <w:rPr>
          <w:rFonts w:hint="eastAsia" w:ascii="仿宋_GB2312" w:eastAsia="仿宋_GB2312"/>
          <w:sz w:val="32"/>
          <w:szCs w:val="32"/>
        </w:rPr>
        <w:t>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20年增加0.46万元，增长93.88</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color w:val="000000"/>
          <w:sz w:val="32"/>
          <w:szCs w:val="32"/>
        </w:rPr>
        <w:t>接待省级安全检查人数、次数都相应增加</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0.95</w:t>
      </w:r>
      <w:r>
        <w:rPr>
          <w:rFonts w:hint="eastAsia" w:ascii="仿宋_GB2312" w:eastAsia="仿宋_GB2312"/>
          <w:sz w:val="32"/>
          <w:szCs w:val="32"/>
        </w:rPr>
        <w:t>万元，主要用于</w:t>
      </w:r>
      <w:r>
        <w:rPr>
          <w:rFonts w:hint="eastAsia" w:ascii="仿宋_GB2312" w:eastAsia="仿宋_GB2312"/>
          <w:color w:val="000000"/>
          <w:sz w:val="32"/>
          <w:szCs w:val="32"/>
        </w:rPr>
        <w:t>建设工程质量安全抽检等开展业务活动开支的交通费、住宿费、用餐费等</w:t>
      </w:r>
      <w:r>
        <w:rPr>
          <w:rFonts w:hint="eastAsia" w:ascii="仿宋_GB2312" w:eastAsia="仿宋_GB2312"/>
          <w:sz w:val="32"/>
          <w:szCs w:val="32"/>
        </w:rPr>
        <w:t>。国内公务接待4批次，28人次（不包括陪同人员），共计支出</w:t>
      </w:r>
      <w:r>
        <w:rPr>
          <w:rFonts w:hint="eastAsia" w:ascii="仿宋" w:hAnsi="仿宋" w:eastAsia="仿宋"/>
          <w:sz w:val="32"/>
          <w:szCs w:val="32"/>
        </w:rPr>
        <w:t>0.95</w:t>
      </w:r>
      <w:r>
        <w:rPr>
          <w:rFonts w:hint="eastAsia" w:ascii="仿宋_GB2312" w:eastAsia="仿宋_GB2312"/>
          <w:sz w:val="32"/>
          <w:szCs w:val="32"/>
        </w:rPr>
        <w:t>万元，具体内容包括：接待省住建厅百日攻坚及省检测机构检查、接待费3198元、接待全省起重机械安全专项调研组接待费1994元、接待省房屋建筑安全风险排查整治集中及建筑施工安全扬尘防治和监理督察组接待费2319元、接待省住建厅十四五规划编制工作督导调研组接待费1969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w:t>
      </w:r>
      <w:r>
        <w:rPr>
          <w:rFonts w:hint="eastAsia" w:ascii="仿宋" w:hAnsi="仿宋" w:eastAsia="仿宋"/>
          <w:sz w:val="32"/>
          <w:szCs w:val="32"/>
        </w:rPr>
        <w:t>0</w:t>
      </w:r>
      <w:r>
        <w:rPr>
          <w:rFonts w:hint="eastAsia" w:ascii="仿宋_GB2312" w:eastAsia="仿宋_GB2312"/>
          <w:sz w:val="32"/>
          <w:szCs w:val="32"/>
        </w:rPr>
        <w:t>批次，</w:t>
      </w:r>
      <w:r>
        <w:rPr>
          <w:rFonts w:hint="eastAsia" w:ascii="仿宋" w:hAnsi="仿宋" w:eastAsia="仿宋"/>
          <w:sz w:val="32"/>
          <w:szCs w:val="32"/>
        </w:rPr>
        <w:t>0</w:t>
      </w:r>
      <w:r>
        <w:rPr>
          <w:rFonts w:hint="eastAsia" w:ascii="仿宋_GB2312" w:eastAsia="仿宋_GB2312"/>
          <w:sz w:val="32"/>
          <w:szCs w:val="32"/>
        </w:rPr>
        <w:t>人，共计支出</w:t>
      </w:r>
      <w:r>
        <w:rPr>
          <w:rFonts w:hint="eastAsia" w:ascii="仿宋" w:hAnsi="仿宋" w:eastAsia="仿宋"/>
          <w:sz w:val="32"/>
          <w:szCs w:val="32"/>
        </w:rPr>
        <w:t>0</w:t>
      </w:r>
      <w:r>
        <w:rPr>
          <w:rFonts w:hint="eastAsia" w:ascii="仿宋_GB2312" w:eastAsia="仿宋_GB2312"/>
          <w:sz w:val="32"/>
          <w:szCs w:val="32"/>
        </w:rPr>
        <w:t>万元。</w:t>
      </w:r>
      <w:bookmarkStart w:id="61" w:name="_Toc15396610"/>
      <w:bookmarkStart w:id="62" w:name="_Toc15377218"/>
    </w:p>
    <w:p>
      <w:pPr>
        <w:spacing w:line="600" w:lineRule="exact"/>
        <w:ind w:firstLine="640"/>
        <w:outlineLvl w:val="1"/>
        <w:rPr>
          <w:rStyle w:val="26"/>
          <w:rFonts w:ascii="黑体" w:hAnsi="黑体" w:eastAsia="黑体"/>
        </w:rPr>
      </w:pPr>
      <w:bookmarkStart w:id="63" w:name="_Toc113952866"/>
      <w:r>
        <w:rPr>
          <w:rFonts w:hint="eastAsia" w:ascii="黑体" w:eastAsia="黑体"/>
          <w:sz w:val="32"/>
          <w:szCs w:val="32"/>
        </w:rPr>
        <w:t>八、</w:t>
      </w:r>
      <w:r>
        <w:rPr>
          <w:rStyle w:val="26"/>
          <w:rFonts w:hint="eastAsia" w:ascii="黑体" w:hAnsi="黑体" w:eastAsia="黑体"/>
          <w:b w:val="0"/>
        </w:rPr>
        <w:t>政府性基金预算支出决算情况说明</w:t>
      </w:r>
      <w:bookmarkEnd w:id="61"/>
      <w:bookmarkEnd w:id="62"/>
      <w:bookmarkEnd w:id="6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pPr>
        <w:numPr>
          <w:ilvl w:val="0"/>
          <w:numId w:val="3"/>
        </w:numPr>
        <w:spacing w:line="600" w:lineRule="exact"/>
        <w:ind w:firstLine="640"/>
        <w:outlineLvl w:val="1"/>
        <w:rPr>
          <w:rStyle w:val="26"/>
          <w:rFonts w:ascii="黑体" w:hAnsi="黑体" w:eastAsia="黑体"/>
          <w:b w:val="0"/>
        </w:rPr>
      </w:pPr>
      <w:bookmarkStart w:id="64" w:name="_Toc15377219"/>
      <w:bookmarkStart w:id="65" w:name="_Toc15396611"/>
      <w:bookmarkStart w:id="66" w:name="_Toc113952867"/>
      <w:r>
        <w:rPr>
          <w:rStyle w:val="26"/>
          <w:rFonts w:hint="eastAsia" w:ascii="黑体" w:hAnsi="黑体" w:eastAsia="黑体"/>
          <w:b w:val="0"/>
        </w:rPr>
        <w:t>国有资本经营预算支出决算情况说明</w:t>
      </w:r>
      <w:bookmarkEnd w:id="64"/>
      <w:bookmarkEnd w:id="65"/>
      <w:bookmarkEnd w:id="66"/>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3"/>
        </w:numPr>
        <w:spacing w:line="600" w:lineRule="exact"/>
        <w:ind w:firstLine="640"/>
        <w:outlineLvl w:val="1"/>
        <w:rPr>
          <w:rStyle w:val="26"/>
          <w:rFonts w:ascii="黑体" w:hAnsi="黑体" w:eastAsia="黑体"/>
          <w:b w:val="0"/>
        </w:rPr>
      </w:pPr>
      <w:bookmarkStart w:id="67" w:name="_Toc113952868"/>
      <w:bookmarkStart w:id="68" w:name="_Toc15377221"/>
      <w:bookmarkStart w:id="69" w:name="_Toc15396612"/>
      <w:r>
        <w:rPr>
          <w:rStyle w:val="26"/>
          <w:rFonts w:hint="eastAsia" w:ascii="黑体" w:hAnsi="黑体" w:eastAsia="黑体"/>
          <w:b w:val="0"/>
        </w:rPr>
        <w:t>其他重要事项的情况说明</w:t>
      </w:r>
      <w:bookmarkEnd w:id="67"/>
      <w:bookmarkEnd w:id="68"/>
      <w:bookmarkEnd w:id="69"/>
    </w:p>
    <w:p>
      <w:pPr>
        <w:spacing w:line="600" w:lineRule="exact"/>
        <w:ind w:firstLine="643" w:firstLineChars="200"/>
        <w:outlineLvl w:val="2"/>
        <w:rPr>
          <w:rFonts w:ascii="仿宋" w:hAnsi="仿宋" w:eastAsia="仿宋"/>
          <w:sz w:val="32"/>
          <w:szCs w:val="32"/>
        </w:rPr>
      </w:pPr>
      <w:bookmarkStart w:id="70" w:name="_Toc113952869"/>
      <w:bookmarkStart w:id="71" w:name="_Toc15377222"/>
      <w:r>
        <w:rPr>
          <w:rFonts w:hint="eastAsia" w:ascii="仿宋" w:hAnsi="仿宋" w:eastAsia="仿宋"/>
          <w:b/>
          <w:sz w:val="32"/>
          <w:szCs w:val="32"/>
        </w:rPr>
        <w:t>（一）机关运行经费支出情况</w:t>
      </w:r>
      <w:bookmarkEnd w:id="70"/>
      <w:bookmarkEnd w:id="71"/>
    </w:p>
    <w:p>
      <w:pPr>
        <w:spacing w:line="600" w:lineRule="exact"/>
        <w:ind w:firstLine="640" w:firstLineChars="200"/>
        <w:rPr>
          <w:rFonts w:ascii="仿宋_GB2312" w:eastAsia="仿宋_GB2312"/>
          <w:color w:val="000000"/>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color w:val="000000"/>
          <w:sz w:val="32"/>
          <w:szCs w:val="32"/>
        </w:rPr>
        <w:t>攀枝花市</w:t>
      </w:r>
      <w:r>
        <w:rPr>
          <w:rFonts w:ascii="仿宋_GB2312" w:eastAsia="仿宋_GB2312"/>
          <w:color w:val="000000"/>
          <w:sz w:val="32"/>
          <w:szCs w:val="32"/>
        </w:rPr>
        <w:t>建设工程质量安全站</w:t>
      </w:r>
      <w:r>
        <w:rPr>
          <w:rFonts w:hint="eastAsia" w:ascii="仿宋_GB2312" w:eastAsia="仿宋_GB2312"/>
          <w:sz w:val="32"/>
          <w:szCs w:val="32"/>
        </w:rPr>
        <w:t>机关运行经费支出87.20万元，比</w:t>
      </w:r>
      <w:r>
        <w:rPr>
          <w:rFonts w:ascii="仿宋_GB2312" w:eastAsia="仿宋_GB2312"/>
          <w:sz w:val="32"/>
          <w:szCs w:val="32"/>
        </w:rPr>
        <w:t>20</w:t>
      </w:r>
      <w:r>
        <w:rPr>
          <w:rFonts w:hint="eastAsia" w:ascii="仿宋_GB2312" w:eastAsia="仿宋_GB2312"/>
          <w:sz w:val="32"/>
          <w:szCs w:val="32"/>
        </w:rPr>
        <w:t>20年减少0.97万元，下降1.10</w:t>
      </w:r>
      <w:r>
        <w:rPr>
          <w:rFonts w:ascii="仿宋_GB2312" w:eastAsia="仿宋_GB2312"/>
          <w:sz w:val="32"/>
          <w:szCs w:val="32"/>
        </w:rPr>
        <w:t>%</w:t>
      </w:r>
      <w:r>
        <w:rPr>
          <w:rFonts w:hint="eastAsia" w:ascii="仿宋_GB2312" w:eastAsia="仿宋_GB2312"/>
          <w:sz w:val="32"/>
          <w:szCs w:val="32"/>
        </w:rPr>
        <w:t>（或与</w:t>
      </w:r>
      <w:r>
        <w:rPr>
          <w:rFonts w:ascii="仿宋_GB2312" w:eastAsia="仿宋_GB2312"/>
          <w:sz w:val="32"/>
          <w:szCs w:val="32"/>
        </w:rPr>
        <w:t>20</w:t>
      </w:r>
      <w:r>
        <w:rPr>
          <w:rFonts w:hint="eastAsia" w:ascii="仿宋_GB2312" w:eastAsia="仿宋_GB2312"/>
          <w:sz w:val="32"/>
          <w:szCs w:val="32"/>
        </w:rPr>
        <w:t>20年决算数持平）。主要原因是</w:t>
      </w:r>
      <w:r>
        <w:rPr>
          <w:rFonts w:hint="eastAsia" w:ascii="仿宋_GB2312" w:eastAsia="仿宋_GB2312"/>
          <w:color w:val="000000"/>
          <w:sz w:val="32"/>
          <w:szCs w:val="32"/>
        </w:rPr>
        <w:t>压减经费。</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2" w:name="_Toc15377223"/>
      <w:bookmarkStart w:id="73" w:name="_Toc113952870"/>
      <w:r>
        <w:rPr>
          <w:rFonts w:hint="eastAsia" w:ascii="仿宋" w:hAnsi="仿宋" w:eastAsia="仿宋"/>
          <w:b/>
          <w:sz w:val="32"/>
          <w:szCs w:val="32"/>
        </w:rPr>
        <w:t>（二）政府采购支出情况</w:t>
      </w:r>
      <w:bookmarkEnd w:id="72"/>
      <w:bookmarkEnd w:id="73"/>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color w:val="000000"/>
          <w:sz w:val="32"/>
          <w:szCs w:val="32"/>
        </w:rPr>
        <w:t>攀枝花市</w:t>
      </w:r>
      <w:r>
        <w:rPr>
          <w:rFonts w:ascii="仿宋_GB2312" w:eastAsia="仿宋_GB2312"/>
          <w:color w:val="000000"/>
          <w:sz w:val="32"/>
          <w:szCs w:val="32"/>
        </w:rPr>
        <w:t>建设工程质量安全站</w:t>
      </w:r>
      <w:r>
        <w:rPr>
          <w:rFonts w:hint="eastAsia" w:ascii="仿宋_GB2312" w:eastAsia="仿宋_GB2312"/>
          <w:sz w:val="32"/>
          <w:szCs w:val="32"/>
        </w:rPr>
        <w:t>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4" w:name="_Toc113952871"/>
      <w:bookmarkStart w:id="75" w:name="_Toc15377224"/>
      <w:r>
        <w:rPr>
          <w:rFonts w:hint="eastAsia" w:ascii="仿宋" w:hAnsi="仿宋" w:eastAsia="仿宋"/>
          <w:b/>
          <w:sz w:val="32"/>
          <w:szCs w:val="32"/>
        </w:rPr>
        <w:t>（三）国有资产占有使用情况</w:t>
      </w:r>
      <w:bookmarkEnd w:id="74"/>
      <w:bookmarkEnd w:id="75"/>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color w:val="000000"/>
          <w:sz w:val="32"/>
          <w:szCs w:val="32"/>
        </w:rPr>
        <w:t>攀枝花市</w:t>
      </w:r>
      <w:r>
        <w:rPr>
          <w:rFonts w:ascii="仿宋_GB2312" w:eastAsia="仿宋_GB2312"/>
          <w:color w:val="000000"/>
          <w:sz w:val="32"/>
          <w:szCs w:val="32"/>
        </w:rPr>
        <w:t>建设工程质量安全站</w:t>
      </w:r>
      <w:r>
        <w:rPr>
          <w:rFonts w:hint="eastAsia" w:ascii="仿宋_GB2312" w:eastAsia="仿宋_GB2312"/>
          <w:sz w:val="32"/>
          <w:szCs w:val="32"/>
        </w:rPr>
        <w:t>共有车辆4辆，其中：主要领导干部用车0辆、机要通信用车0辆、应急保障用车0辆、特种专业技术用车4辆、其他用车0辆。主要是用于建筑工地安全监督工作。单价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6" w:name="_Toc113952872"/>
      <w:r>
        <w:rPr>
          <w:rFonts w:hint="eastAsia" w:ascii="仿宋" w:hAnsi="仿宋" w:eastAsia="仿宋"/>
          <w:b/>
          <w:sz w:val="32"/>
          <w:szCs w:val="32"/>
        </w:rPr>
        <w:t>（四）预算绩效管理情况</w:t>
      </w:r>
      <w:bookmarkEnd w:id="76"/>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根据预算绩效管理要求，本单位在2021年度预算编制阶段，组织对“安全文明施工措施费”、“抽检业务费”、“</w:t>
      </w:r>
      <w:r>
        <w:rPr>
          <w:rFonts w:ascii="仿宋_GB2312" w:hAnsi="仿宋_GB2312" w:eastAsia="仿宋_GB2312" w:cs="仿宋_GB2312"/>
          <w:sz w:val="32"/>
          <w:szCs w:val="32"/>
        </w:rPr>
        <w:t>编外合同制用工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建设工程质量数字化管理平台运转维护费</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物业管理费</w:t>
      </w:r>
      <w:r>
        <w:rPr>
          <w:rFonts w:hint="eastAsia" w:ascii="仿宋_GB2312" w:hAnsi="仿宋_GB2312" w:eastAsia="仿宋_GB2312" w:cs="仿宋_GB2312"/>
          <w:sz w:val="32"/>
          <w:szCs w:val="32"/>
        </w:rPr>
        <w:t>”5个项目开展了预算事前绩效评估，编制了绩效目标，预算执行过程中，选取5个项目开展绩效监控，年终执行完毕后，对5个项目开展了绩效自评，2021年特定目标类部门预算项目绩效目标自评表见附件（第四部分附件）。</w:t>
      </w:r>
    </w:p>
    <w:p>
      <w:pPr>
        <w:pStyle w:val="2"/>
        <w:spacing w:before="93"/>
      </w:pPr>
    </w:p>
    <w:p>
      <w:pPr>
        <w:numPr>
          <w:ilvl w:val="0"/>
          <w:numId w:val="4"/>
        </w:numPr>
        <w:spacing w:line="600" w:lineRule="exact"/>
        <w:ind w:firstLine="660" w:firstLineChars="150"/>
        <w:jc w:val="center"/>
        <w:outlineLvl w:val="0"/>
        <w:rPr>
          <w:rStyle w:val="25"/>
          <w:rFonts w:ascii="黑体" w:hAnsi="黑体" w:eastAsia="黑体"/>
          <w:b w:val="0"/>
        </w:rPr>
      </w:pPr>
      <w:bookmarkStart w:id="77" w:name="_Toc15377225"/>
      <w:bookmarkStart w:id="78" w:name="_Toc113952873"/>
      <w:bookmarkStart w:id="79" w:name="_Toc15396613"/>
      <w:r>
        <w:rPr>
          <w:rFonts w:hint="eastAsia" w:ascii="黑体" w:hAnsi="黑体" w:eastAsia="黑体"/>
          <w:sz w:val="44"/>
          <w:szCs w:val="44"/>
        </w:rPr>
        <w:t>名</w:t>
      </w:r>
      <w:r>
        <w:rPr>
          <w:rStyle w:val="25"/>
          <w:rFonts w:hint="eastAsia" w:ascii="黑体" w:hAnsi="黑体" w:eastAsia="黑体"/>
          <w:b w:val="0"/>
        </w:rPr>
        <w:t>词解释</w:t>
      </w:r>
      <w:bookmarkEnd w:id="77"/>
      <w:bookmarkEnd w:id="78"/>
      <w:bookmarkEnd w:id="79"/>
    </w:p>
    <w:p>
      <w:pPr>
        <w:spacing w:line="600" w:lineRule="exact"/>
        <w:jc w:val="left"/>
        <w:rPr>
          <w:rFonts w:ascii="宋体"/>
          <w:b/>
          <w:sz w:val="44"/>
          <w:szCs w:val="44"/>
        </w:rPr>
      </w:pP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hAnsi="Calibri" w:eastAsia="仿宋_GB2312" w:cs="仿宋"/>
          <w:kern w:val="0"/>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hAnsi="Calibri" w:eastAsia="仿宋_GB2312" w:cs="仿宋"/>
          <w:kern w:val="0"/>
          <w:sz w:val="32"/>
          <w:szCs w:val="32"/>
        </w:rPr>
        <w:t>社会保障和就业（类）行政事业单位养老支出（款）行政单位离退休（项）：指反映行政单位（包括实行公务员管理的事业单位）开支的离退休经费。事业单位离退休（项）：指反映事业单位开支的离退休经费。机关事业单位基本养老保险缴费支出（项）：指反映机关事业单位实施养老保险制度由单位缴纳的基本养老保险费支出。抚恤（款）死亡抚恤（项）：指反映按规定用于烈士和牺牲、病故人员家属的一次性和定期抚恤金以及丧葬补助费。社会福利（款）儿童福利（项）：指反映对儿童提供福利服务方面的支出。</w:t>
      </w:r>
    </w:p>
    <w:p>
      <w:pPr>
        <w:ind w:firstLine="640" w:firstLineChars="200"/>
        <w:rPr>
          <w:rFonts w:ascii="仿宋_GB2312" w:hAnsi="Calibri" w:eastAsia="仿宋_GB2312" w:cs="仿宋"/>
          <w:kern w:val="0"/>
          <w:sz w:val="32"/>
          <w:szCs w:val="32"/>
        </w:rPr>
      </w:pPr>
      <w:r>
        <w:rPr>
          <w:rFonts w:ascii="仿宋_GB2312" w:eastAsia="仿宋_GB2312"/>
          <w:sz w:val="32"/>
          <w:szCs w:val="32"/>
        </w:rPr>
        <w:t>1</w:t>
      </w:r>
      <w:r>
        <w:rPr>
          <w:rFonts w:hint="eastAsia" w:ascii="仿宋_GB2312" w:eastAsia="仿宋_GB2312"/>
          <w:sz w:val="32"/>
          <w:szCs w:val="32"/>
        </w:rPr>
        <w:t>0</w:t>
      </w:r>
      <w:r>
        <w:rPr>
          <w:rFonts w:ascii="仿宋_GB2312" w:eastAsia="仿宋_GB2312"/>
          <w:sz w:val="32"/>
          <w:szCs w:val="32"/>
        </w:rPr>
        <w:t>.</w:t>
      </w:r>
      <w:r>
        <w:rPr>
          <w:rFonts w:hint="eastAsia" w:ascii="仿宋_GB2312" w:hAnsi="Calibri" w:eastAsia="仿宋_GB2312" w:cs="仿宋"/>
          <w:kern w:val="0"/>
          <w:sz w:val="32"/>
          <w:szCs w:val="32"/>
        </w:rPr>
        <w:t>城乡社区支出（类）城乡社区管理事务（款）行政运行（项）: 指反映行政单位（包括实行公务员管理的事业单位）的基本支出。一般行政管理事务（项）: 指反映行政单位（包括实行公务员管理的事业单位）未单独设置项级科目的其他项目支出。工程建设标准规范编制与监管（项）: 指反映拟定工程建设国家标准和部管行业标准、监督指导各类工程建设标准定额的实施、管理工程造价等方面的支出。其他城乡社区管理事务支出（项）: 指反映其他城乡社区管理事务支出反映除上述项目以外其他用于城乡社区管理事务方面的支出。城乡社区公共设施（款）小城镇基础设施建设（项）: 指反映用于小城镇路、气、水、电等基础建设方面的支出。其他城乡社区公共设施支出（项）: 指反映其他用于城乡社区公共设施其他方面的支出。建设市场管理与监督（款）建设市场管理与监督（项）: 指反映各类建筑工程强制性和推荐性标准及规定的制定与修改、建筑工程招投标等市场管理、建筑工程质量与安全监督等方面的支出。其他城乡社区支出（款）其他城乡社区支出（项）: 指反映其他用于城乡社区方面的支出。</w:t>
      </w:r>
    </w:p>
    <w:p>
      <w:pPr>
        <w:ind w:firstLine="640" w:firstLineChars="200"/>
        <w:rPr>
          <w:rFonts w:ascii="仿宋_GB2312" w:hAnsi="Calibri" w:eastAsia="仿宋_GB2312" w:cs="仿宋"/>
          <w:kern w:val="0"/>
          <w:sz w:val="32"/>
          <w:szCs w:val="32"/>
        </w:rPr>
      </w:pPr>
      <w:r>
        <w:rPr>
          <w:rFonts w:hint="eastAsia" w:ascii="仿宋_GB2312" w:eastAsia="仿宋_GB2312"/>
          <w:sz w:val="32"/>
          <w:szCs w:val="32"/>
        </w:rPr>
        <w:t>11</w:t>
      </w:r>
      <w:r>
        <w:rPr>
          <w:rFonts w:ascii="仿宋_GB2312" w:eastAsia="仿宋_GB2312"/>
          <w:sz w:val="32"/>
          <w:szCs w:val="32"/>
        </w:rPr>
        <w:t>.</w:t>
      </w:r>
      <w:r>
        <w:rPr>
          <w:rFonts w:hint="eastAsia" w:ascii="仿宋_GB2312" w:hAnsi="Calibri" w:eastAsia="仿宋_GB2312" w:cs="仿宋"/>
          <w:kern w:val="0"/>
          <w:sz w:val="32"/>
          <w:szCs w:val="32"/>
        </w:rPr>
        <w:t>住房保障支出（类）住房改革支出（款）住房公积金（项）: 指反映行政事业单位按人力资源和社会保障部、财政部规定的基本工资和津贴补贴以及规定比例为职工缴纳的住房公积金。城乡社区住宅（款）其他城乡社区住宅支出（项）</w:t>
      </w:r>
      <w:r>
        <w:rPr>
          <w:rFonts w:ascii="仿宋_GB2312" w:hAnsi="Calibri" w:eastAsia="仿宋_GB2312" w:cs="仿宋"/>
          <w:kern w:val="0"/>
          <w:sz w:val="32"/>
          <w:szCs w:val="32"/>
        </w:rPr>
        <w:t>:</w:t>
      </w:r>
      <w:r>
        <w:rPr>
          <w:rFonts w:hint="eastAsia" w:ascii="仿宋_GB2312" w:hAnsi="Calibri" w:eastAsia="仿宋_GB2312" w:cs="仿宋"/>
          <w:kern w:val="0"/>
          <w:sz w:val="32"/>
          <w:szCs w:val="32"/>
        </w:rPr>
        <w:t xml:space="preserve"> 指反映其他用于城乡社区住宅方面的支出。</w:t>
      </w:r>
    </w:p>
    <w:p>
      <w:pPr>
        <w:ind w:firstLine="640" w:firstLineChars="200"/>
        <w:rPr>
          <w:rFonts w:ascii="仿宋_GB2312" w:eastAsia="仿宋_GB2312"/>
          <w:sz w:val="32"/>
          <w:szCs w:val="32"/>
        </w:rPr>
      </w:pPr>
      <w:r>
        <w:rPr>
          <w:rFonts w:hint="eastAsia" w:ascii="仿宋_GB2312" w:eastAsia="仿宋_GB2312"/>
          <w:sz w:val="32"/>
          <w:szCs w:val="32"/>
        </w:rPr>
        <w:t>12</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15</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16</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ascii="仿宋_GB2312" w:eastAsia="仿宋_GB2312" w:cs="黑体"/>
          <w:color w:val="auto"/>
          <w:sz w:val="32"/>
          <w:szCs w:val="32"/>
        </w:rPr>
      </w:pPr>
    </w:p>
    <w:p>
      <w:pPr>
        <w:spacing w:line="600" w:lineRule="exact"/>
        <w:jc w:val="center"/>
        <w:outlineLvl w:val="0"/>
        <w:rPr>
          <w:rStyle w:val="25"/>
          <w:rFonts w:ascii="黑体" w:hAnsi="黑体" w:eastAsia="黑体"/>
          <w:b w:val="0"/>
        </w:rPr>
      </w:pPr>
      <w:bookmarkStart w:id="80" w:name="_Toc15377226"/>
      <w:r>
        <w:rPr>
          <w:rFonts w:ascii="宋体"/>
          <w:b/>
          <w:sz w:val="44"/>
          <w:szCs w:val="44"/>
        </w:rPr>
        <w:br w:type="page"/>
      </w:r>
      <w:bookmarkStart w:id="81" w:name="_Toc113952874"/>
      <w:bookmarkStart w:id="82" w:name="_Toc15396614"/>
      <w:r>
        <w:rPr>
          <w:rFonts w:hint="eastAsia" w:ascii="黑体" w:hAnsi="黑体" w:eastAsia="黑体"/>
          <w:sz w:val="44"/>
          <w:szCs w:val="44"/>
        </w:rPr>
        <w:t>第</w:t>
      </w:r>
      <w:r>
        <w:rPr>
          <w:rStyle w:val="25"/>
          <w:rFonts w:hint="eastAsia" w:ascii="黑体" w:hAnsi="黑体" w:eastAsia="黑体"/>
          <w:b w:val="0"/>
        </w:rPr>
        <w:t>四部分 附件</w:t>
      </w:r>
      <w:bookmarkEnd w:id="81"/>
      <w:bookmarkEnd w:id="82"/>
    </w:p>
    <w:p>
      <w:pPr>
        <w:spacing w:line="572" w:lineRule="exact"/>
        <w:jc w:val="left"/>
        <w:outlineLvl w:val="0"/>
        <w:rPr>
          <w:rFonts w:ascii="仿宋_GB2312" w:hAnsi="仿宋_GB2312" w:eastAsia="仿宋_GB2312" w:cs="仿宋_GB2312"/>
          <w:sz w:val="32"/>
          <w:szCs w:val="32"/>
        </w:rPr>
      </w:pPr>
      <w:bookmarkStart w:id="83" w:name="_Toc113952875"/>
      <w:r>
        <w:rPr>
          <w:rFonts w:hint="eastAsia" w:ascii="黑体" w:hAnsi="黑体" w:eastAsia="黑体" w:cs="黑体"/>
          <w:sz w:val="32"/>
          <w:szCs w:val="32"/>
        </w:rPr>
        <w:t>附件</w:t>
      </w:r>
      <w:bookmarkEnd w:id="83"/>
    </w:p>
    <w:tbl>
      <w:tblPr>
        <w:tblStyle w:val="13"/>
        <w:tblpPr w:leftFromText="180" w:rightFromText="180" w:vertAnchor="text" w:horzAnchor="page" w:tblpX="1281" w:tblpY="660"/>
        <w:tblOverlap w:val="never"/>
        <w:tblW w:w="10105" w:type="dxa"/>
        <w:tblInd w:w="0" w:type="dxa"/>
        <w:tblLayout w:type="fixed"/>
        <w:tblCellMar>
          <w:top w:w="0" w:type="dxa"/>
          <w:left w:w="108" w:type="dxa"/>
          <w:bottom w:w="0" w:type="dxa"/>
          <w:right w:w="108" w:type="dxa"/>
        </w:tblCellMar>
      </w:tblPr>
      <w:tblGrid>
        <w:gridCol w:w="1384"/>
        <w:gridCol w:w="956"/>
        <w:gridCol w:w="600"/>
        <w:gridCol w:w="818"/>
        <w:gridCol w:w="817"/>
        <w:gridCol w:w="1062"/>
        <w:gridCol w:w="1587"/>
        <w:gridCol w:w="539"/>
        <w:gridCol w:w="2342"/>
      </w:tblGrid>
      <w:tr>
        <w:tblPrEx>
          <w:tblCellMar>
            <w:top w:w="0" w:type="dxa"/>
            <w:left w:w="108" w:type="dxa"/>
            <w:bottom w:w="0" w:type="dxa"/>
            <w:right w:w="108" w:type="dxa"/>
          </w:tblCellMar>
        </w:tblPrEx>
        <w:trPr>
          <w:trHeight w:val="675" w:hRule="atLeast"/>
        </w:trPr>
        <w:tc>
          <w:tcPr>
            <w:tcW w:w="10105" w:type="dxa"/>
            <w:gridSpan w:val="9"/>
            <w:tcBorders>
              <w:top w:val="nil"/>
              <w:left w:val="nil"/>
              <w:bottom w:val="nil"/>
              <w:right w:val="nil"/>
            </w:tcBorders>
            <w:shd w:val="clear" w:color="auto" w:fill="auto"/>
            <w:vAlign w:val="center"/>
          </w:tcPr>
          <w:p>
            <w:pPr>
              <w:widowControl/>
              <w:ind w:firstLine="1590" w:firstLineChars="495"/>
              <w:textAlignment w:val="center"/>
              <w:rPr>
                <w:rFonts w:ascii="宋体" w:hAnsi="宋体" w:cs="宋体"/>
                <w:b/>
                <w:sz w:val="32"/>
                <w:szCs w:val="32"/>
              </w:rPr>
            </w:pPr>
            <w:bookmarkStart w:id="84" w:name="_Toc15396618"/>
            <w:r>
              <w:rPr>
                <w:rFonts w:hint="eastAsia" w:ascii="宋体" w:hAnsi="宋体" w:cs="宋体"/>
                <w:b/>
                <w:sz w:val="32"/>
                <w:szCs w:val="32"/>
              </w:rPr>
              <w:t>2021年不限金额特定目标类部门预算项目绩效目标自评</w:t>
            </w:r>
          </w:p>
          <w:p>
            <w:pPr>
              <w:pStyle w:val="2"/>
              <w:spacing w:before="93"/>
              <w:jc w:val="center"/>
            </w:pPr>
            <w:r>
              <w:rPr>
                <w:rFonts w:hint="eastAsia" w:ascii="宋体" w:hAnsi="宋体" w:eastAsia="宋体" w:cs="宋体"/>
                <w:b/>
                <w:kern w:val="2"/>
                <w:sz w:val="32"/>
                <w:szCs w:val="32"/>
              </w:rPr>
              <w:t>（编外合同制用工）</w:t>
            </w:r>
          </w:p>
        </w:tc>
      </w:tr>
      <w:tr>
        <w:tblPrEx>
          <w:tblCellMar>
            <w:top w:w="0" w:type="dxa"/>
            <w:left w:w="108" w:type="dxa"/>
            <w:bottom w:w="0" w:type="dxa"/>
            <w:right w:w="108" w:type="dxa"/>
          </w:tblCellMar>
        </w:tblPrEx>
        <w:trPr>
          <w:trHeight w:val="254" w:hRule="atLeast"/>
        </w:trPr>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攀枝花市住房和城乡建设局    801001</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ascii="宋体" w:hAnsi="宋体" w:cs="宋体"/>
                <w:sz w:val="24"/>
              </w:rPr>
              <w:t>攀枝花市建设工程</w:t>
            </w:r>
          </w:p>
          <w:p>
            <w:pPr>
              <w:widowControl/>
              <w:spacing w:line="320" w:lineRule="exact"/>
              <w:jc w:val="center"/>
              <w:textAlignment w:val="center"/>
              <w:rPr>
                <w:rFonts w:ascii="宋体" w:hAnsi="宋体" w:cs="宋体"/>
                <w:sz w:val="24"/>
              </w:rPr>
            </w:pPr>
            <w:r>
              <w:rPr>
                <w:rFonts w:ascii="宋体" w:hAnsi="宋体" w:cs="宋体"/>
                <w:sz w:val="24"/>
              </w:rPr>
              <w:t>质量安全站</w:t>
            </w:r>
          </w:p>
        </w:tc>
      </w:tr>
      <w:tr>
        <w:tblPrEx>
          <w:tblCellMar>
            <w:top w:w="0" w:type="dxa"/>
            <w:left w:w="108" w:type="dxa"/>
            <w:bottom w:w="0" w:type="dxa"/>
            <w:right w:w="108" w:type="dxa"/>
          </w:tblCellMar>
        </w:tblPrEx>
        <w:trPr>
          <w:trHeight w:val="341" w:hRule="atLeast"/>
        </w:trPr>
        <w:tc>
          <w:tcPr>
            <w:tcW w:w="29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项目预算</w:t>
            </w:r>
          </w:p>
          <w:p>
            <w:pPr>
              <w:widowControl/>
              <w:spacing w:line="320" w:lineRule="exact"/>
              <w:jc w:val="center"/>
              <w:textAlignment w:val="center"/>
              <w:rPr>
                <w:rFonts w:ascii="宋体" w:hAnsi="宋体" w:cs="宋体"/>
                <w:kern w:val="0"/>
                <w:sz w:val="24"/>
              </w:rPr>
            </w:pPr>
            <w:r>
              <w:rPr>
                <w:rFonts w:hint="eastAsia" w:ascii="宋体" w:hAnsi="宋体" w:cs="宋体"/>
                <w:kern w:val="0"/>
                <w:sz w:val="24"/>
              </w:rPr>
              <w:t>执行情况</w:t>
            </w:r>
          </w:p>
          <w:p>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117.17</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117.17</w:t>
            </w:r>
          </w:p>
        </w:tc>
      </w:tr>
      <w:tr>
        <w:tblPrEx>
          <w:tblCellMar>
            <w:top w:w="0" w:type="dxa"/>
            <w:left w:w="108" w:type="dxa"/>
            <w:bottom w:w="0" w:type="dxa"/>
            <w:right w:w="108" w:type="dxa"/>
          </w:tblCellMar>
        </w:tblPrEx>
        <w:trPr>
          <w:trHeight w:val="555" w:hRule="atLeast"/>
        </w:trPr>
        <w:tc>
          <w:tcPr>
            <w:tcW w:w="29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117.17</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117.17</w:t>
            </w:r>
          </w:p>
        </w:tc>
      </w:tr>
      <w:tr>
        <w:tblPrEx>
          <w:tblCellMar>
            <w:top w:w="0" w:type="dxa"/>
            <w:left w:w="108" w:type="dxa"/>
            <w:bottom w:w="0" w:type="dxa"/>
            <w:right w:w="108" w:type="dxa"/>
          </w:tblCellMar>
        </w:tblPrEx>
        <w:trPr>
          <w:trHeight w:val="341" w:hRule="atLeast"/>
        </w:trPr>
        <w:tc>
          <w:tcPr>
            <w:tcW w:w="29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0</w:t>
            </w:r>
          </w:p>
        </w:tc>
      </w:tr>
      <w:tr>
        <w:tblPrEx>
          <w:tblCellMar>
            <w:top w:w="0" w:type="dxa"/>
            <w:left w:w="108" w:type="dxa"/>
            <w:bottom w:w="0" w:type="dxa"/>
            <w:right w:w="108" w:type="dxa"/>
          </w:tblCellMar>
        </w:tblPrEx>
        <w:trPr>
          <w:trHeight w:val="217" w:hRule="atLeast"/>
        </w:trPr>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年度总体目标完成情况</w:t>
            </w:r>
          </w:p>
        </w:tc>
        <w:tc>
          <w:tcPr>
            <w:tcW w:w="42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44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trHeight w:val="600"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4253"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强化工程建设质量管理，强化工程质量检测，加快推进工程质量监管。</w:t>
            </w:r>
          </w:p>
        </w:tc>
        <w:tc>
          <w:tcPr>
            <w:tcW w:w="4468"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加强监督工作范围，解决了专业技术人员短缺</w:t>
            </w:r>
          </w:p>
        </w:tc>
      </w:tr>
      <w:tr>
        <w:tblPrEx>
          <w:tblCellMar>
            <w:top w:w="0" w:type="dxa"/>
            <w:left w:w="108" w:type="dxa"/>
            <w:bottom w:w="0" w:type="dxa"/>
            <w:right w:w="108" w:type="dxa"/>
          </w:tblCellMar>
        </w:tblPrEx>
        <w:trPr>
          <w:trHeight w:val="693" w:hRule="atLeast"/>
        </w:trPr>
        <w:tc>
          <w:tcPr>
            <w:tcW w:w="1384"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956"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trHeight w:val="415"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18"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编外合同制专业技术人员人数</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编制文件下达编外合同制用工人数25名</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聘用专业技术人员25名</w:t>
            </w:r>
          </w:p>
        </w:tc>
      </w:tr>
      <w:tr>
        <w:tblPrEx>
          <w:tblCellMar>
            <w:top w:w="0" w:type="dxa"/>
            <w:left w:w="108" w:type="dxa"/>
            <w:bottom w:w="0" w:type="dxa"/>
            <w:right w:w="108" w:type="dxa"/>
          </w:tblCellMar>
        </w:tblPrEx>
        <w:trPr>
          <w:trHeight w:val="415"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编外用工工资及社保</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全年工资社保总额117.17万元</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全年工资社保总额117.17万元</w:t>
            </w:r>
          </w:p>
        </w:tc>
      </w:tr>
      <w:tr>
        <w:tblPrEx>
          <w:tblCellMar>
            <w:top w:w="0" w:type="dxa"/>
            <w:left w:w="108" w:type="dxa"/>
            <w:bottom w:w="0" w:type="dxa"/>
            <w:right w:w="108" w:type="dxa"/>
          </w:tblCellMar>
        </w:tblPrEx>
        <w:trPr>
          <w:trHeight w:val="415"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建设工程安全质量</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保证聘用人员技术指标合格，提高建设工程安全质量水平</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保证聘用人员技术指标合格，提高建设工程安全质量水平</w:t>
            </w:r>
          </w:p>
        </w:tc>
      </w:tr>
      <w:tr>
        <w:tblPrEx>
          <w:tblCellMar>
            <w:top w:w="0" w:type="dxa"/>
            <w:left w:w="108" w:type="dxa"/>
            <w:bottom w:w="0" w:type="dxa"/>
            <w:right w:w="108" w:type="dxa"/>
          </w:tblCellMar>
        </w:tblPrEx>
        <w:trPr>
          <w:trHeight w:val="415"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完成工作时间</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一个年度内</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一个年度内</w:t>
            </w:r>
          </w:p>
        </w:tc>
      </w:tr>
      <w:tr>
        <w:tblPrEx>
          <w:tblCellMar>
            <w:top w:w="0" w:type="dxa"/>
            <w:left w:w="108" w:type="dxa"/>
            <w:bottom w:w="0" w:type="dxa"/>
            <w:right w:w="108" w:type="dxa"/>
          </w:tblCellMar>
        </w:tblPrEx>
        <w:trPr>
          <w:trHeight w:val="480"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编外用工工资及社保</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全年工资社保总额117.17万元</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全年工资总额117.17万元</w:t>
            </w:r>
          </w:p>
        </w:tc>
      </w:tr>
      <w:tr>
        <w:tblPrEx>
          <w:tblCellMar>
            <w:top w:w="0" w:type="dxa"/>
            <w:left w:w="108" w:type="dxa"/>
            <w:bottom w:w="0" w:type="dxa"/>
            <w:right w:w="108" w:type="dxa"/>
          </w:tblCellMar>
        </w:tblPrEx>
        <w:trPr>
          <w:trHeight w:val="480"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保障工程安全质量</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保障了人员经费按时发放，稳定编外用工人员队伍，提升工程安全质量，防止安全事故发生，提高经济效益长效发展</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保障了人员经费按时发放，稳定编外用工人员队伍</w:t>
            </w:r>
          </w:p>
        </w:tc>
      </w:tr>
      <w:tr>
        <w:tblPrEx>
          <w:tblCellMar>
            <w:top w:w="0" w:type="dxa"/>
            <w:left w:w="108" w:type="dxa"/>
            <w:bottom w:w="0" w:type="dxa"/>
            <w:right w:w="108" w:type="dxa"/>
          </w:tblCellMar>
        </w:tblPrEx>
        <w:trPr>
          <w:trHeight w:val="480"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提高市民生活居住水平</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减少后期用户投诉,消除受监工程不文明现象，确保工地扬尘治理以及安全</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减少后期用户投诉,消除受监工程不文明现象，确保工地扬尘治理以及安全</w:t>
            </w:r>
          </w:p>
        </w:tc>
      </w:tr>
      <w:tr>
        <w:tblPrEx>
          <w:tblCellMar>
            <w:top w:w="0" w:type="dxa"/>
            <w:left w:w="108" w:type="dxa"/>
            <w:bottom w:w="0" w:type="dxa"/>
            <w:right w:w="108" w:type="dxa"/>
          </w:tblCellMar>
        </w:tblPrEx>
        <w:trPr>
          <w:trHeight w:val="480"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建设工程质量持续优化</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消除受监工程施工安全隐患，降低生产安全事故发生概率.提升受监工程安提升工程质量水平，使人们生活安居乐业全生产标准化水平</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消除受监工程施工安全隐患，降低生产安全事故发生概率.提升受监工程安提升工程质量水平，使人们生活安居乐业全生产标准化水平</w:t>
            </w:r>
          </w:p>
        </w:tc>
      </w:tr>
      <w:tr>
        <w:tblPrEx>
          <w:tblCellMar>
            <w:top w:w="0" w:type="dxa"/>
            <w:left w:w="108" w:type="dxa"/>
            <w:bottom w:w="0" w:type="dxa"/>
            <w:right w:w="108" w:type="dxa"/>
          </w:tblCellMar>
        </w:tblPrEx>
        <w:trPr>
          <w:trHeight w:val="530" w:hRule="atLeast"/>
        </w:trPr>
        <w:tc>
          <w:tcPr>
            <w:tcW w:w="1384"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度指标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提升市民满意度</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ascii="仿宋_GB2312" w:hAnsi="仿宋_GB2312" w:eastAsia="仿宋_GB2312" w:cs="仿宋_GB2312"/>
                <w:sz w:val="18"/>
                <w:szCs w:val="18"/>
              </w:rPr>
              <w:t>95%</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ascii="仿宋_GB2312" w:hAnsi="仿宋_GB2312" w:eastAsia="仿宋_GB2312" w:cs="仿宋_GB2312"/>
                <w:sz w:val="18"/>
                <w:szCs w:val="18"/>
              </w:rPr>
              <w:t>95%</w:t>
            </w:r>
          </w:p>
        </w:tc>
      </w:tr>
    </w:tbl>
    <w:p>
      <w:pPr>
        <w:spacing w:line="600" w:lineRule="exact"/>
        <w:jc w:val="center"/>
        <w:outlineLvl w:val="0"/>
        <w:rPr>
          <w:rFonts w:ascii="黑体" w:hAnsi="黑体" w:eastAsia="黑体"/>
          <w:sz w:val="44"/>
          <w:szCs w:val="44"/>
        </w:rPr>
      </w:pPr>
    </w:p>
    <w:tbl>
      <w:tblPr>
        <w:tblStyle w:val="13"/>
        <w:tblpPr w:leftFromText="180" w:rightFromText="180" w:vertAnchor="text" w:horzAnchor="page" w:tblpX="1281" w:tblpY="660"/>
        <w:tblOverlap w:val="never"/>
        <w:tblW w:w="10341" w:type="dxa"/>
        <w:tblInd w:w="0" w:type="dxa"/>
        <w:tblLayout w:type="fixed"/>
        <w:tblCellMar>
          <w:top w:w="0" w:type="dxa"/>
          <w:left w:w="108" w:type="dxa"/>
          <w:bottom w:w="0" w:type="dxa"/>
          <w:right w:w="108" w:type="dxa"/>
        </w:tblCellMar>
      </w:tblPr>
      <w:tblGrid>
        <w:gridCol w:w="1384"/>
        <w:gridCol w:w="956"/>
        <w:gridCol w:w="600"/>
        <w:gridCol w:w="818"/>
        <w:gridCol w:w="817"/>
        <w:gridCol w:w="1062"/>
        <w:gridCol w:w="1587"/>
        <w:gridCol w:w="539"/>
        <w:gridCol w:w="2342"/>
        <w:gridCol w:w="236"/>
      </w:tblGrid>
      <w:tr>
        <w:tblPrEx>
          <w:tblCellMar>
            <w:top w:w="0" w:type="dxa"/>
            <w:left w:w="108" w:type="dxa"/>
            <w:bottom w:w="0" w:type="dxa"/>
            <w:right w:w="108" w:type="dxa"/>
          </w:tblCellMar>
        </w:tblPrEx>
        <w:trPr>
          <w:trHeight w:val="675" w:hRule="atLeast"/>
        </w:trPr>
        <w:tc>
          <w:tcPr>
            <w:tcW w:w="10105" w:type="dxa"/>
            <w:gridSpan w:val="9"/>
            <w:tcBorders>
              <w:top w:val="nil"/>
              <w:left w:val="nil"/>
              <w:bottom w:val="nil"/>
              <w:right w:val="nil"/>
            </w:tcBorders>
            <w:shd w:val="clear" w:color="auto" w:fill="auto"/>
            <w:vAlign w:val="center"/>
          </w:tcPr>
          <w:p>
            <w:pPr>
              <w:widowControl/>
              <w:ind w:firstLine="1590" w:firstLineChars="495"/>
              <w:textAlignment w:val="center"/>
              <w:rPr>
                <w:rFonts w:ascii="宋体" w:hAnsi="宋体" w:cs="宋体"/>
                <w:b/>
                <w:sz w:val="32"/>
                <w:szCs w:val="32"/>
              </w:rPr>
            </w:pPr>
            <w:r>
              <w:rPr>
                <w:rFonts w:hint="eastAsia" w:ascii="宋体" w:hAnsi="宋体" w:cs="宋体"/>
                <w:b/>
                <w:sz w:val="32"/>
                <w:szCs w:val="32"/>
              </w:rPr>
              <w:t>2021年不限金额特定目标类部门预算项目绩效目标自评</w:t>
            </w:r>
          </w:p>
          <w:p>
            <w:pPr>
              <w:widowControl/>
              <w:ind w:firstLine="948" w:firstLineChars="295"/>
              <w:jc w:val="center"/>
              <w:textAlignment w:val="center"/>
              <w:rPr>
                <w:rFonts w:ascii="宋体" w:hAnsi="宋体" w:cs="宋体"/>
                <w:b/>
                <w:sz w:val="32"/>
                <w:szCs w:val="32"/>
              </w:rPr>
            </w:pPr>
            <w:r>
              <w:rPr>
                <w:rFonts w:hint="eastAsia" w:ascii="宋体" w:hAnsi="宋体" w:cs="宋体"/>
                <w:b/>
                <w:sz w:val="32"/>
                <w:szCs w:val="32"/>
              </w:rPr>
              <w:t>（抽检业务费）</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攀枝花市住房和城乡建设局    801001</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ascii="宋体" w:hAnsi="宋体" w:cs="宋体"/>
                <w:sz w:val="24"/>
              </w:rPr>
              <w:t>攀枝花市建设工程</w:t>
            </w:r>
          </w:p>
          <w:p>
            <w:pPr>
              <w:widowControl/>
              <w:spacing w:line="320" w:lineRule="exact"/>
              <w:jc w:val="center"/>
              <w:textAlignment w:val="center"/>
              <w:rPr>
                <w:rFonts w:ascii="宋体" w:hAnsi="宋体" w:cs="宋体"/>
                <w:sz w:val="24"/>
              </w:rPr>
            </w:pPr>
            <w:r>
              <w:rPr>
                <w:rFonts w:ascii="宋体" w:hAnsi="宋体" w:cs="宋体"/>
                <w:sz w:val="24"/>
              </w:rPr>
              <w:t>质量安全站</w:t>
            </w:r>
          </w:p>
        </w:tc>
      </w:tr>
      <w:tr>
        <w:tblPrEx>
          <w:tblCellMar>
            <w:top w:w="0" w:type="dxa"/>
            <w:left w:w="108" w:type="dxa"/>
            <w:bottom w:w="0" w:type="dxa"/>
            <w:right w:w="108" w:type="dxa"/>
          </w:tblCellMar>
        </w:tblPrEx>
        <w:trPr>
          <w:gridAfter w:val="1"/>
          <w:wAfter w:w="236" w:type="dxa"/>
          <w:trHeight w:val="341" w:hRule="atLeast"/>
        </w:trPr>
        <w:tc>
          <w:tcPr>
            <w:tcW w:w="29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项目预算</w:t>
            </w:r>
          </w:p>
          <w:p>
            <w:pPr>
              <w:widowControl/>
              <w:spacing w:line="320" w:lineRule="exact"/>
              <w:jc w:val="center"/>
              <w:textAlignment w:val="center"/>
              <w:rPr>
                <w:rFonts w:ascii="宋体" w:hAnsi="宋体" w:cs="宋体"/>
                <w:kern w:val="0"/>
                <w:sz w:val="24"/>
              </w:rPr>
            </w:pPr>
            <w:r>
              <w:rPr>
                <w:rFonts w:hint="eastAsia" w:ascii="宋体" w:hAnsi="宋体" w:cs="宋体"/>
                <w:kern w:val="0"/>
                <w:sz w:val="24"/>
              </w:rPr>
              <w:t>执行情况</w:t>
            </w:r>
          </w:p>
          <w:p>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ascii="宋体" w:hAnsi="宋体" w:cs="宋体"/>
                <w:sz w:val="24"/>
              </w:rPr>
              <w:t>30.88</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ascii="宋体" w:hAnsi="宋体" w:cs="宋体"/>
                <w:sz w:val="24"/>
              </w:rPr>
              <w:t>30.88</w:t>
            </w:r>
          </w:p>
        </w:tc>
      </w:tr>
      <w:tr>
        <w:tblPrEx>
          <w:tblCellMar>
            <w:top w:w="0" w:type="dxa"/>
            <w:left w:w="108" w:type="dxa"/>
            <w:bottom w:w="0" w:type="dxa"/>
            <w:right w:w="108" w:type="dxa"/>
          </w:tblCellMar>
        </w:tblPrEx>
        <w:trPr>
          <w:gridAfter w:val="1"/>
          <w:wAfter w:w="236" w:type="dxa"/>
          <w:trHeight w:val="555" w:hRule="atLeast"/>
        </w:trPr>
        <w:tc>
          <w:tcPr>
            <w:tcW w:w="29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ascii="宋体" w:hAnsi="宋体" w:cs="宋体"/>
                <w:sz w:val="24"/>
              </w:rPr>
              <w:t>30.88</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ascii="宋体" w:hAnsi="宋体" w:cs="宋体"/>
                <w:sz w:val="24"/>
              </w:rPr>
              <w:t>30.88</w:t>
            </w:r>
          </w:p>
        </w:tc>
      </w:tr>
      <w:tr>
        <w:tblPrEx>
          <w:tblCellMar>
            <w:top w:w="0" w:type="dxa"/>
            <w:left w:w="108" w:type="dxa"/>
            <w:bottom w:w="0" w:type="dxa"/>
            <w:right w:w="108" w:type="dxa"/>
          </w:tblCellMar>
        </w:tblPrEx>
        <w:trPr>
          <w:gridAfter w:val="1"/>
          <w:wAfter w:w="236" w:type="dxa"/>
          <w:trHeight w:val="341" w:hRule="atLeast"/>
        </w:trPr>
        <w:tc>
          <w:tcPr>
            <w:tcW w:w="29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0</w:t>
            </w:r>
          </w:p>
        </w:tc>
      </w:tr>
      <w:tr>
        <w:tblPrEx>
          <w:tblCellMar>
            <w:top w:w="0" w:type="dxa"/>
            <w:left w:w="108" w:type="dxa"/>
            <w:bottom w:w="0" w:type="dxa"/>
            <w:right w:w="108" w:type="dxa"/>
          </w:tblCellMar>
        </w:tblPrEx>
        <w:trPr>
          <w:gridAfter w:val="1"/>
          <w:wAfter w:w="236" w:type="dxa"/>
          <w:trHeight w:val="217" w:hRule="atLeast"/>
        </w:trPr>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年度总体目标完成情况</w:t>
            </w:r>
          </w:p>
        </w:tc>
        <w:tc>
          <w:tcPr>
            <w:tcW w:w="42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44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6" w:type="dxa"/>
          <w:trHeight w:val="600"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4253"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仿宋_GB2312" w:hAnsi="仿宋_GB2312" w:eastAsia="仿宋_GB2312" w:cs="仿宋_GB2312"/>
                <w:sz w:val="18"/>
                <w:szCs w:val="18"/>
              </w:rPr>
            </w:pPr>
            <w:r>
              <w:rPr>
                <w:rFonts w:hint="eastAsia" w:ascii="仿宋_GB2312" w:hAnsi="仿宋_GB2312" w:eastAsia="仿宋_GB2312" w:cs="仿宋_GB2312"/>
                <w:sz w:val="18"/>
                <w:szCs w:val="18"/>
              </w:rPr>
              <w:t>攀枝花市建设工程质量安全站主要工作任务是对建设工程施工质量和施工现场安全生产、文明施工进行监督管理，受理全市工程质量安全投诉，开展建设工程质量及建筑材料检测，负责建筑施工现场环境综合治理，履行质量安全行政管理等职能。工作内容包括日常工程质量安全监督检查、监督检测，建筑材料委托检测，日常质量安全监督巡查以及组织实施省、市各级要求进行的各类专项检查。</w:t>
            </w:r>
          </w:p>
        </w:tc>
        <w:tc>
          <w:tcPr>
            <w:tcW w:w="4468"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仿宋_GB2312" w:hAnsi="仿宋_GB2312" w:eastAsia="仿宋_GB2312" w:cs="仿宋_GB2312"/>
                <w:sz w:val="18"/>
                <w:szCs w:val="18"/>
              </w:rPr>
            </w:pPr>
            <w:r>
              <w:rPr>
                <w:rFonts w:hint="eastAsia" w:ascii="仿宋_GB2312" w:hAnsi="仿宋_GB2312" w:eastAsia="仿宋_GB2312" w:cs="仿宋_GB2312"/>
                <w:sz w:val="18"/>
                <w:szCs w:val="18"/>
              </w:rPr>
              <w:t>负责全市建筑监督工作，对全市工程质量监督管理的措施并组织实施，制定工程竣工验收备案管理，对建设工程质量实施日常监督和专项检查，对工程质量监督系统的工程质量投诉、举报、并对其调查、协调、仲裁和处理。围绕“质量强市”开展工程质量监督工作，使全市工程质量水平有较大提升，确保工程质量优良合格。依据四川省房屋建筑和市政基础设施工程施工安全监督实施细则相关要求开展受监工程施工安全监督，运用安全大检查、专项检查、随机巡查等多层次检查方式，通过聘请技术专家共同开展检查，增加检查深度，推进受监工程安全文明施工标准化，保障受监工程安全生产形势平稳受控</w:t>
            </w:r>
          </w:p>
        </w:tc>
      </w:tr>
      <w:tr>
        <w:tblPrEx>
          <w:tblCellMar>
            <w:top w:w="0" w:type="dxa"/>
            <w:left w:w="108" w:type="dxa"/>
            <w:bottom w:w="0" w:type="dxa"/>
            <w:right w:w="108" w:type="dxa"/>
          </w:tblCellMar>
        </w:tblPrEx>
        <w:trPr>
          <w:gridAfter w:val="1"/>
          <w:wAfter w:w="236" w:type="dxa"/>
          <w:trHeight w:val="693" w:hRule="atLeast"/>
        </w:trPr>
        <w:tc>
          <w:tcPr>
            <w:tcW w:w="1384"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956"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18"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工程抽检工作</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开展建设工程质量及建筑材料,材料委托检测，工程质量安全监督检查，确保工程质量优良合格。</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本年度工程实际完成：开展工程实体质量监督抽查610次，委托第三方检测机构开展工程质量监督抽测工作，监督抽测46次，共对23个项目的45个单位工程进行了工程质量监督抽测，其中抽测钢筋保护层200个构件、混凝土回弹强度210个构件、楼板厚度125个构件、钢筋原材料71组、钢筋原材焊接30组、基桩29根。</w:t>
            </w:r>
          </w:p>
        </w:tc>
      </w:tr>
      <w:tr>
        <w:tblPrEx>
          <w:tblCellMar>
            <w:top w:w="0" w:type="dxa"/>
            <w:left w:w="108" w:type="dxa"/>
            <w:bottom w:w="0" w:type="dxa"/>
            <w:right w:w="108" w:type="dxa"/>
          </w:tblCellMar>
        </w:tblPrEx>
        <w:trPr>
          <w:gridAfter w:val="1"/>
          <w:wAfter w:w="236" w:type="dxa"/>
          <w:trHeight w:val="415"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18"/>
                <w:szCs w:val="18"/>
              </w:rPr>
            </w:pPr>
            <w:r>
              <w:rPr>
                <w:rFonts w:hint="eastAsia" w:ascii="仿宋_GB2312" w:hAnsi="仿宋_GB2312" w:eastAsia="仿宋_GB2312" w:cs="仿宋_GB2312"/>
                <w:sz w:val="18"/>
                <w:szCs w:val="18"/>
              </w:rPr>
              <w:t>工程质量监督</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对建设工程质量实施日常监督和专项检查，对工程质量监督系统的工程质量投诉、举报、并对其调查、协调、仲裁和处理。紧紧围绕“质量强市”加强工程质量监督，使全市工程质量水平有较大提升。</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完成监督隐蔽工程220个</w:t>
            </w:r>
          </w:p>
        </w:tc>
      </w:tr>
      <w:tr>
        <w:tblPrEx>
          <w:tblCellMar>
            <w:top w:w="0" w:type="dxa"/>
            <w:left w:w="108" w:type="dxa"/>
            <w:bottom w:w="0" w:type="dxa"/>
            <w:right w:w="108" w:type="dxa"/>
          </w:tblCellMar>
        </w:tblPrEx>
        <w:trPr>
          <w:gridAfter w:val="1"/>
          <w:wAfter w:w="236" w:type="dxa"/>
          <w:trHeight w:val="415"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工程质量验收合格</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建筑工程质量是百年大计，是人民群众最关心的事，要确保工程的质量，做好质量监督工作，做到工程竣工验收合格率100%。</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完成竣工工程数量84个，面积79.13万平方米。工程竣工验收合格率100%。</w:t>
            </w:r>
          </w:p>
        </w:tc>
      </w:tr>
      <w:tr>
        <w:tblPrEx>
          <w:tblCellMar>
            <w:top w:w="0" w:type="dxa"/>
            <w:left w:w="108" w:type="dxa"/>
            <w:bottom w:w="0" w:type="dxa"/>
            <w:right w:w="108" w:type="dxa"/>
          </w:tblCellMar>
        </w:tblPrEx>
        <w:trPr>
          <w:gridAfter w:val="1"/>
          <w:wAfter w:w="236" w:type="dxa"/>
          <w:trHeight w:val="415"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0" w:firstLineChars="100"/>
              <w:rPr>
                <w:rFonts w:ascii="仿宋_GB2312" w:hAnsi="仿宋_GB2312" w:eastAsia="仿宋_GB2312" w:cs="仿宋_GB2312"/>
                <w:sz w:val="18"/>
                <w:szCs w:val="18"/>
              </w:rPr>
            </w:pPr>
            <w:r>
              <w:rPr>
                <w:rFonts w:hint="eastAsia" w:ascii="仿宋_GB2312" w:hAnsi="仿宋_GB2312" w:eastAsia="仿宋_GB2312" w:cs="仿宋_GB2312"/>
                <w:sz w:val="18"/>
                <w:szCs w:val="18"/>
              </w:rPr>
              <w:t>完成工作时间</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2021年</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2021年</w:t>
            </w:r>
          </w:p>
        </w:tc>
      </w:tr>
      <w:tr>
        <w:tblPrEx>
          <w:tblCellMar>
            <w:top w:w="0" w:type="dxa"/>
            <w:left w:w="108" w:type="dxa"/>
            <w:bottom w:w="0" w:type="dxa"/>
            <w:right w:w="108" w:type="dxa"/>
          </w:tblCellMar>
        </w:tblPrEx>
        <w:trPr>
          <w:gridAfter w:val="1"/>
          <w:wAfter w:w="236" w:type="dxa"/>
          <w:trHeight w:val="480"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工程抽检</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开展建设工程质量及建筑材料,材料委托检测，工程质量安全监督检查，确保工程质量优良合格。</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本年度工程实际完成：开展工程实体质量监督抽查610次，委托第三方检测机构开展工程质量监督抽测工作，监督抽测46次，共对23个项目的45个单位工程进行了工程质量监督抽测，其中抽测钢筋保护层200个构件、混凝土回弹强度210个构件、楼板厚度125个构件、钢筋原材料71组、钢筋原材焊接30组、基桩29根。</w:t>
            </w:r>
          </w:p>
        </w:tc>
      </w:tr>
      <w:tr>
        <w:tblPrEx>
          <w:tblCellMar>
            <w:top w:w="0" w:type="dxa"/>
            <w:left w:w="108" w:type="dxa"/>
            <w:bottom w:w="0" w:type="dxa"/>
            <w:right w:w="108" w:type="dxa"/>
          </w:tblCellMar>
        </w:tblPrEx>
        <w:trPr>
          <w:gridAfter w:val="1"/>
          <w:wAfter w:w="236" w:type="dxa"/>
          <w:trHeight w:val="480"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抽检工作经费</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开展工程实体质量监督抽查，委托第三方检测机构开展工程质量监督抽测工作，监督抽测，因抽检业务工作需要发生差旅费、印刷费、培训费等</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30.88万元</w:t>
            </w:r>
          </w:p>
        </w:tc>
      </w:tr>
      <w:tr>
        <w:tblPrEx>
          <w:tblCellMar>
            <w:top w:w="0" w:type="dxa"/>
            <w:left w:w="108" w:type="dxa"/>
            <w:bottom w:w="0" w:type="dxa"/>
            <w:right w:w="108" w:type="dxa"/>
          </w:tblCellMar>
        </w:tblPrEx>
        <w:trPr>
          <w:gridAfter w:val="1"/>
          <w:wAfter w:w="236" w:type="dxa"/>
          <w:trHeight w:val="480"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提升建设工程质量水平</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拟通过开展对工程实体质量抽查及工程实体和建筑材料的抽测，促进我市建筑工程质量工作的长效发展。</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通过加强开展对工程实体的质量抽查，确保了建筑工程实体质量得到有力保障，同时合理科学的做好政府购买服务工作，加强对工程实体及材料的抽测力度，为我市建筑质量的有效发展做好了双保险，杜绝了不合格材料（如地条钢）流入建筑工地使用，为我市建筑市场的健康发展起到了积极促进作用。</w:t>
            </w:r>
          </w:p>
        </w:tc>
      </w:tr>
      <w:tr>
        <w:tblPrEx>
          <w:tblCellMar>
            <w:top w:w="0" w:type="dxa"/>
            <w:left w:w="108" w:type="dxa"/>
            <w:bottom w:w="0" w:type="dxa"/>
            <w:right w:w="108" w:type="dxa"/>
          </w:tblCellMar>
        </w:tblPrEx>
        <w:trPr>
          <w:gridAfter w:val="1"/>
          <w:wAfter w:w="236" w:type="dxa"/>
          <w:trHeight w:val="480"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提高市民生活居住水平</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拟加强建筑领域质量提升，加快城市建设，改善人居环境,提升居民居住幸福感。</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确保了本年度工程质量竣工验收合格率100%，有力的促进了我市建筑工程质量领域的健康发展，同时加强了人民群众对我市建筑工程质量的信心。</w:t>
            </w:r>
          </w:p>
        </w:tc>
      </w:tr>
      <w:tr>
        <w:tblPrEx>
          <w:tblCellMar>
            <w:top w:w="0" w:type="dxa"/>
            <w:left w:w="108" w:type="dxa"/>
            <w:bottom w:w="0" w:type="dxa"/>
            <w:right w:w="108" w:type="dxa"/>
          </w:tblCellMar>
        </w:tblPrEx>
        <w:trPr>
          <w:gridAfter w:val="1"/>
          <w:wAfter w:w="236" w:type="dxa"/>
          <w:trHeight w:val="480"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生态效益</w:t>
            </w:r>
          </w:p>
          <w:p>
            <w:pPr>
              <w:jc w:val="center"/>
              <w:rPr>
                <w:rFonts w:ascii="宋体" w:hAnsi="宋体" w:cs="宋体"/>
                <w:sz w:val="24"/>
              </w:rPr>
            </w:pPr>
            <w:r>
              <w:rPr>
                <w:rFonts w:hint="eastAsia" w:ascii="仿宋_GB2312" w:hAnsi="仿宋_GB2312" w:eastAsia="仿宋_GB2312" w:cs="仿宋_GB2312"/>
                <w:kern w:val="0"/>
                <w:sz w:val="28"/>
                <w:szCs w:val="28"/>
              </w:rPr>
              <w:t>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优化人居环境</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保证工程质量合格，减少后期用户投诉,消除受监工程不文明现象，确保工地扬尘治理以及安全,提升对受监工程的管理效率,加强了监督范围的延伸，弥补了专业技术人员不足的矛盾。确保受监工程安全生产形势平稳受控，维护社会和谐稳定氛围.消除受监工程施工安全隐患，降低生产安全事故发生概率.提升受监工程安提升工程质量水平，使人们生活安居乐业全生产标准化水平。</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保证工程质量合格，减少后期用户投诉,消除受监工程不文明现象，确保工地扬尘治理以及安全,提升对受监工程的管理效率,加强了监督范围的延伸，弥补了专业技术人员不足的矛盾。确保受监工程安全生产形势平稳受控，维护社会和谐稳定氛围.消除受监工程施工安全隐患，降低生产安全事故发生概率.提升受监工程安提升工程质量水平，使人们生活安居乐业全生产标准化水平。</w:t>
            </w:r>
          </w:p>
        </w:tc>
      </w:tr>
      <w:tr>
        <w:tblPrEx>
          <w:tblCellMar>
            <w:top w:w="0" w:type="dxa"/>
            <w:left w:w="108" w:type="dxa"/>
            <w:bottom w:w="0" w:type="dxa"/>
            <w:right w:w="108" w:type="dxa"/>
          </w:tblCellMar>
        </w:tblPrEx>
        <w:trPr>
          <w:gridAfter w:val="1"/>
          <w:wAfter w:w="236" w:type="dxa"/>
          <w:trHeight w:val="480"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建设工程质量持续优化</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通过不断强化建设工程质量抽检及监督管理，使人们生活安居乐业，促进我市建筑工程质量工作的长效发展。</w:t>
            </w:r>
          </w:p>
        </w:tc>
        <w:tc>
          <w:tcPr>
            <w:tcW w:w="2342"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通过不断强化建设工程质量抽检及监督管理，使人们生活安居乐业，促进我市建筑工程质量工作的长效发展。</w:t>
            </w:r>
          </w:p>
        </w:tc>
      </w:tr>
      <w:tr>
        <w:tblPrEx>
          <w:tblCellMar>
            <w:top w:w="0" w:type="dxa"/>
            <w:left w:w="108" w:type="dxa"/>
            <w:bottom w:w="0" w:type="dxa"/>
            <w:right w:w="108" w:type="dxa"/>
          </w:tblCellMar>
        </w:tblPrEx>
        <w:trPr>
          <w:gridAfter w:val="1"/>
          <w:wAfter w:w="236" w:type="dxa"/>
          <w:trHeight w:val="530" w:hRule="atLeast"/>
        </w:trPr>
        <w:tc>
          <w:tcPr>
            <w:tcW w:w="1384"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度指标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市民满意度</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sz w:val="18"/>
                <w:szCs w:val="18"/>
              </w:rPr>
            </w:pPr>
            <w:r>
              <w:rPr>
                <w:rFonts w:hint="eastAsia" w:ascii="仿宋_GB2312" w:hAnsi="仿宋_GB2312" w:eastAsia="仿宋_GB2312" w:cs="仿宋_GB2312"/>
                <w:sz w:val="18"/>
                <w:szCs w:val="18"/>
              </w:rPr>
              <w:t>95%</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仿宋_GB2312" w:eastAsia="仿宋_GB2312" w:cs="仿宋_GB2312"/>
                <w:sz w:val="18"/>
                <w:szCs w:val="18"/>
              </w:rPr>
            </w:pPr>
            <w:r>
              <w:rPr>
                <w:rFonts w:hint="eastAsia" w:ascii="仿宋_GB2312" w:hAnsi="仿宋_GB2312" w:eastAsia="仿宋_GB2312" w:cs="仿宋_GB2312"/>
                <w:sz w:val="18"/>
                <w:szCs w:val="18"/>
              </w:rPr>
              <w:t>95%</w:t>
            </w:r>
          </w:p>
        </w:tc>
      </w:tr>
    </w:tbl>
    <w:p>
      <w:pPr>
        <w:pStyle w:val="2"/>
        <w:spacing w:before="93"/>
      </w:pPr>
    </w:p>
    <w:p>
      <w:pPr>
        <w:pStyle w:val="2"/>
        <w:spacing w:before="93"/>
      </w:pPr>
    </w:p>
    <w:tbl>
      <w:tblPr>
        <w:tblStyle w:val="13"/>
        <w:tblpPr w:leftFromText="180" w:rightFromText="180" w:vertAnchor="text" w:horzAnchor="page" w:tblpX="1281" w:tblpY="660"/>
        <w:tblOverlap w:val="never"/>
        <w:tblW w:w="10341" w:type="dxa"/>
        <w:tblInd w:w="0" w:type="dxa"/>
        <w:tblLayout w:type="fixed"/>
        <w:tblCellMar>
          <w:top w:w="0" w:type="dxa"/>
          <w:left w:w="108" w:type="dxa"/>
          <w:bottom w:w="0" w:type="dxa"/>
          <w:right w:w="108" w:type="dxa"/>
        </w:tblCellMar>
      </w:tblPr>
      <w:tblGrid>
        <w:gridCol w:w="1384"/>
        <w:gridCol w:w="956"/>
        <w:gridCol w:w="600"/>
        <w:gridCol w:w="818"/>
        <w:gridCol w:w="817"/>
        <w:gridCol w:w="1062"/>
        <w:gridCol w:w="1587"/>
        <w:gridCol w:w="539"/>
        <w:gridCol w:w="2342"/>
        <w:gridCol w:w="236"/>
      </w:tblGrid>
      <w:tr>
        <w:tblPrEx>
          <w:tblCellMar>
            <w:top w:w="0" w:type="dxa"/>
            <w:left w:w="108" w:type="dxa"/>
            <w:bottom w:w="0" w:type="dxa"/>
            <w:right w:w="108" w:type="dxa"/>
          </w:tblCellMar>
        </w:tblPrEx>
        <w:trPr>
          <w:trHeight w:val="675" w:hRule="atLeast"/>
        </w:trPr>
        <w:tc>
          <w:tcPr>
            <w:tcW w:w="10105" w:type="dxa"/>
            <w:gridSpan w:val="9"/>
            <w:tcBorders>
              <w:top w:val="nil"/>
              <w:left w:val="nil"/>
              <w:bottom w:val="nil"/>
              <w:right w:val="nil"/>
            </w:tcBorders>
            <w:shd w:val="clear" w:color="auto" w:fill="auto"/>
            <w:vAlign w:val="center"/>
          </w:tcPr>
          <w:p>
            <w:pPr>
              <w:widowControl/>
              <w:ind w:firstLine="1590" w:firstLineChars="495"/>
              <w:textAlignment w:val="center"/>
              <w:rPr>
                <w:rFonts w:ascii="宋体" w:hAnsi="宋体" w:cs="宋体"/>
                <w:b/>
                <w:sz w:val="32"/>
                <w:szCs w:val="32"/>
              </w:rPr>
            </w:pPr>
            <w:r>
              <w:rPr>
                <w:rFonts w:hint="eastAsia" w:ascii="宋体" w:hAnsi="宋体" w:cs="宋体"/>
                <w:b/>
                <w:sz w:val="32"/>
                <w:szCs w:val="32"/>
              </w:rPr>
              <w:t>2021年不限金额特定目标类部门预算项目绩效目标自评</w:t>
            </w:r>
          </w:p>
          <w:p>
            <w:pPr>
              <w:widowControl/>
              <w:ind w:firstLine="948" w:firstLineChars="295"/>
              <w:jc w:val="center"/>
              <w:textAlignment w:val="center"/>
              <w:rPr>
                <w:rFonts w:ascii="宋体" w:hAnsi="宋体" w:cs="宋体"/>
                <w:b/>
                <w:sz w:val="32"/>
                <w:szCs w:val="32"/>
              </w:rPr>
            </w:pPr>
            <w:r>
              <w:rPr>
                <w:rFonts w:hint="eastAsia" w:ascii="宋体" w:hAnsi="宋体" w:cs="宋体"/>
                <w:b/>
                <w:sz w:val="32"/>
                <w:szCs w:val="32"/>
              </w:rPr>
              <w:t>（安全文明施工措施费）</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攀枝花市住房和城乡建设局    801001</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ascii="宋体" w:hAnsi="宋体" w:cs="宋体"/>
                <w:sz w:val="24"/>
              </w:rPr>
              <w:t>攀枝花市建设工程</w:t>
            </w:r>
          </w:p>
          <w:p>
            <w:pPr>
              <w:widowControl/>
              <w:spacing w:line="320" w:lineRule="exact"/>
              <w:jc w:val="center"/>
              <w:textAlignment w:val="center"/>
              <w:rPr>
                <w:rFonts w:ascii="宋体" w:hAnsi="宋体" w:cs="宋体"/>
                <w:sz w:val="24"/>
              </w:rPr>
            </w:pPr>
            <w:r>
              <w:rPr>
                <w:rFonts w:ascii="宋体" w:hAnsi="宋体" w:cs="宋体"/>
                <w:sz w:val="24"/>
              </w:rPr>
              <w:t>质量安全站</w:t>
            </w:r>
          </w:p>
        </w:tc>
      </w:tr>
      <w:tr>
        <w:tblPrEx>
          <w:tblCellMar>
            <w:top w:w="0" w:type="dxa"/>
            <w:left w:w="108" w:type="dxa"/>
            <w:bottom w:w="0" w:type="dxa"/>
            <w:right w:w="108" w:type="dxa"/>
          </w:tblCellMar>
        </w:tblPrEx>
        <w:trPr>
          <w:gridAfter w:val="1"/>
          <w:wAfter w:w="236" w:type="dxa"/>
          <w:trHeight w:val="341" w:hRule="atLeast"/>
        </w:trPr>
        <w:tc>
          <w:tcPr>
            <w:tcW w:w="29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项目预算</w:t>
            </w:r>
          </w:p>
          <w:p>
            <w:pPr>
              <w:widowControl/>
              <w:spacing w:line="320" w:lineRule="exact"/>
              <w:jc w:val="center"/>
              <w:textAlignment w:val="center"/>
              <w:rPr>
                <w:rFonts w:ascii="宋体" w:hAnsi="宋体" w:cs="宋体"/>
                <w:kern w:val="0"/>
                <w:sz w:val="24"/>
              </w:rPr>
            </w:pPr>
            <w:r>
              <w:rPr>
                <w:rFonts w:hint="eastAsia" w:ascii="宋体" w:hAnsi="宋体" w:cs="宋体"/>
                <w:kern w:val="0"/>
                <w:sz w:val="24"/>
              </w:rPr>
              <w:t>执行情况</w:t>
            </w:r>
          </w:p>
          <w:p>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ascii="宋体" w:hAnsi="宋体" w:cs="宋体"/>
                <w:sz w:val="24"/>
              </w:rPr>
              <w:t>10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ascii="宋体" w:hAnsi="宋体" w:cs="宋体"/>
                <w:sz w:val="24"/>
              </w:rPr>
              <w:t>10</w:t>
            </w:r>
          </w:p>
        </w:tc>
      </w:tr>
      <w:tr>
        <w:tblPrEx>
          <w:tblCellMar>
            <w:top w:w="0" w:type="dxa"/>
            <w:left w:w="108" w:type="dxa"/>
            <w:bottom w:w="0" w:type="dxa"/>
            <w:right w:w="108" w:type="dxa"/>
          </w:tblCellMar>
        </w:tblPrEx>
        <w:trPr>
          <w:gridAfter w:val="1"/>
          <w:wAfter w:w="236" w:type="dxa"/>
          <w:trHeight w:val="555" w:hRule="atLeast"/>
        </w:trPr>
        <w:tc>
          <w:tcPr>
            <w:tcW w:w="29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ascii="宋体" w:hAnsi="宋体" w:cs="宋体"/>
                <w:sz w:val="24"/>
              </w:rPr>
              <w:t>10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ascii="宋体" w:hAnsi="宋体" w:cs="宋体"/>
                <w:sz w:val="24"/>
              </w:rPr>
              <w:t>10</w:t>
            </w:r>
          </w:p>
        </w:tc>
      </w:tr>
      <w:tr>
        <w:tblPrEx>
          <w:tblCellMar>
            <w:top w:w="0" w:type="dxa"/>
            <w:left w:w="108" w:type="dxa"/>
            <w:bottom w:w="0" w:type="dxa"/>
            <w:right w:w="108" w:type="dxa"/>
          </w:tblCellMar>
        </w:tblPrEx>
        <w:trPr>
          <w:gridAfter w:val="1"/>
          <w:wAfter w:w="236" w:type="dxa"/>
          <w:trHeight w:val="341" w:hRule="atLeast"/>
        </w:trPr>
        <w:tc>
          <w:tcPr>
            <w:tcW w:w="29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0</w:t>
            </w:r>
          </w:p>
        </w:tc>
      </w:tr>
      <w:tr>
        <w:tblPrEx>
          <w:tblCellMar>
            <w:top w:w="0" w:type="dxa"/>
            <w:left w:w="108" w:type="dxa"/>
            <w:bottom w:w="0" w:type="dxa"/>
            <w:right w:w="108" w:type="dxa"/>
          </w:tblCellMar>
        </w:tblPrEx>
        <w:trPr>
          <w:gridAfter w:val="1"/>
          <w:wAfter w:w="236" w:type="dxa"/>
          <w:trHeight w:val="217" w:hRule="atLeast"/>
        </w:trPr>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年度总体目标完成情况</w:t>
            </w:r>
          </w:p>
        </w:tc>
        <w:tc>
          <w:tcPr>
            <w:tcW w:w="42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44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6" w:type="dxa"/>
          <w:trHeight w:val="600"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4253"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负责全市建筑安全大检查、专项检查、随机巡查等多层次检查方式，通过聘请技术专家共同开展检查，增加检查深度，推进受监工程安全文明施工标准化，保障受监工程安全生产形势平稳受控</w:t>
            </w:r>
          </w:p>
        </w:tc>
        <w:tc>
          <w:tcPr>
            <w:tcW w:w="4468"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本年度拟开展施工安全监督抽查500次，施工安全监督巡查800次，开展汛期专项检查22次，建筑起重机械专项检查22次，扬尘防治专项检查23次，安全生产大排查23次</w:t>
            </w:r>
          </w:p>
        </w:tc>
      </w:tr>
      <w:tr>
        <w:tblPrEx>
          <w:tblCellMar>
            <w:top w:w="0" w:type="dxa"/>
            <w:left w:w="108" w:type="dxa"/>
            <w:bottom w:w="0" w:type="dxa"/>
            <w:right w:w="108" w:type="dxa"/>
          </w:tblCellMar>
        </w:tblPrEx>
        <w:trPr>
          <w:gridAfter w:val="1"/>
          <w:wAfter w:w="236" w:type="dxa"/>
          <w:trHeight w:val="693" w:hRule="atLeast"/>
        </w:trPr>
        <w:tc>
          <w:tcPr>
            <w:tcW w:w="1384"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956"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18"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指标1：租车费</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本年度拟开展施工安全监督抽查500次，安全及扬尘防治巡查800次，开展汛期专项检查22次，建筑起重机械专项检查22次，扬尘防治专项检查23次，安全排查23次。预计租车2辆，租车时间6个月。</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本年度拟开展施工安全监督抽查500次，施工安全及扬尘防治巡查800次，开展汛期专项检查22次，建筑起重机械专项检查22次，扬尘防治专项检查23次，安全生产大排查23次。其中准备开展建筑起重机械专项检查时通过购买服务方式，聘请技术专家共同开展检查,本年度拟建立工程项目监控体系30个，安装摄像头120个，拟构建建筑起重机械安全监控平台试点1个，扬尘污染实时监控平台试点1个。</w:t>
            </w:r>
          </w:p>
        </w:tc>
      </w:tr>
      <w:tr>
        <w:tblPrEx>
          <w:tblCellMar>
            <w:top w:w="0" w:type="dxa"/>
            <w:left w:w="108" w:type="dxa"/>
            <w:bottom w:w="0" w:type="dxa"/>
            <w:right w:w="108" w:type="dxa"/>
          </w:tblCellMar>
        </w:tblPrEx>
        <w:trPr>
          <w:gridAfter w:val="1"/>
          <w:wAfter w:w="236" w:type="dxa"/>
          <w:trHeight w:val="415"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指标2：专家劳务费</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制定质量监督工作方案300套，监督隐蔽工程300个左右，在试点推进完成后，拟全面构建建筑起重机械、扬尘污染实时监控，对30个在监工程的扬尘污染指数，以及超过100台建筑起重机械进行实时监控。</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在试点推进完成后，拟全面构建建筑起重机械、扬尘污染实时监控，对30个在监工程的扬尘污染指数，以及超过100台建筑起重机械进行实时监控。</w:t>
            </w:r>
          </w:p>
        </w:tc>
      </w:tr>
      <w:tr>
        <w:tblPrEx>
          <w:tblCellMar>
            <w:top w:w="0" w:type="dxa"/>
            <w:left w:w="108" w:type="dxa"/>
            <w:bottom w:w="0" w:type="dxa"/>
            <w:right w:w="108" w:type="dxa"/>
          </w:tblCellMar>
        </w:tblPrEx>
        <w:trPr>
          <w:gridAfter w:val="1"/>
          <w:wAfter w:w="236" w:type="dxa"/>
          <w:trHeight w:val="415"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cs="宋体"/>
                <w:sz w:val="18"/>
                <w:szCs w:val="18"/>
              </w:rPr>
            </w:pPr>
            <w:r>
              <w:rPr>
                <w:rFonts w:hint="eastAsia" w:ascii="仿宋_GB2312" w:hAnsi="仿宋" w:eastAsia="仿宋_GB2312"/>
                <w:sz w:val="18"/>
                <w:szCs w:val="18"/>
              </w:rPr>
              <w:t>指标3：办公费</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cs="宋体"/>
                <w:sz w:val="18"/>
                <w:szCs w:val="18"/>
              </w:rPr>
            </w:pPr>
            <w:r>
              <w:rPr>
                <w:rFonts w:hint="eastAsia" w:ascii="仿宋_GB2312" w:hAnsi="仿宋" w:eastAsia="仿宋_GB2312"/>
                <w:sz w:val="18"/>
                <w:szCs w:val="18"/>
              </w:rPr>
              <w:t>开展施工安全监督检查、施工防尘巡查所需购安全帽等各种办公用品</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cs="宋体"/>
                <w:sz w:val="18"/>
                <w:szCs w:val="18"/>
              </w:rPr>
            </w:pPr>
            <w:r>
              <w:rPr>
                <w:rFonts w:hint="eastAsia" w:ascii="仿宋_GB2312" w:hAnsi="仿宋" w:eastAsia="仿宋_GB2312"/>
                <w:sz w:val="18"/>
                <w:szCs w:val="18"/>
              </w:rPr>
              <w:t>开展施工安全监督检查、施工防尘巡查所需购安全帽等各种办公用品</w:t>
            </w:r>
          </w:p>
        </w:tc>
      </w:tr>
      <w:tr>
        <w:tblPrEx>
          <w:tblCellMar>
            <w:top w:w="0" w:type="dxa"/>
            <w:left w:w="108" w:type="dxa"/>
            <w:bottom w:w="0" w:type="dxa"/>
            <w:right w:w="108" w:type="dxa"/>
          </w:tblCellMar>
        </w:tblPrEx>
        <w:trPr>
          <w:gridAfter w:val="1"/>
          <w:wAfter w:w="236" w:type="dxa"/>
          <w:trHeight w:val="415"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cs="宋体"/>
                <w:sz w:val="18"/>
                <w:szCs w:val="18"/>
              </w:rPr>
            </w:pPr>
            <w:r>
              <w:rPr>
                <w:rFonts w:hint="eastAsia" w:ascii="仿宋_GB2312" w:hAnsi="仿宋" w:eastAsia="仿宋_GB2312"/>
                <w:sz w:val="18"/>
                <w:szCs w:val="18"/>
              </w:rPr>
              <w:t>指标4：印刷费</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cs="宋体"/>
                <w:sz w:val="18"/>
                <w:szCs w:val="18"/>
              </w:rPr>
            </w:pPr>
            <w:r>
              <w:rPr>
                <w:rFonts w:hint="eastAsia" w:ascii="仿宋_GB2312" w:hAnsi="仿宋" w:eastAsia="仿宋_GB2312"/>
                <w:sz w:val="18"/>
                <w:szCs w:val="18"/>
              </w:rPr>
              <w:t>印刷工地各种验收记录报告，施工安全管理丛书，标准</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cs="宋体"/>
                <w:sz w:val="18"/>
                <w:szCs w:val="18"/>
              </w:rPr>
            </w:pPr>
            <w:r>
              <w:rPr>
                <w:rFonts w:hint="eastAsia" w:ascii="仿宋_GB2312" w:hAnsi="仿宋" w:eastAsia="仿宋_GB2312"/>
                <w:sz w:val="18"/>
                <w:szCs w:val="18"/>
              </w:rPr>
              <w:t>印刷工地各种验收记录报告，施工安全管理丛书，标准</w:t>
            </w:r>
          </w:p>
        </w:tc>
      </w:tr>
      <w:tr>
        <w:tblPrEx>
          <w:tblCellMar>
            <w:top w:w="0" w:type="dxa"/>
            <w:left w:w="108" w:type="dxa"/>
            <w:bottom w:w="0" w:type="dxa"/>
            <w:right w:w="108" w:type="dxa"/>
          </w:tblCellMar>
        </w:tblPrEx>
        <w:trPr>
          <w:gridAfter w:val="1"/>
          <w:wAfter w:w="236" w:type="dxa"/>
          <w:trHeight w:val="415"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cs="宋体"/>
                <w:sz w:val="18"/>
                <w:szCs w:val="18"/>
              </w:rPr>
            </w:pPr>
            <w:r>
              <w:rPr>
                <w:rFonts w:hint="eastAsia" w:ascii="仿宋_GB2312" w:hAnsi="仿宋" w:eastAsia="仿宋_GB2312"/>
                <w:sz w:val="18"/>
                <w:szCs w:val="18"/>
              </w:rPr>
              <w:t>指标5：培训学习</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cs="宋体"/>
                <w:sz w:val="18"/>
                <w:szCs w:val="18"/>
              </w:rPr>
            </w:pPr>
            <w:r>
              <w:rPr>
                <w:rFonts w:hint="eastAsia" w:ascii="仿宋_GB2312" w:hAnsi="仿宋" w:eastAsia="仿宋_GB2312"/>
                <w:sz w:val="18"/>
                <w:szCs w:val="18"/>
              </w:rPr>
              <w:t>预计每年组织安全观摩、专业技术培训及执法、监督能力考核培训6-8次，每次培训人员约4人，培训费用为2000元/次</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cs="宋体"/>
                <w:sz w:val="18"/>
                <w:szCs w:val="18"/>
              </w:rPr>
            </w:pPr>
            <w:r>
              <w:rPr>
                <w:rFonts w:hint="eastAsia" w:ascii="仿宋_GB2312" w:hAnsi="仿宋" w:eastAsia="仿宋_GB2312"/>
                <w:sz w:val="18"/>
                <w:szCs w:val="18"/>
              </w:rPr>
              <w:t>每年组织安全观摩、专业技术培训及执法、监督能力考核培训6-8次，每次培训人员约4人，培训费用为2000元/次</w:t>
            </w:r>
          </w:p>
        </w:tc>
      </w:tr>
      <w:tr>
        <w:tblPrEx>
          <w:tblCellMar>
            <w:top w:w="0" w:type="dxa"/>
            <w:left w:w="108" w:type="dxa"/>
            <w:bottom w:w="0" w:type="dxa"/>
            <w:right w:w="108" w:type="dxa"/>
          </w:tblCellMar>
        </w:tblPrEx>
        <w:trPr>
          <w:gridAfter w:val="1"/>
          <w:wAfter w:w="236" w:type="dxa"/>
          <w:trHeight w:val="415"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vMerge w:val="restart"/>
            <w:tcBorders>
              <w:top w:val="single" w:color="000000" w:sz="4" w:space="0"/>
              <w:left w:val="single" w:color="000000" w:sz="4" w:space="0"/>
              <w:right w:val="single" w:color="000000" w:sz="4" w:space="0"/>
            </w:tcBorders>
            <w:shd w:val="clear" w:color="auto" w:fill="auto"/>
            <w:vAlign w:val="center"/>
          </w:tcPr>
          <w:p>
            <w:pPr>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质量指标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cs="宋体"/>
                <w:sz w:val="18"/>
                <w:szCs w:val="18"/>
              </w:rPr>
            </w:pPr>
            <w:r>
              <w:rPr>
                <w:rFonts w:hint="eastAsia" w:ascii="仿宋_GB2312" w:hAnsi="仿宋" w:eastAsia="仿宋_GB2312"/>
                <w:sz w:val="18"/>
                <w:szCs w:val="18"/>
              </w:rPr>
              <w:t>指标1：建设工程安全施工</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cs="宋体"/>
                <w:sz w:val="18"/>
                <w:szCs w:val="18"/>
              </w:rPr>
            </w:pPr>
            <w:r>
              <w:rPr>
                <w:rFonts w:hint="eastAsia" w:ascii="仿宋_GB2312" w:hAnsi="仿宋" w:eastAsia="仿宋_GB2312"/>
                <w:sz w:val="18"/>
                <w:szCs w:val="18"/>
              </w:rPr>
              <w:t>不断推进安全生产标准化工作，确保收益工程安全生产形势受控</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cs="宋体"/>
                <w:sz w:val="18"/>
                <w:szCs w:val="18"/>
              </w:rPr>
            </w:pPr>
            <w:r>
              <w:rPr>
                <w:rFonts w:hint="eastAsia" w:ascii="仿宋_GB2312" w:hAnsi="仿宋" w:eastAsia="仿宋_GB2312"/>
                <w:sz w:val="18"/>
                <w:szCs w:val="18"/>
              </w:rPr>
              <w:t>不断推进安全生产标准化工作，确保收益工程安全生产形势受控</w:t>
            </w:r>
          </w:p>
        </w:tc>
      </w:tr>
      <w:tr>
        <w:tblPrEx>
          <w:tblCellMar>
            <w:top w:w="0" w:type="dxa"/>
            <w:left w:w="108" w:type="dxa"/>
            <w:bottom w:w="0" w:type="dxa"/>
            <w:right w:w="108" w:type="dxa"/>
          </w:tblCellMar>
        </w:tblPrEx>
        <w:trPr>
          <w:gridAfter w:val="1"/>
          <w:wAfter w:w="236" w:type="dxa"/>
          <w:trHeight w:val="415"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cs="宋体"/>
                <w:sz w:val="18"/>
                <w:szCs w:val="18"/>
              </w:rPr>
            </w:pPr>
            <w:r>
              <w:rPr>
                <w:rFonts w:hint="eastAsia" w:ascii="仿宋_GB2312" w:hAnsi="仿宋" w:eastAsia="仿宋_GB2312"/>
                <w:sz w:val="18"/>
                <w:szCs w:val="18"/>
              </w:rPr>
              <w:t>指标1：提升安全监督人员业务能力</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cs="宋体"/>
                <w:sz w:val="18"/>
                <w:szCs w:val="18"/>
              </w:rPr>
            </w:pPr>
            <w:r>
              <w:rPr>
                <w:rFonts w:hint="eastAsia" w:ascii="仿宋_GB2312" w:hAnsi="仿宋" w:eastAsia="仿宋_GB2312"/>
                <w:sz w:val="18"/>
                <w:szCs w:val="18"/>
              </w:rPr>
              <w:t>加强业务技能培训，提高监督人员专业素质</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cs="宋体"/>
                <w:sz w:val="18"/>
                <w:szCs w:val="18"/>
              </w:rPr>
            </w:pPr>
            <w:r>
              <w:rPr>
                <w:rFonts w:hint="eastAsia" w:ascii="仿宋_GB2312" w:hAnsi="仿宋" w:eastAsia="仿宋_GB2312"/>
                <w:sz w:val="18"/>
                <w:szCs w:val="18"/>
              </w:rPr>
              <w:t>加强业务技能培训，提高监督人员专业素质</w:t>
            </w:r>
          </w:p>
        </w:tc>
      </w:tr>
      <w:tr>
        <w:tblPrEx>
          <w:tblCellMar>
            <w:top w:w="0" w:type="dxa"/>
            <w:left w:w="108" w:type="dxa"/>
            <w:bottom w:w="0" w:type="dxa"/>
            <w:right w:w="108" w:type="dxa"/>
          </w:tblCellMar>
        </w:tblPrEx>
        <w:trPr>
          <w:gridAfter w:val="1"/>
          <w:wAfter w:w="236" w:type="dxa"/>
          <w:trHeight w:val="415"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cs="宋体"/>
                <w:sz w:val="18"/>
                <w:szCs w:val="18"/>
              </w:rPr>
            </w:pPr>
            <w:r>
              <w:rPr>
                <w:rFonts w:hint="eastAsia" w:ascii="仿宋_GB2312" w:hAnsi="仿宋" w:eastAsia="仿宋_GB2312"/>
                <w:sz w:val="18"/>
                <w:szCs w:val="18"/>
              </w:rPr>
              <w:t>指标1：完成年度工作时间</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cs="宋体"/>
                <w:sz w:val="18"/>
                <w:szCs w:val="18"/>
              </w:rPr>
            </w:pPr>
            <w:r>
              <w:rPr>
                <w:rFonts w:hint="eastAsia" w:ascii="仿宋_GB2312" w:hAnsi="仿宋" w:eastAsia="仿宋_GB2312"/>
                <w:sz w:val="18"/>
                <w:szCs w:val="18"/>
              </w:rPr>
              <w:t>2021年</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cs="宋体"/>
                <w:sz w:val="18"/>
                <w:szCs w:val="18"/>
              </w:rPr>
            </w:pPr>
            <w:r>
              <w:rPr>
                <w:rFonts w:hint="eastAsia" w:ascii="仿宋_GB2312" w:hAnsi="仿宋" w:eastAsia="仿宋_GB2312"/>
                <w:sz w:val="18"/>
                <w:szCs w:val="18"/>
              </w:rPr>
              <w:t>2021年</w:t>
            </w:r>
          </w:p>
        </w:tc>
      </w:tr>
      <w:tr>
        <w:tblPrEx>
          <w:tblCellMar>
            <w:top w:w="0" w:type="dxa"/>
            <w:left w:w="108" w:type="dxa"/>
            <w:bottom w:w="0" w:type="dxa"/>
            <w:right w:w="108" w:type="dxa"/>
          </w:tblCellMar>
        </w:tblPrEx>
        <w:trPr>
          <w:gridAfter w:val="1"/>
          <w:wAfter w:w="236" w:type="dxa"/>
          <w:trHeight w:val="480"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cs="宋体"/>
                <w:sz w:val="18"/>
                <w:szCs w:val="18"/>
              </w:rPr>
            </w:pPr>
            <w:r>
              <w:rPr>
                <w:rFonts w:hint="eastAsia" w:ascii="仿宋_GB2312" w:hAnsi="仿宋" w:eastAsia="仿宋_GB2312"/>
                <w:sz w:val="18"/>
                <w:szCs w:val="18"/>
              </w:rPr>
              <w:t>指标1：租车费</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cs="宋体"/>
                <w:sz w:val="18"/>
                <w:szCs w:val="18"/>
              </w:rPr>
            </w:pPr>
            <w:r>
              <w:rPr>
                <w:rFonts w:hint="eastAsia" w:ascii="仿宋_GB2312" w:hAnsi="仿宋" w:eastAsia="仿宋_GB2312"/>
                <w:sz w:val="18"/>
                <w:szCs w:val="18"/>
              </w:rPr>
              <w:t>本年度拟开展施工安全监督抽查500次，安全及扬尘防治巡查800次，开展汛期专项检查22次，建筑起重机械专项检查22次，扬尘防治专项检查23次，安全排查23次。预计租车2辆，租车时间6个月。</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 w:eastAsia="仿宋_GB2312" w:cs="宋体"/>
                <w:sz w:val="18"/>
                <w:szCs w:val="18"/>
              </w:rPr>
            </w:pPr>
            <w:r>
              <w:rPr>
                <w:rFonts w:hint="eastAsia" w:ascii="仿宋_GB2312" w:hAnsi="仿宋" w:eastAsia="仿宋_GB2312"/>
                <w:sz w:val="18"/>
                <w:szCs w:val="18"/>
              </w:rPr>
              <w:t>开展施工安全监督抽查500次，施工安全及扬尘防治巡查800次，开展汛期专项检查22次，建筑起重机械专项检查22次，扬尘防治专项检查23次，安全生产大排查23次。其中准备开展建筑起重机械专项检查时通过购买服务方式，聘请技术专家共同开展检查,本年度拟建立工程项目监控体系30个，安装摄像头120个，拟构建建筑起重机械安全监控平台试点1个，扬尘污染实时监控平台试点1个。</w:t>
            </w:r>
          </w:p>
        </w:tc>
      </w:tr>
      <w:tr>
        <w:tblPrEx>
          <w:tblCellMar>
            <w:top w:w="0" w:type="dxa"/>
            <w:left w:w="108" w:type="dxa"/>
            <w:bottom w:w="0" w:type="dxa"/>
            <w:right w:w="108" w:type="dxa"/>
          </w:tblCellMar>
        </w:tblPrEx>
        <w:trPr>
          <w:gridAfter w:val="1"/>
          <w:wAfter w:w="236" w:type="dxa"/>
          <w:trHeight w:val="480"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指标2：专家劳务费</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制定质量监督工作方案300套，监督隐蔽工程300个左右，在试点推进完成后，拟全面构建建筑起重机械、扬尘污染实时监控，对30个在监工程的扬尘污染指数，以及超过100台建筑起重机械进行实时监控。</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在试点推进完成后，拟全面构建建筑起重机械、扬尘污染实时监控，对30个在监工程的扬尘污染指数，以及超过100台建筑起重机械进行实时监控。</w:t>
            </w:r>
          </w:p>
        </w:tc>
      </w:tr>
      <w:tr>
        <w:tblPrEx>
          <w:tblCellMar>
            <w:top w:w="0" w:type="dxa"/>
            <w:left w:w="108" w:type="dxa"/>
            <w:bottom w:w="0" w:type="dxa"/>
            <w:right w:w="108" w:type="dxa"/>
          </w:tblCellMar>
        </w:tblPrEx>
        <w:trPr>
          <w:gridAfter w:val="1"/>
          <w:wAfter w:w="236" w:type="dxa"/>
          <w:trHeight w:val="480"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指标3：办公费</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开展施工安全监督检查、施工防尘巡查所需购安全帽等各种办公用品</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开展施工安全监督检查、施工防尘巡查所需购安全帽等各种办公用品</w:t>
            </w:r>
          </w:p>
        </w:tc>
      </w:tr>
      <w:tr>
        <w:tblPrEx>
          <w:tblCellMar>
            <w:top w:w="0" w:type="dxa"/>
            <w:left w:w="108" w:type="dxa"/>
            <w:bottom w:w="0" w:type="dxa"/>
            <w:right w:w="108" w:type="dxa"/>
          </w:tblCellMar>
        </w:tblPrEx>
        <w:trPr>
          <w:gridAfter w:val="1"/>
          <w:wAfter w:w="236" w:type="dxa"/>
          <w:trHeight w:val="480"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指标4：印刷费</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印刷工地各种验收记录报告，施工安全管理丛书，标准</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印刷工地各种验收记录报告，施工安全管理丛书，标准</w:t>
            </w:r>
          </w:p>
        </w:tc>
      </w:tr>
      <w:tr>
        <w:tblPrEx>
          <w:tblCellMar>
            <w:top w:w="0" w:type="dxa"/>
            <w:left w:w="108" w:type="dxa"/>
            <w:bottom w:w="0" w:type="dxa"/>
            <w:right w:w="108" w:type="dxa"/>
          </w:tblCellMar>
        </w:tblPrEx>
        <w:trPr>
          <w:gridAfter w:val="1"/>
          <w:wAfter w:w="236" w:type="dxa"/>
          <w:trHeight w:val="480"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指标5：培训学习</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预计每年组织安全观摩、专业技术培训及执法、监督能力考核培训6-8次，每次培训人员约4人，培训费用为2000元/次</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每年组织安全观摩、专业技术培训及执法、监督能力考核培训6-8次，每次培训人员约4人，培训费用为2000元/次</w:t>
            </w:r>
          </w:p>
        </w:tc>
      </w:tr>
      <w:tr>
        <w:tblPrEx>
          <w:tblCellMar>
            <w:top w:w="0" w:type="dxa"/>
            <w:left w:w="108" w:type="dxa"/>
            <w:bottom w:w="0" w:type="dxa"/>
            <w:right w:w="108" w:type="dxa"/>
          </w:tblCellMar>
        </w:tblPrEx>
        <w:trPr>
          <w:gridAfter w:val="1"/>
          <w:wAfter w:w="236" w:type="dxa"/>
          <w:trHeight w:val="480"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指标1：提升建设工程安全文明施工</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宋体"/>
                <w:sz w:val="18"/>
                <w:szCs w:val="18"/>
              </w:rPr>
            </w:pPr>
            <w:r>
              <w:rPr>
                <w:rFonts w:hint="eastAsia" w:ascii="仿宋_GB2312" w:eastAsia="仿宋_GB2312"/>
                <w:sz w:val="18"/>
                <w:szCs w:val="18"/>
              </w:rPr>
              <w:t>运用安全大检查、专项检查、随机巡查等多层次检查方式，通过聘请技术专家共同开展检查，增加检查深度，保障受监工程安全生产形势平稳受控，有效防止工程质量事故的发生，避免经济损失，提高经济效益。</w:t>
            </w:r>
          </w:p>
        </w:tc>
        <w:tc>
          <w:tcPr>
            <w:tcW w:w="2342" w:type="dxa"/>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宋体"/>
                <w:sz w:val="18"/>
                <w:szCs w:val="18"/>
              </w:rPr>
            </w:pPr>
            <w:r>
              <w:rPr>
                <w:rFonts w:hint="eastAsia" w:ascii="仿宋_GB2312" w:eastAsia="仿宋_GB2312"/>
                <w:sz w:val="18"/>
                <w:szCs w:val="18"/>
              </w:rPr>
              <w:t>运用安全大检查、专项检查、随机巡查等多层次检查方式，通过聘请技术专家共同开展检查，增加检查深度，保障受监工程安全生产形势平稳受控，有效防止工程质量事故的发生，避免经济损失，提高经济效益。</w:t>
            </w:r>
          </w:p>
        </w:tc>
      </w:tr>
      <w:tr>
        <w:tblPrEx>
          <w:tblCellMar>
            <w:top w:w="0" w:type="dxa"/>
            <w:left w:w="108" w:type="dxa"/>
            <w:bottom w:w="0" w:type="dxa"/>
            <w:right w:w="108" w:type="dxa"/>
          </w:tblCellMar>
        </w:tblPrEx>
        <w:trPr>
          <w:gridAfter w:val="1"/>
          <w:wAfter w:w="236" w:type="dxa"/>
          <w:trHeight w:val="480"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宋体"/>
                <w:sz w:val="18"/>
                <w:szCs w:val="18"/>
              </w:rPr>
            </w:pPr>
            <w:r>
              <w:rPr>
                <w:rFonts w:hint="eastAsia" w:ascii="仿宋_GB2312" w:eastAsia="仿宋_GB2312"/>
                <w:sz w:val="18"/>
                <w:szCs w:val="18"/>
              </w:rPr>
              <w:t>指标1：提高市民安全感</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确保工程质量合格，加快城市基础设施建设，改善人居环境,保证了工程的质量使用效益，对人们的生命财产安全有着重要意义</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确保工程质量合格，加快城市基础设施建设，改善人居环境,保证了工程的质量使用效益，对人们的生命财产安全有着重要意义</w:t>
            </w:r>
          </w:p>
        </w:tc>
      </w:tr>
      <w:tr>
        <w:tblPrEx>
          <w:tblCellMar>
            <w:top w:w="0" w:type="dxa"/>
            <w:left w:w="108" w:type="dxa"/>
            <w:bottom w:w="0" w:type="dxa"/>
            <w:right w:w="108" w:type="dxa"/>
          </w:tblCellMar>
        </w:tblPrEx>
        <w:trPr>
          <w:gridAfter w:val="1"/>
          <w:wAfter w:w="236" w:type="dxa"/>
          <w:trHeight w:val="480"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生态效益</w:t>
            </w:r>
          </w:p>
          <w:p>
            <w:pPr>
              <w:jc w:val="center"/>
              <w:rPr>
                <w:rFonts w:ascii="宋体" w:hAnsi="宋体" w:cs="宋体"/>
                <w:sz w:val="24"/>
              </w:rPr>
            </w:pPr>
            <w:r>
              <w:rPr>
                <w:rFonts w:hint="eastAsia" w:ascii="仿宋_GB2312" w:hAnsi="仿宋_GB2312" w:eastAsia="仿宋_GB2312" w:cs="仿宋_GB2312"/>
                <w:kern w:val="0"/>
                <w:sz w:val="28"/>
                <w:szCs w:val="28"/>
              </w:rPr>
              <w:t>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指标1：提升人居环境</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预防水土流失，环境更好，空气更好,确保受监工程整洁、有序,施工现场扬尘治理更给力，空气更清新</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预防水土流失，环境更好，空气更好,确保受监工程整洁、有序,施工现场扬尘治理更给力，空气更清新</w:t>
            </w:r>
          </w:p>
        </w:tc>
      </w:tr>
      <w:tr>
        <w:tblPrEx>
          <w:tblCellMar>
            <w:top w:w="0" w:type="dxa"/>
            <w:left w:w="108" w:type="dxa"/>
            <w:bottom w:w="0" w:type="dxa"/>
            <w:right w:w="108" w:type="dxa"/>
          </w:tblCellMar>
        </w:tblPrEx>
        <w:trPr>
          <w:gridAfter w:val="1"/>
          <w:wAfter w:w="236" w:type="dxa"/>
          <w:trHeight w:val="480"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指标1：工程质量持续优化</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保证工程质量合格，减少后期用户投诉,消除受监工程不文明现象，确保工地扬尘治理以及安全,提升对受监工程的管理效率,加强了监督范围的延伸，弥补了专业技术人员不足的矛盾。确保受监工程安全生产形势平稳受控，维护社会和谐稳定氛围.消除受监工程施工安全隐患，降低生产安全事故发生概率.提升受监工程安提升工程质量水平，使人们生活安居乐业全生产标准化水平.</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保证工程质量合格，减少后期用户投诉,消除受监工程不文明现象，确保工地扬尘治理以及安全,提升对受监工程的管理效率,加强了监督范围的延伸，弥补了专业技术人员不足的矛盾。确保受监工程安全生产形势平稳受控，维护社会和谐稳定氛围.消除受监工程施工安全隐患，降低生产安全事故发生概率.提升受监工程安提升工程质量水平，使人们生活安居乐业全生产标准化水平.</w:t>
            </w:r>
          </w:p>
        </w:tc>
      </w:tr>
      <w:tr>
        <w:tblPrEx>
          <w:tblCellMar>
            <w:top w:w="0" w:type="dxa"/>
            <w:left w:w="108" w:type="dxa"/>
            <w:bottom w:w="0" w:type="dxa"/>
            <w:right w:w="108" w:type="dxa"/>
          </w:tblCellMar>
        </w:tblPrEx>
        <w:trPr>
          <w:gridAfter w:val="1"/>
          <w:wAfter w:w="236" w:type="dxa"/>
          <w:trHeight w:val="530" w:hRule="atLeast"/>
        </w:trPr>
        <w:tc>
          <w:tcPr>
            <w:tcW w:w="1384"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度指标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tcPr>
          <w:p>
            <w:pPr>
              <w:rPr>
                <w:rFonts w:ascii="仿宋_GB2312" w:hAnsi="宋体" w:eastAsia="仿宋_GB2312" w:cs="宋体"/>
                <w:sz w:val="18"/>
                <w:szCs w:val="18"/>
              </w:rPr>
            </w:pPr>
            <w:r>
              <w:rPr>
                <w:rFonts w:hint="eastAsia" w:ascii="仿宋_GB2312" w:eastAsia="仿宋_GB2312"/>
                <w:sz w:val="18"/>
                <w:szCs w:val="18"/>
              </w:rPr>
              <w:t>指标1：提升公众满意度</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宋体" w:eastAsia="仿宋_GB2312" w:cs="宋体"/>
                <w:sz w:val="18"/>
                <w:szCs w:val="18"/>
              </w:rPr>
            </w:pPr>
            <w:r>
              <w:rPr>
                <w:rFonts w:hint="eastAsia" w:ascii="仿宋_GB2312" w:eastAsia="仿宋_GB2312"/>
                <w:sz w:val="18"/>
                <w:szCs w:val="18"/>
              </w:rPr>
              <w:t>95%</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宋体" w:eastAsia="仿宋_GB2312" w:cs="宋体"/>
                <w:sz w:val="18"/>
                <w:szCs w:val="18"/>
              </w:rPr>
            </w:pPr>
            <w:r>
              <w:rPr>
                <w:rFonts w:hint="eastAsia" w:ascii="仿宋_GB2312" w:eastAsia="仿宋_GB2312"/>
                <w:sz w:val="18"/>
                <w:szCs w:val="18"/>
              </w:rPr>
              <w:t>95%</w:t>
            </w:r>
          </w:p>
        </w:tc>
      </w:tr>
    </w:tbl>
    <w:p>
      <w:pPr>
        <w:pStyle w:val="2"/>
        <w:spacing w:before="93"/>
      </w:pPr>
    </w:p>
    <w:tbl>
      <w:tblPr>
        <w:tblStyle w:val="13"/>
        <w:tblpPr w:leftFromText="180" w:rightFromText="180" w:vertAnchor="text" w:horzAnchor="page" w:tblpX="1281" w:tblpY="660"/>
        <w:tblOverlap w:val="never"/>
        <w:tblW w:w="10105" w:type="dxa"/>
        <w:tblInd w:w="0" w:type="dxa"/>
        <w:tblLayout w:type="fixed"/>
        <w:tblCellMar>
          <w:top w:w="0" w:type="dxa"/>
          <w:left w:w="108" w:type="dxa"/>
          <w:bottom w:w="0" w:type="dxa"/>
          <w:right w:w="108" w:type="dxa"/>
        </w:tblCellMar>
      </w:tblPr>
      <w:tblGrid>
        <w:gridCol w:w="1384"/>
        <w:gridCol w:w="956"/>
        <w:gridCol w:w="600"/>
        <w:gridCol w:w="818"/>
        <w:gridCol w:w="817"/>
        <w:gridCol w:w="1062"/>
        <w:gridCol w:w="1587"/>
        <w:gridCol w:w="539"/>
        <w:gridCol w:w="2342"/>
      </w:tblGrid>
      <w:tr>
        <w:tblPrEx>
          <w:tblCellMar>
            <w:top w:w="0" w:type="dxa"/>
            <w:left w:w="108" w:type="dxa"/>
            <w:bottom w:w="0" w:type="dxa"/>
            <w:right w:w="108" w:type="dxa"/>
          </w:tblCellMar>
        </w:tblPrEx>
        <w:trPr>
          <w:trHeight w:val="675" w:hRule="atLeast"/>
        </w:trPr>
        <w:tc>
          <w:tcPr>
            <w:tcW w:w="10105" w:type="dxa"/>
            <w:gridSpan w:val="9"/>
            <w:tcBorders>
              <w:top w:val="nil"/>
              <w:left w:val="nil"/>
              <w:bottom w:val="nil"/>
              <w:right w:val="nil"/>
            </w:tcBorders>
            <w:shd w:val="clear" w:color="auto" w:fill="auto"/>
            <w:vAlign w:val="center"/>
          </w:tcPr>
          <w:p>
            <w:pPr>
              <w:widowControl/>
              <w:ind w:firstLine="1590" w:firstLineChars="495"/>
              <w:textAlignment w:val="center"/>
              <w:rPr>
                <w:rFonts w:ascii="宋体" w:hAnsi="宋体" w:cs="宋体"/>
                <w:b/>
                <w:sz w:val="32"/>
                <w:szCs w:val="32"/>
              </w:rPr>
            </w:pPr>
            <w:r>
              <w:rPr>
                <w:rFonts w:hint="eastAsia" w:ascii="宋体" w:hAnsi="宋体" w:cs="宋体"/>
                <w:b/>
                <w:sz w:val="32"/>
                <w:szCs w:val="32"/>
              </w:rPr>
              <w:t>2021年不限金额特定目标类部门预算项目绩效目标自评</w:t>
            </w:r>
          </w:p>
          <w:p>
            <w:pPr>
              <w:widowControl/>
              <w:ind w:firstLine="948" w:firstLineChars="295"/>
              <w:jc w:val="center"/>
              <w:textAlignment w:val="center"/>
              <w:rPr>
                <w:rFonts w:ascii="宋体" w:hAnsi="宋体" w:cs="宋体"/>
                <w:b/>
                <w:sz w:val="32"/>
                <w:szCs w:val="32"/>
              </w:rPr>
            </w:pPr>
            <w:r>
              <w:rPr>
                <w:rFonts w:hint="eastAsia" w:ascii="宋体" w:hAnsi="宋体" w:cs="宋体"/>
                <w:b/>
                <w:sz w:val="32"/>
                <w:szCs w:val="32"/>
              </w:rPr>
              <w:t>（物业管理费）</w:t>
            </w:r>
          </w:p>
        </w:tc>
      </w:tr>
      <w:tr>
        <w:tblPrEx>
          <w:tblCellMar>
            <w:top w:w="0" w:type="dxa"/>
            <w:left w:w="108" w:type="dxa"/>
            <w:bottom w:w="0" w:type="dxa"/>
            <w:right w:w="108" w:type="dxa"/>
          </w:tblCellMar>
        </w:tblPrEx>
        <w:trPr>
          <w:trHeight w:val="254" w:hRule="atLeast"/>
        </w:trPr>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攀枝花市住房和城乡建设局    801001</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ascii="宋体" w:hAnsi="宋体" w:cs="宋体"/>
                <w:sz w:val="24"/>
              </w:rPr>
              <w:t>攀枝花市建设工程</w:t>
            </w:r>
          </w:p>
          <w:p>
            <w:pPr>
              <w:widowControl/>
              <w:spacing w:line="320" w:lineRule="exact"/>
              <w:jc w:val="center"/>
              <w:textAlignment w:val="center"/>
              <w:rPr>
                <w:rFonts w:ascii="宋体" w:hAnsi="宋体" w:cs="宋体"/>
                <w:sz w:val="24"/>
              </w:rPr>
            </w:pPr>
            <w:r>
              <w:rPr>
                <w:rFonts w:ascii="宋体" w:hAnsi="宋体" w:cs="宋体"/>
                <w:sz w:val="24"/>
              </w:rPr>
              <w:t>质量安全站</w:t>
            </w:r>
          </w:p>
        </w:tc>
      </w:tr>
      <w:tr>
        <w:tblPrEx>
          <w:tblCellMar>
            <w:top w:w="0" w:type="dxa"/>
            <w:left w:w="108" w:type="dxa"/>
            <w:bottom w:w="0" w:type="dxa"/>
            <w:right w:w="108" w:type="dxa"/>
          </w:tblCellMar>
        </w:tblPrEx>
        <w:trPr>
          <w:trHeight w:val="341" w:hRule="atLeast"/>
        </w:trPr>
        <w:tc>
          <w:tcPr>
            <w:tcW w:w="29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项目预算</w:t>
            </w:r>
          </w:p>
          <w:p>
            <w:pPr>
              <w:widowControl/>
              <w:spacing w:line="320" w:lineRule="exact"/>
              <w:jc w:val="center"/>
              <w:textAlignment w:val="center"/>
              <w:rPr>
                <w:rFonts w:ascii="宋体" w:hAnsi="宋体" w:cs="宋体"/>
                <w:kern w:val="0"/>
                <w:sz w:val="24"/>
              </w:rPr>
            </w:pPr>
            <w:r>
              <w:rPr>
                <w:rFonts w:hint="eastAsia" w:ascii="宋体" w:hAnsi="宋体" w:cs="宋体"/>
                <w:kern w:val="0"/>
                <w:sz w:val="24"/>
              </w:rPr>
              <w:t>执行情况</w:t>
            </w:r>
          </w:p>
          <w:p>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ascii="宋体" w:hAnsi="宋体" w:cs="宋体"/>
                <w:sz w:val="24"/>
              </w:rPr>
              <w:t>9.15</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ascii="宋体" w:hAnsi="宋体" w:cs="宋体"/>
                <w:sz w:val="24"/>
              </w:rPr>
              <w:t>9.15</w:t>
            </w:r>
          </w:p>
        </w:tc>
      </w:tr>
      <w:tr>
        <w:tblPrEx>
          <w:tblCellMar>
            <w:top w:w="0" w:type="dxa"/>
            <w:left w:w="108" w:type="dxa"/>
            <w:bottom w:w="0" w:type="dxa"/>
            <w:right w:w="108" w:type="dxa"/>
          </w:tblCellMar>
        </w:tblPrEx>
        <w:trPr>
          <w:trHeight w:val="555" w:hRule="atLeast"/>
        </w:trPr>
        <w:tc>
          <w:tcPr>
            <w:tcW w:w="29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ascii="宋体" w:hAnsi="宋体" w:cs="宋体"/>
                <w:sz w:val="24"/>
              </w:rPr>
              <w:t>9.15</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ascii="宋体" w:hAnsi="宋体" w:cs="宋体"/>
                <w:sz w:val="24"/>
              </w:rPr>
              <w:t>9.15</w:t>
            </w:r>
          </w:p>
        </w:tc>
      </w:tr>
      <w:tr>
        <w:tblPrEx>
          <w:tblCellMar>
            <w:top w:w="0" w:type="dxa"/>
            <w:left w:w="108" w:type="dxa"/>
            <w:bottom w:w="0" w:type="dxa"/>
            <w:right w:w="108" w:type="dxa"/>
          </w:tblCellMar>
        </w:tblPrEx>
        <w:trPr>
          <w:trHeight w:val="341" w:hRule="atLeast"/>
        </w:trPr>
        <w:tc>
          <w:tcPr>
            <w:tcW w:w="29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0</w:t>
            </w:r>
          </w:p>
        </w:tc>
      </w:tr>
      <w:tr>
        <w:tblPrEx>
          <w:tblCellMar>
            <w:top w:w="0" w:type="dxa"/>
            <w:left w:w="108" w:type="dxa"/>
            <w:bottom w:w="0" w:type="dxa"/>
            <w:right w:w="108" w:type="dxa"/>
          </w:tblCellMar>
        </w:tblPrEx>
        <w:trPr>
          <w:trHeight w:val="217" w:hRule="atLeast"/>
        </w:trPr>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年度总体目标完成情况</w:t>
            </w:r>
          </w:p>
        </w:tc>
        <w:tc>
          <w:tcPr>
            <w:tcW w:w="42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44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trHeight w:val="600"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4253"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单位2000平米的占地面积的两栋建筑劳务人员工资及日常维护</w:t>
            </w:r>
          </w:p>
        </w:tc>
        <w:tc>
          <w:tcPr>
            <w:tcW w:w="4468"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单位2000平米的占地面积的两栋建筑劳务人员工资及日常维护</w:t>
            </w:r>
          </w:p>
        </w:tc>
      </w:tr>
      <w:tr>
        <w:tblPrEx>
          <w:tblCellMar>
            <w:top w:w="0" w:type="dxa"/>
            <w:left w:w="108" w:type="dxa"/>
            <w:bottom w:w="0" w:type="dxa"/>
            <w:right w:w="108" w:type="dxa"/>
          </w:tblCellMar>
        </w:tblPrEx>
        <w:trPr>
          <w:trHeight w:val="693" w:hRule="atLeast"/>
        </w:trPr>
        <w:tc>
          <w:tcPr>
            <w:tcW w:w="1384"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956"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trHeight w:val="415"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18"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指标1：办公楼两栋</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单位有办公楼两栋，面积约2000平米，日常办公楼水电及维修维护4万元左右，屋顶花园及办公楼院花草树木管理0.8万元</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单位有办公楼两栋，面积约2000平米，日常办公楼水电及维修维护4万元左右，屋顶花园及办公楼院花草树木管理0.8万元</w:t>
            </w:r>
          </w:p>
        </w:tc>
      </w:tr>
      <w:tr>
        <w:tblPrEx>
          <w:tblCellMar>
            <w:top w:w="0" w:type="dxa"/>
            <w:left w:w="108" w:type="dxa"/>
            <w:bottom w:w="0" w:type="dxa"/>
            <w:right w:w="108" w:type="dxa"/>
          </w:tblCellMar>
        </w:tblPrEx>
        <w:trPr>
          <w:trHeight w:val="415"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指标2：聘用物业管理人员</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聘用物业1人，一年365天24小时1人管理，工资及社保全年6.2万元，</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聘用物业1人，一年365天24小时1人管理，工资及社保全年6.2万元，</w:t>
            </w:r>
          </w:p>
        </w:tc>
      </w:tr>
      <w:tr>
        <w:tblPrEx>
          <w:tblCellMar>
            <w:top w:w="0" w:type="dxa"/>
            <w:left w:w="108" w:type="dxa"/>
            <w:bottom w:w="0" w:type="dxa"/>
            <w:right w:w="108" w:type="dxa"/>
          </w:tblCellMar>
        </w:tblPrEx>
        <w:trPr>
          <w:trHeight w:val="415"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指标1：办公楼管理</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加强办公区域的管理，维护了单位财产安全、增加了建筑使用年限</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加强办公区域的管理，维护了单位财产安全、增加了建筑使用年限</w:t>
            </w:r>
          </w:p>
        </w:tc>
      </w:tr>
      <w:tr>
        <w:tblPrEx>
          <w:tblCellMar>
            <w:top w:w="0" w:type="dxa"/>
            <w:left w:w="108" w:type="dxa"/>
            <w:bottom w:w="0" w:type="dxa"/>
            <w:right w:w="108" w:type="dxa"/>
          </w:tblCellMar>
        </w:tblPrEx>
        <w:trPr>
          <w:trHeight w:val="415"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指标1：完成工作时间</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2021年</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2021年</w:t>
            </w:r>
          </w:p>
        </w:tc>
      </w:tr>
      <w:tr>
        <w:tblPrEx>
          <w:tblCellMar>
            <w:top w:w="0" w:type="dxa"/>
            <w:left w:w="108" w:type="dxa"/>
            <w:bottom w:w="0" w:type="dxa"/>
            <w:right w:w="108" w:type="dxa"/>
          </w:tblCellMar>
        </w:tblPrEx>
        <w:trPr>
          <w:trHeight w:val="480"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指标1：劳务费及维修维护</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9.15万元</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9.15万元</w:t>
            </w:r>
          </w:p>
        </w:tc>
      </w:tr>
      <w:tr>
        <w:tblPrEx>
          <w:tblCellMar>
            <w:top w:w="0" w:type="dxa"/>
            <w:left w:w="108" w:type="dxa"/>
            <w:bottom w:w="0" w:type="dxa"/>
            <w:right w:w="108" w:type="dxa"/>
          </w:tblCellMar>
        </w:tblPrEx>
        <w:trPr>
          <w:trHeight w:val="480"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指标1：提升办公建筑使用年限</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加强办公区域的管理，维护了单位财产安全、增加了建筑使用年限</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加强办公区域的管理，维护了单位财产安全、增加了建筑使用年限</w:t>
            </w:r>
          </w:p>
        </w:tc>
      </w:tr>
      <w:tr>
        <w:tblPrEx>
          <w:tblCellMar>
            <w:top w:w="0" w:type="dxa"/>
            <w:left w:w="108" w:type="dxa"/>
            <w:bottom w:w="0" w:type="dxa"/>
            <w:right w:w="108" w:type="dxa"/>
          </w:tblCellMar>
        </w:tblPrEx>
        <w:trPr>
          <w:trHeight w:val="480"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指标1：提高办公区域安全</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对办公区域的管理维护了单位财产安全</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对办公区域的管理维护了单位财产安全</w:t>
            </w:r>
          </w:p>
        </w:tc>
      </w:tr>
      <w:tr>
        <w:tblPrEx>
          <w:tblCellMar>
            <w:top w:w="0" w:type="dxa"/>
            <w:left w:w="108" w:type="dxa"/>
            <w:bottom w:w="0" w:type="dxa"/>
            <w:right w:w="108" w:type="dxa"/>
          </w:tblCellMar>
        </w:tblPrEx>
        <w:trPr>
          <w:trHeight w:val="480"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生态效益</w:t>
            </w:r>
          </w:p>
          <w:p>
            <w:pPr>
              <w:jc w:val="center"/>
              <w:rPr>
                <w:rFonts w:ascii="宋体" w:hAnsi="宋体" w:cs="宋体"/>
                <w:sz w:val="24"/>
              </w:rPr>
            </w:pPr>
            <w:r>
              <w:rPr>
                <w:rFonts w:hint="eastAsia" w:ascii="仿宋_GB2312" w:hAnsi="仿宋_GB2312" w:eastAsia="仿宋_GB2312" w:cs="仿宋_GB2312"/>
                <w:kern w:val="0"/>
                <w:sz w:val="28"/>
                <w:szCs w:val="28"/>
              </w:rPr>
              <w:t>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指标1：提升办公环境</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加强办公建筑屋顶花园及办公楼院花草树木管理，提升办公环境，提高工作效率和服务水平。</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加强办公建筑屋顶花园及办公楼院花草树木管理，提升办公环境，提高工作效率和服务水平。</w:t>
            </w:r>
          </w:p>
        </w:tc>
      </w:tr>
      <w:tr>
        <w:tblPrEx>
          <w:tblCellMar>
            <w:top w:w="0" w:type="dxa"/>
            <w:left w:w="108" w:type="dxa"/>
            <w:bottom w:w="0" w:type="dxa"/>
            <w:right w:w="108" w:type="dxa"/>
          </w:tblCellMar>
        </w:tblPrEx>
        <w:trPr>
          <w:trHeight w:val="480"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xml:space="preserve"> 指标1：增加建筑使用年限</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加强办公区域的管理，维护了单位财产安全、增加了建筑使用年限</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加强办公区域的管理，维护了单位财产安全、增加了建筑使用年限</w:t>
            </w:r>
          </w:p>
        </w:tc>
      </w:tr>
      <w:tr>
        <w:tblPrEx>
          <w:tblCellMar>
            <w:top w:w="0" w:type="dxa"/>
            <w:left w:w="108" w:type="dxa"/>
            <w:bottom w:w="0" w:type="dxa"/>
            <w:right w:w="108" w:type="dxa"/>
          </w:tblCellMar>
        </w:tblPrEx>
        <w:trPr>
          <w:trHeight w:val="530" w:hRule="atLeast"/>
        </w:trPr>
        <w:tc>
          <w:tcPr>
            <w:tcW w:w="1384"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度指标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eastAsia="仿宋_GB2312"/>
                <w:sz w:val="18"/>
                <w:szCs w:val="18"/>
              </w:rPr>
            </w:pPr>
            <w:r>
              <w:rPr>
                <w:rFonts w:hint="eastAsia" w:ascii="仿宋_GB2312" w:eastAsia="仿宋_GB2312"/>
                <w:sz w:val="18"/>
                <w:szCs w:val="18"/>
              </w:rPr>
              <w:t xml:space="preserve"> 指标1：提高职工满意度</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eastAsia="仿宋_GB2312"/>
                <w:sz w:val="18"/>
                <w:szCs w:val="18"/>
              </w:rPr>
            </w:pPr>
            <w:r>
              <w:rPr>
                <w:rFonts w:hint="eastAsia" w:ascii="仿宋_GB2312" w:eastAsia="仿宋_GB2312"/>
                <w:sz w:val="18"/>
                <w:szCs w:val="18"/>
              </w:rPr>
              <w:t>100%</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eastAsia="仿宋_GB2312"/>
                <w:sz w:val="18"/>
                <w:szCs w:val="18"/>
              </w:rPr>
            </w:pPr>
            <w:r>
              <w:rPr>
                <w:rFonts w:hint="eastAsia" w:ascii="仿宋_GB2312" w:eastAsia="仿宋_GB2312"/>
                <w:sz w:val="18"/>
                <w:szCs w:val="18"/>
              </w:rPr>
              <w:t>100%</w:t>
            </w:r>
          </w:p>
        </w:tc>
      </w:tr>
    </w:tbl>
    <w:p>
      <w:pPr>
        <w:pStyle w:val="2"/>
        <w:spacing w:before="93"/>
      </w:pPr>
    </w:p>
    <w:tbl>
      <w:tblPr>
        <w:tblStyle w:val="13"/>
        <w:tblpPr w:leftFromText="180" w:rightFromText="180" w:vertAnchor="text" w:horzAnchor="page" w:tblpX="1281" w:tblpY="660"/>
        <w:tblOverlap w:val="never"/>
        <w:tblW w:w="10341" w:type="dxa"/>
        <w:tblInd w:w="0" w:type="dxa"/>
        <w:tblLayout w:type="fixed"/>
        <w:tblCellMar>
          <w:top w:w="0" w:type="dxa"/>
          <w:left w:w="108" w:type="dxa"/>
          <w:bottom w:w="0" w:type="dxa"/>
          <w:right w:w="108" w:type="dxa"/>
        </w:tblCellMar>
      </w:tblPr>
      <w:tblGrid>
        <w:gridCol w:w="1384"/>
        <w:gridCol w:w="956"/>
        <w:gridCol w:w="600"/>
        <w:gridCol w:w="818"/>
        <w:gridCol w:w="817"/>
        <w:gridCol w:w="1062"/>
        <w:gridCol w:w="1587"/>
        <w:gridCol w:w="539"/>
        <w:gridCol w:w="2342"/>
        <w:gridCol w:w="236"/>
      </w:tblGrid>
      <w:tr>
        <w:tblPrEx>
          <w:tblCellMar>
            <w:top w:w="0" w:type="dxa"/>
            <w:left w:w="108" w:type="dxa"/>
            <w:bottom w:w="0" w:type="dxa"/>
            <w:right w:w="108" w:type="dxa"/>
          </w:tblCellMar>
        </w:tblPrEx>
        <w:trPr>
          <w:trHeight w:val="675" w:hRule="atLeast"/>
        </w:trPr>
        <w:tc>
          <w:tcPr>
            <w:tcW w:w="10105" w:type="dxa"/>
            <w:gridSpan w:val="9"/>
            <w:tcBorders>
              <w:top w:val="nil"/>
              <w:left w:val="nil"/>
              <w:bottom w:val="nil"/>
              <w:right w:val="nil"/>
            </w:tcBorders>
            <w:shd w:val="clear" w:color="auto" w:fill="auto"/>
            <w:vAlign w:val="center"/>
          </w:tcPr>
          <w:p>
            <w:pPr>
              <w:widowControl/>
              <w:textAlignment w:val="center"/>
              <w:rPr>
                <w:rFonts w:ascii="宋体" w:hAnsi="宋体" w:cs="宋体"/>
                <w:b/>
                <w:sz w:val="32"/>
                <w:szCs w:val="32"/>
              </w:rPr>
            </w:pPr>
            <w:r>
              <w:rPr>
                <w:rFonts w:hint="eastAsia" w:ascii="宋体" w:hAnsi="宋体" w:cs="宋体"/>
                <w:b/>
                <w:sz w:val="32"/>
                <w:szCs w:val="32"/>
              </w:rPr>
              <w:t xml:space="preserve">      2021年不限金额特定目标类部门预算项目绩效目标自评</w:t>
            </w:r>
          </w:p>
          <w:p>
            <w:pPr>
              <w:widowControl/>
              <w:ind w:firstLine="1430" w:firstLineChars="445"/>
              <w:textAlignment w:val="center"/>
              <w:rPr>
                <w:rFonts w:ascii="宋体" w:hAnsi="宋体" w:cs="宋体"/>
                <w:b/>
                <w:sz w:val="32"/>
                <w:szCs w:val="32"/>
              </w:rPr>
            </w:pPr>
            <w:r>
              <w:rPr>
                <w:rFonts w:hint="eastAsia" w:ascii="宋体" w:hAnsi="宋体" w:cs="宋体"/>
                <w:b/>
                <w:sz w:val="32"/>
                <w:szCs w:val="32"/>
              </w:rPr>
              <w:t>（建设工程质量数字化管理平台运转维护费）</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攀枝花市住房和城乡建设局    801001</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ascii="宋体" w:hAnsi="宋体" w:cs="宋体"/>
                <w:sz w:val="24"/>
              </w:rPr>
              <w:t>攀枝花市建设工程</w:t>
            </w:r>
          </w:p>
          <w:p>
            <w:pPr>
              <w:widowControl/>
              <w:spacing w:line="320" w:lineRule="exact"/>
              <w:jc w:val="center"/>
              <w:textAlignment w:val="center"/>
              <w:rPr>
                <w:rFonts w:ascii="宋体" w:hAnsi="宋体" w:cs="宋体"/>
                <w:sz w:val="24"/>
              </w:rPr>
            </w:pPr>
            <w:r>
              <w:rPr>
                <w:rFonts w:ascii="宋体" w:hAnsi="宋体" w:cs="宋体"/>
                <w:sz w:val="24"/>
              </w:rPr>
              <w:t>质量安全站</w:t>
            </w:r>
          </w:p>
        </w:tc>
      </w:tr>
      <w:tr>
        <w:tblPrEx>
          <w:tblCellMar>
            <w:top w:w="0" w:type="dxa"/>
            <w:left w:w="108" w:type="dxa"/>
            <w:bottom w:w="0" w:type="dxa"/>
            <w:right w:w="108" w:type="dxa"/>
          </w:tblCellMar>
        </w:tblPrEx>
        <w:trPr>
          <w:gridAfter w:val="1"/>
          <w:wAfter w:w="236" w:type="dxa"/>
          <w:trHeight w:val="341" w:hRule="atLeast"/>
        </w:trPr>
        <w:tc>
          <w:tcPr>
            <w:tcW w:w="29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项目预算</w:t>
            </w:r>
          </w:p>
          <w:p>
            <w:pPr>
              <w:widowControl/>
              <w:spacing w:line="320" w:lineRule="exact"/>
              <w:jc w:val="center"/>
              <w:textAlignment w:val="center"/>
              <w:rPr>
                <w:rFonts w:ascii="宋体" w:hAnsi="宋体" w:cs="宋体"/>
                <w:kern w:val="0"/>
                <w:sz w:val="24"/>
              </w:rPr>
            </w:pPr>
            <w:r>
              <w:rPr>
                <w:rFonts w:hint="eastAsia" w:ascii="宋体" w:hAnsi="宋体" w:cs="宋体"/>
                <w:kern w:val="0"/>
                <w:sz w:val="24"/>
              </w:rPr>
              <w:t>执行情况</w:t>
            </w:r>
          </w:p>
          <w:p>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ascii="宋体" w:hAnsi="宋体" w:cs="宋体"/>
                <w:sz w:val="24"/>
              </w:rPr>
              <w:t>50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ascii="宋体" w:hAnsi="宋体" w:cs="宋体"/>
                <w:sz w:val="24"/>
              </w:rPr>
              <w:t>50</w:t>
            </w:r>
          </w:p>
        </w:tc>
      </w:tr>
      <w:tr>
        <w:tblPrEx>
          <w:tblCellMar>
            <w:top w:w="0" w:type="dxa"/>
            <w:left w:w="108" w:type="dxa"/>
            <w:bottom w:w="0" w:type="dxa"/>
            <w:right w:w="108" w:type="dxa"/>
          </w:tblCellMar>
        </w:tblPrEx>
        <w:trPr>
          <w:gridAfter w:val="1"/>
          <w:wAfter w:w="236" w:type="dxa"/>
          <w:trHeight w:val="555" w:hRule="atLeast"/>
        </w:trPr>
        <w:tc>
          <w:tcPr>
            <w:tcW w:w="29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ascii="宋体" w:hAnsi="宋体" w:cs="宋体"/>
                <w:sz w:val="24"/>
              </w:rPr>
              <w:t>50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ascii="宋体" w:hAnsi="宋体" w:cs="宋体"/>
                <w:sz w:val="24"/>
              </w:rPr>
              <w:t>50</w:t>
            </w:r>
          </w:p>
        </w:tc>
      </w:tr>
      <w:tr>
        <w:tblPrEx>
          <w:tblCellMar>
            <w:top w:w="0" w:type="dxa"/>
            <w:left w:w="108" w:type="dxa"/>
            <w:bottom w:w="0" w:type="dxa"/>
            <w:right w:w="108" w:type="dxa"/>
          </w:tblCellMar>
        </w:tblPrEx>
        <w:trPr>
          <w:gridAfter w:val="1"/>
          <w:wAfter w:w="236" w:type="dxa"/>
          <w:trHeight w:val="341" w:hRule="atLeast"/>
        </w:trPr>
        <w:tc>
          <w:tcPr>
            <w:tcW w:w="29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sz w:val="24"/>
              </w:rPr>
              <w:t>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r>
              <w:rPr>
                <w:rFonts w:hint="eastAsia" w:ascii="宋体" w:hAnsi="宋体" w:cs="宋体"/>
                <w:sz w:val="24"/>
              </w:rPr>
              <w:t>0</w:t>
            </w:r>
          </w:p>
        </w:tc>
      </w:tr>
      <w:tr>
        <w:tblPrEx>
          <w:tblCellMar>
            <w:top w:w="0" w:type="dxa"/>
            <w:left w:w="108" w:type="dxa"/>
            <w:bottom w:w="0" w:type="dxa"/>
            <w:right w:w="108" w:type="dxa"/>
          </w:tblCellMar>
        </w:tblPrEx>
        <w:trPr>
          <w:gridAfter w:val="1"/>
          <w:wAfter w:w="236" w:type="dxa"/>
          <w:trHeight w:val="217" w:hRule="atLeast"/>
        </w:trPr>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年度总体目标完成情况</w:t>
            </w:r>
          </w:p>
        </w:tc>
        <w:tc>
          <w:tcPr>
            <w:tcW w:w="42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44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6" w:type="dxa"/>
          <w:trHeight w:val="600"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4253"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按统一平台、整合资源的原则，负责全市建筑施工远程视频监控平台的规划、建设、管理和使用。做好全市建设工程远程视频监控的数据收集和取证，对监控时的安全隐患、违章操作、安全事故以及其他异常情况等影像资料的监控数据进行采集和保持，并且及时对上述问题进行整改，减少和避免建筑工地上述问题的发生</w:t>
            </w:r>
          </w:p>
        </w:tc>
        <w:tc>
          <w:tcPr>
            <w:tcW w:w="4468"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按统一平台、整合资源的原则，负责全市建筑施工远程视频监控平台的规划、建设、管理和使用。做好全市建设工程远程视频监控的数据收集和取证，对监控时的安全隐患、违章操作、安全事故以及其他异常情况等影像资料的监控数据进行采集和保持，并且及时对上述问题进行整改，减少和避免建筑工地上述问题的发生。本年度拟建立工程项目监控体系30个，安装摄像头120个，拟构建建筑起重机械安全监控平台试点1个，扬尘污染实时监控平台试点1个</w:t>
            </w:r>
          </w:p>
        </w:tc>
      </w:tr>
      <w:tr>
        <w:tblPrEx>
          <w:tblCellMar>
            <w:top w:w="0" w:type="dxa"/>
            <w:left w:w="108" w:type="dxa"/>
            <w:bottom w:w="0" w:type="dxa"/>
            <w:right w:w="108" w:type="dxa"/>
          </w:tblCellMar>
        </w:tblPrEx>
        <w:trPr>
          <w:gridAfter w:val="1"/>
          <w:wAfter w:w="236" w:type="dxa"/>
          <w:trHeight w:val="693" w:hRule="atLeast"/>
        </w:trPr>
        <w:tc>
          <w:tcPr>
            <w:tcW w:w="1384"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956"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18"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xml:space="preserve"> 指标1：聘用人员工资</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监控人员10人</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监控人员10人</w:t>
            </w:r>
          </w:p>
        </w:tc>
      </w:tr>
      <w:tr>
        <w:tblPrEx>
          <w:tblCellMar>
            <w:top w:w="0" w:type="dxa"/>
            <w:left w:w="108" w:type="dxa"/>
            <w:bottom w:w="0" w:type="dxa"/>
            <w:right w:w="108" w:type="dxa"/>
          </w:tblCellMar>
        </w:tblPrEx>
        <w:trPr>
          <w:gridAfter w:val="1"/>
          <w:wAfter w:w="236" w:type="dxa"/>
          <w:trHeight w:val="415"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xml:space="preserve"> 指标2：设备及网络维护</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按照要求及时对设备、网络及机房进行维护</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按照要求及时对设备、网络及机房进行维护</w:t>
            </w:r>
          </w:p>
        </w:tc>
      </w:tr>
      <w:tr>
        <w:tblPrEx>
          <w:tblCellMar>
            <w:top w:w="0" w:type="dxa"/>
            <w:left w:w="108" w:type="dxa"/>
            <w:bottom w:w="0" w:type="dxa"/>
            <w:right w:w="108" w:type="dxa"/>
          </w:tblCellMar>
        </w:tblPrEx>
        <w:trPr>
          <w:gridAfter w:val="1"/>
          <w:wAfter w:w="236" w:type="dxa"/>
          <w:trHeight w:val="415"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指标2：日常办公</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监控中心日常公用</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监控中心日常公用</w:t>
            </w:r>
          </w:p>
        </w:tc>
      </w:tr>
      <w:tr>
        <w:tblPrEx>
          <w:tblCellMar>
            <w:top w:w="0" w:type="dxa"/>
            <w:left w:w="108" w:type="dxa"/>
            <w:bottom w:w="0" w:type="dxa"/>
            <w:right w:w="108" w:type="dxa"/>
          </w:tblCellMar>
        </w:tblPrEx>
        <w:trPr>
          <w:gridAfter w:val="1"/>
          <w:wAfter w:w="236" w:type="dxa"/>
          <w:trHeight w:val="415"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xml:space="preserve"> 指标1：电脑及机房维护</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确保监控设备运行，监控画面流畅实时监控</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确保监控设备运行，监控画面流畅实时监控</w:t>
            </w:r>
          </w:p>
        </w:tc>
      </w:tr>
      <w:tr>
        <w:tblPrEx>
          <w:tblCellMar>
            <w:top w:w="0" w:type="dxa"/>
            <w:left w:w="108" w:type="dxa"/>
            <w:bottom w:w="0" w:type="dxa"/>
            <w:right w:w="108" w:type="dxa"/>
          </w:tblCellMar>
        </w:tblPrEx>
        <w:trPr>
          <w:gridAfter w:val="1"/>
          <w:wAfter w:w="236" w:type="dxa"/>
          <w:trHeight w:val="415"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xml:space="preserve"> 指标1：完成工作时间</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2021年</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2021年</w:t>
            </w:r>
          </w:p>
        </w:tc>
      </w:tr>
      <w:tr>
        <w:tblPrEx>
          <w:tblCellMar>
            <w:top w:w="0" w:type="dxa"/>
            <w:left w:w="108" w:type="dxa"/>
            <w:bottom w:w="0" w:type="dxa"/>
            <w:right w:w="108" w:type="dxa"/>
          </w:tblCellMar>
        </w:tblPrEx>
        <w:trPr>
          <w:gridAfter w:val="1"/>
          <w:wAfter w:w="236" w:type="dxa"/>
          <w:trHeight w:val="480"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vMerge w:val="restart"/>
            <w:tcBorders>
              <w:top w:val="single" w:color="000000" w:sz="4" w:space="0"/>
              <w:left w:val="single" w:color="000000" w:sz="4" w:space="0"/>
              <w:right w:val="single" w:color="000000" w:sz="4" w:space="0"/>
            </w:tcBorders>
            <w:shd w:val="clear" w:color="auto" w:fill="auto"/>
            <w:vAlign w:val="center"/>
          </w:tcPr>
          <w:p>
            <w:pPr>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成本指标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xml:space="preserve"> 指标1：工资及社保</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支付10个人员工资社保</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支付10个人员工资社保</w:t>
            </w:r>
          </w:p>
        </w:tc>
      </w:tr>
      <w:tr>
        <w:tblPrEx>
          <w:tblCellMar>
            <w:top w:w="0" w:type="dxa"/>
            <w:left w:w="108" w:type="dxa"/>
            <w:bottom w:w="0" w:type="dxa"/>
            <w:right w:w="108" w:type="dxa"/>
          </w:tblCellMar>
        </w:tblPrEx>
        <w:trPr>
          <w:gridAfter w:val="1"/>
          <w:wAfter w:w="236" w:type="dxa"/>
          <w:trHeight w:val="480"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xml:space="preserve"> 指标2：日常办公网络维护等经费</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日常办公网络维护等经费</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日常办公网络维护等经费</w:t>
            </w:r>
          </w:p>
        </w:tc>
      </w:tr>
      <w:tr>
        <w:tblPrEx>
          <w:tblCellMar>
            <w:top w:w="0" w:type="dxa"/>
            <w:left w:w="108" w:type="dxa"/>
            <w:bottom w:w="0" w:type="dxa"/>
            <w:right w:w="108" w:type="dxa"/>
          </w:tblCellMar>
        </w:tblPrEx>
        <w:trPr>
          <w:gridAfter w:val="1"/>
          <w:wAfter w:w="236" w:type="dxa"/>
          <w:trHeight w:val="480"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xml:space="preserve"> 指标1：提升建设工程质量水平</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保障数字管理化平台正常运行，促进建筑市场更规范运行，提升工程质量达标，提高行业经济效益</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保障数字管理化平台正常运行，促进建筑市场更规范运行，提升工程质量达标，提高行业经济效益</w:t>
            </w:r>
          </w:p>
        </w:tc>
      </w:tr>
      <w:tr>
        <w:tblPrEx>
          <w:tblCellMar>
            <w:top w:w="0" w:type="dxa"/>
            <w:left w:w="108" w:type="dxa"/>
            <w:bottom w:w="0" w:type="dxa"/>
            <w:right w:w="108" w:type="dxa"/>
          </w:tblCellMar>
        </w:tblPrEx>
        <w:trPr>
          <w:gridAfter w:val="1"/>
          <w:wAfter w:w="236" w:type="dxa"/>
          <w:trHeight w:val="480"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xml:space="preserve"> 指标1：保障平台运转</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保障数字管理化平台正常运行，促进建筑市场更规范</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保障数字管理化平台正常运行，促进建筑市场更规范</w:t>
            </w:r>
          </w:p>
        </w:tc>
      </w:tr>
      <w:tr>
        <w:tblPrEx>
          <w:tblCellMar>
            <w:top w:w="0" w:type="dxa"/>
            <w:left w:w="108" w:type="dxa"/>
            <w:bottom w:w="0" w:type="dxa"/>
            <w:right w:w="108" w:type="dxa"/>
          </w:tblCellMar>
        </w:tblPrEx>
        <w:trPr>
          <w:gridAfter w:val="1"/>
          <w:wAfter w:w="236" w:type="dxa"/>
          <w:trHeight w:val="480"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生态效益</w:t>
            </w:r>
          </w:p>
          <w:p>
            <w:pPr>
              <w:jc w:val="center"/>
              <w:rPr>
                <w:rFonts w:ascii="宋体" w:hAnsi="宋体" w:cs="宋体"/>
                <w:sz w:val="24"/>
              </w:rPr>
            </w:pPr>
            <w:r>
              <w:rPr>
                <w:rFonts w:hint="eastAsia" w:ascii="仿宋_GB2312" w:hAnsi="仿宋_GB2312" w:eastAsia="仿宋_GB2312" w:cs="仿宋_GB2312"/>
                <w:kern w:val="0"/>
                <w:sz w:val="28"/>
                <w:szCs w:val="28"/>
              </w:rPr>
              <w:t>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xml:space="preserve"> 指标1：美化市民居住环境</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确保受监工程整洁、有序,施工现场扬尘治理更给力，空气更清新</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环境更好，空气更好,确保受监工程整洁、有序,施工现场扬尘治理更给力，空气更清新</w:t>
            </w:r>
          </w:p>
        </w:tc>
      </w:tr>
      <w:tr>
        <w:tblPrEx>
          <w:tblCellMar>
            <w:top w:w="0" w:type="dxa"/>
            <w:left w:w="108" w:type="dxa"/>
            <w:bottom w:w="0" w:type="dxa"/>
            <w:right w:w="108" w:type="dxa"/>
          </w:tblCellMar>
        </w:tblPrEx>
        <w:trPr>
          <w:gridAfter w:val="1"/>
          <w:wAfter w:w="236" w:type="dxa"/>
          <w:trHeight w:val="480" w:hRule="atLeast"/>
        </w:trPr>
        <w:tc>
          <w:tcPr>
            <w:tcW w:w="1384"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xml:space="preserve"> 指标1：工程质量持续优化</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消除受监工程不文明现象，确保工地扬尘治理以及安全,提升对受监工程的管理效率降低生产安全事故发生概率，提升工程质量水平。</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消除受监工程不文明现象，确保工地扬尘治理以及安全,提升对受监工程的管理效率降低生产安全事故发生概率，提升工程质量水平。</w:t>
            </w:r>
          </w:p>
        </w:tc>
      </w:tr>
      <w:tr>
        <w:tblPrEx>
          <w:tblCellMar>
            <w:top w:w="0" w:type="dxa"/>
            <w:left w:w="108" w:type="dxa"/>
            <w:bottom w:w="0" w:type="dxa"/>
            <w:right w:w="108" w:type="dxa"/>
          </w:tblCellMar>
        </w:tblPrEx>
        <w:trPr>
          <w:gridAfter w:val="1"/>
          <w:wAfter w:w="236" w:type="dxa"/>
          <w:trHeight w:val="530" w:hRule="atLeast"/>
        </w:trPr>
        <w:tc>
          <w:tcPr>
            <w:tcW w:w="1384"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度指标</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xml:space="preserve"> 指标1：市民满意度</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宋体" w:eastAsia="仿宋_GB2312" w:cs="宋体"/>
                <w:sz w:val="18"/>
                <w:szCs w:val="18"/>
              </w:rPr>
            </w:pPr>
            <w:r>
              <w:rPr>
                <w:rFonts w:hint="eastAsia" w:ascii="仿宋_GB2312" w:eastAsia="仿宋_GB2312"/>
                <w:sz w:val="18"/>
                <w:szCs w:val="18"/>
              </w:rPr>
              <w:t>95%</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_GB2312" w:hAnsi="宋体" w:eastAsia="仿宋_GB2312" w:cs="宋体"/>
                <w:sz w:val="18"/>
                <w:szCs w:val="18"/>
              </w:rPr>
            </w:pPr>
            <w:r>
              <w:rPr>
                <w:rFonts w:hint="eastAsia" w:ascii="仿宋_GB2312" w:eastAsia="仿宋_GB2312"/>
                <w:sz w:val="18"/>
                <w:szCs w:val="18"/>
              </w:rPr>
              <w:t>95%</w:t>
            </w:r>
          </w:p>
        </w:tc>
      </w:tr>
    </w:tbl>
    <w:p>
      <w:pPr>
        <w:pStyle w:val="2"/>
        <w:spacing w:before="93"/>
      </w:pPr>
    </w:p>
    <w:p>
      <w:pPr>
        <w:spacing w:line="572" w:lineRule="exact"/>
        <w:jc w:val="left"/>
        <w:outlineLvl w:val="0"/>
        <w:rPr>
          <w:rFonts w:ascii="仿宋_GB2312" w:hAnsi="宋体" w:eastAsia="仿宋_GB2312" w:cs="宋体"/>
          <w:color w:val="000000"/>
          <w:kern w:val="0"/>
          <w:sz w:val="32"/>
          <w:szCs w:val="32"/>
          <w:shd w:val="clear" w:color="auto" w:fill="FFFFFF"/>
        </w:rPr>
      </w:pPr>
    </w:p>
    <w:p>
      <w:pPr>
        <w:pStyle w:val="2"/>
        <w:spacing w:before="93"/>
      </w:pPr>
    </w:p>
    <w:p>
      <w:pPr>
        <w:pStyle w:val="2"/>
        <w:spacing w:before="93"/>
      </w:pPr>
    </w:p>
    <w:p>
      <w:pPr>
        <w:spacing w:line="600" w:lineRule="exact"/>
        <w:jc w:val="center"/>
        <w:outlineLvl w:val="0"/>
        <w:rPr>
          <w:rFonts w:ascii="仿宋" w:hAnsi="仿宋" w:eastAsia="仿宋"/>
        </w:rPr>
      </w:pPr>
      <w:bookmarkStart w:id="85" w:name="_Toc113952876"/>
      <w:r>
        <w:rPr>
          <w:rFonts w:hint="eastAsia" w:ascii="黑体" w:hAnsi="黑体" w:eastAsia="黑体"/>
          <w:sz w:val="44"/>
          <w:szCs w:val="44"/>
        </w:rPr>
        <w:t>第</w:t>
      </w:r>
      <w:r>
        <w:rPr>
          <w:rStyle w:val="25"/>
          <w:rFonts w:hint="eastAsia" w:ascii="黑体" w:hAnsi="黑体" w:eastAsia="黑体"/>
          <w:b w:val="0"/>
        </w:rPr>
        <w:t>五部分 附表</w:t>
      </w:r>
      <w:bookmarkEnd w:id="80"/>
      <w:bookmarkEnd w:id="84"/>
      <w:bookmarkEnd w:id="85"/>
      <w:bookmarkStart w:id="86" w:name="_Toc15396619"/>
    </w:p>
    <w:p>
      <w:pPr>
        <w:pStyle w:val="4"/>
        <w:rPr>
          <w:rFonts w:ascii="仿宋" w:hAnsi="仿宋" w:eastAsia="仿宋"/>
        </w:rPr>
      </w:pPr>
      <w:bookmarkStart w:id="87" w:name="_Toc113952877"/>
      <w:r>
        <w:rPr>
          <w:rFonts w:hint="eastAsia" w:ascii="仿宋" w:hAnsi="仿宋" w:eastAsia="仿宋"/>
          <w:b w:val="0"/>
        </w:rPr>
        <w:t>一、收</w:t>
      </w:r>
      <w:r>
        <w:rPr>
          <w:rStyle w:val="26"/>
          <w:rFonts w:hint="eastAsia" w:ascii="仿宋" w:hAnsi="仿宋" w:eastAsia="仿宋"/>
          <w:b w:val="0"/>
          <w:bCs w:val="0"/>
        </w:rPr>
        <w:t>入支出决算总表</w:t>
      </w:r>
      <w:bookmarkEnd w:id="86"/>
      <w:bookmarkEnd w:id="87"/>
    </w:p>
    <w:p>
      <w:pPr>
        <w:pStyle w:val="4"/>
        <w:rPr>
          <w:rFonts w:ascii="仿宋" w:hAnsi="仿宋" w:eastAsia="仿宋"/>
        </w:rPr>
      </w:pPr>
      <w:bookmarkStart w:id="88" w:name="_Toc15396620"/>
      <w:bookmarkStart w:id="89" w:name="_Toc113952878"/>
      <w:r>
        <w:rPr>
          <w:rFonts w:hint="eastAsia" w:ascii="仿宋" w:hAnsi="仿宋" w:eastAsia="仿宋"/>
          <w:b w:val="0"/>
        </w:rPr>
        <w:t>二、收</w:t>
      </w:r>
      <w:r>
        <w:rPr>
          <w:rStyle w:val="26"/>
          <w:rFonts w:hint="eastAsia" w:ascii="仿宋" w:hAnsi="仿宋" w:eastAsia="仿宋"/>
          <w:b w:val="0"/>
          <w:bCs w:val="0"/>
        </w:rPr>
        <w:t>入决算表</w:t>
      </w:r>
      <w:bookmarkEnd w:id="88"/>
      <w:bookmarkEnd w:id="89"/>
    </w:p>
    <w:p>
      <w:pPr>
        <w:pStyle w:val="4"/>
        <w:rPr>
          <w:rFonts w:ascii="仿宋" w:hAnsi="仿宋" w:eastAsia="仿宋"/>
        </w:rPr>
      </w:pPr>
      <w:bookmarkStart w:id="90" w:name="_Toc15396621"/>
      <w:bookmarkStart w:id="91" w:name="_Toc113952879"/>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90"/>
      <w:bookmarkEnd w:id="91"/>
    </w:p>
    <w:p>
      <w:pPr>
        <w:pStyle w:val="4"/>
        <w:rPr>
          <w:rFonts w:ascii="仿宋" w:hAnsi="仿宋" w:eastAsia="仿宋"/>
          <w:b w:val="0"/>
        </w:rPr>
      </w:pPr>
      <w:bookmarkStart w:id="92" w:name="_Toc113952880"/>
      <w:bookmarkStart w:id="93"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92"/>
      <w:bookmarkEnd w:id="93"/>
    </w:p>
    <w:p>
      <w:pPr>
        <w:pStyle w:val="4"/>
        <w:rPr>
          <w:rStyle w:val="26"/>
          <w:rFonts w:ascii="仿宋" w:hAnsi="仿宋" w:eastAsia="仿宋"/>
          <w:b w:val="0"/>
          <w:bCs w:val="0"/>
        </w:rPr>
      </w:pPr>
      <w:bookmarkStart w:id="94" w:name="_Toc15396623"/>
      <w:bookmarkStart w:id="95" w:name="_Toc113952881"/>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94"/>
      <w:bookmarkEnd w:id="95"/>
      <w:bookmarkStart w:id="96" w:name="_Toc15396624"/>
    </w:p>
    <w:p>
      <w:pPr>
        <w:pStyle w:val="4"/>
        <w:rPr>
          <w:rFonts w:ascii="仿宋" w:hAnsi="仿宋" w:eastAsia="仿宋"/>
        </w:rPr>
      </w:pPr>
      <w:bookmarkStart w:id="97" w:name="_Toc113952882"/>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96"/>
      <w:bookmarkEnd w:id="97"/>
    </w:p>
    <w:p>
      <w:pPr>
        <w:pStyle w:val="4"/>
        <w:rPr>
          <w:rFonts w:ascii="仿宋" w:hAnsi="仿宋" w:eastAsia="仿宋"/>
        </w:rPr>
      </w:pPr>
      <w:bookmarkStart w:id="98" w:name="_Toc15396625"/>
      <w:bookmarkStart w:id="99" w:name="_Toc113952883"/>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98"/>
      <w:bookmarkEnd w:id="99"/>
    </w:p>
    <w:p>
      <w:pPr>
        <w:pStyle w:val="4"/>
        <w:rPr>
          <w:rFonts w:ascii="仿宋" w:hAnsi="仿宋" w:eastAsia="仿宋"/>
        </w:rPr>
      </w:pPr>
      <w:bookmarkStart w:id="100" w:name="_Toc15396626"/>
      <w:bookmarkStart w:id="101" w:name="_Toc113952884"/>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100"/>
      <w:bookmarkEnd w:id="101"/>
    </w:p>
    <w:p>
      <w:pPr>
        <w:pStyle w:val="4"/>
        <w:rPr>
          <w:rFonts w:ascii="仿宋" w:hAnsi="仿宋" w:eastAsia="仿宋"/>
        </w:rPr>
      </w:pPr>
      <w:bookmarkStart w:id="102" w:name="_Toc113952885"/>
      <w:bookmarkStart w:id="103"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102"/>
      <w:bookmarkEnd w:id="103"/>
    </w:p>
    <w:p>
      <w:pPr>
        <w:pStyle w:val="4"/>
        <w:rPr>
          <w:rFonts w:ascii="仿宋" w:hAnsi="仿宋" w:eastAsia="仿宋"/>
        </w:rPr>
      </w:pPr>
      <w:bookmarkStart w:id="104" w:name="_Toc15396628"/>
      <w:bookmarkStart w:id="105" w:name="_Toc113952886"/>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104"/>
      <w:bookmarkEnd w:id="105"/>
    </w:p>
    <w:p>
      <w:pPr>
        <w:pStyle w:val="4"/>
        <w:rPr>
          <w:rStyle w:val="26"/>
          <w:rFonts w:ascii="仿宋" w:hAnsi="仿宋" w:eastAsia="仿宋"/>
          <w:b w:val="0"/>
          <w:bCs w:val="0"/>
        </w:rPr>
      </w:pPr>
      <w:bookmarkStart w:id="106" w:name="_Toc15396629"/>
      <w:bookmarkStart w:id="107" w:name="_Toc113952887"/>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106"/>
      <w:bookmarkEnd w:id="107"/>
      <w:r>
        <w:rPr>
          <w:rStyle w:val="26"/>
          <w:rFonts w:hint="eastAsia" w:ascii="仿宋" w:hAnsi="仿宋" w:eastAsia="仿宋"/>
          <w:b w:val="0"/>
          <w:bCs w:val="0"/>
        </w:rPr>
        <w:t>（此表无数据）</w:t>
      </w:r>
    </w:p>
    <w:p/>
    <w:p>
      <w:pPr>
        <w:pStyle w:val="4"/>
        <w:rPr>
          <w:rFonts w:ascii="仿宋" w:hAnsi="仿宋" w:eastAsia="仿宋"/>
          <w:b w:val="0"/>
          <w:bCs w:val="0"/>
        </w:rPr>
      </w:pPr>
      <w:bookmarkStart w:id="108" w:name="_Toc15396630"/>
      <w:bookmarkStart w:id="109" w:name="_Toc113952888"/>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108"/>
      <w:bookmarkEnd w:id="109"/>
      <w:r>
        <w:rPr>
          <w:rStyle w:val="26"/>
          <w:rFonts w:hint="eastAsia" w:ascii="仿宋" w:hAnsi="仿宋" w:eastAsia="仿宋"/>
          <w:b w:val="0"/>
          <w:bCs w:val="0"/>
        </w:rPr>
        <w:t>（此表无数据）</w:t>
      </w:r>
    </w:p>
    <w:p>
      <w:pPr>
        <w:pStyle w:val="4"/>
        <w:rPr>
          <w:rStyle w:val="26"/>
          <w:rFonts w:ascii="仿宋" w:hAnsi="仿宋" w:eastAsia="仿宋"/>
          <w:b w:val="0"/>
          <w:bCs w:val="0"/>
        </w:rPr>
      </w:pPr>
      <w:bookmarkStart w:id="110" w:name="_Toc15396631"/>
      <w:bookmarkStart w:id="111" w:name="_Toc113952889"/>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110"/>
      <w:bookmarkEnd w:id="111"/>
      <w:r>
        <w:rPr>
          <w:rStyle w:val="26"/>
          <w:rFonts w:hint="eastAsia" w:ascii="仿宋" w:hAnsi="仿宋" w:eastAsia="仿宋"/>
          <w:b w:val="0"/>
          <w:bCs w:val="0"/>
        </w:rPr>
        <w:t>（此表无数据）</w:t>
      </w:r>
    </w:p>
    <w:p>
      <w:pPr>
        <w:pStyle w:val="4"/>
        <w:rPr>
          <w:rFonts w:ascii="仿宋" w:hAnsi="仿宋" w:eastAsia="仿宋"/>
          <w:b w:val="0"/>
          <w:bCs w:val="0"/>
        </w:rPr>
      </w:pPr>
      <w:bookmarkStart w:id="112" w:name="_Toc113952890"/>
      <w:r>
        <w:rPr>
          <w:rStyle w:val="26"/>
          <w:rFonts w:hint="eastAsia" w:ascii="仿宋" w:hAnsi="仿宋" w:eastAsia="仿宋"/>
          <w:b w:val="0"/>
          <w:bCs w:val="0"/>
        </w:rPr>
        <w:t>十四、国有资本经营预算财政拨款支出决算表</w:t>
      </w:r>
      <w:bookmarkEnd w:id="112"/>
      <w:r>
        <w:rPr>
          <w:rStyle w:val="26"/>
          <w:rFonts w:hint="eastAsia" w:ascii="仿宋" w:hAnsi="仿宋" w:eastAsia="仿宋"/>
          <w:b w:val="0"/>
          <w:bCs w:val="0"/>
        </w:rPr>
        <w:t>（此表无数据）</w:t>
      </w:r>
    </w:p>
    <w:p>
      <w:pPr>
        <w:rPr>
          <w:rFonts w:eastAsia="仿宋"/>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49463D07"/>
    <w:multiLevelType w:val="multilevel"/>
    <w:tmpl w:val="49463D07"/>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EyYTE3YWFhZmQzMjAwNzNkMDRmMTQwN2ZhZDkzZTgifQ=="/>
  </w:docVars>
  <w:rsids>
    <w:rsidRoot w:val="00F1361C"/>
    <w:rsid w:val="000222C6"/>
    <w:rsid w:val="00024FC9"/>
    <w:rsid w:val="0002549F"/>
    <w:rsid w:val="00025CC5"/>
    <w:rsid w:val="00044199"/>
    <w:rsid w:val="000468DB"/>
    <w:rsid w:val="000503E8"/>
    <w:rsid w:val="0006487A"/>
    <w:rsid w:val="00065F8F"/>
    <w:rsid w:val="000676A2"/>
    <w:rsid w:val="00070A43"/>
    <w:rsid w:val="000768F2"/>
    <w:rsid w:val="00082CAD"/>
    <w:rsid w:val="00085B98"/>
    <w:rsid w:val="0009184B"/>
    <w:rsid w:val="00094236"/>
    <w:rsid w:val="0009593C"/>
    <w:rsid w:val="00097322"/>
    <w:rsid w:val="000A6A92"/>
    <w:rsid w:val="000B047F"/>
    <w:rsid w:val="000B1561"/>
    <w:rsid w:val="000B5923"/>
    <w:rsid w:val="000B5A48"/>
    <w:rsid w:val="000B6E54"/>
    <w:rsid w:val="000B6FF3"/>
    <w:rsid w:val="000C3467"/>
    <w:rsid w:val="000C3782"/>
    <w:rsid w:val="000C3CA6"/>
    <w:rsid w:val="000D1267"/>
    <w:rsid w:val="000D1D50"/>
    <w:rsid w:val="000D35AF"/>
    <w:rsid w:val="000D5782"/>
    <w:rsid w:val="000D5E17"/>
    <w:rsid w:val="000E6613"/>
    <w:rsid w:val="000E7119"/>
    <w:rsid w:val="00114E9B"/>
    <w:rsid w:val="001227B1"/>
    <w:rsid w:val="00124608"/>
    <w:rsid w:val="00132887"/>
    <w:rsid w:val="001410DD"/>
    <w:rsid w:val="00142216"/>
    <w:rsid w:val="00144D6A"/>
    <w:rsid w:val="0014729F"/>
    <w:rsid w:val="00151B11"/>
    <w:rsid w:val="00157BAB"/>
    <w:rsid w:val="001654D1"/>
    <w:rsid w:val="00174518"/>
    <w:rsid w:val="0018106D"/>
    <w:rsid w:val="00185CDB"/>
    <w:rsid w:val="001877A7"/>
    <w:rsid w:val="00191536"/>
    <w:rsid w:val="00193306"/>
    <w:rsid w:val="00196687"/>
    <w:rsid w:val="001970BB"/>
    <w:rsid w:val="001C0962"/>
    <w:rsid w:val="001D7531"/>
    <w:rsid w:val="001E737D"/>
    <w:rsid w:val="001F0592"/>
    <w:rsid w:val="001F2166"/>
    <w:rsid w:val="001F7506"/>
    <w:rsid w:val="002006CD"/>
    <w:rsid w:val="00202B36"/>
    <w:rsid w:val="00204B7A"/>
    <w:rsid w:val="00204CDE"/>
    <w:rsid w:val="0021101A"/>
    <w:rsid w:val="00211ECA"/>
    <w:rsid w:val="00220536"/>
    <w:rsid w:val="00235629"/>
    <w:rsid w:val="00251178"/>
    <w:rsid w:val="00260C38"/>
    <w:rsid w:val="002616C0"/>
    <w:rsid w:val="00265372"/>
    <w:rsid w:val="00265D71"/>
    <w:rsid w:val="002662AA"/>
    <w:rsid w:val="00280496"/>
    <w:rsid w:val="00281E1D"/>
    <w:rsid w:val="00282DF1"/>
    <w:rsid w:val="00294DC9"/>
    <w:rsid w:val="00295495"/>
    <w:rsid w:val="002A31DE"/>
    <w:rsid w:val="002B2613"/>
    <w:rsid w:val="002D6D05"/>
    <w:rsid w:val="002F1818"/>
    <w:rsid w:val="002F3612"/>
    <w:rsid w:val="002F567B"/>
    <w:rsid w:val="003216A9"/>
    <w:rsid w:val="00322D16"/>
    <w:rsid w:val="00335A74"/>
    <w:rsid w:val="00353A1E"/>
    <w:rsid w:val="0036561B"/>
    <w:rsid w:val="0037013F"/>
    <w:rsid w:val="00380C92"/>
    <w:rsid w:val="003A484F"/>
    <w:rsid w:val="003A4883"/>
    <w:rsid w:val="003A5FE0"/>
    <w:rsid w:val="003B0BE0"/>
    <w:rsid w:val="003B0C1B"/>
    <w:rsid w:val="003B1C0A"/>
    <w:rsid w:val="003B394A"/>
    <w:rsid w:val="003B45E5"/>
    <w:rsid w:val="003B688C"/>
    <w:rsid w:val="003C0291"/>
    <w:rsid w:val="003C39AE"/>
    <w:rsid w:val="003C7B60"/>
    <w:rsid w:val="003D0C0F"/>
    <w:rsid w:val="003D1FB2"/>
    <w:rsid w:val="003D66DA"/>
    <w:rsid w:val="003E1310"/>
    <w:rsid w:val="003E6F55"/>
    <w:rsid w:val="00406254"/>
    <w:rsid w:val="004223DE"/>
    <w:rsid w:val="00433628"/>
    <w:rsid w:val="00434489"/>
    <w:rsid w:val="0043561E"/>
    <w:rsid w:val="00437085"/>
    <w:rsid w:val="00443880"/>
    <w:rsid w:val="004464F4"/>
    <w:rsid w:val="00455F21"/>
    <w:rsid w:val="004564D6"/>
    <w:rsid w:val="00471401"/>
    <w:rsid w:val="00473F31"/>
    <w:rsid w:val="0047553E"/>
    <w:rsid w:val="0048263A"/>
    <w:rsid w:val="00487E5D"/>
    <w:rsid w:val="00493AD1"/>
    <w:rsid w:val="00494B7E"/>
    <w:rsid w:val="004A2130"/>
    <w:rsid w:val="004A711F"/>
    <w:rsid w:val="004A7E4C"/>
    <w:rsid w:val="004B199D"/>
    <w:rsid w:val="004B4690"/>
    <w:rsid w:val="004C0E68"/>
    <w:rsid w:val="004D6BFB"/>
    <w:rsid w:val="004E0A2D"/>
    <w:rsid w:val="004E206B"/>
    <w:rsid w:val="004E6DF7"/>
    <w:rsid w:val="004F0FBD"/>
    <w:rsid w:val="00505A47"/>
    <w:rsid w:val="00512FDA"/>
    <w:rsid w:val="00520CCF"/>
    <w:rsid w:val="00520DA0"/>
    <w:rsid w:val="005664BB"/>
    <w:rsid w:val="00566FFA"/>
    <w:rsid w:val="0057481D"/>
    <w:rsid w:val="0058486E"/>
    <w:rsid w:val="00585B33"/>
    <w:rsid w:val="0059014D"/>
    <w:rsid w:val="005B5C64"/>
    <w:rsid w:val="005C3E75"/>
    <w:rsid w:val="005C5337"/>
    <w:rsid w:val="005C6BD0"/>
    <w:rsid w:val="005D1C8B"/>
    <w:rsid w:val="005D468D"/>
    <w:rsid w:val="005D5CED"/>
    <w:rsid w:val="005F1A4C"/>
    <w:rsid w:val="005F42A3"/>
    <w:rsid w:val="00600BB8"/>
    <w:rsid w:val="00605688"/>
    <w:rsid w:val="006070AF"/>
    <w:rsid w:val="00607E6C"/>
    <w:rsid w:val="006101B1"/>
    <w:rsid w:val="00611843"/>
    <w:rsid w:val="00614E44"/>
    <w:rsid w:val="0062270A"/>
    <w:rsid w:val="00622830"/>
    <w:rsid w:val="00623DA0"/>
    <w:rsid w:val="00630AEF"/>
    <w:rsid w:val="006325F8"/>
    <w:rsid w:val="00633463"/>
    <w:rsid w:val="00634C9A"/>
    <w:rsid w:val="006440E4"/>
    <w:rsid w:val="00662BFD"/>
    <w:rsid w:val="0066343B"/>
    <w:rsid w:val="00664777"/>
    <w:rsid w:val="006748A4"/>
    <w:rsid w:val="00681A31"/>
    <w:rsid w:val="00683E73"/>
    <w:rsid w:val="006A15AD"/>
    <w:rsid w:val="006A3141"/>
    <w:rsid w:val="006A5E34"/>
    <w:rsid w:val="006B2422"/>
    <w:rsid w:val="006B2B9A"/>
    <w:rsid w:val="006C1937"/>
    <w:rsid w:val="006C4351"/>
    <w:rsid w:val="006F020C"/>
    <w:rsid w:val="007127B7"/>
    <w:rsid w:val="007137D5"/>
    <w:rsid w:val="0071798E"/>
    <w:rsid w:val="00727E01"/>
    <w:rsid w:val="0073143B"/>
    <w:rsid w:val="007416B6"/>
    <w:rsid w:val="00746F48"/>
    <w:rsid w:val="0075404D"/>
    <w:rsid w:val="0076182A"/>
    <w:rsid w:val="00761FC0"/>
    <w:rsid w:val="00763290"/>
    <w:rsid w:val="00765D69"/>
    <w:rsid w:val="00767B7E"/>
    <w:rsid w:val="007770C3"/>
    <w:rsid w:val="00784D24"/>
    <w:rsid w:val="00785FBA"/>
    <w:rsid w:val="00786E4A"/>
    <w:rsid w:val="007875EB"/>
    <w:rsid w:val="0079426B"/>
    <w:rsid w:val="007C4CAC"/>
    <w:rsid w:val="007D1682"/>
    <w:rsid w:val="007D312A"/>
    <w:rsid w:val="007D3F19"/>
    <w:rsid w:val="007E23B0"/>
    <w:rsid w:val="007E23E5"/>
    <w:rsid w:val="007E5873"/>
    <w:rsid w:val="007F1991"/>
    <w:rsid w:val="007F2C2F"/>
    <w:rsid w:val="007F55FC"/>
    <w:rsid w:val="007F5665"/>
    <w:rsid w:val="00800112"/>
    <w:rsid w:val="008051DD"/>
    <w:rsid w:val="00813348"/>
    <w:rsid w:val="0081399B"/>
    <w:rsid w:val="00822F0E"/>
    <w:rsid w:val="008253BB"/>
    <w:rsid w:val="0083706E"/>
    <w:rsid w:val="008408F6"/>
    <w:rsid w:val="008423A5"/>
    <w:rsid w:val="00850625"/>
    <w:rsid w:val="00853718"/>
    <w:rsid w:val="00854E0E"/>
    <w:rsid w:val="00855221"/>
    <w:rsid w:val="00860645"/>
    <w:rsid w:val="00865BD6"/>
    <w:rsid w:val="00871865"/>
    <w:rsid w:val="00871F71"/>
    <w:rsid w:val="00872FD8"/>
    <w:rsid w:val="00885AF4"/>
    <w:rsid w:val="008939CD"/>
    <w:rsid w:val="00893EFC"/>
    <w:rsid w:val="008B768C"/>
    <w:rsid w:val="008C4DB1"/>
    <w:rsid w:val="008C4EAF"/>
    <w:rsid w:val="008C5176"/>
    <w:rsid w:val="008C7FD0"/>
    <w:rsid w:val="008D5DE0"/>
    <w:rsid w:val="008E1DE7"/>
    <w:rsid w:val="008E286A"/>
    <w:rsid w:val="008E707C"/>
    <w:rsid w:val="008F2346"/>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592"/>
    <w:rsid w:val="00A40A00"/>
    <w:rsid w:val="00A4142F"/>
    <w:rsid w:val="00A422EB"/>
    <w:rsid w:val="00A45BB7"/>
    <w:rsid w:val="00A56DF2"/>
    <w:rsid w:val="00A56E6E"/>
    <w:rsid w:val="00A62097"/>
    <w:rsid w:val="00A65B94"/>
    <w:rsid w:val="00A67AB5"/>
    <w:rsid w:val="00A733B2"/>
    <w:rsid w:val="00A741C2"/>
    <w:rsid w:val="00A83F3E"/>
    <w:rsid w:val="00A91760"/>
    <w:rsid w:val="00A93B00"/>
    <w:rsid w:val="00A93C21"/>
    <w:rsid w:val="00AA1DF4"/>
    <w:rsid w:val="00AB20EF"/>
    <w:rsid w:val="00AB64C9"/>
    <w:rsid w:val="00AC3C6A"/>
    <w:rsid w:val="00AD1336"/>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114D"/>
    <w:rsid w:val="00B425E0"/>
    <w:rsid w:val="00B440AA"/>
    <w:rsid w:val="00B44B70"/>
    <w:rsid w:val="00B52711"/>
    <w:rsid w:val="00B53C56"/>
    <w:rsid w:val="00B57DAF"/>
    <w:rsid w:val="00B66DF3"/>
    <w:rsid w:val="00B77EA6"/>
    <w:rsid w:val="00B81598"/>
    <w:rsid w:val="00B841F1"/>
    <w:rsid w:val="00B944D6"/>
    <w:rsid w:val="00BB4DF0"/>
    <w:rsid w:val="00BC289F"/>
    <w:rsid w:val="00BC2D50"/>
    <w:rsid w:val="00BC5361"/>
    <w:rsid w:val="00BC5460"/>
    <w:rsid w:val="00BC6B50"/>
    <w:rsid w:val="00BD0E25"/>
    <w:rsid w:val="00BE611E"/>
    <w:rsid w:val="00BF5BD6"/>
    <w:rsid w:val="00BF5C31"/>
    <w:rsid w:val="00C0096F"/>
    <w:rsid w:val="00C03E31"/>
    <w:rsid w:val="00C115E3"/>
    <w:rsid w:val="00C21A7E"/>
    <w:rsid w:val="00C33E72"/>
    <w:rsid w:val="00C354B2"/>
    <w:rsid w:val="00C35554"/>
    <w:rsid w:val="00C42709"/>
    <w:rsid w:val="00C533CC"/>
    <w:rsid w:val="00C5751C"/>
    <w:rsid w:val="00C61BFC"/>
    <w:rsid w:val="00C62B85"/>
    <w:rsid w:val="00C65438"/>
    <w:rsid w:val="00C70C2A"/>
    <w:rsid w:val="00C87FD8"/>
    <w:rsid w:val="00C91381"/>
    <w:rsid w:val="00C91CBB"/>
    <w:rsid w:val="00C934E0"/>
    <w:rsid w:val="00C9615C"/>
    <w:rsid w:val="00CA32E8"/>
    <w:rsid w:val="00CB4E70"/>
    <w:rsid w:val="00CC09B6"/>
    <w:rsid w:val="00CC666F"/>
    <w:rsid w:val="00CD1E3F"/>
    <w:rsid w:val="00CD4FF3"/>
    <w:rsid w:val="00CD7AF8"/>
    <w:rsid w:val="00CE44F6"/>
    <w:rsid w:val="00CE49DA"/>
    <w:rsid w:val="00CE7B61"/>
    <w:rsid w:val="00D00095"/>
    <w:rsid w:val="00D04F7B"/>
    <w:rsid w:val="00D114F0"/>
    <w:rsid w:val="00D1399C"/>
    <w:rsid w:val="00D20620"/>
    <w:rsid w:val="00D254F7"/>
    <w:rsid w:val="00D26091"/>
    <w:rsid w:val="00D2685C"/>
    <w:rsid w:val="00D3483A"/>
    <w:rsid w:val="00D34E7C"/>
    <w:rsid w:val="00D35489"/>
    <w:rsid w:val="00D36AFE"/>
    <w:rsid w:val="00D51276"/>
    <w:rsid w:val="00D7035F"/>
    <w:rsid w:val="00DA634F"/>
    <w:rsid w:val="00DA65AC"/>
    <w:rsid w:val="00DB1913"/>
    <w:rsid w:val="00DB6595"/>
    <w:rsid w:val="00DC410D"/>
    <w:rsid w:val="00DC5A81"/>
    <w:rsid w:val="00DC68CA"/>
    <w:rsid w:val="00DC7CBA"/>
    <w:rsid w:val="00DD5F43"/>
    <w:rsid w:val="00DD73B7"/>
    <w:rsid w:val="00DE3171"/>
    <w:rsid w:val="00DF28BC"/>
    <w:rsid w:val="00DF34B9"/>
    <w:rsid w:val="00E01053"/>
    <w:rsid w:val="00E07ACF"/>
    <w:rsid w:val="00E26011"/>
    <w:rsid w:val="00E331A1"/>
    <w:rsid w:val="00E33202"/>
    <w:rsid w:val="00E336A9"/>
    <w:rsid w:val="00E35F06"/>
    <w:rsid w:val="00E472B1"/>
    <w:rsid w:val="00E50624"/>
    <w:rsid w:val="00E568DF"/>
    <w:rsid w:val="00E64269"/>
    <w:rsid w:val="00E802F4"/>
    <w:rsid w:val="00E82267"/>
    <w:rsid w:val="00E853CE"/>
    <w:rsid w:val="00E867B6"/>
    <w:rsid w:val="00E94B17"/>
    <w:rsid w:val="00E97855"/>
    <w:rsid w:val="00EA010F"/>
    <w:rsid w:val="00ED1B63"/>
    <w:rsid w:val="00ED3C1F"/>
    <w:rsid w:val="00ED4085"/>
    <w:rsid w:val="00ED420E"/>
    <w:rsid w:val="00ED6910"/>
    <w:rsid w:val="00ED6FBE"/>
    <w:rsid w:val="00EE2F57"/>
    <w:rsid w:val="00EF4C34"/>
    <w:rsid w:val="00EF75EB"/>
    <w:rsid w:val="00EF77C6"/>
    <w:rsid w:val="00F02529"/>
    <w:rsid w:val="00F0335E"/>
    <w:rsid w:val="00F05438"/>
    <w:rsid w:val="00F05FEC"/>
    <w:rsid w:val="00F1361C"/>
    <w:rsid w:val="00F13A47"/>
    <w:rsid w:val="00F156F0"/>
    <w:rsid w:val="00F160C7"/>
    <w:rsid w:val="00F2408F"/>
    <w:rsid w:val="00F240E9"/>
    <w:rsid w:val="00F33818"/>
    <w:rsid w:val="00F36D8F"/>
    <w:rsid w:val="00F41300"/>
    <w:rsid w:val="00F417B1"/>
    <w:rsid w:val="00F45853"/>
    <w:rsid w:val="00F57A9D"/>
    <w:rsid w:val="00F602DF"/>
    <w:rsid w:val="00F754A1"/>
    <w:rsid w:val="00F81FD9"/>
    <w:rsid w:val="00F838E8"/>
    <w:rsid w:val="00F841AA"/>
    <w:rsid w:val="00F84A94"/>
    <w:rsid w:val="00F87E96"/>
    <w:rsid w:val="00FA23E8"/>
    <w:rsid w:val="00FB0C3A"/>
    <w:rsid w:val="00FB5015"/>
    <w:rsid w:val="00FD10EC"/>
    <w:rsid w:val="00FD3CC1"/>
    <w:rsid w:val="00FD497F"/>
    <w:rsid w:val="00FE4479"/>
    <w:rsid w:val="00FF1E02"/>
    <w:rsid w:val="00FF30B4"/>
    <w:rsid w:val="0A2032A3"/>
    <w:rsid w:val="0B875A30"/>
    <w:rsid w:val="0B8A37D8"/>
    <w:rsid w:val="10C055FF"/>
    <w:rsid w:val="118107EC"/>
    <w:rsid w:val="11DD6519"/>
    <w:rsid w:val="16BB723D"/>
    <w:rsid w:val="18015F3F"/>
    <w:rsid w:val="1BE8440E"/>
    <w:rsid w:val="1D155CEE"/>
    <w:rsid w:val="20F57F95"/>
    <w:rsid w:val="240371BF"/>
    <w:rsid w:val="25C741E6"/>
    <w:rsid w:val="27842671"/>
    <w:rsid w:val="29FD04D3"/>
    <w:rsid w:val="2ABE7A3E"/>
    <w:rsid w:val="2EFA178C"/>
    <w:rsid w:val="30B46D73"/>
    <w:rsid w:val="319F7F4E"/>
    <w:rsid w:val="359C43FD"/>
    <w:rsid w:val="39AE70AB"/>
    <w:rsid w:val="3C0C0783"/>
    <w:rsid w:val="3E386255"/>
    <w:rsid w:val="3F9F3A96"/>
    <w:rsid w:val="493C27E9"/>
    <w:rsid w:val="496F39ED"/>
    <w:rsid w:val="49FF41D3"/>
    <w:rsid w:val="4BE068DB"/>
    <w:rsid w:val="4BED511E"/>
    <w:rsid w:val="4BF6002B"/>
    <w:rsid w:val="4ECE2238"/>
    <w:rsid w:val="51DB4B86"/>
    <w:rsid w:val="55333C3E"/>
    <w:rsid w:val="64CA39A1"/>
    <w:rsid w:val="66872441"/>
    <w:rsid w:val="6C4A05C8"/>
    <w:rsid w:val="72734D90"/>
    <w:rsid w:val="79E7B28D"/>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link w:val="33"/>
    <w:qFormat/>
    <w:uiPriority w:val="0"/>
    <w:rPr>
      <w:rFonts w:ascii="宋体" w:hAnsi="Courier New"/>
    </w:r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1">
    <w:name w:val="p0"/>
    <w:basedOn w:val="1"/>
    <w:qFormat/>
    <w:uiPriority w:val="0"/>
    <w:pPr>
      <w:widowControl/>
    </w:pPr>
    <w:rPr>
      <w:kern w:val="0"/>
      <w:szCs w:val="21"/>
    </w:rPr>
  </w:style>
  <w:style w:type="character" w:customStyle="1" w:styleId="32">
    <w:name w:val="normal1"/>
    <w:basedOn w:val="14"/>
    <w:qFormat/>
    <w:uiPriority w:val="0"/>
  </w:style>
  <w:style w:type="character" w:customStyle="1" w:styleId="33">
    <w:name w:val="纯文本 Char"/>
    <w:basedOn w:val="14"/>
    <w:link w:val="7"/>
    <w:qFormat/>
    <w:uiPriority w:val="0"/>
    <w:rPr>
      <w:rFonts w:ascii="宋体" w:hAnsi="Courier New" w:eastAsia="宋体" w:cs="Times New Roman"/>
      <w:kern w:val="2"/>
      <w:sz w:val="21"/>
      <w:szCs w:val="24"/>
    </w:rPr>
  </w:style>
  <w:style w:type="paragraph" w:customStyle="1" w:styleId="34">
    <w:name w:val="TOC 标题3"/>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A44D3-910A-412E-A09C-A6D14B387F17}">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31</Pages>
  <Words>2705</Words>
  <Characters>15419</Characters>
  <Lines>128</Lines>
  <Paragraphs>36</Paragraphs>
  <TotalTime>4</TotalTime>
  <ScaleCrop>false</ScaleCrop>
  <LinksUpToDate>false</LinksUpToDate>
  <CharactersWithSpaces>18088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2022-08-31T08:09:00Z</dcterms:created>
  <dc:creator>曹颖</dc:creator>
  <cp:lastModifiedBy>纳伟燕</cp:lastModifiedBy>
  <cp:lastPrinted>2023-07-13T06:42:00Z</cp:lastPrinted>
  <dcterms:modified xsi:type="dcterms:W3CDTF">2023-10-13T07:04:46Z</dcterms:modified>
  <dc:title>四川省***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ACCA273070034F58B6D6ED042927F453_12</vt:lpwstr>
  </property>
</Properties>
</file>