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96475"/>
      <w:bookmarkStart w:id="2" w:name="_Toc15377425"/>
      <w:bookmarkStart w:id="3" w:name="_Toc15378441"/>
      <w:bookmarkStart w:id="4" w:name="_Toc15396597"/>
      <w:bookmarkStart w:id="5" w:name="_Toc15377193"/>
      <w:r>
        <w:rPr>
          <w:rFonts w:ascii="方正小标宋简体" w:eastAsia="方正小标宋简体" w:cs="方正小标宋简体" w:hint="eastAsia"/>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78442"/>
      <w:bookmarkStart w:id="7" w:name="_Toc15396476"/>
      <w:bookmarkStart w:id="8" w:name="_Toc15377426"/>
      <w:bookmarkStart w:id="9" w:name="_Toc15377194"/>
      <w:bookmarkStart w:id="10" w:name="_Toc15396598"/>
      <w:r>
        <w:rPr>
          <w:rFonts w:ascii="方正小标宋简体" w:eastAsia="方正小标宋简体" w:cs="方正小标宋简体" w:hint="eastAsia"/>
          <w:sz w:val="72"/>
          <w:szCs w:val="72"/>
        </w:rPr>
        <w:t>四川省</w:t>
      </w:r>
      <w:bookmarkStart w:id="11" w:name="_Toc15306268"/>
      <w:bookmarkEnd w:id="0"/>
      <w:r>
        <w:rPr>
          <w:rFonts w:ascii="方正小标宋简体" w:eastAsia="方正小标宋简体" w:cs="方正小标宋简体" w:hint="eastAsia"/>
          <w:sz w:val="72"/>
          <w:szCs w:val="72"/>
        </w:rPr>
        <w:t>攀枝花市建筑节能和绿色建筑发展中心决算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  录</w:t>
      </w:r>
    </w:p>
    <w:p>
      <w:pPr>
        <w:widowControl/>
        <w:jc w:val="center"/>
        <w:rPr>
          <w:rFonts w:ascii="黑体" w:eastAsia="黑体" w:cs="Arial"/>
          <w:sz w:val="28"/>
          <w:szCs w:val="28"/>
        </w:rPr>
      </w:pPr>
    </w:p>
    <w:p>
      <w:pPr>
        <w:pStyle w:val="21"/>
        <w:tabs>
          <w:tab w:val="right" w:leader="dot" w:pos="8296"/>
        </w:tabs>
      </w:pPr>
      <w:r>
        <w:rPr>
          <w:rFonts w:hint="eastAsia"/>
        </w:rPr>
        <w:t>公开时间：2022年9月</w:t>
      </w:r>
      <w:r>
        <w:t>14</w:t>
      </w:r>
      <w:bookmarkStart w:id="12" w:name="_GoBack"/>
      <w:bookmarkEnd w:id="12"/>
      <w:r>
        <w:rPr>
          <w:rFonts w:hint="eastAsia"/>
        </w:rPr>
        <w:t>日</w:t>
      </w:r>
    </w:p>
    <w:p/>
    <w:p>
      <w:pPr>
        <w:pStyle w:val="21"/>
        <w:tabs>
          <w:tab w:val="right" w:leader="dot" w:pos="8296"/>
        </w:tabs>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22"/>
        <w:tabs>
          <w:tab w:val="right" w:leader="dot" w:pos="8296"/>
        </w:tabs>
        <w:adjustRightInd w:val="0"/>
        <w:snapToGrid w:val="0"/>
        <w:spacing w:line="440" w:lineRule="exact"/>
        <w:jc w:val="left"/>
        <w:rPr>
          <w:sz w:val="24"/>
        </w:rPr>
      </w:pPr>
      <w:r>
        <w:rPr>
          <w:rFonts w:hint="eastAsia"/>
          <w:sz w:val="24"/>
        </w:rPr>
        <w:t>一、职能简介........................................................................................................</w:t>
      </w:r>
      <w:r>
        <w:rPr>
          <w:sz w:val="24"/>
        </w:rPr>
        <w:t>04</w:t>
      </w:r>
    </w:p>
    <w:p>
      <w:pPr>
        <w:pStyle w:val="22"/>
        <w:tabs>
          <w:tab w:val="right" w:leader="dot" w:pos="8296"/>
        </w:tabs>
        <w:adjustRightInd w:val="0"/>
        <w:snapToGrid w:val="0"/>
        <w:spacing w:line="440" w:lineRule="exact"/>
        <w:jc w:val="left"/>
        <w:rPr>
          <w:sz w:val="24"/>
        </w:rPr>
      </w:pPr>
      <w:r>
        <w:rPr>
          <w:rFonts w:ascii="宋体" w:eastAsia="宋体" w:cs="宋体" w:hint="eastAsia"/>
          <w:sz w:val="24"/>
        </w:rPr>
        <w:t>二、2021年重点工作完成情况</w:t>
      </w:r>
      <w:r>
        <w:rPr>
          <w:sz w:val="24"/>
        </w:rPr>
        <w:t>……………………………...…………………04</w:t>
      </w:r>
    </w:p>
    <w:p>
      <w:pPr>
        <w:spacing w:line="440" w:lineRule="exact"/>
      </w:pPr>
      <w:r>
        <w:rPr>
          <w:rFonts w:hint="eastAsia"/>
        </w:rPr>
        <w:t xml:space="preserve"> </w:t>
      </w:r>
      <w:r>
        <w:t xml:space="preserve">   </w:t>
      </w:r>
      <w:r>
        <w:rPr>
          <w:rFonts w:hint="eastAsia"/>
          <w:sz w:val="24"/>
        </w:rPr>
        <w:t>三、机构设置情况</w:t>
      </w:r>
      <w:r>
        <w:rPr>
          <w:sz w:val="24"/>
        </w:rPr>
        <w:t>………………………………………………………………07</w:t>
      </w:r>
    </w:p>
    <w:p>
      <w:pPr>
        <w:pStyle w:val="21"/>
        <w:tabs>
          <w:tab w:val="right" w:leader="dot" w:pos="8296"/>
        </w:tabs>
        <w:adjustRightInd w:val="0"/>
        <w:snapToGrid w:val="0"/>
        <w:spacing w:before="0" w:line="440" w:lineRule="exact"/>
        <w:jc w:val="left"/>
        <w:rPr>
          <w:sz w:val="24"/>
          <w:szCs w:val="24"/>
        </w:rPr>
      </w:pPr>
      <w:r>
        <w:rPr>
          <w:rFonts w:hint="eastAsia"/>
          <w:sz w:val="24"/>
        </w:rPr>
        <w:t>第二部分 2021年度单位决算情况说明</w:t>
      </w:r>
      <w:r>
        <w:rPr>
          <w:rFonts w:ascii="Times New Roman" w:eastAsia="宋体" w:hAnsi="Times New Roman" w:hint="eastAsia"/>
          <w:sz w:val="24"/>
          <w:szCs w:val="24"/>
        </w:rPr>
        <w:t>.</w:t>
      </w:r>
      <w:r>
        <w:rPr>
          <w:rFonts w:ascii="Times New Roman" w:eastAsia="宋体" w:hAnsi="Times New Roman"/>
          <w:sz w:val="24"/>
          <w:szCs w:val="24"/>
        </w:rPr>
        <w:t>..................................................................08</w:t>
      </w:r>
    </w:p>
    <w:p>
      <w:pPr>
        <w:pStyle w:val="22"/>
        <w:tabs>
          <w:tab w:val="right" w:leader="dot" w:pos="8296"/>
        </w:tabs>
        <w:adjustRightInd w:val="0"/>
        <w:snapToGrid w:val="0"/>
        <w:spacing w:line="440" w:lineRule="exact"/>
        <w:jc w:val="left"/>
        <w:rPr>
          <w:rFonts w:ascii="仿宋" w:eastAsia="仿宋" w:cs="Arial"/>
          <w:sz w:val="24"/>
        </w:rPr>
      </w:pPr>
      <w:r>
        <w:rPr>
          <w:rFonts w:hint="eastAsia"/>
          <w:sz w:val="24"/>
        </w:rPr>
        <w:t>一、收入支出决算总体情况说明</w:t>
      </w:r>
      <w:r>
        <w:rPr>
          <w:sz w:val="24"/>
        </w:rPr>
        <w:t>………………………………………………08</w:t>
      </w:r>
    </w:p>
    <w:p>
      <w:pPr>
        <w:pStyle w:val="22"/>
        <w:tabs>
          <w:tab w:val="right" w:leader="dot" w:pos="8296"/>
        </w:tabs>
        <w:adjustRightInd w:val="0"/>
        <w:snapToGrid w:val="0"/>
        <w:spacing w:line="440" w:lineRule="exact"/>
        <w:jc w:val="left"/>
        <w:rPr>
          <w:rFonts w:ascii="仿宋" w:eastAsia="仿宋" w:cs="Arial"/>
          <w:sz w:val="24"/>
        </w:rPr>
      </w:pPr>
      <w:r>
        <w:rPr>
          <w:rFonts w:hint="eastAsia"/>
          <w:sz w:val="24"/>
        </w:rPr>
        <w:t>二、收入决算情况说明</w:t>
      </w:r>
      <w:r>
        <w:rPr>
          <w:sz w:val="24"/>
        </w:rPr>
        <w:t>…………………………………………………………08</w:t>
      </w:r>
    </w:p>
    <w:p>
      <w:pPr>
        <w:pStyle w:val="22"/>
        <w:tabs>
          <w:tab w:val="right" w:leader="dot" w:pos="8296"/>
        </w:tabs>
        <w:adjustRightInd w:val="0"/>
        <w:snapToGrid w:val="0"/>
        <w:spacing w:line="440" w:lineRule="exact"/>
        <w:jc w:val="left"/>
        <w:rPr>
          <w:rFonts w:ascii="仿宋" w:eastAsia="仿宋" w:cs="Arial"/>
          <w:sz w:val="24"/>
        </w:rPr>
      </w:pPr>
      <w:r>
        <w:rPr>
          <w:rFonts w:hint="eastAsia"/>
          <w:sz w:val="24"/>
        </w:rPr>
        <w:t>三、支出决算情况说明</w:t>
      </w:r>
      <w:r>
        <w:rPr>
          <w:sz w:val="24"/>
        </w:rPr>
        <w:t>…………………………………………………………09</w:t>
      </w:r>
    </w:p>
    <w:p>
      <w:pPr>
        <w:pStyle w:val="22"/>
        <w:tabs>
          <w:tab w:val="right" w:leader="dot" w:pos="8296"/>
        </w:tabs>
        <w:adjustRightInd w:val="0"/>
        <w:snapToGrid w:val="0"/>
        <w:spacing w:line="440" w:lineRule="exact"/>
        <w:jc w:val="left"/>
        <w:rPr>
          <w:rFonts w:ascii="仿宋" w:eastAsia="仿宋" w:cs="Arial"/>
          <w:sz w:val="24"/>
        </w:rPr>
      </w:pPr>
      <w:r>
        <w:rPr>
          <w:rFonts w:hint="eastAsia"/>
          <w:sz w:val="24"/>
        </w:rPr>
        <w:t>四、财政拨款收入支出决算总体情况说明</w:t>
      </w:r>
      <w:r>
        <w:rPr>
          <w:sz w:val="24"/>
        </w:rPr>
        <w:t>……………………………………09</w:t>
      </w:r>
    </w:p>
    <w:p>
      <w:pPr>
        <w:pStyle w:val="22"/>
        <w:tabs>
          <w:tab w:val="right" w:leader="dot" w:pos="8296"/>
        </w:tabs>
        <w:adjustRightInd w:val="0"/>
        <w:snapToGrid w:val="0"/>
        <w:spacing w:line="440" w:lineRule="exact"/>
        <w:jc w:val="left"/>
        <w:rPr>
          <w:rFonts w:ascii="仿宋" w:eastAsia="仿宋" w:cs="Arial"/>
          <w:sz w:val="24"/>
        </w:rPr>
      </w:pPr>
      <w:r>
        <w:rPr>
          <w:rFonts w:hint="eastAsia"/>
          <w:sz w:val="24"/>
        </w:rPr>
        <w:t>五、一般公共预算财政拨款支出决算情况说明</w:t>
      </w:r>
      <w:r>
        <w:rPr>
          <w:sz w:val="24"/>
        </w:rPr>
        <w:t>………………………………10</w:t>
      </w:r>
    </w:p>
    <w:p>
      <w:pPr>
        <w:pStyle w:val="22"/>
        <w:tabs>
          <w:tab w:val="right" w:leader="dot" w:pos="8296"/>
        </w:tabs>
        <w:adjustRightInd w:val="0"/>
        <w:snapToGrid w:val="0"/>
        <w:spacing w:line="440" w:lineRule="exact"/>
        <w:jc w:val="left"/>
        <w:rPr>
          <w:rFonts w:ascii="仿宋" w:eastAsia="仿宋" w:cs="Arial"/>
          <w:sz w:val="24"/>
        </w:rPr>
      </w:pPr>
      <w:r>
        <w:rPr>
          <w:rFonts w:hint="eastAsia"/>
          <w:sz w:val="24"/>
        </w:rPr>
        <w:t>六、一般公共预算财政拨款基本支出决算情况说明</w:t>
      </w:r>
      <w:r>
        <w:rPr>
          <w:sz w:val="24"/>
        </w:rPr>
        <w:t>………………………….11</w:t>
      </w:r>
      <w:r>
        <w:rPr>
          <w:rFonts w:hint="eastAsia"/>
          <w:sz w:val="24"/>
        </w:rPr>
        <w:t>七、“三公”经费财政拨款支出决算情况说明</w:t>
      </w:r>
      <w:r>
        <w:rPr>
          <w:sz w:val="24"/>
        </w:rPr>
        <w:t>………………………………..12</w:t>
      </w:r>
    </w:p>
    <w:p>
      <w:pPr>
        <w:pStyle w:val="22"/>
        <w:tabs>
          <w:tab w:val="right" w:leader="dot" w:pos="8296"/>
        </w:tabs>
        <w:adjustRightInd w:val="0"/>
        <w:snapToGrid w:val="0"/>
        <w:spacing w:line="440" w:lineRule="exact"/>
        <w:jc w:val="left"/>
        <w:rPr>
          <w:sz w:val="24"/>
        </w:rPr>
      </w:pPr>
      <w:r>
        <w:rPr>
          <w:rFonts w:hint="eastAsia"/>
          <w:sz w:val="24"/>
        </w:rPr>
        <w:t>八、政府性基金预算支出决算情况说明</w:t>
      </w:r>
      <w:r>
        <w:rPr>
          <w:sz w:val="24"/>
        </w:rPr>
        <w:t>………………………………………13</w:t>
      </w:r>
      <w:r>
        <w:rPr>
          <w:rFonts w:hint="eastAsia"/>
          <w:sz w:val="24"/>
        </w:rPr>
        <w:t>九、国有资本经营预算支出决算情况说明</w:t>
      </w:r>
      <w:r>
        <w:rPr>
          <w:sz w:val="24"/>
        </w:rPr>
        <w:t>……………………………………1</w:t>
      </w:r>
      <w:r>
        <w:rPr>
          <w:rFonts w:hint="eastAsia"/>
          <w:sz w:val="24"/>
        </w:rPr>
        <w:t>4</w:t>
      </w:r>
    </w:p>
    <w:p>
      <w:pPr>
        <w:pStyle w:val="22"/>
        <w:tabs>
          <w:tab w:val="right" w:leader="dot" w:pos="8296"/>
        </w:tabs>
        <w:adjustRightInd w:val="0"/>
        <w:snapToGrid w:val="0"/>
        <w:spacing w:line="440" w:lineRule="exact"/>
        <w:jc w:val="left"/>
        <w:rPr>
          <w:sz w:val="24"/>
        </w:rPr>
      </w:pPr>
      <w:r>
        <w:rPr>
          <w:rFonts w:hint="eastAsia"/>
          <w:sz w:val="24"/>
        </w:rPr>
        <w:t>十、其他重要事项的情况说明</w:t>
      </w:r>
      <w:r>
        <w:rPr>
          <w:sz w:val="24"/>
        </w:rPr>
        <w:t>…………………………………………………1</w:t>
      </w:r>
      <w:r>
        <w:rPr>
          <w:rFonts w:hint="eastAsia"/>
          <w:sz w:val="24"/>
        </w:rPr>
        <w:t>4</w:t>
      </w:r>
    </w:p>
    <w:p>
      <w:pPr>
        <w:pStyle w:val="21"/>
        <w:tabs>
          <w:tab w:val="right" w:leader="dot" w:pos="8296"/>
        </w:tabs>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r>
        <w:rPr>
          <w:rFonts w:ascii="Times New Roman" w:eastAsia="宋体" w:hAnsi="Times New Roman"/>
          <w:sz w:val="24"/>
          <w:szCs w:val="24"/>
        </w:rPr>
        <w:t>…………………………………………………………………</w:t>
      </w:r>
      <w:r>
        <w:rPr>
          <w:sz w:val="24"/>
        </w:rPr>
        <w:t>15</w:t>
      </w:r>
    </w:p>
    <w:p>
      <w:pPr>
        <w:pStyle w:val="21"/>
        <w:tabs>
          <w:tab w:val="right" w:leader="dot" w:pos="8296"/>
        </w:tabs>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ascii="Times New Roman" w:eastAsia="宋体" w:hAnsi="Times New Roman"/>
          <w:sz w:val="24"/>
          <w:szCs w:val="24"/>
        </w:rPr>
        <w:t>………………………………………………………………………</w:t>
      </w:r>
      <w:r>
        <w:rPr>
          <w:sz w:val="24"/>
        </w:rPr>
        <w:t>17</w:t>
      </w:r>
    </w:p>
    <w:p>
      <w:pPr>
        <w:pStyle w:val="21"/>
        <w:tabs>
          <w:tab w:val="right" w:leader="dot" w:pos="8296"/>
        </w:tabs>
        <w:adjustRightInd w:val="0"/>
        <w:snapToGrid w:val="0"/>
        <w:spacing w:before="0" w:line="440" w:lineRule="exact"/>
        <w:jc w:val="left"/>
        <w:rPr>
          <w:rFonts w:eastAsia="宋体" w:cs="Arial"/>
          <w:sz w:val="24"/>
          <w:szCs w:val="24"/>
        </w:rPr>
      </w:pPr>
      <w:r>
        <w:rPr>
          <w:rFonts w:hint="eastAsia"/>
          <w:sz w:val="24"/>
        </w:rPr>
        <w:t>第五部分</w:t>
      </w:r>
      <w:r>
        <w:rPr>
          <w:sz w:val="24"/>
        </w:rPr>
        <w:t xml:space="preserve"> </w:t>
      </w:r>
      <w:r>
        <w:rPr>
          <w:rFonts w:hint="eastAsia"/>
          <w:sz w:val="24"/>
        </w:rPr>
        <w:t>附表</w:t>
      </w:r>
      <w:r>
        <w:rPr>
          <w:rFonts w:ascii="Times New Roman" w:eastAsia="宋体" w:hAnsi="Times New Roman"/>
          <w:sz w:val="24"/>
          <w:szCs w:val="24"/>
        </w:rPr>
        <w:t>………………………………………………………………………</w:t>
      </w:r>
      <w:r>
        <w:rPr>
          <w:rFonts w:eastAsia="宋体"/>
          <w:sz w:val="24"/>
        </w:rPr>
        <w:t>22</w:t>
      </w:r>
    </w:p>
    <w:p>
      <w:pPr>
        <w:pStyle w:val="22"/>
        <w:tabs>
          <w:tab w:val="right" w:leader="dot" w:pos="8296"/>
        </w:tabs>
        <w:adjustRightInd w:val="0"/>
        <w:snapToGrid w:val="0"/>
        <w:spacing w:line="440" w:lineRule="exact"/>
        <w:jc w:val="left"/>
        <w:rPr>
          <w:sz w:val="24"/>
        </w:rPr>
      </w:pPr>
      <w:r>
        <w:rPr>
          <w:rFonts w:hint="eastAsia"/>
          <w:sz w:val="24"/>
        </w:rPr>
        <w:t>一、收入支出决算总表</w:t>
      </w:r>
      <w:r>
        <w:rPr>
          <w:sz w:val="24"/>
        </w:rPr>
        <w:t>…………………………………………………………23</w:t>
      </w:r>
      <w:r>
        <w:rPr>
          <w:rFonts w:hint="eastAsia"/>
          <w:sz w:val="24"/>
        </w:rPr>
        <w:t>二、收入决算表</w:t>
      </w:r>
      <w:r>
        <w:rPr>
          <w:sz w:val="24"/>
        </w:rPr>
        <w:t>…………………………………………………………………23</w:t>
      </w:r>
      <w:r>
        <w:rPr>
          <w:rFonts w:hint="eastAsia"/>
          <w:sz w:val="24"/>
        </w:rPr>
        <w:t>三、支出决算表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四、财政拨款收入支出决算总表</w:t>
      </w:r>
      <w:r>
        <w:rPr>
          <w:sz w:val="24"/>
        </w:rPr>
        <w:t>………………………………………………23</w:t>
      </w:r>
    </w:p>
    <w:p>
      <w:pPr>
        <w:pStyle w:val="22"/>
        <w:tabs>
          <w:tab w:val="right" w:leader="dot" w:pos="8296"/>
        </w:tabs>
        <w:adjustRightInd w:val="0"/>
        <w:snapToGrid w:val="0"/>
        <w:spacing w:line="440" w:lineRule="exact"/>
        <w:jc w:val="left"/>
        <w:rPr>
          <w:sz w:val="24"/>
        </w:rPr>
      </w:pPr>
      <w:r>
        <w:rPr>
          <w:rFonts w:hint="eastAsia"/>
          <w:sz w:val="24"/>
        </w:rPr>
        <w:t>五、财政拨款支出决算明细表</w:t>
      </w:r>
      <w:r>
        <w:rPr>
          <w:sz w:val="24"/>
        </w:rPr>
        <w:t>…………………………………………………23</w:t>
      </w:r>
    </w:p>
    <w:p>
      <w:pPr>
        <w:pStyle w:val="22"/>
        <w:tabs>
          <w:tab w:val="right" w:leader="dot" w:pos="8296"/>
        </w:tabs>
        <w:adjustRightInd w:val="0"/>
        <w:snapToGrid w:val="0"/>
        <w:spacing w:line="440" w:lineRule="exact"/>
        <w:jc w:val="left"/>
        <w:rPr>
          <w:sz w:val="24"/>
        </w:rPr>
      </w:pPr>
      <w:r>
        <w:rPr>
          <w:rFonts w:hint="eastAsia"/>
          <w:sz w:val="24"/>
        </w:rPr>
        <w:t>六、一般公共预算财政拨款支出决算表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七、一般公共预算财政拨款支出决算明细表</w:t>
      </w:r>
      <w:r>
        <w:rPr>
          <w:sz w:val="24"/>
        </w:rPr>
        <w:t>…………………………………23</w:t>
      </w:r>
    </w:p>
    <w:p>
      <w:pPr>
        <w:pStyle w:val="22"/>
        <w:tabs>
          <w:tab w:val="right" w:leader="dot" w:pos="8296"/>
        </w:tabs>
        <w:adjustRightInd w:val="0"/>
        <w:snapToGrid w:val="0"/>
        <w:spacing w:line="440" w:lineRule="exact"/>
        <w:jc w:val="left"/>
        <w:rPr>
          <w:sz w:val="24"/>
        </w:rPr>
      </w:pPr>
      <w:r>
        <w:rPr>
          <w:rFonts w:hint="eastAsia"/>
          <w:sz w:val="24"/>
        </w:rPr>
        <w:t>八、一般公共预算财政拨款基本支出决算表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九、一般公共预算财政拨款项目支出决算表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十、一般公共预算财政拨款“三公”经费支出决算表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十一、政府性基金预算财政拨款收入支出决算表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十二、政府性基金预算财政拨款“三公”经费支出决算表</w:t>
      </w:r>
      <w:r>
        <w:rPr>
          <w:sz w:val="24"/>
        </w:rPr>
        <w:t>…………………23</w:t>
      </w:r>
      <w:r>
        <w:rPr>
          <w:rFonts w:hint="eastAsia"/>
          <w:sz w:val="24"/>
        </w:rPr>
        <w:t>十三、国有资本经营预算财政拨款收入支出决算表</w:t>
      </w:r>
      <w:r>
        <w:rPr>
          <w:sz w:val="24"/>
        </w:rPr>
        <w:t>…………………………23</w:t>
      </w:r>
    </w:p>
    <w:p>
      <w:pPr>
        <w:pStyle w:val="22"/>
        <w:tabs>
          <w:tab w:val="right" w:leader="dot" w:pos="8296"/>
        </w:tabs>
        <w:adjustRightInd w:val="0"/>
        <w:snapToGrid w:val="0"/>
        <w:spacing w:line="440" w:lineRule="exact"/>
        <w:jc w:val="left"/>
        <w:rPr>
          <w:sz w:val="24"/>
        </w:rPr>
      </w:pPr>
      <w:r>
        <w:rPr>
          <w:rFonts w:hint="eastAsia"/>
          <w:sz w:val="24"/>
        </w:rPr>
        <w:t>十四、国有资本经营预算财政拨款支出决算表</w:t>
      </w:r>
      <w:r>
        <w:rPr>
          <w:sz w:val="24"/>
        </w:rPr>
        <w:t>………………………………23</w:t>
      </w:r>
    </w:p>
    <w:p>
      <w:pPr>
        <w:pStyle w:val="1"/>
        <w:jc w:val="center"/>
        <w:rPr>
          <w:rFonts w:ascii="黑体" w:eastAsia="黑体"/>
          <w:b w:val="0"/>
        </w:rPr>
      </w:pPr>
      <w:bookmarkStart w:id="13" w:name="_Toc15396599"/>
      <w:bookmarkStart w:id="14" w:name="_Toc15377196"/>
    </w:p>
    <w:p/>
    <w:p>
      <w:pPr>
        <w:pStyle w:val="15"/>
        <w:spacing w:beforeLines="0" w:before="93"/>
      </w:pPr>
    </w:p>
    <w:p>
      <w:pPr>
        <w:pStyle w:val="1"/>
        <w:jc w:val="center"/>
        <w:rPr>
          <w:rFonts w:ascii="黑体" w:eastAsia="黑体"/>
          <w:b w:val="0"/>
        </w:rPr>
      </w:pPr>
    </w:p>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
        <w:jc w:val="center"/>
        <w:rPr>
          <w:rStyle w:val="1Char"/>
          <w:rFonts w:ascii="黑体" w:eastAsia="黑体"/>
          <w:b/>
        </w:rPr>
      </w:pPr>
      <w:r>
        <w:rPr>
          <w:rFonts w:ascii="黑体" w:eastAsia="黑体" w:hint="eastAsia"/>
          <w:b w:val="0"/>
        </w:rPr>
        <w:t>第一部分 单位</w:t>
      </w:r>
      <w:r>
        <w:rPr>
          <w:rStyle w:val="1Char"/>
          <w:rFonts w:ascii="黑体" w:eastAsia="黑体" w:hint="eastAsia"/>
        </w:rPr>
        <w:t>概况</w:t>
      </w:r>
      <w:bookmarkEnd w:id="13"/>
      <w:bookmarkEnd w:id="14"/>
    </w:p>
    <w:p>
      <w:pPr>
        <w:widowControl/>
        <w:jc w:val="left"/>
        <w:rPr>
          <w:rFonts w:ascii="黑体" w:eastAsia="黑体"/>
          <w:sz w:val="32"/>
          <w:szCs w:val="32"/>
        </w:rPr>
      </w:pPr>
    </w:p>
    <w:p>
      <w:pPr>
        <w:pStyle w:val="2"/>
        <w:numPr>
          <w:ilvl w:val="0"/>
          <w:numId w:val="1"/>
        </w:numPr>
        <w:rPr>
          <w:rStyle w:val="2Char"/>
          <w:rFonts w:ascii="黑体" w:eastAsia="黑体"/>
        </w:rPr>
      </w:pPr>
      <w:bookmarkStart w:id="15" w:name="_Toc15396600"/>
      <w:bookmarkStart w:id="16" w:name="_Toc15377197"/>
      <w:r>
        <w:rPr>
          <w:rStyle w:val="2Char"/>
          <w:rFonts w:ascii="黑体" w:eastAsia="黑体" w:hint="eastAsia"/>
        </w:rPr>
        <w:t>职能简介</w:t>
      </w:r>
    </w:p>
    <w:p>
      <w:pPr>
        <w:widowControl/>
        <w:ind w:firstLineChars="200" w:firstLine="640"/>
        <w:rPr>
          <w:rFonts w:ascii="仿宋" w:eastAsia="仿宋"/>
          <w:color w:val="000000"/>
          <w:sz w:val="32"/>
          <w:szCs w:val="32"/>
        </w:rPr>
      </w:pPr>
      <w:r>
        <w:rPr>
          <w:rFonts w:ascii="仿宋" w:eastAsia="仿宋" w:hint="eastAsia"/>
          <w:color w:val="000000"/>
          <w:sz w:val="32"/>
          <w:szCs w:val="32"/>
        </w:rPr>
        <w:t>攀枝花市建筑节能和绿色建筑发展中心是隶属于攀枝花市住房和城乡建设局的副县级参照公务员法管理事业单位，共有编制数</w:t>
      </w:r>
      <w:r>
        <w:rPr>
          <w:rFonts w:ascii="仿宋" w:eastAsia="仿宋"/>
          <w:color w:val="000000"/>
          <w:sz w:val="32"/>
          <w:szCs w:val="32"/>
        </w:rPr>
        <w:t>10</w:t>
      </w:r>
      <w:r>
        <w:rPr>
          <w:rFonts w:ascii="仿宋" w:eastAsia="仿宋" w:hint="eastAsia"/>
          <w:color w:val="000000"/>
          <w:sz w:val="32"/>
          <w:szCs w:val="32"/>
        </w:rPr>
        <w:t>个</w:t>
      </w:r>
      <w:r>
        <w:rPr>
          <w:rFonts w:ascii="仿宋" w:eastAsia="仿宋"/>
          <w:color w:val="000000"/>
          <w:sz w:val="32"/>
          <w:szCs w:val="32"/>
        </w:rPr>
        <w:t>,</w:t>
      </w:r>
      <w:r>
        <w:rPr>
          <w:rFonts w:ascii="仿宋" w:eastAsia="仿宋" w:hint="eastAsia"/>
          <w:color w:val="000000"/>
          <w:sz w:val="32"/>
          <w:szCs w:val="32"/>
        </w:rPr>
        <w:t>实有在职人员9名，退休人员</w:t>
      </w:r>
      <w:r>
        <w:rPr>
          <w:rFonts w:ascii="仿宋" w:eastAsia="仿宋"/>
          <w:color w:val="000000"/>
          <w:sz w:val="32"/>
          <w:szCs w:val="32"/>
        </w:rPr>
        <w:t>2</w:t>
      </w:r>
      <w:r>
        <w:rPr>
          <w:rFonts w:ascii="仿宋" w:eastAsia="仿宋" w:hint="eastAsia"/>
          <w:color w:val="000000"/>
          <w:sz w:val="32"/>
          <w:szCs w:val="32"/>
        </w:rPr>
        <w:t>名；劳务派遣人员</w:t>
      </w:r>
      <w:r>
        <w:rPr>
          <w:rFonts w:ascii="仿宋" w:eastAsia="仿宋"/>
          <w:color w:val="000000"/>
          <w:sz w:val="32"/>
          <w:szCs w:val="32"/>
        </w:rPr>
        <w:t>2</w:t>
      </w:r>
      <w:r>
        <w:rPr>
          <w:rFonts w:ascii="仿宋" w:eastAsia="仿宋" w:hint="eastAsia"/>
          <w:color w:val="000000"/>
          <w:sz w:val="32"/>
          <w:szCs w:val="32"/>
        </w:rPr>
        <w:t>人，公车改革后，无公车。我中心主要职能职责为：承担全市散装水泥、新型墙材、建筑节能和绿色建筑相关事务性、服务性工作；负责散装水泥、新型墙材、建筑节能和绿色建筑相关的宣传培训、信息交流、统计上报和新技术、新材料、新工艺、新设备的推广应用；协调全市绿色建材发展工作；负责对全市散装水泥、新型墙材、建筑节能和绿色建筑发展工作的业务指导。中心领导班子成员2人，共有三个内设科室，分别为：综合科、科研法规科、工程应用科。</w:t>
      </w:r>
    </w:p>
    <w:p/>
    <w:p>
      <w:pPr>
        <w:pStyle w:val="2"/>
        <w:rPr>
          <w:rFonts w:ascii="黑体" w:eastAsia="黑体"/>
          <w:b w:val="0"/>
        </w:rPr>
      </w:pPr>
      <w:r>
        <w:rPr>
          <w:rFonts w:ascii="黑体" w:eastAsia="黑体" w:hint="eastAsia"/>
          <w:b w:val="0"/>
        </w:rPr>
        <w:t>二、2021年重点工作</w:t>
      </w:r>
      <w:bookmarkEnd w:id="15"/>
      <w:bookmarkEnd w:id="16"/>
      <w:r>
        <w:rPr>
          <w:rFonts w:ascii="黑体" w:eastAsia="黑体" w:hint="eastAsia"/>
          <w:b w:val="0"/>
        </w:rPr>
        <w:t>完成情况</w:t>
      </w:r>
    </w:p>
    <w:p>
      <w:pPr>
        <w:spacing w:line="360" w:lineRule="auto"/>
        <w:ind w:firstLine="630"/>
        <w:rPr>
          <w:rFonts w:ascii="仿宋" w:eastAsia="仿宋" w:cs="仿宋_GB2312"/>
          <w:sz w:val="32"/>
          <w:szCs w:val="32"/>
        </w:rPr>
      </w:pPr>
      <w:r>
        <w:rPr>
          <w:rFonts w:ascii="方正黑体简体" w:eastAsia="方正黑体简体" w:cs="方正黑体简体" w:hint="eastAsia"/>
          <w:sz w:val="32"/>
          <w:szCs w:val="32"/>
        </w:rPr>
        <w:t>(一)、规划引领，规范管理，促进散装水泥绿色高质量发展。</w:t>
      </w:r>
      <w:r>
        <w:rPr>
          <w:rFonts w:ascii="仿宋" w:eastAsia="仿宋" w:hint="eastAsia"/>
          <w:b/>
          <w:bCs/>
          <w:color w:val="000000"/>
          <w:sz w:val="32"/>
          <w:szCs w:val="32"/>
        </w:rPr>
        <w:t>编制规划，引领散装水泥行业规范发展，</w:t>
      </w:r>
      <w:r>
        <w:rPr>
          <w:rFonts w:ascii="仿宋" w:eastAsia="仿宋" w:cs="仿宋_GB2312" w:hint="eastAsia"/>
          <w:color w:val="000000"/>
          <w:sz w:val="32"/>
          <w:szCs w:val="32"/>
        </w:rPr>
        <w:t>《攀枝花市散装水泥发展与应用专项规划》（2021-2025）已通过专家评审会，须尽快</w:t>
      </w:r>
      <w:r>
        <w:rPr>
          <w:rFonts w:ascii="仿宋" w:eastAsia="仿宋" w:hint="eastAsia"/>
          <w:color w:val="000000"/>
          <w:sz w:val="32"/>
          <w:szCs w:val="32"/>
        </w:rPr>
        <w:t>修改完善并报审。</w:t>
      </w:r>
      <w:r>
        <w:rPr>
          <w:rFonts w:ascii="仿宋" w:eastAsia="仿宋" w:cs="仿宋_GB2312" w:hint="eastAsia"/>
          <w:b/>
          <w:color w:val="000000"/>
          <w:sz w:val="32"/>
          <w:szCs w:val="32"/>
        </w:rPr>
        <w:t>切实整改提升，开展搅拌站星级评定，</w:t>
      </w:r>
      <w:r>
        <w:rPr>
          <w:rFonts w:ascii="仿宋" w:eastAsia="仿宋" w:cs="仿宋_GB2312" w:hint="eastAsia"/>
          <w:bCs/>
          <w:color w:val="000000"/>
          <w:sz w:val="32"/>
          <w:szCs w:val="32"/>
        </w:rPr>
        <w:t>今年住房城乡建设厅将开展绿色环保搅拌站星级评定。全市除米易美宇搅拌站异地搬迁建设外，其余16家预拌企业均通过绿色环保搅拌站达标考核，各企业已经对照达标考核专家组提出的问题清单进一步整改提升，并结合扬尘噪声在线监测系统分析各企业PM2.5、PM10和噪声超标问题，切实采取有效措施严控超标。并按照住房城乡建设厅统一部署。</w:t>
      </w:r>
      <w:r>
        <w:rPr>
          <w:rFonts w:ascii="仿宋" w:eastAsia="仿宋" w:cs="仿宋_GB2312" w:hint="eastAsia"/>
          <w:b/>
          <w:bCs/>
          <w:sz w:val="32"/>
          <w:szCs w:val="32"/>
        </w:rPr>
        <w:t>进一步加大农村推散力度，</w:t>
      </w:r>
      <w:r>
        <w:rPr>
          <w:rFonts w:ascii="仿宋" w:eastAsia="仿宋" w:cs="仿宋_GB2312" w:hint="eastAsia"/>
          <w:sz w:val="32"/>
          <w:szCs w:val="32"/>
        </w:rPr>
        <w:t>要求米易县、盐边县及仁和区</w:t>
      </w:r>
      <w:r>
        <w:rPr>
          <w:rFonts w:ascii="仿宋" w:eastAsia="仿宋" w:hint="eastAsia"/>
          <w:color w:val="000000"/>
          <w:sz w:val="32"/>
          <w:szCs w:val="32"/>
        </w:rPr>
        <w:t>严格按规划要求扩大禁止现场搅拌范围，在禁搅区内</w:t>
      </w:r>
      <w:r>
        <w:rPr>
          <w:rFonts w:ascii="仿宋" w:eastAsia="仿宋" w:hint="eastAsia"/>
          <w:bCs/>
          <w:color w:val="000000"/>
          <w:sz w:val="32"/>
          <w:szCs w:val="32"/>
        </w:rPr>
        <w:t>加大</w:t>
      </w:r>
      <w:r>
        <w:rPr>
          <w:rFonts w:ascii="仿宋" w:eastAsia="仿宋" w:hint="eastAsia"/>
          <w:color w:val="000000"/>
          <w:sz w:val="32"/>
          <w:szCs w:val="32"/>
        </w:rPr>
        <w:t>禁止现场搅拌巡查和执法力度，严禁现场搅拌混凝土和砂浆。</w:t>
      </w:r>
      <w:r>
        <w:rPr>
          <w:rFonts w:ascii="仿宋" w:eastAsia="仿宋" w:cs="仿宋_GB2312" w:hint="eastAsia"/>
          <w:sz w:val="32"/>
          <w:szCs w:val="32"/>
        </w:rPr>
        <w:t>在乡村振兴建设、农村危房改造、特色小镇建设中大力推广使用散装水泥、预拌混凝土、预拌砂浆和预制构件等绿色建材，进一步提升农村农房质量。</w:t>
      </w:r>
    </w:p>
    <w:p>
      <w:pPr>
        <w:spacing w:line="360" w:lineRule="auto"/>
        <w:ind w:firstLineChars="192" w:firstLine="614"/>
        <w:textAlignment w:val="baseline"/>
        <w:rPr>
          <w:rFonts w:ascii="仿宋" w:eastAsia="仿宋"/>
          <w:sz w:val="32"/>
          <w:szCs w:val="32"/>
        </w:rPr>
      </w:pPr>
      <w:r>
        <w:rPr>
          <w:rFonts w:ascii="方正黑体简体" w:eastAsia="方正黑体简体" w:cs="方正黑体简体" w:hint="eastAsia"/>
          <w:bCs/>
          <w:sz w:val="32"/>
          <w:szCs w:val="32"/>
        </w:rPr>
        <w:t>（二）、力促新标准出台，推动建筑节能工作再上新台阶。</w:t>
      </w:r>
      <w:r>
        <w:rPr>
          <w:rFonts w:ascii="仿宋" w:eastAsia="仿宋" w:cs="仿宋_GB2312" w:hint="eastAsia"/>
          <w:b/>
          <w:sz w:val="32"/>
          <w:szCs w:val="32"/>
        </w:rPr>
        <w:t>加快建筑节能标准编制，</w:t>
      </w:r>
      <w:r>
        <w:rPr>
          <w:rFonts w:ascii="仿宋" w:eastAsia="仿宋" w:cs="仿宋_GB2312" w:hint="eastAsia"/>
          <w:color w:val="000000"/>
          <w:sz w:val="32"/>
          <w:szCs w:val="32"/>
        </w:rPr>
        <w:t>已经协调省建科院加快《四川省攀西地区民用建筑节能应用技术标准》的编制，力争2021年上半年出台标准。并开展新标准的</w:t>
      </w:r>
      <w:r>
        <w:rPr>
          <w:rFonts w:ascii="仿宋" w:eastAsia="仿宋"/>
          <w:sz w:val="32"/>
          <w:szCs w:val="32"/>
        </w:rPr>
        <w:t>宣贯培训</w:t>
      </w:r>
      <w:r>
        <w:rPr>
          <w:rFonts w:ascii="仿宋" w:eastAsia="仿宋" w:hint="eastAsia"/>
          <w:sz w:val="32"/>
          <w:szCs w:val="32"/>
        </w:rPr>
        <w:t>，</w:t>
      </w:r>
      <w:r>
        <w:rPr>
          <w:rFonts w:ascii="仿宋" w:eastAsia="仿宋"/>
          <w:sz w:val="32"/>
          <w:szCs w:val="32"/>
        </w:rPr>
        <w:t>组织全市</w:t>
      </w:r>
      <w:r>
        <w:rPr>
          <w:rFonts w:ascii="仿宋" w:eastAsia="仿宋" w:hint="eastAsia"/>
          <w:sz w:val="32"/>
          <w:szCs w:val="32"/>
        </w:rPr>
        <w:t>各</w:t>
      </w:r>
      <w:r>
        <w:rPr>
          <w:rFonts w:ascii="仿宋" w:eastAsia="仿宋"/>
          <w:sz w:val="32"/>
          <w:szCs w:val="32"/>
        </w:rPr>
        <w:t>建设、施工、监理、设计、审图</w:t>
      </w:r>
      <w:r>
        <w:rPr>
          <w:rFonts w:ascii="仿宋" w:eastAsia="仿宋" w:hint="eastAsia"/>
          <w:sz w:val="32"/>
          <w:szCs w:val="32"/>
        </w:rPr>
        <w:t>单位和各县区住住房城乡建设局及</w:t>
      </w:r>
      <w:r>
        <w:rPr>
          <w:rFonts w:ascii="仿宋" w:eastAsia="仿宋"/>
          <w:sz w:val="32"/>
          <w:szCs w:val="32"/>
        </w:rPr>
        <w:t>质量监督管理等相关人员</w:t>
      </w:r>
      <w:r>
        <w:rPr>
          <w:rFonts w:ascii="仿宋" w:eastAsia="仿宋" w:hint="eastAsia"/>
          <w:sz w:val="32"/>
          <w:szCs w:val="32"/>
        </w:rPr>
        <w:t>参加培训，促进新标准贯彻执行。</w:t>
      </w:r>
      <w:r>
        <w:rPr>
          <w:rFonts w:ascii="仿宋" w:eastAsia="仿宋" w:cs="仿宋_GB2312" w:hint="eastAsia"/>
          <w:b/>
          <w:sz w:val="32"/>
          <w:szCs w:val="32"/>
        </w:rPr>
        <w:t>强化民用建筑太阳能利用，</w:t>
      </w:r>
      <w:r>
        <w:rPr>
          <w:rFonts w:ascii="仿宋" w:eastAsia="仿宋" w:cs="仿宋_GB2312" w:hint="eastAsia"/>
          <w:bCs/>
          <w:sz w:val="32"/>
          <w:szCs w:val="32"/>
        </w:rPr>
        <w:t>为</w:t>
      </w:r>
      <w:r>
        <w:rPr>
          <w:rFonts w:ascii="仿宋" w:eastAsia="仿宋" w:cs="仿宋_GB2312" w:hint="eastAsia"/>
          <w:sz w:val="32"/>
          <w:szCs w:val="32"/>
        </w:rPr>
        <w:t>进一步推广太阳能利用，</w:t>
      </w:r>
      <w:r>
        <w:rPr>
          <w:rFonts w:ascii="仿宋" w:eastAsia="仿宋" w:cs="仿宋_GB2312" w:hint="eastAsia"/>
          <w:bCs/>
          <w:sz w:val="32"/>
          <w:szCs w:val="32"/>
        </w:rPr>
        <w:t>更好地惠及市民，除在</w:t>
      </w:r>
      <w:r>
        <w:rPr>
          <w:rFonts w:ascii="仿宋" w:eastAsia="仿宋" w:cs="仿宋_GB2312" w:hint="eastAsia"/>
          <w:sz w:val="32"/>
          <w:szCs w:val="32"/>
        </w:rPr>
        <w:t>《四川省攀西地区民用建筑节能应用技术标准》</w:t>
      </w:r>
      <w:r>
        <w:rPr>
          <w:rFonts w:ascii="仿宋" w:eastAsia="仿宋" w:cs="仿宋_GB2312" w:hint="eastAsia"/>
          <w:bCs/>
          <w:sz w:val="32"/>
          <w:szCs w:val="32"/>
        </w:rPr>
        <w:t>中明确太阳能专篇外，拟制订</w:t>
      </w:r>
      <w:r>
        <w:rPr>
          <w:rFonts w:ascii="仿宋" w:eastAsia="仿宋" w:hint="eastAsia"/>
          <w:sz w:val="32"/>
          <w:szCs w:val="32"/>
        </w:rPr>
        <w:t>《</w:t>
      </w:r>
      <w:r>
        <w:rPr>
          <w:rFonts w:ascii="仿宋" w:eastAsia="仿宋"/>
          <w:sz w:val="32"/>
          <w:szCs w:val="32"/>
        </w:rPr>
        <w:t>攀枝花市民用建筑太阳能应用实施意见</w:t>
      </w:r>
      <w:r>
        <w:rPr>
          <w:rFonts w:ascii="仿宋" w:eastAsia="仿宋" w:hint="eastAsia"/>
          <w:sz w:val="32"/>
          <w:szCs w:val="32"/>
        </w:rPr>
        <w:t>》以市政府名义</w:t>
      </w:r>
      <w:r>
        <w:rPr>
          <w:rFonts w:ascii="仿宋" w:eastAsia="仿宋"/>
          <w:sz w:val="32"/>
          <w:szCs w:val="32"/>
        </w:rPr>
        <w:t>出台</w:t>
      </w:r>
      <w:r>
        <w:rPr>
          <w:rFonts w:ascii="仿宋" w:eastAsia="仿宋" w:hint="eastAsia"/>
          <w:sz w:val="32"/>
          <w:szCs w:val="32"/>
        </w:rPr>
        <w:t>政策</w:t>
      </w:r>
      <w:r>
        <w:rPr>
          <w:rFonts w:ascii="仿宋" w:eastAsia="仿宋"/>
          <w:sz w:val="32"/>
          <w:szCs w:val="32"/>
        </w:rPr>
        <w:t>，全力推进太阳能与建筑一体化设计，居住建筑</w:t>
      </w:r>
      <w:r>
        <w:rPr>
          <w:rFonts w:ascii="仿宋" w:eastAsia="仿宋" w:hint="eastAsia"/>
          <w:sz w:val="32"/>
          <w:szCs w:val="32"/>
        </w:rPr>
        <w:t>力推分户式</w:t>
      </w:r>
      <w:r>
        <w:rPr>
          <w:rFonts w:ascii="仿宋" w:eastAsia="仿宋"/>
          <w:sz w:val="32"/>
          <w:szCs w:val="32"/>
        </w:rPr>
        <w:t>太阳能热水系统，公共建筑光热与光伏并举发展，做到与建筑物同步规划设计、同步建设施工、同步竣工验收。</w:t>
      </w:r>
    </w:p>
    <w:p>
      <w:pPr>
        <w:spacing w:line="360" w:lineRule="auto"/>
        <w:ind w:firstLineChars="200" w:firstLine="640"/>
        <w:rPr>
          <w:rFonts w:ascii="仿宋" w:eastAsia="仿宋"/>
          <w:color w:val="000000"/>
          <w:sz w:val="32"/>
          <w:szCs w:val="32"/>
        </w:rPr>
      </w:pPr>
      <w:r>
        <w:rPr>
          <w:rFonts w:ascii="方正黑体简体" w:eastAsia="方正黑体简体" w:cs="方正黑体简体" w:hint="eastAsia"/>
          <w:bCs/>
          <w:sz w:val="32"/>
          <w:szCs w:val="32"/>
        </w:rPr>
        <w:t>(三)、部门联动，强化监管，推动绿色建筑快速发展。</w:t>
      </w:r>
      <w:r>
        <w:rPr>
          <w:rFonts w:ascii="仿宋" w:eastAsia="仿宋" w:hint="eastAsia"/>
          <w:b/>
          <w:bCs/>
          <w:sz w:val="32"/>
          <w:szCs w:val="32"/>
        </w:rPr>
        <w:t>部门联合发力，</w:t>
      </w:r>
      <w:r>
        <w:rPr>
          <w:rFonts w:ascii="仿宋" w:eastAsia="仿宋" w:hint="eastAsia"/>
          <w:color w:val="000000"/>
          <w:sz w:val="32"/>
          <w:szCs w:val="32"/>
        </w:rPr>
        <w:t>按照省住房城乡建设厅等9部门《关于印发四川省绿色建筑创建行动实施方案的通知》（川建行规[2020]17号）精神，我市结合攀枝花实际，以市住房城乡建设局牵头，联合市发展改革委、市财政局、市经济和信息化局、市自然资源和规划局等14个市级部门联合印发《攀枝花市绿色建筑行动实施方案》，以指导全市绿色建筑工作，各县区、市级各部门分工协作、各负其责、联合发力，共同推动全市</w:t>
      </w:r>
      <w:r>
        <w:rPr>
          <w:rFonts w:ascii="仿宋" w:eastAsia="仿宋"/>
          <w:color w:val="000000"/>
          <w:sz w:val="32"/>
          <w:szCs w:val="32"/>
        </w:rPr>
        <w:t>绿色建筑发展</w:t>
      </w:r>
      <w:r>
        <w:rPr>
          <w:rFonts w:ascii="仿宋" w:eastAsia="仿宋" w:hint="eastAsia"/>
          <w:color w:val="000000"/>
          <w:sz w:val="32"/>
          <w:szCs w:val="32"/>
        </w:rPr>
        <w:t>。</w:t>
      </w:r>
    </w:p>
    <w:p>
      <w:pPr>
        <w:spacing w:line="360" w:lineRule="auto"/>
        <w:ind w:firstLineChars="200" w:firstLine="640"/>
        <w:rPr>
          <w:rFonts w:ascii="仿宋" w:eastAsia="仿宋" w:cs="仿宋"/>
          <w:sz w:val="32"/>
          <w:szCs w:val="32"/>
        </w:rPr>
      </w:pPr>
      <w:r>
        <w:rPr>
          <w:rFonts w:ascii="方正黑体简体" w:eastAsia="方正黑体简体" w:cs="方正黑体简体" w:hint="eastAsia"/>
          <w:bCs/>
          <w:sz w:val="32"/>
          <w:szCs w:val="32"/>
        </w:rPr>
        <w:t>(四)、强化工业固废利用，大力发展绿色建材。</w:t>
      </w:r>
      <w:r>
        <w:rPr>
          <w:rFonts w:ascii="仿宋" w:eastAsia="仿宋" w:cs="仿宋_GB2312" w:hint="eastAsia"/>
          <w:b/>
          <w:bCs/>
          <w:sz w:val="32"/>
          <w:szCs w:val="32"/>
        </w:rPr>
        <w:t>政策引导工业固废发展绿色建材，</w:t>
      </w:r>
      <w:r>
        <w:rPr>
          <w:rFonts w:ascii="仿宋" w:eastAsia="仿宋" w:cs="仿宋_GB2312" w:hint="eastAsia"/>
          <w:sz w:val="32"/>
          <w:szCs w:val="32"/>
        </w:rPr>
        <w:t>制订《攀枝花工业固废发展绿色建材实施方案》，通过政策扶持，引导企业加大科技研发和技术投入，将高钛重矿渣、煤矸石、粉煤灰等工业固废用于生产商品混凝土、预拌砂浆等绿色建筑材料和自保温砖、蒸压加气混凝土砌块、加气混凝土板材、脱硫石膏系列产品等绿色建筑材料，从而促进</w:t>
      </w:r>
      <w:r>
        <w:rPr>
          <w:rFonts w:ascii="仿宋" w:eastAsia="仿宋"/>
          <w:sz w:val="32"/>
          <w:szCs w:val="32"/>
        </w:rPr>
        <w:t>工业固废资源化、规模化综合利用</w:t>
      </w:r>
      <w:r>
        <w:rPr>
          <w:rFonts w:ascii="仿宋" w:eastAsia="仿宋" w:hint="eastAsia"/>
          <w:sz w:val="32"/>
          <w:szCs w:val="32"/>
        </w:rPr>
        <w:t>。</w:t>
      </w:r>
      <w:r>
        <w:rPr>
          <w:rFonts w:ascii="仿宋" w:eastAsia="仿宋" w:cs="仿宋_GB2312" w:hint="eastAsia"/>
          <w:b/>
          <w:bCs/>
          <w:sz w:val="32"/>
          <w:szCs w:val="32"/>
        </w:rPr>
        <w:t>提升绿色建材品质，</w:t>
      </w:r>
      <w:r>
        <w:rPr>
          <w:rFonts w:ascii="仿宋" w:eastAsia="仿宋" w:cs="仿宋_GB2312" w:hint="eastAsia"/>
          <w:sz w:val="32"/>
          <w:szCs w:val="32"/>
        </w:rPr>
        <w:t>积极</w:t>
      </w:r>
      <w:r>
        <w:rPr>
          <w:rFonts w:ascii="仿宋" w:eastAsia="仿宋" w:cs="仿宋_GB2312" w:hint="eastAsia"/>
          <w:bCs/>
          <w:sz w:val="32"/>
          <w:szCs w:val="32"/>
        </w:rPr>
        <w:t>支持攀枝花市润泽建材有限公司建立60万吨</w:t>
      </w:r>
      <w:r>
        <w:rPr>
          <w:rFonts w:ascii="仿宋" w:eastAsia="仿宋" w:cs="仿宋_GB2312" w:hint="eastAsia"/>
          <w:sz w:val="32"/>
          <w:szCs w:val="32"/>
        </w:rPr>
        <w:t>加气混凝土板材</w:t>
      </w:r>
      <w:r>
        <w:rPr>
          <w:rFonts w:ascii="仿宋" w:eastAsia="仿宋" w:cs="仿宋_GB2312" w:hint="eastAsia"/>
          <w:bCs/>
          <w:sz w:val="32"/>
          <w:szCs w:val="32"/>
        </w:rPr>
        <w:t>生产基地和工业固废生产绿色建材研发中心等建设。同时，积极支持引进高品质绿色建材生产企业，支持现有建材企业转型升级，淘汰低端落后产品，提升绿色建材产品品质。</w:t>
      </w:r>
      <w:r>
        <w:rPr>
          <w:rFonts w:ascii="仿宋" w:eastAsia="仿宋" w:cs="仿宋_GB2312" w:hint="eastAsia"/>
          <w:sz w:val="32"/>
          <w:szCs w:val="32"/>
        </w:rPr>
        <w:t>严格执行省级绿色建材产品认证相关政策和标准。建立绿色建材采信应用数据库，对入库产品实施可追溯性记录，加大绿色建材推广应用，</w:t>
      </w:r>
      <w:r>
        <w:rPr>
          <w:rFonts w:ascii="仿宋" w:eastAsia="仿宋" w:cs="仿宋" w:hint="eastAsia"/>
          <w:sz w:val="32"/>
          <w:szCs w:val="32"/>
        </w:rPr>
        <w:t>支持、鼓励在绿色建筑、装配式建筑等工程建设项目中优先采用绿色建材采信应用数据库中的产品。</w:t>
      </w:r>
    </w:p>
    <w:p>
      <w:pPr>
        <w:spacing w:line="360" w:lineRule="auto"/>
        <w:ind w:firstLineChars="200" w:firstLine="640"/>
        <w:rPr>
          <w:rFonts w:ascii="方正黑体简体" w:eastAsia="方正黑体简体" w:cs="方正黑体简体"/>
          <w:sz w:val="32"/>
          <w:szCs w:val="32"/>
        </w:rPr>
      </w:pPr>
      <w:r>
        <w:rPr>
          <w:rFonts w:ascii="方正黑体简体" w:eastAsia="方正黑体简体" w:cs="方正黑体简体" w:hint="eastAsia"/>
          <w:sz w:val="32"/>
          <w:szCs w:val="32"/>
        </w:rPr>
        <w:t>(五)、巩固提高疫情常态化防控、扎实做好森林草原防灭火等安全工作。</w:t>
      </w:r>
      <w:r>
        <w:rPr>
          <w:rFonts w:ascii="仿宋" w:eastAsia="仿宋" w:cs="仿宋" w:hint="eastAsia"/>
          <w:b/>
          <w:sz w:val="32"/>
          <w:szCs w:val="32"/>
        </w:rPr>
        <w:t>筑牢疫情防控安全网，</w:t>
      </w:r>
      <w:r>
        <w:rPr>
          <w:rFonts w:ascii="仿宋" w:eastAsia="仿宋" w:cs="仿宋" w:hint="eastAsia"/>
          <w:sz w:val="32"/>
          <w:szCs w:val="32"/>
        </w:rPr>
        <w:t>全面落实“外防输入、内防反弹”、“人物同防”的总体防控策略，建立疫情常态化防控工作体系，落实防控措施，坚决防范疫情发生。建立落实防控森林草原防灭火工作机制，加强学习提高思想认识、加强宣传普及知识，全力消除火灾隐患。同时做好防汛抗旱、地质灾害等相关工作。</w:t>
      </w:r>
    </w:p>
    <w:p>
      <w:pPr>
        <w:pStyle w:val="15"/>
        <w:adjustRightInd w:val="0"/>
        <w:snapToGrid w:val="0"/>
        <w:spacing w:beforeLines="0" w:before="93" w:line="640" w:lineRule="exact"/>
        <w:ind w:firstLineChars="200" w:firstLine="640"/>
        <w:outlineLvl w:val="2"/>
        <w:rPr>
          <w:rFonts w:ascii="黑体" w:eastAsia="黑体"/>
          <w:bCs/>
          <w:color w:val="000000"/>
          <w:sz w:val="32"/>
          <w:szCs w:val="32"/>
        </w:rPr>
      </w:pPr>
      <w:r>
        <w:rPr>
          <w:rFonts w:ascii="黑体" w:eastAsia="黑体" w:hint="eastAsia"/>
          <w:bCs/>
          <w:color w:val="000000"/>
          <w:sz w:val="32"/>
          <w:szCs w:val="32"/>
        </w:rPr>
        <w:t>三、机构设置情况</w:t>
      </w:r>
    </w:p>
    <w:p>
      <w:pPr>
        <w:widowControl/>
        <w:ind w:firstLineChars="200" w:firstLine="640"/>
        <w:rPr>
          <w:rFonts w:ascii="仿宋" w:eastAsia="仿宋"/>
          <w:color w:val="000000"/>
          <w:sz w:val="32"/>
          <w:szCs w:val="32"/>
        </w:rPr>
      </w:pPr>
      <w:r>
        <w:rPr>
          <w:rFonts w:ascii="仿宋" w:eastAsia="仿宋" w:hint="eastAsia"/>
          <w:color w:val="000000"/>
          <w:sz w:val="32"/>
          <w:szCs w:val="32"/>
        </w:rPr>
        <w:t>市节能绿建中心是隶属于攀枝花市住房和城乡建设局的副县级参照公务员法管理事业单位，共有编制数10个,实有在职人员9名，退休人员2名；中心领导班子成员2人，共有三个内设科室，分别为：综合科、科研法规科、工程应用科。</w:t>
      </w:r>
    </w:p>
    <w:p>
      <w:pPr>
        <w:pStyle w:val="15"/>
        <w:spacing w:beforeLines="0" w:before="93"/>
      </w:pPr>
    </w:p>
    <w:p>
      <w:pPr>
        <w:spacing w:line="540" w:lineRule="exact"/>
        <w:ind w:firstLineChars="200" w:firstLine="640"/>
        <w:rPr>
          <w:rFonts w:ascii="仿宋" w:eastAsia="仿宋" w:cs="仿宋_GB2312"/>
          <w:sz w:val="32"/>
          <w:szCs w:val="32"/>
        </w:rPr>
      </w:pPr>
    </w:p>
    <w:p>
      <w:pPr>
        <w:pStyle w:val="1"/>
        <w:ind w:right="440"/>
        <w:jc w:val="center"/>
        <w:rPr>
          <w:rFonts w:ascii="黑体" w:eastAsia="黑体"/>
          <w:b w:val="0"/>
        </w:rPr>
      </w:pPr>
      <w:bookmarkStart w:id="17" w:name="_Toc15377204"/>
      <w:bookmarkStart w:id="18" w:name="_Toc15396602"/>
      <w:r>
        <w:rPr>
          <w:rFonts w:ascii="黑体" w:eastAsia="黑体" w:hint="eastAsia"/>
          <w:b w:val="0"/>
        </w:rPr>
        <w:t>第二部分 2021年度</w:t>
      </w:r>
      <w:r>
        <w:rPr>
          <w:rStyle w:val="1Char"/>
          <w:rFonts w:ascii="黑体" w:eastAsia="黑体" w:hint="eastAsia"/>
          <w:bCs/>
        </w:rPr>
        <w:t>单位决算情况说明</w:t>
      </w:r>
      <w:bookmarkEnd w:id="17"/>
      <w:bookmarkEnd w:id="18"/>
    </w:p>
    <w:p>
      <w:pPr>
        <w:pStyle w:val="29"/>
        <w:numPr>
          <w:ilvl w:val="0"/>
          <w:numId w:val="2"/>
        </w:numPr>
        <w:spacing w:line="600" w:lineRule="exact"/>
        <w:ind w:firstLineChars="0"/>
        <w:outlineLvl w:val="1"/>
        <w:rPr>
          <w:rStyle w:val="2Char"/>
          <w:rFonts w:ascii="黑体" w:eastAsia="黑体"/>
          <w:b w:val="0"/>
        </w:rPr>
      </w:pPr>
      <w:bookmarkStart w:id="19" w:name="_Toc15396603"/>
      <w:bookmarkStart w:id="20" w:name="_Toc15377205"/>
      <w:r>
        <w:rPr>
          <w:rFonts w:ascii="黑体" w:eastAsia="黑体" w:hint="eastAsia"/>
          <w:sz w:val="32"/>
          <w:szCs w:val="32"/>
        </w:rPr>
        <w:t>收</w:t>
      </w:r>
      <w:r>
        <w:rPr>
          <w:rStyle w:val="2Char"/>
          <w:rFonts w:ascii="黑体" w:eastAsia="黑体" w:hint="eastAsia"/>
          <w:b w:val="0"/>
        </w:rPr>
        <w:t>入支出决算总体情况说明</w:t>
      </w:r>
      <w:bookmarkEnd w:id="19"/>
      <w:bookmarkEnd w:id="20"/>
    </w:p>
    <w:p>
      <w:pPr>
        <w:spacing w:line="600" w:lineRule="exact"/>
        <w:ind w:firstLineChars="200" w:firstLine="640"/>
        <w:rPr>
          <w:rFonts w:ascii="仿宋" w:eastAsia="仿宋"/>
          <w:sz w:val="32"/>
          <w:szCs w:val="32"/>
        </w:rPr>
      </w:pPr>
      <w:r>
        <w:rPr>
          <w:rFonts w:ascii="仿宋" w:eastAsia="仿宋" w:hint="eastAsia"/>
          <w:sz w:val="32"/>
          <w:szCs w:val="32"/>
        </w:rPr>
        <w:t>2021年度收、支总计</w:t>
      </w:r>
      <w:r>
        <w:rPr>
          <w:rFonts w:ascii="仿宋" w:eastAsia="仿宋"/>
          <w:sz w:val="32"/>
          <w:szCs w:val="32"/>
        </w:rPr>
        <w:t>221.89</w:t>
      </w:r>
      <w:r>
        <w:rPr>
          <w:rFonts w:ascii="仿宋" w:eastAsia="仿宋" w:hint="eastAsia"/>
          <w:sz w:val="32"/>
          <w:szCs w:val="32"/>
        </w:rPr>
        <w:t>万元。与2020年相比，收、支总计增加</w:t>
      </w:r>
      <w:r>
        <w:rPr>
          <w:rFonts w:ascii="仿宋" w:eastAsia="仿宋"/>
          <w:sz w:val="32"/>
          <w:szCs w:val="32"/>
        </w:rPr>
        <w:t>5.02</w:t>
      </w:r>
      <w:r>
        <w:rPr>
          <w:rFonts w:ascii="仿宋" w:eastAsia="仿宋" w:hint="eastAsia"/>
          <w:sz w:val="32"/>
          <w:szCs w:val="32"/>
        </w:rPr>
        <w:t>万元，增长</w:t>
      </w:r>
      <w:r>
        <w:rPr>
          <w:rFonts w:ascii="仿宋" w:eastAsia="仿宋"/>
          <w:sz w:val="32"/>
          <w:szCs w:val="32"/>
        </w:rPr>
        <w:t>2.31%</w:t>
      </w:r>
      <w:r>
        <w:rPr>
          <w:rFonts w:ascii="仿宋" w:eastAsia="仿宋" w:hint="eastAsia"/>
          <w:sz w:val="32"/>
          <w:szCs w:val="32"/>
        </w:rPr>
        <w:t>，主要变动原因是公用经费略有增长。</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pPr>
        <w:spacing w:line="600" w:lineRule="exact"/>
        <w:ind w:firstLineChars="200" w:firstLine="420"/>
        <w:jc w:val="left"/>
        <w:rPr>
          <w:rFonts w:ascii="仿宋_GB2312" w:eastAsia="仿宋_GB2312"/>
          <w:sz w:val="32"/>
          <w:szCs w:val="32"/>
        </w:rPr>
      </w:pPr>
      <w:r>
        <w:drawing>
          <wp:anchor distT="0" distB="2540" distL="114300" distR="114300" simplePos="0" relativeHeight="18" behindDoc="0" locked="0" layoutInCell="1" hidden="0" allowOverlap="1">
            <wp:simplePos x="0" y="0"/>
            <wp:positionH relativeFrom="column">
              <wp:posOffset>-76200</wp:posOffset>
            </wp:positionH>
            <wp:positionV relativeFrom="paragraph">
              <wp:posOffset>52069</wp:posOffset>
            </wp:positionV>
            <wp:extent cx="5346065" cy="2572385"/>
            <wp:effectExtent l="0" t="0" r="0" b="0"/>
            <wp:wrapNone/>
            <wp:docPr id="1" name="对象 2"/>
            <wp:cNvGraphicFramePr>
              <a:graphicFrameLocks noChangeAspect="1"/>
            </wp:cNvGraphicFramePr>
            <a:graphic>
              <a:graphicData uri="http://schemas.openxmlformats.org/drawingml/2006/chart">
                <c:chart xmlns:c="http://schemas.openxmlformats.org/drawingml/2006/chart" r:id="rId4"/>
              </a:graphicData>
            </a:graphic>
          </wp:anchor>
        </w:drawing>
      </w: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29"/>
        <w:numPr>
          <w:ilvl w:val="0"/>
          <w:numId w:val="2"/>
        </w:numPr>
        <w:spacing w:line="600" w:lineRule="exact"/>
        <w:ind w:firstLineChars="0"/>
        <w:outlineLvl w:val="1"/>
        <w:rPr>
          <w:rStyle w:val="2Char"/>
          <w:rFonts w:ascii="黑体" w:eastAsia="黑体"/>
          <w:b w:val="0"/>
        </w:rPr>
      </w:pPr>
      <w:bookmarkStart w:id="21" w:name="_Toc15396604"/>
      <w:bookmarkStart w:id="22" w:name="_Toc15377206"/>
      <w:r>
        <w:rPr>
          <w:rFonts w:ascii="黑体" w:eastAsia="黑体" w:hint="eastAsia"/>
          <w:sz w:val="32"/>
          <w:szCs w:val="32"/>
        </w:rPr>
        <w:t>收</w:t>
      </w:r>
      <w:r>
        <w:rPr>
          <w:rStyle w:val="2Char"/>
          <w:rFonts w:ascii="黑体" w:eastAsia="黑体" w:hint="eastAsia"/>
          <w:b w:val="0"/>
        </w:rPr>
        <w:t>入决算情况说明</w:t>
      </w:r>
      <w:bookmarkEnd w:id="21"/>
      <w:bookmarkEnd w:id="22"/>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21年本年收入合计</w:t>
      </w:r>
      <w:r>
        <w:rPr>
          <w:rFonts w:ascii="仿宋" w:eastAsia="仿宋"/>
          <w:sz w:val="32"/>
          <w:szCs w:val="32"/>
        </w:rPr>
        <w:t>221.89</w:t>
      </w:r>
      <w:r>
        <w:rPr>
          <w:rFonts w:ascii="仿宋" w:eastAsia="仿宋" w:hint="eastAsia"/>
          <w:sz w:val="32"/>
          <w:szCs w:val="32"/>
        </w:rPr>
        <w:t>万元，其中：一般公共预算财政拨款收入</w:t>
      </w:r>
      <w:r>
        <w:rPr>
          <w:rFonts w:ascii="仿宋" w:eastAsia="仿宋"/>
          <w:sz w:val="32"/>
          <w:szCs w:val="32"/>
        </w:rPr>
        <w:t>218.15</w:t>
      </w:r>
      <w:r>
        <w:rPr>
          <w:rFonts w:ascii="仿宋" w:eastAsia="仿宋" w:hint="eastAsia"/>
          <w:sz w:val="32"/>
          <w:szCs w:val="32"/>
        </w:rPr>
        <w:t>万元，占9</w:t>
      </w:r>
      <w:r>
        <w:rPr>
          <w:rFonts w:ascii="仿宋" w:eastAsia="仿宋"/>
          <w:sz w:val="32"/>
          <w:szCs w:val="32"/>
        </w:rPr>
        <w:t>8.31%</w:t>
      </w:r>
      <w:r>
        <w:rPr>
          <w:rFonts w:ascii="仿宋" w:eastAsia="仿宋" w:hint="eastAsia"/>
          <w:sz w:val="32"/>
          <w:szCs w:val="32"/>
        </w:rPr>
        <w:t>；政府性基金预算财政拨款收入</w:t>
      </w:r>
      <w:r>
        <w:rPr>
          <w:rFonts w:ascii="仿宋" w:eastAsia="仿宋"/>
          <w:sz w:val="32"/>
          <w:szCs w:val="32"/>
        </w:rPr>
        <w:t>3.74</w:t>
      </w:r>
      <w:r>
        <w:rPr>
          <w:rFonts w:ascii="仿宋" w:eastAsia="仿宋" w:hint="eastAsia"/>
          <w:sz w:val="32"/>
          <w:szCs w:val="32"/>
        </w:rPr>
        <w:t>万元，占1</w:t>
      </w:r>
      <w:r>
        <w:rPr>
          <w:rFonts w:ascii="仿宋" w:eastAsia="仿宋"/>
          <w:sz w:val="32"/>
          <w:szCs w:val="32"/>
        </w:rPr>
        <w:t>.69%</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（图2：收入决算结构图）（饼状图）</w:t>
      </w:r>
    </w:p>
    <w:p>
      <w:pPr>
        <w:spacing w:line="600" w:lineRule="exact"/>
        <w:ind w:firstLineChars="200" w:firstLine="420"/>
        <w:rPr>
          <w:rFonts w:ascii="仿宋_GB2312" w:eastAsia="仿宋_GB2312"/>
          <w:sz w:val="32"/>
          <w:szCs w:val="32"/>
        </w:rPr>
      </w:pPr>
      <w:r>
        <w:drawing>
          <wp:anchor distT="0" distB="0" distL="114300" distR="114300" simplePos="0" relativeHeight="20" behindDoc="0" locked="0" layoutInCell="1" hidden="0" allowOverlap="1">
            <wp:simplePos x="0" y="0"/>
            <wp:positionH relativeFrom="column">
              <wp:posOffset>0</wp:posOffset>
            </wp:positionH>
            <wp:positionV relativeFrom="paragraph">
              <wp:posOffset>441960</wp:posOffset>
            </wp:positionV>
            <wp:extent cx="5274310" cy="2225039"/>
            <wp:effectExtent l="0" t="0" r="0" b="0"/>
            <wp:wrapNone/>
            <wp:docPr id="2" name="图表 8"/>
            <wp:cNvGraphicFramePr>
              <a:graphicFrameLocks noChangeAspect="0"/>
            </wp:cNvGraphicFramePr>
            <a:graphic>
              <a:graphicData uri="http://schemas.openxmlformats.org/drawingml/2006/chart">
                <c:chart xmlns:c="http://schemas.openxmlformats.org/drawingml/2006/chart" r:id="rId5"/>
              </a:graphicData>
            </a:graphic>
          </wp:anchor>
        </w:drawing>
      </w:r>
      <w:r>
        <w:t xml:space="preserve"> </w:t>
      </w:r>
    </w:p>
    <w:p>
      <w:pPr>
        <w:pStyle w:val="15"/>
        <w:spacing w:beforeLines="0" w:before="93"/>
      </w:pPr>
    </w:p>
    <w:p>
      <w:pPr>
        <w:pStyle w:val="15"/>
        <w:spacing w:beforeLines="0" w:before="93"/>
      </w:pPr>
    </w:p>
    <w:p>
      <w:pPr>
        <w:pStyle w:val="15"/>
        <w:spacing w:beforeLines="0" w:before="93"/>
      </w:pPr>
    </w:p>
    <w:p>
      <w:pPr>
        <w:pStyle w:val="29"/>
        <w:numPr>
          <w:ilvl w:val="0"/>
          <w:numId w:val="2"/>
        </w:numPr>
        <w:spacing w:line="600" w:lineRule="exact"/>
        <w:ind w:firstLineChars="0"/>
        <w:outlineLvl w:val="1"/>
        <w:rPr>
          <w:rStyle w:val="2Char"/>
          <w:rFonts w:ascii="黑体" w:eastAsia="黑体"/>
          <w:b w:val="0"/>
        </w:rPr>
      </w:pPr>
      <w:bookmarkStart w:id="23" w:name="_Toc15396605"/>
      <w:bookmarkStart w:id="24" w:name="_Toc15377207"/>
      <w:r>
        <w:rPr>
          <w:rFonts w:ascii="黑体" w:eastAsia="黑体" w:hint="eastAsia"/>
          <w:sz w:val="32"/>
          <w:szCs w:val="32"/>
        </w:rPr>
        <w:t>支</w:t>
      </w:r>
      <w:r>
        <w:rPr>
          <w:rStyle w:val="2Char"/>
          <w:rFonts w:ascii="黑体" w:eastAsia="黑体" w:hint="eastAsia"/>
          <w:b w:val="0"/>
        </w:rPr>
        <w:t>出决算情况说明</w:t>
      </w:r>
      <w:bookmarkEnd w:id="23"/>
      <w:bookmarkEnd w:id="24"/>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21年本年支出合计</w:t>
      </w:r>
      <w:r>
        <w:rPr>
          <w:rFonts w:ascii="仿宋" w:eastAsia="仿宋"/>
          <w:sz w:val="32"/>
          <w:szCs w:val="32"/>
        </w:rPr>
        <w:t>221.89</w:t>
      </w:r>
      <w:r>
        <w:rPr>
          <w:rFonts w:ascii="仿宋" w:eastAsia="仿宋" w:hint="eastAsia"/>
          <w:sz w:val="32"/>
          <w:szCs w:val="32"/>
        </w:rPr>
        <w:t>万元，其中：基本支出</w:t>
      </w:r>
      <w:r>
        <w:rPr>
          <w:rFonts w:ascii="仿宋" w:eastAsia="仿宋"/>
          <w:sz w:val="32"/>
          <w:szCs w:val="32"/>
        </w:rPr>
        <w:t>199.59</w:t>
      </w:r>
      <w:r>
        <w:rPr>
          <w:rFonts w:ascii="仿宋" w:eastAsia="仿宋" w:hint="eastAsia"/>
          <w:sz w:val="32"/>
          <w:szCs w:val="32"/>
        </w:rPr>
        <w:t>万元，占8</w:t>
      </w:r>
      <w:r>
        <w:rPr>
          <w:rFonts w:ascii="仿宋" w:eastAsia="仿宋"/>
          <w:sz w:val="32"/>
          <w:szCs w:val="32"/>
        </w:rPr>
        <w:t>9.95%</w:t>
      </w:r>
      <w:r>
        <w:rPr>
          <w:rFonts w:ascii="仿宋" w:eastAsia="仿宋" w:hint="eastAsia"/>
          <w:sz w:val="32"/>
          <w:szCs w:val="32"/>
        </w:rPr>
        <w:t>；项目支出</w:t>
      </w:r>
      <w:r>
        <w:rPr>
          <w:rFonts w:ascii="仿宋" w:eastAsia="仿宋"/>
          <w:sz w:val="32"/>
          <w:szCs w:val="32"/>
        </w:rPr>
        <w:t>22.3</w:t>
      </w:r>
      <w:r>
        <w:rPr>
          <w:rFonts w:ascii="仿宋" w:eastAsia="仿宋" w:hint="eastAsia"/>
          <w:sz w:val="32"/>
          <w:szCs w:val="32"/>
        </w:rPr>
        <w:t>万元，占</w:t>
      </w:r>
      <w:r>
        <w:rPr>
          <w:rFonts w:ascii="仿宋" w:eastAsia="仿宋"/>
          <w:sz w:val="32"/>
          <w:szCs w:val="32"/>
        </w:rPr>
        <w:t>10.05%</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（图3：支出决算结构图）（饼状图）</w:t>
      </w:r>
    </w:p>
    <w:p>
      <w:pPr>
        <w:spacing w:line="600" w:lineRule="exact"/>
        <w:ind w:firstLineChars="200" w:firstLine="420"/>
        <w:rPr>
          <w:rFonts w:ascii="仿宋_GB2312" w:eastAsia="仿宋_GB2312"/>
          <w:sz w:val="32"/>
          <w:szCs w:val="32"/>
        </w:rPr>
      </w:pPr>
      <w:r>
        <w:drawing>
          <wp:anchor distT="0" distB="0" distL="114300" distR="114300" simplePos="0" relativeHeight="22" behindDoc="0" locked="0" layoutInCell="1" hidden="0" allowOverlap="1">
            <wp:simplePos x="0" y="0"/>
            <wp:positionH relativeFrom="column">
              <wp:posOffset>-209550</wp:posOffset>
            </wp:positionH>
            <wp:positionV relativeFrom="paragraph">
              <wp:posOffset>157480</wp:posOffset>
            </wp:positionV>
            <wp:extent cx="5687695" cy="2377440"/>
            <wp:effectExtent l="0" t="0" r="0" b="0"/>
            <wp:wrapNone/>
            <wp:docPr id="3" name="对象 4"/>
            <wp:cNvGraphicFramePr>
              <a:graphicFrameLocks noChangeAspect="1"/>
            </wp:cNvGraphicFramePr>
            <a:graphic>
              <a:graphicData uri="http://schemas.openxmlformats.org/drawingml/2006/chart">
                <c:chart xmlns:c="http://schemas.openxmlformats.org/drawingml/2006/chart" r:id="rId6"/>
              </a:graphicData>
            </a:graphic>
          </wp:anchor>
        </w:drawing>
      </w:r>
    </w:p>
    <w:p>
      <w:pPr>
        <w:pStyle w:val="15"/>
        <w:spacing w:beforeLines="0" w:before="93"/>
      </w:pPr>
    </w:p>
    <w:p>
      <w:pPr>
        <w:pStyle w:val="15"/>
        <w:spacing w:beforeLines="0" w:before="93"/>
      </w:pPr>
    </w:p>
    <w:p>
      <w:pPr>
        <w:pStyle w:val="15"/>
        <w:spacing w:beforeLines="0" w:before="93"/>
      </w:pPr>
    </w:p>
    <w:p>
      <w:pPr>
        <w:pStyle w:val="15"/>
        <w:spacing w:beforeLines="0" w:before="93"/>
      </w:pPr>
    </w:p>
    <w:p>
      <w:pPr>
        <w:spacing w:line="600" w:lineRule="exact"/>
        <w:ind w:firstLineChars="200" w:firstLine="640"/>
        <w:outlineLvl w:val="1"/>
        <w:rPr>
          <w:rFonts w:ascii="黑体" w:eastAsia="黑体"/>
          <w:sz w:val="32"/>
          <w:szCs w:val="32"/>
        </w:rPr>
      </w:pPr>
      <w:bookmarkStart w:id="25" w:name="_Toc15396606"/>
      <w:bookmarkStart w:id="26" w:name="_Toc15377208"/>
    </w:p>
    <w:p>
      <w:pPr>
        <w:spacing w:line="600" w:lineRule="exact"/>
        <w:ind w:firstLineChars="200" w:firstLine="640"/>
        <w:outlineLvl w:val="1"/>
        <w:rPr>
          <w:rStyle w:val="2Char"/>
          <w:rFonts w:ascii="黑体" w:eastAsia="黑体"/>
          <w:b w:val="0"/>
        </w:rPr>
      </w:pPr>
      <w:r>
        <w:rPr>
          <w:rFonts w:ascii="黑体" w:eastAsia="黑体" w:hint="eastAsia"/>
          <w:sz w:val="32"/>
          <w:szCs w:val="32"/>
        </w:rPr>
        <w:t>四、财</w:t>
      </w:r>
      <w:r>
        <w:rPr>
          <w:rStyle w:val="2Char"/>
          <w:rFonts w:ascii="黑体" w:eastAsia="黑体" w:hint="eastAsia"/>
          <w:b w:val="0"/>
        </w:rPr>
        <w:t>政拨款收入支出决算总体情况说明</w:t>
      </w:r>
      <w:bookmarkEnd w:id="25"/>
      <w:bookmarkEnd w:id="26"/>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21年财政拨款收入</w:t>
      </w:r>
      <w:r>
        <w:rPr>
          <w:rFonts w:ascii="仿宋" w:eastAsia="仿宋"/>
          <w:sz w:val="32"/>
          <w:szCs w:val="32"/>
        </w:rPr>
        <w:t>221.89</w:t>
      </w:r>
      <w:r>
        <w:rPr>
          <w:rFonts w:ascii="仿宋" w:eastAsia="仿宋" w:hint="eastAsia"/>
          <w:sz w:val="32"/>
          <w:szCs w:val="32"/>
        </w:rPr>
        <w:t>万元、支出总计2</w:t>
      </w:r>
      <w:r>
        <w:rPr>
          <w:rFonts w:ascii="仿宋" w:eastAsia="仿宋"/>
          <w:sz w:val="32"/>
          <w:szCs w:val="32"/>
        </w:rPr>
        <w:t>21.89</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20年相比，财政拨款收、支总计各增加</w:t>
      </w:r>
      <w:r>
        <w:rPr>
          <w:rFonts w:ascii="仿宋" w:eastAsia="仿宋"/>
          <w:sz w:val="32"/>
          <w:szCs w:val="32"/>
        </w:rPr>
        <w:t>5.02</w:t>
      </w:r>
      <w:r>
        <w:rPr>
          <w:rFonts w:ascii="仿宋" w:eastAsia="仿宋" w:hint="eastAsia"/>
          <w:sz w:val="32"/>
          <w:szCs w:val="32"/>
        </w:rPr>
        <w:t>万元，增长</w:t>
      </w:r>
      <w:r>
        <w:rPr>
          <w:rFonts w:ascii="仿宋" w:eastAsia="仿宋"/>
          <w:sz w:val="32"/>
          <w:szCs w:val="32"/>
        </w:rPr>
        <w:t>2.31%</w:t>
      </w:r>
      <w:r>
        <w:rPr>
          <w:rFonts w:ascii="仿宋" w:eastAsia="仿宋" w:hint="eastAsia"/>
          <w:sz w:val="32"/>
          <w:szCs w:val="32"/>
        </w:rPr>
        <w:t>，主要变动原因是公用经费略有增长。</w:t>
      </w:r>
    </w:p>
    <w:p>
      <w:pPr>
        <w:spacing w:line="600" w:lineRule="exact"/>
        <w:ind w:firstLineChars="200" w:firstLine="420"/>
        <w:rPr>
          <w:rFonts w:ascii="仿宋" w:eastAsia="仿宋"/>
          <w:sz w:val="32"/>
          <w:szCs w:val="32"/>
        </w:rPr>
      </w:pPr>
      <w:r>
        <w:drawing>
          <wp:anchor distT="0" distB="2540" distL="114300" distR="114300" simplePos="0" relativeHeight="24" behindDoc="0" locked="0" layoutInCell="1" hidden="0" allowOverlap="1">
            <wp:simplePos x="0" y="0"/>
            <wp:positionH relativeFrom="column">
              <wp:posOffset>-66675</wp:posOffset>
            </wp:positionH>
            <wp:positionV relativeFrom="paragraph">
              <wp:posOffset>380365</wp:posOffset>
            </wp:positionV>
            <wp:extent cx="5584190" cy="2572385"/>
            <wp:effectExtent l="0" t="0" r="0" b="0"/>
            <wp:wrapNone/>
            <wp:docPr id="4" name="对象 5"/>
            <wp:cNvGraphicFramePr>
              <a:graphicFrameLocks noChangeAspect="1"/>
            </wp:cNvGraphicFramePr>
            <a:graphic>
              <a:graphicData uri="http://schemas.openxmlformats.org/drawingml/2006/chart">
                <c:chart xmlns:c="http://schemas.openxmlformats.org/drawingml/2006/chart" r:id="rId7"/>
              </a:graphicData>
            </a:graphic>
          </wp:anchor>
        </w:drawing>
      </w:r>
      <w:r>
        <w:rPr>
          <w:rFonts w:ascii="仿宋" w:eastAsia="仿宋" w:hint="eastAsia"/>
          <w:sz w:val="32"/>
          <w:szCs w:val="32"/>
        </w:rPr>
        <w:t>（图4：财政拨款收、支决算总计变动情况）（柱状图）</w:t>
      </w:r>
    </w:p>
    <w:p>
      <w:pPr>
        <w:spacing w:line="600" w:lineRule="exact"/>
        <w:ind w:firstLine="640"/>
        <w:rPr>
          <w:rFonts w:ascii="仿宋" w:eastAsia="仿宋"/>
          <w:b/>
          <w:sz w:val="32"/>
          <w:szCs w:val="32"/>
        </w:rPr>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spacing w:line="600" w:lineRule="exact"/>
        <w:ind w:firstLineChars="200" w:firstLine="640"/>
        <w:outlineLvl w:val="1"/>
        <w:rPr>
          <w:rStyle w:val="2Char"/>
          <w:rFonts w:ascii="黑体" w:eastAsia="黑体"/>
          <w:b w:val="0"/>
        </w:rPr>
      </w:pPr>
      <w:bookmarkStart w:id="27" w:name="_Toc15377209"/>
      <w:bookmarkStart w:id="28" w:name="_Toc15396607"/>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7"/>
      <w:bookmarkEnd w:id="28"/>
    </w:p>
    <w:p>
      <w:pPr>
        <w:spacing w:line="600" w:lineRule="exact"/>
        <w:ind w:firstLineChars="200" w:firstLine="640"/>
        <w:outlineLvl w:val="2"/>
        <w:rPr>
          <w:rFonts w:ascii="仿宋" w:eastAsia="仿宋"/>
          <w:b/>
          <w:sz w:val="32"/>
          <w:szCs w:val="32"/>
        </w:rPr>
      </w:pPr>
      <w:bookmarkStart w:id="29" w:name="_Toc15377210"/>
      <w:r>
        <w:rPr>
          <w:rFonts w:ascii="仿宋" w:eastAsia="仿宋" w:hint="eastAsia"/>
          <w:b/>
          <w:sz w:val="32"/>
          <w:szCs w:val="32"/>
        </w:rPr>
        <w:t>（一）一般公共预算财政拨款支出决算总体情况</w:t>
      </w:r>
      <w:bookmarkEnd w:id="29"/>
    </w:p>
    <w:p>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21年一般公共预算财政拨款支出</w:t>
      </w:r>
      <w:r>
        <w:rPr>
          <w:rFonts w:ascii="仿宋" w:eastAsia="仿宋"/>
          <w:sz w:val="32"/>
          <w:szCs w:val="32"/>
        </w:rPr>
        <w:t>218.15</w:t>
      </w:r>
      <w:r>
        <w:rPr>
          <w:rFonts w:ascii="仿宋" w:eastAsia="仿宋" w:hint="eastAsia"/>
          <w:sz w:val="32"/>
          <w:szCs w:val="32"/>
        </w:rPr>
        <w:t>万元，占本年支出合计的</w:t>
      </w:r>
      <w:r>
        <w:rPr>
          <w:rFonts w:ascii="仿宋" w:eastAsia="仿宋"/>
          <w:sz w:val="32"/>
          <w:szCs w:val="32"/>
        </w:rPr>
        <w:t>98.31%</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20年相比，一般公共预算财政拨款支出减少</w:t>
      </w:r>
      <w:r>
        <w:rPr>
          <w:rFonts w:ascii="仿宋" w:eastAsia="仿宋"/>
          <w:sz w:val="32"/>
          <w:szCs w:val="32"/>
        </w:rPr>
        <w:t>9.07</w:t>
      </w:r>
      <w:r>
        <w:rPr>
          <w:rFonts w:ascii="仿宋" w:eastAsia="仿宋" w:hint="eastAsia"/>
          <w:sz w:val="32"/>
          <w:szCs w:val="32"/>
        </w:rPr>
        <w:t>万元，下降</w:t>
      </w:r>
      <w:r>
        <w:rPr>
          <w:rFonts w:ascii="仿宋" w:eastAsia="仿宋"/>
          <w:sz w:val="32"/>
          <w:szCs w:val="32"/>
        </w:rPr>
        <w:t>4%</w:t>
      </w:r>
      <w:r>
        <w:rPr>
          <w:rFonts w:ascii="仿宋" w:eastAsia="仿宋" w:hint="eastAsia"/>
          <w:sz w:val="32"/>
          <w:szCs w:val="32"/>
        </w:rPr>
        <w:t>。主要变动原因是一位同事调离本单位，导致人员经费有所减少。</w:t>
      </w:r>
    </w:p>
    <w:p>
      <w:pPr>
        <w:spacing w:line="600" w:lineRule="exact"/>
        <w:ind w:firstLineChars="200" w:firstLine="640"/>
        <w:rPr>
          <w:rFonts w:ascii="仿宋" w:eastAsia="仿宋"/>
          <w:sz w:val="32"/>
          <w:szCs w:val="32"/>
        </w:rPr>
      </w:pPr>
      <w:r>
        <w:rPr>
          <w:rFonts w:ascii="仿宋" w:eastAsia="仿宋" w:hint="eastAsia"/>
          <w:sz w:val="32"/>
          <w:szCs w:val="32"/>
        </w:rPr>
        <w:t>（图5：一般公共预算财政拨款支出决算变动情况）（柱状图）</w:t>
      </w:r>
    </w:p>
    <w:p>
      <w:pPr>
        <w:spacing w:line="600" w:lineRule="exact"/>
        <w:ind w:firstLineChars="200" w:firstLine="420"/>
        <w:rPr>
          <w:rFonts w:ascii="仿宋" w:eastAsia="仿宋"/>
          <w:sz w:val="32"/>
          <w:szCs w:val="32"/>
        </w:rPr>
      </w:pPr>
      <w:r>
        <w:drawing>
          <wp:anchor distT="0" distB="2540" distL="114300" distR="114300" simplePos="0" relativeHeight="28" behindDoc="0" locked="0" layoutInCell="1" hidden="0" allowOverlap="1">
            <wp:simplePos x="0" y="0"/>
            <wp:positionH relativeFrom="column">
              <wp:posOffset>257175</wp:posOffset>
            </wp:positionH>
            <wp:positionV relativeFrom="paragraph">
              <wp:posOffset>210820</wp:posOffset>
            </wp:positionV>
            <wp:extent cx="4762500" cy="2160905"/>
            <wp:effectExtent l="0" t="0" r="0" b="0"/>
            <wp:wrapNone/>
            <wp:docPr id="5" name="对象 6"/>
            <wp:cNvGraphicFramePr>
              <a:graphicFrameLocks noChangeAspect="1"/>
            </wp:cNvGraphicFramePr>
            <a:graphic>
              <a:graphicData uri="http://schemas.openxmlformats.org/drawingml/2006/chart">
                <c:chart xmlns:c="http://schemas.openxmlformats.org/drawingml/2006/chart" r:id="rId8"/>
              </a:graphicData>
            </a:graphic>
          </wp:anchor>
        </w:drawing>
      </w:r>
    </w:p>
    <w:p>
      <w:pPr>
        <w:pStyle w:val="15"/>
        <w:spacing w:beforeLines="0" w:before="93"/>
      </w:pPr>
    </w:p>
    <w:p>
      <w:pPr>
        <w:pStyle w:val="15"/>
        <w:spacing w:beforeLines="0" w:before="93"/>
      </w:pPr>
    </w:p>
    <w:p>
      <w:pPr>
        <w:pStyle w:val="15"/>
        <w:spacing w:beforeLines="0" w:before="93"/>
      </w:pPr>
    </w:p>
    <w:p>
      <w:pPr>
        <w:spacing w:line="600" w:lineRule="exact"/>
        <w:ind w:firstLineChars="200" w:firstLine="640"/>
        <w:outlineLvl w:val="2"/>
        <w:rPr>
          <w:rFonts w:ascii="仿宋" w:eastAsia="仿宋"/>
          <w:b/>
          <w:sz w:val="32"/>
          <w:szCs w:val="32"/>
        </w:rPr>
      </w:pPr>
      <w:bookmarkStart w:id="30" w:name="_Toc15377211"/>
    </w:p>
    <w:p>
      <w:pPr>
        <w:spacing w:line="600" w:lineRule="exact"/>
        <w:ind w:firstLineChars="200" w:firstLine="640"/>
        <w:outlineLvl w:val="2"/>
        <w:rPr>
          <w:rFonts w:ascii="仿宋" w:eastAsia="仿宋"/>
          <w:b/>
          <w:sz w:val="32"/>
          <w:szCs w:val="32"/>
        </w:rPr>
      </w:pPr>
    </w:p>
    <w:p>
      <w:pPr>
        <w:spacing w:line="600" w:lineRule="exact"/>
        <w:ind w:firstLineChars="200" w:firstLine="640"/>
        <w:outlineLvl w:val="2"/>
        <w:rPr>
          <w:rFonts w:ascii="仿宋" w:eastAsia="仿宋"/>
          <w:b/>
          <w:sz w:val="32"/>
          <w:szCs w:val="32"/>
        </w:rPr>
      </w:pPr>
      <w:r>
        <w:rPr>
          <w:rFonts w:ascii="仿宋" w:eastAsia="仿宋" w:hint="eastAsia"/>
          <w:b/>
          <w:sz w:val="32"/>
          <w:szCs w:val="32"/>
        </w:rPr>
        <w:t>（二）一般公共预算财政拨款支出决算结构情况</w:t>
      </w:r>
      <w:bookmarkEnd w:id="30"/>
    </w:p>
    <w:p>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21年一般公共预算财政拨款支出</w:t>
      </w:r>
      <w:r>
        <w:rPr>
          <w:rFonts w:ascii="仿宋" w:eastAsia="仿宋"/>
          <w:sz w:val="32"/>
          <w:szCs w:val="32"/>
        </w:rPr>
        <w:t>218.15</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w:t>
      </w:r>
      <w:r>
        <w:rPr>
          <w:rFonts w:ascii="仿宋" w:eastAsia="仿宋"/>
          <w:sz w:val="32"/>
          <w:szCs w:val="32"/>
        </w:rPr>
        <w:t>4</w:t>
      </w:r>
      <w:r>
        <w:rPr>
          <w:rFonts w:ascii="仿宋" w:eastAsia="仿宋" w:hint="eastAsia"/>
          <w:sz w:val="32"/>
          <w:szCs w:val="32"/>
        </w:rPr>
        <w:t>万元，占</w:t>
      </w:r>
      <w:r>
        <w:rPr>
          <w:rFonts w:ascii="仿宋" w:eastAsia="仿宋"/>
          <w:sz w:val="32"/>
          <w:szCs w:val="32"/>
        </w:rPr>
        <w:t>1.8%</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sz w:val="32"/>
          <w:szCs w:val="32"/>
        </w:rPr>
        <w:t>14.87</w:t>
      </w:r>
      <w:r>
        <w:rPr>
          <w:rFonts w:ascii="仿宋" w:eastAsia="仿宋" w:hint="eastAsia"/>
          <w:sz w:val="32"/>
          <w:szCs w:val="32"/>
        </w:rPr>
        <w:t>万元，占</w:t>
      </w:r>
      <w:r>
        <w:rPr>
          <w:rFonts w:ascii="仿宋" w:eastAsia="仿宋"/>
          <w:sz w:val="32"/>
          <w:szCs w:val="32"/>
        </w:rPr>
        <w:t>6.8%</w:t>
      </w:r>
      <w:r>
        <w:rPr>
          <w:rFonts w:ascii="仿宋" w:eastAsia="仿宋" w:hint="eastAsia"/>
          <w:sz w:val="32"/>
          <w:szCs w:val="32"/>
        </w:rPr>
        <w:t>；</w:t>
      </w:r>
      <w:r>
        <w:rPr>
          <w:rFonts w:ascii="仿宋" w:eastAsia="仿宋" w:hint="eastAsia"/>
          <w:b/>
          <w:bCs/>
          <w:sz w:val="32"/>
          <w:szCs w:val="32"/>
        </w:rPr>
        <w:t>住房保障支出</w:t>
      </w:r>
      <w:r>
        <w:rPr>
          <w:rFonts w:ascii="仿宋" w:eastAsia="仿宋"/>
          <w:sz w:val="32"/>
          <w:szCs w:val="32"/>
        </w:rPr>
        <w:t>14.02</w:t>
      </w:r>
      <w:r>
        <w:rPr>
          <w:rFonts w:ascii="仿宋" w:eastAsia="仿宋" w:hint="eastAsia"/>
          <w:sz w:val="32"/>
          <w:szCs w:val="32"/>
        </w:rPr>
        <w:t>万元，占</w:t>
      </w:r>
      <w:r>
        <w:rPr>
          <w:rFonts w:ascii="仿宋" w:eastAsia="仿宋"/>
          <w:sz w:val="32"/>
          <w:szCs w:val="32"/>
        </w:rPr>
        <w:t>6.</w:t>
      </w:r>
      <w:r>
        <w:rPr>
          <w:rFonts w:ascii="仿宋" w:eastAsia="仿宋" w:hint="eastAsia"/>
          <w:sz w:val="32"/>
          <w:szCs w:val="32"/>
        </w:rPr>
        <w:t>5</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城乡社区支出</w:t>
      </w:r>
      <w:r>
        <w:rPr>
          <w:rFonts w:ascii="仿宋" w:eastAsia="仿宋" w:hint="eastAsia"/>
          <w:sz w:val="32"/>
          <w:szCs w:val="32"/>
        </w:rPr>
        <w:t>1</w:t>
      </w:r>
      <w:r>
        <w:rPr>
          <w:rFonts w:ascii="仿宋" w:eastAsia="仿宋"/>
          <w:sz w:val="32"/>
          <w:szCs w:val="32"/>
        </w:rPr>
        <w:t>85.26</w:t>
      </w:r>
      <w:r>
        <w:rPr>
          <w:rFonts w:ascii="仿宋" w:eastAsia="仿宋" w:hint="eastAsia"/>
          <w:sz w:val="32"/>
          <w:szCs w:val="32"/>
        </w:rPr>
        <w:t>万元，占8</w:t>
      </w:r>
      <w:r>
        <w:rPr>
          <w:rFonts w:ascii="仿宋" w:eastAsia="仿宋"/>
          <w:sz w:val="32"/>
          <w:szCs w:val="32"/>
        </w:rPr>
        <w:t>4.9</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（图6：一般公共预算财政拨款支出决算结构）（饼状图）</w:t>
      </w:r>
    </w:p>
    <w:p>
      <w:pPr>
        <w:pStyle w:val="15"/>
        <w:spacing w:beforeLines="0" w:before="93"/>
      </w:pPr>
    </w:p>
    <w:p>
      <w:pPr>
        <w:pStyle w:val="15"/>
        <w:spacing w:beforeLines="0" w:before="93"/>
      </w:pPr>
      <w:r>
        <w:drawing>
          <wp:anchor distT="0" distB="2540" distL="114300" distR="114300" simplePos="0" relativeHeight="26" behindDoc="0" locked="0" layoutInCell="1" hidden="0" allowOverlap="1">
            <wp:simplePos x="0" y="0"/>
            <wp:positionH relativeFrom="column">
              <wp:posOffset>0</wp:posOffset>
            </wp:positionH>
            <wp:positionV relativeFrom="paragraph">
              <wp:posOffset>-51435</wp:posOffset>
            </wp:positionV>
            <wp:extent cx="5614670" cy="2493010"/>
            <wp:effectExtent l="0" t="0" r="0" b="0"/>
            <wp:wrapNone/>
            <wp:docPr id="6" name="对象 7"/>
            <wp:cNvGraphicFramePr>
              <a:graphicFrameLocks noChangeAspect="1"/>
            </wp:cNvGraphicFramePr>
            <a:graphic>
              <a:graphicData uri="http://schemas.openxmlformats.org/drawingml/2006/chart">
                <c:chart xmlns:c="http://schemas.openxmlformats.org/drawingml/2006/chart" r:id="rId9"/>
              </a:graphicData>
            </a:graphic>
          </wp:anchor>
        </w:drawing>
      </w:r>
    </w:p>
    <w:p>
      <w:pPr>
        <w:pStyle w:val="15"/>
        <w:spacing w:beforeLines="0" w:before="93"/>
      </w:pPr>
    </w:p>
    <w:p>
      <w:pPr>
        <w:pStyle w:val="15"/>
        <w:spacing w:beforeLines="0" w:before="93"/>
      </w:pPr>
    </w:p>
    <w:p>
      <w:pPr>
        <w:pStyle w:val="15"/>
        <w:spacing w:beforeLines="0" w:before="93"/>
      </w:pPr>
    </w:p>
    <w:p>
      <w:pPr>
        <w:pStyle w:val="15"/>
        <w:spacing w:beforeLines="0" w:before="93"/>
      </w:pPr>
    </w:p>
    <w:p>
      <w:pPr>
        <w:spacing w:line="600" w:lineRule="exact"/>
        <w:ind w:firstLineChars="200" w:firstLine="640"/>
        <w:outlineLvl w:val="2"/>
        <w:rPr>
          <w:rFonts w:ascii="仿宋" w:eastAsia="仿宋"/>
          <w:b/>
          <w:sz w:val="32"/>
          <w:szCs w:val="32"/>
        </w:rPr>
      </w:pPr>
      <w:bookmarkStart w:id="31" w:name="_Toc15377212"/>
    </w:p>
    <w:p>
      <w:pPr>
        <w:spacing w:line="600" w:lineRule="exact"/>
        <w:ind w:firstLineChars="200" w:firstLine="640"/>
        <w:outlineLvl w:val="2"/>
        <w:rPr>
          <w:rFonts w:ascii="仿宋" w:eastAsia="仿宋"/>
          <w:b/>
          <w:sz w:val="32"/>
          <w:szCs w:val="32"/>
        </w:rPr>
      </w:pPr>
      <w:r>
        <w:rPr>
          <w:rFonts w:ascii="仿宋" w:eastAsia="仿宋" w:hint="eastAsia"/>
          <w:b/>
          <w:sz w:val="32"/>
          <w:szCs w:val="32"/>
        </w:rPr>
        <w:t>（三）一般公共预算财政拨款支出决算具体情况</w:t>
      </w:r>
      <w:bookmarkEnd w:id="31"/>
    </w:p>
    <w:p>
      <w:pPr>
        <w:spacing w:line="600" w:lineRule="exact"/>
        <w:ind w:firstLineChars="200" w:firstLine="640"/>
        <w:outlineLvl w:val="2"/>
        <w:rPr>
          <w:rFonts w:ascii="仿宋" w:eastAsia="仿宋"/>
          <w:sz w:val="32"/>
          <w:szCs w:val="32"/>
        </w:rPr>
      </w:pPr>
      <w:bookmarkStart w:id="32" w:name="_Toc15378460"/>
      <w:bookmarkStart w:id="33" w:name="_Toc15377213"/>
      <w:bookmarkStart w:id="34" w:name="_Toc15377444"/>
      <w:r>
        <w:rPr>
          <w:rFonts w:ascii="仿宋" w:eastAsia="仿宋" w:hint="eastAsia"/>
          <w:b/>
          <w:sz w:val="32"/>
          <w:szCs w:val="32"/>
        </w:rPr>
        <w:t>2021年一般公共预算支出决算数为218.15万元</w:t>
      </w:r>
      <w:r>
        <w:rPr>
          <w:rFonts w:ascii="仿宋" w:eastAsia="仿宋" w:hint="eastAsia"/>
          <w:sz w:val="32"/>
          <w:szCs w:val="32"/>
        </w:rPr>
        <w:t>，</w:t>
      </w:r>
      <w:r>
        <w:rPr>
          <w:rStyle w:val="23"/>
          <w:rFonts w:ascii="仿宋" w:eastAsia="仿宋" w:hint="eastAsia"/>
          <w:bCs/>
          <w:sz w:val="32"/>
          <w:szCs w:val="32"/>
        </w:rPr>
        <w:t>完成预算100</w:t>
      </w:r>
      <w:r>
        <w:rPr>
          <w:rStyle w:val="23"/>
          <w:rFonts w:ascii="仿宋" w:eastAsia="仿宋"/>
          <w:bCs/>
          <w:sz w:val="32"/>
          <w:szCs w:val="32"/>
        </w:rPr>
        <w:t>%</w:t>
      </w:r>
      <w:r>
        <w:rPr>
          <w:rStyle w:val="23"/>
          <w:rFonts w:ascii="仿宋" w:eastAsia="仿宋" w:hint="eastAsia"/>
          <w:bCs/>
          <w:sz w:val="32"/>
          <w:szCs w:val="32"/>
        </w:rPr>
        <w:t>。其中：</w:t>
      </w:r>
      <w:bookmarkEnd w:id="32"/>
      <w:bookmarkEnd w:id="33"/>
      <w:bookmarkEnd w:id="34"/>
    </w:p>
    <w:p>
      <w:pPr>
        <w:spacing w:line="600" w:lineRule="exact"/>
        <w:ind w:firstLineChars="200" w:firstLine="640"/>
        <w:rPr>
          <w:rFonts w:ascii="仿宋" w:eastAsia="仿宋"/>
          <w:b/>
          <w:sz w:val="32"/>
          <w:szCs w:val="32"/>
        </w:rPr>
      </w:pPr>
      <w:r>
        <w:rPr>
          <w:rStyle w:val="23"/>
          <w:rFonts w:ascii="仿宋" w:eastAsia="仿宋"/>
          <w:bCs/>
          <w:sz w:val="32"/>
          <w:szCs w:val="32"/>
        </w:rPr>
        <w:t>1.</w:t>
      </w:r>
      <w:r>
        <w:rPr>
          <w:rStyle w:val="23"/>
          <w:rFonts w:ascii="仿宋" w:eastAsia="仿宋" w:hint="eastAsia"/>
          <w:bCs/>
          <w:sz w:val="32"/>
          <w:szCs w:val="32"/>
        </w:rPr>
        <w:t>一般公共服务（类）组织事务（款）其他组织事务支出（项）</w:t>
      </w:r>
      <w:r>
        <w:rPr>
          <w:rStyle w:val="23"/>
          <w:rFonts w:ascii="仿宋" w:eastAsia="仿宋"/>
          <w:bCs/>
          <w:sz w:val="32"/>
          <w:szCs w:val="32"/>
        </w:rPr>
        <w:t>:</w:t>
      </w:r>
      <w:r>
        <w:rPr>
          <w:rStyle w:val="23"/>
          <w:rFonts w:ascii="仿宋" w:eastAsia="仿宋"/>
          <w:b w:val="0"/>
          <w:bCs/>
          <w:sz w:val="32"/>
          <w:szCs w:val="32"/>
        </w:rPr>
        <w:t xml:space="preserve"> </w:t>
      </w:r>
      <w:r>
        <w:rPr>
          <w:rStyle w:val="23"/>
          <w:rFonts w:ascii="仿宋" w:eastAsia="仿宋" w:hint="eastAsia"/>
          <w:b w:val="0"/>
          <w:bCs/>
          <w:sz w:val="32"/>
          <w:szCs w:val="32"/>
        </w:rPr>
        <w:t>支出决算为</w:t>
      </w:r>
      <w:r>
        <w:rPr>
          <w:rStyle w:val="23"/>
          <w:rFonts w:ascii="仿宋" w:eastAsia="仿宋"/>
          <w:b w:val="0"/>
          <w:bCs/>
          <w:sz w:val="32"/>
          <w:szCs w:val="32"/>
        </w:rPr>
        <w:t>4</w:t>
      </w:r>
      <w:r>
        <w:rPr>
          <w:rStyle w:val="23"/>
          <w:rFonts w:ascii="仿宋" w:eastAsia="仿宋" w:hint="eastAsia"/>
          <w:b w:val="0"/>
          <w:bCs/>
          <w:sz w:val="32"/>
          <w:szCs w:val="32"/>
        </w:rPr>
        <w:t>万元，完成预算</w:t>
      </w:r>
      <w:r>
        <w:rPr>
          <w:rStyle w:val="23"/>
          <w:rFonts w:ascii="仿宋" w:eastAsia="仿宋"/>
          <w:b w:val="0"/>
          <w:bCs/>
          <w:sz w:val="32"/>
          <w:szCs w:val="32"/>
        </w:rPr>
        <w:t>100%</w:t>
      </w:r>
      <w:r>
        <w:rPr>
          <w:rStyle w:val="23"/>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23"/>
          <w:rFonts w:ascii="仿宋" w:eastAsia="仿宋"/>
          <w:bCs/>
          <w:sz w:val="32"/>
          <w:szCs w:val="32"/>
        </w:rPr>
        <w:t>2.</w:t>
      </w:r>
      <w:r>
        <w:rPr>
          <w:rStyle w:val="23"/>
          <w:rFonts w:ascii="仿宋" w:eastAsia="仿宋" w:hint="eastAsia"/>
          <w:bCs/>
          <w:sz w:val="32"/>
          <w:szCs w:val="32"/>
        </w:rPr>
        <w:t>社会保障和就业（类）行政事业单位养老支出（款）机关事业单位基本养老保险缴费支出（项）</w:t>
      </w:r>
      <w:r>
        <w:rPr>
          <w:rStyle w:val="23"/>
          <w:rFonts w:ascii="仿宋" w:eastAsia="仿宋"/>
          <w:bCs/>
          <w:sz w:val="32"/>
          <w:szCs w:val="32"/>
        </w:rPr>
        <w:t>:</w:t>
      </w:r>
      <w:r>
        <w:rPr>
          <w:rStyle w:val="23"/>
          <w:rFonts w:ascii="仿宋" w:eastAsia="仿宋"/>
          <w:b w:val="0"/>
          <w:bCs/>
          <w:sz w:val="32"/>
          <w:szCs w:val="32"/>
        </w:rPr>
        <w:t xml:space="preserve"> </w:t>
      </w:r>
      <w:r>
        <w:rPr>
          <w:rStyle w:val="23"/>
          <w:rFonts w:ascii="仿宋" w:eastAsia="仿宋" w:hint="eastAsia"/>
          <w:b w:val="0"/>
          <w:bCs/>
          <w:sz w:val="32"/>
          <w:szCs w:val="32"/>
        </w:rPr>
        <w:t>支出决算为</w:t>
      </w:r>
      <w:r>
        <w:rPr>
          <w:rStyle w:val="23"/>
          <w:rFonts w:ascii="仿宋" w:eastAsia="仿宋"/>
          <w:b w:val="0"/>
          <w:bCs/>
          <w:sz w:val="32"/>
          <w:szCs w:val="32"/>
        </w:rPr>
        <w:t>14.87</w:t>
      </w:r>
      <w:r>
        <w:rPr>
          <w:rStyle w:val="23"/>
          <w:rFonts w:ascii="仿宋" w:eastAsia="仿宋" w:hint="eastAsia"/>
          <w:b w:val="0"/>
          <w:bCs/>
          <w:sz w:val="32"/>
          <w:szCs w:val="32"/>
        </w:rPr>
        <w:t>万元，完成预算</w:t>
      </w:r>
      <w:r>
        <w:rPr>
          <w:rStyle w:val="23"/>
          <w:rFonts w:ascii="仿宋" w:eastAsia="仿宋"/>
          <w:b w:val="0"/>
          <w:bCs/>
          <w:sz w:val="32"/>
          <w:szCs w:val="32"/>
        </w:rPr>
        <w:t>100%</w:t>
      </w:r>
      <w:r>
        <w:rPr>
          <w:rStyle w:val="23"/>
          <w:rFonts w:ascii="仿宋" w:eastAsia="仿宋" w:hint="eastAsia"/>
          <w:b w:val="0"/>
          <w:bCs/>
          <w:sz w:val="32"/>
          <w:szCs w:val="32"/>
        </w:rPr>
        <w:t>。</w:t>
      </w:r>
    </w:p>
    <w:p>
      <w:pPr>
        <w:spacing w:line="600" w:lineRule="exact"/>
        <w:ind w:firstLineChars="200" w:firstLine="640"/>
        <w:rPr>
          <w:rStyle w:val="23"/>
          <w:rFonts w:ascii="仿宋" w:eastAsia="仿宋"/>
          <w:b w:val="0"/>
          <w:bCs/>
          <w:sz w:val="32"/>
          <w:szCs w:val="32"/>
        </w:rPr>
      </w:pPr>
      <w:r>
        <w:rPr>
          <w:rStyle w:val="23"/>
          <w:rFonts w:ascii="仿宋" w:eastAsia="仿宋"/>
          <w:bCs/>
          <w:sz w:val="32"/>
          <w:szCs w:val="32"/>
        </w:rPr>
        <w:t>3.</w:t>
      </w:r>
      <w:r>
        <w:rPr>
          <w:rFonts w:hint="eastAsia"/>
        </w:rPr>
        <w:t xml:space="preserve"> </w:t>
      </w:r>
      <w:r>
        <w:rPr>
          <w:rFonts w:ascii="仿宋" w:eastAsia="仿宋" w:hint="eastAsia"/>
          <w:b/>
          <w:bCs/>
          <w:sz w:val="32"/>
          <w:szCs w:val="32"/>
        </w:rPr>
        <w:t>城乡社区支出</w:t>
      </w:r>
      <w:r>
        <w:rPr>
          <w:rStyle w:val="23"/>
          <w:rFonts w:ascii="仿宋" w:eastAsia="仿宋" w:hint="eastAsia"/>
          <w:bCs/>
          <w:sz w:val="32"/>
          <w:szCs w:val="32"/>
        </w:rPr>
        <w:t>（类）城乡社区管理事务（款）行政运行（项）</w:t>
      </w:r>
      <w:r>
        <w:rPr>
          <w:rStyle w:val="23"/>
          <w:rFonts w:ascii="仿宋" w:eastAsia="仿宋"/>
          <w:bCs/>
          <w:sz w:val="32"/>
          <w:szCs w:val="32"/>
        </w:rPr>
        <w:t>:</w:t>
      </w:r>
      <w:r>
        <w:rPr>
          <w:rStyle w:val="23"/>
          <w:rFonts w:ascii="仿宋" w:eastAsia="仿宋" w:hint="eastAsia"/>
          <w:b w:val="0"/>
          <w:bCs/>
          <w:sz w:val="32"/>
          <w:szCs w:val="32"/>
        </w:rPr>
        <w:t>支出决算为</w:t>
      </w:r>
      <w:r>
        <w:rPr>
          <w:rStyle w:val="23"/>
          <w:rFonts w:ascii="仿宋" w:eastAsia="仿宋"/>
          <w:b w:val="0"/>
          <w:bCs/>
          <w:sz w:val="32"/>
          <w:szCs w:val="32"/>
        </w:rPr>
        <w:t>170.7</w:t>
      </w:r>
      <w:r>
        <w:rPr>
          <w:rStyle w:val="23"/>
          <w:rFonts w:ascii="仿宋" w:eastAsia="仿宋" w:hint="eastAsia"/>
          <w:b w:val="0"/>
          <w:bCs/>
          <w:sz w:val="32"/>
          <w:szCs w:val="32"/>
        </w:rPr>
        <w:t>万元，完成预算1</w:t>
      </w:r>
      <w:r>
        <w:rPr>
          <w:rStyle w:val="23"/>
          <w:rFonts w:ascii="仿宋" w:eastAsia="仿宋"/>
          <w:b w:val="0"/>
          <w:bCs/>
          <w:sz w:val="32"/>
          <w:szCs w:val="32"/>
        </w:rPr>
        <w:t>00%</w:t>
      </w:r>
      <w:r>
        <w:rPr>
          <w:rStyle w:val="23"/>
          <w:rFonts w:ascii="仿宋" w:eastAsia="仿宋" w:hint="eastAsia"/>
          <w:b w:val="0"/>
          <w:bCs/>
          <w:sz w:val="32"/>
          <w:szCs w:val="32"/>
        </w:rPr>
        <w:t>。</w:t>
      </w:r>
    </w:p>
    <w:p>
      <w:pPr>
        <w:spacing w:line="600" w:lineRule="exact"/>
        <w:ind w:firstLineChars="200" w:firstLine="640"/>
        <w:rPr>
          <w:rFonts w:ascii="仿宋" w:eastAsia="仿宋"/>
          <w:bCs/>
          <w:sz w:val="32"/>
          <w:szCs w:val="32"/>
        </w:rPr>
      </w:pPr>
      <w:r>
        <w:rPr>
          <w:rStyle w:val="23"/>
          <w:rFonts w:ascii="仿宋" w:eastAsia="仿宋"/>
          <w:bCs/>
          <w:sz w:val="32"/>
          <w:szCs w:val="32"/>
        </w:rPr>
        <w:t>4</w:t>
      </w:r>
      <w:r>
        <w:rPr>
          <w:rFonts w:hint="eastAsia"/>
        </w:rPr>
        <w:t xml:space="preserve"> </w:t>
      </w:r>
      <w:r>
        <w:rPr>
          <w:rStyle w:val="23"/>
          <w:rFonts w:ascii="仿宋" w:eastAsia="仿宋"/>
          <w:bCs/>
          <w:sz w:val="32"/>
          <w:szCs w:val="32"/>
        </w:rPr>
        <w:t>.</w:t>
      </w:r>
      <w:r>
        <w:rPr>
          <w:rFonts w:ascii="仿宋" w:eastAsia="仿宋" w:hint="eastAsia"/>
          <w:b/>
          <w:bCs/>
          <w:sz w:val="32"/>
          <w:szCs w:val="32"/>
        </w:rPr>
        <w:t>城乡社区支出</w:t>
      </w:r>
      <w:r>
        <w:rPr>
          <w:rStyle w:val="23"/>
          <w:rFonts w:ascii="仿宋" w:eastAsia="仿宋" w:hint="eastAsia"/>
          <w:bCs/>
          <w:sz w:val="32"/>
          <w:szCs w:val="32"/>
        </w:rPr>
        <w:t>（类）城乡社区管理事务（款）其他城乡社区管理事务支出（项）</w:t>
      </w:r>
      <w:r>
        <w:rPr>
          <w:rStyle w:val="23"/>
          <w:rFonts w:ascii="仿宋" w:eastAsia="仿宋"/>
          <w:bCs/>
          <w:sz w:val="32"/>
          <w:szCs w:val="32"/>
        </w:rPr>
        <w:t>:</w:t>
      </w:r>
      <w:r>
        <w:rPr>
          <w:rStyle w:val="23"/>
          <w:rFonts w:ascii="仿宋" w:eastAsia="仿宋" w:hint="eastAsia"/>
          <w:b w:val="0"/>
          <w:bCs/>
          <w:sz w:val="32"/>
          <w:szCs w:val="32"/>
        </w:rPr>
        <w:t>支出决算为</w:t>
      </w:r>
      <w:r>
        <w:rPr>
          <w:rStyle w:val="23"/>
          <w:rFonts w:ascii="仿宋" w:eastAsia="仿宋"/>
          <w:b w:val="0"/>
          <w:bCs/>
          <w:sz w:val="32"/>
          <w:szCs w:val="32"/>
        </w:rPr>
        <w:t>14.56</w:t>
      </w:r>
      <w:r>
        <w:rPr>
          <w:rStyle w:val="23"/>
          <w:rFonts w:ascii="仿宋" w:eastAsia="仿宋" w:hint="eastAsia"/>
          <w:b w:val="0"/>
          <w:bCs/>
          <w:sz w:val="32"/>
          <w:szCs w:val="32"/>
        </w:rPr>
        <w:t>万元，完成预算1</w:t>
      </w:r>
      <w:r>
        <w:rPr>
          <w:rStyle w:val="23"/>
          <w:rFonts w:ascii="仿宋" w:eastAsia="仿宋"/>
          <w:b w:val="0"/>
          <w:bCs/>
          <w:sz w:val="32"/>
          <w:szCs w:val="32"/>
        </w:rPr>
        <w:t>00%</w:t>
      </w:r>
      <w:r>
        <w:rPr>
          <w:rStyle w:val="23"/>
          <w:rFonts w:ascii="仿宋" w:eastAsia="仿宋" w:hint="eastAsia"/>
          <w:b w:val="0"/>
          <w:bCs/>
          <w:sz w:val="32"/>
          <w:szCs w:val="32"/>
        </w:rPr>
        <w:t>。</w:t>
      </w:r>
      <w:r>
        <w:rPr>
          <w:rFonts w:ascii="仿宋" w:eastAsia="仿宋" w:hint="eastAsia"/>
          <w:bCs/>
          <w:sz w:val="32"/>
          <w:szCs w:val="32"/>
        </w:rPr>
        <w:t xml:space="preserve"> </w:t>
      </w:r>
    </w:p>
    <w:p>
      <w:pPr>
        <w:spacing w:line="600" w:lineRule="exact"/>
        <w:ind w:firstLineChars="200" w:firstLine="640"/>
        <w:rPr>
          <w:rFonts w:ascii="仿宋" w:eastAsia="仿宋"/>
          <w:bCs/>
          <w:sz w:val="32"/>
          <w:szCs w:val="32"/>
        </w:rPr>
      </w:pPr>
      <w:r>
        <w:rPr>
          <w:rStyle w:val="23"/>
          <w:rFonts w:ascii="仿宋" w:eastAsia="仿宋"/>
          <w:bCs/>
          <w:sz w:val="32"/>
          <w:szCs w:val="32"/>
        </w:rPr>
        <w:t>5.</w:t>
      </w:r>
      <w:r>
        <w:rPr>
          <w:rFonts w:hint="eastAsia"/>
        </w:rPr>
        <w:t xml:space="preserve"> </w:t>
      </w:r>
      <w:r>
        <w:rPr>
          <w:rFonts w:ascii="仿宋" w:eastAsia="仿宋" w:hint="eastAsia"/>
          <w:b/>
          <w:bCs/>
          <w:sz w:val="32"/>
          <w:szCs w:val="32"/>
        </w:rPr>
        <w:t>住房保障支出</w:t>
      </w:r>
      <w:r>
        <w:rPr>
          <w:rStyle w:val="23"/>
          <w:rFonts w:ascii="仿宋" w:eastAsia="仿宋" w:hint="eastAsia"/>
          <w:bCs/>
          <w:sz w:val="32"/>
          <w:szCs w:val="32"/>
        </w:rPr>
        <w:t>（类）住房改革支出（款）住房公积金（项）</w:t>
      </w:r>
      <w:r>
        <w:rPr>
          <w:rStyle w:val="23"/>
          <w:rFonts w:ascii="仿宋" w:eastAsia="仿宋"/>
          <w:bCs/>
          <w:sz w:val="32"/>
          <w:szCs w:val="32"/>
        </w:rPr>
        <w:t>:</w:t>
      </w:r>
      <w:r>
        <w:rPr>
          <w:rStyle w:val="23"/>
          <w:rFonts w:ascii="仿宋" w:eastAsia="仿宋" w:hint="eastAsia"/>
          <w:b w:val="0"/>
          <w:bCs/>
          <w:sz w:val="32"/>
          <w:szCs w:val="32"/>
        </w:rPr>
        <w:t>支出决算为</w:t>
      </w:r>
      <w:r>
        <w:rPr>
          <w:rStyle w:val="23"/>
          <w:rFonts w:ascii="仿宋" w:eastAsia="仿宋"/>
          <w:b w:val="0"/>
          <w:bCs/>
          <w:sz w:val="32"/>
          <w:szCs w:val="32"/>
        </w:rPr>
        <w:t>14.02</w:t>
      </w:r>
      <w:r>
        <w:rPr>
          <w:rStyle w:val="23"/>
          <w:rFonts w:ascii="仿宋" w:eastAsia="仿宋" w:hint="eastAsia"/>
          <w:b w:val="0"/>
          <w:bCs/>
          <w:sz w:val="32"/>
          <w:szCs w:val="32"/>
        </w:rPr>
        <w:t>万元，完成预算1</w:t>
      </w:r>
      <w:r>
        <w:rPr>
          <w:rStyle w:val="23"/>
          <w:rFonts w:ascii="仿宋" w:eastAsia="仿宋"/>
          <w:b w:val="0"/>
          <w:bCs/>
          <w:sz w:val="32"/>
          <w:szCs w:val="32"/>
        </w:rPr>
        <w:t>00%</w:t>
      </w:r>
      <w:r>
        <w:rPr>
          <w:rStyle w:val="23"/>
          <w:rFonts w:ascii="仿宋" w:eastAsia="仿宋" w:hint="eastAsia"/>
          <w:b w:val="0"/>
          <w:bCs/>
          <w:sz w:val="32"/>
          <w:szCs w:val="32"/>
        </w:rPr>
        <w:t>。</w:t>
      </w:r>
      <w:r>
        <w:rPr>
          <w:rFonts w:ascii="仿宋" w:eastAsia="仿宋" w:hint="eastAsia"/>
          <w:bCs/>
          <w:sz w:val="32"/>
          <w:szCs w:val="32"/>
        </w:rPr>
        <w:t xml:space="preserve"> </w:t>
      </w:r>
    </w:p>
    <w:p>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5"/>
      <w:bookmarkEnd w:id="36"/>
      <w:r>
        <w:rPr>
          <w:rStyle w:val="2Char"/>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21年一般公共预算财政拨款基本支出199.59万元，其中：</w:t>
      </w:r>
    </w:p>
    <w:p>
      <w:pPr>
        <w:spacing w:line="600" w:lineRule="exact"/>
        <w:ind w:firstLine="645"/>
        <w:rPr>
          <w:rFonts w:ascii="仿宋" w:eastAsia="仿宋"/>
          <w:sz w:val="32"/>
          <w:szCs w:val="32"/>
        </w:rPr>
      </w:pPr>
      <w:r>
        <w:rPr>
          <w:rFonts w:ascii="仿宋" w:eastAsia="仿宋" w:hint="eastAsia"/>
          <w:sz w:val="32"/>
          <w:szCs w:val="32"/>
        </w:rPr>
        <w:t>人员经费17</w:t>
      </w:r>
      <w:r>
        <w:rPr>
          <w:rFonts w:ascii="仿宋" w:eastAsia="仿宋"/>
          <w:sz w:val="32"/>
          <w:szCs w:val="32"/>
        </w:rPr>
        <w:t>5</w:t>
      </w:r>
      <w:r>
        <w:rPr>
          <w:rFonts w:ascii="仿宋" w:eastAsia="仿宋" w:hint="eastAsia"/>
          <w:sz w:val="32"/>
          <w:szCs w:val="32"/>
        </w:rPr>
        <w:t>.77万元，主要包括：基本工资、津贴补贴、奖金、绩效工资、机关事业单位基本养老保险缴费、其他社会保障缴费、退休费、生活补助、医疗费补助、奖励金、住房公积金、其他对个人和家庭的补助支出等。</w:t>
        <w:br/>
        <w:t>　　公用经费</w:t>
      </w:r>
      <w:r>
        <w:rPr>
          <w:rFonts w:ascii="仿宋" w:eastAsia="仿宋"/>
          <w:sz w:val="32"/>
          <w:szCs w:val="32"/>
        </w:rPr>
        <w:t>23.82</w:t>
      </w:r>
      <w:r>
        <w:rPr>
          <w:rFonts w:ascii="仿宋" w:eastAsia="仿宋" w:hint="eastAsia"/>
          <w:sz w:val="32"/>
          <w:szCs w:val="32"/>
        </w:rPr>
        <w:t>万元，主要包括：办公费、水费、电费、邮电费、物业管理费、差旅费、公务接待费、工会经费、福利费、其他交通费、其他商品和服务支出等。</w:t>
      </w:r>
    </w:p>
    <w:p>
      <w:pPr>
        <w:spacing w:line="600" w:lineRule="exact"/>
        <w:ind w:firstLine="640"/>
        <w:outlineLvl w:val="1"/>
        <w:rPr>
          <w:rStyle w:val="2Char"/>
          <w:rFonts w:ascii="黑体" w:eastAsia="黑体"/>
          <w:b w:val="0"/>
        </w:rPr>
      </w:pPr>
      <w:bookmarkStart w:id="37" w:name="_Toc15396609"/>
      <w:bookmarkStart w:id="38" w:name="_Toc15377215"/>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7"/>
      <w:bookmarkEnd w:id="38"/>
    </w:p>
    <w:p>
      <w:pPr>
        <w:spacing w:line="600" w:lineRule="exact"/>
        <w:ind w:firstLine="640"/>
        <w:outlineLvl w:val="2"/>
        <w:rPr>
          <w:rFonts w:ascii="仿宋" w:eastAsia="仿宋"/>
          <w:b/>
          <w:sz w:val="32"/>
          <w:szCs w:val="32"/>
        </w:rPr>
      </w:pPr>
      <w:bookmarkStart w:id="39" w:name="_Toc15377216"/>
      <w:r>
        <w:rPr>
          <w:rFonts w:ascii="仿宋" w:eastAsia="仿宋" w:hint="eastAsia"/>
          <w:b/>
          <w:sz w:val="32"/>
          <w:szCs w:val="32"/>
        </w:rPr>
        <w:t>（一）“三公”经费财政拨款支出决算总体情况说明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21年“三公”经费财政拨款支出决算为</w:t>
      </w:r>
      <w:r>
        <w:rPr>
          <w:rFonts w:ascii="仿宋" w:eastAsia="仿宋"/>
          <w:sz w:val="32"/>
          <w:szCs w:val="32"/>
        </w:rPr>
        <w:t>0.37</w:t>
      </w:r>
      <w:r>
        <w:rPr>
          <w:rFonts w:ascii="仿宋" w:eastAsia="仿宋" w:hint="eastAsia"/>
          <w:sz w:val="32"/>
          <w:szCs w:val="32"/>
        </w:rPr>
        <w:t>万元，完成预算</w:t>
      </w:r>
      <w:r>
        <w:rPr>
          <w:rFonts w:ascii="仿宋" w:eastAsia="仿宋"/>
          <w:sz w:val="32"/>
          <w:szCs w:val="32"/>
        </w:rPr>
        <w:t>100%</w:t>
      </w:r>
      <w:r>
        <w:rPr>
          <w:rFonts w:ascii="仿宋" w:eastAsia="仿宋" w:hint="eastAsia"/>
          <w:sz w:val="32"/>
          <w:szCs w:val="32"/>
        </w:rPr>
        <w:t>。</w:t>
      </w:r>
      <w:r>
        <w:rPr>
          <w:rFonts w:ascii="仿宋" w:eastAsia="仿宋"/>
          <w:sz w:val="32"/>
          <w:szCs w:val="32"/>
        </w:rPr>
        <w:t xml:space="preserve"> </w:t>
      </w:r>
    </w:p>
    <w:p>
      <w:pPr>
        <w:spacing w:line="600" w:lineRule="exact"/>
        <w:ind w:firstLine="640"/>
        <w:outlineLvl w:val="2"/>
        <w:rPr>
          <w:rFonts w:ascii="仿宋" w:eastAsia="仿宋"/>
          <w:b/>
          <w:sz w:val="32"/>
          <w:szCs w:val="32"/>
        </w:rPr>
      </w:pPr>
      <w:bookmarkStart w:id="40" w:name="_Toc15377217"/>
      <w:r>
        <w:rPr>
          <w:rFonts w:ascii="仿宋" w:eastAsia="仿宋" w:hint="eastAsia"/>
          <w:b/>
          <w:sz w:val="32"/>
          <w:szCs w:val="32"/>
        </w:rPr>
        <w:t>（二）“三公”经费财政拨款支出决算具体情况说明</w:t>
      </w:r>
      <w:bookmarkEnd w:id="40"/>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21年“三公”经费财政拨款支出决算中，因公出国（境）费支出决算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；公务用车购置及运行维护费支出决算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；公务接待费支出决算</w:t>
      </w:r>
      <w:r>
        <w:rPr>
          <w:rFonts w:ascii="仿宋" w:eastAsia="仿宋"/>
          <w:sz w:val="32"/>
          <w:szCs w:val="32"/>
        </w:rPr>
        <w:t>0.37</w:t>
      </w:r>
      <w:r>
        <w:rPr>
          <w:rFonts w:ascii="仿宋" w:eastAsia="仿宋" w:hint="eastAsia"/>
          <w:sz w:val="32"/>
          <w:szCs w:val="32"/>
        </w:rPr>
        <w:t>万元，占</w:t>
      </w:r>
      <w:r>
        <w:rPr>
          <w:rFonts w:ascii="仿宋" w:eastAsia="仿宋"/>
          <w:sz w:val="32"/>
          <w:szCs w:val="32"/>
        </w:rPr>
        <w:t>100%</w:t>
      </w:r>
      <w:r>
        <w:rPr>
          <w:rFonts w:ascii="仿宋" w:eastAsia="仿宋" w:hint="eastAsia"/>
          <w:sz w:val="32"/>
          <w:szCs w:val="32"/>
        </w:rPr>
        <w:t>。具体情况如下：</w:t>
      </w:r>
    </w:p>
    <w:p>
      <w:pPr>
        <w:spacing w:line="600" w:lineRule="exact"/>
        <w:ind w:firstLine="640"/>
        <w:rPr>
          <w:rFonts w:ascii="仿宋" w:eastAsia="仿宋"/>
          <w:sz w:val="32"/>
          <w:szCs w:val="32"/>
        </w:rPr>
      </w:pPr>
      <w:r>
        <w:rPr>
          <w:rFonts w:ascii="仿宋" w:eastAsia="仿宋" w:hint="eastAsia"/>
          <w:sz w:val="32"/>
          <w:szCs w:val="32"/>
        </w:rPr>
        <w:t>（图7：“三公”经费财政拨款支出结构）（饼状图）</w:t>
      </w:r>
    </w:p>
    <w:p>
      <w:pPr>
        <w:pStyle w:val="15"/>
        <w:spacing w:beforeLines="0" w:before="93"/>
      </w:pPr>
      <w:r>
        <w:drawing>
          <wp:anchor distT="0" distB="2540" distL="114300" distR="114300" simplePos="0" relativeHeight="30" behindDoc="0" locked="0" layoutInCell="1" hidden="0" allowOverlap="1">
            <wp:simplePos x="0" y="0"/>
            <wp:positionH relativeFrom="column">
              <wp:posOffset>0</wp:posOffset>
            </wp:positionH>
            <wp:positionV relativeFrom="paragraph">
              <wp:posOffset>-51435</wp:posOffset>
            </wp:positionV>
            <wp:extent cx="5614670" cy="2493010"/>
            <wp:effectExtent l="0" t="0" r="0" b="0"/>
            <wp:wrapNone/>
            <wp:docPr id="7" name="对象 7"/>
            <wp:cNvGraphicFramePr>
              <a:graphicFrameLocks noChangeAspect="1"/>
            </wp:cNvGraphicFramePr>
            <a:graphic>
              <a:graphicData uri="http://schemas.openxmlformats.org/drawingml/2006/chart">
                <c:chart xmlns:c="http://schemas.openxmlformats.org/drawingml/2006/chart" r:id="rId10"/>
              </a:graphicData>
            </a:graphic>
          </wp:anchor>
        </w:drawing>
      </w:r>
    </w:p>
    <w:p>
      <w:pPr>
        <w:pStyle w:val="15"/>
        <w:spacing w:beforeLines="0" w:before="93"/>
      </w:pPr>
    </w:p>
    <w:p>
      <w:pPr>
        <w:pStyle w:val="15"/>
        <w:spacing w:beforeLines="0"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23"/>
          <w:rFonts w:ascii="仿宋" w:eastAsia="仿宋" w:hint="eastAsia"/>
          <w:b w:val="0"/>
          <w:bCs/>
          <w:sz w:val="32"/>
          <w:szCs w:val="32"/>
        </w:rPr>
        <w:t>完成预算</w:t>
      </w:r>
      <w:r>
        <w:rPr>
          <w:rStyle w:val="23"/>
          <w:rFonts w:ascii="仿宋" w:eastAsia="仿宋"/>
          <w:b w:val="0"/>
          <w:bCs/>
          <w:sz w:val="32"/>
          <w:szCs w:val="32"/>
        </w:rPr>
        <w:t>0%</w:t>
      </w:r>
      <w:r>
        <w:rPr>
          <w:rStyle w:val="23"/>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人。与去年持平。</w:t>
      </w:r>
    </w:p>
    <w:p>
      <w:pPr>
        <w:spacing w:line="600" w:lineRule="exact"/>
        <w:ind w:firstLine="640"/>
        <w:rPr>
          <w:rFonts w:ascii="仿宋_GB2312" w:eastAsia="仿宋_GB2312"/>
          <w:sz w:val="32"/>
          <w:szCs w:val="32"/>
        </w:rPr>
      </w:pPr>
      <w:r>
        <w:rPr>
          <w:rFonts w:ascii="仿宋_GB2312" w:eastAsia="仿宋_GB2312" w:hint="eastAsia"/>
          <w:sz w:val="32"/>
          <w:szCs w:val="32"/>
        </w:rPr>
        <w:t>开支内容包括：无。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0</w:t>
      </w:r>
      <w:r>
        <w:rPr>
          <w:rFonts w:ascii="仿宋_GB2312" w:eastAsia="仿宋_GB2312" w:hint="eastAsia"/>
          <w:sz w:val="32"/>
          <w:szCs w:val="32"/>
        </w:rPr>
        <w:t>万元,</w:t>
      </w:r>
      <w:r>
        <w:rPr>
          <w:rStyle w:val="23"/>
          <w:rFonts w:ascii="仿宋" w:eastAsia="仿宋" w:hint="eastAsia"/>
          <w:b w:val="0"/>
          <w:bCs/>
          <w:sz w:val="32"/>
          <w:szCs w:val="32"/>
        </w:rPr>
        <w:t>完成预算</w:t>
      </w:r>
      <w:r>
        <w:rPr>
          <w:rStyle w:val="23"/>
          <w:rFonts w:ascii="仿宋" w:eastAsia="仿宋"/>
          <w:b w:val="0"/>
          <w:bCs/>
          <w:sz w:val="32"/>
          <w:szCs w:val="32"/>
        </w:rPr>
        <w:t>0%</w:t>
      </w:r>
      <w:r>
        <w:rPr>
          <w:rStyle w:val="23"/>
          <w:rFonts w:ascii="仿宋" w:eastAsia="仿宋" w:hint="eastAsia"/>
          <w:b w:val="0"/>
          <w:bCs/>
          <w:sz w:val="32"/>
          <w:szCs w:val="32"/>
        </w:rPr>
        <w:t>。</w:t>
      </w:r>
      <w:r>
        <w:rPr>
          <w:rFonts w:ascii="仿宋_GB2312" w:eastAsia="仿宋_GB2312" w:hint="eastAsia"/>
          <w:sz w:val="32"/>
          <w:szCs w:val="32"/>
        </w:rPr>
        <w:t>与去年持平。</w:t>
      </w:r>
    </w:p>
    <w:p>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辆、越野车</w:t>
      </w:r>
      <w:r>
        <w:rPr>
          <w:rFonts w:ascii="仿宋_GB2312" w:eastAsia="仿宋_GB2312"/>
          <w:sz w:val="32"/>
          <w:szCs w:val="32"/>
        </w:rPr>
        <w:t>0</w:t>
      </w:r>
      <w:r>
        <w:rPr>
          <w:rFonts w:ascii="仿宋_GB2312" w:eastAsia="仿宋_GB2312" w:hint="eastAsia"/>
          <w:sz w:val="32"/>
          <w:szCs w:val="32"/>
        </w:rPr>
        <w:t>辆、载客汽车</w:t>
      </w:r>
      <w:r>
        <w:rPr>
          <w:rFonts w:ascii="仿宋_GB2312" w:eastAsia="仿宋_GB2312"/>
          <w:sz w:val="32"/>
          <w:szCs w:val="32"/>
        </w:rPr>
        <w:t>0</w:t>
      </w:r>
      <w:r>
        <w:rPr>
          <w:rFonts w:ascii="仿宋_GB2312" w:eastAsia="仿宋_GB2312" w:hint="eastAsia"/>
          <w:sz w:val="32"/>
          <w:szCs w:val="32"/>
        </w:rPr>
        <w:t>辆。</w:t>
      </w:r>
    </w:p>
    <w:p>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0</w:t>
      </w:r>
      <w:r>
        <w:rPr>
          <w:rFonts w:ascii="仿宋_GB2312" w:eastAsia="仿宋_GB2312" w:hint="eastAsia"/>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0.37</w:t>
      </w:r>
      <w:r>
        <w:rPr>
          <w:rFonts w:ascii="仿宋_GB2312" w:eastAsia="仿宋_GB2312" w:hint="eastAsia"/>
          <w:sz w:val="32"/>
          <w:szCs w:val="32"/>
        </w:rPr>
        <w:t>万元，</w:t>
      </w:r>
      <w:r>
        <w:rPr>
          <w:rStyle w:val="23"/>
          <w:rFonts w:ascii="仿宋" w:eastAsia="仿宋" w:hint="eastAsia"/>
          <w:b w:val="0"/>
          <w:bCs/>
          <w:sz w:val="32"/>
          <w:szCs w:val="32"/>
        </w:rPr>
        <w:t>完成预算</w:t>
      </w:r>
      <w:r>
        <w:rPr>
          <w:rStyle w:val="23"/>
          <w:rFonts w:ascii="仿宋" w:eastAsia="仿宋"/>
          <w:b w:val="0"/>
          <w:bCs/>
          <w:sz w:val="32"/>
          <w:szCs w:val="32"/>
        </w:rPr>
        <w:t>100%</w:t>
      </w:r>
      <w:r>
        <w:rPr>
          <w:rStyle w:val="23"/>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0.37</w:t>
      </w:r>
      <w:r>
        <w:rPr>
          <w:rFonts w:ascii="仿宋_GB2312" w:eastAsia="仿宋_GB2312" w:hint="eastAsia"/>
          <w:sz w:val="32"/>
          <w:szCs w:val="32"/>
        </w:rPr>
        <w:t>万元，增长</w:t>
      </w:r>
      <w:r>
        <w:rPr>
          <w:rFonts w:ascii="仿宋_GB2312" w:eastAsia="仿宋_GB2312"/>
          <w:sz w:val="32"/>
          <w:szCs w:val="32"/>
        </w:rPr>
        <w:t>100%</w:t>
      </w:r>
      <w:r>
        <w:rPr>
          <w:rFonts w:ascii="仿宋_GB2312" w:eastAsia="仿宋_GB2312" w:hint="eastAsia"/>
          <w:sz w:val="32"/>
          <w:szCs w:val="32"/>
        </w:rPr>
        <w:t>。主要原因是2</w:t>
      </w:r>
      <w:r>
        <w:rPr>
          <w:rFonts w:ascii="仿宋_GB2312" w:eastAsia="仿宋_GB2312"/>
          <w:sz w:val="32"/>
          <w:szCs w:val="32"/>
        </w:rPr>
        <w:t>020</w:t>
      </w:r>
      <w:r>
        <w:rPr>
          <w:rFonts w:ascii="仿宋_GB2312" w:eastAsia="仿宋_GB2312" w:hint="eastAsia"/>
          <w:sz w:val="32"/>
          <w:szCs w:val="32"/>
        </w:rPr>
        <w:t>年无国内公务接待支出。其中：</w:t>
      </w:r>
    </w:p>
    <w:p>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sz w:val="32"/>
          <w:szCs w:val="32"/>
        </w:rPr>
        <w:t>0.37</w:t>
      </w:r>
      <w:r>
        <w:rPr>
          <w:rFonts w:ascii="仿宋_GB2312" w:eastAsia="仿宋_GB2312" w:hint="eastAsia"/>
          <w:sz w:val="32"/>
          <w:szCs w:val="32"/>
        </w:rPr>
        <w:t>万元，主要用于执行公务住宿费、用餐费等。国内公务接待</w:t>
      </w:r>
      <w:r>
        <w:rPr>
          <w:rFonts w:ascii="仿宋_GB2312" w:eastAsia="仿宋_GB2312"/>
          <w:sz w:val="32"/>
          <w:szCs w:val="32"/>
        </w:rPr>
        <w:t>2</w:t>
      </w:r>
      <w:r>
        <w:rPr>
          <w:rFonts w:ascii="仿宋_GB2312" w:eastAsia="仿宋_GB2312" w:hint="eastAsia"/>
          <w:sz w:val="32"/>
          <w:szCs w:val="32"/>
        </w:rPr>
        <w:t>批次，</w:t>
      </w:r>
      <w:r>
        <w:rPr>
          <w:rFonts w:ascii="仿宋_GB2312" w:eastAsia="仿宋_GB2312"/>
          <w:sz w:val="32"/>
          <w:szCs w:val="32"/>
        </w:rPr>
        <w:t>21</w:t>
      </w:r>
      <w:r>
        <w:rPr>
          <w:rFonts w:ascii="仿宋_GB2312" w:eastAsia="仿宋_GB2312" w:hint="eastAsia"/>
          <w:sz w:val="32"/>
          <w:szCs w:val="32"/>
        </w:rPr>
        <w:t>人次（不包括陪同人员），共计支出</w:t>
      </w:r>
      <w:r>
        <w:rPr>
          <w:rFonts w:ascii="仿宋_GB2312" w:eastAsia="仿宋_GB2312"/>
          <w:sz w:val="32"/>
          <w:szCs w:val="32"/>
        </w:rPr>
        <w:t>0.37</w:t>
      </w:r>
      <w:r>
        <w:rPr>
          <w:rFonts w:ascii="仿宋_GB2312" w:eastAsia="仿宋_GB2312" w:hint="eastAsia"/>
          <w:sz w:val="32"/>
          <w:szCs w:val="32"/>
        </w:rPr>
        <w:t>万元，具体内容包括：四川省厅节能专项赴攀调研接待费</w:t>
      </w:r>
      <w:r>
        <w:rPr>
          <w:rFonts w:ascii="仿宋_GB2312" w:eastAsia="仿宋_GB2312"/>
          <w:sz w:val="32"/>
          <w:szCs w:val="32"/>
        </w:rPr>
        <w:t>0.17</w:t>
      </w:r>
      <w:r>
        <w:rPr>
          <w:rFonts w:ascii="仿宋_GB2312" w:eastAsia="仿宋_GB2312" w:hint="eastAsia"/>
          <w:sz w:val="32"/>
          <w:szCs w:val="32"/>
        </w:rPr>
        <w:t>万元；住房和城乡建设部赴攀调研接待费0</w:t>
      </w:r>
      <w:r>
        <w:rPr>
          <w:rFonts w:ascii="仿宋_GB2312" w:eastAsia="仿宋_GB2312"/>
          <w:sz w:val="32"/>
          <w:szCs w:val="32"/>
        </w:rPr>
        <w:t>.2</w:t>
      </w:r>
      <w:r>
        <w:rPr>
          <w:rFonts w:ascii="仿宋_GB2312" w:eastAsia="仿宋_GB2312" w:hint="eastAsia"/>
          <w:sz w:val="32"/>
          <w:szCs w:val="32"/>
        </w:rPr>
        <w:t>万元。</w:t>
      </w:r>
    </w:p>
    <w:p>
      <w:pPr>
        <w:spacing w:line="60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 xml:space="preserve"> </w:t>
      </w:r>
    </w:p>
    <w:p>
      <w:pPr>
        <w:spacing w:line="600" w:lineRule="exact"/>
        <w:ind w:firstLine="640"/>
        <w:outlineLvl w:val="1"/>
        <w:rPr>
          <w:rStyle w:val="2Char"/>
          <w:rFonts w:ascii="黑体" w:eastAsia="黑体"/>
        </w:rPr>
      </w:pPr>
      <w:bookmarkStart w:id="41" w:name="_Toc15377218"/>
      <w:bookmarkStart w:id="42" w:name="_Toc15396610"/>
      <w:r>
        <w:rPr>
          <w:rFonts w:ascii="黑体" w:eastAsia="黑体" w:hint="eastAsia"/>
          <w:sz w:val="32"/>
          <w:szCs w:val="32"/>
        </w:rPr>
        <w:t>八、</w:t>
      </w:r>
      <w:r>
        <w:rPr>
          <w:rStyle w:val="2Char"/>
          <w:rFonts w:ascii="黑体" w:eastAsia="黑体" w:hint="eastAsia"/>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Pr>
          <w:rFonts w:ascii="仿宋_GB2312" w:eastAsia="仿宋_GB2312"/>
          <w:sz w:val="32"/>
          <w:szCs w:val="32"/>
        </w:rPr>
        <w:t>3.74</w:t>
      </w:r>
      <w:r>
        <w:rPr>
          <w:rFonts w:ascii="仿宋_GB2312" w:eastAsia="仿宋_GB2312" w:hint="eastAsia"/>
          <w:sz w:val="32"/>
          <w:szCs w:val="32"/>
        </w:rPr>
        <w:t>万元。</w:t>
      </w:r>
    </w:p>
    <w:p>
      <w:pPr>
        <w:numPr>
          <w:ilvl w:val="0"/>
          <w:numId w:val="3"/>
        </w:numPr>
        <w:spacing w:line="600" w:lineRule="exact"/>
        <w:ind w:left="0" w:firstLine="640"/>
        <w:outlineLvl w:val="1"/>
        <w:rPr>
          <w:rStyle w:val="2Char"/>
          <w:rFonts w:ascii="黑体" w:eastAsia="黑体"/>
          <w:b w:val="0"/>
        </w:rPr>
      </w:pPr>
      <w:bookmarkStart w:id="43" w:name="_Toc15396611"/>
      <w:bookmarkStart w:id="44" w:name="_Toc15377219"/>
      <w:r>
        <w:rPr>
          <w:rStyle w:val="2Char"/>
          <w:rFonts w:ascii="黑体" w:eastAsia="黑体" w:hint="eastAsia"/>
          <w:b w:val="0"/>
        </w:rPr>
        <w:t>国有资本经营预算支出决算情况说明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21年我中心没有国有资本经营预算财政拨款。</w:t>
      </w:r>
    </w:p>
    <w:p>
      <w:pPr>
        <w:numPr>
          <w:ilvl w:val="0"/>
          <w:numId w:val="3"/>
        </w:numPr>
        <w:spacing w:line="600" w:lineRule="exact"/>
        <w:ind w:left="0" w:firstLine="640"/>
        <w:outlineLvl w:val="1"/>
        <w:rPr>
          <w:rStyle w:val="2Char"/>
          <w:rFonts w:ascii="黑体" w:eastAsia="黑体"/>
          <w:b w:val="0"/>
        </w:rPr>
      </w:pPr>
      <w:bookmarkStart w:id="45" w:name="_Toc15396612"/>
      <w:bookmarkStart w:id="46" w:name="_Toc15377221"/>
      <w:r>
        <w:rPr>
          <w:rStyle w:val="2Char"/>
          <w:rFonts w:ascii="黑体" w:eastAsia="黑体" w:hint="eastAsia"/>
          <w:b w:val="0"/>
        </w:rPr>
        <w:t>其他重要事项的情况说明</w:t>
      </w:r>
      <w:bookmarkEnd w:id="45"/>
      <w:bookmarkEnd w:id="46"/>
    </w:p>
    <w:p>
      <w:pPr>
        <w:spacing w:line="600" w:lineRule="exact"/>
        <w:ind w:firstLineChars="200" w:firstLine="640"/>
        <w:outlineLvl w:val="2"/>
        <w:rPr>
          <w:rFonts w:ascii="仿宋" w:eastAsia="仿宋"/>
          <w:sz w:val="32"/>
          <w:szCs w:val="32"/>
        </w:rPr>
      </w:pPr>
      <w:bookmarkStart w:id="47" w:name="_Toc15377222"/>
      <w:r>
        <w:rPr>
          <w:rFonts w:ascii="仿宋" w:eastAsia="仿宋" w:hint="eastAsia"/>
          <w:b/>
          <w:sz w:val="32"/>
          <w:szCs w:val="32"/>
        </w:rPr>
        <w:t>（一）机关运行经费支出情况</w:t>
      </w:r>
      <w:bookmarkEnd w:id="47"/>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21年，攀枝花市建筑节能和绿色建筑发展中心机关运行经费支出</w:t>
      </w:r>
      <w:r>
        <w:rPr>
          <w:rFonts w:ascii="仿宋_GB2312" w:eastAsia="仿宋_GB2312"/>
          <w:sz w:val="32"/>
          <w:szCs w:val="32"/>
        </w:rPr>
        <w:t>23.82</w:t>
      </w:r>
      <w:r>
        <w:rPr>
          <w:rFonts w:ascii="仿宋_GB2312" w:eastAsia="仿宋_GB2312" w:hint="eastAsia"/>
          <w:sz w:val="32"/>
          <w:szCs w:val="32"/>
        </w:rPr>
        <w:t>万元，</w:t>
      </w:r>
      <w:r>
        <w:rPr>
          <w:rFonts w:ascii="仿宋_GB2312" w:eastAsia="仿宋_GB2312"/>
          <w:sz w:val="32"/>
          <w:szCs w:val="32"/>
        </w:rPr>
        <w:t>20</w:t>
      </w:r>
      <w:r>
        <w:rPr>
          <w:rFonts w:ascii="仿宋_GB2312" w:eastAsia="仿宋_GB2312" w:hint="eastAsia"/>
          <w:sz w:val="32"/>
          <w:szCs w:val="32"/>
        </w:rPr>
        <w:t>20年机关运行经费是2</w:t>
      </w:r>
      <w:r>
        <w:rPr>
          <w:rFonts w:ascii="仿宋_GB2312" w:eastAsia="仿宋_GB2312"/>
          <w:sz w:val="32"/>
          <w:szCs w:val="32"/>
        </w:rPr>
        <w:t>3.67</w:t>
      </w:r>
      <w:r>
        <w:rPr>
          <w:rFonts w:ascii="仿宋_GB2312" w:eastAsia="仿宋_GB2312" w:hint="eastAsia"/>
          <w:sz w:val="32"/>
          <w:szCs w:val="32"/>
        </w:rPr>
        <w:t>万元，与去年基本持平。</w:t>
      </w:r>
    </w:p>
    <w:p>
      <w:pPr>
        <w:autoSpaceDE w:val="0"/>
        <w:autoSpaceDN w:val="0"/>
        <w:adjustRightInd w:val="0"/>
        <w:spacing w:line="600" w:lineRule="exact"/>
        <w:ind w:firstLineChars="200" w:firstLine="640"/>
        <w:jc w:val="left"/>
        <w:outlineLvl w:val="2"/>
        <w:rPr>
          <w:rFonts w:ascii="仿宋" w:eastAsia="仿宋"/>
          <w:b/>
          <w:sz w:val="32"/>
          <w:szCs w:val="32"/>
        </w:rPr>
      </w:pPr>
      <w:bookmarkStart w:id="48" w:name="_Toc15377223"/>
      <w:r>
        <w:rPr>
          <w:rFonts w:ascii="仿宋" w:eastAsia="仿宋" w:hint="eastAsia"/>
          <w:b/>
          <w:sz w:val="32"/>
          <w:szCs w:val="32"/>
        </w:rPr>
        <w:t>（二）政府采购支出情况</w:t>
      </w:r>
      <w:bookmarkEnd w:id="48"/>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21年，我中心没有政府采购预算，未实施政府采购。</w:t>
      </w:r>
    </w:p>
    <w:p>
      <w:pPr>
        <w:autoSpaceDE w:val="0"/>
        <w:autoSpaceDN w:val="0"/>
        <w:adjustRightInd w:val="0"/>
        <w:spacing w:line="600" w:lineRule="exact"/>
        <w:ind w:firstLineChars="200" w:firstLine="640"/>
        <w:jc w:val="left"/>
        <w:outlineLvl w:val="2"/>
        <w:rPr>
          <w:rFonts w:ascii="仿宋" w:eastAsia="仿宋"/>
          <w:b/>
          <w:sz w:val="32"/>
          <w:szCs w:val="32"/>
        </w:rPr>
      </w:pPr>
      <w:bookmarkStart w:id="49" w:name="_Toc15377224"/>
      <w:r>
        <w:rPr>
          <w:rFonts w:ascii="仿宋" w:eastAsia="仿宋" w:hint="eastAsia"/>
          <w:b/>
          <w:sz w:val="32"/>
          <w:szCs w:val="32"/>
        </w:rPr>
        <w:t>（三）国有资产占有使用情况</w:t>
      </w:r>
      <w:bookmarkEnd w:id="49"/>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日，无车辆，没有单价</w:t>
      </w:r>
      <w:r>
        <w:rPr>
          <w:rFonts w:ascii="仿宋_GB2312" w:eastAsia="仿宋_GB2312"/>
          <w:sz w:val="32"/>
          <w:szCs w:val="32"/>
        </w:rPr>
        <w:t>100</w:t>
      </w:r>
      <w:r>
        <w:rPr>
          <w:rFonts w:ascii="仿宋_GB2312" w:eastAsia="仿宋_GB2312" w:hint="eastAsia"/>
          <w:sz w:val="32"/>
          <w:szCs w:val="32"/>
        </w:rPr>
        <w:t>万元以上专用设备。</w:t>
      </w:r>
    </w:p>
    <w:p>
      <w:pPr>
        <w:autoSpaceDE w:val="0"/>
        <w:autoSpaceDN w:val="0"/>
        <w:adjustRightInd w:val="0"/>
        <w:spacing w:line="600" w:lineRule="exact"/>
        <w:ind w:firstLineChars="200" w:firstLine="640"/>
        <w:jc w:val="left"/>
        <w:outlineLvl w:val="2"/>
        <w:rPr>
          <w:rFonts w:ascii="仿宋" w:eastAsia="仿宋"/>
          <w:b/>
          <w:sz w:val="32"/>
          <w:szCs w:val="32"/>
        </w:rPr>
      </w:pPr>
      <w:r>
        <w:rPr>
          <w:rFonts w:ascii="仿宋" w:eastAsia="仿宋" w:hint="eastAsia"/>
          <w:b/>
          <w:sz w:val="32"/>
          <w:szCs w:val="32"/>
        </w:rPr>
        <w:t>（四）预算绩效管理情况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单位在2021年度预算编制阶段，组织对2个项目编制了绩效目标，预算执行过程中，选取2个项目开展绩效监控，年终执行完毕后，对2个项目开展了绩效自评，2021年特定目标类部门预算项目绩效目标自评表见附件（第四部分）。</w:t>
      </w:r>
    </w:p>
    <w:p>
      <w:pPr>
        <w:autoSpaceDE w:val="0"/>
        <w:autoSpaceDN w:val="0"/>
        <w:adjustRightInd w:val="0"/>
        <w:spacing w:line="600" w:lineRule="exact"/>
        <w:ind w:firstLineChars="200" w:firstLine="640"/>
        <w:rPr>
          <w:rFonts w:ascii="仿宋" w:eastAsia="仿宋"/>
          <w:b/>
          <w:sz w:val="32"/>
          <w:szCs w:val="32"/>
        </w:rPr>
      </w:pPr>
      <w:r>
        <w:rPr>
          <w:rFonts w:ascii="仿宋_GB2312" w:eastAsia="仿宋_GB2312"/>
          <w:b/>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50" w:name="_Toc15396613"/>
      <w:bookmarkStart w:id="51" w:name="_Toc15377225"/>
      <w:r>
        <w:rPr>
          <w:rFonts w:ascii="黑体" w:eastAsia="黑体" w:hint="eastAsia"/>
          <w:sz w:val="44"/>
          <w:szCs w:val="44"/>
        </w:rPr>
        <w:t>名</w:t>
      </w:r>
      <w:r>
        <w:rPr>
          <w:rStyle w:val="1Char"/>
          <w:rFonts w:ascii="黑体" w:eastAsia="黑体" w:hint="eastAsia"/>
          <w:b w:val="0"/>
        </w:rPr>
        <w:t>词解释</w:t>
      </w:r>
      <w:bookmarkEnd w:id="50"/>
      <w:bookmarkEnd w:id="51"/>
    </w:p>
    <w:p>
      <w:pPr>
        <w:spacing w:line="600" w:lineRule="exact"/>
        <w:jc w:val="left"/>
        <w:rPr>
          <w:rFonts w:ascii="宋体"/>
          <w:b/>
          <w:sz w:val="44"/>
          <w:szCs w:val="44"/>
        </w:rPr>
      </w:pPr>
    </w:p>
    <w:p>
      <w:pPr>
        <w:pStyle w:val="28"/>
        <w:spacing w:line="560" w:lineRule="exact"/>
        <w:ind w:firstLineChars="200" w:firstLine="640"/>
        <w:rPr>
          <w:sz w:val="32"/>
          <w:szCs w:val="32"/>
        </w:rPr>
      </w:pPr>
      <w:r>
        <w:rPr>
          <w:sz w:val="32"/>
          <w:szCs w:val="32"/>
        </w:rPr>
        <w:t>1.</w:t>
      </w:r>
      <w:r>
        <w:rPr>
          <w:rFonts w:hint="eastAsia"/>
          <w:sz w:val="32"/>
          <w:szCs w:val="32"/>
        </w:rPr>
        <w:t>财政拨款收入：指单位从同级财政部门取得的财政预算资金。</w:t>
      </w:r>
    </w:p>
    <w:p>
      <w:pPr>
        <w:pStyle w:val="28"/>
        <w:spacing w:line="560" w:lineRule="exact"/>
        <w:ind w:firstLineChars="200" w:firstLine="640"/>
        <w:rPr>
          <w:sz w:val="32"/>
          <w:szCs w:val="32"/>
        </w:rPr>
      </w:pPr>
      <w:r>
        <w:rPr>
          <w:sz w:val="32"/>
          <w:szCs w:val="32"/>
        </w:rPr>
        <w:t>2.</w:t>
      </w:r>
      <w:r>
        <w:rPr>
          <w:rFonts w:hint="eastAsia"/>
          <w:sz w:val="32"/>
          <w:szCs w:val="32"/>
        </w:rPr>
        <w:t>事业收入：指事业单位开展专业业务活动及辅助活动取得的收入。</w:t>
      </w:r>
    </w:p>
    <w:p>
      <w:pPr>
        <w:pStyle w:val="28"/>
        <w:spacing w:line="560" w:lineRule="exact"/>
        <w:ind w:firstLineChars="200" w:firstLine="640"/>
        <w:rPr>
          <w:sz w:val="32"/>
          <w:szCs w:val="32"/>
        </w:rPr>
      </w:pPr>
      <w:r>
        <w:rPr>
          <w:sz w:val="32"/>
          <w:szCs w:val="32"/>
        </w:rPr>
        <w:t>3.</w:t>
      </w:r>
      <w:r>
        <w:rPr>
          <w:rFonts w:hint="eastAsia"/>
          <w:sz w:val="32"/>
          <w:szCs w:val="32"/>
        </w:rPr>
        <w:t>经营收入：指事业单位在专业业务活动及其辅助活动之外开展非独立核算经营活动取得的收入。</w:t>
      </w:r>
    </w:p>
    <w:p>
      <w:pPr>
        <w:pStyle w:val="28"/>
        <w:spacing w:line="560" w:lineRule="exact"/>
        <w:ind w:firstLineChars="200" w:firstLine="640"/>
        <w:rPr>
          <w:sz w:val="32"/>
          <w:szCs w:val="32"/>
        </w:rPr>
      </w:pPr>
      <w:r>
        <w:rPr>
          <w:sz w:val="32"/>
          <w:szCs w:val="32"/>
        </w:rPr>
        <w:t>4.</w:t>
      </w:r>
      <w:r>
        <w:rPr>
          <w:rFonts w:hint="eastAsia"/>
          <w:sz w:val="32"/>
          <w:szCs w:val="32"/>
        </w:rPr>
        <w:t>其他收入：指单位取得的除上述收入以外的各项收入。</w:t>
      </w:r>
    </w:p>
    <w:p>
      <w:pPr>
        <w:pStyle w:val="28"/>
        <w:spacing w:line="560" w:lineRule="exact"/>
        <w:ind w:firstLineChars="200" w:firstLine="640"/>
        <w:rPr>
          <w:sz w:val="32"/>
          <w:szCs w:val="32"/>
        </w:rPr>
      </w:pPr>
      <w:r>
        <w:rPr>
          <w:sz w:val="32"/>
          <w:szCs w:val="32"/>
        </w:rPr>
        <w:t>5.</w:t>
      </w:r>
      <w:r>
        <w:rPr>
          <w:rFonts w:hint="eastAsia"/>
          <w:sz w:val="32"/>
          <w:szCs w:val="32"/>
        </w:rPr>
        <w:t>使用非财政拨款结余：指事业单位使用以前年度积累的非财政拨款结余弥补当年收支差额的金额。</w:t>
      </w:r>
    </w:p>
    <w:p>
      <w:pPr>
        <w:pStyle w:val="28"/>
        <w:spacing w:line="560" w:lineRule="exact"/>
        <w:ind w:firstLineChars="200" w:firstLine="640"/>
        <w:rPr>
          <w:sz w:val="32"/>
          <w:szCs w:val="32"/>
        </w:rPr>
      </w:pPr>
      <w:r>
        <w:rPr>
          <w:sz w:val="32"/>
          <w:szCs w:val="32"/>
        </w:rPr>
        <w:t>6.</w:t>
      </w:r>
      <w:r>
        <w:rPr>
          <w:rFonts w:hint="eastAsia"/>
          <w:sz w:val="32"/>
          <w:szCs w:val="32"/>
        </w:rPr>
        <w:t>年初结转和结余：指以前年度尚未完成、结转到本年按有关规定继续使用的资金。</w:t>
      </w:r>
    </w:p>
    <w:p>
      <w:pPr>
        <w:pStyle w:val="28"/>
        <w:spacing w:line="560" w:lineRule="exact"/>
        <w:ind w:firstLineChars="200" w:firstLine="640"/>
        <w:rPr>
          <w:sz w:val="32"/>
          <w:szCs w:val="32"/>
        </w:rPr>
      </w:pPr>
      <w:r>
        <w:rPr>
          <w:sz w:val="32"/>
          <w:szCs w:val="32"/>
        </w:rPr>
        <w:t>7.</w:t>
      </w:r>
      <w:r>
        <w:rPr>
          <w:rFonts w:hint="eastAsia"/>
          <w:sz w:val="32"/>
          <w:szCs w:val="32"/>
        </w:rPr>
        <w:t>结余分配：指事业单位按照会计制度规定缴纳的所得税、提取的专用结余以及转入非财政拨款结余的金额等。</w:t>
      </w:r>
    </w:p>
    <w:p>
      <w:pPr>
        <w:pStyle w:val="28"/>
        <w:spacing w:line="560" w:lineRule="exact"/>
        <w:ind w:firstLineChars="200" w:firstLine="640"/>
        <w:rPr>
          <w:sz w:val="32"/>
          <w:szCs w:val="32"/>
        </w:rPr>
      </w:pPr>
      <w:r>
        <w:rPr>
          <w:sz w:val="32"/>
          <w:szCs w:val="32"/>
        </w:rPr>
        <w:t>8</w:t>
      </w:r>
      <w:r>
        <w:rPr>
          <w:rFonts w:hint="eastAsia"/>
          <w:sz w:val="32"/>
          <w:szCs w:val="32"/>
        </w:rPr>
        <w:t>、年末结转和结余：指单位按有关规定结转到下年或以后年度继续使用的资金。</w:t>
      </w:r>
    </w:p>
    <w:p>
      <w:pPr>
        <w:ind w:firstLineChars="200" w:firstLine="640"/>
        <w:rPr>
          <w:rFonts w:ascii="仿宋" w:eastAsia="仿宋" w:cs="仿宋"/>
          <w:color w:val="000000"/>
          <w:sz w:val="32"/>
          <w:szCs w:val="32"/>
        </w:rPr>
      </w:pPr>
      <w:r>
        <w:rPr>
          <w:rFonts w:ascii="仿宋" w:eastAsia="仿宋" w:cs="仿宋"/>
          <w:color w:val="000000"/>
          <w:sz w:val="32"/>
          <w:szCs w:val="32"/>
        </w:rPr>
        <w:t>9.</w:t>
      </w:r>
      <w:r>
        <w:rPr>
          <w:rFonts w:ascii="仿宋" w:eastAsia="仿宋" w:cs="仿宋" w:hint="eastAsia"/>
          <w:color w:val="000000"/>
          <w:sz w:val="32"/>
          <w:szCs w:val="32"/>
        </w:rPr>
        <w:t>基本支出：指为保障机构正常运转、完成日常工作任务而发生的人员支出和公用支出。</w:t>
      </w:r>
    </w:p>
    <w:p>
      <w:pPr>
        <w:ind w:firstLineChars="200" w:firstLine="640"/>
        <w:rPr>
          <w:rFonts w:ascii="仿宋" w:eastAsia="仿宋" w:cs="仿宋"/>
          <w:color w:val="000000"/>
          <w:sz w:val="32"/>
          <w:szCs w:val="32"/>
        </w:rPr>
      </w:pPr>
      <w:r>
        <w:rPr>
          <w:rFonts w:ascii="仿宋" w:eastAsia="仿宋" w:cs="仿宋"/>
          <w:color w:val="000000"/>
          <w:sz w:val="32"/>
          <w:szCs w:val="32"/>
        </w:rPr>
        <w:t>10.</w:t>
      </w:r>
      <w:r>
        <w:rPr>
          <w:rFonts w:ascii="仿宋" w:eastAsia="仿宋" w:cs="仿宋" w:hint="eastAsia"/>
          <w:color w:val="000000"/>
          <w:sz w:val="32"/>
          <w:szCs w:val="32"/>
        </w:rPr>
        <w:t>项目支出：指在基本支出之外为完成特定行政任务和事业发展目标所发生的支出。</w:t>
      </w:r>
    </w:p>
    <w:p>
      <w:pPr>
        <w:ind w:firstLineChars="200" w:firstLine="640"/>
        <w:rPr>
          <w:rFonts w:ascii="仿宋" w:eastAsia="仿宋" w:cs="仿宋"/>
          <w:color w:val="000000"/>
          <w:sz w:val="32"/>
          <w:szCs w:val="32"/>
        </w:rPr>
      </w:pPr>
      <w:r>
        <w:rPr>
          <w:rFonts w:ascii="仿宋" w:eastAsia="仿宋" w:cs="仿宋"/>
          <w:color w:val="000000"/>
          <w:sz w:val="32"/>
          <w:szCs w:val="32"/>
        </w:rPr>
        <w:t>11.</w:t>
      </w:r>
      <w:r>
        <w:rPr>
          <w:rFonts w:ascii="仿宋" w:eastAsia="仿宋" w:cs="仿宋" w:hint="eastAsia"/>
          <w:color w:val="000000"/>
          <w:sz w:val="32"/>
          <w:szCs w:val="32"/>
        </w:rPr>
        <w:t>经营支出：指事业单位在专业业务活动及其辅助活动之外开展非独立核算经营活动发生的支出。</w:t>
      </w:r>
    </w:p>
    <w:p>
      <w:pPr>
        <w:pStyle w:val="28"/>
        <w:spacing w:line="560" w:lineRule="exact"/>
        <w:ind w:firstLineChars="200" w:firstLine="640"/>
        <w:rPr>
          <w:sz w:val="32"/>
          <w:szCs w:val="32"/>
        </w:rPr>
      </w:pPr>
      <w:r>
        <w:rPr>
          <w:sz w:val="32"/>
          <w:szCs w:val="32"/>
        </w:rPr>
        <w:t>12.</w:t>
      </w:r>
      <w:r>
        <w:rPr>
          <w:rFonts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Chars="200" w:firstLine="640"/>
        <w:rPr>
          <w:sz w:val="32"/>
          <w:szCs w:val="32"/>
        </w:rPr>
      </w:pPr>
      <w:r>
        <w:rPr>
          <w:sz w:val="32"/>
          <w:szCs w:val="32"/>
        </w:rPr>
        <w:t>13.</w:t>
      </w:r>
      <w:r>
        <w:rPr>
          <w:rFonts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Chars="200" w:firstLine="640"/>
        <w:rPr>
          <w:rFonts w:ascii="仿宋_GB2312" w:eastAsia="仿宋_GB2312" w:cs="黑体"/>
          <w:color w:val="auto"/>
          <w:sz w:val="32"/>
          <w:szCs w:val="32"/>
        </w:rPr>
      </w:pPr>
    </w:p>
    <w:p>
      <w:pPr>
        <w:spacing w:line="600" w:lineRule="exact"/>
        <w:jc w:val="center"/>
        <w:outlineLvl w:val="0"/>
        <w:rPr>
          <w:rFonts w:ascii="黑体" w:eastAsia="黑体"/>
          <w:sz w:val="44"/>
          <w:szCs w:val="44"/>
        </w:rPr>
      </w:pPr>
      <w:bookmarkStart w:id="52" w:name="_Toc15396614"/>
      <w:bookmarkStart w:id="53" w:name="_Toc15377226"/>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Style w:val="1Char"/>
          <w:rFonts w:ascii="黑体" w:eastAsia="黑体"/>
          <w:b w:val="0"/>
        </w:rPr>
      </w:pPr>
      <w:r>
        <w:rPr>
          <w:rFonts w:ascii="黑体" w:eastAsia="黑体" w:hint="eastAsia"/>
          <w:sz w:val="44"/>
          <w:szCs w:val="44"/>
        </w:rPr>
        <w:t>第</w:t>
      </w:r>
      <w:r>
        <w:rPr>
          <w:rStyle w:val="1Char"/>
          <w:rFonts w:ascii="黑体" w:eastAsia="黑体" w:hint="eastAsia"/>
          <w:b w:val="0"/>
        </w:rPr>
        <w:t>四部分 附件</w:t>
      </w:r>
      <w:bookmarkEnd w:id="52"/>
    </w:p>
    <w:p>
      <w:pPr>
        <w:spacing w:line="572" w:lineRule="exact"/>
        <w:jc w:val="left"/>
        <w:outlineLvl w:val="0"/>
        <w:rPr>
          <w:rFonts w:ascii="方正小标宋简体" w:eastAsia="方正小标宋简体" w:cs="方正小标宋简体"/>
          <w:sz w:val="44"/>
          <w:szCs w:val="44"/>
        </w:rPr>
      </w:pPr>
      <w:r>
        <w:rPr>
          <w:rFonts w:ascii="黑体" w:eastAsia="黑体" w:cs="黑体" w:hint="eastAsia"/>
          <w:sz w:val="32"/>
          <w:szCs w:val="32"/>
        </w:rPr>
        <w:t>附件</w:t>
      </w: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2021年市节能绿建中心整体绩效评价报告</w:t>
      </w:r>
    </w:p>
    <w:p>
      <w:pPr>
        <w:widowControl/>
        <w:adjustRightInd w:val="0"/>
        <w:snapToGrid w:val="0"/>
        <w:spacing w:line="572" w:lineRule="exact"/>
        <w:ind w:firstLineChars="200" w:firstLine="480"/>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单位概况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r>
        <w:rPr>
          <w:rFonts w:ascii="仿宋_GB2312" w:eastAsia="仿宋_GB2312" w:hint="eastAsia"/>
          <w:sz w:val="32"/>
          <w:szCs w:val="32"/>
        </w:rPr>
        <w:t>攀枝花市建筑节能和绿色建筑发展中心是隶属于攀枝花市住房和城乡建设局的副县级参照公务员管理事业单位。</w:t>
      </w:r>
    </w:p>
    <w:p>
      <w:pPr>
        <w:spacing w:line="60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（二）机构职能：</w:t>
      </w:r>
      <w:r>
        <w:rPr>
          <w:rFonts w:ascii="仿宋" w:eastAsia="仿宋" w:hint="eastAsia"/>
          <w:color w:val="000000"/>
          <w:sz w:val="32"/>
          <w:szCs w:val="32"/>
        </w:rPr>
        <w:t>承担全市散装水泥、新型墙材、建筑节能和绿色建筑相关事务性、服务性工作；负责散装水泥、新型墙材、建筑节能和绿色建筑相关的宣传培训、信息交流、</w:t>
      </w:r>
      <w:r>
        <w:rPr>
          <w:rFonts w:ascii="仿宋_GB2312" w:eastAsia="仿宋_GB2312" w:hint="eastAsia"/>
          <w:sz w:val="32"/>
          <w:szCs w:val="32"/>
        </w:rPr>
        <w:t>统计上报和新技术、新材料、新工艺、新设备的推广应用；协调全市绿色建材发展工作；负责对全市散装水泥、新型墙材、建筑节能和绿色建筑发展工作的业务指导。</w:t>
      </w:r>
    </w:p>
    <w:p>
      <w:pPr>
        <w:spacing w:line="600" w:lineRule="exact"/>
        <w:ind w:firstLineChars="200" w:firstLine="640"/>
        <w:rPr>
          <w:rFonts w:ascii="仿宋_GB2312" w:eastAsia="仿宋_GB2312"/>
          <w:sz w:val="32"/>
          <w:szCs w:val="32"/>
        </w:rPr>
      </w:pPr>
      <w:r>
        <w:rPr>
          <w:rFonts w:ascii="仿宋_GB2312" w:eastAsia="仿宋_GB2312" w:hint="eastAsia"/>
          <w:sz w:val="32"/>
          <w:szCs w:val="32"/>
          <w:lang w:val="zh-CN"/>
        </w:rPr>
        <w:t>（三）人员概况：</w:t>
      </w:r>
      <w:r>
        <w:rPr>
          <w:rFonts w:ascii="仿宋_GB2312" w:eastAsia="仿宋_GB2312" w:hint="eastAsia"/>
          <w:sz w:val="32"/>
          <w:szCs w:val="32"/>
        </w:rPr>
        <w:t>共有编制数10个,实有在职人员9名，退休人员2名，劳务派遣人员2人，共有三个内设科室，分别为：综合科、科研法规科、工程应用科。</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二、单位财政资金收支情况</w:t>
      </w:r>
    </w:p>
    <w:p>
      <w:pPr>
        <w:spacing w:line="60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（一）单位财政资金收入情况。</w:t>
      </w:r>
      <w:r>
        <w:rPr>
          <w:rFonts w:ascii="仿宋_GB2312" w:eastAsia="仿宋_GB2312" w:hint="eastAsia"/>
          <w:sz w:val="32"/>
          <w:szCs w:val="32"/>
        </w:rPr>
        <w:t>市节能绿建中心2021年部门财政收入221.89万元，其中：基本支出199.59万元（其中包含人员经费175.77万元，公用经费23.82万元），项目经费22.3万元。</w:t>
      </w:r>
    </w:p>
    <w:p>
      <w:pPr>
        <w:spacing w:line="60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（二）单位财政资金支出情况。</w:t>
      </w:r>
      <w:r>
        <w:rPr>
          <w:rFonts w:ascii="仿宋_GB2312" w:eastAsia="仿宋_GB2312" w:hint="eastAsia"/>
          <w:sz w:val="32"/>
          <w:szCs w:val="32"/>
        </w:rPr>
        <w:t>市节能绿建中心2021年支出预算221.89万元，其中：基本支出199.59万元（其中包含人员经费175.77万元，公用经费23.82万元），项目支出22.3万元。</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三、单位整体预算绩效管理情况</w:t>
      </w:r>
    </w:p>
    <w:p>
      <w:pPr>
        <w:widowControl/>
        <w:adjustRightInd w:val="0"/>
        <w:snapToGrid w:val="0"/>
        <w:spacing w:line="572" w:lineRule="exact"/>
        <w:ind w:firstLineChars="200" w:firstLine="640"/>
        <w:contextualSpacing/>
        <w:jc w:val="left"/>
        <w:rPr>
          <w:rFonts w:ascii="仿宋_GB2312" w:eastAsia="仿宋_GB2312" w:cs="宋体"/>
          <w:b/>
          <w:bCs/>
          <w:kern w:val="0"/>
          <w:sz w:val="32"/>
          <w:szCs w:val="32"/>
          <w:shd w:val="clear" w:color="auto" w:fill="FFFFFF"/>
          <w:lang w:val="zh-CN"/>
        </w:rPr>
      </w:pPr>
      <w:r>
        <w:rPr>
          <w:rFonts w:ascii="仿宋_GB2312" w:eastAsia="仿宋_GB2312" w:cs="宋体" w:hint="eastAsia"/>
          <w:b/>
          <w:bCs/>
          <w:kern w:val="0"/>
          <w:sz w:val="32"/>
          <w:szCs w:val="32"/>
          <w:shd w:val="clear" w:color="auto" w:fill="FFFFFF"/>
          <w:lang w:val="zh-CN"/>
        </w:rPr>
        <w:t>（一）部门预算项目绩效管理。</w:t>
      </w:r>
    </w:p>
    <w:p>
      <w:pPr>
        <w:pStyle w:val="17"/>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1.年初部门预算绩效目标完成情况</w:t>
      </w:r>
    </w:p>
    <w:p>
      <w:pPr>
        <w:pStyle w:val="17"/>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（1）产出指标完成情况分析。市节能绿建中心2021年支出预算221.89万元，保障了单位正常运转，完成2021年省建设厅、市住建局下达的绿色建筑各项目标任务。</w:t>
      </w:r>
    </w:p>
    <w:p>
      <w:pPr>
        <w:pStyle w:val="17"/>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效益指标完成情况分析。继续推进散装水泥、新型墙材、节能型建材的推广使用和备案工作，加强行业企业质量监管，加强施工现场巡查监管；大力展开绿色建筑推广工作，推广使用节能型建筑材料、绿色建筑，使可再生能源有效利用，有效降低建筑使用能耗，保护生态环境，改善人居环境，促进经济和社会可持续发展。</w:t>
      </w:r>
    </w:p>
    <w:p>
      <w:pPr>
        <w:pStyle w:val="17"/>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（3）满意度指标完成情况分析。</w:t>
      </w:r>
    </w:p>
    <w:p>
      <w:pPr>
        <w:pStyle w:val="17"/>
        <w:spacing w:line="600" w:lineRule="exact"/>
        <w:ind w:firstLineChars="200" w:firstLine="640"/>
        <w:jc w:val="left"/>
        <w:rPr>
          <w:rFonts w:ascii="楷体" w:eastAsia="楷体" w:cs="仿宋_GB2312"/>
          <w:sz w:val="32"/>
          <w:szCs w:val="32"/>
        </w:rPr>
      </w:pPr>
      <w:r>
        <w:rPr>
          <w:rFonts w:ascii="仿宋_GB2312" w:eastAsia="仿宋_GB2312" w:hint="eastAsia"/>
          <w:sz w:val="32"/>
          <w:szCs w:val="32"/>
        </w:rPr>
        <w:t>市民及服务对象满意度达95%以</w:t>
      </w:r>
      <w:r>
        <w:rPr>
          <w:rFonts w:ascii="仿宋_GB2312" w:eastAsia="仿宋_GB2312" w:cs="仿宋_GB2312" w:hint="eastAsia"/>
          <w:sz w:val="32"/>
          <w:szCs w:val="32"/>
        </w:rPr>
        <w:t>上。</w:t>
      </w:r>
    </w:p>
    <w:p>
      <w:pPr>
        <w:pStyle w:val="17"/>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.市级专项（</w:t>
      </w:r>
      <w:r>
        <w:rPr>
          <w:rFonts w:ascii="仿宋_GB2312" w:eastAsia="仿宋_GB2312" w:cs="仿宋_GB2312" w:hint="eastAsia"/>
          <w:sz w:val="32"/>
          <w:szCs w:val="32"/>
        </w:rPr>
        <w:t>项目</w:t>
      </w:r>
      <w:r>
        <w:rPr>
          <w:rFonts w:ascii="仿宋_GB2312" w:eastAsia="仿宋_GB2312" w:cs="仿宋_GB2312"/>
          <w:sz w:val="32"/>
          <w:szCs w:val="32"/>
        </w:rPr>
        <w:t>）</w:t>
      </w:r>
      <w:r>
        <w:rPr>
          <w:rFonts w:ascii="仿宋_GB2312" w:eastAsia="仿宋_GB2312" w:cs="仿宋_GB2312" w:hint="eastAsia"/>
          <w:sz w:val="32"/>
          <w:szCs w:val="32"/>
        </w:rPr>
        <w:t>资金绩效目标完成情况</w:t>
      </w:r>
    </w:p>
    <w:p>
      <w:pPr>
        <w:pStyle w:val="17"/>
        <w:spacing w:line="600" w:lineRule="exact"/>
        <w:ind w:firstLineChars="200" w:firstLine="640"/>
        <w:jc w:val="left"/>
        <w:rPr>
          <w:rFonts w:ascii="仿宋_GB2312" w:eastAsia="仿宋_GB2312" w:cs="仿宋_GB2312"/>
          <w:sz w:val="32"/>
          <w:szCs w:val="32"/>
        </w:rPr>
      </w:pPr>
      <w:r>
        <w:rPr>
          <w:rFonts w:ascii="Calibri" w:eastAsia="仿宋_GB2312" w:cs="Calibri" w:hAnsi="Calibri"/>
          <w:sz w:val="32"/>
          <w:szCs w:val="32"/>
        </w:rPr>
        <w:t>（</w:t>
      </w:r>
      <w:r>
        <w:rPr>
          <w:rFonts w:ascii="Calibri" w:eastAsia="仿宋_GB2312" w:cs="Calibri" w:hAnsi="Calibri" w:hint="eastAsia"/>
          <w:sz w:val="32"/>
          <w:szCs w:val="32"/>
        </w:rPr>
        <w:t>1</w:t>
      </w:r>
      <w:r>
        <w:rPr>
          <w:rFonts w:ascii="Calibri" w:eastAsia="仿宋_GB2312" w:cs="Calibri" w:hAnsi="Calibri"/>
          <w:sz w:val="32"/>
          <w:szCs w:val="32"/>
        </w:rPr>
        <w:t>）</w:t>
      </w:r>
      <w:r>
        <w:rPr>
          <w:rFonts w:ascii="仿宋_GB2312" w:eastAsia="仿宋_GB2312" w:cs="仿宋_GB2312" w:hint="eastAsia"/>
          <w:sz w:val="32"/>
          <w:szCs w:val="32"/>
        </w:rPr>
        <w:t>产出指标完成情况分析。</w:t>
      </w:r>
    </w:p>
    <w:p>
      <w:pPr>
        <w:pStyle w:val="17"/>
        <w:spacing w:line="600" w:lineRule="exact"/>
        <w:ind w:firstLineChars="200" w:firstLine="640"/>
        <w:jc w:val="left"/>
        <w:rPr>
          <w:rFonts w:ascii="楷体" w:eastAsia="楷体" w:cs="仿宋_GB2312"/>
          <w:sz w:val="32"/>
          <w:szCs w:val="32"/>
        </w:rPr>
      </w:pPr>
      <w:r>
        <w:rPr>
          <w:rFonts w:ascii="仿宋_GB2312" w:eastAsia="仿宋_GB2312" w:cs="仿宋_GB2312" w:hint="eastAsia"/>
          <w:sz w:val="32"/>
          <w:szCs w:val="32"/>
        </w:rPr>
        <w:t>2021年，完成了省厅和市住房城乡建设局下达的各项业务目标任务，城市规划区内新建民用建筑节能设计备案率、检查验收率、禁止现场搅拌砂浆、混凝土执法检查达到100%，新建建筑施工阶段节能标准执行率达到95%以上，全年推广散装水泥90万吨，水泥散装率达56%现场巡查检查和节能验收270余次。</w:t>
      </w:r>
    </w:p>
    <w:p>
      <w:pPr>
        <w:pStyle w:val="17"/>
        <w:spacing w:line="600" w:lineRule="exact"/>
        <w:ind w:firstLineChars="200" w:firstLine="640"/>
        <w:jc w:val="left"/>
        <w:rPr>
          <w:rFonts w:ascii="楷体" w:eastAsia="楷体" w:cs="仿宋_GB2312"/>
          <w:sz w:val="32"/>
          <w:szCs w:val="32"/>
        </w:rPr>
      </w:pPr>
      <w:r>
        <w:rPr>
          <w:rFonts w:ascii="Calibri" w:eastAsia="仿宋_GB2312" w:cs="Calibri" w:hAnsi="Calibri"/>
          <w:sz w:val="32"/>
          <w:szCs w:val="32"/>
        </w:rPr>
        <w:t>（</w:t>
      </w:r>
      <w:r>
        <w:rPr>
          <w:rFonts w:ascii="Calibri" w:eastAsia="仿宋_GB2312" w:cs="Calibri" w:hAnsi="Calibri" w:hint="eastAsia"/>
          <w:sz w:val="32"/>
          <w:szCs w:val="32"/>
        </w:rPr>
        <w:t>2</w:t>
      </w:r>
      <w:r>
        <w:rPr>
          <w:rFonts w:ascii="Calibri" w:eastAsia="仿宋_GB2312" w:cs="Calibri" w:hAnsi="Calibri"/>
          <w:sz w:val="32"/>
          <w:szCs w:val="32"/>
        </w:rPr>
        <w:t>）</w:t>
      </w:r>
      <w:r>
        <w:rPr>
          <w:rFonts w:ascii="仿宋_GB2312" w:eastAsia="仿宋_GB2312" w:cs="仿宋_GB2312" w:hint="eastAsia"/>
          <w:sz w:val="32"/>
          <w:szCs w:val="32"/>
        </w:rPr>
        <w:t>效益指标完成情况分析。施工现场噪音、扬尘、污水等得到有效控制，绿色建材质量得到有效监控，监督和推动绿色建筑行业健康发展。</w:t>
      </w:r>
    </w:p>
    <w:p>
      <w:pPr>
        <w:pStyle w:val="17"/>
        <w:spacing w:line="600" w:lineRule="exact"/>
        <w:ind w:firstLineChars="200" w:firstLine="640"/>
        <w:jc w:val="left"/>
        <w:rPr>
          <w:rFonts w:ascii="仿宋_GB2312" w:eastAsia="仿宋_GB2312" w:cs="仿宋_GB2312"/>
          <w:sz w:val="32"/>
          <w:szCs w:val="32"/>
        </w:rPr>
      </w:pPr>
      <w:r>
        <w:rPr>
          <w:rFonts w:ascii="Calibri" w:eastAsia="仿宋_GB2312" w:cs="Calibri" w:hAnsi="Calibri"/>
          <w:sz w:val="32"/>
          <w:szCs w:val="32"/>
        </w:rPr>
        <w:t>（</w:t>
      </w:r>
      <w:r>
        <w:rPr>
          <w:rFonts w:ascii="Calibri" w:eastAsia="仿宋_GB2312" w:cs="Calibri" w:hAnsi="Calibri" w:hint="eastAsia"/>
          <w:sz w:val="32"/>
          <w:szCs w:val="32"/>
        </w:rPr>
        <w:t>3</w:t>
      </w:r>
      <w:r>
        <w:rPr>
          <w:rFonts w:ascii="Calibri" w:eastAsia="仿宋_GB2312" w:cs="Calibri" w:hAnsi="Calibri"/>
          <w:sz w:val="32"/>
          <w:szCs w:val="32"/>
        </w:rPr>
        <w:t>）</w:t>
      </w:r>
      <w:r>
        <w:rPr>
          <w:rFonts w:ascii="仿宋_GB2312" w:eastAsia="仿宋_GB2312" w:cs="仿宋_GB2312" w:hint="eastAsia"/>
          <w:sz w:val="32"/>
          <w:szCs w:val="32"/>
        </w:rPr>
        <w:t>满意度指标完成情况分析。服务对象满意度95%以上。</w:t>
      </w:r>
    </w:p>
    <w:p>
      <w:pPr>
        <w:widowControl/>
        <w:adjustRightInd w:val="0"/>
        <w:snapToGrid w:val="0"/>
        <w:spacing w:line="572" w:lineRule="exact"/>
        <w:ind w:firstLineChars="200" w:firstLine="640"/>
        <w:contextualSpacing/>
        <w:jc w:val="left"/>
        <w:rPr>
          <w:rFonts w:ascii="仿宋_GB2312" w:eastAsia="仿宋_GB2312" w:cs="宋体"/>
          <w:b/>
          <w:bCs/>
          <w:kern w:val="0"/>
          <w:sz w:val="32"/>
          <w:szCs w:val="32"/>
          <w:shd w:val="clear" w:color="auto" w:fill="FFFFFF"/>
          <w:lang w:val="zh-CN"/>
        </w:rPr>
      </w:pPr>
      <w:r>
        <w:rPr>
          <w:rFonts w:ascii="仿宋_GB2312" w:eastAsia="仿宋_GB2312" w:cs="宋体" w:hint="eastAsia"/>
          <w:b/>
          <w:bCs/>
          <w:kern w:val="0"/>
          <w:sz w:val="32"/>
          <w:szCs w:val="32"/>
          <w:shd w:val="clear" w:color="auto" w:fill="FFFFFF"/>
          <w:lang w:val="zh-CN"/>
        </w:rPr>
        <w:t>（二）结果应用情况。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将预算执行情况作为的重要标准之一，纳入各科室和相关人员年度考核和评优考核。</w:t>
      </w:r>
    </w:p>
    <w:p>
      <w:pPr>
        <w:widowControl/>
        <w:numPr>
          <w:ilvl w:val="0"/>
          <w:numId w:val="5"/>
        </w:numPr>
        <w:adjustRightInd w:val="0"/>
        <w:snapToGrid w:val="0"/>
        <w:spacing w:line="580" w:lineRule="exact"/>
        <w:ind w:left="0" w:firstLineChars="200" w:firstLine="640"/>
        <w:contextualSpacing/>
        <w:jc w:val="left"/>
        <w:rPr>
          <w:rFonts w:ascii="仿宋_GB2312" w:eastAsia="仿宋_GB2312" w:cs="宋体"/>
          <w:b/>
          <w:bCs/>
          <w:kern w:val="0"/>
          <w:sz w:val="32"/>
          <w:szCs w:val="32"/>
          <w:shd w:val="clear" w:color="auto" w:fill="FFFFFF"/>
          <w:lang w:val="zh-CN"/>
        </w:rPr>
      </w:pPr>
      <w:r>
        <w:rPr>
          <w:rFonts w:ascii="仿宋_GB2312" w:eastAsia="仿宋_GB2312" w:cs="宋体" w:hint="eastAsia"/>
          <w:b/>
          <w:bCs/>
          <w:kern w:val="0"/>
          <w:sz w:val="32"/>
          <w:szCs w:val="32"/>
          <w:shd w:val="clear" w:color="auto" w:fill="FFFFFF"/>
          <w:lang w:val="zh-CN"/>
        </w:rPr>
        <w:t>自评质量</w:t>
      </w:r>
    </w:p>
    <w:p>
      <w:pPr>
        <w:widowControl/>
        <w:adjustRightInd w:val="0"/>
        <w:snapToGrid w:val="0"/>
        <w:spacing w:line="576" w:lineRule="exact"/>
        <w:contextualSpacing/>
        <w:jc w:val="left"/>
        <w:rPr>
          <w:rFonts w:ascii="仿宋_GB2312" w:eastAsia="仿宋_GB2312" w:cs="宋体"/>
          <w:kern w:val="0"/>
          <w:sz w:val="32"/>
          <w:szCs w:val="32"/>
          <w:shd w:val="clear" w:color="auto" w:fill="FFFFFF"/>
        </w:rPr>
      </w:pPr>
      <w:r>
        <w:rPr>
          <w:rFonts w:ascii="仿宋_GB2312" w:eastAsia="仿宋_GB2312" w:cs="宋体" w:hint="eastAsia"/>
          <w:kern w:val="0"/>
          <w:sz w:val="32"/>
          <w:szCs w:val="32"/>
          <w:shd w:val="clear" w:color="auto" w:fill="FFFFFF"/>
        </w:rPr>
        <w:t xml:space="preserve">    圆满</w:t>
      </w:r>
      <w:r>
        <w:rPr>
          <w:rFonts w:ascii="仿宋_GB2312" w:eastAsia="仿宋_GB2312" w:cs="仿宋_GB2312" w:hint="eastAsia"/>
          <w:sz w:val="32"/>
          <w:szCs w:val="32"/>
        </w:rPr>
        <w:t>完成了省厅和市住房城乡建设局下达的各项业务目标任务，</w:t>
      </w:r>
      <w:r>
        <w:rPr>
          <w:rFonts w:ascii="仿宋_GB2312" w:eastAsia="仿宋_GB2312" w:cs="宋体" w:hint="eastAsia"/>
          <w:kern w:val="0"/>
          <w:sz w:val="32"/>
          <w:szCs w:val="32"/>
          <w:shd w:val="clear" w:color="auto" w:fill="FFFFFF"/>
        </w:rPr>
        <w:t>保障了各项工作有序推进，服务对象满意度较高。</w:t>
      </w:r>
    </w:p>
    <w:p>
      <w:pPr>
        <w:ind w:firstLineChars="200" w:firstLine="640"/>
        <w:jc w:val="left"/>
        <w:rPr>
          <w:rFonts w:ascii="黑体" w:eastAsia="黑体"/>
          <w:sz w:val="32"/>
          <w:szCs w:val="32"/>
        </w:rPr>
      </w:pPr>
      <w:r>
        <w:rPr>
          <w:rFonts w:ascii="黑体" w:eastAsia="黑体" w:hint="eastAsia"/>
          <w:sz w:val="32"/>
          <w:szCs w:val="32"/>
        </w:rPr>
        <w:t>四、评价结论及建议</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r>
        <w:rPr>
          <w:rFonts w:ascii="仿宋_GB2312" w:eastAsia="仿宋_GB2312" w:hint="eastAsia"/>
          <w:sz w:val="32"/>
          <w:szCs w:val="32"/>
        </w:rPr>
        <w:t>我单位按照年初预算和目标任务开展工作，在财政资金的有保障的情况下，各项工作均已圆满完成，目标绩效完成情况良好。</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（二）存在问题。无。</w:t>
      </w:r>
    </w:p>
    <w:p>
      <w:pPr>
        <w:ind w:firstLineChars="200" w:firstLine="640"/>
        <w:jc w:val="left"/>
        <w:rPr>
          <w:rFonts w:ascii="仿宋_GB2312" w:eastAsia="仿宋_GB2312"/>
          <w:sz w:val="32"/>
          <w:szCs w:val="32"/>
        </w:rPr>
      </w:pPr>
      <w:r>
        <w:rPr>
          <w:rFonts w:ascii="仿宋_GB2312" w:eastAsia="仿宋_GB2312" w:cs="宋体" w:hint="eastAsia"/>
          <w:kern w:val="0"/>
          <w:sz w:val="32"/>
          <w:szCs w:val="32"/>
          <w:shd w:val="clear" w:color="auto" w:fill="FFFFFF"/>
          <w:lang w:val="zh-CN"/>
        </w:rPr>
        <w:t>（三）改进建议</w:t>
      </w:r>
      <w:r>
        <w:rPr>
          <w:rFonts w:ascii="仿宋_GB2312" w:eastAsia="仿宋_GB2312" w:hint="eastAsia"/>
          <w:sz w:val="32"/>
          <w:szCs w:val="32"/>
        </w:rPr>
        <w:t>：攀西地区节能标准编制经费工作中，包含了市气象局气象数据服务费9万元，收集气象数据工作2019年末就已完成，2021年虽然安排了资金，但财政一直没有审核支付，气象局已屡次催促我中心按合同约定付款，望能解决该费用。</w:t>
      </w:r>
    </w:p>
    <w:p>
      <w:pPr>
        <w:spacing w:line="572" w:lineRule="exact"/>
        <w:jc w:val="left"/>
        <w:outlineLvl w:val="0"/>
        <w:rPr>
          <w:rFonts w:ascii="仿宋_GB2312" w:eastAsia="仿宋_GB2312" w:cs="仿宋_GB2312"/>
          <w:sz w:val="32"/>
          <w:szCs w:val="32"/>
        </w:rPr>
      </w:pPr>
      <w:r>
        <w:rPr>
          <w:rFonts w:ascii="黑体" w:eastAsia="黑体" w:cs="黑体" w:hint="eastAsia"/>
          <w:sz w:val="32"/>
          <w:szCs w:val="32"/>
        </w:rPr>
        <w:t>附件</w:t>
      </w: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84"/>
        <w:gridCol w:w="992"/>
        <w:gridCol w:w="1418"/>
        <w:gridCol w:w="1701"/>
        <w:gridCol w:w="1671"/>
        <w:gridCol w:w="2409"/>
        <w:gridCol w:w="236"/>
      </w:tblGrid>
      <w:tr>
        <w:trPr>
          <w:trHeight w:val="675"/>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cs="宋体"/>
                <w:b/>
                <w:sz w:val="32"/>
                <w:szCs w:val="32"/>
              </w:rPr>
            </w:pPr>
            <w:bookmarkStart w:id="54" w:name="_Toc15396618"/>
            <w:r>
              <w:rPr>
                <w:rFonts w:ascii="宋体" w:cs="宋体"/>
                <w:b/>
                <w:sz w:val="32"/>
                <w:szCs w:val="32"/>
              </w:rPr>
              <w:t>2021</w:t>
            </w:r>
            <w:r>
              <w:rPr>
                <w:rFonts w:ascii="宋体" w:cs="宋体" w:hint="eastAsia"/>
                <w:b/>
                <w:sz w:val="32"/>
                <w:szCs w:val="32"/>
              </w:rPr>
              <w:t>年绿色建筑专业技术人员劳务派遣服务采购</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254"/>
          <w:gridAfter w:val="1"/>
          <w:wAfter w:w="236" w:type="dxa"/>
        </w:trPr>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 xml:space="preserve">攀枝花市建筑节能和绿色建筑发展中心 </w:t>
            </w:r>
            <w:r>
              <w:rPr>
                <w:rFonts w:ascii="宋体" w:cs="宋体"/>
                <w:sz w:val="24"/>
              </w:rPr>
              <w:t>801005</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攀枝花市建筑节能和绿色建筑发展中心</w:t>
            </w:r>
          </w:p>
        </w:tc>
      </w:tr>
      <w:tr>
        <w:trPr>
          <w:trHeight w:val="341"/>
          <w:gridAfter w:val="1"/>
          <w:wAfter w:w="236" w:type="dxa"/>
        </w:trPr>
        <w:tc>
          <w:tcPr>
            <w:tcW w:w="23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1</w:t>
            </w:r>
            <w:r>
              <w:rPr>
                <w:rFonts w:ascii="宋体" w:cs="宋体"/>
                <w:sz w:val="24"/>
              </w:rPr>
              <w:t>0</w:t>
            </w:r>
            <w:r>
              <w:rPr>
                <w:rFonts w:ascii="宋体" w:cs="宋体" w:hint="eastAsia"/>
                <w:sz w:val="24"/>
              </w:rPr>
              <w:t>万元</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1</w:t>
            </w:r>
            <w:r>
              <w:rPr>
                <w:rFonts w:ascii="宋体" w:cs="宋体"/>
                <w:sz w:val="24"/>
              </w:rPr>
              <w:t>0</w:t>
            </w:r>
            <w:r>
              <w:rPr>
                <w:rFonts w:ascii="宋体" w:cs="宋体" w:hint="eastAsia"/>
                <w:sz w:val="24"/>
              </w:rPr>
              <w:t>万元</w:t>
            </w:r>
          </w:p>
        </w:tc>
      </w:tr>
      <w:tr>
        <w:trPr>
          <w:trHeight w:val="555"/>
          <w:gridAfter w:val="1"/>
          <w:wAfter w:w="236" w:type="dxa"/>
        </w:trPr>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1</w:t>
            </w:r>
            <w:r>
              <w:rPr>
                <w:rFonts w:ascii="宋体" w:cs="宋体"/>
                <w:sz w:val="24"/>
              </w:rPr>
              <w:t>0</w:t>
            </w:r>
            <w:r>
              <w:rPr>
                <w:rFonts w:ascii="宋体" w:cs="宋体" w:hint="eastAsia"/>
                <w:sz w:val="24"/>
              </w:rPr>
              <w:t>万元</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1</w:t>
            </w:r>
            <w:r>
              <w:rPr>
                <w:rFonts w:ascii="宋体" w:cs="宋体"/>
                <w:sz w:val="24"/>
              </w:rPr>
              <w:t>0</w:t>
            </w:r>
            <w:r>
              <w:rPr>
                <w:rFonts w:ascii="宋体" w:cs="宋体" w:hint="eastAsia"/>
                <w:sz w:val="24"/>
              </w:rPr>
              <w:t>万元</w:t>
            </w:r>
          </w:p>
        </w:tc>
      </w:tr>
      <w:tr>
        <w:trPr>
          <w:trHeight w:val="341"/>
          <w:gridAfter w:val="1"/>
          <w:wAfter w:w="236" w:type="dxa"/>
        </w:trPr>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gridAfter w:val="1"/>
          <w:wAfter w:w="236"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gridAfter w:val="1"/>
          <w:wAfter w:w="236" w:type="dxa"/>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ind w:firstLineChars="200" w:firstLine="480"/>
              <w:jc w:val="left"/>
              <w:textAlignment w:val="top"/>
              <w:rPr>
                <w:rFonts w:ascii="宋体" w:cs="宋体"/>
                <w:sz w:val="24"/>
              </w:rPr>
            </w:pPr>
            <w:r>
              <w:rPr>
                <w:rFonts w:ascii="宋体" w:hint="eastAsia"/>
                <w:color w:val="000000"/>
                <w:sz w:val="24"/>
              </w:rPr>
              <w:t>完成</w:t>
            </w:r>
            <w:r>
              <w:rPr>
                <w:rFonts w:ascii="宋体"/>
                <w:color w:val="000000"/>
                <w:sz w:val="24"/>
              </w:rPr>
              <w:t>2021</w:t>
            </w:r>
            <w:r>
              <w:rPr>
                <w:rFonts w:ascii="宋体" w:hint="eastAsia"/>
                <w:color w:val="000000"/>
                <w:sz w:val="24"/>
              </w:rPr>
              <w:t>年省建设厅、市住建局下达的绿色建筑各项目标任务。大力展开绿色建筑推广工作，推广使用节能型建筑材料、绿色建筑，使可再生能源有效利用，降低建筑使用能耗，保护生态环境，改善人居环境。开展对绿色建筑的评星定级，绿色建筑节能设计审查，组织建材生产企业进行绿色建材评价标识集中申报认定，根据攀枝花地区地埋、气候、自然资源、经济等要素条件，结合《四川省绿色建筑评价标准》和《四川省绿色建筑设计施工图审查技术要点》，制定适宜攀枝花地区绿色建筑发展的技术标准。</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ind w:firstLineChars="200" w:firstLine="480"/>
              <w:jc w:val="left"/>
              <w:textAlignment w:val="top"/>
              <w:rPr>
                <w:rFonts w:ascii="宋体" w:cs="宋体"/>
                <w:sz w:val="24"/>
              </w:rPr>
            </w:pPr>
            <w:r>
              <w:rPr>
                <w:rFonts w:ascii="宋体" w:hint="eastAsia"/>
                <w:color w:val="000000"/>
                <w:sz w:val="24"/>
              </w:rPr>
              <w:t>完成</w:t>
            </w:r>
            <w:r>
              <w:rPr>
                <w:rFonts w:ascii="宋体"/>
                <w:color w:val="000000"/>
                <w:sz w:val="24"/>
              </w:rPr>
              <w:t>2021</w:t>
            </w:r>
            <w:r>
              <w:rPr>
                <w:rFonts w:ascii="宋体" w:hint="eastAsia"/>
                <w:color w:val="000000"/>
                <w:sz w:val="24"/>
              </w:rPr>
              <w:t>年省建设厅、市住建局下达的绿色建筑各项目标任务。大力展开绿色建筑推广工作，推广使用节能型建筑材料、绿色建筑，使可再生能源有效利用，降低建筑使用能耗，保护生态环境，改善人居环境。开展对绿色建筑的评星定级，绿色建筑节能设计审查，组织建材生产企业进行绿色建材评价标识集中申报认定，根据攀枝花地区地埋、气候、自然资源、经济等要素条件，结合《四川省绿色建筑评价标准》和《四川省绿色建筑设计施工图审查技术要点》，制定适宜攀枝花地区绿色建筑发展的技术标准。</w:t>
            </w:r>
          </w:p>
        </w:tc>
      </w:tr>
      <w:tr>
        <w:trPr>
          <w:trHeight w:val="693"/>
          <w:gridAfter w:val="1"/>
          <w:wAfter w:w="236" w:type="dxa"/>
        </w:trPr>
        <w:tc>
          <w:tcPr>
            <w:tcW w:w="1384"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992"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指标</w:t>
            </w:r>
            <w:r>
              <w:rPr>
                <w:color w:val="000000"/>
              </w:rPr>
              <w:t>1</w:t>
            </w:r>
            <w:r>
              <w:rPr>
                <w:rFonts w:hint="eastAsia"/>
                <w:color w:val="000000"/>
              </w:rPr>
              <w:t>：绿色建筑分为一二三星级三个等次，需相关专业人员进行星级标识评价认定</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专业人员</w:t>
            </w:r>
            <w:r>
              <w:rPr>
                <w:color w:val="000000"/>
              </w:rPr>
              <w:t>5-7</w:t>
            </w:r>
            <w:r>
              <w:rPr>
                <w:rFonts w:hint="eastAsia"/>
                <w:color w:val="000000"/>
              </w:rPr>
              <w:t>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专业人员</w:t>
            </w:r>
            <w:r>
              <w:rPr>
                <w:color w:val="000000"/>
              </w:rPr>
              <w:t>2</w:t>
            </w:r>
            <w:r>
              <w:rPr>
                <w:rFonts w:hint="eastAsia"/>
                <w:color w:val="000000"/>
              </w:rPr>
              <w:t>人</w:t>
            </w:r>
          </w:p>
        </w:tc>
      </w:tr>
      <w:tr>
        <w:trPr>
          <w:trHeight w:val="415"/>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p>
        </w:tc>
      </w:tr>
      <w:tr>
        <w:trPr>
          <w:trHeight w:val="415"/>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指标</w:t>
            </w:r>
            <w:r>
              <w:rPr>
                <w:color w:val="000000"/>
              </w:rPr>
              <w:t>1</w:t>
            </w:r>
            <w:r>
              <w:rPr>
                <w:rFonts w:hint="eastAsia"/>
                <w:color w:val="000000"/>
              </w:rPr>
              <w:t>：预算年度完成</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00%</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eastAsia="宋体" w:cs="仿宋_GB2312"/>
                <w:szCs w:val="21"/>
              </w:rPr>
            </w:pPr>
            <w:r>
              <w:rPr>
                <w:rFonts w:ascii="宋体" w:eastAsia="宋体" w:cs="仿宋_GB2312" w:hint="eastAsia"/>
                <w:szCs w:val="21"/>
              </w:rPr>
              <w:t>指标1：每人每年劳务费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每人每年5万元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每人每年5万元</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提高工作效率</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节能减排，提高工程建筑质量和工作效率，缩短建设周期</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节能减排，提高工程建筑质量和工作效率，缩短建设周期</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节能减排降噪</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减少粉尘和噪音污染，改善环境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减少粉尘和噪音污染，改善环境</w:t>
            </w:r>
          </w:p>
        </w:tc>
      </w:tr>
      <w:tr>
        <w:trPr>
          <w:trHeight w:val="577"/>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ind w:leftChars="87" w:left="463" w:hangingChars="100" w:hanging="280"/>
              <w:jc w:val="left"/>
              <w:textAlignment w:val="bottom"/>
              <w:rPr>
                <w:rFonts w:ascii="仿宋_GB2312" w:eastAsia="仿宋_GB2312" w:cs="仿宋_GB2312"/>
                <w:sz w:val="28"/>
                <w:szCs w:val="28"/>
              </w:rPr>
            </w:pPr>
            <w:r>
              <w:rPr>
                <w:rFonts w:ascii="仿宋_GB2312" w:eastAsia="仿宋_GB2312" w:cs="仿宋_GB2312" w:hint="eastAsia"/>
                <w:kern w:val="0"/>
                <w:sz w:val="28"/>
                <w:szCs w:val="28"/>
              </w:rPr>
              <w:t>生态效益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实现生态环境保护目标</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生态环境不断改善</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生态环境不断改善</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实现可持续发展</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促进经济和社会可持续发展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促进经济和社会可持续发展</w:t>
            </w:r>
          </w:p>
        </w:tc>
      </w:tr>
      <w:tr>
        <w:trPr>
          <w:trHeight w:val="530"/>
          <w:gridAfter w:val="1"/>
          <w:wAfter w:w="236" w:type="dxa"/>
        </w:trPr>
        <w:tc>
          <w:tcPr>
            <w:tcW w:w="1384" w:type="dxa"/>
            <w:vMerge/>
            <w:tcBorders>
              <w:left w:val="single" w:sz="4" w:space="0" w:color="000000"/>
              <w:bottom w:val="single" w:sz="4" w:space="0" w:color="000000"/>
              <w:right w:val="single" w:sz="4" w:space="0" w:color="000000"/>
            </w:tcBorders>
            <w:shd w:val="clear" w:color="auto" w:fill="auto"/>
            <w:vAlign w:val="center"/>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社会满意度</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color w:val="000000"/>
                <w:sz w:val="24"/>
              </w:rPr>
              <w:t>95%</w:t>
            </w:r>
            <w:r>
              <w:rPr>
                <w:rFonts w:ascii="宋体" w:hint="eastAsia"/>
                <w:color w:val="000000"/>
                <w:sz w:val="24"/>
              </w:rPr>
              <w:t>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color w:val="000000"/>
                <w:sz w:val="24"/>
              </w:rPr>
              <w:t>95%</w:t>
            </w:r>
            <w:r>
              <w:rPr>
                <w:rFonts w:ascii="宋体" w:hint="eastAsia"/>
                <w:color w:val="000000"/>
                <w:sz w:val="24"/>
              </w:rPr>
              <w:t>以上</w:t>
            </w:r>
          </w:p>
        </w:tc>
      </w:tr>
    </w:tbl>
    <w:p>
      <w:pPr>
        <w:spacing w:line="572" w:lineRule="exact"/>
        <w:jc w:val="left"/>
        <w:outlineLvl w:val="0"/>
        <w:rPr>
          <w:rFonts w:ascii="仿宋_GB2312" w:eastAsia="仿宋_GB2312" w:cs="仿宋_GB2312"/>
          <w:sz w:val="32"/>
          <w:szCs w:val="32"/>
        </w:rPr>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84"/>
        <w:gridCol w:w="992"/>
        <w:gridCol w:w="1418"/>
        <w:gridCol w:w="1701"/>
        <w:gridCol w:w="1671"/>
        <w:gridCol w:w="2409"/>
        <w:gridCol w:w="236"/>
      </w:tblGrid>
      <w:tr>
        <w:trPr>
          <w:trHeight w:val="675"/>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cs="宋体"/>
                <w:b/>
                <w:sz w:val="32"/>
                <w:szCs w:val="32"/>
              </w:rPr>
            </w:pPr>
            <w:r>
              <w:rPr>
                <w:rFonts w:ascii="宋体" w:cs="宋体" w:hint="eastAsia"/>
                <w:b/>
                <w:sz w:val="32"/>
                <w:szCs w:val="32"/>
              </w:rPr>
              <w:t>援藏援彝干部补助经费</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254"/>
          <w:gridAfter w:val="1"/>
          <w:wAfter w:w="236" w:type="dxa"/>
        </w:trPr>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 xml:space="preserve">攀枝花市建筑节能和绿色建筑发展中心 </w:t>
            </w:r>
            <w:r>
              <w:rPr>
                <w:rFonts w:ascii="宋体" w:cs="宋体"/>
                <w:sz w:val="24"/>
              </w:rPr>
              <w:t>801005</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攀枝花市建筑节能和绿色建筑发展中心</w:t>
            </w:r>
          </w:p>
        </w:tc>
      </w:tr>
      <w:tr>
        <w:trPr>
          <w:trHeight w:val="341"/>
          <w:gridAfter w:val="1"/>
          <w:wAfter w:w="236" w:type="dxa"/>
        </w:trPr>
        <w:tc>
          <w:tcPr>
            <w:tcW w:w="23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4</w:t>
            </w:r>
            <w:r>
              <w:rPr>
                <w:rFonts w:ascii="宋体" w:cs="宋体" w:hint="eastAsia"/>
                <w:sz w:val="24"/>
              </w:rPr>
              <w:t>万元</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4</w:t>
            </w:r>
            <w:r>
              <w:rPr>
                <w:rFonts w:ascii="宋体" w:cs="宋体" w:hint="eastAsia"/>
                <w:sz w:val="24"/>
              </w:rPr>
              <w:t>万元</w:t>
            </w:r>
          </w:p>
        </w:tc>
      </w:tr>
      <w:tr>
        <w:trPr>
          <w:trHeight w:val="555"/>
          <w:gridAfter w:val="1"/>
          <w:wAfter w:w="236" w:type="dxa"/>
        </w:trPr>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4万元</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sz w:val="24"/>
              </w:rPr>
              <w:t>4</w:t>
            </w:r>
            <w:r>
              <w:rPr>
                <w:rFonts w:ascii="宋体" w:cs="宋体" w:hint="eastAsia"/>
                <w:sz w:val="24"/>
              </w:rPr>
              <w:t>万元</w:t>
            </w:r>
          </w:p>
        </w:tc>
      </w:tr>
      <w:tr>
        <w:trPr>
          <w:trHeight w:val="341"/>
          <w:gridAfter w:val="1"/>
          <w:wAfter w:w="236" w:type="dxa"/>
        </w:trPr>
        <w:tc>
          <w:tcPr>
            <w:tcW w:w="23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0</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gridAfter w:val="1"/>
          <w:wAfter w:w="236"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gridAfter w:val="1"/>
          <w:wAfter w:w="236" w:type="dxa"/>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ind w:firstLineChars="200" w:firstLine="480"/>
              <w:jc w:val="left"/>
              <w:textAlignment w:val="top"/>
              <w:rPr>
                <w:rFonts w:ascii="宋体" w:cs="宋体"/>
                <w:sz w:val="24"/>
              </w:rPr>
            </w:pPr>
            <w:r>
              <w:rPr>
                <w:rFonts w:ascii="宋体" w:hint="eastAsia"/>
                <w:color w:val="000000"/>
                <w:sz w:val="24"/>
              </w:rPr>
              <w:t>完成</w:t>
            </w:r>
            <w:r>
              <w:rPr>
                <w:rFonts w:ascii="宋体"/>
                <w:color w:val="000000"/>
                <w:sz w:val="24"/>
              </w:rPr>
              <w:t>2021</w:t>
            </w:r>
            <w:r>
              <w:rPr>
                <w:rFonts w:ascii="宋体" w:hint="eastAsia"/>
                <w:color w:val="000000"/>
                <w:sz w:val="24"/>
              </w:rPr>
              <w:t>年国家、省市援建凉山州木里县的工作安排。</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ind w:firstLineChars="200" w:firstLine="480"/>
              <w:jc w:val="left"/>
              <w:textAlignment w:val="top"/>
              <w:rPr>
                <w:rFonts w:ascii="宋体" w:cs="宋体"/>
                <w:sz w:val="24"/>
              </w:rPr>
            </w:pPr>
            <w:r>
              <w:rPr>
                <w:rFonts w:ascii="宋体" w:hint="eastAsia"/>
                <w:color w:val="000000"/>
                <w:sz w:val="24"/>
              </w:rPr>
              <w:t>完成</w:t>
            </w:r>
            <w:r>
              <w:rPr>
                <w:rFonts w:ascii="宋体"/>
                <w:color w:val="000000"/>
                <w:sz w:val="24"/>
              </w:rPr>
              <w:t>2021</w:t>
            </w:r>
            <w:r>
              <w:rPr>
                <w:rFonts w:ascii="宋体" w:hint="eastAsia"/>
                <w:color w:val="000000"/>
                <w:sz w:val="24"/>
              </w:rPr>
              <w:t>年国家、省市援建凉山州木里县的工作安排。</w:t>
            </w:r>
          </w:p>
        </w:tc>
      </w:tr>
      <w:tr>
        <w:trPr>
          <w:trHeight w:val="693"/>
          <w:gridAfter w:val="1"/>
          <w:wAfter w:w="236" w:type="dxa"/>
        </w:trPr>
        <w:tc>
          <w:tcPr>
            <w:tcW w:w="1384"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992"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指标</w:t>
            </w:r>
            <w:r>
              <w:rPr>
                <w:color w:val="000000"/>
              </w:rPr>
              <w:t>1</w:t>
            </w:r>
            <w:r>
              <w:rPr>
                <w:rFonts w:hint="eastAsia"/>
                <w:color w:val="000000"/>
              </w:rPr>
              <w:t>：抽调援藏干部</w:t>
            </w:r>
            <w:r>
              <w:rPr>
                <w:color w:val="000000"/>
              </w:rPr>
              <w:t>1</w:t>
            </w:r>
            <w:r>
              <w:rPr>
                <w:rFonts w:hint="eastAsia"/>
                <w:color w:val="000000"/>
              </w:rPr>
              <w:t>人</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1</w:t>
            </w:r>
            <w:r>
              <w:rPr>
                <w:color w:val="000000"/>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1</w:t>
            </w:r>
            <w:r>
              <w:rPr>
                <w:color w:val="000000"/>
              </w:rPr>
              <w:t>00%</w:t>
            </w:r>
          </w:p>
        </w:tc>
      </w:tr>
      <w:tr>
        <w:trPr>
          <w:trHeight w:val="415"/>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指标1：完成工作情况</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00%</w:t>
            </w:r>
          </w:p>
        </w:tc>
      </w:tr>
      <w:tr>
        <w:trPr>
          <w:trHeight w:val="415"/>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hint="eastAsia"/>
                <w:color w:val="000000"/>
              </w:rPr>
              <w:t>指标</w:t>
            </w:r>
            <w:r>
              <w:rPr>
                <w:color w:val="000000"/>
              </w:rPr>
              <w:t>1</w:t>
            </w:r>
            <w:r>
              <w:rPr>
                <w:rFonts w:hint="eastAsia"/>
                <w:color w:val="000000"/>
              </w:rPr>
              <w:t>：2</w:t>
            </w:r>
            <w:r>
              <w:rPr>
                <w:color w:val="000000"/>
              </w:rPr>
              <w:t>021</w:t>
            </w:r>
            <w:r>
              <w:rPr>
                <w:rFonts w:hint="eastAsia"/>
                <w:color w:val="000000"/>
              </w:rPr>
              <w:t>年全年</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00%</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eastAsia="宋体" w:cs="仿宋_GB2312"/>
                <w:szCs w:val="21"/>
              </w:rPr>
            </w:pPr>
            <w:r>
              <w:rPr>
                <w:rFonts w:ascii="宋体" w:eastAsia="宋体" w:cs="仿宋_GB2312" w:hint="eastAsia"/>
                <w:szCs w:val="21"/>
              </w:rPr>
              <w:t>指标1：每人每年4万</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每人每年4万元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每人每年</w:t>
            </w:r>
            <w:r>
              <w:rPr>
                <w:rFonts w:ascii="仿宋_GB2312" w:eastAsia="仿宋_GB2312" w:cs="仿宋_GB2312"/>
                <w:sz w:val="28"/>
                <w:szCs w:val="28"/>
              </w:rPr>
              <w:t>4</w:t>
            </w:r>
            <w:r>
              <w:rPr>
                <w:rFonts w:ascii="仿宋_GB2312" w:eastAsia="仿宋_GB2312" w:cs="仿宋_GB2312" w:hint="eastAsia"/>
                <w:sz w:val="28"/>
                <w:szCs w:val="28"/>
              </w:rPr>
              <w:t>万元</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援建木里县，实现脱贫攻坚，全面小康</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援建木里县，实现脱贫攻坚，全面小康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援建木里县，实现脱贫攻坚，全面小康</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节能减排降噪</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减少粉尘和噪音污染，改善环境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减少粉尘和噪音污染，改善环境</w:t>
            </w:r>
          </w:p>
        </w:tc>
      </w:tr>
      <w:tr>
        <w:trPr>
          <w:trHeight w:val="480"/>
          <w:gridAfter w:val="1"/>
          <w:wAfter w:w="236" w:type="dxa"/>
        </w:trPr>
        <w:tc>
          <w:tcPr>
            <w:tcW w:w="1384" w:type="dxa"/>
            <w:vMerge/>
            <w:tcBorders>
              <w:left w:val="single" w:sz="4" w:space="0" w:color="000000"/>
              <w:right w:val="single" w:sz="4" w:space="0" w:color="000000"/>
            </w:tcBorders>
            <w:shd w:val="clear" w:color="auto" w:fill="auto"/>
            <w:vAlign w:val="center"/>
          </w:tc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 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实现可持续发展</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促进经济和社会可持续发展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促进经济和社会可持续发展</w:t>
            </w:r>
          </w:p>
        </w:tc>
      </w:tr>
      <w:tr>
        <w:trPr>
          <w:trHeight w:val="530"/>
          <w:gridAfter w:val="1"/>
          <w:wAfter w:w="236" w:type="dxa"/>
        </w:trPr>
        <w:tc>
          <w:tcPr>
            <w:tcW w:w="1384" w:type="dxa"/>
            <w:vMerge/>
            <w:tcBorders>
              <w:left w:val="single" w:sz="4" w:space="0" w:color="000000"/>
              <w:bottom w:val="single" w:sz="4" w:space="0" w:color="000000"/>
              <w:right w:val="single" w:sz="4" w:space="0" w:color="000000"/>
            </w:tcBorders>
            <w:shd w:val="clear" w:color="auto" w:fill="auto"/>
            <w:vAlign w:val="center"/>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hint="eastAsia"/>
                <w:color w:val="000000"/>
                <w:sz w:val="24"/>
              </w:rPr>
              <w:t>社会满意度</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color w:val="000000"/>
                <w:sz w:val="24"/>
              </w:rPr>
              <w:t>95%</w:t>
            </w:r>
            <w:r>
              <w:rPr>
                <w:rFonts w:ascii="宋体" w:hint="eastAsia"/>
                <w:color w:val="000000"/>
                <w:sz w:val="24"/>
              </w:rPr>
              <w:t>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color w:val="000000"/>
                <w:sz w:val="24"/>
              </w:rPr>
              <w:t>95%</w:t>
            </w:r>
            <w:r>
              <w:rPr>
                <w:rFonts w:ascii="宋体" w:hint="eastAsia"/>
                <w:color w:val="000000"/>
                <w:sz w:val="24"/>
              </w:rPr>
              <w:t>以上</w:t>
            </w:r>
          </w:p>
        </w:tc>
      </w:tr>
    </w:tbl>
    <w:p>
      <w:pPr>
        <w:widowControl/>
        <w:adjustRightInd w:val="0"/>
        <w:snapToGrid w:val="0"/>
        <w:spacing w:line="580" w:lineRule="exact"/>
        <w:contextualSpacing/>
        <w:jc w:val="left"/>
        <w:rPr>
          <w:rFonts w:ascii="仿宋_GB2312" w:eastAsia="仿宋_GB2312" w:cs="宋体"/>
          <w:color w:val="000000"/>
          <w:kern w:val="0"/>
          <w:sz w:val="32"/>
          <w:szCs w:val="32"/>
          <w:shd w:val="clear" w:color="auto" w:fill="FFFFFF"/>
        </w:rPr>
      </w:pPr>
    </w:p>
    <w:p>
      <w:pPr>
        <w:spacing w:line="600" w:lineRule="exact"/>
        <w:jc w:val="center"/>
        <w:outlineLvl w:val="0"/>
        <w:rPr>
          <w:rFonts w:ascii="黑体" w:eastAsia="黑体"/>
          <w:sz w:val="44"/>
          <w:szCs w:val="44"/>
        </w:rPr>
      </w:pPr>
    </w:p>
    <w:p>
      <w:pPr>
        <w:pStyle w:val="15"/>
        <w:spacing w:beforeLines="0" w:before="93"/>
      </w:pPr>
    </w:p>
    <w:p>
      <w:pPr>
        <w:spacing w:line="600" w:lineRule="exact"/>
        <w:jc w:val="center"/>
        <w:outlineLvl w:val="0"/>
        <w:rPr>
          <w:rFonts w:ascii="黑体" w:eastAsia="黑体"/>
          <w:bCs/>
          <w:kern w:val="44"/>
          <w:sz w:val="44"/>
          <w:szCs w:val="44"/>
        </w:rPr>
      </w:pPr>
      <w:r>
        <w:rPr>
          <w:rFonts w:ascii="黑体" w:eastAsia="黑体" w:hint="eastAsia"/>
          <w:sz w:val="44"/>
          <w:szCs w:val="44"/>
        </w:rPr>
        <w:t>第</w:t>
      </w:r>
      <w:r>
        <w:rPr>
          <w:rStyle w:val="1Char"/>
          <w:rFonts w:ascii="黑体" w:eastAsia="黑体" w:hint="eastAsia"/>
          <w:b w:val="0"/>
        </w:rPr>
        <w:t>五部分 附表</w:t>
      </w:r>
      <w:bookmarkStart w:id="55" w:name="_Toc15396619"/>
      <w:bookmarkEnd w:id="53"/>
      <w:bookmarkEnd w:id="54"/>
    </w:p>
    <w:p>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55"/>
    </w:p>
    <w:p>
      <w:pPr>
        <w:pStyle w:val="2"/>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pPr>
        <w:pStyle w:val="2"/>
        <w:rPr>
          <w:rFonts w:ascii="仿宋" w:eastAsia="仿宋"/>
        </w:rPr>
      </w:pPr>
      <w:bookmarkStart w:id="64" w:name="_Toc15396628"/>
      <w:r>
        <w:rPr>
          <w:rStyle w:val="2Char"/>
          <w:rFonts w:ascii="仿宋" w:eastAsia="仿宋" w:hint="eastAsia"/>
        </w:rPr>
        <w:t>十、</w:t>
      </w:r>
      <w:r>
        <w:rPr>
          <w:rFonts w:ascii="仿宋" w:eastAsia="仿宋" w:hint="eastAsia"/>
          <w:b w:val="0"/>
        </w:rPr>
        <w:t>一</w:t>
      </w:r>
      <w:r>
        <w:rPr>
          <w:rStyle w:val="2Char"/>
          <w:rFonts w:ascii="仿宋" w:eastAsia="仿宋" w:hint="eastAsia"/>
        </w:rPr>
        <w:t>般公共预算财政拨款“三公”经费支出决算表</w:t>
      </w:r>
      <w:bookmarkEnd w:id="64"/>
    </w:p>
    <w:p>
      <w:pPr>
        <w:pStyle w:val="2"/>
        <w:rPr>
          <w:rFonts w:ascii="仿宋" w:eastAsia="仿宋"/>
        </w:rPr>
      </w:pPr>
      <w:bookmarkStart w:id="65" w:name="_Toc15396629"/>
      <w:r>
        <w:rPr>
          <w:rStyle w:val="2Char"/>
          <w:rFonts w:ascii="仿宋" w:eastAsia="仿宋" w:hint="eastAsia"/>
        </w:rPr>
        <w:t>十一、</w:t>
      </w:r>
      <w:r>
        <w:rPr>
          <w:rFonts w:ascii="仿宋" w:eastAsia="仿宋" w:hint="eastAsia"/>
          <w:b w:val="0"/>
        </w:rPr>
        <w:t>政</w:t>
      </w:r>
      <w:r>
        <w:rPr>
          <w:rStyle w:val="2Char"/>
          <w:rFonts w:ascii="仿宋" w:eastAsia="仿宋" w:hint="eastAsia"/>
        </w:rPr>
        <w:t>府性基金预算财政拨款收入支出决算表</w:t>
      </w:r>
      <w:bookmarkEnd w:id="65"/>
    </w:p>
    <w:p>
      <w:pPr>
        <w:pStyle w:val="2"/>
        <w:rPr>
          <w:rFonts w:ascii="仿宋" w:eastAsia="仿宋"/>
        </w:rPr>
      </w:pPr>
      <w:bookmarkStart w:id="66" w:name="_Toc15396630"/>
      <w:r>
        <w:rPr>
          <w:rStyle w:val="2Char"/>
          <w:rFonts w:ascii="仿宋" w:eastAsia="仿宋" w:hint="eastAsia"/>
        </w:rPr>
        <w:t>十二、</w:t>
      </w:r>
      <w:r>
        <w:rPr>
          <w:rFonts w:ascii="仿宋" w:eastAsia="仿宋" w:hint="eastAsia"/>
          <w:b w:val="0"/>
        </w:rPr>
        <w:t>政</w:t>
      </w:r>
      <w:r>
        <w:rPr>
          <w:rStyle w:val="2Char"/>
          <w:rFonts w:ascii="仿宋" w:eastAsia="仿宋" w:hint="eastAsia"/>
        </w:rPr>
        <w:t>府性基金预算财政拨款“三公”经费支出决算表</w:t>
      </w:r>
      <w:bookmarkEnd w:id="66"/>
      <w:r>
        <w:rPr>
          <w:rStyle w:val="2Char"/>
          <w:rFonts w:ascii="仿宋" w:eastAsia="仿宋" w:hint="eastAsia"/>
        </w:rPr>
        <w:t>（此表无数据）</w:t>
      </w:r>
    </w:p>
    <w:p>
      <w:pPr>
        <w:pStyle w:val="2"/>
        <w:rPr>
          <w:rStyle w:val="2Char"/>
          <w:rFonts w:ascii="仿宋" w:eastAsia="仿宋"/>
        </w:rPr>
      </w:pPr>
      <w:bookmarkStart w:id="67" w:name="_Toc15396631"/>
      <w:r>
        <w:rPr>
          <w:rStyle w:val="2Char"/>
          <w:rFonts w:ascii="仿宋" w:eastAsia="仿宋" w:hint="eastAsia"/>
        </w:rPr>
        <w:t>十三、</w:t>
      </w:r>
      <w:r>
        <w:rPr>
          <w:rFonts w:ascii="仿宋" w:eastAsia="仿宋" w:hint="eastAsia"/>
          <w:b w:val="0"/>
        </w:rPr>
        <w:t>国</w:t>
      </w:r>
      <w:r>
        <w:rPr>
          <w:rStyle w:val="2Char"/>
          <w:rFonts w:ascii="仿宋" w:eastAsia="仿宋" w:hint="eastAsia"/>
        </w:rPr>
        <w:t>有资本经营预算财政拨款收入支出决算表</w:t>
      </w:r>
      <w:bookmarkEnd w:id="67"/>
      <w:r>
        <w:rPr>
          <w:rStyle w:val="2Char"/>
          <w:rFonts w:ascii="仿宋" w:eastAsia="仿宋" w:hint="eastAsia"/>
        </w:rPr>
        <w:t>（此表无数据）</w:t>
      </w:r>
    </w:p>
    <w:p>
      <w:pPr>
        <w:rPr>
          <w:rFonts w:eastAsia="仿宋"/>
        </w:rPr>
      </w:pPr>
      <w:r>
        <w:rPr>
          <w:rStyle w:val="2Char"/>
          <w:rFonts w:ascii="仿宋" w:eastAsia="仿宋" w:hint="eastAsia"/>
          <w:b w:val="0"/>
          <w:bCs w:val="0"/>
        </w:rPr>
        <w:t>十四、国有资本经营预算财政拨款支出决算表（此表无数据）</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Arial">
    <w:panose1 w:val="020B0604020202020204"/>
    <w:charset w:val="00"/>
    <w:family w:val="auto"/>
    <w:pitch w:val="variable"/>
    <w:sig w:usb0="00007A87" w:usb1="80000000" w:usb2="00000008"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variable"/>
    <w:sig w:usb0="800002BF" w:usb1="38CF7CFA" w:usb2="00000016" w:usb3="00000000" w:csb0="00040001" w:csb1="00000000"/>
  </w:font>
  <w:font w:name="方正黑体简体">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楷体">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099120028"/>
    </w:sdtPr>
    <w:sdtContent>
      <w:p>
        <w:pPr>
          <w:pStyle w:val="19"/>
          <w:tabs>
            <w:tab w:val="center" w:pos="4153"/>
            <w:tab w:val="right" w:pos="8306"/>
          </w:tabs>
          <w:jc w:val="center"/>
        </w:pPr>
        <w:r>
          <w:fldChar w:fldCharType="begin"/>
        </w:r>
        <w:r>
          <w:instrText>PAGE   \* MERGEFORMAT</w:instrText>
        </w:r>
        <w:r>
          <w:fldChar w:fldCharType="separate"/>
        </w:r>
        <w:r>
          <w:rPr>
            <w:lang w:val="zh-CN"/>
          </w:rPr>
          <w:t>8</w:t>
        </w:r>
        <w:r>
          <w:fldChar w:fldCharType="end"/>
        </w:r>
      </w:p>
    </w:sdtContent>
  </w:sdt>
  <w:p>
    <w:pPr>
      <w:pStyle w:val="19"/>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EBC3DB6"/>
    <w:multiLevelType w:val="multilevel"/>
    <w:tmpl w:val="1EBC3DB6"/>
    <w:lvl w:ilvl="0">
      <w:start w:val="1"/>
      <w:numFmt w:val="japaneseCounting"/>
      <w:lvlRestart w:val="0"/>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cs="黑体" w:hint="eastAsia"/>
        <w:sz w:val="44"/>
        <w:szCs w:val="44"/>
      </w:rPr>
    </w:lvl>
  </w:abstractNum>
  <w:abstractNum w:abstractNumId="4">
    <w:nsid w:val="3E794925"/>
    <w:multiLevelType w:val="singleLevel"/>
    <w:tmpl w:val="3E794925"/>
    <w:lvl w:ilvl="0">
      <w:start w:val="3"/>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YjhjM2U5YmM5YjVhMjdiOGNhZDBkMjNlMmQ4M2Y5MW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Plain Text"/>
    <w:basedOn w:val="0"/>
    <w:rPr>
      <w:rFonts w:ascii="宋体"/>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rFonts w:ascii="Calibri" w:hAnsi="Calibri"/>
      <w:kern w:val="0"/>
      <w:sz w:val="18"/>
      <w:szCs w:val="18"/>
    </w:rPr>
  </w:style>
  <w:style w:type="paragraph" w:styleId="20">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1">
    <w:name w:val="toc 1"/>
    <w:basedOn w:val="0"/>
    <w:next w:val="0"/>
    <w:pPr>
      <w:tabs>
        <w:tab w:val="right" w:leader="dot" w:pos="8296"/>
      </w:tabs>
      <w:spacing w:before="93"/>
      <w:jc w:val="center"/>
    </w:pPr>
    <w:rPr>
      <w:rFonts w:ascii="仿宋" w:eastAsia="仿宋"/>
      <w:sz w:val="28"/>
      <w:szCs w:val="28"/>
    </w:rPr>
  </w:style>
  <w:style w:type="paragraph" w:styleId="22">
    <w:name w:val="toc 2"/>
    <w:basedOn w:val="0"/>
    <w:next w:val="0"/>
    <w:pPr>
      <w:tabs>
        <w:tab w:val="right" w:leader="dot" w:pos="8296"/>
      </w:tabs>
      <w:ind w:leftChars="200" w:left="200"/>
    </w:pPr>
  </w:style>
  <w:style w:type="character" w:styleId="23">
    <w:name w:val="Strong"/>
    <w:basedOn w:val="10"/>
    <w:rPr>
      <w:b/>
    </w:rPr>
  </w:style>
  <w:style w:type="character" w:styleId="24">
    <w:name w:val="Hyperlink"/>
    <w:basedOn w:val="10"/>
    <w:rPr>
      <w:color w:val="0000FF"/>
      <w:u w:val="single"/>
    </w:rPr>
  </w:style>
  <w:style w:type="character" w:customStyle="1" w:styleId="25">
    <w:name w:val="Header Char"/>
    <w:basedOn w:val="10"/>
    <w:rPr>
      <w:rFonts w:ascii="Times New Roman" w:hAnsi="Times New Roman"/>
      <w:sz w:val="18"/>
      <w:szCs w:val="18"/>
    </w:rPr>
  </w:style>
  <w:style w:type="character" w:customStyle="1" w:styleId="26">
    <w:name w:val="Footer Char"/>
    <w:basedOn w:val="10"/>
    <w:rPr>
      <w:rFonts w:ascii="Times New Roman" w:hAnsi="Times New Roman"/>
      <w:sz w:val="18"/>
      <w:szCs w:val="18"/>
    </w:rPr>
  </w:style>
  <w:style w:type="character" w:customStyle="1" w:styleId="27">
    <w:name w:val="Body Text Char"/>
    <w:basedOn w:val="10"/>
    <w:rPr>
      <w:rFonts w:ascii="Times New Roman" w:hAnsi="Times New Roman"/>
      <w:szCs w:val="24"/>
    </w:rPr>
  </w:style>
  <w:style w:type="paragraph" w:customStyle="1" w:styleId="28">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9">
    <w:name w:val="List Paragraph"/>
    <w:basedOn w:val="0"/>
    <w:pPr>
      <w:ind w:firstLineChars="200" w:firstLine="200"/>
    </w:pPr>
  </w:style>
  <w:style w:type="paragraph" w:customStyle="1" w:styleId="30">
    <w:name w:val="TOC 标题1"/>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customStyle="1" w:styleId="31">
    <w:name w:val="TOC 标题2"/>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character" w:customStyle="1" w:styleId="32">
    <w:name w:val="NormalCharacte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50" b="0" i="0" u="none" strike="noStrike" baseline="0">
                <a:solidFill>
                  <a:srgbClr val="000000"/>
                </a:solidFill>
                <a:latin typeface="宋体"/>
                <a:ea typeface="宋体"/>
                <a:cs typeface="Lucida Sans"/>
              </a:defRPr>
            </a:pPr>
            <a:r>
              <a:rPr lang="zh-CN"/>
              <a:t>收、支决算总计变动情况图</a:t>
            </a:r>
          </a:p>
        </c:rich>
      </c:tx>
      <c:layout>
        <c:manualLayout>
          <c:xMode val="edge"/>
          <c:yMode val="edge"/>
          <c:x val="0.36446887"/>
          <c:y val="0.020833334"/>
        </c:manualLayout>
      </c:layout>
      <c:overlay val="0"/>
      <c:spPr>
        <a:noFill/>
        <a:ln>
          <a:noFill/>
        </a:ln>
      </c:spPr>
    </c:title>
    <c:autoTitleDeleted val="1"/>
    <c:plotArea>
      <c:layout>
        <c:manualLayout>
          <c:layoutTarget val="inner"/>
          <c:xMode val="edge"/>
          <c:yMode val="edge"/>
          <c:x val="0.11702383"/>
          <c:y val="0.17982611"/>
          <c:w val="0.78727275"/>
          <c:h val="0.6730769"/>
        </c:manualLayout>
      </c:layout>
      <c:barChart>
        <c:barDir val="col"/>
        <c:grouping val="clustered"/>
        <c:varyColors val="0"/>
        <c:ser>
          <c:idx val="0"/>
          <c:order val="0"/>
          <c:spPr>
            <a:solidFill>
              <a:srgbClr val="9999FF"/>
            </a:solidFill>
            <a:ln w="6350">
              <a:solidFill>
                <a:srgbClr val="000000"/>
              </a:solidFill>
              <a:prstDash val="solid"/>
            </a:ln>
          </c:spPr>
          <c:invertIfNegative val="0"/>
          <c:dLbls>
            <c:spPr>
              <a:noFill/>
              <a:ln>
                <a:noFill/>
              </a:ln>
            </c:spPr>
            <c:txPr>
              <a:bodyPr vert="horz"/>
              <a:lstStyle/>
              <a:p>
                <a:pPr>
                  <a:defRPr sz="650" b="0" i="0" u="none" strike="noStrike" baseline="0">
                    <a:solidFill>
                      <a:srgbClr val="000000"/>
                    </a:solidFill>
                    <a:latin typeface="宋体"/>
                    <a:ea typeface="宋体"/>
                    <a:cs typeface="Lucida Sans"/>
                  </a:defRPr>
                </a:pPr>
                <a:endParaRPr lang="zh-CN"/>
              </a:p>
            </c:txPr>
            <c:numFmt formatCode="General" sourceLinked="1"/>
            <c:dLbl>
              <c:idx val="0"/>
              <c:layout>
                <c:manualLayout>
                  <c:x val="0.0017857143"/>
                  <c:y val="-0.13683432"/>
                </c:manualLayout>
              </c:layout>
              <c:spPr>
                <a:noFill/>
                <a:ln>
                  <a:noFill/>
                </a:ln>
              </c:spPr>
              <c:txPr>
                <a:bodyPr vert="horz"/>
                <a:lstStyle/>
                <a:p>
                  <a:pPr>
                    <a:defRPr sz="650" b="0" i="0" u="none" strike="noStrike" baseline="0">
                      <a:solidFill>
                        <a:srgbClr val="000000"/>
                      </a:solidFill>
                      <a:latin typeface="宋体"/>
                      <a:ea typeface="宋体"/>
                      <a:cs typeface="Lucida Sans"/>
                    </a:defRPr>
                  </a:pPr>
                  <a:endParaRPr lang="zh-CN"/>
                </a:p>
              </c:tx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'Sheet2'!$A$3:$A$4</c:f>
              <c:strCache>
                <c:ptCount val="2"/>
                <c:pt idx="0">
                  <c:v>2020年</c:v>
                </c:pt>
                <c:pt idx="1">
                  <c:v>2021年</c:v>
                </c:pt>
              </c:strCache>
            </c:strRef>
          </c:cat>
          <c:val>
            <c:numRef>
              <c:f>'Sheet2'!$B$3:$B$4</c:f>
              <c:numCache>
                <c:formatCode>General</c:formatCode>
                <c:ptCount val="2"/>
                <c:pt idx="0">
                  <c:v>216.87</c:v>
                </c:pt>
                <c:pt idx="1">
                  <c:v>221.89</c:v>
                </c:pt>
              </c:numCache>
            </c:numRef>
          </c:val>
        </c:ser>
        <c:overlap val="23"/>
        <c:gapWidth val="150"/>
        <c:axId val="0"/>
        <c:axId val="1"/>
      </c:barChart>
      <c:catAx>
        <c:axId val="0"/>
        <c:scaling>
          <c:orientation val="minMax"/>
        </c:scaling>
        <c:delete val="0"/>
        <c:axPos val="b"/>
        <c:numFmt formatCode="General" sourceLinked="1"/>
        <c:majorTickMark val="in"/>
        <c:minorTickMark val="none"/>
        <c:tickLblPos val="nextTo"/>
        <c:spPr>
          <a:ln w="6350">
            <a:solidFill>
              <a:srgbClr val="000000"/>
            </a:solidFill>
            <a:prstDash val="solid"/>
          </a:ln>
        </c:spPr>
        <c:txPr>
          <a:bodyPr rot="0" vert="horz" anchor="t" anchorCtr="0"/>
          <a:lstStyle/>
          <a:p>
            <a:pPr>
              <a:defRPr sz="650" b="0" i="0" u="none" strike="noStrike" baseline="0">
                <a:solidFill>
                  <a:srgbClr val="000000"/>
                </a:solidFill>
                <a:latin typeface="宋体"/>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000000"/>
              </a:solidFill>
              <a:prstDash val="solid"/>
            </a:ln>
          </c:spPr>
        </c:majorGridlines>
        <c:numFmt formatCode="General" sourceLinked="1"/>
        <c:majorTickMark val="in"/>
        <c:minorTickMark val="none"/>
        <c:tickLblPos val="nextTo"/>
        <c:spPr>
          <a:ln w="6350">
            <a:solidFill>
              <a:srgbClr val="000000"/>
            </a:solidFill>
            <a:prstDash val="solid"/>
          </a:ln>
        </c:spPr>
        <c:txPr>
          <a:bodyPr rot="0" vert="horz" anchor="t" anchorCtr="0"/>
          <a:lstStyle/>
          <a:p>
            <a:pPr>
              <a:defRPr sz="650" b="0" i="0" u="none" strike="noStrike" baseline="0">
                <a:solidFill>
                  <a:srgbClr val="000000"/>
                </a:solidFill>
                <a:latin typeface="宋体"/>
                <a:ea typeface="宋体"/>
                <a:cs typeface="Lucida Sans"/>
              </a:defRPr>
            </a:pPr>
            <a:endParaRPr lang="zh-CN"/>
          </a:p>
        </c:txPr>
        <c:crossesAt val="1.0"/>
        <c:crossBetween val="between"/>
        <c:crossAx val="0"/>
      </c:valAx>
      <c:spPr>
        <a:solidFill>
          <a:srgbClr val="C0C0C0"/>
        </a:solidFill>
        <a:ln w="6350">
          <a:solidFill>
            <a:srgbClr val="808080"/>
          </a:solidFill>
          <a:prstDash val="solid"/>
        </a:ln>
      </c:spPr>
    </c:plotArea>
    <c:legend>
      <c:legendPos val="r"/>
      <c:layout>
        <c:manualLayout>
          <c:xMode val="edge"/>
          <c:yMode val="edge"/>
          <c:x val="0.9010989"/>
          <c:y val="0.5208333"/>
          <c:w val="0.093406595"/>
          <c:h val="0.075"/>
        </c:manualLayout>
      </c:layout>
      <c:overlay val="0"/>
      <c:spPr>
        <a:solidFill>
          <a:srgbClr val="FFFFFF"/>
        </a:solidFill>
        <a:ln w="6350">
          <a:solidFill>
            <a:srgbClr val="000000"/>
          </a:solidFill>
          <a:prstDash val="solid"/>
        </a:ln>
      </c:spPr>
      <c:txPr>
        <a:bodyPr/>
        <a:lstStyle/>
        <a:p>
          <a:pPr>
            <a:defRPr sz="600" b="0" i="0" u="none" strike="noStrike" baseline="0">
              <a:solidFill>
                <a:srgbClr val="000000"/>
              </a:solidFill>
              <a:latin typeface="宋体"/>
              <a:ea typeface="宋体"/>
              <a:cs typeface="Lucida Sans"/>
            </a:defRPr>
          </a:pPr>
          <a:endParaRPr lang="zh-CN"/>
        </a:p>
      </c:txPr>
    </c:legend>
    <c:plotVisOnly val="1"/>
    <c:dispBlanksAs val="gap"/>
    <c:showDLblsOverMax val="0"/>
  </c:chart>
  <c:spPr>
    <a:solidFill>
      <a:srgbClr val="FFFFFF"/>
    </a:solidFill>
    <a:ln w="6350">
      <a:solidFill>
        <a:srgbClr val="000000"/>
      </a:solidFill>
      <a:prstDash val="solid"/>
    </a:ln>
  </c:spPr>
  <c:txPr>
    <a:bodyPr/>
    <a:lstStyle/>
    <a:p>
      <a:pPr>
        <a:defRPr sz="65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Times New Roman"/>
                <a:ea typeface="宋体"/>
                <a:cs typeface="Lucida Sans"/>
              </a:defRPr>
            </a:pPr>
            <a:r>
              <a:rPr lang="zh-CN"/>
              <a:t>收入决算结构图</a:t>
            </a:r>
          </a:p>
        </c:rich>
      </c:tx>
      <c:layout>
        <c:manualLayout>
          <c:xMode val="edge"/>
          <c:yMode val="edge"/>
          <c:x val="0.42512077"/>
          <c:y val="0.03816794"/>
        </c:manualLayout>
      </c:layout>
      <c:overlay val="0"/>
      <c:spPr>
        <a:noFill/>
        <a:ln>
          <a:noFill/>
        </a:ln>
      </c:spPr>
    </c:title>
    <c:autoTitleDeleted val="1"/>
    <c:view3D>
      <c:rotX val="30"/>
      <c:hPercent val="100"/>
      <c:rotY val="0"/>
      <c:depthPercent val="100"/>
      <c:rAngAx val="0"/>
      <c:perspective val="0"/>
    </c:view3D>
    <c:floor>
      <c:thickness val="0"/>
      <c:spPr>
        <a:ln>
          <a:noFill/>
        </a:ln>
      </c:spPr>
    </c:floor>
    <c:sideWall>
      <c:thickness val="0"/>
      <c:spPr>
        <a:ln>
          <a:noFill/>
        </a:ln>
      </c:spPr>
    </c:sideWall>
    <c:backWall>
      <c:thickness val="0"/>
      <c:spPr>
        <a:noFill/>
        <a:ln>
          <a:noFill/>
        </a:ln>
      </c:spPr>
    </c:backWall>
    <c:plotArea>
      <c:layout>
        <c:manualLayout>
          <c:layoutTarget val="inner"/>
          <c:xMode val="edge"/>
          <c:yMode val="edge"/>
          <c:x val="0.18196486"/>
          <c:y val="0.35877928"/>
          <c:w val="0.43317297"/>
          <c:h val="0.4083977"/>
        </c:manualLayout>
      </c:layout>
      <c:pie3DChart>
        <c:varyColors val="1"/>
        <c:ser>
          <c:idx val="0"/>
          <c:order val="0"/>
          <c:spPr>
            <a:solidFill>
              <a:srgbClr val="4F81BD"/>
            </a:solidFill>
          </c:spPr>
          <c:explosion val="22"/>
          <c:dPt>
            <c:idx val="0"/>
            <c:bubble3D val="0"/>
            <c:spPr>
              <a:solidFill>
                <a:srgbClr val="4F81BD"/>
              </a:solidFill>
              <a:ln w="25400">
                <a:solidFill>
                  <a:srgbClr val="FFFFFF"/>
                </a:solidFill>
                <a:prstDash val="solid"/>
              </a:ln>
            </c:spPr>
          </c:dPt>
          <c:dPt>
            <c:idx val="1"/>
            <c:bubble3D val="0"/>
            <c:spPr>
              <a:solidFill>
                <a:srgbClr val="C0504D"/>
              </a:solidFill>
              <a:ln w="2540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2"/>
              <c:pt idx="0">
                <c:v>一般公共预算财政</c:v>
              </c:pt>
              <c:pt idx="1">
                <c:v>政府性基金预算财政拨款收入</c:v>
              </c:pt>
            </c:strLit>
          </c:cat>
          <c:val>
            <c:numRef>
              <c:f/>
              <c:numCache>
                <c:formatCode>General</c:formatCode>
                <c:ptCount val="2"/>
                <c:pt idx="0">
                  <c:v>218.15</c:v>
                </c:pt>
                <c:pt idx="1">
                  <c:v>3.74</c:v>
                </c:pt>
              </c:numCache>
            </c:numRef>
          </c:val>
        </c:ser>
        <c:gapDepth val="150"/>
        <c:firstSliceAng val="0"/>
      </c:pie3D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0" i="0" u="none" strike="noStrike" baseline="0">
                <a:solidFill>
                  <a:srgbClr val="000000"/>
                </a:solidFill>
                <a:latin typeface="宋体"/>
                <a:ea typeface="宋体"/>
                <a:cs typeface="Lucida Sans"/>
              </a:defRPr>
            </a:pPr>
            <a:r>
              <a:rPr lang="zh-CN"/>
              <a:t>支出决算结构图</a:t>
            </a:r>
          </a:p>
        </c:rich>
      </c:tx>
      <c:layout>
        <c:manualLayout>
          <c:xMode val="edge"/>
          <c:yMode val="edge"/>
          <c:x val="0.42439863"/>
          <c:y val="0.018181818"/>
        </c:manualLayout>
      </c:layout>
      <c:overlay val="0"/>
      <c:spPr>
        <a:noFill/>
        <a:ln>
          <a:noFill/>
        </a:ln>
      </c:spPr>
    </c:title>
    <c:autoTitleDeleted val="1"/>
    <c:plotArea>
      <c:layout>
        <c:manualLayout>
          <c:layoutTarget val="inner"/>
          <c:xMode val="edge"/>
          <c:yMode val="edge"/>
          <c:x val="0.33676976"/>
          <c:y val="0.3272727"/>
          <c:w val="0.19415808"/>
          <c:h val="0.51363635"/>
        </c:manualLayout>
      </c:layout>
      <c:pieChart>
        <c:varyColors val="1"/>
        <c:ser>
          <c:idx val="0"/>
          <c:order val="0"/>
          <c:spPr>
            <a:solidFill>
              <a:srgbClr val="9999FF"/>
            </a:solidFill>
            <a:ln w="6350">
              <a:solidFill>
                <a:srgbClr val="000000"/>
              </a:solidFill>
              <a:prstDash val="solid"/>
            </a:ln>
          </c:spPr>
          <c:explosion val="25"/>
          <c:dPt>
            <c:idx val="0"/>
            <c:bubble3D val="0"/>
            <c:spPr>
              <a:solidFill>
                <a:srgbClr val="9999FF"/>
              </a:solidFill>
              <a:ln w="6350">
                <a:solidFill>
                  <a:srgbClr val="000000"/>
                </a:solidFill>
                <a:prstDash val="solid"/>
              </a:ln>
            </c:spPr>
          </c:dPt>
          <c:dPt>
            <c:idx val="1"/>
            <c:bubble3D val="0"/>
            <c:spPr>
              <a:solidFill>
                <a:srgbClr val="993366"/>
              </a:solidFill>
              <a:ln w="6350">
                <a:solidFill>
                  <a:srgbClr val="000000"/>
                </a:solidFill>
                <a:prstDash val="solid"/>
              </a:ln>
            </c:spPr>
          </c:dPt>
          <c:dLbls>
            <c:spPr>
              <a:noFill/>
              <a:ln>
                <a:noFill/>
              </a:ln>
            </c:spPr>
            <c:txPr>
              <a:bodyPr vert="horz"/>
              <a:lstStyle/>
              <a:p>
                <a:pPr>
                  <a:defRPr sz="700" b="0" i="0" u="none" strike="noStrike" baseline="0">
                    <a:solidFill>
                      <a:srgbClr val="000000"/>
                    </a:solidFill>
                    <a:latin typeface="宋体"/>
                    <a:ea typeface="宋体"/>
                    <a:cs typeface="Lucida Sans"/>
                  </a:defRPr>
                </a:pPr>
                <a:endParaRPr lang="zh-CN"/>
              </a:p>
            </c:txPr>
            <c:numFmt formatCode="General" sourceLinked="1"/>
            <c:showLegendKey val="0"/>
            <c:showVal val="1"/>
            <c:showCatName val="0"/>
            <c:showSerName val="0"/>
            <c:showPercent val="0"/>
            <c:showBubbleSize val="0"/>
            <c:showLeaderLines val="1"/>
          </c:dLbls>
          <c:cat>
            <c:strRef>
              <c:f>'Sheet2 (2)'!$A$10:$A$11</c:f>
              <c:strCache>
                <c:ptCount val="2"/>
                <c:pt idx="0">
                  <c:v>基本支出</c:v>
                </c:pt>
                <c:pt idx="1">
                  <c:v>项目支出</c:v>
                </c:pt>
              </c:strCache>
            </c:strRef>
          </c:cat>
          <c:val>
            <c:numRef>
              <c:f>'Sheet2 (2)'!$B$10:$B$11</c:f>
              <c:numCache>
                <c:formatCode>General</c:formatCode>
                <c:ptCount val="2"/>
                <c:pt idx="0">
                  <c:v>199.59</c:v>
                </c:pt>
                <c:pt idx="1">
                  <c:v>22.3</c:v>
                </c:pt>
              </c:numCache>
            </c:numRef>
          </c:val>
        </c:ser>
        <c:firstSliceAng val="0"/>
      </c:pieChart>
      <c:spPr>
        <a:noFill/>
        <a:ln>
          <a:noFill/>
        </a:ln>
      </c:spPr>
    </c:plotArea>
    <c:legend>
      <c:legendPos val="r"/>
      <c:layout>
        <c:manualLayout>
          <c:xMode val="edge"/>
          <c:yMode val="edge"/>
          <c:x val="0.87628865"/>
          <c:y val="0.52272725"/>
          <c:w val="0.11512028"/>
          <c:h val="0.16363636"/>
        </c:manualLayout>
      </c:layout>
      <c:overlay val="0"/>
      <c:spPr>
        <a:solidFill>
          <a:srgbClr val="FFFFFF"/>
        </a:solidFill>
        <a:ln w="6350">
          <a:solidFill>
            <a:srgbClr val="000000"/>
          </a:solidFill>
          <a:prstDash val="solid"/>
        </a:ln>
      </c:spPr>
      <c:txPr>
        <a:bodyPr/>
        <a:lstStyle/>
        <a:p>
          <a:pPr>
            <a:defRPr sz="650" b="0" i="0" u="none" strike="noStrike" baseline="0">
              <a:solidFill>
                <a:srgbClr val="000000"/>
              </a:solidFill>
              <a:latin typeface="宋体"/>
              <a:ea typeface="宋体"/>
              <a:cs typeface="Lucida Sans"/>
            </a:defRPr>
          </a:pPr>
          <a:endParaRPr lang="zh-CN"/>
        </a:p>
      </c:txPr>
    </c:legend>
    <c:plotVisOnly val="1"/>
    <c:dispBlanksAs val="zero"/>
    <c:showDLblsOverMax val="0"/>
  </c:chart>
  <c:spPr>
    <a:solidFill>
      <a:srgbClr val="FFFFFF"/>
    </a:solidFill>
    <a:ln w="6350">
      <a:solidFill>
        <a:srgbClr val="000000"/>
      </a:solidFill>
      <a:prstDash val="solid"/>
    </a:ln>
  </c:spPr>
  <c:txPr>
    <a:bodyPr/>
    <a:lstStyle/>
    <a:p>
      <a:pPr>
        <a:defRPr sz="70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0" i="0" u="none" strike="noStrike" baseline="0">
                <a:solidFill>
                  <a:srgbClr val="000000"/>
                </a:solidFill>
                <a:latin typeface="宋体"/>
                <a:ea typeface="宋体"/>
                <a:cs typeface="Lucida Sans"/>
              </a:defRPr>
            </a:pPr>
            <a:r>
              <a:rPr lang="zh-CN"/>
              <a:t>财政拨款收、支决算总计变动情况</a:t>
            </a:r>
          </a:p>
        </c:rich>
      </c:tx>
      <c:layout>
        <c:manualLayout>
          <c:xMode val="edge"/>
          <c:yMode val="edge"/>
          <c:x val="0.33800352"/>
          <c:y val="0.020833334"/>
        </c:manualLayout>
      </c:layout>
      <c:overlay val="0"/>
      <c:spPr>
        <a:noFill/>
        <a:ln>
          <a:noFill/>
        </a:ln>
      </c:spPr>
    </c:title>
    <c:autoTitleDeleted val="1"/>
    <c:plotArea>
      <c:layout>
        <c:manualLayout>
          <c:layoutTarget val="inner"/>
          <c:xMode val="edge"/>
          <c:yMode val="edge"/>
          <c:x val="0.09201389"/>
          <c:y val="0.18846154"/>
          <c:w val="0.8072917"/>
          <c:h val="0.6730769"/>
        </c:manualLayout>
      </c:layout>
      <c:barChart>
        <c:barDir val="col"/>
        <c:grouping val="clustered"/>
        <c:varyColors val="0"/>
        <c:ser>
          <c:idx val="0"/>
          <c:order val="0"/>
          <c:tx>
            <c:strRef>
              <c:f>'Sheet2 (3)'!$A$10</c:f>
              <c:strCache>
                <c:ptCount val="1"/>
                <c:pt idx="0">
                  <c:v>收入</c:v>
                </c:pt>
              </c:strCache>
            </c:strRef>
          </c:tx>
          <c:spPr>
            <a:solidFill>
              <a:srgbClr val="9999FF"/>
            </a:solidFill>
            <a:ln w="6350">
              <a:solidFill>
                <a:srgbClr val="000000"/>
              </a:solidFill>
              <a:prstDash val="solid"/>
            </a:ln>
          </c:spPr>
          <c:invertIfNegative val="0"/>
          <c:dLbls>
            <c:spPr>
              <a:noFill/>
              <a:ln>
                <a:noFill/>
              </a:ln>
            </c:spPr>
            <c:txPr>
              <a:bodyPr vert="horz"/>
              <a:lstStyle/>
              <a:p>
                <a:pPr>
                  <a:defRPr sz="700" b="0" i="0" u="none" strike="noStrike" baseline="0">
                    <a:solidFill>
                      <a:srgbClr val="000000"/>
                    </a:solidFill>
                    <a:latin typeface="宋体"/>
                    <a:ea typeface="宋体"/>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'Sheet2 (3)'!$B$9:$C$9</c:f>
              <c:strCache>
                <c:ptCount val="2"/>
                <c:pt idx="0">
                  <c:v>2020年</c:v>
                </c:pt>
                <c:pt idx="1">
                  <c:v>2021年</c:v>
                </c:pt>
              </c:strCache>
            </c:strRef>
          </c:cat>
          <c:val>
            <c:numRef>
              <c:f>'Sheet2 (3)'!$B$10:$C$10</c:f>
              <c:numCache>
                <c:formatCode>General</c:formatCode>
                <c:ptCount val="2"/>
                <c:pt idx="0">
                  <c:v>216.87</c:v>
                </c:pt>
                <c:pt idx="1">
                  <c:v>221.89</c:v>
                </c:pt>
              </c:numCache>
            </c:numRef>
          </c:val>
        </c:ser>
        <c:ser>
          <c:idx val="1"/>
          <c:order val="1"/>
          <c:tx>
            <c:strRef>
              <c:f>'Sheet2 (3)'!$A$11</c:f>
              <c:strCache>
                <c:ptCount val="1"/>
                <c:pt idx="0">
                  <c:v>支出</c:v>
                </c:pt>
              </c:strCache>
            </c:strRef>
          </c:tx>
          <c:spPr>
            <a:solidFill>
              <a:srgbClr val="993366"/>
            </a:solidFill>
            <a:ln w="6350">
              <a:solidFill>
                <a:srgbClr val="000000"/>
              </a:solidFill>
              <a:prstDash val="solid"/>
            </a:ln>
          </c:spPr>
          <c:invertIfNegative val="0"/>
          <c:dLbls>
            <c:spPr>
              <a:noFill/>
              <a:ln>
                <a:noFill/>
              </a:ln>
            </c:spPr>
            <c:txPr>
              <a:bodyPr vert="horz"/>
              <a:lstStyle/>
              <a:p>
                <a:pPr>
                  <a:defRPr sz="700" b="0" i="0" u="none" strike="noStrike" baseline="0">
                    <a:solidFill>
                      <a:srgbClr val="000000"/>
                    </a:solidFill>
                    <a:latin typeface="宋体"/>
                    <a:ea typeface="宋体"/>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'Sheet2 (3)'!$B$9:$C$9</c:f>
              <c:strCache>
                <c:ptCount val="2"/>
                <c:pt idx="0">
                  <c:v>2020年</c:v>
                </c:pt>
                <c:pt idx="1">
                  <c:v>2021年</c:v>
                </c:pt>
              </c:strCache>
            </c:strRef>
          </c:cat>
          <c:val>
            <c:numRef>
              <c:f>'Sheet2 (3)'!$B$11:$C$11</c:f>
              <c:numCache>
                <c:formatCode>General</c:formatCode>
                <c:ptCount val="2"/>
                <c:pt idx="0">
                  <c:v>216.87</c:v>
                </c:pt>
                <c:pt idx="1">
                  <c:v>221.89</c:v>
                </c:pt>
              </c:numCache>
            </c:numRef>
          </c:val>
        </c:ser>
        <c:gapWidth val="150"/>
        <c:axId val="0"/>
        <c:axId val="1"/>
      </c:barChart>
      <c:catAx>
        <c:axId val="0"/>
        <c:scaling>
          <c:orientation val="minMax"/>
        </c:scaling>
        <c:delete val="0"/>
        <c:axPos val="b"/>
        <c:numFmt formatCode="General" sourceLinked="1"/>
        <c:majorTickMark val="in"/>
        <c:minorTickMark val="none"/>
        <c:tickLblPos val="nextTo"/>
        <c:spPr>
          <a:ln w="6350">
            <a:solidFill>
              <a:srgbClr val="000000"/>
            </a:solidFill>
            <a:prstDash val="solid"/>
          </a:ln>
        </c:spPr>
        <c:txPr>
          <a:bodyPr rot="0" vert="horz" anchor="t" anchorCtr="0"/>
          <a:lstStyle/>
          <a:p>
            <a:pPr>
              <a:defRPr sz="700" b="0" i="0" u="none" strike="noStrike" baseline="0">
                <a:solidFill>
                  <a:srgbClr val="000000"/>
                </a:solidFill>
                <a:latin typeface="宋体"/>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000000"/>
              </a:solidFill>
              <a:prstDash val="solid"/>
            </a:ln>
          </c:spPr>
        </c:majorGridlines>
        <c:numFmt formatCode="General" sourceLinked="1"/>
        <c:majorTickMark val="in"/>
        <c:minorTickMark val="none"/>
        <c:tickLblPos val="nextTo"/>
        <c:spPr>
          <a:ln w="6350">
            <a:solidFill>
              <a:srgbClr val="000000"/>
            </a:solidFill>
            <a:prstDash val="solid"/>
          </a:ln>
        </c:spPr>
        <c:txPr>
          <a:bodyPr rot="0" vert="horz" anchor="t" anchorCtr="0"/>
          <a:lstStyle/>
          <a:p>
            <a:pPr>
              <a:defRPr sz="700" b="0" i="0" u="none" strike="noStrike" baseline="0">
                <a:solidFill>
                  <a:srgbClr val="000000"/>
                </a:solidFill>
                <a:latin typeface="宋体"/>
                <a:ea typeface="宋体"/>
                <a:cs typeface="Lucida Sans"/>
              </a:defRPr>
            </a:pPr>
            <a:endParaRPr lang="zh-CN"/>
          </a:p>
        </c:txPr>
        <c:crossesAt val="1.0"/>
        <c:crossBetween val="between"/>
        <c:crossAx val="0"/>
      </c:valAx>
      <c:spPr>
        <a:solidFill>
          <a:srgbClr val="C0C0C0"/>
        </a:solidFill>
        <a:ln w="6350">
          <a:solidFill>
            <a:srgbClr val="808080"/>
          </a:solidFill>
          <a:prstDash val="solid"/>
        </a:ln>
      </c:spPr>
    </c:plotArea>
    <c:legend>
      <c:legendPos val="r"/>
      <c:layout>
        <c:manualLayout>
          <c:xMode val="edge"/>
          <c:yMode val="edge"/>
          <c:x val="0.91593695"/>
          <c:y val="0.48333332"/>
          <c:w val="0.07530648"/>
          <c:h val="0.15"/>
        </c:manualLayout>
      </c:layout>
      <c:overlay val="0"/>
      <c:spPr>
        <a:solidFill>
          <a:srgbClr val="FFFFFF"/>
        </a:solidFill>
        <a:ln w="6350">
          <a:solidFill>
            <a:srgbClr val="000000"/>
          </a:solidFill>
          <a:prstDash val="solid"/>
        </a:ln>
      </c:spPr>
      <c:txPr>
        <a:bodyPr/>
        <a:lstStyle/>
        <a:p>
          <a:pPr>
            <a:defRPr sz="650" b="0" i="0" u="none" strike="noStrike" baseline="0">
              <a:solidFill>
                <a:srgbClr val="000000"/>
              </a:solidFill>
              <a:latin typeface="宋体"/>
              <a:ea typeface="宋体"/>
              <a:cs typeface="Lucida Sans"/>
            </a:defRPr>
          </a:pPr>
          <a:endParaRPr lang="zh-CN"/>
        </a:p>
      </c:txPr>
    </c:legend>
    <c:plotVisOnly val="1"/>
    <c:dispBlanksAs val="gap"/>
    <c:showDLblsOverMax val="0"/>
  </c:chart>
  <c:spPr>
    <a:solidFill>
      <a:srgbClr val="FFFFFF"/>
    </a:solidFill>
    <a:ln w="6350">
      <a:solidFill>
        <a:srgbClr val="000000"/>
      </a:solidFill>
      <a:prstDash val="solid"/>
    </a:ln>
  </c:spPr>
  <c:txPr>
    <a:bodyPr/>
    <a:lstStyle/>
    <a:p>
      <a:pPr>
        <a:defRPr sz="70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59829"/>
          <c:y val="0.07662835"/>
          <c:w val="0.8"/>
          <c:h val="0.7854406"/>
        </c:manualLayout>
      </c:layout>
      <c:barChart>
        <c:barDir val="col"/>
        <c:grouping val="clustered"/>
        <c:varyColors val="0"/>
        <c:ser>
          <c:idx val="0"/>
          <c:order val="0"/>
          <c:spPr>
            <a:solidFill>
              <a:srgbClr val="9999FF"/>
            </a:solidFill>
            <a:ln w="6350">
              <a:solidFill>
                <a:srgbClr val="000000"/>
              </a:solidFill>
              <a:prstDash val="solid"/>
            </a:ln>
          </c:spPr>
          <c:invertIfNegative val="0"/>
          <c:dLbls>
            <c:spPr>
              <a:noFill/>
              <a:ln>
                <a:noFill/>
              </a:ln>
            </c:spPr>
            <c:txPr>
              <a:bodyPr vert="horz"/>
              <a:lstStyle/>
              <a:p>
                <a:pPr>
                  <a:defRPr sz="700" b="0" i="0" u="none" strike="noStrike" baseline="0">
                    <a:solidFill>
                      <a:srgbClr val="000000"/>
                    </a:solidFill>
                    <a:latin typeface="宋体"/>
                    <a:ea typeface="宋体"/>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'Sheet2 (4)'!$A$3:$A$4</c:f>
              <c:strCache>
                <c:ptCount val="2"/>
                <c:pt idx="0">
                  <c:v>2020年</c:v>
                </c:pt>
                <c:pt idx="1">
                  <c:v>2021年</c:v>
                </c:pt>
              </c:strCache>
            </c:strRef>
          </c:cat>
          <c:val>
            <c:numRef>
              <c:f>'Sheet2 (4)'!$B$3:$B$4</c:f>
              <c:numCache>
                <c:formatCode>General</c:formatCode>
                <c:ptCount val="2"/>
                <c:pt idx="0">
                  <c:v>227.22</c:v>
                </c:pt>
                <c:pt idx="1">
                  <c:v>218.15</c:v>
                </c:pt>
              </c:numCache>
            </c:numRef>
          </c:val>
        </c:ser>
        <c:gapWidth val="150"/>
        <c:axId val="0"/>
        <c:axId val="1"/>
      </c:barChart>
      <c:catAx>
        <c:axId val="0"/>
        <c:scaling>
          <c:orientation val="minMax"/>
        </c:scaling>
        <c:delete val="0"/>
        <c:axPos val="b"/>
        <c:numFmt formatCode="General" sourceLinked="1"/>
        <c:majorTickMark val="in"/>
        <c:minorTickMark val="none"/>
        <c:tickLblPos val="nextTo"/>
        <c:spPr>
          <a:ln w="6350">
            <a:solidFill>
              <a:srgbClr val="000000"/>
            </a:solidFill>
            <a:prstDash val="solid"/>
          </a:ln>
        </c:spPr>
        <c:txPr>
          <a:bodyPr rot="0" vert="horz" anchor="t" anchorCtr="0"/>
          <a:lstStyle/>
          <a:p>
            <a:pPr>
              <a:defRPr sz="700" b="0" i="0" u="none" strike="noStrike" baseline="0">
                <a:solidFill>
                  <a:srgbClr val="000000"/>
                </a:solidFill>
                <a:latin typeface="宋体"/>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000000"/>
              </a:solidFill>
              <a:prstDash val="solid"/>
            </a:ln>
          </c:spPr>
        </c:majorGridlines>
        <c:numFmt formatCode="General" sourceLinked="1"/>
        <c:majorTickMark val="in"/>
        <c:minorTickMark val="none"/>
        <c:tickLblPos val="nextTo"/>
        <c:spPr>
          <a:ln w="6350">
            <a:solidFill>
              <a:srgbClr val="000000"/>
            </a:solidFill>
            <a:prstDash val="solid"/>
          </a:ln>
        </c:spPr>
        <c:txPr>
          <a:bodyPr rot="0" vert="horz" anchor="t" anchorCtr="0"/>
          <a:lstStyle/>
          <a:p>
            <a:pPr>
              <a:defRPr sz="700" b="0" i="0" u="none" strike="noStrike" baseline="0">
                <a:solidFill>
                  <a:srgbClr val="000000"/>
                </a:solidFill>
                <a:latin typeface="宋体"/>
                <a:ea typeface="宋体"/>
                <a:cs typeface="Lucida Sans"/>
              </a:defRPr>
            </a:pPr>
            <a:endParaRPr lang="zh-CN"/>
          </a:p>
        </c:txPr>
        <c:crossesAt val="1.0"/>
        <c:crossBetween val="between"/>
        <c:crossAx val="0"/>
      </c:valAx>
      <c:spPr>
        <a:solidFill>
          <a:srgbClr val="C0C0C0"/>
        </a:solidFill>
        <a:ln w="6350">
          <a:solidFill>
            <a:srgbClr val="808080"/>
          </a:solidFill>
          <a:prstDash val="solid"/>
        </a:ln>
      </c:spPr>
    </c:plotArea>
    <c:legend>
      <c:legendPos val="r"/>
      <c:layout>
        <c:manualLayout>
          <c:xMode val="edge"/>
          <c:yMode val="edge"/>
          <c:x val="0.9070568"/>
          <c:y val="0.46058092"/>
          <c:w val="0.08777969"/>
          <c:h val="0.0746888"/>
        </c:manualLayout>
      </c:layout>
      <c:overlay val="0"/>
      <c:spPr>
        <a:solidFill>
          <a:srgbClr val="FFFFFF"/>
        </a:solidFill>
        <a:ln w="6350">
          <a:solidFill>
            <a:srgbClr val="000000"/>
          </a:solidFill>
          <a:prstDash val="solid"/>
        </a:ln>
      </c:spPr>
      <c:txPr>
        <a:bodyPr/>
        <a:lstStyle/>
        <a:p>
          <a:pPr>
            <a:defRPr sz="650" b="0" i="0" u="none" strike="noStrike" baseline="0">
              <a:solidFill>
                <a:srgbClr val="000000"/>
              </a:solidFill>
              <a:latin typeface="宋体"/>
              <a:ea typeface="宋体"/>
              <a:cs typeface="Lucida Sans"/>
            </a:defRPr>
          </a:pPr>
          <a:endParaRPr lang="zh-CN"/>
        </a:p>
      </c:txPr>
    </c:legend>
    <c:plotVisOnly val="1"/>
    <c:dispBlanksAs val="gap"/>
    <c:showDLblsOverMax val="0"/>
  </c:chart>
  <c:spPr>
    <a:solidFill>
      <a:srgbClr val="FFFFFF"/>
    </a:solidFill>
    <a:ln w="6350">
      <a:solidFill>
        <a:srgbClr val="000000"/>
      </a:solidFill>
      <a:prstDash val="solid"/>
    </a:ln>
  </c:spPr>
  <c:txPr>
    <a:bodyPr/>
    <a:lstStyle/>
    <a:p>
      <a:pPr>
        <a:defRPr sz="70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50" b="0" i="0" u="none" strike="noStrike" baseline="0">
                <a:solidFill>
                  <a:srgbClr val="000000"/>
                </a:solidFill>
                <a:latin typeface="宋体"/>
                <a:ea typeface="宋体"/>
                <a:cs typeface="Lucida Sans"/>
              </a:defRPr>
            </a:pPr>
            <a:r>
              <a:rPr lang="zh-CN"/>
              <a:t>一般公共预算财政拨款支出决算结构</a:t>
            </a:r>
          </a:p>
        </c:rich>
      </c:tx>
      <c:layout>
        <c:manualLayout>
          <c:xMode val="edge"/>
          <c:yMode val="edge"/>
          <c:x val="0.3292683"/>
          <c:y val="0.021551725"/>
        </c:manualLayout>
      </c:layout>
      <c:overlay val="0"/>
      <c:spPr>
        <a:noFill/>
        <a:ln>
          <a:noFill/>
        </a:ln>
      </c:spPr>
    </c:title>
    <c:autoTitleDeleted val="1"/>
    <c:view3D>
      <c:rotX val="15"/>
      <c:hPercent val="100"/>
      <c:rotY val="0"/>
      <c:depthPercent val="100"/>
      <c:rAngAx val="0"/>
      <c:perspective val="0"/>
    </c:view3D>
    <c:floor>
      <c:thickness val="0"/>
      <c:spPr>
        <a:ln w="6350">
          <a:solidFill>
            <a:srgbClr val="898989"/>
          </a:solidFill>
          <a:prstDash val="solid"/>
        </a:ln>
      </c:spPr>
    </c:floor>
    <c:sideWall>
      <c:thickness val="0"/>
      <c:spPr>
        <a:ln>
          <a:noFill/>
        </a:ln>
      </c:spPr>
    </c:sideWall>
    <c:backWall>
      <c:thickness val="0"/>
      <c:spPr>
        <a:noFill/>
        <a:ln>
          <a:noFill/>
        </a:ln>
      </c:spPr>
    </c:backWall>
    <c:plotArea>
      <c:layout>
        <c:manualLayout>
          <c:layoutTarget val="inner"/>
          <c:xMode val="edge"/>
          <c:yMode val="edge"/>
          <c:x val="0.13763066"/>
          <c:y val="0.34051725"/>
          <c:w val="0.4790941"/>
          <c:h val="0.47413793"/>
        </c:manualLayout>
      </c:layout>
      <c:pie3DChart>
        <c:varyColors val="1"/>
        <c:ser>
          <c:idx val="0"/>
          <c:order val="0"/>
          <c:spPr>
            <a:solidFill>
              <a:srgbClr val="9999FF"/>
            </a:solidFill>
            <a:ln w="6350">
              <a:solidFill>
                <a:srgbClr val="000000"/>
              </a:solidFill>
              <a:prstDash val="solid"/>
            </a:ln>
          </c:spPr>
          <c:explosion val="25"/>
          <c:dPt>
            <c:idx val="0"/>
            <c:bubble3D val="0"/>
            <c:spPr>
              <a:solidFill>
                <a:srgbClr val="9999FF"/>
              </a:solidFill>
              <a:ln w="6350">
                <a:solidFill>
                  <a:srgbClr val="000000"/>
                </a:solidFill>
                <a:prstDash val="solid"/>
              </a:ln>
            </c:spPr>
          </c:dPt>
          <c:dPt>
            <c:idx val="1"/>
            <c:bubble3D val="0"/>
            <c:spPr>
              <a:solidFill>
                <a:srgbClr val="993366"/>
              </a:solidFill>
              <a:ln w="6350">
                <a:solidFill>
                  <a:srgbClr val="000000"/>
                </a:solidFill>
                <a:prstDash val="solid"/>
              </a:ln>
            </c:spPr>
          </c:dPt>
          <c:dPt>
            <c:idx val="2"/>
            <c:bubble3D val="0"/>
            <c:spPr>
              <a:solidFill>
                <a:srgbClr val="FFFFCC"/>
              </a:solidFill>
              <a:ln w="6350">
                <a:solidFill>
                  <a:srgbClr val="000000"/>
                </a:solidFill>
                <a:prstDash val="solid"/>
              </a:ln>
            </c:spPr>
          </c:dPt>
          <c:dPt>
            <c:idx val="3"/>
            <c:bubble3D val="0"/>
            <c:spPr>
              <a:solidFill>
                <a:srgbClr val="CCFFFF"/>
              </a:solidFill>
              <a:ln w="6350">
                <a:solidFill>
                  <a:srgbClr val="000000"/>
                </a:solidFill>
                <a:prstDash val="solid"/>
              </a:ln>
            </c:spPr>
          </c:dPt>
          <c:dPt>
            <c:idx val="4"/>
            <c:bubble3D val="0"/>
            <c:spPr>
              <a:solidFill>
                <a:srgbClr val="660066"/>
              </a:solidFill>
              <a:ln w="6350">
                <a:solidFill>
                  <a:srgbClr val="000000"/>
                </a:solidFill>
                <a:prstDash val="solid"/>
              </a:ln>
            </c:spPr>
          </c:dPt>
          <c:dPt>
            <c:idx val="5"/>
            <c:bubble3D val="0"/>
            <c:spPr>
              <a:solidFill>
                <a:srgbClr val="FF8080"/>
              </a:solidFill>
              <a:ln w="6350">
                <a:solidFill>
                  <a:srgbClr val="000000"/>
                </a:solidFill>
                <a:prstDash val="solid"/>
              </a:ln>
            </c:spPr>
          </c:dPt>
          <c:dLbls>
            <c:spPr>
              <a:noFill/>
              <a:ln>
                <a:noFill/>
              </a:ln>
            </c:spPr>
            <c:txPr>
              <a:bodyPr vert="horz"/>
              <a:lstStyle/>
              <a:p>
                <a:pPr>
                  <a:defRPr sz="650" b="0" i="0" u="none" strike="noStrike" baseline="0">
                    <a:solidFill>
                      <a:srgbClr val="000000"/>
                    </a:solidFill>
                    <a:latin typeface="宋体"/>
                    <a:ea typeface="宋体"/>
                    <a:cs typeface="Lucida Sans"/>
                  </a:defRPr>
                </a:pPr>
                <a:endParaRPr lang="zh-CN"/>
              </a:p>
            </c:txPr>
            <c:numFmt formatCode="0%" sourceLinked="0"/>
            <c:showLegendKey val="0"/>
            <c:showVal val="0"/>
            <c:showCatName val="0"/>
            <c:showSerName val="0"/>
            <c:showPercent val="1"/>
            <c:showBubbleSize val="0"/>
            <c:showLeaderLines val="1"/>
          </c:dLbls>
          <c:cat>
            <c:strRef>
              <c:f>'Sheet2 (5)'!$A$2:$A$7</c:f>
              <c:strCache>
                <c:ptCount val="6"/>
                <c:pt idx="0">
                  <c:v>一般公共服务支出</c:v>
                </c:pt>
                <c:pt idx="1">
                  <c:v>住房保障支出</c:v>
                </c:pt>
                <c:pt idx="2">
                  <c:v>社会保障和就业</c:v>
                </c:pt>
                <c:pt idx="3">
                  <c:v>城乡社区支出</c:v>
                </c:pt>
              </c:strCache>
            </c:strRef>
          </c:cat>
          <c:val>
            <c:numRef>
              <c:f>'Sheet2 (5)'!$B$2:$B$7</c:f>
              <c:numCache>
                <c:formatCode>#,##0.00</c:formatCode>
                <c:ptCount val="6"/>
                <c:pt idx="0">
                  <c:v>4.0</c:v>
                </c:pt>
                <c:pt idx="1">
                  <c:v>14.02</c:v>
                </c:pt>
                <c:pt idx="2">
                  <c:v>14.87</c:v>
                </c:pt>
                <c:pt idx="3">
                  <c:v>185.26</c:v>
                </c:pt>
              </c:numCache>
            </c:numRef>
          </c:val>
        </c:ser>
        <c:gapDepth val="150"/>
        <c:firstSliceAng val="0"/>
      </c:pie3DChart>
      <c:spPr>
        <a:noFill/>
        <a:ln>
          <a:noFill/>
        </a:ln>
      </c:spPr>
    </c:plotArea>
    <c:legend>
      <c:legendPos val="r"/>
      <c:layout>
        <c:manualLayout>
          <c:xMode val="edge"/>
          <c:yMode val="edge"/>
          <c:x val="0.75958186"/>
          <c:y val="0.37068966"/>
          <c:w val="0.22996515"/>
          <c:h val="0.44827586"/>
        </c:manualLayout>
      </c:layout>
      <c:overlay val="0"/>
      <c:spPr>
        <a:solidFill>
          <a:srgbClr val="FFFFFF"/>
        </a:solidFill>
        <a:ln w="6350">
          <a:solidFill>
            <a:srgbClr val="000000"/>
          </a:solidFill>
          <a:prstDash val="solid"/>
        </a:ln>
      </c:spPr>
      <c:txPr>
        <a:bodyPr/>
        <a:lstStyle/>
        <a:p>
          <a:pPr>
            <a:defRPr sz="600" b="0" i="0" u="none" strike="noStrike" baseline="0">
              <a:solidFill>
                <a:srgbClr val="000000"/>
              </a:solidFill>
              <a:latin typeface="宋体"/>
              <a:ea typeface="宋体"/>
              <a:cs typeface="Lucida Sans"/>
            </a:defRPr>
          </a:pPr>
          <a:endParaRPr lang="zh-CN"/>
        </a:p>
      </c:txPr>
    </c:legend>
    <c:plotVisOnly val="1"/>
    <c:dispBlanksAs val="zero"/>
    <c:showDLblsOverMax val="0"/>
  </c:chart>
  <c:spPr>
    <a:solidFill>
      <a:srgbClr val="FFFFFF"/>
    </a:solidFill>
    <a:ln w="6350">
      <a:solidFill>
        <a:srgbClr val="000000"/>
      </a:solidFill>
      <a:prstDash val="solid"/>
    </a:ln>
  </c:spPr>
  <c:txPr>
    <a:bodyPr/>
    <a:lstStyle/>
    <a:p>
      <a:pPr>
        <a:defRPr sz="65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50" b="0" i="0" u="none" strike="noStrike" baseline="0">
                <a:solidFill>
                  <a:srgbClr val="000000"/>
                </a:solidFill>
                <a:latin typeface="宋体"/>
                <a:ea typeface="宋体"/>
                <a:cs typeface="Lucida Sans"/>
              </a:defRPr>
            </a:pPr>
            <a:r>
              <a:rPr lang="zh-CN"/>
              <a:t>一般公共预算财政拨款支出决算结构</a:t>
            </a:r>
          </a:p>
        </c:rich>
      </c:tx>
      <c:layout>
        <c:manualLayout>
          <c:xMode val="edge"/>
          <c:yMode val="edge"/>
          <c:x val="0.3292683"/>
          <c:y val="0.021551725"/>
        </c:manualLayout>
      </c:layout>
      <c:overlay val="0"/>
      <c:spPr>
        <a:noFill/>
        <a:ln>
          <a:noFill/>
        </a:ln>
      </c:spPr>
    </c:title>
    <c:autoTitleDeleted val="1"/>
    <c:view3D>
      <c:rotX val="15"/>
      <c:hPercent val="100"/>
      <c:rotY val="0"/>
      <c:depthPercent val="100"/>
      <c:rAngAx val="0"/>
      <c:perspective val="0"/>
    </c:view3D>
    <c:floor>
      <c:thickness val="0"/>
      <c:spPr>
        <a:ln w="6350">
          <a:solidFill>
            <a:srgbClr val="898989"/>
          </a:solidFill>
          <a:prstDash val="solid"/>
        </a:ln>
      </c:spPr>
    </c:floor>
    <c:sideWall>
      <c:thickness val="0"/>
      <c:spPr>
        <a:ln>
          <a:noFill/>
        </a:ln>
      </c:spPr>
    </c:sideWall>
    <c:backWall>
      <c:thickness val="0"/>
      <c:spPr>
        <a:noFill/>
        <a:ln>
          <a:noFill/>
        </a:ln>
      </c:spPr>
    </c:backWall>
    <c:plotArea>
      <c:layout>
        <c:manualLayout>
          <c:layoutTarget val="inner"/>
          <c:xMode val="edge"/>
          <c:yMode val="edge"/>
          <c:x val="0.13763066"/>
          <c:y val="0.34051725"/>
          <c:w val="0.4790941"/>
          <c:h val="0.47413793"/>
        </c:manualLayout>
      </c:layout>
      <c:pie3DChart>
        <c:varyColors val="1"/>
        <c:ser>
          <c:idx val="0"/>
          <c:order val="0"/>
          <c:spPr>
            <a:solidFill>
              <a:srgbClr val="9999FF"/>
            </a:solidFill>
            <a:ln w="6350">
              <a:solidFill>
                <a:srgbClr val="000000"/>
              </a:solidFill>
              <a:prstDash val="solid"/>
            </a:ln>
          </c:spPr>
          <c:explosion val="25"/>
          <c:dPt>
            <c:idx val="0"/>
            <c:bubble3D val="0"/>
            <c:spPr>
              <a:solidFill>
                <a:srgbClr val="9999FF"/>
              </a:solidFill>
              <a:ln w="6350">
                <a:solidFill>
                  <a:srgbClr val="000000"/>
                </a:solidFill>
                <a:prstDash val="solid"/>
              </a:ln>
            </c:spPr>
          </c:dPt>
          <c:dPt>
            <c:idx val="1"/>
            <c:bubble3D val="0"/>
            <c:spPr>
              <a:solidFill>
                <a:srgbClr val="993366"/>
              </a:solidFill>
              <a:ln w="6350">
                <a:solidFill>
                  <a:srgbClr val="000000"/>
                </a:solidFill>
                <a:prstDash val="solid"/>
              </a:ln>
            </c:spPr>
          </c:dPt>
          <c:dPt>
            <c:idx val="2"/>
            <c:bubble3D val="0"/>
            <c:spPr>
              <a:solidFill>
                <a:srgbClr val="FFFFCC"/>
              </a:solidFill>
              <a:ln w="6350">
                <a:solidFill>
                  <a:srgbClr val="000000"/>
                </a:solidFill>
                <a:prstDash val="solid"/>
              </a:ln>
            </c:spPr>
          </c:dPt>
          <c:dPt>
            <c:idx val="3"/>
            <c:bubble3D val="0"/>
            <c:spPr>
              <a:solidFill>
                <a:srgbClr val="CCFFFF"/>
              </a:solidFill>
              <a:ln w="6350">
                <a:solidFill>
                  <a:srgbClr val="000000"/>
                </a:solidFill>
                <a:prstDash val="solid"/>
              </a:ln>
            </c:spPr>
          </c:dPt>
          <c:dPt>
            <c:idx val="4"/>
            <c:bubble3D val="0"/>
            <c:spPr>
              <a:solidFill>
                <a:srgbClr val="660066"/>
              </a:solidFill>
              <a:ln w="6350">
                <a:solidFill>
                  <a:srgbClr val="000000"/>
                </a:solidFill>
                <a:prstDash val="solid"/>
              </a:ln>
            </c:spPr>
          </c:dPt>
          <c:dPt>
            <c:idx val="5"/>
            <c:bubble3D val="0"/>
            <c:spPr>
              <a:solidFill>
                <a:srgbClr val="FF8080"/>
              </a:solidFill>
              <a:ln w="6350">
                <a:solidFill>
                  <a:srgbClr val="000000"/>
                </a:solidFill>
                <a:prstDash val="solid"/>
              </a:ln>
            </c:spPr>
          </c:dPt>
          <c:dLbls>
            <c:spPr>
              <a:noFill/>
              <a:ln>
                <a:noFill/>
              </a:ln>
            </c:spPr>
            <c:txPr>
              <a:bodyPr vert="horz"/>
              <a:lstStyle/>
              <a:p>
                <a:pPr>
                  <a:defRPr sz="650" b="0" i="0" u="none" strike="noStrike" baseline="0">
                    <a:solidFill>
                      <a:srgbClr val="000000"/>
                    </a:solidFill>
                    <a:latin typeface="宋体"/>
                    <a:ea typeface="宋体"/>
                    <a:cs typeface="Lucida Sans"/>
                  </a:defRPr>
                </a:pPr>
                <a:endParaRPr lang="zh-CN"/>
              </a:p>
            </c:txPr>
            <c:numFmt formatCode="0%" sourceLinked="0"/>
            <c:showLegendKey val="0"/>
            <c:showVal val="0"/>
            <c:showCatName val="0"/>
            <c:showSerName val="0"/>
            <c:showPercent val="1"/>
            <c:showBubbleSize val="0"/>
            <c:showLeaderLines val="1"/>
          </c:dLbls>
          <c:cat>
            <c:strRef>
              <c:f>'Sheet2 (6)'!$A$2:$A$7</c:f>
              <c:strCache>
                <c:ptCount val="6"/>
                <c:pt idx="0">
                  <c:v>因公出国（境）经费支出</c:v>
                </c:pt>
                <c:pt idx="1">
                  <c:v>公务用车购置及运行维护费支出</c:v>
                </c:pt>
                <c:pt idx="2">
                  <c:v>公务接待费支出</c:v>
                </c:pt>
              </c:strCache>
            </c:strRef>
          </c:cat>
          <c:val>
            <c:numRef>
              <c:f>'Sheet2 (6)'!$B$2:$B$7</c:f>
              <c:numCache>
                <c:formatCode>#,##0.00</c:formatCode>
                <c:ptCount val="6"/>
                <c:pt idx="0">
                  <c:v>0.0</c:v>
                </c:pt>
                <c:pt idx="1">
                  <c:v>0.0</c:v>
                </c:pt>
                <c:pt idx="2">
                  <c:v>0.37</c:v>
                </c:pt>
              </c:numCache>
            </c:numRef>
          </c:val>
        </c:ser>
        <c:gapDepth val="150"/>
        <c:firstSliceAng val="0"/>
      </c:pie3DChart>
      <c:spPr>
        <a:noFill/>
        <a:ln>
          <a:noFill/>
        </a:ln>
      </c:spPr>
    </c:plotArea>
    <c:legend>
      <c:legendPos val="r"/>
      <c:layout>
        <c:manualLayout>
          <c:xMode val="edge"/>
          <c:yMode val="edge"/>
          <c:x val="0.75958186"/>
          <c:y val="0.37068966"/>
          <c:w val="0.22996515"/>
          <c:h val="0.44827586"/>
        </c:manualLayout>
      </c:layout>
      <c:overlay val="0"/>
      <c:spPr>
        <a:solidFill>
          <a:srgbClr val="FFFFFF"/>
        </a:solidFill>
        <a:ln w="6350">
          <a:solidFill>
            <a:srgbClr val="000000"/>
          </a:solidFill>
          <a:prstDash val="solid"/>
        </a:ln>
      </c:spPr>
      <c:txPr>
        <a:bodyPr/>
        <a:lstStyle/>
        <a:p>
          <a:pPr>
            <a:defRPr sz="600" b="0" i="0" u="none" strike="noStrike" baseline="0">
              <a:solidFill>
                <a:srgbClr val="000000"/>
              </a:solidFill>
              <a:latin typeface="宋体"/>
              <a:ea typeface="宋体"/>
              <a:cs typeface="Lucida Sans"/>
            </a:defRPr>
          </a:pPr>
          <a:endParaRPr lang="zh-CN"/>
        </a:p>
      </c:txPr>
    </c:legend>
    <c:plotVisOnly val="1"/>
    <c:dispBlanksAs val="zero"/>
    <c:showDLblsOverMax val="0"/>
  </c:chart>
  <c:spPr>
    <a:solidFill>
      <a:srgbClr val="FFFFFF"/>
    </a:solidFill>
    <a:ln w="6350">
      <a:solidFill>
        <a:srgbClr val="000000"/>
      </a:solidFill>
      <a:prstDash val="solid"/>
    </a:ln>
  </c:spPr>
  <c:txPr>
    <a:bodyPr/>
    <a:lstStyle/>
    <a:p>
      <a:pPr>
        <a:defRPr sz="65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36</TotalTime>
  <Application>Yozo_Office27021597764231179</Application>
  <Pages>23</Pages>
  <Words>8256</Words>
  <Characters>9483</Characters>
  <Lines>687</Lines>
  <Paragraphs>304</Paragraphs>
  <CharactersWithSpaces>9547</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58</cp:revision>
  <cp:lastPrinted>2022-09-13T01:38:00Z</cp:lastPrinted>
  <dcterms:created xsi:type="dcterms:W3CDTF">2020-08-05T01:49:00Z</dcterms:created>
  <dcterms:modified xsi:type="dcterms:W3CDTF">2023-09-28T08:14:28Z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E36546DD1A48434EA62E5A2A3F7ED37E</vt:lpwstr>
  </property>
</Properties>
</file>