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Toc15306267"/>
    </w:p>
    <w:p/>
    <w:p/>
    <w:p/>
    <w:p>
      <w:pPr>
        <w:adjustRightInd w:val="0"/>
        <w:snapToGrid w:val="0"/>
        <w:spacing w:line="360" w:lineRule="auto"/>
        <w:jc w:val="center"/>
        <w:outlineLvl w:val="0"/>
        <w:rPr>
          <w:rFonts w:asciiTheme="majorEastAsia" w:hAnsiTheme="majorEastAsia" w:eastAsiaTheme="majorEastAsia"/>
          <w:b/>
          <w:color w:val="000000"/>
          <w:sz w:val="72"/>
          <w:szCs w:val="72"/>
        </w:rPr>
      </w:pPr>
      <w:bookmarkStart w:id="1" w:name="_Toc15396597"/>
      <w:bookmarkStart w:id="2" w:name="_Toc15377425"/>
      <w:bookmarkStart w:id="3" w:name="_Toc15377193"/>
      <w:bookmarkStart w:id="4" w:name="_Toc15396475"/>
      <w:bookmarkStart w:id="5" w:name="_Toc15378441"/>
      <w:r>
        <w:rPr>
          <w:rFonts w:hint="eastAsia" w:asciiTheme="majorEastAsia" w:hAnsiTheme="majorEastAsia" w:eastAsiaTheme="majorEastAsia"/>
          <w:b/>
          <w:color w:val="000000"/>
          <w:sz w:val="72"/>
          <w:szCs w:val="72"/>
        </w:rPr>
        <w:t>2021年度</w:t>
      </w:r>
      <w:bookmarkEnd w:id="1"/>
      <w:bookmarkEnd w:id="2"/>
      <w:bookmarkEnd w:id="3"/>
      <w:bookmarkEnd w:id="4"/>
      <w:bookmarkEnd w:id="5"/>
    </w:p>
    <w:p>
      <w:pPr>
        <w:adjustRightInd w:val="0"/>
        <w:snapToGrid w:val="0"/>
        <w:spacing w:line="360" w:lineRule="auto"/>
        <w:jc w:val="center"/>
        <w:outlineLvl w:val="0"/>
        <w:rPr>
          <w:rFonts w:asciiTheme="majorEastAsia" w:hAnsiTheme="majorEastAsia" w:eastAsiaTheme="majorEastAsia"/>
          <w:b/>
          <w:color w:val="000000"/>
          <w:sz w:val="72"/>
          <w:szCs w:val="72"/>
        </w:rPr>
      </w:pPr>
      <w:bookmarkStart w:id="6" w:name="_Toc15378442"/>
      <w:bookmarkStart w:id="7" w:name="_Toc15396598"/>
      <w:bookmarkStart w:id="8" w:name="_Toc15396476"/>
      <w:bookmarkStart w:id="9" w:name="_Toc15377426"/>
      <w:bookmarkStart w:id="10" w:name="_Toc15377194"/>
      <w:r>
        <w:rPr>
          <w:rFonts w:hint="eastAsia" w:asciiTheme="majorEastAsia" w:hAnsiTheme="majorEastAsia" w:eastAsiaTheme="majorEastAsia"/>
          <w:b/>
          <w:color w:val="000000"/>
          <w:sz w:val="72"/>
          <w:szCs w:val="72"/>
        </w:rPr>
        <w:t>四川省</w:t>
      </w:r>
      <w:bookmarkEnd w:id="0"/>
      <w:bookmarkStart w:id="11" w:name="_Toc15306268"/>
      <w:r>
        <w:rPr>
          <w:rFonts w:hint="eastAsia" w:asciiTheme="majorEastAsia" w:hAnsiTheme="majorEastAsia" w:eastAsiaTheme="majorEastAsia"/>
          <w:b/>
          <w:color w:val="000000"/>
          <w:sz w:val="72"/>
          <w:szCs w:val="72"/>
        </w:rPr>
        <w:t>攀</w:t>
      </w:r>
      <w:r>
        <w:rPr>
          <w:rFonts w:asciiTheme="majorEastAsia" w:hAnsiTheme="majorEastAsia" w:eastAsiaTheme="majorEastAsia"/>
          <w:b/>
          <w:color w:val="000000"/>
          <w:sz w:val="72"/>
          <w:szCs w:val="72"/>
        </w:rPr>
        <w:t>枝花</w:t>
      </w:r>
      <w:r>
        <w:rPr>
          <w:rFonts w:hint="eastAsia" w:asciiTheme="majorEastAsia" w:hAnsiTheme="majorEastAsia" w:eastAsiaTheme="majorEastAsia"/>
          <w:b/>
          <w:color w:val="000000"/>
          <w:sz w:val="72"/>
          <w:szCs w:val="72"/>
          <w:lang w:eastAsia="zh-CN"/>
        </w:rPr>
        <w:t>市住房保障和建设项目服务中心</w:t>
      </w:r>
      <w:r>
        <w:rPr>
          <w:rFonts w:hint="eastAsia" w:asciiTheme="majorEastAsia" w:hAnsiTheme="majorEastAsia" w:eastAsiaTheme="majorEastAsia"/>
          <w:b/>
          <w:color w:val="000000"/>
          <w:sz w:val="72"/>
          <w:szCs w:val="72"/>
        </w:rPr>
        <w:t>单位决算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0"/>
      </w:pPr>
      <w:r>
        <w:rPr>
          <w:rFonts w:hint="eastAsia"/>
        </w:rPr>
        <w:t>公开时间：</w:t>
      </w:r>
      <w:r>
        <w:t>202</w:t>
      </w:r>
      <w:r>
        <w:rPr>
          <w:rFonts w:hint="eastAsia"/>
        </w:rPr>
        <w:t>2年9 月9日</w:t>
      </w:r>
    </w:p>
    <w:p/>
    <w:p>
      <w:pPr>
        <w:pStyle w:val="10"/>
        <w:adjustRightInd w:val="0"/>
        <w:snapToGrid w:val="0"/>
        <w:spacing w:before="0" w:line="440" w:lineRule="exact"/>
        <w:jc w:val="left"/>
        <w:rPr>
          <w:rFonts w:ascii="宋体" w:hAnsi="宋体" w:eastAsia="宋体"/>
          <w:sz w:val="24"/>
          <w:szCs w:val="24"/>
        </w:rPr>
      </w:pPr>
      <w:r>
        <w:rPr>
          <w:rFonts w:hint="eastAsia" w:ascii="宋体" w:hAnsi="宋体" w:eastAsia="宋体"/>
          <w:sz w:val="24"/>
          <w:szCs w:val="24"/>
        </w:rPr>
        <w:t>第一部分</w:t>
      </w:r>
      <w:r>
        <w:rPr>
          <w:rFonts w:ascii="宋体" w:hAnsi="宋体" w:eastAsia="宋体"/>
          <w:sz w:val="24"/>
          <w:szCs w:val="24"/>
        </w:rPr>
        <w:t xml:space="preserve"> </w:t>
      </w:r>
      <w:r>
        <w:rPr>
          <w:rFonts w:hint="eastAsia" w:ascii="宋体" w:hAnsi="宋体" w:eastAsia="宋体"/>
          <w:sz w:val="24"/>
          <w:szCs w:val="24"/>
        </w:rPr>
        <w:t>单位概况</w:t>
      </w:r>
      <w:r>
        <w:rPr>
          <w:rFonts w:ascii="宋体" w:hAnsi="宋体" w:eastAsia="宋体"/>
          <w:sz w:val="24"/>
          <w:szCs w:val="24"/>
        </w:rPr>
        <w:tab/>
      </w:r>
      <w:r>
        <w:rPr>
          <w:rFonts w:hint="eastAsia" w:ascii="宋体" w:hAnsi="宋体" w:eastAsia="宋体"/>
          <w:sz w:val="24"/>
          <w:szCs w:val="24"/>
        </w:rPr>
        <w:t>4</w:t>
      </w:r>
    </w:p>
    <w:p>
      <w:pPr>
        <w:pStyle w:val="11"/>
        <w:adjustRightInd w:val="0"/>
        <w:snapToGrid w:val="0"/>
        <w:spacing w:line="440" w:lineRule="exact"/>
        <w:jc w:val="left"/>
        <w:rPr>
          <w:rFonts w:ascii="宋体" w:hAnsi="宋体"/>
          <w:sz w:val="24"/>
          <w:szCs w:val="24"/>
        </w:rPr>
      </w:pPr>
      <w:r>
        <w:rPr>
          <w:rFonts w:hint="eastAsia" w:ascii="宋体" w:hAnsi="宋体"/>
          <w:sz w:val="24"/>
          <w:szCs w:val="24"/>
        </w:rPr>
        <w:t>一、职能简介</w:t>
      </w:r>
      <w:r>
        <w:rPr>
          <w:rFonts w:ascii="宋体" w:hAnsi="宋体"/>
          <w:sz w:val="24"/>
          <w:szCs w:val="24"/>
        </w:rPr>
        <w:tab/>
      </w:r>
      <w:r>
        <w:rPr>
          <w:rFonts w:hint="eastAsia" w:ascii="宋体" w:hAnsi="宋体"/>
          <w:sz w:val="24"/>
          <w:szCs w:val="24"/>
        </w:rPr>
        <w:t>4</w:t>
      </w:r>
    </w:p>
    <w:p>
      <w:pPr>
        <w:pStyle w:val="11"/>
        <w:adjustRightInd w:val="0"/>
        <w:snapToGrid w:val="0"/>
        <w:spacing w:line="440" w:lineRule="exact"/>
        <w:jc w:val="left"/>
        <w:rPr>
          <w:rFonts w:hint="eastAsia" w:ascii="宋体" w:hAnsi="宋体"/>
          <w:sz w:val="24"/>
          <w:szCs w:val="24"/>
        </w:rPr>
      </w:pPr>
      <w:r>
        <w:rPr>
          <w:rFonts w:hint="eastAsia" w:ascii="宋体" w:hAnsi="宋体"/>
          <w:sz w:val="24"/>
          <w:szCs w:val="24"/>
        </w:rPr>
        <w:t>二、2021年重点工作完成情况</w:t>
      </w:r>
      <w:r>
        <w:rPr>
          <w:rFonts w:ascii="宋体" w:hAnsi="宋体"/>
          <w:sz w:val="24"/>
          <w:szCs w:val="24"/>
        </w:rPr>
        <w:tab/>
      </w:r>
      <w:r>
        <w:rPr>
          <w:rFonts w:hint="eastAsia" w:ascii="宋体" w:hAnsi="宋体"/>
          <w:sz w:val="24"/>
          <w:szCs w:val="24"/>
        </w:rPr>
        <w:t>4</w:t>
      </w:r>
    </w:p>
    <w:p>
      <w:pPr>
        <w:pStyle w:val="11"/>
        <w:adjustRightInd w:val="0"/>
        <w:snapToGrid w:val="0"/>
        <w:spacing w:line="440" w:lineRule="exact"/>
        <w:jc w:val="left"/>
        <w:rPr>
          <w:rFonts w:hint="eastAsia" w:ascii="宋体" w:hAnsi="宋体" w:eastAsia="宋体"/>
          <w:sz w:val="24"/>
          <w:szCs w:val="24"/>
          <w:lang w:eastAsia="zh-CN"/>
        </w:rPr>
      </w:pPr>
      <w:r>
        <w:rPr>
          <w:rFonts w:hint="eastAsia" w:ascii="宋体" w:hAnsi="宋体"/>
          <w:sz w:val="24"/>
          <w:szCs w:val="24"/>
          <w:lang w:eastAsia="zh-CN"/>
        </w:rPr>
        <w:t>三</w:t>
      </w:r>
      <w:r>
        <w:rPr>
          <w:rFonts w:hint="eastAsia" w:ascii="宋体" w:hAnsi="宋体"/>
          <w:sz w:val="24"/>
          <w:szCs w:val="24"/>
        </w:rPr>
        <w:t>、</w:t>
      </w:r>
      <w:r>
        <w:rPr>
          <w:rFonts w:hint="eastAsia" w:ascii="宋体" w:hAnsi="宋体"/>
          <w:sz w:val="24"/>
          <w:szCs w:val="24"/>
          <w:lang w:eastAsia="zh-CN"/>
        </w:rPr>
        <w:t>机构设置情况</w:t>
      </w:r>
      <w:r>
        <w:rPr>
          <w:rFonts w:ascii="宋体" w:hAnsi="宋体"/>
          <w:sz w:val="24"/>
          <w:szCs w:val="24"/>
        </w:rPr>
        <w:tab/>
      </w:r>
      <w:r>
        <w:rPr>
          <w:rFonts w:hint="eastAsia" w:ascii="宋体" w:hAnsi="宋体"/>
          <w:sz w:val="24"/>
          <w:szCs w:val="24"/>
          <w:lang w:val="en-US" w:eastAsia="zh-CN"/>
        </w:rPr>
        <w:t>6</w:t>
      </w:r>
    </w:p>
    <w:p>
      <w:pPr>
        <w:pStyle w:val="10"/>
        <w:adjustRightInd w:val="0"/>
        <w:snapToGrid w:val="0"/>
        <w:spacing w:before="0" w:line="440" w:lineRule="exact"/>
        <w:jc w:val="left"/>
        <w:rPr>
          <w:rFonts w:hint="eastAsia" w:ascii="宋体" w:hAnsi="宋体" w:eastAsia="宋体"/>
          <w:sz w:val="24"/>
          <w:szCs w:val="24"/>
          <w:lang w:eastAsia="zh-CN"/>
        </w:rPr>
      </w:pPr>
      <w:r>
        <w:rPr>
          <w:rFonts w:hint="eastAsia" w:ascii="宋体" w:hAnsi="宋体" w:eastAsia="宋体"/>
          <w:sz w:val="24"/>
          <w:szCs w:val="24"/>
        </w:rPr>
        <w:t>第二部分2</w:t>
      </w:r>
      <w:r>
        <w:rPr>
          <w:rFonts w:ascii="宋体" w:hAnsi="宋体" w:eastAsia="宋体"/>
          <w:sz w:val="24"/>
          <w:szCs w:val="24"/>
        </w:rPr>
        <w:t>02</w:t>
      </w:r>
      <w:r>
        <w:rPr>
          <w:rFonts w:hint="eastAsia" w:ascii="宋体" w:hAnsi="宋体" w:eastAsia="宋体"/>
          <w:sz w:val="24"/>
          <w:szCs w:val="24"/>
        </w:rPr>
        <w:t>1年度单位决算情况说明</w:t>
      </w:r>
      <w:r>
        <w:rPr>
          <w:rFonts w:ascii="宋体" w:hAnsi="宋体" w:eastAsia="宋体"/>
          <w:sz w:val="24"/>
          <w:szCs w:val="24"/>
        </w:rPr>
        <w:tab/>
      </w:r>
      <w:r>
        <w:rPr>
          <w:rFonts w:hint="eastAsia" w:ascii="宋体" w:hAnsi="宋体" w:eastAsia="宋体"/>
          <w:sz w:val="24"/>
          <w:szCs w:val="24"/>
          <w:lang w:val="en-US" w:eastAsia="zh-CN"/>
        </w:rPr>
        <w:t>8</w:t>
      </w:r>
    </w:p>
    <w:p>
      <w:pPr>
        <w:pStyle w:val="11"/>
        <w:adjustRightInd w:val="0"/>
        <w:snapToGrid w:val="0"/>
        <w:spacing w:line="440" w:lineRule="exact"/>
        <w:jc w:val="left"/>
        <w:rPr>
          <w:rFonts w:hint="eastAsia" w:ascii="宋体" w:hAnsi="宋体" w:eastAsia="宋体"/>
          <w:sz w:val="24"/>
          <w:szCs w:val="24"/>
          <w:lang w:eastAsia="zh-CN"/>
        </w:rPr>
      </w:pPr>
      <w:r>
        <w:rPr>
          <w:rFonts w:hint="eastAsia" w:ascii="宋体" w:hAnsi="宋体"/>
          <w:sz w:val="24"/>
          <w:szCs w:val="24"/>
        </w:rPr>
        <w:t>一、收入支出决算总体情况说明</w:t>
      </w:r>
      <w:r>
        <w:rPr>
          <w:rFonts w:ascii="宋体" w:hAnsi="宋体"/>
          <w:sz w:val="24"/>
          <w:szCs w:val="24"/>
        </w:rPr>
        <w:tab/>
      </w:r>
      <w:r>
        <w:rPr>
          <w:rFonts w:hint="eastAsia" w:ascii="宋体" w:hAnsi="宋体"/>
          <w:sz w:val="24"/>
          <w:szCs w:val="24"/>
          <w:lang w:val="en-US" w:eastAsia="zh-CN"/>
        </w:rPr>
        <w:t>8</w:t>
      </w:r>
    </w:p>
    <w:p>
      <w:pPr>
        <w:pStyle w:val="11"/>
        <w:adjustRightInd w:val="0"/>
        <w:snapToGrid w:val="0"/>
        <w:spacing w:line="440" w:lineRule="exact"/>
        <w:jc w:val="left"/>
        <w:rPr>
          <w:rFonts w:hint="eastAsia" w:ascii="宋体" w:hAnsi="宋体" w:eastAsia="宋体"/>
          <w:sz w:val="24"/>
          <w:szCs w:val="24"/>
          <w:lang w:eastAsia="zh-CN"/>
        </w:rPr>
      </w:pPr>
      <w:r>
        <w:rPr>
          <w:rFonts w:hint="eastAsia" w:ascii="宋体" w:hAnsi="宋体"/>
          <w:sz w:val="24"/>
          <w:szCs w:val="24"/>
        </w:rPr>
        <w:t>二、收入决算情况说明</w:t>
      </w:r>
      <w:r>
        <w:rPr>
          <w:rFonts w:ascii="宋体" w:hAnsi="宋体"/>
          <w:sz w:val="24"/>
          <w:szCs w:val="24"/>
        </w:rPr>
        <w:tab/>
      </w:r>
      <w:r>
        <w:rPr>
          <w:rFonts w:hint="eastAsia" w:ascii="宋体" w:hAnsi="宋体"/>
          <w:sz w:val="24"/>
          <w:szCs w:val="24"/>
          <w:lang w:val="en-US" w:eastAsia="zh-CN"/>
        </w:rPr>
        <w:t>8</w:t>
      </w:r>
    </w:p>
    <w:p>
      <w:pPr>
        <w:pStyle w:val="11"/>
        <w:adjustRightInd w:val="0"/>
        <w:snapToGrid w:val="0"/>
        <w:spacing w:line="440" w:lineRule="exact"/>
        <w:jc w:val="left"/>
        <w:rPr>
          <w:rFonts w:hint="eastAsia" w:ascii="宋体" w:hAnsi="宋体" w:eastAsia="宋体"/>
          <w:sz w:val="24"/>
          <w:szCs w:val="24"/>
          <w:lang w:eastAsia="zh-CN"/>
        </w:rPr>
      </w:pPr>
      <w:r>
        <w:rPr>
          <w:rFonts w:hint="eastAsia" w:ascii="宋体" w:hAnsi="宋体"/>
          <w:sz w:val="24"/>
          <w:szCs w:val="24"/>
        </w:rPr>
        <w:t>三、支出决算情况说明</w:t>
      </w:r>
      <w:r>
        <w:rPr>
          <w:rFonts w:ascii="宋体" w:hAnsi="宋体"/>
          <w:sz w:val="24"/>
          <w:szCs w:val="24"/>
        </w:rPr>
        <w:tab/>
      </w:r>
      <w:r>
        <w:rPr>
          <w:rFonts w:hint="eastAsia" w:ascii="宋体" w:hAnsi="宋体"/>
          <w:sz w:val="24"/>
          <w:szCs w:val="24"/>
          <w:lang w:val="en-US" w:eastAsia="zh-CN"/>
        </w:rPr>
        <w:t>9</w:t>
      </w:r>
    </w:p>
    <w:p>
      <w:pPr>
        <w:pStyle w:val="11"/>
        <w:adjustRightInd w:val="0"/>
        <w:snapToGrid w:val="0"/>
        <w:spacing w:line="440" w:lineRule="exact"/>
        <w:jc w:val="left"/>
        <w:rPr>
          <w:rFonts w:hint="eastAsia" w:ascii="宋体" w:hAnsi="宋体" w:eastAsia="宋体"/>
          <w:sz w:val="24"/>
          <w:szCs w:val="24"/>
          <w:lang w:eastAsia="zh-CN"/>
        </w:rPr>
      </w:pPr>
      <w:r>
        <w:rPr>
          <w:rFonts w:hint="eastAsia" w:ascii="宋体" w:hAnsi="宋体"/>
          <w:sz w:val="24"/>
          <w:szCs w:val="24"/>
        </w:rPr>
        <w:t>四、财政拨款收入支出决算总体情况说明</w:t>
      </w:r>
      <w:r>
        <w:rPr>
          <w:rFonts w:ascii="宋体" w:hAnsi="宋体"/>
          <w:sz w:val="24"/>
          <w:szCs w:val="24"/>
        </w:rPr>
        <w:tab/>
      </w:r>
      <w:r>
        <w:rPr>
          <w:rFonts w:hint="eastAsia" w:ascii="宋体" w:hAnsi="宋体"/>
          <w:sz w:val="24"/>
          <w:szCs w:val="24"/>
          <w:lang w:val="en-US" w:eastAsia="zh-CN"/>
        </w:rPr>
        <w:t>9</w:t>
      </w:r>
    </w:p>
    <w:p>
      <w:pPr>
        <w:pStyle w:val="11"/>
        <w:adjustRightInd w:val="0"/>
        <w:snapToGrid w:val="0"/>
        <w:spacing w:line="440" w:lineRule="exact"/>
        <w:jc w:val="left"/>
        <w:rPr>
          <w:rFonts w:hint="default" w:ascii="宋体" w:hAnsi="宋体" w:eastAsia="宋体"/>
          <w:sz w:val="24"/>
          <w:szCs w:val="24"/>
          <w:lang w:val="en-US" w:eastAsia="zh-CN"/>
        </w:rPr>
      </w:pPr>
      <w:r>
        <w:rPr>
          <w:rFonts w:hint="eastAsia" w:ascii="宋体" w:hAnsi="宋体"/>
          <w:sz w:val="24"/>
          <w:szCs w:val="24"/>
        </w:rPr>
        <w:t>五、一般公共预算财政拨款支出决算情况说明</w:t>
      </w:r>
      <w:r>
        <w:rPr>
          <w:rFonts w:ascii="宋体" w:hAnsi="宋体"/>
          <w:sz w:val="24"/>
          <w:szCs w:val="24"/>
        </w:rPr>
        <w:tab/>
      </w:r>
      <w:r>
        <w:rPr>
          <w:rFonts w:hint="eastAsia" w:ascii="宋体" w:hAnsi="宋体"/>
          <w:sz w:val="24"/>
          <w:szCs w:val="24"/>
          <w:lang w:val="en-US" w:eastAsia="zh-CN"/>
        </w:rPr>
        <w:t>10</w:t>
      </w:r>
    </w:p>
    <w:p>
      <w:pPr>
        <w:pStyle w:val="11"/>
        <w:adjustRightInd w:val="0"/>
        <w:snapToGrid w:val="0"/>
        <w:spacing w:line="440" w:lineRule="exact"/>
        <w:jc w:val="left"/>
        <w:rPr>
          <w:rFonts w:hint="default" w:ascii="宋体" w:hAnsi="宋体" w:eastAsia="宋体"/>
          <w:sz w:val="24"/>
          <w:szCs w:val="24"/>
          <w:lang w:val="en-US" w:eastAsia="zh-CN"/>
        </w:rPr>
      </w:pPr>
      <w:r>
        <w:rPr>
          <w:rFonts w:hint="eastAsia" w:ascii="宋体" w:hAnsi="宋体"/>
          <w:sz w:val="24"/>
          <w:szCs w:val="24"/>
        </w:rPr>
        <w:t>六、一般公共预算财政拨款基本支出决算情况说明</w:t>
      </w:r>
      <w:r>
        <w:rPr>
          <w:rFonts w:ascii="宋体" w:hAnsi="宋体"/>
          <w:sz w:val="24"/>
          <w:szCs w:val="24"/>
        </w:rPr>
        <w:tab/>
      </w:r>
      <w:r>
        <w:rPr>
          <w:rFonts w:hint="eastAsia" w:ascii="宋体" w:hAnsi="宋体"/>
          <w:sz w:val="24"/>
          <w:szCs w:val="24"/>
          <w:lang w:val="en-US" w:eastAsia="zh-CN"/>
        </w:rPr>
        <w:t>12</w:t>
      </w:r>
    </w:p>
    <w:p>
      <w:pPr>
        <w:pStyle w:val="11"/>
        <w:adjustRightInd w:val="0"/>
        <w:snapToGrid w:val="0"/>
        <w:spacing w:line="440" w:lineRule="exact"/>
        <w:jc w:val="left"/>
        <w:rPr>
          <w:rFonts w:hint="default" w:ascii="宋体" w:hAnsi="宋体" w:eastAsia="宋体"/>
          <w:sz w:val="24"/>
          <w:szCs w:val="24"/>
          <w:lang w:val="en-US" w:eastAsia="zh-CN"/>
        </w:rPr>
      </w:pPr>
      <w:r>
        <w:rPr>
          <w:rFonts w:hint="eastAsia" w:ascii="宋体" w:hAnsi="宋体"/>
          <w:sz w:val="24"/>
          <w:szCs w:val="24"/>
        </w:rPr>
        <w:t>七、</w:t>
      </w:r>
      <w:r>
        <w:rPr>
          <w:rFonts w:ascii="宋体" w:hAnsi="宋体"/>
          <w:sz w:val="24"/>
          <w:szCs w:val="24"/>
        </w:rPr>
        <w:t>“</w:t>
      </w:r>
      <w:r>
        <w:rPr>
          <w:rFonts w:hint="eastAsia" w:ascii="宋体" w:hAnsi="宋体"/>
          <w:sz w:val="24"/>
          <w:szCs w:val="24"/>
        </w:rPr>
        <w:t>三公”经费财政拨款支出决算情况说明</w:t>
      </w:r>
      <w:r>
        <w:rPr>
          <w:rFonts w:ascii="宋体" w:hAnsi="宋体"/>
          <w:sz w:val="24"/>
          <w:szCs w:val="24"/>
        </w:rPr>
        <w:tab/>
      </w:r>
      <w:r>
        <w:rPr>
          <w:rFonts w:hint="eastAsia" w:ascii="宋体" w:hAnsi="宋体"/>
          <w:sz w:val="24"/>
          <w:szCs w:val="24"/>
          <w:lang w:val="en-US" w:eastAsia="zh-CN"/>
        </w:rPr>
        <w:t>12</w:t>
      </w:r>
    </w:p>
    <w:p>
      <w:pPr>
        <w:pStyle w:val="11"/>
        <w:adjustRightInd w:val="0"/>
        <w:snapToGrid w:val="0"/>
        <w:spacing w:line="440" w:lineRule="exact"/>
        <w:jc w:val="left"/>
        <w:rPr>
          <w:rFonts w:hint="default" w:ascii="宋体" w:hAnsi="宋体" w:eastAsia="宋体"/>
          <w:sz w:val="24"/>
          <w:szCs w:val="24"/>
          <w:lang w:val="en-US" w:eastAsia="zh-CN"/>
        </w:rPr>
      </w:pPr>
      <w:r>
        <w:rPr>
          <w:rFonts w:hint="eastAsia" w:ascii="宋体" w:hAnsi="宋体"/>
          <w:sz w:val="24"/>
          <w:szCs w:val="24"/>
        </w:rPr>
        <w:t>八、政府性基金预算支出决算情况说明</w:t>
      </w:r>
      <w:r>
        <w:rPr>
          <w:rFonts w:ascii="宋体" w:hAnsi="宋体"/>
          <w:sz w:val="24"/>
          <w:szCs w:val="24"/>
        </w:rPr>
        <w:tab/>
      </w:r>
      <w:r>
        <w:rPr>
          <w:rFonts w:hint="eastAsia" w:ascii="宋体" w:hAnsi="宋体"/>
          <w:sz w:val="24"/>
          <w:szCs w:val="24"/>
          <w:lang w:val="en-US" w:eastAsia="zh-CN"/>
        </w:rPr>
        <w:t>14</w:t>
      </w:r>
    </w:p>
    <w:p>
      <w:pPr>
        <w:pStyle w:val="11"/>
        <w:adjustRightInd w:val="0"/>
        <w:snapToGrid w:val="0"/>
        <w:spacing w:line="440" w:lineRule="exact"/>
        <w:ind w:leftChars="0"/>
        <w:jc w:val="left"/>
        <w:rPr>
          <w:rFonts w:hint="default" w:ascii="宋体" w:hAnsi="宋体" w:eastAsia="宋体"/>
          <w:sz w:val="24"/>
          <w:szCs w:val="24"/>
          <w:lang w:val="en-US" w:eastAsia="zh-CN"/>
        </w:rPr>
      </w:pPr>
      <w:r>
        <w:rPr>
          <w:rFonts w:hint="eastAsia" w:ascii="宋体" w:hAnsi="宋体"/>
          <w:sz w:val="24"/>
          <w:szCs w:val="24"/>
        </w:rPr>
        <w:t>九、国有资本经营预算支出决算情况说明</w:t>
      </w:r>
      <w:r>
        <w:rPr>
          <w:rFonts w:ascii="宋体" w:hAnsi="宋体"/>
          <w:sz w:val="24"/>
          <w:szCs w:val="24"/>
        </w:rPr>
        <w:tab/>
      </w:r>
      <w:r>
        <w:rPr>
          <w:rFonts w:hint="eastAsia" w:ascii="宋体" w:hAnsi="宋体"/>
          <w:sz w:val="24"/>
          <w:szCs w:val="24"/>
          <w:lang w:val="en-US" w:eastAsia="zh-CN"/>
        </w:rPr>
        <w:t>14</w:t>
      </w:r>
    </w:p>
    <w:p>
      <w:pPr>
        <w:tabs>
          <w:tab w:val="right" w:leader="dot" w:pos="8306"/>
        </w:tabs>
        <w:adjustRightInd w:val="0"/>
        <w:snapToGrid w:val="0"/>
        <w:spacing w:line="440" w:lineRule="exact"/>
        <w:ind w:firstLine="480" w:firstLineChars="200"/>
        <w:jc w:val="left"/>
        <w:rPr>
          <w:rFonts w:hint="default" w:ascii="宋体" w:hAnsi="宋体" w:eastAsia="宋体"/>
          <w:sz w:val="24"/>
          <w:szCs w:val="24"/>
          <w:lang w:val="en-US" w:eastAsia="zh-CN"/>
        </w:rPr>
      </w:pPr>
      <w:r>
        <w:rPr>
          <w:rStyle w:val="16"/>
          <w:rFonts w:hint="eastAsia" w:ascii="宋体" w:hAnsi="宋体"/>
          <w:color w:val="000000"/>
          <w:sz w:val="24"/>
          <w:szCs w:val="24"/>
          <w:u w:val="none"/>
        </w:rPr>
        <w:t>十、</w:t>
      </w:r>
      <w:r>
        <w:rPr>
          <w:rFonts w:hint="eastAsia" w:ascii="宋体" w:hAnsi="宋体"/>
          <w:sz w:val="24"/>
          <w:szCs w:val="24"/>
        </w:rPr>
        <w:t>其他重要事项的情况说明</w:t>
      </w:r>
      <w:r>
        <w:rPr>
          <w:rFonts w:ascii="宋体" w:hAnsi="宋体"/>
          <w:sz w:val="24"/>
          <w:szCs w:val="24"/>
        </w:rPr>
        <w:tab/>
      </w:r>
      <w:r>
        <w:rPr>
          <w:rFonts w:hint="eastAsia" w:ascii="宋体" w:hAnsi="宋体"/>
          <w:sz w:val="24"/>
          <w:szCs w:val="24"/>
          <w:lang w:val="en-US" w:eastAsia="zh-CN"/>
        </w:rPr>
        <w:t>14</w:t>
      </w:r>
    </w:p>
    <w:p>
      <w:pPr>
        <w:pStyle w:val="10"/>
        <w:adjustRightInd w:val="0"/>
        <w:snapToGrid w:val="0"/>
        <w:spacing w:before="0" w:line="440" w:lineRule="exact"/>
        <w:jc w:val="left"/>
        <w:rPr>
          <w:rFonts w:hint="eastAsia" w:ascii="宋体" w:hAnsi="宋体" w:eastAsia="宋体"/>
          <w:sz w:val="24"/>
          <w:szCs w:val="24"/>
          <w:lang w:val="en-US" w:eastAsia="zh-CN"/>
        </w:rPr>
      </w:pPr>
      <w:r>
        <w:rPr>
          <w:rFonts w:hint="eastAsia" w:ascii="宋体" w:hAnsi="宋体" w:eastAsia="宋体"/>
          <w:sz w:val="24"/>
          <w:szCs w:val="24"/>
        </w:rPr>
        <w:t>第三部分</w:t>
      </w:r>
      <w:r>
        <w:rPr>
          <w:rFonts w:ascii="宋体" w:hAnsi="宋体" w:eastAsia="宋体"/>
          <w:sz w:val="24"/>
          <w:szCs w:val="24"/>
        </w:rPr>
        <w:t xml:space="preserve"> </w:t>
      </w:r>
      <w:r>
        <w:rPr>
          <w:rFonts w:hint="eastAsia" w:ascii="宋体" w:hAnsi="宋体" w:eastAsia="宋体"/>
          <w:sz w:val="24"/>
          <w:szCs w:val="24"/>
        </w:rPr>
        <w:t>名词解释</w:t>
      </w:r>
      <w:r>
        <w:rPr>
          <w:rFonts w:ascii="宋体" w:hAnsi="宋体" w:eastAsia="宋体"/>
          <w:sz w:val="24"/>
          <w:szCs w:val="24"/>
        </w:rPr>
        <w:tab/>
      </w:r>
      <w:r>
        <w:rPr>
          <w:rFonts w:hint="eastAsia" w:ascii="宋体" w:hAnsi="宋体" w:eastAsia="宋体"/>
          <w:sz w:val="24"/>
          <w:szCs w:val="24"/>
        </w:rPr>
        <w:t>1</w:t>
      </w:r>
      <w:r>
        <w:rPr>
          <w:rFonts w:hint="eastAsia" w:ascii="宋体" w:hAnsi="宋体" w:eastAsia="宋体"/>
          <w:sz w:val="24"/>
          <w:szCs w:val="24"/>
          <w:lang w:val="en-US" w:eastAsia="zh-CN"/>
        </w:rPr>
        <w:t>7</w:t>
      </w:r>
    </w:p>
    <w:p>
      <w:pPr>
        <w:pStyle w:val="10"/>
        <w:adjustRightInd w:val="0"/>
        <w:snapToGrid w:val="0"/>
        <w:spacing w:before="0" w:line="440" w:lineRule="exact"/>
        <w:jc w:val="left"/>
        <w:rPr>
          <w:rFonts w:hint="default" w:ascii="宋体" w:hAnsi="宋体" w:eastAsia="宋体"/>
          <w:sz w:val="24"/>
          <w:szCs w:val="24"/>
          <w:lang w:val="en-US" w:eastAsia="zh-CN"/>
        </w:rPr>
      </w:pPr>
      <w:r>
        <w:rPr>
          <w:rFonts w:hint="eastAsia" w:ascii="宋体" w:hAnsi="宋体" w:eastAsia="宋体"/>
          <w:sz w:val="24"/>
          <w:szCs w:val="24"/>
        </w:rPr>
        <w:t>第四部分</w:t>
      </w:r>
      <w:r>
        <w:rPr>
          <w:rFonts w:ascii="宋体" w:hAnsi="宋体" w:eastAsia="宋体"/>
          <w:sz w:val="24"/>
          <w:szCs w:val="24"/>
        </w:rPr>
        <w:t xml:space="preserve"> </w:t>
      </w:r>
      <w:r>
        <w:rPr>
          <w:rFonts w:hint="eastAsia" w:ascii="宋体" w:hAnsi="宋体" w:eastAsia="宋体"/>
          <w:sz w:val="24"/>
          <w:szCs w:val="24"/>
        </w:rPr>
        <w:t>附件</w:t>
      </w:r>
      <w:r>
        <w:rPr>
          <w:rFonts w:ascii="宋体" w:hAnsi="宋体" w:eastAsia="宋体"/>
          <w:sz w:val="24"/>
          <w:szCs w:val="24"/>
        </w:rPr>
        <w:tab/>
      </w:r>
      <w:r>
        <w:rPr>
          <w:rFonts w:hint="eastAsia" w:ascii="宋体" w:hAnsi="宋体" w:eastAsia="宋体"/>
          <w:sz w:val="24"/>
          <w:szCs w:val="24"/>
          <w:lang w:val="en-US" w:eastAsia="zh-CN"/>
        </w:rPr>
        <w:t>20</w:t>
      </w:r>
    </w:p>
    <w:p>
      <w:pPr>
        <w:pStyle w:val="10"/>
        <w:adjustRightInd w:val="0"/>
        <w:snapToGrid w:val="0"/>
        <w:spacing w:before="0" w:line="440" w:lineRule="exact"/>
        <w:jc w:val="left"/>
        <w:rPr>
          <w:rFonts w:hint="eastAsia" w:ascii="宋体" w:hAnsi="宋体" w:eastAsia="宋体"/>
          <w:sz w:val="24"/>
          <w:szCs w:val="24"/>
          <w:lang w:val="en-US" w:eastAsia="zh-CN"/>
        </w:rPr>
      </w:pPr>
      <w:r>
        <w:rPr>
          <w:rFonts w:hint="eastAsia" w:ascii="宋体" w:hAnsi="宋体" w:eastAsia="宋体"/>
          <w:sz w:val="24"/>
          <w:szCs w:val="24"/>
        </w:rPr>
        <w:t>第五部分</w:t>
      </w:r>
      <w:r>
        <w:rPr>
          <w:rFonts w:ascii="宋体" w:hAnsi="宋体" w:eastAsia="宋体"/>
          <w:sz w:val="24"/>
          <w:szCs w:val="24"/>
        </w:rPr>
        <w:t xml:space="preserve"> </w:t>
      </w:r>
      <w:r>
        <w:rPr>
          <w:rFonts w:hint="eastAsia" w:ascii="宋体" w:hAnsi="宋体" w:eastAsia="宋体"/>
          <w:sz w:val="24"/>
          <w:szCs w:val="24"/>
        </w:rPr>
        <w:t>附表</w:t>
      </w:r>
      <w:r>
        <w:rPr>
          <w:rFonts w:ascii="宋体" w:hAnsi="宋体" w:eastAsia="宋体"/>
          <w:sz w:val="24"/>
          <w:szCs w:val="24"/>
        </w:rPr>
        <w:tab/>
      </w:r>
      <w:r>
        <w:rPr>
          <w:rFonts w:hint="eastAsia" w:ascii="宋体" w:hAnsi="宋体" w:eastAsia="宋体"/>
          <w:sz w:val="24"/>
          <w:szCs w:val="24"/>
        </w:rPr>
        <w:t>2</w:t>
      </w:r>
      <w:r>
        <w:rPr>
          <w:rFonts w:hint="eastAsia" w:ascii="宋体" w:hAnsi="宋体" w:eastAsia="宋体"/>
          <w:sz w:val="24"/>
          <w:szCs w:val="24"/>
          <w:lang w:val="en-US" w:eastAsia="zh-CN"/>
        </w:rPr>
        <w:t>2</w:t>
      </w:r>
    </w:p>
    <w:p>
      <w:pPr>
        <w:pStyle w:val="11"/>
        <w:adjustRightInd w:val="0"/>
        <w:snapToGrid w:val="0"/>
        <w:spacing w:line="440" w:lineRule="exact"/>
        <w:jc w:val="left"/>
        <w:rPr>
          <w:rFonts w:hint="eastAsia" w:ascii="宋体" w:hAnsi="宋体" w:eastAsia="宋体"/>
          <w:sz w:val="24"/>
          <w:szCs w:val="24"/>
          <w:lang w:val="en-US" w:eastAsia="zh-CN"/>
        </w:rPr>
      </w:pPr>
      <w:r>
        <w:rPr>
          <w:rFonts w:hint="eastAsia" w:ascii="宋体" w:hAnsi="宋体"/>
          <w:sz w:val="24"/>
          <w:szCs w:val="24"/>
        </w:rPr>
        <w:t>一、收入支出决算总表</w:t>
      </w:r>
      <w:r>
        <w:rPr>
          <w:rFonts w:ascii="宋体" w:hAnsi="宋体"/>
          <w:sz w:val="24"/>
          <w:szCs w:val="24"/>
        </w:rPr>
        <w:tab/>
      </w:r>
      <w:r>
        <w:rPr>
          <w:rFonts w:hint="eastAsia" w:ascii="宋体" w:hAnsi="宋体"/>
          <w:sz w:val="24"/>
          <w:szCs w:val="24"/>
        </w:rPr>
        <w:t>2</w:t>
      </w:r>
      <w:r>
        <w:rPr>
          <w:rFonts w:hint="eastAsia" w:ascii="宋体" w:hAnsi="宋体"/>
          <w:sz w:val="24"/>
          <w:szCs w:val="24"/>
          <w:lang w:val="en-US" w:eastAsia="zh-CN"/>
        </w:rPr>
        <w:t>2</w:t>
      </w:r>
    </w:p>
    <w:p>
      <w:pPr>
        <w:pStyle w:val="11"/>
        <w:adjustRightInd w:val="0"/>
        <w:snapToGrid w:val="0"/>
        <w:spacing w:line="440" w:lineRule="exact"/>
        <w:jc w:val="left"/>
        <w:rPr>
          <w:rFonts w:hint="eastAsia" w:ascii="宋体" w:hAnsi="宋体" w:eastAsia="宋体"/>
          <w:sz w:val="24"/>
          <w:szCs w:val="24"/>
          <w:lang w:val="en-US" w:eastAsia="zh-CN"/>
        </w:rPr>
      </w:pPr>
      <w:r>
        <w:rPr>
          <w:rFonts w:hint="eastAsia" w:ascii="宋体" w:hAnsi="宋体"/>
          <w:sz w:val="24"/>
          <w:szCs w:val="24"/>
        </w:rPr>
        <w:t>二、收入决算表</w:t>
      </w:r>
      <w:r>
        <w:rPr>
          <w:rFonts w:ascii="宋体" w:hAnsi="宋体"/>
          <w:sz w:val="24"/>
          <w:szCs w:val="24"/>
        </w:rPr>
        <w:tab/>
      </w:r>
      <w:r>
        <w:rPr>
          <w:rFonts w:hint="eastAsia" w:ascii="宋体" w:hAnsi="宋体"/>
          <w:sz w:val="24"/>
          <w:szCs w:val="24"/>
        </w:rPr>
        <w:t>2</w:t>
      </w:r>
      <w:r>
        <w:rPr>
          <w:rFonts w:hint="eastAsia" w:ascii="宋体" w:hAnsi="宋体"/>
          <w:sz w:val="24"/>
          <w:szCs w:val="24"/>
          <w:lang w:val="en-US" w:eastAsia="zh-CN"/>
        </w:rPr>
        <w:t>2</w:t>
      </w:r>
    </w:p>
    <w:p>
      <w:pPr>
        <w:pStyle w:val="11"/>
        <w:adjustRightInd w:val="0"/>
        <w:snapToGrid w:val="0"/>
        <w:spacing w:line="440" w:lineRule="exact"/>
        <w:jc w:val="left"/>
        <w:rPr>
          <w:rFonts w:hint="eastAsia" w:ascii="宋体" w:hAnsi="宋体" w:eastAsia="宋体"/>
          <w:sz w:val="24"/>
          <w:szCs w:val="24"/>
          <w:lang w:val="en-US" w:eastAsia="zh-CN"/>
        </w:rPr>
      </w:pPr>
      <w:r>
        <w:rPr>
          <w:rFonts w:hint="eastAsia" w:ascii="宋体" w:hAnsi="宋体"/>
          <w:sz w:val="24"/>
          <w:szCs w:val="24"/>
        </w:rPr>
        <w:t>三、支出决算表</w:t>
      </w:r>
      <w:r>
        <w:rPr>
          <w:rFonts w:ascii="宋体" w:hAnsi="宋体"/>
          <w:sz w:val="24"/>
          <w:szCs w:val="24"/>
        </w:rPr>
        <w:tab/>
      </w:r>
      <w:r>
        <w:rPr>
          <w:rFonts w:hint="eastAsia" w:ascii="宋体" w:hAnsi="宋体"/>
          <w:sz w:val="24"/>
          <w:szCs w:val="24"/>
        </w:rPr>
        <w:t>2</w:t>
      </w:r>
      <w:r>
        <w:rPr>
          <w:rFonts w:hint="eastAsia" w:ascii="宋体" w:hAnsi="宋体"/>
          <w:sz w:val="24"/>
          <w:szCs w:val="24"/>
          <w:lang w:val="en-US" w:eastAsia="zh-CN"/>
        </w:rPr>
        <w:t>2</w:t>
      </w:r>
    </w:p>
    <w:p>
      <w:pPr>
        <w:pStyle w:val="11"/>
        <w:adjustRightInd w:val="0"/>
        <w:snapToGrid w:val="0"/>
        <w:spacing w:line="440" w:lineRule="exact"/>
        <w:jc w:val="left"/>
        <w:rPr>
          <w:rFonts w:hint="eastAsia" w:ascii="宋体" w:hAnsi="宋体" w:eastAsia="宋体"/>
          <w:sz w:val="24"/>
          <w:szCs w:val="24"/>
          <w:lang w:val="en-US" w:eastAsia="zh-CN"/>
        </w:rPr>
      </w:pPr>
      <w:r>
        <w:rPr>
          <w:rFonts w:hint="eastAsia" w:ascii="宋体" w:hAnsi="宋体"/>
          <w:sz w:val="24"/>
          <w:szCs w:val="24"/>
        </w:rPr>
        <w:t>四、财政拨款收入支出决算总表</w:t>
      </w:r>
      <w:r>
        <w:rPr>
          <w:rFonts w:ascii="宋体" w:hAnsi="宋体"/>
          <w:sz w:val="24"/>
          <w:szCs w:val="24"/>
        </w:rPr>
        <w:tab/>
      </w:r>
      <w:r>
        <w:rPr>
          <w:rFonts w:hint="eastAsia" w:ascii="宋体" w:hAnsi="宋体"/>
          <w:sz w:val="24"/>
          <w:szCs w:val="24"/>
        </w:rPr>
        <w:t>2</w:t>
      </w:r>
      <w:r>
        <w:rPr>
          <w:rFonts w:hint="eastAsia" w:ascii="宋体" w:hAnsi="宋体"/>
          <w:sz w:val="24"/>
          <w:szCs w:val="24"/>
          <w:lang w:val="en-US" w:eastAsia="zh-CN"/>
        </w:rPr>
        <w:t>2</w:t>
      </w:r>
    </w:p>
    <w:p>
      <w:pPr>
        <w:pStyle w:val="11"/>
        <w:adjustRightInd w:val="0"/>
        <w:snapToGrid w:val="0"/>
        <w:spacing w:line="440" w:lineRule="exact"/>
        <w:jc w:val="left"/>
        <w:rPr>
          <w:rFonts w:hint="eastAsia" w:ascii="宋体" w:hAnsi="宋体" w:eastAsia="宋体"/>
          <w:sz w:val="24"/>
          <w:szCs w:val="24"/>
          <w:lang w:val="en-US" w:eastAsia="zh-CN"/>
        </w:rPr>
      </w:pPr>
      <w:r>
        <w:rPr>
          <w:rFonts w:hint="eastAsia" w:ascii="宋体" w:hAnsi="宋体"/>
          <w:sz w:val="24"/>
          <w:szCs w:val="24"/>
        </w:rPr>
        <w:t>五、财政拨款支出决算明细表</w:t>
      </w:r>
      <w:r>
        <w:rPr>
          <w:rFonts w:ascii="宋体" w:hAnsi="宋体"/>
          <w:sz w:val="24"/>
          <w:szCs w:val="24"/>
        </w:rPr>
        <w:tab/>
      </w:r>
      <w:r>
        <w:rPr>
          <w:rFonts w:hint="eastAsia" w:ascii="宋体" w:hAnsi="宋体"/>
          <w:sz w:val="24"/>
          <w:szCs w:val="24"/>
        </w:rPr>
        <w:t>2</w:t>
      </w:r>
      <w:r>
        <w:rPr>
          <w:rFonts w:hint="eastAsia" w:ascii="宋体" w:hAnsi="宋体"/>
          <w:sz w:val="24"/>
          <w:szCs w:val="24"/>
          <w:lang w:val="en-US" w:eastAsia="zh-CN"/>
        </w:rPr>
        <w:t>2</w:t>
      </w:r>
    </w:p>
    <w:p>
      <w:pPr>
        <w:pStyle w:val="11"/>
        <w:adjustRightInd w:val="0"/>
        <w:snapToGrid w:val="0"/>
        <w:spacing w:line="440" w:lineRule="exact"/>
        <w:jc w:val="left"/>
        <w:rPr>
          <w:rFonts w:hint="eastAsia" w:ascii="宋体" w:hAnsi="宋体" w:eastAsia="宋体"/>
          <w:sz w:val="24"/>
          <w:szCs w:val="24"/>
          <w:lang w:val="en-US" w:eastAsia="zh-CN"/>
        </w:rPr>
      </w:pPr>
      <w:r>
        <w:rPr>
          <w:rFonts w:hint="eastAsia" w:ascii="宋体" w:hAnsi="宋体"/>
          <w:sz w:val="24"/>
          <w:szCs w:val="24"/>
        </w:rPr>
        <w:t>六、一般公共预算财政拨款支出决算表</w:t>
      </w:r>
      <w:r>
        <w:rPr>
          <w:rFonts w:ascii="宋体" w:hAnsi="宋体"/>
          <w:sz w:val="24"/>
          <w:szCs w:val="24"/>
        </w:rPr>
        <w:tab/>
      </w:r>
      <w:r>
        <w:rPr>
          <w:rFonts w:hint="eastAsia" w:ascii="宋体" w:hAnsi="宋体"/>
          <w:sz w:val="24"/>
          <w:szCs w:val="24"/>
        </w:rPr>
        <w:t>2</w:t>
      </w:r>
      <w:r>
        <w:rPr>
          <w:rFonts w:hint="eastAsia" w:ascii="宋体" w:hAnsi="宋体"/>
          <w:sz w:val="24"/>
          <w:szCs w:val="24"/>
          <w:lang w:val="en-US" w:eastAsia="zh-CN"/>
        </w:rPr>
        <w:t>2</w:t>
      </w:r>
    </w:p>
    <w:p>
      <w:pPr>
        <w:pStyle w:val="11"/>
        <w:adjustRightInd w:val="0"/>
        <w:snapToGrid w:val="0"/>
        <w:spacing w:line="440" w:lineRule="exact"/>
        <w:jc w:val="left"/>
        <w:rPr>
          <w:rFonts w:hint="eastAsia" w:ascii="宋体" w:hAnsi="宋体" w:eastAsia="宋体"/>
          <w:sz w:val="24"/>
          <w:szCs w:val="24"/>
          <w:lang w:val="en-US" w:eastAsia="zh-CN"/>
        </w:rPr>
      </w:pPr>
      <w:r>
        <w:rPr>
          <w:rFonts w:hint="eastAsia" w:ascii="宋体" w:hAnsi="宋体"/>
          <w:sz w:val="24"/>
          <w:szCs w:val="24"/>
        </w:rPr>
        <w:t>七、一般公共预算财政拨款支出决算明细表</w:t>
      </w:r>
      <w:r>
        <w:rPr>
          <w:rFonts w:ascii="宋体" w:hAnsi="宋体"/>
          <w:sz w:val="24"/>
          <w:szCs w:val="24"/>
        </w:rPr>
        <w:tab/>
      </w:r>
      <w:r>
        <w:rPr>
          <w:rFonts w:hint="eastAsia" w:ascii="宋体" w:hAnsi="宋体"/>
          <w:sz w:val="24"/>
          <w:szCs w:val="24"/>
        </w:rPr>
        <w:t>2</w:t>
      </w:r>
      <w:r>
        <w:rPr>
          <w:rFonts w:hint="eastAsia" w:ascii="宋体" w:hAnsi="宋体"/>
          <w:sz w:val="24"/>
          <w:szCs w:val="24"/>
          <w:lang w:val="en-US" w:eastAsia="zh-CN"/>
        </w:rPr>
        <w:t>2</w:t>
      </w:r>
    </w:p>
    <w:p>
      <w:pPr>
        <w:pStyle w:val="11"/>
        <w:adjustRightInd w:val="0"/>
        <w:snapToGrid w:val="0"/>
        <w:spacing w:line="440" w:lineRule="exact"/>
        <w:jc w:val="left"/>
        <w:rPr>
          <w:rFonts w:hint="eastAsia" w:ascii="宋体" w:hAnsi="宋体" w:eastAsia="宋体"/>
          <w:sz w:val="24"/>
          <w:szCs w:val="24"/>
          <w:lang w:val="en-US" w:eastAsia="zh-CN"/>
        </w:rPr>
      </w:pPr>
      <w:r>
        <w:rPr>
          <w:rFonts w:hint="eastAsia" w:ascii="宋体" w:hAnsi="宋体"/>
          <w:sz w:val="24"/>
          <w:szCs w:val="24"/>
        </w:rPr>
        <w:t>八、一般公共预算财政拨款基本支出决算表</w:t>
      </w:r>
      <w:r>
        <w:rPr>
          <w:rFonts w:ascii="宋体" w:hAnsi="宋体"/>
          <w:sz w:val="24"/>
          <w:szCs w:val="24"/>
        </w:rPr>
        <w:tab/>
      </w:r>
      <w:r>
        <w:rPr>
          <w:rFonts w:hint="eastAsia" w:ascii="宋体" w:hAnsi="宋体"/>
          <w:sz w:val="24"/>
          <w:szCs w:val="24"/>
        </w:rPr>
        <w:t>2</w:t>
      </w:r>
      <w:r>
        <w:rPr>
          <w:rFonts w:hint="eastAsia" w:ascii="宋体" w:hAnsi="宋体"/>
          <w:sz w:val="24"/>
          <w:szCs w:val="24"/>
          <w:lang w:val="en-US" w:eastAsia="zh-CN"/>
        </w:rPr>
        <w:t>2</w:t>
      </w:r>
    </w:p>
    <w:p>
      <w:pPr>
        <w:pStyle w:val="11"/>
        <w:adjustRightInd w:val="0"/>
        <w:snapToGrid w:val="0"/>
        <w:spacing w:line="440" w:lineRule="exact"/>
        <w:jc w:val="left"/>
        <w:rPr>
          <w:rFonts w:hint="eastAsia" w:ascii="宋体" w:hAnsi="宋体" w:eastAsia="宋体"/>
          <w:sz w:val="24"/>
          <w:lang w:val="en-US" w:eastAsia="zh-CN"/>
        </w:rPr>
      </w:pPr>
      <w:r>
        <w:rPr>
          <w:rFonts w:hint="eastAsia" w:ascii="宋体" w:hAnsi="宋体"/>
          <w:sz w:val="24"/>
        </w:rPr>
        <w:t>九、一般公共预算财政拨款项目支出决算表</w:t>
      </w:r>
      <w:r>
        <w:rPr>
          <w:rFonts w:ascii="宋体" w:hAnsi="宋体"/>
          <w:sz w:val="24"/>
        </w:rPr>
        <w:tab/>
      </w:r>
      <w:r>
        <w:rPr>
          <w:rFonts w:hint="eastAsia" w:ascii="宋体" w:hAnsi="宋体"/>
          <w:sz w:val="24"/>
        </w:rPr>
        <w:t>2</w:t>
      </w:r>
      <w:r>
        <w:rPr>
          <w:rFonts w:hint="eastAsia" w:ascii="宋体" w:hAnsi="宋体"/>
          <w:sz w:val="24"/>
          <w:lang w:val="en-US" w:eastAsia="zh-CN"/>
        </w:rPr>
        <w:t>2</w:t>
      </w:r>
    </w:p>
    <w:p>
      <w:pPr>
        <w:pStyle w:val="11"/>
        <w:adjustRightInd w:val="0"/>
        <w:snapToGrid w:val="0"/>
        <w:spacing w:line="440" w:lineRule="exact"/>
        <w:jc w:val="left"/>
        <w:rPr>
          <w:rFonts w:hint="eastAsia" w:ascii="宋体" w:hAnsi="宋体" w:eastAsia="宋体"/>
          <w:sz w:val="24"/>
          <w:lang w:val="en-US" w:eastAsia="zh-CN"/>
        </w:rPr>
      </w:pPr>
      <w:r>
        <w:rPr>
          <w:rFonts w:hint="eastAsia" w:ascii="宋体" w:hAnsi="宋体"/>
          <w:sz w:val="24"/>
        </w:rPr>
        <w:t>十、一般公共预算财政拨款“三公”经费支出决算表</w:t>
      </w:r>
      <w:r>
        <w:rPr>
          <w:rFonts w:ascii="宋体" w:hAnsi="宋体"/>
          <w:sz w:val="24"/>
        </w:rPr>
        <w:tab/>
      </w:r>
      <w:r>
        <w:rPr>
          <w:rFonts w:hint="eastAsia" w:ascii="宋体" w:hAnsi="宋体"/>
          <w:sz w:val="24"/>
        </w:rPr>
        <w:t>2</w:t>
      </w:r>
      <w:r>
        <w:rPr>
          <w:rFonts w:hint="eastAsia" w:ascii="宋体" w:hAnsi="宋体"/>
          <w:sz w:val="24"/>
          <w:lang w:val="en-US" w:eastAsia="zh-CN"/>
        </w:rPr>
        <w:t>2</w:t>
      </w:r>
    </w:p>
    <w:p>
      <w:pPr>
        <w:pStyle w:val="11"/>
        <w:adjustRightInd w:val="0"/>
        <w:snapToGrid w:val="0"/>
        <w:spacing w:line="440" w:lineRule="exact"/>
        <w:jc w:val="left"/>
        <w:rPr>
          <w:rFonts w:hint="eastAsia" w:ascii="宋体" w:hAnsi="宋体" w:eastAsia="宋体"/>
          <w:sz w:val="24"/>
          <w:lang w:val="en-US" w:eastAsia="zh-CN"/>
        </w:rPr>
      </w:pPr>
      <w:r>
        <w:rPr>
          <w:rFonts w:hint="eastAsia" w:ascii="宋体" w:hAnsi="宋体"/>
          <w:sz w:val="24"/>
        </w:rPr>
        <w:t>十一、政府性基金预算财政拨款收入支出决算表</w:t>
      </w:r>
      <w:r>
        <w:rPr>
          <w:rFonts w:ascii="宋体" w:hAnsi="宋体"/>
          <w:sz w:val="24"/>
        </w:rPr>
        <w:tab/>
      </w:r>
      <w:r>
        <w:rPr>
          <w:rFonts w:hint="eastAsia" w:ascii="宋体" w:hAnsi="宋体"/>
          <w:sz w:val="24"/>
        </w:rPr>
        <w:t>2</w:t>
      </w:r>
      <w:r>
        <w:rPr>
          <w:rFonts w:hint="eastAsia" w:ascii="宋体" w:hAnsi="宋体"/>
          <w:sz w:val="24"/>
          <w:lang w:val="en-US" w:eastAsia="zh-CN"/>
        </w:rPr>
        <w:t>2</w:t>
      </w:r>
    </w:p>
    <w:p>
      <w:pPr>
        <w:pStyle w:val="11"/>
        <w:tabs>
          <w:tab w:val="right" w:leader="dot" w:pos="8306"/>
          <w:tab w:val="clear" w:pos="8296"/>
        </w:tabs>
        <w:adjustRightInd w:val="0"/>
        <w:snapToGrid w:val="0"/>
        <w:spacing w:line="440" w:lineRule="exact"/>
        <w:jc w:val="left"/>
        <w:rPr>
          <w:rFonts w:hint="eastAsia" w:ascii="宋体" w:hAnsi="宋体" w:eastAsia="宋体"/>
          <w:sz w:val="24"/>
          <w:lang w:val="en-US" w:eastAsia="zh-CN"/>
        </w:rPr>
      </w:pPr>
      <w:r>
        <w:rPr>
          <w:rFonts w:hint="eastAsia" w:ascii="宋体" w:hAnsi="宋体"/>
          <w:sz w:val="24"/>
        </w:rPr>
        <w:t>十二、政府性基金预算财政拨款“三公”经费支出决算表</w:t>
      </w:r>
      <w:r>
        <w:rPr>
          <w:rFonts w:ascii="宋体" w:hAnsi="宋体"/>
          <w:sz w:val="24"/>
        </w:rPr>
        <w:tab/>
      </w:r>
      <w:r>
        <w:rPr>
          <w:rFonts w:hint="eastAsia" w:ascii="宋体" w:hAnsi="宋体"/>
          <w:sz w:val="24"/>
        </w:rPr>
        <w:t>2</w:t>
      </w:r>
      <w:r>
        <w:rPr>
          <w:rFonts w:hint="eastAsia" w:ascii="宋体" w:hAnsi="宋体"/>
          <w:sz w:val="24"/>
          <w:lang w:val="en-US" w:eastAsia="zh-CN"/>
        </w:rPr>
        <w:t>2</w:t>
      </w:r>
    </w:p>
    <w:p>
      <w:pPr>
        <w:pStyle w:val="11"/>
        <w:adjustRightInd w:val="0"/>
        <w:snapToGrid w:val="0"/>
        <w:spacing w:line="440" w:lineRule="exact"/>
        <w:jc w:val="left"/>
        <w:rPr>
          <w:rFonts w:hint="eastAsia" w:ascii="宋体" w:hAnsi="宋体" w:eastAsia="宋体"/>
          <w:sz w:val="24"/>
          <w:lang w:val="en-US" w:eastAsia="zh-CN"/>
        </w:rPr>
      </w:pPr>
      <w:r>
        <w:rPr>
          <w:rFonts w:hint="eastAsia" w:ascii="宋体" w:hAnsi="宋体"/>
          <w:sz w:val="24"/>
        </w:rPr>
        <w:t>十三、国有资本经营预算财政拨款收入支出决算表</w:t>
      </w:r>
      <w:r>
        <w:rPr>
          <w:rFonts w:hint="eastAsia" w:ascii="宋体" w:hAnsi="宋体"/>
          <w:sz w:val="24"/>
        </w:rPr>
        <w:tab/>
      </w:r>
      <w:r>
        <w:rPr>
          <w:rFonts w:hint="eastAsia" w:ascii="宋体" w:hAnsi="宋体"/>
          <w:sz w:val="24"/>
        </w:rPr>
        <w:t>2</w:t>
      </w:r>
      <w:r>
        <w:rPr>
          <w:rFonts w:hint="eastAsia" w:ascii="宋体" w:hAnsi="宋体"/>
          <w:sz w:val="24"/>
          <w:lang w:val="en-US" w:eastAsia="zh-CN"/>
        </w:rPr>
        <w:t>2</w:t>
      </w:r>
    </w:p>
    <w:p>
      <w:pPr>
        <w:pStyle w:val="11"/>
        <w:adjustRightInd w:val="0"/>
        <w:snapToGrid w:val="0"/>
        <w:spacing w:line="440" w:lineRule="exact"/>
        <w:jc w:val="left"/>
        <w:rPr>
          <w:rFonts w:hint="eastAsia" w:ascii="宋体" w:hAnsi="宋体" w:eastAsia="宋体"/>
          <w:sz w:val="24"/>
          <w:lang w:val="en-US" w:eastAsia="zh-CN"/>
        </w:rPr>
      </w:pPr>
      <w:r>
        <w:rPr>
          <w:rFonts w:hint="eastAsia" w:ascii="宋体" w:hAnsi="宋体"/>
          <w:sz w:val="24"/>
        </w:rPr>
        <w:t>十四、国有资本经营预算财政拨款支出决算表</w:t>
      </w:r>
      <w:r>
        <w:rPr>
          <w:rFonts w:hint="eastAsia" w:ascii="宋体" w:hAnsi="宋体"/>
          <w:sz w:val="24"/>
        </w:rPr>
        <w:tab/>
      </w:r>
      <w:r>
        <w:rPr>
          <w:rFonts w:hint="eastAsia" w:ascii="宋体" w:hAnsi="宋体"/>
          <w:sz w:val="24"/>
        </w:rPr>
        <w:t>2</w:t>
      </w:r>
      <w:r>
        <w:rPr>
          <w:rFonts w:hint="eastAsia" w:ascii="宋体" w:hAnsi="宋体"/>
          <w:sz w:val="24"/>
          <w:lang w:val="en-US" w:eastAsia="zh-CN"/>
        </w:rPr>
        <w:t>2</w:t>
      </w:r>
      <w:bookmarkStart w:id="59" w:name="_GoBack"/>
      <w:bookmarkEnd w:id="59"/>
    </w:p>
    <w:p>
      <w:pPr>
        <w:widowControl/>
        <w:jc w:val="left"/>
        <w:rPr>
          <w:rFonts w:ascii="宋体" w:hAnsi="宋体"/>
          <w:bCs/>
          <w:kern w:val="44"/>
          <w:sz w:val="44"/>
          <w:szCs w:val="44"/>
        </w:rPr>
      </w:pPr>
      <w:bookmarkStart w:id="12" w:name="_Toc15396599"/>
      <w:bookmarkStart w:id="13" w:name="_Toc15377196"/>
      <w:r>
        <w:rPr>
          <w:rFonts w:ascii="宋体" w:hAnsi="宋体"/>
          <w:b/>
        </w:rPr>
        <w:br w:type="page"/>
      </w:r>
    </w:p>
    <w:p>
      <w:pPr>
        <w:pStyle w:val="3"/>
        <w:spacing w:line="640" w:lineRule="exact"/>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单位概况</w:t>
      </w:r>
      <w:bookmarkEnd w:id="12"/>
      <w:bookmarkEnd w:id="13"/>
    </w:p>
    <w:p>
      <w:pPr>
        <w:rPr>
          <w:rFonts w:hint="default" w:eastAsia="黑体"/>
          <w:lang w:val="en-US" w:eastAsia="zh-CN"/>
        </w:rPr>
      </w:pPr>
      <w:r>
        <w:rPr>
          <w:rStyle w:val="26"/>
          <w:rFonts w:hint="eastAsia" w:ascii="黑体" w:hAnsi="黑体" w:eastAsia="黑体"/>
          <w:b w:val="0"/>
          <w:bCs w:val="0"/>
          <w:lang w:val="en-US" w:eastAsia="zh-CN"/>
        </w:rPr>
        <w:t xml:space="preserve">    一、职能简介</w:t>
      </w:r>
    </w:p>
    <w:p>
      <w:pPr>
        <w:snapToGrid w:val="0"/>
        <w:spacing w:line="640" w:lineRule="exact"/>
        <w:ind w:firstLine="640" w:firstLineChars="200"/>
        <w:rPr>
          <w:rFonts w:ascii="仿宋" w:hAnsi="仿宋" w:eastAsia="仿宋"/>
          <w:sz w:val="32"/>
          <w:szCs w:val="32"/>
        </w:rPr>
      </w:pPr>
      <w:bookmarkStart w:id="14" w:name="_Toc15377198"/>
      <w:bookmarkStart w:id="15" w:name="_Toc15378445"/>
      <w:r>
        <w:rPr>
          <w:rFonts w:hint="eastAsia" w:ascii="仿宋" w:hAnsi="仿宋" w:eastAsia="仿宋" w:cs="方正仿宋_GBK-WinCharSetFFFF-H"/>
          <w:sz w:val="32"/>
          <w:szCs w:val="32"/>
        </w:rPr>
        <w:t>攀枝花</w:t>
      </w:r>
      <w:r>
        <w:rPr>
          <w:rFonts w:hint="eastAsia" w:ascii="仿宋" w:hAnsi="仿宋" w:eastAsia="仿宋" w:cs="方正仿宋_GBK-WinCharSetFFFF-H"/>
          <w:sz w:val="32"/>
          <w:szCs w:val="32"/>
          <w:lang w:eastAsia="zh-CN"/>
        </w:rPr>
        <w:t>市住房保障和建设项目服务中心</w:t>
      </w:r>
      <w:r>
        <w:rPr>
          <w:rFonts w:hint="eastAsia" w:ascii="仿宋" w:hAnsi="仿宋" w:eastAsia="仿宋" w:cs="方正仿宋_GBK-WinCharSetFFFF-H"/>
          <w:sz w:val="32"/>
          <w:szCs w:val="32"/>
        </w:rPr>
        <w:t>（以下简称</w:t>
      </w:r>
      <w:r>
        <w:rPr>
          <w:rFonts w:hint="eastAsia" w:ascii="仿宋" w:hAnsi="仿宋" w:eastAsia="仿宋" w:cs="方正仿宋_GBK-WinCharSetFFFF-H"/>
          <w:sz w:val="32"/>
          <w:szCs w:val="32"/>
          <w:lang w:eastAsia="zh-CN"/>
        </w:rPr>
        <w:t>市住保和建设项目中心</w:t>
      </w:r>
      <w:r>
        <w:rPr>
          <w:rFonts w:hint="eastAsia" w:ascii="仿宋" w:hAnsi="仿宋" w:eastAsia="仿宋" w:cs="方正仿宋_GBK-WinCharSetFFFF-H"/>
          <w:sz w:val="32"/>
          <w:szCs w:val="32"/>
        </w:rPr>
        <w:t>）</w:t>
      </w:r>
      <w:r>
        <w:rPr>
          <w:rStyle w:val="34"/>
          <w:rFonts w:hint="eastAsia" w:ascii="仿宋" w:hAnsi="仿宋" w:eastAsia="仿宋"/>
          <w:sz w:val="32"/>
          <w:szCs w:val="32"/>
        </w:rPr>
        <w:t>负责全市保障性安居工程建设的具体事务性、技术性、辅助性工作；负责市本级市政基础设施项目策划、储备、建设模式选择等前期工作和建设及具体实施的事务性、技术性、辅助性工作；负责市政府非经营性投资项目代建业务实施过程中事务性、技术性、辅助性工作。</w:t>
      </w:r>
    </w:p>
    <w:bookmarkEnd w:id="14"/>
    <w:bookmarkEnd w:id="15"/>
    <w:p>
      <w:pPr>
        <w:pStyle w:val="2"/>
        <w:adjustRightInd w:val="0"/>
        <w:snapToGrid w:val="0"/>
        <w:spacing w:before="93" w:line="640" w:lineRule="exact"/>
        <w:ind w:firstLine="640" w:firstLineChars="200"/>
        <w:outlineLvl w:val="2"/>
        <w:rPr>
          <w:rFonts w:ascii="黑体" w:hAnsi="黑体" w:eastAsia="黑体"/>
          <w:bCs/>
          <w:color w:val="000000"/>
          <w:sz w:val="32"/>
          <w:szCs w:val="32"/>
        </w:rPr>
      </w:pPr>
      <w:bookmarkStart w:id="16" w:name="_Toc15377199"/>
      <w:bookmarkStart w:id="17" w:name="_Toc15378446"/>
      <w:r>
        <w:rPr>
          <w:rFonts w:hint="eastAsia" w:ascii="黑体" w:hAnsi="黑体" w:eastAsia="黑体"/>
          <w:bCs/>
          <w:color w:val="000000"/>
          <w:sz w:val="32"/>
          <w:szCs w:val="32"/>
        </w:rPr>
        <w:t>二、2021年重点工作完成情况</w:t>
      </w:r>
      <w:bookmarkEnd w:id="16"/>
      <w:bookmarkEnd w:id="17"/>
    </w:p>
    <w:p>
      <w:pPr>
        <w:pStyle w:val="2"/>
        <w:adjustRightInd w:val="0"/>
        <w:snapToGrid w:val="0"/>
        <w:spacing w:before="93" w:line="640" w:lineRule="exact"/>
        <w:ind w:firstLine="640" w:firstLineChars="200"/>
        <w:outlineLvl w:val="2"/>
        <w:rPr>
          <w:rFonts w:ascii="仿宋" w:hAnsi="仿宋" w:eastAsia="仿宋"/>
          <w:bCs/>
          <w:color w:val="000000"/>
          <w:sz w:val="32"/>
          <w:szCs w:val="32"/>
        </w:rPr>
      </w:pPr>
      <w:r>
        <w:rPr>
          <w:rFonts w:ascii="仿宋" w:hAnsi="仿宋" w:eastAsia="仿宋"/>
          <w:sz w:val="32"/>
          <w:szCs w:val="32"/>
        </w:rPr>
        <w:t>202</w:t>
      </w:r>
      <w:r>
        <w:rPr>
          <w:rFonts w:hint="eastAsia" w:ascii="仿宋" w:hAnsi="仿宋" w:eastAsia="仿宋"/>
          <w:sz w:val="32"/>
          <w:szCs w:val="32"/>
        </w:rPr>
        <w:t>1</w:t>
      </w:r>
      <w:r>
        <w:rPr>
          <w:rFonts w:ascii="仿宋" w:hAnsi="仿宋" w:eastAsia="仿宋"/>
          <w:sz w:val="32"/>
          <w:szCs w:val="32"/>
        </w:rPr>
        <w:t xml:space="preserve"> </w:t>
      </w:r>
      <w:r>
        <w:rPr>
          <w:rFonts w:hint="eastAsia" w:ascii="仿宋" w:hAnsi="仿宋" w:eastAsia="仿宋" w:cs="方正仿宋_GBK-WinCharSetFFFF-H"/>
          <w:sz w:val="32"/>
          <w:szCs w:val="32"/>
        </w:rPr>
        <w:t>年，</w:t>
      </w:r>
      <w:r>
        <w:rPr>
          <w:rFonts w:hint="eastAsia" w:ascii="仿宋" w:hAnsi="仿宋" w:eastAsia="仿宋" w:cs="方正仿宋_GBK-WinCharSetFFFF-H"/>
          <w:sz w:val="32"/>
          <w:szCs w:val="32"/>
          <w:lang w:eastAsia="zh-CN"/>
        </w:rPr>
        <w:t>市住保和建设项目中心</w:t>
      </w:r>
      <w:r>
        <w:rPr>
          <w:rFonts w:hint="eastAsia" w:ascii="仿宋" w:hAnsi="仿宋" w:eastAsia="仿宋" w:cs="方正仿宋_GBK-WinCharSetFFFF-H"/>
          <w:sz w:val="32"/>
          <w:szCs w:val="32"/>
        </w:rPr>
        <w:t>坚持以习近平新时代中国特色社会主义思想为指导，深入贯彻落实中央、省委、市委各项决策部署，</w:t>
      </w:r>
      <w:r>
        <w:rPr>
          <w:rFonts w:hint="eastAsia" w:ascii="仿宋" w:hAnsi="仿宋" w:eastAsia="仿宋" w:cs="仿宋_GB2312"/>
          <w:sz w:val="32"/>
          <w:szCs w:val="32"/>
        </w:rPr>
        <w:t>以服务为中心，以“为群众办实事”为出发点，</w:t>
      </w:r>
      <w:r>
        <w:rPr>
          <w:rFonts w:hint="eastAsia" w:ascii="仿宋" w:hAnsi="仿宋" w:eastAsia="仿宋" w:cs="仿宋_GB2312"/>
          <w:sz w:val="32"/>
          <w:szCs w:val="32"/>
          <w:lang w:val="en-GB"/>
        </w:rPr>
        <w:t>全力以赴抓好了住房保障和建设项目各项工作。</w:t>
      </w:r>
    </w:p>
    <w:p>
      <w:pPr>
        <w:spacing w:line="640" w:lineRule="exact"/>
        <w:ind w:firstLine="643" w:firstLineChars="200"/>
        <w:rPr>
          <w:rFonts w:ascii="仿宋" w:hAnsi="仿宋" w:eastAsia="仿宋" w:cs="仿宋_GB2312"/>
          <w:color w:val="000000" w:themeColor="text1"/>
          <w:sz w:val="32"/>
          <w:szCs w:val="32"/>
          <w14:textFill>
            <w14:solidFill>
              <w14:schemeClr w14:val="tx1"/>
            </w14:solidFill>
          </w14:textFill>
        </w:rPr>
      </w:pPr>
      <w:bookmarkStart w:id="18" w:name="_Toc15396601"/>
      <w:bookmarkStart w:id="19" w:name="_Toc15377200"/>
      <w:r>
        <w:rPr>
          <w:rFonts w:hint="eastAsia" w:ascii="楷体_GB2312" w:hAnsi="楷体_GB2312" w:eastAsia="楷体_GB2312" w:cs="楷体_GB2312"/>
          <w:b/>
          <w:color w:val="000000" w:themeColor="text1"/>
          <w:sz w:val="32"/>
          <w:szCs w:val="32"/>
          <w14:textFill>
            <w14:solidFill>
              <w14:schemeClr w14:val="tx1"/>
            </w14:solidFill>
          </w14:textFill>
        </w:rPr>
        <w:t>持续做好住房保障工作。</w:t>
      </w:r>
      <w:r>
        <w:rPr>
          <w:rFonts w:hint="eastAsia" w:ascii="仿宋" w:hAnsi="仿宋" w:eastAsia="仿宋" w:cs="楷体_GB2312"/>
          <w:color w:val="000000" w:themeColor="text1"/>
          <w:sz w:val="32"/>
          <w:szCs w:val="32"/>
          <w14:textFill>
            <w14:solidFill>
              <w14:schemeClr w14:val="tx1"/>
            </w14:solidFill>
          </w14:textFill>
        </w:rPr>
        <w:t>一是加强协调，圆满完成棚改居民安置。指导、督促各县区加快棚改报账资料整理上报；加强与棚改承接主体、贷款银行沟通联系，协调加快报账资料审核和资金拨付。2021年，经审计部门确认，我市完成了2017—2018年度棚改居民安置工作。</w:t>
      </w:r>
      <w:r>
        <w:rPr>
          <w:rFonts w:hint="eastAsia" w:ascii="仿宋" w:hAnsi="仿宋" w:eastAsia="仿宋" w:cs="仿宋_GB2312"/>
          <w:color w:val="000000" w:themeColor="text1"/>
          <w:sz w:val="32"/>
          <w:szCs w:val="32"/>
          <w14:textFill>
            <w14:solidFill>
              <w14:schemeClr w14:val="tx1"/>
            </w14:solidFill>
          </w14:textFill>
        </w:rPr>
        <w:t>二是</w:t>
      </w:r>
      <w:r>
        <w:rPr>
          <w:rFonts w:hint="eastAsia" w:ascii="仿宋" w:hAnsi="仿宋" w:eastAsia="仿宋" w:cs="楷体_GB2312"/>
          <w:color w:val="000000" w:themeColor="text1"/>
          <w:sz w:val="32"/>
          <w:szCs w:val="32"/>
          <w14:textFill>
            <w14:solidFill>
              <w14:schemeClr w14:val="tx1"/>
            </w14:solidFill>
          </w14:textFill>
        </w:rPr>
        <w:t>重</w:t>
      </w:r>
      <w:r>
        <w:rPr>
          <w:rFonts w:hint="eastAsia" w:ascii="仿宋" w:hAnsi="仿宋" w:eastAsia="仿宋" w:cs="楷体_GB2312"/>
          <w:color w:val="000000" w:themeColor="text1"/>
          <w:sz w:val="32"/>
          <w:szCs w:val="32"/>
          <w:lang w:eastAsia="zh-CN"/>
          <w14:textFill>
            <w14:solidFill>
              <w14:schemeClr w14:val="tx1"/>
            </w14:solidFill>
          </w14:textFill>
        </w:rPr>
        <w:t>新</w:t>
      </w:r>
      <w:r>
        <w:rPr>
          <w:rFonts w:hint="eastAsia" w:ascii="仿宋" w:hAnsi="仿宋" w:eastAsia="仿宋" w:cs="楷体_GB2312"/>
          <w:color w:val="000000" w:themeColor="text1"/>
          <w:sz w:val="32"/>
          <w:szCs w:val="32"/>
          <w14:textFill>
            <w14:solidFill>
              <w14:schemeClr w14:val="tx1"/>
            </w14:solidFill>
          </w14:textFill>
        </w:rPr>
        <w:t>研究政策，确实为住房保障服好务。起草落实</w:t>
      </w:r>
      <w:r>
        <w:rPr>
          <w:rFonts w:hint="eastAsia" w:ascii="仿宋" w:hAnsi="仿宋" w:eastAsia="仿宋" w:cs="仿宋_GB2312"/>
          <w:color w:val="000000" w:themeColor="text1"/>
          <w:sz w:val="32"/>
          <w:szCs w:val="32"/>
          <w14:textFill>
            <w14:solidFill>
              <w14:schemeClr w14:val="tx1"/>
            </w14:solidFill>
          </w14:textFill>
        </w:rPr>
        <w:t>《关于促进人力资源聚集的十六条政策措施》（攀委办发〔2021〕5号）中的第15条“调整申请公租房的户籍、住房、财产、收入等方面条件，主要以家庭为单位实施保障，新就业无房职工、稳定就业外来务工人员（农民工）纳入住房租赁补贴和实物配租保障范围”政策措施。对公共租赁住房保障范围等内容作适当调整，印发了《关于进一步做好住房保障工作的通知》。全面建立“两张清单”，采取组织集中录入+现场指导措施，房源录入率达98%，租住人员录入率达100%。指导督促租赁补贴发放，2021年租赁补贴共发放513户。</w:t>
      </w:r>
    </w:p>
    <w:p>
      <w:pPr>
        <w:spacing w:line="640" w:lineRule="exact"/>
        <w:ind w:firstLine="640"/>
        <w:rPr>
          <w:rFonts w:ascii="仿宋" w:hAnsi="仿宋" w:eastAsia="仿宋" w:cs="仿宋_GB2312"/>
          <w:sz w:val="32"/>
          <w:szCs w:val="32"/>
        </w:rPr>
      </w:pPr>
      <w:r>
        <w:rPr>
          <w:rFonts w:hint="eastAsia" w:ascii="楷体_GB2312" w:hAnsi="楷体_GB2312" w:eastAsia="楷体_GB2312" w:cs="楷体_GB2312"/>
          <w:b/>
          <w:color w:val="000000"/>
          <w:sz w:val="32"/>
          <w:szCs w:val="32"/>
        </w:rPr>
        <w:t>全力配合市政基础设施项目建设。</w:t>
      </w:r>
      <w:r>
        <w:rPr>
          <w:rFonts w:hint="eastAsia" w:ascii="仿宋" w:hAnsi="仿宋" w:eastAsia="仿宋" w:cs="楷体_GB2312"/>
          <w:color w:val="000000"/>
          <w:sz w:val="32"/>
          <w:szCs w:val="32"/>
        </w:rPr>
        <w:t>一是火车南站站前基础设施PPP项目运维正常。</w:t>
      </w:r>
      <w:r>
        <w:rPr>
          <w:rFonts w:hint="eastAsia" w:ascii="仿宋" w:hAnsi="仿宋" w:eastAsia="仿宋" w:cs="仿宋_GB2312"/>
          <w:sz w:val="32"/>
          <w:szCs w:val="32"/>
        </w:rPr>
        <w:t>该项目已进入第二个运维管理年度，组织开展了年度运维绩效考核，考核结果满足全额支付要求。二是</w:t>
      </w:r>
      <w:r>
        <w:rPr>
          <w:rFonts w:hint="eastAsia" w:ascii="仿宋" w:hAnsi="仿宋" w:eastAsia="仿宋" w:cs="楷体_GB2312"/>
          <w:color w:val="000000"/>
          <w:sz w:val="32"/>
          <w:szCs w:val="32"/>
        </w:rPr>
        <w:t>生活污水设施建设PPP项目进展顺利。</w:t>
      </w:r>
      <w:r>
        <w:rPr>
          <w:rFonts w:hint="eastAsia" w:ascii="仿宋" w:hAnsi="仿宋" w:eastAsia="仿宋" w:cs="仿宋_GB2312"/>
          <w:sz w:val="32"/>
          <w:szCs w:val="32"/>
        </w:rPr>
        <w:t>2021年建成城镇生活污水处理厂站23座（其中城市污水处理厂4座，乡镇污水处理站19座），新建城镇生活污水收集管道约220公里，增加生活污水日处理能力40500米</w:t>
      </w:r>
      <w:r>
        <w:rPr>
          <w:rFonts w:hint="eastAsia" w:ascii="仿宋" w:hAnsi="仿宋" w:eastAsia="仿宋" w:cs="仿宋_GB2312"/>
          <w:sz w:val="32"/>
          <w:szCs w:val="32"/>
          <w:vertAlign w:val="superscript"/>
        </w:rPr>
        <w:t>3</w:t>
      </w:r>
      <w:r>
        <w:rPr>
          <w:rFonts w:hint="eastAsia" w:ascii="仿宋" w:hAnsi="仿宋" w:eastAsia="仿宋" w:cs="仿宋_GB2312"/>
          <w:sz w:val="32"/>
          <w:szCs w:val="32"/>
        </w:rPr>
        <w:t>/天，累计完成投资约17.1亿元，为提升我市生活污水收集率和处理率发挥了巨大作用。</w:t>
      </w:r>
    </w:p>
    <w:p>
      <w:pPr>
        <w:spacing w:line="640" w:lineRule="exact"/>
        <w:ind w:firstLine="643" w:firstLineChars="200"/>
        <w:rPr>
          <w:rFonts w:ascii="仿宋" w:hAnsi="仿宋" w:eastAsia="仿宋" w:cs="仿宋"/>
          <w:sz w:val="32"/>
          <w:szCs w:val="32"/>
        </w:rPr>
      </w:pPr>
      <w:r>
        <w:rPr>
          <w:rFonts w:hint="eastAsia" w:ascii="楷体" w:hAnsi="楷体" w:eastAsia="楷体" w:cs="方正楷体简体"/>
          <w:b/>
          <w:bCs/>
          <w:color w:val="000000"/>
          <w:sz w:val="32"/>
          <w:szCs w:val="32"/>
        </w:rPr>
        <w:t>推进市本级政府投资项目代建工作开展。</w:t>
      </w:r>
      <w:r>
        <w:rPr>
          <w:rFonts w:hint="eastAsia" w:ascii="仿宋" w:hAnsi="仿宋" w:eastAsia="仿宋" w:cs="仿宋_GB2312"/>
          <w:sz w:val="32"/>
          <w:szCs w:val="32"/>
        </w:rPr>
        <w:t>一是研究相关政策，配合</w:t>
      </w:r>
      <w:r>
        <w:rPr>
          <w:rFonts w:hint="eastAsia" w:ascii="仿宋" w:hAnsi="仿宋" w:eastAsia="仿宋" w:cs="方正楷体简体"/>
          <w:sz w:val="32"/>
          <w:szCs w:val="32"/>
        </w:rPr>
        <w:t>修订</w:t>
      </w:r>
      <w:r>
        <w:rPr>
          <w:rFonts w:hint="eastAsia" w:ascii="仿宋" w:hAnsi="仿宋" w:eastAsia="仿宋" w:cs="仿宋_GB2312"/>
          <w:sz w:val="32"/>
          <w:szCs w:val="32"/>
        </w:rPr>
        <w:t>《攀枝花市政府投资非经营性项目代建管理办法》、《代建合同》示范文本。</w:t>
      </w:r>
      <w:r>
        <w:rPr>
          <w:rFonts w:hint="eastAsia" w:ascii="仿宋" w:hAnsi="仿宋" w:eastAsia="仿宋" w:cs="仿宋"/>
          <w:sz w:val="32"/>
          <w:szCs w:val="32"/>
        </w:rPr>
        <w:t>二是协调代建项目工作的开展，不定期开展项目现场督导。三是抓重点破难点。抓紧推进一批急难险重代建项目的建设，推进攀枝花市第四人民医院感染科负压病房、攀枝花市中西医结合医院急危重症提标项目等6个代建项目完工。</w:t>
      </w:r>
    </w:p>
    <w:p>
      <w:pPr>
        <w:spacing w:line="640" w:lineRule="exact"/>
        <w:ind w:firstLine="643" w:firstLineChars="200"/>
        <w:rPr>
          <w:rFonts w:ascii="仿宋" w:hAnsi="仿宋" w:eastAsia="仿宋" w:cs="仿宋_GB2312"/>
          <w:color w:val="000000" w:themeColor="text1"/>
          <w:sz w:val="32"/>
          <w:szCs w:val="32"/>
          <w14:textFill>
            <w14:solidFill>
              <w14:schemeClr w14:val="tx1"/>
            </w14:solidFill>
          </w14:textFill>
        </w:rPr>
      </w:pPr>
      <w:r>
        <w:rPr>
          <w:rFonts w:hint="eastAsia" w:ascii="楷体" w:hAnsi="楷体" w:eastAsia="楷体" w:cs="方正楷体简体"/>
          <w:b/>
          <w:bCs/>
          <w:color w:val="000000"/>
          <w:sz w:val="32"/>
          <w:szCs w:val="32"/>
        </w:rPr>
        <w:t>积极推动城市更新工作。</w:t>
      </w:r>
      <w:bookmarkEnd w:id="18"/>
      <w:bookmarkEnd w:id="19"/>
      <w:bookmarkStart w:id="20" w:name="_Toc15377204"/>
      <w:bookmarkStart w:id="21" w:name="_Toc15396602"/>
      <w:r>
        <w:rPr>
          <w:rFonts w:hint="eastAsia" w:ascii="仿宋" w:hAnsi="仿宋" w:eastAsia="仿宋" w:cs="仿宋_GB2312"/>
          <w:color w:val="000000" w:themeColor="text1"/>
          <w:sz w:val="32"/>
          <w:szCs w:val="32"/>
          <w14:textFill>
            <w14:solidFill>
              <w14:schemeClr w14:val="tx1"/>
            </w14:solidFill>
          </w14:textFill>
        </w:rPr>
        <w:t>一是开展城市更新项目策划等方面的研究，研究起草攀枝花城市更新实施方案、攀枝花市城市更新技术导则等政策的草案，为城市更新工作奠定理论基础。二是开展存量资源调查，对市辖区范围内棚改腾空土地、公房等各类存量资源开展调查，结合城市更新行动提出活</w:t>
      </w:r>
      <w:r>
        <w:rPr>
          <w:rFonts w:hint="eastAsia" w:ascii="仿宋" w:hAnsi="仿宋" w:eastAsia="仿宋" w:cs="仿宋_GB2312"/>
          <w:color w:val="000000" w:themeColor="text1"/>
          <w:sz w:val="32"/>
          <w:szCs w:val="32"/>
          <w:lang w:eastAsia="zh-CN"/>
          <w14:textFill>
            <w14:solidFill>
              <w14:schemeClr w14:val="tx1"/>
            </w14:solidFill>
          </w14:textFill>
        </w:rPr>
        <w:t>理化</w:t>
      </w:r>
      <w:r>
        <w:rPr>
          <w:rFonts w:hint="eastAsia" w:ascii="仿宋" w:hAnsi="仿宋" w:eastAsia="仿宋" w:cs="仿宋_GB2312"/>
          <w:color w:val="000000" w:themeColor="text1"/>
          <w:sz w:val="32"/>
          <w:szCs w:val="32"/>
          <w14:textFill>
            <w14:solidFill>
              <w14:schemeClr w14:val="tx1"/>
            </w14:solidFill>
          </w14:textFill>
        </w:rPr>
        <w:t>利用建议。三是筹备城市更新项目，开展二街坊、利川、马坎、西海岸、红星街等地块城市更新项目的策划，与相关单位合作开展了东区人民街154号小区改造项目、攀宾-望江片区城市更新项目方案的设计。四是积极引导社会资本投资，加快探索政府引导、市场运作的城市更新建设模式，与中煤集团、兴城人居集团、中建长江建设投资集团、城投建设集团等企业进行对接，引导社会资本参与我市城市更新项目投资。五是积极推动城市更新行动具体实施，向住房城乡建设厅申报了2个城市更新示范项目，分别是“打开交通三把锁项目”和“攀枝花市生活污水处理设施建设PPP项目”。</w:t>
      </w:r>
    </w:p>
    <w:p>
      <w:pPr>
        <w:pageBreakBefore w:val="0"/>
        <w:widowControl w:val="0"/>
        <w:kinsoku/>
        <w:wordWrap/>
        <w:overflowPunct/>
        <w:topLinePunct w:val="0"/>
        <w:bidi w:val="0"/>
        <w:spacing w:line="600" w:lineRule="exact"/>
        <w:ind w:firstLine="643" w:firstLineChars="200"/>
        <w:textAlignment w:val="auto"/>
        <w:rPr>
          <w:rStyle w:val="26"/>
          <w:rFonts w:hint="eastAsia" w:ascii="黑体" w:hAnsi="黑体" w:eastAsia="黑体"/>
          <w:b w:val="0"/>
          <w:lang w:eastAsia="zh-CN"/>
        </w:rPr>
      </w:pPr>
      <w:r>
        <w:rPr>
          <w:rFonts w:hint="eastAsia" w:ascii="黑体" w:hAnsi="黑体" w:eastAsia="黑体"/>
          <w:b/>
          <w:color w:val="000000"/>
          <w:sz w:val="32"/>
          <w:szCs w:val="32"/>
          <w:lang w:eastAsia="zh-CN"/>
        </w:rPr>
        <w:t>三、</w:t>
      </w:r>
      <w:r>
        <w:rPr>
          <w:rFonts w:hint="eastAsia" w:ascii="黑体" w:hAnsi="黑体" w:eastAsia="黑体"/>
          <w:b/>
          <w:color w:val="000000"/>
          <w:sz w:val="32"/>
          <w:szCs w:val="32"/>
        </w:rPr>
        <w:t>机</w:t>
      </w:r>
      <w:r>
        <w:rPr>
          <w:rStyle w:val="26"/>
          <w:rFonts w:hint="eastAsia" w:ascii="黑体" w:hAnsi="黑体" w:eastAsia="黑体"/>
          <w:b w:val="0"/>
        </w:rPr>
        <w:t>构设置</w:t>
      </w:r>
      <w:r>
        <w:rPr>
          <w:rStyle w:val="26"/>
          <w:rFonts w:hint="eastAsia" w:ascii="黑体" w:hAnsi="黑体" w:eastAsia="黑体"/>
          <w:b w:val="0"/>
          <w:lang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sz w:val="32"/>
          <w:szCs w:val="32"/>
          <w:lang w:val="en-US" w:eastAsia="zh-CN"/>
        </w:rPr>
      </w:pPr>
      <w:r>
        <w:rPr>
          <w:rFonts w:hint="eastAsia" w:ascii="仿宋_GB2312" w:eastAsia="仿宋_GB2312"/>
          <w:sz w:val="32"/>
          <w:szCs w:val="32"/>
        </w:rPr>
        <w:t>攀枝花市住房保障和建设项目服务中心</w:t>
      </w:r>
      <w:r>
        <w:rPr>
          <w:rFonts w:hint="eastAsia" w:ascii="仿宋" w:hAnsi="仿宋" w:eastAsia="仿宋" w:cs="仿宋"/>
          <w:b w:val="0"/>
          <w:sz w:val="32"/>
          <w:szCs w:val="32"/>
          <w:lang w:eastAsia="zh-CN"/>
        </w:rPr>
        <w:t>属于攀枝花市住房和城乡建设局下属的二级预算单位，下设独立编制机构</w:t>
      </w:r>
      <w:r>
        <w:rPr>
          <w:rFonts w:hint="eastAsia" w:ascii="仿宋" w:hAnsi="仿宋" w:eastAsia="仿宋" w:cs="仿宋"/>
          <w:b w:val="0"/>
          <w:sz w:val="32"/>
          <w:szCs w:val="32"/>
          <w:lang w:val="en-US" w:eastAsia="zh-CN"/>
        </w:rPr>
        <w:t>0个，其中行政机构0个，参照公务员法管理的事业机构0个，其他事业机构0个。</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纳入2021年度单位决算编制范围的独立编制机构包括：无。</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sz w:val="32"/>
          <w:szCs w:val="32"/>
          <w:lang w:val="en-US" w:eastAsia="zh-CN"/>
        </w:rPr>
      </w:pPr>
    </w:p>
    <w:p>
      <w:pPr>
        <w:pageBreakBefore w:val="0"/>
        <w:widowControl w:val="0"/>
        <w:kinsoku/>
        <w:wordWrap/>
        <w:overflowPunct/>
        <w:topLinePunct w:val="0"/>
        <w:bidi w:val="0"/>
        <w:spacing w:line="600" w:lineRule="exact"/>
        <w:ind w:firstLine="640" w:firstLineChars="200"/>
        <w:textAlignment w:val="auto"/>
        <w:rPr>
          <w:rFonts w:ascii="仿宋" w:hAnsi="仿宋" w:eastAsia="仿宋"/>
          <w:sz w:val="32"/>
          <w:szCs w:val="32"/>
        </w:rPr>
      </w:pPr>
    </w:p>
    <w:p/>
    <w:p>
      <w:pPr>
        <w:pStyle w:val="3"/>
        <w:ind w:right="440"/>
        <w:jc w:val="right"/>
        <w:rPr>
          <w:rStyle w:val="25"/>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2021年度单位决算情况说明</w:t>
      </w:r>
      <w:bookmarkEnd w:id="20"/>
      <w:bookmarkEnd w:id="21"/>
    </w:p>
    <w:p>
      <w:pPr>
        <w:pStyle w:val="24"/>
        <w:numPr>
          <w:ilvl w:val="0"/>
          <w:numId w:val="1"/>
        </w:numPr>
        <w:spacing w:line="640" w:lineRule="exact"/>
        <w:ind w:firstLineChars="0"/>
        <w:outlineLvl w:val="1"/>
        <w:rPr>
          <w:rStyle w:val="26"/>
          <w:rFonts w:ascii="黑体" w:hAnsi="黑体" w:eastAsia="黑体"/>
          <w:b w:val="0"/>
        </w:rPr>
      </w:pPr>
      <w:bookmarkStart w:id="22" w:name="_Toc15396603"/>
      <w:bookmarkStart w:id="23"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2"/>
      <w:bookmarkEnd w:id="23"/>
    </w:p>
    <w:p>
      <w:pPr>
        <w:spacing w:line="6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2021年度收、支总计175.62万元。与2020年相比，收、支总计各增加30.98万元，增长21</w:t>
      </w:r>
      <w:r>
        <w:rPr>
          <w:rFonts w:ascii="仿宋" w:hAnsi="仿宋" w:eastAsia="仿宋"/>
          <w:color w:val="000000"/>
          <w:sz w:val="32"/>
          <w:szCs w:val="32"/>
        </w:rPr>
        <w:t>%</w:t>
      </w:r>
      <w:r>
        <w:rPr>
          <w:rFonts w:hint="eastAsia" w:ascii="仿宋" w:hAnsi="仿宋" w:eastAsia="仿宋"/>
          <w:color w:val="000000"/>
          <w:sz w:val="32"/>
          <w:szCs w:val="32"/>
        </w:rPr>
        <w:t>。主要变动原因是2021年人员增加，人员经费增加。</w:t>
      </w: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column">
              <wp:posOffset>428625</wp:posOffset>
            </wp:positionH>
            <wp:positionV relativeFrom="paragraph">
              <wp:posOffset>332740</wp:posOffset>
            </wp:positionV>
            <wp:extent cx="4228465" cy="2009775"/>
            <wp:effectExtent l="0" t="0" r="0" b="0"/>
            <wp:wrapSquare wrapText="bothSides"/>
            <wp:docPr id="1"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pStyle w:val="24"/>
        <w:numPr>
          <w:ilvl w:val="0"/>
          <w:numId w:val="1"/>
        </w:numPr>
        <w:spacing w:line="640" w:lineRule="exact"/>
        <w:ind w:firstLineChars="0"/>
        <w:outlineLvl w:val="1"/>
        <w:rPr>
          <w:rStyle w:val="26"/>
          <w:rFonts w:ascii="黑体" w:hAnsi="黑体" w:eastAsia="黑体"/>
          <w:b w:val="0"/>
        </w:rPr>
      </w:pPr>
      <w:bookmarkStart w:id="24" w:name="_Toc15396604"/>
      <w:bookmarkStart w:id="25"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4"/>
      <w:bookmarkEnd w:id="25"/>
    </w:p>
    <w:p>
      <w:pPr>
        <w:spacing w:line="640" w:lineRule="exact"/>
        <w:ind w:left="640"/>
        <w:outlineLvl w:val="1"/>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1年本年收入合计175.62万元，其中：一般公共预</w:t>
      </w:r>
    </w:p>
    <w:p>
      <w:pPr>
        <w:spacing w:line="640" w:lineRule="exact"/>
        <w:outlineLvl w:val="1"/>
        <w:rPr>
          <w:rFonts w:ascii="仿宋" w:hAnsi="仿宋" w:eastAsia="仿宋"/>
          <w:color w:val="000000"/>
          <w:sz w:val="32"/>
          <w:szCs w:val="32"/>
        </w:rPr>
      </w:pPr>
      <w:r>
        <w:rPr>
          <w:rFonts w:hint="eastAsia" w:ascii="仿宋" w:hAnsi="仿宋" w:eastAsia="仿宋"/>
          <w:color w:val="000000"/>
          <w:sz w:val="32"/>
          <w:szCs w:val="32"/>
        </w:rPr>
        <w:t>算财政拨款收入175.62万元，占100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；国有资本经营预算财政拨款收入0万元，占0%；上级补助收入0万元，占0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drawing>
          <wp:anchor distT="0" distB="0" distL="114300" distR="114300" simplePos="0" relativeHeight="251660288" behindDoc="0" locked="0" layoutInCell="1" allowOverlap="1">
            <wp:simplePos x="0" y="0"/>
            <wp:positionH relativeFrom="column">
              <wp:posOffset>365125</wp:posOffset>
            </wp:positionH>
            <wp:positionV relativeFrom="paragraph">
              <wp:posOffset>9525</wp:posOffset>
            </wp:positionV>
            <wp:extent cx="3996690" cy="2209800"/>
            <wp:effectExtent l="0" t="0" r="0" b="0"/>
            <wp:wrapSquare wrapText="bothSides"/>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pStyle w:val="24"/>
        <w:numPr>
          <w:ilvl w:val="0"/>
          <w:numId w:val="1"/>
        </w:numPr>
        <w:spacing w:line="640" w:lineRule="exact"/>
        <w:ind w:firstLineChars="0"/>
        <w:outlineLvl w:val="1"/>
        <w:rPr>
          <w:rStyle w:val="26"/>
          <w:rFonts w:ascii="黑体" w:hAnsi="黑体" w:eastAsia="黑体"/>
          <w:b w:val="0"/>
        </w:rPr>
      </w:pPr>
      <w:bookmarkStart w:id="26" w:name="_Toc15377207"/>
      <w:bookmarkStart w:id="27"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6"/>
      <w:bookmarkEnd w:id="27"/>
    </w:p>
    <w:p>
      <w:pPr>
        <w:spacing w:line="640" w:lineRule="exact"/>
        <w:ind w:left="640"/>
        <w:outlineLvl w:val="1"/>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1年本年支出合计175.62万元，其中：基本支出</w:t>
      </w:r>
    </w:p>
    <w:p>
      <w:pPr>
        <w:spacing w:line="640" w:lineRule="exact"/>
        <w:outlineLvl w:val="1"/>
        <w:rPr>
          <w:rFonts w:ascii="仿宋" w:hAnsi="仿宋" w:eastAsia="仿宋"/>
          <w:color w:val="000000"/>
          <w:sz w:val="32"/>
          <w:szCs w:val="32"/>
        </w:rPr>
      </w:pPr>
      <w:r>
        <w:rPr>
          <w:rFonts w:hint="eastAsia" w:ascii="仿宋" w:hAnsi="仿宋" w:eastAsia="仿宋"/>
          <w:color w:val="000000"/>
          <w:sz w:val="32"/>
          <w:szCs w:val="32"/>
        </w:rPr>
        <w:t>169.16万元，占96</w:t>
      </w:r>
      <w:r>
        <w:rPr>
          <w:rFonts w:ascii="仿宋" w:hAnsi="仿宋" w:eastAsia="仿宋"/>
          <w:color w:val="000000"/>
          <w:sz w:val="32"/>
          <w:szCs w:val="32"/>
        </w:rPr>
        <w:t>%</w:t>
      </w:r>
      <w:r>
        <w:rPr>
          <w:rFonts w:hint="eastAsia" w:ascii="仿宋" w:hAnsi="仿宋" w:eastAsia="仿宋"/>
          <w:color w:val="000000"/>
          <w:sz w:val="32"/>
          <w:szCs w:val="32"/>
        </w:rPr>
        <w:t>；项目支出6.46万元，占4</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1312" behindDoc="1" locked="0" layoutInCell="1" allowOverlap="1">
            <wp:simplePos x="0" y="0"/>
            <wp:positionH relativeFrom="column">
              <wp:posOffset>371475</wp:posOffset>
            </wp:positionH>
            <wp:positionV relativeFrom="paragraph">
              <wp:posOffset>266700</wp:posOffset>
            </wp:positionV>
            <wp:extent cx="3476625" cy="1746250"/>
            <wp:effectExtent l="0" t="0" r="0" b="0"/>
            <wp:wrapNone/>
            <wp:docPr id="9" name="对象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tabs>
          <w:tab w:val="left" w:pos="3795"/>
          <w:tab w:val="left" w:pos="4005"/>
        </w:tabs>
        <w:spacing w:line="600" w:lineRule="exact"/>
        <w:ind w:firstLine="640"/>
        <w:rPr>
          <w:rFonts w:ascii="仿宋" w:hAnsi="仿宋" w:eastAsia="仿宋"/>
          <w:color w:val="000000"/>
          <w:sz w:val="32"/>
          <w:szCs w:val="32"/>
        </w:rPr>
      </w:pPr>
      <w:r>
        <w:rPr>
          <w:rFonts w:ascii="仿宋" w:hAnsi="仿宋" w:eastAsia="仿宋"/>
          <w:color w:val="000000"/>
          <w:sz w:val="32"/>
          <w:szCs w:val="32"/>
        </w:rPr>
        <w:tab/>
      </w:r>
      <w:r>
        <w:rPr>
          <w:rFonts w:ascii="仿宋" w:hAnsi="仿宋" w:eastAsia="仿宋"/>
          <w:color w:val="000000"/>
          <w:sz w:val="32"/>
          <w:szCs w:val="32"/>
        </w:rPr>
        <w:tab/>
      </w:r>
    </w:p>
    <w:p>
      <w:pPr>
        <w:tabs>
          <w:tab w:val="left" w:pos="2745"/>
          <w:tab w:val="left" w:pos="4005"/>
        </w:tabs>
        <w:spacing w:line="600" w:lineRule="exact"/>
        <w:ind w:firstLine="640"/>
        <w:rPr>
          <w:rFonts w:ascii="仿宋" w:hAnsi="仿宋" w:eastAsia="仿宋"/>
          <w:color w:val="000000"/>
          <w:sz w:val="32"/>
          <w:szCs w:val="32"/>
        </w:rPr>
      </w:pPr>
      <w:r>
        <w:rPr>
          <w:rFonts w:ascii="仿宋" w:hAnsi="仿宋" w:eastAsia="仿宋"/>
          <w:color w:val="000000"/>
          <w:sz w:val="32"/>
          <w:szCs w:val="32"/>
        </w:rPr>
        <w:tab/>
      </w:r>
      <w:r>
        <w:rPr>
          <w:rFonts w:ascii="仿宋" w:hAnsi="仿宋" w:eastAsia="仿宋"/>
          <w:color w:val="000000"/>
          <w:sz w:val="32"/>
          <w:szCs w:val="32"/>
        </w:rPr>
        <w:tab/>
      </w:r>
    </w:p>
    <w:p>
      <w:pPr>
        <w:tabs>
          <w:tab w:val="left" w:pos="3300"/>
        </w:tabs>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bookmarkStart w:id="28" w:name="_Toc15396606"/>
      <w:bookmarkStart w:id="29" w:name="_Toc15377208"/>
    </w:p>
    <w:p>
      <w:pPr>
        <w:spacing w:line="64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28"/>
      <w:bookmarkEnd w:id="29"/>
    </w:p>
    <w:p>
      <w:pPr>
        <w:spacing w:line="640" w:lineRule="exact"/>
        <w:ind w:firstLine="640" w:firstLineChars="200"/>
        <w:rPr>
          <w:rFonts w:ascii="仿宋" w:hAnsi="仿宋" w:eastAsia="仿宋"/>
          <w:color w:val="000000"/>
          <w:sz w:val="32"/>
          <w:szCs w:val="32"/>
        </w:rPr>
      </w:pPr>
      <w:r>
        <w:rPr>
          <w:rFonts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14:textFill>
            <w14:solidFill>
              <w14:schemeClr w14:val="tx1"/>
            </w14:solidFill>
          </w14:textFill>
        </w:rPr>
        <w:t>1年财政拨款收、支总计175.62万元，</w:t>
      </w:r>
      <w:r>
        <w:rPr>
          <w:rFonts w:hint="eastAsia" w:ascii="仿宋" w:hAnsi="仿宋" w:eastAsia="仿宋"/>
          <w:color w:val="000000"/>
          <w:sz w:val="32"/>
          <w:szCs w:val="32"/>
        </w:rPr>
        <w:t>与2020年相比，财政拨款收、支总计各增加30.98万元，增长21</w:t>
      </w:r>
      <w:r>
        <w:rPr>
          <w:rFonts w:ascii="仿宋" w:hAnsi="仿宋" w:eastAsia="仿宋"/>
          <w:color w:val="000000"/>
          <w:sz w:val="32"/>
          <w:szCs w:val="32"/>
        </w:rPr>
        <w:t>%</w:t>
      </w:r>
      <w:r>
        <w:rPr>
          <w:rFonts w:hint="eastAsia" w:ascii="仿宋" w:hAnsi="仿宋" w:eastAsia="仿宋"/>
          <w:color w:val="000000"/>
          <w:sz w:val="32"/>
          <w:szCs w:val="32"/>
        </w:rPr>
        <w:t>。主要变动原因是2021年人员增加，人员经费增加。</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r>
        <w:rPr>
          <w:rFonts w:hint="eastAsia"/>
        </w:rPr>
        <w:drawing>
          <wp:anchor distT="0" distB="0" distL="114300" distR="114300" simplePos="0" relativeHeight="251664384" behindDoc="0" locked="0" layoutInCell="1" allowOverlap="1">
            <wp:simplePos x="0" y="0"/>
            <wp:positionH relativeFrom="column">
              <wp:posOffset>581025</wp:posOffset>
            </wp:positionH>
            <wp:positionV relativeFrom="paragraph">
              <wp:posOffset>-352425</wp:posOffset>
            </wp:positionV>
            <wp:extent cx="4228465" cy="2009775"/>
            <wp:effectExtent l="0" t="0" r="0" b="0"/>
            <wp:wrapSquare wrapText="bothSides"/>
            <wp:docPr id="3"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
      <w:pPr>
        <w:spacing w:line="600" w:lineRule="exact"/>
        <w:rPr>
          <w:rFonts w:ascii="仿宋" w:hAnsi="仿宋" w:eastAsia="仿宋"/>
          <w:color w:val="000000"/>
          <w:sz w:val="32"/>
          <w:szCs w:val="32"/>
        </w:rPr>
      </w:pPr>
      <w:bookmarkStart w:id="30" w:name="_Toc15377209"/>
      <w:bookmarkStart w:id="31" w:name="_Toc15396607"/>
    </w:p>
    <w:bookmarkEnd w:id="30"/>
    <w:bookmarkEnd w:id="31"/>
    <w:p>
      <w:pPr>
        <w:spacing w:line="600" w:lineRule="exact"/>
        <w:ind w:firstLine="640" w:firstLineChars="200"/>
        <w:outlineLvl w:val="2"/>
        <w:rPr>
          <w:rFonts w:ascii="仿宋" w:hAnsi="仿宋" w:eastAsia="仿宋"/>
          <w:color w:val="000000" w:themeColor="text1"/>
          <w:sz w:val="32"/>
          <w:szCs w:val="32"/>
          <w14:textFill>
            <w14:solidFill>
              <w14:schemeClr w14:val="tx1"/>
            </w14:solidFill>
          </w14:textFill>
        </w:rPr>
      </w:pPr>
      <w:bookmarkStart w:id="32" w:name="_Toc15377210"/>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
      <w:pPr>
        <w:spacing w:line="640" w:lineRule="exact"/>
        <w:ind w:firstLine="640" w:firstLineChars="200"/>
        <w:outlineLvl w:val="2"/>
        <w:rPr>
          <w:rStyle w:val="26"/>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p>
    <w:p>
      <w:pPr>
        <w:spacing w:line="640" w:lineRule="exact"/>
        <w:ind w:firstLine="643" w:firstLineChars="200"/>
        <w:outlineLvl w:val="2"/>
        <w:rPr>
          <w:rFonts w:ascii="楷体" w:hAnsi="楷体" w:eastAsia="楷体"/>
          <w:b/>
          <w:color w:val="000000"/>
          <w:sz w:val="32"/>
          <w:szCs w:val="32"/>
        </w:rPr>
      </w:pPr>
      <w:r>
        <w:rPr>
          <w:rFonts w:hint="eastAsia" w:ascii="楷体" w:hAnsi="楷体" w:eastAsia="楷体"/>
          <w:b/>
          <w:color w:val="000000"/>
          <w:sz w:val="32"/>
          <w:szCs w:val="32"/>
        </w:rPr>
        <w:t>（一）一般公共预算财政拨款支出决算总体情况</w:t>
      </w:r>
      <w:bookmarkEnd w:id="32"/>
    </w:p>
    <w:p>
      <w:pPr>
        <w:spacing w:line="64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1年一般公共预算财政拨款支出175.62万元，占本年支出合计的100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20年相比，一般公共预算财政拨款支出增加35.98万元，增长26</w:t>
      </w:r>
      <w:r>
        <w:rPr>
          <w:rFonts w:ascii="仿宋" w:hAnsi="仿宋" w:eastAsia="仿宋"/>
          <w:color w:val="000000"/>
          <w:sz w:val="32"/>
          <w:szCs w:val="32"/>
        </w:rPr>
        <w:t>%</w:t>
      </w:r>
      <w:r>
        <w:rPr>
          <w:rFonts w:hint="eastAsia" w:ascii="仿宋" w:hAnsi="仿宋" w:eastAsia="仿宋"/>
          <w:color w:val="000000"/>
          <w:sz w:val="32"/>
          <w:szCs w:val="32"/>
        </w:rPr>
        <w:t>。主要变动原因是2021年人员增加，人员经费拨款增加。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5408" behindDoc="0" locked="0" layoutInCell="1" allowOverlap="1">
            <wp:simplePos x="0" y="0"/>
            <wp:positionH relativeFrom="column">
              <wp:posOffset>209550</wp:posOffset>
            </wp:positionH>
            <wp:positionV relativeFrom="paragraph">
              <wp:posOffset>171450</wp:posOffset>
            </wp:positionV>
            <wp:extent cx="4228465" cy="2009775"/>
            <wp:effectExtent l="0" t="0" r="635" b="0"/>
            <wp:wrapSquare wrapText="bothSides"/>
            <wp:docPr id="6"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40" w:lineRule="exact"/>
        <w:ind w:firstLine="643" w:firstLineChars="200"/>
        <w:outlineLvl w:val="2"/>
        <w:rPr>
          <w:rFonts w:ascii="楷体" w:hAnsi="楷体" w:eastAsia="楷体"/>
          <w:b/>
          <w:color w:val="000000"/>
          <w:sz w:val="32"/>
          <w:szCs w:val="32"/>
        </w:rPr>
      </w:pPr>
      <w:bookmarkStart w:id="33" w:name="_Toc15377211"/>
      <w:r>
        <w:rPr>
          <w:rFonts w:hint="eastAsia" w:ascii="楷体" w:hAnsi="楷体" w:eastAsia="楷体"/>
          <w:b/>
          <w:color w:val="000000"/>
          <w:sz w:val="32"/>
          <w:szCs w:val="32"/>
        </w:rPr>
        <w:t>（二）一般公共预算财政拨款支出决算结构情况</w:t>
      </w:r>
      <w:bookmarkEnd w:id="33"/>
    </w:p>
    <w:p>
      <w:pPr>
        <w:spacing w:line="64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21年一般公共预算财政拨款支出175.62万元，主要用于以下方面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支出1万元，占0.6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支出15.67万元，占8.9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城乡社区(类)</w:t>
      </w:r>
      <w:r>
        <w:rPr>
          <w:rFonts w:hint="eastAsia" w:ascii="仿宋" w:hAnsi="仿宋" w:eastAsia="仿宋"/>
          <w:sz w:val="32"/>
          <w:szCs w:val="32"/>
        </w:rPr>
        <w:t>支出146.96万元，占83.7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住房保障(类)</w:t>
      </w:r>
      <w:r>
        <w:rPr>
          <w:rFonts w:hint="eastAsia" w:ascii="仿宋" w:hAnsi="仿宋" w:eastAsia="仿宋"/>
          <w:sz w:val="32"/>
          <w:szCs w:val="32"/>
        </w:rPr>
        <w:t>支出11.99万元，占6.8</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76200</wp:posOffset>
            </wp:positionH>
            <wp:positionV relativeFrom="paragraph">
              <wp:posOffset>129540</wp:posOffset>
            </wp:positionV>
            <wp:extent cx="5600700" cy="2496185"/>
            <wp:effectExtent l="0" t="0" r="19050" b="18415"/>
            <wp:wrapNone/>
            <wp:docPr id="12" name="对象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bookmarkStart w:id="34" w:name="_Toc15377212"/>
    </w:p>
    <w:p>
      <w:pPr>
        <w:spacing w:line="600" w:lineRule="exact"/>
        <w:ind w:firstLine="643" w:firstLineChars="200"/>
        <w:outlineLvl w:val="2"/>
        <w:rPr>
          <w:rFonts w:ascii="楷体" w:hAnsi="楷体" w:eastAsia="楷体"/>
          <w:b/>
          <w:color w:val="000000"/>
          <w:sz w:val="32"/>
          <w:szCs w:val="32"/>
        </w:rPr>
      </w:pPr>
      <w:r>
        <w:rPr>
          <w:rFonts w:hint="eastAsia" w:ascii="楷体" w:hAnsi="楷体" w:eastAsia="楷体"/>
          <w:b/>
          <w:color w:val="000000"/>
          <w:sz w:val="32"/>
          <w:szCs w:val="32"/>
        </w:rPr>
        <w:t>（三）一般公共预算财政拨款支出决算具体情况</w:t>
      </w:r>
      <w:bookmarkEnd w:id="34"/>
    </w:p>
    <w:p>
      <w:pPr>
        <w:spacing w:line="640" w:lineRule="exact"/>
        <w:ind w:firstLine="643" w:firstLineChars="200"/>
        <w:outlineLvl w:val="2"/>
        <w:rPr>
          <w:rFonts w:ascii="仿宋" w:hAnsi="仿宋" w:eastAsia="仿宋"/>
          <w:color w:val="FF0000"/>
          <w:sz w:val="32"/>
          <w:szCs w:val="32"/>
        </w:rPr>
      </w:pPr>
      <w:bookmarkStart w:id="35" w:name="_Toc15378460"/>
      <w:bookmarkStart w:id="36" w:name="_Toc15377444"/>
      <w:bookmarkStart w:id="37" w:name="_Toc15377213"/>
      <w:r>
        <w:rPr>
          <w:rFonts w:ascii="仿宋" w:hAnsi="仿宋" w:eastAsia="仿宋"/>
          <w:b/>
          <w:color w:val="000000"/>
          <w:sz w:val="32"/>
          <w:szCs w:val="32"/>
        </w:rPr>
        <w:t>202</w:t>
      </w:r>
      <w:r>
        <w:rPr>
          <w:rFonts w:hint="eastAsia" w:ascii="仿宋" w:hAnsi="仿宋" w:eastAsia="仿宋"/>
          <w:b/>
          <w:color w:val="000000"/>
          <w:sz w:val="32"/>
          <w:szCs w:val="32"/>
        </w:rPr>
        <w:t>1年一般公共预算支出决算数为175.62万元</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5"/>
      <w:bookmarkEnd w:id="36"/>
      <w:bookmarkEnd w:id="37"/>
    </w:p>
    <w:p>
      <w:pPr>
        <w:spacing w:line="64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一般公共服务（类）组织事务（款）其他组织事务（项）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支出决算为1万元，完成预算100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4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社会保障和就业（类）行政事业单位养老（款）事业单位离退休（项）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支出决算为4.77万元，完成预算100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40" w:lineRule="exact"/>
        <w:ind w:firstLine="643" w:firstLineChars="200"/>
        <w:rPr>
          <w:rStyle w:val="15"/>
          <w:rFonts w:ascii="仿宋" w:hAnsi="仿宋" w:eastAsia="仿宋"/>
          <w:b w:val="0"/>
          <w:bCs/>
          <w:color w:val="000000"/>
          <w:sz w:val="32"/>
          <w:szCs w:val="32"/>
        </w:rPr>
      </w:pPr>
      <w:r>
        <w:rPr>
          <w:rStyle w:val="15"/>
          <w:rFonts w:ascii="仿宋" w:hAnsi="仿宋" w:eastAsia="仿宋"/>
          <w:bCs/>
          <w:color w:val="000000"/>
          <w:sz w:val="32"/>
          <w:szCs w:val="32"/>
        </w:rPr>
        <w:t>3.</w:t>
      </w:r>
      <w:r>
        <w:rPr>
          <w:rStyle w:val="15"/>
          <w:rFonts w:hint="eastAsia" w:ascii="仿宋" w:hAnsi="仿宋" w:eastAsia="仿宋"/>
          <w:bCs/>
          <w:color w:val="000000"/>
          <w:sz w:val="32"/>
          <w:szCs w:val="32"/>
        </w:rPr>
        <w:t xml:space="preserve"> 社会保障和就业（类）行政事业单位养老（款）机关事业单位基本养老保险缴费（项）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支出决算为10.90万元，完成预算100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4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rPr>
        <w:t>4</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城乡社区（类）城乡社区管理事务（款）其他城乡社区管理事务（项）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支出决算为146.96万元，完成预算100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40" w:lineRule="exact"/>
        <w:ind w:firstLine="643" w:firstLineChars="200"/>
        <w:rPr>
          <w:rFonts w:ascii="仿宋" w:hAnsi="仿宋" w:eastAsia="仿宋"/>
          <w:color w:val="000000"/>
          <w:sz w:val="32"/>
          <w:szCs w:val="32"/>
        </w:rPr>
      </w:pPr>
      <w:r>
        <w:rPr>
          <w:rStyle w:val="15"/>
          <w:rFonts w:hint="eastAsia" w:ascii="仿宋" w:hAnsi="仿宋" w:eastAsia="仿宋"/>
          <w:bCs/>
          <w:color w:val="000000"/>
          <w:sz w:val="32"/>
          <w:szCs w:val="32"/>
        </w:rPr>
        <w:t>5</w:t>
      </w:r>
      <w:r>
        <w:rPr>
          <w:rStyle w:val="15"/>
          <w:rFonts w:ascii="仿宋" w:hAnsi="仿宋" w:eastAsia="仿宋"/>
          <w:bCs/>
          <w:color w:val="000000"/>
          <w:sz w:val="32"/>
          <w:szCs w:val="32"/>
        </w:rPr>
        <w:t>.</w:t>
      </w:r>
      <w:r>
        <w:rPr>
          <w:rFonts w:hint="eastAsia" w:ascii="仿宋" w:hAnsi="仿宋" w:eastAsia="仿宋"/>
          <w:b/>
          <w:bCs/>
          <w:color w:val="000000"/>
          <w:sz w:val="32"/>
          <w:szCs w:val="32"/>
        </w:rPr>
        <w:t>住房保障</w:t>
      </w:r>
      <w:r>
        <w:rPr>
          <w:rStyle w:val="15"/>
          <w:rFonts w:hint="eastAsia" w:ascii="仿宋" w:hAnsi="仿宋" w:eastAsia="仿宋"/>
          <w:bCs/>
          <w:color w:val="000000"/>
          <w:sz w:val="32"/>
          <w:szCs w:val="32"/>
        </w:rPr>
        <w:t>（类）住房改革（款）住房公积金（项）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支出决算为11.99万元，完成预算100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bookmarkStart w:id="38" w:name="_Toc15396608"/>
      <w:bookmarkStart w:id="39" w:name="_Toc15377214"/>
    </w:p>
    <w:p>
      <w:pPr>
        <w:tabs>
          <w:tab w:val="right" w:pos="8306"/>
        </w:tabs>
        <w:spacing w:line="600" w:lineRule="exact"/>
        <w:ind w:firstLine="640"/>
        <w:outlineLvl w:val="1"/>
        <w:rPr>
          <w:rStyle w:val="26"/>
        </w:rPr>
      </w:pPr>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38"/>
      <w:bookmarkEnd w:id="39"/>
      <w:r>
        <w:rPr>
          <w:rStyle w:val="26"/>
          <w:rFonts w:ascii="黑体" w:hAnsi="黑体" w:eastAsia="黑体"/>
          <w:b w:val="0"/>
        </w:rPr>
        <w:tab/>
      </w:r>
    </w:p>
    <w:p>
      <w:pPr>
        <w:spacing w:line="640" w:lineRule="exact"/>
        <w:ind w:firstLine="646"/>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1年一般公共预算财政拨款基本支出169.16万元，其中：</w:t>
      </w:r>
    </w:p>
    <w:p>
      <w:pPr>
        <w:spacing w:line="640" w:lineRule="exact"/>
        <w:ind w:firstLine="646"/>
        <w:rPr>
          <w:rFonts w:ascii="仿宋" w:hAnsi="仿宋" w:eastAsia="仿宋"/>
          <w:color w:val="000000"/>
          <w:sz w:val="32"/>
          <w:szCs w:val="32"/>
        </w:rPr>
      </w:pPr>
      <w:r>
        <w:rPr>
          <w:rFonts w:hint="eastAsia" w:ascii="仿宋" w:hAnsi="仿宋" w:eastAsia="仿宋"/>
          <w:color w:val="000000"/>
          <w:sz w:val="32"/>
          <w:szCs w:val="32"/>
        </w:rPr>
        <w:t>人员经费150.87万元，主要包括：基本工资、津贴补贴、绩效工资、机关事业单位基本养老保险缴费、职工基本医疗保险缴费、公务员医疗补助缴费、其他社会保障缴费、住房公积金、其他工资福利支出、生活补助、医疗费补助等。</w:t>
      </w:r>
    </w:p>
    <w:p>
      <w:pPr>
        <w:spacing w:line="640" w:lineRule="exact"/>
        <w:ind w:firstLine="646"/>
        <w:rPr>
          <w:rFonts w:ascii="仿宋" w:hAnsi="仿宋" w:eastAsia="仿宋"/>
          <w:color w:val="000000"/>
          <w:sz w:val="32"/>
          <w:szCs w:val="32"/>
        </w:rPr>
      </w:pPr>
      <w:r>
        <w:rPr>
          <w:rFonts w:hint="eastAsia" w:ascii="仿宋" w:hAnsi="仿宋" w:eastAsia="仿宋"/>
          <w:color w:val="000000"/>
          <w:sz w:val="32"/>
          <w:szCs w:val="32"/>
        </w:rPr>
        <w:t>日常公用经费18.29万元，主要包括：办公费、手续费、水费、电费、邮电费、物业管理费、差旅费、维修（护）费、培训费、劳务费、工会经费、福利费、公务用车运行维护费、其他商品和服务支出、办公设备购置等。</w:t>
      </w:r>
    </w:p>
    <w:p>
      <w:pPr>
        <w:spacing w:line="600" w:lineRule="exact"/>
        <w:ind w:firstLine="640"/>
        <w:rPr>
          <w:rFonts w:ascii="仿宋" w:hAnsi="仿宋" w:eastAsia="仿宋"/>
          <w:b/>
          <w:color w:val="FF0000"/>
          <w:sz w:val="32"/>
          <w:szCs w:val="32"/>
        </w:rPr>
      </w:pPr>
    </w:p>
    <w:p>
      <w:pPr>
        <w:spacing w:line="640" w:lineRule="exact"/>
        <w:ind w:firstLine="641"/>
        <w:outlineLvl w:val="1"/>
        <w:rPr>
          <w:rStyle w:val="26"/>
          <w:rFonts w:ascii="黑体" w:hAnsi="黑体" w:eastAsia="黑体"/>
          <w:b w:val="0"/>
        </w:rPr>
      </w:pPr>
      <w:bookmarkStart w:id="40" w:name="_Toc15377215"/>
      <w:bookmarkStart w:id="41"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0"/>
      <w:bookmarkEnd w:id="41"/>
    </w:p>
    <w:p>
      <w:pPr>
        <w:spacing w:line="640" w:lineRule="exact"/>
        <w:ind w:firstLine="641"/>
        <w:outlineLvl w:val="2"/>
        <w:rPr>
          <w:rFonts w:ascii="楷体" w:hAnsi="楷体" w:eastAsia="楷体"/>
          <w:b/>
          <w:color w:val="000000"/>
          <w:sz w:val="32"/>
          <w:szCs w:val="32"/>
        </w:rPr>
      </w:pPr>
      <w:bookmarkStart w:id="42" w:name="_Toc15377216"/>
      <w:r>
        <w:rPr>
          <w:rFonts w:hint="eastAsia" w:ascii="楷体" w:hAnsi="楷体" w:eastAsia="楷体"/>
          <w:b/>
          <w:color w:val="000000"/>
          <w:sz w:val="32"/>
          <w:szCs w:val="32"/>
        </w:rPr>
        <w:t>（一）“三公”经费财政拨款支出决算总体情况说明</w:t>
      </w:r>
      <w:bookmarkEnd w:id="42"/>
    </w:p>
    <w:p>
      <w:pPr>
        <w:spacing w:line="640" w:lineRule="exact"/>
        <w:ind w:firstLine="641"/>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1年“三公”经费财政拨款支出决算为4.05万元，完成预算100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40" w:lineRule="exact"/>
        <w:ind w:firstLine="641"/>
        <w:outlineLvl w:val="2"/>
        <w:rPr>
          <w:rFonts w:ascii="楷体" w:hAnsi="楷体" w:eastAsia="楷体"/>
          <w:b/>
          <w:color w:val="000000"/>
          <w:sz w:val="32"/>
          <w:szCs w:val="32"/>
        </w:rPr>
      </w:pPr>
      <w:bookmarkStart w:id="43" w:name="_Toc15377217"/>
      <w:r>
        <w:rPr>
          <w:rFonts w:hint="eastAsia" w:ascii="楷体" w:hAnsi="楷体" w:eastAsia="楷体"/>
          <w:b/>
          <w:color w:val="000000"/>
          <w:sz w:val="32"/>
          <w:szCs w:val="32"/>
        </w:rPr>
        <w:t>（二）“三公”经费财政拨款支出决算具体情况说明</w:t>
      </w:r>
      <w:bookmarkEnd w:id="43"/>
    </w:p>
    <w:p>
      <w:pPr>
        <w:spacing w:line="640" w:lineRule="exact"/>
        <w:ind w:firstLine="641"/>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；公务用车购置及运行维护费支出决算4.05万元，占100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2336" behindDoc="1" locked="0" layoutInCell="1" allowOverlap="1">
            <wp:simplePos x="0" y="0"/>
            <wp:positionH relativeFrom="column">
              <wp:posOffset>-38100</wp:posOffset>
            </wp:positionH>
            <wp:positionV relativeFrom="paragraph">
              <wp:posOffset>146050</wp:posOffset>
            </wp:positionV>
            <wp:extent cx="4968875" cy="1924685"/>
            <wp:effectExtent l="0" t="0" r="0" b="0"/>
            <wp:wrapNone/>
            <wp:docPr id="11"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000000"/>
          <w:sz w:val="32"/>
          <w:szCs w:val="32"/>
        </w:rPr>
      </w:pPr>
    </w:p>
    <w:p>
      <w:pPr>
        <w:tabs>
          <w:tab w:val="left" w:pos="3090"/>
        </w:tabs>
        <w:spacing w:line="600" w:lineRule="exact"/>
        <w:ind w:firstLine="640"/>
        <w:rPr>
          <w:rFonts w:ascii="仿宋" w:hAnsi="仿宋" w:eastAsia="仿宋"/>
          <w:color w:val="000000"/>
          <w:sz w:val="32"/>
          <w:szCs w:val="32"/>
        </w:rPr>
      </w:pPr>
      <w:r>
        <w:rPr>
          <w:rFonts w:ascii="仿宋" w:hAnsi="仿宋" w:eastAsia="仿宋"/>
          <w:color w:val="000000"/>
          <w:sz w:val="32"/>
          <w:szCs w:val="32"/>
        </w:rPr>
        <w:tab/>
      </w:r>
    </w:p>
    <w:p>
      <w:pPr>
        <w:tabs>
          <w:tab w:val="left" w:pos="3090"/>
          <w:tab w:val="left" w:pos="5775"/>
        </w:tabs>
        <w:spacing w:line="600" w:lineRule="exact"/>
        <w:ind w:firstLine="640"/>
        <w:rPr>
          <w:rFonts w:ascii="仿宋" w:hAnsi="仿宋" w:eastAsia="仿宋"/>
          <w:color w:val="000000"/>
          <w:sz w:val="32"/>
          <w:szCs w:val="32"/>
        </w:rPr>
      </w:pPr>
      <w:r>
        <w:rPr>
          <w:rFonts w:ascii="仿宋" w:hAnsi="仿宋" w:eastAsia="仿宋"/>
          <w:color w:val="000000"/>
          <w:sz w:val="32"/>
          <w:szCs w:val="32"/>
        </w:rPr>
        <w:tab/>
      </w:r>
      <w:r>
        <w:rPr>
          <w:rFonts w:ascii="仿宋" w:hAnsi="仿宋" w:eastAsia="仿宋"/>
          <w:color w:val="000000"/>
          <w:sz w:val="32"/>
          <w:szCs w:val="32"/>
        </w:rPr>
        <w:tab/>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40" w:lineRule="exact"/>
        <w:ind w:firstLine="641"/>
        <w:rPr>
          <w:rFonts w:ascii="仿宋" w:hAnsi="仿宋" w:eastAsia="仿宋"/>
          <w:b/>
          <w:color w:val="000000"/>
          <w:sz w:val="32"/>
          <w:szCs w:val="32"/>
        </w:rPr>
      </w:pPr>
    </w:p>
    <w:p>
      <w:pPr>
        <w:spacing w:line="640" w:lineRule="exact"/>
        <w:ind w:firstLine="641"/>
        <w:rPr>
          <w:rFonts w:ascii="仿宋" w:hAnsi="仿宋" w:eastAsia="仿宋"/>
          <w:b/>
          <w:color w:val="000000"/>
          <w:sz w:val="32"/>
          <w:szCs w:val="32"/>
        </w:rPr>
      </w:pPr>
      <w:r>
        <w:rPr>
          <w:rFonts w:ascii="仿宋" w:hAnsi="仿宋" w:eastAsia="仿宋"/>
          <w:b/>
          <w:color w:val="000000"/>
          <w:sz w:val="32"/>
          <w:szCs w:val="32"/>
        </w:rPr>
        <w:t>1.</w:t>
      </w:r>
      <w:r>
        <w:rPr>
          <w:rFonts w:hint="eastAsia" w:ascii="仿宋" w:hAnsi="仿宋" w:eastAsia="仿宋"/>
          <w:b/>
          <w:color w:val="000000"/>
          <w:sz w:val="32"/>
          <w:szCs w:val="32"/>
        </w:rPr>
        <w:t>因公出国（境）经费支出</w:t>
      </w:r>
      <w:r>
        <w:rPr>
          <w:rFonts w:hint="eastAsia" w:ascii="仿宋" w:hAnsi="仿宋" w:eastAsia="仿宋"/>
          <w:color w:val="000000"/>
          <w:sz w:val="32"/>
          <w:szCs w:val="32"/>
        </w:rPr>
        <w:t>0万元，</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 w:hAnsi="仿宋" w:eastAsia="仿宋"/>
          <w:color w:val="000000"/>
          <w:sz w:val="32"/>
          <w:szCs w:val="32"/>
        </w:rPr>
        <w:t>全年安排因公出国（境）团组0次，出国（境）0人。因公出国（境）支出决算与2020年持平。</w:t>
      </w:r>
    </w:p>
    <w:p>
      <w:pPr>
        <w:spacing w:line="640" w:lineRule="exact"/>
        <w:ind w:firstLine="641"/>
        <w:rPr>
          <w:rFonts w:ascii="仿宋" w:hAnsi="仿宋" w:eastAsia="仿宋"/>
          <w:b/>
          <w:color w:val="000000"/>
          <w:sz w:val="32"/>
          <w:szCs w:val="32"/>
        </w:rPr>
      </w:pPr>
      <w:r>
        <w:rPr>
          <w:rFonts w:ascii="仿宋" w:hAnsi="仿宋" w:eastAsia="仿宋"/>
          <w:b/>
          <w:color w:val="000000"/>
          <w:sz w:val="32"/>
          <w:szCs w:val="32"/>
        </w:rPr>
        <w:t>2.</w:t>
      </w:r>
      <w:r>
        <w:rPr>
          <w:rFonts w:hint="eastAsia" w:ascii="仿宋" w:hAnsi="仿宋" w:eastAsia="仿宋"/>
          <w:b/>
          <w:color w:val="000000"/>
          <w:sz w:val="32"/>
          <w:szCs w:val="32"/>
        </w:rPr>
        <w:t>公务用车购置及运行维护费支出</w:t>
      </w:r>
      <w:r>
        <w:rPr>
          <w:rFonts w:hint="eastAsia" w:ascii="仿宋" w:hAnsi="仿宋" w:eastAsia="仿宋"/>
          <w:color w:val="000000"/>
          <w:sz w:val="32"/>
          <w:szCs w:val="32"/>
        </w:rPr>
        <w:t>4.05万元</w:t>
      </w:r>
      <w:r>
        <w:rPr>
          <w:rFonts w:ascii="仿宋" w:hAnsi="仿宋" w:eastAsia="仿宋"/>
          <w:color w:val="000000"/>
          <w:sz w:val="32"/>
          <w:szCs w:val="32"/>
        </w:rPr>
        <w:t>,</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 w:hAnsi="仿宋" w:eastAsia="仿宋"/>
          <w:color w:val="000000"/>
          <w:sz w:val="32"/>
          <w:szCs w:val="32"/>
        </w:rPr>
        <w:t>公务用车购置及运行维护费支出决算与2020年基本持平。</w:t>
      </w:r>
    </w:p>
    <w:p>
      <w:pPr>
        <w:spacing w:line="640" w:lineRule="exact"/>
        <w:ind w:firstLine="641"/>
        <w:rPr>
          <w:rFonts w:ascii="仿宋" w:hAnsi="仿宋" w:eastAsia="仿宋"/>
          <w:b/>
          <w:color w:val="000000"/>
          <w:sz w:val="32"/>
          <w:szCs w:val="32"/>
        </w:rPr>
      </w:pPr>
      <w:r>
        <w:rPr>
          <w:rFonts w:hint="eastAsia" w:ascii="仿宋" w:hAnsi="仿宋" w:eastAsia="仿宋"/>
          <w:color w:val="000000"/>
          <w:sz w:val="32"/>
          <w:szCs w:val="32"/>
        </w:rPr>
        <w:t>其中：</w:t>
      </w:r>
      <w:r>
        <w:rPr>
          <w:rFonts w:hint="eastAsia" w:ascii="仿宋" w:hAnsi="仿宋" w:eastAsia="仿宋"/>
          <w:b/>
          <w:color w:val="000000"/>
          <w:sz w:val="32"/>
          <w:szCs w:val="32"/>
        </w:rPr>
        <w:t>公务用车购置支出</w:t>
      </w:r>
      <w:r>
        <w:rPr>
          <w:rFonts w:hint="eastAsia" w:ascii="仿宋" w:hAnsi="仿宋" w:eastAsia="仿宋"/>
          <w:color w:val="000000"/>
          <w:sz w:val="32"/>
          <w:szCs w:val="32"/>
        </w:rPr>
        <w:t>0万元。全年按规定更新购置公务用车0辆，其中：轿车0辆、金额0万元，越野车0辆、金额0万元，载客汽车0辆、金额0万元。截至</w:t>
      </w:r>
      <w:r>
        <w:rPr>
          <w:rFonts w:ascii="仿宋" w:hAnsi="仿宋" w:eastAsia="仿宋"/>
          <w:color w:val="000000"/>
          <w:sz w:val="32"/>
          <w:szCs w:val="32"/>
        </w:rPr>
        <w:t>202</w:t>
      </w:r>
      <w:r>
        <w:rPr>
          <w:rFonts w:hint="eastAsia" w:ascii="仿宋" w:hAnsi="仿宋" w:eastAsia="仿宋"/>
          <w:color w:val="000000"/>
          <w:sz w:val="32"/>
          <w:szCs w:val="32"/>
        </w:rPr>
        <w:t>1年</w:t>
      </w:r>
      <w:r>
        <w:rPr>
          <w:rFonts w:ascii="仿宋" w:hAnsi="仿宋" w:eastAsia="仿宋"/>
          <w:color w:val="000000"/>
          <w:sz w:val="32"/>
          <w:szCs w:val="32"/>
        </w:rPr>
        <w:t>12</w:t>
      </w:r>
      <w:r>
        <w:rPr>
          <w:rFonts w:hint="eastAsia" w:ascii="仿宋" w:hAnsi="仿宋" w:eastAsia="仿宋"/>
          <w:color w:val="000000"/>
          <w:sz w:val="32"/>
          <w:szCs w:val="32"/>
        </w:rPr>
        <w:t>月底，单位共有公务用车1辆，其中：轿车0辆、越野车1辆、载客汽车0辆。</w:t>
      </w:r>
    </w:p>
    <w:p>
      <w:pPr>
        <w:snapToGrid w:val="0"/>
        <w:spacing w:line="64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公务用车运行维护费支出</w:t>
      </w:r>
      <w:r>
        <w:rPr>
          <w:rFonts w:hint="eastAsia" w:ascii="仿宋" w:hAnsi="仿宋" w:eastAsia="仿宋"/>
          <w:color w:val="000000"/>
          <w:sz w:val="32"/>
          <w:szCs w:val="32"/>
        </w:rPr>
        <w:t>4.05万元。</w:t>
      </w:r>
      <w:r>
        <w:rPr>
          <w:rStyle w:val="34"/>
          <w:rFonts w:hint="eastAsia" w:ascii="仿宋" w:hAnsi="仿宋" w:eastAsia="仿宋"/>
          <w:sz w:val="32"/>
          <w:szCs w:val="32"/>
        </w:rPr>
        <w:t>主要用于保障性安居工程建设、市本级市政基础设施项目策划、储备、建设模式选择等前期工作和建设及具体实施、市政府非经营性投资项目代建业务实施过程中事务性、技术性、辅助性工作</w:t>
      </w:r>
      <w:r>
        <w:rPr>
          <w:rFonts w:hint="eastAsia" w:ascii="仿宋" w:hAnsi="仿宋" w:eastAsia="仿宋"/>
          <w:color w:val="000000"/>
          <w:sz w:val="32"/>
          <w:szCs w:val="32"/>
        </w:rPr>
        <w:t>等所需的公务用车燃料费、维修费、过路过桥费、保险费等支出。</w:t>
      </w:r>
    </w:p>
    <w:p>
      <w:pPr>
        <w:spacing w:line="640" w:lineRule="exact"/>
        <w:ind w:firstLine="640"/>
        <w:rPr>
          <w:rFonts w:ascii="仿宋" w:hAnsi="仿宋" w:eastAsia="仿宋"/>
          <w:color w:val="000000"/>
          <w:sz w:val="32"/>
          <w:szCs w:val="32"/>
        </w:rPr>
      </w:pPr>
      <w:r>
        <w:rPr>
          <w:rFonts w:ascii="仿宋" w:hAnsi="仿宋" w:eastAsia="仿宋"/>
          <w:b/>
          <w:color w:val="000000"/>
          <w:sz w:val="32"/>
          <w:szCs w:val="32"/>
        </w:rPr>
        <w:t>3.</w:t>
      </w:r>
      <w:r>
        <w:rPr>
          <w:rFonts w:hint="eastAsia" w:ascii="仿宋" w:hAnsi="仿宋" w:eastAsia="仿宋"/>
          <w:b/>
          <w:color w:val="000000"/>
          <w:sz w:val="32"/>
          <w:szCs w:val="32"/>
        </w:rPr>
        <w:t>公务接待费支出</w:t>
      </w:r>
      <w:r>
        <w:rPr>
          <w:rFonts w:hint="eastAsia" w:ascii="仿宋" w:hAnsi="仿宋" w:eastAsia="仿宋"/>
          <w:color w:val="000000"/>
          <w:sz w:val="32"/>
          <w:szCs w:val="32"/>
        </w:rPr>
        <w:t>0万元，</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 w:hAnsi="仿宋" w:eastAsia="仿宋"/>
          <w:color w:val="000000"/>
          <w:sz w:val="32"/>
          <w:szCs w:val="32"/>
        </w:rPr>
        <w:t>公务接待费支出决算与2020年持平。</w:t>
      </w:r>
    </w:p>
    <w:p>
      <w:pPr>
        <w:spacing w:line="640" w:lineRule="exact"/>
        <w:ind w:firstLine="640"/>
        <w:rPr>
          <w:rFonts w:ascii="仿宋" w:hAnsi="仿宋" w:eastAsia="仿宋"/>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0万元。</w:t>
      </w:r>
    </w:p>
    <w:p>
      <w:pPr>
        <w:spacing w:line="64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0万元。</w:t>
      </w:r>
    </w:p>
    <w:p/>
    <w:p>
      <w:pPr>
        <w:spacing w:line="64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p>
    <w:p>
      <w:pPr>
        <w:spacing w:line="64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2021年政府性基金预算拨款支出0万元。</w:t>
      </w:r>
    </w:p>
    <w:p>
      <w:pPr>
        <w:spacing w:line="640" w:lineRule="exact"/>
        <w:ind w:firstLine="640"/>
        <w:rPr>
          <w:rFonts w:ascii="仿宋_GB2312" w:eastAsia="仿宋_GB2312"/>
          <w:color w:val="000000"/>
          <w:sz w:val="32"/>
          <w:szCs w:val="32"/>
        </w:rPr>
      </w:pPr>
    </w:p>
    <w:p>
      <w:pPr>
        <w:numPr>
          <w:ilvl w:val="0"/>
          <w:numId w:val="2"/>
        </w:numPr>
        <w:spacing w:line="640" w:lineRule="exact"/>
        <w:ind w:firstLine="640"/>
        <w:outlineLvl w:val="1"/>
        <w:rPr>
          <w:rStyle w:val="26"/>
          <w:rFonts w:ascii="黑体" w:hAnsi="黑体" w:eastAsia="黑体"/>
          <w:b w:val="0"/>
        </w:rPr>
      </w:pPr>
      <w:r>
        <w:rPr>
          <w:rStyle w:val="26"/>
          <w:rFonts w:hint="eastAsia" w:ascii="黑体" w:hAnsi="黑体" w:eastAsia="黑体"/>
          <w:b w:val="0"/>
        </w:rPr>
        <w:t>国有资本经营预算支出决算情况说明</w:t>
      </w:r>
    </w:p>
    <w:p>
      <w:pPr>
        <w:spacing w:line="64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2021年国有资本经营预算拨款支出0万元。</w:t>
      </w:r>
    </w:p>
    <w:p>
      <w:pPr>
        <w:spacing w:line="640" w:lineRule="exact"/>
        <w:jc w:val="center"/>
        <w:rPr>
          <w:rFonts w:ascii="方正小标宋简体" w:hAnsi="方正小标宋简体" w:eastAsia="方正小标宋简体" w:cs="方正小标宋简体"/>
          <w:sz w:val="44"/>
          <w:szCs w:val="44"/>
        </w:rPr>
      </w:pPr>
    </w:p>
    <w:p>
      <w:pPr>
        <w:spacing w:line="640" w:lineRule="exact"/>
        <w:ind w:firstLine="800" w:firstLineChars="250"/>
        <w:outlineLvl w:val="1"/>
        <w:rPr>
          <w:rStyle w:val="26"/>
          <w:rFonts w:ascii="黑体" w:hAnsi="黑体" w:eastAsia="黑体"/>
        </w:rPr>
      </w:pPr>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p>
    <w:p>
      <w:pPr>
        <w:spacing w:line="640" w:lineRule="exact"/>
        <w:ind w:firstLine="643" w:firstLineChars="200"/>
        <w:outlineLvl w:val="2"/>
        <w:rPr>
          <w:rFonts w:ascii="仿宋" w:hAnsi="仿宋" w:eastAsia="仿宋"/>
          <w:color w:val="000000"/>
          <w:sz w:val="32"/>
          <w:szCs w:val="32"/>
        </w:rPr>
      </w:pPr>
      <w:r>
        <w:rPr>
          <w:rFonts w:hint="eastAsia" w:ascii="仿宋" w:hAnsi="仿宋" w:eastAsia="仿宋"/>
          <w:b/>
          <w:color w:val="000000"/>
          <w:sz w:val="32"/>
          <w:szCs w:val="32"/>
        </w:rPr>
        <w:t>（一）机关运行经费支出情况</w:t>
      </w:r>
    </w:p>
    <w:p>
      <w:pPr>
        <w:spacing w:line="6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2021年，</w:t>
      </w:r>
      <w:r>
        <w:rPr>
          <w:rFonts w:hint="eastAsia" w:ascii="仿宋" w:hAnsi="仿宋" w:eastAsia="仿宋" w:cs="仿宋"/>
          <w:color w:val="000000"/>
          <w:sz w:val="32"/>
          <w:szCs w:val="32"/>
          <w:lang w:eastAsia="zh-CN"/>
        </w:rPr>
        <w:t>市住保和建设项目中心</w:t>
      </w:r>
      <w:r>
        <w:rPr>
          <w:rFonts w:hint="eastAsia" w:ascii="仿宋" w:hAnsi="仿宋" w:eastAsia="仿宋" w:cs="仿宋"/>
          <w:color w:val="000000"/>
          <w:sz w:val="32"/>
          <w:szCs w:val="32"/>
        </w:rPr>
        <w:t>机关运行经费支出0万元，与2020年决算数持平。</w:t>
      </w:r>
    </w:p>
    <w:p>
      <w:pPr>
        <w:autoSpaceDE w:val="0"/>
        <w:autoSpaceDN w:val="0"/>
        <w:adjustRightInd w:val="0"/>
        <w:spacing w:line="640" w:lineRule="exact"/>
        <w:ind w:firstLine="643" w:firstLineChars="200"/>
        <w:jc w:val="left"/>
        <w:outlineLvl w:val="2"/>
        <w:rPr>
          <w:rFonts w:ascii="楷体" w:hAnsi="楷体" w:eastAsia="楷体"/>
          <w:b/>
          <w:color w:val="000000"/>
          <w:sz w:val="32"/>
          <w:szCs w:val="32"/>
        </w:rPr>
      </w:pPr>
      <w:r>
        <w:rPr>
          <w:rFonts w:hint="eastAsia" w:ascii="楷体" w:hAnsi="楷体" w:eastAsia="楷体"/>
          <w:b/>
          <w:color w:val="000000"/>
          <w:sz w:val="32"/>
          <w:szCs w:val="32"/>
        </w:rPr>
        <w:t>（二）政府采购支出情况</w:t>
      </w:r>
    </w:p>
    <w:p>
      <w:pPr>
        <w:spacing w:line="64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w:t>
      </w:r>
      <w:r>
        <w:rPr>
          <w:rFonts w:hint="eastAsia" w:ascii="仿宋" w:hAnsi="仿宋" w:eastAsia="仿宋"/>
          <w:color w:val="000000"/>
          <w:sz w:val="32"/>
          <w:szCs w:val="32"/>
          <w:lang w:eastAsia="zh-CN"/>
        </w:rPr>
        <w:t>市住保和建设项目中心</w:t>
      </w:r>
      <w:r>
        <w:rPr>
          <w:rFonts w:hint="eastAsia" w:ascii="仿宋" w:hAnsi="仿宋" w:eastAsia="仿宋"/>
          <w:color w:val="000000"/>
          <w:sz w:val="32"/>
          <w:szCs w:val="32"/>
        </w:rPr>
        <w:t>政府采购支出总额0万元，其中：政府采购货物支出0万元、政府采购工程支出0万元、政府采购服务支出0万元。授予中小企业合同金额0万元，占政府采购支出总额的0</w:t>
      </w:r>
      <w:r>
        <w:rPr>
          <w:rFonts w:ascii="仿宋" w:hAnsi="仿宋" w:eastAsia="仿宋"/>
          <w:color w:val="000000"/>
          <w:sz w:val="32"/>
          <w:szCs w:val="32"/>
        </w:rPr>
        <w:t>%</w:t>
      </w:r>
      <w:r>
        <w:rPr>
          <w:rFonts w:hint="eastAsia" w:ascii="仿宋" w:hAnsi="仿宋" w:eastAsia="仿宋"/>
          <w:color w:val="000000"/>
          <w:sz w:val="32"/>
          <w:szCs w:val="32"/>
        </w:rPr>
        <w:t>，其中：授予小微企业合同金额0万元，占政府采购支出总额的0</w:t>
      </w:r>
      <w:r>
        <w:rPr>
          <w:rFonts w:ascii="仿宋" w:hAnsi="仿宋" w:eastAsia="仿宋"/>
          <w:color w:val="000000"/>
          <w:sz w:val="32"/>
          <w:szCs w:val="32"/>
        </w:rPr>
        <w:t>%</w:t>
      </w:r>
      <w:r>
        <w:rPr>
          <w:rFonts w:hint="eastAsia" w:ascii="仿宋" w:hAnsi="仿宋" w:eastAsia="仿宋"/>
          <w:color w:val="000000"/>
          <w:sz w:val="32"/>
          <w:szCs w:val="32"/>
        </w:rPr>
        <w:t>。</w:t>
      </w:r>
    </w:p>
    <w:p>
      <w:pPr>
        <w:autoSpaceDE w:val="0"/>
        <w:autoSpaceDN w:val="0"/>
        <w:adjustRightInd w:val="0"/>
        <w:spacing w:line="640" w:lineRule="exact"/>
        <w:ind w:firstLine="643" w:firstLineChars="200"/>
        <w:jc w:val="left"/>
        <w:outlineLvl w:val="2"/>
        <w:rPr>
          <w:rFonts w:ascii="楷体" w:hAnsi="楷体" w:eastAsia="楷体"/>
          <w:b/>
          <w:color w:val="000000"/>
          <w:sz w:val="32"/>
          <w:szCs w:val="32"/>
        </w:rPr>
      </w:pPr>
      <w:r>
        <w:rPr>
          <w:rFonts w:hint="eastAsia" w:ascii="楷体" w:hAnsi="楷体" w:eastAsia="楷体"/>
          <w:b/>
          <w:color w:val="000000"/>
          <w:sz w:val="32"/>
          <w:szCs w:val="32"/>
        </w:rPr>
        <w:t>（三）国有资产占有使用情况</w:t>
      </w:r>
    </w:p>
    <w:p>
      <w:pPr>
        <w:autoSpaceDE w:val="0"/>
        <w:autoSpaceDN w:val="0"/>
        <w:adjustRightInd w:val="0"/>
        <w:spacing w:line="640" w:lineRule="exact"/>
        <w:ind w:firstLine="640" w:firstLineChars="200"/>
        <w:jc w:val="left"/>
        <w:rPr>
          <w:rFonts w:ascii="仿宋" w:hAnsi="仿宋" w:eastAsia="仿宋"/>
          <w:b/>
          <w:color w:val="FF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202</w:t>
      </w:r>
      <w:r>
        <w:rPr>
          <w:rFonts w:hint="eastAsia" w:ascii="仿宋" w:hAnsi="仿宋" w:eastAsia="仿宋"/>
          <w:color w:val="000000"/>
          <w:sz w:val="32"/>
          <w:szCs w:val="32"/>
        </w:rPr>
        <w:t>1年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日，市住保和建设项目中心共有车辆1辆，其中：其他用车1辆，其他用车主要是用于</w:t>
      </w:r>
      <w:r>
        <w:rPr>
          <w:rFonts w:hint="eastAsia" w:ascii="仿宋" w:hAnsi="仿宋" w:eastAsia="仿宋"/>
          <w:color w:val="000000"/>
          <w:sz w:val="32"/>
          <w:szCs w:val="32"/>
          <w:lang w:eastAsia="zh-CN"/>
        </w:rPr>
        <w:t>市住保和建设项目中心</w:t>
      </w:r>
      <w:r>
        <w:rPr>
          <w:rFonts w:hint="eastAsia" w:ascii="仿宋" w:hAnsi="仿宋" w:eastAsia="仿宋"/>
          <w:color w:val="000000"/>
          <w:sz w:val="32"/>
          <w:szCs w:val="32"/>
        </w:rPr>
        <w:t>业务用车。单价</w:t>
      </w:r>
      <w:r>
        <w:rPr>
          <w:rFonts w:ascii="仿宋" w:hAnsi="仿宋" w:eastAsia="仿宋"/>
          <w:color w:val="000000"/>
          <w:sz w:val="32"/>
          <w:szCs w:val="32"/>
        </w:rPr>
        <w:t>50</w:t>
      </w:r>
      <w:r>
        <w:rPr>
          <w:rFonts w:hint="eastAsia" w:ascii="仿宋" w:hAnsi="仿宋" w:eastAsia="仿宋"/>
          <w:color w:val="000000"/>
          <w:sz w:val="32"/>
          <w:szCs w:val="32"/>
        </w:rPr>
        <w:t>万元以上通用设备0台（套），单价</w:t>
      </w:r>
      <w:r>
        <w:rPr>
          <w:rFonts w:ascii="仿宋" w:hAnsi="仿宋" w:eastAsia="仿宋"/>
          <w:color w:val="000000"/>
          <w:sz w:val="32"/>
          <w:szCs w:val="32"/>
        </w:rPr>
        <w:t>100</w:t>
      </w:r>
      <w:r>
        <w:rPr>
          <w:rFonts w:hint="eastAsia" w:ascii="仿宋" w:hAnsi="仿宋" w:eastAsia="仿宋"/>
          <w:color w:val="000000"/>
          <w:sz w:val="32"/>
          <w:szCs w:val="32"/>
        </w:rPr>
        <w:t>万元以上专用设备0台（套）。</w:t>
      </w:r>
    </w:p>
    <w:p>
      <w:pPr>
        <w:autoSpaceDE w:val="0"/>
        <w:autoSpaceDN w:val="0"/>
        <w:adjustRightInd w:val="0"/>
        <w:spacing w:line="640" w:lineRule="exact"/>
        <w:ind w:firstLine="643" w:firstLineChars="200"/>
        <w:jc w:val="left"/>
        <w:outlineLvl w:val="2"/>
        <w:rPr>
          <w:rFonts w:ascii="楷体" w:hAnsi="楷体" w:eastAsia="楷体"/>
          <w:b/>
          <w:color w:val="000000"/>
          <w:sz w:val="32"/>
          <w:szCs w:val="32"/>
        </w:rPr>
      </w:pPr>
      <w:r>
        <w:rPr>
          <w:rFonts w:hint="eastAsia" w:ascii="楷体" w:hAnsi="楷体" w:eastAsia="楷体"/>
          <w:b/>
          <w:color w:val="000000"/>
          <w:sz w:val="32"/>
          <w:szCs w:val="32"/>
        </w:rPr>
        <w:t>（四）预算绩效管理情况</w:t>
      </w:r>
    </w:p>
    <w:p>
      <w:pPr>
        <w:spacing w:line="6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预算绩效管理要求，本单位在年初预算编制阶段，组织对项目业务运行费、建设项目现场管理及项目库经费、火车南站开发相应支出（非税征管成本）、援藏干部经费补助等4个项目开展了预算事前绩效评估，对4个项目编制了绩效目标，预算执行过程中，选取2个项目开展绩效监控，年终执行完毕后，对2个项目开展了绩效目标完成情况自评。2021年特定目标类部门预算项目绩效目标自评表见附件（第四部分）。</w:t>
      </w:r>
    </w:p>
    <w:p>
      <w:pPr>
        <w:spacing w:line="640" w:lineRule="exact"/>
        <w:ind w:firstLine="640" w:firstLineChars="200"/>
        <w:rPr>
          <w:rFonts w:ascii="仿宋_GB2312" w:hAnsi="仿宋_GB2312" w:eastAsia="仿宋_GB2312" w:cs="仿宋_GB2312"/>
          <w:sz w:val="32"/>
          <w:szCs w:val="32"/>
        </w:rPr>
      </w:pPr>
    </w:p>
    <w:p>
      <w:pPr>
        <w:spacing w:line="640" w:lineRule="exact"/>
        <w:rPr>
          <w:rFonts w:ascii="黑体" w:hAnsi="黑体" w:eastAsia="黑体"/>
          <w:color w:val="000000"/>
          <w:sz w:val="44"/>
          <w:szCs w:val="44"/>
        </w:rPr>
      </w:pPr>
    </w:p>
    <w:p>
      <w:pPr>
        <w:spacing w:line="640" w:lineRule="exact"/>
        <w:rPr>
          <w:rFonts w:ascii="黑体" w:hAnsi="黑体" w:eastAsia="黑体"/>
          <w:color w:val="000000"/>
          <w:sz w:val="44"/>
          <w:szCs w:val="44"/>
        </w:rPr>
      </w:pPr>
    </w:p>
    <w:p>
      <w:pPr>
        <w:spacing w:line="640" w:lineRule="exact"/>
        <w:rPr>
          <w:rFonts w:ascii="黑体" w:hAnsi="黑体" w:eastAsia="黑体"/>
          <w:color w:val="000000"/>
          <w:sz w:val="44"/>
          <w:szCs w:val="44"/>
        </w:rPr>
      </w:pPr>
    </w:p>
    <w:p>
      <w:pPr>
        <w:spacing w:line="640" w:lineRule="exact"/>
        <w:rPr>
          <w:rFonts w:ascii="黑体" w:hAnsi="黑体" w:eastAsia="黑体"/>
          <w:color w:val="000000"/>
          <w:sz w:val="44"/>
          <w:szCs w:val="44"/>
        </w:rPr>
      </w:pPr>
    </w:p>
    <w:p>
      <w:pPr>
        <w:spacing w:line="640" w:lineRule="exact"/>
        <w:rPr>
          <w:rFonts w:ascii="黑体" w:hAnsi="黑体" w:eastAsia="黑体"/>
          <w:color w:val="000000"/>
          <w:sz w:val="44"/>
          <w:szCs w:val="44"/>
        </w:rPr>
      </w:pPr>
    </w:p>
    <w:p>
      <w:pPr>
        <w:spacing w:line="640" w:lineRule="exact"/>
        <w:rPr>
          <w:rFonts w:ascii="黑体" w:hAnsi="黑体" w:eastAsia="黑体"/>
          <w:color w:val="000000"/>
          <w:sz w:val="44"/>
          <w:szCs w:val="44"/>
        </w:rPr>
      </w:pPr>
    </w:p>
    <w:p>
      <w:pPr>
        <w:spacing w:line="640" w:lineRule="exact"/>
        <w:rPr>
          <w:rFonts w:ascii="黑体" w:hAnsi="黑体" w:eastAsia="黑体"/>
          <w:color w:val="000000"/>
          <w:sz w:val="44"/>
          <w:szCs w:val="44"/>
        </w:rPr>
      </w:pPr>
    </w:p>
    <w:p>
      <w:pPr>
        <w:spacing w:line="640" w:lineRule="exact"/>
        <w:rPr>
          <w:rFonts w:ascii="黑体" w:hAnsi="黑体" w:eastAsia="黑体"/>
          <w:color w:val="000000"/>
          <w:sz w:val="44"/>
          <w:szCs w:val="44"/>
        </w:rPr>
      </w:pPr>
    </w:p>
    <w:p>
      <w:pPr>
        <w:spacing w:line="580" w:lineRule="exact"/>
        <w:rPr>
          <w:rFonts w:ascii="黑体" w:hAnsi="黑体" w:eastAsia="黑体"/>
          <w:color w:val="000000"/>
          <w:sz w:val="44"/>
          <w:szCs w:val="44"/>
        </w:rPr>
      </w:pPr>
    </w:p>
    <w:p>
      <w:pPr>
        <w:spacing w:line="580" w:lineRule="exact"/>
        <w:rPr>
          <w:rFonts w:ascii="黑体" w:hAnsi="黑体" w:eastAsia="黑体"/>
          <w:color w:val="000000"/>
          <w:sz w:val="44"/>
          <w:szCs w:val="44"/>
        </w:rPr>
      </w:pPr>
    </w:p>
    <w:p>
      <w:pPr>
        <w:spacing w:line="580" w:lineRule="exact"/>
        <w:rPr>
          <w:rFonts w:ascii="黑体" w:hAnsi="黑体" w:eastAsia="黑体"/>
          <w:color w:val="000000"/>
          <w:sz w:val="44"/>
          <w:szCs w:val="44"/>
        </w:rPr>
      </w:pPr>
    </w:p>
    <w:p>
      <w:pPr>
        <w:spacing w:line="580" w:lineRule="exact"/>
        <w:rPr>
          <w:rFonts w:ascii="黑体" w:hAnsi="黑体" w:eastAsia="黑体"/>
          <w:color w:val="000000"/>
          <w:sz w:val="44"/>
          <w:szCs w:val="44"/>
        </w:rPr>
      </w:pPr>
    </w:p>
    <w:p>
      <w:pPr>
        <w:spacing w:line="580" w:lineRule="exact"/>
        <w:rPr>
          <w:rFonts w:ascii="黑体" w:hAnsi="黑体" w:eastAsia="黑体"/>
          <w:color w:val="000000"/>
          <w:sz w:val="44"/>
          <w:szCs w:val="44"/>
        </w:rPr>
      </w:pPr>
    </w:p>
    <w:p>
      <w:pPr>
        <w:spacing w:line="580" w:lineRule="exact"/>
        <w:rPr>
          <w:rFonts w:ascii="黑体" w:hAnsi="黑体" w:eastAsia="黑体"/>
          <w:color w:val="000000"/>
          <w:sz w:val="44"/>
          <w:szCs w:val="44"/>
        </w:rPr>
      </w:pPr>
    </w:p>
    <w:p>
      <w:pPr>
        <w:spacing w:line="580" w:lineRule="exact"/>
        <w:rPr>
          <w:rFonts w:ascii="黑体" w:hAnsi="黑体" w:eastAsia="黑体"/>
          <w:color w:val="000000"/>
          <w:sz w:val="44"/>
          <w:szCs w:val="44"/>
        </w:rPr>
      </w:pPr>
    </w:p>
    <w:p>
      <w:pPr>
        <w:spacing w:line="580" w:lineRule="exact"/>
        <w:rPr>
          <w:rFonts w:ascii="黑体" w:hAnsi="黑体" w:eastAsia="黑体"/>
          <w:color w:val="000000"/>
          <w:sz w:val="44"/>
          <w:szCs w:val="44"/>
        </w:rPr>
      </w:pPr>
    </w:p>
    <w:p>
      <w:pPr>
        <w:spacing w:line="640" w:lineRule="exact"/>
        <w:jc w:val="center"/>
        <w:rPr>
          <w:rFonts w:ascii="黑体" w:hAnsi="黑体" w:eastAsia="黑体"/>
          <w:color w:val="000000"/>
          <w:sz w:val="44"/>
          <w:szCs w:val="44"/>
        </w:rPr>
      </w:pPr>
    </w:p>
    <w:p>
      <w:pPr>
        <w:spacing w:line="640" w:lineRule="exact"/>
        <w:jc w:val="center"/>
        <w:rPr>
          <w:rFonts w:ascii="黑体" w:hAnsi="黑体" w:eastAsia="黑体"/>
          <w:color w:val="000000"/>
          <w:sz w:val="44"/>
          <w:szCs w:val="44"/>
        </w:rPr>
      </w:pPr>
    </w:p>
    <w:p>
      <w:pPr>
        <w:spacing w:line="640" w:lineRule="exact"/>
        <w:jc w:val="center"/>
        <w:rPr>
          <w:rFonts w:ascii="黑体" w:hAnsi="黑体" w:eastAsia="黑体"/>
          <w:color w:val="000000"/>
          <w:sz w:val="44"/>
          <w:szCs w:val="44"/>
        </w:rPr>
      </w:pPr>
    </w:p>
    <w:p>
      <w:pPr>
        <w:spacing w:line="640" w:lineRule="exact"/>
        <w:jc w:val="center"/>
        <w:rPr>
          <w:rStyle w:val="25"/>
          <w:rFonts w:ascii="黑体" w:hAnsi="黑体" w:eastAsia="黑体"/>
          <w:b w:val="0"/>
        </w:rPr>
      </w:pPr>
      <w:r>
        <w:rPr>
          <w:rFonts w:hint="eastAsia" w:ascii="黑体" w:hAnsi="黑体" w:eastAsia="黑体"/>
          <w:color w:val="000000"/>
          <w:sz w:val="44"/>
          <w:szCs w:val="44"/>
        </w:rPr>
        <w:t>第三部分 名</w:t>
      </w:r>
      <w:r>
        <w:rPr>
          <w:rStyle w:val="25"/>
          <w:rFonts w:hint="eastAsia" w:ascii="黑体" w:hAnsi="黑体" w:eastAsia="黑体"/>
          <w:b w:val="0"/>
        </w:rPr>
        <w:t>词解释</w:t>
      </w:r>
    </w:p>
    <w:p>
      <w:pPr>
        <w:spacing w:line="640" w:lineRule="exact"/>
        <w:jc w:val="left"/>
        <w:rPr>
          <w:rFonts w:ascii="宋体"/>
          <w:b/>
          <w:color w:val="000000"/>
          <w:sz w:val="44"/>
          <w:szCs w:val="44"/>
        </w:rPr>
      </w:pPr>
    </w:p>
    <w:p>
      <w:pPr>
        <w:pStyle w:val="23"/>
        <w:spacing w:line="640" w:lineRule="exact"/>
        <w:ind w:firstLine="640" w:firstLineChars="200"/>
        <w:rPr>
          <w:rFonts w:hAnsi="仿宋"/>
          <w:sz w:val="32"/>
          <w:szCs w:val="32"/>
        </w:rPr>
      </w:pPr>
      <w:r>
        <w:rPr>
          <w:rFonts w:hAnsi="仿宋"/>
          <w:sz w:val="32"/>
          <w:szCs w:val="32"/>
        </w:rPr>
        <w:t>1.</w:t>
      </w:r>
      <w:r>
        <w:rPr>
          <w:rFonts w:hint="eastAsia" w:hAnsi="仿宋"/>
          <w:sz w:val="32"/>
          <w:szCs w:val="32"/>
        </w:rPr>
        <w:t>财政拨款收入：指单位从同级财政部门取得的财政预算资金。</w:t>
      </w:r>
    </w:p>
    <w:p>
      <w:pPr>
        <w:pStyle w:val="23"/>
        <w:spacing w:line="640" w:lineRule="exact"/>
        <w:ind w:firstLine="640" w:firstLineChars="200"/>
        <w:rPr>
          <w:rFonts w:hAnsi="仿宋"/>
          <w:sz w:val="32"/>
          <w:szCs w:val="32"/>
        </w:rPr>
      </w:pPr>
      <w:r>
        <w:rPr>
          <w:rFonts w:hAnsi="仿宋"/>
          <w:sz w:val="32"/>
          <w:szCs w:val="32"/>
        </w:rPr>
        <w:t>2.</w:t>
      </w:r>
      <w:r>
        <w:rPr>
          <w:rFonts w:hint="eastAsia" w:hAnsi="仿宋"/>
          <w:sz w:val="32"/>
          <w:szCs w:val="32"/>
        </w:rPr>
        <w:t>事业收入：指事业单位开展专业业务活动及辅助活动取得的收入。</w:t>
      </w:r>
    </w:p>
    <w:p>
      <w:pPr>
        <w:pStyle w:val="23"/>
        <w:spacing w:line="640" w:lineRule="exact"/>
        <w:ind w:firstLine="640" w:firstLineChars="200"/>
        <w:rPr>
          <w:rFonts w:hAnsi="仿宋"/>
          <w:sz w:val="32"/>
          <w:szCs w:val="32"/>
        </w:rPr>
      </w:pPr>
      <w:r>
        <w:rPr>
          <w:rFonts w:hAnsi="仿宋"/>
          <w:sz w:val="32"/>
          <w:szCs w:val="32"/>
        </w:rPr>
        <w:t>3.</w:t>
      </w:r>
      <w:r>
        <w:rPr>
          <w:rFonts w:hint="eastAsia" w:hAnsi="仿宋"/>
          <w:sz w:val="32"/>
          <w:szCs w:val="32"/>
        </w:rPr>
        <w:t>经营收入：指事业单位在专业业务活动及其辅助活动之外开展非独立核算经营活动取得的收入。</w:t>
      </w:r>
    </w:p>
    <w:p>
      <w:pPr>
        <w:pStyle w:val="23"/>
        <w:spacing w:line="640" w:lineRule="exact"/>
        <w:ind w:firstLine="640" w:firstLineChars="200"/>
        <w:rPr>
          <w:rFonts w:hAnsi="仿宋"/>
          <w:sz w:val="32"/>
          <w:szCs w:val="32"/>
        </w:rPr>
      </w:pPr>
      <w:r>
        <w:rPr>
          <w:rFonts w:hAnsi="仿宋"/>
          <w:sz w:val="32"/>
          <w:szCs w:val="32"/>
        </w:rPr>
        <w:t>4.</w:t>
      </w:r>
      <w:r>
        <w:rPr>
          <w:rFonts w:hint="eastAsia" w:hAnsi="仿宋"/>
          <w:sz w:val="32"/>
          <w:szCs w:val="32"/>
        </w:rPr>
        <w:t>其他收入：指单位取得的除上述收入以外的各项收入。</w:t>
      </w:r>
    </w:p>
    <w:p>
      <w:pPr>
        <w:pStyle w:val="23"/>
        <w:spacing w:line="640" w:lineRule="exact"/>
        <w:ind w:firstLine="640" w:firstLineChars="200"/>
        <w:rPr>
          <w:rFonts w:hAnsi="仿宋"/>
          <w:sz w:val="32"/>
          <w:szCs w:val="32"/>
        </w:rPr>
      </w:pPr>
      <w:r>
        <w:rPr>
          <w:rFonts w:hAnsi="仿宋"/>
          <w:sz w:val="32"/>
          <w:szCs w:val="32"/>
        </w:rPr>
        <w:t>5.</w:t>
      </w:r>
      <w:r>
        <w:rPr>
          <w:rFonts w:hint="eastAsia" w:hAnsi="仿宋"/>
          <w:sz w:val="32"/>
          <w:szCs w:val="32"/>
        </w:rPr>
        <w:t>使用非财政拨款结余：指事业单位使用以前年度积累的非财政拨款结余弥补当年收支差额的金额。</w:t>
      </w:r>
      <w:r>
        <w:rPr>
          <w:rFonts w:hAnsi="仿宋"/>
          <w:sz w:val="32"/>
          <w:szCs w:val="32"/>
        </w:rPr>
        <w:t xml:space="preserve"> </w:t>
      </w:r>
    </w:p>
    <w:p>
      <w:pPr>
        <w:pStyle w:val="23"/>
        <w:spacing w:line="640" w:lineRule="exact"/>
        <w:ind w:firstLine="640" w:firstLineChars="200"/>
        <w:rPr>
          <w:rFonts w:hAnsi="仿宋"/>
          <w:sz w:val="32"/>
          <w:szCs w:val="32"/>
        </w:rPr>
      </w:pPr>
      <w:r>
        <w:rPr>
          <w:rFonts w:hAnsi="仿宋"/>
          <w:sz w:val="32"/>
          <w:szCs w:val="32"/>
        </w:rPr>
        <w:t>6.</w:t>
      </w:r>
      <w:r>
        <w:rPr>
          <w:rFonts w:hint="eastAsia" w:hAnsi="仿宋"/>
          <w:sz w:val="32"/>
          <w:szCs w:val="32"/>
        </w:rPr>
        <w:t>年初结转和结余：指以前年度尚未完成、结转到本年按有关规定继续使用的资金。</w:t>
      </w:r>
      <w:r>
        <w:rPr>
          <w:rFonts w:hAnsi="仿宋"/>
          <w:sz w:val="32"/>
          <w:szCs w:val="32"/>
        </w:rPr>
        <w:t xml:space="preserve"> </w:t>
      </w:r>
    </w:p>
    <w:p>
      <w:pPr>
        <w:pStyle w:val="23"/>
        <w:spacing w:line="640" w:lineRule="exact"/>
        <w:ind w:firstLine="640" w:firstLineChars="200"/>
        <w:rPr>
          <w:rFonts w:hAnsi="仿宋"/>
          <w:sz w:val="32"/>
          <w:szCs w:val="32"/>
        </w:rPr>
      </w:pPr>
      <w:r>
        <w:rPr>
          <w:rFonts w:hint="eastAsia" w:hAnsi="仿宋"/>
          <w:sz w:val="32"/>
          <w:szCs w:val="32"/>
        </w:rPr>
        <w:t>7.结余分配：指事业单位按照会计制度规定缴纳的所得税、提取的专用结余以及转入非财政拨款结余的金额等。</w:t>
      </w:r>
    </w:p>
    <w:p>
      <w:pPr>
        <w:pStyle w:val="23"/>
        <w:spacing w:line="640" w:lineRule="exact"/>
        <w:ind w:firstLine="640" w:firstLineChars="200"/>
        <w:rPr>
          <w:rFonts w:hAnsi="仿宋"/>
          <w:sz w:val="32"/>
          <w:szCs w:val="32"/>
        </w:rPr>
      </w:pPr>
      <w:r>
        <w:rPr>
          <w:rFonts w:hint="eastAsia" w:hAnsi="仿宋"/>
          <w:sz w:val="32"/>
          <w:szCs w:val="32"/>
        </w:rPr>
        <w:t>8、年末结转和结余：指单位按有关规定结转到下年或以后年度继续使用的资金。</w:t>
      </w:r>
    </w:p>
    <w:p>
      <w:pPr>
        <w:spacing w:line="6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9.</w:t>
      </w:r>
      <w:r>
        <w:rPr>
          <w:rStyle w:val="15"/>
          <w:rFonts w:hint="eastAsia" w:ascii="仿宋" w:hAnsi="仿宋" w:eastAsia="仿宋"/>
          <w:bCs/>
          <w:color w:val="000000"/>
          <w:sz w:val="32"/>
          <w:szCs w:val="32"/>
        </w:rPr>
        <w:t xml:space="preserve"> </w:t>
      </w:r>
      <w:r>
        <w:rPr>
          <w:rStyle w:val="15"/>
          <w:rFonts w:hint="eastAsia" w:ascii="仿宋" w:hAnsi="仿宋" w:eastAsia="仿宋"/>
          <w:b w:val="0"/>
          <w:bCs/>
          <w:color w:val="000000"/>
          <w:sz w:val="32"/>
          <w:szCs w:val="32"/>
        </w:rPr>
        <w:t>一般公共服务（类）组织事务（款）其他组织事务（项）:</w:t>
      </w:r>
      <w:r>
        <w:rPr>
          <w:rFonts w:hint="eastAsia" w:ascii="仿宋" w:hAnsi="仿宋" w:eastAsia="仿宋"/>
          <w:color w:val="000000"/>
          <w:sz w:val="32"/>
          <w:szCs w:val="32"/>
        </w:rPr>
        <w:t>指其他用于中国共产党组织部门的事务支出。</w:t>
      </w:r>
    </w:p>
    <w:p>
      <w:pPr>
        <w:spacing w:line="640" w:lineRule="exact"/>
        <w:ind w:firstLine="640" w:firstLineChars="200"/>
        <w:rPr>
          <w:rStyle w:val="15"/>
          <w:rFonts w:ascii="仿宋" w:hAnsi="仿宋" w:eastAsia="仿宋"/>
          <w:b w:val="0"/>
          <w:bCs/>
          <w:color w:val="000000"/>
          <w:sz w:val="32"/>
          <w:szCs w:val="32"/>
        </w:rPr>
      </w:pPr>
      <w:r>
        <w:rPr>
          <w:rFonts w:hint="eastAsia" w:ascii="仿宋" w:hAnsi="仿宋" w:eastAsia="仿宋"/>
          <w:color w:val="000000"/>
          <w:sz w:val="32"/>
          <w:szCs w:val="32"/>
        </w:rPr>
        <w:t>10.社会保障和就业（类）</w:t>
      </w:r>
      <w:r>
        <w:rPr>
          <w:rStyle w:val="15"/>
          <w:rFonts w:hint="eastAsia" w:ascii="仿宋" w:hAnsi="仿宋" w:eastAsia="仿宋"/>
          <w:b w:val="0"/>
          <w:bCs/>
          <w:color w:val="000000"/>
          <w:sz w:val="32"/>
          <w:szCs w:val="32"/>
        </w:rPr>
        <w:t>行政事业单位养老（款）事业单位离退休（项）：指反映事业单位开支的离退休经费。</w:t>
      </w:r>
    </w:p>
    <w:p>
      <w:pPr>
        <w:spacing w:line="640" w:lineRule="exact"/>
        <w:ind w:firstLine="640" w:firstLineChars="200"/>
        <w:rPr>
          <w:rFonts w:ascii="仿宋" w:hAnsi="仿宋" w:eastAsia="仿宋"/>
          <w:sz w:val="32"/>
          <w:szCs w:val="32"/>
        </w:rPr>
      </w:pPr>
      <w:r>
        <w:rPr>
          <w:rFonts w:hint="eastAsia" w:ascii="仿宋" w:hAnsi="仿宋" w:eastAsia="仿宋"/>
          <w:color w:val="000000"/>
          <w:sz w:val="32"/>
          <w:szCs w:val="32"/>
        </w:rPr>
        <w:t>11.社会保障和就业（类）</w:t>
      </w:r>
      <w:r>
        <w:rPr>
          <w:rStyle w:val="15"/>
          <w:rFonts w:hint="eastAsia" w:ascii="仿宋" w:hAnsi="仿宋" w:eastAsia="仿宋"/>
          <w:b w:val="0"/>
          <w:bCs/>
          <w:color w:val="000000"/>
          <w:sz w:val="32"/>
          <w:szCs w:val="32"/>
        </w:rPr>
        <w:t>行政事业单位养老（款）</w:t>
      </w:r>
      <w:r>
        <w:rPr>
          <w:rFonts w:hint="eastAsia" w:ascii="仿宋" w:hAnsi="仿宋" w:eastAsia="仿宋"/>
          <w:color w:val="000000"/>
          <w:sz w:val="32"/>
          <w:szCs w:val="32"/>
        </w:rPr>
        <w:t>机关事业单位基本养老保险缴费支出（项）：指反映机关事业单位实施养老保险制度由单位缴纳的基本养老保险费支出。</w:t>
      </w:r>
    </w:p>
    <w:p>
      <w:pPr>
        <w:spacing w:line="640" w:lineRule="exact"/>
        <w:ind w:firstLine="640" w:firstLineChars="200"/>
        <w:rPr>
          <w:rStyle w:val="15"/>
          <w:rFonts w:ascii="仿宋" w:hAnsi="仿宋" w:eastAsia="仿宋"/>
          <w:b w:val="0"/>
          <w:sz w:val="32"/>
          <w:szCs w:val="32"/>
        </w:rPr>
      </w:pPr>
      <w:r>
        <w:rPr>
          <w:rFonts w:hint="eastAsia" w:ascii="仿宋" w:hAnsi="仿宋" w:eastAsia="仿宋"/>
          <w:color w:val="000000"/>
          <w:sz w:val="32"/>
          <w:szCs w:val="32"/>
        </w:rPr>
        <w:t>12.</w:t>
      </w:r>
      <w:r>
        <w:rPr>
          <w:rStyle w:val="15"/>
          <w:rFonts w:hint="eastAsia" w:ascii="仿宋" w:hAnsi="仿宋" w:eastAsia="仿宋"/>
          <w:b w:val="0"/>
          <w:bCs/>
          <w:color w:val="000000"/>
          <w:sz w:val="32"/>
          <w:szCs w:val="32"/>
        </w:rPr>
        <w:t xml:space="preserve">城乡社区支出（类）城乡社区管理事务（款）其他城乡社区管理事务（项）: </w:t>
      </w:r>
      <w:r>
        <w:rPr>
          <w:rFonts w:hint="eastAsia" w:ascii="仿宋" w:hAnsi="仿宋" w:eastAsia="仿宋"/>
          <w:sz w:val="32"/>
          <w:szCs w:val="32"/>
        </w:rPr>
        <w:t>指其他用于城乡社区管理事务方面的支出。</w:t>
      </w:r>
    </w:p>
    <w:p>
      <w:pPr>
        <w:spacing w:line="640" w:lineRule="exact"/>
        <w:ind w:firstLine="640" w:firstLineChars="200"/>
        <w:rPr>
          <w:rFonts w:ascii="仿宋" w:hAnsi="仿宋" w:eastAsia="仿宋"/>
          <w:bCs/>
          <w:color w:val="000000"/>
          <w:sz w:val="32"/>
          <w:szCs w:val="32"/>
        </w:rPr>
      </w:pPr>
      <w:r>
        <w:rPr>
          <w:rStyle w:val="15"/>
          <w:rFonts w:hint="eastAsia" w:ascii="仿宋" w:hAnsi="仿宋" w:eastAsia="仿宋"/>
          <w:b w:val="0"/>
          <w:bCs/>
          <w:color w:val="000000"/>
          <w:sz w:val="32"/>
          <w:szCs w:val="32"/>
        </w:rPr>
        <w:t>13.</w:t>
      </w:r>
      <w:r>
        <w:rPr>
          <w:rFonts w:hint="eastAsia" w:ascii="仿宋" w:hAnsi="仿宋" w:eastAsia="仿宋"/>
        </w:rPr>
        <w:t xml:space="preserve"> </w:t>
      </w:r>
      <w:r>
        <w:rPr>
          <w:rStyle w:val="15"/>
          <w:rFonts w:hint="eastAsia" w:ascii="仿宋" w:hAnsi="仿宋" w:eastAsia="仿宋"/>
          <w:b w:val="0"/>
          <w:bCs/>
          <w:color w:val="000000"/>
          <w:sz w:val="32"/>
          <w:szCs w:val="32"/>
        </w:rPr>
        <w:t>住房保障支出（类）住房改革（款）住房公积金（项）: 指</w:t>
      </w:r>
      <w:r>
        <w:rPr>
          <w:rFonts w:hint="eastAsia" w:ascii="仿宋" w:hAnsi="仿宋" w:eastAsia="仿宋"/>
          <w:sz w:val="32"/>
          <w:szCs w:val="32"/>
        </w:rPr>
        <w:t>反映行政事业单位按人力资源和社会保障部、财政部规定的基本工资和津贴补贴以及规定比例为职工缴纳的住房公积金。</w:t>
      </w:r>
    </w:p>
    <w:p>
      <w:pPr>
        <w:spacing w:line="6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14</w:t>
      </w:r>
      <w:r>
        <w:rPr>
          <w:rFonts w:ascii="仿宋" w:hAnsi="仿宋" w:eastAsia="仿宋"/>
          <w:color w:val="000000"/>
          <w:sz w:val="32"/>
          <w:szCs w:val="32"/>
        </w:rPr>
        <w:t>.</w:t>
      </w:r>
      <w:r>
        <w:rPr>
          <w:rFonts w:hint="eastAsia" w:ascii="仿宋" w:hAnsi="仿宋" w:eastAsia="仿宋"/>
          <w:color w:val="000000"/>
          <w:sz w:val="32"/>
          <w:szCs w:val="32"/>
        </w:rPr>
        <w:t>基本支出：指为保障机构正常运转、完成日常工作任务而发生的人员支出和公用支出。</w:t>
      </w:r>
    </w:p>
    <w:p>
      <w:pPr>
        <w:spacing w:line="6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15</w:t>
      </w:r>
      <w:r>
        <w:rPr>
          <w:rFonts w:ascii="仿宋" w:hAnsi="仿宋" w:eastAsia="仿宋"/>
          <w:color w:val="000000"/>
          <w:sz w:val="32"/>
          <w:szCs w:val="32"/>
        </w:rPr>
        <w:t>.</w:t>
      </w:r>
      <w:r>
        <w:rPr>
          <w:rFonts w:hint="eastAsia" w:ascii="仿宋" w:hAnsi="仿宋" w:eastAsia="仿宋"/>
          <w:color w:val="000000"/>
          <w:sz w:val="32"/>
          <w:szCs w:val="32"/>
        </w:rPr>
        <w:t>项目支出：指在基本支出之外为完成特定行政任务和事业发展目标所发生的支出。</w:t>
      </w:r>
      <w:r>
        <w:rPr>
          <w:rFonts w:ascii="仿宋" w:hAnsi="仿宋" w:eastAsia="仿宋"/>
          <w:color w:val="000000"/>
          <w:sz w:val="32"/>
          <w:szCs w:val="32"/>
        </w:rPr>
        <w:t xml:space="preserve"> </w:t>
      </w:r>
    </w:p>
    <w:p>
      <w:pPr>
        <w:spacing w:line="6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16</w:t>
      </w:r>
      <w:r>
        <w:rPr>
          <w:rFonts w:ascii="仿宋" w:hAnsi="仿宋" w:eastAsia="仿宋"/>
          <w:color w:val="000000"/>
          <w:sz w:val="32"/>
          <w:szCs w:val="32"/>
        </w:rPr>
        <w:t>.</w:t>
      </w:r>
      <w:r>
        <w:rPr>
          <w:rFonts w:hint="eastAsia" w:ascii="仿宋" w:hAnsi="仿宋" w:eastAsia="仿宋"/>
          <w:color w:val="000000"/>
          <w:sz w:val="32"/>
          <w:szCs w:val="32"/>
        </w:rPr>
        <w:t>经营支出：指事业单位在专业业务活动及其辅助活动之外开展非独立核算经营活动发生的支出。</w:t>
      </w:r>
    </w:p>
    <w:p>
      <w:pPr>
        <w:pStyle w:val="23"/>
        <w:spacing w:line="640" w:lineRule="exact"/>
        <w:ind w:firstLine="640" w:firstLineChars="200"/>
        <w:rPr>
          <w:rFonts w:hAnsi="仿宋"/>
          <w:sz w:val="32"/>
          <w:szCs w:val="32"/>
        </w:rPr>
      </w:pPr>
      <w:r>
        <w:rPr>
          <w:rFonts w:hint="eastAsia" w:hAnsi="仿宋"/>
          <w:sz w:val="32"/>
          <w:szCs w:val="32"/>
        </w:rPr>
        <w:t>17</w:t>
      </w:r>
      <w:r>
        <w:rPr>
          <w:rFonts w:hAnsi="仿宋"/>
          <w:sz w:val="32"/>
          <w:szCs w:val="32"/>
        </w:rPr>
        <w:t>.</w:t>
      </w:r>
      <w:r>
        <w:rPr>
          <w:rFonts w:hint="eastAsia" w:hAnsi="仿宋"/>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640" w:lineRule="exact"/>
        <w:ind w:firstLine="640" w:firstLineChars="200"/>
        <w:rPr>
          <w:rFonts w:hAnsi="仿宋"/>
          <w:sz w:val="32"/>
          <w:szCs w:val="32"/>
        </w:rPr>
      </w:pPr>
      <w:r>
        <w:rPr>
          <w:rFonts w:hint="eastAsia" w:hAnsi="仿宋"/>
          <w:sz w:val="32"/>
          <w:szCs w:val="32"/>
        </w:rPr>
        <w:t>18</w:t>
      </w:r>
      <w:r>
        <w:rPr>
          <w:rFonts w:hAnsi="仿宋"/>
          <w:sz w:val="32"/>
          <w:szCs w:val="32"/>
        </w:rPr>
        <w:t>.</w:t>
      </w:r>
      <w:r>
        <w:rPr>
          <w:rFonts w:hint="eastAsia" w:hAnsi="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bookmarkStart w:id="44" w:name="_Toc15396614"/>
    </w:p>
    <w:p/>
    <w:p/>
    <w:p/>
    <w:p/>
    <w:p/>
    <w:p/>
    <w:p/>
    <w:p/>
    <w:p/>
    <w:p/>
    <w:p/>
    <w:p/>
    <w:p/>
    <w:p/>
    <w:p/>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ascii="黑体" w:hAnsi="黑体" w:eastAsia="黑体"/>
          <w:b/>
          <w:bCs/>
          <w:kern w:val="44"/>
          <w:sz w:val="44"/>
          <w:szCs w:val="44"/>
        </w:rPr>
      </w:pPr>
      <w:r>
        <w:rPr>
          <w:rFonts w:hint="eastAsia" w:ascii="黑体" w:hAnsi="黑体" w:eastAsia="黑体"/>
          <w:sz w:val="44"/>
          <w:szCs w:val="44"/>
        </w:rPr>
        <w:t>第</w:t>
      </w:r>
      <w:r>
        <w:rPr>
          <w:rFonts w:hint="eastAsia" w:ascii="黑体" w:hAnsi="黑体" w:eastAsia="黑体"/>
          <w:b/>
          <w:bCs/>
          <w:kern w:val="44"/>
          <w:sz w:val="44"/>
          <w:szCs w:val="44"/>
        </w:rPr>
        <w:t>四部分 附件</w:t>
      </w:r>
      <w:bookmarkEnd w:id="44"/>
    </w:p>
    <w:p>
      <w:pPr>
        <w:spacing w:line="440" w:lineRule="exact"/>
        <w:jc w:val="center"/>
        <w:outlineLvl w:val="0"/>
        <w:rPr>
          <w:rFonts w:ascii="宋体" w:hAnsi="宋体" w:cs="宋体"/>
          <w:b/>
          <w:sz w:val="32"/>
          <w:szCs w:val="32"/>
        </w:rPr>
      </w:pPr>
    </w:p>
    <w:p>
      <w:pPr>
        <w:spacing w:line="440" w:lineRule="exact"/>
        <w:jc w:val="center"/>
        <w:outlineLvl w:val="0"/>
        <w:rPr>
          <w:rFonts w:ascii="仿宋_GB2312" w:hAnsi="仿宋_GB2312" w:eastAsia="仿宋_GB2312" w:cs="仿宋_GB2312"/>
          <w:sz w:val="32"/>
          <w:szCs w:val="32"/>
        </w:rPr>
      </w:pPr>
      <w:r>
        <w:rPr>
          <w:rFonts w:hint="eastAsia" w:ascii="宋体" w:hAnsi="宋体" w:cs="宋体"/>
          <w:b/>
          <w:sz w:val="32"/>
          <w:szCs w:val="32"/>
        </w:rPr>
        <w:t>预算项目绩效目标自评表（一）</w:t>
      </w:r>
    </w:p>
    <w:tbl>
      <w:tblPr>
        <w:tblStyle w:val="12"/>
        <w:tblpPr w:leftFromText="180" w:rightFromText="180" w:vertAnchor="text" w:horzAnchor="margin" w:tblpXSpec="center" w:tblpY="177"/>
        <w:tblOverlap w:val="never"/>
        <w:tblW w:w="10031" w:type="dxa"/>
        <w:tblInd w:w="0" w:type="dxa"/>
        <w:tblLayout w:type="fixed"/>
        <w:tblCellMar>
          <w:top w:w="0" w:type="dxa"/>
          <w:left w:w="108" w:type="dxa"/>
          <w:bottom w:w="0" w:type="dxa"/>
          <w:right w:w="108" w:type="dxa"/>
        </w:tblCellMar>
      </w:tblPr>
      <w:tblGrid>
        <w:gridCol w:w="817"/>
        <w:gridCol w:w="992"/>
        <w:gridCol w:w="142"/>
        <w:gridCol w:w="1276"/>
        <w:gridCol w:w="850"/>
        <w:gridCol w:w="993"/>
        <w:gridCol w:w="1134"/>
        <w:gridCol w:w="1842"/>
        <w:gridCol w:w="1985"/>
      </w:tblGrid>
      <w:tr>
        <w:tblPrEx>
          <w:tblCellMar>
            <w:top w:w="0" w:type="dxa"/>
            <w:left w:w="108" w:type="dxa"/>
            <w:bottom w:w="0" w:type="dxa"/>
            <w:right w:w="108" w:type="dxa"/>
          </w:tblCellMar>
        </w:tblPrEx>
        <w:trPr>
          <w:trHeight w:val="496" w:hRule="atLeast"/>
        </w:trPr>
        <w:tc>
          <w:tcPr>
            <w:tcW w:w="19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kern w:val="0"/>
                <w:sz w:val="24"/>
                <w:lang w:bidi="ar"/>
              </w:rPr>
            </w:pPr>
            <w:bookmarkStart w:id="45" w:name="_Toc15396618"/>
            <w:r>
              <w:rPr>
                <w:rFonts w:hint="eastAsia" w:ascii="仿宋" w:hAnsi="仿宋" w:eastAsia="仿宋" w:cs="仿宋"/>
                <w:kern w:val="0"/>
                <w:sz w:val="24"/>
                <w:lang w:bidi="ar"/>
              </w:rPr>
              <w:t>项目名称</w:t>
            </w:r>
          </w:p>
        </w:tc>
        <w:tc>
          <w:tcPr>
            <w:tcW w:w="80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outlineLvl w:val="0"/>
              <w:rPr>
                <w:rFonts w:ascii="仿宋" w:hAnsi="仿宋" w:eastAsia="仿宋" w:cs="仿宋"/>
                <w:sz w:val="24"/>
              </w:rPr>
            </w:pPr>
            <w:r>
              <w:rPr>
                <w:rFonts w:hint="eastAsia" w:ascii="仿宋" w:hAnsi="仿宋" w:eastAsia="仿宋" w:cs="仿宋"/>
                <w:sz w:val="24"/>
              </w:rPr>
              <w:t>火车南站开发相应支出（非税收入征管成本）</w:t>
            </w:r>
          </w:p>
        </w:tc>
      </w:tr>
      <w:tr>
        <w:tblPrEx>
          <w:tblCellMar>
            <w:top w:w="0" w:type="dxa"/>
            <w:left w:w="108" w:type="dxa"/>
            <w:bottom w:w="0" w:type="dxa"/>
            <w:right w:w="108" w:type="dxa"/>
          </w:tblCellMar>
        </w:tblPrEx>
        <w:trPr>
          <w:trHeight w:val="254" w:hRule="atLeast"/>
        </w:trPr>
        <w:tc>
          <w:tcPr>
            <w:tcW w:w="19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主管部门及代码</w:t>
            </w:r>
          </w:p>
        </w:tc>
        <w:tc>
          <w:tcPr>
            <w:tcW w:w="42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sz w:val="24"/>
              </w:rPr>
            </w:pPr>
            <w:r>
              <w:rPr>
                <w:rFonts w:hint="eastAsia" w:ascii="仿宋" w:hAnsi="仿宋" w:eastAsia="仿宋" w:cs="仿宋"/>
                <w:sz w:val="24"/>
              </w:rPr>
              <w:t>攀枝花市住房和城乡建设局801001</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sz w:val="24"/>
              </w:rPr>
            </w:pPr>
            <w:r>
              <w:rPr>
                <w:rFonts w:hint="eastAsia" w:ascii="仿宋" w:hAnsi="仿宋" w:eastAsia="仿宋" w:cs="仿宋"/>
                <w:kern w:val="0"/>
                <w:sz w:val="24"/>
                <w:lang w:bidi="ar"/>
              </w:rPr>
              <w:t>实施单位</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hint="eastAsia" w:ascii="仿宋" w:hAnsi="仿宋" w:eastAsia="仿宋" w:cs="仿宋"/>
                <w:sz w:val="24"/>
                <w:lang w:eastAsia="zh-CN"/>
              </w:rPr>
            </w:pPr>
            <w:r>
              <w:rPr>
                <w:rFonts w:hint="eastAsia" w:ascii="仿宋" w:hAnsi="仿宋" w:eastAsia="仿宋" w:cs="仿宋"/>
                <w:sz w:val="24"/>
              </w:rPr>
              <w:t>攀枝花</w:t>
            </w:r>
            <w:r>
              <w:rPr>
                <w:rFonts w:hint="eastAsia" w:ascii="仿宋" w:hAnsi="仿宋" w:eastAsia="仿宋" w:cs="仿宋"/>
                <w:sz w:val="24"/>
                <w:lang w:eastAsia="zh-CN"/>
              </w:rPr>
              <w:t>市住保和建设项目中心</w:t>
            </w:r>
          </w:p>
        </w:tc>
      </w:tr>
      <w:tr>
        <w:tblPrEx>
          <w:tblCellMar>
            <w:top w:w="0" w:type="dxa"/>
            <w:left w:w="108" w:type="dxa"/>
            <w:bottom w:w="0" w:type="dxa"/>
            <w:right w:w="108" w:type="dxa"/>
          </w:tblCellMar>
        </w:tblPrEx>
        <w:trPr>
          <w:trHeight w:val="420" w:hRule="atLeast"/>
        </w:trPr>
        <w:tc>
          <w:tcPr>
            <w:tcW w:w="19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项目预算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执行情况</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（万元）</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sz w:val="24"/>
              </w:rPr>
            </w:pPr>
            <w:r>
              <w:rPr>
                <w:rFonts w:hint="eastAsia" w:ascii="仿宋" w:hAnsi="仿宋" w:eastAsia="仿宋" w:cs="仿宋"/>
                <w:kern w:val="0"/>
                <w:sz w:val="24"/>
                <w:lang w:bidi="ar"/>
              </w:rPr>
              <w:t>预算数：</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sz w:val="24"/>
              </w:rPr>
            </w:pPr>
            <w:r>
              <w:rPr>
                <w:rFonts w:hint="eastAsia" w:ascii="仿宋" w:hAnsi="仿宋" w:eastAsia="仿宋" w:cs="仿宋"/>
                <w:sz w:val="24"/>
              </w:rPr>
              <w:t>3.28</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sz w:val="24"/>
              </w:rPr>
            </w:pPr>
            <w:r>
              <w:rPr>
                <w:rFonts w:hint="eastAsia" w:ascii="仿宋" w:hAnsi="仿宋" w:eastAsia="仿宋" w:cs="仿宋"/>
                <w:kern w:val="0"/>
                <w:sz w:val="24"/>
                <w:lang w:bidi="ar"/>
              </w:rPr>
              <w:t>执行数：</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sz w:val="24"/>
              </w:rPr>
            </w:pPr>
            <w:r>
              <w:rPr>
                <w:rFonts w:hint="eastAsia" w:ascii="仿宋" w:hAnsi="仿宋" w:eastAsia="仿宋" w:cs="仿宋"/>
                <w:sz w:val="24"/>
              </w:rPr>
              <w:t>3.28</w:t>
            </w:r>
          </w:p>
        </w:tc>
      </w:tr>
      <w:tr>
        <w:tblPrEx>
          <w:tblCellMar>
            <w:top w:w="0" w:type="dxa"/>
            <w:left w:w="108" w:type="dxa"/>
            <w:bottom w:w="0" w:type="dxa"/>
            <w:right w:w="108" w:type="dxa"/>
          </w:tblCellMar>
        </w:tblPrEx>
        <w:trPr>
          <w:trHeight w:val="385" w:hRule="atLeast"/>
        </w:trPr>
        <w:tc>
          <w:tcPr>
            <w:tcW w:w="19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 w:hAnsi="仿宋" w:eastAsia="仿宋" w:cs="仿宋"/>
                <w:sz w:val="24"/>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sz w:val="24"/>
              </w:rPr>
            </w:pPr>
            <w:r>
              <w:rPr>
                <w:rFonts w:hint="eastAsia" w:ascii="仿宋" w:hAnsi="仿宋" w:eastAsia="仿宋" w:cs="仿宋"/>
                <w:kern w:val="0"/>
                <w:sz w:val="24"/>
                <w:lang w:bidi="ar"/>
              </w:rPr>
              <w:t>其中：财政拨款</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sz w:val="24"/>
              </w:rPr>
            </w:pPr>
            <w:r>
              <w:rPr>
                <w:rFonts w:hint="eastAsia" w:ascii="仿宋" w:hAnsi="仿宋" w:eastAsia="仿宋" w:cs="仿宋"/>
                <w:sz w:val="24"/>
              </w:rPr>
              <w:t>3.28</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sz w:val="24"/>
              </w:rPr>
            </w:pPr>
            <w:r>
              <w:rPr>
                <w:rFonts w:hint="eastAsia" w:ascii="仿宋" w:hAnsi="仿宋" w:eastAsia="仿宋" w:cs="仿宋"/>
                <w:kern w:val="0"/>
                <w:sz w:val="24"/>
                <w:lang w:bidi="ar"/>
              </w:rPr>
              <w:t>其中：财政拨款</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sz w:val="24"/>
              </w:rPr>
            </w:pPr>
            <w:r>
              <w:rPr>
                <w:rFonts w:hint="eastAsia" w:ascii="仿宋" w:hAnsi="仿宋" w:eastAsia="仿宋" w:cs="仿宋"/>
                <w:sz w:val="24"/>
              </w:rPr>
              <w:t>3.28</w:t>
            </w:r>
          </w:p>
        </w:tc>
      </w:tr>
      <w:tr>
        <w:tblPrEx>
          <w:tblCellMar>
            <w:top w:w="0" w:type="dxa"/>
            <w:left w:w="108" w:type="dxa"/>
            <w:bottom w:w="0" w:type="dxa"/>
            <w:right w:w="108" w:type="dxa"/>
          </w:tblCellMar>
        </w:tblPrEx>
        <w:trPr>
          <w:trHeight w:val="341" w:hRule="atLeast"/>
        </w:trPr>
        <w:tc>
          <w:tcPr>
            <w:tcW w:w="19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 w:hAnsi="仿宋" w:eastAsia="仿宋" w:cs="仿宋"/>
                <w:sz w:val="24"/>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sz w:val="24"/>
              </w:rPr>
            </w:pPr>
            <w:r>
              <w:rPr>
                <w:rFonts w:hint="eastAsia" w:ascii="仿宋" w:hAnsi="仿宋" w:eastAsia="仿宋" w:cs="仿宋"/>
                <w:kern w:val="0"/>
                <w:sz w:val="24"/>
                <w:lang w:bidi="ar"/>
              </w:rPr>
              <w:t>其他资金</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sz w:val="24"/>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sz w:val="24"/>
              </w:rPr>
            </w:pPr>
            <w:r>
              <w:rPr>
                <w:rFonts w:hint="eastAsia" w:ascii="仿宋" w:hAnsi="仿宋" w:eastAsia="仿宋" w:cs="仿宋"/>
                <w:kern w:val="0"/>
                <w:sz w:val="24"/>
                <w:lang w:bidi="ar"/>
              </w:rPr>
              <w:t>其他资金</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sz w:val="24"/>
              </w:rPr>
            </w:pPr>
          </w:p>
        </w:tc>
      </w:tr>
      <w:tr>
        <w:tblPrEx>
          <w:tblCellMar>
            <w:top w:w="0" w:type="dxa"/>
            <w:left w:w="108" w:type="dxa"/>
            <w:bottom w:w="0" w:type="dxa"/>
            <w:right w:w="108" w:type="dxa"/>
          </w:tblCellMar>
        </w:tblPrEx>
        <w:trPr>
          <w:trHeight w:val="217"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年度总体目标</w:t>
            </w:r>
          </w:p>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完成情况</w:t>
            </w:r>
          </w:p>
        </w:tc>
        <w:tc>
          <w:tcPr>
            <w:tcW w:w="53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预期目标</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目标实际完成情况</w:t>
            </w:r>
          </w:p>
        </w:tc>
      </w:tr>
      <w:tr>
        <w:tblPrEx>
          <w:tblCellMar>
            <w:top w:w="0" w:type="dxa"/>
            <w:left w:w="108" w:type="dxa"/>
            <w:bottom w:w="0" w:type="dxa"/>
            <w:right w:w="108" w:type="dxa"/>
          </w:tblCellMar>
        </w:tblPrEx>
        <w:trPr>
          <w:trHeight w:val="1125"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 w:hAnsi="仿宋" w:eastAsia="仿宋" w:cs="仿宋"/>
                <w:sz w:val="24"/>
              </w:rPr>
            </w:pPr>
          </w:p>
        </w:tc>
        <w:tc>
          <w:tcPr>
            <w:tcW w:w="4253"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left"/>
              <w:textAlignment w:val="top"/>
              <w:rPr>
                <w:rFonts w:ascii="仿宋" w:hAnsi="仿宋" w:eastAsia="仿宋" w:cs="仿宋"/>
                <w:sz w:val="24"/>
              </w:rPr>
            </w:pPr>
            <w:r>
              <w:rPr>
                <w:rFonts w:hint="eastAsia" w:ascii="仿宋" w:hAnsi="仿宋" w:eastAsia="仿宋" w:cs="仿宋"/>
                <w:sz w:val="24"/>
              </w:rPr>
              <w:t>保证政策性住房上市交易补交房款、土地收益等价款和火车南站站前基础设施营运收入按时足额上缴财政专户.</w:t>
            </w:r>
          </w:p>
        </w:tc>
        <w:tc>
          <w:tcPr>
            <w:tcW w:w="4961"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left"/>
              <w:textAlignment w:val="top"/>
              <w:rPr>
                <w:rFonts w:ascii="仿宋" w:hAnsi="仿宋" w:eastAsia="仿宋" w:cs="仿宋"/>
                <w:sz w:val="24"/>
              </w:rPr>
            </w:pPr>
            <w:r>
              <w:rPr>
                <w:rFonts w:hint="eastAsia" w:ascii="仿宋" w:hAnsi="仿宋" w:eastAsia="仿宋" w:cs="仿宋"/>
                <w:sz w:val="24"/>
              </w:rPr>
              <w:t>政策性住房上市交易补交房款、土地收益等价款和火车南站站前基础设施营运收入按时足额上缴财政专户，超额完成征收任务。</w:t>
            </w:r>
          </w:p>
        </w:tc>
      </w:tr>
      <w:tr>
        <w:tblPrEx>
          <w:tblCellMar>
            <w:top w:w="0" w:type="dxa"/>
            <w:left w:w="108" w:type="dxa"/>
            <w:bottom w:w="0" w:type="dxa"/>
            <w:right w:w="108" w:type="dxa"/>
          </w:tblCellMar>
        </w:tblPrEx>
        <w:trPr>
          <w:trHeight w:val="693" w:hRule="atLeast"/>
        </w:trPr>
        <w:tc>
          <w:tcPr>
            <w:tcW w:w="81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年度绩效指标完成情况</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一级</w:t>
            </w:r>
          </w:p>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二级</w:t>
            </w:r>
          </w:p>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指标</w:t>
            </w: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三级</w:t>
            </w:r>
          </w:p>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预期指标值</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实际完成指标值</w:t>
            </w:r>
          </w:p>
        </w:tc>
      </w:tr>
      <w:tr>
        <w:tblPrEx>
          <w:tblCellMar>
            <w:top w:w="0" w:type="dxa"/>
            <w:left w:w="108" w:type="dxa"/>
            <w:bottom w:w="0" w:type="dxa"/>
            <w:right w:w="108" w:type="dxa"/>
          </w:tblCellMar>
        </w:tblPrEx>
        <w:trPr>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
                <w:sz w:val="24"/>
              </w:rPr>
            </w:pP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完成</w:t>
            </w:r>
          </w:p>
          <w:p>
            <w:pPr>
              <w:spacing w:line="30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指标</w:t>
            </w:r>
          </w:p>
        </w:tc>
        <w:tc>
          <w:tcPr>
            <w:tcW w:w="1418"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30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数量</w:t>
            </w:r>
          </w:p>
          <w:p>
            <w:pPr>
              <w:spacing w:line="30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指标</w:t>
            </w: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left"/>
              <w:textAlignment w:val="bottom"/>
              <w:rPr>
                <w:rFonts w:ascii="仿宋" w:hAnsi="仿宋" w:eastAsia="仿宋" w:cs="仿宋"/>
                <w:sz w:val="24"/>
              </w:rPr>
            </w:pPr>
            <w:r>
              <w:rPr>
                <w:rFonts w:hint="eastAsia" w:ascii="仿宋" w:hAnsi="仿宋" w:eastAsia="仿宋" w:cs="仿宋"/>
                <w:sz w:val="24"/>
              </w:rPr>
              <w:t>培训征管工作人员</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6人</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6人</w:t>
            </w:r>
          </w:p>
        </w:tc>
      </w:tr>
      <w:tr>
        <w:tblPrEx>
          <w:tblCellMar>
            <w:top w:w="0" w:type="dxa"/>
            <w:left w:w="108" w:type="dxa"/>
            <w:bottom w:w="0" w:type="dxa"/>
            <w:right w:w="108" w:type="dxa"/>
          </w:tblCellMar>
        </w:tblPrEx>
        <w:trPr>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
                <w:sz w:val="24"/>
              </w:rPr>
            </w:pPr>
          </w:p>
        </w:tc>
        <w:tc>
          <w:tcPr>
            <w:tcW w:w="992" w:type="dxa"/>
            <w:vMerge w:val="continue"/>
            <w:tcBorders>
              <w:left w:val="single" w:color="000000" w:sz="4" w:space="0"/>
              <w:right w:val="single" w:color="000000" w:sz="4" w:space="0"/>
            </w:tcBorders>
            <w:shd w:val="clear" w:color="auto" w:fill="auto"/>
            <w:vAlign w:val="center"/>
          </w:tcPr>
          <w:p>
            <w:pPr>
              <w:spacing w:line="300" w:lineRule="exact"/>
              <w:jc w:val="center"/>
              <w:textAlignment w:val="bottom"/>
              <w:rPr>
                <w:rFonts w:ascii="仿宋" w:hAnsi="仿宋" w:eastAsia="仿宋" w:cs="仿宋"/>
                <w:kern w:val="0"/>
                <w:sz w:val="24"/>
                <w:lang w:bidi="ar"/>
              </w:rPr>
            </w:pPr>
          </w:p>
        </w:tc>
        <w:tc>
          <w:tcPr>
            <w:tcW w:w="1418" w:type="dxa"/>
            <w:gridSpan w:val="2"/>
            <w:vMerge w:val="continue"/>
            <w:tcBorders>
              <w:left w:val="single" w:color="000000" w:sz="4" w:space="0"/>
              <w:right w:val="single" w:color="000000" w:sz="4" w:space="0"/>
            </w:tcBorders>
            <w:shd w:val="clear" w:color="auto" w:fill="auto"/>
            <w:vAlign w:val="bottom"/>
          </w:tcPr>
          <w:p>
            <w:pPr>
              <w:spacing w:line="300" w:lineRule="exact"/>
              <w:jc w:val="center"/>
              <w:textAlignment w:val="bottom"/>
              <w:rPr>
                <w:rFonts w:ascii="仿宋" w:hAnsi="仿宋" w:eastAsia="仿宋" w:cs="仿宋"/>
                <w:kern w:val="0"/>
                <w:sz w:val="24"/>
                <w:lang w:bidi="ar"/>
              </w:rPr>
            </w:pP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left"/>
              <w:textAlignment w:val="bottom"/>
              <w:rPr>
                <w:rFonts w:ascii="仿宋" w:hAnsi="仿宋" w:eastAsia="仿宋" w:cs="仿宋"/>
                <w:sz w:val="24"/>
              </w:rPr>
            </w:pPr>
            <w:r>
              <w:rPr>
                <w:rFonts w:hint="eastAsia" w:ascii="仿宋" w:hAnsi="仿宋" w:eastAsia="仿宋" w:cs="仿宋"/>
                <w:sz w:val="24"/>
              </w:rPr>
              <w:t>整理征收资料等</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1000张</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1000张</w:t>
            </w:r>
          </w:p>
        </w:tc>
      </w:tr>
      <w:tr>
        <w:tblPrEx>
          <w:tblCellMar>
            <w:top w:w="0" w:type="dxa"/>
            <w:left w:w="108" w:type="dxa"/>
            <w:bottom w:w="0" w:type="dxa"/>
            <w:right w:w="108" w:type="dxa"/>
          </w:tblCellMar>
        </w:tblPrEx>
        <w:trPr>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
                <w:sz w:val="24"/>
              </w:rPr>
            </w:pPr>
          </w:p>
        </w:tc>
        <w:tc>
          <w:tcPr>
            <w:tcW w:w="992"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
                <w:sz w:val="24"/>
              </w:rPr>
            </w:pPr>
          </w:p>
        </w:tc>
        <w:tc>
          <w:tcPr>
            <w:tcW w:w="1418" w:type="dxa"/>
            <w:gridSpan w:val="2"/>
            <w:vMerge w:val="continue"/>
            <w:tcBorders>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left"/>
              <w:textAlignment w:val="bottom"/>
              <w:rPr>
                <w:rFonts w:ascii="仿宋" w:hAnsi="仿宋" w:eastAsia="仿宋" w:cs="仿宋"/>
                <w:sz w:val="24"/>
              </w:rPr>
            </w:pPr>
            <w:r>
              <w:rPr>
                <w:rFonts w:hint="eastAsia" w:ascii="仿宋" w:hAnsi="仿宋" w:eastAsia="仿宋" w:cs="仿宋"/>
                <w:sz w:val="24"/>
              </w:rPr>
              <w:t>火车南站宣传</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1个版面</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1个版面</w:t>
            </w:r>
          </w:p>
        </w:tc>
      </w:tr>
      <w:tr>
        <w:tblPrEx>
          <w:tblCellMar>
            <w:top w:w="0" w:type="dxa"/>
            <w:left w:w="108" w:type="dxa"/>
            <w:bottom w:w="0" w:type="dxa"/>
            <w:right w:w="108" w:type="dxa"/>
          </w:tblCellMar>
        </w:tblPrEx>
        <w:trPr>
          <w:trHeight w:val="479" w:hRule="atLeast"/>
        </w:trPr>
        <w:tc>
          <w:tcPr>
            <w:tcW w:w="817"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
                <w:sz w:val="24"/>
              </w:rPr>
            </w:pPr>
          </w:p>
        </w:tc>
        <w:tc>
          <w:tcPr>
            <w:tcW w:w="992" w:type="dxa"/>
            <w:vMerge w:val="continue"/>
            <w:tcBorders>
              <w:left w:val="single" w:color="000000" w:sz="4" w:space="0"/>
              <w:right w:val="single" w:color="000000" w:sz="4" w:space="0"/>
            </w:tcBorders>
            <w:shd w:val="clear" w:color="auto" w:fill="auto"/>
            <w:vAlign w:val="bottom"/>
          </w:tcPr>
          <w:p>
            <w:pPr>
              <w:spacing w:line="300" w:lineRule="exact"/>
              <w:jc w:val="center"/>
              <w:rPr>
                <w:rFonts w:ascii="仿宋" w:hAnsi="仿宋" w:eastAsia="仿宋" w:cs="仿宋"/>
                <w:sz w:val="24"/>
              </w:rPr>
            </w:pPr>
          </w:p>
        </w:tc>
        <w:tc>
          <w:tcPr>
            <w:tcW w:w="1418"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质量</w:t>
            </w:r>
          </w:p>
          <w:p>
            <w:pPr>
              <w:widowControl/>
              <w:spacing w:line="300" w:lineRule="exact"/>
              <w:jc w:val="center"/>
              <w:textAlignment w:val="bottom"/>
              <w:rPr>
                <w:rFonts w:ascii="仿宋" w:hAnsi="仿宋" w:eastAsia="仿宋" w:cs="仿宋"/>
                <w:sz w:val="24"/>
              </w:rPr>
            </w:pPr>
            <w:r>
              <w:rPr>
                <w:rFonts w:hint="eastAsia" w:ascii="仿宋" w:hAnsi="仿宋" w:eastAsia="仿宋" w:cs="仿宋"/>
                <w:kern w:val="0"/>
                <w:sz w:val="24"/>
                <w:lang w:bidi="ar"/>
              </w:rPr>
              <w:t>指标</w:t>
            </w: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left"/>
              <w:textAlignment w:val="bottom"/>
              <w:rPr>
                <w:rFonts w:ascii="仿宋" w:hAnsi="仿宋" w:eastAsia="仿宋" w:cs="仿宋"/>
                <w:sz w:val="24"/>
              </w:rPr>
            </w:pPr>
            <w:r>
              <w:rPr>
                <w:rFonts w:hint="eastAsia" w:ascii="仿宋" w:hAnsi="仿宋" w:eastAsia="仿宋" w:cs="仿宋"/>
                <w:sz w:val="24"/>
              </w:rPr>
              <w:t>政策性住房上市交易补交房款、土地收益等价款</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全额上缴</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 xml:space="preserve">超额上缴 </w:t>
            </w:r>
          </w:p>
        </w:tc>
      </w:tr>
      <w:tr>
        <w:tblPrEx>
          <w:tblCellMar>
            <w:top w:w="0" w:type="dxa"/>
            <w:left w:w="108" w:type="dxa"/>
            <w:bottom w:w="0" w:type="dxa"/>
            <w:right w:w="108" w:type="dxa"/>
          </w:tblCellMar>
        </w:tblPrEx>
        <w:trPr>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
                <w:sz w:val="24"/>
              </w:rPr>
            </w:pPr>
          </w:p>
        </w:tc>
        <w:tc>
          <w:tcPr>
            <w:tcW w:w="992" w:type="dxa"/>
            <w:vMerge w:val="continue"/>
            <w:tcBorders>
              <w:left w:val="single" w:color="000000" w:sz="4" w:space="0"/>
              <w:right w:val="single" w:color="000000" w:sz="4" w:space="0"/>
            </w:tcBorders>
            <w:shd w:val="clear" w:color="auto" w:fill="auto"/>
            <w:vAlign w:val="bottom"/>
          </w:tcPr>
          <w:p>
            <w:pPr>
              <w:spacing w:line="300" w:lineRule="exact"/>
              <w:jc w:val="center"/>
              <w:rPr>
                <w:rFonts w:ascii="仿宋" w:hAnsi="仿宋" w:eastAsia="仿宋" w:cs="仿宋"/>
                <w:sz w:val="24"/>
              </w:rPr>
            </w:pPr>
          </w:p>
        </w:tc>
        <w:tc>
          <w:tcPr>
            <w:tcW w:w="1418" w:type="dxa"/>
            <w:gridSpan w:val="2"/>
            <w:vMerge w:val="continue"/>
            <w:tcBorders>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kern w:val="0"/>
                <w:sz w:val="24"/>
                <w:lang w:bidi="ar"/>
              </w:rPr>
            </w:pP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left"/>
              <w:textAlignment w:val="bottom"/>
              <w:rPr>
                <w:rFonts w:ascii="仿宋" w:hAnsi="仿宋" w:eastAsia="仿宋" w:cs="仿宋"/>
                <w:sz w:val="24"/>
              </w:rPr>
            </w:pPr>
            <w:r>
              <w:rPr>
                <w:rFonts w:hint="eastAsia" w:ascii="仿宋" w:hAnsi="仿宋" w:eastAsia="仿宋" w:cs="仿宋"/>
                <w:sz w:val="24"/>
              </w:rPr>
              <w:t>火车南站营运收入</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全额上缴</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全额上缴</w:t>
            </w:r>
          </w:p>
        </w:tc>
      </w:tr>
      <w:tr>
        <w:tblPrEx>
          <w:tblCellMar>
            <w:top w:w="0" w:type="dxa"/>
            <w:left w:w="108" w:type="dxa"/>
            <w:bottom w:w="0" w:type="dxa"/>
            <w:right w:w="108" w:type="dxa"/>
          </w:tblCellMar>
        </w:tblPrEx>
        <w:trPr>
          <w:trHeight w:val="448" w:hRule="atLeast"/>
        </w:trPr>
        <w:tc>
          <w:tcPr>
            <w:tcW w:w="817"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
                <w:sz w:val="24"/>
              </w:rPr>
            </w:pPr>
          </w:p>
        </w:tc>
        <w:tc>
          <w:tcPr>
            <w:tcW w:w="992" w:type="dxa"/>
            <w:vMerge w:val="continue"/>
            <w:tcBorders>
              <w:left w:val="single" w:color="000000" w:sz="4" w:space="0"/>
              <w:right w:val="single" w:color="000000" w:sz="4" w:space="0"/>
            </w:tcBorders>
            <w:shd w:val="clear" w:color="auto" w:fill="auto"/>
            <w:vAlign w:val="bottom"/>
          </w:tcPr>
          <w:p>
            <w:pPr>
              <w:spacing w:line="300" w:lineRule="exact"/>
              <w:jc w:val="center"/>
              <w:rPr>
                <w:rFonts w:ascii="仿宋" w:hAnsi="仿宋" w:eastAsia="仿宋" w:cs="仿宋"/>
                <w:sz w:val="24"/>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时效</w:t>
            </w:r>
          </w:p>
          <w:p>
            <w:pPr>
              <w:widowControl/>
              <w:spacing w:line="300" w:lineRule="exact"/>
              <w:jc w:val="center"/>
              <w:textAlignment w:val="bottom"/>
              <w:rPr>
                <w:rFonts w:ascii="仿宋" w:hAnsi="仿宋" w:eastAsia="仿宋" w:cs="仿宋"/>
                <w:sz w:val="24"/>
              </w:rPr>
            </w:pPr>
            <w:r>
              <w:rPr>
                <w:rFonts w:hint="eastAsia" w:ascii="仿宋" w:hAnsi="仿宋" w:eastAsia="仿宋" w:cs="仿宋"/>
                <w:kern w:val="0"/>
                <w:sz w:val="24"/>
                <w:lang w:bidi="ar"/>
              </w:rPr>
              <w:t>指标</w:t>
            </w: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left"/>
              <w:textAlignment w:val="bottom"/>
              <w:rPr>
                <w:rFonts w:ascii="仿宋" w:hAnsi="仿宋" w:eastAsia="仿宋" w:cs="仿宋"/>
                <w:sz w:val="24"/>
              </w:rPr>
            </w:pPr>
            <w:r>
              <w:rPr>
                <w:rFonts w:hint="eastAsia" w:ascii="仿宋" w:hAnsi="仿宋" w:eastAsia="仿宋" w:cs="仿宋"/>
                <w:sz w:val="24"/>
              </w:rPr>
              <w:t>2021年</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2021年全年</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2021年全年</w:t>
            </w:r>
          </w:p>
        </w:tc>
      </w:tr>
      <w:tr>
        <w:tblPrEx>
          <w:tblCellMar>
            <w:top w:w="0" w:type="dxa"/>
            <w:left w:w="108" w:type="dxa"/>
            <w:bottom w:w="0" w:type="dxa"/>
            <w:right w:w="108" w:type="dxa"/>
          </w:tblCellMar>
        </w:tblPrEx>
        <w:trPr>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
                <w:sz w:val="24"/>
              </w:rPr>
            </w:pPr>
          </w:p>
        </w:tc>
        <w:tc>
          <w:tcPr>
            <w:tcW w:w="992" w:type="dxa"/>
            <w:vMerge w:val="continue"/>
            <w:tcBorders>
              <w:left w:val="single" w:color="000000" w:sz="4" w:space="0"/>
              <w:bottom w:val="single" w:color="000000" w:sz="4" w:space="0"/>
              <w:right w:val="single" w:color="000000" w:sz="4" w:space="0"/>
            </w:tcBorders>
            <w:shd w:val="clear" w:color="auto" w:fill="auto"/>
            <w:vAlign w:val="bottom"/>
          </w:tcPr>
          <w:p>
            <w:pPr>
              <w:spacing w:line="300" w:lineRule="exact"/>
              <w:jc w:val="center"/>
              <w:rPr>
                <w:rFonts w:ascii="仿宋" w:hAnsi="仿宋" w:eastAsia="仿宋" w:cs="仿宋"/>
                <w:sz w:val="24"/>
              </w:rPr>
            </w:pPr>
          </w:p>
        </w:tc>
        <w:tc>
          <w:tcPr>
            <w:tcW w:w="1418"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30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成本</w:t>
            </w:r>
          </w:p>
          <w:p>
            <w:pPr>
              <w:spacing w:line="30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指标</w:t>
            </w: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left"/>
              <w:textAlignment w:val="bottom"/>
              <w:rPr>
                <w:rFonts w:ascii="仿宋" w:hAnsi="仿宋" w:eastAsia="仿宋" w:cs="仿宋"/>
                <w:sz w:val="24"/>
              </w:rPr>
            </w:pPr>
            <w:r>
              <w:rPr>
                <w:rFonts w:hint="eastAsia" w:ascii="仿宋" w:hAnsi="仿宋" w:eastAsia="仿宋" w:cs="仿宋"/>
                <w:sz w:val="24"/>
              </w:rPr>
              <w:t>培训费</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2.72万元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2.72万元</w:t>
            </w:r>
          </w:p>
        </w:tc>
      </w:tr>
      <w:tr>
        <w:tblPrEx>
          <w:tblCellMar>
            <w:top w:w="0" w:type="dxa"/>
            <w:left w:w="108" w:type="dxa"/>
            <w:bottom w:w="0" w:type="dxa"/>
            <w:right w:w="108" w:type="dxa"/>
          </w:tblCellMar>
        </w:tblPrEx>
        <w:trPr>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
                <w:sz w:val="24"/>
              </w:rPr>
            </w:pPr>
          </w:p>
        </w:tc>
        <w:tc>
          <w:tcPr>
            <w:tcW w:w="992" w:type="dxa"/>
            <w:vMerge w:val="continue"/>
            <w:tcBorders>
              <w:left w:val="single" w:color="000000" w:sz="4" w:space="0"/>
              <w:bottom w:val="single" w:color="000000" w:sz="4" w:space="0"/>
              <w:right w:val="single" w:color="000000" w:sz="4" w:space="0"/>
            </w:tcBorders>
            <w:shd w:val="clear" w:color="auto" w:fill="auto"/>
            <w:vAlign w:val="bottom"/>
          </w:tcPr>
          <w:p>
            <w:pPr>
              <w:spacing w:line="300" w:lineRule="exact"/>
              <w:jc w:val="center"/>
              <w:rPr>
                <w:rFonts w:ascii="仿宋" w:hAnsi="仿宋" w:eastAsia="仿宋" w:cs="仿宋"/>
                <w:sz w:val="24"/>
              </w:rPr>
            </w:pPr>
          </w:p>
        </w:tc>
        <w:tc>
          <w:tcPr>
            <w:tcW w:w="1418" w:type="dxa"/>
            <w:gridSpan w:val="2"/>
            <w:vMerge w:val="continue"/>
            <w:tcBorders>
              <w:left w:val="single" w:color="000000" w:sz="4" w:space="0"/>
              <w:right w:val="single" w:color="000000" w:sz="4" w:space="0"/>
            </w:tcBorders>
            <w:shd w:val="clear" w:color="auto" w:fill="auto"/>
            <w:vAlign w:val="bottom"/>
          </w:tcPr>
          <w:p>
            <w:pPr>
              <w:spacing w:line="300" w:lineRule="exact"/>
              <w:jc w:val="center"/>
              <w:textAlignment w:val="bottom"/>
              <w:rPr>
                <w:rFonts w:ascii="仿宋" w:hAnsi="仿宋" w:eastAsia="仿宋" w:cs="仿宋"/>
                <w:kern w:val="0"/>
                <w:sz w:val="24"/>
                <w:lang w:bidi="ar"/>
              </w:rPr>
            </w:pP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left"/>
              <w:textAlignment w:val="bottom"/>
              <w:rPr>
                <w:rFonts w:ascii="仿宋" w:hAnsi="仿宋" w:eastAsia="仿宋" w:cs="仿宋"/>
                <w:sz w:val="24"/>
              </w:rPr>
            </w:pPr>
            <w:r>
              <w:rPr>
                <w:rFonts w:hint="eastAsia" w:ascii="仿宋" w:hAnsi="仿宋" w:eastAsia="仿宋" w:cs="仿宋"/>
                <w:sz w:val="24"/>
              </w:rPr>
              <w:t>办公费</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0.28万元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0.28万元</w:t>
            </w:r>
          </w:p>
        </w:tc>
      </w:tr>
      <w:tr>
        <w:tblPrEx>
          <w:tblCellMar>
            <w:top w:w="0" w:type="dxa"/>
            <w:left w:w="108" w:type="dxa"/>
            <w:bottom w:w="0" w:type="dxa"/>
            <w:right w:w="108" w:type="dxa"/>
          </w:tblCellMar>
        </w:tblPrEx>
        <w:trPr>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
                <w:sz w:val="24"/>
              </w:rPr>
            </w:pPr>
          </w:p>
        </w:tc>
        <w:tc>
          <w:tcPr>
            <w:tcW w:w="992" w:type="dxa"/>
            <w:vMerge w:val="continue"/>
            <w:tcBorders>
              <w:left w:val="single" w:color="000000" w:sz="4" w:space="0"/>
              <w:bottom w:val="single" w:color="000000" w:sz="4" w:space="0"/>
              <w:right w:val="single" w:color="000000" w:sz="4" w:space="0"/>
            </w:tcBorders>
            <w:shd w:val="clear" w:color="auto" w:fill="auto"/>
            <w:vAlign w:val="bottom"/>
          </w:tcPr>
          <w:p>
            <w:pPr>
              <w:spacing w:line="300" w:lineRule="exact"/>
              <w:jc w:val="center"/>
              <w:rPr>
                <w:rFonts w:ascii="仿宋" w:hAnsi="仿宋" w:eastAsia="仿宋" w:cs="仿宋"/>
                <w:sz w:val="24"/>
              </w:rPr>
            </w:pPr>
          </w:p>
        </w:tc>
        <w:tc>
          <w:tcPr>
            <w:tcW w:w="1418" w:type="dxa"/>
            <w:gridSpan w:val="2"/>
            <w:vMerge w:val="continue"/>
            <w:tcBorders>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left"/>
              <w:textAlignment w:val="bottom"/>
              <w:rPr>
                <w:rFonts w:ascii="仿宋" w:hAnsi="仿宋" w:eastAsia="仿宋" w:cs="仿宋"/>
                <w:sz w:val="24"/>
              </w:rPr>
            </w:pPr>
            <w:r>
              <w:rPr>
                <w:rFonts w:hint="eastAsia" w:ascii="仿宋" w:hAnsi="仿宋" w:eastAsia="仿宋" w:cs="仿宋"/>
                <w:sz w:val="24"/>
              </w:rPr>
              <w:t>火车南站宣传费</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0.28万元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0.28万元</w:t>
            </w:r>
          </w:p>
        </w:tc>
      </w:tr>
      <w:tr>
        <w:tblPrEx>
          <w:tblCellMar>
            <w:top w:w="0" w:type="dxa"/>
            <w:left w:w="108" w:type="dxa"/>
            <w:bottom w:w="0" w:type="dxa"/>
            <w:right w:w="108" w:type="dxa"/>
          </w:tblCellMar>
        </w:tblPrEx>
        <w:trPr>
          <w:trHeight w:val="340" w:hRule="atLeast"/>
        </w:trPr>
        <w:tc>
          <w:tcPr>
            <w:tcW w:w="817"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
                <w:sz w:val="24"/>
              </w:rPr>
            </w:pP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spacing w:line="30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效益</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指标</w:t>
            </w:r>
          </w:p>
        </w:tc>
        <w:tc>
          <w:tcPr>
            <w:tcW w:w="1418" w:type="dxa"/>
            <w:gridSpan w:val="2"/>
            <w:vMerge w:val="restart"/>
            <w:tcBorders>
              <w:top w:val="single" w:color="000000" w:sz="4" w:space="0"/>
              <w:left w:val="single" w:color="000000" w:sz="4" w:space="0"/>
              <w:right w:val="single" w:color="000000" w:sz="4" w:space="0"/>
            </w:tcBorders>
            <w:shd w:val="clear" w:color="auto" w:fill="auto"/>
            <w:vAlign w:val="bottom"/>
          </w:tcPr>
          <w:p>
            <w:pPr>
              <w:spacing w:line="30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经济效益指标</w:t>
            </w: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left"/>
              <w:textAlignment w:val="bottom"/>
              <w:rPr>
                <w:rFonts w:ascii="仿宋" w:hAnsi="仿宋" w:eastAsia="仿宋" w:cs="仿宋"/>
                <w:sz w:val="24"/>
              </w:rPr>
            </w:pPr>
            <w:r>
              <w:rPr>
                <w:rFonts w:hint="eastAsia" w:ascii="仿宋" w:hAnsi="仿宋" w:eastAsia="仿宋" w:cs="仿宋"/>
                <w:sz w:val="24"/>
              </w:rPr>
              <w:t>政策性住房上市交易</w:t>
            </w:r>
          </w:p>
          <w:p>
            <w:pPr>
              <w:widowControl/>
              <w:spacing w:line="300" w:lineRule="exact"/>
              <w:jc w:val="left"/>
              <w:textAlignment w:val="bottom"/>
              <w:rPr>
                <w:rFonts w:ascii="仿宋" w:hAnsi="仿宋" w:eastAsia="仿宋" w:cs="仿宋"/>
                <w:sz w:val="24"/>
              </w:rPr>
            </w:pPr>
            <w:r>
              <w:rPr>
                <w:rFonts w:hint="eastAsia" w:ascii="仿宋" w:hAnsi="仿宋" w:eastAsia="仿宋" w:cs="仿宋"/>
                <w:sz w:val="24"/>
              </w:rPr>
              <w:t>非税收入</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1200万元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2019.32万元</w:t>
            </w:r>
          </w:p>
        </w:tc>
      </w:tr>
      <w:tr>
        <w:tblPrEx>
          <w:tblCellMar>
            <w:top w:w="0" w:type="dxa"/>
            <w:left w:w="108" w:type="dxa"/>
            <w:bottom w:w="0" w:type="dxa"/>
            <w:right w:w="108" w:type="dxa"/>
          </w:tblCellMar>
        </w:tblPrEx>
        <w:trPr>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
                <w:sz w:val="24"/>
              </w:rPr>
            </w:pPr>
          </w:p>
        </w:tc>
        <w:tc>
          <w:tcPr>
            <w:tcW w:w="992"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
                <w:sz w:val="24"/>
              </w:rPr>
            </w:pPr>
          </w:p>
        </w:tc>
        <w:tc>
          <w:tcPr>
            <w:tcW w:w="1418" w:type="dxa"/>
            <w:gridSpan w:val="2"/>
            <w:vMerge w:val="continue"/>
            <w:tcBorders>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left"/>
              <w:textAlignment w:val="bottom"/>
              <w:rPr>
                <w:rFonts w:ascii="仿宋" w:hAnsi="仿宋" w:eastAsia="仿宋" w:cs="仿宋"/>
                <w:sz w:val="24"/>
              </w:rPr>
            </w:pPr>
            <w:r>
              <w:rPr>
                <w:rFonts w:hint="eastAsia" w:ascii="仿宋" w:hAnsi="仿宋" w:eastAsia="仿宋" w:cs="仿宋"/>
                <w:sz w:val="24"/>
              </w:rPr>
              <w:t>火车南站营运收入</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82万元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82万元</w:t>
            </w:r>
          </w:p>
        </w:tc>
      </w:tr>
      <w:tr>
        <w:tblPrEx>
          <w:tblCellMar>
            <w:top w:w="0" w:type="dxa"/>
            <w:left w:w="108" w:type="dxa"/>
            <w:bottom w:w="0" w:type="dxa"/>
            <w:right w:w="108" w:type="dxa"/>
          </w:tblCellMar>
        </w:tblPrEx>
        <w:trPr>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
                <w:sz w:val="24"/>
              </w:rPr>
            </w:pPr>
          </w:p>
        </w:tc>
        <w:tc>
          <w:tcPr>
            <w:tcW w:w="992" w:type="dxa"/>
            <w:vMerge w:val="continue"/>
            <w:tcBorders>
              <w:left w:val="single" w:color="000000" w:sz="4" w:space="0"/>
              <w:bottom w:val="single" w:color="000000" w:sz="4" w:space="0"/>
              <w:right w:val="single" w:color="000000" w:sz="4" w:space="0"/>
            </w:tcBorders>
            <w:shd w:val="clear" w:color="auto" w:fill="auto"/>
            <w:vAlign w:val="bottom"/>
          </w:tcPr>
          <w:p>
            <w:pPr>
              <w:spacing w:line="300" w:lineRule="exact"/>
              <w:jc w:val="center"/>
              <w:rPr>
                <w:rFonts w:ascii="仿宋" w:hAnsi="仿宋" w:eastAsia="仿宋" w:cs="仿宋"/>
                <w:sz w:val="24"/>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kern w:val="0"/>
                <w:sz w:val="24"/>
                <w:lang w:bidi="ar"/>
              </w:rPr>
              <w:t>可持续影响指标</w:t>
            </w: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left"/>
              <w:textAlignment w:val="bottom"/>
              <w:rPr>
                <w:rFonts w:ascii="仿宋" w:hAnsi="仿宋" w:eastAsia="仿宋" w:cs="仿宋"/>
                <w:sz w:val="24"/>
              </w:rPr>
            </w:pPr>
            <w:r>
              <w:rPr>
                <w:rFonts w:hint="eastAsia" w:ascii="仿宋" w:hAnsi="仿宋" w:eastAsia="仿宋" w:cs="仿宋"/>
                <w:sz w:val="24"/>
              </w:rPr>
              <w:t>火车南站营运收入</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增长</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稳步增长</w:t>
            </w:r>
          </w:p>
        </w:tc>
      </w:tr>
      <w:tr>
        <w:tblPrEx>
          <w:tblCellMar>
            <w:top w:w="0" w:type="dxa"/>
            <w:left w:w="108" w:type="dxa"/>
            <w:bottom w:w="0" w:type="dxa"/>
            <w:right w:w="108" w:type="dxa"/>
          </w:tblCellMar>
        </w:tblPrEx>
        <w:trPr>
          <w:trHeight w:val="831" w:hRule="atLeast"/>
        </w:trPr>
        <w:tc>
          <w:tcPr>
            <w:tcW w:w="817" w:type="dxa"/>
            <w:vMerge w:val="continue"/>
            <w:tcBorders>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 w:hAnsi="仿宋" w:eastAsia="仿宋" w:cs="仿宋"/>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
                <w:sz w:val="24"/>
              </w:rPr>
            </w:pPr>
            <w:r>
              <w:rPr>
                <w:rFonts w:hint="eastAsia" w:ascii="仿宋" w:hAnsi="仿宋" w:eastAsia="仿宋" w:cs="仿宋"/>
                <w:kern w:val="0"/>
                <w:sz w:val="24"/>
                <w:lang w:bidi="ar"/>
              </w:rPr>
              <w:t>满意度指标</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
                <w:sz w:val="24"/>
              </w:rPr>
            </w:pPr>
            <w:r>
              <w:rPr>
                <w:rFonts w:hint="eastAsia" w:ascii="仿宋" w:hAnsi="仿宋" w:eastAsia="仿宋" w:cs="仿宋"/>
                <w:kern w:val="0"/>
                <w:sz w:val="24"/>
                <w:lang w:bidi="ar"/>
              </w:rPr>
              <w:t>满意度指标</w:t>
            </w: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bottom"/>
              <w:rPr>
                <w:rFonts w:ascii="仿宋" w:hAnsi="仿宋" w:eastAsia="仿宋" w:cs="仿宋"/>
                <w:sz w:val="24"/>
              </w:rPr>
            </w:pPr>
            <w:r>
              <w:rPr>
                <w:rFonts w:hint="eastAsia" w:ascii="仿宋" w:hAnsi="仿宋" w:eastAsia="仿宋" w:cs="仿宋"/>
                <w:sz w:val="24"/>
              </w:rPr>
              <w:t>政策性住房上市交易人员和火车南站投资方满意度</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80%（含）—100%</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
                <w:sz w:val="24"/>
              </w:rPr>
            </w:pPr>
            <w:r>
              <w:rPr>
                <w:rFonts w:hint="eastAsia" w:ascii="仿宋" w:hAnsi="仿宋" w:eastAsia="仿宋" w:cs="仿宋"/>
                <w:sz w:val="24"/>
              </w:rPr>
              <w:t>80%（含）—100%</w:t>
            </w:r>
          </w:p>
        </w:tc>
      </w:tr>
    </w:tbl>
    <w:p>
      <w:pPr>
        <w:spacing w:line="300" w:lineRule="exact"/>
        <w:jc w:val="center"/>
        <w:outlineLvl w:val="0"/>
        <w:rPr>
          <w:rFonts w:ascii="宋体" w:hAnsi="宋体" w:cs="宋体"/>
          <w:b/>
          <w:sz w:val="32"/>
          <w:szCs w:val="32"/>
        </w:rPr>
      </w:pPr>
    </w:p>
    <w:p>
      <w:pPr>
        <w:spacing w:line="360" w:lineRule="exact"/>
        <w:jc w:val="center"/>
        <w:outlineLvl w:val="0"/>
        <w:rPr>
          <w:rFonts w:hint="eastAsia" w:ascii="宋体" w:hAnsi="宋体" w:cs="宋体"/>
          <w:b/>
          <w:sz w:val="32"/>
          <w:szCs w:val="32"/>
        </w:rPr>
      </w:pPr>
    </w:p>
    <w:p>
      <w:pPr>
        <w:spacing w:line="360" w:lineRule="exact"/>
        <w:jc w:val="center"/>
        <w:outlineLvl w:val="0"/>
        <w:rPr>
          <w:rFonts w:ascii="仿宋_GB2312" w:hAnsi="仿宋_GB2312" w:eastAsia="仿宋_GB2312" w:cs="仿宋_GB2312"/>
          <w:sz w:val="32"/>
          <w:szCs w:val="32"/>
        </w:rPr>
      </w:pPr>
      <w:r>
        <w:rPr>
          <w:rFonts w:hint="eastAsia" w:ascii="宋体" w:hAnsi="宋体" w:cs="宋体"/>
          <w:b/>
          <w:sz w:val="32"/>
          <w:szCs w:val="32"/>
        </w:rPr>
        <w:t>预算项目绩效目标自评表（二）</w:t>
      </w:r>
    </w:p>
    <w:tbl>
      <w:tblPr>
        <w:tblStyle w:val="12"/>
        <w:tblpPr w:leftFromText="180" w:rightFromText="180" w:vertAnchor="text" w:horzAnchor="page" w:tblpX="1281" w:tblpY="660"/>
        <w:tblOverlap w:val="never"/>
        <w:tblW w:w="9464" w:type="dxa"/>
        <w:tblInd w:w="0" w:type="dxa"/>
        <w:tblLayout w:type="fixed"/>
        <w:tblCellMar>
          <w:top w:w="0" w:type="dxa"/>
          <w:left w:w="108" w:type="dxa"/>
          <w:bottom w:w="0" w:type="dxa"/>
          <w:right w:w="108" w:type="dxa"/>
        </w:tblCellMar>
      </w:tblPr>
      <w:tblGrid>
        <w:gridCol w:w="959"/>
        <w:gridCol w:w="709"/>
        <w:gridCol w:w="850"/>
        <w:gridCol w:w="142"/>
        <w:gridCol w:w="1843"/>
        <w:gridCol w:w="1388"/>
        <w:gridCol w:w="1180"/>
        <w:gridCol w:w="692"/>
        <w:gridCol w:w="1701"/>
      </w:tblGrid>
      <w:tr>
        <w:tblPrEx>
          <w:tblCellMar>
            <w:top w:w="0" w:type="dxa"/>
            <w:left w:w="108" w:type="dxa"/>
            <w:bottom w:w="0" w:type="dxa"/>
            <w:right w:w="108" w:type="dxa"/>
          </w:tblCellMar>
        </w:tblPrEx>
        <w:trPr>
          <w:trHeight w:val="556" w:hRule="atLeast"/>
        </w:trPr>
        <w:tc>
          <w:tcPr>
            <w:tcW w:w="2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项目名称</w:t>
            </w:r>
          </w:p>
        </w:tc>
        <w:tc>
          <w:tcPr>
            <w:tcW w:w="694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outlineLvl w:val="0"/>
              <w:rPr>
                <w:rFonts w:ascii="仿宋" w:hAnsi="仿宋" w:eastAsia="仿宋" w:cs="宋体"/>
                <w:sz w:val="24"/>
              </w:rPr>
            </w:pPr>
            <w:r>
              <w:rPr>
                <w:rFonts w:hint="eastAsia" w:ascii="仿宋" w:hAnsi="仿宋" w:eastAsia="仿宋"/>
                <w:sz w:val="24"/>
              </w:rPr>
              <w:t>业务运行费</w:t>
            </w:r>
          </w:p>
        </w:tc>
      </w:tr>
      <w:tr>
        <w:tblPrEx>
          <w:tblCellMar>
            <w:top w:w="0" w:type="dxa"/>
            <w:left w:w="108" w:type="dxa"/>
            <w:bottom w:w="0" w:type="dxa"/>
            <w:right w:w="108" w:type="dxa"/>
          </w:tblCellMar>
        </w:tblPrEx>
        <w:trPr>
          <w:trHeight w:val="564" w:hRule="atLeast"/>
        </w:trPr>
        <w:tc>
          <w:tcPr>
            <w:tcW w:w="2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宋体"/>
                <w:sz w:val="24"/>
              </w:rPr>
            </w:pPr>
            <w:r>
              <w:rPr>
                <w:rFonts w:hint="eastAsia" w:ascii="仿宋" w:hAnsi="仿宋" w:eastAsia="仿宋" w:cs="宋体"/>
                <w:kern w:val="0"/>
                <w:sz w:val="24"/>
                <w:lang w:bidi="ar"/>
              </w:rPr>
              <w:t>主管部门及代码</w:t>
            </w:r>
          </w:p>
        </w:tc>
        <w:tc>
          <w:tcPr>
            <w:tcW w:w="3373"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宋体"/>
                <w:sz w:val="24"/>
              </w:rPr>
            </w:pPr>
            <w:r>
              <w:rPr>
                <w:rFonts w:hint="eastAsia" w:ascii="仿宋" w:hAnsi="仿宋" w:eastAsia="仿宋" w:cs="宋体"/>
                <w:sz w:val="24"/>
              </w:rPr>
              <w:t>攀枝花市住房和城乡建设局801001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宋体"/>
                <w:sz w:val="24"/>
              </w:rPr>
            </w:pPr>
            <w:r>
              <w:rPr>
                <w:rFonts w:hint="eastAsia" w:ascii="仿宋" w:hAnsi="仿宋" w:eastAsia="仿宋" w:cs="宋体"/>
                <w:kern w:val="0"/>
                <w:sz w:val="24"/>
                <w:lang w:bidi="ar"/>
              </w:rPr>
              <w:t>实施单位</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 w:hAnsi="仿宋" w:eastAsia="仿宋" w:cs="宋体"/>
                <w:sz w:val="24"/>
                <w:lang w:eastAsia="zh-CN"/>
              </w:rPr>
            </w:pPr>
            <w:r>
              <w:rPr>
                <w:rFonts w:hint="eastAsia" w:ascii="仿宋" w:hAnsi="仿宋" w:eastAsia="仿宋" w:cs="宋体"/>
                <w:sz w:val="24"/>
              </w:rPr>
              <w:t>攀枝花</w:t>
            </w:r>
            <w:r>
              <w:rPr>
                <w:rFonts w:hint="eastAsia" w:ascii="仿宋" w:hAnsi="仿宋" w:eastAsia="仿宋" w:cs="宋体"/>
                <w:sz w:val="24"/>
                <w:lang w:eastAsia="zh-CN"/>
              </w:rPr>
              <w:t>市住保和建设项目中心</w:t>
            </w:r>
          </w:p>
        </w:tc>
      </w:tr>
      <w:tr>
        <w:tblPrEx>
          <w:tblCellMar>
            <w:top w:w="0" w:type="dxa"/>
            <w:left w:w="108" w:type="dxa"/>
            <w:bottom w:w="0" w:type="dxa"/>
            <w:right w:w="108" w:type="dxa"/>
          </w:tblCellMar>
        </w:tblPrEx>
        <w:trPr>
          <w:trHeight w:val="488" w:hRule="atLeast"/>
        </w:trPr>
        <w:tc>
          <w:tcPr>
            <w:tcW w:w="25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宋体"/>
                <w:sz w:val="24"/>
              </w:rPr>
            </w:pPr>
            <w:r>
              <w:rPr>
                <w:rFonts w:hint="eastAsia" w:ascii="仿宋" w:hAnsi="仿宋" w:eastAsia="仿宋" w:cs="宋体"/>
                <w:kern w:val="0"/>
                <w:sz w:val="24"/>
                <w:lang w:bidi="ar"/>
              </w:rPr>
              <w:t>项目预算</w:t>
            </w:r>
            <w:r>
              <w:rPr>
                <w:rFonts w:hint="eastAsia" w:ascii="仿宋" w:hAnsi="仿宋" w:eastAsia="仿宋" w:cs="宋体"/>
                <w:kern w:val="0"/>
                <w:sz w:val="24"/>
                <w:lang w:bidi="ar"/>
              </w:rPr>
              <w:br w:type="textWrapping"/>
            </w:r>
            <w:r>
              <w:rPr>
                <w:rFonts w:hint="eastAsia" w:ascii="仿宋" w:hAnsi="仿宋" w:eastAsia="仿宋" w:cs="宋体"/>
                <w:kern w:val="0"/>
                <w:sz w:val="24"/>
                <w:lang w:bidi="ar"/>
              </w:rPr>
              <w:t>执行情况</w:t>
            </w:r>
            <w:r>
              <w:rPr>
                <w:rFonts w:hint="eastAsia" w:ascii="仿宋" w:hAnsi="仿宋" w:eastAsia="仿宋" w:cs="宋体"/>
                <w:kern w:val="0"/>
                <w:sz w:val="24"/>
                <w:lang w:bidi="ar"/>
              </w:rPr>
              <w:br w:type="textWrapping"/>
            </w:r>
            <w:r>
              <w:rPr>
                <w:rFonts w:hint="eastAsia" w:ascii="仿宋" w:hAnsi="仿宋" w:eastAsia="仿宋" w:cs="宋体"/>
                <w:kern w:val="0"/>
                <w:sz w:val="24"/>
                <w:lang w:bidi="ar"/>
              </w:rPr>
              <w:t>（万元）</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宋体"/>
                <w:sz w:val="24"/>
              </w:rPr>
            </w:pPr>
            <w:r>
              <w:rPr>
                <w:rFonts w:hint="eastAsia" w:ascii="仿宋" w:hAnsi="仿宋" w:eastAsia="仿宋" w:cs="宋体"/>
                <w:kern w:val="0"/>
                <w:sz w:val="24"/>
                <w:lang w:bidi="ar"/>
              </w:rPr>
              <w:t>预算数：</w:t>
            </w:r>
          </w:p>
        </w:tc>
        <w:tc>
          <w:tcPr>
            <w:tcW w:w="1388"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spacing w:line="300" w:lineRule="exact"/>
              <w:jc w:val="center"/>
              <w:textAlignment w:val="center"/>
              <w:rPr>
                <w:rFonts w:ascii="仿宋" w:hAnsi="仿宋" w:eastAsia="仿宋" w:cs="宋体"/>
                <w:sz w:val="24"/>
              </w:rPr>
            </w:pPr>
            <w:r>
              <w:rPr>
                <w:rFonts w:hint="eastAsia" w:ascii="仿宋" w:hAnsi="仿宋" w:eastAsia="仿宋" w:cs="宋体"/>
                <w:sz w:val="24"/>
              </w:rPr>
              <w:t>2.08</w:t>
            </w:r>
          </w:p>
        </w:tc>
        <w:tc>
          <w:tcPr>
            <w:tcW w:w="1180"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宋体"/>
                <w:sz w:val="24"/>
              </w:rPr>
            </w:pPr>
            <w:r>
              <w:rPr>
                <w:rFonts w:hint="eastAsia" w:ascii="仿宋" w:hAnsi="仿宋" w:eastAsia="仿宋" w:cs="宋体"/>
                <w:kern w:val="0"/>
                <w:sz w:val="24"/>
                <w:lang w:bidi="ar"/>
              </w:rPr>
              <w:t>执行数：</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宋体"/>
                <w:sz w:val="24"/>
              </w:rPr>
            </w:pPr>
            <w:r>
              <w:rPr>
                <w:rFonts w:hint="eastAsia" w:ascii="仿宋" w:hAnsi="仿宋" w:eastAsia="仿宋" w:cs="宋体"/>
                <w:sz w:val="24"/>
              </w:rPr>
              <w:t>2.08</w:t>
            </w:r>
          </w:p>
        </w:tc>
      </w:tr>
      <w:tr>
        <w:tblPrEx>
          <w:tblCellMar>
            <w:top w:w="0" w:type="dxa"/>
            <w:left w:w="108" w:type="dxa"/>
            <w:bottom w:w="0" w:type="dxa"/>
            <w:right w:w="108" w:type="dxa"/>
          </w:tblCellMar>
        </w:tblPrEx>
        <w:trPr>
          <w:trHeight w:val="475" w:hRule="atLeast"/>
        </w:trPr>
        <w:tc>
          <w:tcPr>
            <w:tcW w:w="25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 w:hAnsi="仿宋" w:eastAsia="仿宋" w:cs="宋体"/>
                <w:sz w:val="24"/>
              </w:rPr>
            </w:pP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宋体"/>
                <w:sz w:val="24"/>
              </w:rPr>
            </w:pPr>
            <w:r>
              <w:rPr>
                <w:rFonts w:hint="eastAsia" w:ascii="仿宋" w:hAnsi="仿宋" w:eastAsia="仿宋" w:cs="宋体"/>
                <w:kern w:val="0"/>
                <w:sz w:val="24"/>
                <w:lang w:bidi="ar"/>
              </w:rPr>
              <w:t>其中：财政拨款</w:t>
            </w:r>
          </w:p>
        </w:tc>
        <w:tc>
          <w:tcPr>
            <w:tcW w:w="138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00" w:lineRule="exact"/>
              <w:jc w:val="center"/>
              <w:textAlignment w:val="center"/>
              <w:rPr>
                <w:rFonts w:ascii="仿宋" w:hAnsi="仿宋" w:eastAsia="仿宋" w:cs="宋体"/>
                <w:sz w:val="24"/>
              </w:rPr>
            </w:pPr>
            <w:r>
              <w:rPr>
                <w:rFonts w:hint="eastAsia" w:ascii="仿宋" w:hAnsi="仿宋" w:eastAsia="仿宋" w:cs="宋体"/>
                <w:sz w:val="24"/>
              </w:rPr>
              <w:t>2.08</w:t>
            </w:r>
          </w:p>
        </w:tc>
        <w:tc>
          <w:tcPr>
            <w:tcW w:w="118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宋体"/>
                <w:sz w:val="24"/>
              </w:rPr>
            </w:pPr>
            <w:r>
              <w:rPr>
                <w:rFonts w:hint="eastAsia" w:ascii="仿宋" w:hAnsi="仿宋" w:eastAsia="仿宋" w:cs="宋体"/>
                <w:kern w:val="0"/>
                <w:sz w:val="24"/>
                <w:lang w:bidi="ar"/>
              </w:rPr>
              <w:t>其中：财政拨款</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宋体"/>
                <w:sz w:val="24"/>
              </w:rPr>
            </w:pPr>
            <w:r>
              <w:rPr>
                <w:rFonts w:hint="eastAsia" w:ascii="仿宋" w:hAnsi="仿宋" w:eastAsia="仿宋" w:cs="宋体"/>
                <w:sz w:val="24"/>
              </w:rPr>
              <w:t>2.08</w:t>
            </w:r>
          </w:p>
        </w:tc>
      </w:tr>
      <w:tr>
        <w:tblPrEx>
          <w:tblCellMar>
            <w:top w:w="0" w:type="dxa"/>
            <w:left w:w="108" w:type="dxa"/>
            <w:bottom w:w="0" w:type="dxa"/>
            <w:right w:w="108" w:type="dxa"/>
          </w:tblCellMar>
        </w:tblPrEx>
        <w:trPr>
          <w:trHeight w:val="341" w:hRule="atLeast"/>
        </w:trPr>
        <w:tc>
          <w:tcPr>
            <w:tcW w:w="25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 w:hAnsi="仿宋" w:eastAsia="仿宋" w:cs="宋体"/>
                <w:sz w:val="24"/>
              </w:rPr>
            </w:pP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宋体"/>
                <w:sz w:val="24"/>
              </w:rPr>
            </w:pPr>
            <w:r>
              <w:rPr>
                <w:rFonts w:hint="eastAsia" w:ascii="仿宋" w:hAnsi="仿宋" w:eastAsia="仿宋" w:cs="宋体"/>
                <w:kern w:val="0"/>
                <w:sz w:val="24"/>
                <w:lang w:bidi="ar"/>
              </w:rPr>
              <w:t>其他资金</w:t>
            </w:r>
          </w:p>
        </w:tc>
        <w:tc>
          <w:tcPr>
            <w:tcW w:w="138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00" w:lineRule="exact"/>
              <w:jc w:val="center"/>
              <w:textAlignment w:val="center"/>
              <w:rPr>
                <w:rFonts w:ascii="仿宋" w:hAnsi="仿宋" w:eastAsia="仿宋" w:cs="宋体"/>
                <w:sz w:val="24"/>
              </w:rPr>
            </w:pPr>
          </w:p>
        </w:tc>
        <w:tc>
          <w:tcPr>
            <w:tcW w:w="118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宋体"/>
                <w:sz w:val="24"/>
              </w:rPr>
            </w:pPr>
            <w:r>
              <w:rPr>
                <w:rFonts w:hint="eastAsia" w:ascii="仿宋" w:hAnsi="仿宋" w:eastAsia="仿宋" w:cs="宋体"/>
                <w:kern w:val="0"/>
                <w:sz w:val="24"/>
                <w:lang w:bidi="ar"/>
              </w:rPr>
              <w:t>其他资金</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宋体"/>
                <w:sz w:val="24"/>
              </w:rPr>
            </w:pPr>
          </w:p>
        </w:tc>
      </w:tr>
      <w:tr>
        <w:tblPrEx>
          <w:tblCellMar>
            <w:top w:w="0" w:type="dxa"/>
            <w:left w:w="108" w:type="dxa"/>
            <w:bottom w:w="0" w:type="dxa"/>
            <w:right w:w="108" w:type="dxa"/>
          </w:tblCellMar>
        </w:tblPrEx>
        <w:trPr>
          <w:trHeight w:val="370" w:hRule="atLeast"/>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年度总体目标</w:t>
            </w:r>
          </w:p>
          <w:p>
            <w:pPr>
              <w:widowControl/>
              <w:spacing w:line="300" w:lineRule="exact"/>
              <w:jc w:val="center"/>
              <w:textAlignment w:val="center"/>
              <w:rPr>
                <w:rFonts w:ascii="仿宋" w:hAnsi="仿宋" w:eastAsia="仿宋" w:cs="宋体"/>
                <w:sz w:val="24"/>
              </w:rPr>
            </w:pPr>
            <w:r>
              <w:rPr>
                <w:rFonts w:hint="eastAsia" w:ascii="仿宋" w:hAnsi="仿宋" w:eastAsia="仿宋" w:cs="宋体"/>
                <w:kern w:val="0"/>
                <w:sz w:val="24"/>
                <w:lang w:bidi="ar"/>
              </w:rPr>
              <w:t>完成情况</w:t>
            </w:r>
          </w:p>
        </w:tc>
        <w:tc>
          <w:tcPr>
            <w:tcW w:w="49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宋体"/>
                <w:sz w:val="24"/>
              </w:rPr>
            </w:pPr>
            <w:r>
              <w:rPr>
                <w:rFonts w:hint="eastAsia" w:ascii="仿宋" w:hAnsi="仿宋" w:eastAsia="仿宋" w:cs="宋体"/>
                <w:kern w:val="0"/>
                <w:sz w:val="24"/>
                <w:lang w:bidi="ar"/>
              </w:rPr>
              <w:t>预期目标</w:t>
            </w:r>
          </w:p>
        </w:tc>
        <w:tc>
          <w:tcPr>
            <w:tcW w:w="35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宋体"/>
                <w:sz w:val="24"/>
              </w:rPr>
            </w:pPr>
            <w:r>
              <w:rPr>
                <w:rFonts w:hint="eastAsia" w:ascii="仿宋" w:hAnsi="仿宋" w:eastAsia="仿宋" w:cs="宋体"/>
                <w:kern w:val="0"/>
                <w:sz w:val="24"/>
                <w:lang w:bidi="ar"/>
              </w:rPr>
              <w:t>目标实际完成情况</w:t>
            </w:r>
          </w:p>
        </w:tc>
      </w:tr>
      <w:tr>
        <w:tblPrEx>
          <w:tblCellMar>
            <w:top w:w="0" w:type="dxa"/>
            <w:left w:w="108" w:type="dxa"/>
            <w:bottom w:w="0" w:type="dxa"/>
            <w:right w:w="108" w:type="dxa"/>
          </w:tblCellMar>
        </w:tblPrEx>
        <w:trPr>
          <w:trHeight w:val="970" w:hRule="atLeas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 w:hAnsi="仿宋" w:eastAsia="仿宋" w:cs="宋体"/>
                <w:sz w:val="24"/>
              </w:rPr>
            </w:pPr>
          </w:p>
        </w:tc>
        <w:tc>
          <w:tcPr>
            <w:tcW w:w="49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spacing w:line="300" w:lineRule="exact"/>
              <w:rPr>
                <w:rFonts w:hAnsi="仿宋" w:cs="宋体"/>
              </w:rPr>
            </w:pPr>
            <w:r>
              <w:rPr>
                <w:rFonts w:hint="eastAsia" w:hAnsi="仿宋" w:cs="宋体"/>
              </w:rPr>
              <w:t>全面完成保障性安居工程建设和市本级市政基础设施项目、市政府非经营性投资项目代建业务等工作。</w:t>
            </w:r>
          </w:p>
        </w:tc>
        <w:tc>
          <w:tcPr>
            <w:tcW w:w="35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pPr>
            <w:r>
              <w:rPr>
                <w:rFonts w:hint="eastAsia" w:ascii="仿宋" w:hAnsi="仿宋" w:eastAsia="仿宋" w:cs="宋体"/>
                <w:sz w:val="24"/>
              </w:rPr>
              <w:t>圆满完成住房保障和建设项目各项工作。</w:t>
            </w:r>
          </w:p>
          <w:p>
            <w:pPr>
              <w:widowControl/>
              <w:spacing w:line="300" w:lineRule="exact"/>
              <w:jc w:val="center"/>
              <w:textAlignment w:val="top"/>
              <w:rPr>
                <w:rFonts w:ascii="仿宋" w:hAnsi="仿宋" w:eastAsia="仿宋" w:cs="宋体"/>
                <w:sz w:val="24"/>
              </w:rPr>
            </w:pPr>
          </w:p>
        </w:tc>
      </w:tr>
      <w:tr>
        <w:tblPrEx>
          <w:tblCellMar>
            <w:top w:w="0" w:type="dxa"/>
            <w:left w:w="108" w:type="dxa"/>
            <w:bottom w:w="0" w:type="dxa"/>
            <w:right w:w="108" w:type="dxa"/>
          </w:tblCellMar>
        </w:tblPrEx>
        <w:trPr>
          <w:trHeight w:val="693" w:hRule="atLeast"/>
        </w:trPr>
        <w:tc>
          <w:tcPr>
            <w:tcW w:w="95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_GB2312"/>
                <w:sz w:val="24"/>
              </w:rPr>
            </w:pPr>
            <w:r>
              <w:rPr>
                <w:rFonts w:hint="eastAsia" w:ascii="仿宋" w:hAnsi="仿宋" w:eastAsia="仿宋" w:cs="仿宋_GB2312"/>
                <w:kern w:val="0"/>
                <w:sz w:val="24"/>
                <w:lang w:bidi="ar"/>
              </w:rPr>
              <w:t>年度绩效指标完成情况</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一级</w:t>
            </w:r>
          </w:p>
          <w:p>
            <w:pPr>
              <w:widowControl/>
              <w:spacing w:line="300" w:lineRule="exact"/>
              <w:jc w:val="center"/>
              <w:textAlignment w:val="center"/>
              <w:rPr>
                <w:rFonts w:ascii="仿宋" w:hAnsi="仿宋" w:eastAsia="仿宋" w:cs="仿宋_GB2312"/>
                <w:sz w:val="24"/>
              </w:rPr>
            </w:pPr>
            <w:r>
              <w:rPr>
                <w:rFonts w:hint="eastAsia" w:ascii="仿宋" w:hAnsi="仿宋" w:eastAsia="仿宋" w:cs="仿宋_GB2312"/>
                <w:kern w:val="0"/>
                <w:sz w:val="24"/>
                <w:lang w:bidi="ar"/>
              </w:rPr>
              <w:t>指标</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二级</w:t>
            </w:r>
          </w:p>
          <w:p>
            <w:pPr>
              <w:widowControl/>
              <w:spacing w:line="300" w:lineRule="exact"/>
              <w:jc w:val="center"/>
              <w:textAlignment w:val="center"/>
              <w:rPr>
                <w:rFonts w:ascii="仿宋" w:hAnsi="仿宋" w:eastAsia="仿宋" w:cs="仿宋_GB2312"/>
                <w:sz w:val="24"/>
              </w:rPr>
            </w:pPr>
            <w:r>
              <w:rPr>
                <w:rFonts w:hint="eastAsia" w:ascii="仿宋" w:hAnsi="仿宋" w:eastAsia="仿宋" w:cs="仿宋_GB2312"/>
                <w:kern w:val="0"/>
                <w:sz w:val="24"/>
                <w:lang w:bidi="ar"/>
              </w:rPr>
              <w:t>指标</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_GB2312"/>
                <w:kern w:val="0"/>
                <w:sz w:val="24"/>
                <w:lang w:bidi="ar"/>
              </w:rPr>
            </w:pPr>
            <w:r>
              <w:rPr>
                <w:rFonts w:hint="eastAsia" w:ascii="仿宋" w:hAnsi="仿宋" w:eastAsia="仿宋" w:cs="仿宋_GB2312"/>
                <w:kern w:val="0"/>
                <w:sz w:val="24"/>
                <w:lang w:bidi="ar"/>
              </w:rPr>
              <w:t>三级</w:t>
            </w:r>
          </w:p>
          <w:p>
            <w:pPr>
              <w:widowControl/>
              <w:spacing w:line="300" w:lineRule="exact"/>
              <w:jc w:val="center"/>
              <w:textAlignment w:val="center"/>
              <w:rPr>
                <w:rFonts w:ascii="仿宋" w:hAnsi="仿宋" w:eastAsia="仿宋" w:cs="仿宋_GB2312"/>
                <w:sz w:val="24"/>
              </w:rPr>
            </w:pPr>
            <w:r>
              <w:rPr>
                <w:rFonts w:hint="eastAsia" w:ascii="仿宋" w:hAnsi="仿宋" w:eastAsia="仿宋" w:cs="仿宋_GB2312"/>
                <w:kern w:val="0"/>
                <w:sz w:val="24"/>
                <w:lang w:bidi="ar"/>
              </w:rPr>
              <w:t>指标</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_GB2312"/>
                <w:sz w:val="24"/>
              </w:rPr>
            </w:pPr>
            <w:r>
              <w:rPr>
                <w:rFonts w:hint="eastAsia" w:ascii="仿宋" w:hAnsi="仿宋" w:eastAsia="仿宋" w:cs="仿宋_GB2312"/>
                <w:kern w:val="0"/>
                <w:sz w:val="24"/>
                <w:lang w:bidi="ar"/>
              </w:rPr>
              <w:t>预期指标值</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_GB2312"/>
                <w:sz w:val="24"/>
              </w:rPr>
            </w:pPr>
            <w:r>
              <w:rPr>
                <w:rFonts w:hint="eastAsia" w:ascii="仿宋" w:hAnsi="仿宋" w:eastAsia="仿宋" w:cs="仿宋_GB2312"/>
                <w:kern w:val="0"/>
                <w:sz w:val="24"/>
                <w:lang w:bidi="ar"/>
              </w:rPr>
              <w:t>实际完成指标值</w:t>
            </w:r>
          </w:p>
        </w:tc>
      </w:tr>
      <w:tr>
        <w:tblPrEx>
          <w:tblCellMar>
            <w:top w:w="0" w:type="dxa"/>
            <w:left w:w="108" w:type="dxa"/>
            <w:bottom w:w="0" w:type="dxa"/>
            <w:right w:w="108" w:type="dxa"/>
          </w:tblCellMar>
        </w:tblPrEx>
        <w:trPr>
          <w:trHeight w:val="465" w:hRule="atLeast"/>
        </w:trPr>
        <w:tc>
          <w:tcPr>
            <w:tcW w:w="959"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_GB2312"/>
                <w:sz w:val="24"/>
              </w:rPr>
            </w:pPr>
          </w:p>
        </w:tc>
        <w:tc>
          <w:tcPr>
            <w:tcW w:w="70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kern w:val="0"/>
                <w:sz w:val="24"/>
                <w:lang w:bidi="ar"/>
              </w:rPr>
            </w:pPr>
            <w:r>
              <w:rPr>
                <w:rFonts w:hint="eastAsia" w:ascii="仿宋" w:hAnsi="仿宋" w:eastAsia="仿宋" w:cs="仿宋_GB2312"/>
                <w:kern w:val="0"/>
                <w:sz w:val="24"/>
                <w:lang w:bidi="ar"/>
              </w:rPr>
              <w:t>完成</w:t>
            </w:r>
          </w:p>
          <w:p>
            <w:pPr>
              <w:spacing w:line="300" w:lineRule="exact"/>
              <w:jc w:val="center"/>
              <w:textAlignment w:val="bottom"/>
              <w:rPr>
                <w:rFonts w:ascii="仿宋" w:hAnsi="仿宋" w:eastAsia="仿宋" w:cs="仿宋_GB2312"/>
                <w:kern w:val="0"/>
                <w:sz w:val="24"/>
                <w:lang w:bidi="ar"/>
              </w:rPr>
            </w:pPr>
            <w:r>
              <w:rPr>
                <w:rFonts w:hint="eastAsia" w:ascii="仿宋" w:hAnsi="仿宋" w:eastAsia="仿宋" w:cs="仿宋_GB2312"/>
                <w:kern w:val="0"/>
                <w:sz w:val="24"/>
                <w:lang w:bidi="ar"/>
              </w:rPr>
              <w:t>指标</w:t>
            </w:r>
          </w:p>
        </w:tc>
        <w:tc>
          <w:tcPr>
            <w:tcW w:w="992"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300" w:lineRule="exact"/>
              <w:jc w:val="center"/>
              <w:textAlignment w:val="bottom"/>
              <w:rPr>
                <w:rFonts w:ascii="仿宋" w:hAnsi="仿宋" w:eastAsia="仿宋" w:cs="仿宋_GB2312"/>
                <w:kern w:val="0"/>
                <w:sz w:val="24"/>
                <w:lang w:bidi="ar"/>
              </w:rPr>
            </w:pPr>
            <w:r>
              <w:rPr>
                <w:rFonts w:hint="eastAsia" w:ascii="仿宋" w:hAnsi="仿宋" w:eastAsia="仿宋" w:cs="仿宋_GB2312"/>
                <w:kern w:val="0"/>
                <w:sz w:val="24"/>
                <w:lang w:bidi="ar"/>
              </w:rPr>
              <w:t>数量</w:t>
            </w:r>
          </w:p>
          <w:p>
            <w:pPr>
              <w:spacing w:line="300" w:lineRule="exact"/>
              <w:jc w:val="center"/>
              <w:textAlignment w:val="bottom"/>
              <w:rPr>
                <w:rFonts w:ascii="仿宋" w:hAnsi="仿宋" w:eastAsia="仿宋" w:cs="仿宋_GB2312"/>
                <w:kern w:val="0"/>
                <w:sz w:val="24"/>
                <w:lang w:bidi="ar"/>
              </w:rPr>
            </w:pPr>
            <w:r>
              <w:rPr>
                <w:rFonts w:hint="eastAsia" w:ascii="仿宋" w:hAnsi="仿宋" w:eastAsia="仿宋" w:cs="仿宋_GB2312"/>
                <w:kern w:val="0"/>
                <w:sz w:val="24"/>
                <w:lang w:bidi="ar"/>
              </w:rPr>
              <w:t>指标</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bottom"/>
              <w:rPr>
                <w:rFonts w:ascii="仿宋" w:hAnsi="仿宋" w:eastAsia="仿宋" w:cs="仿宋_GB2312"/>
                <w:sz w:val="24"/>
              </w:rPr>
            </w:pPr>
            <w:r>
              <w:rPr>
                <w:rFonts w:hint="eastAsia" w:ascii="仿宋" w:hAnsi="仿宋" w:eastAsia="仿宋" w:cs="仿宋_GB2312"/>
                <w:sz w:val="24"/>
              </w:rPr>
              <w:t>财务软件维护、内控服务</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1年</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1年</w:t>
            </w:r>
          </w:p>
        </w:tc>
      </w:tr>
      <w:tr>
        <w:tblPrEx>
          <w:tblCellMar>
            <w:top w:w="0" w:type="dxa"/>
            <w:left w:w="108" w:type="dxa"/>
            <w:bottom w:w="0" w:type="dxa"/>
            <w:right w:w="108" w:type="dxa"/>
          </w:tblCellMar>
        </w:tblPrEx>
        <w:trPr>
          <w:trHeight w:val="455" w:hRule="atLeast"/>
        </w:trPr>
        <w:tc>
          <w:tcPr>
            <w:tcW w:w="959"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_GB2312"/>
                <w:sz w:val="24"/>
              </w:rPr>
            </w:pPr>
          </w:p>
        </w:tc>
        <w:tc>
          <w:tcPr>
            <w:tcW w:w="709" w:type="dxa"/>
            <w:vMerge w:val="continue"/>
            <w:tcBorders>
              <w:left w:val="single" w:color="000000" w:sz="4" w:space="0"/>
              <w:right w:val="single" w:color="000000" w:sz="4" w:space="0"/>
            </w:tcBorders>
            <w:shd w:val="clear" w:color="auto" w:fill="auto"/>
            <w:vAlign w:val="center"/>
          </w:tcPr>
          <w:p>
            <w:pPr>
              <w:spacing w:line="300" w:lineRule="exact"/>
              <w:jc w:val="center"/>
              <w:textAlignment w:val="bottom"/>
              <w:rPr>
                <w:rFonts w:ascii="仿宋" w:hAnsi="仿宋" w:eastAsia="仿宋" w:cs="仿宋_GB2312"/>
                <w:kern w:val="0"/>
                <w:sz w:val="24"/>
                <w:lang w:bidi="ar"/>
              </w:rPr>
            </w:pPr>
          </w:p>
        </w:tc>
        <w:tc>
          <w:tcPr>
            <w:tcW w:w="992" w:type="dxa"/>
            <w:gridSpan w:val="2"/>
            <w:vMerge w:val="continue"/>
            <w:tcBorders>
              <w:left w:val="single" w:color="000000" w:sz="4" w:space="0"/>
              <w:right w:val="single" w:color="000000" w:sz="4" w:space="0"/>
            </w:tcBorders>
            <w:shd w:val="clear" w:color="auto" w:fill="auto"/>
            <w:vAlign w:val="center"/>
          </w:tcPr>
          <w:p>
            <w:pPr>
              <w:spacing w:line="300" w:lineRule="exact"/>
              <w:jc w:val="center"/>
              <w:textAlignment w:val="bottom"/>
              <w:rPr>
                <w:rFonts w:ascii="仿宋" w:hAnsi="仿宋" w:eastAsia="仿宋" w:cs="仿宋_GB2312"/>
                <w:kern w:val="0"/>
                <w:sz w:val="24"/>
                <w:lang w:bidi="ar"/>
              </w:rPr>
            </w:pP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bottom"/>
              <w:rPr>
                <w:rFonts w:ascii="仿宋" w:hAnsi="仿宋" w:eastAsia="仿宋" w:cs="仿宋_GB2312"/>
                <w:sz w:val="24"/>
              </w:rPr>
            </w:pPr>
            <w:r>
              <w:rPr>
                <w:rFonts w:hint="eastAsia" w:ascii="仿宋" w:hAnsi="仿宋" w:eastAsia="仿宋" w:cs="仿宋_GB2312"/>
                <w:sz w:val="24"/>
              </w:rPr>
              <w:t>整理档案、文书等</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1000张</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1000张</w:t>
            </w:r>
          </w:p>
        </w:tc>
      </w:tr>
      <w:tr>
        <w:tblPrEx>
          <w:tblCellMar>
            <w:top w:w="0" w:type="dxa"/>
            <w:left w:w="108" w:type="dxa"/>
            <w:bottom w:w="0" w:type="dxa"/>
            <w:right w:w="108" w:type="dxa"/>
          </w:tblCellMar>
        </w:tblPrEx>
        <w:trPr>
          <w:trHeight w:val="485" w:hRule="atLeast"/>
        </w:trPr>
        <w:tc>
          <w:tcPr>
            <w:tcW w:w="959"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_GB2312"/>
                <w:sz w:val="24"/>
              </w:rPr>
            </w:pPr>
          </w:p>
        </w:tc>
        <w:tc>
          <w:tcPr>
            <w:tcW w:w="709"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p>
        </w:tc>
        <w:tc>
          <w:tcPr>
            <w:tcW w:w="992" w:type="dxa"/>
            <w:gridSpan w:val="2"/>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bottom"/>
              <w:rPr>
                <w:rFonts w:ascii="仿宋" w:hAnsi="仿宋" w:eastAsia="仿宋" w:cs="仿宋_GB2312"/>
                <w:sz w:val="24"/>
              </w:rPr>
            </w:pPr>
            <w:r>
              <w:rPr>
                <w:rFonts w:hint="eastAsia" w:ascii="仿宋" w:hAnsi="仿宋" w:eastAsia="仿宋" w:cs="仿宋_GB2312"/>
                <w:sz w:val="24"/>
              </w:rPr>
              <w:t>培训工作人员</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3人次</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3人次</w:t>
            </w:r>
          </w:p>
        </w:tc>
      </w:tr>
      <w:tr>
        <w:tblPrEx>
          <w:tblCellMar>
            <w:top w:w="0" w:type="dxa"/>
            <w:left w:w="108" w:type="dxa"/>
            <w:bottom w:w="0" w:type="dxa"/>
            <w:right w:w="108" w:type="dxa"/>
          </w:tblCellMar>
        </w:tblPrEx>
        <w:trPr>
          <w:trHeight w:val="405" w:hRule="atLeast"/>
        </w:trPr>
        <w:tc>
          <w:tcPr>
            <w:tcW w:w="959"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_GB2312"/>
                <w:sz w:val="24"/>
              </w:rPr>
            </w:pPr>
          </w:p>
        </w:tc>
        <w:tc>
          <w:tcPr>
            <w:tcW w:w="709" w:type="dxa"/>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p>
        </w:tc>
        <w:tc>
          <w:tcPr>
            <w:tcW w:w="992" w:type="dxa"/>
            <w:gridSpan w:val="2"/>
            <w:vMerge w:val="continue"/>
            <w:tcBorders>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bottom"/>
              <w:rPr>
                <w:rFonts w:ascii="仿宋" w:hAnsi="仿宋" w:eastAsia="仿宋" w:cs="仿宋_GB2312"/>
                <w:sz w:val="24"/>
              </w:rPr>
            </w:pPr>
            <w:r>
              <w:rPr>
                <w:rFonts w:hint="eastAsia" w:ascii="仿宋" w:hAnsi="仿宋" w:eastAsia="仿宋" w:cs="仿宋_GB2312"/>
                <w:sz w:val="24"/>
              </w:rPr>
              <w:t>解决一名引进人才的待遇</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1人</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1人</w:t>
            </w:r>
          </w:p>
        </w:tc>
      </w:tr>
      <w:tr>
        <w:tblPrEx>
          <w:tblCellMar>
            <w:top w:w="0" w:type="dxa"/>
            <w:left w:w="108" w:type="dxa"/>
            <w:bottom w:w="0" w:type="dxa"/>
            <w:right w:w="108" w:type="dxa"/>
          </w:tblCellMar>
        </w:tblPrEx>
        <w:trPr>
          <w:trHeight w:val="678" w:hRule="atLeast"/>
        </w:trPr>
        <w:tc>
          <w:tcPr>
            <w:tcW w:w="959"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_GB2312"/>
                <w:sz w:val="24"/>
              </w:rPr>
            </w:pPr>
          </w:p>
        </w:tc>
        <w:tc>
          <w:tcPr>
            <w:tcW w:w="709" w:type="dxa"/>
            <w:vMerge w:val="continue"/>
            <w:tcBorders>
              <w:left w:val="single" w:color="000000" w:sz="4" w:space="0"/>
              <w:right w:val="single" w:color="000000" w:sz="4" w:space="0"/>
            </w:tcBorders>
            <w:shd w:val="clear" w:color="auto" w:fill="auto"/>
            <w:vAlign w:val="bottom"/>
          </w:tcPr>
          <w:p>
            <w:pPr>
              <w:spacing w:line="300" w:lineRule="exact"/>
              <w:jc w:val="center"/>
              <w:rPr>
                <w:rFonts w:ascii="仿宋" w:hAnsi="仿宋" w:eastAsia="仿宋" w:cs="仿宋_GB2312"/>
                <w:sz w:val="24"/>
              </w:rPr>
            </w:pPr>
          </w:p>
        </w:tc>
        <w:tc>
          <w:tcPr>
            <w:tcW w:w="992" w:type="dxa"/>
            <w:gridSpan w:val="2"/>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kern w:val="0"/>
                <w:sz w:val="24"/>
                <w:lang w:bidi="ar"/>
              </w:rPr>
            </w:pPr>
            <w:r>
              <w:rPr>
                <w:rFonts w:hint="eastAsia" w:ascii="仿宋" w:hAnsi="仿宋" w:eastAsia="仿宋" w:cs="仿宋_GB2312"/>
                <w:kern w:val="0"/>
                <w:sz w:val="24"/>
                <w:lang w:bidi="ar"/>
              </w:rPr>
              <w:t>质量</w:t>
            </w:r>
          </w:p>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kern w:val="0"/>
                <w:sz w:val="24"/>
                <w:lang w:bidi="ar"/>
              </w:rPr>
              <w:t>指标</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bottom"/>
              <w:rPr>
                <w:rFonts w:ascii="仿宋" w:hAnsi="仿宋" w:eastAsia="仿宋" w:cs="仿宋_GB2312"/>
                <w:sz w:val="24"/>
              </w:rPr>
            </w:pPr>
            <w:r>
              <w:rPr>
                <w:rFonts w:hint="eastAsia" w:ascii="仿宋" w:hAnsi="仿宋" w:eastAsia="仿宋" w:cs="仿宋_GB2312"/>
                <w:sz w:val="24"/>
              </w:rPr>
              <w:t>保障性安居工程建设和项目建设工作服务水平</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大幅提高</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大幅提高</w:t>
            </w:r>
          </w:p>
        </w:tc>
      </w:tr>
      <w:tr>
        <w:tblPrEx>
          <w:tblCellMar>
            <w:top w:w="0" w:type="dxa"/>
            <w:left w:w="108" w:type="dxa"/>
            <w:bottom w:w="0" w:type="dxa"/>
            <w:right w:w="108" w:type="dxa"/>
          </w:tblCellMar>
        </w:tblPrEx>
        <w:trPr>
          <w:trHeight w:val="550" w:hRule="atLeast"/>
        </w:trPr>
        <w:tc>
          <w:tcPr>
            <w:tcW w:w="959"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_GB2312"/>
                <w:sz w:val="24"/>
              </w:rPr>
            </w:pPr>
          </w:p>
        </w:tc>
        <w:tc>
          <w:tcPr>
            <w:tcW w:w="709" w:type="dxa"/>
            <w:vMerge w:val="continue"/>
            <w:tcBorders>
              <w:left w:val="single" w:color="000000" w:sz="4" w:space="0"/>
              <w:right w:val="single" w:color="000000" w:sz="4" w:space="0"/>
            </w:tcBorders>
            <w:shd w:val="clear" w:color="auto" w:fill="auto"/>
            <w:vAlign w:val="bottom"/>
          </w:tcPr>
          <w:p>
            <w:pPr>
              <w:spacing w:line="300" w:lineRule="exact"/>
              <w:jc w:val="center"/>
              <w:rPr>
                <w:rFonts w:ascii="仿宋" w:hAnsi="仿宋" w:eastAsia="仿宋" w:cs="仿宋_GB2312"/>
                <w:sz w:val="24"/>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kern w:val="0"/>
                <w:sz w:val="24"/>
                <w:lang w:bidi="ar"/>
              </w:rPr>
            </w:pPr>
            <w:r>
              <w:rPr>
                <w:rFonts w:hint="eastAsia" w:ascii="仿宋" w:hAnsi="仿宋" w:eastAsia="仿宋" w:cs="仿宋_GB2312"/>
                <w:kern w:val="0"/>
                <w:sz w:val="24"/>
                <w:lang w:bidi="ar"/>
              </w:rPr>
              <w:t>时效</w:t>
            </w:r>
          </w:p>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kern w:val="0"/>
                <w:sz w:val="24"/>
                <w:lang w:bidi="ar"/>
              </w:rPr>
              <w:t>指标</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bottom"/>
              <w:rPr>
                <w:rFonts w:ascii="仿宋" w:hAnsi="仿宋" w:eastAsia="仿宋" w:cs="仿宋_GB2312"/>
                <w:sz w:val="24"/>
              </w:rPr>
            </w:pPr>
            <w:r>
              <w:rPr>
                <w:rFonts w:hint="eastAsia" w:ascii="仿宋" w:hAnsi="仿宋" w:eastAsia="仿宋" w:cs="仿宋_GB2312"/>
                <w:sz w:val="24"/>
              </w:rPr>
              <w:t>2021年</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2021年全年</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2021年全年</w:t>
            </w:r>
          </w:p>
        </w:tc>
      </w:tr>
      <w:tr>
        <w:tblPrEx>
          <w:tblCellMar>
            <w:top w:w="0" w:type="dxa"/>
            <w:left w:w="108" w:type="dxa"/>
            <w:bottom w:w="0" w:type="dxa"/>
            <w:right w:w="108" w:type="dxa"/>
          </w:tblCellMar>
        </w:tblPrEx>
        <w:trPr>
          <w:trHeight w:val="650" w:hRule="atLeast"/>
        </w:trPr>
        <w:tc>
          <w:tcPr>
            <w:tcW w:w="959"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_GB2312"/>
                <w:sz w:val="24"/>
              </w:rPr>
            </w:pPr>
          </w:p>
        </w:tc>
        <w:tc>
          <w:tcPr>
            <w:tcW w:w="709" w:type="dxa"/>
            <w:vMerge w:val="continue"/>
            <w:tcBorders>
              <w:left w:val="single" w:color="000000" w:sz="4" w:space="0"/>
              <w:right w:val="single" w:color="000000" w:sz="4" w:space="0"/>
            </w:tcBorders>
            <w:shd w:val="clear" w:color="auto" w:fill="auto"/>
            <w:vAlign w:val="bottom"/>
          </w:tcPr>
          <w:p>
            <w:pPr>
              <w:spacing w:line="300" w:lineRule="exact"/>
              <w:jc w:val="center"/>
              <w:rPr>
                <w:rFonts w:ascii="仿宋" w:hAnsi="仿宋" w:eastAsia="仿宋" w:cs="仿宋_GB2312"/>
                <w:sz w:val="24"/>
              </w:rPr>
            </w:pPr>
          </w:p>
        </w:tc>
        <w:tc>
          <w:tcPr>
            <w:tcW w:w="992"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300" w:lineRule="exact"/>
              <w:jc w:val="center"/>
              <w:textAlignment w:val="bottom"/>
              <w:rPr>
                <w:rFonts w:ascii="仿宋" w:hAnsi="仿宋" w:eastAsia="仿宋" w:cs="仿宋_GB2312"/>
                <w:kern w:val="0"/>
                <w:sz w:val="24"/>
                <w:lang w:bidi="ar"/>
              </w:rPr>
            </w:pPr>
            <w:r>
              <w:rPr>
                <w:rFonts w:hint="eastAsia" w:ascii="仿宋" w:hAnsi="仿宋" w:eastAsia="仿宋" w:cs="仿宋_GB2312"/>
                <w:kern w:val="0"/>
                <w:sz w:val="24"/>
                <w:lang w:bidi="ar"/>
              </w:rPr>
              <w:t>成本</w:t>
            </w:r>
          </w:p>
          <w:p>
            <w:pPr>
              <w:spacing w:line="300" w:lineRule="exact"/>
              <w:jc w:val="center"/>
              <w:textAlignment w:val="bottom"/>
              <w:rPr>
                <w:rFonts w:ascii="仿宋" w:hAnsi="仿宋" w:eastAsia="仿宋" w:cs="仿宋_GB2312"/>
                <w:kern w:val="0"/>
                <w:sz w:val="24"/>
                <w:lang w:bidi="ar"/>
              </w:rPr>
            </w:pPr>
            <w:r>
              <w:rPr>
                <w:rFonts w:hint="eastAsia" w:ascii="仿宋" w:hAnsi="仿宋" w:eastAsia="仿宋" w:cs="仿宋_GB2312"/>
                <w:kern w:val="0"/>
                <w:sz w:val="24"/>
                <w:lang w:bidi="ar"/>
              </w:rPr>
              <w:t>指标</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bottom"/>
              <w:rPr>
                <w:rFonts w:ascii="仿宋" w:hAnsi="仿宋" w:eastAsia="仿宋" w:cs="仿宋_GB2312"/>
                <w:sz w:val="24"/>
              </w:rPr>
            </w:pPr>
            <w:r>
              <w:rPr>
                <w:rFonts w:hint="eastAsia" w:ascii="仿宋" w:hAnsi="仿宋" w:eastAsia="仿宋" w:cs="仿宋_GB2312"/>
                <w:sz w:val="24"/>
              </w:rPr>
              <w:t>财务软件维护、内控服务费</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0.5万元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0.5万元</w:t>
            </w:r>
          </w:p>
        </w:tc>
      </w:tr>
      <w:tr>
        <w:tblPrEx>
          <w:tblCellMar>
            <w:top w:w="0" w:type="dxa"/>
            <w:left w:w="108" w:type="dxa"/>
            <w:bottom w:w="0" w:type="dxa"/>
            <w:right w:w="108" w:type="dxa"/>
          </w:tblCellMar>
        </w:tblPrEx>
        <w:trPr>
          <w:trHeight w:val="570" w:hRule="atLeast"/>
        </w:trPr>
        <w:tc>
          <w:tcPr>
            <w:tcW w:w="959"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_GB2312"/>
                <w:sz w:val="24"/>
              </w:rPr>
            </w:pPr>
          </w:p>
        </w:tc>
        <w:tc>
          <w:tcPr>
            <w:tcW w:w="709" w:type="dxa"/>
            <w:vMerge w:val="continue"/>
            <w:tcBorders>
              <w:left w:val="single" w:color="000000" w:sz="4" w:space="0"/>
              <w:right w:val="single" w:color="000000" w:sz="4" w:space="0"/>
            </w:tcBorders>
            <w:shd w:val="clear" w:color="auto" w:fill="auto"/>
            <w:vAlign w:val="bottom"/>
          </w:tcPr>
          <w:p>
            <w:pPr>
              <w:spacing w:line="300" w:lineRule="exact"/>
              <w:jc w:val="center"/>
              <w:rPr>
                <w:rFonts w:ascii="仿宋" w:hAnsi="仿宋" w:eastAsia="仿宋" w:cs="仿宋_GB2312"/>
                <w:sz w:val="24"/>
              </w:rPr>
            </w:pPr>
          </w:p>
        </w:tc>
        <w:tc>
          <w:tcPr>
            <w:tcW w:w="992" w:type="dxa"/>
            <w:gridSpan w:val="2"/>
            <w:vMerge w:val="continue"/>
            <w:tcBorders>
              <w:left w:val="single" w:color="000000" w:sz="4" w:space="0"/>
              <w:right w:val="single" w:color="000000" w:sz="4" w:space="0"/>
            </w:tcBorders>
            <w:shd w:val="clear" w:color="auto" w:fill="auto"/>
            <w:vAlign w:val="center"/>
          </w:tcPr>
          <w:p>
            <w:pPr>
              <w:spacing w:line="300" w:lineRule="exact"/>
              <w:jc w:val="center"/>
              <w:textAlignment w:val="bottom"/>
              <w:rPr>
                <w:rFonts w:ascii="仿宋" w:hAnsi="仿宋" w:eastAsia="仿宋" w:cs="仿宋_GB2312"/>
                <w:kern w:val="0"/>
                <w:sz w:val="24"/>
                <w:lang w:bidi="ar"/>
              </w:rPr>
            </w:pP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bottom"/>
              <w:rPr>
                <w:rFonts w:ascii="仿宋" w:hAnsi="仿宋" w:eastAsia="仿宋" w:cs="仿宋_GB2312"/>
                <w:sz w:val="24"/>
              </w:rPr>
            </w:pPr>
            <w:r>
              <w:rPr>
                <w:rFonts w:hint="eastAsia" w:ascii="仿宋" w:hAnsi="仿宋" w:eastAsia="仿宋" w:cs="仿宋_GB2312"/>
                <w:sz w:val="24"/>
              </w:rPr>
              <w:t>办公费</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0.21万元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0.21万元</w:t>
            </w:r>
          </w:p>
        </w:tc>
      </w:tr>
      <w:tr>
        <w:tblPrEx>
          <w:tblCellMar>
            <w:top w:w="0" w:type="dxa"/>
            <w:left w:w="108" w:type="dxa"/>
            <w:bottom w:w="0" w:type="dxa"/>
            <w:right w:w="108" w:type="dxa"/>
          </w:tblCellMar>
        </w:tblPrEx>
        <w:trPr>
          <w:trHeight w:val="550" w:hRule="atLeast"/>
        </w:trPr>
        <w:tc>
          <w:tcPr>
            <w:tcW w:w="959"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_GB2312"/>
                <w:sz w:val="24"/>
              </w:rPr>
            </w:pPr>
          </w:p>
        </w:tc>
        <w:tc>
          <w:tcPr>
            <w:tcW w:w="709" w:type="dxa"/>
            <w:vMerge w:val="continue"/>
            <w:tcBorders>
              <w:left w:val="single" w:color="000000" w:sz="4" w:space="0"/>
              <w:right w:val="single" w:color="000000" w:sz="4" w:space="0"/>
            </w:tcBorders>
            <w:shd w:val="clear" w:color="auto" w:fill="auto"/>
            <w:vAlign w:val="bottom"/>
          </w:tcPr>
          <w:p>
            <w:pPr>
              <w:spacing w:line="300" w:lineRule="exact"/>
              <w:jc w:val="center"/>
              <w:rPr>
                <w:rFonts w:ascii="仿宋" w:hAnsi="仿宋" w:eastAsia="仿宋" w:cs="仿宋_GB2312"/>
                <w:sz w:val="24"/>
              </w:rPr>
            </w:pPr>
          </w:p>
        </w:tc>
        <w:tc>
          <w:tcPr>
            <w:tcW w:w="992" w:type="dxa"/>
            <w:gridSpan w:val="2"/>
            <w:vMerge w:val="continue"/>
            <w:tcBorders>
              <w:left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bottom"/>
              <w:rPr>
                <w:rFonts w:ascii="仿宋" w:hAnsi="仿宋" w:eastAsia="仿宋" w:cs="仿宋_GB2312"/>
                <w:sz w:val="24"/>
              </w:rPr>
            </w:pPr>
            <w:r>
              <w:rPr>
                <w:rFonts w:hint="eastAsia" w:ascii="仿宋" w:hAnsi="仿宋" w:eastAsia="仿宋" w:cs="仿宋_GB2312"/>
                <w:sz w:val="24"/>
              </w:rPr>
              <w:t>培训费</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0.72万元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0.72万元</w:t>
            </w:r>
          </w:p>
        </w:tc>
      </w:tr>
      <w:tr>
        <w:tblPrEx>
          <w:tblCellMar>
            <w:top w:w="0" w:type="dxa"/>
            <w:left w:w="108" w:type="dxa"/>
            <w:bottom w:w="0" w:type="dxa"/>
            <w:right w:w="108" w:type="dxa"/>
          </w:tblCellMar>
        </w:tblPrEx>
        <w:trPr>
          <w:trHeight w:val="590" w:hRule="atLeast"/>
        </w:trPr>
        <w:tc>
          <w:tcPr>
            <w:tcW w:w="959"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_GB2312"/>
                <w:sz w:val="24"/>
              </w:rPr>
            </w:pPr>
          </w:p>
        </w:tc>
        <w:tc>
          <w:tcPr>
            <w:tcW w:w="709" w:type="dxa"/>
            <w:vMerge w:val="continue"/>
            <w:tcBorders>
              <w:left w:val="single" w:color="000000" w:sz="4" w:space="0"/>
              <w:bottom w:val="single" w:color="000000" w:sz="4" w:space="0"/>
              <w:right w:val="single" w:color="000000" w:sz="4" w:space="0"/>
            </w:tcBorders>
            <w:shd w:val="clear" w:color="auto" w:fill="auto"/>
            <w:vAlign w:val="bottom"/>
          </w:tcPr>
          <w:p>
            <w:pPr>
              <w:spacing w:line="300" w:lineRule="exact"/>
              <w:jc w:val="center"/>
              <w:rPr>
                <w:rFonts w:ascii="仿宋" w:hAnsi="仿宋" w:eastAsia="仿宋" w:cs="仿宋_GB2312"/>
                <w:sz w:val="24"/>
              </w:rPr>
            </w:pPr>
          </w:p>
        </w:tc>
        <w:tc>
          <w:tcPr>
            <w:tcW w:w="992" w:type="dxa"/>
            <w:gridSpan w:val="2"/>
            <w:vMerge w:val="continue"/>
            <w:tcBorders>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bottom"/>
              <w:rPr>
                <w:rFonts w:ascii="仿宋" w:hAnsi="仿宋" w:eastAsia="仿宋" w:cs="仿宋_GB2312"/>
                <w:sz w:val="24"/>
              </w:rPr>
            </w:pPr>
            <w:r>
              <w:rPr>
                <w:rFonts w:hint="eastAsia" w:ascii="仿宋" w:hAnsi="仿宋" w:eastAsia="仿宋" w:cs="仿宋_GB2312"/>
                <w:sz w:val="24"/>
              </w:rPr>
              <w:t>引进人才公寓租金等</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0.65万元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0.65万元</w:t>
            </w:r>
          </w:p>
        </w:tc>
      </w:tr>
      <w:tr>
        <w:tblPrEx>
          <w:tblCellMar>
            <w:top w:w="0" w:type="dxa"/>
            <w:left w:w="108" w:type="dxa"/>
            <w:bottom w:w="0" w:type="dxa"/>
            <w:right w:w="108" w:type="dxa"/>
          </w:tblCellMar>
        </w:tblPrEx>
        <w:trPr>
          <w:trHeight w:val="680" w:hRule="atLeast"/>
        </w:trPr>
        <w:tc>
          <w:tcPr>
            <w:tcW w:w="959"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_GB2312"/>
                <w:sz w:val="24"/>
              </w:rPr>
            </w:pPr>
          </w:p>
        </w:tc>
        <w:tc>
          <w:tcPr>
            <w:tcW w:w="709" w:type="dxa"/>
            <w:vMerge w:val="restart"/>
            <w:tcBorders>
              <w:top w:val="single" w:color="000000" w:sz="4" w:space="0"/>
              <w:left w:val="single" w:color="000000" w:sz="4" w:space="0"/>
              <w:right w:val="single" w:color="000000" w:sz="4" w:space="0"/>
            </w:tcBorders>
            <w:shd w:val="clear" w:color="auto" w:fill="auto"/>
            <w:vAlign w:val="center"/>
          </w:tcPr>
          <w:p>
            <w:pPr>
              <w:spacing w:line="300" w:lineRule="exact"/>
              <w:jc w:val="center"/>
              <w:textAlignment w:val="bottom"/>
              <w:rPr>
                <w:rFonts w:ascii="仿宋" w:hAnsi="仿宋" w:eastAsia="仿宋" w:cs="仿宋_GB2312"/>
                <w:kern w:val="0"/>
                <w:sz w:val="24"/>
                <w:lang w:bidi="ar"/>
              </w:rPr>
            </w:pPr>
            <w:r>
              <w:rPr>
                <w:rFonts w:hint="eastAsia" w:ascii="仿宋" w:hAnsi="仿宋" w:eastAsia="仿宋" w:cs="仿宋_GB2312"/>
                <w:kern w:val="0"/>
                <w:sz w:val="24"/>
                <w:lang w:bidi="ar"/>
              </w:rPr>
              <w:t>效益</w:t>
            </w:r>
            <w:r>
              <w:rPr>
                <w:rFonts w:hint="eastAsia" w:ascii="仿宋" w:hAnsi="仿宋" w:eastAsia="仿宋" w:cs="仿宋_GB2312"/>
                <w:kern w:val="0"/>
                <w:sz w:val="24"/>
                <w:lang w:bidi="ar"/>
              </w:rPr>
              <w:br w:type="textWrapping"/>
            </w:r>
            <w:r>
              <w:rPr>
                <w:rFonts w:hint="eastAsia" w:ascii="仿宋" w:hAnsi="仿宋" w:eastAsia="仿宋" w:cs="仿宋_GB2312"/>
                <w:kern w:val="0"/>
                <w:sz w:val="24"/>
                <w:lang w:bidi="ar"/>
              </w:rPr>
              <w:t>指标</w:t>
            </w:r>
          </w:p>
        </w:tc>
        <w:tc>
          <w:tcPr>
            <w:tcW w:w="992" w:type="dxa"/>
            <w:gridSpan w:val="2"/>
            <w:tcBorders>
              <w:top w:val="single" w:color="000000" w:sz="4" w:space="0"/>
              <w:left w:val="single" w:color="000000" w:sz="4" w:space="0"/>
              <w:right w:val="single" w:color="000000" w:sz="4" w:space="0"/>
            </w:tcBorders>
            <w:shd w:val="clear" w:color="auto" w:fill="auto"/>
            <w:vAlign w:val="center"/>
          </w:tcPr>
          <w:p>
            <w:pPr>
              <w:spacing w:line="300" w:lineRule="exact"/>
              <w:jc w:val="center"/>
              <w:textAlignment w:val="bottom"/>
              <w:rPr>
                <w:rFonts w:ascii="仿宋" w:hAnsi="仿宋" w:eastAsia="仿宋" w:cs="仿宋_GB2312"/>
                <w:kern w:val="0"/>
                <w:sz w:val="24"/>
                <w:lang w:bidi="ar"/>
              </w:rPr>
            </w:pPr>
            <w:r>
              <w:rPr>
                <w:rFonts w:hint="eastAsia" w:ascii="仿宋" w:hAnsi="仿宋" w:eastAsia="仿宋" w:cs="仿宋_GB2312"/>
                <w:kern w:val="0"/>
                <w:sz w:val="24"/>
                <w:lang w:bidi="ar"/>
              </w:rPr>
              <w:t>社会效益指标</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ascii="仿宋" w:hAnsi="仿宋" w:eastAsia="仿宋" w:cs="仿宋_GB2312"/>
                <w:sz w:val="24"/>
              </w:rPr>
            </w:pPr>
            <w:r>
              <w:rPr>
                <w:rFonts w:hint="eastAsia" w:ascii="仿宋" w:hAnsi="仿宋" w:eastAsia="仿宋" w:cs="宋体"/>
                <w:sz w:val="24"/>
              </w:rPr>
              <w:t>保障住房保障和建设项目服务中心各项事务</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 w:hAnsi="仿宋" w:eastAsia="仿宋" w:cs="仿宋_GB2312"/>
                <w:sz w:val="24"/>
              </w:rPr>
            </w:pPr>
          </w:p>
          <w:p>
            <w:pPr>
              <w:spacing w:line="300" w:lineRule="exact"/>
              <w:jc w:val="center"/>
              <w:rPr>
                <w:rFonts w:ascii="仿宋" w:hAnsi="仿宋" w:eastAsia="仿宋" w:cs="仿宋_GB2312"/>
                <w:sz w:val="24"/>
              </w:rPr>
            </w:pPr>
            <w:r>
              <w:rPr>
                <w:rFonts w:hint="eastAsia" w:ascii="仿宋" w:hAnsi="仿宋" w:eastAsia="仿宋" w:cs="仿宋_GB2312"/>
                <w:sz w:val="24"/>
              </w:rPr>
              <w:t>全面完成</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 w:hAnsi="仿宋" w:eastAsia="仿宋" w:cs="仿宋_GB2312"/>
                <w:sz w:val="24"/>
              </w:rPr>
            </w:pPr>
          </w:p>
          <w:p>
            <w:pPr>
              <w:spacing w:line="300" w:lineRule="exact"/>
              <w:jc w:val="center"/>
              <w:rPr>
                <w:rFonts w:ascii="仿宋" w:hAnsi="仿宋" w:eastAsia="仿宋" w:cs="仿宋_GB2312"/>
                <w:sz w:val="24"/>
              </w:rPr>
            </w:pPr>
            <w:r>
              <w:rPr>
                <w:rFonts w:hint="eastAsia" w:ascii="仿宋" w:hAnsi="仿宋" w:eastAsia="仿宋" w:cs="仿宋_GB2312"/>
                <w:sz w:val="24"/>
              </w:rPr>
              <w:t>圆满完成</w:t>
            </w:r>
          </w:p>
        </w:tc>
      </w:tr>
      <w:tr>
        <w:tblPrEx>
          <w:tblCellMar>
            <w:top w:w="0" w:type="dxa"/>
            <w:left w:w="108" w:type="dxa"/>
            <w:bottom w:w="0" w:type="dxa"/>
            <w:right w:w="108" w:type="dxa"/>
          </w:tblCellMar>
        </w:tblPrEx>
        <w:trPr>
          <w:trHeight w:val="950" w:hRule="atLeast"/>
        </w:trPr>
        <w:tc>
          <w:tcPr>
            <w:tcW w:w="959" w:type="dxa"/>
            <w:vMerge w:val="continue"/>
            <w:tcBorders>
              <w:left w:val="single" w:color="000000" w:sz="4" w:space="0"/>
              <w:right w:val="single" w:color="000000" w:sz="4" w:space="0"/>
            </w:tcBorders>
            <w:shd w:val="clear" w:color="auto" w:fill="auto"/>
            <w:vAlign w:val="center"/>
          </w:tcPr>
          <w:p>
            <w:pPr>
              <w:spacing w:line="300" w:lineRule="exact"/>
              <w:jc w:val="center"/>
              <w:rPr>
                <w:rFonts w:ascii="仿宋" w:hAnsi="仿宋" w:eastAsia="仿宋" w:cs="仿宋_GB2312"/>
                <w:sz w:val="24"/>
              </w:rPr>
            </w:pPr>
          </w:p>
        </w:tc>
        <w:tc>
          <w:tcPr>
            <w:tcW w:w="709" w:type="dxa"/>
            <w:vMerge w:val="continue"/>
            <w:tcBorders>
              <w:left w:val="single" w:color="000000" w:sz="4" w:space="0"/>
              <w:bottom w:val="single" w:color="000000" w:sz="4" w:space="0"/>
              <w:right w:val="single" w:color="000000" w:sz="4" w:space="0"/>
            </w:tcBorders>
            <w:shd w:val="clear" w:color="auto" w:fill="auto"/>
            <w:vAlign w:val="bottom"/>
          </w:tcPr>
          <w:p>
            <w:pPr>
              <w:spacing w:line="300" w:lineRule="exact"/>
              <w:jc w:val="center"/>
              <w:rPr>
                <w:rFonts w:ascii="仿宋" w:hAnsi="仿宋" w:eastAsia="仿宋" w:cs="仿宋_GB2312"/>
                <w:sz w:val="24"/>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kern w:val="0"/>
                <w:sz w:val="24"/>
                <w:lang w:bidi="ar"/>
              </w:rPr>
              <w:t>可持续影响 指标</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bottom"/>
              <w:rPr>
                <w:rFonts w:ascii="仿宋" w:hAnsi="仿宋" w:eastAsia="仿宋" w:cs="仿宋_GB2312"/>
                <w:sz w:val="24"/>
              </w:rPr>
            </w:pPr>
            <w:r>
              <w:rPr>
                <w:rFonts w:hint="eastAsia" w:ascii="仿宋" w:hAnsi="仿宋" w:eastAsia="仿宋" w:cs="宋体"/>
                <w:sz w:val="24"/>
              </w:rPr>
              <w:t>住房保障和建设项目各项</w:t>
            </w:r>
            <w:r>
              <w:rPr>
                <w:rStyle w:val="34"/>
                <w:rFonts w:hint="eastAsia" w:ascii="仿宋" w:hAnsi="仿宋" w:eastAsia="仿宋"/>
                <w:sz w:val="24"/>
                <w:szCs w:val="24"/>
              </w:rPr>
              <w:t>事务性、技术性、辅助性工作</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sz w:val="24"/>
              </w:rPr>
              <w:t>全面提升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240" w:firstLineChars="100"/>
              <w:jc w:val="center"/>
              <w:textAlignment w:val="bottom"/>
              <w:rPr>
                <w:rFonts w:ascii="仿宋" w:hAnsi="仿宋" w:eastAsia="仿宋" w:cs="仿宋_GB2312"/>
                <w:sz w:val="24"/>
              </w:rPr>
            </w:pPr>
            <w:r>
              <w:rPr>
                <w:rFonts w:hint="eastAsia" w:ascii="仿宋" w:hAnsi="仿宋" w:eastAsia="仿宋" w:cs="仿宋_GB2312"/>
                <w:sz w:val="24"/>
              </w:rPr>
              <w:t>大幅提高</w:t>
            </w:r>
          </w:p>
        </w:tc>
      </w:tr>
      <w:tr>
        <w:tblPrEx>
          <w:tblCellMar>
            <w:top w:w="0" w:type="dxa"/>
            <w:left w:w="108" w:type="dxa"/>
            <w:bottom w:w="0" w:type="dxa"/>
            <w:right w:w="108" w:type="dxa"/>
          </w:tblCellMar>
        </w:tblPrEx>
        <w:trPr>
          <w:trHeight w:val="812" w:hRule="atLeast"/>
        </w:trPr>
        <w:tc>
          <w:tcPr>
            <w:tcW w:w="959" w:type="dxa"/>
            <w:vMerge w:val="continue"/>
            <w:tcBorders>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 w:hAnsi="仿宋" w:eastAsia="仿宋" w:cs="仿宋_GB2312"/>
                <w:sz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kern w:val="0"/>
                <w:sz w:val="24"/>
                <w:lang w:bidi="ar"/>
              </w:rPr>
              <w:t>满意</w:t>
            </w:r>
            <w:r>
              <w:rPr>
                <w:rFonts w:hint="eastAsia" w:ascii="仿宋" w:hAnsi="仿宋" w:eastAsia="仿宋" w:cs="仿宋_GB2312"/>
                <w:kern w:val="0"/>
                <w:sz w:val="24"/>
                <w:lang w:bidi="ar"/>
              </w:rPr>
              <w:br w:type="textWrapping"/>
            </w:r>
            <w:r>
              <w:rPr>
                <w:rFonts w:hint="eastAsia" w:ascii="仿宋" w:hAnsi="仿宋" w:eastAsia="仿宋" w:cs="仿宋_GB2312"/>
                <w:kern w:val="0"/>
                <w:sz w:val="24"/>
                <w:lang w:bidi="ar"/>
              </w:rPr>
              <w:t>度指标</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kern w:val="0"/>
                <w:sz w:val="24"/>
                <w:lang w:bidi="ar"/>
              </w:rPr>
            </w:pPr>
            <w:r>
              <w:rPr>
                <w:rFonts w:hint="eastAsia" w:ascii="仿宋" w:hAnsi="仿宋" w:eastAsia="仿宋" w:cs="仿宋_GB2312"/>
                <w:kern w:val="0"/>
                <w:sz w:val="24"/>
                <w:lang w:bidi="ar"/>
              </w:rPr>
              <w:t>满意度</w:t>
            </w:r>
          </w:p>
          <w:p>
            <w:pPr>
              <w:widowControl/>
              <w:spacing w:line="300" w:lineRule="exact"/>
              <w:jc w:val="center"/>
              <w:textAlignment w:val="bottom"/>
              <w:rPr>
                <w:rFonts w:ascii="仿宋" w:hAnsi="仿宋" w:eastAsia="仿宋" w:cs="仿宋_GB2312"/>
                <w:sz w:val="24"/>
              </w:rPr>
            </w:pPr>
            <w:r>
              <w:rPr>
                <w:rFonts w:hint="eastAsia" w:ascii="仿宋" w:hAnsi="仿宋" w:eastAsia="仿宋" w:cs="仿宋_GB2312"/>
                <w:kern w:val="0"/>
                <w:sz w:val="24"/>
                <w:lang w:bidi="ar"/>
              </w:rPr>
              <w:t>指标</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pPr>
            <w:r>
              <w:rPr>
                <w:rFonts w:hint="eastAsia" w:ascii="仿宋" w:hAnsi="仿宋" w:eastAsia="仿宋" w:cs="仿宋_GB2312"/>
                <w:sz w:val="24"/>
              </w:rPr>
              <w:t>单位工作人员满意度</w:t>
            </w:r>
          </w:p>
          <w:p>
            <w:pPr>
              <w:widowControl/>
              <w:spacing w:line="300" w:lineRule="exact"/>
              <w:jc w:val="left"/>
              <w:textAlignment w:val="bottom"/>
              <w:rPr>
                <w:rFonts w:ascii="仿宋" w:hAnsi="仿宋" w:eastAsia="仿宋" w:cs="仿宋_GB2312"/>
                <w:sz w:val="24"/>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Cs w:val="21"/>
              </w:rPr>
            </w:pPr>
            <w:r>
              <w:rPr>
                <w:rFonts w:hint="eastAsia" w:ascii="仿宋" w:hAnsi="仿宋" w:eastAsia="仿宋" w:cs="仿宋_GB2312"/>
                <w:szCs w:val="21"/>
              </w:rPr>
              <w:t>80%（含）—100%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rFonts w:ascii="仿宋" w:hAnsi="仿宋" w:eastAsia="仿宋" w:cs="仿宋_GB2312"/>
                <w:szCs w:val="21"/>
              </w:rPr>
            </w:pPr>
            <w:r>
              <w:rPr>
                <w:rFonts w:hint="eastAsia" w:ascii="仿宋" w:hAnsi="仿宋" w:eastAsia="仿宋" w:cs="仿宋_GB2312"/>
                <w:szCs w:val="21"/>
              </w:rPr>
              <w:t>80%（含）—100%</w:t>
            </w:r>
          </w:p>
        </w:tc>
      </w:tr>
    </w:tbl>
    <w:p>
      <w:pPr>
        <w:spacing w:line="300" w:lineRule="exact"/>
      </w:pPr>
    </w:p>
    <w:p>
      <w:pPr>
        <w:spacing w:line="300" w:lineRule="exact"/>
      </w:pPr>
    </w:p>
    <w:p>
      <w:pPr>
        <w:spacing w:line="600" w:lineRule="exact"/>
        <w:jc w:val="center"/>
        <w:outlineLvl w:val="0"/>
        <w:rPr>
          <w:rFonts w:ascii="仿宋" w:hAnsi="仿宋" w:eastAsia="仿宋"/>
        </w:rPr>
      </w:pPr>
      <w:r>
        <w:rPr>
          <w:rFonts w:hint="eastAsia" w:ascii="黑体" w:hAnsi="黑体" w:eastAsia="黑体"/>
          <w:sz w:val="44"/>
          <w:szCs w:val="44"/>
        </w:rPr>
        <w:t>第</w:t>
      </w:r>
      <w:r>
        <w:rPr>
          <w:rFonts w:hint="eastAsia" w:ascii="黑体" w:hAnsi="黑体" w:eastAsia="黑体"/>
          <w:b/>
          <w:bCs/>
          <w:kern w:val="44"/>
          <w:sz w:val="44"/>
          <w:szCs w:val="44"/>
        </w:rPr>
        <w:t>五部分 附表</w:t>
      </w:r>
      <w:bookmarkEnd w:id="45"/>
      <w:bookmarkStart w:id="46" w:name="_Toc15396619"/>
    </w:p>
    <w:p>
      <w:pPr>
        <w:keepNext/>
        <w:keepLines/>
        <w:spacing w:before="260" w:after="260" w:line="560" w:lineRule="exact"/>
        <w:outlineLvl w:val="1"/>
        <w:rPr>
          <w:rFonts w:ascii="仿宋" w:hAnsi="仿宋" w:eastAsia="仿宋" w:cstheme="majorBidi"/>
          <w:bCs/>
          <w:sz w:val="32"/>
          <w:szCs w:val="32"/>
        </w:rPr>
      </w:pPr>
      <w:r>
        <w:rPr>
          <w:rFonts w:hint="eastAsia" w:ascii="仿宋" w:hAnsi="仿宋" w:eastAsia="仿宋" w:cstheme="majorBidi"/>
          <w:bCs/>
          <w:sz w:val="32"/>
          <w:szCs w:val="32"/>
        </w:rPr>
        <w:t>一、收</w:t>
      </w:r>
      <w:r>
        <w:rPr>
          <w:rFonts w:hint="eastAsia" w:ascii="仿宋" w:hAnsi="仿宋" w:eastAsia="仿宋" w:cstheme="majorBidi"/>
          <w:sz w:val="32"/>
          <w:szCs w:val="32"/>
        </w:rPr>
        <w:t>入支出决算总表</w:t>
      </w:r>
      <w:bookmarkEnd w:id="46"/>
    </w:p>
    <w:p>
      <w:pPr>
        <w:keepNext/>
        <w:keepLines/>
        <w:spacing w:before="260" w:after="260" w:line="560" w:lineRule="exact"/>
        <w:outlineLvl w:val="1"/>
        <w:rPr>
          <w:rFonts w:ascii="仿宋" w:hAnsi="仿宋" w:eastAsia="仿宋" w:cstheme="majorBidi"/>
          <w:bCs/>
          <w:sz w:val="32"/>
          <w:szCs w:val="32"/>
        </w:rPr>
      </w:pPr>
      <w:bookmarkStart w:id="47" w:name="_Toc15396620"/>
      <w:r>
        <w:rPr>
          <w:rFonts w:hint="eastAsia" w:ascii="仿宋" w:hAnsi="仿宋" w:eastAsia="仿宋" w:cstheme="majorBidi"/>
          <w:bCs/>
          <w:sz w:val="32"/>
          <w:szCs w:val="32"/>
        </w:rPr>
        <w:t>二、收</w:t>
      </w:r>
      <w:r>
        <w:rPr>
          <w:rFonts w:hint="eastAsia" w:ascii="仿宋" w:hAnsi="仿宋" w:eastAsia="仿宋" w:cstheme="majorBidi"/>
          <w:sz w:val="32"/>
          <w:szCs w:val="32"/>
        </w:rPr>
        <w:t>入决算表</w:t>
      </w:r>
      <w:bookmarkEnd w:id="47"/>
    </w:p>
    <w:p>
      <w:pPr>
        <w:keepNext/>
        <w:keepLines/>
        <w:spacing w:before="260" w:after="260" w:line="560" w:lineRule="exact"/>
        <w:outlineLvl w:val="1"/>
        <w:rPr>
          <w:rFonts w:ascii="仿宋" w:hAnsi="仿宋" w:eastAsia="仿宋" w:cstheme="majorBidi"/>
          <w:bCs/>
          <w:sz w:val="32"/>
          <w:szCs w:val="32"/>
        </w:rPr>
      </w:pPr>
      <w:bookmarkStart w:id="48" w:name="_Toc15396621"/>
      <w:r>
        <w:rPr>
          <w:rFonts w:hint="eastAsia" w:ascii="仿宋" w:hAnsi="仿宋" w:eastAsia="仿宋" w:cstheme="majorBidi"/>
          <w:sz w:val="32"/>
          <w:szCs w:val="32"/>
        </w:rPr>
        <w:t>三、</w:t>
      </w:r>
      <w:r>
        <w:rPr>
          <w:rFonts w:hint="eastAsia" w:ascii="仿宋" w:hAnsi="仿宋" w:eastAsia="仿宋" w:cstheme="majorBidi"/>
          <w:bCs/>
          <w:sz w:val="32"/>
          <w:szCs w:val="32"/>
        </w:rPr>
        <w:t>支</w:t>
      </w:r>
      <w:r>
        <w:rPr>
          <w:rFonts w:hint="eastAsia" w:ascii="仿宋" w:hAnsi="仿宋" w:eastAsia="仿宋" w:cstheme="majorBidi"/>
          <w:sz w:val="32"/>
          <w:szCs w:val="32"/>
        </w:rPr>
        <w:t>出决算表</w:t>
      </w:r>
      <w:bookmarkEnd w:id="48"/>
    </w:p>
    <w:p>
      <w:pPr>
        <w:keepNext/>
        <w:keepLines/>
        <w:spacing w:before="260" w:after="260" w:line="560" w:lineRule="exact"/>
        <w:outlineLvl w:val="1"/>
        <w:rPr>
          <w:rFonts w:ascii="仿宋" w:hAnsi="仿宋" w:eastAsia="仿宋" w:cstheme="majorBidi"/>
          <w:bCs/>
          <w:sz w:val="32"/>
          <w:szCs w:val="32"/>
        </w:rPr>
      </w:pPr>
      <w:bookmarkStart w:id="49" w:name="_Toc15396622"/>
      <w:r>
        <w:rPr>
          <w:rFonts w:hint="eastAsia" w:ascii="仿宋" w:hAnsi="仿宋" w:eastAsia="仿宋" w:cstheme="majorBidi"/>
          <w:sz w:val="32"/>
          <w:szCs w:val="32"/>
        </w:rPr>
        <w:t>四、</w:t>
      </w:r>
      <w:r>
        <w:rPr>
          <w:rFonts w:hint="eastAsia" w:ascii="仿宋" w:hAnsi="仿宋" w:eastAsia="仿宋" w:cstheme="majorBidi"/>
          <w:bCs/>
          <w:sz w:val="32"/>
          <w:szCs w:val="32"/>
        </w:rPr>
        <w:t>财</w:t>
      </w:r>
      <w:r>
        <w:rPr>
          <w:rFonts w:hint="eastAsia" w:ascii="仿宋" w:hAnsi="仿宋" w:eastAsia="仿宋" w:cstheme="majorBidi"/>
          <w:sz w:val="32"/>
          <w:szCs w:val="32"/>
        </w:rPr>
        <w:t>政拨款收入支出决算总表</w:t>
      </w:r>
      <w:bookmarkEnd w:id="49"/>
    </w:p>
    <w:p>
      <w:pPr>
        <w:keepNext/>
        <w:keepLines/>
        <w:spacing w:before="260" w:after="260" w:line="560" w:lineRule="exact"/>
        <w:outlineLvl w:val="1"/>
        <w:rPr>
          <w:rFonts w:ascii="仿宋" w:hAnsi="仿宋" w:eastAsia="仿宋" w:cstheme="majorBidi"/>
          <w:sz w:val="32"/>
          <w:szCs w:val="32"/>
        </w:rPr>
      </w:pPr>
      <w:bookmarkStart w:id="50" w:name="_Toc15396623"/>
      <w:r>
        <w:rPr>
          <w:rFonts w:hint="eastAsia" w:ascii="仿宋" w:hAnsi="仿宋" w:eastAsia="仿宋" w:cstheme="majorBidi"/>
          <w:sz w:val="32"/>
          <w:szCs w:val="32"/>
        </w:rPr>
        <w:t>五、</w:t>
      </w:r>
      <w:r>
        <w:rPr>
          <w:rFonts w:hint="eastAsia" w:ascii="仿宋" w:hAnsi="仿宋" w:eastAsia="仿宋" w:cstheme="majorBidi"/>
          <w:bCs/>
          <w:sz w:val="32"/>
          <w:szCs w:val="32"/>
        </w:rPr>
        <w:t>财</w:t>
      </w:r>
      <w:r>
        <w:rPr>
          <w:rFonts w:hint="eastAsia" w:ascii="仿宋" w:hAnsi="仿宋" w:eastAsia="仿宋" w:cstheme="majorBidi"/>
          <w:sz w:val="32"/>
          <w:szCs w:val="32"/>
        </w:rPr>
        <w:t>政拨款支出决算明细表</w:t>
      </w:r>
      <w:bookmarkEnd w:id="50"/>
      <w:bookmarkStart w:id="51" w:name="_Toc15396624"/>
    </w:p>
    <w:p>
      <w:pPr>
        <w:keepNext/>
        <w:keepLines/>
        <w:spacing w:before="260" w:after="260" w:line="560" w:lineRule="exact"/>
        <w:outlineLvl w:val="1"/>
        <w:rPr>
          <w:rFonts w:ascii="仿宋" w:hAnsi="仿宋" w:eastAsia="仿宋" w:cstheme="majorBidi"/>
          <w:bCs/>
          <w:sz w:val="32"/>
          <w:szCs w:val="32"/>
        </w:rPr>
      </w:pPr>
      <w:r>
        <w:rPr>
          <w:rFonts w:hint="eastAsia" w:ascii="仿宋" w:hAnsi="仿宋" w:eastAsia="仿宋" w:cstheme="majorBidi"/>
          <w:sz w:val="32"/>
          <w:szCs w:val="32"/>
        </w:rPr>
        <w:t>六、</w:t>
      </w:r>
      <w:r>
        <w:rPr>
          <w:rFonts w:hint="eastAsia" w:ascii="仿宋" w:hAnsi="仿宋" w:eastAsia="仿宋" w:cstheme="majorBidi"/>
          <w:bCs/>
          <w:sz w:val="32"/>
          <w:szCs w:val="32"/>
        </w:rPr>
        <w:t>一</w:t>
      </w:r>
      <w:r>
        <w:rPr>
          <w:rFonts w:hint="eastAsia" w:ascii="仿宋" w:hAnsi="仿宋" w:eastAsia="仿宋" w:cstheme="majorBidi"/>
          <w:sz w:val="32"/>
          <w:szCs w:val="32"/>
        </w:rPr>
        <w:t>般公共预算财政拨款支出决算表</w:t>
      </w:r>
      <w:bookmarkEnd w:id="51"/>
    </w:p>
    <w:p>
      <w:pPr>
        <w:keepNext/>
        <w:keepLines/>
        <w:spacing w:before="260" w:after="260" w:line="560" w:lineRule="exact"/>
        <w:outlineLvl w:val="1"/>
        <w:rPr>
          <w:rFonts w:ascii="仿宋" w:hAnsi="仿宋" w:eastAsia="仿宋" w:cstheme="majorBidi"/>
          <w:bCs/>
          <w:sz w:val="32"/>
          <w:szCs w:val="32"/>
        </w:rPr>
      </w:pPr>
      <w:bookmarkStart w:id="52" w:name="_Toc15396625"/>
      <w:r>
        <w:rPr>
          <w:rFonts w:hint="eastAsia" w:ascii="仿宋" w:hAnsi="仿宋" w:eastAsia="仿宋" w:cstheme="majorBidi"/>
          <w:sz w:val="32"/>
          <w:szCs w:val="32"/>
        </w:rPr>
        <w:t>七、</w:t>
      </w:r>
      <w:r>
        <w:rPr>
          <w:rFonts w:hint="eastAsia" w:ascii="仿宋" w:hAnsi="仿宋" w:eastAsia="仿宋" w:cstheme="majorBidi"/>
          <w:bCs/>
          <w:sz w:val="32"/>
          <w:szCs w:val="32"/>
        </w:rPr>
        <w:t>一</w:t>
      </w:r>
      <w:r>
        <w:rPr>
          <w:rFonts w:hint="eastAsia" w:ascii="仿宋" w:hAnsi="仿宋" w:eastAsia="仿宋" w:cstheme="majorBidi"/>
          <w:sz w:val="32"/>
          <w:szCs w:val="32"/>
        </w:rPr>
        <w:t>般公共预算财政拨款支出决算明细表</w:t>
      </w:r>
      <w:bookmarkEnd w:id="52"/>
    </w:p>
    <w:p>
      <w:pPr>
        <w:keepNext/>
        <w:keepLines/>
        <w:spacing w:before="260" w:after="260" w:line="560" w:lineRule="exact"/>
        <w:outlineLvl w:val="1"/>
        <w:rPr>
          <w:rFonts w:ascii="仿宋" w:hAnsi="仿宋" w:eastAsia="仿宋" w:cstheme="majorBidi"/>
          <w:bCs/>
          <w:sz w:val="32"/>
          <w:szCs w:val="32"/>
        </w:rPr>
      </w:pPr>
      <w:bookmarkStart w:id="53" w:name="_Toc15396626"/>
      <w:r>
        <w:rPr>
          <w:rFonts w:hint="eastAsia" w:ascii="仿宋" w:hAnsi="仿宋" w:eastAsia="仿宋" w:cstheme="majorBidi"/>
          <w:sz w:val="32"/>
          <w:szCs w:val="32"/>
        </w:rPr>
        <w:t>八、</w:t>
      </w:r>
      <w:r>
        <w:rPr>
          <w:rFonts w:hint="eastAsia" w:ascii="仿宋" w:hAnsi="仿宋" w:eastAsia="仿宋" w:cstheme="majorBidi"/>
          <w:bCs/>
          <w:sz w:val="32"/>
          <w:szCs w:val="32"/>
        </w:rPr>
        <w:t>一</w:t>
      </w:r>
      <w:r>
        <w:rPr>
          <w:rFonts w:hint="eastAsia" w:ascii="仿宋" w:hAnsi="仿宋" w:eastAsia="仿宋" w:cstheme="majorBidi"/>
          <w:sz w:val="32"/>
          <w:szCs w:val="32"/>
        </w:rPr>
        <w:t>般公共预算财政拨款基本支出决算表</w:t>
      </w:r>
      <w:bookmarkEnd w:id="53"/>
    </w:p>
    <w:p>
      <w:pPr>
        <w:keepNext/>
        <w:keepLines/>
        <w:spacing w:before="260" w:after="260" w:line="560" w:lineRule="exact"/>
        <w:outlineLvl w:val="1"/>
        <w:rPr>
          <w:rFonts w:ascii="仿宋" w:hAnsi="仿宋" w:eastAsia="仿宋" w:cstheme="majorBidi"/>
          <w:bCs/>
          <w:sz w:val="32"/>
          <w:szCs w:val="32"/>
        </w:rPr>
      </w:pPr>
      <w:bookmarkStart w:id="54" w:name="_Toc15396627"/>
      <w:r>
        <w:rPr>
          <w:rFonts w:hint="eastAsia" w:ascii="仿宋" w:hAnsi="仿宋" w:eastAsia="仿宋" w:cstheme="majorBidi"/>
          <w:sz w:val="32"/>
          <w:szCs w:val="32"/>
        </w:rPr>
        <w:t>九、</w:t>
      </w:r>
      <w:r>
        <w:rPr>
          <w:rFonts w:hint="eastAsia" w:ascii="仿宋" w:hAnsi="仿宋" w:eastAsia="仿宋" w:cstheme="majorBidi"/>
          <w:bCs/>
          <w:sz w:val="32"/>
          <w:szCs w:val="32"/>
        </w:rPr>
        <w:t>一</w:t>
      </w:r>
      <w:r>
        <w:rPr>
          <w:rFonts w:hint="eastAsia" w:ascii="仿宋" w:hAnsi="仿宋" w:eastAsia="仿宋" w:cstheme="majorBidi"/>
          <w:sz w:val="32"/>
          <w:szCs w:val="32"/>
        </w:rPr>
        <w:t>般公共预算财政拨款项目支出决算表</w:t>
      </w:r>
      <w:bookmarkEnd w:id="54"/>
    </w:p>
    <w:p>
      <w:pPr>
        <w:keepNext/>
        <w:keepLines/>
        <w:spacing w:before="260" w:after="260" w:line="560" w:lineRule="exact"/>
        <w:outlineLvl w:val="1"/>
        <w:rPr>
          <w:rFonts w:ascii="仿宋" w:hAnsi="仿宋" w:eastAsia="仿宋" w:cstheme="majorBidi"/>
          <w:bCs/>
          <w:sz w:val="32"/>
          <w:szCs w:val="32"/>
        </w:rPr>
      </w:pPr>
      <w:bookmarkStart w:id="55" w:name="_Toc15396628"/>
      <w:r>
        <w:rPr>
          <w:rFonts w:hint="eastAsia" w:ascii="仿宋" w:hAnsi="仿宋" w:eastAsia="仿宋" w:cstheme="majorBidi"/>
          <w:sz w:val="32"/>
          <w:szCs w:val="32"/>
        </w:rPr>
        <w:t>十、</w:t>
      </w:r>
      <w:r>
        <w:rPr>
          <w:rFonts w:hint="eastAsia" w:ascii="仿宋" w:hAnsi="仿宋" w:eastAsia="仿宋" w:cstheme="majorBidi"/>
          <w:bCs/>
          <w:sz w:val="32"/>
          <w:szCs w:val="32"/>
        </w:rPr>
        <w:t>一</w:t>
      </w:r>
      <w:r>
        <w:rPr>
          <w:rFonts w:hint="eastAsia" w:ascii="仿宋" w:hAnsi="仿宋" w:eastAsia="仿宋" w:cstheme="majorBidi"/>
          <w:sz w:val="32"/>
          <w:szCs w:val="32"/>
        </w:rPr>
        <w:t>般公共预算财政拨款“三公”经费支出决算表</w:t>
      </w:r>
      <w:bookmarkEnd w:id="55"/>
    </w:p>
    <w:p>
      <w:pPr>
        <w:keepNext/>
        <w:keepLines/>
        <w:spacing w:before="260" w:after="260" w:line="560" w:lineRule="exact"/>
        <w:outlineLvl w:val="1"/>
        <w:rPr>
          <w:rFonts w:ascii="仿宋" w:hAnsi="仿宋" w:eastAsia="仿宋" w:cstheme="majorBidi"/>
          <w:bCs/>
          <w:sz w:val="32"/>
          <w:szCs w:val="32"/>
        </w:rPr>
      </w:pPr>
      <w:bookmarkStart w:id="56" w:name="_Toc15396629"/>
      <w:r>
        <w:rPr>
          <w:rFonts w:hint="eastAsia" w:ascii="仿宋" w:hAnsi="仿宋" w:eastAsia="仿宋" w:cstheme="majorBidi"/>
          <w:sz w:val="32"/>
          <w:szCs w:val="32"/>
        </w:rPr>
        <w:t>十一、</w:t>
      </w:r>
      <w:r>
        <w:rPr>
          <w:rFonts w:hint="eastAsia" w:ascii="仿宋" w:hAnsi="仿宋" w:eastAsia="仿宋" w:cstheme="majorBidi"/>
          <w:bCs/>
          <w:sz w:val="32"/>
          <w:szCs w:val="32"/>
        </w:rPr>
        <w:t>政</w:t>
      </w:r>
      <w:r>
        <w:rPr>
          <w:rFonts w:hint="eastAsia" w:ascii="仿宋" w:hAnsi="仿宋" w:eastAsia="仿宋" w:cstheme="majorBidi"/>
          <w:sz w:val="32"/>
          <w:szCs w:val="32"/>
        </w:rPr>
        <w:t>府性基金预算财政拨款收入支出决算表</w:t>
      </w:r>
      <w:bookmarkEnd w:id="56"/>
      <w:r>
        <w:rPr>
          <w:rFonts w:hint="eastAsia" w:ascii="仿宋" w:hAnsi="仿宋" w:eastAsia="仿宋" w:cstheme="majorBidi"/>
          <w:sz w:val="32"/>
          <w:szCs w:val="32"/>
        </w:rPr>
        <w:t>(此表无数据）</w:t>
      </w:r>
    </w:p>
    <w:p>
      <w:pPr>
        <w:keepNext/>
        <w:keepLines/>
        <w:spacing w:before="260" w:after="260" w:line="560" w:lineRule="exact"/>
        <w:outlineLvl w:val="1"/>
        <w:rPr>
          <w:rFonts w:ascii="仿宋" w:hAnsi="仿宋" w:eastAsia="仿宋" w:cstheme="majorBidi"/>
          <w:bCs/>
          <w:sz w:val="32"/>
          <w:szCs w:val="32"/>
        </w:rPr>
      </w:pPr>
      <w:bookmarkStart w:id="57" w:name="_Toc15396630"/>
      <w:r>
        <w:rPr>
          <w:rFonts w:hint="eastAsia" w:ascii="仿宋" w:hAnsi="仿宋" w:eastAsia="仿宋" w:cstheme="majorBidi"/>
          <w:sz w:val="32"/>
          <w:szCs w:val="32"/>
        </w:rPr>
        <w:t>十二、</w:t>
      </w:r>
      <w:r>
        <w:rPr>
          <w:rFonts w:hint="eastAsia" w:ascii="仿宋" w:hAnsi="仿宋" w:eastAsia="仿宋" w:cstheme="majorBidi"/>
          <w:bCs/>
          <w:sz w:val="32"/>
          <w:szCs w:val="32"/>
        </w:rPr>
        <w:t>政</w:t>
      </w:r>
      <w:r>
        <w:rPr>
          <w:rFonts w:hint="eastAsia" w:ascii="仿宋" w:hAnsi="仿宋" w:eastAsia="仿宋" w:cstheme="majorBidi"/>
          <w:sz w:val="32"/>
          <w:szCs w:val="32"/>
        </w:rPr>
        <w:t>府性基金预算财政拨款“三公”经费支出决算表</w:t>
      </w:r>
      <w:bookmarkEnd w:id="57"/>
      <w:r>
        <w:rPr>
          <w:rFonts w:hint="eastAsia" w:ascii="仿宋" w:hAnsi="仿宋" w:eastAsia="仿宋" w:cstheme="majorBidi"/>
          <w:sz w:val="32"/>
          <w:szCs w:val="32"/>
        </w:rPr>
        <w:t>(此表无数据）</w:t>
      </w:r>
    </w:p>
    <w:p>
      <w:pPr>
        <w:keepNext/>
        <w:keepLines/>
        <w:spacing w:before="260" w:after="260" w:line="560" w:lineRule="exact"/>
        <w:outlineLvl w:val="1"/>
        <w:rPr>
          <w:rFonts w:ascii="仿宋" w:hAnsi="仿宋" w:eastAsia="仿宋" w:cstheme="majorBidi"/>
          <w:bCs/>
          <w:sz w:val="32"/>
          <w:szCs w:val="32"/>
        </w:rPr>
      </w:pPr>
      <w:bookmarkStart w:id="58" w:name="_Toc15396631"/>
      <w:r>
        <w:rPr>
          <w:rFonts w:hint="eastAsia" w:ascii="仿宋" w:hAnsi="仿宋" w:eastAsia="仿宋" w:cstheme="majorBidi"/>
          <w:sz w:val="32"/>
          <w:szCs w:val="32"/>
        </w:rPr>
        <w:t>十三、</w:t>
      </w:r>
      <w:r>
        <w:rPr>
          <w:rFonts w:hint="eastAsia" w:ascii="仿宋" w:hAnsi="仿宋" w:eastAsia="仿宋" w:cstheme="majorBidi"/>
          <w:bCs/>
          <w:sz w:val="32"/>
          <w:szCs w:val="32"/>
        </w:rPr>
        <w:t>国</w:t>
      </w:r>
      <w:r>
        <w:rPr>
          <w:rFonts w:hint="eastAsia" w:ascii="仿宋" w:hAnsi="仿宋" w:eastAsia="仿宋" w:cstheme="majorBidi"/>
          <w:sz w:val="32"/>
          <w:szCs w:val="32"/>
        </w:rPr>
        <w:t>有资本经营预算财政拨款收入支出决算表</w:t>
      </w:r>
      <w:bookmarkEnd w:id="58"/>
      <w:r>
        <w:rPr>
          <w:rFonts w:hint="eastAsia" w:ascii="仿宋" w:hAnsi="仿宋" w:eastAsia="仿宋" w:cstheme="majorBidi"/>
          <w:sz w:val="32"/>
          <w:szCs w:val="32"/>
        </w:rPr>
        <w:t>(此表无数据）</w:t>
      </w:r>
    </w:p>
    <w:p>
      <w:pPr>
        <w:keepNext/>
        <w:keepLines/>
        <w:spacing w:before="260" w:after="260" w:line="560" w:lineRule="exact"/>
        <w:outlineLvl w:val="1"/>
        <w:rPr>
          <w:rFonts w:ascii="仿宋" w:hAnsi="仿宋" w:eastAsia="仿宋"/>
          <w:color w:val="000000"/>
          <w:sz w:val="32"/>
          <w:szCs w:val="32"/>
        </w:rPr>
      </w:pPr>
      <w:r>
        <w:rPr>
          <w:rFonts w:hint="eastAsia" w:ascii="仿宋" w:hAnsi="仿宋" w:eastAsia="仿宋" w:cstheme="majorBidi"/>
          <w:bCs/>
          <w:sz w:val="32"/>
          <w:szCs w:val="32"/>
        </w:rPr>
        <w:t>十四、国有资本经营预算财政拨款支出决算表</w:t>
      </w:r>
      <w:r>
        <w:rPr>
          <w:rFonts w:hint="eastAsia" w:ascii="仿宋" w:hAnsi="仿宋" w:eastAsia="仿宋" w:cstheme="majorBidi"/>
          <w:sz w:val="32"/>
          <w:szCs w:val="32"/>
        </w:rPr>
        <w:t>(此表无数据）</w:t>
      </w:r>
    </w:p>
    <w:sectPr>
      <w:footerReference r:id="rId4" w:type="first"/>
      <w:footerReference r:id="rId3"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方正仿宋_GBK-WinCharSetFFFF-H">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altName w:val="宋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9673165"/>
    </w:sdtPr>
    <w:sdtEndPr>
      <w:rPr>
        <w:rFonts w:ascii="宋体" w:hAnsi="宋体"/>
        <w:sz w:val="24"/>
        <w:szCs w:val="24"/>
      </w:rPr>
    </w:sdtEndPr>
    <w:sdtContent>
      <w:p>
        <w:pPr>
          <w:pStyle w:val="8"/>
          <w:jc w:val="cente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12</w:t>
        </w:r>
        <w:r>
          <w:rPr>
            <w:rFonts w:ascii="宋体" w:hAnsi="宋体"/>
            <w:sz w:val="24"/>
            <w:szCs w:val="24"/>
          </w:rPr>
          <w:fldChar w:fldCharType="end"/>
        </w:r>
      </w:p>
    </w:sdtContent>
  </w:sdt>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lMzViMzY2NDAyYTMyZTIwMmZmY2YzNmM4ZmJkZGIifQ=="/>
  </w:docVars>
  <w:rsids>
    <w:rsidRoot w:val="00F1361C"/>
    <w:rsid w:val="00002A89"/>
    <w:rsid w:val="000112D7"/>
    <w:rsid w:val="00012F2C"/>
    <w:rsid w:val="00021B8E"/>
    <w:rsid w:val="000222C6"/>
    <w:rsid w:val="0002549F"/>
    <w:rsid w:val="00026A65"/>
    <w:rsid w:val="00031A16"/>
    <w:rsid w:val="000362A4"/>
    <w:rsid w:val="00036C3E"/>
    <w:rsid w:val="0006487A"/>
    <w:rsid w:val="00065F8F"/>
    <w:rsid w:val="000768F2"/>
    <w:rsid w:val="000910C6"/>
    <w:rsid w:val="0009184B"/>
    <w:rsid w:val="00091CE0"/>
    <w:rsid w:val="0009593C"/>
    <w:rsid w:val="000B047F"/>
    <w:rsid w:val="000B5923"/>
    <w:rsid w:val="000B5A48"/>
    <w:rsid w:val="000B6534"/>
    <w:rsid w:val="000B6711"/>
    <w:rsid w:val="000B6FF3"/>
    <w:rsid w:val="000C3467"/>
    <w:rsid w:val="000C3CA6"/>
    <w:rsid w:val="000C5104"/>
    <w:rsid w:val="000D1267"/>
    <w:rsid w:val="000D1CAB"/>
    <w:rsid w:val="000D1D50"/>
    <w:rsid w:val="000D5782"/>
    <w:rsid w:val="000E3B03"/>
    <w:rsid w:val="000E6613"/>
    <w:rsid w:val="000E7119"/>
    <w:rsid w:val="000F0A98"/>
    <w:rsid w:val="000F335B"/>
    <w:rsid w:val="000F4785"/>
    <w:rsid w:val="000F49C5"/>
    <w:rsid w:val="001020DC"/>
    <w:rsid w:val="00106B07"/>
    <w:rsid w:val="00114E9B"/>
    <w:rsid w:val="00114F4A"/>
    <w:rsid w:val="00116485"/>
    <w:rsid w:val="00121E39"/>
    <w:rsid w:val="00122B78"/>
    <w:rsid w:val="001336FD"/>
    <w:rsid w:val="0013489E"/>
    <w:rsid w:val="00141C5D"/>
    <w:rsid w:val="001462FA"/>
    <w:rsid w:val="0014729F"/>
    <w:rsid w:val="00150672"/>
    <w:rsid w:val="00157BAB"/>
    <w:rsid w:val="001654D1"/>
    <w:rsid w:val="00170A19"/>
    <w:rsid w:val="00176784"/>
    <w:rsid w:val="0018106D"/>
    <w:rsid w:val="00182A41"/>
    <w:rsid w:val="0018621A"/>
    <w:rsid w:val="001877A7"/>
    <w:rsid w:val="00191536"/>
    <w:rsid w:val="00196687"/>
    <w:rsid w:val="001A5FD8"/>
    <w:rsid w:val="001C0962"/>
    <w:rsid w:val="001C360D"/>
    <w:rsid w:val="001D7531"/>
    <w:rsid w:val="001E50F6"/>
    <w:rsid w:val="001E737D"/>
    <w:rsid w:val="001F0592"/>
    <w:rsid w:val="001F7506"/>
    <w:rsid w:val="002006CD"/>
    <w:rsid w:val="00201F40"/>
    <w:rsid w:val="00202B36"/>
    <w:rsid w:val="00204351"/>
    <w:rsid w:val="00204684"/>
    <w:rsid w:val="00204B7A"/>
    <w:rsid w:val="00205A98"/>
    <w:rsid w:val="0021101A"/>
    <w:rsid w:val="002163E5"/>
    <w:rsid w:val="00220536"/>
    <w:rsid w:val="00226956"/>
    <w:rsid w:val="00231A82"/>
    <w:rsid w:val="00235629"/>
    <w:rsid w:val="00236555"/>
    <w:rsid w:val="00244E92"/>
    <w:rsid w:val="002475DC"/>
    <w:rsid w:val="00254F54"/>
    <w:rsid w:val="00260C38"/>
    <w:rsid w:val="002616C0"/>
    <w:rsid w:val="002662AA"/>
    <w:rsid w:val="00280496"/>
    <w:rsid w:val="002811B0"/>
    <w:rsid w:val="00284CA2"/>
    <w:rsid w:val="00295495"/>
    <w:rsid w:val="002A3F4F"/>
    <w:rsid w:val="002B0293"/>
    <w:rsid w:val="002B2613"/>
    <w:rsid w:val="002C13D2"/>
    <w:rsid w:val="002D5E71"/>
    <w:rsid w:val="002F124E"/>
    <w:rsid w:val="002F1818"/>
    <w:rsid w:val="002F567B"/>
    <w:rsid w:val="002F771C"/>
    <w:rsid w:val="003034A4"/>
    <w:rsid w:val="003216A9"/>
    <w:rsid w:val="003224D8"/>
    <w:rsid w:val="00341062"/>
    <w:rsid w:val="003417CB"/>
    <w:rsid w:val="003563D0"/>
    <w:rsid w:val="0037013F"/>
    <w:rsid w:val="003712BC"/>
    <w:rsid w:val="00371BC5"/>
    <w:rsid w:val="003738D3"/>
    <w:rsid w:val="00380C92"/>
    <w:rsid w:val="003827F6"/>
    <w:rsid w:val="00382F92"/>
    <w:rsid w:val="003A484F"/>
    <w:rsid w:val="003B0BE0"/>
    <w:rsid w:val="003B0C1B"/>
    <w:rsid w:val="003B5B9B"/>
    <w:rsid w:val="003B688C"/>
    <w:rsid w:val="003C0291"/>
    <w:rsid w:val="003C39AE"/>
    <w:rsid w:val="003C7B60"/>
    <w:rsid w:val="003D0EE4"/>
    <w:rsid w:val="003D1FB2"/>
    <w:rsid w:val="003D2423"/>
    <w:rsid w:val="003D66DA"/>
    <w:rsid w:val="003E1310"/>
    <w:rsid w:val="003E6F55"/>
    <w:rsid w:val="00406254"/>
    <w:rsid w:val="00413433"/>
    <w:rsid w:val="0041343A"/>
    <w:rsid w:val="004223DE"/>
    <w:rsid w:val="00434489"/>
    <w:rsid w:val="00437085"/>
    <w:rsid w:val="00443880"/>
    <w:rsid w:val="004464F4"/>
    <w:rsid w:val="00456A1C"/>
    <w:rsid w:val="00457B83"/>
    <w:rsid w:val="00471401"/>
    <w:rsid w:val="00473F31"/>
    <w:rsid w:val="0048263A"/>
    <w:rsid w:val="0048635D"/>
    <w:rsid w:val="00487E5D"/>
    <w:rsid w:val="00492E22"/>
    <w:rsid w:val="004A711F"/>
    <w:rsid w:val="004B199D"/>
    <w:rsid w:val="004B4690"/>
    <w:rsid w:val="004B5BFA"/>
    <w:rsid w:val="004D25A5"/>
    <w:rsid w:val="004D5402"/>
    <w:rsid w:val="004E0A2D"/>
    <w:rsid w:val="004E206B"/>
    <w:rsid w:val="004E2FAB"/>
    <w:rsid w:val="004E6DF7"/>
    <w:rsid w:val="004F0FBD"/>
    <w:rsid w:val="00505A47"/>
    <w:rsid w:val="00505ACA"/>
    <w:rsid w:val="00512FDA"/>
    <w:rsid w:val="0051456F"/>
    <w:rsid w:val="00520DA0"/>
    <w:rsid w:val="00551267"/>
    <w:rsid w:val="00561AE5"/>
    <w:rsid w:val="00562ADC"/>
    <w:rsid w:val="005664BB"/>
    <w:rsid w:val="0056696E"/>
    <w:rsid w:val="005717DD"/>
    <w:rsid w:val="0057481D"/>
    <w:rsid w:val="00577C6F"/>
    <w:rsid w:val="0058486E"/>
    <w:rsid w:val="0059511A"/>
    <w:rsid w:val="005B25E3"/>
    <w:rsid w:val="005B2EC0"/>
    <w:rsid w:val="005B78C1"/>
    <w:rsid w:val="005D1C8B"/>
    <w:rsid w:val="005D21F4"/>
    <w:rsid w:val="005D5CED"/>
    <w:rsid w:val="005F1A4C"/>
    <w:rsid w:val="005F62B5"/>
    <w:rsid w:val="00605688"/>
    <w:rsid w:val="006070AF"/>
    <w:rsid w:val="00607E6C"/>
    <w:rsid w:val="006101B1"/>
    <w:rsid w:val="00614E44"/>
    <w:rsid w:val="00615B76"/>
    <w:rsid w:val="006226E1"/>
    <w:rsid w:val="00622830"/>
    <w:rsid w:val="00630AEF"/>
    <w:rsid w:val="006325F8"/>
    <w:rsid w:val="0063271D"/>
    <w:rsid w:val="00634C9A"/>
    <w:rsid w:val="00637D8C"/>
    <w:rsid w:val="006440E4"/>
    <w:rsid w:val="00655403"/>
    <w:rsid w:val="00661714"/>
    <w:rsid w:val="0066343B"/>
    <w:rsid w:val="00664777"/>
    <w:rsid w:val="0067448B"/>
    <w:rsid w:val="006748A4"/>
    <w:rsid w:val="0068266E"/>
    <w:rsid w:val="00683E73"/>
    <w:rsid w:val="00697D6B"/>
    <w:rsid w:val="006A3141"/>
    <w:rsid w:val="006A5E34"/>
    <w:rsid w:val="006A72B0"/>
    <w:rsid w:val="006A75B6"/>
    <w:rsid w:val="006B2422"/>
    <w:rsid w:val="006B2B9A"/>
    <w:rsid w:val="006C1937"/>
    <w:rsid w:val="006C7157"/>
    <w:rsid w:val="006D6F2E"/>
    <w:rsid w:val="006D7CFA"/>
    <w:rsid w:val="006E06AD"/>
    <w:rsid w:val="006F00A8"/>
    <w:rsid w:val="006F020C"/>
    <w:rsid w:val="0070572A"/>
    <w:rsid w:val="00705900"/>
    <w:rsid w:val="00712003"/>
    <w:rsid w:val="007127B7"/>
    <w:rsid w:val="007416B6"/>
    <w:rsid w:val="00743CD7"/>
    <w:rsid w:val="00746F48"/>
    <w:rsid w:val="0075095C"/>
    <w:rsid w:val="0075404D"/>
    <w:rsid w:val="0076182A"/>
    <w:rsid w:val="007651A9"/>
    <w:rsid w:val="00767B7E"/>
    <w:rsid w:val="00767F6F"/>
    <w:rsid w:val="0077680C"/>
    <w:rsid w:val="007770C3"/>
    <w:rsid w:val="00784D24"/>
    <w:rsid w:val="00785FBA"/>
    <w:rsid w:val="00786E4A"/>
    <w:rsid w:val="007875EB"/>
    <w:rsid w:val="0079426B"/>
    <w:rsid w:val="007B2180"/>
    <w:rsid w:val="007B534E"/>
    <w:rsid w:val="007C1708"/>
    <w:rsid w:val="007D312A"/>
    <w:rsid w:val="007D3F19"/>
    <w:rsid w:val="007D6D2C"/>
    <w:rsid w:val="007E23B0"/>
    <w:rsid w:val="007F019F"/>
    <w:rsid w:val="007F1991"/>
    <w:rsid w:val="007F2C2F"/>
    <w:rsid w:val="007F55FC"/>
    <w:rsid w:val="007F5665"/>
    <w:rsid w:val="00800112"/>
    <w:rsid w:val="0080601E"/>
    <w:rsid w:val="00807DB8"/>
    <w:rsid w:val="00811BA8"/>
    <w:rsid w:val="00822989"/>
    <w:rsid w:val="00825117"/>
    <w:rsid w:val="008253BB"/>
    <w:rsid w:val="00827534"/>
    <w:rsid w:val="0083706E"/>
    <w:rsid w:val="008423A5"/>
    <w:rsid w:val="008430FE"/>
    <w:rsid w:val="00845D83"/>
    <w:rsid w:val="00850625"/>
    <w:rsid w:val="00853718"/>
    <w:rsid w:val="008537D9"/>
    <w:rsid w:val="008548F8"/>
    <w:rsid w:val="00854ED2"/>
    <w:rsid w:val="00855221"/>
    <w:rsid w:val="00860645"/>
    <w:rsid w:val="00871F71"/>
    <w:rsid w:val="008758E2"/>
    <w:rsid w:val="00885AF4"/>
    <w:rsid w:val="00891984"/>
    <w:rsid w:val="008939CD"/>
    <w:rsid w:val="0089518F"/>
    <w:rsid w:val="008B54DF"/>
    <w:rsid w:val="008B768C"/>
    <w:rsid w:val="008C475B"/>
    <w:rsid w:val="008C4DB1"/>
    <w:rsid w:val="008C4EAF"/>
    <w:rsid w:val="008C5176"/>
    <w:rsid w:val="008C7FD0"/>
    <w:rsid w:val="008E1DE7"/>
    <w:rsid w:val="008E4BC2"/>
    <w:rsid w:val="008E7077"/>
    <w:rsid w:val="008E707C"/>
    <w:rsid w:val="008F1582"/>
    <w:rsid w:val="008F180D"/>
    <w:rsid w:val="008F7DC2"/>
    <w:rsid w:val="00900B08"/>
    <w:rsid w:val="009010E1"/>
    <w:rsid w:val="00902155"/>
    <w:rsid w:val="00902FA3"/>
    <w:rsid w:val="00904A33"/>
    <w:rsid w:val="0091190A"/>
    <w:rsid w:val="0091402B"/>
    <w:rsid w:val="00923564"/>
    <w:rsid w:val="0092392E"/>
    <w:rsid w:val="0092671B"/>
    <w:rsid w:val="009315F9"/>
    <w:rsid w:val="009358CA"/>
    <w:rsid w:val="00946945"/>
    <w:rsid w:val="00951248"/>
    <w:rsid w:val="0095152F"/>
    <w:rsid w:val="00952C34"/>
    <w:rsid w:val="00954C49"/>
    <w:rsid w:val="0095544C"/>
    <w:rsid w:val="00966B2F"/>
    <w:rsid w:val="0097099F"/>
    <w:rsid w:val="00971997"/>
    <w:rsid w:val="00971FFC"/>
    <w:rsid w:val="00975201"/>
    <w:rsid w:val="00975DC9"/>
    <w:rsid w:val="00981F0A"/>
    <w:rsid w:val="009834E1"/>
    <w:rsid w:val="00984211"/>
    <w:rsid w:val="0098660A"/>
    <w:rsid w:val="0099155D"/>
    <w:rsid w:val="009931C3"/>
    <w:rsid w:val="009947A6"/>
    <w:rsid w:val="00997C9D"/>
    <w:rsid w:val="009B004A"/>
    <w:rsid w:val="009B2C43"/>
    <w:rsid w:val="009B4EAE"/>
    <w:rsid w:val="009B7573"/>
    <w:rsid w:val="009C22F4"/>
    <w:rsid w:val="009C2E98"/>
    <w:rsid w:val="009D3447"/>
    <w:rsid w:val="009D4711"/>
    <w:rsid w:val="009E206E"/>
    <w:rsid w:val="009F1185"/>
    <w:rsid w:val="009F18CD"/>
    <w:rsid w:val="009F2A13"/>
    <w:rsid w:val="009F7738"/>
    <w:rsid w:val="009F7963"/>
    <w:rsid w:val="00A04EB0"/>
    <w:rsid w:val="00A06EB8"/>
    <w:rsid w:val="00A12022"/>
    <w:rsid w:val="00A13CC1"/>
    <w:rsid w:val="00A16847"/>
    <w:rsid w:val="00A237D8"/>
    <w:rsid w:val="00A25316"/>
    <w:rsid w:val="00A26814"/>
    <w:rsid w:val="00A268C4"/>
    <w:rsid w:val="00A2796F"/>
    <w:rsid w:val="00A307CD"/>
    <w:rsid w:val="00A36521"/>
    <w:rsid w:val="00A40A00"/>
    <w:rsid w:val="00A4142F"/>
    <w:rsid w:val="00A51416"/>
    <w:rsid w:val="00A56DF2"/>
    <w:rsid w:val="00A5796B"/>
    <w:rsid w:val="00A67AB5"/>
    <w:rsid w:val="00A91760"/>
    <w:rsid w:val="00A93B00"/>
    <w:rsid w:val="00A93C21"/>
    <w:rsid w:val="00A957D3"/>
    <w:rsid w:val="00AA3515"/>
    <w:rsid w:val="00AC3C6A"/>
    <w:rsid w:val="00AC5EF6"/>
    <w:rsid w:val="00AD4278"/>
    <w:rsid w:val="00AD5620"/>
    <w:rsid w:val="00AD7C1B"/>
    <w:rsid w:val="00AE16BA"/>
    <w:rsid w:val="00AE1EBE"/>
    <w:rsid w:val="00AF7A48"/>
    <w:rsid w:val="00B03C9D"/>
    <w:rsid w:val="00B060AE"/>
    <w:rsid w:val="00B10517"/>
    <w:rsid w:val="00B14E76"/>
    <w:rsid w:val="00B161B8"/>
    <w:rsid w:val="00B2048C"/>
    <w:rsid w:val="00B310B9"/>
    <w:rsid w:val="00B34CCF"/>
    <w:rsid w:val="00B35F3F"/>
    <w:rsid w:val="00B36CBB"/>
    <w:rsid w:val="00B40A42"/>
    <w:rsid w:val="00B425E0"/>
    <w:rsid w:val="00B440AA"/>
    <w:rsid w:val="00B44B70"/>
    <w:rsid w:val="00B53C56"/>
    <w:rsid w:val="00B5736D"/>
    <w:rsid w:val="00B6372B"/>
    <w:rsid w:val="00B758E9"/>
    <w:rsid w:val="00B76CD0"/>
    <w:rsid w:val="00B77EA6"/>
    <w:rsid w:val="00B81598"/>
    <w:rsid w:val="00B841F1"/>
    <w:rsid w:val="00B91CEF"/>
    <w:rsid w:val="00B944D6"/>
    <w:rsid w:val="00B975A6"/>
    <w:rsid w:val="00BB4DF0"/>
    <w:rsid w:val="00BB5A54"/>
    <w:rsid w:val="00BC289F"/>
    <w:rsid w:val="00BC5361"/>
    <w:rsid w:val="00BC5460"/>
    <w:rsid w:val="00BC6B50"/>
    <w:rsid w:val="00BD0E25"/>
    <w:rsid w:val="00BE745C"/>
    <w:rsid w:val="00BF463D"/>
    <w:rsid w:val="00BF5732"/>
    <w:rsid w:val="00BF5BD6"/>
    <w:rsid w:val="00C03E31"/>
    <w:rsid w:val="00C07E7B"/>
    <w:rsid w:val="00C33E72"/>
    <w:rsid w:val="00C354B2"/>
    <w:rsid w:val="00C35554"/>
    <w:rsid w:val="00C373BB"/>
    <w:rsid w:val="00C41065"/>
    <w:rsid w:val="00C42709"/>
    <w:rsid w:val="00C45B70"/>
    <w:rsid w:val="00C51C56"/>
    <w:rsid w:val="00C533CC"/>
    <w:rsid w:val="00C5560D"/>
    <w:rsid w:val="00C5751C"/>
    <w:rsid w:val="00C61BFC"/>
    <w:rsid w:val="00C62B85"/>
    <w:rsid w:val="00C62E34"/>
    <w:rsid w:val="00C65438"/>
    <w:rsid w:val="00C7055B"/>
    <w:rsid w:val="00C91CBB"/>
    <w:rsid w:val="00C93029"/>
    <w:rsid w:val="00CA0471"/>
    <w:rsid w:val="00CA2B7D"/>
    <w:rsid w:val="00CB3115"/>
    <w:rsid w:val="00CC09B6"/>
    <w:rsid w:val="00CC3110"/>
    <w:rsid w:val="00CC666F"/>
    <w:rsid w:val="00CD1E3F"/>
    <w:rsid w:val="00CE44F6"/>
    <w:rsid w:val="00CE49DA"/>
    <w:rsid w:val="00CE7B61"/>
    <w:rsid w:val="00D00095"/>
    <w:rsid w:val="00D1367D"/>
    <w:rsid w:val="00D20620"/>
    <w:rsid w:val="00D24E7A"/>
    <w:rsid w:val="00D25DE4"/>
    <w:rsid w:val="00D26091"/>
    <w:rsid w:val="00D32128"/>
    <w:rsid w:val="00D33DA3"/>
    <w:rsid w:val="00D34E7C"/>
    <w:rsid w:val="00D35489"/>
    <w:rsid w:val="00D4571E"/>
    <w:rsid w:val="00D51276"/>
    <w:rsid w:val="00D51AC4"/>
    <w:rsid w:val="00D51FC0"/>
    <w:rsid w:val="00D523B5"/>
    <w:rsid w:val="00D63140"/>
    <w:rsid w:val="00D65420"/>
    <w:rsid w:val="00D7035F"/>
    <w:rsid w:val="00D80B04"/>
    <w:rsid w:val="00D83A53"/>
    <w:rsid w:val="00D84D23"/>
    <w:rsid w:val="00D909A1"/>
    <w:rsid w:val="00DA65AC"/>
    <w:rsid w:val="00DB1913"/>
    <w:rsid w:val="00DB2490"/>
    <w:rsid w:val="00DC0383"/>
    <w:rsid w:val="00DC410D"/>
    <w:rsid w:val="00DC68CA"/>
    <w:rsid w:val="00DC7CBA"/>
    <w:rsid w:val="00DD08E8"/>
    <w:rsid w:val="00DD73B7"/>
    <w:rsid w:val="00DF28BC"/>
    <w:rsid w:val="00DF34B9"/>
    <w:rsid w:val="00E01053"/>
    <w:rsid w:val="00E07ACF"/>
    <w:rsid w:val="00E17CE6"/>
    <w:rsid w:val="00E331A1"/>
    <w:rsid w:val="00E33202"/>
    <w:rsid w:val="00E336A9"/>
    <w:rsid w:val="00E35849"/>
    <w:rsid w:val="00E44C3E"/>
    <w:rsid w:val="00E50624"/>
    <w:rsid w:val="00E568DF"/>
    <w:rsid w:val="00E57EE3"/>
    <w:rsid w:val="00E64269"/>
    <w:rsid w:val="00E74F33"/>
    <w:rsid w:val="00E82267"/>
    <w:rsid w:val="00EA010F"/>
    <w:rsid w:val="00EA2BBE"/>
    <w:rsid w:val="00EB2D4E"/>
    <w:rsid w:val="00EC0608"/>
    <w:rsid w:val="00EC0AE1"/>
    <w:rsid w:val="00EC2665"/>
    <w:rsid w:val="00ED1B63"/>
    <w:rsid w:val="00ED3476"/>
    <w:rsid w:val="00ED3C1F"/>
    <w:rsid w:val="00ED4085"/>
    <w:rsid w:val="00ED420E"/>
    <w:rsid w:val="00EE2F57"/>
    <w:rsid w:val="00EF4C34"/>
    <w:rsid w:val="00EF77C6"/>
    <w:rsid w:val="00F00184"/>
    <w:rsid w:val="00F0402E"/>
    <w:rsid w:val="00F05438"/>
    <w:rsid w:val="00F1361C"/>
    <w:rsid w:val="00F160C7"/>
    <w:rsid w:val="00F3155E"/>
    <w:rsid w:val="00F36D8F"/>
    <w:rsid w:val="00F415ED"/>
    <w:rsid w:val="00F417B1"/>
    <w:rsid w:val="00F45CDB"/>
    <w:rsid w:val="00F57158"/>
    <w:rsid w:val="00F602DF"/>
    <w:rsid w:val="00F6211E"/>
    <w:rsid w:val="00F639BB"/>
    <w:rsid w:val="00F71F1C"/>
    <w:rsid w:val="00F81FD9"/>
    <w:rsid w:val="00F841AA"/>
    <w:rsid w:val="00F95F2E"/>
    <w:rsid w:val="00FA23E8"/>
    <w:rsid w:val="00FA6175"/>
    <w:rsid w:val="00FB1D2A"/>
    <w:rsid w:val="00FD1FED"/>
    <w:rsid w:val="00FD3CC1"/>
    <w:rsid w:val="00FD5CA1"/>
    <w:rsid w:val="00FE00ED"/>
    <w:rsid w:val="00FE057F"/>
    <w:rsid w:val="00FF1E02"/>
    <w:rsid w:val="00FF2267"/>
    <w:rsid w:val="00FF30B4"/>
    <w:rsid w:val="01830099"/>
    <w:rsid w:val="03B44533"/>
    <w:rsid w:val="044F1E1D"/>
    <w:rsid w:val="04653BF5"/>
    <w:rsid w:val="047241A3"/>
    <w:rsid w:val="08183C31"/>
    <w:rsid w:val="087B5F6E"/>
    <w:rsid w:val="089332B7"/>
    <w:rsid w:val="0AC21C32"/>
    <w:rsid w:val="0CC003F3"/>
    <w:rsid w:val="10C055FF"/>
    <w:rsid w:val="11B47388"/>
    <w:rsid w:val="12BB61BE"/>
    <w:rsid w:val="16BB723D"/>
    <w:rsid w:val="18C272A1"/>
    <w:rsid w:val="19A1157D"/>
    <w:rsid w:val="19C26C36"/>
    <w:rsid w:val="19E44F18"/>
    <w:rsid w:val="1A37370A"/>
    <w:rsid w:val="201D27FE"/>
    <w:rsid w:val="21C10854"/>
    <w:rsid w:val="240371BF"/>
    <w:rsid w:val="242C3847"/>
    <w:rsid w:val="283C3C12"/>
    <w:rsid w:val="292F265F"/>
    <w:rsid w:val="29FD04D3"/>
    <w:rsid w:val="2C154AE9"/>
    <w:rsid w:val="2D834DF9"/>
    <w:rsid w:val="2EA72D69"/>
    <w:rsid w:val="2FA774C5"/>
    <w:rsid w:val="2FFD5337"/>
    <w:rsid w:val="319F7F4E"/>
    <w:rsid w:val="338A5133"/>
    <w:rsid w:val="345D3192"/>
    <w:rsid w:val="381E3DEA"/>
    <w:rsid w:val="38AD46E4"/>
    <w:rsid w:val="396226AE"/>
    <w:rsid w:val="3ADE426C"/>
    <w:rsid w:val="3C0F48C0"/>
    <w:rsid w:val="3DA61256"/>
    <w:rsid w:val="3E260F8E"/>
    <w:rsid w:val="40E45AAC"/>
    <w:rsid w:val="41EF0857"/>
    <w:rsid w:val="42DA549D"/>
    <w:rsid w:val="44925359"/>
    <w:rsid w:val="44B32E14"/>
    <w:rsid w:val="44E86141"/>
    <w:rsid w:val="47DD79E3"/>
    <w:rsid w:val="484336AB"/>
    <w:rsid w:val="491D04D3"/>
    <w:rsid w:val="49417BEA"/>
    <w:rsid w:val="4BEB0208"/>
    <w:rsid w:val="4C9B6EDB"/>
    <w:rsid w:val="4CA202EF"/>
    <w:rsid w:val="4D5A6798"/>
    <w:rsid w:val="4DF74FB0"/>
    <w:rsid w:val="4E686795"/>
    <w:rsid w:val="4EFE4AF3"/>
    <w:rsid w:val="4FCA7007"/>
    <w:rsid w:val="51D60086"/>
    <w:rsid w:val="52524C16"/>
    <w:rsid w:val="547D6032"/>
    <w:rsid w:val="553D1BAE"/>
    <w:rsid w:val="56431B37"/>
    <w:rsid w:val="580E5A83"/>
    <w:rsid w:val="581D7A74"/>
    <w:rsid w:val="5AC51D8C"/>
    <w:rsid w:val="5BC87116"/>
    <w:rsid w:val="65A417D5"/>
    <w:rsid w:val="683D4A21"/>
    <w:rsid w:val="6B2534DA"/>
    <w:rsid w:val="6EAF124A"/>
    <w:rsid w:val="6FE4739E"/>
    <w:rsid w:val="70E8766E"/>
    <w:rsid w:val="722F0A4B"/>
    <w:rsid w:val="728E1843"/>
    <w:rsid w:val="72D26487"/>
    <w:rsid w:val="731A6C33"/>
    <w:rsid w:val="736B748E"/>
    <w:rsid w:val="7439758C"/>
    <w:rsid w:val="77C11D73"/>
    <w:rsid w:val="790E0FE8"/>
    <w:rsid w:val="79143567"/>
    <w:rsid w:val="7984393E"/>
    <w:rsid w:val="79ED68AB"/>
    <w:rsid w:val="7A976A0A"/>
    <w:rsid w:val="7ACA3634"/>
    <w:rsid w:val="7B8E4662"/>
    <w:rsid w:val="7CCB6C0B"/>
    <w:rsid w:val="7DF74740"/>
    <w:rsid w:val="7EE50A3C"/>
    <w:rsid w:val="7F0133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Light List Accent 3"/>
    <w:basedOn w:val="12"/>
    <w:qFormat/>
    <w:uiPriority w:val="61"/>
    <w:rPr>
      <w:rFonts w:asciiTheme="minorHAnsi" w:hAnsiTheme="minorHAnsi" w:eastAsiaTheme="minorEastAsia" w:cstheme="minorBidi"/>
      <w:sz w:val="22"/>
      <w:szCs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Char Char"/>
    <w:basedOn w:val="1"/>
    <w:qFormat/>
    <w:uiPriority w:val="0"/>
    <w:pPr>
      <w:widowControl/>
      <w:spacing w:after="160" w:line="240" w:lineRule="exact"/>
      <w:jc w:val="left"/>
    </w:pPr>
    <w:rPr>
      <w:szCs w:val="20"/>
    </w:rPr>
  </w:style>
  <w:style w:type="paragraph" w:customStyle="1" w:styleId="3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2">
    <w:name w:val="Char"/>
    <w:basedOn w:val="1"/>
    <w:qFormat/>
    <w:uiPriority w:val="0"/>
    <w:pPr>
      <w:spacing w:line="240" w:lineRule="atLeast"/>
      <w:ind w:left="420" w:firstLine="420"/>
    </w:pPr>
    <w:rPr>
      <w:kern w:val="0"/>
      <w:szCs w:val="21"/>
    </w:rPr>
  </w:style>
  <w:style w:type="paragraph" w:customStyle="1" w:styleId="33">
    <w:name w:val="Char Char1"/>
    <w:basedOn w:val="1"/>
    <w:qFormat/>
    <w:uiPriority w:val="0"/>
    <w:pPr>
      <w:widowControl/>
      <w:spacing w:after="160" w:line="240" w:lineRule="exact"/>
      <w:jc w:val="left"/>
    </w:pPr>
    <w:rPr>
      <w:szCs w:val="20"/>
    </w:rPr>
  </w:style>
  <w:style w:type="character" w:customStyle="1" w:styleId="34">
    <w:name w:val="font71"/>
    <w:basedOn w:val="14"/>
    <w:qFormat/>
    <w:uiPriority w:val="0"/>
    <w:rPr>
      <w:rFonts w:hint="default" w:ascii="Times New Roman" w:hAnsi="Times New Roman" w:eastAsia="楷体_GB2312"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082907575485"/>
          <c:y val="0.0784091779103528"/>
          <c:w val="0.643816241719785"/>
          <c:h val="0.71486360123352"/>
        </c:manualLayout>
      </c:layout>
      <c:barChart>
        <c:barDir val="col"/>
        <c:grouping val="clustered"/>
        <c:varyColors val="0"/>
        <c:ser>
          <c:idx val="0"/>
          <c:order val="0"/>
          <c:tx>
            <c:strRef>
              <c:f>Sheet1!$A$2</c:f>
              <c:strCache>
                <c:ptCount val="1"/>
                <c:pt idx="0">
                  <c:v>2021年</c:v>
                </c:pt>
              </c:strCache>
            </c:strRef>
          </c:tx>
          <c:spPr>
            <a:solidFill>
              <a:srgbClr val="9999FF"/>
            </a:solidFill>
            <a:ln w="12700">
              <a:solidFill>
                <a:srgbClr val="000000"/>
              </a:solidFill>
              <a:prstDash val="solid"/>
            </a:ln>
          </c:spPr>
          <c:invertIfNegative val="0"/>
          <c:dLbls>
            <c:delete val="1"/>
          </c:dLbls>
          <c:cat>
            <c:numRef>
              <c:f>Sheet1!$B$1:$B$1</c:f>
              <c:numCache>
                <c:formatCode>General</c:formatCode>
                <c:ptCount val="1"/>
              </c:numCache>
            </c:numRef>
          </c:cat>
          <c:val>
            <c:numRef>
              <c:f>Sheet1!$B$2:$B$2</c:f>
              <c:numCache>
                <c:formatCode>General</c:formatCode>
                <c:ptCount val="1"/>
                <c:pt idx="0">
                  <c:v>175.62</c:v>
                </c:pt>
              </c:numCache>
            </c:numRef>
          </c:val>
        </c:ser>
        <c:ser>
          <c:idx val="1"/>
          <c:order val="1"/>
          <c:tx>
            <c:strRef>
              <c:f>Sheet1!$A$3</c:f>
              <c:strCache>
                <c:ptCount val="1"/>
                <c:pt idx="0">
                  <c:v>2020年</c:v>
                </c:pt>
              </c:strCache>
            </c:strRef>
          </c:tx>
          <c:spPr>
            <a:solidFill>
              <a:srgbClr val="993366"/>
            </a:solidFill>
            <a:ln w="12700">
              <a:solidFill>
                <a:srgbClr val="000000"/>
              </a:solidFill>
              <a:prstDash val="solid"/>
            </a:ln>
          </c:spPr>
          <c:invertIfNegative val="0"/>
          <c:dLbls>
            <c:delete val="1"/>
          </c:dLbls>
          <c:cat>
            <c:numRef>
              <c:f>Sheet1!$B$1:$B$1</c:f>
              <c:numCache>
                <c:formatCode>General</c:formatCode>
                <c:ptCount val="1"/>
              </c:numCache>
            </c:numRef>
          </c:cat>
          <c:val>
            <c:numRef>
              <c:f>Sheet1!$B$3:$B$3</c:f>
              <c:numCache>
                <c:formatCode>General</c:formatCode>
                <c:ptCount val="1"/>
                <c:pt idx="0">
                  <c:v>144.64</c:v>
                </c:pt>
              </c:numCache>
            </c:numRef>
          </c:val>
        </c:ser>
        <c:dLbls>
          <c:showLegendKey val="0"/>
          <c:showVal val="0"/>
          <c:showCatName val="0"/>
          <c:showSerName val="0"/>
          <c:showPercent val="0"/>
          <c:showBubbleSize val="0"/>
        </c:dLbls>
        <c:gapWidth val="150"/>
        <c:axId val="86244736"/>
        <c:axId val="91358336"/>
      </c:barChart>
      <c:catAx>
        <c:axId val="86244736"/>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6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91358336"/>
        <c:crosses val="autoZero"/>
        <c:auto val="1"/>
        <c:lblAlgn val="ctr"/>
        <c:lblOffset val="100"/>
        <c:tickLblSkip val="1"/>
        <c:noMultiLvlLbl val="0"/>
      </c:catAx>
      <c:valAx>
        <c:axId val="91358336"/>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6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86244736"/>
        <c:crosses val="autoZero"/>
        <c:crossBetween val="between"/>
      </c:valAx>
      <c:spPr>
        <a:solidFill>
          <a:srgbClr val="C0C0C0"/>
        </a:solidFill>
        <a:ln w="12700">
          <a:solidFill>
            <a:srgbClr val="808080"/>
          </a:solidFill>
          <a:prstDash val="solid"/>
        </a:ln>
      </c:spPr>
    </c:plotArea>
    <c:legend>
      <c:legendPos val="r"/>
      <c:layout>
        <c:manualLayout>
          <c:xMode val="edge"/>
          <c:yMode val="edge"/>
          <c:x val="0.829628871042746"/>
          <c:y val="0.444029914670708"/>
          <c:w val="0.15105740181269"/>
          <c:h val="0.18918918918919"/>
        </c:manualLayout>
      </c:layout>
      <c:overlay val="0"/>
      <c:spPr>
        <a:noFill/>
        <a:ln w="3175">
          <a:solidFill>
            <a:srgbClr val="000000"/>
          </a:solidFill>
          <a:prstDash val="solid"/>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16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471409132827"/>
          <c:y val="0.0383954677081215"/>
          <c:w val="0.535410764872518"/>
          <c:h val="0.724137931034484"/>
        </c:manualLayout>
      </c:layout>
      <c:pieChart>
        <c:varyColors val="1"/>
        <c:ser>
          <c:idx val="0"/>
          <c:order val="0"/>
          <c:tx>
            <c:strRef>
              <c:f>Sheet1!$A$2</c:f>
              <c:strCache>
                <c:ptCount val="1"/>
                <c:pt idx="0">
                  <c:v>2021年</c:v>
                </c:pt>
              </c:strCache>
            </c:strRef>
          </c:tx>
          <c:spPr>
            <a:solidFill>
              <a:srgbClr val="9999FF"/>
            </a:solidFill>
            <a:ln w="12689">
              <a:solidFill>
                <a:srgbClr val="000000"/>
              </a:solidFill>
              <a:prstDash val="solid"/>
            </a:ln>
          </c:spPr>
          <c:explosion val="39"/>
          <c:dPt>
            <c:idx val="0"/>
            <c:bubble3D val="0"/>
            <c:spPr>
              <a:solidFill>
                <a:srgbClr val="9999FF"/>
              </a:solidFill>
              <a:ln w="12689">
                <a:solidFill>
                  <a:srgbClr val="000000"/>
                </a:solidFill>
                <a:prstDash val="solid"/>
              </a:ln>
            </c:spPr>
          </c:dPt>
          <c:dPt>
            <c:idx val="1"/>
            <c:bubble3D val="0"/>
            <c:spPr>
              <a:solidFill>
                <a:srgbClr val="993366"/>
              </a:solidFill>
              <a:ln w="12689">
                <a:solidFill>
                  <a:srgbClr val="000000"/>
                </a:solidFill>
                <a:prstDash val="solid"/>
              </a:ln>
            </c:spPr>
          </c:dPt>
          <c:dLbls>
            <c:delete val="1"/>
          </c:dLbls>
          <c:cat>
            <c:strRef>
              <c:f>Sheet1!$B$1:$C$1</c:f>
              <c:strCache>
                <c:ptCount val="1"/>
                <c:pt idx="0">
                  <c:v>一般公共预算财政拨款收入</c:v>
                </c:pt>
              </c:strCache>
            </c:strRef>
          </c:cat>
          <c:val>
            <c:numRef>
              <c:f>Sheet1!$B$2:$C$2</c:f>
              <c:numCache>
                <c:formatCode>General</c:formatCode>
                <c:ptCount val="2"/>
                <c:pt idx="0">
                  <c:v>175.62</c:v>
                </c:pt>
              </c:numCache>
            </c:numRef>
          </c:val>
        </c:ser>
        <c:dLbls>
          <c:showLegendKey val="0"/>
          <c:showVal val="0"/>
          <c:showCatName val="0"/>
          <c:showSerName val="0"/>
          <c:showPercent val="0"/>
          <c:showBubbleSize val="0"/>
          <c:showLeaderLines val="1"/>
        </c:dLbls>
        <c:firstSliceAng val="0"/>
      </c:pieChart>
      <c:spPr>
        <a:solidFill>
          <a:srgbClr val="C0C0C0"/>
        </a:solidFill>
        <a:ln w="12689">
          <a:solidFill>
            <a:srgbClr val="808080"/>
          </a:solidFill>
          <a:prstDash val="solid"/>
        </a:ln>
      </c:spPr>
    </c:plotArea>
    <c:legend>
      <c:legendPos val="r"/>
      <c:layout>
        <c:manualLayout>
          <c:xMode val="edge"/>
          <c:yMode val="edge"/>
          <c:x val="0.672985062913648"/>
          <c:y val="0.368212289456684"/>
          <c:w val="0.305659760009674"/>
          <c:h val="0.503170706602851"/>
        </c:manualLayout>
      </c:layout>
      <c:overlay val="0"/>
      <c:spPr>
        <a:noFill/>
        <a:ln w="3172">
          <a:solidFill>
            <a:srgbClr val="000000"/>
          </a:solidFill>
          <a:prstDash val="solid"/>
        </a:ln>
      </c:spPr>
      <c:txPr>
        <a:bodyPr rot="0" spcFirstLastPara="0" vertOverflow="ellipsis" vert="horz" wrap="square" anchor="ctr" anchorCtr="1"/>
        <a:lstStyle/>
        <a:p>
          <a:pPr>
            <a:defRPr lang="zh-CN" sz="105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11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42471042471"/>
          <c:y val="0.0941176470588235"/>
          <c:w val="0.360574826795299"/>
          <c:h val="0.71813048638059"/>
        </c:manualLayout>
      </c:layout>
      <c:pieChart>
        <c:varyColors val="1"/>
        <c:ser>
          <c:idx val="0"/>
          <c:order val="0"/>
          <c:tx>
            <c:strRef>
              <c:f>Sheet1!$A$2</c:f>
              <c:strCache>
                <c:ptCount val="1"/>
                <c:pt idx="0">
                  <c:v/>
                </c:pt>
              </c:strCache>
            </c:strRef>
          </c:tx>
          <c:spPr>
            <a:solidFill>
              <a:srgbClr val="9999FF"/>
            </a:solidFill>
            <a:ln w="12678">
              <a:solidFill>
                <a:srgbClr val="000000"/>
              </a:solidFill>
              <a:prstDash val="solid"/>
            </a:ln>
          </c:spPr>
          <c:explosion val="0"/>
          <c:dPt>
            <c:idx val="0"/>
            <c:bubble3D val="0"/>
            <c:spPr>
              <a:solidFill>
                <a:srgbClr val="9999FF"/>
              </a:solidFill>
              <a:ln w="12678">
                <a:solidFill>
                  <a:srgbClr val="000000"/>
                </a:solidFill>
                <a:prstDash val="solid"/>
              </a:ln>
            </c:spPr>
          </c:dPt>
          <c:dPt>
            <c:idx val="1"/>
            <c:bubble3D val="0"/>
            <c:spPr>
              <a:solidFill>
                <a:srgbClr val="993366"/>
              </a:solidFill>
              <a:ln w="12678">
                <a:solidFill>
                  <a:srgbClr val="000000"/>
                </a:solidFill>
                <a:prstDash val="solid"/>
              </a:ln>
            </c:spPr>
          </c:dPt>
          <c:dLbls>
            <c:delete val="1"/>
          </c:dLbls>
          <c:cat>
            <c:strRef>
              <c:f>Sheet1!$B$1:$C$1</c:f>
              <c:strCache>
                <c:ptCount val="2"/>
                <c:pt idx="0">
                  <c:v>基本支出</c:v>
                </c:pt>
                <c:pt idx="1">
                  <c:v>项目支出</c:v>
                </c:pt>
              </c:strCache>
            </c:strRef>
          </c:cat>
          <c:val>
            <c:numRef>
              <c:f>Sheet1!$B$2:$C$2</c:f>
              <c:numCache>
                <c:formatCode>General</c:formatCode>
                <c:ptCount val="2"/>
                <c:pt idx="0">
                  <c:v>131.24</c:v>
                </c:pt>
                <c:pt idx="1">
                  <c:v>8.81</c:v>
                </c:pt>
              </c:numCache>
            </c:numRef>
          </c:val>
        </c:ser>
        <c:dLbls>
          <c:showLegendKey val="0"/>
          <c:showVal val="0"/>
          <c:showCatName val="0"/>
          <c:showSerName val="0"/>
          <c:showPercent val="0"/>
          <c:showBubbleSize val="0"/>
          <c:showLeaderLines val="1"/>
        </c:dLbls>
        <c:firstSliceAng val="0"/>
      </c:pieChart>
      <c:spPr>
        <a:solidFill>
          <a:srgbClr val="C0C0C0"/>
        </a:solidFill>
        <a:ln w="12678">
          <a:solidFill>
            <a:srgbClr val="808080"/>
          </a:solidFill>
          <a:prstDash val="solid"/>
        </a:ln>
      </c:spPr>
    </c:plotArea>
    <c:legend>
      <c:legendPos val="r"/>
      <c:layout>
        <c:manualLayout>
          <c:xMode val="edge"/>
          <c:yMode val="edge"/>
          <c:x val="0.71280480350915"/>
          <c:y val="0.372002352164996"/>
          <c:w val="0.239290691403301"/>
          <c:h val="0.378847569481243"/>
        </c:manualLayout>
      </c:layout>
      <c:overlay val="0"/>
      <c:spPr>
        <a:noFill/>
        <a:ln w="3170">
          <a:solidFill>
            <a:srgbClr val="000000"/>
          </a:solidFill>
          <a:prstDash val="soli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082907575485"/>
          <c:y val="0.0784091779103528"/>
          <c:w val="0.643816241719785"/>
          <c:h val="0.71486360123352"/>
        </c:manualLayout>
      </c:layout>
      <c:barChart>
        <c:barDir val="col"/>
        <c:grouping val="clustered"/>
        <c:varyColors val="0"/>
        <c:ser>
          <c:idx val="0"/>
          <c:order val="0"/>
          <c:tx>
            <c:strRef>
              <c:f>Sheet1!$A$2</c:f>
              <c:strCache>
                <c:ptCount val="1"/>
                <c:pt idx="0">
                  <c:v>2021年</c:v>
                </c:pt>
              </c:strCache>
            </c:strRef>
          </c:tx>
          <c:spPr>
            <a:solidFill>
              <a:srgbClr val="9999FF"/>
            </a:solidFill>
            <a:ln w="12700">
              <a:solidFill>
                <a:srgbClr val="000000"/>
              </a:solidFill>
              <a:prstDash val="solid"/>
            </a:ln>
          </c:spPr>
          <c:invertIfNegative val="0"/>
          <c:dLbls>
            <c:delete val="1"/>
          </c:dLbls>
          <c:cat>
            <c:numRef>
              <c:f>Sheet1!$B$1:$B$1</c:f>
              <c:numCache>
                <c:formatCode>General</c:formatCode>
                <c:ptCount val="1"/>
              </c:numCache>
            </c:numRef>
          </c:cat>
          <c:val>
            <c:numRef>
              <c:f>Sheet1!$B$2:$B$2</c:f>
              <c:numCache>
                <c:formatCode>General</c:formatCode>
                <c:ptCount val="1"/>
                <c:pt idx="0">
                  <c:v>175.62</c:v>
                </c:pt>
              </c:numCache>
            </c:numRef>
          </c:val>
        </c:ser>
        <c:ser>
          <c:idx val="1"/>
          <c:order val="1"/>
          <c:tx>
            <c:strRef>
              <c:f>Sheet1!$A$3</c:f>
              <c:strCache>
                <c:ptCount val="1"/>
                <c:pt idx="0">
                  <c:v>2020年</c:v>
                </c:pt>
              </c:strCache>
            </c:strRef>
          </c:tx>
          <c:spPr>
            <a:solidFill>
              <a:srgbClr val="993366"/>
            </a:solidFill>
            <a:ln w="12700">
              <a:solidFill>
                <a:srgbClr val="000000"/>
              </a:solidFill>
              <a:prstDash val="solid"/>
            </a:ln>
          </c:spPr>
          <c:invertIfNegative val="0"/>
          <c:dLbls>
            <c:delete val="1"/>
          </c:dLbls>
          <c:cat>
            <c:numRef>
              <c:f>Sheet1!$B$1:$B$1</c:f>
              <c:numCache>
                <c:formatCode>General</c:formatCode>
                <c:ptCount val="1"/>
              </c:numCache>
            </c:numRef>
          </c:cat>
          <c:val>
            <c:numRef>
              <c:f>Sheet1!$B$3:$B$3</c:f>
              <c:numCache>
                <c:formatCode>General</c:formatCode>
                <c:ptCount val="1"/>
                <c:pt idx="0">
                  <c:v>144.64</c:v>
                </c:pt>
              </c:numCache>
            </c:numRef>
          </c:val>
        </c:ser>
        <c:dLbls>
          <c:showLegendKey val="0"/>
          <c:showVal val="0"/>
          <c:showCatName val="0"/>
          <c:showSerName val="0"/>
          <c:showPercent val="0"/>
          <c:showBubbleSize val="0"/>
        </c:dLbls>
        <c:gapWidth val="150"/>
        <c:axId val="133654400"/>
        <c:axId val="133655936"/>
      </c:barChart>
      <c:catAx>
        <c:axId val="133654400"/>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6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33655936"/>
        <c:crosses val="autoZero"/>
        <c:auto val="1"/>
        <c:lblAlgn val="ctr"/>
        <c:lblOffset val="100"/>
        <c:tickLblSkip val="1"/>
        <c:noMultiLvlLbl val="0"/>
      </c:catAx>
      <c:valAx>
        <c:axId val="133655936"/>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6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33654400"/>
        <c:crosses val="autoZero"/>
        <c:crossBetween val="between"/>
      </c:valAx>
      <c:spPr>
        <a:solidFill>
          <a:srgbClr val="C0C0C0"/>
        </a:solidFill>
        <a:ln w="12700">
          <a:solidFill>
            <a:srgbClr val="808080"/>
          </a:solidFill>
          <a:prstDash val="solid"/>
        </a:ln>
      </c:spPr>
    </c:plotArea>
    <c:legend>
      <c:legendPos val="r"/>
      <c:layout>
        <c:manualLayout>
          <c:xMode val="edge"/>
          <c:yMode val="edge"/>
          <c:x val="0.829628871042746"/>
          <c:y val="0.444029914670708"/>
          <c:w val="0.15105740181269"/>
          <c:h val="0.18918918918919"/>
        </c:manualLayout>
      </c:layout>
      <c:overlay val="0"/>
      <c:spPr>
        <a:noFill/>
        <a:ln w="3175">
          <a:solidFill>
            <a:srgbClr val="000000"/>
          </a:solidFill>
          <a:prstDash val="solid"/>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16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082907575485"/>
          <c:y val="0.0784091779103528"/>
          <c:w val="0.643816241719785"/>
          <c:h val="0.71486360123352"/>
        </c:manualLayout>
      </c:layout>
      <c:barChart>
        <c:barDir val="col"/>
        <c:grouping val="clustered"/>
        <c:varyColors val="0"/>
        <c:ser>
          <c:idx val="0"/>
          <c:order val="0"/>
          <c:tx>
            <c:strRef>
              <c:f>Sheet1!$A$2</c:f>
              <c:strCache>
                <c:ptCount val="1"/>
                <c:pt idx="0">
                  <c:v>2021年</c:v>
                </c:pt>
              </c:strCache>
            </c:strRef>
          </c:tx>
          <c:spPr>
            <a:solidFill>
              <a:srgbClr val="9999FF"/>
            </a:solidFill>
            <a:ln w="12700">
              <a:solidFill>
                <a:srgbClr val="000000"/>
              </a:solidFill>
              <a:prstDash val="solid"/>
            </a:ln>
          </c:spPr>
          <c:invertIfNegative val="0"/>
          <c:dLbls>
            <c:delete val="1"/>
          </c:dLbls>
          <c:cat>
            <c:numRef>
              <c:f>Sheet1!$B$1:$B$1</c:f>
              <c:numCache>
                <c:formatCode>General</c:formatCode>
                <c:ptCount val="1"/>
              </c:numCache>
            </c:numRef>
          </c:cat>
          <c:val>
            <c:numRef>
              <c:f>Sheet1!$B$2:$B$2</c:f>
              <c:numCache>
                <c:formatCode>General</c:formatCode>
                <c:ptCount val="1"/>
                <c:pt idx="0">
                  <c:v>175.62</c:v>
                </c:pt>
              </c:numCache>
            </c:numRef>
          </c:val>
        </c:ser>
        <c:ser>
          <c:idx val="1"/>
          <c:order val="1"/>
          <c:tx>
            <c:strRef>
              <c:f>Sheet1!$A$3</c:f>
              <c:strCache>
                <c:ptCount val="1"/>
                <c:pt idx="0">
                  <c:v>2020年</c:v>
                </c:pt>
              </c:strCache>
            </c:strRef>
          </c:tx>
          <c:spPr>
            <a:solidFill>
              <a:srgbClr val="993366"/>
            </a:solidFill>
            <a:ln w="12700">
              <a:solidFill>
                <a:srgbClr val="000000"/>
              </a:solidFill>
              <a:prstDash val="solid"/>
            </a:ln>
          </c:spPr>
          <c:invertIfNegative val="0"/>
          <c:dLbls>
            <c:delete val="1"/>
          </c:dLbls>
          <c:cat>
            <c:numRef>
              <c:f>Sheet1!$B$1:$B$1</c:f>
              <c:numCache>
                <c:formatCode>General</c:formatCode>
                <c:ptCount val="1"/>
              </c:numCache>
            </c:numRef>
          </c:cat>
          <c:val>
            <c:numRef>
              <c:f>Sheet1!$B$3:$B$3</c:f>
              <c:numCache>
                <c:formatCode>General</c:formatCode>
                <c:ptCount val="1"/>
                <c:pt idx="0">
                  <c:v>139.64</c:v>
                </c:pt>
              </c:numCache>
            </c:numRef>
          </c:val>
        </c:ser>
        <c:dLbls>
          <c:showLegendKey val="0"/>
          <c:showVal val="0"/>
          <c:showCatName val="0"/>
          <c:showSerName val="0"/>
          <c:showPercent val="0"/>
          <c:showBubbleSize val="0"/>
        </c:dLbls>
        <c:gapWidth val="150"/>
        <c:axId val="133677056"/>
        <c:axId val="133678592"/>
      </c:barChart>
      <c:catAx>
        <c:axId val="133677056"/>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6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33678592"/>
        <c:crosses val="autoZero"/>
        <c:auto val="1"/>
        <c:lblAlgn val="ctr"/>
        <c:lblOffset val="100"/>
        <c:tickLblSkip val="1"/>
        <c:noMultiLvlLbl val="0"/>
      </c:catAx>
      <c:valAx>
        <c:axId val="133678592"/>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6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33677056"/>
        <c:crosses val="autoZero"/>
        <c:crossBetween val="between"/>
      </c:valAx>
      <c:spPr>
        <a:solidFill>
          <a:srgbClr val="C0C0C0"/>
        </a:solidFill>
        <a:ln w="12700">
          <a:solidFill>
            <a:srgbClr val="808080"/>
          </a:solidFill>
          <a:prstDash val="solid"/>
        </a:ln>
      </c:spPr>
    </c:plotArea>
    <c:legend>
      <c:legendPos val="r"/>
      <c:layout>
        <c:manualLayout>
          <c:xMode val="edge"/>
          <c:yMode val="edge"/>
          <c:x val="0.829628871042746"/>
          <c:y val="0.444029914670708"/>
          <c:w val="0.15105740181269"/>
          <c:h val="0.18918918918919"/>
        </c:manualLayout>
      </c:layout>
      <c:overlay val="0"/>
      <c:spPr>
        <a:noFill/>
        <a:ln w="3175">
          <a:solidFill>
            <a:srgbClr val="000000"/>
          </a:solidFill>
          <a:prstDash val="solid"/>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16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87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一般公共预算财政拨款支出决算结构</a:t>
            </a:r>
            <a:endParaRPr lang="zh-CN" altLang="en-US"/>
          </a:p>
        </c:rich>
      </c:tx>
      <c:layout>
        <c:manualLayout>
          <c:xMode val="edge"/>
          <c:yMode val="edge"/>
          <c:x val="0.325"/>
          <c:y val="0.0198412698412698"/>
        </c:manualLayout>
      </c:layout>
      <c:overlay val="0"/>
      <c:spPr>
        <a:noFill/>
        <a:ln w="25400">
          <a:noFill/>
        </a:ln>
      </c:spPr>
    </c:title>
    <c:autoTitleDeleted val="0"/>
    <c:view3D>
      <c:rotX val="15"/>
      <c:rotY val="0"/>
      <c:depthPercent val="100"/>
      <c:rAngAx val="0"/>
      <c:perspective val="0"/>
    </c:view3D>
    <c:floor>
      <c:thickness val="0"/>
    </c:floor>
    <c:sideWall>
      <c:thickness val="0"/>
    </c:sideWall>
    <c:backWall>
      <c:thickness val="0"/>
    </c:backWall>
    <c:plotArea>
      <c:layout>
        <c:manualLayout>
          <c:layoutTarget val="inner"/>
          <c:xMode val="edge"/>
          <c:yMode val="edge"/>
          <c:x val="0.117857142857143"/>
          <c:y val="0.325396825396825"/>
          <c:w val="0.530357142857143"/>
          <c:h val="0.468253968253968"/>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numFmt formatCode="0%" sourceLinked="0"/>
            <c:spPr>
              <a:noFill/>
              <a:ln w="25400">
                <a:noFill/>
              </a:ln>
              <a:effectLst/>
            </c:spPr>
            <c:txPr>
              <a:bodyPr rot="0" spcFirstLastPara="0" vertOverflow="ellipsis" vert="horz" wrap="square" lIns="38100" tIns="19050" rIns="38100" bIns="19050" anchor="ctr" anchorCtr="1">
                <a:spAutoFit/>
              </a:bodyPr>
              <a:lstStyle/>
              <a:p>
                <a:pPr>
                  <a:defRPr lang="zh-CN" sz="8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Sheet2!$A$2:$A$5</c:f>
              <c:strCache>
                <c:ptCount val="4"/>
                <c:pt idx="0">
                  <c:v>一般公共服务支出</c:v>
                </c:pt>
                <c:pt idx="1">
                  <c:v>社会保障和就业支出</c:v>
                </c:pt>
                <c:pt idx="2">
                  <c:v>城乡社区支出</c:v>
                </c:pt>
                <c:pt idx="3">
                  <c:v>住房保障支出</c:v>
                </c:pt>
              </c:strCache>
            </c:strRef>
          </c:cat>
          <c:val>
            <c:numRef>
              <c:f>Sheet2!$B$2:$B$5</c:f>
              <c:numCache>
                <c:formatCode>#,##0.00</c:formatCode>
                <c:ptCount val="4"/>
                <c:pt idx="0">
                  <c:v>1</c:v>
                </c:pt>
                <c:pt idx="1">
                  <c:v>15.67</c:v>
                </c:pt>
                <c:pt idx="2">
                  <c:v>146.96</c:v>
                </c:pt>
                <c:pt idx="3">
                  <c:v>11.99</c:v>
                </c:pt>
              </c:numCache>
            </c:numRef>
          </c:val>
        </c:ser>
        <c:dLbls>
          <c:showLegendKey val="0"/>
          <c:showVal val="0"/>
          <c:showCatName val="0"/>
          <c:showSerName val="0"/>
          <c:showPercent val="1"/>
          <c:showBubbleSize val="0"/>
        </c:dLbls>
      </c:pie3DChart>
      <c:spPr>
        <a:noFill/>
        <a:ln w="25400">
          <a:noFill/>
        </a:ln>
      </c:spPr>
    </c:plotArea>
    <c:legend>
      <c:legendPos val="r"/>
      <c:layout>
        <c:manualLayout>
          <c:xMode val="edge"/>
          <c:yMode val="edge"/>
          <c:x val="0.764285714285714"/>
          <c:y val="0.353174603174603"/>
          <c:w val="0.228571428571429"/>
          <c:h val="0.408730158730159"/>
        </c:manualLayout>
      </c:layout>
      <c:overlay val="0"/>
      <c:spPr>
        <a:solidFill>
          <a:srgbClr val="FFFFFF"/>
        </a:solidFill>
        <a:ln w="3175">
          <a:solidFill>
            <a:srgbClr val="000000"/>
          </a:solidFill>
          <a:prstDash val="solid"/>
        </a:ln>
      </c:spPr>
      <c:txPr>
        <a:bodyPr rot="0" spcFirstLastPara="0" vertOverflow="ellipsis" vert="horz" wrap="square" anchor="ctr" anchorCtr="1"/>
        <a:lstStyle/>
        <a:p>
          <a:pPr>
            <a:defRPr lang="zh-CN" sz="80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solidFill>
    <a:ln w="3175" cap="flat" cmpd="sng" algn="ctr">
      <a:solidFill>
        <a:srgbClr val="000000"/>
      </a:solidFill>
      <a:prstDash val="solid"/>
      <a:round/>
    </a:ln>
  </c:spPr>
  <c:txPr>
    <a:bodyPr/>
    <a:lstStyle/>
    <a:p>
      <a:pPr>
        <a:defRPr lang="zh-CN" sz="87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5210918114145"/>
          <c:y val="0.108695652173914"/>
          <c:w val="0.178660049627792"/>
          <c:h val="0.782608695652177"/>
        </c:manualLayout>
      </c:layout>
      <c:pieChart>
        <c:varyColors val="1"/>
        <c:ser>
          <c:idx val="0"/>
          <c:order val="0"/>
          <c:tx>
            <c:strRef>
              <c:f>Sheet1!#REF!</c:f>
              <c:strCache>
                <c:ptCount val="1"/>
                <c:pt idx="0">
                  <c:v>#REF!</c:v>
                </c:pt>
              </c:strCache>
            </c:strRef>
          </c:tx>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Lbls>
            <c:delete val="1"/>
          </c:dLbls>
          <c:cat>
            <c:strRef>
              <c:f>Sheet1!$A$1:$B$1</c:f>
              <c:strCache>
                <c:ptCount val="2"/>
                <c:pt idx="0">
                  <c:v>公务用车购置及运行维护费</c:v>
                </c:pt>
                <c:pt idx="1">
                  <c:v>公务接待费</c:v>
                </c:pt>
              </c:strCache>
            </c:strRef>
          </c:cat>
          <c:val>
            <c:numRef>
              <c:f>Sheet1!$A$2:$B$2</c:f>
              <c:numCache>
                <c:formatCode>General</c:formatCode>
                <c:ptCount val="2"/>
                <c:pt idx="0">
                  <c:v>4.05</c:v>
                </c:pt>
                <c:pt idx="1">
                  <c:v>0</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76556967120324"/>
          <c:y val="0.183260117889421"/>
          <c:w val="0.288087810862723"/>
          <c:h val="0.407204815333418"/>
        </c:manualLayout>
      </c:layout>
      <c:overlay val="0"/>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0C60-21C5-45E1-846A-6275683CC98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6825</Words>
  <Characters>7356</Characters>
  <Lines>56</Lines>
  <Paragraphs>15</Paragraphs>
  <TotalTime>8</TotalTime>
  <ScaleCrop>false</ScaleCrop>
  <LinksUpToDate>false</LinksUpToDate>
  <CharactersWithSpaces>7420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2022-08-30T01:43:00Z</dcterms:created>
  <dc:creator>张彬茜</dc:creator>
  <cp:lastModifiedBy>Administrator</cp:lastModifiedBy>
  <cp:lastPrinted>2023-09-28T07:57:50Z</cp:lastPrinted>
  <dcterms:modified xsi:type="dcterms:W3CDTF">2023-09-28T08:06:06Z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255858E7EB7C4EDF9E1C0C75B66BFA33</vt:lpwstr>
  </property>
</Properties>
</file>