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szCs w:val="21"/>
        </w:rPr>
      </w:pPr>
      <w:bookmarkStart w:id="0" w:name="_Toc15306267"/>
      <w:bookmarkStart w:id="1" w:name="_GoBack"/>
      <w:bookmarkEnd w:id="1"/>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72"/>
          <w:szCs w:val="72"/>
        </w:rPr>
      </w:pPr>
      <w:bookmarkStart w:id="2" w:name="_Toc15377193"/>
      <w:bookmarkStart w:id="3" w:name="_Toc15377425"/>
      <w:bookmarkStart w:id="4" w:name="_Toc15396475"/>
      <w:bookmarkStart w:id="5" w:name="_Toc15378441"/>
      <w:bookmarkStart w:id="6" w:name="_Toc15396597"/>
      <w:r>
        <w:rPr>
          <w:rFonts w:ascii="方正小标宋简体" w:eastAsia="方正小标宋简体" w:cs="方正小标宋简体" w:hint="eastAsia"/>
          <w:sz w:val="72"/>
          <w:szCs w:val="72"/>
        </w:rPr>
        <w:t>2022年度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sz w:val="72"/>
          <w:szCs w:val="72"/>
        </w:rPr>
      </w:pPr>
      <w:bookmarkStart w:id="7" w:name="_Toc15377194"/>
      <w:bookmarkStart w:id="8" w:name="_Toc15378442"/>
      <w:bookmarkStart w:id="9" w:name="_Toc15396598"/>
      <w:bookmarkStart w:id="10" w:name="_Toc15396476"/>
      <w:bookmarkStart w:id="11" w:name="_Toc15377426"/>
      <w:r>
        <w:rPr>
          <w:rFonts w:ascii="方正小标宋简体" w:eastAsia="方正小标宋简体" w:cs="方正小标宋简体" w:hint="eastAsia"/>
          <w:sz w:val="72"/>
          <w:szCs w:val="72"/>
        </w:rPr>
        <w:t>攀枝花市</w:t>
      </w:r>
      <w:bookmarkStart w:id="12" w:name="_Toc15306268"/>
      <w:bookmarkEnd w:id="0"/>
      <w:r>
        <w:rPr>
          <w:rFonts w:ascii="方正小标宋简体" w:eastAsia="方正小标宋简体" w:cs="方正小标宋简体" w:hint="eastAsia"/>
          <w:sz w:val="72"/>
          <w:szCs w:val="72"/>
        </w:rPr>
        <w:t>城市建设资金中心单位决算</w:t>
      </w:r>
      <w:bookmarkEnd w:id="7"/>
      <w:bookmarkEnd w:id="8"/>
      <w:bookmarkEnd w:id="9"/>
      <w:bookmarkEnd w:id="10"/>
      <w:bookmarkEnd w:id="11"/>
      <w:bookmarkEnd w:id="12"/>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t>目录</w:t>
      </w:r>
    </w:p>
    <w:p>
      <w:pPr>
        <w:widowControl/>
        <w:jc w:val="center"/>
        <w:rPr>
          <w:rFonts w:ascii="黑体" w:eastAsia="黑体" w:cs="Arial"/>
          <w:sz w:val="28"/>
          <w:szCs w:val="28"/>
        </w:rPr>
      </w:pPr>
    </w:p>
    <w:p>
      <w:pPr>
        <w:pStyle w:val="20"/>
        <w:tabs>
          <w:tab w:val="right" w:leader="dot" w:pos="8296"/>
        </w:tabs>
      </w:pPr>
      <w:r>
        <w:rPr>
          <w:rFonts w:hint="eastAsia"/>
        </w:rPr>
        <w:t>公开时间：2023年9月</w:t>
      </w:r>
      <w:r>
        <w:t>15</w:t>
      </w:r>
      <w:r>
        <w:rPr>
          <w:rFonts w:hint="eastAsia"/>
        </w:rPr>
        <w:t>日</w:t>
      </w:r>
    </w:p>
    <w:sdt>
      <w:sdtPr>
        <w:rPr>
          <w:rFonts w:ascii="宋体" w:eastAsia="宋体" w:cs="Times New Roman"/>
          <w:kern w:val="2"/>
          <w:sz w:val="21"/>
          <w:szCs w:val="24"/>
          <w:lang w:val="en-US" w:eastAsia="zh-CN" w:bidi="ar-SA"/>
        </w:rPr>
        <w:id w:val="-699862974"/>
        <w:docPartObj>
          <w:docPartGallery w:val="Table of Contents"/>
          <w:docPartUnique/>
        </w:docPartObj>
      </w:sdtPr>
      <w:sdtEndPr>
        <w:rPr>
          <w:rFonts w:ascii="Calibri" w:cs="Arial" w:hAnsi="Calibri"/>
          <w:sz w:val="20"/>
          <w:szCs w:val="20"/>
        </w:rPr>
      </w:sdtEndPr>
      <w:sdtContent>
        <w:bookmarkStart w:id="13" w:name="_Toc5482_WPSOffice_Type2" w:displacedByCustomXml="prev"/>
        <w:p>
          <w:pPr>
            <w:spacing w:before="0" w:after="0" w:line="240" w:lineRule="auto"/>
            <w:ind w:left="0" w:right="0" w:firstLine="0"/>
            <w:jc w:val="center"/>
          </w:pPr>
        </w:p>
        <w:p>
          <w:pPr>
            <w:pStyle w:val="31"/>
            <w:tabs>
              <w:tab w:val="right" w:leader="dot" w:pos="8306"/>
            </w:tabs>
            <w:rPr>
              <w:rFonts w:ascii="仿宋" w:eastAsia="仿宋" w:cs="仿宋" w:hint="eastAsia"/>
              <w:sz w:val="24"/>
              <w:szCs w:val="24"/>
            </w:rPr>
          </w:pPr>
          <w:sdt>
            <w:sdtPr>
              <w:rPr>
                <w:rFonts w:ascii="仿宋" w:eastAsia="仿宋" w:cs="仿宋" w:hint="eastAsia"/>
                <w:b/>
                <w:bCs/>
                <w:sz w:val="24"/>
                <w:szCs w:val="24"/>
              </w:rPr>
              <w:id w:val="-753558352"/>
              <w:placeholder>
                <w:docPart w:val="DE7E982E655F4B0BAA1E02B7B07E7263"/>
              </w:placeholder>
            </w:sdtPr>
            <w:sdtContent>
              <w:r>
                <w:rPr>
                  <w:rFonts w:ascii="仿宋" w:eastAsia="仿宋" w:cs="仿宋" w:hint="eastAsia"/>
                  <w:b/>
                  <w:bCs/>
                  <w:sz w:val="24"/>
                  <w:szCs w:val="24"/>
                </w:rPr>
                <w:fldChar w:fldCharType="begin"/>
              </w:r>
              <w:r>
                <w:instrText>HYPERLINK  \l "_Toc7767_WPSOffice_Level1"</w:instrText>
              </w:r>
              <w:r>
                <w:rPr>
                  <w:rFonts w:ascii="仿宋" w:eastAsia="仿宋" w:cs="仿宋" w:hint="eastAsia"/>
                  <w:b/>
                  <w:bCs/>
                  <w:sz w:val="24"/>
                  <w:szCs w:val="24"/>
                </w:rPr>
                <w:fldChar w:fldCharType="separate"/>
              </w:r>
              <w:r>
                <w:rPr>
                  <w:rFonts w:ascii="仿宋" w:eastAsia="仿宋" w:cs="仿宋" w:hint="eastAsia"/>
                  <w:b/>
                  <w:bCs/>
                  <w:sz w:val="24"/>
                  <w:szCs w:val="24"/>
                </w:rPr>
                <w:t>第一部分 单位概况</w:t>
              </w:r>
            </w:sdtContent>
          </w:sdt>
          <w:r>
            <w:rPr>
              <w:rFonts w:ascii="仿宋" w:eastAsia="仿宋" w:cs="仿宋" w:hint="eastAsia"/>
              <w:b/>
              <w:bCs/>
              <w:sz w:val="24"/>
              <w:szCs w:val="24"/>
            </w:rPr>
            <w:tab/>
            <w:t>3</w:t>
          </w:r>
          <w:r>
            <w:rPr>
              <w:rFonts w:ascii="仿宋" w:eastAsia="仿宋" w:cs="仿宋" w:hint="eastAsia"/>
              <w:b/>
              <w:bCs/>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808347910"/>
              <w:placeholder>
                <w:docPart w:val="DE7E982E655F4B0BAA1E02B7B07E7263"/>
              </w:placeholder>
            </w:sdtPr>
            <w:sdtContent>
              <w:r>
                <w:rPr>
                  <w:rFonts w:ascii="宋体" w:eastAsia="宋体" w:cs="宋体" w:hint="eastAsia"/>
                  <w:sz w:val="24"/>
                  <w:szCs w:val="24"/>
                </w:rPr>
                <w:fldChar w:fldCharType="begin"/>
              </w:r>
              <w:r>
                <w:instrText>HYPERLINK  \l "_Toc5482_WPSOffice_Level2"</w:instrText>
              </w:r>
              <w:r>
                <w:rPr>
                  <w:rFonts w:ascii="宋体" w:eastAsia="宋体" w:cs="宋体" w:hint="eastAsia"/>
                  <w:sz w:val="24"/>
                  <w:szCs w:val="24"/>
                </w:rPr>
                <w:fldChar w:fldCharType="separate"/>
              </w:r>
              <w:r>
                <w:rPr>
                  <w:rFonts w:ascii="宋体" w:eastAsia="宋体" w:cs="宋体" w:hint="eastAsia"/>
                  <w:sz w:val="24"/>
                  <w:szCs w:val="24"/>
                </w:rPr>
                <w:t>一、 主要职责</w:t>
              </w:r>
            </w:sdtContent>
          </w:sdt>
          <w:r>
            <w:rPr>
              <w:rFonts w:ascii="宋体" w:eastAsia="宋体" w:cs="宋体" w:hint="eastAsia"/>
              <w:sz w:val="24"/>
              <w:szCs w:val="24"/>
            </w:rPr>
            <w:tab/>
            <w:t>3</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2031333479"/>
              <w:placeholder>
                <w:docPart w:val="DE7E982E655F4B0BAA1E02B7B07E7263"/>
              </w:placeholder>
            </w:sdtPr>
            <w:sdtContent>
              <w:r>
                <w:rPr>
                  <w:rFonts w:ascii="宋体" w:eastAsia="宋体" w:cs="宋体" w:hint="eastAsia"/>
                  <w:sz w:val="24"/>
                  <w:szCs w:val="24"/>
                </w:rPr>
                <w:fldChar w:fldCharType="begin"/>
              </w:r>
              <w:r>
                <w:instrText>HYPERLINK  \l "_Toc8898_WPSOffice_Level2"</w:instrText>
              </w:r>
              <w:r>
                <w:rPr>
                  <w:rFonts w:ascii="宋体" w:eastAsia="宋体" w:cs="宋体" w:hint="eastAsia"/>
                  <w:sz w:val="24"/>
                  <w:szCs w:val="24"/>
                </w:rPr>
                <w:fldChar w:fldCharType="separate"/>
              </w:r>
              <w:r>
                <w:rPr>
                  <w:rFonts w:ascii="宋体" w:eastAsia="宋体" w:cs="宋体" w:hint="eastAsia"/>
                  <w:sz w:val="24"/>
                  <w:szCs w:val="24"/>
                </w:rPr>
                <w:t>二、机构设置</w:t>
              </w:r>
            </w:sdtContent>
          </w:sdt>
          <w:r>
            <w:rPr>
              <w:rFonts w:ascii="宋体" w:eastAsia="宋体" w:cs="宋体" w:hint="eastAsia"/>
              <w:sz w:val="24"/>
              <w:szCs w:val="24"/>
            </w:rPr>
            <w:tab/>
            <w:t>3</w:t>
          </w:r>
          <w:r>
            <w:rPr>
              <w:rFonts w:ascii="宋体" w:eastAsia="宋体" w:cs="宋体" w:hint="eastAsia"/>
              <w:sz w:val="24"/>
              <w:szCs w:val="24"/>
            </w:rPr>
            <w:fldChar w:fldCharType="end"/>
          </w:r>
        </w:p>
        <w:p>
          <w:pPr>
            <w:pStyle w:val="31"/>
            <w:tabs>
              <w:tab w:val="right" w:leader="dot" w:pos="8306"/>
            </w:tabs>
            <w:rPr>
              <w:rFonts w:ascii="仿宋" w:eastAsia="仿宋" w:cs="仿宋" w:hint="eastAsia"/>
              <w:b/>
              <w:bCs/>
              <w:sz w:val="24"/>
              <w:szCs w:val="24"/>
            </w:rPr>
          </w:pPr>
          <w:sdt>
            <w:sdtPr>
              <w:rPr>
                <w:rFonts w:ascii="仿宋" w:eastAsia="仿宋" w:cs="仿宋" w:hint="eastAsia"/>
                <w:b/>
                <w:bCs/>
                <w:sz w:val="24"/>
                <w:szCs w:val="24"/>
              </w:rPr>
              <w:id w:val="-1888421451"/>
              <w:placeholder>
                <w:docPart w:val="DE7E982E655F4B0BAA1E02B7B07E7263"/>
              </w:placeholder>
            </w:sdtPr>
            <w:sdtContent>
              <w:r>
                <w:rPr>
                  <w:rFonts w:ascii="仿宋" w:eastAsia="仿宋" w:cs="仿宋" w:hint="eastAsia"/>
                  <w:b/>
                  <w:bCs/>
                  <w:sz w:val="24"/>
                  <w:szCs w:val="24"/>
                </w:rPr>
                <w:fldChar w:fldCharType="begin"/>
              </w:r>
              <w:r>
                <w:instrText>HYPERLINK  \l "_Toc5482_WPSOffice_Level1"</w:instrText>
              </w:r>
              <w:r>
                <w:rPr>
                  <w:rFonts w:ascii="仿宋" w:eastAsia="仿宋" w:cs="仿宋" w:hint="eastAsia"/>
                  <w:b/>
                  <w:bCs/>
                  <w:sz w:val="24"/>
                  <w:szCs w:val="24"/>
                </w:rPr>
                <w:fldChar w:fldCharType="separate"/>
              </w:r>
              <w:r>
                <w:rPr>
                  <w:rFonts w:ascii="仿宋" w:eastAsia="仿宋" w:cs="仿宋" w:hint="eastAsia"/>
                  <w:b/>
                  <w:bCs/>
                  <w:sz w:val="24"/>
                  <w:szCs w:val="24"/>
                </w:rPr>
                <w:t>第二部分 2022年度单位决算情况说明</w:t>
              </w:r>
            </w:sdtContent>
          </w:sdt>
          <w:r>
            <w:rPr>
              <w:rFonts w:ascii="仿宋" w:eastAsia="仿宋" w:cs="仿宋" w:hint="eastAsia"/>
              <w:b/>
              <w:bCs/>
              <w:sz w:val="24"/>
              <w:szCs w:val="24"/>
            </w:rPr>
            <w:tab/>
            <w:t>3</w:t>
          </w:r>
          <w:r>
            <w:rPr>
              <w:rFonts w:ascii="仿宋" w:eastAsia="仿宋" w:cs="仿宋" w:hint="eastAsia"/>
              <w:b/>
              <w:bCs/>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659316131"/>
              <w:placeholder>
                <w:docPart w:val="DE7E982E655F4B0BAA1E02B7B07E7263"/>
              </w:placeholder>
            </w:sdtPr>
            <w:sdtContent>
              <w:r>
                <w:rPr>
                  <w:rFonts w:ascii="宋体" w:eastAsia="宋体" w:cs="宋体"/>
                  <w:sz w:val="24"/>
                  <w:szCs w:val="24"/>
                </w:rPr>
                <w:fldChar w:fldCharType="begin"/>
              </w:r>
              <w:r>
                <w:instrText>HYPERLINK  \l "_Toc20802_WPSOffice_Level2"</w:instrText>
              </w:r>
              <w:r>
                <w:rPr>
                  <w:rFonts w:ascii="宋体" w:eastAsia="宋体" w:cs="宋体"/>
                  <w:sz w:val="24"/>
                  <w:szCs w:val="24"/>
                </w:rPr>
                <w:fldChar w:fldCharType="separate"/>
              </w:r>
              <w:r>
                <w:rPr>
                  <w:rFonts w:ascii="宋体" w:eastAsia="宋体" w:cs="宋体"/>
                  <w:sz w:val="24"/>
                  <w:szCs w:val="24"/>
                </w:rPr>
                <w:t xml:space="preserve">一、 </w:t>
              </w:r>
              <w:r>
                <w:rPr>
                  <w:rFonts w:ascii="宋体" w:eastAsia="宋体" w:cs="宋体" w:hint="eastAsia"/>
                  <w:sz w:val="24"/>
                  <w:szCs w:val="24"/>
                </w:rPr>
                <w:t>收入支出决算总体情况说明</w:t>
              </w:r>
            </w:sdtContent>
          </w:sdt>
          <w:r>
            <w:rPr>
              <w:rFonts w:ascii="宋体" w:eastAsia="宋体" w:cs="宋体" w:hint="eastAsia"/>
              <w:sz w:val="24"/>
              <w:szCs w:val="24"/>
            </w:rPr>
            <w:tab/>
            <w:t>3</w:t>
          </w:r>
          <w:r>
            <w:rPr>
              <w:rFonts w:ascii="宋体" w:eastAsia="宋体" w:cs="宋体"/>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56630180"/>
              <w:placeholder>
                <w:docPart w:val="DE7E982E655F4B0BAA1E02B7B07E7263"/>
              </w:placeholder>
            </w:sdtPr>
            <w:sdtContent>
              <w:r>
                <w:rPr>
                  <w:rFonts w:ascii="宋体" w:eastAsia="宋体" w:cs="宋体"/>
                  <w:sz w:val="24"/>
                  <w:szCs w:val="24"/>
                </w:rPr>
                <w:fldChar w:fldCharType="begin"/>
              </w:r>
              <w:r>
                <w:instrText>HYPERLINK  \l "_Toc7767_WPSOffice_Level2"</w:instrText>
              </w:r>
              <w:r>
                <w:rPr>
                  <w:rFonts w:ascii="宋体" w:eastAsia="宋体" w:cs="宋体"/>
                  <w:sz w:val="24"/>
                  <w:szCs w:val="24"/>
                </w:rPr>
                <w:fldChar w:fldCharType="separate"/>
              </w:r>
              <w:r>
                <w:rPr>
                  <w:rFonts w:ascii="宋体" w:eastAsia="宋体" w:cs="宋体"/>
                  <w:sz w:val="24"/>
                  <w:szCs w:val="24"/>
                </w:rPr>
                <w:t xml:space="preserve">二、 </w:t>
              </w:r>
              <w:r>
                <w:rPr>
                  <w:rFonts w:ascii="宋体" w:eastAsia="宋体" w:cs="宋体" w:hint="eastAsia"/>
                  <w:sz w:val="24"/>
                  <w:szCs w:val="24"/>
                </w:rPr>
                <w:t>收入决算情况说明</w:t>
              </w:r>
            </w:sdtContent>
          </w:sdt>
          <w:r>
            <w:rPr>
              <w:rFonts w:ascii="宋体" w:eastAsia="宋体" w:cs="宋体" w:hint="eastAsia"/>
              <w:sz w:val="24"/>
              <w:szCs w:val="24"/>
            </w:rPr>
            <w:tab/>
            <w:t>4</w:t>
          </w:r>
          <w:r>
            <w:rPr>
              <w:rFonts w:ascii="宋体" w:eastAsia="宋体" w:cs="宋体"/>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487548679"/>
              <w:placeholder>
                <w:docPart w:val="DE7E982E655F4B0BAA1E02B7B07E7263"/>
              </w:placeholder>
            </w:sdtPr>
            <w:sdtContent>
              <w:r>
                <w:rPr>
                  <w:rFonts w:ascii="宋体" w:eastAsia="宋体" w:cs="宋体"/>
                  <w:sz w:val="24"/>
                  <w:szCs w:val="24"/>
                </w:rPr>
                <w:fldChar w:fldCharType="begin"/>
              </w:r>
              <w:r>
                <w:instrText>HYPERLINK  \l "_Toc22730_WPSOffice_Level2"</w:instrText>
              </w:r>
              <w:r>
                <w:rPr>
                  <w:rFonts w:ascii="宋体" w:eastAsia="宋体" w:cs="宋体"/>
                  <w:sz w:val="24"/>
                  <w:szCs w:val="24"/>
                </w:rPr>
                <w:fldChar w:fldCharType="separate"/>
              </w:r>
              <w:r>
                <w:rPr>
                  <w:rFonts w:ascii="宋体" w:eastAsia="宋体" w:cs="宋体"/>
                  <w:sz w:val="24"/>
                  <w:szCs w:val="24"/>
                </w:rPr>
                <w:t xml:space="preserve">三、 </w:t>
              </w:r>
              <w:r>
                <w:rPr>
                  <w:rFonts w:ascii="宋体" w:eastAsia="宋体" w:cs="宋体" w:hint="eastAsia"/>
                  <w:sz w:val="24"/>
                  <w:szCs w:val="24"/>
                </w:rPr>
                <w:t>支出决算情况说明</w:t>
              </w:r>
            </w:sdtContent>
          </w:sdt>
          <w:r>
            <w:rPr>
              <w:rFonts w:ascii="宋体" w:eastAsia="宋体" w:cs="宋体" w:hint="eastAsia"/>
              <w:sz w:val="24"/>
              <w:szCs w:val="24"/>
            </w:rPr>
            <w:tab/>
            <w:t>5</w:t>
          </w:r>
          <w:r>
            <w:rPr>
              <w:rFonts w:ascii="宋体" w:eastAsia="宋体" w:cs="宋体"/>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474169286"/>
              <w:placeholder>
                <w:docPart w:val="DE7E982E655F4B0BAA1E02B7B07E7263"/>
              </w:placeholder>
            </w:sdtPr>
            <w:sdtContent>
              <w:r>
                <w:rPr>
                  <w:rFonts w:ascii="宋体" w:eastAsia="宋体" w:cs="宋体" w:hint="eastAsia"/>
                  <w:sz w:val="24"/>
                  <w:szCs w:val="24"/>
                </w:rPr>
                <w:fldChar w:fldCharType="begin"/>
              </w:r>
              <w:r>
                <w:instrText>HYPERLINK  \l "_Toc519_WPSOffice_Level2"</w:instrText>
              </w:r>
              <w:r>
                <w:rPr>
                  <w:rFonts w:ascii="宋体" w:eastAsia="宋体" w:cs="宋体" w:hint="eastAsia"/>
                  <w:sz w:val="24"/>
                  <w:szCs w:val="24"/>
                </w:rPr>
                <w:fldChar w:fldCharType="separate"/>
              </w:r>
              <w:r>
                <w:rPr>
                  <w:rFonts w:ascii="宋体" w:eastAsia="宋体" w:cs="宋体" w:hint="eastAsia"/>
                  <w:sz w:val="24"/>
                  <w:szCs w:val="24"/>
                </w:rPr>
                <w:t>四、财政拨款收入支出决算总体情况说明</w:t>
              </w:r>
            </w:sdtContent>
          </w:sdt>
          <w:r>
            <w:rPr>
              <w:rFonts w:ascii="宋体" w:eastAsia="宋体" w:cs="宋体" w:hint="eastAsia"/>
              <w:sz w:val="24"/>
              <w:szCs w:val="24"/>
            </w:rPr>
            <w:tab/>
            <w:t>5</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755960456"/>
              <w:placeholder>
                <w:docPart w:val="DE7E982E655F4B0BAA1E02B7B07E7263"/>
              </w:placeholder>
            </w:sdtPr>
            <w:sdtContent>
              <w:r>
                <w:rPr>
                  <w:rFonts w:ascii="宋体" w:eastAsia="宋体" w:cs="宋体" w:hint="eastAsia"/>
                  <w:sz w:val="24"/>
                  <w:szCs w:val="24"/>
                </w:rPr>
                <w:fldChar w:fldCharType="begin"/>
              </w:r>
              <w:r>
                <w:instrText>HYPERLINK  \l "_Toc898_WPSOffice_Level2"</w:instrText>
              </w:r>
              <w:r>
                <w:rPr>
                  <w:rFonts w:ascii="宋体" w:eastAsia="宋体" w:cs="宋体" w:hint="eastAsia"/>
                  <w:sz w:val="24"/>
                  <w:szCs w:val="24"/>
                </w:rPr>
                <w:fldChar w:fldCharType="separate"/>
              </w:r>
              <w:r>
                <w:rPr>
                  <w:rFonts w:ascii="宋体" w:eastAsia="宋体" w:cs="宋体" w:hint="eastAsia"/>
                  <w:sz w:val="24"/>
                  <w:szCs w:val="24"/>
                </w:rPr>
                <w:t>五、一般公共预算财政拨款支出决算情况说明</w:t>
              </w:r>
            </w:sdtContent>
          </w:sdt>
          <w:r>
            <w:rPr>
              <w:rFonts w:ascii="宋体" w:eastAsia="宋体" w:cs="宋体" w:hint="eastAsia"/>
              <w:sz w:val="24"/>
              <w:szCs w:val="24"/>
            </w:rPr>
            <w:tab/>
            <w:t>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939199782"/>
              <w:placeholder>
                <w:docPart w:val="DE7E982E655F4B0BAA1E02B7B07E7263"/>
              </w:placeholder>
            </w:sdtPr>
            <w:sdtContent>
              <w:r>
                <w:rPr>
                  <w:rFonts w:ascii="宋体" w:eastAsia="宋体" w:cs="宋体" w:hint="eastAsia"/>
                  <w:sz w:val="24"/>
                  <w:szCs w:val="24"/>
                </w:rPr>
                <w:fldChar w:fldCharType="begin"/>
              </w:r>
              <w:r>
                <w:instrText>HYPERLINK  \l "_Toc12973_WPSOffice_Level2"</w:instrText>
              </w:r>
              <w:r>
                <w:rPr>
                  <w:rFonts w:ascii="宋体" w:eastAsia="宋体" w:cs="宋体" w:hint="eastAsia"/>
                  <w:sz w:val="24"/>
                  <w:szCs w:val="24"/>
                </w:rPr>
                <w:fldChar w:fldCharType="separate"/>
              </w:r>
              <w:r>
                <w:rPr>
                  <w:rFonts w:ascii="宋体" w:eastAsia="宋体" w:cs="宋体" w:hint="eastAsia"/>
                  <w:sz w:val="24"/>
                  <w:szCs w:val="24"/>
                </w:rPr>
                <w:t>六、一般公共预算财政拨款基本支出决算情况说明</w:t>
              </w:r>
            </w:sdtContent>
          </w:sdt>
          <w:r>
            <w:rPr>
              <w:rFonts w:ascii="宋体" w:eastAsia="宋体" w:cs="宋体" w:hint="eastAsia"/>
              <w:sz w:val="24"/>
              <w:szCs w:val="24"/>
            </w:rPr>
            <w:tab/>
            <w:t>8</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2064601332"/>
              <w:placeholder>
                <w:docPart w:val="DE7E982E655F4B0BAA1E02B7B07E7263"/>
              </w:placeholder>
            </w:sdtPr>
            <w:sdtContent>
              <w:r>
                <w:rPr>
                  <w:rFonts w:ascii="宋体" w:eastAsia="宋体" w:cs="宋体" w:hint="eastAsia"/>
                  <w:sz w:val="24"/>
                  <w:szCs w:val="24"/>
                </w:rPr>
                <w:fldChar w:fldCharType="begin"/>
              </w:r>
              <w:r>
                <w:instrText>HYPERLINK  \l "_Toc18629_WPSOffice_Level2"</w:instrText>
              </w:r>
              <w:r>
                <w:rPr>
                  <w:rFonts w:ascii="宋体" w:eastAsia="宋体" w:cs="宋体" w:hint="eastAsia"/>
                  <w:sz w:val="24"/>
                  <w:szCs w:val="24"/>
                </w:rPr>
                <w:fldChar w:fldCharType="separate"/>
              </w:r>
              <w:r>
                <w:rPr>
                  <w:rFonts w:ascii="宋体" w:eastAsia="宋体" w:cs="宋体" w:hint="eastAsia"/>
                  <w:sz w:val="24"/>
                  <w:szCs w:val="24"/>
                </w:rPr>
                <w:t>七、财政拨款“三公”经费支出决算情况说明</w:t>
              </w:r>
            </w:sdtContent>
          </w:sdt>
          <w:r>
            <w:rPr>
              <w:rFonts w:ascii="宋体" w:eastAsia="宋体" w:cs="宋体" w:hint="eastAsia"/>
              <w:sz w:val="24"/>
              <w:szCs w:val="24"/>
            </w:rPr>
            <w:tab/>
            <w:t>9</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594241159"/>
              <w:placeholder>
                <w:docPart w:val="DE7E982E655F4B0BAA1E02B7B07E7263"/>
              </w:placeholder>
            </w:sdtPr>
            <w:sdtContent>
              <w:r>
                <w:rPr>
                  <w:rFonts w:ascii="宋体" w:eastAsia="宋体" w:cs="宋体" w:hint="eastAsia"/>
                  <w:sz w:val="24"/>
                  <w:szCs w:val="24"/>
                </w:rPr>
                <w:fldChar w:fldCharType="begin"/>
              </w:r>
              <w:r>
                <w:instrText>HYPERLINK  \l "_Toc8291_WPSOffice_Level2"</w:instrText>
              </w:r>
              <w:r>
                <w:rPr>
                  <w:rFonts w:ascii="宋体" w:eastAsia="宋体" w:cs="宋体" w:hint="eastAsia"/>
                  <w:sz w:val="24"/>
                  <w:szCs w:val="24"/>
                </w:rPr>
                <w:fldChar w:fldCharType="separate"/>
              </w:r>
              <w:r>
                <w:rPr>
                  <w:rFonts w:ascii="宋体" w:eastAsia="宋体" w:cs="宋体" w:hint="eastAsia"/>
                  <w:sz w:val="24"/>
                  <w:szCs w:val="24"/>
                </w:rPr>
                <w:t>八、政府性基金预算支出决算情况说明</w:t>
              </w:r>
            </w:sdtContent>
          </w:sdt>
          <w:r>
            <w:rPr>
              <w:rFonts w:ascii="宋体" w:eastAsia="宋体" w:cs="宋体" w:hint="eastAsia"/>
              <w:sz w:val="24"/>
              <w:szCs w:val="24"/>
            </w:rPr>
            <w:tab/>
            <w:t>11</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214895515"/>
              <w:placeholder>
                <w:docPart w:val="DE7E982E655F4B0BAA1E02B7B07E7263"/>
              </w:placeholder>
            </w:sdtPr>
            <w:sdtContent>
              <w:r>
                <w:rPr>
                  <w:rFonts w:ascii="宋体" w:eastAsia="宋体" w:cs="宋体" w:hint="eastAsia"/>
                  <w:sz w:val="24"/>
                  <w:szCs w:val="24"/>
                </w:rPr>
                <w:fldChar w:fldCharType="begin"/>
              </w:r>
              <w:r>
                <w:instrText>HYPERLINK  \l "_Toc32206_WPSOffice_Level2"</w:instrText>
              </w:r>
              <w:r>
                <w:rPr>
                  <w:rFonts w:ascii="宋体" w:eastAsia="宋体" w:cs="宋体" w:hint="eastAsia"/>
                  <w:sz w:val="24"/>
                  <w:szCs w:val="24"/>
                </w:rPr>
                <w:fldChar w:fldCharType="separate"/>
              </w:r>
              <w:r>
                <w:rPr>
                  <w:rFonts w:ascii="宋体" w:eastAsia="宋体" w:cs="宋体" w:hint="eastAsia"/>
                  <w:sz w:val="24"/>
                  <w:szCs w:val="24"/>
                </w:rPr>
                <w:t>九、 国有资本经营预算支出决算情况说明</w:t>
              </w:r>
            </w:sdtContent>
          </w:sdt>
          <w:r>
            <w:rPr>
              <w:rFonts w:ascii="宋体" w:eastAsia="宋体" w:cs="宋体" w:hint="eastAsia"/>
              <w:sz w:val="24"/>
              <w:szCs w:val="24"/>
            </w:rPr>
            <w:tab/>
            <w:t>11</w:t>
          </w:r>
          <w:r>
            <w:rPr>
              <w:rFonts w:ascii="宋体" w:eastAsia="宋体" w:cs="宋体" w:hint="eastAsia"/>
              <w:sz w:val="24"/>
              <w:szCs w:val="24"/>
            </w:rPr>
            <w:fldChar w:fldCharType="end"/>
          </w:r>
        </w:p>
        <w:p>
          <w:pPr>
            <w:pStyle w:val="32"/>
            <w:tabs>
              <w:tab w:val="right" w:leader="dot" w:pos="8306"/>
            </w:tabs>
          </w:pPr>
          <w:sdt>
            <w:sdtPr>
              <w:rPr>
                <w:rFonts w:ascii="宋体" w:eastAsia="宋体" w:cs="宋体" w:hint="eastAsia"/>
                <w:sz w:val="24"/>
                <w:szCs w:val="24"/>
              </w:rPr>
              <w:id w:val="-1269342032"/>
              <w:placeholder>
                <w:docPart w:val="DE7E982E655F4B0BAA1E02B7B07E7263"/>
              </w:placeholder>
            </w:sdtPr>
            <w:sdtContent>
              <w:r>
                <w:rPr>
                  <w:rFonts w:ascii="宋体" w:eastAsia="宋体" w:cs="宋体" w:hint="eastAsia"/>
                  <w:sz w:val="24"/>
                  <w:szCs w:val="24"/>
                </w:rPr>
                <w:fldChar w:fldCharType="begin"/>
              </w:r>
              <w:r>
                <w:instrText>HYPERLINK  \l "_Toc25325_WPSOffice_Level2"</w:instrText>
              </w:r>
              <w:r>
                <w:rPr>
                  <w:rFonts w:ascii="宋体" w:eastAsia="宋体" w:cs="宋体" w:hint="eastAsia"/>
                  <w:sz w:val="24"/>
                  <w:szCs w:val="24"/>
                </w:rPr>
                <w:fldChar w:fldCharType="separate"/>
              </w:r>
              <w:r>
                <w:rPr>
                  <w:rFonts w:ascii="宋体" w:eastAsia="宋体" w:cs="宋体" w:hint="eastAsia"/>
                  <w:sz w:val="24"/>
                  <w:szCs w:val="24"/>
                </w:rPr>
                <w:t>十、 其他重要事项的情况说明</w:t>
              </w:r>
            </w:sdtContent>
          </w:sdt>
          <w:r>
            <w:rPr>
              <w:rFonts w:ascii="宋体" w:eastAsia="宋体" w:cs="宋体" w:hint="eastAsia"/>
              <w:sz w:val="24"/>
              <w:szCs w:val="24"/>
            </w:rPr>
            <w:tab/>
            <w:t>11</w:t>
          </w:r>
          <w:r>
            <w:rPr>
              <w:rFonts w:ascii="宋体" w:eastAsia="宋体" w:cs="宋体" w:hint="eastAsia"/>
              <w:sz w:val="24"/>
              <w:szCs w:val="24"/>
            </w:rPr>
            <w:fldChar w:fldCharType="end"/>
          </w:r>
        </w:p>
        <w:p>
          <w:pPr>
            <w:pStyle w:val="31"/>
            <w:tabs>
              <w:tab w:val="right" w:leader="dot" w:pos="8306"/>
            </w:tabs>
            <w:rPr>
              <w:rFonts w:ascii="仿宋" w:eastAsia="仿宋" w:cs="仿宋" w:hint="eastAsia"/>
              <w:b/>
              <w:bCs/>
              <w:sz w:val="24"/>
              <w:szCs w:val="24"/>
            </w:rPr>
          </w:pPr>
          <w:sdt>
            <w:sdtPr>
              <w:rPr>
                <w:rFonts w:ascii="仿宋" w:eastAsia="仿宋" w:cs="仿宋" w:hint="eastAsia"/>
                <w:b/>
                <w:bCs/>
                <w:sz w:val="24"/>
                <w:szCs w:val="24"/>
              </w:rPr>
              <w:id w:val="-1721874204"/>
              <w:placeholder>
                <w:docPart w:val="DE7E982E655F4B0BAA1E02B7B07E7263"/>
              </w:placeholder>
            </w:sdtPr>
            <w:sdtContent>
              <w:r>
                <w:rPr>
                  <w:rFonts w:ascii="仿宋" w:eastAsia="仿宋" w:cs="仿宋" w:hint="eastAsia"/>
                  <w:b/>
                  <w:bCs/>
                  <w:sz w:val="24"/>
                  <w:szCs w:val="24"/>
                </w:rPr>
                <w:fldChar w:fldCharType="begin"/>
              </w:r>
              <w:r>
                <w:instrText>HYPERLINK  \l "_Toc8898_WPSOffice_Level1"</w:instrText>
              </w:r>
              <w:r>
                <w:rPr>
                  <w:rFonts w:ascii="仿宋" w:eastAsia="仿宋" w:cs="仿宋" w:hint="eastAsia"/>
                  <w:b/>
                  <w:bCs/>
                  <w:sz w:val="24"/>
                  <w:szCs w:val="24"/>
                </w:rPr>
                <w:fldChar w:fldCharType="separate"/>
              </w:r>
              <w:r>
                <w:rPr>
                  <w:rFonts w:ascii="仿宋" w:eastAsia="仿宋" w:cs="仿宋" w:hint="eastAsia"/>
                  <w:b/>
                  <w:bCs/>
                  <w:sz w:val="24"/>
                  <w:szCs w:val="24"/>
                </w:rPr>
                <w:t>第三部分 名词解释</w:t>
              </w:r>
            </w:sdtContent>
          </w:sdt>
          <w:r>
            <w:rPr>
              <w:rFonts w:ascii="仿宋" w:eastAsia="仿宋" w:cs="仿宋" w:hint="eastAsia"/>
              <w:b/>
              <w:bCs/>
              <w:sz w:val="24"/>
              <w:szCs w:val="24"/>
            </w:rPr>
            <w:tab/>
            <w:t>13</w:t>
          </w:r>
          <w:r>
            <w:rPr>
              <w:rFonts w:ascii="仿宋" w:eastAsia="仿宋" w:cs="仿宋" w:hint="eastAsia"/>
              <w:b/>
              <w:bCs/>
              <w:sz w:val="24"/>
              <w:szCs w:val="24"/>
            </w:rPr>
            <w:fldChar w:fldCharType="end"/>
          </w:r>
        </w:p>
        <w:p>
          <w:pPr>
            <w:pStyle w:val="31"/>
            <w:tabs>
              <w:tab w:val="right" w:leader="dot" w:pos="8306"/>
            </w:tabs>
            <w:rPr>
              <w:rFonts w:ascii="仿宋" w:eastAsia="仿宋" w:cs="仿宋" w:hint="eastAsia"/>
              <w:b/>
              <w:bCs/>
              <w:sz w:val="24"/>
              <w:szCs w:val="24"/>
            </w:rPr>
          </w:pPr>
          <w:sdt>
            <w:sdtPr>
              <w:rPr>
                <w:rFonts w:ascii="仿宋" w:eastAsia="仿宋" w:cs="仿宋" w:hint="eastAsia"/>
                <w:b/>
                <w:bCs/>
                <w:sz w:val="24"/>
                <w:szCs w:val="24"/>
              </w:rPr>
              <w:id w:val="-77330574"/>
              <w:placeholder>
                <w:docPart w:val="DE7E982E655F4B0BAA1E02B7B07E7263"/>
              </w:placeholder>
            </w:sdtPr>
            <w:sdtContent>
              <w:r>
                <w:rPr>
                  <w:rFonts w:ascii="仿宋" w:eastAsia="仿宋" w:cs="仿宋" w:hint="eastAsia"/>
                  <w:b/>
                  <w:bCs/>
                  <w:sz w:val="24"/>
                  <w:szCs w:val="24"/>
                </w:rPr>
                <w:fldChar w:fldCharType="begin"/>
              </w:r>
              <w:r>
                <w:instrText>HYPERLINK  \l "_Toc20802_WPSOffice_Level1"</w:instrText>
              </w:r>
              <w:r>
                <w:rPr>
                  <w:rFonts w:ascii="仿宋" w:eastAsia="仿宋" w:cs="仿宋" w:hint="eastAsia"/>
                  <w:b/>
                  <w:bCs/>
                  <w:sz w:val="24"/>
                  <w:szCs w:val="24"/>
                </w:rPr>
                <w:fldChar w:fldCharType="separate"/>
              </w:r>
              <w:r>
                <w:rPr>
                  <w:rFonts w:ascii="仿宋" w:eastAsia="仿宋" w:cs="仿宋" w:hint="eastAsia"/>
                  <w:b/>
                  <w:bCs/>
                  <w:sz w:val="24"/>
                  <w:szCs w:val="24"/>
                </w:rPr>
                <w:t>第四部分 附件</w:t>
              </w:r>
            </w:sdtContent>
          </w:sdt>
          <w:r>
            <w:rPr>
              <w:rFonts w:ascii="仿宋" w:eastAsia="仿宋" w:cs="仿宋" w:hint="eastAsia"/>
              <w:b/>
              <w:bCs/>
              <w:sz w:val="24"/>
              <w:szCs w:val="24"/>
            </w:rPr>
            <w:tab/>
            <w:t>15</w:t>
          </w:r>
          <w:r>
            <w:rPr>
              <w:rFonts w:ascii="仿宋" w:eastAsia="仿宋" w:cs="仿宋" w:hint="eastAsia"/>
              <w:b/>
              <w:bCs/>
              <w:sz w:val="24"/>
              <w:szCs w:val="24"/>
            </w:rPr>
            <w:fldChar w:fldCharType="end"/>
          </w:r>
        </w:p>
        <w:p>
          <w:pPr>
            <w:pStyle w:val="31"/>
            <w:tabs>
              <w:tab w:val="right" w:leader="dot" w:pos="8306"/>
            </w:tabs>
          </w:pPr>
          <w:sdt>
            <w:sdtPr>
              <w:rPr>
                <w:rFonts w:ascii="仿宋" w:eastAsia="仿宋" w:cs="仿宋" w:hint="eastAsia"/>
                <w:b/>
                <w:bCs/>
                <w:sz w:val="24"/>
                <w:szCs w:val="24"/>
              </w:rPr>
              <w:id w:val="-20479272"/>
              <w:placeholder>
                <w:docPart w:val="DE7E982E655F4B0BAA1E02B7B07E7263"/>
              </w:placeholder>
            </w:sdtPr>
            <w:sdtContent>
              <w:r>
                <w:rPr>
                  <w:rFonts w:ascii="仿宋" w:eastAsia="仿宋" w:cs="仿宋" w:hint="eastAsia"/>
                  <w:b/>
                  <w:bCs/>
                  <w:sz w:val="24"/>
                  <w:szCs w:val="24"/>
                </w:rPr>
                <w:fldChar w:fldCharType="begin"/>
              </w:r>
              <w:r>
                <w:instrText>HYPERLINK  \l "_Toc22730_WPSOffice_Level1"</w:instrText>
              </w:r>
              <w:r>
                <w:rPr>
                  <w:rFonts w:ascii="仿宋" w:eastAsia="仿宋" w:cs="仿宋" w:hint="eastAsia"/>
                  <w:b/>
                  <w:bCs/>
                  <w:sz w:val="24"/>
                  <w:szCs w:val="24"/>
                </w:rPr>
                <w:fldChar w:fldCharType="separate"/>
              </w:r>
              <w:r>
                <w:rPr>
                  <w:rFonts w:ascii="仿宋" w:eastAsia="仿宋" w:cs="仿宋" w:hint="eastAsia"/>
                  <w:b/>
                  <w:bCs/>
                  <w:sz w:val="24"/>
                  <w:szCs w:val="24"/>
                </w:rPr>
                <w:t>第五部分 附表</w:t>
              </w:r>
            </w:sdtContent>
          </w:sdt>
          <w:r>
            <w:rPr>
              <w:rFonts w:ascii="仿宋" w:eastAsia="仿宋" w:cs="仿宋" w:hint="eastAsia"/>
              <w:b/>
              <w:bCs/>
              <w:sz w:val="24"/>
              <w:szCs w:val="24"/>
            </w:rPr>
            <w:tab/>
            <w:t>16</w:t>
          </w:r>
          <w:r>
            <w:rPr>
              <w:rFonts w:ascii="仿宋" w:eastAsia="仿宋" w:cs="仿宋" w:hint="eastAsia"/>
              <w:b/>
              <w:bCs/>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515880704"/>
              <w:placeholder>
                <w:docPart w:val="DE7E982E655F4B0BAA1E02B7B07E7263"/>
              </w:placeholder>
            </w:sdtPr>
            <w:sdtContent>
              <w:r>
                <w:rPr>
                  <w:rFonts w:ascii="宋体" w:eastAsia="宋体" w:cs="宋体" w:hint="eastAsia"/>
                  <w:sz w:val="24"/>
                  <w:szCs w:val="24"/>
                </w:rPr>
                <w:fldChar w:fldCharType="begin"/>
              </w:r>
              <w:r>
                <w:instrText>HYPERLINK  \l "_Toc20195_WPSOffice_Level2"</w:instrText>
              </w:r>
              <w:r>
                <w:rPr>
                  <w:rFonts w:ascii="宋体" w:eastAsia="宋体" w:cs="宋体" w:hint="eastAsia"/>
                  <w:sz w:val="24"/>
                  <w:szCs w:val="24"/>
                </w:rPr>
                <w:fldChar w:fldCharType="separate"/>
              </w:r>
              <w:r>
                <w:rPr>
                  <w:rFonts w:ascii="宋体" w:eastAsia="宋体" w:cs="宋体" w:hint="eastAsia"/>
                  <w:sz w:val="24"/>
                  <w:szCs w:val="24"/>
                </w:rPr>
                <w:t>一、收入支出决算总表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073001751"/>
              <w:placeholder>
                <w:docPart w:val="DE7E982E655F4B0BAA1E02B7B07E7263"/>
              </w:placeholder>
            </w:sdtPr>
            <w:sdtContent>
              <w:r>
                <w:rPr>
                  <w:rFonts w:ascii="宋体" w:eastAsia="宋体" w:cs="宋体" w:hint="eastAsia"/>
                  <w:sz w:val="24"/>
                  <w:szCs w:val="24"/>
                </w:rPr>
                <w:fldChar w:fldCharType="begin"/>
              </w:r>
              <w:r>
                <w:instrText>HYPERLINK  \l "_Toc17995_WPSOffice_Level2"</w:instrText>
              </w:r>
              <w:r>
                <w:rPr>
                  <w:rFonts w:ascii="宋体" w:eastAsia="宋体" w:cs="宋体" w:hint="eastAsia"/>
                  <w:sz w:val="24"/>
                  <w:szCs w:val="24"/>
                </w:rPr>
                <w:fldChar w:fldCharType="separate"/>
              </w:r>
              <w:r>
                <w:rPr>
                  <w:rFonts w:ascii="宋体" w:eastAsia="宋体" w:cs="宋体" w:hint="eastAsia"/>
                  <w:sz w:val="24"/>
                  <w:szCs w:val="24"/>
                </w:rPr>
                <w:t>二、收入决算表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98987608"/>
              <w:placeholder>
                <w:docPart w:val="DE7E982E655F4B0BAA1E02B7B07E7263"/>
              </w:placeholder>
            </w:sdtPr>
            <w:sdtContent>
              <w:r>
                <w:rPr>
                  <w:rFonts w:ascii="宋体" w:eastAsia="宋体" w:cs="宋体" w:hint="eastAsia"/>
                  <w:sz w:val="24"/>
                  <w:szCs w:val="24"/>
                </w:rPr>
                <w:fldChar w:fldCharType="begin"/>
              </w:r>
              <w:r>
                <w:instrText>HYPERLINK  \l "_Toc28854_WPSOffice_Level2"</w:instrText>
              </w:r>
              <w:r>
                <w:rPr>
                  <w:rFonts w:ascii="宋体" w:eastAsia="宋体" w:cs="宋体" w:hint="eastAsia"/>
                  <w:sz w:val="24"/>
                  <w:szCs w:val="24"/>
                </w:rPr>
                <w:fldChar w:fldCharType="separate"/>
              </w:r>
              <w:r>
                <w:rPr>
                  <w:rFonts w:ascii="宋体" w:eastAsia="宋体" w:cs="宋体" w:hint="eastAsia"/>
                  <w:sz w:val="24"/>
                  <w:szCs w:val="24"/>
                </w:rPr>
                <w:t>三、支出决算表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209975451"/>
              <w:placeholder>
                <w:docPart w:val="DE7E982E655F4B0BAA1E02B7B07E7263"/>
              </w:placeholder>
            </w:sdtPr>
            <w:sdtContent>
              <w:r>
                <w:rPr>
                  <w:rFonts w:ascii="宋体" w:eastAsia="宋体" w:cs="宋体" w:hint="eastAsia"/>
                  <w:sz w:val="24"/>
                  <w:szCs w:val="24"/>
                </w:rPr>
                <w:fldChar w:fldCharType="begin"/>
              </w:r>
              <w:r>
                <w:instrText>HYPERLINK  \l "_Toc29693_WPSOffice_Level2"</w:instrText>
              </w:r>
              <w:r>
                <w:rPr>
                  <w:rFonts w:ascii="宋体" w:eastAsia="宋体" w:cs="宋体" w:hint="eastAsia"/>
                  <w:sz w:val="24"/>
                  <w:szCs w:val="24"/>
                </w:rPr>
                <w:fldChar w:fldCharType="separate"/>
              </w:r>
              <w:r>
                <w:rPr>
                  <w:rFonts w:ascii="宋体" w:eastAsia="宋体" w:cs="宋体" w:hint="eastAsia"/>
                  <w:sz w:val="24"/>
                  <w:szCs w:val="24"/>
                </w:rPr>
                <w:t>四、财政拨款收入支出决算总表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69970787"/>
              <w:placeholder>
                <w:docPart w:val="DE7E982E655F4B0BAA1E02B7B07E7263"/>
              </w:placeholder>
            </w:sdtPr>
            <w:sdtContent>
              <w:r>
                <w:rPr>
                  <w:rFonts w:ascii="宋体" w:eastAsia="宋体" w:cs="宋体" w:hint="eastAsia"/>
                  <w:sz w:val="24"/>
                  <w:szCs w:val="24"/>
                </w:rPr>
                <w:fldChar w:fldCharType="begin"/>
              </w:r>
              <w:r>
                <w:instrText>HYPERLINK  \l "_Toc1342_WPSOffice_Level2"</w:instrText>
              </w:r>
              <w:r>
                <w:rPr>
                  <w:rFonts w:ascii="宋体" w:eastAsia="宋体" w:cs="宋体" w:hint="eastAsia"/>
                  <w:sz w:val="24"/>
                  <w:szCs w:val="24"/>
                </w:rPr>
                <w:fldChar w:fldCharType="separate"/>
              </w:r>
              <w:r>
                <w:rPr>
                  <w:rFonts w:ascii="宋体" w:eastAsia="宋体" w:cs="宋体" w:hint="eastAsia"/>
                  <w:sz w:val="24"/>
                  <w:szCs w:val="24"/>
                </w:rPr>
                <w:t>五、财政拨款支出决算明细表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263911811"/>
              <w:placeholder>
                <w:docPart w:val="DE7E982E655F4B0BAA1E02B7B07E7263"/>
              </w:placeholder>
            </w:sdtPr>
            <w:sdtContent>
              <w:r>
                <w:rPr>
                  <w:rFonts w:ascii="宋体" w:eastAsia="宋体" w:cs="宋体" w:hint="eastAsia"/>
                  <w:sz w:val="24"/>
                  <w:szCs w:val="24"/>
                </w:rPr>
                <w:fldChar w:fldCharType="begin"/>
              </w:r>
              <w:r>
                <w:instrText>HYPERLINK  \l "_Toc22573_WPSOffice_Level2"</w:instrText>
              </w:r>
              <w:r>
                <w:rPr>
                  <w:rFonts w:ascii="宋体" w:eastAsia="宋体" w:cs="宋体" w:hint="eastAsia"/>
                  <w:sz w:val="24"/>
                  <w:szCs w:val="24"/>
                </w:rPr>
                <w:fldChar w:fldCharType="separate"/>
              </w:r>
              <w:r>
                <w:rPr>
                  <w:rFonts w:ascii="宋体" w:eastAsia="宋体" w:cs="宋体" w:hint="eastAsia"/>
                  <w:sz w:val="24"/>
                  <w:szCs w:val="24"/>
                </w:rPr>
                <w:t>六、一般公共预算财政拨款支出决算表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2122954194"/>
              <w:placeholder>
                <w:docPart w:val="DE7E982E655F4B0BAA1E02B7B07E7263"/>
              </w:placeholder>
            </w:sdtPr>
            <w:sdtContent>
              <w:r>
                <w:rPr>
                  <w:rFonts w:ascii="宋体" w:eastAsia="宋体" w:cs="宋体" w:hint="eastAsia"/>
                  <w:sz w:val="24"/>
                  <w:szCs w:val="24"/>
                </w:rPr>
                <w:fldChar w:fldCharType="begin"/>
              </w:r>
              <w:r>
                <w:instrText>HYPERLINK  \l "_Toc895_WPSOffice_Level2"</w:instrText>
              </w:r>
              <w:r>
                <w:rPr>
                  <w:rFonts w:ascii="宋体" w:eastAsia="宋体" w:cs="宋体" w:hint="eastAsia"/>
                  <w:sz w:val="24"/>
                  <w:szCs w:val="24"/>
                </w:rPr>
                <w:fldChar w:fldCharType="separate"/>
              </w:r>
              <w:r>
                <w:rPr>
                  <w:rFonts w:ascii="宋体" w:eastAsia="宋体" w:cs="宋体" w:hint="eastAsia"/>
                  <w:sz w:val="24"/>
                  <w:szCs w:val="24"/>
                </w:rPr>
                <w:t>七、一般公共预算财政拨款支出决算明细表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586035558"/>
              <w:placeholder>
                <w:docPart w:val="DE7E982E655F4B0BAA1E02B7B07E7263"/>
              </w:placeholder>
            </w:sdtPr>
            <w:sdtContent>
              <w:r>
                <w:rPr>
                  <w:rFonts w:ascii="宋体" w:eastAsia="宋体" w:cs="宋体" w:hint="eastAsia"/>
                  <w:sz w:val="24"/>
                  <w:szCs w:val="24"/>
                </w:rPr>
                <w:fldChar w:fldCharType="begin"/>
              </w:r>
              <w:r>
                <w:instrText>HYPERLINK  \l "_Toc11419_WPSOffice_Level2"</w:instrText>
              </w:r>
              <w:r>
                <w:rPr>
                  <w:rFonts w:ascii="宋体" w:eastAsia="宋体" w:cs="宋体" w:hint="eastAsia"/>
                  <w:sz w:val="24"/>
                  <w:szCs w:val="24"/>
                </w:rPr>
                <w:fldChar w:fldCharType="separate"/>
              </w:r>
              <w:r>
                <w:rPr>
                  <w:rFonts w:ascii="宋体" w:eastAsia="宋体" w:cs="宋体" w:hint="eastAsia"/>
                  <w:sz w:val="24"/>
                  <w:szCs w:val="24"/>
                </w:rPr>
                <w:t>八、一般公共预算财政拨款基本支出决算表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374600482"/>
              <w:placeholder>
                <w:docPart w:val="DE7E982E655F4B0BAA1E02B7B07E7263"/>
              </w:placeholder>
            </w:sdtPr>
            <w:sdtContent>
              <w:r>
                <w:rPr>
                  <w:rFonts w:ascii="宋体" w:eastAsia="宋体" w:cs="宋体" w:hint="eastAsia"/>
                  <w:sz w:val="24"/>
                  <w:szCs w:val="24"/>
                </w:rPr>
                <w:fldChar w:fldCharType="begin"/>
              </w:r>
              <w:r>
                <w:instrText>HYPERLINK  \l "_Toc10688_WPSOffice_Level2"</w:instrText>
              </w:r>
              <w:r>
                <w:rPr>
                  <w:rFonts w:ascii="宋体" w:eastAsia="宋体" w:cs="宋体" w:hint="eastAsia"/>
                  <w:sz w:val="24"/>
                  <w:szCs w:val="24"/>
                </w:rPr>
                <w:fldChar w:fldCharType="separate"/>
              </w:r>
              <w:r>
                <w:rPr>
                  <w:rFonts w:ascii="宋体" w:eastAsia="宋体" w:cs="宋体" w:hint="eastAsia"/>
                  <w:sz w:val="24"/>
                  <w:szCs w:val="24"/>
                </w:rPr>
                <w:t>九、一般公共预算财政拨款项目支出决算表</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663584706"/>
              <w:placeholder>
                <w:docPart w:val="DE7E982E655F4B0BAA1E02B7B07E7263"/>
              </w:placeholder>
            </w:sdtPr>
            <w:sdtContent>
              <w:r>
                <w:rPr>
                  <w:rFonts w:ascii="宋体" w:eastAsia="宋体" w:cs="宋体" w:hint="eastAsia"/>
                  <w:sz w:val="24"/>
                  <w:szCs w:val="24"/>
                </w:rPr>
                <w:fldChar w:fldCharType="begin"/>
              </w:r>
              <w:r>
                <w:instrText>HYPERLINK  \l "_Toc7127_WPSOffice_Level2"</w:instrText>
              </w:r>
              <w:r>
                <w:rPr>
                  <w:rFonts w:ascii="宋体" w:eastAsia="宋体" w:cs="宋体" w:hint="eastAsia"/>
                  <w:sz w:val="24"/>
                  <w:szCs w:val="24"/>
                </w:rPr>
                <w:fldChar w:fldCharType="separate"/>
              </w:r>
              <w:r>
                <w:rPr>
                  <w:rFonts w:ascii="宋体" w:eastAsia="宋体" w:cs="宋体" w:hint="eastAsia"/>
                  <w:sz w:val="24"/>
                  <w:szCs w:val="24"/>
                </w:rPr>
                <w:t>十、政府性基金预算财政拨款收入支出决算表（此表无数据）</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1138510953"/>
              <w:placeholder>
                <w:docPart w:val="DE7E982E655F4B0BAA1E02B7B07E7263"/>
              </w:placeholder>
            </w:sdtPr>
            <w:sdtContent>
              <w:r>
                <w:rPr>
                  <w:rFonts w:ascii="宋体" w:eastAsia="宋体" w:cs="宋体" w:hint="eastAsia"/>
                  <w:sz w:val="24"/>
                  <w:szCs w:val="24"/>
                </w:rPr>
                <w:fldChar w:fldCharType="begin"/>
              </w:r>
              <w:r>
                <w:instrText>HYPERLINK  \l "_Toc20523_WPSOffice_Level2"</w:instrText>
              </w:r>
              <w:r>
                <w:rPr>
                  <w:rFonts w:ascii="宋体" w:eastAsia="宋体" w:cs="宋体" w:hint="eastAsia"/>
                  <w:sz w:val="24"/>
                  <w:szCs w:val="24"/>
                </w:rPr>
                <w:fldChar w:fldCharType="separate"/>
              </w:r>
              <w:r>
                <w:rPr>
                  <w:rFonts w:ascii="宋体" w:eastAsia="宋体" w:cs="宋体" w:hint="eastAsia"/>
                  <w:sz w:val="24"/>
                  <w:szCs w:val="24"/>
                </w:rPr>
                <w:t>十一、国有资本经营预算财政拨款收入支出决算表（此表无数据）</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rPr>
              <w:rFonts w:ascii="宋体" w:eastAsia="宋体" w:cs="宋体" w:hint="eastAsia"/>
              <w:sz w:val="24"/>
              <w:szCs w:val="24"/>
            </w:rPr>
          </w:pPr>
          <w:sdt>
            <w:sdtPr>
              <w:rPr>
                <w:rFonts w:ascii="宋体" w:eastAsia="宋体" w:cs="宋体" w:hint="eastAsia"/>
                <w:sz w:val="24"/>
                <w:szCs w:val="24"/>
              </w:rPr>
              <w:id w:val="446542844"/>
              <w:placeholder>
                <w:docPart w:val="DE7E982E655F4B0BAA1E02B7B07E7263"/>
              </w:placeholder>
            </w:sdtPr>
            <w:sdtContent>
              <w:r>
                <w:rPr>
                  <w:rFonts w:ascii="宋体" w:eastAsia="宋体" w:cs="宋体" w:hint="eastAsia"/>
                  <w:sz w:val="24"/>
                  <w:szCs w:val="24"/>
                </w:rPr>
                <w:fldChar w:fldCharType="begin"/>
              </w:r>
              <w:r>
                <w:instrText>HYPERLINK  \l "_Toc32216_WPSOffice_Level2"</w:instrText>
              </w:r>
              <w:r>
                <w:rPr>
                  <w:rFonts w:ascii="宋体" w:eastAsia="宋体" w:cs="宋体" w:hint="eastAsia"/>
                  <w:sz w:val="24"/>
                  <w:szCs w:val="24"/>
                </w:rPr>
                <w:fldChar w:fldCharType="separate"/>
              </w:r>
              <w:r>
                <w:rPr>
                  <w:rFonts w:ascii="宋体" w:eastAsia="宋体" w:cs="宋体" w:hint="eastAsia"/>
                  <w:sz w:val="24"/>
                  <w:szCs w:val="24"/>
                </w:rPr>
                <w:t>十二、国有资本经营预算财政拨款支出决算表（此表无数据）</w:t>
              </w:r>
            </w:sdtContent>
          </w:sdt>
          <w:r>
            <w:rPr>
              <w:rFonts w:ascii="宋体" w:eastAsia="宋体" w:cs="宋体" w:hint="eastAsia"/>
              <w:sz w:val="24"/>
              <w:szCs w:val="24"/>
            </w:rPr>
            <w:tab/>
            <w:t>16</w:t>
          </w:r>
          <w:r>
            <w:rPr>
              <w:rFonts w:ascii="宋体" w:eastAsia="宋体" w:cs="宋体" w:hint="eastAsia"/>
              <w:sz w:val="24"/>
              <w:szCs w:val="24"/>
            </w:rPr>
            <w:fldChar w:fldCharType="end"/>
          </w:r>
        </w:p>
        <w:p>
          <w:pPr>
            <w:pStyle w:val="32"/>
            <w:tabs>
              <w:tab w:val="right" w:leader="dot" w:pos="8306"/>
            </w:tabs>
          </w:pPr>
          <w:sdt>
            <w:sdtPr>
              <w:rPr>
                <w:rFonts w:ascii="宋体" w:eastAsia="宋体" w:cs="宋体" w:hint="eastAsia"/>
                <w:sz w:val="24"/>
                <w:szCs w:val="24"/>
              </w:rPr>
              <w:id w:val="206497499"/>
              <w:placeholder>
                <w:docPart w:val="DE7E982E655F4B0BAA1E02B7B07E7263"/>
              </w:placeholder>
            </w:sdtPr>
            <w:sdtContent>
              <w:r>
                <w:rPr>
                  <w:rFonts w:ascii="宋体" w:eastAsia="宋体" w:cs="宋体" w:hint="eastAsia"/>
                  <w:sz w:val="24"/>
                  <w:szCs w:val="24"/>
                </w:rPr>
                <w:fldChar w:fldCharType="begin"/>
              </w:r>
              <w:r>
                <w:instrText>HYPERLINK  \l "_Toc5512_WPSOffice_Level2"</w:instrText>
              </w:r>
              <w:r>
                <w:rPr>
                  <w:rFonts w:ascii="宋体" w:eastAsia="宋体" w:cs="宋体" w:hint="eastAsia"/>
                  <w:sz w:val="24"/>
                  <w:szCs w:val="24"/>
                </w:rPr>
                <w:fldChar w:fldCharType="separate"/>
              </w:r>
              <w:r>
                <w:rPr>
                  <w:rFonts w:ascii="宋体" w:eastAsia="宋体" w:cs="宋体" w:hint="eastAsia"/>
                  <w:sz w:val="24"/>
                  <w:szCs w:val="24"/>
                </w:rPr>
                <w:t>十三、财政拨款“三公”经费支出决算表</w:t>
              </w:r>
            </w:sdtContent>
          </w:sdt>
          <w:r>
            <w:rPr>
              <w:rFonts w:ascii="宋体" w:eastAsia="宋体" w:cs="宋体" w:hint="eastAsia"/>
              <w:sz w:val="24"/>
              <w:szCs w:val="24"/>
            </w:rPr>
            <w:tab/>
          </w:r>
          <w:bookmarkStart w:id="14" w:name="_Toc5512_WPSOffice_Level2Page"/>
          <w:r>
            <w:rPr>
              <w:rFonts w:ascii="宋体" w:eastAsia="宋体" w:cs="宋体" w:hint="eastAsia"/>
              <w:sz w:val="24"/>
              <w:szCs w:val="24"/>
            </w:rPr>
            <w:t>16</w:t>
          </w:r>
          <w:r>
            <w:rPr>
              <w:rFonts w:ascii="宋体" w:eastAsia="宋体" w:cs="宋体" w:hint="eastAsia"/>
              <w:sz w:val="24"/>
              <w:szCs w:val="24"/>
            </w:rPr>
            <w:fldChar w:fldCharType="end"/>
          </w:r>
        </w:p>
        <w:bookmarkEnd w:id="13" w:displacedByCustomXml="next"/>
        <w:bookmarkEnd w:id="14" w:displacedByCustomXml="next"/>
      </w:sdtContent>
    </w:sdt>
    <w:p>
      <w:pPr>
        <w:pStyle w:val="32"/>
        <w:tabs>
          <w:tab w:val="right" w:leader="dot" w:pos="8306"/>
        </w:tabs>
        <w:rPr>
          <w:rFonts w:ascii="Times New Roman" w:eastAsia="宋体" w:cs="Times New Roman" w:hAnsi="Times New Roman" w:hint="eastAsia"/>
          <w:kern w:val="2"/>
          <w:sz w:val="24"/>
          <w:szCs w:val="24"/>
          <w:lang w:val="en-US" w:eastAsia="zh-CN" w:bidi="ar-SA"/>
        </w:rPr>
      </w:pPr>
    </w:p>
    <w:p>
      <w:pPr>
        <w:widowControl/>
        <w:spacing w:line="440" w:lineRule="exact"/>
        <w:jc w:val="left"/>
        <w:rPr>
          <w:rFonts w:ascii="仿宋" w:eastAsia="仿宋"/>
          <w:bCs/>
          <w:kern w:val="44"/>
          <w:sz w:val="24"/>
        </w:rPr>
      </w:pPr>
      <w:bookmarkStart w:id="15" w:name="_Toc15377196"/>
      <w:bookmarkStart w:id="16" w:name="_Toc15396599"/>
    </w:p>
    <w:p>
      <w:pPr>
        <w:pStyle w:val="15"/>
        <w:rPr>
          <w:rFonts w:ascii="仿宋" w:eastAsia="仿宋"/>
          <w:bCs/>
          <w:kern w:val="44"/>
          <w:sz w:val="24"/>
        </w:rPr>
      </w:pPr>
    </w:p>
    <w:p>
      <w:pPr>
        <w:pStyle w:val="15"/>
        <w:rPr>
          <w:rFonts w:ascii="仿宋" w:eastAsia="仿宋"/>
          <w:bCs/>
          <w:kern w:val="44"/>
          <w:sz w:val="24"/>
        </w:rPr>
      </w:pPr>
    </w:p>
    <w:p>
      <w:pPr>
        <w:pStyle w:val="1"/>
        <w:ind w:right="440"/>
        <w:jc w:val="center"/>
        <w:rPr>
          <w:rFonts w:ascii="黑体" w:eastAsia="黑体" w:hint="eastAsia"/>
          <w:b w:val="0"/>
        </w:rPr>
      </w:pPr>
      <w:bookmarkStart w:id="17" w:name="_Toc7767_WPSOffice_Level1"/>
      <w:r>
        <w:rPr>
          <w:rFonts w:ascii="黑体" w:eastAsia="黑体" w:hint="eastAsia"/>
          <w:b w:val="0"/>
        </w:rPr>
        <w:t>第一部分 单位概况</w:t>
      </w:r>
      <w:bookmarkEnd w:id="15"/>
      <w:bookmarkEnd w:id="16"/>
      <w:bookmarkEnd w:id="17"/>
    </w:p>
    <w:p>
      <w:pPr>
        <w:rPr>
          <w:rFonts w:ascii="黑体" w:eastAsia="黑体" w:hint="eastAsia"/>
          <w:b w:val="0"/>
        </w:rPr>
      </w:pPr>
    </w:p>
    <w:p>
      <w:pPr>
        <w:pStyle w:val="2"/>
        <w:numPr>
          <w:ilvl w:val="0"/>
          <w:numId w:val="1"/>
        </w:numPr>
        <w:rPr>
          <w:rStyle w:val="2Char"/>
          <w:rFonts w:ascii="黑体" w:eastAsia="黑体"/>
          <w:b w:val="0"/>
          <w:bCs w:val="0"/>
        </w:rPr>
      </w:pPr>
      <w:bookmarkStart w:id="18" w:name="_Toc5482_WPSOffice_Level2"/>
      <w:bookmarkStart w:id="19" w:name="_Toc15377197"/>
      <w:bookmarkStart w:id="20" w:name="_Toc15396600"/>
      <w:r>
        <w:rPr>
          <w:rStyle w:val="2Char"/>
          <w:rFonts w:ascii="黑体" w:eastAsia="黑体" w:hint="eastAsia"/>
          <w:b w:val="0"/>
          <w:bCs w:val="0"/>
        </w:rPr>
        <w:t>主要职责</w:t>
      </w:r>
      <w:bookmarkEnd w:id="18"/>
    </w:p>
    <w:p>
      <w:pPr>
        <w:spacing w:line="600" w:lineRule="exact"/>
        <w:ind w:firstLineChars="200" w:firstLine="640"/>
        <w:rPr>
          <w:rFonts w:ascii="仿宋" w:eastAsia="仿宋"/>
          <w:sz w:val="32"/>
          <w:szCs w:val="32"/>
        </w:rPr>
      </w:pPr>
      <w:r>
        <w:rPr>
          <w:rFonts w:ascii="仿宋" w:eastAsia="仿宋" w:hint="eastAsia"/>
          <w:sz w:val="32"/>
          <w:szCs w:val="32"/>
        </w:rPr>
        <w:t>1、严格执行《攀枝花市城市建设基础设施配套费管理办法》（攀枝花市人民政府 第77号令）、《政府性基金管理暂行办法》（财综〔2010〕80号）号文件规定，征收城市基础设施配套费，做到应收尽收。</w:t>
      </w:r>
    </w:p>
    <w:p>
      <w:pPr>
        <w:pageBreakBefore w:val="0"/>
        <w:widowControl w:val="0"/>
        <w:kinsoku/>
        <w:wordWrap/>
        <w:overflowPunct/>
        <w:topLinePunct w:val="0"/>
        <w:autoSpaceDE/>
        <w:autoSpaceDN/>
        <w:bidi w:val="0"/>
        <w:adjustRightInd/>
        <w:snapToGrid/>
        <w:spacing w:line="600" w:lineRule="exact"/>
        <w:ind w:firstLineChars="200" w:firstLine="640"/>
        <w:textAlignment w:val="auto"/>
      </w:pPr>
      <w:r>
        <w:rPr>
          <w:rFonts w:ascii="仿宋" w:eastAsia="仿宋" w:hint="eastAsia"/>
          <w:sz w:val="32"/>
          <w:szCs w:val="32"/>
        </w:rPr>
        <w:t>2、开展房改房维修资金管理工作。</w:t>
      </w:r>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ascii="黑体" w:eastAsia="黑体"/>
          <w:b w:val="0"/>
        </w:rPr>
      </w:pPr>
      <w:bookmarkStart w:id="21" w:name="_Toc8898_WPSOffice_Level2"/>
      <w:r>
        <w:rPr>
          <w:rFonts w:ascii="黑体" w:eastAsia="黑体" w:hint="eastAsia"/>
          <w:b w:val="0"/>
        </w:rPr>
        <w:t>二、机构设置</w:t>
      </w:r>
      <w:bookmarkEnd w:id="21"/>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int="eastAsia"/>
          <w:b w:val="0"/>
          <w:sz w:val="32"/>
          <w:szCs w:val="32"/>
          <w:lang w:val="en-US" w:eastAsia="zh-CN"/>
        </w:rPr>
      </w:pPr>
      <w:bookmarkStart w:id="22" w:name="_Toc15377204"/>
      <w:bookmarkStart w:id="23" w:name="_Toc15396602"/>
      <w:bookmarkEnd w:id="19"/>
      <w:bookmarkEnd w:id="20"/>
      <w:r>
        <w:rPr>
          <w:rFonts w:ascii="仿宋" w:eastAsia="仿宋" w:cs="仿宋" w:hint="eastAsia"/>
          <w:b w:val="0"/>
          <w:sz w:val="32"/>
          <w:szCs w:val="32"/>
          <w:lang w:eastAsia="zh-CN"/>
        </w:rPr>
        <w:t>攀枝花市城市建设资金中心属于攀枝花市住房和城乡建设局下属的二级预算单位，下设独立编制机构</w:t>
      </w:r>
      <w:r>
        <w:rPr>
          <w:rFonts w:ascii="仿宋" w:eastAsia="仿宋" w:cs="仿宋" w:hint="eastAsia"/>
          <w:b w:val="0"/>
          <w:sz w:val="32"/>
          <w:szCs w:val="32"/>
          <w:lang w:val="en-US" w:eastAsia="zh-CN"/>
        </w:rPr>
        <w:t>0个，其中行政机构0个，参照公务员法管理的事业机构0个，其他事业机构0个。</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int="eastAsia"/>
          <w:b w:val="0"/>
          <w:sz w:val="32"/>
          <w:szCs w:val="32"/>
          <w:lang w:val="en-US" w:eastAsia="zh-CN"/>
        </w:rPr>
      </w:pPr>
      <w:r>
        <w:rPr>
          <w:rFonts w:ascii="仿宋" w:eastAsia="仿宋" w:cs="仿宋" w:hint="eastAsia"/>
          <w:b w:val="0"/>
          <w:sz w:val="32"/>
          <w:szCs w:val="32"/>
          <w:lang w:val="en-US" w:eastAsia="zh-CN"/>
        </w:rPr>
        <w:t>纳入2022年度单位决算编制范围的独立编制机构包括：无。</w:t>
      </w:r>
    </w:p>
    <w:p>
      <w:pPr>
        <w:pStyle w:val="1"/>
        <w:ind w:right="440"/>
        <w:jc w:val="center"/>
        <w:rPr>
          <w:rStyle w:val="1Char"/>
          <w:rFonts w:ascii="黑体" w:eastAsia="黑体"/>
          <w:b w:val="0"/>
          <w:bCs/>
        </w:rPr>
      </w:pPr>
      <w:bookmarkStart w:id="24" w:name="_Toc5482_WPSOffice_Level1"/>
      <w:r>
        <w:rPr>
          <w:rFonts w:ascii="黑体" w:eastAsia="黑体" w:hint="eastAsia"/>
          <w:b w:val="0"/>
        </w:rPr>
        <w:t>第二部分 2022年度</w:t>
      </w:r>
      <w:r>
        <w:rPr>
          <w:rStyle w:val="1Char"/>
          <w:rFonts w:ascii="黑体" w:eastAsia="黑体" w:hint="eastAsia"/>
          <w:b w:val="0"/>
          <w:bCs/>
        </w:rPr>
        <w:t>单位决算情况说明</w:t>
      </w:r>
      <w:bookmarkEnd w:id="22"/>
      <w:bookmarkEnd w:id="23"/>
      <w:bookmarkEnd w:id="24"/>
    </w:p>
    <w:p/>
    <w:p>
      <w:pPr>
        <w:pStyle w:val="28"/>
        <w:numPr>
          <w:ilvl w:val="0"/>
          <w:numId w:val="2"/>
        </w:numPr>
        <w:spacing w:line="600" w:lineRule="exact"/>
        <w:ind w:firstLineChars="0"/>
        <w:outlineLvl w:val="1"/>
        <w:rPr>
          <w:rStyle w:val="2Char"/>
          <w:rFonts w:ascii="黑体" w:eastAsia="黑体"/>
          <w:b w:val="0"/>
        </w:rPr>
      </w:pPr>
      <w:bookmarkStart w:id="25" w:name="_Toc15396603"/>
      <w:bookmarkStart w:id="26" w:name="_Toc15377205"/>
      <w:bookmarkStart w:id="27" w:name="_Toc20802_WPSOffice_Level2"/>
      <w:r>
        <w:rPr>
          <w:rFonts w:ascii="黑体" w:eastAsia="黑体" w:hint="eastAsia"/>
          <w:sz w:val="32"/>
          <w:szCs w:val="32"/>
        </w:rPr>
        <w:t>收</w:t>
      </w:r>
      <w:r>
        <w:rPr>
          <w:rStyle w:val="2Char"/>
          <w:rFonts w:ascii="黑体" w:eastAsia="黑体" w:hint="eastAsia"/>
          <w:b w:val="0"/>
        </w:rPr>
        <w:t>入支出决算总体情况说明</w:t>
      </w:r>
      <w:bookmarkEnd w:id="25"/>
      <w:bookmarkEnd w:id="26"/>
      <w:bookmarkEnd w:id="27"/>
    </w:p>
    <w:p>
      <w:pPr>
        <w:spacing w:line="600" w:lineRule="exact"/>
        <w:ind w:firstLineChars="200" w:firstLine="640"/>
        <w:rPr>
          <w:rFonts w:ascii="仿宋" w:eastAsia="仿宋" w:hint="eastAsia"/>
          <w:sz w:val="32"/>
          <w:szCs w:val="32"/>
        </w:rPr>
      </w:pPr>
      <w:r>
        <w:rPr>
          <w:rFonts w:ascii="仿宋" w:eastAsia="仿宋" w:hint="eastAsia"/>
          <w:sz w:val="32"/>
          <w:szCs w:val="32"/>
          <w:highlight w:val="auto"/>
        </w:rPr>
        <w:t>2022年度收、支总计385.16万元。与2021年相比，</w:t>
      </w:r>
      <w:r>
        <w:rPr>
          <w:rFonts w:ascii="仿宋" w:eastAsia="仿宋" w:hint="eastAsia"/>
          <w:sz w:val="32"/>
          <w:szCs w:val="32"/>
        </w:rPr>
        <w:t>收入</w:t>
      </w:r>
      <w:r>
        <w:rPr>
          <w:rFonts w:ascii="仿宋" w:eastAsia="仿宋" w:hint="eastAsia"/>
          <w:sz w:val="32"/>
          <w:szCs w:val="32"/>
          <w:lang w:eastAsia="zh-CN"/>
        </w:rPr>
        <w:t>、支出各</w:t>
      </w:r>
      <w:r>
        <w:rPr>
          <w:rFonts w:ascii="仿宋" w:eastAsia="仿宋" w:hint="eastAsia"/>
          <w:sz w:val="32"/>
          <w:szCs w:val="32"/>
        </w:rPr>
        <w:t>增加</w:t>
      </w:r>
      <w:r>
        <w:rPr>
          <w:rFonts w:ascii="仿宋" w:eastAsia="仿宋" w:hint="eastAsia"/>
          <w:sz w:val="32"/>
          <w:szCs w:val="32"/>
          <w:lang w:val="en-US" w:eastAsia="zh-CN"/>
        </w:rPr>
        <w:t>8.18</w:t>
      </w:r>
      <w:r>
        <w:rPr>
          <w:rFonts w:ascii="仿宋" w:eastAsia="仿宋" w:hint="eastAsia"/>
          <w:sz w:val="32"/>
          <w:szCs w:val="32"/>
        </w:rPr>
        <w:t>万元，</w:t>
      </w:r>
      <w:r>
        <w:rPr>
          <w:rFonts w:ascii="仿宋" w:eastAsia="仿宋" w:hint="eastAsia"/>
          <w:sz w:val="32"/>
          <w:szCs w:val="32"/>
          <w:lang w:eastAsia="zh-CN"/>
        </w:rPr>
        <w:t>各</w:t>
      </w:r>
      <w:r>
        <w:rPr>
          <w:rFonts w:ascii="仿宋" w:eastAsia="仿宋" w:hint="eastAsia"/>
          <w:sz w:val="32"/>
          <w:szCs w:val="32"/>
        </w:rPr>
        <w:t>增长</w:t>
      </w:r>
      <w:r>
        <w:rPr>
          <w:rFonts w:ascii="仿宋" w:eastAsia="仿宋" w:hint="eastAsia"/>
          <w:sz w:val="32"/>
          <w:szCs w:val="32"/>
          <w:lang w:val="en-US" w:eastAsia="zh-CN"/>
        </w:rPr>
        <w:t>5.53</w:t>
      </w:r>
      <w:r>
        <w:rPr>
          <w:rFonts w:ascii="仿宋" w:eastAsia="仿宋"/>
          <w:sz w:val="32"/>
          <w:szCs w:val="32"/>
        </w:rPr>
        <w:t>%</w:t>
      </w:r>
      <w:r>
        <w:rPr>
          <w:rFonts w:ascii="仿宋" w:eastAsia="仿宋" w:hint="eastAsia"/>
          <w:sz w:val="32"/>
          <w:szCs w:val="32"/>
          <w:lang w:eastAsia="zh-CN"/>
        </w:rPr>
        <w:t>，</w:t>
      </w:r>
      <w:r>
        <w:rPr>
          <w:rFonts w:ascii="仿宋" w:eastAsia="仿宋" w:hint="eastAsia"/>
          <w:sz w:val="32"/>
          <w:szCs w:val="32"/>
        </w:rPr>
        <w:t>主要</w:t>
      </w:r>
      <w:r>
        <w:rPr>
          <w:rFonts w:ascii="仿宋" w:eastAsia="仿宋" w:hint="eastAsia"/>
          <w:sz w:val="32"/>
          <w:szCs w:val="32"/>
          <w:lang w:eastAsia="zh-CN"/>
        </w:rPr>
        <w:t>变动</w:t>
      </w:r>
      <w:r>
        <w:rPr>
          <w:rFonts w:ascii="仿宋" w:eastAsia="仿宋" w:hint="eastAsia"/>
          <w:sz w:val="32"/>
          <w:szCs w:val="32"/>
        </w:rPr>
        <w:t>原因</w:t>
      </w:r>
      <w:r>
        <w:rPr>
          <w:rFonts w:ascii="仿宋" w:eastAsia="仿宋" w:hint="eastAsia"/>
          <w:sz w:val="32"/>
          <w:szCs w:val="32"/>
          <w:lang w:eastAsia="zh-CN"/>
        </w:rPr>
        <w:t>是</w:t>
      </w:r>
      <w:r>
        <w:rPr>
          <w:rFonts w:ascii="仿宋" w:eastAsia="仿宋" w:hint="eastAsia"/>
          <w:sz w:val="32"/>
          <w:szCs w:val="32"/>
        </w:rPr>
        <w:t>基础性绩效调整，人员经费收、支</w:t>
      </w:r>
      <w:r>
        <w:rPr>
          <w:rFonts w:ascii="仿宋" w:eastAsia="仿宋" w:hint="eastAsia"/>
          <w:sz w:val="32"/>
          <w:szCs w:val="32"/>
          <w:lang w:eastAsia="zh-CN"/>
        </w:rPr>
        <w:t>各</w:t>
      </w:r>
      <w:r>
        <w:rPr>
          <w:rFonts w:ascii="仿宋" w:eastAsia="仿宋" w:hint="eastAsia"/>
          <w:sz w:val="32"/>
          <w:szCs w:val="32"/>
        </w:rPr>
        <w:t>增加24.68万元；节约过紧日子，缩减成本支出，日常公用经费收、支</w:t>
      </w:r>
      <w:r>
        <w:rPr>
          <w:rFonts w:ascii="仿宋" w:eastAsia="仿宋" w:hint="eastAsia"/>
          <w:sz w:val="32"/>
          <w:szCs w:val="32"/>
          <w:lang w:eastAsia="zh-CN"/>
        </w:rPr>
        <w:t>各</w:t>
      </w:r>
      <w:r>
        <w:rPr>
          <w:rFonts w:ascii="仿宋" w:eastAsia="仿宋" w:hint="eastAsia"/>
          <w:sz w:val="32"/>
          <w:szCs w:val="32"/>
        </w:rPr>
        <w:t>减少16.50万元。</w:t>
      </w:r>
    </w:p>
    <w:p>
      <w:pPr>
        <w:spacing w:line="600" w:lineRule="exact"/>
        <w:jc w:val="cente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w:t>
      </w:r>
    </w:p>
    <w:p>
      <w:pPr>
        <w:spacing w:line="600" w:lineRule="exact"/>
        <w:ind w:firstLineChars="200" w:firstLine="420"/>
        <w:jc w:val="right"/>
        <w:rPr>
          <w:rFonts w:ascii="仿宋_GB2312" w:eastAsia="仿宋_GB2312"/>
          <w:szCs w:val="21"/>
        </w:rPr>
      </w:pPr>
      <w:r>
        <w:rPr>
          <w:rFonts w:ascii="仿宋_GB2312" w:eastAsia="仿宋_GB2312" w:hint="eastAsia"/>
          <w:szCs w:val="21"/>
        </w:rPr>
        <w:t>单位：万元</w:t>
      </w:r>
    </w:p>
    <w:p>
      <w:pPr>
        <w:pStyle w:val="15"/>
        <w:spacing w:beforeLines="0" w:before="93"/>
        <w:rPr>
          <w:color w:val="000000"/>
          <w:sz w:val="32"/>
          <w:szCs w:val="32"/>
        </w:rPr>
      </w:pPr>
      <w:r>
        <w:rPr>
          <w:rFonts w:hint="eastAsia"/>
          <w:sz w:val="32"/>
          <w:szCs w:val="32"/>
        </w:rPr>
        <w:drawing>
          <wp:inline distT="0" distB="0" distL="114300" distR="114300">
            <wp:extent cx="5079998" cy="3152775"/>
            <wp:effectExtent l="0" t="0" r="0" b="0"/>
            <wp:docPr id="1" name="图表 4"/>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28"/>
        <w:numPr>
          <w:ilvl w:val="0"/>
          <w:numId w:val="2"/>
        </w:numPr>
        <w:spacing w:line="600" w:lineRule="exact"/>
        <w:ind w:firstLineChars="0"/>
        <w:outlineLvl w:val="1"/>
        <w:rPr>
          <w:rStyle w:val="2Char"/>
          <w:rFonts w:ascii="黑体" w:eastAsia="黑体"/>
          <w:b w:val="0"/>
        </w:rPr>
      </w:pPr>
      <w:bookmarkStart w:id="28" w:name="_Toc15396604"/>
      <w:bookmarkStart w:id="29" w:name="_Toc15377206"/>
      <w:bookmarkStart w:id="30" w:name="_Toc7767_WPSOffice_Level2"/>
      <w:r>
        <w:rPr>
          <w:rFonts w:ascii="黑体" w:eastAsia="黑体" w:hint="eastAsia"/>
          <w:sz w:val="32"/>
          <w:szCs w:val="32"/>
        </w:rPr>
        <w:t>收</w:t>
      </w:r>
      <w:r>
        <w:rPr>
          <w:rStyle w:val="2Char"/>
          <w:rFonts w:ascii="黑体" w:eastAsia="黑体" w:hint="eastAsia"/>
          <w:b w:val="0"/>
        </w:rPr>
        <w:t>入决算情况说明</w:t>
      </w:r>
      <w:bookmarkEnd w:id="28"/>
      <w:bookmarkEnd w:id="29"/>
      <w:bookmarkEnd w:id="30"/>
    </w:p>
    <w:p>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22年本年收入合计151.21万元，其中：一般公共预算财政拨款收入151.21万元，占100</w:t>
      </w:r>
      <w:r>
        <w:rPr>
          <w:rFonts w:ascii="仿宋" w:eastAsia="仿宋"/>
          <w:sz w:val="32"/>
          <w:szCs w:val="32"/>
        </w:rPr>
        <w:t>%</w:t>
      </w:r>
      <w:r>
        <w:rPr>
          <w:rFonts w:ascii="仿宋" w:eastAsia="仿宋" w:hint="eastAsia"/>
          <w:sz w:val="32"/>
          <w:szCs w:val="32"/>
        </w:rPr>
        <w:t>。</w:t>
      </w:r>
    </w:p>
    <w:p>
      <w:pPr>
        <w:spacing w:line="600" w:lineRule="exact"/>
        <w:jc w:val="center"/>
        <w:rPr>
          <w:rFonts w:ascii="仿宋" w:eastAsia="仿宋"/>
          <w:sz w:val="32"/>
          <w:szCs w:val="32"/>
        </w:rPr>
      </w:pPr>
      <w:r>
        <w:rPr>
          <w:rFonts w:ascii="仿宋" w:eastAsia="仿宋" w:hint="eastAsia"/>
          <w:sz w:val="32"/>
          <w:szCs w:val="32"/>
        </w:rPr>
        <w:t>（图2：收入决算结构图）</w:t>
      </w:r>
    </w:p>
    <w:p>
      <w:pPr>
        <w:spacing w:line="600" w:lineRule="exact"/>
        <w:ind w:firstLineChars="200" w:firstLine="420"/>
        <w:jc w:val="right"/>
        <w:rPr>
          <w:rFonts w:ascii="仿宋_GB2312" w:eastAsia="仿宋_GB2312"/>
          <w:szCs w:val="21"/>
        </w:rPr>
      </w:pPr>
      <w:r>
        <w:rPr>
          <w:rFonts w:ascii="仿宋_GB2312" w:eastAsia="仿宋_GB2312" w:hint="eastAsia"/>
          <w:szCs w:val="21"/>
        </w:rPr>
        <w:t>单位：万元</w:t>
      </w:r>
    </w:p>
    <w:p>
      <w:pPr>
        <w:pStyle w:val="15"/>
        <w:spacing w:beforeLines="0" w:before="93"/>
        <w:jc w:val="right"/>
        <w:rPr>
          <w:rFonts w:ascii="仿宋" w:eastAsia="仿宋"/>
          <w:sz w:val="32"/>
          <w:szCs w:val="32"/>
        </w:rPr>
      </w:pPr>
      <w:r>
        <w:rPr>
          <w:rFonts w:hint="eastAsia"/>
          <w:sz w:val="32"/>
          <w:szCs w:val="32"/>
        </w:rPr>
        <w:drawing>
          <wp:inline distT="0" distB="0" distL="114300" distR="114300">
            <wp:extent cx="5079998" cy="2807335"/>
            <wp:effectExtent l="0" t="0" r="0" b="0"/>
            <wp:docPr id="2"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28"/>
        <w:numPr>
          <w:ilvl w:val="0"/>
          <w:numId w:val="2"/>
        </w:numPr>
        <w:spacing w:line="600" w:lineRule="exact"/>
        <w:ind w:firstLineChars="0"/>
        <w:outlineLvl w:val="1"/>
        <w:rPr>
          <w:rStyle w:val="2Char"/>
          <w:rFonts w:ascii="黑体" w:eastAsia="黑体"/>
          <w:b w:val="0"/>
        </w:rPr>
      </w:pPr>
      <w:bookmarkStart w:id="31" w:name="_Toc15396605"/>
      <w:bookmarkStart w:id="32" w:name="_Toc15377207"/>
      <w:bookmarkStart w:id="33" w:name="_Toc22730_WPSOffice_Level2"/>
      <w:r>
        <w:rPr>
          <w:rFonts w:ascii="黑体" w:eastAsia="黑体" w:hint="eastAsia"/>
          <w:sz w:val="32"/>
          <w:szCs w:val="32"/>
        </w:rPr>
        <w:t>支</w:t>
      </w:r>
      <w:r>
        <w:rPr>
          <w:rStyle w:val="2Char"/>
          <w:rFonts w:ascii="黑体" w:eastAsia="黑体" w:hint="eastAsia"/>
          <w:b w:val="0"/>
        </w:rPr>
        <w:t>出决算情况说明</w:t>
      </w:r>
      <w:bookmarkEnd w:id="31"/>
      <w:bookmarkEnd w:id="32"/>
      <w:bookmarkEnd w:id="33"/>
    </w:p>
    <w:p>
      <w:pPr>
        <w:spacing w:line="600" w:lineRule="exact"/>
        <w:ind w:firstLineChars="200" w:firstLine="640"/>
        <w:outlineLvl w:val="1"/>
        <w:rPr>
          <w:rFonts w:ascii="仿宋" w:eastAsia="仿宋"/>
          <w:sz w:val="32"/>
          <w:szCs w:val="32"/>
          <w:shd w:val="pct10" w:color="auto" w:fill="FFFFFF"/>
        </w:rPr>
      </w:pPr>
      <w:r>
        <w:rPr>
          <w:rFonts w:ascii="仿宋" w:eastAsia="仿宋"/>
          <w:sz w:val="32"/>
          <w:szCs w:val="32"/>
        </w:rPr>
        <w:t>20</w:t>
      </w:r>
      <w:r>
        <w:rPr>
          <w:rFonts w:ascii="仿宋" w:eastAsia="仿宋" w:hint="eastAsia"/>
          <w:sz w:val="32"/>
          <w:szCs w:val="32"/>
        </w:rPr>
        <w:t>22年本年支出合计156.19万元，其中：基本支出148.94万元，占95</w:t>
      </w:r>
      <w:r>
        <w:rPr>
          <w:rFonts w:ascii="仿宋" w:eastAsia="仿宋" w:hint="eastAsia"/>
          <w:sz w:val="32"/>
          <w:szCs w:val="32"/>
          <w:lang w:val="en-US" w:eastAsia="zh-CN"/>
        </w:rPr>
        <w:t>.36</w:t>
      </w:r>
      <w:r>
        <w:rPr>
          <w:rFonts w:ascii="仿宋" w:eastAsia="仿宋"/>
          <w:sz w:val="32"/>
          <w:szCs w:val="32"/>
        </w:rPr>
        <w:t>%</w:t>
      </w:r>
      <w:r>
        <w:rPr>
          <w:rFonts w:ascii="仿宋" w:eastAsia="仿宋" w:hint="eastAsia"/>
          <w:sz w:val="32"/>
          <w:szCs w:val="32"/>
        </w:rPr>
        <w:t>；项目支出7.25万元，占</w:t>
      </w:r>
      <w:r>
        <w:rPr>
          <w:rFonts w:ascii="仿宋" w:eastAsia="仿宋" w:hint="eastAsia"/>
          <w:sz w:val="32"/>
          <w:szCs w:val="32"/>
          <w:lang w:val="en-US" w:eastAsia="zh-CN"/>
        </w:rPr>
        <w:t>4.64</w:t>
      </w:r>
      <w:r>
        <w:rPr>
          <w:rFonts w:ascii="仿宋" w:eastAsia="仿宋"/>
          <w:sz w:val="32"/>
          <w:szCs w:val="32"/>
        </w:rPr>
        <w:t>%</w:t>
      </w:r>
      <w:r>
        <w:rPr>
          <w:rFonts w:ascii="仿宋" w:eastAsia="仿宋" w:hint="eastAsia"/>
          <w:sz w:val="32"/>
          <w:szCs w:val="32"/>
        </w:rPr>
        <w:t>。</w:t>
      </w:r>
    </w:p>
    <w:p>
      <w:pPr>
        <w:spacing w:line="600" w:lineRule="exact"/>
        <w:jc w:val="center"/>
      </w:pPr>
      <w:r>
        <w:rPr>
          <w:rFonts w:ascii="仿宋" w:eastAsia="仿宋" w:hint="eastAsia"/>
          <w:sz w:val="32"/>
          <w:szCs w:val="32"/>
        </w:rPr>
        <w:t>（图3：支出决算结构图）</w:t>
      </w:r>
    </w:p>
    <w:p>
      <w:pPr>
        <w:spacing w:line="600" w:lineRule="exact"/>
        <w:ind w:firstLineChars="200" w:firstLine="420"/>
        <w:jc w:val="right"/>
        <w:rPr>
          <w:rFonts w:ascii="仿宋_GB2312" w:eastAsia="仿宋_GB2312"/>
          <w:szCs w:val="21"/>
        </w:rPr>
      </w:pPr>
      <w:r>
        <w:rPr>
          <w:rFonts w:ascii="仿宋_GB2312" w:eastAsia="仿宋_GB2312" w:hint="eastAsia"/>
          <w:szCs w:val="21"/>
        </w:rPr>
        <w:drawing>
          <wp:anchor distT="0" distB="0" distL="114300" distR="114300" simplePos="0" relativeHeight="2" behindDoc="1" locked="0" layoutInCell="1" hidden="0" allowOverlap="1">
            <wp:simplePos x="0" y="0"/>
            <wp:positionH relativeFrom="column">
              <wp:posOffset>172720</wp:posOffset>
            </wp:positionH>
            <wp:positionV relativeFrom="paragraph">
              <wp:posOffset>375285</wp:posOffset>
            </wp:positionV>
            <wp:extent cx="5079998" cy="2958465"/>
            <wp:effectExtent l="0" t="0" r="0" b="0"/>
            <wp:wrapNone/>
            <wp:docPr id="3" name="图表 3"/>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_GB2312" w:eastAsia="仿宋_GB2312" w:hint="eastAsia"/>
          <w:szCs w:val="21"/>
        </w:rPr>
        <w:t>单位：万元</w:t>
      </w: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Chars="200" w:firstLine="640"/>
        <w:outlineLvl w:val="1"/>
        <w:rPr>
          <w:rStyle w:val="2Char"/>
          <w:rFonts w:ascii="黑体" w:eastAsia="黑体"/>
          <w:b w:val="0"/>
        </w:rPr>
      </w:pPr>
      <w:bookmarkStart w:id="34" w:name="_Toc15377208"/>
      <w:bookmarkStart w:id="35" w:name="_Toc15396606"/>
      <w:bookmarkStart w:id="36" w:name="_Toc519_WPSOffice_Level2"/>
      <w:r>
        <w:rPr>
          <w:rFonts w:ascii="黑体" w:eastAsia="黑体" w:hint="eastAsia"/>
          <w:sz w:val="32"/>
          <w:szCs w:val="32"/>
        </w:rPr>
        <w:t>四、财</w:t>
      </w:r>
      <w:r>
        <w:rPr>
          <w:rStyle w:val="2Char"/>
          <w:rFonts w:ascii="黑体" w:eastAsia="黑体" w:hint="eastAsia"/>
          <w:b w:val="0"/>
        </w:rPr>
        <w:t>政拨款收入支出决算总体情况说明</w:t>
      </w:r>
      <w:bookmarkEnd w:id="34"/>
      <w:bookmarkEnd w:id="35"/>
      <w:bookmarkEnd w:id="36"/>
    </w:p>
    <w:p>
      <w:pPr>
        <w:spacing w:line="600" w:lineRule="exact"/>
        <w:ind w:firstLineChars="200" w:firstLine="640"/>
      </w:pPr>
      <w:r>
        <w:rPr>
          <w:rFonts w:ascii="仿宋" w:eastAsia="仿宋"/>
          <w:sz w:val="32"/>
          <w:szCs w:val="32"/>
        </w:rPr>
        <w:t>20</w:t>
      </w:r>
      <w:r>
        <w:rPr>
          <w:rFonts w:ascii="仿宋" w:eastAsia="仿宋" w:hint="eastAsia"/>
          <w:sz w:val="32"/>
          <w:szCs w:val="32"/>
        </w:rPr>
        <w:t>22年财政拨款收、支总计3</w:t>
      </w:r>
      <w:r>
        <w:rPr>
          <w:rFonts w:ascii="仿宋" w:eastAsia="仿宋" w:hint="eastAsia"/>
          <w:sz w:val="32"/>
          <w:szCs w:val="32"/>
          <w:lang w:val="en-US" w:eastAsia="zh-CN"/>
        </w:rPr>
        <w:t>12.38</w:t>
      </w:r>
      <w:r>
        <w:rPr>
          <w:rFonts w:ascii="仿宋" w:eastAsia="仿宋" w:hint="eastAsia"/>
          <w:sz w:val="32"/>
          <w:szCs w:val="32"/>
        </w:rPr>
        <w:t>万元。与2021年相比，收入</w:t>
      </w:r>
      <w:r>
        <w:rPr>
          <w:rFonts w:ascii="仿宋" w:eastAsia="仿宋" w:hint="eastAsia"/>
          <w:sz w:val="32"/>
          <w:szCs w:val="32"/>
          <w:lang w:eastAsia="zh-CN"/>
        </w:rPr>
        <w:t>、</w:t>
      </w:r>
      <w:r>
        <w:rPr>
          <w:rFonts w:ascii="仿宋" w:eastAsia="仿宋" w:hint="eastAsia"/>
          <w:sz w:val="32"/>
          <w:szCs w:val="32"/>
        </w:rPr>
        <w:t>支出</w:t>
      </w:r>
      <w:r>
        <w:rPr>
          <w:rFonts w:ascii="仿宋" w:eastAsia="仿宋" w:hint="eastAsia"/>
          <w:sz w:val="32"/>
          <w:szCs w:val="32"/>
          <w:lang w:eastAsia="zh-CN"/>
        </w:rPr>
        <w:t>各</w:t>
      </w:r>
      <w:r>
        <w:rPr>
          <w:rFonts w:ascii="仿宋" w:eastAsia="仿宋" w:hint="eastAsia"/>
          <w:sz w:val="32"/>
          <w:szCs w:val="32"/>
        </w:rPr>
        <w:t>增加8.18万元，</w:t>
      </w:r>
      <w:r>
        <w:rPr>
          <w:rFonts w:ascii="仿宋" w:eastAsia="仿宋" w:hint="eastAsia"/>
          <w:sz w:val="32"/>
          <w:szCs w:val="32"/>
          <w:lang w:eastAsia="zh-CN"/>
        </w:rPr>
        <w:t>各</w:t>
      </w:r>
      <w:r>
        <w:rPr>
          <w:rFonts w:ascii="仿宋" w:eastAsia="仿宋" w:hint="eastAsia"/>
          <w:sz w:val="32"/>
          <w:szCs w:val="32"/>
        </w:rPr>
        <w:t>增长</w:t>
      </w:r>
      <w:r>
        <w:rPr>
          <w:rFonts w:ascii="仿宋" w:eastAsia="仿宋" w:hint="eastAsia"/>
          <w:sz w:val="32"/>
          <w:szCs w:val="32"/>
          <w:lang w:val="en-US" w:eastAsia="zh-CN"/>
        </w:rPr>
        <w:t>5.53</w:t>
      </w:r>
      <w:r>
        <w:rPr>
          <w:rFonts w:ascii="仿宋" w:eastAsia="仿宋"/>
          <w:sz w:val="32"/>
          <w:szCs w:val="32"/>
        </w:rPr>
        <w:t>%</w:t>
      </w:r>
      <w:r>
        <w:rPr>
          <w:rFonts w:ascii="仿宋" w:eastAsia="仿宋" w:hint="eastAsia"/>
          <w:sz w:val="32"/>
          <w:szCs w:val="32"/>
        </w:rPr>
        <w:t>。主要</w:t>
      </w:r>
      <w:r>
        <w:rPr>
          <w:rFonts w:ascii="仿宋" w:eastAsia="仿宋" w:hint="eastAsia"/>
          <w:sz w:val="32"/>
          <w:szCs w:val="32"/>
          <w:lang w:eastAsia="zh-CN"/>
        </w:rPr>
        <w:t>变动</w:t>
      </w:r>
      <w:r>
        <w:rPr>
          <w:rFonts w:ascii="仿宋" w:eastAsia="仿宋" w:hint="eastAsia"/>
          <w:sz w:val="32"/>
          <w:szCs w:val="32"/>
        </w:rPr>
        <w:t>原因</w:t>
      </w:r>
      <w:r>
        <w:rPr>
          <w:rFonts w:ascii="仿宋" w:eastAsia="仿宋" w:hint="eastAsia"/>
          <w:sz w:val="32"/>
          <w:szCs w:val="32"/>
          <w:lang w:eastAsia="zh-CN"/>
        </w:rPr>
        <w:t>是</w:t>
      </w:r>
      <w:r>
        <w:rPr>
          <w:rFonts w:ascii="仿宋" w:eastAsia="仿宋" w:hint="eastAsia"/>
          <w:sz w:val="32"/>
          <w:szCs w:val="32"/>
        </w:rPr>
        <w:t>基础性绩效调整，人员经费收、支</w:t>
      </w:r>
      <w:r>
        <w:rPr>
          <w:rFonts w:ascii="仿宋" w:eastAsia="仿宋" w:hint="eastAsia"/>
          <w:sz w:val="32"/>
          <w:szCs w:val="32"/>
          <w:lang w:eastAsia="zh-CN"/>
        </w:rPr>
        <w:t>各</w:t>
      </w:r>
      <w:r>
        <w:rPr>
          <w:rFonts w:ascii="仿宋" w:eastAsia="仿宋" w:hint="eastAsia"/>
          <w:sz w:val="32"/>
          <w:szCs w:val="32"/>
        </w:rPr>
        <w:t>增加24.68万元；节约过紧日子，缩减成本支出，日常公用经费收、支</w:t>
      </w:r>
      <w:r>
        <w:rPr>
          <w:rFonts w:ascii="仿宋" w:eastAsia="仿宋" w:hint="eastAsia"/>
          <w:sz w:val="32"/>
          <w:szCs w:val="32"/>
          <w:lang w:eastAsia="zh-CN"/>
        </w:rPr>
        <w:t>各</w:t>
      </w:r>
      <w:r>
        <w:rPr>
          <w:rFonts w:ascii="仿宋" w:eastAsia="仿宋" w:hint="eastAsia"/>
          <w:sz w:val="32"/>
          <w:szCs w:val="32"/>
        </w:rPr>
        <w:t>减少16.50万元。</w:t>
      </w:r>
    </w:p>
    <w:p>
      <w:pPr>
        <w:spacing w:line="600" w:lineRule="exact"/>
        <w:jc w:val="center"/>
        <w:rPr>
          <w:rFonts w:ascii="仿宋" w:eastAsia="仿宋"/>
          <w:sz w:val="32"/>
          <w:szCs w:val="32"/>
        </w:rPr>
      </w:pPr>
      <w:r>
        <w:rPr>
          <w:rFonts w:ascii="仿宋" w:eastAsia="仿宋" w:hint="eastAsia"/>
          <w:sz w:val="32"/>
          <w:szCs w:val="32"/>
        </w:rPr>
        <w:t>（图4：财政拨款收、支决算总计变动情况）</w:t>
      </w:r>
    </w:p>
    <w:p>
      <w:pPr>
        <w:spacing w:line="600" w:lineRule="exact"/>
        <w:ind w:firstLineChars="200" w:firstLine="420"/>
        <w:jc w:val="right"/>
        <w:rPr>
          <w:rFonts w:ascii="仿宋_GB2312" w:eastAsia="仿宋_GB2312"/>
          <w:szCs w:val="21"/>
        </w:rPr>
      </w:pPr>
      <w:r>
        <w:rPr>
          <w:rFonts w:ascii="仿宋_GB2312" w:eastAsia="仿宋_GB2312" w:hint="eastAsia"/>
          <w:szCs w:val="21"/>
        </w:rPr>
        <w:t>单位：万元</w:t>
      </w:r>
    </w:p>
    <w:p>
      <w:pPr>
        <w:pStyle w:val="15"/>
        <w:spacing w:beforeLines="0" w:before="93"/>
        <w:rPr>
          <w:rFonts w:ascii="仿宋" w:eastAsia="仿宋"/>
          <w:b/>
          <w:sz w:val="32"/>
          <w:szCs w:val="32"/>
        </w:rPr>
      </w:pPr>
      <w:r>
        <w:rPr>
          <w:rFonts w:hint="eastAsia"/>
        </w:rPr>
        <w:drawing>
          <wp:inline distT="0" distB="0" distL="114300" distR="114300">
            <wp:extent cx="5079998" cy="2693035"/>
            <wp:effectExtent l="0" t="0" r="0" b="0"/>
            <wp:docPr id="4"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ascii="黑体" w:eastAsia="黑体"/>
          <w:b w:val="0"/>
        </w:rPr>
      </w:pPr>
      <w:bookmarkStart w:id="37" w:name="_Toc15377209"/>
      <w:bookmarkStart w:id="38" w:name="_Toc15396607"/>
      <w:bookmarkStart w:id="39" w:name="_Toc898_WPSOffice_Level2"/>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37"/>
      <w:bookmarkEnd w:id="38"/>
      <w:bookmarkEnd w:id="39"/>
    </w:p>
    <w:p>
      <w:pPr>
        <w:spacing w:line="600" w:lineRule="exact"/>
        <w:ind w:firstLineChars="200" w:firstLine="640"/>
        <w:outlineLvl w:val="2"/>
        <w:rPr>
          <w:rFonts w:ascii="仿宋" w:eastAsia="仿宋"/>
          <w:b/>
          <w:sz w:val="32"/>
          <w:szCs w:val="32"/>
        </w:rPr>
      </w:pPr>
      <w:bookmarkStart w:id="40" w:name="_Toc15377210"/>
      <w:r>
        <w:rPr>
          <w:rFonts w:ascii="仿宋" w:eastAsia="仿宋" w:hint="eastAsia"/>
          <w:b/>
          <w:sz w:val="32"/>
          <w:szCs w:val="32"/>
        </w:rPr>
        <w:t>（一）一般公共预算财政拨款支出决算总体情况</w:t>
      </w:r>
      <w:bookmarkEnd w:id="40"/>
    </w:p>
    <w:p>
      <w:pPr>
        <w:spacing w:line="60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22年一般公共预算财政拨款支出156.19万元，占本年支出合计的100</w:t>
      </w:r>
      <w:r>
        <w:rPr>
          <w:rFonts w:ascii="仿宋" w:eastAsia="仿宋"/>
          <w:sz w:val="32"/>
          <w:szCs w:val="32"/>
        </w:rPr>
        <w:t>%</w:t>
      </w:r>
      <w:r>
        <w:rPr>
          <w:rFonts w:ascii="仿宋" w:eastAsia="仿宋" w:hint="eastAsia"/>
          <w:sz w:val="32"/>
          <w:szCs w:val="32"/>
        </w:rPr>
        <w:t>。与</w:t>
      </w:r>
      <w:r>
        <w:rPr>
          <w:rFonts w:ascii="仿宋" w:eastAsia="仿宋"/>
          <w:sz w:val="32"/>
          <w:szCs w:val="32"/>
        </w:rPr>
        <w:t>20</w:t>
      </w:r>
      <w:r>
        <w:rPr>
          <w:rFonts w:ascii="仿宋" w:eastAsia="仿宋" w:hint="eastAsia"/>
          <w:sz w:val="32"/>
          <w:szCs w:val="32"/>
        </w:rPr>
        <w:t>21年相比，一般公共预算财政拨款支出增加8.18万元，增长5.53</w:t>
      </w:r>
      <w:r>
        <w:rPr>
          <w:rFonts w:ascii="仿宋" w:eastAsia="仿宋"/>
          <w:sz w:val="32"/>
          <w:szCs w:val="32"/>
        </w:rPr>
        <w:t>%</w:t>
      </w:r>
      <w:r>
        <w:rPr>
          <w:rFonts w:ascii="仿宋" w:eastAsia="仿宋" w:hint="eastAsia"/>
          <w:sz w:val="32"/>
          <w:szCs w:val="32"/>
        </w:rPr>
        <w:t>。主要变动原因是基础性绩效调整，导致人员经费增加24.68万元；节约过紧日子，缩减成本支出，日常公用支出减少16.50万元。</w:t>
      </w:r>
    </w:p>
    <w:p>
      <w:pPr>
        <w:spacing w:line="600" w:lineRule="exact"/>
        <w:jc w:val="center"/>
        <w:rPr>
          <w:rFonts w:ascii="仿宋" w:eastAsia="仿宋"/>
          <w:sz w:val="32"/>
          <w:szCs w:val="32"/>
        </w:rPr>
      </w:pPr>
      <w:r>
        <w:rPr>
          <w:rFonts w:ascii="仿宋" w:eastAsia="仿宋" w:hint="eastAsia"/>
          <w:sz w:val="32"/>
          <w:szCs w:val="32"/>
        </w:rPr>
        <w:t>（图5：一般公共预算财政拨款支出决算变动情况）</w:t>
      </w:r>
    </w:p>
    <w:p>
      <w:pPr>
        <w:pStyle w:val="15"/>
        <w:spacing w:beforeLines="0" w:before="93"/>
        <w:jc w:val="right"/>
        <w:rPr>
          <w:rFonts w:hint="eastAsia"/>
          <w:kern w:val="2"/>
          <w:sz w:val="21"/>
          <w:szCs w:val="21"/>
        </w:rPr>
      </w:pPr>
    </w:p>
    <w:p>
      <w:pPr>
        <w:pStyle w:val="15"/>
        <w:spacing w:beforeLines="0" w:before="93"/>
        <w:jc w:val="right"/>
        <w:rPr>
          <w:rFonts w:hint="eastAsia"/>
          <w:kern w:val="2"/>
          <w:sz w:val="21"/>
          <w:szCs w:val="21"/>
        </w:rPr>
      </w:pPr>
    </w:p>
    <w:p>
      <w:pPr>
        <w:pStyle w:val="15"/>
        <w:spacing w:beforeLines="0" w:before="93"/>
        <w:jc w:val="right"/>
        <w:rPr>
          <w:rFonts w:hint="eastAsia"/>
          <w:kern w:val="2"/>
          <w:sz w:val="21"/>
          <w:szCs w:val="21"/>
        </w:rPr>
      </w:pPr>
      <w:r>
        <w:rPr>
          <w:rFonts w:hint="eastAsia"/>
          <w:kern w:val="2"/>
          <w:sz w:val="21"/>
          <w:szCs w:val="21"/>
        </w:rPr>
        <w:t>单位：万元</w:t>
      </w:r>
    </w:p>
    <w:p>
      <w:pPr>
        <w:pStyle w:val="15"/>
        <w:spacing w:beforeLines="0" w:before="93"/>
        <w:rPr>
          <w:rFonts w:ascii="仿宋" w:eastAsia="仿宋"/>
          <w:sz w:val="32"/>
          <w:szCs w:val="32"/>
        </w:rPr>
      </w:pPr>
      <w:r>
        <w:rPr>
          <w:rFonts w:ascii="仿宋" w:eastAsia="仿宋" w:hint="eastAsia"/>
          <w:sz w:val="32"/>
          <w:szCs w:val="32"/>
        </w:rPr>
        <w:drawing>
          <wp:anchor distT="0" distB="0" distL="114300" distR="114300" simplePos="0" relativeHeight="6" behindDoc="1" locked="0" layoutInCell="1" hidden="0" allowOverlap="1">
            <wp:simplePos x="0" y="0"/>
            <wp:positionH relativeFrom="column">
              <wp:posOffset>13335</wp:posOffset>
            </wp:positionH>
            <wp:positionV relativeFrom="paragraph">
              <wp:posOffset>46990</wp:posOffset>
            </wp:positionV>
            <wp:extent cx="5135245" cy="2710180"/>
            <wp:effectExtent l="0" t="0" r="0" b="0"/>
            <wp:wrapNone/>
            <wp:docPr id="5" name="图表 7"/>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outlineLvl w:val="2"/>
        <w:rPr>
          <w:rFonts w:ascii="仿宋" w:eastAsia="仿宋" w:hint="eastAsia"/>
          <w:b/>
          <w:sz w:val="32"/>
          <w:szCs w:val="32"/>
        </w:rPr>
      </w:pPr>
      <w:bookmarkStart w:id="41" w:name="_Toc15377211"/>
    </w:p>
    <w:p>
      <w:pPr>
        <w:spacing w:line="600" w:lineRule="exact"/>
        <w:ind w:firstLineChars="200" w:firstLine="640"/>
        <w:outlineLvl w:val="2"/>
        <w:rPr>
          <w:rFonts w:ascii="仿宋" w:eastAsia="仿宋" w:hint="eastAsia"/>
          <w:b/>
          <w:sz w:val="32"/>
          <w:szCs w:val="32"/>
        </w:rPr>
      </w:pPr>
    </w:p>
    <w:p>
      <w:pPr>
        <w:spacing w:line="600" w:lineRule="exact"/>
        <w:ind w:firstLineChars="200" w:firstLine="640"/>
        <w:outlineLvl w:val="2"/>
        <w:rPr>
          <w:rFonts w:ascii="仿宋" w:eastAsia="仿宋" w:hint="eastAsia"/>
          <w:b/>
          <w:sz w:val="32"/>
          <w:szCs w:val="32"/>
        </w:rPr>
      </w:pPr>
    </w:p>
    <w:p>
      <w:pPr>
        <w:spacing w:line="600" w:lineRule="exact"/>
        <w:ind w:firstLineChars="200" w:firstLine="640"/>
        <w:outlineLvl w:val="2"/>
        <w:rPr>
          <w:rFonts w:ascii="仿宋" w:eastAsia="仿宋" w:hint="eastAsia"/>
          <w:b/>
          <w:sz w:val="32"/>
          <w:szCs w:val="32"/>
        </w:rPr>
      </w:pPr>
    </w:p>
    <w:p>
      <w:pPr>
        <w:spacing w:line="600" w:lineRule="exact"/>
        <w:ind w:firstLineChars="200" w:firstLine="640"/>
        <w:outlineLvl w:val="2"/>
        <w:rPr>
          <w:rFonts w:ascii="仿宋" w:eastAsia="仿宋" w:hint="eastAsia"/>
          <w:b/>
          <w:sz w:val="32"/>
          <w:szCs w:val="32"/>
        </w:rPr>
      </w:pPr>
    </w:p>
    <w:p>
      <w:pPr>
        <w:spacing w:line="600" w:lineRule="exact"/>
        <w:ind w:firstLineChars="200" w:firstLine="640"/>
        <w:outlineLvl w:val="2"/>
        <w:rPr>
          <w:rFonts w:ascii="仿宋" w:eastAsia="仿宋" w:hint="eastAsia"/>
          <w:b/>
          <w:sz w:val="32"/>
          <w:szCs w:val="32"/>
        </w:rPr>
      </w:pPr>
    </w:p>
    <w:p>
      <w:pPr>
        <w:spacing w:line="600" w:lineRule="exact"/>
        <w:ind w:firstLineChars="200" w:firstLine="640"/>
        <w:outlineLvl w:val="2"/>
        <w:rPr>
          <w:rFonts w:ascii="仿宋" w:eastAsia="仿宋"/>
          <w:b/>
          <w:sz w:val="32"/>
          <w:szCs w:val="32"/>
        </w:rPr>
      </w:pPr>
      <w:r>
        <w:rPr>
          <w:rFonts w:ascii="仿宋" w:eastAsia="仿宋" w:hint="eastAsia"/>
          <w:b/>
          <w:sz w:val="32"/>
          <w:szCs w:val="32"/>
        </w:rPr>
        <w:t>（二）一般公共预算财政拨款支出决算结构情况</w:t>
      </w:r>
      <w:bookmarkEnd w:id="41"/>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22年一般公共预算财政拨款支出156.19万元，主要用于以下方面</w:t>
      </w:r>
      <w:r>
        <w:rPr>
          <w:rFonts w:ascii="仿宋" w:eastAsia="仿宋"/>
          <w:sz w:val="32"/>
          <w:szCs w:val="32"/>
        </w:rPr>
        <w:t>:</w:t>
      </w:r>
      <w:r>
        <w:rPr>
          <w:rFonts w:ascii="仿宋" w:eastAsia="仿宋" w:hint="eastAsia"/>
          <w:sz w:val="32"/>
          <w:szCs w:val="32"/>
        </w:rPr>
        <w:t>社会保障和就业（类）支出29.48万元，占18.87</w:t>
      </w:r>
      <w:r>
        <w:rPr>
          <w:rFonts w:ascii="仿宋" w:eastAsia="仿宋"/>
          <w:sz w:val="32"/>
          <w:szCs w:val="32"/>
        </w:rPr>
        <w:t>%</w:t>
      </w:r>
      <w:r>
        <w:rPr>
          <w:rFonts w:ascii="仿宋" w:eastAsia="仿宋" w:hint="eastAsia"/>
          <w:sz w:val="32"/>
          <w:szCs w:val="32"/>
        </w:rPr>
        <w:t>；住房保障支出（类）10.49万元，占6.72</w:t>
      </w:r>
      <w:r>
        <w:rPr>
          <w:rFonts w:ascii="仿宋" w:eastAsia="仿宋"/>
          <w:sz w:val="32"/>
          <w:szCs w:val="32"/>
        </w:rPr>
        <w:t>%</w:t>
      </w:r>
      <w:r>
        <w:rPr>
          <w:rFonts w:ascii="仿宋" w:eastAsia="仿宋" w:hint="eastAsia"/>
          <w:sz w:val="32"/>
          <w:szCs w:val="32"/>
        </w:rPr>
        <w:t>；城乡</w:t>
      </w:r>
      <w:r>
        <w:rPr>
          <w:rFonts w:ascii="仿宋" w:eastAsia="仿宋"/>
          <w:sz w:val="32"/>
          <w:szCs w:val="32"/>
        </w:rPr>
        <w:t>社区支出</w:t>
      </w:r>
      <w:r>
        <w:rPr>
          <w:rFonts w:ascii="仿宋" w:eastAsia="仿宋" w:hint="eastAsia"/>
          <w:sz w:val="32"/>
          <w:szCs w:val="32"/>
        </w:rPr>
        <w:t>（类）1</w:t>
      </w:r>
      <w:r>
        <w:rPr>
          <w:rFonts w:ascii="仿宋" w:eastAsia="仿宋"/>
          <w:sz w:val="32"/>
          <w:szCs w:val="32"/>
        </w:rPr>
        <w:t>1</w:t>
      </w:r>
      <w:r>
        <w:rPr>
          <w:rFonts w:ascii="仿宋" w:eastAsia="仿宋" w:hint="eastAsia"/>
          <w:sz w:val="32"/>
          <w:szCs w:val="32"/>
        </w:rPr>
        <w:t>6.22</w:t>
      </w:r>
      <w:r>
        <w:rPr>
          <w:rFonts w:ascii="仿宋" w:eastAsia="仿宋"/>
          <w:sz w:val="32"/>
          <w:szCs w:val="32"/>
        </w:rPr>
        <w:t>万元，</w:t>
      </w:r>
      <w:r>
        <w:rPr>
          <w:rFonts w:ascii="仿宋" w:eastAsia="仿宋" w:hint="eastAsia"/>
          <w:sz w:val="32"/>
          <w:szCs w:val="32"/>
        </w:rPr>
        <w:t>占74.41%。</w:t>
      </w:r>
    </w:p>
    <w:p>
      <w:pPr>
        <w:spacing w:line="600" w:lineRule="exact"/>
        <w:jc w:val="center"/>
        <w:rPr>
          <w:rFonts w:ascii="仿宋" w:eastAsia="仿宋"/>
          <w:sz w:val="32"/>
          <w:szCs w:val="32"/>
        </w:rPr>
      </w:pPr>
      <w:r>
        <w:rPr>
          <w:rFonts w:ascii="仿宋" w:eastAsia="仿宋" w:hint="eastAsia"/>
          <w:sz w:val="32"/>
          <w:szCs w:val="32"/>
        </w:rPr>
        <w:t>（图6：一般公共预算财政拨款支出决算结构）</w:t>
      </w:r>
    </w:p>
    <w:p>
      <w:pPr>
        <w:spacing w:line="600" w:lineRule="exact"/>
        <w:ind w:firstLineChars="200" w:firstLine="420"/>
        <w:jc w:val="right"/>
        <w:rPr>
          <w:rFonts w:ascii="仿宋_GB2312" w:eastAsia="仿宋_GB2312"/>
          <w:szCs w:val="21"/>
        </w:rPr>
      </w:pPr>
      <w:r>
        <w:rPr>
          <w:rFonts w:eastAsia="仿宋" w:hint="eastAsia"/>
        </w:rPr>
        <w:drawing>
          <wp:anchor distT="0" distB="0" distL="114300" distR="114300" simplePos="0" relativeHeight="4" behindDoc="1" locked="0" layoutInCell="1" hidden="0" allowOverlap="1">
            <wp:simplePos x="0" y="0"/>
            <wp:positionH relativeFrom="column">
              <wp:posOffset>-72389</wp:posOffset>
            </wp:positionH>
            <wp:positionV relativeFrom="paragraph">
              <wp:posOffset>335915</wp:posOffset>
            </wp:positionV>
            <wp:extent cx="5194300" cy="2753360"/>
            <wp:effectExtent l="0" t="0" r="0" b="0"/>
            <wp:wrapNone/>
            <wp:docPr id="6" name="图表 5"/>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_GB2312" w:eastAsia="仿宋_GB2312" w:hint="eastAsia"/>
          <w:szCs w:val="21"/>
        </w:rPr>
        <w:t>单位：万元</w:t>
      </w:r>
    </w:p>
    <w:p>
      <w:pPr>
        <w:pStyle w:val="15"/>
        <w:spacing w:beforeLines="0" w:before="93"/>
        <w:rPr>
          <w:rFonts w:eastAsia="仿宋"/>
        </w:rPr>
      </w:pPr>
    </w:p>
    <w:p>
      <w:pPr>
        <w:spacing w:line="600" w:lineRule="exact"/>
        <w:ind w:firstLineChars="200" w:firstLine="640"/>
        <w:rPr>
          <w:rFonts w:ascii="仿宋" w:eastAsia="仿宋"/>
          <w:sz w:val="32"/>
          <w:szCs w:val="32"/>
        </w:rPr>
      </w:pPr>
    </w:p>
    <w:p>
      <w:pPr>
        <w:spacing w:line="600" w:lineRule="exact"/>
        <w:ind w:firstLineChars="200" w:firstLine="640"/>
        <w:outlineLvl w:val="2"/>
        <w:rPr>
          <w:rFonts w:ascii="仿宋" w:eastAsia="仿宋"/>
          <w:b/>
          <w:sz w:val="32"/>
          <w:szCs w:val="32"/>
        </w:rPr>
      </w:pPr>
      <w:bookmarkStart w:id="42" w:name="_Toc15377212"/>
    </w:p>
    <w:p>
      <w:pPr>
        <w:spacing w:line="600" w:lineRule="exact"/>
        <w:ind w:firstLineChars="200" w:firstLine="640"/>
        <w:outlineLvl w:val="2"/>
        <w:rPr>
          <w:rFonts w:ascii="仿宋" w:eastAsia="仿宋"/>
          <w:b/>
          <w:sz w:val="32"/>
          <w:szCs w:val="32"/>
        </w:rPr>
      </w:pPr>
    </w:p>
    <w:p>
      <w:pPr>
        <w:spacing w:line="600" w:lineRule="exact"/>
        <w:ind w:firstLineChars="200" w:firstLine="640"/>
        <w:outlineLvl w:val="2"/>
        <w:rPr>
          <w:rFonts w:ascii="仿宋" w:eastAsia="仿宋"/>
          <w:b/>
          <w:sz w:val="32"/>
          <w:szCs w:val="32"/>
        </w:rPr>
      </w:pPr>
    </w:p>
    <w:p>
      <w:pPr>
        <w:spacing w:line="600" w:lineRule="exact"/>
        <w:ind w:firstLineChars="200" w:firstLine="640"/>
        <w:outlineLvl w:val="2"/>
        <w:rPr>
          <w:rFonts w:ascii="仿宋" w:eastAsia="仿宋"/>
          <w:b/>
          <w:sz w:val="32"/>
          <w:szCs w:val="32"/>
        </w:rPr>
      </w:pPr>
    </w:p>
    <w:p>
      <w:pPr>
        <w:spacing w:line="600" w:lineRule="exact"/>
        <w:ind w:firstLineChars="200" w:firstLine="640"/>
        <w:outlineLvl w:val="2"/>
        <w:rPr>
          <w:rFonts w:ascii="仿宋" w:eastAsia="仿宋"/>
          <w:b/>
          <w:sz w:val="32"/>
          <w:szCs w:val="32"/>
        </w:rPr>
      </w:pPr>
    </w:p>
    <w:p>
      <w:pPr>
        <w:spacing w:line="600" w:lineRule="exact"/>
        <w:ind w:firstLineChars="200" w:firstLine="640"/>
        <w:outlineLvl w:val="2"/>
        <w:rPr>
          <w:rFonts w:ascii="仿宋" w:eastAsia="仿宋"/>
          <w:b/>
          <w:sz w:val="32"/>
          <w:szCs w:val="32"/>
        </w:rPr>
      </w:pPr>
      <w:r>
        <w:rPr>
          <w:rFonts w:ascii="仿宋" w:eastAsia="仿宋" w:hint="eastAsia"/>
          <w:b/>
          <w:sz w:val="32"/>
          <w:szCs w:val="32"/>
        </w:rPr>
        <w:t>（三）一般公共预算财政拨款支出决算具体情况</w:t>
      </w:r>
      <w:bookmarkEnd w:id="42"/>
    </w:p>
    <w:p>
      <w:pPr>
        <w:spacing w:line="600" w:lineRule="exact"/>
        <w:ind w:firstLineChars="200" w:firstLine="640"/>
        <w:outlineLvl w:val="2"/>
        <w:rPr>
          <w:rFonts w:ascii="仿宋" w:eastAsia="仿宋"/>
          <w:sz w:val="32"/>
          <w:szCs w:val="32"/>
        </w:rPr>
      </w:pPr>
      <w:bookmarkStart w:id="43" w:name="_Toc15377444"/>
      <w:bookmarkStart w:id="44" w:name="_Toc15377213"/>
      <w:bookmarkStart w:id="45" w:name="_Toc15378460"/>
      <w:r>
        <w:rPr>
          <w:rFonts w:ascii="仿宋" w:eastAsia="仿宋" w:hint="eastAsia"/>
          <w:b/>
          <w:sz w:val="32"/>
          <w:szCs w:val="32"/>
        </w:rPr>
        <w:t>2022年一般公共预算支出决算数为156.19万元</w:t>
      </w:r>
      <w:r>
        <w:rPr>
          <w:rFonts w:ascii="仿宋" w:eastAsia="仿宋" w:hint="eastAsia"/>
          <w:sz w:val="32"/>
          <w:szCs w:val="32"/>
        </w:rPr>
        <w:t>，</w:t>
      </w:r>
      <w:r>
        <w:rPr>
          <w:rStyle w:val="22"/>
          <w:rFonts w:ascii="仿宋" w:eastAsia="仿宋" w:hint="eastAsia"/>
          <w:bCs/>
          <w:sz w:val="32"/>
          <w:szCs w:val="32"/>
        </w:rPr>
        <w:t>完成预算100</w:t>
      </w:r>
      <w:r>
        <w:rPr>
          <w:rStyle w:val="22"/>
          <w:rFonts w:ascii="仿宋" w:eastAsia="仿宋"/>
          <w:bCs/>
          <w:sz w:val="32"/>
          <w:szCs w:val="32"/>
        </w:rPr>
        <w:t>%</w:t>
      </w:r>
      <w:r>
        <w:rPr>
          <w:rStyle w:val="22"/>
          <w:rFonts w:ascii="仿宋" w:eastAsia="仿宋" w:hint="eastAsia"/>
          <w:bCs/>
          <w:sz w:val="32"/>
          <w:szCs w:val="32"/>
        </w:rPr>
        <w:t>。其中：</w:t>
      </w:r>
      <w:bookmarkEnd w:id="43"/>
      <w:bookmarkEnd w:id="44"/>
      <w:bookmarkEnd w:id="45"/>
    </w:p>
    <w:p>
      <w:pPr>
        <w:spacing w:line="600" w:lineRule="exact"/>
        <w:ind w:firstLine="640"/>
        <w:rPr>
          <w:rFonts w:ascii="仿宋" w:eastAsia="仿宋"/>
          <w:sz w:val="32"/>
          <w:szCs w:val="32"/>
        </w:rPr>
      </w:pPr>
      <w:r>
        <w:rPr>
          <w:rStyle w:val="22"/>
          <w:rFonts w:ascii="仿宋" w:eastAsia="仿宋" w:hint="eastAsia"/>
          <w:bCs/>
          <w:sz w:val="32"/>
          <w:szCs w:val="32"/>
        </w:rPr>
        <w:t>1.社会保障和就业（类）行政事业单位养老支出（款）机关事业单位基本养老保险缴费支出（项）:</w:t>
      </w:r>
      <w:r>
        <w:rPr>
          <w:rFonts w:ascii="仿宋" w:eastAsia="仿宋" w:hint="eastAsia"/>
          <w:sz w:val="32"/>
          <w:szCs w:val="32"/>
        </w:rPr>
        <w:t>支出决算为8.99万元，完成预算100%，决算数等于预算数。</w:t>
      </w:r>
    </w:p>
    <w:p>
      <w:pPr>
        <w:spacing w:line="600" w:lineRule="exact"/>
        <w:ind w:firstLine="640"/>
        <w:rPr>
          <w:rFonts w:ascii="仿宋" w:eastAsia="仿宋"/>
          <w:sz w:val="32"/>
          <w:szCs w:val="32"/>
        </w:rPr>
      </w:pPr>
      <w:r>
        <w:rPr>
          <w:rStyle w:val="22"/>
          <w:rFonts w:ascii="仿宋" w:eastAsia="仿宋" w:hint="eastAsia"/>
          <w:bCs/>
          <w:sz w:val="32"/>
          <w:szCs w:val="32"/>
        </w:rPr>
        <w:t>社会保障和就业（类）行政事业单位养老支出（款）事业单位离退休（项）：</w:t>
      </w:r>
      <w:r>
        <w:rPr>
          <w:rFonts w:ascii="仿宋" w:eastAsia="仿宋" w:hint="eastAsia"/>
          <w:sz w:val="32"/>
          <w:szCs w:val="32"/>
        </w:rPr>
        <w:t>支出决算数为20.49万元，完成预算100%，决算数等于预算数。</w:t>
      </w:r>
    </w:p>
    <w:p>
      <w:pPr>
        <w:spacing w:line="600" w:lineRule="exact"/>
        <w:ind w:firstLine="640"/>
        <w:rPr>
          <w:rFonts w:ascii="仿宋" w:eastAsia="仿宋"/>
          <w:sz w:val="32"/>
          <w:szCs w:val="32"/>
        </w:rPr>
      </w:pPr>
      <w:r>
        <w:rPr>
          <w:rStyle w:val="22"/>
          <w:rFonts w:ascii="仿宋" w:eastAsia="仿宋" w:hint="eastAsia"/>
          <w:bCs/>
          <w:sz w:val="32"/>
          <w:szCs w:val="32"/>
        </w:rPr>
        <w:t>2.城乡社区支出（类）城乡社区管理事务（款）其他城乡社区管理事务支出（项）：</w:t>
      </w:r>
      <w:r>
        <w:rPr>
          <w:rFonts w:ascii="仿宋" w:eastAsia="仿宋" w:hint="eastAsia"/>
          <w:sz w:val="32"/>
          <w:szCs w:val="32"/>
        </w:rPr>
        <w:t>支出决算数为116.22万元，完成预算100%，决算数等于预算数。</w:t>
      </w:r>
    </w:p>
    <w:p>
      <w:pPr>
        <w:spacing w:line="600" w:lineRule="exact"/>
        <w:ind w:firstLine="640"/>
        <w:rPr>
          <w:rFonts w:ascii="仿宋" w:eastAsia="仿宋"/>
          <w:b/>
          <w:sz w:val="32"/>
          <w:szCs w:val="32"/>
        </w:rPr>
      </w:pPr>
      <w:r>
        <w:rPr>
          <w:rStyle w:val="22"/>
          <w:rFonts w:ascii="仿宋" w:eastAsia="仿宋" w:hint="eastAsia"/>
          <w:bCs/>
          <w:sz w:val="32"/>
          <w:szCs w:val="32"/>
        </w:rPr>
        <w:t>3.住房保障支出（类）住房改革支出（款）住房公积金（项）：</w:t>
      </w:r>
      <w:r>
        <w:rPr>
          <w:rFonts w:ascii="仿宋" w:eastAsia="仿宋" w:hint="eastAsia"/>
          <w:sz w:val="32"/>
          <w:szCs w:val="32"/>
        </w:rPr>
        <w:t>支出决算数为10.49万元，完成预算100%。</w:t>
      </w:r>
    </w:p>
    <w:p>
      <w:pPr>
        <w:tabs>
          <w:tab w:val="right" w:pos="8306"/>
        </w:tabs>
        <w:spacing w:line="600" w:lineRule="exact"/>
        <w:ind w:firstLine="640"/>
        <w:outlineLvl w:val="1"/>
        <w:rPr>
          <w:rStyle w:val="2Char"/>
        </w:rPr>
      </w:pPr>
      <w:bookmarkStart w:id="46" w:name="_Toc15396608"/>
      <w:bookmarkStart w:id="47" w:name="_Toc15377214"/>
      <w:bookmarkStart w:id="48" w:name="_Toc12973_WPSOffice_Level2"/>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46"/>
      <w:bookmarkEnd w:id="47"/>
      <w:bookmarkEnd w:id="48"/>
      <w:r>
        <w:rPr>
          <w:rStyle w:val="2Char"/>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ascii="仿宋" w:eastAsia="仿宋" w:hint="eastAsia"/>
          <w:sz w:val="32"/>
          <w:szCs w:val="32"/>
        </w:rPr>
        <w:t>22年一般公共预算财政拨款基本支出148.94万元，其中：</w:t>
      </w:r>
    </w:p>
    <w:p>
      <w:pPr>
        <w:spacing w:line="600" w:lineRule="exact"/>
        <w:ind w:firstLine="645"/>
        <w:rPr>
          <w:rFonts w:ascii="仿宋" w:eastAsia="仿宋"/>
          <w:b/>
          <w:sz w:val="32"/>
          <w:szCs w:val="32"/>
        </w:rPr>
      </w:pPr>
      <w:r>
        <w:rPr>
          <w:rFonts w:ascii="仿宋" w:eastAsia="仿宋" w:hint="eastAsia"/>
          <w:sz w:val="32"/>
          <w:szCs w:val="32"/>
        </w:rPr>
        <w:t>人员经费141.73万元，主要包括：基本工资33.26万元、津贴补贴3.69万元、绩效工资49.54万元、机关事业单位基本养老保险缴费8.99元、职工基本医疗保险缴费6.64万元、公务员医疗补助缴费3.64万元、其他社会保障缴费1.37万元、其他工资福利支出3.64万元、生活补助18.18万元、医疗费补助2.29万元、住房公积金10.49万元等。</w:t>
      </w:r>
      <w:r>
        <w:rPr>
          <w:rFonts w:ascii="仿宋" w:eastAsia="仿宋"/>
          <w:sz w:val="32"/>
          <w:szCs w:val="32"/>
        </w:rPr>
        <w:br/>
      </w:r>
      <w:r>
        <w:rPr>
          <w:rFonts w:ascii="仿宋" w:eastAsia="仿宋" w:hint="eastAsia"/>
          <w:sz w:val="32"/>
          <w:szCs w:val="32"/>
        </w:rPr>
        <w:t>　　公用经费7.21万元，主要包括：办公费2.45万元、水费0.21万元、电费0.99万元、邮电费1.28万元、工会经费1.59万元、福利费0.32万元、公务用车运行维护费0.04万元、其他交通费0.01万元、其他商品和服务支出0.32万元。</w:t>
      </w:r>
    </w:p>
    <w:p>
      <w:pPr>
        <w:spacing w:line="600" w:lineRule="exact"/>
        <w:ind w:firstLine="640"/>
        <w:outlineLvl w:val="1"/>
        <w:rPr>
          <w:rStyle w:val="2Char"/>
          <w:rFonts w:ascii="黑体" w:eastAsia="黑体"/>
          <w:b w:val="0"/>
        </w:rPr>
      </w:pPr>
      <w:bookmarkStart w:id="49" w:name="_Toc15377215"/>
      <w:bookmarkStart w:id="50" w:name="_Toc15396609"/>
      <w:bookmarkStart w:id="51" w:name="_Toc18629_WPSOffice_Level2"/>
      <w:r>
        <w:rPr>
          <w:rFonts w:ascii="黑体" w:eastAsia="黑体" w:hint="eastAsia"/>
          <w:sz w:val="32"/>
          <w:szCs w:val="32"/>
        </w:rPr>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49"/>
      <w:bookmarkEnd w:id="50"/>
      <w:bookmarkEnd w:id="51"/>
    </w:p>
    <w:p>
      <w:pPr>
        <w:spacing w:line="600" w:lineRule="exact"/>
        <w:ind w:firstLine="640"/>
        <w:outlineLvl w:val="2"/>
        <w:rPr>
          <w:rFonts w:ascii="仿宋" w:eastAsia="仿宋"/>
          <w:b/>
          <w:sz w:val="32"/>
          <w:szCs w:val="32"/>
        </w:rPr>
      </w:pPr>
      <w:bookmarkStart w:id="52" w:name="_Toc15377216"/>
      <w:r>
        <w:rPr>
          <w:rFonts w:ascii="仿宋" w:eastAsia="仿宋" w:hint="eastAsia"/>
          <w:b/>
          <w:sz w:val="32"/>
          <w:szCs w:val="32"/>
        </w:rPr>
        <w:t>（一）“三公”经费财政拨款支出决算总体情况说明</w:t>
      </w:r>
      <w:bookmarkEnd w:id="52"/>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22年“三公”经费财政拨款支出决算为0.04万元，完成预算</w:t>
      </w:r>
      <w:r>
        <w:rPr>
          <w:rFonts w:ascii="仿宋" w:eastAsia="仿宋" w:hint="eastAsia"/>
          <w:sz w:val="32"/>
          <w:szCs w:val="32"/>
          <w:lang w:val="en-US" w:eastAsia="zh-CN"/>
        </w:rPr>
        <w:t>2.25</w:t>
      </w:r>
      <w:r>
        <w:rPr>
          <w:rFonts w:ascii="仿宋" w:eastAsia="仿宋"/>
          <w:sz w:val="32"/>
          <w:szCs w:val="32"/>
        </w:rPr>
        <w:t>%</w:t>
      </w:r>
      <w:r>
        <w:rPr>
          <w:rFonts w:ascii="仿宋" w:eastAsia="仿宋" w:hint="eastAsia"/>
          <w:sz w:val="32"/>
          <w:szCs w:val="32"/>
        </w:rPr>
        <w:t>，较上年减少2.5万元，下降98.43%。决算数小于预算数的主要原因是合理用车，减少公务出行成本，无公务接待费发生。</w:t>
      </w:r>
    </w:p>
    <w:p>
      <w:pPr>
        <w:spacing w:line="600" w:lineRule="exact"/>
        <w:ind w:firstLine="640"/>
        <w:outlineLvl w:val="2"/>
        <w:rPr>
          <w:rFonts w:ascii="仿宋" w:eastAsia="仿宋"/>
          <w:b/>
          <w:sz w:val="32"/>
          <w:szCs w:val="32"/>
        </w:rPr>
      </w:pPr>
      <w:bookmarkStart w:id="53" w:name="_Toc15377217"/>
      <w:r>
        <w:rPr>
          <w:rFonts w:ascii="仿宋" w:eastAsia="仿宋" w:hint="eastAsia"/>
          <w:b/>
          <w:sz w:val="32"/>
          <w:szCs w:val="32"/>
        </w:rPr>
        <w:t>（二）“三公”经费财政拨款支出决算具体情况说明</w:t>
      </w:r>
      <w:bookmarkEnd w:id="53"/>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22年“三公”经费财政拨款支出决算中，因公出国（境）费支出决算0万元，占0</w:t>
      </w:r>
      <w:r>
        <w:rPr>
          <w:rFonts w:ascii="仿宋" w:eastAsia="仿宋"/>
          <w:sz w:val="32"/>
          <w:szCs w:val="32"/>
        </w:rPr>
        <w:t>%</w:t>
      </w:r>
      <w:r>
        <w:rPr>
          <w:rFonts w:ascii="仿宋" w:eastAsia="仿宋" w:hint="eastAsia"/>
          <w:sz w:val="32"/>
          <w:szCs w:val="32"/>
        </w:rPr>
        <w:t>；公务用车购置及运行维护费支出决算0.04万元，占100</w:t>
      </w:r>
      <w:r>
        <w:rPr>
          <w:rFonts w:ascii="仿宋" w:eastAsia="仿宋"/>
          <w:sz w:val="32"/>
          <w:szCs w:val="32"/>
        </w:rPr>
        <w:t>%</w:t>
      </w:r>
      <w:r>
        <w:rPr>
          <w:rFonts w:ascii="仿宋" w:eastAsia="仿宋" w:hint="eastAsia"/>
          <w:sz w:val="32"/>
          <w:szCs w:val="32"/>
        </w:rPr>
        <w:t>；公务接待费支出决算0万元，占0</w:t>
      </w:r>
      <w:r>
        <w:rPr>
          <w:rFonts w:ascii="仿宋" w:eastAsia="仿宋"/>
          <w:sz w:val="32"/>
          <w:szCs w:val="32"/>
        </w:rPr>
        <w:t>%</w:t>
      </w:r>
      <w:r>
        <w:rPr>
          <w:rFonts w:ascii="仿宋" w:eastAsia="仿宋" w:hint="eastAsia"/>
          <w:sz w:val="32"/>
          <w:szCs w:val="32"/>
        </w:rPr>
        <w:t>。具体情况如下：</w:t>
      </w:r>
    </w:p>
    <w:p>
      <w:pPr>
        <w:spacing w:line="600" w:lineRule="exact"/>
        <w:jc w:val="center"/>
        <w:rPr>
          <w:rFonts w:ascii="仿宋" w:eastAsia="仿宋"/>
          <w:sz w:val="32"/>
          <w:szCs w:val="32"/>
        </w:rPr>
      </w:pPr>
      <w:r>
        <w:rPr>
          <w:rFonts w:ascii="仿宋" w:eastAsia="仿宋" w:hint="eastAsia"/>
          <w:sz w:val="32"/>
          <w:szCs w:val="32"/>
        </w:rPr>
        <w:t>（图7：“三公”经费财政拨款支出结构）</w:t>
      </w:r>
    </w:p>
    <w:p>
      <w:pPr>
        <w:spacing w:line="600" w:lineRule="exact"/>
        <w:ind w:firstLineChars="200" w:firstLine="420"/>
        <w:jc w:val="right"/>
      </w:pPr>
      <w:r>
        <w:rPr>
          <w:rFonts w:ascii="仿宋_GB2312" w:eastAsia="仿宋_GB2312" w:hint="eastAsia"/>
          <w:szCs w:val="21"/>
        </w:rPr>
        <w:t>单位：万元</w:t>
      </w:r>
    </w:p>
    <w:p>
      <w:pPr>
        <w:pStyle w:val="15"/>
        <w:spacing w:beforeLines="0" w:before="93"/>
        <w:rPr>
          <w:rFonts w:eastAsia="仿宋"/>
        </w:rPr>
      </w:pPr>
      <w:r>
        <w:rPr>
          <w:rFonts w:eastAsia="仿宋" w:hint="eastAsia"/>
        </w:rPr>
        <w:drawing>
          <wp:inline distT="0" distB="0" distL="114300" distR="114300">
            <wp:extent cx="5079998" cy="3059430"/>
            <wp:effectExtent l="0" t="0" r="0" b="0"/>
            <wp:docPr id="7" name="图表 9"/>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22"/>
          <w:rFonts w:ascii="仿宋" w:eastAsia="仿宋" w:hint="eastAsia"/>
          <w:b w:val="0"/>
          <w:bCs/>
          <w:sz w:val="32"/>
          <w:szCs w:val="32"/>
        </w:rPr>
        <w:t>完成预算100</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 w:eastAsia="仿宋"/>
          <w:sz w:val="32"/>
          <w:szCs w:val="32"/>
        </w:rPr>
        <w:t>20</w:t>
      </w:r>
      <w:r>
        <w:rPr>
          <w:rFonts w:ascii="仿宋" w:eastAsia="仿宋" w:hint="eastAsia"/>
          <w:sz w:val="32"/>
          <w:szCs w:val="32"/>
        </w:rPr>
        <w:t>21年持平，两年均无发生额</w:t>
      </w:r>
      <w:r>
        <w:rPr>
          <w:rFonts w:ascii="仿宋_GB2312" w:eastAsia="仿宋_GB2312" w:hint="eastAsia"/>
          <w:sz w:val="32"/>
          <w:szCs w:val="32"/>
        </w:rPr>
        <w:t>。</w:t>
      </w:r>
    </w:p>
    <w:p>
      <w:pPr>
        <w:spacing w:line="600" w:lineRule="exact"/>
        <w:ind w:firstLine="640"/>
        <w:rPr>
          <w:rFonts w:ascii="仿宋_GB2312" w:eastAsia="仿宋_GB2312"/>
          <w:sz w:val="32"/>
          <w:szCs w:val="32"/>
        </w:rPr>
      </w:pPr>
      <w:r>
        <w:rPr>
          <w:rFonts w:ascii="仿宋_GB2312" w:eastAsia="仿宋_GB2312" w:hint="eastAsia"/>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0.04万元,</w:t>
      </w:r>
      <w:r>
        <w:rPr>
          <w:rStyle w:val="22"/>
          <w:rFonts w:ascii="仿宋" w:eastAsia="仿宋" w:hint="eastAsia"/>
          <w:b w:val="0"/>
          <w:bCs/>
          <w:sz w:val="32"/>
          <w:szCs w:val="32"/>
        </w:rPr>
        <w:t>完成预算2.47</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21年减少2.36万元，下降98.33</w:t>
      </w:r>
      <w:r>
        <w:rPr>
          <w:rFonts w:ascii="仿宋_GB2312" w:eastAsia="仿宋_GB2312"/>
          <w:sz w:val="32"/>
          <w:szCs w:val="32"/>
        </w:rPr>
        <w:t>%</w:t>
      </w:r>
      <w:r>
        <w:rPr>
          <w:rFonts w:ascii="仿宋_GB2312" w:eastAsia="仿宋_GB2312" w:hint="eastAsia"/>
          <w:sz w:val="32"/>
          <w:szCs w:val="32"/>
        </w:rPr>
        <w:t>。主要原因是</w:t>
      </w:r>
      <w:r>
        <w:rPr>
          <w:rFonts w:ascii="仿宋" w:eastAsia="仿宋" w:hint="eastAsia"/>
          <w:sz w:val="32"/>
          <w:szCs w:val="32"/>
        </w:rPr>
        <w:t>合理用车，减少公务出行成本</w:t>
      </w:r>
      <w:r>
        <w:rPr>
          <w:rFonts w:ascii="仿宋_GB2312" w:eastAsia="仿宋_GB2312" w:hint="eastAsia"/>
          <w:sz w:val="32"/>
          <w:szCs w:val="32"/>
        </w:rPr>
        <w:t>。</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月底，单位共有公务用车1辆，其中：轿车0辆、越野车1辆、载客汽车0辆。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0.04万元。主要用于公务用车保险费支出。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22"/>
          <w:rFonts w:ascii="仿宋" w:eastAsia="仿宋" w:hint="eastAsia"/>
          <w:b w:val="0"/>
          <w:bCs/>
          <w:sz w:val="32"/>
          <w:szCs w:val="32"/>
        </w:rPr>
        <w:t>完成预算0</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21年减少0.14万元，下降100</w:t>
      </w:r>
      <w:r>
        <w:rPr>
          <w:rFonts w:ascii="仿宋_GB2312" w:eastAsia="仿宋_GB2312"/>
          <w:sz w:val="32"/>
          <w:szCs w:val="32"/>
        </w:rPr>
        <w:t>%</w:t>
      </w:r>
      <w:r>
        <w:rPr>
          <w:rFonts w:ascii="仿宋_GB2312" w:eastAsia="仿宋_GB2312" w:hint="eastAsia"/>
          <w:sz w:val="32"/>
          <w:szCs w:val="32"/>
        </w:rPr>
        <w:t>。主要原因是本年无公务接待发生。其中：</w:t>
      </w:r>
    </w:p>
    <w:p>
      <w:pPr>
        <w:spacing w:line="600" w:lineRule="exact"/>
        <w:ind w:firstLine="640"/>
        <w:rPr>
          <w:rFonts w:ascii="仿宋_GB2312" w:eastAsia="仿宋_GB2312"/>
          <w:sz w:val="32"/>
          <w:szCs w:val="32"/>
        </w:rPr>
      </w:pPr>
      <w:r>
        <w:rPr>
          <w:rFonts w:ascii="仿宋" w:eastAsia="仿宋" w:hint="eastAsia"/>
          <w:b/>
          <w:sz w:val="32"/>
          <w:szCs w:val="32"/>
        </w:rPr>
        <w:t>国内公务接待支出</w:t>
      </w:r>
      <w:r>
        <w:rPr>
          <w:rFonts w:ascii="仿宋" w:eastAsia="仿宋" w:hint="eastAsia"/>
          <w:sz w:val="32"/>
          <w:szCs w:val="32"/>
        </w:rPr>
        <w:t>0</w:t>
      </w:r>
      <w:r>
        <w:rPr>
          <w:rFonts w:ascii="仿宋_GB2312" w:eastAsia="仿宋_GB2312" w:hint="eastAsia"/>
          <w:sz w:val="32"/>
          <w:szCs w:val="32"/>
        </w:rPr>
        <w:t>万元。国内公务接待0批次，0人次（不包括陪同人员），共计支出0万元。</w:t>
      </w:r>
    </w:p>
    <w:p>
      <w:pPr>
        <w:spacing w:line="600" w:lineRule="exact"/>
        <w:ind w:firstLineChars="200" w:firstLine="640"/>
        <w:rPr>
          <w:rFonts w:ascii="黑体" w:eastAsia="黑体"/>
          <w:sz w:val="32"/>
          <w:szCs w:val="32"/>
        </w:rPr>
      </w:pPr>
      <w:r>
        <w:rPr>
          <w:rFonts w:ascii="仿宋" w:eastAsia="仿宋" w:hint="eastAsia"/>
          <w:b/>
          <w:sz w:val="32"/>
          <w:szCs w:val="32"/>
        </w:rPr>
        <w:t>外事接待支出</w:t>
      </w:r>
      <w:r>
        <w:rPr>
          <w:rFonts w:ascii="仿宋" w:eastAsia="仿宋" w:hint="eastAsia"/>
          <w:sz w:val="32"/>
          <w:szCs w:val="32"/>
        </w:rPr>
        <w:t>0</w:t>
      </w:r>
      <w:r>
        <w:rPr>
          <w:rFonts w:ascii="仿宋_GB2312" w:eastAsia="仿宋_GB2312" w:hint="eastAsia"/>
          <w:sz w:val="32"/>
          <w:szCs w:val="32"/>
        </w:rPr>
        <w:t>万元。外事接待0批次，0人次（不包括陪同人员），共计支出0万元。</w:t>
      </w:r>
      <w:bookmarkStart w:id="54" w:name="_Toc15396610"/>
      <w:bookmarkStart w:id="55" w:name="_Toc15377218"/>
    </w:p>
    <w:p>
      <w:pPr>
        <w:spacing w:line="600" w:lineRule="exact"/>
        <w:ind w:firstLine="640"/>
        <w:outlineLvl w:val="1"/>
        <w:rPr>
          <w:rStyle w:val="2Char"/>
          <w:rFonts w:ascii="黑体" w:eastAsia="黑体"/>
        </w:rPr>
      </w:pPr>
      <w:bookmarkStart w:id="56" w:name="_Toc8291_WPSOffice_Level2"/>
      <w:r>
        <w:rPr>
          <w:rFonts w:ascii="黑体" w:eastAsia="黑体" w:hint="eastAsia"/>
          <w:sz w:val="32"/>
          <w:szCs w:val="32"/>
        </w:rPr>
        <w:t>八、</w:t>
      </w:r>
      <w:r>
        <w:rPr>
          <w:rStyle w:val="2Char"/>
          <w:rFonts w:ascii="黑体" w:eastAsia="黑体" w:hint="eastAsia"/>
          <w:b w:val="0"/>
        </w:rPr>
        <w:t>政府性基金预算支出决算情况说明</w:t>
      </w:r>
      <w:bookmarkEnd w:id="54"/>
      <w:bookmarkEnd w:id="55"/>
      <w:bookmarkEnd w:id="56"/>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pPr>
        <w:numPr>
          <w:ilvl w:val="0"/>
          <w:numId w:val="3"/>
        </w:numPr>
        <w:spacing w:line="600" w:lineRule="exact"/>
        <w:ind w:left="0" w:firstLine="640"/>
        <w:outlineLvl w:val="1"/>
        <w:rPr>
          <w:rStyle w:val="2Char"/>
          <w:rFonts w:ascii="黑体" w:eastAsia="黑体"/>
          <w:b w:val="0"/>
        </w:rPr>
      </w:pPr>
      <w:bookmarkStart w:id="57" w:name="_Toc15377219"/>
      <w:bookmarkStart w:id="58" w:name="_Toc15396611"/>
      <w:bookmarkStart w:id="59" w:name="_Toc32206_WPSOffice_Level2"/>
      <w:r>
        <w:rPr>
          <w:rStyle w:val="2Char"/>
          <w:rFonts w:ascii="黑体" w:eastAsia="黑体" w:hint="eastAsia"/>
          <w:b w:val="0"/>
        </w:rPr>
        <w:t>国有资本经营预算支出决算情况说明</w:t>
      </w:r>
      <w:bookmarkEnd w:id="57"/>
      <w:bookmarkEnd w:id="58"/>
      <w:bookmarkEnd w:id="59"/>
    </w:p>
    <w:p>
      <w:pPr>
        <w:spacing w:line="600" w:lineRule="exact"/>
        <w:ind w:firstLine="640"/>
        <w:rPr>
          <w:rFonts w:ascii="方正小标宋简体" w:eastAsia="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pPr>
        <w:numPr>
          <w:ilvl w:val="0"/>
          <w:numId w:val="3"/>
        </w:numPr>
        <w:spacing w:line="600" w:lineRule="exact"/>
        <w:ind w:left="0" w:firstLine="640"/>
        <w:outlineLvl w:val="1"/>
        <w:rPr>
          <w:rStyle w:val="2Char"/>
          <w:rFonts w:ascii="黑体" w:eastAsia="黑体"/>
          <w:b w:val="0"/>
        </w:rPr>
      </w:pPr>
      <w:bookmarkStart w:id="60" w:name="_Toc15396612"/>
      <w:bookmarkStart w:id="61" w:name="_Toc15377221"/>
      <w:bookmarkStart w:id="62" w:name="_Toc25325_WPSOffice_Level2"/>
      <w:r>
        <w:rPr>
          <w:rStyle w:val="2Char"/>
          <w:rFonts w:ascii="黑体" w:eastAsia="黑体" w:hint="eastAsia"/>
          <w:b w:val="0"/>
        </w:rPr>
        <w:t>其他重要事项的情况说明</w:t>
      </w:r>
      <w:bookmarkEnd w:id="60"/>
      <w:bookmarkEnd w:id="61"/>
      <w:bookmarkEnd w:id="62"/>
    </w:p>
    <w:p>
      <w:pPr>
        <w:spacing w:line="600" w:lineRule="exact"/>
        <w:ind w:firstLineChars="200" w:firstLine="640"/>
        <w:outlineLvl w:val="2"/>
        <w:rPr>
          <w:rFonts w:ascii="仿宋" w:eastAsia="仿宋"/>
          <w:sz w:val="32"/>
          <w:szCs w:val="32"/>
        </w:rPr>
      </w:pPr>
      <w:bookmarkStart w:id="63" w:name="_Toc15377222"/>
      <w:r>
        <w:rPr>
          <w:rFonts w:ascii="仿宋" w:eastAsia="仿宋" w:hint="eastAsia"/>
          <w:b/>
          <w:sz w:val="32"/>
          <w:szCs w:val="32"/>
        </w:rPr>
        <w:t>（一）机关运行经费支出情况</w:t>
      </w:r>
      <w:bookmarkEnd w:id="63"/>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 w:eastAsia="仿宋" w:hint="eastAsia"/>
          <w:sz w:val="32"/>
          <w:szCs w:val="32"/>
        </w:rPr>
        <w:t>单位无机关运行经费支出事项。</w:t>
      </w:r>
    </w:p>
    <w:p>
      <w:pPr>
        <w:autoSpaceDE w:val="0"/>
        <w:autoSpaceDN w:val="0"/>
        <w:adjustRightInd w:val="0"/>
        <w:spacing w:line="600" w:lineRule="exact"/>
        <w:ind w:firstLineChars="200" w:firstLine="640"/>
        <w:jc w:val="left"/>
        <w:outlineLvl w:val="2"/>
        <w:rPr>
          <w:rFonts w:ascii="仿宋" w:eastAsia="仿宋"/>
          <w:b/>
          <w:sz w:val="32"/>
          <w:szCs w:val="32"/>
        </w:rPr>
      </w:pPr>
      <w:bookmarkStart w:id="64" w:name="_Toc15377223"/>
      <w:r>
        <w:rPr>
          <w:rFonts w:ascii="仿宋" w:eastAsia="仿宋" w:hint="eastAsia"/>
          <w:b/>
          <w:sz w:val="32"/>
          <w:szCs w:val="32"/>
        </w:rPr>
        <w:t>（二）政府采购支出情况</w:t>
      </w:r>
      <w:bookmarkEnd w:id="64"/>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 w:eastAsia="仿宋" w:hint="eastAsia"/>
          <w:sz w:val="32"/>
          <w:szCs w:val="32"/>
        </w:rPr>
        <w:t>单位无政府采购支出。</w:t>
      </w:r>
    </w:p>
    <w:p>
      <w:pPr>
        <w:autoSpaceDE w:val="0"/>
        <w:autoSpaceDN w:val="0"/>
        <w:adjustRightInd w:val="0"/>
        <w:spacing w:line="600" w:lineRule="exact"/>
        <w:ind w:firstLineChars="200" w:firstLine="640"/>
        <w:jc w:val="left"/>
        <w:outlineLvl w:val="2"/>
        <w:rPr>
          <w:rFonts w:ascii="仿宋" w:eastAsia="仿宋"/>
          <w:b/>
          <w:sz w:val="32"/>
          <w:szCs w:val="32"/>
        </w:rPr>
      </w:pPr>
      <w:bookmarkStart w:id="65" w:name="_Toc15377224"/>
      <w:r>
        <w:rPr>
          <w:rFonts w:ascii="仿宋" w:eastAsia="仿宋" w:hint="eastAsia"/>
          <w:b/>
          <w:sz w:val="32"/>
          <w:szCs w:val="32"/>
        </w:rPr>
        <w:t>（三）国有资产占有使用情况</w:t>
      </w:r>
      <w:bookmarkEnd w:id="65"/>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 w:eastAsia="仿宋" w:hint="eastAsia"/>
          <w:sz w:val="32"/>
          <w:szCs w:val="32"/>
        </w:rPr>
        <w:t>攀枝花市城市建设资金中心共有车辆1辆，其中：主要领导干部用车0辆、机要通信用车0辆、应急保障用车0辆、其他用车1辆，其他用车主要是用于城市基础设施配套费征收及房改房维修资金两项工作现场核查工作，单价</w:t>
      </w:r>
      <w:r>
        <w:rPr>
          <w:rFonts w:ascii="仿宋" w:eastAsia="仿宋"/>
          <w:sz w:val="32"/>
          <w:szCs w:val="32"/>
        </w:rPr>
        <w:t>50</w:t>
      </w:r>
      <w:r>
        <w:rPr>
          <w:rFonts w:ascii="仿宋" w:eastAsia="仿宋" w:hint="eastAsia"/>
          <w:sz w:val="32"/>
          <w:szCs w:val="32"/>
        </w:rPr>
        <w:t>万元以上通用设备0台（套），单价</w:t>
      </w:r>
      <w:r>
        <w:rPr>
          <w:rFonts w:ascii="仿宋" w:eastAsia="仿宋"/>
          <w:sz w:val="32"/>
          <w:szCs w:val="32"/>
        </w:rPr>
        <w:t>100</w:t>
      </w:r>
      <w:r>
        <w:rPr>
          <w:rFonts w:ascii="仿宋" w:eastAsia="仿宋" w:hint="eastAsia"/>
          <w:sz w:val="32"/>
          <w:szCs w:val="32"/>
        </w:rPr>
        <w:t>万元以上专用设备0台（套）。</w:t>
      </w:r>
    </w:p>
    <w:p>
      <w:pPr>
        <w:autoSpaceDE w:val="0"/>
        <w:autoSpaceDN w:val="0"/>
        <w:adjustRightInd w:val="0"/>
        <w:spacing w:line="600" w:lineRule="exact"/>
        <w:ind w:firstLineChars="200" w:firstLine="640"/>
        <w:jc w:val="left"/>
        <w:outlineLvl w:val="2"/>
        <w:rPr>
          <w:rFonts w:ascii="仿宋" w:eastAsia="仿宋"/>
          <w:b/>
          <w:sz w:val="32"/>
          <w:szCs w:val="32"/>
        </w:rPr>
      </w:pPr>
      <w:r>
        <w:rPr>
          <w:rFonts w:ascii="仿宋" w:eastAsia="仿宋" w:hint="eastAsia"/>
          <w:b/>
          <w:sz w:val="32"/>
          <w:szCs w:val="32"/>
        </w:rPr>
        <w:t>（四）预算绩效管理情况</w:t>
      </w:r>
    </w:p>
    <w:p>
      <w:pPr>
        <w:pStyle w:val="15"/>
        <w:spacing w:beforeLines="0" w:before="93"/>
        <w:ind w:firstLineChars="200" w:firstLine="640"/>
        <w:rPr>
          <w:rFonts w:ascii="仿宋" w:eastAsia="仿宋" w:cs="Times New Roman" w:hint="eastAsia"/>
          <w:kern w:val="2"/>
          <w:sz w:val="32"/>
          <w:szCs w:val="32"/>
          <w:lang w:val="en-US" w:eastAsia="zh-CN" w:bidi="ar-SA"/>
        </w:rPr>
      </w:pPr>
      <w:r>
        <w:rPr>
          <w:rFonts w:ascii="仿宋" w:eastAsia="仿宋" w:cs="Times New Roman" w:hint="eastAsia"/>
          <w:kern w:val="2"/>
          <w:sz w:val="32"/>
          <w:szCs w:val="32"/>
          <w:lang w:val="en-US" w:eastAsia="zh-CN" w:bidi="ar-SA"/>
        </w:rPr>
        <w:t>根据预算绩效管理要求，本单位在2022年度预算编制阶段，组织对业务运行费、城市基础设施配套费（含自管公房维修资金管理运行费）等2个项目开展了预算事前绩效评估，对2个项目编制了绩效目标，预算执行过程中，选取2个项目开展绩效监控，组织</w:t>
      </w:r>
      <w:r>
        <w:rPr>
          <w:rFonts w:ascii="仿宋" w:eastAsia="仿宋" w:cs="Times New Roman" w:hint="eastAsia"/>
          <w:kern w:val="2"/>
          <w:sz w:val="32"/>
          <w:szCs w:val="32"/>
          <w:lang w:val="en-US" w:eastAsia="zh-CN" w:bidi="ar-SA"/>
          <w:highlight w:val="auto"/>
        </w:rPr>
        <w:t>对19个项目开展</w:t>
      </w:r>
      <w:r>
        <w:rPr>
          <w:rFonts w:ascii="仿宋" w:eastAsia="仿宋" w:cs="Times New Roman" w:hint="eastAsia"/>
          <w:kern w:val="2"/>
          <w:sz w:val="32"/>
          <w:szCs w:val="32"/>
          <w:lang w:val="en-US" w:eastAsia="zh-CN" w:bidi="ar-SA"/>
        </w:rPr>
        <w:t>绩效自评，绩效自评表详见第四部分附件。</w:t>
      </w:r>
    </w:p>
    <w:p>
      <w:pPr>
        <w:pStyle w:val="15"/>
        <w:spacing w:beforeLines="0" w:before="93"/>
        <w:ind w:firstLineChars="200" w:firstLine="640"/>
        <w:rPr>
          <w:rFonts w:ascii="仿宋" w:eastAsia="仿宋" w:cs="Times New Roman" w:hint="eastAsia"/>
          <w:kern w:val="2"/>
          <w:sz w:val="32"/>
          <w:szCs w:val="32"/>
          <w:lang w:val="en-US" w:eastAsia="zh-CN" w:bidi="ar-SA"/>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ind w:firstLineChars="200" w:firstLine="640"/>
        <w:rPr>
          <w:rFonts w:cs="仿宋_GB2312"/>
          <w:sz w:val="32"/>
          <w:szCs w:val="32"/>
        </w:rPr>
      </w:pPr>
    </w:p>
    <w:p>
      <w:pPr>
        <w:pStyle w:val="15"/>
        <w:spacing w:beforeLines="0" w:before="93"/>
        <w:rPr>
          <w:rFonts w:cs="仿宋_GB2312"/>
          <w:sz w:val="32"/>
          <w:szCs w:val="32"/>
        </w:rPr>
      </w:pPr>
    </w:p>
    <w:p>
      <w:pPr>
        <w:numPr>
          <w:ilvl w:val="0"/>
          <w:numId w:val="4"/>
        </w:numPr>
        <w:spacing w:line="600" w:lineRule="exact"/>
        <w:ind w:left="0" w:firstLineChars="150" w:firstLine="660"/>
        <w:jc w:val="center"/>
        <w:outlineLvl w:val="0"/>
        <w:rPr>
          <w:rStyle w:val="1Char"/>
          <w:rFonts w:ascii="黑体" w:eastAsia="黑体"/>
          <w:b w:val="0"/>
        </w:rPr>
      </w:pPr>
      <w:bookmarkStart w:id="66" w:name="_Toc15396613"/>
      <w:bookmarkStart w:id="67" w:name="_Toc15377225"/>
      <w:bookmarkStart w:id="68" w:name="_Toc8898_WPSOffice_Level1"/>
      <w:r>
        <w:rPr>
          <w:rFonts w:ascii="黑体" w:eastAsia="黑体" w:hint="eastAsia"/>
          <w:sz w:val="44"/>
          <w:szCs w:val="44"/>
        </w:rPr>
        <w:t>名</w:t>
      </w:r>
      <w:r>
        <w:rPr>
          <w:rStyle w:val="1Char"/>
          <w:rFonts w:ascii="黑体" w:eastAsia="黑体" w:hint="eastAsia"/>
          <w:b w:val="0"/>
        </w:rPr>
        <w:t>词解释</w:t>
      </w:r>
      <w:bookmarkEnd w:id="66"/>
      <w:bookmarkEnd w:id="67"/>
      <w:bookmarkEnd w:id="68"/>
    </w:p>
    <w:p>
      <w:pPr>
        <w:spacing w:line="600" w:lineRule="exact"/>
        <w:jc w:val="left"/>
        <w:rPr>
          <w:rFonts w:ascii="宋体"/>
          <w:b/>
          <w:sz w:val="44"/>
          <w:szCs w:val="44"/>
        </w:rPr>
      </w:pPr>
    </w:p>
    <w:p>
      <w:pPr>
        <w:pStyle w:val="27"/>
        <w:spacing w:line="560" w:lineRule="exact"/>
        <w:ind w:firstLineChars="200" w:firstLine="640"/>
        <w:rPr>
          <w:color w:val="auto"/>
          <w:sz w:val="32"/>
          <w:szCs w:val="32"/>
        </w:rPr>
      </w:pPr>
      <w:r>
        <w:rPr>
          <w:color w:val="auto"/>
          <w:sz w:val="32"/>
          <w:szCs w:val="32"/>
        </w:rPr>
        <w:t>1.</w:t>
      </w:r>
      <w:r>
        <w:rPr>
          <w:rFonts w:hint="eastAsia"/>
          <w:color w:val="auto"/>
          <w:sz w:val="32"/>
          <w:szCs w:val="32"/>
        </w:rPr>
        <w:t>财政拨款收入：指单位从同级财政部门取得的财政预算资金。</w:t>
      </w:r>
    </w:p>
    <w:p>
      <w:pPr>
        <w:pStyle w:val="27"/>
        <w:spacing w:line="560" w:lineRule="exact"/>
        <w:ind w:firstLineChars="200" w:firstLine="640"/>
        <w:rPr>
          <w:color w:val="auto"/>
          <w:sz w:val="32"/>
          <w:szCs w:val="32"/>
        </w:rPr>
      </w:pPr>
      <w:r>
        <w:rPr>
          <w:rFonts w:hint="eastAsia"/>
          <w:color w:val="auto"/>
          <w:sz w:val="32"/>
          <w:szCs w:val="32"/>
        </w:rPr>
        <w:t>2</w:t>
      </w:r>
      <w:r>
        <w:rPr>
          <w:color w:val="auto"/>
          <w:sz w:val="32"/>
          <w:szCs w:val="32"/>
        </w:rPr>
        <w:t>.</w:t>
      </w:r>
      <w:r>
        <w:rPr>
          <w:rFonts w:hint="eastAsia"/>
          <w:color w:val="auto"/>
          <w:sz w:val="32"/>
          <w:szCs w:val="32"/>
        </w:rPr>
        <w:t>年初结转和结余：指以前年度尚未完成、结转到本年按有关规定继续使用的资金。</w:t>
      </w:r>
    </w:p>
    <w:p>
      <w:pPr>
        <w:pStyle w:val="27"/>
        <w:spacing w:line="560" w:lineRule="exact"/>
        <w:ind w:firstLineChars="200" w:firstLine="640"/>
        <w:rPr>
          <w:color w:val="auto"/>
          <w:sz w:val="32"/>
          <w:szCs w:val="32"/>
        </w:rPr>
      </w:pPr>
      <w:r>
        <w:rPr>
          <w:rFonts w:hint="eastAsia"/>
          <w:color w:val="auto"/>
          <w:sz w:val="32"/>
          <w:szCs w:val="32"/>
        </w:rPr>
        <w:t>3、年末结转和结余：指单位按有关规定结转到下年或以后年度继续使用的资金。</w:t>
      </w:r>
    </w:p>
    <w:p>
      <w:pPr>
        <w:ind w:firstLineChars="200" w:firstLine="640"/>
        <w:rPr>
          <w:rFonts w:ascii="仿宋" w:eastAsia="仿宋"/>
          <w:sz w:val="32"/>
          <w:szCs w:val="32"/>
        </w:rPr>
      </w:pPr>
      <w:r>
        <w:rPr>
          <w:rFonts w:ascii="仿宋" w:eastAsia="仿宋" w:hint="eastAsia"/>
          <w:sz w:val="32"/>
          <w:szCs w:val="32"/>
        </w:rPr>
        <w:t>4</w:t>
      </w:r>
      <w:r>
        <w:rPr>
          <w:rFonts w:ascii="仿宋" w:eastAsia="仿宋"/>
          <w:sz w:val="32"/>
          <w:szCs w:val="32"/>
        </w:rPr>
        <w:t>.</w:t>
      </w:r>
      <w:r>
        <w:rPr>
          <w:rFonts w:ascii="仿宋" w:eastAsia="仿宋" w:hint="eastAsia"/>
          <w:sz w:val="32"/>
          <w:szCs w:val="32"/>
        </w:rPr>
        <w:t>社会保障和就业（类）行政事业单位养老支出（款）事业单位离退休（项）：指反映事业单位开支的离退休经费。</w:t>
      </w:r>
    </w:p>
    <w:p>
      <w:pPr>
        <w:pStyle w:val="15"/>
        <w:spacing w:beforeLines="0" w:before="93"/>
        <w:ind w:firstLineChars="200" w:firstLine="640"/>
        <w:rPr>
          <w:rFonts w:ascii="仿宋" w:eastAsia="仿宋"/>
        </w:rPr>
      </w:pPr>
      <w:r>
        <w:rPr>
          <w:rFonts w:ascii="仿宋" w:eastAsia="仿宋" w:hint="eastAsia"/>
          <w:sz w:val="32"/>
          <w:szCs w:val="32"/>
        </w:rPr>
        <w:t>5.社会保障和就业（类）行政事业单位养老支出（款）机关事业单位基本养老保险缴费支出（项）：指反映机关事业单位实施养老保险制度由单位缴纳的基本养老保险费支出。</w:t>
      </w:r>
    </w:p>
    <w:p>
      <w:pPr>
        <w:ind w:firstLineChars="200" w:firstLine="640"/>
        <w:rPr>
          <w:rFonts w:ascii="仿宋" w:eastAsia="仿宋"/>
          <w:sz w:val="32"/>
          <w:szCs w:val="32"/>
        </w:rPr>
      </w:pPr>
      <w:r>
        <w:rPr>
          <w:rFonts w:ascii="仿宋" w:eastAsia="仿宋" w:hint="eastAsia"/>
          <w:sz w:val="32"/>
          <w:szCs w:val="32"/>
        </w:rPr>
        <w:t>6</w:t>
      </w:r>
      <w:r>
        <w:rPr>
          <w:rFonts w:ascii="仿宋" w:eastAsia="仿宋"/>
          <w:sz w:val="32"/>
          <w:szCs w:val="32"/>
        </w:rPr>
        <w:t>.</w:t>
      </w:r>
      <w:r>
        <w:rPr>
          <w:rFonts w:ascii="仿宋" w:eastAsia="仿宋" w:hint="eastAsia"/>
          <w:sz w:val="32"/>
          <w:szCs w:val="32"/>
        </w:rPr>
        <w:t>城乡社区支出（类）城乡社区管理事务（款）其他城乡社区管理事务支出（项）：指反映其他用于其他城乡社区管理事务方面的支出。</w:t>
      </w:r>
    </w:p>
    <w:p>
      <w:pPr>
        <w:ind w:firstLineChars="200" w:firstLine="640"/>
        <w:rPr>
          <w:rFonts w:ascii="仿宋" w:eastAsia="仿宋"/>
          <w:sz w:val="32"/>
          <w:szCs w:val="32"/>
        </w:rPr>
      </w:pPr>
      <w:r>
        <w:rPr>
          <w:rFonts w:ascii="仿宋" w:eastAsia="仿宋" w:hint="eastAsia"/>
          <w:sz w:val="32"/>
          <w:szCs w:val="32"/>
        </w:rPr>
        <w:t>7</w:t>
      </w:r>
      <w:r>
        <w:rPr>
          <w:rFonts w:ascii="仿宋" w:eastAsia="仿宋"/>
          <w:sz w:val="32"/>
          <w:szCs w:val="32"/>
        </w:rPr>
        <w:t>.</w:t>
      </w:r>
      <w:r>
        <w:rPr>
          <w:rFonts w:ascii="仿宋" w:eastAsia="仿宋" w:hint="eastAsia"/>
          <w:sz w:val="32"/>
          <w:szCs w:val="32"/>
        </w:rPr>
        <w:t>住房保障（类）住房改革支出（款）住房公积金（项）：指反映行政事业单位按照人力资源和社会保障部、财政部规定的基本工资和津补贴以及规定比例为职工缴纳的住房公积金。</w:t>
      </w:r>
    </w:p>
    <w:p>
      <w:pPr>
        <w:ind w:firstLineChars="200" w:firstLine="640"/>
        <w:rPr>
          <w:rFonts w:ascii="仿宋" w:eastAsia="仿宋"/>
          <w:color w:val="000000"/>
          <w:sz w:val="32"/>
          <w:szCs w:val="32"/>
        </w:rPr>
      </w:pPr>
      <w:r>
        <w:rPr>
          <w:rFonts w:ascii="仿宋" w:eastAsia="仿宋" w:hint="eastAsia"/>
          <w:sz w:val="32"/>
          <w:szCs w:val="32"/>
        </w:rPr>
        <w:t>8</w:t>
      </w:r>
      <w:r>
        <w:rPr>
          <w:rFonts w:ascii="仿宋" w:eastAsia="仿宋"/>
          <w:sz w:val="32"/>
          <w:szCs w:val="32"/>
        </w:rPr>
        <w:t>.</w:t>
      </w:r>
      <w:r>
        <w:rPr>
          <w:rFonts w:ascii="仿宋" w:eastAsia="仿宋" w:hint="eastAsia"/>
          <w:sz w:val="32"/>
          <w:szCs w:val="32"/>
        </w:rPr>
        <w:t>基本支出：指</w:t>
      </w:r>
      <w:r>
        <w:rPr>
          <w:rFonts w:ascii="仿宋" w:eastAsia="仿宋" w:hint="eastAsia"/>
          <w:color w:val="000000"/>
          <w:sz w:val="32"/>
          <w:szCs w:val="32"/>
        </w:rPr>
        <w:t>为保障机构正常运转、完成日常工作任务而发生的人员支出和公用支出。</w:t>
      </w:r>
    </w:p>
    <w:p>
      <w:pPr>
        <w:ind w:firstLineChars="200" w:firstLine="640"/>
        <w:rPr>
          <w:rFonts w:ascii="仿宋" w:eastAsia="仿宋"/>
          <w:color w:val="000000"/>
          <w:sz w:val="32"/>
          <w:szCs w:val="32"/>
        </w:rPr>
      </w:pPr>
      <w:r>
        <w:rPr>
          <w:rFonts w:ascii="仿宋" w:eastAsia="仿宋" w:hint="eastAsia"/>
          <w:color w:val="000000"/>
          <w:sz w:val="32"/>
          <w:szCs w:val="32"/>
        </w:rPr>
        <w:t>9.项目支出：指在基本支出之外为完成特定行政任务和事业发展目标所发生的支出。</w:t>
      </w:r>
    </w:p>
    <w:p>
      <w:pPr>
        <w:pStyle w:val="27"/>
        <w:spacing w:line="560" w:lineRule="exact"/>
        <w:ind w:firstLineChars="200" w:firstLine="640"/>
        <w:rPr>
          <w:rFonts w:cs="Times New Roman"/>
          <w:color w:val="auto"/>
          <w:kern w:val="2"/>
          <w:sz w:val="32"/>
          <w:szCs w:val="32"/>
        </w:rPr>
      </w:pPr>
      <w:r>
        <w:rPr>
          <w:rFonts w:hint="eastAsia"/>
          <w:color w:val="auto"/>
          <w:sz w:val="32"/>
          <w:szCs w:val="32"/>
        </w:rPr>
        <w:t>10</w:t>
      </w:r>
      <w:r>
        <w:rPr>
          <w:rFonts w:cs="Times New Roman"/>
          <w:color w:val="auto"/>
          <w:kern w:val="2"/>
          <w:sz w:val="32"/>
          <w:szCs w:val="32"/>
        </w:rPr>
        <w:t>.</w:t>
      </w:r>
      <w:r>
        <w:rPr>
          <w:rFonts w:cs="Times New Roman" w:hint="eastAsia"/>
          <w:color w:val="auto"/>
          <w:kern w:val="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cs="黑体"/>
          <w:color w:val="auto"/>
          <w:sz w:val="32"/>
          <w:szCs w:val="32"/>
        </w:rPr>
      </w:pPr>
    </w:p>
    <w:p>
      <w:pPr>
        <w:spacing w:line="600" w:lineRule="exact"/>
        <w:jc w:val="center"/>
        <w:outlineLvl w:val="0"/>
        <w:rPr>
          <w:rStyle w:val="1Char"/>
          <w:rFonts w:ascii="黑体" w:eastAsia="黑体"/>
          <w:b w:val="0"/>
        </w:rPr>
      </w:pPr>
      <w:bookmarkStart w:id="69" w:name="_Toc15377226"/>
      <w:r>
        <w:rPr>
          <w:rFonts w:ascii="宋体"/>
          <w:b/>
          <w:sz w:val="44"/>
          <w:szCs w:val="44"/>
        </w:rPr>
        <w:br w:type="page"/>
      </w:r>
      <w:bookmarkStart w:id="70" w:name="_Toc15396614"/>
      <w:bookmarkStart w:id="71" w:name="_Toc20802_WPSOffice_Level1"/>
      <w:r>
        <w:rPr>
          <w:rFonts w:ascii="黑体" w:eastAsia="黑体" w:hint="eastAsia"/>
          <w:sz w:val="44"/>
          <w:szCs w:val="44"/>
        </w:rPr>
        <w:t>第</w:t>
      </w:r>
      <w:r>
        <w:rPr>
          <w:rStyle w:val="1Char"/>
          <w:rFonts w:ascii="黑体" w:eastAsia="黑体" w:hint="eastAsia"/>
          <w:b w:val="0"/>
        </w:rPr>
        <w:t>四部分 附件</w:t>
      </w:r>
      <w:bookmarkEnd w:id="70"/>
      <w:bookmarkEnd w:id="71"/>
    </w:p>
    <w:p>
      <w:pPr>
        <w:spacing w:line="572" w:lineRule="exact"/>
        <w:jc w:val="left"/>
        <w:outlineLvl w:val="0"/>
        <w:rPr>
          <w:rFonts w:ascii="仿宋_GB2312" w:eastAsia="仿宋_GB2312" w:cs="仿宋_GB2312"/>
          <w:sz w:val="32"/>
          <w:szCs w:val="32"/>
        </w:rPr>
      </w:pPr>
    </w:p>
    <w:p>
      <w:pPr>
        <w:spacing w:line="600" w:lineRule="exact"/>
        <w:jc w:val="center"/>
        <w:outlineLvl w:val="0"/>
        <w:rPr>
          <w:rFonts w:ascii="宋体" w:eastAsia="宋体" w:cs="宋体" w:hint="eastAsia"/>
          <w:kern w:val="0"/>
          <w:sz w:val="32"/>
          <w:szCs w:val="32"/>
          <w:lang w:eastAsia="zh-CN"/>
        </w:rPr>
      </w:pPr>
      <w:bookmarkStart w:id="72" w:name="_Toc13156_WPSOffice_Level2"/>
      <w:bookmarkStart w:id="73" w:name="_Toc21780_WPSOffice_Level2"/>
      <w:bookmarkStart w:id="74" w:name="_Toc8440_WPSOffice_Level2"/>
      <w:bookmarkStart w:id="75" w:name="_Toc31962_WPSOffice_Level2"/>
      <w:bookmarkStart w:id="76" w:name="_Toc15396618"/>
      <w:r>
        <w:rPr>
          <w:rFonts w:ascii="宋体" w:cs="宋体" w:hint="eastAsia"/>
          <w:kern w:val="0"/>
          <w:sz w:val="32"/>
          <w:szCs w:val="32"/>
          <w:lang w:eastAsia="zh-CN"/>
          <w:highlight w:val="auto"/>
        </w:rPr>
        <w:t>部门</w:t>
      </w:r>
      <w:r>
        <w:rPr>
          <w:rFonts w:ascii="宋体" w:cs="宋体" w:hint="eastAsia"/>
          <w:kern w:val="0"/>
          <w:sz w:val="32"/>
          <w:szCs w:val="32"/>
        </w:rPr>
        <w:t>预算项目支出绩效自评表（2022年度）见附件</w:t>
      </w:r>
      <w:r>
        <w:rPr>
          <w:rFonts w:ascii="宋体" w:cs="宋体" w:hint="eastAsia"/>
          <w:kern w:val="0"/>
          <w:sz w:val="32"/>
          <w:szCs w:val="32"/>
          <w:lang w:val="en-US" w:eastAsia="zh-CN"/>
        </w:rPr>
        <w:t>3</w:t>
      </w:r>
      <w:bookmarkEnd w:id="72"/>
      <w:bookmarkEnd w:id="73"/>
      <w:bookmarkEnd w:id="74"/>
      <w:bookmarkEnd w:id="75"/>
    </w:p>
    <w:p>
      <w:pPr>
        <w:spacing w:line="600" w:lineRule="exact"/>
        <w:jc w:val="left"/>
        <w:outlineLvl w:val="0"/>
        <w:rPr>
          <w:rFonts w:ascii="仿宋_GB2312" w:eastAsia="仿宋_GB2312" w:cs="仿宋"/>
          <w:kern w:val="0"/>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spacing w:line="600" w:lineRule="exact"/>
        <w:jc w:val="center"/>
        <w:outlineLvl w:val="0"/>
        <w:rPr>
          <w:rFonts w:ascii="仿宋" w:eastAsia="仿宋"/>
        </w:rPr>
      </w:pPr>
      <w:bookmarkStart w:id="77" w:name="_Toc22730_WPSOffice_Level1"/>
      <w:r>
        <w:rPr>
          <w:rFonts w:ascii="黑体" w:eastAsia="黑体" w:hint="eastAsia"/>
          <w:sz w:val="44"/>
          <w:szCs w:val="44"/>
        </w:rPr>
        <w:t>第</w:t>
      </w:r>
      <w:r>
        <w:rPr>
          <w:rStyle w:val="1Char"/>
          <w:rFonts w:ascii="黑体" w:eastAsia="黑体" w:hint="eastAsia"/>
          <w:b w:val="0"/>
        </w:rPr>
        <w:t>五部分 附表</w:t>
      </w:r>
      <w:bookmarkStart w:id="78" w:name="_Toc15396619"/>
      <w:bookmarkEnd w:id="69"/>
      <w:bookmarkEnd w:id="76"/>
      <w:bookmarkEnd w:id="77"/>
    </w:p>
    <w:p>
      <w:pPr>
        <w:pStyle w:val="2"/>
        <w:rPr>
          <w:rFonts w:ascii="仿宋" w:eastAsia="仿宋"/>
        </w:rPr>
      </w:pPr>
      <w:bookmarkStart w:id="79" w:name="_Toc20195_WPSOffice_Level2"/>
      <w:r>
        <w:rPr>
          <w:rFonts w:ascii="仿宋" w:eastAsia="仿宋" w:hint="eastAsia"/>
          <w:b w:val="0"/>
        </w:rPr>
        <w:t>一、收</w:t>
      </w:r>
      <w:r>
        <w:rPr>
          <w:rStyle w:val="2Char"/>
          <w:rFonts w:ascii="仿宋" w:eastAsia="仿宋" w:hint="eastAsia"/>
          <w:b w:val="0"/>
          <w:bCs w:val="0"/>
        </w:rPr>
        <w:t>入支出决算总表</w:t>
      </w:r>
      <w:bookmarkEnd w:id="78"/>
      <w:bookmarkEnd w:id="79"/>
    </w:p>
    <w:p>
      <w:pPr>
        <w:pStyle w:val="2"/>
        <w:rPr>
          <w:rFonts w:ascii="仿宋" w:eastAsia="仿宋"/>
        </w:rPr>
      </w:pPr>
      <w:bookmarkStart w:id="80" w:name="_Toc15396620"/>
      <w:bookmarkStart w:id="81" w:name="_Toc17995_WPSOffice_Level2"/>
      <w:r>
        <w:rPr>
          <w:rFonts w:ascii="仿宋" w:eastAsia="仿宋" w:hint="eastAsia"/>
          <w:b w:val="0"/>
        </w:rPr>
        <w:t>二、收</w:t>
      </w:r>
      <w:r>
        <w:rPr>
          <w:rStyle w:val="2Char"/>
          <w:rFonts w:ascii="仿宋" w:eastAsia="仿宋" w:hint="eastAsia"/>
          <w:b w:val="0"/>
          <w:bCs w:val="0"/>
        </w:rPr>
        <w:t>入决算表</w:t>
      </w:r>
      <w:bookmarkEnd w:id="80"/>
      <w:bookmarkEnd w:id="81"/>
    </w:p>
    <w:p>
      <w:pPr>
        <w:pStyle w:val="2"/>
        <w:rPr>
          <w:rFonts w:ascii="仿宋" w:eastAsia="仿宋"/>
        </w:rPr>
      </w:pPr>
      <w:bookmarkStart w:id="82" w:name="_Toc15396621"/>
      <w:bookmarkStart w:id="83" w:name="_Toc28854_WPSOffice_Level2"/>
      <w:r>
        <w:rPr>
          <w:rStyle w:val="2Char"/>
          <w:rFonts w:ascii="仿宋" w:eastAsia="仿宋" w:hint="eastAsia"/>
          <w:b w:val="0"/>
          <w:bCs w:val="0"/>
        </w:rPr>
        <w:t>三、</w:t>
      </w:r>
      <w:r>
        <w:rPr>
          <w:rFonts w:ascii="仿宋" w:eastAsia="仿宋" w:hint="eastAsia"/>
          <w:b w:val="0"/>
        </w:rPr>
        <w:t>支</w:t>
      </w:r>
      <w:r>
        <w:rPr>
          <w:rStyle w:val="2Char"/>
          <w:rFonts w:ascii="仿宋" w:eastAsia="仿宋" w:hint="eastAsia"/>
          <w:b w:val="0"/>
          <w:bCs w:val="0"/>
        </w:rPr>
        <w:t>出决算表</w:t>
      </w:r>
      <w:bookmarkEnd w:id="82"/>
      <w:bookmarkEnd w:id="83"/>
    </w:p>
    <w:p>
      <w:pPr>
        <w:pStyle w:val="2"/>
        <w:rPr>
          <w:rFonts w:ascii="仿宋" w:eastAsia="仿宋"/>
          <w:b w:val="0"/>
        </w:rPr>
      </w:pPr>
      <w:bookmarkStart w:id="84" w:name="_Toc15396622"/>
      <w:bookmarkStart w:id="85" w:name="_Toc29693_WPSOffice_Level2"/>
      <w:r>
        <w:rPr>
          <w:rStyle w:val="2Char"/>
          <w:rFonts w:ascii="仿宋" w:eastAsia="仿宋" w:hint="eastAsia"/>
          <w:b w:val="0"/>
          <w:bCs w:val="0"/>
        </w:rPr>
        <w:t>四、</w:t>
      </w:r>
      <w:r>
        <w:rPr>
          <w:rFonts w:ascii="仿宋" w:eastAsia="仿宋" w:hint="eastAsia"/>
          <w:b w:val="0"/>
        </w:rPr>
        <w:t>财</w:t>
      </w:r>
      <w:r>
        <w:rPr>
          <w:rStyle w:val="2Char"/>
          <w:rFonts w:ascii="仿宋" w:eastAsia="仿宋" w:hint="eastAsia"/>
          <w:b w:val="0"/>
          <w:bCs w:val="0"/>
        </w:rPr>
        <w:t>政拨款收入支出决算总表</w:t>
      </w:r>
      <w:bookmarkEnd w:id="84"/>
      <w:bookmarkEnd w:id="85"/>
    </w:p>
    <w:p>
      <w:pPr>
        <w:pStyle w:val="2"/>
        <w:rPr>
          <w:rStyle w:val="2Char"/>
          <w:rFonts w:ascii="仿宋" w:eastAsia="仿宋"/>
          <w:b w:val="0"/>
          <w:bCs w:val="0"/>
        </w:rPr>
      </w:pPr>
      <w:bookmarkStart w:id="86" w:name="_Toc15396623"/>
      <w:bookmarkStart w:id="87" w:name="_Toc1342_WPSOffice_Level2"/>
      <w:r>
        <w:rPr>
          <w:rStyle w:val="2Char"/>
          <w:rFonts w:ascii="仿宋" w:eastAsia="仿宋" w:hint="eastAsia"/>
          <w:b w:val="0"/>
          <w:bCs w:val="0"/>
        </w:rPr>
        <w:t>五、</w:t>
      </w:r>
      <w:r>
        <w:rPr>
          <w:rFonts w:ascii="仿宋" w:eastAsia="仿宋" w:hint="eastAsia"/>
          <w:b w:val="0"/>
        </w:rPr>
        <w:t>财</w:t>
      </w:r>
      <w:r>
        <w:rPr>
          <w:rStyle w:val="2Char"/>
          <w:rFonts w:ascii="仿宋" w:eastAsia="仿宋" w:hint="eastAsia"/>
          <w:b w:val="0"/>
          <w:bCs w:val="0"/>
        </w:rPr>
        <w:t>政拨款支出决算明细表</w:t>
      </w:r>
      <w:bookmarkStart w:id="88" w:name="_Toc15396624"/>
      <w:bookmarkEnd w:id="86"/>
      <w:bookmarkEnd w:id="87"/>
    </w:p>
    <w:p>
      <w:pPr>
        <w:pStyle w:val="2"/>
        <w:rPr>
          <w:rFonts w:ascii="仿宋" w:eastAsia="仿宋"/>
        </w:rPr>
      </w:pPr>
      <w:bookmarkStart w:id="89" w:name="_Toc22573_WPSOffice_Level2"/>
      <w:r>
        <w:rPr>
          <w:rStyle w:val="2Char"/>
          <w:rFonts w:ascii="仿宋" w:eastAsia="仿宋" w:hint="eastAsia"/>
          <w:b w:val="0"/>
          <w:bCs w:val="0"/>
        </w:rPr>
        <w:t>六、</w:t>
      </w:r>
      <w:r>
        <w:rPr>
          <w:rFonts w:ascii="仿宋" w:eastAsia="仿宋" w:hint="eastAsia"/>
          <w:b w:val="0"/>
        </w:rPr>
        <w:t>一</w:t>
      </w:r>
      <w:r>
        <w:rPr>
          <w:rStyle w:val="2Char"/>
          <w:rFonts w:ascii="仿宋" w:eastAsia="仿宋" w:hint="eastAsia"/>
          <w:b w:val="0"/>
          <w:bCs w:val="0"/>
        </w:rPr>
        <w:t>般公共预算财政拨款支出决算表</w:t>
      </w:r>
      <w:bookmarkEnd w:id="88"/>
      <w:bookmarkEnd w:id="89"/>
    </w:p>
    <w:p>
      <w:pPr>
        <w:pStyle w:val="2"/>
        <w:rPr>
          <w:rFonts w:ascii="仿宋" w:eastAsia="仿宋"/>
        </w:rPr>
      </w:pPr>
      <w:bookmarkStart w:id="90" w:name="_Toc15396625"/>
      <w:bookmarkStart w:id="91" w:name="_Toc895_WPSOffice_Level2"/>
      <w:r>
        <w:rPr>
          <w:rStyle w:val="2Char"/>
          <w:rFonts w:ascii="仿宋" w:eastAsia="仿宋" w:hint="eastAsia"/>
          <w:b w:val="0"/>
          <w:bCs w:val="0"/>
        </w:rPr>
        <w:t>七、</w:t>
      </w:r>
      <w:r>
        <w:rPr>
          <w:rFonts w:ascii="仿宋" w:eastAsia="仿宋" w:hint="eastAsia"/>
          <w:b w:val="0"/>
        </w:rPr>
        <w:t>一</w:t>
      </w:r>
      <w:r>
        <w:rPr>
          <w:rStyle w:val="2Char"/>
          <w:rFonts w:ascii="仿宋" w:eastAsia="仿宋" w:hint="eastAsia"/>
          <w:b w:val="0"/>
          <w:bCs w:val="0"/>
        </w:rPr>
        <w:t>般公共预算财政拨款支出决算明细表</w:t>
      </w:r>
      <w:bookmarkEnd w:id="90"/>
      <w:bookmarkEnd w:id="91"/>
    </w:p>
    <w:p>
      <w:pPr>
        <w:pStyle w:val="2"/>
        <w:rPr>
          <w:rFonts w:ascii="仿宋" w:eastAsia="仿宋"/>
        </w:rPr>
      </w:pPr>
      <w:bookmarkStart w:id="92" w:name="_Toc15396626"/>
      <w:bookmarkStart w:id="93" w:name="_Toc11419_WPSOffice_Level2"/>
      <w:r>
        <w:rPr>
          <w:rStyle w:val="2Char"/>
          <w:rFonts w:ascii="仿宋" w:eastAsia="仿宋" w:hint="eastAsia"/>
          <w:b w:val="0"/>
          <w:bCs w:val="0"/>
        </w:rPr>
        <w:t>八、</w:t>
      </w:r>
      <w:r>
        <w:rPr>
          <w:rFonts w:ascii="仿宋" w:eastAsia="仿宋" w:hint="eastAsia"/>
          <w:b w:val="0"/>
        </w:rPr>
        <w:t>一</w:t>
      </w:r>
      <w:r>
        <w:rPr>
          <w:rStyle w:val="2Char"/>
          <w:rFonts w:ascii="仿宋" w:eastAsia="仿宋" w:hint="eastAsia"/>
          <w:b w:val="0"/>
          <w:bCs w:val="0"/>
        </w:rPr>
        <w:t>般公共预算财政拨款基本支出决算表</w:t>
      </w:r>
      <w:bookmarkEnd w:id="92"/>
      <w:bookmarkEnd w:id="93"/>
    </w:p>
    <w:p>
      <w:pPr>
        <w:pStyle w:val="2"/>
        <w:rPr>
          <w:rFonts w:ascii="仿宋" w:eastAsia="仿宋"/>
        </w:rPr>
      </w:pPr>
      <w:bookmarkStart w:id="94" w:name="_Toc15396627"/>
      <w:bookmarkStart w:id="95" w:name="_Toc10688_WPSOffice_Level2"/>
      <w:r>
        <w:rPr>
          <w:rStyle w:val="2Char"/>
          <w:rFonts w:ascii="仿宋" w:eastAsia="仿宋" w:hint="eastAsia"/>
          <w:b w:val="0"/>
          <w:bCs w:val="0"/>
        </w:rPr>
        <w:t>九、</w:t>
      </w:r>
      <w:r>
        <w:rPr>
          <w:rFonts w:ascii="仿宋" w:eastAsia="仿宋" w:hint="eastAsia"/>
          <w:b w:val="0"/>
        </w:rPr>
        <w:t>一</w:t>
      </w:r>
      <w:r>
        <w:rPr>
          <w:rStyle w:val="2Char"/>
          <w:rFonts w:ascii="仿宋" w:eastAsia="仿宋" w:hint="eastAsia"/>
          <w:b w:val="0"/>
          <w:bCs w:val="0"/>
        </w:rPr>
        <w:t>般公共预算财政拨款项目支出决算表</w:t>
      </w:r>
      <w:bookmarkEnd w:id="94"/>
      <w:bookmarkEnd w:id="95"/>
    </w:p>
    <w:p>
      <w:pPr>
        <w:pStyle w:val="2"/>
        <w:rPr>
          <w:rFonts w:ascii="仿宋" w:eastAsia="仿宋" w:hint="eastAsia"/>
          <w:lang w:eastAsia="zh-CN"/>
        </w:rPr>
      </w:pPr>
      <w:bookmarkStart w:id="96" w:name="_Toc15396628"/>
      <w:bookmarkStart w:id="97" w:name="_Toc7127_WPSOffice_Level2"/>
      <w:r>
        <w:rPr>
          <w:rStyle w:val="2Char"/>
          <w:rFonts w:ascii="仿宋" w:eastAsia="仿宋" w:hint="eastAsia"/>
          <w:b w:val="0"/>
          <w:bCs w:val="0"/>
        </w:rPr>
        <w:t>十、</w:t>
      </w:r>
      <w:bookmarkEnd w:id="96"/>
      <w:r>
        <w:rPr>
          <w:rFonts w:ascii="仿宋" w:eastAsia="仿宋" w:hint="eastAsia"/>
          <w:b w:val="0"/>
        </w:rPr>
        <w:t>政</w:t>
      </w:r>
      <w:r>
        <w:rPr>
          <w:rStyle w:val="2Char"/>
          <w:rFonts w:ascii="仿宋" w:eastAsia="仿宋" w:hint="eastAsia"/>
          <w:b w:val="0"/>
          <w:bCs w:val="0"/>
        </w:rPr>
        <w:t>府性基金预算财政拨款收入支出决算表</w:t>
      </w:r>
      <w:r>
        <w:rPr>
          <w:rStyle w:val="2Char"/>
          <w:rFonts w:ascii="仿宋" w:eastAsia="仿宋" w:hint="eastAsia"/>
          <w:b w:val="0"/>
          <w:bCs w:val="0"/>
          <w:lang w:eastAsia="zh-CN"/>
        </w:rPr>
        <w:t>（此表无数据）</w:t>
      </w:r>
      <w:bookmarkEnd w:id="97"/>
    </w:p>
    <w:p>
      <w:pPr>
        <w:pStyle w:val="2"/>
        <w:rPr>
          <w:rFonts w:ascii="仿宋" w:eastAsia="仿宋"/>
        </w:rPr>
      </w:pPr>
      <w:bookmarkStart w:id="98" w:name="_Toc15396629"/>
      <w:bookmarkStart w:id="99" w:name="_Toc20523_WPSOffice_Level2"/>
      <w:r>
        <w:rPr>
          <w:rStyle w:val="2Char"/>
          <w:rFonts w:ascii="仿宋" w:eastAsia="仿宋" w:hint="eastAsia"/>
          <w:b w:val="0"/>
          <w:bCs w:val="0"/>
        </w:rPr>
        <w:t>十一、</w:t>
      </w:r>
      <w:bookmarkEnd w:id="98"/>
      <w:r>
        <w:rPr>
          <w:rFonts w:ascii="仿宋" w:eastAsia="仿宋" w:hint="eastAsia"/>
          <w:b w:val="0"/>
        </w:rPr>
        <w:t>国</w:t>
      </w:r>
      <w:r>
        <w:rPr>
          <w:rStyle w:val="2Char"/>
          <w:rFonts w:ascii="仿宋" w:eastAsia="仿宋" w:hint="eastAsia"/>
          <w:b w:val="0"/>
          <w:bCs w:val="0"/>
        </w:rPr>
        <w:t>有资本经营预算财政拨款收入支出决算表</w:t>
      </w:r>
      <w:r>
        <w:rPr>
          <w:rStyle w:val="2Char"/>
          <w:rFonts w:ascii="仿宋" w:eastAsia="仿宋" w:hint="eastAsia"/>
          <w:b w:val="0"/>
          <w:bCs w:val="0"/>
          <w:lang w:eastAsia="zh-CN"/>
        </w:rPr>
        <w:t>（此表无数据）</w:t>
      </w:r>
      <w:bookmarkEnd w:id="99"/>
    </w:p>
    <w:p>
      <w:pPr>
        <w:pStyle w:val="2"/>
        <w:rPr>
          <w:rFonts w:ascii="仿宋" w:eastAsia="仿宋"/>
        </w:rPr>
      </w:pPr>
      <w:bookmarkStart w:id="100" w:name="_Toc15396630"/>
      <w:bookmarkStart w:id="101" w:name="_Toc32216_WPSOffice_Level2"/>
      <w:r>
        <w:rPr>
          <w:rStyle w:val="2Char"/>
          <w:rFonts w:ascii="仿宋" w:eastAsia="仿宋" w:hint="eastAsia"/>
          <w:b w:val="0"/>
          <w:bCs w:val="0"/>
        </w:rPr>
        <w:t>十二、</w:t>
      </w:r>
      <w:bookmarkEnd w:id="100"/>
      <w:r>
        <w:rPr>
          <w:rStyle w:val="2Char"/>
          <w:rFonts w:ascii="仿宋" w:eastAsia="仿宋" w:hint="eastAsia"/>
          <w:b w:val="0"/>
          <w:bCs w:val="0"/>
        </w:rPr>
        <w:t>国有资本经营预算财政拨款支出决算表</w:t>
      </w:r>
      <w:r>
        <w:rPr>
          <w:rStyle w:val="2Char"/>
          <w:rFonts w:ascii="仿宋" w:eastAsia="仿宋" w:hint="eastAsia"/>
          <w:b w:val="0"/>
          <w:bCs w:val="0"/>
          <w:lang w:eastAsia="zh-CN"/>
        </w:rPr>
        <w:t>（此表无数据）</w:t>
      </w:r>
      <w:bookmarkEnd w:id="101"/>
    </w:p>
    <w:p>
      <w:pPr>
        <w:pStyle w:val="2"/>
        <w:rPr>
          <w:rFonts w:eastAsia="仿宋"/>
        </w:rPr>
      </w:pPr>
      <w:bookmarkStart w:id="102" w:name="_Toc15396631"/>
      <w:bookmarkStart w:id="103" w:name="_Toc5512_WPSOffice_Level2"/>
      <w:r>
        <w:rPr>
          <w:rStyle w:val="2Char"/>
          <w:rFonts w:ascii="仿宋" w:eastAsia="仿宋" w:hint="eastAsia"/>
          <w:b w:val="0"/>
          <w:bCs w:val="0"/>
        </w:rPr>
        <w:t>十三、</w:t>
      </w:r>
      <w:bookmarkEnd w:id="102"/>
      <w:r>
        <w:rPr>
          <w:rStyle w:val="2Char"/>
          <w:rFonts w:ascii="仿宋" w:eastAsia="仿宋" w:hint="eastAsia"/>
          <w:b w:val="0"/>
          <w:bCs w:val="0"/>
        </w:rPr>
        <w:t>财政拨款“三公”经费支出决算表</w:t>
      </w:r>
      <w:bookmarkEnd w:id="103"/>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宋体">
    <w:panose1 w:val="02010600030101010101"/>
    <w:charset w:val="7A"/>
    <w:family w:val="auto"/>
    <w:pitch w:val="variable"/>
    <w:sig w:usb0="00000003" w:usb1="288F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2000019F" w:csb1="00000000"/>
  </w:font>
  <w:font w:name="仿宋_GB2312">
    <w:panose1 w:val="02010609030101010101"/>
    <w:charset w:val="86"/>
    <w:family w:val="modern"/>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31261570"/>
    </w:sdtPr>
    <w:sdtContent>
      <w:p>
        <w:pPr>
          <w:pStyle w:val="18"/>
          <w:tabs>
            <w:tab w:val="center" w:pos="4153"/>
            <w:tab w:val="right" w:pos="8306"/>
          </w:tabs>
          <w:jc w:val="center"/>
        </w:pPr>
        <w:r>
          <w:fldChar w:fldCharType="begin"/>
        </w:r>
        <w:r>
          <w:instrText>PAGE   \* MERGEFORMAT</w:instrText>
        </w:r>
        <w:r>
          <w:fldChar w:fldCharType="separate"/>
        </w:r>
        <w:r>
          <w:rPr>
            <w:lang w:val="zh-CN"/>
          </w:rPr>
          <w:t>6</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ind w:left="0" w:hanging="0"/>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ind w:left="0" w:hanging="0"/>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1">
    <w:name w:val="WPSOffice手动目录 1"/>
    <w:rPr>
      <w:rFonts w:ascii="Calibri" w:eastAsia="宋体" w:cs="Arial" w:hAnsi="Calibri"/>
      <w:sz w:val="20"/>
      <w:szCs w:val="20"/>
      <w:lang w:val="en-US" w:eastAsia="zh-CN" w:bidi="ar-SA"/>
    </w:rPr>
  </w:style>
  <w:style w:type="paragraph" w:customStyle="1" w:styleId="32">
    <w:name w:val="WPSOffice手动目录 2"/>
    <w:pPr>
      <w:ind w:leftChars="200" w:left="200"/>
    </w:pPr>
    <w:rPr>
      <w:rFonts w:ascii="Calibri" w:eastAsia="宋体" w:cs="Arial" w:hAnsi="Calibri"/>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075"/>
          <c:y val="0.14477848"/>
          <c:w val="0.905175"/>
          <c:h val="0.68362343"/>
        </c:manualLayout>
      </c:layout>
      <c:barChart>
        <c:barDir val="col"/>
        <c:grouping val="stacked"/>
        <c:varyColors val="0"/>
        <c:ser>
          <c:idx val="0"/>
          <c:order val="0"/>
          <c:tx>
            <c:strRef>
              <c:f>'Sheet1'!$B$1</c:f>
              <c:strCache>
                <c:ptCount val="1"/>
                <c:pt idx="0">
                  <c:v>收、支决算总计变动情况</c:v>
                </c:pt>
              </c:strCache>
            </c:strRef>
          </c:tx>
          <c:spPr>
            <a:solidFill>
              <a:srgbClr val="4F81BD">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09375"/>
                  <c:y val="-0.16020569"/>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ctr"/>
              <c:showLegendKey val="0"/>
              <c:showVal val="1"/>
              <c:showCatName val="0"/>
              <c:showSerName val="0"/>
              <c:showPercent val="0"/>
              <c:showBubbleSize val="0"/>
            </c:dLbl>
            <c:dLbl>
              <c:idx val="1"/>
              <c:layout>
                <c:manualLayout>
                  <c:x val="0.013125"/>
                  <c:y val="-0.19877373"/>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2021年</c:v>
                </c:pt>
                <c:pt idx="1">
                  <c:v>2022年</c:v>
                </c:pt>
              </c:strCache>
            </c:strRef>
          </c:cat>
          <c:val>
            <c:numRef>
              <c:f>'Sheet1'!$B$2:$B$5</c:f>
              <c:numCache>
                <c:formatCode>General</c:formatCode>
                <c:ptCount val="4"/>
                <c:pt idx="0">
                  <c:v>368.8</c:v>
                </c:pt>
                <c:pt idx="1">
                  <c:v>385.16</c:v>
                </c:pt>
              </c:numCache>
            </c:numRef>
          </c:val>
        </c:ser>
        <c:overlap val="100"/>
        <c:gapWidth val="50"/>
        <c:axId val="0"/>
        <c:axId val="1"/>
      </c:barChart>
      <c:catAx>
        <c:axId val="0"/>
        <c:scaling>
          <c:orientation val="minMax"/>
        </c:scaling>
        <c:delete val="0"/>
        <c:axPos val="b"/>
        <c:numFmt formatCode="General" sourceLinked="1"/>
        <c:majorTickMark val="none"/>
        <c:minorTickMark val="none"/>
        <c:tickLblPos val="nextTo"/>
        <c:spPr>
          <a:ln w="6350">
            <a:solidFill>
              <a:srgbClr val="BFBFBF"/>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0.0"/>
          <c:max val="400.0"/>
        </c:scaling>
        <c:delete val="0"/>
        <c:axPos val="l"/>
        <c:majorGridlines>
          <c:spPr>
            <a:ln w="6350">
              <a:solidFill>
                <a:srgbClr val="868686"/>
              </a:solidFill>
              <a:prstDash val="solid"/>
            </a:ln>
          </c:spPr>
        </c:majorGridlines>
        <c:numFmt formatCode="General" sourceLinked="0"/>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majorUnit val="50.0"/>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销售额</c:v>
                </c:pt>
              </c:strCache>
            </c:strRef>
          </c:tx>
          <c:spPr>
            <a:solidFill>
              <a:srgbClr val="4F81BD"/>
            </a:solidFill>
          </c:spPr>
          <c:dPt>
            <c:idx val="0"/>
            <c:bubble3D val="0"/>
            <c:spPr>
              <a:solidFill>
                <a:srgbClr val="4F81BD"/>
              </a:solidFill>
              <a:ln>
                <a:noFill/>
              </a:ln>
            </c:spPr>
          </c:dPt>
          <c:dPt>
            <c:idx val="1"/>
            <c:bubble3D val="0"/>
            <c:spPr>
              <a:solidFill>
                <a:srgbClr val="C0504D"/>
              </a:solidFill>
              <a:ln>
                <a:noFill/>
              </a:ln>
            </c:spPr>
          </c:dPt>
          <c:dPt>
            <c:idx val="2"/>
            <c:bubble3D val="0"/>
            <c:spPr>
              <a:solidFill>
                <a:srgbClr val="9BBB59"/>
              </a:solidFill>
              <a:ln>
                <a:noFill/>
              </a:ln>
            </c:spPr>
          </c:dPt>
          <c:dPt>
            <c:idx val="3"/>
            <c:bubble3D val="0"/>
            <c:spPr>
              <a:solidFill>
                <a:srgbClr val="8064A2"/>
              </a:solidFill>
              <a:ln>
                <a:noFill/>
              </a:ln>
            </c:spPr>
          </c:dPt>
          <c:dLbls>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numFmt formatCode="0%" sourceLinked="0"/>
            <c:dLbl>
              <c:idx val="0"/>
              <c:layout>
                <c:manualLayout>
                  <c:x val="-0.013125486"/>
                  <c:y val="-0.39121053"/>
                </c:manualLayout>
              </c:layout>
              <c:numFmt formatCode="0%" sourceLinked="0"/>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dLblPos val="bestFit"/>
              <c:showLegendKey val="0"/>
              <c:showVal val="1"/>
              <c:showCatName val="0"/>
              <c:showSerName val="0"/>
              <c:showPercent val="1"/>
              <c:showBubbleSize val="0"/>
            </c:dLbl>
            <c:dLbl>
              <c:idx val="1"/>
              <c:numFmt formatCode="0%" sourceLinked="0"/>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dLblPos val="inEnd"/>
              <c:delete val="1"/>
            </c:dLbl>
            <c:dLbl>
              <c:idx val="2"/>
              <c:numFmt formatCode="0%" sourceLinked="0"/>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dLblPos val="inEnd"/>
              <c:delete val="1"/>
            </c:dLbl>
            <c:dLbl>
              <c:idx val="3"/>
              <c:numFmt formatCode="0%" sourceLinked="0"/>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dLblPos val="inEnd"/>
              <c:delete val="1"/>
            </c:dLbl>
            <c:dLblPos val="inEnd"/>
            <c:showLegendKey val="0"/>
            <c:showVal val="1"/>
            <c:showCatName val="0"/>
            <c:showSerName val="0"/>
            <c:showPercent val="1"/>
            <c:showBubbleSize val="0"/>
            <c:showLeaderLines val="1"/>
          </c:dLbls>
          <c:cat>
            <c:strRef>
              <c:f>'Sheet1 (2)'!$A$2:$A$5</c:f>
              <c:strCache>
                <c:ptCount val="4"/>
                <c:pt idx="0">
                  <c:v>2022年一般公共预算财政拨款收入</c:v>
                </c:pt>
              </c:strCache>
            </c:strRef>
          </c:cat>
          <c:val>
            <c:numRef>
              <c:f>'Sheet1 (2)'!$B$2:$B$5</c:f>
              <c:numCache>
                <c:formatCode>General</c:formatCode>
                <c:ptCount val="4"/>
                <c:pt idx="0">
                  <c:v>151.21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1"/>
        <c:delete val="1"/>
      </c:legendEntry>
      <c:legendEntry>
        <c:idx val="2"/>
        <c:delete val="1"/>
      </c:legendEntry>
      <c:legendEntry>
        <c:idx val="3"/>
        <c:delete val="1"/>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支出决算结构图</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9BBB59"/>
              </a:solidFill>
              <a:ln>
                <a:noFill/>
              </a:ln>
              <a:effectLst>
                <a:outerShdw dist="35921" dir="2700000" algn="br">
                  <a:srgbClr val="000000"/>
                </a:outerShdw>
              </a:effectLst>
            </c:spPr>
          </c:dPt>
          <c:dLbls>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numFmt formatCode="0%" sourceLinked="0"/>
            <c:dLbl>
              <c:idx val="0"/>
              <c:numFmt formatCode="0%" sourceLinked="0"/>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dLblPos val="inEnd"/>
              <c:tx>
                <c:rich>
                  <a:bodyPr vert="horz"/>
                  <a:lstStyle/>
                  <a:p>
                    <a:pPr>
                      <a:defRPr sz="900" b="1" i="0" u="none" strike="noStrike" baseline="0">
                        <a:solidFill>
                          <a:srgbClr val="000000"/>
                        </a:solidFill>
                        <a:latin typeface="Times New Roman"/>
                        <a:ea typeface="宋体"/>
                        <a:cs typeface="Lucida Sans"/>
                      </a:defRPr>
                    </a:pPr>
                    <a:r>
                      <a:rPr lang="zh-CN" sz="900" b="1" i="0" u="none" strike="noStrike" baseline="0">
                        <a:solidFill>
                          <a:srgbClr val="000000"/>
                        </a:solidFill>
                        <a:latin typeface="Times New Roman"/>
                        <a:ea typeface="宋体"/>
                        <a:cs typeface="Lucida Sans"/>
                      </a:rPr>
                      <a:t>148.94, 95</a:t>
                    </a:r>
                    <a:r>
                      <a:rPr lang="zh-CN" sz="900" b="1" i="0" u="none" strike="noStrike" baseline="0">
                        <a:solidFill>
                          <a:srgbClr val="000000"/>
                        </a:solidFill>
                        <a:latin typeface="Times New Roman"/>
                        <a:ea typeface="宋体"/>
                        <a:cs typeface="Lucida Sans"/>
                      </a:rPr>
                      <a:t>.36</a:t>
                    </a:r>
                    <a:r>
                      <a:rPr lang="zh-CN" sz="900" b="1" i="0" u="none" strike="noStrike" baseline="0">
                        <a:solidFill>
                          <a:srgbClr val="000000"/>
                        </a:solidFill>
                        <a:latin typeface="Times New Roman"/>
                        <a:ea typeface="宋体"/>
                        <a:cs typeface="Lucida Sans"/>
                      </a:rPr>
                      <a:t>%</a:t>
                    </a:r>
                  </a:p>
                </c:rich>
              </c:tx>
              <c:showLegendKey val="0"/>
              <c:showVal val="1"/>
              <c:showCatName val="0"/>
              <c:showSerName val="0"/>
              <c:showPercent val="1"/>
              <c:showBubbleSize val="0"/>
            </c:dLbl>
            <c:dLbl>
              <c:idx val="1"/>
              <c:numFmt formatCode="0%" sourceLinked="0"/>
              <c:spPr>
                <a:noFill/>
                <a:ln>
                  <a:noFill/>
                </a:ln>
              </c:spPr>
              <c:txPr>
                <a:bodyPr vert="horz"/>
                <a:lstStyle/>
                <a:p>
                  <a:pPr>
                    <a:defRPr sz="900" b="1" i="0" u="none" strike="noStrike" baseline="0">
                      <a:solidFill>
                        <a:srgbClr val="000000"/>
                      </a:solidFill>
                      <a:latin typeface="Times New Roman"/>
                      <a:ea typeface="宋体"/>
                      <a:cs typeface="Lucida Sans"/>
                    </a:defRPr>
                  </a:pPr>
                  <a:endParaRPr lang="zh-CN"/>
                </a:p>
              </c:txPr>
              <c:dLblPos val="inEnd"/>
              <c:tx>
                <c:rich>
                  <a:bodyPr vert="horz"/>
                  <a:lstStyle/>
                  <a:p>
                    <a:pPr>
                      <a:defRPr sz="900" b="1" i="0" u="none" strike="noStrike" baseline="0">
                        <a:solidFill>
                          <a:srgbClr val="000000"/>
                        </a:solidFill>
                        <a:latin typeface="Times New Roman"/>
                        <a:ea typeface="宋体"/>
                        <a:cs typeface="Lucida Sans"/>
                      </a:defRPr>
                    </a:pPr>
                    <a:r>
                      <a:rPr lang="zh-CN" sz="900" b="1" i="0" u="none" strike="noStrike" baseline="0">
                        <a:solidFill>
                          <a:srgbClr val="000000"/>
                        </a:solidFill>
                        <a:latin typeface="Times New Roman"/>
                        <a:ea typeface="宋体"/>
                        <a:cs typeface="Lucida Sans"/>
                      </a:rPr>
                      <a:t>7.25, </a:t>
                    </a:r>
                    <a:r>
                      <a:rPr lang="zh-CN" sz="900" b="1" i="0" u="none" strike="noStrike" baseline="0">
                        <a:solidFill>
                          <a:srgbClr val="000000"/>
                        </a:solidFill>
                        <a:latin typeface="Times New Roman"/>
                        <a:ea typeface="宋体"/>
                        <a:cs typeface="Lucida Sans"/>
                      </a:rPr>
                      <a:t>4.64</a:t>
                    </a:r>
                    <a:r>
                      <a:rPr lang="zh-CN" sz="900" b="1" i="0" u="none" strike="noStrike" baseline="0">
                        <a:solidFill>
                          <a:srgbClr val="000000"/>
                        </a:solidFill>
                        <a:latin typeface="Times New Roman"/>
                        <a:ea typeface="宋体"/>
                        <a:cs typeface="Lucida Sans"/>
                      </a:rPr>
                      <a:t>%</a:t>
                    </a:r>
                  </a:p>
                </c:rich>
              </c:tx>
              <c:showLegendKey val="0"/>
              <c:showVal val="1"/>
              <c:showCatName val="0"/>
              <c:showSerName val="0"/>
              <c:showPercent val="1"/>
              <c:showBubbleSize val="0"/>
            </c:dLbl>
            <c:dLblPos val="inEnd"/>
            <c:showLegendKey val="0"/>
            <c:showVal val="1"/>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148.94</c:v>
                </c:pt>
                <c:pt idx="1">
                  <c:v>7.25</c:v>
                </c:pt>
              </c:numCache>
            </c:numRef>
          </c:val>
        </c:ser>
        <c:ser>
          <c:idx val="1"/>
          <c:order val="1"/>
          <c:tx>
            <c:strRef>
              <c:f>'Sheet1 (3)'!$C$1</c:f>
              <c:strCache>
                <c:ptCount val="1"/>
                <c:pt idx="0">
                  <c:v>列1</c:v>
                </c:pt>
              </c:strCache>
            </c:strRef>
          </c:tx>
          <c:spPr>
            <a:solidFill>
              <a:srgbClr val="C0504D"/>
            </a:solidFill>
          </c:spPr>
          <c:dPt>
            <c:idx val="0"/>
            <c:invertIfNegative val="0"/>
            <c:bubble3D val="0"/>
            <c:spPr>
              <a:ln>
                <a:noFill/>
              </a:ln>
              <a:effectLst>
                <a:outerShdw dist="35921" dir="2700000" algn="br">
                  <a:srgbClr val="000000"/>
                </a:outerShdw>
              </a:effectLst>
            </c:spPr>
          </c:dPt>
          <c:dPt>
            <c:idx val="1"/>
            <c:invertIfNegative val="0"/>
            <c:bubble3D val="0"/>
            <c:spPr>
              <a:ln>
                <a:noFill/>
              </a:ln>
              <a:effectLst>
                <a:outerShdw dist="35921" dir="2700000" algn="br">
                  <a:srgbClr val="000000"/>
                </a:outerShdw>
              </a:effectLst>
            </c:spPr>
          </c:dPt>
          <c:dLbls>
            <c:spPr>
              <a:noFill/>
              <a:ln>
                <a:noFill/>
              </a:ln>
            </c:spPr>
            <c:txPr>
              <a:bodyPr vert="horz"/>
              <a:lstStyle/>
              <a:p>
                <a:pPr>
                  <a:defRPr sz="900" b="1" i="0" u="none" strike="noStrike" baseline="0">
                    <a:solidFill>
                      <a:srgbClr val="FFFFFF"/>
                    </a:solidFill>
                    <a:latin typeface="Times New Roman"/>
                    <a:ea typeface="宋体"/>
                    <a:cs typeface="Lucida Sans"/>
                  </a:defRPr>
                </a:pPr>
                <a:endParaRPr lang="zh-CN"/>
              </a:p>
            </c:txPr>
            <c:numFmt formatCode="0%" sourceLinked="0"/>
            <c:dLblPos val="inEnd"/>
            <c:showLegendKey val="0"/>
            <c:showVal val="1"/>
            <c:showCatName val="0"/>
            <c:showSerName val="0"/>
            <c:showPercent val="1"/>
            <c:showBubbleSize val="0"/>
            <c:showLeaderLines val="1"/>
          </c:dLbls>
          <c:cat>
            <c:strRef>
              <c:f>'Sheet1 (3)'!$A$2:$A$3</c:f>
              <c:strCache>
                <c:ptCount val="2"/>
                <c:pt idx="0">
                  <c:v>基本支出</c:v>
                </c:pt>
                <c:pt idx="1">
                  <c:v>项目支出</c:v>
                </c:pt>
              </c:strCache>
            </c:strRef>
          </c:cat>
          <c:val>
            <c:numRef>
              <c:f>'Sheet1 (3)'!$C$2:$C$3</c:f>
              <c:numCache>
                <c:formatCode>0.00%</c:formatCode>
                <c:ptCount val="2"/>
                <c:pt idx="0">
                  <c:v>0.9536</c:v>
                </c:pt>
                <c:pt idx="1">
                  <c:v>0.0464</c:v>
                </c:pt>
              </c:numCache>
            </c:numRef>
          </c:val>
        </c:ser>
        <c:firstSliceAng val="0"/>
      </c:pieChart>
      <c:spPr>
        <a:noFill/>
        <a:ln>
          <a:noFill/>
        </a:ln>
      </c:spPr>
    </c:plotArea>
    <c:legend>
      <c:legendPos val="b"/>
      <c:layout/>
      <c:overlay val="0"/>
      <c:spPr>
        <a:solidFill>
          <a:srgbClr val="FFFFFF">
            <a:alpha val="78000"/>
          </a:srgbClr>
        </a:solid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pattFill prst="dkDnDiag">
      <a:fgClr>
        <a:srgbClr val="F2F2F2"/>
      </a:fgClr>
      <a:bgClr>
        <a:srgbClr val="FFFFFF"/>
      </a:bgClr>
    </a:patt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2"/>
          <c:y val="0.036666665"/>
          <c:w val="0.905175"/>
          <c:h val="0.80723333"/>
        </c:manualLayout>
      </c:layout>
      <c:barChart>
        <c:barDir val="col"/>
        <c:grouping val="stacked"/>
        <c:varyColors val="0"/>
        <c:ser>
          <c:idx val="0"/>
          <c:order val="0"/>
          <c:tx>
            <c:strRef>
              <c:f>'Sheet1 (4)'!$B$1</c:f>
              <c:strCache>
                <c:ptCount val="1"/>
                <c:pt idx="0">
                  <c:v>财政拨款收、支决算总计变动情况</c:v>
                </c:pt>
              </c:strCache>
            </c:strRef>
          </c:tx>
          <c:spPr>
            <a:solidFill>
              <a:srgbClr val="4F81BD">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14125"/>
                  <c:y val="-0.20501138"/>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ctr"/>
              <c:showLegendKey val="0"/>
              <c:showVal val="1"/>
              <c:showCatName val="0"/>
              <c:showSerName val="0"/>
              <c:showPercent val="0"/>
              <c:showBubbleSize val="0"/>
            </c:dLbl>
            <c:dLbl>
              <c:idx val="1"/>
              <c:layout>
                <c:manualLayout>
                  <c:x val="0.007875"/>
                  <c:y val="-0.28473803"/>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(4)'!$A$2:$A$5</c:f>
              <c:strCache>
                <c:ptCount val="4"/>
                <c:pt idx="0">
                  <c:v>2021年</c:v>
                </c:pt>
                <c:pt idx="1">
                  <c:v>2022年</c:v>
                </c:pt>
              </c:strCache>
            </c:strRef>
          </c:cat>
          <c:val>
            <c:numRef>
              <c:f>'Sheet1 (4)'!$B$2:$B$5</c:f>
              <c:numCache>
                <c:formatCode>General</c:formatCode>
                <c:ptCount val="4"/>
                <c:pt idx="0">
                  <c:v>296.02</c:v>
                </c:pt>
                <c:pt idx="1">
                  <c:v>312.38</c:v>
                </c:pt>
              </c:numCache>
            </c:numRef>
          </c:val>
        </c:ser>
        <c:ser>
          <c:idx val="1"/>
          <c:order val="1"/>
          <c:tx>
            <c:strRef>
              <c:f>'Sheet1 (4)'!$C$1</c:f>
              <c:strCache>
                <c:ptCount val="1"/>
                <c:pt idx="0">
                  <c:v/>
                </c:pt>
              </c:strCache>
            </c:strRef>
          </c:tx>
          <c:spPr>
            <a:solidFill>
              <a:srgbClr val="C0504D">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(4)'!$A$2:$A$5</c:f>
              <c:strCache>
                <c:ptCount val="4"/>
                <c:pt idx="0">
                  <c:v>2021年</c:v>
                </c:pt>
                <c:pt idx="1">
                  <c:v>2022年</c:v>
                </c:pt>
              </c:strCache>
            </c:strRef>
          </c:cat>
          <c:val>
            <c:numRef>
              <c:f>'Sheet1 (4)'!$C$2:$C$5</c:f>
              <c:numCache>
                <c:formatCode>General</c:formatCode>
                <c:ptCount val="4"/>
              </c:numCache>
            </c:numRef>
          </c:val>
        </c:ser>
        <c:ser>
          <c:idx val="2"/>
          <c:order val="2"/>
          <c:tx>
            <c:strRef>
              <c:f>'Sheet1 (4)'!$D$1</c:f>
              <c:strCache>
                <c:ptCount val="1"/>
                <c:pt idx="0">
                  <c:v/>
                </c:pt>
              </c:strCache>
            </c:strRef>
          </c:tx>
          <c:spPr>
            <a:solidFill>
              <a:srgbClr val="9BBB59">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(4)'!$A$2:$A$5</c:f>
              <c:strCache>
                <c:ptCount val="4"/>
                <c:pt idx="0">
                  <c:v>2021年</c:v>
                </c:pt>
                <c:pt idx="1">
                  <c:v>2022年</c:v>
                </c:pt>
              </c:strCache>
            </c:strRef>
          </c:cat>
          <c:val>
            <c:numRef>
              <c:f>'Sheet1 (4)'!$D$2:$D$5</c:f>
              <c:numCache>
                <c:formatCode>General</c:formatCode>
                <c:ptCount val="4"/>
              </c:numCache>
            </c:numRef>
          </c:val>
        </c:ser>
        <c:overlap val="100"/>
        <c:gapWidth val="50"/>
        <c:axId val="0"/>
        <c:axId val="1"/>
      </c:barChart>
      <c:catAx>
        <c:axId val="0"/>
        <c:scaling>
          <c:orientation val="minMax"/>
        </c:scaling>
        <c:delete val="0"/>
        <c:axPos val="b"/>
        <c:numFmt formatCode="General" sourceLinked="1"/>
        <c:majorTickMark val="none"/>
        <c:minorTickMark val="none"/>
        <c:tickLblPos val="nextTo"/>
        <c:spPr>
          <a:ln w="6350">
            <a:solidFill>
              <a:srgbClr val="BFBFBF"/>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86868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02"/>
          <c:y val="0.91440696"/>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1"/>
        <c:delete val="1"/>
      </c:legendEntry>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3575"/>
          <c:y val="0.007215007"/>
          <c:w val="0.905175"/>
          <c:h val="0.7218374"/>
        </c:manualLayout>
      </c:layout>
      <c:barChart>
        <c:barDir val="col"/>
        <c:grouping val="stacked"/>
        <c:varyColors val="0"/>
        <c:ser>
          <c:idx val="0"/>
          <c:order val="0"/>
          <c:tx>
            <c:strRef>
              <c:f>'Sheet1 (5)'!$B$1</c:f>
              <c:strCache>
                <c:ptCount val="1"/>
                <c:pt idx="0">
                  <c:v>一般公共预算财政拨款支出决算变动情况</c:v>
                </c:pt>
              </c:strCache>
            </c:strRef>
          </c:tx>
          <c:spPr>
            <a:solidFill>
              <a:srgbClr val="4F81BD">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10758007"/>
                  <c:y val="-0.18778767"/>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ctr"/>
              <c:showLegendKey val="0"/>
              <c:showVal val="1"/>
              <c:showCatName val="0"/>
              <c:showSerName val="0"/>
              <c:showPercent val="0"/>
              <c:showBubbleSize val="0"/>
            </c:dLbl>
            <c:dLbl>
              <c:idx val="1"/>
              <c:layout>
                <c:manualLayout>
                  <c:x val="0.018548287"/>
                  <c:y val="-0.18410556"/>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(5)'!$A$2:$A$5</c:f>
              <c:strCache>
                <c:ptCount val="4"/>
                <c:pt idx="0">
                  <c:v>2021年</c:v>
                </c:pt>
                <c:pt idx="1">
                  <c:v>2022年</c:v>
                </c:pt>
              </c:strCache>
            </c:strRef>
          </c:cat>
          <c:val>
            <c:numRef>
              <c:f>'Sheet1 (5)'!$B$2:$B$5</c:f>
              <c:numCache>
                <c:formatCode>General</c:formatCode>
                <c:ptCount val="4"/>
                <c:pt idx="0">
                  <c:v>148.01</c:v>
                </c:pt>
                <c:pt idx="1">
                  <c:v>156.19</c:v>
                </c:pt>
              </c:numCache>
            </c:numRef>
          </c:val>
        </c:ser>
        <c:ser>
          <c:idx val="1"/>
          <c:order val="1"/>
          <c:tx>
            <c:strRef>
              <c:f>'Sheet1 (5)'!$C$1</c:f>
              <c:strCache>
                <c:ptCount val="1"/>
                <c:pt idx="0">
                  <c:v/>
                </c:pt>
              </c:strCache>
            </c:strRef>
          </c:tx>
          <c:spPr>
            <a:solidFill>
              <a:srgbClr val="C0504D">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(5)'!$A$2:$A$5</c:f>
              <c:strCache>
                <c:ptCount val="4"/>
                <c:pt idx="0">
                  <c:v>2021年</c:v>
                </c:pt>
                <c:pt idx="1">
                  <c:v>2022年</c:v>
                </c:pt>
              </c:strCache>
            </c:strRef>
          </c:cat>
          <c:val>
            <c:numRef>
              <c:f>'Sheet1 (5)'!$C$2:$C$5</c:f>
              <c:numCache>
                <c:formatCode>General</c:formatCode>
                <c:ptCount val="4"/>
              </c:numCache>
            </c:numRef>
          </c:val>
        </c:ser>
        <c:ser>
          <c:idx val="2"/>
          <c:order val="2"/>
          <c:tx>
            <c:strRef>
              <c:f>'Sheet1 (5)'!$D$1</c:f>
              <c:strCache>
                <c:ptCount val="1"/>
                <c:pt idx="0">
                  <c:v/>
                </c:pt>
              </c:strCache>
            </c:strRef>
          </c:tx>
          <c:spPr>
            <a:solidFill>
              <a:srgbClr val="9BBB59">
                <a:alpha val="70000"/>
              </a:srgbClr>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ct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(5)'!$A$2:$A$5</c:f>
              <c:strCache>
                <c:ptCount val="4"/>
                <c:pt idx="0">
                  <c:v>2021年</c:v>
                </c:pt>
                <c:pt idx="1">
                  <c:v>2022年</c:v>
                </c:pt>
              </c:strCache>
            </c:strRef>
          </c:cat>
          <c:val>
            <c:numRef>
              <c:f>'Sheet1 (5)'!$D$2:$D$5</c:f>
              <c:numCache>
                <c:formatCode>General</c:formatCode>
                <c:ptCount val="4"/>
              </c:numCache>
            </c:numRef>
          </c:val>
        </c:ser>
        <c:overlap val="100"/>
        <c:gapWidth val="50"/>
        <c:axId val="0"/>
        <c:axId val="1"/>
      </c:barChart>
      <c:catAx>
        <c:axId val="0"/>
        <c:scaling>
          <c:orientation val="minMax"/>
        </c:scaling>
        <c:delete val="0"/>
        <c:axPos val="b"/>
        <c:numFmt formatCode="General" sourceLinked="1"/>
        <c:majorTickMark val="none"/>
        <c:minorTickMark val="none"/>
        <c:tickLblPos val="nextTo"/>
        <c:spPr>
          <a:ln w="6350">
            <a:solidFill>
              <a:srgbClr val="BFBFBF"/>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86868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1"/>
        <c:delete val="1"/>
      </c:legendEntry>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pattFill prst="ltUpDiag">
                <a:fgClr>
                  <a:srgbClr val="4F81BD"/>
                </a:fgClr>
                <a:bgClr>
                  <a:srgbClr val="DCE6F2"/>
                </a:bgClr>
              </a:pattFill>
              <a:ln w="19050">
                <a:solidFill>
                  <a:srgbClr val="FFFFFF"/>
                </a:solidFill>
                <a:prstDash val="solid"/>
              </a:ln>
            </c:spPr>
          </c:dPt>
          <c:dPt>
            <c:idx val="1"/>
            <c:bubble3D val="0"/>
            <c:spPr>
              <a:pattFill prst="ltUpDiag">
                <a:fgClr>
                  <a:srgbClr val="9BBB59"/>
                </a:fgClr>
                <a:bgClr>
                  <a:srgbClr val="EBF1DE"/>
                </a:bgClr>
              </a:pattFill>
              <a:ln w="19050">
                <a:solidFill>
                  <a:srgbClr val="FFFFFF"/>
                </a:solidFill>
                <a:prstDash val="solid"/>
              </a:ln>
            </c:spPr>
          </c:dPt>
          <c:dPt>
            <c:idx val="2"/>
            <c:bubble3D val="0"/>
            <c:spPr>
              <a:pattFill prst="ltUpDiag">
                <a:fgClr>
                  <a:srgbClr val="4BACC6"/>
                </a:fgClr>
                <a:bgClr>
                  <a:srgbClr val="DBEEF4"/>
                </a:bgClr>
              </a:pattFill>
              <a:ln w="19050">
                <a:solidFill>
                  <a:srgbClr val="FFFFFF"/>
                </a:solidFill>
                <a:prstDash val="solid"/>
              </a:ln>
            </c:spPr>
          </c:dPt>
          <c:dPt>
            <c:idx val="3"/>
            <c:bubble3D val="0"/>
            <c:spPr>
              <a:pattFill prst="ltUpDiag">
                <a:fgClr>
                  <a:srgbClr val="2C4D75"/>
                </a:fgClr>
                <a:bgClr>
                  <a:srgbClr val="CCDBEC"/>
                </a:bgClr>
              </a:pattFill>
              <a:ln w="19050">
                <a:solidFill>
                  <a:srgbClr val="FFFFFF"/>
                </a:solidFill>
                <a:prstDash val="solid"/>
              </a:ln>
            </c:spPr>
          </c:dPt>
          <c:dPt>
            <c:idx val="4"/>
            <c:bubble3D val="0"/>
            <c:spPr>
              <a:pattFill prst="ltUpDiag">
                <a:fgClr>
                  <a:srgbClr val="5F7530"/>
                </a:fgClr>
                <a:bgClr>
                  <a:srgbClr val="E2EBCE"/>
                </a:bgClr>
              </a:pattFill>
              <a:ln w="19050">
                <a:solidFill>
                  <a:srgbClr val="FFFFFF"/>
                </a:solidFill>
                <a:prstDash val="solid"/>
              </a:ln>
            </c:spPr>
          </c:dPt>
          <c:dLbls>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delete val="1"/>
            </c:dLbl>
            <c:dLbl>
              <c:idx val="1"/>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tx>
                <c:rich>
                  <a:bodyPr vert="horz"/>
                  <a:lstStyle/>
                  <a:p>
                    <a:pPr>
                      <a:defRPr sz="900" b="0" i="0" u="none" strike="noStrike" baseline="0">
                        <a:solidFill>
                          <a:srgbClr val="000000"/>
                        </a:solidFill>
                        <a:latin typeface="Times New Roman"/>
                        <a:ea typeface="宋体"/>
                        <a:cs typeface="Lucida Sans"/>
                      </a:defRPr>
                    </a:pPr>
                    <a:r>
                      <a:rPr lang="zh-CN" sz="900" b="0" i="0" u="none" strike="noStrike" baseline="0">
                        <a:solidFill>
                          <a:srgbClr val="000000"/>
                        </a:solidFill>
                        <a:latin typeface="Times New Roman"/>
                        <a:ea typeface="宋体"/>
                        <a:cs typeface="Lucida Sans"/>
                      </a:rPr>
                      <a:t>29.48，</a:t>
                    </a:r>
                    <a:r>
                      <a:rPr lang="zh-CN" sz="900" b="0" i="0" u="none" strike="noStrike" baseline="0">
                        <a:solidFill>
                          <a:srgbClr val="000000"/>
                        </a:solidFill>
                        <a:latin typeface="Times New Roman"/>
                        <a:ea typeface="宋体"/>
                        <a:cs typeface="Lucida Sans"/>
                      </a:rPr>
                      <a:t>18.87%</a:t>
                    </a:r>
                  </a:p>
                </c:rich>
              </c:tx>
              <c:showLegendKey val="0"/>
              <c:showVal val="1"/>
              <c:showCatName val="0"/>
              <c:showSerName val="0"/>
              <c:showPercent val="0"/>
              <c:showBubbleSize val="0"/>
            </c:dLbl>
            <c:dLbl>
              <c:idx val="2"/>
              <c:layout>
                <c:manualLayout>
                  <c:x val="-0.09511002"/>
                  <c:y val="0.03159594"/>
                </c:manualLayout>
              </c:layout>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tx>
                <c:rich>
                  <a:bodyPr vert="horz"/>
                  <a:lstStyle/>
                  <a:p>
                    <a:pPr>
                      <a:defRPr sz="900" b="0" i="0" u="none" strike="noStrike" baseline="0">
                        <a:solidFill>
                          <a:srgbClr val="000000"/>
                        </a:solidFill>
                        <a:latin typeface="Times New Roman"/>
                        <a:ea typeface="宋体"/>
                        <a:cs typeface="Lucida Sans"/>
                      </a:defRPr>
                    </a:pPr>
                    <a:r>
                      <a:rPr lang="zh-CN" sz="900" b="0" i="0" u="none" strike="noStrike" baseline="0">
                        <a:solidFill>
                          <a:srgbClr val="000000"/>
                        </a:solidFill>
                        <a:latin typeface="Times New Roman"/>
                        <a:ea typeface="宋体"/>
                        <a:cs typeface="Lucida Sans"/>
                      </a:rPr>
                      <a:t>10.49，</a:t>
                    </a:r>
                    <a:r>
                      <a:rPr lang="zh-CN" sz="900" b="0" i="0" u="none" strike="noStrike" baseline="0">
                        <a:solidFill>
                          <a:srgbClr val="000000"/>
                        </a:solidFill>
                        <a:latin typeface="Times New Roman"/>
                        <a:ea typeface="宋体"/>
                        <a:cs typeface="Lucida Sans"/>
                      </a:rPr>
                      <a:t>6.72%</a:t>
                    </a:r>
                  </a:p>
                </c:rich>
              </c:tx>
              <c:showLegendKey val="0"/>
              <c:showVal val="1"/>
              <c:showCatName val="0"/>
              <c:showSerName val="0"/>
              <c:showPercent val="0"/>
              <c:showBubbleSize val="0"/>
            </c:dLbl>
            <c:dLbl>
              <c:idx val="3"/>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tx>
                <c:rich>
                  <a:bodyPr vert="horz"/>
                  <a:lstStyle/>
                  <a:p>
                    <a:pPr>
                      <a:defRPr sz="900" b="0" i="0" u="none" strike="noStrike" baseline="0">
                        <a:solidFill>
                          <a:srgbClr val="000000"/>
                        </a:solidFill>
                        <a:latin typeface="Times New Roman"/>
                        <a:ea typeface="宋体"/>
                        <a:cs typeface="Lucida Sans"/>
                      </a:defRPr>
                    </a:pPr>
                    <a:r>
                      <a:rPr lang="zh-CN" sz="900" b="0" i="0" u="none" strike="noStrike" baseline="0">
                        <a:solidFill>
                          <a:srgbClr val="000000"/>
                        </a:solidFill>
                        <a:latin typeface="Times New Roman"/>
                        <a:ea typeface="宋体"/>
                        <a:cs typeface="Lucida Sans"/>
                      </a:rPr>
                      <a:t>116.22，</a:t>
                    </a:r>
                    <a:r>
                      <a:rPr lang="zh-CN" sz="900" b="0" i="0" u="none" strike="noStrike" baseline="0">
                        <a:solidFill>
                          <a:srgbClr val="000000"/>
                        </a:solidFill>
                        <a:latin typeface="Times New Roman"/>
                        <a:ea typeface="宋体"/>
                        <a:cs typeface="Lucida Sans"/>
                      </a:rPr>
                      <a:t>74.41%</a:t>
                    </a:r>
                  </a:p>
                </c:rich>
              </c:tx>
              <c:showLegendKey val="0"/>
              <c:showVal val="1"/>
              <c:showCatName val="0"/>
              <c:showSerName val="0"/>
              <c:showPercent val="0"/>
              <c:showBubbleSize val="0"/>
            </c:dLbl>
            <c:dLbl>
              <c:idx val="4"/>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delete val="1"/>
            </c:dLbl>
            <c:showLegendKey val="0"/>
            <c:showVal val="1"/>
            <c:showCatName val="0"/>
            <c:showSerName val="0"/>
            <c:showPercent val="0"/>
            <c:showBubbleSize val="0"/>
            <c:showLeaderLines val="1"/>
          </c:dLbls>
          <c:cat>
            <c:strRef>
              <c:f>'Sheet1 (6)'!$A$1:$A$5</c:f>
              <c:strCache>
                <c:ptCount val="5"/>
                <c:pt idx="0">
                  <c:v> </c:v>
                </c:pt>
                <c:pt idx="1">
                  <c:v>社会保障和就业（类）支出</c:v>
                </c:pt>
                <c:pt idx="2">
                  <c:v>住房保障支出（类）</c:v>
                </c:pt>
                <c:pt idx="3">
                  <c:v>城乡社区支出（类）</c:v>
                </c:pt>
              </c:strCache>
            </c:strRef>
          </c:cat>
          <c:val>
            <c:numRef>
              <c:f>'Sheet1 (6)'!$B$1:$B$5</c:f>
              <c:numCache>
                <c:formatCode>General</c:formatCode>
                <c:ptCount val="5"/>
                <c:pt idx="0">
                  <c:v>0.0</c:v>
                </c:pt>
                <c:pt idx="1">
                  <c:v>29.48</c:v>
                </c:pt>
                <c:pt idx="2">
                  <c:v>10.49</c:v>
                </c:pt>
                <c:pt idx="3">
                  <c:v>116.22</c:v>
                </c:pt>
              </c:numCache>
            </c:numRef>
          </c:val>
        </c:ser>
        <c:ser>
          <c:idx val="1"/>
          <c:order val="1"/>
          <c:spPr>
            <a:solidFill>
              <a:srgbClr val="C0504D"/>
            </a:solidFill>
          </c:spPr>
          <c:dPt>
            <c:idx val="0"/>
            <c:invertIfNegative val="0"/>
            <c:bubble3D val="0"/>
            <c:spPr>
              <a:ln w="19050">
                <a:solidFill>
                  <a:srgbClr val="FFFFFF"/>
                </a:solidFill>
                <a:prstDash val="solid"/>
              </a:ln>
            </c:spPr>
          </c:dPt>
          <c:dPt>
            <c:idx val="1"/>
            <c:invertIfNegative val="0"/>
            <c:bubble3D val="0"/>
            <c:spPr>
              <a:ln w="19050">
                <a:solidFill>
                  <a:srgbClr val="FFFFFF"/>
                </a:solidFill>
                <a:prstDash val="solid"/>
              </a:ln>
            </c:spPr>
          </c:dPt>
          <c:dPt>
            <c:idx val="2"/>
            <c:invertIfNegative val="0"/>
            <c:bubble3D val="0"/>
            <c:spPr>
              <a:ln w="19050">
                <a:solidFill>
                  <a:srgbClr val="FFFFFF"/>
                </a:solidFill>
                <a:prstDash val="solid"/>
              </a:ln>
            </c:spPr>
          </c:dPt>
          <c:dPt>
            <c:idx val="3"/>
            <c:invertIfNegative val="0"/>
            <c:bubble3D val="0"/>
            <c:spPr>
              <a:ln w="19050">
                <a:solidFill>
                  <a:srgbClr val="FFFFFF"/>
                </a:solidFill>
                <a:prstDash val="solid"/>
              </a:ln>
            </c:spPr>
          </c:dPt>
          <c:dPt>
            <c:idx val="4"/>
            <c:invertIfNegative val="0"/>
            <c:bubble3D val="0"/>
            <c:spPr>
              <a:ln w="19050">
                <a:solidFill>
                  <a:srgbClr val="FFFFFF"/>
                </a:solidFill>
                <a:prstDash val="solid"/>
              </a:ln>
            </c:spPr>
          </c:dPt>
          <c:dLbls>
            <c:spPr>
              <a:noFill/>
              <a:ln>
                <a:noFill/>
              </a:ln>
            </c:spPr>
            <c:txPr>
              <a:bodyPr vert="horz"/>
              <a:lstStyle/>
              <a:p>
                <a:pPr>
                  <a:defRPr sz="9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(6)'!$A$1:$A$5</c:f>
              <c:strCache>
                <c:ptCount val="5"/>
                <c:pt idx="0">
                  <c:v> </c:v>
                </c:pt>
                <c:pt idx="1">
                  <c:v>社会保障和就业（类）支出</c:v>
                </c:pt>
                <c:pt idx="2">
                  <c:v>住房保障支出（类）</c:v>
                </c:pt>
                <c:pt idx="3">
                  <c:v>城乡社区支出（类）</c:v>
                </c:pt>
              </c:strCache>
            </c:strRef>
          </c:cat>
          <c:val>
            <c:numRef>
              <c:f>'Sheet1 (6)'!$C$1:$C$5</c:f>
              <c:numCache>
                <c:formatCode>General</c:formatCode>
                <c:ptCount val="5"/>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000000"/>
              </a:solidFill>
              <a:latin typeface="Times New Roman"/>
              <a:ea typeface="宋体"/>
              <a:cs typeface="Lucida Sans"/>
            </a:defRPr>
          </a:pPr>
          <a:endParaRPr lang="zh-CN"/>
        </a:p>
      </c:txPr>
      <c:legendEntry>
        <c:idx val="1"/>
        <c:txPr>
          <a:bodyPr/>
          <a:lstStyle/>
          <a:p>
            <a:pPr>
              <a:defRPr sz="900" b="0" i="0" u="none" strike="noStrike" baseline="0">
                <a:solidFill>
                  <a:srgbClr val="000000"/>
                </a:solidFill>
                <a:latin typeface="Times New Roman"/>
                <a:ea typeface="宋体"/>
                <a:cs typeface="Lucida Sans"/>
              </a:defRPr>
            </a:pPr>
            <a:endParaRPr lang="zh-CN"/>
          </a:p>
        </c:txPr>
      </c:legendEntry>
      <c:legendEntry>
        <c:idx val="2"/>
        <c:txPr>
          <a:bodyPr/>
          <a:lstStyle/>
          <a:p>
            <a:pPr>
              <a:defRPr sz="900" b="0" i="0" u="none" strike="noStrike" baseline="0">
                <a:solidFill>
                  <a:srgbClr val="000000"/>
                </a:solidFill>
                <a:latin typeface="Times New Roman"/>
                <a:ea typeface="宋体"/>
                <a:cs typeface="Lucida Sans"/>
              </a:defRPr>
            </a:pPr>
            <a:endParaRPr lang="zh-CN"/>
          </a:p>
        </c:txPr>
      </c:legendEntry>
      <c:legendEntry>
        <c:idx val="3"/>
        <c:txPr>
          <a:bodyPr/>
          <a:lstStyle/>
          <a:p>
            <a:pPr>
              <a:defRPr sz="900" b="0" i="0" u="none" strike="noStrike" baseline="0">
                <a:solidFill>
                  <a:srgbClr val="000000"/>
                </a:solidFill>
                <a:latin typeface="Times New Roman"/>
                <a:ea typeface="宋体"/>
                <a:cs typeface="Lucida Sans"/>
              </a:defRPr>
            </a:pPr>
            <a:endParaRPr lang="zh-CN"/>
          </a:p>
        </c:txPr>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“三公”经费财政拨款支出结构</c:v>
                </c:pt>
              </c:strCache>
            </c:strRef>
          </c:tx>
          <c:spPr>
            <a:solidFill>
              <a:srgbClr val="4F81BD"/>
            </a:solidFill>
          </c:spPr>
          <c:dPt>
            <c:idx val="0"/>
            <c:bubble3D val="0"/>
            <c:spPr>
              <a:gradFill rotWithShape="1">
                <a:gsLst>
                  <a:gs pos="0">
                    <a:srgbClr val="CB6C1D">
                      <a:alpha val="100000"/>
                    </a:srgbClr>
                  </a:gs>
                  <a:gs pos="80000">
                    <a:srgbClr val="FF8F2A">
                      <a:alpha val="100000"/>
                    </a:srgbClr>
                  </a:gs>
                  <a:gs pos="100000">
                    <a:srgbClr val="FF8F26">
                      <a:alpha val="100000"/>
                    </a:srgbClr>
                  </a:gs>
                </a:gsLst>
                <a:lin ang="16200000" scaled="1"/>
              </a:gradFill>
              <a:ln>
                <a:noFill/>
              </a:ln>
              <a:effectLst>
                <a:outerShdw dist="35921" dir="2700000" algn="br">
                  <a:srgbClr val="000000"/>
                </a:outerShdw>
              </a:effectLst>
            </c:spPr>
          </c:dPt>
          <c:dPt>
            <c:idx val="1"/>
            <c:bubble3D val="0"/>
            <c:spPr>
              <a:gradFill rotWithShape="1">
                <a:gsLst>
                  <a:gs pos="0">
                    <a:srgbClr val="2787A0">
                      <a:alpha val="100000"/>
                    </a:srgbClr>
                  </a:gs>
                  <a:gs pos="80000">
                    <a:srgbClr val="36B1D2">
                      <a:alpha val="100000"/>
                    </a:srgbClr>
                  </a:gs>
                  <a:gs pos="100000">
                    <a:srgbClr val="34B3D6">
                      <a:alpha val="100000"/>
                    </a:srgbClr>
                  </a:gs>
                </a:gsLst>
                <a:lin ang="16200000" scaled="1"/>
              </a:gradFill>
              <a:ln>
                <a:noFill/>
              </a:ln>
              <a:effectLst>
                <a:outerShdw dist="35921" dir="2700000" algn="br">
                  <a:srgbClr val="000000"/>
                </a:outerShdw>
              </a:effectLst>
            </c:spPr>
          </c:dPt>
          <c:dPt>
            <c:idx val="2"/>
            <c:bubble3D val="0"/>
            <c:spPr>
              <a:gradFill rotWithShape="1">
                <a:gsLst>
                  <a:gs pos="0">
                    <a:srgbClr val="5D417E">
                      <a:alpha val="100000"/>
                    </a:srgbClr>
                  </a:gs>
                  <a:gs pos="80000">
                    <a:srgbClr val="7B58A6">
                      <a:alpha val="100000"/>
                    </a:srgbClr>
                  </a:gs>
                  <a:gs pos="100000">
                    <a:srgbClr val="7B57A8">
                      <a:alpha val="100000"/>
                    </a:srgbClr>
                  </a:gs>
                </a:gsLst>
                <a:lin ang="16200000" scaled="1"/>
              </a:gradFill>
              <a:ln>
                <a:noFill/>
              </a:ln>
              <a:effectLst>
                <a:outerShdw dist="35921" dir="2700000" algn="br">
                  <a:srgbClr val="000000"/>
                </a:outerShdw>
              </a:effectLst>
            </c:spPr>
          </c:dPt>
          <c:dPt>
            <c:idx val="3"/>
            <c:bubble3D val="0"/>
            <c:spPr>
              <a:gradFill rotWithShape="1">
                <a:gsLst>
                  <a:gs pos="0">
                    <a:srgbClr val="9A3C00">
                      <a:alpha val="100000"/>
                    </a:srgbClr>
                  </a:gs>
                  <a:gs pos="80000">
                    <a:srgbClr val="CA5100">
                      <a:alpha val="100000"/>
                    </a:srgbClr>
                  </a:gs>
                  <a:gs pos="100000">
                    <a:srgbClr val="CF5100">
                      <a:alpha val="100000"/>
                    </a:srgbClr>
                  </a:gs>
                </a:gsLst>
                <a:lin ang="16200000" scaled="1"/>
              </a:gradFill>
              <a:ln>
                <a:noFill/>
              </a:ln>
              <a:effectLst>
                <a:outerShdw dist="35921" dir="2700000" algn="br">
                  <a:srgbClr val="000000"/>
                </a:outerShdw>
              </a:effectLst>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
              <c:idx val="1"/>
              <c:layout>
                <c:manualLayout>
                  <c:x val="0.09562431"/>
                  <c:y val="-0.4967525"/>
                </c:manualLayout>
              </c:layout>
              <c:numFmt formatCode="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1"/>
              <c:showSerName val="0"/>
              <c:showPercent val="1"/>
              <c:showBubbleSize val="0"/>
              <c:separator>
</c:separator>
            </c:dLbl>
            <c:dLbl>
              <c:idx val="2"/>
              <c:layout>
                <c:manualLayout>
                  <c:x val="-0.09187571"/>
                  <c:y val="0.2498525"/>
                </c:manualLayout>
              </c:layout>
              <c:numFmt formatCode="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1"/>
              <c:showSerName val="0"/>
              <c:showPercent val="1"/>
              <c:showBubbleSize val="0"/>
              <c:separator>
</c:separator>
            </c:dLbl>
            <c:dLbl>
              <c:idx val="3"/>
              <c:numFmt formatCode="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inEnd"/>
              <c:delete val="1"/>
            </c:dLbl>
            <c:dLblPos val="inEnd"/>
            <c:showLegendKey val="0"/>
            <c:showVal val="0"/>
            <c:showCatName val="1"/>
            <c:showSerName val="0"/>
            <c:showPercent val="1"/>
            <c:showBubbleSize val="0"/>
            <c:showLeaderLines val="1"/>
          </c:dLbls>
          <c:cat>
            <c:strRef>
              <c:f>'Sheet1 (7)'!$A$2:$A$5</c:f>
              <c:strCache>
                <c:ptCount val="4"/>
                <c:pt idx="0">
                  <c:v>因公出国（境）费支出</c:v>
                </c:pt>
                <c:pt idx="1">
                  <c:v>公务用车购置及运行维护费支出</c:v>
                </c:pt>
                <c:pt idx="2">
                  <c:v>公务接待费支出</c:v>
                </c:pt>
              </c:strCache>
            </c:strRef>
          </c:cat>
          <c:val>
            <c:numRef>
              <c:f>'Sheet1 (7)'!$B$2:$B$5</c:f>
              <c:numCache>
                <c:formatCode>General</c:formatCode>
                <c:ptCount val="4"/>
                <c:pt idx="0">
                  <c:v>0.0</c:v>
                </c:pt>
                <c:pt idx="1">
                  <c:v>0.04</c:v>
                </c:pt>
                <c:pt idx="2">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3"/>
        <c:delete val="1"/>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DE7E982E655F4B0BAA1E02B7B07E7263"/>
        <w:category>
          <w:name w:val="常规"/>
          <w:gallery w:val="placeholder"/>
        </w:category>
        <w:types>
          <w:type w:val="bbPlcHdr"/>
        </w:types>
        <w:behaviors>
          <w:behavior w:val="content"/>
        </w:behaviors>
        <w:guid w:val="{2B3A20AF-7676-4ACF-9D15-2A9B8A162320}"/>
      </w:docPartPr>
      <w:docPartBody>
        <w:p>
          <w:r>
            <w:rPr>
              <w:rStyle w:val="a3"/>
              <w:rFonts w:hint="eastAsia"/>
            </w:rPr>
            <w:t>单击此处输入文字。</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character" w:styleId="a3">
    <w:name w:val="Placeholder Text"/>
    <w:basedOn w:val="10"/>
    <w:rPr>
      <w:color w:val="808080"/>
    </w:rPr>
  </w:style>
</w:styles>
</file>

<file path=docProps/app.xml><?xml version="1.0" encoding="utf-8"?>
<Properties xmlns="http://schemas.openxmlformats.org/officeDocument/2006/extended-properties">
  <Template>Normal.eit</Template>
  <TotalTime>2</TotalTime>
  <Application>Yozo_Office27021597764231179</Application>
  <Pages>16</Pages>
  <Words>4024</Words>
  <Characters>4452</Characters>
  <Lines>298</Lines>
  <Paragraphs>132</Paragraphs>
  <CharactersWithSpaces>4506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42</cp:revision>
  <cp:lastPrinted>2023-07-31T02:35:00Z</cp:lastPrinted>
  <dcterms:created xsi:type="dcterms:W3CDTF">2020-08-05T01:49:00Z</dcterms:created>
  <dcterms:modified xsi:type="dcterms:W3CDTF">2023-09-27T02:08:34Z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2052-11.8.2.8053</vt:lpwstr>
  </property>
</Properties>
</file>