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09" w:rsidRDefault="00CE2A09">
      <w:pPr>
        <w:spacing w:line="600" w:lineRule="exact"/>
        <w:jc w:val="center"/>
        <w:outlineLvl w:val="0"/>
        <w:rPr>
          <w:rFonts w:ascii="方正小标宋简体" w:eastAsia="方正小标宋简体" w:hAnsi="宋体"/>
          <w:sz w:val="72"/>
          <w:szCs w:val="72"/>
        </w:rPr>
      </w:pPr>
      <w:bookmarkStart w:id="0" w:name="_Toc15306267"/>
    </w:p>
    <w:p w:rsidR="00CE2A09" w:rsidRDefault="00CE2A09">
      <w:pPr>
        <w:spacing w:line="600" w:lineRule="exact"/>
        <w:jc w:val="center"/>
        <w:outlineLvl w:val="0"/>
        <w:rPr>
          <w:rFonts w:ascii="方正小标宋简体" w:eastAsia="方正小标宋简体" w:hAnsi="宋体"/>
          <w:sz w:val="72"/>
          <w:szCs w:val="72"/>
        </w:rPr>
      </w:pPr>
    </w:p>
    <w:p w:rsidR="00CE2A09" w:rsidRDefault="00CE2A09">
      <w:pPr>
        <w:spacing w:line="600" w:lineRule="exact"/>
        <w:jc w:val="center"/>
        <w:outlineLvl w:val="0"/>
        <w:rPr>
          <w:rFonts w:ascii="方正小标宋简体" w:eastAsia="方正小标宋简体" w:hAnsi="宋体"/>
          <w:sz w:val="72"/>
          <w:szCs w:val="72"/>
        </w:rPr>
      </w:pPr>
    </w:p>
    <w:p w:rsidR="00CE2A09" w:rsidRDefault="00CE2A09">
      <w:pPr>
        <w:spacing w:line="600" w:lineRule="exact"/>
        <w:jc w:val="center"/>
        <w:outlineLvl w:val="0"/>
        <w:rPr>
          <w:rFonts w:ascii="方正小标宋简体" w:eastAsia="方正小标宋简体" w:hAnsi="宋体"/>
          <w:sz w:val="72"/>
          <w:szCs w:val="72"/>
        </w:rPr>
      </w:pPr>
    </w:p>
    <w:p w:rsidR="00CE2A09" w:rsidRDefault="00CE2A09">
      <w:pPr>
        <w:adjustRightInd w:val="0"/>
        <w:snapToGrid w:val="0"/>
        <w:spacing w:line="360" w:lineRule="auto"/>
        <w:jc w:val="center"/>
        <w:outlineLvl w:val="0"/>
        <w:rPr>
          <w:rFonts w:ascii="方正小标宋简体" w:eastAsia="方正小标宋简体" w:hAnsi="方正小标宋简体"/>
          <w:sz w:val="72"/>
          <w:szCs w:val="72"/>
        </w:rPr>
      </w:pPr>
      <w:bookmarkStart w:id="1" w:name="_Toc15377425"/>
      <w:bookmarkStart w:id="2" w:name="_Toc15378441"/>
      <w:bookmarkStart w:id="3" w:name="_Toc15396475"/>
      <w:bookmarkStart w:id="4" w:name="_Toc15396597"/>
      <w:bookmarkStart w:id="5" w:name="_Toc15377193"/>
      <w:r>
        <w:rPr>
          <w:rFonts w:ascii="方正小标宋简体" w:eastAsia="方正小标宋简体" w:hAnsi="方正小标宋简体" w:cs="方正小标宋简体"/>
          <w:sz w:val="72"/>
          <w:szCs w:val="72"/>
        </w:rPr>
        <w:t>2021</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CE2A09" w:rsidRDefault="00CE2A09">
      <w:pPr>
        <w:adjustRightInd w:val="0"/>
        <w:snapToGrid w:val="0"/>
        <w:spacing w:line="360" w:lineRule="auto"/>
        <w:jc w:val="center"/>
        <w:outlineLvl w:val="0"/>
        <w:rPr>
          <w:rFonts w:ascii="方正小标宋简体" w:eastAsia="方正小标宋简体" w:hAnsi="方正小标宋简体"/>
          <w:sz w:val="72"/>
          <w:szCs w:val="72"/>
        </w:rPr>
      </w:pPr>
      <w:bookmarkStart w:id="6" w:name="_Toc15378442"/>
      <w:bookmarkStart w:id="7" w:name="_Toc15377194"/>
      <w:bookmarkStart w:id="8" w:name="_Toc15377426"/>
      <w:bookmarkStart w:id="9" w:name="_Toc15396476"/>
      <w:bookmarkStart w:id="10" w:name="_Toc15396598"/>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攀枝花市建设工程消防和勘察设计技术中心单位决算</w:t>
      </w:r>
      <w:bookmarkEnd w:id="6"/>
      <w:bookmarkEnd w:id="7"/>
      <w:bookmarkEnd w:id="8"/>
      <w:bookmarkEnd w:id="9"/>
      <w:bookmarkEnd w:id="10"/>
      <w:bookmarkEnd w:id="11"/>
    </w:p>
    <w:p w:rsidR="00CE2A09" w:rsidRDefault="00CE2A09">
      <w:pPr>
        <w:widowControl/>
        <w:jc w:val="center"/>
        <w:rPr>
          <w:rFonts w:ascii="黑体" w:eastAsia="黑体" w:hAnsi="黑体" w:cs="黑体"/>
          <w:sz w:val="48"/>
          <w:szCs w:val="48"/>
        </w:rPr>
        <w:sectPr w:rsidR="00CE2A09">
          <w:headerReference w:type="default" r:id="rId7"/>
          <w:footerReference w:type="default" r:id="rId8"/>
          <w:pgSz w:w="11906" w:h="16838"/>
          <w:pgMar w:top="1440" w:right="1800" w:bottom="1440" w:left="1800" w:header="851" w:footer="992" w:gutter="0"/>
          <w:pgNumType w:start="1"/>
          <w:cols w:space="425"/>
          <w:titlePg/>
          <w:docGrid w:type="lines" w:linePitch="312"/>
        </w:sectPr>
      </w:pPr>
    </w:p>
    <w:p w:rsidR="00CE2A09" w:rsidRDefault="00CE2A09">
      <w:pPr>
        <w:widowControl/>
        <w:jc w:val="center"/>
        <w:rPr>
          <w:rFonts w:ascii="黑体" w:eastAsia="黑体" w:hAnsi="黑体"/>
          <w:sz w:val="48"/>
          <w:szCs w:val="48"/>
        </w:rPr>
      </w:pPr>
      <w:r>
        <w:rPr>
          <w:rFonts w:ascii="黑体" w:eastAsia="黑体" w:hAnsi="黑体" w:cs="黑体" w:hint="eastAsia"/>
          <w:sz w:val="48"/>
          <w:szCs w:val="48"/>
        </w:rPr>
        <w:t>目录</w:t>
      </w:r>
    </w:p>
    <w:p w:rsidR="00CE2A09" w:rsidRDefault="00CE2A09">
      <w:pPr>
        <w:widowControl/>
        <w:jc w:val="center"/>
        <w:rPr>
          <w:rFonts w:ascii="黑体" w:eastAsia="黑体" w:hAnsi="黑体"/>
          <w:sz w:val="28"/>
          <w:szCs w:val="28"/>
        </w:rPr>
      </w:pPr>
    </w:p>
    <w:p w:rsidR="00CE2A09" w:rsidRDefault="00CE2A09">
      <w:pPr>
        <w:pStyle w:val="TOC1"/>
        <w:rPr>
          <w:rFonts w:cs="Times New Roman"/>
        </w:rPr>
      </w:pPr>
      <w:r>
        <w:rPr>
          <w:rFonts w:hint="eastAsia"/>
        </w:rPr>
        <w:t>公开时间：</w:t>
      </w:r>
      <w:r>
        <w:t>2022</w:t>
      </w:r>
      <w:r>
        <w:rPr>
          <w:rFonts w:hint="eastAsia"/>
        </w:rPr>
        <w:t>年</w:t>
      </w:r>
      <w:r>
        <w:t>9</w:t>
      </w:r>
      <w:r>
        <w:rPr>
          <w:rFonts w:hint="eastAsia"/>
        </w:rPr>
        <w:t>月</w:t>
      </w:r>
      <w:r>
        <w:t>14</w:t>
      </w:r>
      <w:r>
        <w:rPr>
          <w:rFonts w:hint="eastAsia"/>
        </w:rPr>
        <w:t>日</w:t>
      </w:r>
    </w:p>
    <w:p w:rsidR="00CE2A09" w:rsidRDefault="00CE2A09"/>
    <w:p w:rsidR="00CE2A09" w:rsidRDefault="00CE2A09">
      <w:pPr>
        <w:pStyle w:val="TOC1"/>
        <w:tabs>
          <w:tab w:val="right" w:leader="dot" w:pos="8834"/>
        </w:tabs>
        <w:spacing w:line="560" w:lineRule="exact"/>
        <w:jc w:val="left"/>
        <w:rPr>
          <w:rFonts w:eastAsia="黑体" w:cs="Times New Roman"/>
          <w:b/>
          <w:bCs/>
          <w:caps/>
          <w:color w:val="000000"/>
        </w:rPr>
      </w:pPr>
      <w:r>
        <w:rPr>
          <w:rFonts w:eastAsia="仿宋_GB2312"/>
          <w:color w:val="000000"/>
        </w:rPr>
        <w:fldChar w:fldCharType="begin"/>
      </w:r>
      <w:r>
        <w:rPr>
          <w:rFonts w:eastAsia="仿宋_GB2312"/>
          <w:color w:val="000000"/>
        </w:rPr>
        <w:instrText xml:space="preserve"> TOC \o "1-2" \h \z \u </w:instrText>
      </w:r>
      <w:r>
        <w:rPr>
          <w:rFonts w:eastAsia="仿宋_GB2312"/>
          <w:color w:val="000000"/>
        </w:rPr>
        <w:fldChar w:fldCharType="separate"/>
      </w:r>
      <w:hyperlink w:anchor="_Toc82085528" w:history="1">
        <w:r>
          <w:rPr>
            <w:rStyle w:val="Hyperlink"/>
            <w:rFonts w:eastAsia="黑体" w:cs="黑体" w:hint="eastAsia"/>
            <w:b/>
            <w:bCs/>
            <w:color w:val="000000"/>
          </w:rPr>
          <w:t>第一部分单位概况</w:t>
        </w:r>
      </w:hyperlink>
      <w:r>
        <w:rPr>
          <w:rFonts w:cs="Times New Roman"/>
        </w:rPr>
        <w:tab/>
      </w:r>
      <w:r>
        <w:t>3</w:t>
      </w:r>
    </w:p>
    <w:p w:rsidR="00CE2A09" w:rsidRDefault="00CE2A09">
      <w:pPr>
        <w:pStyle w:val="TOC2"/>
        <w:tabs>
          <w:tab w:val="right" w:leader="dot" w:pos="8834"/>
        </w:tabs>
        <w:spacing w:line="560" w:lineRule="exact"/>
        <w:ind w:leftChars="100" w:left="210" w:firstLineChars="100" w:firstLine="210"/>
        <w:rPr>
          <w:rFonts w:eastAsia="仿宋_GB2312"/>
          <w:smallCaps/>
          <w:color w:val="000000"/>
          <w:sz w:val="28"/>
          <w:szCs w:val="28"/>
        </w:rPr>
      </w:pPr>
      <w:hyperlink w:anchor="_Toc82085529" w:history="1">
        <w:r>
          <w:rPr>
            <w:rStyle w:val="Hyperlink"/>
            <w:rFonts w:eastAsia="仿宋_GB2312" w:cs="仿宋_GB2312" w:hint="eastAsia"/>
            <w:color w:val="000000"/>
            <w:sz w:val="28"/>
            <w:szCs w:val="28"/>
          </w:rPr>
          <w:t>一、职能简介</w:t>
        </w:r>
        <w:r>
          <w:rPr>
            <w:rFonts w:eastAsia="仿宋_GB2312"/>
            <w:color w:val="000000"/>
            <w:sz w:val="28"/>
            <w:szCs w:val="28"/>
          </w:rPr>
          <w:tab/>
          <w:t>3</w:t>
        </w:r>
      </w:hyperlink>
    </w:p>
    <w:p w:rsidR="00CE2A09" w:rsidRDefault="00CE2A09">
      <w:pPr>
        <w:pStyle w:val="TOC2"/>
        <w:tabs>
          <w:tab w:val="right" w:leader="dot" w:pos="8834"/>
        </w:tabs>
        <w:spacing w:line="560" w:lineRule="exact"/>
        <w:ind w:leftChars="100" w:left="210" w:firstLineChars="100" w:firstLine="210"/>
      </w:pPr>
      <w:hyperlink w:anchor="_Toc82085530" w:history="1">
        <w:r>
          <w:rPr>
            <w:rStyle w:val="Hyperlink"/>
            <w:rFonts w:eastAsia="仿宋_GB2312" w:cs="仿宋_GB2312" w:hint="eastAsia"/>
            <w:color w:val="000000"/>
            <w:sz w:val="28"/>
            <w:szCs w:val="28"/>
          </w:rPr>
          <w:t>二、</w:t>
        </w:r>
        <w:r>
          <w:rPr>
            <w:rStyle w:val="Hyperlink"/>
            <w:rFonts w:eastAsia="仿宋_GB2312"/>
            <w:color w:val="000000"/>
            <w:sz w:val="28"/>
            <w:szCs w:val="28"/>
          </w:rPr>
          <w:t>2021</w:t>
        </w:r>
        <w:r>
          <w:rPr>
            <w:rStyle w:val="Hyperlink"/>
            <w:rFonts w:eastAsia="仿宋_GB2312" w:cs="仿宋_GB2312" w:hint="eastAsia"/>
            <w:color w:val="000000"/>
            <w:sz w:val="28"/>
            <w:szCs w:val="28"/>
          </w:rPr>
          <w:t>年重点工作完成情况</w:t>
        </w:r>
        <w:r>
          <w:rPr>
            <w:rFonts w:eastAsia="仿宋_GB2312"/>
            <w:color w:val="000000"/>
            <w:sz w:val="28"/>
            <w:szCs w:val="28"/>
          </w:rPr>
          <w:tab/>
          <w:t>3</w:t>
        </w:r>
      </w:hyperlink>
    </w:p>
    <w:p w:rsidR="00CE2A09" w:rsidRPr="003E706F" w:rsidRDefault="00CE2A09" w:rsidP="003E706F">
      <w:pPr>
        <w:pStyle w:val="TOC2"/>
        <w:tabs>
          <w:tab w:val="right" w:leader="dot" w:pos="8834"/>
        </w:tabs>
        <w:spacing w:line="560" w:lineRule="exact"/>
        <w:ind w:leftChars="100" w:left="210" w:firstLineChars="100" w:firstLine="210"/>
      </w:pPr>
      <w:hyperlink w:anchor="_Toc82085530" w:history="1">
        <w:r>
          <w:rPr>
            <w:rStyle w:val="Hyperlink"/>
            <w:rFonts w:eastAsia="仿宋_GB2312" w:cs="仿宋_GB2312" w:hint="eastAsia"/>
            <w:color w:val="000000"/>
            <w:sz w:val="28"/>
            <w:szCs w:val="28"/>
          </w:rPr>
          <w:t>三、</w:t>
        </w:r>
        <w:r>
          <w:rPr>
            <w:rStyle w:val="Hyperlink"/>
            <w:rFonts w:eastAsia="仿宋_GB2312" w:hint="eastAsia"/>
            <w:color w:val="000000"/>
            <w:sz w:val="28"/>
            <w:szCs w:val="28"/>
          </w:rPr>
          <w:t>机构设置情况</w:t>
        </w:r>
        <w:r>
          <w:rPr>
            <w:rFonts w:eastAsia="仿宋_GB2312"/>
            <w:color w:val="000000"/>
            <w:sz w:val="28"/>
            <w:szCs w:val="28"/>
          </w:rPr>
          <w:tab/>
          <w:t>4</w:t>
        </w:r>
      </w:hyperlink>
    </w:p>
    <w:p w:rsidR="00CE2A09" w:rsidRDefault="00CE2A09">
      <w:pPr>
        <w:pStyle w:val="TOC1"/>
        <w:tabs>
          <w:tab w:val="right" w:leader="dot" w:pos="8834"/>
        </w:tabs>
        <w:spacing w:line="560" w:lineRule="exact"/>
        <w:jc w:val="left"/>
        <w:rPr>
          <w:rStyle w:val="Hyperlink"/>
          <w:color w:val="000000"/>
        </w:rPr>
      </w:pPr>
      <w:hyperlink w:anchor="_Toc82085531" w:history="1">
        <w:r>
          <w:rPr>
            <w:rStyle w:val="Hyperlink"/>
            <w:rFonts w:eastAsia="黑体" w:cs="黑体" w:hint="eastAsia"/>
            <w:b/>
            <w:bCs/>
            <w:color w:val="000000"/>
          </w:rPr>
          <w:t>第二部分</w:t>
        </w:r>
        <w:r>
          <w:rPr>
            <w:rStyle w:val="Hyperlink"/>
            <w:rFonts w:eastAsia="黑体" w:cs="仿宋"/>
            <w:b/>
            <w:bCs/>
            <w:color w:val="000000"/>
          </w:rPr>
          <w:t xml:space="preserve"> 2021</w:t>
        </w:r>
        <w:r>
          <w:rPr>
            <w:rStyle w:val="Hyperlink"/>
            <w:rFonts w:eastAsia="黑体" w:cs="黑体" w:hint="eastAsia"/>
            <w:b/>
            <w:bCs/>
            <w:color w:val="000000"/>
          </w:rPr>
          <w:t>年度单位决算情况说明</w:t>
        </w:r>
      </w:hyperlink>
      <w:r>
        <w:rPr>
          <w:rFonts w:cs="Times New Roman"/>
        </w:rPr>
        <w:tab/>
      </w:r>
      <w:r>
        <w:t>5</w:t>
      </w:r>
    </w:p>
    <w:p w:rsidR="00CE2A09" w:rsidRDefault="00CE2A09">
      <w:pPr>
        <w:pStyle w:val="TOC2"/>
        <w:tabs>
          <w:tab w:val="right" w:leader="dot" w:pos="8834"/>
        </w:tabs>
        <w:spacing w:line="560" w:lineRule="exact"/>
        <w:rPr>
          <w:rFonts w:eastAsia="仿宋_GB2312"/>
          <w:smallCaps/>
          <w:color w:val="000000"/>
          <w:sz w:val="28"/>
          <w:szCs w:val="28"/>
        </w:rPr>
      </w:pPr>
      <w:hyperlink w:anchor="_Toc82085532" w:history="1">
        <w:r>
          <w:rPr>
            <w:rStyle w:val="Hyperlink"/>
            <w:rFonts w:eastAsia="仿宋_GB2312" w:cs="仿宋_GB2312" w:hint="eastAsia"/>
            <w:color w:val="000000"/>
            <w:sz w:val="28"/>
            <w:szCs w:val="28"/>
          </w:rPr>
          <w:t>一、收入支出决算总体情况说明</w:t>
        </w:r>
        <w:r>
          <w:rPr>
            <w:rFonts w:eastAsia="仿宋_GB2312"/>
            <w:color w:val="000000"/>
            <w:sz w:val="28"/>
            <w:szCs w:val="28"/>
          </w:rPr>
          <w:tab/>
          <w:t>5</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33" w:history="1">
        <w:r>
          <w:rPr>
            <w:rStyle w:val="Hyperlink"/>
            <w:rFonts w:eastAsia="仿宋_GB2312" w:cs="仿宋_GB2312" w:hint="eastAsia"/>
            <w:color w:val="000000"/>
            <w:sz w:val="28"/>
            <w:szCs w:val="28"/>
          </w:rPr>
          <w:t>二、收入决算情况说明</w:t>
        </w:r>
        <w:r>
          <w:rPr>
            <w:rFonts w:eastAsia="仿宋_GB2312"/>
            <w:color w:val="000000"/>
            <w:sz w:val="28"/>
            <w:szCs w:val="28"/>
          </w:rPr>
          <w:tab/>
          <w:t>5</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34" w:history="1">
        <w:r>
          <w:rPr>
            <w:rStyle w:val="Hyperlink"/>
            <w:rFonts w:eastAsia="仿宋_GB2312" w:cs="仿宋_GB2312" w:hint="eastAsia"/>
            <w:color w:val="000000"/>
            <w:sz w:val="28"/>
            <w:szCs w:val="28"/>
          </w:rPr>
          <w:t>三、支出决算情况说明</w:t>
        </w:r>
        <w:r>
          <w:rPr>
            <w:rFonts w:eastAsia="仿宋_GB2312"/>
            <w:color w:val="000000"/>
            <w:sz w:val="28"/>
            <w:szCs w:val="28"/>
          </w:rPr>
          <w:tab/>
          <w:t>6</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35" w:history="1">
        <w:r>
          <w:rPr>
            <w:rStyle w:val="Hyperlink"/>
            <w:rFonts w:eastAsia="仿宋_GB2312" w:cs="仿宋_GB2312" w:hint="eastAsia"/>
            <w:color w:val="000000"/>
            <w:sz w:val="28"/>
            <w:szCs w:val="28"/>
          </w:rPr>
          <w:t>四、财政拨款收入支出决算总体情况说明</w:t>
        </w:r>
        <w:r>
          <w:rPr>
            <w:rFonts w:eastAsia="仿宋_GB2312"/>
            <w:color w:val="000000"/>
            <w:sz w:val="28"/>
            <w:szCs w:val="28"/>
          </w:rPr>
          <w:tab/>
          <w:t>7</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36" w:history="1">
        <w:r>
          <w:rPr>
            <w:rStyle w:val="Hyperlink"/>
            <w:rFonts w:eastAsia="仿宋_GB2312" w:cs="仿宋_GB2312" w:hint="eastAsia"/>
            <w:color w:val="000000"/>
            <w:sz w:val="28"/>
            <w:szCs w:val="28"/>
          </w:rPr>
          <w:t>五、一般公共预算财政拨款支出决算情况说明</w:t>
        </w:r>
        <w:r>
          <w:rPr>
            <w:rFonts w:eastAsia="仿宋_GB2312"/>
            <w:color w:val="000000"/>
            <w:sz w:val="28"/>
            <w:szCs w:val="28"/>
          </w:rPr>
          <w:tab/>
          <w:t>7</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37" w:history="1">
        <w:r>
          <w:rPr>
            <w:rStyle w:val="Hyperlink"/>
            <w:rFonts w:eastAsia="仿宋_GB2312" w:cs="仿宋_GB2312" w:hint="eastAsia"/>
            <w:color w:val="000000"/>
            <w:sz w:val="28"/>
            <w:szCs w:val="28"/>
          </w:rPr>
          <w:t>六、一般公共预算财政拨款基本支出决算情况说明</w:t>
        </w:r>
        <w:r>
          <w:rPr>
            <w:rFonts w:eastAsia="仿宋_GB2312"/>
            <w:color w:val="000000"/>
            <w:sz w:val="28"/>
            <w:szCs w:val="28"/>
          </w:rPr>
          <w:tab/>
          <w:t>10</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38" w:history="1">
        <w:r>
          <w:rPr>
            <w:rStyle w:val="Hyperlink"/>
            <w:rFonts w:eastAsia="仿宋_GB2312" w:cs="仿宋_GB2312" w:hint="eastAsia"/>
            <w:color w:val="000000"/>
            <w:sz w:val="28"/>
            <w:szCs w:val="28"/>
          </w:rPr>
          <w:t>七、“三公”经费财政拨款支出决算情况说明</w:t>
        </w:r>
        <w:r>
          <w:rPr>
            <w:rFonts w:eastAsia="仿宋_GB2312"/>
            <w:color w:val="000000"/>
            <w:sz w:val="28"/>
            <w:szCs w:val="28"/>
          </w:rPr>
          <w:tab/>
        </w:r>
      </w:hyperlink>
      <w:r>
        <w:rPr>
          <w:rFonts w:eastAsia="仿宋_GB2312"/>
          <w:color w:val="000000"/>
          <w:sz w:val="28"/>
          <w:szCs w:val="28"/>
        </w:rPr>
        <w:t>10</w:t>
      </w:r>
    </w:p>
    <w:p w:rsidR="00CE2A09" w:rsidRDefault="00CE2A09">
      <w:pPr>
        <w:pStyle w:val="TOC2"/>
        <w:tabs>
          <w:tab w:val="right" w:leader="dot" w:pos="8834"/>
        </w:tabs>
        <w:spacing w:line="560" w:lineRule="exact"/>
        <w:rPr>
          <w:rFonts w:eastAsia="仿宋_GB2312"/>
        </w:rPr>
      </w:pPr>
      <w:hyperlink w:anchor="_Toc82085539" w:history="1">
        <w:r>
          <w:rPr>
            <w:rStyle w:val="Hyperlink"/>
            <w:rFonts w:eastAsia="仿宋_GB2312" w:cs="仿宋_GB2312" w:hint="eastAsia"/>
            <w:color w:val="000000"/>
            <w:sz w:val="28"/>
            <w:szCs w:val="28"/>
          </w:rPr>
          <w:t>八、政府性基金预算支出决算情况说明</w:t>
        </w:r>
        <w:r>
          <w:rPr>
            <w:rFonts w:eastAsia="仿宋_GB2312"/>
            <w:color w:val="000000"/>
            <w:sz w:val="28"/>
            <w:szCs w:val="28"/>
          </w:rPr>
          <w:tab/>
          <w:t>1</w:t>
        </w:r>
      </w:hyperlink>
      <w:r>
        <w:rPr>
          <w:rFonts w:eastAsia="仿宋_GB2312"/>
          <w:color w:val="000000"/>
          <w:sz w:val="28"/>
          <w:szCs w:val="28"/>
        </w:rPr>
        <w:t>1</w:t>
      </w:r>
    </w:p>
    <w:p w:rsidR="00CE2A09" w:rsidRDefault="00CE2A09">
      <w:pPr>
        <w:pStyle w:val="TOC2"/>
        <w:tabs>
          <w:tab w:val="right" w:leader="dot" w:pos="8834"/>
        </w:tabs>
        <w:spacing w:line="560" w:lineRule="exact"/>
        <w:rPr>
          <w:rFonts w:eastAsia="仿宋_GB2312"/>
        </w:rPr>
      </w:pPr>
      <w:hyperlink w:anchor="_Toc82085540" w:history="1">
        <w:r>
          <w:rPr>
            <w:rStyle w:val="Hyperlink"/>
            <w:rFonts w:eastAsia="仿宋_GB2312" w:cs="仿宋_GB2312" w:hint="eastAsia"/>
            <w:color w:val="000000"/>
            <w:sz w:val="28"/>
            <w:szCs w:val="28"/>
          </w:rPr>
          <w:t>九、国有资本经营预算支出决算情况说明</w:t>
        </w:r>
        <w:r>
          <w:rPr>
            <w:rFonts w:eastAsia="仿宋_GB2312"/>
            <w:color w:val="000000"/>
            <w:sz w:val="28"/>
            <w:szCs w:val="28"/>
          </w:rPr>
          <w:tab/>
          <w:t>1</w:t>
        </w:r>
      </w:hyperlink>
      <w:r>
        <w:rPr>
          <w:rFonts w:eastAsia="仿宋_GB2312"/>
          <w:color w:val="000000"/>
          <w:sz w:val="28"/>
          <w:szCs w:val="28"/>
        </w:rPr>
        <w:t>1</w:t>
      </w:r>
    </w:p>
    <w:p w:rsidR="00CE2A09" w:rsidRDefault="00CE2A09">
      <w:pPr>
        <w:pStyle w:val="TOC2"/>
        <w:tabs>
          <w:tab w:val="right" w:leader="dot" w:pos="8834"/>
        </w:tabs>
        <w:spacing w:line="560" w:lineRule="exact"/>
        <w:rPr>
          <w:rFonts w:eastAsia="仿宋_GB2312"/>
        </w:rPr>
      </w:pPr>
      <w:hyperlink w:anchor="_Toc82085540" w:history="1">
        <w:r>
          <w:rPr>
            <w:rStyle w:val="Hyperlink"/>
            <w:rFonts w:eastAsia="仿宋_GB2312" w:cs="仿宋_GB2312" w:hint="eastAsia"/>
            <w:color w:val="000000"/>
            <w:sz w:val="28"/>
            <w:szCs w:val="28"/>
          </w:rPr>
          <w:t>十、其他重要事项的情况说明</w:t>
        </w:r>
        <w:r>
          <w:rPr>
            <w:rFonts w:eastAsia="仿宋_GB2312"/>
            <w:color w:val="000000"/>
            <w:sz w:val="28"/>
            <w:szCs w:val="28"/>
          </w:rPr>
          <w:tab/>
          <w:t>1</w:t>
        </w:r>
      </w:hyperlink>
      <w:r>
        <w:rPr>
          <w:rFonts w:eastAsia="仿宋_GB2312"/>
          <w:color w:val="000000"/>
          <w:sz w:val="28"/>
          <w:szCs w:val="28"/>
        </w:rPr>
        <w:t>2</w:t>
      </w:r>
    </w:p>
    <w:p w:rsidR="00CE2A09" w:rsidRDefault="00CE2A09">
      <w:pPr>
        <w:pStyle w:val="TOC1"/>
        <w:tabs>
          <w:tab w:val="right" w:leader="dot" w:pos="8834"/>
        </w:tabs>
        <w:spacing w:line="560" w:lineRule="exact"/>
        <w:jc w:val="left"/>
        <w:rPr>
          <w:rStyle w:val="Hyperlink"/>
          <w:color w:val="000000"/>
        </w:rPr>
      </w:pPr>
      <w:hyperlink w:anchor="_Toc82085541" w:history="1">
        <w:r>
          <w:rPr>
            <w:rStyle w:val="Hyperlink"/>
            <w:rFonts w:eastAsia="黑体" w:cs="黑体" w:hint="eastAsia"/>
            <w:b/>
            <w:bCs/>
            <w:color w:val="000000"/>
          </w:rPr>
          <w:t>第三部分名词解释</w:t>
        </w:r>
      </w:hyperlink>
      <w:r>
        <w:rPr>
          <w:rFonts w:cs="Times New Roman"/>
        </w:rPr>
        <w:tab/>
      </w:r>
      <w:r>
        <w:t>14</w:t>
      </w:r>
    </w:p>
    <w:p w:rsidR="00CE2A09" w:rsidRDefault="00CE2A09">
      <w:pPr>
        <w:pStyle w:val="TOC1"/>
        <w:tabs>
          <w:tab w:val="right" w:leader="dot" w:pos="8834"/>
        </w:tabs>
        <w:spacing w:line="560" w:lineRule="exact"/>
        <w:jc w:val="left"/>
        <w:rPr>
          <w:rStyle w:val="Hyperlink"/>
          <w:color w:val="000000"/>
        </w:rPr>
      </w:pPr>
      <w:hyperlink w:anchor="_Toc82085542" w:history="1">
        <w:r>
          <w:rPr>
            <w:rStyle w:val="Hyperlink"/>
            <w:rFonts w:eastAsia="黑体" w:cs="黑体" w:hint="eastAsia"/>
            <w:b/>
            <w:bCs/>
            <w:color w:val="000000"/>
          </w:rPr>
          <w:t>第四部分附件</w:t>
        </w:r>
      </w:hyperlink>
      <w:r>
        <w:rPr>
          <w:rFonts w:cs="Times New Roman"/>
        </w:rPr>
        <w:tab/>
      </w:r>
      <w:r>
        <w:t>16</w:t>
      </w:r>
    </w:p>
    <w:p w:rsidR="00CE2A09" w:rsidRDefault="00CE2A09">
      <w:pPr>
        <w:pStyle w:val="TOC1"/>
        <w:tabs>
          <w:tab w:val="right" w:leader="dot" w:pos="8834"/>
        </w:tabs>
        <w:spacing w:line="560" w:lineRule="exact"/>
        <w:jc w:val="left"/>
        <w:rPr>
          <w:rStyle w:val="Hyperlink"/>
          <w:color w:val="000000"/>
        </w:rPr>
      </w:pPr>
      <w:hyperlink w:anchor="_Toc82085545" w:history="1">
        <w:r>
          <w:rPr>
            <w:rStyle w:val="Hyperlink"/>
            <w:rFonts w:eastAsia="黑体" w:cs="黑体" w:hint="eastAsia"/>
            <w:b/>
            <w:bCs/>
            <w:color w:val="000000"/>
          </w:rPr>
          <w:t>第五部分附表</w:t>
        </w:r>
      </w:hyperlink>
      <w:r>
        <w:rPr>
          <w:rFonts w:cs="Times New Roman"/>
        </w:rPr>
        <w:tab/>
      </w:r>
      <w:r>
        <w:t>18</w:t>
      </w:r>
    </w:p>
    <w:p w:rsidR="00CE2A09" w:rsidRDefault="00CE2A09">
      <w:pPr>
        <w:pStyle w:val="TOC2"/>
        <w:tabs>
          <w:tab w:val="right" w:leader="dot" w:pos="8834"/>
        </w:tabs>
        <w:spacing w:line="560" w:lineRule="exact"/>
        <w:rPr>
          <w:rFonts w:eastAsia="仿宋_GB2312"/>
          <w:smallCaps/>
          <w:color w:val="000000"/>
          <w:sz w:val="28"/>
          <w:szCs w:val="28"/>
        </w:rPr>
      </w:pPr>
      <w:hyperlink w:anchor="_Toc82085546" w:history="1">
        <w:r>
          <w:rPr>
            <w:rStyle w:val="Hyperlink"/>
            <w:rFonts w:eastAsia="仿宋_GB2312" w:cs="仿宋_GB2312" w:hint="eastAsia"/>
            <w:color w:val="000000"/>
            <w:sz w:val="28"/>
            <w:szCs w:val="28"/>
          </w:rPr>
          <w:t>一、收入支出决算总表</w:t>
        </w:r>
        <w:r>
          <w:rPr>
            <w:rFonts w:eastAsia="仿宋_GB2312"/>
            <w:color w:val="000000"/>
            <w:sz w:val="28"/>
            <w:szCs w:val="28"/>
          </w:rPr>
          <w:tab/>
          <w:t>18</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47" w:history="1">
        <w:r>
          <w:rPr>
            <w:rStyle w:val="Hyperlink"/>
            <w:rFonts w:eastAsia="仿宋_GB2312" w:cs="仿宋_GB2312" w:hint="eastAsia"/>
            <w:color w:val="000000"/>
            <w:sz w:val="28"/>
            <w:szCs w:val="28"/>
          </w:rPr>
          <w:t>二、收入决算表</w:t>
        </w:r>
        <w:r>
          <w:rPr>
            <w:rFonts w:eastAsia="仿宋_GB2312"/>
            <w:color w:val="000000"/>
            <w:sz w:val="28"/>
            <w:szCs w:val="28"/>
          </w:rPr>
          <w:tab/>
          <w:t>18</w:t>
        </w:r>
      </w:hyperlink>
    </w:p>
    <w:p w:rsidR="00CE2A09" w:rsidRPr="003E706F" w:rsidRDefault="00CE2A09" w:rsidP="003E706F">
      <w:pPr>
        <w:pStyle w:val="TOC2"/>
        <w:tabs>
          <w:tab w:val="right" w:leader="dot" w:pos="8834"/>
        </w:tabs>
        <w:spacing w:line="560" w:lineRule="exact"/>
        <w:ind w:leftChars="0" w:left="0" w:firstLineChars="200" w:firstLine="420"/>
        <w:rPr>
          <w:rFonts w:eastAsia="仿宋_GB2312"/>
          <w:smallCaps/>
          <w:color w:val="000000"/>
          <w:sz w:val="28"/>
          <w:szCs w:val="28"/>
        </w:rPr>
      </w:pPr>
      <w:hyperlink w:anchor="_Toc82085549" w:history="1">
        <w:r>
          <w:rPr>
            <w:rStyle w:val="Hyperlink"/>
            <w:rFonts w:eastAsia="仿宋_GB2312" w:cs="仿宋_GB2312" w:hint="eastAsia"/>
            <w:color w:val="000000"/>
            <w:sz w:val="28"/>
            <w:szCs w:val="28"/>
          </w:rPr>
          <w:t>三、支出决算表</w:t>
        </w:r>
        <w:r>
          <w:rPr>
            <w:rFonts w:eastAsia="仿宋_GB2312"/>
            <w:color w:val="000000"/>
            <w:sz w:val="28"/>
            <w:szCs w:val="28"/>
          </w:rPr>
          <w:tab/>
          <w:t>18</w:t>
        </w:r>
      </w:hyperlink>
    </w:p>
    <w:p w:rsidR="00CE2A09" w:rsidRDefault="00CE2A09" w:rsidP="003E706F">
      <w:pPr>
        <w:pStyle w:val="TOC2"/>
        <w:tabs>
          <w:tab w:val="right" w:leader="dot" w:pos="8834"/>
        </w:tabs>
        <w:spacing w:line="560" w:lineRule="exact"/>
        <w:ind w:leftChars="0" w:left="0" w:firstLineChars="200" w:firstLine="420"/>
        <w:rPr>
          <w:rFonts w:eastAsia="仿宋_GB2312"/>
          <w:smallCaps/>
          <w:color w:val="000000"/>
          <w:sz w:val="28"/>
          <w:szCs w:val="28"/>
        </w:rPr>
      </w:pPr>
      <w:hyperlink w:anchor="_Toc82085549" w:history="1">
        <w:r>
          <w:rPr>
            <w:rStyle w:val="Hyperlink"/>
            <w:rFonts w:eastAsia="仿宋_GB2312" w:cs="仿宋_GB2312" w:hint="eastAsia"/>
            <w:color w:val="000000"/>
            <w:sz w:val="28"/>
            <w:szCs w:val="28"/>
          </w:rPr>
          <w:t>四、财政拨款收入支出决算总表</w:t>
        </w:r>
        <w:r>
          <w:rPr>
            <w:rFonts w:eastAsia="仿宋_GB2312"/>
            <w:color w:val="000000"/>
            <w:sz w:val="28"/>
            <w:szCs w:val="28"/>
          </w:rPr>
          <w:tab/>
          <w:t>18</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50" w:history="1">
        <w:r>
          <w:rPr>
            <w:rStyle w:val="Hyperlink"/>
            <w:rFonts w:eastAsia="仿宋_GB2312" w:cs="仿宋_GB2312" w:hint="eastAsia"/>
            <w:color w:val="000000"/>
            <w:sz w:val="28"/>
            <w:szCs w:val="28"/>
          </w:rPr>
          <w:t>五、财政拨款支出决算明细表</w:t>
        </w:r>
        <w:r>
          <w:rPr>
            <w:rFonts w:eastAsia="仿宋_GB2312"/>
            <w:color w:val="000000"/>
            <w:sz w:val="28"/>
            <w:szCs w:val="28"/>
          </w:rPr>
          <w:tab/>
          <w:t>18</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51" w:history="1">
        <w:r>
          <w:rPr>
            <w:rStyle w:val="Hyperlink"/>
            <w:rFonts w:eastAsia="仿宋_GB2312" w:cs="仿宋_GB2312" w:hint="eastAsia"/>
            <w:color w:val="000000"/>
            <w:sz w:val="28"/>
            <w:szCs w:val="28"/>
          </w:rPr>
          <w:t>六、一般公共预算财政拨款支出决算表</w:t>
        </w:r>
        <w:r>
          <w:rPr>
            <w:rFonts w:eastAsia="仿宋_GB2312"/>
            <w:color w:val="000000"/>
            <w:sz w:val="28"/>
            <w:szCs w:val="28"/>
          </w:rPr>
          <w:tab/>
          <w:t>18</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52" w:history="1">
        <w:r>
          <w:rPr>
            <w:rStyle w:val="Hyperlink"/>
            <w:rFonts w:eastAsia="仿宋_GB2312" w:cs="仿宋_GB2312" w:hint="eastAsia"/>
            <w:color w:val="000000"/>
            <w:sz w:val="28"/>
            <w:szCs w:val="28"/>
          </w:rPr>
          <w:t>七、一般公共预算财政拨款支出决算明细表</w:t>
        </w:r>
        <w:r>
          <w:rPr>
            <w:rFonts w:eastAsia="仿宋_GB2312"/>
            <w:color w:val="000000"/>
            <w:sz w:val="28"/>
            <w:szCs w:val="28"/>
          </w:rPr>
          <w:tab/>
          <w:t>18</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53" w:history="1">
        <w:r>
          <w:rPr>
            <w:rStyle w:val="Hyperlink"/>
            <w:rFonts w:eastAsia="仿宋_GB2312" w:cs="仿宋_GB2312" w:hint="eastAsia"/>
            <w:color w:val="000000"/>
            <w:sz w:val="28"/>
            <w:szCs w:val="28"/>
          </w:rPr>
          <w:t>八、一般公共预算财政拨款基本支出决算表</w:t>
        </w:r>
        <w:r>
          <w:rPr>
            <w:rFonts w:eastAsia="仿宋_GB2312"/>
            <w:color w:val="000000"/>
            <w:sz w:val="28"/>
            <w:szCs w:val="28"/>
          </w:rPr>
          <w:tab/>
          <w:t>18</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54" w:history="1">
        <w:r>
          <w:rPr>
            <w:rStyle w:val="Hyperlink"/>
            <w:rFonts w:eastAsia="仿宋_GB2312" w:cs="仿宋_GB2312" w:hint="eastAsia"/>
            <w:color w:val="000000"/>
            <w:sz w:val="28"/>
            <w:szCs w:val="28"/>
          </w:rPr>
          <w:t>九、一般公共预算财政拨款项目支出决算表</w:t>
        </w:r>
        <w:r>
          <w:rPr>
            <w:rFonts w:eastAsia="仿宋_GB2312"/>
            <w:color w:val="000000"/>
            <w:sz w:val="28"/>
            <w:szCs w:val="28"/>
          </w:rPr>
          <w:tab/>
          <w:t>18</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55" w:history="1">
        <w:r>
          <w:rPr>
            <w:rStyle w:val="Hyperlink"/>
            <w:rFonts w:eastAsia="仿宋_GB2312" w:cs="仿宋_GB2312" w:hint="eastAsia"/>
            <w:color w:val="000000"/>
            <w:sz w:val="28"/>
            <w:szCs w:val="28"/>
          </w:rPr>
          <w:t>十、一般公共预算财政拨款“三公”经费支出决算表</w:t>
        </w:r>
        <w:r>
          <w:rPr>
            <w:rFonts w:eastAsia="仿宋_GB2312"/>
            <w:color w:val="000000"/>
            <w:sz w:val="28"/>
            <w:szCs w:val="28"/>
          </w:rPr>
          <w:tab/>
          <w:t>18</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56" w:history="1">
        <w:r>
          <w:rPr>
            <w:rStyle w:val="Hyperlink"/>
            <w:rFonts w:eastAsia="仿宋_GB2312" w:cs="仿宋_GB2312" w:hint="eastAsia"/>
            <w:color w:val="000000"/>
            <w:sz w:val="28"/>
            <w:szCs w:val="28"/>
          </w:rPr>
          <w:t>十一、政府性基金预算财政拨款收入支出决算表</w:t>
        </w:r>
        <w:r>
          <w:rPr>
            <w:rFonts w:eastAsia="仿宋_GB2312"/>
            <w:color w:val="000000"/>
            <w:sz w:val="28"/>
            <w:szCs w:val="28"/>
          </w:rPr>
          <w:tab/>
          <w:t>18</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57" w:history="1">
        <w:r>
          <w:rPr>
            <w:rStyle w:val="Hyperlink"/>
            <w:rFonts w:eastAsia="仿宋_GB2312" w:cs="仿宋_GB2312" w:hint="eastAsia"/>
            <w:color w:val="000000"/>
            <w:sz w:val="28"/>
            <w:szCs w:val="28"/>
          </w:rPr>
          <w:t>十二、政府性基金预算财政拨款“三公”经费支出决算表</w:t>
        </w:r>
        <w:r>
          <w:rPr>
            <w:rFonts w:eastAsia="仿宋_GB2312"/>
            <w:color w:val="000000"/>
            <w:sz w:val="28"/>
            <w:szCs w:val="28"/>
          </w:rPr>
          <w:tab/>
          <w:t>18</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58" w:history="1">
        <w:r>
          <w:rPr>
            <w:rStyle w:val="Hyperlink"/>
            <w:rFonts w:eastAsia="仿宋_GB2312" w:cs="仿宋_GB2312" w:hint="eastAsia"/>
            <w:color w:val="000000"/>
            <w:sz w:val="28"/>
            <w:szCs w:val="28"/>
          </w:rPr>
          <w:t>十三、国有资本经营预算财政拨款收入支出决算表</w:t>
        </w:r>
        <w:r>
          <w:rPr>
            <w:rFonts w:eastAsia="仿宋_GB2312"/>
            <w:color w:val="000000"/>
            <w:sz w:val="28"/>
            <w:szCs w:val="28"/>
          </w:rPr>
          <w:tab/>
          <w:t>18</w:t>
        </w:r>
      </w:hyperlink>
    </w:p>
    <w:p w:rsidR="00CE2A09" w:rsidRDefault="00CE2A09">
      <w:pPr>
        <w:pStyle w:val="TOC2"/>
        <w:tabs>
          <w:tab w:val="right" w:leader="dot" w:pos="8834"/>
        </w:tabs>
        <w:spacing w:line="560" w:lineRule="exact"/>
        <w:rPr>
          <w:rFonts w:eastAsia="仿宋_GB2312"/>
          <w:smallCaps/>
          <w:color w:val="000000"/>
          <w:sz w:val="28"/>
          <w:szCs w:val="28"/>
        </w:rPr>
      </w:pPr>
      <w:hyperlink w:anchor="_Toc82085559" w:history="1">
        <w:r>
          <w:rPr>
            <w:rStyle w:val="Hyperlink"/>
            <w:rFonts w:eastAsia="仿宋_GB2312" w:cs="仿宋_GB2312" w:hint="eastAsia"/>
            <w:color w:val="000000"/>
            <w:sz w:val="28"/>
            <w:szCs w:val="28"/>
          </w:rPr>
          <w:t>十四、国有资本经营预算财政拨款支出决算表</w:t>
        </w:r>
        <w:r>
          <w:rPr>
            <w:rFonts w:eastAsia="仿宋_GB2312"/>
            <w:color w:val="000000"/>
            <w:sz w:val="28"/>
            <w:szCs w:val="28"/>
          </w:rPr>
          <w:tab/>
          <w:t>19</w:t>
        </w:r>
      </w:hyperlink>
    </w:p>
    <w:p w:rsidR="00CE2A09" w:rsidRPr="003E706F" w:rsidRDefault="00CE2A09" w:rsidP="003E706F">
      <w:pPr>
        <w:pStyle w:val="TOC2"/>
        <w:tabs>
          <w:tab w:val="right" w:leader="dot" w:pos="8834"/>
        </w:tabs>
        <w:spacing w:line="560" w:lineRule="exact"/>
        <w:rPr>
          <w:rFonts w:eastAsia="仿宋_GB2312"/>
          <w:smallCaps/>
          <w:color w:val="000000"/>
          <w:sz w:val="28"/>
          <w:szCs w:val="28"/>
        </w:rPr>
        <w:sectPr w:rsidR="00CE2A09" w:rsidRPr="003E706F">
          <w:footerReference w:type="default" r:id="rId9"/>
          <w:footerReference w:type="first" r:id="rId10"/>
          <w:pgSz w:w="11906" w:h="16838"/>
          <w:pgMar w:top="1440" w:right="1800" w:bottom="1440" w:left="1800" w:header="851" w:footer="992" w:gutter="0"/>
          <w:pgNumType w:start="1"/>
          <w:cols w:space="425"/>
          <w:titlePg/>
          <w:docGrid w:type="lines" w:linePitch="312"/>
        </w:sectPr>
      </w:pPr>
      <w:r>
        <w:rPr>
          <w:rFonts w:eastAsia="仿宋_GB2312"/>
          <w:color w:val="000000"/>
        </w:rPr>
        <w:fldChar w:fldCharType="end"/>
      </w:r>
      <w:r w:rsidRPr="003E706F">
        <w:rPr>
          <w:rFonts w:eastAsia="仿宋_GB2312"/>
          <w:smallCaps/>
          <w:color w:val="000000"/>
          <w:sz w:val="28"/>
          <w:szCs w:val="28"/>
        </w:rPr>
        <w:t xml:space="preserve"> </w:t>
      </w:r>
    </w:p>
    <w:p w:rsidR="00CE2A09" w:rsidRDefault="00CE2A09" w:rsidP="004659D7">
      <w:pPr>
        <w:pStyle w:val="BodyText"/>
        <w:spacing w:before="93"/>
      </w:pPr>
      <w:bookmarkStart w:id="12" w:name="_GoBack"/>
      <w:bookmarkStart w:id="13" w:name="_Toc15377196"/>
      <w:bookmarkStart w:id="14" w:name="_Toc15396599"/>
      <w:bookmarkEnd w:id="12"/>
    </w:p>
    <w:p w:rsidR="00CE2A09" w:rsidRDefault="00CE2A09">
      <w:pPr>
        <w:pStyle w:val="Heading1"/>
        <w:jc w:val="center"/>
        <w:rPr>
          <w:rStyle w:val="Heading1Char"/>
          <w:rFonts w:ascii="黑体" w:eastAsia="黑体" w:hAnsi="黑体"/>
          <w:b/>
          <w:bCs/>
        </w:rPr>
      </w:pPr>
      <w:r>
        <w:rPr>
          <w:rFonts w:ascii="黑体" w:eastAsia="黑体" w:hAnsi="黑体" w:cs="黑体" w:hint="eastAsia"/>
          <w:b w:val="0"/>
          <w:bCs w:val="0"/>
        </w:rPr>
        <w:t>第一部分</w:t>
      </w:r>
      <w:r>
        <w:rPr>
          <w:rFonts w:ascii="黑体" w:eastAsia="黑体" w:hAnsi="黑体" w:cs="黑体"/>
          <w:b w:val="0"/>
          <w:bCs w:val="0"/>
        </w:rPr>
        <w:t xml:space="preserve"> </w:t>
      </w:r>
      <w:r>
        <w:rPr>
          <w:rFonts w:ascii="黑体" w:eastAsia="黑体" w:hAnsi="黑体" w:cs="黑体" w:hint="eastAsia"/>
          <w:b w:val="0"/>
          <w:bCs w:val="0"/>
        </w:rPr>
        <w:t>单位</w:t>
      </w:r>
      <w:r>
        <w:rPr>
          <w:rStyle w:val="Heading1Char"/>
          <w:rFonts w:ascii="黑体" w:eastAsia="黑体" w:hAnsi="黑体" w:cs="黑体" w:hint="eastAsia"/>
        </w:rPr>
        <w:t>概况</w:t>
      </w:r>
      <w:bookmarkEnd w:id="13"/>
      <w:bookmarkEnd w:id="14"/>
    </w:p>
    <w:p w:rsidR="00CE2A09" w:rsidRPr="00604F87" w:rsidRDefault="00CE2A09" w:rsidP="00604F87">
      <w:pPr>
        <w:pStyle w:val="BodyText"/>
        <w:spacing w:before="93"/>
      </w:pPr>
    </w:p>
    <w:p w:rsidR="00CE2A09" w:rsidRDefault="00CE2A09">
      <w:pPr>
        <w:pStyle w:val="Heading2"/>
        <w:rPr>
          <w:rStyle w:val="Heading2Char"/>
          <w:rFonts w:ascii="黑体" w:eastAsia="黑体" w:hAnsi="黑体" w:cs="Times New Roman"/>
        </w:rPr>
      </w:pPr>
      <w:bookmarkStart w:id="15" w:name="_Toc15396600"/>
      <w:bookmarkStart w:id="16" w:name="_Toc15377197"/>
      <w:r>
        <w:rPr>
          <w:rStyle w:val="Heading2Char"/>
          <w:rFonts w:ascii="黑体" w:eastAsia="黑体" w:hAnsi="黑体" w:cs="黑体" w:hint="eastAsia"/>
        </w:rPr>
        <w:t>一、职能简介</w:t>
      </w:r>
    </w:p>
    <w:p w:rsidR="00CE2A09" w:rsidRDefault="00CE2A09">
      <w:pPr>
        <w:ind w:firstLineChars="200" w:firstLine="640"/>
        <w:rPr>
          <w:rFonts w:ascii="仿宋" w:eastAsia="仿宋" w:hAnsi="仿宋"/>
          <w:sz w:val="32"/>
          <w:szCs w:val="32"/>
        </w:rPr>
      </w:pPr>
      <w:r>
        <w:rPr>
          <w:rFonts w:ascii="仿宋" w:eastAsia="仿宋" w:hAnsi="仿宋" w:cs="仿宋" w:hint="eastAsia"/>
          <w:sz w:val="32"/>
          <w:szCs w:val="32"/>
        </w:rPr>
        <w:t>攀枝花市建设工程消防和勘察设计技术中心是攀枝花市住房和城乡建设局所属的公益一类事业单位，工作职责是为全市建设工程勘察设计和建设工程消防设计审查等提供技术服务，为全市建筑抗震设防、勘察设计文件质量和房屋安全检查、鉴定和事故调查、认定等提供技术支持，负责全市建设工程技术专家库管理工作；组织完成年度工作任务和上级交办的其他工作任务。</w:t>
      </w:r>
    </w:p>
    <w:p w:rsidR="00CE2A09" w:rsidRDefault="00CE2A09">
      <w:pPr>
        <w:pStyle w:val="Heading2"/>
        <w:rPr>
          <w:rFonts w:ascii="黑体" w:eastAsia="黑体" w:hAnsi="黑体" w:cs="Times New Roman"/>
          <w:b w:val="0"/>
          <w:bCs w:val="0"/>
        </w:rPr>
      </w:pPr>
      <w:r>
        <w:rPr>
          <w:rFonts w:ascii="黑体" w:eastAsia="黑体" w:hAnsi="黑体" w:cs="黑体" w:hint="eastAsia"/>
        </w:rPr>
        <w:t>二、</w:t>
      </w:r>
      <w:r>
        <w:rPr>
          <w:rFonts w:ascii="黑体" w:eastAsia="黑体" w:hAnsi="黑体" w:cs="黑体"/>
          <w:b w:val="0"/>
          <w:bCs w:val="0"/>
        </w:rPr>
        <w:t>2021</w:t>
      </w:r>
      <w:r>
        <w:rPr>
          <w:rFonts w:ascii="黑体" w:eastAsia="黑体" w:hAnsi="黑体" w:cs="黑体" w:hint="eastAsia"/>
          <w:b w:val="0"/>
          <w:bCs w:val="0"/>
        </w:rPr>
        <w:t>年重点工作</w:t>
      </w:r>
      <w:bookmarkEnd w:id="15"/>
      <w:bookmarkEnd w:id="16"/>
      <w:r>
        <w:rPr>
          <w:rFonts w:ascii="黑体" w:eastAsia="黑体" w:hAnsi="黑体" w:cs="黑体" w:hint="eastAsia"/>
          <w:b w:val="0"/>
          <w:bCs w:val="0"/>
        </w:rPr>
        <w:t>完成情况</w:t>
      </w:r>
    </w:p>
    <w:p w:rsidR="00CE2A09" w:rsidRDefault="00CE2A09">
      <w:pPr>
        <w:pStyle w:val="BodyText"/>
        <w:adjustRightInd w:val="0"/>
        <w:snapToGrid w:val="0"/>
        <w:spacing w:before="93" w:line="600" w:lineRule="exact"/>
        <w:ind w:firstLineChars="210" w:firstLine="672"/>
        <w:outlineLvl w:val="2"/>
        <w:rPr>
          <w:rFonts w:ascii="仿宋" w:eastAsia="仿宋" w:hAnsi="仿宋" w:cs="仿宋"/>
          <w:kern w:val="2"/>
          <w:sz w:val="32"/>
          <w:szCs w:val="32"/>
        </w:rPr>
      </w:pPr>
      <w:r>
        <w:rPr>
          <w:rFonts w:ascii="仿宋" w:eastAsia="仿宋" w:hAnsi="仿宋" w:cs="仿宋"/>
          <w:kern w:val="2"/>
          <w:sz w:val="32"/>
          <w:szCs w:val="32"/>
        </w:rPr>
        <w:t>2021</w:t>
      </w:r>
      <w:r>
        <w:rPr>
          <w:rFonts w:ascii="仿宋" w:eastAsia="仿宋" w:hAnsi="仿宋" w:cs="仿宋" w:hint="eastAsia"/>
          <w:kern w:val="2"/>
          <w:sz w:val="32"/>
          <w:szCs w:val="32"/>
        </w:rPr>
        <w:t>年全年行政事业性收费</w:t>
      </w:r>
      <w:r>
        <w:rPr>
          <w:rFonts w:ascii="仿宋" w:eastAsia="仿宋" w:hAnsi="仿宋" w:cs="仿宋"/>
          <w:kern w:val="2"/>
          <w:sz w:val="32"/>
          <w:szCs w:val="32"/>
        </w:rPr>
        <w:t>307</w:t>
      </w:r>
      <w:r>
        <w:rPr>
          <w:rFonts w:ascii="仿宋" w:eastAsia="仿宋" w:hAnsi="仿宋" w:cs="仿宋" w:hint="eastAsia"/>
          <w:kern w:val="2"/>
          <w:sz w:val="32"/>
          <w:szCs w:val="32"/>
        </w:rPr>
        <w:t>万元，完成</w:t>
      </w:r>
      <w:r>
        <w:rPr>
          <w:rFonts w:ascii="仿宋" w:eastAsia="仿宋" w:hAnsi="仿宋" w:cs="仿宋"/>
          <w:kern w:val="2"/>
          <w:sz w:val="32"/>
          <w:szCs w:val="32"/>
        </w:rPr>
        <w:t>87</w:t>
      </w:r>
      <w:r>
        <w:rPr>
          <w:rFonts w:ascii="仿宋" w:eastAsia="仿宋" w:hAnsi="仿宋" w:cs="仿宋" w:hint="eastAsia"/>
          <w:kern w:val="2"/>
          <w:sz w:val="32"/>
          <w:szCs w:val="32"/>
        </w:rPr>
        <w:t>个工程施工图审查；</w:t>
      </w:r>
      <w:r>
        <w:rPr>
          <w:rFonts w:ascii="仿宋" w:eastAsia="仿宋" w:hAnsi="仿宋" w:cs="仿宋"/>
          <w:kern w:val="2"/>
          <w:sz w:val="32"/>
          <w:szCs w:val="32"/>
        </w:rPr>
        <w:t>17</w:t>
      </w:r>
      <w:r>
        <w:rPr>
          <w:rFonts w:ascii="仿宋" w:eastAsia="仿宋" w:hAnsi="仿宋" w:cs="仿宋" w:hint="eastAsia"/>
          <w:kern w:val="2"/>
          <w:sz w:val="32"/>
          <w:szCs w:val="32"/>
        </w:rPr>
        <w:t>个特殊建设工程消防设计审查。按照工作计划完成项目论证实施工作，及时、迅速送达图纸，保障年度论证工作顺利完成，建设工程施工图审查工作严格把关，使我市勘察设计质量保持稳定，有效避免安全隐患和质量事故的发生。</w:t>
      </w:r>
    </w:p>
    <w:p w:rsidR="00CE2A09" w:rsidRPr="000D5633" w:rsidRDefault="00CE2A09" w:rsidP="004E28C9">
      <w:pPr>
        <w:pStyle w:val="Heading2"/>
        <w:rPr>
          <w:rFonts w:ascii="黑体" w:eastAsia="黑体" w:hAnsi="黑体" w:cs="黑体"/>
          <w:b w:val="0"/>
        </w:rPr>
      </w:pPr>
      <w:bookmarkStart w:id="17" w:name="_Toc15377200"/>
      <w:bookmarkStart w:id="18" w:name="_Toc15396601"/>
      <w:r w:rsidRPr="000D5633">
        <w:rPr>
          <w:rFonts w:ascii="黑体" w:eastAsia="黑体" w:hAnsi="黑体" w:cs="黑体" w:hint="eastAsia"/>
          <w:b w:val="0"/>
        </w:rPr>
        <w:t>三、机构设置</w:t>
      </w:r>
      <w:bookmarkEnd w:id="17"/>
      <w:bookmarkEnd w:id="18"/>
    </w:p>
    <w:p w:rsidR="00CE2A09" w:rsidRPr="004200F7" w:rsidRDefault="00CE2A09" w:rsidP="000D5633">
      <w:pPr>
        <w:pStyle w:val="BodyText"/>
        <w:adjustRightInd w:val="0"/>
        <w:spacing w:before="93" w:line="580" w:lineRule="exact"/>
        <w:ind w:firstLineChars="210" w:firstLine="672"/>
        <w:rPr>
          <w:rFonts w:ascii="Times New Roman" w:cs="仿宋_GB2312"/>
          <w:sz w:val="32"/>
          <w:szCs w:val="32"/>
        </w:rPr>
      </w:pPr>
      <w:r w:rsidRPr="004200F7">
        <w:rPr>
          <w:rFonts w:ascii="Times New Roman" w:cs="仿宋_GB2312" w:hint="eastAsia"/>
          <w:sz w:val="32"/>
          <w:szCs w:val="32"/>
        </w:rPr>
        <w:t>攀枝花市建设工程消防和勘察设计技术中心为攀枝花市住房和城乡建设局所属的公益一类事业单位。</w:t>
      </w:r>
    </w:p>
    <w:p w:rsidR="00CE2A09" w:rsidRPr="000D5633" w:rsidRDefault="00CE2A09">
      <w:pPr>
        <w:pStyle w:val="BodyText"/>
        <w:adjustRightInd w:val="0"/>
        <w:snapToGrid w:val="0"/>
        <w:spacing w:before="93" w:line="600" w:lineRule="exact"/>
        <w:ind w:firstLineChars="210" w:firstLine="672"/>
        <w:outlineLvl w:val="2"/>
        <w:rPr>
          <w:rFonts w:ascii="仿宋" w:eastAsia="仿宋" w:hAnsi="仿宋"/>
          <w:kern w:val="2"/>
          <w:sz w:val="32"/>
          <w:szCs w:val="32"/>
        </w:rPr>
      </w:pPr>
    </w:p>
    <w:p w:rsidR="00CE2A09" w:rsidRDefault="00CE2A09">
      <w:pPr>
        <w:pStyle w:val="BodyText"/>
        <w:adjustRightInd w:val="0"/>
        <w:snapToGrid w:val="0"/>
        <w:spacing w:before="93" w:line="600" w:lineRule="exact"/>
        <w:ind w:firstLineChars="210" w:firstLine="672"/>
        <w:outlineLvl w:val="2"/>
        <w:rPr>
          <w:rFonts w:ascii="仿宋" w:eastAsia="仿宋" w:hAnsi="仿宋"/>
          <w:kern w:val="2"/>
          <w:sz w:val="32"/>
          <w:szCs w:val="32"/>
        </w:rPr>
      </w:pPr>
    </w:p>
    <w:p w:rsidR="00CE2A09" w:rsidRDefault="00CE2A09">
      <w:pPr>
        <w:pStyle w:val="Heading1"/>
        <w:ind w:right="440"/>
        <w:jc w:val="center"/>
        <w:rPr>
          <w:rFonts w:ascii="黑体" w:eastAsia="黑体" w:hAnsi="黑体" w:cs="黑体"/>
          <w:b w:val="0"/>
          <w:bCs w:val="0"/>
        </w:rPr>
      </w:pPr>
      <w:bookmarkStart w:id="19" w:name="_Toc15396602"/>
      <w:bookmarkStart w:id="20" w:name="_Toc15377204"/>
    </w:p>
    <w:p w:rsidR="00CE2A09" w:rsidRPr="00604F87" w:rsidRDefault="00CE2A09" w:rsidP="00604F87">
      <w:pPr>
        <w:pStyle w:val="BodyText"/>
        <w:spacing w:before="93"/>
      </w:pPr>
      <w:r>
        <w:rPr>
          <w:rFonts w:ascii="黑体" w:eastAsia="黑体" w:hAnsi="黑体" w:cs="黑体"/>
          <w:b/>
          <w:bCs/>
        </w:rPr>
        <w:br w:type="page"/>
      </w:r>
    </w:p>
    <w:p w:rsidR="00CE2A09" w:rsidRPr="0084634F" w:rsidRDefault="00CE2A09" w:rsidP="0084634F">
      <w:pPr>
        <w:pStyle w:val="Heading1"/>
        <w:jc w:val="center"/>
        <w:rPr>
          <w:rFonts w:ascii="黑体" w:eastAsia="黑体" w:hAnsi="黑体" w:cs="黑体"/>
          <w:b w:val="0"/>
          <w:bCs w:val="0"/>
        </w:rPr>
      </w:pPr>
      <w:r w:rsidRPr="0084634F">
        <w:rPr>
          <w:rFonts w:ascii="黑体" w:eastAsia="黑体" w:hAnsi="黑体" w:cs="黑体" w:hint="eastAsia"/>
          <w:b w:val="0"/>
          <w:bCs w:val="0"/>
        </w:rPr>
        <w:t>第二部分</w:t>
      </w:r>
      <w:r w:rsidRPr="0084634F">
        <w:rPr>
          <w:rFonts w:ascii="黑体" w:eastAsia="黑体" w:hAnsi="黑体" w:cs="黑体"/>
          <w:b w:val="0"/>
          <w:bCs w:val="0"/>
        </w:rPr>
        <w:t xml:space="preserve"> 2021</w:t>
      </w:r>
      <w:r w:rsidRPr="0084634F">
        <w:rPr>
          <w:rFonts w:ascii="黑体" w:eastAsia="黑体" w:hAnsi="黑体" w:cs="黑体" w:hint="eastAsia"/>
          <w:b w:val="0"/>
          <w:bCs w:val="0"/>
        </w:rPr>
        <w:t>年度单位决算情况说明</w:t>
      </w:r>
      <w:bookmarkEnd w:id="19"/>
      <w:bookmarkEnd w:id="20"/>
    </w:p>
    <w:p w:rsidR="00CE2A09" w:rsidRDefault="00CE2A09" w:rsidP="00604F87">
      <w:pPr>
        <w:pStyle w:val="BodyText"/>
        <w:spacing w:before="93"/>
      </w:pPr>
    </w:p>
    <w:p w:rsidR="00CE2A09" w:rsidRDefault="00CE2A09">
      <w:pPr>
        <w:pStyle w:val="ListParagraph"/>
        <w:numPr>
          <w:ilvl w:val="0"/>
          <w:numId w:val="1"/>
        </w:numPr>
        <w:spacing w:line="600" w:lineRule="exact"/>
        <w:ind w:firstLineChars="0"/>
        <w:outlineLvl w:val="1"/>
        <w:rPr>
          <w:rStyle w:val="Heading2Char"/>
          <w:rFonts w:ascii="黑体" w:eastAsia="黑体" w:hAnsi="黑体" w:cs="Times New Roman"/>
          <w:b w:val="0"/>
          <w:bCs w:val="0"/>
        </w:rPr>
      </w:pPr>
      <w:bookmarkStart w:id="21" w:name="_Toc15377205"/>
      <w:bookmarkStart w:id="22" w:name="_Toc15396603"/>
      <w:r>
        <w:rPr>
          <w:rFonts w:ascii="黑体" w:eastAsia="黑体" w:hAnsi="黑体" w:cs="黑体" w:hint="eastAsia"/>
          <w:sz w:val="32"/>
          <w:szCs w:val="32"/>
        </w:rPr>
        <w:t>收</w:t>
      </w:r>
      <w:r>
        <w:rPr>
          <w:rStyle w:val="Heading2Char"/>
          <w:rFonts w:ascii="黑体" w:eastAsia="黑体" w:hAnsi="黑体" w:cs="黑体" w:hint="eastAsia"/>
          <w:b w:val="0"/>
          <w:bCs w:val="0"/>
        </w:rPr>
        <w:t>入支出决算总体情况说明</w:t>
      </w:r>
      <w:bookmarkEnd w:id="21"/>
      <w:bookmarkEnd w:id="22"/>
    </w:p>
    <w:p w:rsidR="00CE2A09" w:rsidRDefault="00CE2A09">
      <w:pPr>
        <w:spacing w:line="600" w:lineRule="exact"/>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年度收、支总计</w:t>
      </w:r>
      <w:r>
        <w:rPr>
          <w:rFonts w:ascii="仿宋" w:eastAsia="仿宋" w:hAnsi="仿宋" w:cs="仿宋"/>
          <w:sz w:val="32"/>
          <w:szCs w:val="32"/>
        </w:rPr>
        <w:t>351.37</w:t>
      </w:r>
      <w:r>
        <w:rPr>
          <w:rFonts w:ascii="仿宋" w:eastAsia="仿宋" w:hAnsi="仿宋" w:cs="仿宋" w:hint="eastAsia"/>
          <w:sz w:val="32"/>
          <w:szCs w:val="32"/>
        </w:rPr>
        <w:t>万元。与</w:t>
      </w:r>
      <w:r>
        <w:rPr>
          <w:rFonts w:ascii="仿宋" w:eastAsia="仿宋" w:hAnsi="仿宋" w:cs="仿宋"/>
          <w:sz w:val="32"/>
          <w:szCs w:val="32"/>
        </w:rPr>
        <w:t>2020</w:t>
      </w:r>
      <w:r>
        <w:rPr>
          <w:rFonts w:ascii="仿宋" w:eastAsia="仿宋" w:hAnsi="仿宋" w:cs="仿宋" w:hint="eastAsia"/>
          <w:sz w:val="32"/>
          <w:szCs w:val="32"/>
        </w:rPr>
        <w:t>年相比，收、支总计各减少</w:t>
      </w:r>
      <w:r>
        <w:rPr>
          <w:rFonts w:ascii="仿宋" w:eastAsia="仿宋" w:hAnsi="仿宋" w:cs="仿宋"/>
          <w:sz w:val="32"/>
          <w:szCs w:val="32"/>
        </w:rPr>
        <w:t>69.22</w:t>
      </w:r>
      <w:r>
        <w:rPr>
          <w:rFonts w:ascii="仿宋" w:eastAsia="仿宋" w:hAnsi="仿宋" w:cs="仿宋" w:hint="eastAsia"/>
          <w:sz w:val="32"/>
          <w:szCs w:val="32"/>
        </w:rPr>
        <w:t>万元，下降</w:t>
      </w:r>
      <w:r>
        <w:rPr>
          <w:rFonts w:ascii="仿宋" w:eastAsia="仿宋" w:hAnsi="仿宋" w:cs="仿宋"/>
          <w:sz w:val="32"/>
          <w:szCs w:val="32"/>
        </w:rPr>
        <w:t>16%</w:t>
      </w:r>
      <w:r>
        <w:rPr>
          <w:rFonts w:ascii="仿宋" w:eastAsia="仿宋" w:hAnsi="仿宋" w:cs="仿宋" w:hint="eastAsia"/>
          <w:sz w:val="32"/>
          <w:szCs w:val="32"/>
        </w:rPr>
        <w:t>。主要变动原因是</w:t>
      </w:r>
      <w:r>
        <w:rPr>
          <w:rFonts w:ascii="仿宋" w:eastAsia="仿宋" w:hAnsi="仿宋" w:cs="仿宋"/>
          <w:sz w:val="32"/>
          <w:szCs w:val="32"/>
        </w:rPr>
        <w:t>2021</w:t>
      </w:r>
      <w:r>
        <w:rPr>
          <w:rFonts w:ascii="仿宋" w:eastAsia="仿宋" w:hAnsi="仿宋" w:cs="仿宋" w:hint="eastAsia"/>
          <w:sz w:val="32"/>
          <w:szCs w:val="32"/>
        </w:rPr>
        <w:t>年非税征管成本减少。</w:t>
      </w:r>
    </w:p>
    <w:p w:rsidR="00CE2A09" w:rsidRDefault="00CE2A09">
      <w:pPr>
        <w:pStyle w:val="BodyText"/>
        <w:spacing w:before="93"/>
        <w:jc w:val="center"/>
      </w:pPr>
      <w:r>
        <w:object w:dxaOrig="7320" w:dyaOrig="4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22pt" o:ole="">
            <v:imagedata r:id="rId11" o:title=""/>
          </v:shape>
          <o:OLEObject Type="Embed" ProgID="Excel.Sheet.8" ShapeID="_x0000_i1025" DrawAspect="Content" ObjectID="_1757146442" r:id="rId12"/>
        </w:object>
      </w:r>
    </w:p>
    <w:p w:rsidR="00CE2A09" w:rsidRDefault="00CE2A09">
      <w:pPr>
        <w:spacing w:line="600" w:lineRule="exact"/>
        <w:jc w:val="center"/>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1</w:t>
      </w:r>
      <w:r>
        <w:rPr>
          <w:rFonts w:ascii="仿宋" w:eastAsia="仿宋" w:hAnsi="仿宋" w:cs="仿宋" w:hint="eastAsia"/>
          <w:sz w:val="32"/>
          <w:szCs w:val="32"/>
        </w:rPr>
        <w:t>：收、支决算总计变动情况图</w:t>
      </w:r>
      <w:r>
        <w:rPr>
          <w:rFonts w:ascii="仿宋" w:eastAsia="仿宋" w:hAnsi="仿宋" w:cs="仿宋"/>
          <w:sz w:val="32"/>
          <w:szCs w:val="32"/>
        </w:rPr>
        <w:t xml:space="preserve"> </w:t>
      </w:r>
      <w:r>
        <w:rPr>
          <w:rFonts w:ascii="仿宋" w:eastAsia="仿宋" w:hAnsi="仿宋" w:cs="仿宋" w:hint="eastAsia"/>
          <w:sz w:val="32"/>
          <w:szCs w:val="32"/>
        </w:rPr>
        <w:t>单位：万元</w:t>
      </w:r>
    </w:p>
    <w:p w:rsidR="00CE2A09" w:rsidRDefault="00CE2A09">
      <w:pPr>
        <w:pStyle w:val="ListParagraph"/>
        <w:numPr>
          <w:ilvl w:val="0"/>
          <w:numId w:val="1"/>
        </w:numPr>
        <w:spacing w:line="600" w:lineRule="exact"/>
        <w:ind w:firstLineChars="0"/>
        <w:outlineLvl w:val="1"/>
        <w:rPr>
          <w:rStyle w:val="Heading2Char"/>
          <w:rFonts w:ascii="黑体" w:eastAsia="黑体" w:hAnsi="黑体" w:cs="Times New Roman"/>
          <w:b w:val="0"/>
          <w:bCs w:val="0"/>
        </w:rPr>
      </w:pPr>
      <w:bookmarkStart w:id="23" w:name="_Toc15377206"/>
      <w:bookmarkStart w:id="24" w:name="_Toc15396604"/>
      <w:r>
        <w:rPr>
          <w:rFonts w:ascii="黑体" w:eastAsia="黑体" w:hAnsi="黑体" w:cs="黑体" w:hint="eastAsia"/>
          <w:sz w:val="32"/>
          <w:szCs w:val="32"/>
        </w:rPr>
        <w:t>收</w:t>
      </w:r>
      <w:r>
        <w:rPr>
          <w:rStyle w:val="Heading2Char"/>
          <w:rFonts w:ascii="黑体" w:eastAsia="黑体" w:hAnsi="黑体" w:cs="黑体" w:hint="eastAsia"/>
          <w:b w:val="0"/>
          <w:bCs w:val="0"/>
        </w:rPr>
        <w:t>入决算情况说明</w:t>
      </w:r>
      <w:bookmarkEnd w:id="23"/>
      <w:bookmarkEnd w:id="24"/>
    </w:p>
    <w:p w:rsidR="00CE2A09" w:rsidRDefault="00CE2A09">
      <w:pPr>
        <w:spacing w:line="600" w:lineRule="exact"/>
        <w:ind w:firstLineChars="200" w:firstLine="640"/>
        <w:outlineLvl w:val="1"/>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年本年收入合计</w:t>
      </w:r>
      <w:r>
        <w:rPr>
          <w:rFonts w:ascii="仿宋" w:eastAsia="仿宋" w:hAnsi="仿宋" w:cs="仿宋"/>
          <w:sz w:val="32"/>
          <w:szCs w:val="32"/>
        </w:rPr>
        <w:t>351.37</w:t>
      </w:r>
      <w:r>
        <w:rPr>
          <w:rFonts w:ascii="仿宋" w:eastAsia="仿宋" w:hAnsi="仿宋" w:cs="仿宋" w:hint="eastAsia"/>
          <w:sz w:val="32"/>
          <w:szCs w:val="32"/>
        </w:rPr>
        <w:t>万元，其中：一般公共预算财政拨款收入</w:t>
      </w:r>
      <w:r>
        <w:rPr>
          <w:rFonts w:ascii="仿宋" w:eastAsia="仿宋" w:hAnsi="仿宋" w:cs="仿宋"/>
          <w:sz w:val="32"/>
          <w:szCs w:val="32"/>
        </w:rPr>
        <w:t>351.37</w:t>
      </w:r>
      <w:r>
        <w:rPr>
          <w:rFonts w:ascii="仿宋" w:eastAsia="仿宋" w:hAnsi="仿宋" w:cs="仿宋" w:hint="eastAsia"/>
          <w:sz w:val="32"/>
          <w:szCs w:val="32"/>
        </w:rPr>
        <w:t>万元，占</w:t>
      </w:r>
      <w:r>
        <w:rPr>
          <w:rFonts w:ascii="仿宋" w:eastAsia="仿宋" w:hAnsi="仿宋" w:cs="仿宋"/>
          <w:sz w:val="32"/>
          <w:szCs w:val="32"/>
        </w:rPr>
        <w:t>100%</w:t>
      </w:r>
      <w:r>
        <w:rPr>
          <w:rFonts w:ascii="仿宋" w:eastAsia="仿宋" w:hAnsi="仿宋" w:cs="仿宋" w:hint="eastAsia"/>
          <w:sz w:val="32"/>
          <w:szCs w:val="32"/>
        </w:rPr>
        <w:t>；政府性基金预算财政拨款收入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；国有资本经营预算财政拨款收入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；上级补助收入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；事业收入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；经营收入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；附属单位上缴收入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；其他收入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w:t>
      </w:r>
    </w:p>
    <w:p w:rsidR="00CE2A09" w:rsidRDefault="00CE2A09">
      <w:pPr>
        <w:pStyle w:val="BodyText"/>
        <w:spacing w:before="93"/>
        <w:jc w:val="center"/>
      </w:pPr>
      <w:r w:rsidRPr="00CA483A">
        <w:rPr>
          <w:noProof/>
        </w:rPr>
        <w:pict>
          <v:shape id="图片 2" o:spid="_x0000_i1026" type="#_x0000_t75" style="width:5in;height:3in;visibility:visible">
            <v:imagedata r:id="rId13" o:title=""/>
          </v:shape>
        </w:pict>
      </w:r>
    </w:p>
    <w:p w:rsidR="00CE2A09" w:rsidRDefault="00CE2A09">
      <w:pPr>
        <w:spacing w:line="600" w:lineRule="exact"/>
        <w:jc w:val="center"/>
        <w:rPr>
          <w:rFonts w:ascii="仿宋_GB2312" w:eastAsia="仿宋_GB2312"/>
          <w:sz w:val="32"/>
          <w:szCs w:val="32"/>
        </w:rPr>
      </w:pPr>
      <w:r>
        <w:rPr>
          <w:rFonts w:ascii="仿宋" w:eastAsia="仿宋" w:hAnsi="仿宋" w:cs="仿宋" w:hint="eastAsia"/>
          <w:sz w:val="32"/>
          <w:szCs w:val="32"/>
        </w:rPr>
        <w:t>图</w:t>
      </w:r>
      <w:r>
        <w:rPr>
          <w:rFonts w:ascii="仿宋" w:eastAsia="仿宋" w:hAnsi="仿宋" w:cs="仿宋"/>
          <w:sz w:val="32"/>
          <w:szCs w:val="32"/>
        </w:rPr>
        <w:t>2</w:t>
      </w:r>
      <w:r>
        <w:rPr>
          <w:rFonts w:ascii="仿宋" w:eastAsia="仿宋" w:hAnsi="仿宋" w:cs="仿宋" w:hint="eastAsia"/>
          <w:sz w:val="32"/>
          <w:szCs w:val="32"/>
        </w:rPr>
        <w:t>：收入决算结构图</w:t>
      </w:r>
    </w:p>
    <w:p w:rsidR="00CE2A09" w:rsidRDefault="00CE2A09">
      <w:pPr>
        <w:pStyle w:val="ListParagraph"/>
        <w:numPr>
          <w:ilvl w:val="0"/>
          <w:numId w:val="1"/>
        </w:numPr>
        <w:spacing w:line="600" w:lineRule="exact"/>
        <w:ind w:firstLineChars="0"/>
        <w:outlineLvl w:val="1"/>
        <w:rPr>
          <w:rStyle w:val="Heading2Char"/>
          <w:rFonts w:ascii="黑体" w:eastAsia="黑体" w:hAnsi="黑体" w:cs="Times New Roman"/>
          <w:b w:val="0"/>
          <w:bCs w:val="0"/>
        </w:rPr>
      </w:pPr>
      <w:bookmarkStart w:id="25" w:name="_Toc15377207"/>
      <w:bookmarkStart w:id="26" w:name="_Toc15396605"/>
      <w:r>
        <w:rPr>
          <w:rFonts w:ascii="黑体" w:eastAsia="黑体" w:hAnsi="黑体" w:cs="黑体" w:hint="eastAsia"/>
          <w:sz w:val="32"/>
          <w:szCs w:val="32"/>
        </w:rPr>
        <w:t>支</w:t>
      </w:r>
      <w:r>
        <w:rPr>
          <w:rStyle w:val="Heading2Char"/>
          <w:rFonts w:ascii="黑体" w:eastAsia="黑体" w:hAnsi="黑体" w:cs="黑体" w:hint="eastAsia"/>
          <w:b w:val="0"/>
          <w:bCs w:val="0"/>
        </w:rPr>
        <w:t>出决算情况说明</w:t>
      </w:r>
      <w:bookmarkEnd w:id="25"/>
      <w:bookmarkEnd w:id="26"/>
    </w:p>
    <w:p w:rsidR="00CE2A09" w:rsidRPr="00995F9C" w:rsidRDefault="00CE2A09" w:rsidP="00995F9C">
      <w:pPr>
        <w:spacing w:line="600" w:lineRule="exact"/>
        <w:ind w:firstLineChars="200" w:firstLine="640"/>
        <w:rPr>
          <w:rFonts w:ascii="仿宋" w:eastAsia="仿宋" w:hAnsi="仿宋" w:cs="仿宋"/>
          <w:sz w:val="32"/>
          <w:szCs w:val="32"/>
        </w:rPr>
      </w:pPr>
      <w:r w:rsidRPr="00995F9C">
        <w:rPr>
          <w:rFonts w:ascii="仿宋" w:eastAsia="仿宋" w:hAnsi="仿宋" w:cs="仿宋"/>
          <w:sz w:val="32"/>
          <w:szCs w:val="32"/>
        </w:rPr>
        <w:t>2021</w:t>
      </w:r>
      <w:r w:rsidRPr="00995F9C">
        <w:rPr>
          <w:rFonts w:ascii="仿宋" w:eastAsia="仿宋" w:hAnsi="仿宋" w:cs="仿宋" w:hint="eastAsia"/>
          <w:sz w:val="32"/>
          <w:szCs w:val="32"/>
        </w:rPr>
        <w:t>年本年支出合计</w:t>
      </w:r>
      <w:r w:rsidRPr="00995F9C">
        <w:rPr>
          <w:rFonts w:ascii="仿宋" w:eastAsia="仿宋" w:hAnsi="仿宋" w:cs="仿宋"/>
          <w:sz w:val="32"/>
          <w:szCs w:val="32"/>
        </w:rPr>
        <w:t>351.37</w:t>
      </w:r>
      <w:r w:rsidRPr="00995F9C">
        <w:rPr>
          <w:rFonts w:ascii="仿宋" w:eastAsia="仿宋" w:hAnsi="仿宋" w:cs="仿宋" w:hint="eastAsia"/>
          <w:sz w:val="32"/>
          <w:szCs w:val="32"/>
        </w:rPr>
        <w:t>万元，其中：基本支出</w:t>
      </w:r>
      <w:r w:rsidRPr="00995F9C">
        <w:rPr>
          <w:rFonts w:ascii="仿宋" w:eastAsia="仿宋" w:hAnsi="仿宋" w:cs="仿宋"/>
          <w:sz w:val="32"/>
          <w:szCs w:val="32"/>
        </w:rPr>
        <w:t>93.1</w:t>
      </w:r>
      <w:r w:rsidRPr="00995F9C">
        <w:rPr>
          <w:rFonts w:ascii="仿宋" w:eastAsia="仿宋" w:hAnsi="仿宋" w:cs="仿宋" w:hint="eastAsia"/>
          <w:sz w:val="32"/>
          <w:szCs w:val="32"/>
        </w:rPr>
        <w:t>万元，占</w:t>
      </w:r>
      <w:r w:rsidRPr="00995F9C">
        <w:rPr>
          <w:rFonts w:ascii="仿宋" w:eastAsia="仿宋" w:hAnsi="仿宋" w:cs="仿宋"/>
          <w:sz w:val="32"/>
          <w:szCs w:val="32"/>
        </w:rPr>
        <w:t>26.5%</w:t>
      </w:r>
      <w:r w:rsidRPr="00995F9C">
        <w:rPr>
          <w:rFonts w:ascii="仿宋" w:eastAsia="仿宋" w:hAnsi="仿宋" w:cs="仿宋" w:hint="eastAsia"/>
          <w:sz w:val="32"/>
          <w:szCs w:val="32"/>
        </w:rPr>
        <w:t>；项目支出</w:t>
      </w:r>
      <w:r w:rsidRPr="00995F9C">
        <w:rPr>
          <w:rFonts w:ascii="仿宋" w:eastAsia="仿宋" w:hAnsi="仿宋" w:cs="仿宋"/>
          <w:sz w:val="32"/>
          <w:szCs w:val="32"/>
        </w:rPr>
        <w:t>258.27</w:t>
      </w:r>
      <w:r w:rsidRPr="00995F9C">
        <w:rPr>
          <w:rFonts w:ascii="仿宋" w:eastAsia="仿宋" w:hAnsi="仿宋" w:cs="仿宋" w:hint="eastAsia"/>
          <w:sz w:val="32"/>
          <w:szCs w:val="32"/>
        </w:rPr>
        <w:t>万元，占</w:t>
      </w:r>
      <w:r w:rsidRPr="00995F9C">
        <w:rPr>
          <w:rFonts w:ascii="仿宋" w:eastAsia="仿宋" w:hAnsi="仿宋" w:cs="仿宋"/>
          <w:sz w:val="32"/>
          <w:szCs w:val="32"/>
        </w:rPr>
        <w:t>73.5%</w:t>
      </w:r>
      <w:r w:rsidRPr="00995F9C">
        <w:rPr>
          <w:rFonts w:ascii="仿宋" w:eastAsia="仿宋" w:hAnsi="仿宋" w:cs="仿宋" w:hint="eastAsia"/>
          <w:sz w:val="32"/>
          <w:szCs w:val="32"/>
        </w:rPr>
        <w:t>；上缴上级支出</w:t>
      </w:r>
      <w:r w:rsidRPr="00995F9C">
        <w:rPr>
          <w:rFonts w:ascii="仿宋" w:eastAsia="仿宋" w:hAnsi="仿宋" w:cs="仿宋"/>
          <w:sz w:val="32"/>
          <w:szCs w:val="32"/>
        </w:rPr>
        <w:t>0</w:t>
      </w:r>
      <w:r w:rsidRPr="00995F9C">
        <w:rPr>
          <w:rFonts w:ascii="仿宋" w:eastAsia="仿宋" w:hAnsi="仿宋" w:cs="仿宋" w:hint="eastAsia"/>
          <w:sz w:val="32"/>
          <w:szCs w:val="32"/>
        </w:rPr>
        <w:t>万元，占</w:t>
      </w:r>
      <w:r w:rsidRPr="00995F9C">
        <w:rPr>
          <w:rFonts w:ascii="仿宋" w:eastAsia="仿宋" w:hAnsi="仿宋" w:cs="仿宋"/>
          <w:sz w:val="32"/>
          <w:szCs w:val="32"/>
        </w:rPr>
        <w:t>0%</w:t>
      </w:r>
      <w:r w:rsidRPr="00995F9C">
        <w:rPr>
          <w:rFonts w:ascii="仿宋" w:eastAsia="仿宋" w:hAnsi="仿宋" w:cs="仿宋" w:hint="eastAsia"/>
          <w:sz w:val="32"/>
          <w:szCs w:val="32"/>
        </w:rPr>
        <w:t>；经营支出</w:t>
      </w:r>
      <w:r w:rsidRPr="00995F9C">
        <w:rPr>
          <w:rFonts w:ascii="仿宋" w:eastAsia="仿宋" w:hAnsi="仿宋" w:cs="仿宋"/>
          <w:sz w:val="32"/>
          <w:szCs w:val="32"/>
        </w:rPr>
        <w:t>0</w:t>
      </w:r>
      <w:r w:rsidRPr="00995F9C">
        <w:rPr>
          <w:rFonts w:ascii="仿宋" w:eastAsia="仿宋" w:hAnsi="仿宋" w:cs="仿宋" w:hint="eastAsia"/>
          <w:sz w:val="32"/>
          <w:szCs w:val="32"/>
        </w:rPr>
        <w:t>万元，占</w:t>
      </w:r>
      <w:r w:rsidRPr="00995F9C">
        <w:rPr>
          <w:rFonts w:ascii="仿宋" w:eastAsia="仿宋" w:hAnsi="仿宋" w:cs="仿宋"/>
          <w:sz w:val="32"/>
          <w:szCs w:val="32"/>
        </w:rPr>
        <w:t>0%</w:t>
      </w:r>
      <w:r w:rsidRPr="00995F9C">
        <w:rPr>
          <w:rFonts w:ascii="仿宋" w:eastAsia="仿宋" w:hAnsi="仿宋" w:cs="仿宋" w:hint="eastAsia"/>
          <w:sz w:val="32"/>
          <w:szCs w:val="32"/>
        </w:rPr>
        <w:t>；对附属单位补助支出</w:t>
      </w:r>
      <w:r w:rsidRPr="00995F9C">
        <w:rPr>
          <w:rFonts w:ascii="仿宋" w:eastAsia="仿宋" w:hAnsi="仿宋" w:cs="仿宋"/>
          <w:sz w:val="32"/>
          <w:szCs w:val="32"/>
        </w:rPr>
        <w:t>0</w:t>
      </w:r>
      <w:r w:rsidRPr="00995F9C">
        <w:rPr>
          <w:rFonts w:ascii="仿宋" w:eastAsia="仿宋" w:hAnsi="仿宋" w:cs="仿宋" w:hint="eastAsia"/>
          <w:sz w:val="32"/>
          <w:szCs w:val="32"/>
        </w:rPr>
        <w:t>万元，占</w:t>
      </w:r>
      <w:r w:rsidRPr="00995F9C">
        <w:rPr>
          <w:rFonts w:ascii="仿宋" w:eastAsia="仿宋" w:hAnsi="仿宋" w:cs="仿宋"/>
          <w:sz w:val="32"/>
          <w:szCs w:val="32"/>
        </w:rPr>
        <w:t>0%</w:t>
      </w:r>
      <w:r w:rsidRPr="00995F9C">
        <w:rPr>
          <w:rFonts w:ascii="仿宋" w:eastAsia="仿宋" w:hAnsi="仿宋" w:cs="仿宋" w:hint="eastAsia"/>
          <w:sz w:val="32"/>
          <w:szCs w:val="32"/>
        </w:rPr>
        <w:t>。</w:t>
      </w:r>
    </w:p>
    <w:p w:rsidR="00CE2A09" w:rsidRDefault="00CE2A09">
      <w:pPr>
        <w:pStyle w:val="BodyText"/>
        <w:spacing w:before="93"/>
        <w:jc w:val="center"/>
      </w:pPr>
      <w:r>
        <w:object w:dxaOrig="7320" w:dyaOrig="4436">
          <v:shape id="_x0000_i1027" type="#_x0000_t75" style="width:351pt;height:213pt" o:ole="">
            <v:imagedata r:id="rId14" o:title=""/>
          </v:shape>
          <o:OLEObject Type="Embed" ProgID="Excel.Sheet.8" ShapeID="_x0000_i1027" DrawAspect="Content" ObjectID="_1757146443" r:id="rId15"/>
        </w:object>
      </w:r>
    </w:p>
    <w:p w:rsidR="00CE2A09" w:rsidRDefault="00CE2A09">
      <w:pPr>
        <w:spacing w:line="600" w:lineRule="exact"/>
        <w:jc w:val="center"/>
        <w:rPr>
          <w:rFonts w:ascii="仿宋_GB2312" w:eastAsia="仿宋_GB2312"/>
          <w:sz w:val="32"/>
          <w:szCs w:val="32"/>
        </w:rPr>
      </w:pPr>
      <w:r>
        <w:rPr>
          <w:rFonts w:ascii="仿宋" w:eastAsia="仿宋" w:hAnsi="仿宋" w:cs="仿宋" w:hint="eastAsia"/>
          <w:sz w:val="32"/>
          <w:szCs w:val="32"/>
        </w:rPr>
        <w:t>图</w:t>
      </w:r>
      <w:r>
        <w:rPr>
          <w:rFonts w:ascii="仿宋" w:eastAsia="仿宋" w:hAnsi="仿宋" w:cs="仿宋"/>
          <w:sz w:val="32"/>
          <w:szCs w:val="32"/>
        </w:rPr>
        <w:t>3</w:t>
      </w:r>
      <w:r>
        <w:rPr>
          <w:rFonts w:ascii="仿宋" w:eastAsia="仿宋" w:hAnsi="仿宋" w:cs="仿宋" w:hint="eastAsia"/>
          <w:sz w:val="32"/>
          <w:szCs w:val="32"/>
        </w:rPr>
        <w:t>：支出决算结构图</w:t>
      </w:r>
    </w:p>
    <w:p w:rsidR="00CE2A09" w:rsidRDefault="00CE2A09">
      <w:pPr>
        <w:spacing w:line="600" w:lineRule="exact"/>
        <w:ind w:firstLineChars="200" w:firstLine="640"/>
        <w:outlineLvl w:val="1"/>
        <w:rPr>
          <w:rStyle w:val="Heading2Char"/>
          <w:rFonts w:ascii="黑体" w:eastAsia="黑体" w:hAnsi="黑体" w:cs="Times New Roman"/>
          <w:b w:val="0"/>
          <w:bCs w:val="0"/>
        </w:rPr>
      </w:pPr>
      <w:bookmarkStart w:id="27" w:name="_Toc15377208"/>
      <w:bookmarkStart w:id="28" w:name="_Toc15396606"/>
      <w:r>
        <w:rPr>
          <w:rFonts w:ascii="黑体" w:eastAsia="黑体" w:hAnsi="黑体" w:cs="黑体" w:hint="eastAsia"/>
          <w:sz w:val="32"/>
          <w:szCs w:val="32"/>
        </w:rPr>
        <w:t>四、财</w:t>
      </w:r>
      <w:r>
        <w:rPr>
          <w:rStyle w:val="Heading2Char"/>
          <w:rFonts w:ascii="黑体" w:eastAsia="黑体" w:hAnsi="黑体" w:cs="黑体" w:hint="eastAsia"/>
          <w:b w:val="0"/>
          <w:bCs w:val="0"/>
        </w:rPr>
        <w:t>政拨款收入支出决算总体情况说明</w:t>
      </w:r>
      <w:bookmarkEnd w:id="27"/>
      <w:bookmarkEnd w:id="28"/>
    </w:p>
    <w:p w:rsidR="00CE2A09" w:rsidRDefault="00CE2A09">
      <w:pPr>
        <w:spacing w:line="600" w:lineRule="exact"/>
        <w:ind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年财政拨款收、支总计</w:t>
      </w:r>
      <w:r>
        <w:rPr>
          <w:rFonts w:ascii="仿宋" w:eastAsia="仿宋" w:hAnsi="仿宋" w:cs="仿宋"/>
          <w:sz w:val="32"/>
          <w:szCs w:val="32"/>
        </w:rPr>
        <w:t>351.37</w:t>
      </w:r>
      <w:r>
        <w:rPr>
          <w:rFonts w:ascii="仿宋" w:eastAsia="仿宋" w:hAnsi="仿宋" w:cs="仿宋" w:hint="eastAsia"/>
          <w:sz w:val="32"/>
          <w:szCs w:val="32"/>
        </w:rPr>
        <w:t>万元。与</w:t>
      </w:r>
      <w:r>
        <w:rPr>
          <w:rFonts w:ascii="仿宋" w:eastAsia="仿宋" w:hAnsi="仿宋" w:cs="仿宋"/>
          <w:sz w:val="32"/>
          <w:szCs w:val="32"/>
        </w:rPr>
        <w:t>2020</w:t>
      </w:r>
      <w:r>
        <w:rPr>
          <w:rFonts w:ascii="仿宋" w:eastAsia="仿宋" w:hAnsi="仿宋" w:cs="仿宋" w:hint="eastAsia"/>
          <w:sz w:val="32"/>
          <w:szCs w:val="32"/>
        </w:rPr>
        <w:t>年相比，财政拨款收、支总计各减少</w:t>
      </w:r>
      <w:r>
        <w:rPr>
          <w:rFonts w:ascii="仿宋" w:eastAsia="仿宋" w:hAnsi="仿宋" w:cs="仿宋"/>
          <w:sz w:val="32"/>
          <w:szCs w:val="32"/>
        </w:rPr>
        <w:t>69.22</w:t>
      </w:r>
      <w:r>
        <w:rPr>
          <w:rFonts w:ascii="仿宋" w:eastAsia="仿宋" w:hAnsi="仿宋" w:cs="仿宋" w:hint="eastAsia"/>
          <w:sz w:val="32"/>
          <w:szCs w:val="32"/>
        </w:rPr>
        <w:t>万元，下降</w:t>
      </w:r>
      <w:r>
        <w:rPr>
          <w:rFonts w:ascii="仿宋" w:eastAsia="仿宋" w:hAnsi="仿宋" w:cs="仿宋"/>
          <w:sz w:val="32"/>
          <w:szCs w:val="32"/>
        </w:rPr>
        <w:t>16%</w:t>
      </w:r>
      <w:r>
        <w:rPr>
          <w:rFonts w:ascii="仿宋" w:eastAsia="仿宋" w:hAnsi="仿宋" w:cs="仿宋" w:hint="eastAsia"/>
          <w:sz w:val="32"/>
          <w:szCs w:val="32"/>
        </w:rPr>
        <w:t>。主要变动原因是</w:t>
      </w:r>
      <w:r>
        <w:rPr>
          <w:rFonts w:ascii="仿宋" w:eastAsia="仿宋" w:hAnsi="仿宋" w:cs="仿宋"/>
          <w:sz w:val="32"/>
          <w:szCs w:val="32"/>
        </w:rPr>
        <w:t>2021</w:t>
      </w:r>
      <w:r>
        <w:rPr>
          <w:rFonts w:ascii="仿宋" w:eastAsia="仿宋" w:hAnsi="仿宋" w:cs="仿宋" w:hint="eastAsia"/>
          <w:sz w:val="32"/>
          <w:szCs w:val="32"/>
        </w:rPr>
        <w:t>年非税征管成本减少。</w:t>
      </w:r>
    </w:p>
    <w:p w:rsidR="00CE2A09" w:rsidRDefault="00CE2A09">
      <w:pPr>
        <w:pStyle w:val="BodyText"/>
        <w:spacing w:before="93"/>
        <w:jc w:val="center"/>
        <w:rPr>
          <w:rFonts w:eastAsia="仿宋"/>
        </w:rPr>
      </w:pPr>
      <w:r w:rsidRPr="00C41EE0">
        <w:rPr>
          <w:rFonts w:eastAsia="仿宋"/>
        </w:rPr>
        <w:object w:dxaOrig="7320" w:dyaOrig="4436">
          <v:shape id="_x0000_i1028" type="#_x0000_t75" style="width:366pt;height:222pt" o:ole="">
            <v:imagedata r:id="rId16" o:title=""/>
          </v:shape>
          <o:OLEObject Type="Embed" ProgID="Excel.Sheet.8" ShapeID="_x0000_i1028" DrawAspect="Content" ObjectID="_1757146444" r:id="rId17"/>
        </w:object>
      </w:r>
    </w:p>
    <w:p w:rsidR="00CE2A09" w:rsidRDefault="00CE2A09">
      <w:pPr>
        <w:spacing w:line="600" w:lineRule="exact"/>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4</w:t>
      </w:r>
      <w:r>
        <w:rPr>
          <w:rFonts w:ascii="仿宋" w:eastAsia="仿宋" w:hAnsi="仿宋" w:cs="仿宋" w:hint="eastAsia"/>
          <w:sz w:val="32"/>
          <w:szCs w:val="32"/>
        </w:rPr>
        <w:t>：财政拨款收、支决算总计变动情况</w:t>
      </w:r>
      <w:r>
        <w:rPr>
          <w:rFonts w:ascii="仿宋" w:eastAsia="仿宋" w:hAnsi="仿宋" w:cs="仿宋"/>
          <w:sz w:val="32"/>
          <w:szCs w:val="32"/>
        </w:rPr>
        <w:t xml:space="preserve"> </w:t>
      </w:r>
      <w:r>
        <w:rPr>
          <w:rFonts w:ascii="仿宋" w:eastAsia="仿宋" w:hAnsi="仿宋" w:cs="仿宋" w:hint="eastAsia"/>
          <w:sz w:val="32"/>
          <w:szCs w:val="32"/>
        </w:rPr>
        <w:t>单位：万元</w:t>
      </w:r>
    </w:p>
    <w:p w:rsidR="00CE2A09" w:rsidRDefault="00CE2A09">
      <w:pPr>
        <w:spacing w:line="600" w:lineRule="exact"/>
        <w:ind w:firstLineChars="200" w:firstLine="640"/>
        <w:outlineLvl w:val="1"/>
        <w:rPr>
          <w:rStyle w:val="Heading2Char"/>
          <w:rFonts w:ascii="黑体" w:eastAsia="黑体" w:hAnsi="黑体" w:cs="Times New Roman"/>
          <w:b w:val="0"/>
          <w:bCs w:val="0"/>
        </w:rPr>
      </w:pPr>
      <w:bookmarkStart w:id="29" w:name="_Toc15377209"/>
      <w:bookmarkStart w:id="30" w:name="_Toc15396607"/>
      <w:r>
        <w:rPr>
          <w:rFonts w:ascii="黑体" w:eastAsia="黑体" w:hAnsi="黑体" w:cs="黑体" w:hint="eastAsia"/>
          <w:sz w:val="32"/>
          <w:szCs w:val="32"/>
        </w:rPr>
        <w:t>五、</w:t>
      </w:r>
      <w:r>
        <w:rPr>
          <w:rFonts w:ascii="黑体" w:eastAsia="黑体" w:hAnsi="黑体" w:cs="黑体" w:hint="eastAsia"/>
          <w:b/>
          <w:bCs/>
          <w:sz w:val="32"/>
          <w:szCs w:val="32"/>
        </w:rPr>
        <w:t>一</w:t>
      </w:r>
      <w:r>
        <w:rPr>
          <w:rStyle w:val="Heading2Char"/>
          <w:rFonts w:ascii="黑体" w:eastAsia="黑体" w:hAnsi="黑体" w:cs="黑体" w:hint="eastAsia"/>
          <w:b w:val="0"/>
          <w:bCs w:val="0"/>
        </w:rPr>
        <w:t>般公共预算财政拨款支出决算情况说明</w:t>
      </w:r>
      <w:bookmarkEnd w:id="29"/>
      <w:bookmarkEnd w:id="30"/>
    </w:p>
    <w:p w:rsidR="00CE2A09" w:rsidRDefault="00CE2A09">
      <w:pPr>
        <w:spacing w:line="600" w:lineRule="exact"/>
        <w:ind w:firstLineChars="200" w:firstLine="643"/>
        <w:outlineLvl w:val="2"/>
        <w:rPr>
          <w:rFonts w:ascii="仿宋" w:eastAsia="仿宋" w:hAnsi="仿宋"/>
          <w:b/>
          <w:bCs/>
          <w:sz w:val="32"/>
          <w:szCs w:val="32"/>
        </w:rPr>
      </w:pPr>
      <w:bookmarkStart w:id="31" w:name="_Toc15377210"/>
      <w:r>
        <w:rPr>
          <w:rFonts w:ascii="仿宋" w:eastAsia="仿宋" w:hAnsi="仿宋" w:cs="仿宋" w:hint="eastAsia"/>
          <w:b/>
          <w:bCs/>
          <w:sz w:val="32"/>
          <w:szCs w:val="32"/>
        </w:rPr>
        <w:t>（一）一般公共预算财政拨款支出决算总体情况</w:t>
      </w:r>
      <w:bookmarkEnd w:id="31"/>
    </w:p>
    <w:p w:rsidR="00CE2A09" w:rsidRDefault="00CE2A09">
      <w:pPr>
        <w:spacing w:line="600" w:lineRule="exact"/>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Pr>
          <w:rFonts w:ascii="仿宋" w:eastAsia="仿宋" w:hAnsi="仿宋" w:cs="仿宋"/>
          <w:sz w:val="32"/>
          <w:szCs w:val="32"/>
        </w:rPr>
        <w:t>351.37</w:t>
      </w:r>
      <w:r>
        <w:rPr>
          <w:rFonts w:ascii="仿宋" w:eastAsia="仿宋" w:hAnsi="仿宋" w:cs="仿宋" w:hint="eastAsia"/>
          <w:sz w:val="32"/>
          <w:szCs w:val="32"/>
        </w:rPr>
        <w:t>万元，占本年支出合计的</w:t>
      </w:r>
      <w:r>
        <w:rPr>
          <w:rFonts w:ascii="仿宋" w:eastAsia="仿宋" w:hAnsi="仿宋" w:cs="仿宋"/>
          <w:sz w:val="32"/>
          <w:szCs w:val="32"/>
        </w:rPr>
        <w:t>100%</w:t>
      </w:r>
      <w:r>
        <w:rPr>
          <w:rFonts w:ascii="仿宋" w:eastAsia="仿宋" w:hAnsi="仿宋" w:cs="仿宋" w:hint="eastAsia"/>
          <w:sz w:val="32"/>
          <w:szCs w:val="32"/>
        </w:rPr>
        <w:t>。与</w:t>
      </w:r>
      <w:r>
        <w:rPr>
          <w:rFonts w:ascii="仿宋" w:eastAsia="仿宋" w:hAnsi="仿宋" w:cs="仿宋"/>
          <w:sz w:val="32"/>
          <w:szCs w:val="32"/>
        </w:rPr>
        <w:t>2020</w:t>
      </w:r>
      <w:r>
        <w:rPr>
          <w:rFonts w:ascii="仿宋" w:eastAsia="仿宋" w:hAnsi="仿宋" w:cs="仿宋" w:hint="eastAsia"/>
          <w:sz w:val="32"/>
          <w:szCs w:val="32"/>
        </w:rPr>
        <w:t>年相比，一般公共预算财政拨款支出减少</w:t>
      </w:r>
      <w:r>
        <w:rPr>
          <w:rFonts w:ascii="仿宋" w:eastAsia="仿宋" w:hAnsi="仿宋" w:cs="仿宋"/>
          <w:sz w:val="32"/>
          <w:szCs w:val="32"/>
        </w:rPr>
        <w:t>69.22</w:t>
      </w:r>
      <w:r>
        <w:rPr>
          <w:rFonts w:ascii="仿宋" w:eastAsia="仿宋" w:hAnsi="仿宋" w:cs="仿宋" w:hint="eastAsia"/>
          <w:sz w:val="32"/>
          <w:szCs w:val="32"/>
        </w:rPr>
        <w:t>万元，下降</w:t>
      </w:r>
      <w:r>
        <w:rPr>
          <w:rFonts w:ascii="仿宋" w:eastAsia="仿宋" w:hAnsi="仿宋" w:cs="仿宋"/>
          <w:sz w:val="32"/>
          <w:szCs w:val="32"/>
        </w:rPr>
        <w:t>16%</w:t>
      </w:r>
      <w:r>
        <w:rPr>
          <w:rFonts w:ascii="仿宋" w:eastAsia="仿宋" w:hAnsi="仿宋" w:cs="仿宋" w:hint="eastAsia"/>
          <w:sz w:val="32"/>
          <w:szCs w:val="32"/>
        </w:rPr>
        <w:t>。主要变动原因是</w:t>
      </w:r>
      <w:r>
        <w:rPr>
          <w:rFonts w:ascii="仿宋" w:eastAsia="仿宋" w:hAnsi="仿宋" w:cs="仿宋"/>
          <w:sz w:val="32"/>
          <w:szCs w:val="32"/>
        </w:rPr>
        <w:t>2021</w:t>
      </w:r>
      <w:r>
        <w:rPr>
          <w:rFonts w:ascii="仿宋" w:eastAsia="仿宋" w:hAnsi="仿宋" w:cs="仿宋" w:hint="eastAsia"/>
          <w:sz w:val="32"/>
          <w:szCs w:val="32"/>
        </w:rPr>
        <w:t>年非税征管成本减少。</w:t>
      </w:r>
    </w:p>
    <w:p w:rsidR="00CE2A09" w:rsidRDefault="00CE2A09">
      <w:pPr>
        <w:pStyle w:val="BodyText"/>
        <w:spacing w:before="93"/>
        <w:jc w:val="center"/>
        <w:rPr>
          <w:rFonts w:ascii="仿宋" w:eastAsia="仿宋" w:hAnsi="仿宋"/>
          <w:sz w:val="32"/>
          <w:szCs w:val="32"/>
        </w:rPr>
      </w:pPr>
      <w:r w:rsidRPr="00C41EE0">
        <w:rPr>
          <w:rFonts w:ascii="仿宋" w:eastAsia="仿宋" w:hAnsi="仿宋"/>
          <w:sz w:val="32"/>
          <w:szCs w:val="32"/>
        </w:rPr>
        <w:object w:dxaOrig="7320" w:dyaOrig="4436">
          <v:shape id="_x0000_i1029" type="#_x0000_t75" style="width:366pt;height:222pt" o:ole="">
            <v:imagedata r:id="rId18" o:title=""/>
          </v:shape>
          <o:OLEObject Type="Embed" ProgID="Excel.Sheet.8" ShapeID="_x0000_i1029" DrawAspect="Content" ObjectID="_1757146445" r:id="rId19"/>
        </w:object>
      </w:r>
    </w:p>
    <w:p w:rsidR="00CE2A09" w:rsidRDefault="00CE2A09">
      <w:pPr>
        <w:spacing w:line="600" w:lineRule="exact"/>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5</w:t>
      </w:r>
      <w:r>
        <w:rPr>
          <w:rFonts w:ascii="仿宋" w:eastAsia="仿宋" w:hAnsi="仿宋" w:cs="仿宋" w:hint="eastAsia"/>
          <w:sz w:val="32"/>
          <w:szCs w:val="32"/>
        </w:rPr>
        <w:t>：一般公共预算财政拨款支出决算变动情况</w:t>
      </w:r>
      <w:r>
        <w:rPr>
          <w:rFonts w:ascii="仿宋" w:eastAsia="仿宋" w:hAnsi="仿宋" w:cs="仿宋"/>
          <w:sz w:val="32"/>
          <w:szCs w:val="32"/>
        </w:rPr>
        <w:t xml:space="preserve"> </w:t>
      </w:r>
      <w:r>
        <w:rPr>
          <w:rFonts w:ascii="仿宋" w:eastAsia="仿宋" w:hAnsi="仿宋" w:cs="仿宋" w:hint="eastAsia"/>
          <w:sz w:val="32"/>
          <w:szCs w:val="32"/>
        </w:rPr>
        <w:t>单位：万元</w:t>
      </w:r>
    </w:p>
    <w:p w:rsidR="00CE2A09" w:rsidRDefault="00CE2A09">
      <w:pPr>
        <w:spacing w:line="600" w:lineRule="exact"/>
        <w:ind w:firstLineChars="200" w:firstLine="643"/>
        <w:outlineLvl w:val="2"/>
        <w:rPr>
          <w:rFonts w:ascii="仿宋" w:eastAsia="仿宋" w:hAnsi="仿宋"/>
          <w:b/>
          <w:bCs/>
          <w:sz w:val="32"/>
          <w:szCs w:val="32"/>
        </w:rPr>
      </w:pPr>
      <w:bookmarkStart w:id="32" w:name="_Toc15377211"/>
      <w:r>
        <w:rPr>
          <w:rFonts w:ascii="仿宋" w:eastAsia="仿宋" w:hAnsi="仿宋" w:cs="仿宋" w:hint="eastAsia"/>
          <w:b/>
          <w:bCs/>
          <w:sz w:val="32"/>
          <w:szCs w:val="32"/>
        </w:rPr>
        <w:t>（二）一般公共预算财政拨款支出决算结构情况</w:t>
      </w:r>
      <w:bookmarkEnd w:id="32"/>
    </w:p>
    <w:p w:rsidR="00CE2A09" w:rsidRDefault="00CE2A09">
      <w:pPr>
        <w:spacing w:line="600" w:lineRule="exact"/>
        <w:ind w:firstLine="640"/>
        <w:rPr>
          <w:rFonts w:ascii="仿宋" w:eastAsia="仿宋" w:hAnsi="仿宋"/>
          <w:b/>
          <w:bCs/>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Pr>
          <w:rFonts w:ascii="仿宋" w:eastAsia="仿宋" w:hAnsi="仿宋" w:cs="仿宋"/>
          <w:sz w:val="32"/>
          <w:szCs w:val="32"/>
        </w:rPr>
        <w:t>351.37</w:t>
      </w:r>
      <w:r>
        <w:rPr>
          <w:rFonts w:ascii="仿宋" w:eastAsia="仿宋" w:hAnsi="仿宋" w:cs="仿宋" w:hint="eastAsia"/>
          <w:sz w:val="32"/>
          <w:szCs w:val="32"/>
        </w:rPr>
        <w:t>万元，主要用于以下方面</w:t>
      </w:r>
      <w:r>
        <w:rPr>
          <w:rFonts w:ascii="仿宋" w:eastAsia="仿宋" w:hAnsi="仿宋" w:cs="仿宋"/>
          <w:sz w:val="32"/>
          <w:szCs w:val="32"/>
        </w:rPr>
        <w:t>:</w:t>
      </w:r>
      <w:r>
        <w:rPr>
          <w:rFonts w:ascii="仿宋" w:eastAsia="仿宋" w:hAnsi="仿宋" w:cs="仿宋" w:hint="eastAsia"/>
          <w:b/>
          <w:bCs/>
          <w:sz w:val="32"/>
          <w:szCs w:val="32"/>
        </w:rPr>
        <w:t>一般公共服务（类）</w:t>
      </w:r>
      <w:r>
        <w:rPr>
          <w:rFonts w:ascii="仿宋" w:eastAsia="仿宋" w:hAnsi="仿宋" w:cs="仿宋" w:hint="eastAsia"/>
          <w:sz w:val="32"/>
          <w:szCs w:val="32"/>
        </w:rPr>
        <w:t>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w:t>
      </w:r>
      <w:r>
        <w:rPr>
          <w:rFonts w:ascii="仿宋" w:eastAsia="仿宋" w:hAnsi="仿宋" w:cs="仿宋" w:hint="eastAsia"/>
          <w:b/>
          <w:bCs/>
          <w:sz w:val="32"/>
          <w:szCs w:val="32"/>
        </w:rPr>
        <w:t>教育支出（类）</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w:t>
      </w:r>
      <w:r>
        <w:rPr>
          <w:rFonts w:ascii="仿宋" w:eastAsia="仿宋" w:hAnsi="仿宋" w:cs="仿宋" w:hint="eastAsia"/>
          <w:b/>
          <w:bCs/>
          <w:sz w:val="32"/>
          <w:szCs w:val="32"/>
        </w:rPr>
        <w:t>科学技术（类）</w:t>
      </w:r>
      <w:r>
        <w:rPr>
          <w:rFonts w:ascii="仿宋" w:eastAsia="仿宋" w:hAnsi="仿宋" w:cs="仿宋" w:hint="eastAsia"/>
          <w:sz w:val="32"/>
          <w:szCs w:val="32"/>
        </w:rPr>
        <w:t>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w:t>
      </w:r>
      <w:r>
        <w:rPr>
          <w:rFonts w:ascii="仿宋" w:eastAsia="仿宋" w:hAnsi="仿宋" w:cs="仿宋" w:hint="eastAsia"/>
          <w:b/>
          <w:bCs/>
          <w:sz w:val="32"/>
          <w:szCs w:val="32"/>
        </w:rPr>
        <w:t>文化旅游体育与传媒（类）</w:t>
      </w:r>
      <w:r>
        <w:rPr>
          <w:rFonts w:ascii="仿宋" w:eastAsia="仿宋" w:hAnsi="仿宋" w:cs="仿宋" w:hint="eastAsia"/>
          <w:sz w:val="32"/>
          <w:szCs w:val="32"/>
        </w:rPr>
        <w:t>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w:t>
      </w:r>
      <w:r>
        <w:rPr>
          <w:rFonts w:ascii="仿宋" w:eastAsia="仿宋" w:hAnsi="仿宋" w:cs="仿宋" w:hint="eastAsia"/>
          <w:b/>
          <w:bCs/>
          <w:sz w:val="32"/>
          <w:szCs w:val="32"/>
        </w:rPr>
        <w:t>社会保障和就业（类）</w:t>
      </w:r>
      <w:r>
        <w:rPr>
          <w:rFonts w:ascii="仿宋" w:eastAsia="仿宋" w:hAnsi="仿宋" w:cs="仿宋" w:hint="eastAsia"/>
          <w:sz w:val="32"/>
          <w:szCs w:val="32"/>
        </w:rPr>
        <w:t>支出</w:t>
      </w:r>
      <w:r>
        <w:rPr>
          <w:rFonts w:ascii="仿宋" w:eastAsia="仿宋" w:hAnsi="仿宋" w:cs="仿宋"/>
          <w:sz w:val="32"/>
          <w:szCs w:val="32"/>
        </w:rPr>
        <w:t>9.24</w:t>
      </w:r>
      <w:r>
        <w:rPr>
          <w:rFonts w:ascii="仿宋" w:eastAsia="仿宋" w:hAnsi="仿宋" w:cs="仿宋" w:hint="eastAsia"/>
          <w:sz w:val="32"/>
          <w:szCs w:val="32"/>
        </w:rPr>
        <w:t>万元，占</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b/>
          <w:bCs/>
          <w:sz w:val="32"/>
          <w:szCs w:val="32"/>
        </w:rPr>
        <w:t>卫生健康支出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；城乡社区支出</w:t>
      </w:r>
      <w:r>
        <w:rPr>
          <w:rFonts w:ascii="仿宋" w:eastAsia="仿宋" w:hAnsi="仿宋" w:cs="仿宋"/>
          <w:sz w:val="32"/>
          <w:szCs w:val="32"/>
        </w:rPr>
        <w:t>335.55</w:t>
      </w:r>
      <w:r>
        <w:rPr>
          <w:rFonts w:ascii="仿宋" w:eastAsia="仿宋" w:hAnsi="仿宋" w:cs="仿宋" w:hint="eastAsia"/>
          <w:sz w:val="32"/>
          <w:szCs w:val="32"/>
        </w:rPr>
        <w:t>万元，占</w:t>
      </w:r>
      <w:r>
        <w:rPr>
          <w:rFonts w:ascii="仿宋" w:eastAsia="仿宋" w:hAnsi="仿宋" w:cs="仿宋"/>
          <w:sz w:val="32"/>
          <w:szCs w:val="32"/>
        </w:rPr>
        <w:t>95%</w:t>
      </w:r>
      <w:r>
        <w:rPr>
          <w:rFonts w:ascii="仿宋" w:eastAsia="仿宋" w:hAnsi="仿宋" w:cs="仿宋" w:hint="eastAsia"/>
          <w:sz w:val="32"/>
          <w:szCs w:val="32"/>
        </w:rPr>
        <w:t>；住房保障支出</w:t>
      </w:r>
      <w:r>
        <w:rPr>
          <w:rFonts w:ascii="仿宋" w:eastAsia="仿宋" w:hAnsi="仿宋" w:cs="仿宋"/>
          <w:sz w:val="32"/>
          <w:szCs w:val="32"/>
        </w:rPr>
        <w:t>6.58</w:t>
      </w:r>
      <w:r>
        <w:rPr>
          <w:rFonts w:ascii="仿宋" w:eastAsia="仿宋" w:hAnsi="仿宋" w:cs="仿宋" w:hint="eastAsia"/>
          <w:sz w:val="32"/>
          <w:szCs w:val="32"/>
        </w:rPr>
        <w:t>万元，占</w:t>
      </w:r>
      <w:r>
        <w:rPr>
          <w:rFonts w:ascii="仿宋" w:eastAsia="仿宋" w:hAnsi="仿宋" w:cs="仿宋"/>
          <w:sz w:val="32"/>
          <w:szCs w:val="32"/>
        </w:rPr>
        <w:t>2%</w:t>
      </w:r>
      <w:r>
        <w:rPr>
          <w:rFonts w:ascii="仿宋" w:eastAsia="仿宋" w:hAnsi="仿宋" w:cs="仿宋" w:hint="eastAsia"/>
          <w:sz w:val="32"/>
          <w:szCs w:val="32"/>
        </w:rPr>
        <w:t>。</w:t>
      </w:r>
    </w:p>
    <w:p w:rsidR="00CE2A09" w:rsidRDefault="00CE2A09">
      <w:pPr>
        <w:pStyle w:val="BodyText"/>
        <w:spacing w:before="93"/>
        <w:jc w:val="center"/>
        <w:rPr>
          <w:rFonts w:ascii="仿宋" w:eastAsia="仿宋" w:hAnsi="仿宋"/>
          <w:sz w:val="32"/>
          <w:szCs w:val="32"/>
        </w:rPr>
      </w:pPr>
      <w:r w:rsidRPr="00C41EE0">
        <w:rPr>
          <w:rFonts w:ascii="仿宋" w:eastAsia="仿宋" w:hAnsi="仿宋"/>
          <w:sz w:val="32"/>
          <w:szCs w:val="32"/>
        </w:rPr>
        <w:object w:dxaOrig="7320" w:dyaOrig="4436">
          <v:shape id="_x0000_i1030" type="#_x0000_t75" style="width:366pt;height:222pt" o:ole="">
            <v:imagedata r:id="rId20" o:title=""/>
          </v:shape>
          <o:OLEObject Type="Embed" ProgID="Excel.Sheet.8" ShapeID="_x0000_i1030" DrawAspect="Content" ObjectID="_1757146446" r:id="rId21"/>
        </w:object>
      </w:r>
    </w:p>
    <w:p w:rsidR="00CE2A09" w:rsidRDefault="00CE2A09">
      <w:pPr>
        <w:spacing w:line="600" w:lineRule="exact"/>
        <w:jc w:val="center"/>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6</w:t>
      </w:r>
      <w:r>
        <w:rPr>
          <w:rFonts w:ascii="仿宋" w:eastAsia="仿宋" w:hAnsi="仿宋" w:cs="仿宋" w:hint="eastAsia"/>
          <w:sz w:val="32"/>
          <w:szCs w:val="32"/>
        </w:rPr>
        <w:t>：一般公共预算财政拨款支出决算结构</w:t>
      </w:r>
    </w:p>
    <w:p w:rsidR="00CE2A09" w:rsidRDefault="00CE2A09">
      <w:pPr>
        <w:spacing w:line="600" w:lineRule="exact"/>
        <w:ind w:firstLineChars="200" w:firstLine="643"/>
        <w:outlineLvl w:val="2"/>
        <w:rPr>
          <w:rFonts w:ascii="仿宋" w:eastAsia="仿宋" w:hAnsi="仿宋"/>
          <w:b/>
          <w:bCs/>
          <w:sz w:val="32"/>
          <w:szCs w:val="32"/>
        </w:rPr>
      </w:pPr>
      <w:bookmarkStart w:id="33" w:name="_Toc15377212"/>
      <w:r>
        <w:rPr>
          <w:rFonts w:ascii="仿宋" w:eastAsia="仿宋" w:hAnsi="仿宋" w:cs="仿宋" w:hint="eastAsia"/>
          <w:b/>
          <w:bCs/>
          <w:sz w:val="32"/>
          <w:szCs w:val="32"/>
        </w:rPr>
        <w:t>（三）一般公共预算财政拨款支出决算具体情况</w:t>
      </w:r>
      <w:bookmarkEnd w:id="33"/>
    </w:p>
    <w:p w:rsidR="00CE2A09" w:rsidRDefault="00CE2A09">
      <w:pPr>
        <w:spacing w:line="600" w:lineRule="exact"/>
        <w:ind w:firstLineChars="200" w:firstLine="643"/>
        <w:outlineLvl w:val="2"/>
        <w:rPr>
          <w:rFonts w:ascii="仿宋" w:eastAsia="仿宋" w:hAnsi="仿宋"/>
          <w:sz w:val="32"/>
          <w:szCs w:val="32"/>
        </w:rPr>
      </w:pPr>
      <w:bookmarkStart w:id="34" w:name="_Toc15378460"/>
      <w:bookmarkStart w:id="35" w:name="_Toc15377444"/>
      <w:bookmarkStart w:id="36" w:name="_Toc15377213"/>
      <w:r>
        <w:rPr>
          <w:rFonts w:ascii="仿宋" w:eastAsia="仿宋" w:hAnsi="仿宋" w:cs="仿宋"/>
          <w:b/>
          <w:bCs/>
          <w:sz w:val="32"/>
          <w:szCs w:val="32"/>
        </w:rPr>
        <w:t>2021</w:t>
      </w:r>
      <w:r>
        <w:rPr>
          <w:rFonts w:ascii="仿宋" w:eastAsia="仿宋" w:hAnsi="仿宋" w:cs="仿宋" w:hint="eastAsia"/>
          <w:b/>
          <w:bCs/>
          <w:sz w:val="32"/>
          <w:szCs w:val="32"/>
        </w:rPr>
        <w:t>年一般公共预算支出决算数为</w:t>
      </w:r>
      <w:r>
        <w:rPr>
          <w:rFonts w:ascii="仿宋" w:eastAsia="仿宋" w:hAnsi="仿宋" w:cs="仿宋"/>
          <w:b/>
          <w:bCs/>
          <w:sz w:val="32"/>
          <w:szCs w:val="32"/>
        </w:rPr>
        <w:t>351.37</w:t>
      </w:r>
      <w:r>
        <w:rPr>
          <w:rFonts w:ascii="仿宋" w:eastAsia="仿宋" w:hAnsi="仿宋" w:cs="仿宋" w:hint="eastAsia"/>
          <w:b/>
          <w:bCs/>
          <w:sz w:val="32"/>
          <w:szCs w:val="32"/>
        </w:rPr>
        <w:t>万元</w:t>
      </w:r>
      <w:r>
        <w:rPr>
          <w:rFonts w:ascii="仿宋" w:eastAsia="仿宋" w:hAnsi="仿宋" w:cs="仿宋" w:hint="eastAsia"/>
          <w:sz w:val="32"/>
          <w:szCs w:val="32"/>
        </w:rPr>
        <w:t>，</w:t>
      </w:r>
      <w:r>
        <w:rPr>
          <w:rStyle w:val="Strong"/>
          <w:rFonts w:ascii="仿宋" w:eastAsia="仿宋" w:hAnsi="仿宋" w:cs="仿宋" w:hint="eastAsia"/>
          <w:sz w:val="32"/>
          <w:szCs w:val="32"/>
        </w:rPr>
        <w:t>完成预算</w:t>
      </w:r>
      <w:r>
        <w:rPr>
          <w:rStyle w:val="Strong"/>
          <w:rFonts w:ascii="仿宋" w:eastAsia="仿宋" w:hAnsi="仿宋" w:cs="仿宋"/>
          <w:sz w:val="32"/>
          <w:szCs w:val="32"/>
        </w:rPr>
        <w:t>100%</w:t>
      </w:r>
      <w:r>
        <w:rPr>
          <w:rStyle w:val="Strong"/>
          <w:rFonts w:ascii="仿宋" w:eastAsia="仿宋" w:hAnsi="仿宋" w:cs="仿宋" w:hint="eastAsia"/>
          <w:sz w:val="32"/>
          <w:szCs w:val="32"/>
        </w:rPr>
        <w:t>。其中：</w:t>
      </w:r>
      <w:bookmarkEnd w:id="34"/>
      <w:bookmarkEnd w:id="35"/>
      <w:bookmarkEnd w:id="36"/>
    </w:p>
    <w:p w:rsidR="00CE2A09" w:rsidRDefault="00CE2A09">
      <w:pPr>
        <w:spacing w:line="600" w:lineRule="exact"/>
        <w:ind w:firstLineChars="200" w:firstLine="643"/>
        <w:rPr>
          <w:rFonts w:ascii="仿宋" w:eastAsia="仿宋" w:hAnsi="仿宋"/>
          <w:sz w:val="32"/>
          <w:szCs w:val="32"/>
        </w:rPr>
      </w:pPr>
      <w:r>
        <w:rPr>
          <w:rStyle w:val="Strong"/>
          <w:rFonts w:ascii="仿宋" w:eastAsia="仿宋" w:hAnsi="仿宋" w:cs="仿宋"/>
          <w:sz w:val="32"/>
          <w:szCs w:val="32"/>
        </w:rPr>
        <w:t>1.</w:t>
      </w:r>
      <w:r>
        <w:rPr>
          <w:rStyle w:val="Strong"/>
          <w:rFonts w:ascii="仿宋" w:eastAsia="仿宋" w:hAnsi="仿宋" w:cs="仿宋" w:hint="eastAsia"/>
          <w:sz w:val="32"/>
          <w:szCs w:val="32"/>
        </w:rPr>
        <w:t>一般公共服务（类）无。</w:t>
      </w:r>
    </w:p>
    <w:p w:rsidR="00CE2A09" w:rsidRDefault="00CE2A09">
      <w:pPr>
        <w:spacing w:line="600" w:lineRule="exact"/>
        <w:ind w:firstLineChars="200" w:firstLine="643"/>
        <w:rPr>
          <w:rFonts w:ascii="仿宋" w:eastAsia="仿宋" w:hAnsi="仿宋"/>
          <w:sz w:val="32"/>
          <w:szCs w:val="32"/>
        </w:rPr>
      </w:pPr>
      <w:r>
        <w:rPr>
          <w:rStyle w:val="Strong"/>
          <w:rFonts w:ascii="仿宋" w:eastAsia="仿宋" w:hAnsi="仿宋" w:cs="仿宋"/>
          <w:sz w:val="32"/>
          <w:szCs w:val="32"/>
        </w:rPr>
        <w:t>2.</w:t>
      </w:r>
      <w:r>
        <w:rPr>
          <w:rStyle w:val="Strong"/>
          <w:rFonts w:ascii="仿宋" w:eastAsia="仿宋" w:hAnsi="仿宋" w:cs="仿宋" w:hint="eastAsia"/>
          <w:sz w:val="32"/>
          <w:szCs w:val="32"/>
        </w:rPr>
        <w:t>教育（类）无。</w:t>
      </w:r>
    </w:p>
    <w:p w:rsidR="00CE2A09" w:rsidRDefault="00CE2A09">
      <w:pPr>
        <w:spacing w:line="600" w:lineRule="exact"/>
        <w:ind w:firstLineChars="200" w:firstLine="643"/>
        <w:rPr>
          <w:rFonts w:ascii="仿宋" w:eastAsia="仿宋" w:hAnsi="仿宋"/>
          <w:sz w:val="32"/>
          <w:szCs w:val="32"/>
        </w:rPr>
      </w:pPr>
      <w:r>
        <w:rPr>
          <w:rStyle w:val="Strong"/>
          <w:rFonts w:ascii="仿宋" w:eastAsia="仿宋" w:hAnsi="仿宋" w:cs="仿宋"/>
          <w:sz w:val="32"/>
          <w:szCs w:val="32"/>
        </w:rPr>
        <w:t>3.</w:t>
      </w:r>
      <w:r>
        <w:rPr>
          <w:rStyle w:val="Strong"/>
          <w:rFonts w:ascii="仿宋" w:eastAsia="仿宋" w:hAnsi="仿宋" w:cs="仿宋" w:hint="eastAsia"/>
          <w:sz w:val="32"/>
          <w:szCs w:val="32"/>
        </w:rPr>
        <w:t>科学技术（类）无。</w:t>
      </w:r>
    </w:p>
    <w:p w:rsidR="00CE2A09" w:rsidRDefault="00CE2A09">
      <w:pPr>
        <w:spacing w:line="600" w:lineRule="exact"/>
        <w:ind w:firstLineChars="200" w:firstLine="643"/>
        <w:rPr>
          <w:rFonts w:ascii="仿宋" w:eastAsia="仿宋" w:hAnsi="仿宋"/>
          <w:sz w:val="32"/>
          <w:szCs w:val="32"/>
        </w:rPr>
      </w:pPr>
      <w:r>
        <w:rPr>
          <w:rStyle w:val="Strong"/>
          <w:rFonts w:ascii="仿宋" w:eastAsia="仿宋" w:hAnsi="仿宋" w:cs="仿宋"/>
          <w:sz w:val="32"/>
          <w:szCs w:val="32"/>
        </w:rPr>
        <w:t>4.</w:t>
      </w:r>
      <w:r>
        <w:rPr>
          <w:rStyle w:val="Strong"/>
          <w:rFonts w:ascii="仿宋" w:eastAsia="仿宋" w:hAnsi="仿宋" w:cs="仿宋" w:hint="eastAsia"/>
          <w:sz w:val="32"/>
          <w:szCs w:val="32"/>
        </w:rPr>
        <w:t>文化旅游体育与传媒（类）无。</w:t>
      </w:r>
    </w:p>
    <w:p w:rsidR="00CE2A09" w:rsidRDefault="00CE2A09">
      <w:pPr>
        <w:spacing w:line="600" w:lineRule="exact"/>
        <w:ind w:firstLineChars="200" w:firstLine="643"/>
        <w:rPr>
          <w:rFonts w:ascii="仿宋" w:eastAsia="仿宋" w:hAnsi="仿宋"/>
          <w:b/>
          <w:bCs/>
          <w:sz w:val="32"/>
          <w:szCs w:val="32"/>
        </w:rPr>
      </w:pPr>
      <w:r>
        <w:rPr>
          <w:rStyle w:val="Strong"/>
          <w:rFonts w:ascii="仿宋" w:eastAsia="仿宋" w:hAnsi="仿宋" w:cs="仿宋"/>
          <w:sz w:val="32"/>
          <w:szCs w:val="32"/>
        </w:rPr>
        <w:t>5.</w:t>
      </w:r>
      <w:r>
        <w:rPr>
          <w:rStyle w:val="Strong"/>
          <w:rFonts w:ascii="仿宋" w:eastAsia="仿宋" w:hAnsi="仿宋" w:cs="仿宋" w:hint="eastAsia"/>
          <w:sz w:val="32"/>
          <w:szCs w:val="32"/>
        </w:rPr>
        <w:t>社会保障和就业（类）行政事业单位养老支出（款）事业单位离退休（项）</w:t>
      </w:r>
      <w:r>
        <w:rPr>
          <w:rStyle w:val="Strong"/>
          <w:rFonts w:ascii="仿宋" w:eastAsia="仿宋" w:hAnsi="仿宋" w:cs="仿宋"/>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1.98</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w:t>
      </w:r>
      <w:r>
        <w:rPr>
          <w:rStyle w:val="Strong"/>
          <w:rFonts w:ascii="仿宋" w:eastAsia="仿宋" w:hAnsi="仿宋" w:cs="仿宋" w:hint="eastAsia"/>
          <w:sz w:val="32"/>
          <w:szCs w:val="32"/>
        </w:rPr>
        <w:t>机关事业单位基本养老保险缴费支出（项）</w:t>
      </w:r>
      <w:r>
        <w:rPr>
          <w:rStyle w:val="Strong"/>
          <w:rFonts w:ascii="仿宋" w:eastAsia="仿宋" w:hAnsi="仿宋" w:cs="仿宋"/>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7.26</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w:t>
      </w:r>
      <w:r>
        <w:rPr>
          <w:rFonts w:ascii="仿宋" w:eastAsia="仿宋" w:hAnsi="仿宋" w:cs="仿宋"/>
          <w:b/>
          <w:bCs/>
          <w:sz w:val="32"/>
          <w:szCs w:val="32"/>
        </w:rPr>
        <w:t xml:space="preserve"> </w:t>
      </w:r>
    </w:p>
    <w:p w:rsidR="00CE2A09" w:rsidRDefault="00CE2A09">
      <w:pPr>
        <w:spacing w:line="600" w:lineRule="exact"/>
        <w:ind w:firstLineChars="200" w:firstLine="643"/>
        <w:rPr>
          <w:rFonts w:ascii="仿宋" w:eastAsia="仿宋" w:hAnsi="仿宋"/>
          <w:b/>
          <w:bCs/>
          <w:sz w:val="32"/>
          <w:szCs w:val="32"/>
        </w:rPr>
      </w:pPr>
      <w:r>
        <w:rPr>
          <w:rStyle w:val="Strong"/>
          <w:rFonts w:ascii="仿宋" w:eastAsia="仿宋" w:hAnsi="仿宋" w:cs="仿宋"/>
          <w:sz w:val="32"/>
          <w:szCs w:val="32"/>
        </w:rPr>
        <w:t>6.</w:t>
      </w:r>
      <w:r>
        <w:rPr>
          <w:rFonts w:ascii="仿宋" w:eastAsia="仿宋" w:hAnsi="仿宋" w:cs="仿宋" w:hint="eastAsia"/>
          <w:b/>
          <w:bCs/>
          <w:sz w:val="32"/>
          <w:szCs w:val="32"/>
        </w:rPr>
        <w:t>卫生健康</w:t>
      </w:r>
      <w:r>
        <w:rPr>
          <w:rStyle w:val="Strong"/>
          <w:rFonts w:ascii="仿宋" w:eastAsia="仿宋" w:hAnsi="仿宋" w:cs="仿宋" w:hint="eastAsia"/>
          <w:sz w:val="32"/>
          <w:szCs w:val="32"/>
        </w:rPr>
        <w:t>（类）无</w:t>
      </w:r>
      <w:r>
        <w:rPr>
          <w:rStyle w:val="Strong"/>
          <w:rFonts w:ascii="仿宋" w:eastAsia="仿宋" w:hAnsi="仿宋" w:cs="仿宋" w:hint="eastAsia"/>
          <w:b w:val="0"/>
          <w:bCs w:val="0"/>
          <w:sz w:val="32"/>
          <w:szCs w:val="32"/>
        </w:rPr>
        <w:t>。</w:t>
      </w:r>
    </w:p>
    <w:p w:rsidR="00CE2A09" w:rsidRDefault="00CE2A09">
      <w:pPr>
        <w:spacing w:line="600" w:lineRule="exact"/>
        <w:ind w:firstLineChars="200" w:firstLine="643"/>
        <w:rPr>
          <w:rFonts w:ascii="仿宋" w:eastAsia="仿宋" w:hAnsi="仿宋"/>
          <w:sz w:val="32"/>
          <w:szCs w:val="32"/>
        </w:rPr>
      </w:pPr>
      <w:r>
        <w:rPr>
          <w:rFonts w:ascii="仿宋" w:eastAsia="仿宋" w:hAnsi="仿宋" w:cs="仿宋"/>
          <w:b/>
          <w:bCs/>
          <w:sz w:val="32"/>
          <w:szCs w:val="32"/>
        </w:rPr>
        <w:t>7.</w:t>
      </w:r>
      <w:r>
        <w:rPr>
          <w:rFonts w:ascii="仿宋" w:eastAsia="仿宋" w:hAnsi="仿宋" w:cs="仿宋" w:hint="eastAsia"/>
          <w:b/>
          <w:bCs/>
          <w:sz w:val="32"/>
          <w:szCs w:val="32"/>
        </w:rPr>
        <w:t>城乡社区支出（类）城乡社区管理事务（款）其他城乡社区管理事务支出（项）：</w:t>
      </w:r>
      <w:r>
        <w:rPr>
          <w:rFonts w:ascii="仿宋" w:eastAsia="仿宋" w:hAnsi="仿宋" w:cs="仿宋" w:hint="eastAsia"/>
          <w:sz w:val="32"/>
          <w:szCs w:val="32"/>
        </w:rPr>
        <w:t>支出决算为</w:t>
      </w:r>
      <w:r>
        <w:rPr>
          <w:rFonts w:ascii="仿宋" w:eastAsia="仿宋" w:hAnsi="仿宋" w:cs="仿宋"/>
          <w:sz w:val="32"/>
          <w:szCs w:val="32"/>
        </w:rPr>
        <w:t>335.55</w:t>
      </w:r>
      <w:r>
        <w:rPr>
          <w:rFonts w:ascii="仿宋" w:eastAsia="仿宋" w:hAnsi="仿宋" w:cs="仿宋" w:hint="eastAsia"/>
          <w:sz w:val="32"/>
          <w:szCs w:val="32"/>
        </w:rPr>
        <w:t>万元，完成预算</w:t>
      </w:r>
      <w:r>
        <w:rPr>
          <w:rFonts w:ascii="仿宋" w:eastAsia="仿宋" w:hAnsi="仿宋" w:cs="仿宋"/>
          <w:sz w:val="32"/>
          <w:szCs w:val="32"/>
        </w:rPr>
        <w:t>100%</w:t>
      </w:r>
      <w:r>
        <w:rPr>
          <w:rFonts w:ascii="仿宋" w:eastAsia="仿宋" w:hAnsi="仿宋" w:cs="仿宋" w:hint="eastAsia"/>
          <w:sz w:val="32"/>
          <w:szCs w:val="32"/>
        </w:rPr>
        <w:t>。</w:t>
      </w:r>
    </w:p>
    <w:p w:rsidR="00CE2A09" w:rsidRDefault="00CE2A09">
      <w:pPr>
        <w:spacing w:line="600" w:lineRule="exact"/>
        <w:ind w:firstLineChars="200" w:firstLine="420"/>
        <w:rPr>
          <w:rFonts w:ascii="仿宋" w:eastAsia="仿宋" w:hAnsi="仿宋"/>
          <w:sz w:val="32"/>
          <w:szCs w:val="32"/>
        </w:rPr>
      </w:pPr>
      <w:r>
        <w:t xml:space="preserve">   </w:t>
      </w:r>
      <w:r>
        <w:rPr>
          <w:rFonts w:ascii="仿宋" w:eastAsia="仿宋" w:hAnsi="仿宋" w:cs="仿宋"/>
          <w:b/>
          <w:bCs/>
          <w:sz w:val="32"/>
          <w:szCs w:val="32"/>
        </w:rPr>
        <w:t>8.</w:t>
      </w:r>
      <w:r>
        <w:rPr>
          <w:rFonts w:ascii="仿宋" w:eastAsia="仿宋" w:hAnsi="仿宋" w:cs="仿宋" w:hint="eastAsia"/>
          <w:b/>
          <w:bCs/>
          <w:sz w:val="32"/>
          <w:szCs w:val="32"/>
        </w:rPr>
        <w:t>住房保障支出（类）住房改革支出（款）住房公积金（项）：</w:t>
      </w:r>
      <w:r>
        <w:rPr>
          <w:rFonts w:ascii="仿宋" w:eastAsia="仿宋" w:hAnsi="仿宋" w:cs="仿宋" w:hint="eastAsia"/>
          <w:sz w:val="32"/>
          <w:szCs w:val="32"/>
        </w:rPr>
        <w:t>支出决算为</w:t>
      </w:r>
      <w:r>
        <w:rPr>
          <w:rFonts w:ascii="仿宋" w:eastAsia="仿宋" w:hAnsi="仿宋" w:cs="仿宋"/>
          <w:sz w:val="32"/>
          <w:szCs w:val="32"/>
        </w:rPr>
        <w:t>6.58</w:t>
      </w:r>
      <w:r>
        <w:rPr>
          <w:rFonts w:ascii="仿宋" w:eastAsia="仿宋" w:hAnsi="仿宋" w:cs="仿宋" w:hint="eastAsia"/>
          <w:sz w:val="32"/>
          <w:szCs w:val="32"/>
        </w:rPr>
        <w:t>万元，完成预算</w:t>
      </w:r>
      <w:r>
        <w:rPr>
          <w:rFonts w:ascii="仿宋" w:eastAsia="仿宋" w:hAnsi="仿宋" w:cs="仿宋"/>
          <w:sz w:val="32"/>
          <w:szCs w:val="32"/>
        </w:rPr>
        <w:t>100%</w:t>
      </w:r>
      <w:r>
        <w:rPr>
          <w:rFonts w:ascii="仿宋" w:eastAsia="仿宋" w:hAnsi="仿宋" w:cs="仿宋" w:hint="eastAsia"/>
          <w:sz w:val="32"/>
          <w:szCs w:val="32"/>
        </w:rPr>
        <w:t>。</w:t>
      </w:r>
    </w:p>
    <w:p w:rsidR="00CE2A09" w:rsidRDefault="00CE2A09">
      <w:pPr>
        <w:tabs>
          <w:tab w:val="right" w:pos="8306"/>
        </w:tabs>
        <w:spacing w:line="600" w:lineRule="exact"/>
        <w:ind w:firstLine="640"/>
        <w:outlineLvl w:val="1"/>
        <w:rPr>
          <w:rStyle w:val="Heading2Char"/>
        </w:rPr>
      </w:pPr>
      <w:bookmarkStart w:id="37" w:name="_Toc15396608"/>
      <w:bookmarkStart w:id="38" w:name="_Toc15377214"/>
      <w:r>
        <w:rPr>
          <w:rFonts w:ascii="黑体" w:eastAsia="黑体" w:cs="黑体" w:hint="eastAsia"/>
          <w:sz w:val="32"/>
          <w:szCs w:val="32"/>
        </w:rPr>
        <w:t>六</w:t>
      </w:r>
      <w:r>
        <w:rPr>
          <w:rFonts w:ascii="黑体" w:eastAsia="黑体" w:cs="黑体" w:hint="eastAsia"/>
          <w:b/>
          <w:bCs/>
          <w:sz w:val="32"/>
          <w:szCs w:val="32"/>
        </w:rPr>
        <w:t>、</w:t>
      </w:r>
      <w:r>
        <w:rPr>
          <w:rFonts w:ascii="黑体" w:eastAsia="黑体" w:hAnsi="黑体" w:cs="黑体" w:hint="eastAsia"/>
          <w:b/>
          <w:bCs/>
          <w:sz w:val="32"/>
          <w:szCs w:val="32"/>
        </w:rPr>
        <w:t>一</w:t>
      </w:r>
      <w:r>
        <w:rPr>
          <w:rStyle w:val="Heading2Char"/>
          <w:rFonts w:ascii="黑体" w:eastAsia="黑体" w:hAnsi="黑体" w:cs="黑体" w:hint="eastAsia"/>
          <w:b w:val="0"/>
          <w:bCs w:val="0"/>
        </w:rPr>
        <w:t>般公共预算财政拨款基本支出决算情况说明</w:t>
      </w:r>
      <w:bookmarkEnd w:id="37"/>
      <w:bookmarkEnd w:id="38"/>
      <w:r>
        <w:rPr>
          <w:rStyle w:val="Heading2Char"/>
          <w:rFonts w:ascii="黑体" w:eastAsia="黑体" w:hAnsi="黑体" w:cs="Times New Roman"/>
          <w:b w:val="0"/>
          <w:bCs w:val="0"/>
        </w:rPr>
        <w:tab/>
      </w:r>
    </w:p>
    <w:p w:rsidR="00CE2A09" w:rsidRDefault="00CE2A09">
      <w:pPr>
        <w:spacing w:line="600" w:lineRule="exact"/>
        <w:ind w:firstLine="645"/>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年一般公共预算财政拨款基本支出</w:t>
      </w:r>
      <w:r>
        <w:rPr>
          <w:rFonts w:ascii="仿宋" w:eastAsia="仿宋" w:hAnsi="仿宋" w:cs="仿宋"/>
          <w:sz w:val="32"/>
          <w:szCs w:val="32"/>
        </w:rPr>
        <w:t>93.1</w:t>
      </w:r>
      <w:r>
        <w:rPr>
          <w:rFonts w:ascii="仿宋" w:eastAsia="仿宋" w:hAnsi="仿宋" w:cs="仿宋" w:hint="eastAsia"/>
          <w:sz w:val="32"/>
          <w:szCs w:val="32"/>
        </w:rPr>
        <w:t>万元，其中：</w:t>
      </w:r>
    </w:p>
    <w:p w:rsidR="00CE2A09" w:rsidRDefault="00CE2A09">
      <w:pPr>
        <w:spacing w:line="600" w:lineRule="exact"/>
        <w:ind w:firstLine="645"/>
        <w:rPr>
          <w:rFonts w:ascii="仿宋" w:eastAsia="仿宋" w:hAnsi="仿宋"/>
          <w:sz w:val="32"/>
          <w:szCs w:val="32"/>
        </w:rPr>
      </w:pPr>
      <w:r>
        <w:rPr>
          <w:rFonts w:ascii="仿宋" w:eastAsia="仿宋" w:hAnsi="仿宋" w:cs="仿宋" w:hint="eastAsia"/>
          <w:sz w:val="32"/>
          <w:szCs w:val="32"/>
        </w:rPr>
        <w:t>人员经费</w:t>
      </w:r>
      <w:r>
        <w:rPr>
          <w:rFonts w:ascii="仿宋" w:eastAsia="仿宋" w:hAnsi="仿宋" w:cs="仿宋"/>
          <w:sz w:val="32"/>
          <w:szCs w:val="32"/>
        </w:rPr>
        <w:t>82.93</w:t>
      </w:r>
      <w:r>
        <w:rPr>
          <w:rFonts w:ascii="仿宋" w:eastAsia="仿宋" w:hAnsi="仿宋" w:cs="仿宋" w:hint="eastAsia"/>
          <w:sz w:val="32"/>
          <w:szCs w:val="32"/>
        </w:rPr>
        <w:t>万元，主要包括：基本工资、津贴补贴、绩效工资、机关事业单位基本养老保险缴费、职工基本医疗保险缴费、公务员医疗补助缴费、其他社会保障缴费、其他工资福利支出、生活补助、医疗费补助、住房公积金、其他对个人和家庭的补助支出等。</w:t>
      </w:r>
    </w:p>
    <w:p w:rsidR="00CE2A09" w:rsidRDefault="00CE2A09">
      <w:pPr>
        <w:spacing w:line="600" w:lineRule="exact"/>
        <w:ind w:firstLine="645"/>
        <w:rPr>
          <w:rFonts w:ascii="仿宋" w:eastAsia="仿宋" w:hAnsi="仿宋"/>
          <w:sz w:val="32"/>
          <w:szCs w:val="32"/>
        </w:rPr>
      </w:pPr>
      <w:r>
        <w:rPr>
          <w:rFonts w:ascii="仿宋" w:eastAsia="仿宋" w:hAnsi="仿宋" w:cs="仿宋" w:hint="eastAsia"/>
          <w:sz w:val="32"/>
          <w:szCs w:val="32"/>
        </w:rPr>
        <w:t>公用经费</w:t>
      </w:r>
      <w:r>
        <w:rPr>
          <w:rFonts w:ascii="仿宋" w:eastAsia="仿宋" w:hAnsi="仿宋" w:cs="仿宋"/>
          <w:sz w:val="32"/>
          <w:szCs w:val="32"/>
        </w:rPr>
        <w:t>10.17</w:t>
      </w:r>
      <w:r>
        <w:rPr>
          <w:rFonts w:ascii="仿宋" w:eastAsia="仿宋" w:hAnsi="仿宋" w:cs="仿宋" w:hint="eastAsia"/>
          <w:sz w:val="32"/>
          <w:szCs w:val="32"/>
        </w:rPr>
        <w:t>万元，主要包括：办公费、水费、电费、邮电费、差旅费、工会经费、福利费、其他交通费、其他商品和服务支出等。</w:t>
      </w:r>
    </w:p>
    <w:p w:rsidR="00CE2A09" w:rsidRDefault="00CE2A09">
      <w:pPr>
        <w:spacing w:line="600" w:lineRule="exact"/>
        <w:ind w:firstLine="640"/>
        <w:outlineLvl w:val="1"/>
        <w:rPr>
          <w:rStyle w:val="Heading2Char"/>
          <w:rFonts w:ascii="黑体" w:eastAsia="黑体" w:hAnsi="黑体" w:cs="Times New Roman"/>
          <w:b w:val="0"/>
          <w:bCs w:val="0"/>
        </w:rPr>
      </w:pPr>
      <w:bookmarkStart w:id="39" w:name="_Toc15377215"/>
      <w:bookmarkStart w:id="40" w:name="_Toc15396609"/>
      <w:r>
        <w:rPr>
          <w:rFonts w:ascii="黑体" w:eastAsia="黑体" w:cs="黑体" w:hint="eastAsia"/>
          <w:sz w:val="32"/>
          <w:szCs w:val="32"/>
        </w:rPr>
        <w:t>七、</w:t>
      </w:r>
      <w:r>
        <w:rPr>
          <w:rStyle w:val="Heading2Char"/>
          <w:rFonts w:ascii="黑体" w:eastAsia="黑体" w:hAnsi="黑体" w:cs="黑体" w:hint="eastAsia"/>
        </w:rPr>
        <w:t>“</w:t>
      </w:r>
      <w:r>
        <w:rPr>
          <w:rStyle w:val="Heading2Char"/>
          <w:rFonts w:ascii="黑体" w:eastAsia="黑体" w:hAnsi="黑体" w:cs="黑体" w:hint="eastAsia"/>
          <w:b w:val="0"/>
          <w:bCs w:val="0"/>
        </w:rPr>
        <w:t>三公”经费财政拨款支出决算情况说明</w:t>
      </w:r>
      <w:bookmarkEnd w:id="39"/>
      <w:bookmarkEnd w:id="40"/>
    </w:p>
    <w:p w:rsidR="00CE2A09" w:rsidRDefault="00CE2A09">
      <w:pPr>
        <w:spacing w:line="600" w:lineRule="exact"/>
        <w:ind w:firstLine="640"/>
        <w:outlineLvl w:val="2"/>
        <w:rPr>
          <w:rFonts w:ascii="仿宋" w:eastAsia="仿宋" w:hAnsi="仿宋"/>
          <w:b/>
          <w:bCs/>
          <w:sz w:val="32"/>
          <w:szCs w:val="32"/>
        </w:rPr>
      </w:pPr>
      <w:bookmarkStart w:id="41" w:name="_Toc15377216"/>
      <w:r>
        <w:rPr>
          <w:rFonts w:ascii="仿宋" w:eastAsia="仿宋" w:hAnsi="仿宋" w:cs="仿宋" w:hint="eastAsia"/>
          <w:b/>
          <w:bCs/>
          <w:sz w:val="32"/>
          <w:szCs w:val="32"/>
        </w:rPr>
        <w:t>（一）“三公”经费财政拨款支出决算总体情况说明</w:t>
      </w:r>
      <w:bookmarkEnd w:id="41"/>
    </w:p>
    <w:p w:rsidR="00CE2A09" w:rsidRDefault="00CE2A09">
      <w:pPr>
        <w:spacing w:line="600" w:lineRule="exact"/>
        <w:ind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年“三公”经费财政拨款支出决算为</w:t>
      </w:r>
      <w:r>
        <w:rPr>
          <w:rFonts w:ascii="仿宋" w:eastAsia="仿宋" w:hAnsi="仿宋" w:cs="仿宋"/>
          <w:sz w:val="32"/>
          <w:szCs w:val="32"/>
        </w:rPr>
        <w:t>0</w:t>
      </w:r>
      <w:r>
        <w:rPr>
          <w:rFonts w:ascii="仿宋" w:eastAsia="仿宋" w:hAnsi="仿宋" w:cs="仿宋" w:hint="eastAsia"/>
          <w:sz w:val="32"/>
          <w:szCs w:val="32"/>
        </w:rPr>
        <w:t>万元，完成预算</w:t>
      </w:r>
      <w:r>
        <w:rPr>
          <w:rFonts w:ascii="仿宋" w:eastAsia="仿宋" w:hAnsi="仿宋" w:cs="仿宋"/>
          <w:sz w:val="32"/>
          <w:szCs w:val="32"/>
        </w:rPr>
        <w:t>0%</w:t>
      </w:r>
      <w:r>
        <w:rPr>
          <w:rFonts w:ascii="仿宋" w:eastAsia="仿宋" w:hAnsi="仿宋" w:cs="仿宋" w:hint="eastAsia"/>
          <w:sz w:val="32"/>
          <w:szCs w:val="32"/>
        </w:rPr>
        <w:t>，决算数小于预算数的主要原因是无公务接待。</w:t>
      </w:r>
    </w:p>
    <w:p w:rsidR="00CE2A09" w:rsidRDefault="00CE2A09">
      <w:pPr>
        <w:spacing w:line="600" w:lineRule="exact"/>
        <w:ind w:firstLine="640"/>
        <w:outlineLvl w:val="2"/>
        <w:rPr>
          <w:rFonts w:ascii="仿宋" w:eastAsia="仿宋" w:hAnsi="仿宋"/>
          <w:b/>
          <w:bCs/>
          <w:sz w:val="32"/>
          <w:szCs w:val="32"/>
        </w:rPr>
      </w:pPr>
      <w:bookmarkStart w:id="42" w:name="_Toc15377217"/>
      <w:r>
        <w:rPr>
          <w:rFonts w:ascii="仿宋" w:eastAsia="仿宋" w:hAnsi="仿宋" w:cs="仿宋" w:hint="eastAsia"/>
          <w:b/>
          <w:bCs/>
          <w:sz w:val="32"/>
          <w:szCs w:val="32"/>
        </w:rPr>
        <w:t>（二）“三公”经费财政拨款支出决算具体情况说明</w:t>
      </w:r>
      <w:bookmarkEnd w:id="42"/>
    </w:p>
    <w:p w:rsidR="00CE2A09" w:rsidRDefault="00CE2A09">
      <w:pPr>
        <w:spacing w:line="600" w:lineRule="exact"/>
        <w:ind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年“三公”经费财政拨款支出决算中，因公出国（境）费支出决算</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；公务用车购置及运行维护费支出决算</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；公务接待费支出决算</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。具体情况如下：</w:t>
      </w:r>
    </w:p>
    <w:p w:rsidR="00CE2A09" w:rsidRDefault="00CE2A09">
      <w:pPr>
        <w:spacing w:line="600" w:lineRule="exact"/>
        <w:ind w:firstLine="640"/>
        <w:rPr>
          <w:rFonts w:ascii="仿宋_GB2312" w:eastAsia="仿宋_GB2312"/>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因公出国（境）经费支出</w:t>
      </w:r>
      <w:r>
        <w:rPr>
          <w:rFonts w:ascii="仿宋_GB2312" w:eastAsia="仿宋_GB2312" w:cs="仿宋_GB2312"/>
          <w:sz w:val="32"/>
          <w:szCs w:val="32"/>
        </w:rPr>
        <w:t>0</w:t>
      </w:r>
      <w:r>
        <w:rPr>
          <w:rFonts w:ascii="仿宋_GB2312" w:eastAsia="仿宋_GB2312" w:cs="仿宋_GB2312" w:hint="eastAsia"/>
          <w:sz w:val="32"/>
          <w:szCs w:val="32"/>
        </w:rPr>
        <w:t>万元，</w:t>
      </w:r>
      <w:r>
        <w:rPr>
          <w:rStyle w:val="Strong"/>
          <w:rFonts w:ascii="仿宋" w:eastAsia="仿宋" w:hAnsi="仿宋" w:cs="仿宋" w:hint="eastAsia"/>
          <w:b w:val="0"/>
          <w:bCs w:val="0"/>
          <w:sz w:val="32"/>
          <w:szCs w:val="32"/>
        </w:rPr>
        <w:t>完成预算</w:t>
      </w:r>
      <w:r>
        <w:rPr>
          <w:rStyle w:val="Strong"/>
          <w:rFonts w:ascii="仿宋" w:eastAsia="仿宋" w:hAnsi="仿宋" w:cs="仿宋"/>
          <w:b w:val="0"/>
          <w:bCs w:val="0"/>
          <w:sz w:val="32"/>
          <w:szCs w:val="32"/>
        </w:rPr>
        <w:t>0%</w:t>
      </w:r>
      <w:r>
        <w:rPr>
          <w:rStyle w:val="Strong"/>
          <w:rFonts w:ascii="仿宋" w:eastAsia="仿宋" w:hAnsi="仿宋" w:cs="仿宋" w:hint="eastAsia"/>
          <w:b w:val="0"/>
          <w:bCs w:val="0"/>
          <w:sz w:val="32"/>
          <w:szCs w:val="32"/>
        </w:rPr>
        <w:t>。</w:t>
      </w:r>
      <w:r>
        <w:rPr>
          <w:rFonts w:ascii="仿宋_GB2312" w:eastAsia="仿宋_GB2312" w:cs="仿宋_GB2312" w:hint="eastAsia"/>
          <w:sz w:val="32"/>
          <w:szCs w:val="32"/>
        </w:rPr>
        <w:t>全年安排因公出国（境）团组</w:t>
      </w:r>
      <w:r>
        <w:rPr>
          <w:rFonts w:ascii="仿宋_GB2312" w:eastAsia="仿宋_GB2312" w:cs="仿宋_GB2312"/>
          <w:sz w:val="32"/>
          <w:szCs w:val="32"/>
        </w:rPr>
        <w:t>0</w:t>
      </w:r>
      <w:r>
        <w:rPr>
          <w:rFonts w:ascii="仿宋_GB2312" w:eastAsia="仿宋_GB2312" w:cs="仿宋_GB2312" w:hint="eastAsia"/>
          <w:sz w:val="32"/>
          <w:szCs w:val="32"/>
        </w:rPr>
        <w:t>次，出国（境）</w:t>
      </w:r>
      <w:r>
        <w:rPr>
          <w:rFonts w:ascii="仿宋_GB2312" w:eastAsia="仿宋_GB2312" w:cs="仿宋_GB2312"/>
          <w:sz w:val="32"/>
          <w:szCs w:val="32"/>
        </w:rPr>
        <w:t>0</w:t>
      </w:r>
      <w:r>
        <w:rPr>
          <w:rFonts w:ascii="仿宋_GB2312" w:eastAsia="仿宋_GB2312" w:cs="仿宋_GB2312" w:hint="eastAsia"/>
          <w:sz w:val="32"/>
          <w:szCs w:val="32"/>
        </w:rPr>
        <w:t>人。因公出国（境）支出决算比</w:t>
      </w:r>
      <w:r>
        <w:rPr>
          <w:rFonts w:ascii="仿宋_GB2312" w:eastAsia="仿宋_GB2312" w:cs="仿宋_GB2312"/>
          <w:sz w:val="32"/>
          <w:szCs w:val="32"/>
        </w:rPr>
        <w:t>2020</w:t>
      </w:r>
      <w:r>
        <w:rPr>
          <w:rFonts w:ascii="仿宋_GB2312" w:eastAsia="仿宋_GB2312" w:cs="仿宋_GB2312" w:hint="eastAsia"/>
          <w:sz w:val="32"/>
          <w:szCs w:val="32"/>
        </w:rPr>
        <w:t>年减少</w:t>
      </w:r>
      <w:r>
        <w:rPr>
          <w:rFonts w:ascii="仿宋_GB2312" w:eastAsia="仿宋_GB2312" w:cs="仿宋_GB2312"/>
          <w:sz w:val="32"/>
          <w:szCs w:val="32"/>
        </w:rPr>
        <w:t>0</w:t>
      </w:r>
      <w:r>
        <w:rPr>
          <w:rFonts w:ascii="仿宋_GB2312" w:eastAsia="仿宋_GB2312" w:cs="仿宋_GB2312" w:hint="eastAsia"/>
          <w:sz w:val="32"/>
          <w:szCs w:val="32"/>
        </w:rPr>
        <w:t>万元，</w:t>
      </w:r>
      <w:r>
        <w:rPr>
          <w:rFonts w:ascii="仿宋_GB2312" w:eastAsia="仿宋_GB2312" w:cs="仿宋_GB2312"/>
          <w:sz w:val="32"/>
          <w:szCs w:val="32"/>
        </w:rPr>
        <w:t xml:space="preserve"> </w:t>
      </w:r>
      <w:r>
        <w:rPr>
          <w:rFonts w:ascii="仿宋_GB2312" w:eastAsia="仿宋_GB2312" w:cs="仿宋_GB2312" w:hint="eastAsia"/>
          <w:sz w:val="32"/>
          <w:szCs w:val="32"/>
        </w:rPr>
        <w:t>下降</w:t>
      </w:r>
      <w:r>
        <w:rPr>
          <w:rFonts w:ascii="仿宋_GB2312" w:eastAsia="仿宋_GB2312" w:cs="仿宋_GB2312"/>
          <w:sz w:val="32"/>
          <w:szCs w:val="32"/>
        </w:rPr>
        <w:t>0%</w:t>
      </w:r>
      <w:r>
        <w:rPr>
          <w:rFonts w:ascii="仿宋_GB2312" w:eastAsia="仿宋_GB2312" w:cs="仿宋_GB2312" w:hint="eastAsia"/>
          <w:sz w:val="32"/>
          <w:szCs w:val="32"/>
        </w:rPr>
        <w:t>。主要原因是无因公出国（境）。</w:t>
      </w:r>
    </w:p>
    <w:p w:rsidR="00CE2A09" w:rsidRDefault="00CE2A09">
      <w:pPr>
        <w:spacing w:line="600" w:lineRule="exact"/>
        <w:ind w:firstLine="640"/>
        <w:rPr>
          <w:rFonts w:ascii="仿宋_GB2312" w:eastAsia="仿宋_GB2312"/>
          <w:sz w:val="32"/>
          <w:szCs w:val="32"/>
        </w:rPr>
      </w:pPr>
      <w:r>
        <w:rPr>
          <w:rFonts w:ascii="仿宋_GB2312" w:eastAsia="仿宋_GB2312" w:cs="仿宋_GB2312" w:hint="eastAsia"/>
          <w:sz w:val="32"/>
          <w:szCs w:val="32"/>
        </w:rPr>
        <w:t>开支内容包括：无。</w:t>
      </w:r>
    </w:p>
    <w:p w:rsidR="00CE2A09" w:rsidRDefault="00CE2A09">
      <w:pPr>
        <w:spacing w:line="600" w:lineRule="exact"/>
        <w:ind w:firstLine="640"/>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公务用车购置及运行维护费支出</w:t>
      </w:r>
      <w:r>
        <w:rPr>
          <w:rFonts w:ascii="仿宋_GB2312" w:eastAsia="仿宋_GB2312" w:cs="仿宋_GB2312"/>
          <w:sz w:val="32"/>
          <w:szCs w:val="32"/>
        </w:rPr>
        <w:t>0</w:t>
      </w:r>
      <w:r>
        <w:rPr>
          <w:rFonts w:ascii="仿宋_GB2312" w:eastAsia="仿宋_GB2312" w:cs="仿宋_GB2312" w:hint="eastAsia"/>
          <w:sz w:val="32"/>
          <w:szCs w:val="32"/>
        </w:rPr>
        <w:t>万元</w:t>
      </w:r>
      <w:r>
        <w:rPr>
          <w:rFonts w:ascii="仿宋_GB2312" w:eastAsia="仿宋_GB2312" w:cs="仿宋_GB2312"/>
          <w:sz w:val="32"/>
          <w:szCs w:val="32"/>
        </w:rPr>
        <w:t>,</w:t>
      </w:r>
      <w:r>
        <w:rPr>
          <w:rStyle w:val="Strong"/>
          <w:rFonts w:ascii="仿宋" w:eastAsia="仿宋" w:hAnsi="仿宋" w:cs="仿宋" w:hint="eastAsia"/>
          <w:b w:val="0"/>
          <w:bCs w:val="0"/>
          <w:sz w:val="32"/>
          <w:szCs w:val="32"/>
        </w:rPr>
        <w:t>完成预算</w:t>
      </w:r>
      <w:r>
        <w:rPr>
          <w:rStyle w:val="Strong"/>
          <w:rFonts w:ascii="仿宋" w:eastAsia="仿宋" w:hAnsi="仿宋" w:cs="仿宋"/>
          <w:b w:val="0"/>
          <w:bCs w:val="0"/>
          <w:sz w:val="32"/>
          <w:szCs w:val="32"/>
        </w:rPr>
        <w:t>0%</w:t>
      </w:r>
      <w:r>
        <w:rPr>
          <w:rStyle w:val="Strong"/>
          <w:rFonts w:ascii="仿宋" w:eastAsia="仿宋" w:hAnsi="仿宋" w:cs="仿宋" w:hint="eastAsia"/>
          <w:b w:val="0"/>
          <w:bCs w:val="0"/>
          <w:sz w:val="32"/>
          <w:szCs w:val="32"/>
        </w:rPr>
        <w:t>。</w:t>
      </w:r>
      <w:r>
        <w:rPr>
          <w:rFonts w:ascii="仿宋_GB2312" w:eastAsia="仿宋_GB2312" w:cs="仿宋_GB2312" w:hint="eastAsia"/>
          <w:sz w:val="32"/>
          <w:szCs w:val="32"/>
        </w:rPr>
        <w:t>公务用车购置及运行维护费支出决算比</w:t>
      </w:r>
      <w:r>
        <w:rPr>
          <w:rFonts w:ascii="仿宋_GB2312" w:eastAsia="仿宋_GB2312" w:cs="仿宋_GB2312"/>
          <w:sz w:val="32"/>
          <w:szCs w:val="32"/>
        </w:rPr>
        <w:t>2020</w:t>
      </w:r>
      <w:r>
        <w:rPr>
          <w:rFonts w:ascii="仿宋_GB2312" w:eastAsia="仿宋_GB2312" w:cs="仿宋_GB2312" w:hint="eastAsia"/>
          <w:sz w:val="32"/>
          <w:szCs w:val="32"/>
        </w:rPr>
        <w:t>年减少</w:t>
      </w:r>
      <w:r>
        <w:rPr>
          <w:rFonts w:ascii="仿宋_GB2312" w:eastAsia="仿宋_GB2312" w:cs="仿宋_GB2312"/>
          <w:sz w:val="32"/>
          <w:szCs w:val="32"/>
        </w:rPr>
        <w:t>0</w:t>
      </w:r>
      <w:r>
        <w:rPr>
          <w:rFonts w:ascii="仿宋_GB2312" w:eastAsia="仿宋_GB2312" w:cs="仿宋_GB2312" w:hint="eastAsia"/>
          <w:sz w:val="32"/>
          <w:szCs w:val="32"/>
        </w:rPr>
        <w:t>万元，下降</w:t>
      </w:r>
      <w:r>
        <w:rPr>
          <w:rFonts w:ascii="仿宋_GB2312" w:eastAsia="仿宋_GB2312" w:cs="仿宋_GB2312"/>
          <w:sz w:val="32"/>
          <w:szCs w:val="32"/>
        </w:rPr>
        <w:t>0%</w:t>
      </w:r>
      <w:r>
        <w:rPr>
          <w:rFonts w:ascii="仿宋_GB2312" w:eastAsia="仿宋_GB2312" w:cs="仿宋_GB2312" w:hint="eastAsia"/>
          <w:sz w:val="32"/>
          <w:szCs w:val="32"/>
        </w:rPr>
        <w:t>。主要原因是无公务用车购置及运行维护费。</w:t>
      </w:r>
    </w:p>
    <w:p w:rsidR="00CE2A09" w:rsidRDefault="00CE2A09">
      <w:pPr>
        <w:spacing w:line="600" w:lineRule="exact"/>
        <w:ind w:firstLineChars="200" w:firstLine="640"/>
        <w:rPr>
          <w:rFonts w:ascii="仿宋_GB2312" w:eastAsia="仿宋_GB2312"/>
          <w:b/>
          <w:bCs/>
          <w:sz w:val="32"/>
          <w:szCs w:val="32"/>
        </w:rPr>
      </w:pPr>
      <w:r>
        <w:rPr>
          <w:rFonts w:ascii="仿宋_GB2312" w:eastAsia="仿宋_GB2312" w:cs="仿宋_GB2312" w:hint="eastAsia"/>
          <w:sz w:val="32"/>
          <w:szCs w:val="32"/>
        </w:rPr>
        <w:t>其中：</w:t>
      </w:r>
      <w:r>
        <w:rPr>
          <w:rFonts w:ascii="仿宋_GB2312" w:eastAsia="仿宋_GB2312" w:cs="仿宋_GB2312" w:hint="eastAsia"/>
          <w:b/>
          <w:bCs/>
          <w:sz w:val="32"/>
          <w:szCs w:val="32"/>
        </w:rPr>
        <w:t>公务用车购置支出</w:t>
      </w:r>
      <w:r>
        <w:rPr>
          <w:rFonts w:ascii="仿宋_GB2312" w:eastAsia="仿宋_GB2312" w:cs="仿宋_GB2312"/>
          <w:sz w:val="32"/>
          <w:szCs w:val="32"/>
        </w:rPr>
        <w:t>0</w:t>
      </w:r>
      <w:r>
        <w:rPr>
          <w:rFonts w:ascii="仿宋_GB2312" w:eastAsia="仿宋_GB2312" w:cs="仿宋_GB2312" w:hint="eastAsia"/>
          <w:sz w:val="32"/>
          <w:szCs w:val="32"/>
        </w:rPr>
        <w:t>万元。全年按规定更新购置公务用车</w:t>
      </w:r>
      <w:r>
        <w:rPr>
          <w:rFonts w:ascii="仿宋_GB2312" w:eastAsia="仿宋_GB2312" w:cs="仿宋_GB2312"/>
          <w:sz w:val="32"/>
          <w:szCs w:val="32"/>
        </w:rPr>
        <w:t>0</w:t>
      </w:r>
      <w:r>
        <w:rPr>
          <w:rFonts w:ascii="仿宋_GB2312" w:eastAsia="仿宋_GB2312" w:cs="仿宋_GB2312" w:hint="eastAsia"/>
          <w:sz w:val="32"/>
          <w:szCs w:val="32"/>
        </w:rPr>
        <w:t>辆，其中：轿车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万元，越野车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万元，载客汽车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万元。截至</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月底，单位共有公务用车</w:t>
      </w:r>
      <w:r>
        <w:rPr>
          <w:rFonts w:ascii="仿宋_GB2312" w:eastAsia="仿宋_GB2312" w:cs="仿宋_GB2312"/>
          <w:sz w:val="32"/>
          <w:szCs w:val="32"/>
        </w:rPr>
        <w:t>0</w:t>
      </w:r>
      <w:r>
        <w:rPr>
          <w:rFonts w:ascii="仿宋_GB2312" w:eastAsia="仿宋_GB2312" w:cs="仿宋_GB2312" w:hint="eastAsia"/>
          <w:sz w:val="32"/>
          <w:szCs w:val="32"/>
        </w:rPr>
        <w:t>辆，其中：轿车</w:t>
      </w:r>
      <w:r>
        <w:rPr>
          <w:rFonts w:ascii="仿宋_GB2312" w:eastAsia="仿宋_GB2312" w:cs="仿宋_GB2312"/>
          <w:sz w:val="32"/>
          <w:szCs w:val="32"/>
        </w:rPr>
        <w:t>0</w:t>
      </w:r>
      <w:r>
        <w:rPr>
          <w:rFonts w:ascii="仿宋_GB2312" w:eastAsia="仿宋_GB2312" w:cs="仿宋_GB2312" w:hint="eastAsia"/>
          <w:sz w:val="32"/>
          <w:szCs w:val="32"/>
        </w:rPr>
        <w:t>辆、越野车</w:t>
      </w:r>
      <w:r>
        <w:rPr>
          <w:rFonts w:ascii="仿宋_GB2312" w:eastAsia="仿宋_GB2312" w:cs="仿宋_GB2312"/>
          <w:sz w:val="32"/>
          <w:szCs w:val="32"/>
        </w:rPr>
        <w:t>0</w:t>
      </w:r>
      <w:r>
        <w:rPr>
          <w:rFonts w:ascii="仿宋_GB2312" w:eastAsia="仿宋_GB2312" w:cs="仿宋_GB2312" w:hint="eastAsia"/>
          <w:sz w:val="32"/>
          <w:szCs w:val="32"/>
        </w:rPr>
        <w:t>辆、载客汽车</w:t>
      </w:r>
      <w:r>
        <w:rPr>
          <w:rFonts w:ascii="仿宋_GB2312" w:eastAsia="仿宋_GB2312" w:cs="仿宋_GB2312"/>
          <w:sz w:val="32"/>
          <w:szCs w:val="32"/>
        </w:rPr>
        <w:t>0</w:t>
      </w:r>
      <w:r>
        <w:rPr>
          <w:rFonts w:ascii="仿宋_GB2312" w:eastAsia="仿宋_GB2312" w:cs="仿宋_GB2312" w:hint="eastAsia"/>
          <w:sz w:val="32"/>
          <w:szCs w:val="32"/>
        </w:rPr>
        <w:t>辆。</w:t>
      </w:r>
    </w:p>
    <w:p w:rsidR="00CE2A09" w:rsidRDefault="00CE2A09">
      <w:pPr>
        <w:spacing w:line="600" w:lineRule="exact"/>
        <w:ind w:firstLine="640"/>
        <w:rPr>
          <w:rFonts w:ascii="仿宋_GB2312" w:eastAsia="仿宋_GB2312"/>
          <w:sz w:val="32"/>
          <w:szCs w:val="32"/>
        </w:rPr>
      </w:pPr>
      <w:r>
        <w:rPr>
          <w:rFonts w:ascii="仿宋_GB2312" w:eastAsia="仿宋_GB2312" w:cs="仿宋_GB2312" w:hint="eastAsia"/>
          <w:b/>
          <w:bCs/>
          <w:sz w:val="32"/>
          <w:szCs w:val="32"/>
        </w:rPr>
        <w:t>公务用车运行维护费支出</w:t>
      </w:r>
      <w:r>
        <w:rPr>
          <w:rFonts w:ascii="仿宋_GB2312" w:eastAsia="仿宋_GB2312" w:cs="仿宋_GB2312"/>
          <w:sz w:val="32"/>
          <w:szCs w:val="32"/>
        </w:rPr>
        <w:t>0</w:t>
      </w:r>
      <w:r>
        <w:rPr>
          <w:rFonts w:ascii="仿宋_GB2312" w:eastAsia="仿宋_GB2312" w:cs="仿宋_GB2312" w:hint="eastAsia"/>
          <w:sz w:val="32"/>
          <w:szCs w:val="32"/>
        </w:rPr>
        <w:t>万元。</w:t>
      </w:r>
    </w:p>
    <w:p w:rsidR="00CE2A09" w:rsidRDefault="00CE2A09">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公务接待费支出</w:t>
      </w:r>
      <w:r>
        <w:rPr>
          <w:rFonts w:ascii="仿宋_GB2312" w:eastAsia="仿宋_GB2312" w:cs="仿宋_GB2312"/>
          <w:sz w:val="32"/>
          <w:szCs w:val="32"/>
        </w:rPr>
        <w:t>0</w:t>
      </w:r>
      <w:r>
        <w:rPr>
          <w:rFonts w:ascii="仿宋_GB2312" w:eastAsia="仿宋_GB2312" w:cs="仿宋_GB2312" w:hint="eastAsia"/>
          <w:sz w:val="32"/>
          <w:szCs w:val="32"/>
        </w:rPr>
        <w:t>万元，</w:t>
      </w:r>
      <w:r>
        <w:rPr>
          <w:rStyle w:val="Strong"/>
          <w:rFonts w:ascii="仿宋" w:eastAsia="仿宋" w:hAnsi="仿宋" w:cs="仿宋" w:hint="eastAsia"/>
          <w:b w:val="0"/>
          <w:bCs w:val="0"/>
          <w:sz w:val="32"/>
          <w:szCs w:val="32"/>
        </w:rPr>
        <w:t>完成预算</w:t>
      </w:r>
      <w:r>
        <w:rPr>
          <w:rStyle w:val="Strong"/>
          <w:rFonts w:ascii="仿宋" w:eastAsia="仿宋" w:hAnsi="仿宋" w:cs="仿宋"/>
          <w:b w:val="0"/>
          <w:bCs w:val="0"/>
          <w:sz w:val="32"/>
          <w:szCs w:val="32"/>
        </w:rPr>
        <w:t>0%</w:t>
      </w:r>
      <w:r>
        <w:rPr>
          <w:rStyle w:val="Strong"/>
          <w:rFonts w:ascii="仿宋" w:eastAsia="仿宋" w:hAnsi="仿宋" w:cs="仿宋" w:hint="eastAsia"/>
          <w:b w:val="0"/>
          <w:bCs w:val="0"/>
          <w:sz w:val="32"/>
          <w:szCs w:val="32"/>
        </w:rPr>
        <w:t>。</w:t>
      </w:r>
      <w:r>
        <w:rPr>
          <w:rFonts w:ascii="仿宋_GB2312" w:eastAsia="仿宋_GB2312" w:cs="仿宋_GB2312" w:hint="eastAsia"/>
          <w:sz w:val="32"/>
          <w:szCs w:val="32"/>
        </w:rPr>
        <w:t>公务接待费支出决算比</w:t>
      </w:r>
      <w:r>
        <w:rPr>
          <w:rFonts w:ascii="仿宋_GB2312" w:eastAsia="仿宋_GB2312" w:cs="仿宋_GB2312"/>
          <w:sz w:val="32"/>
          <w:szCs w:val="32"/>
        </w:rPr>
        <w:t>2020</w:t>
      </w:r>
      <w:r>
        <w:rPr>
          <w:rFonts w:ascii="仿宋_GB2312" w:eastAsia="仿宋_GB2312" w:cs="仿宋_GB2312" w:hint="eastAsia"/>
          <w:sz w:val="32"/>
          <w:szCs w:val="32"/>
        </w:rPr>
        <w:t>年减少</w:t>
      </w:r>
      <w:r>
        <w:rPr>
          <w:rFonts w:ascii="仿宋_GB2312" w:eastAsia="仿宋_GB2312" w:cs="仿宋_GB2312"/>
          <w:sz w:val="32"/>
          <w:szCs w:val="32"/>
        </w:rPr>
        <w:t>0</w:t>
      </w:r>
      <w:r>
        <w:rPr>
          <w:rFonts w:ascii="仿宋_GB2312" w:eastAsia="仿宋_GB2312" w:cs="仿宋_GB2312" w:hint="eastAsia"/>
          <w:sz w:val="32"/>
          <w:szCs w:val="32"/>
        </w:rPr>
        <w:t>万元，下降</w:t>
      </w:r>
      <w:r>
        <w:rPr>
          <w:rFonts w:ascii="仿宋_GB2312" w:eastAsia="仿宋_GB2312" w:cs="仿宋_GB2312"/>
          <w:sz w:val="32"/>
          <w:szCs w:val="32"/>
        </w:rPr>
        <w:t>0%</w:t>
      </w:r>
      <w:r>
        <w:rPr>
          <w:rFonts w:ascii="仿宋_GB2312" w:eastAsia="仿宋_GB2312" w:cs="仿宋_GB2312" w:hint="eastAsia"/>
          <w:sz w:val="32"/>
          <w:szCs w:val="32"/>
        </w:rPr>
        <w:t>。</w:t>
      </w:r>
    </w:p>
    <w:p w:rsidR="00CE2A09" w:rsidRDefault="00CE2A09">
      <w:pPr>
        <w:spacing w:line="600" w:lineRule="exact"/>
        <w:ind w:firstLine="640"/>
        <w:rPr>
          <w:rFonts w:ascii="仿宋_GB2312" w:eastAsia="仿宋_GB2312"/>
          <w:sz w:val="32"/>
          <w:szCs w:val="32"/>
        </w:rPr>
      </w:pPr>
      <w:r>
        <w:rPr>
          <w:rFonts w:ascii="仿宋" w:eastAsia="仿宋" w:hAnsi="仿宋" w:cs="仿宋" w:hint="eastAsia"/>
          <w:b/>
          <w:bCs/>
          <w:sz w:val="32"/>
          <w:szCs w:val="32"/>
        </w:rPr>
        <w:t>国内公务接待支出</w:t>
      </w:r>
      <w:r>
        <w:rPr>
          <w:rFonts w:ascii="仿宋" w:eastAsia="仿宋" w:hAnsi="仿宋" w:cs="仿宋"/>
          <w:sz w:val="32"/>
          <w:szCs w:val="32"/>
        </w:rPr>
        <w:t>0</w:t>
      </w:r>
      <w:r>
        <w:rPr>
          <w:rFonts w:ascii="仿宋_GB2312" w:eastAsia="仿宋_GB2312" w:cs="仿宋_GB2312" w:hint="eastAsia"/>
          <w:sz w:val="32"/>
          <w:szCs w:val="32"/>
        </w:rPr>
        <w:t>万元，主要用于无。国内公务接待</w:t>
      </w:r>
      <w:r>
        <w:rPr>
          <w:rFonts w:ascii="仿宋_GB2312" w:eastAsia="仿宋_GB2312" w:cs="仿宋_GB2312"/>
          <w:sz w:val="32"/>
          <w:szCs w:val="32"/>
        </w:rPr>
        <w:t>0</w:t>
      </w:r>
      <w:r>
        <w:rPr>
          <w:rFonts w:ascii="仿宋_GB2312" w:eastAsia="仿宋_GB2312" w:cs="仿宋_GB2312" w:hint="eastAsia"/>
          <w:sz w:val="32"/>
          <w:szCs w:val="32"/>
        </w:rPr>
        <w:t>批次，</w:t>
      </w:r>
      <w:r>
        <w:rPr>
          <w:rFonts w:ascii="仿宋_GB2312" w:eastAsia="仿宋_GB2312" w:cs="仿宋_GB2312"/>
          <w:sz w:val="32"/>
          <w:szCs w:val="32"/>
        </w:rPr>
        <w:t>0</w:t>
      </w:r>
      <w:r>
        <w:rPr>
          <w:rFonts w:ascii="仿宋_GB2312" w:eastAsia="仿宋_GB2312" w:cs="仿宋_GB2312" w:hint="eastAsia"/>
          <w:sz w:val="32"/>
          <w:szCs w:val="32"/>
        </w:rPr>
        <w:t>人次（不包括陪同人员），共计支出</w:t>
      </w:r>
      <w:r>
        <w:rPr>
          <w:rFonts w:ascii="仿宋_GB2312" w:eastAsia="仿宋_GB2312" w:cs="仿宋_GB2312"/>
          <w:sz w:val="32"/>
          <w:szCs w:val="32"/>
        </w:rPr>
        <w:t>0</w:t>
      </w:r>
      <w:r>
        <w:rPr>
          <w:rFonts w:ascii="仿宋_GB2312" w:eastAsia="仿宋_GB2312" w:cs="仿宋_GB2312" w:hint="eastAsia"/>
          <w:sz w:val="32"/>
          <w:szCs w:val="32"/>
        </w:rPr>
        <w:t>万元。</w:t>
      </w:r>
    </w:p>
    <w:p w:rsidR="00CE2A09" w:rsidRPr="00797B7C" w:rsidRDefault="00CE2A09" w:rsidP="00797B7C">
      <w:pPr>
        <w:spacing w:line="600" w:lineRule="exact"/>
        <w:ind w:firstLineChars="200" w:firstLine="643"/>
        <w:rPr>
          <w:rFonts w:ascii="仿宋_GB2312" w:eastAsia="仿宋_GB2312"/>
          <w:sz w:val="32"/>
          <w:szCs w:val="32"/>
        </w:rPr>
      </w:pPr>
      <w:r>
        <w:rPr>
          <w:rFonts w:ascii="仿宋" w:eastAsia="仿宋" w:hAnsi="仿宋" w:cs="仿宋" w:hint="eastAsia"/>
          <w:b/>
          <w:bCs/>
          <w:sz w:val="32"/>
          <w:szCs w:val="32"/>
        </w:rPr>
        <w:t>外事接待支出</w:t>
      </w:r>
      <w:r>
        <w:rPr>
          <w:rFonts w:ascii="仿宋" w:eastAsia="仿宋" w:hAnsi="仿宋" w:cs="仿宋"/>
          <w:sz w:val="32"/>
          <w:szCs w:val="32"/>
        </w:rPr>
        <w:t>0</w:t>
      </w:r>
      <w:r>
        <w:rPr>
          <w:rFonts w:ascii="仿宋_GB2312" w:eastAsia="仿宋_GB2312" w:cs="仿宋_GB2312" w:hint="eastAsia"/>
          <w:sz w:val="32"/>
          <w:szCs w:val="32"/>
        </w:rPr>
        <w:t>万元，外事接待</w:t>
      </w:r>
      <w:r>
        <w:rPr>
          <w:rFonts w:ascii="仿宋_GB2312" w:eastAsia="仿宋_GB2312" w:cs="仿宋_GB2312"/>
          <w:sz w:val="32"/>
          <w:szCs w:val="32"/>
        </w:rPr>
        <w:t>0</w:t>
      </w:r>
      <w:r>
        <w:rPr>
          <w:rFonts w:ascii="仿宋_GB2312" w:eastAsia="仿宋_GB2312" w:cs="仿宋_GB2312" w:hint="eastAsia"/>
          <w:sz w:val="32"/>
          <w:szCs w:val="32"/>
        </w:rPr>
        <w:t>批次，</w:t>
      </w:r>
      <w:r>
        <w:rPr>
          <w:rFonts w:ascii="仿宋_GB2312" w:eastAsia="仿宋_GB2312" w:cs="仿宋_GB2312"/>
          <w:sz w:val="32"/>
          <w:szCs w:val="32"/>
        </w:rPr>
        <w:t>0</w:t>
      </w:r>
      <w:r>
        <w:rPr>
          <w:rFonts w:ascii="仿宋_GB2312" w:eastAsia="仿宋_GB2312" w:cs="仿宋_GB2312" w:hint="eastAsia"/>
          <w:sz w:val="32"/>
          <w:szCs w:val="32"/>
        </w:rPr>
        <w:t>人，共计支出</w:t>
      </w:r>
      <w:r>
        <w:rPr>
          <w:rFonts w:ascii="仿宋_GB2312" w:eastAsia="仿宋_GB2312" w:cs="仿宋_GB2312"/>
          <w:sz w:val="32"/>
          <w:szCs w:val="32"/>
        </w:rPr>
        <w:t>0</w:t>
      </w:r>
      <w:r>
        <w:rPr>
          <w:rFonts w:ascii="仿宋_GB2312" w:eastAsia="仿宋_GB2312" w:cs="仿宋_GB2312" w:hint="eastAsia"/>
          <w:sz w:val="32"/>
          <w:szCs w:val="32"/>
        </w:rPr>
        <w:t>万元。</w:t>
      </w:r>
      <w:bookmarkStart w:id="43" w:name="_Toc15377218"/>
      <w:bookmarkStart w:id="44" w:name="_Toc15396610"/>
    </w:p>
    <w:p w:rsidR="00CE2A09" w:rsidRDefault="00CE2A09">
      <w:pPr>
        <w:spacing w:line="600" w:lineRule="exact"/>
        <w:ind w:firstLine="640"/>
        <w:outlineLvl w:val="1"/>
        <w:rPr>
          <w:rStyle w:val="Heading2Char"/>
          <w:rFonts w:ascii="黑体" w:eastAsia="黑体" w:hAnsi="黑体" w:cs="Times New Roman"/>
        </w:rPr>
      </w:pPr>
      <w:r>
        <w:rPr>
          <w:rFonts w:ascii="黑体" w:eastAsia="黑体" w:cs="黑体" w:hint="eastAsia"/>
          <w:sz w:val="32"/>
          <w:szCs w:val="32"/>
        </w:rPr>
        <w:t>八、</w:t>
      </w:r>
      <w:r>
        <w:rPr>
          <w:rStyle w:val="Heading2Char"/>
          <w:rFonts w:ascii="黑体" w:eastAsia="黑体" w:hAnsi="黑体" w:cs="黑体" w:hint="eastAsia"/>
          <w:b w:val="0"/>
          <w:bCs w:val="0"/>
        </w:rPr>
        <w:t>政府性基金预算支出决算情况说明</w:t>
      </w:r>
      <w:bookmarkEnd w:id="43"/>
      <w:bookmarkEnd w:id="44"/>
    </w:p>
    <w:p w:rsidR="00CE2A09" w:rsidRDefault="00CE2A09">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年政府性基金预算财政拨款支出</w:t>
      </w:r>
      <w:r>
        <w:rPr>
          <w:rFonts w:ascii="仿宋_GB2312" w:eastAsia="仿宋_GB2312" w:cs="仿宋_GB2312"/>
          <w:sz w:val="32"/>
          <w:szCs w:val="32"/>
        </w:rPr>
        <w:t>0</w:t>
      </w:r>
      <w:r>
        <w:rPr>
          <w:rFonts w:ascii="仿宋_GB2312" w:eastAsia="仿宋_GB2312" w:cs="仿宋_GB2312" w:hint="eastAsia"/>
          <w:sz w:val="32"/>
          <w:szCs w:val="32"/>
        </w:rPr>
        <w:t>万元。</w:t>
      </w:r>
    </w:p>
    <w:p w:rsidR="00CE2A09" w:rsidRDefault="00CE2A09">
      <w:pPr>
        <w:numPr>
          <w:ilvl w:val="0"/>
          <w:numId w:val="2"/>
        </w:numPr>
        <w:spacing w:line="600" w:lineRule="exact"/>
        <w:ind w:firstLine="640"/>
        <w:outlineLvl w:val="1"/>
        <w:rPr>
          <w:rStyle w:val="Heading2Char"/>
          <w:rFonts w:ascii="黑体" w:eastAsia="黑体" w:hAnsi="黑体" w:cs="Times New Roman"/>
          <w:b w:val="0"/>
          <w:bCs w:val="0"/>
        </w:rPr>
      </w:pPr>
      <w:bookmarkStart w:id="45" w:name="_Toc15396611"/>
      <w:bookmarkStart w:id="46" w:name="_Toc15377219"/>
      <w:r>
        <w:rPr>
          <w:rStyle w:val="Heading2Char"/>
          <w:rFonts w:ascii="黑体" w:eastAsia="黑体" w:hAnsi="黑体" w:cs="黑体" w:hint="eastAsia"/>
          <w:b w:val="0"/>
          <w:bCs w:val="0"/>
        </w:rPr>
        <w:t>国有资本经营预算支出决算情况说明</w:t>
      </w:r>
      <w:bookmarkEnd w:id="45"/>
      <w:bookmarkEnd w:id="46"/>
    </w:p>
    <w:p w:rsidR="00CE2A09" w:rsidRDefault="00CE2A09">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年国有资本经营预算财政拨款支出</w:t>
      </w:r>
      <w:r>
        <w:rPr>
          <w:rFonts w:ascii="仿宋_GB2312" w:eastAsia="仿宋_GB2312" w:cs="仿宋_GB2312"/>
          <w:sz w:val="32"/>
          <w:szCs w:val="32"/>
        </w:rPr>
        <w:t>0</w:t>
      </w:r>
      <w:r>
        <w:rPr>
          <w:rFonts w:ascii="仿宋_GB2312" w:eastAsia="仿宋_GB2312" w:cs="仿宋_GB2312" w:hint="eastAsia"/>
          <w:sz w:val="32"/>
          <w:szCs w:val="32"/>
        </w:rPr>
        <w:t>万元。</w:t>
      </w:r>
    </w:p>
    <w:p w:rsidR="00CE2A09" w:rsidRDefault="00CE2A09">
      <w:pPr>
        <w:numPr>
          <w:ilvl w:val="0"/>
          <w:numId w:val="2"/>
        </w:numPr>
        <w:spacing w:line="600" w:lineRule="exact"/>
        <w:ind w:firstLine="640"/>
        <w:outlineLvl w:val="1"/>
        <w:rPr>
          <w:rStyle w:val="Heading2Char"/>
          <w:rFonts w:ascii="黑体" w:eastAsia="黑体" w:hAnsi="黑体" w:cs="Times New Roman"/>
          <w:b w:val="0"/>
          <w:bCs w:val="0"/>
        </w:rPr>
      </w:pPr>
      <w:bookmarkStart w:id="47" w:name="_Toc15377221"/>
      <w:bookmarkStart w:id="48" w:name="_Toc15396612"/>
      <w:r>
        <w:rPr>
          <w:rStyle w:val="Heading2Char"/>
          <w:rFonts w:ascii="黑体" w:eastAsia="黑体" w:hAnsi="黑体" w:cs="黑体" w:hint="eastAsia"/>
          <w:b w:val="0"/>
          <w:bCs w:val="0"/>
        </w:rPr>
        <w:t>其他重要事项的情况说明</w:t>
      </w:r>
      <w:bookmarkEnd w:id="47"/>
      <w:bookmarkEnd w:id="48"/>
    </w:p>
    <w:p w:rsidR="00CE2A09" w:rsidRDefault="00CE2A09">
      <w:pPr>
        <w:spacing w:line="600" w:lineRule="exact"/>
        <w:ind w:firstLineChars="200" w:firstLine="643"/>
        <w:outlineLvl w:val="2"/>
        <w:rPr>
          <w:rFonts w:ascii="仿宋" w:eastAsia="仿宋" w:hAnsi="仿宋"/>
          <w:sz w:val="32"/>
          <w:szCs w:val="32"/>
        </w:rPr>
      </w:pPr>
      <w:bookmarkStart w:id="49" w:name="_Toc15377222"/>
      <w:r>
        <w:rPr>
          <w:rFonts w:ascii="仿宋" w:eastAsia="仿宋" w:hAnsi="仿宋" w:cs="仿宋" w:hint="eastAsia"/>
          <w:b/>
          <w:bCs/>
          <w:sz w:val="32"/>
          <w:szCs w:val="32"/>
        </w:rPr>
        <w:t>（一）机关运行经费支出情况</w:t>
      </w:r>
      <w:bookmarkEnd w:id="49"/>
    </w:p>
    <w:p w:rsidR="00CE2A09" w:rsidRDefault="00CE2A09">
      <w:pPr>
        <w:spacing w:line="600" w:lineRule="exact"/>
        <w:ind w:firstLineChars="200"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年，技术中心机关运行经费支出</w:t>
      </w:r>
      <w:r>
        <w:rPr>
          <w:rFonts w:ascii="仿宋_GB2312" w:eastAsia="仿宋_GB2312" w:cs="仿宋_GB2312"/>
          <w:sz w:val="32"/>
          <w:szCs w:val="32"/>
        </w:rPr>
        <w:t>0</w:t>
      </w:r>
      <w:r>
        <w:rPr>
          <w:rFonts w:ascii="仿宋_GB2312" w:eastAsia="仿宋_GB2312" w:cs="仿宋_GB2312" w:hint="eastAsia"/>
          <w:sz w:val="32"/>
          <w:szCs w:val="32"/>
        </w:rPr>
        <w:t>万元，比</w:t>
      </w:r>
      <w:r>
        <w:rPr>
          <w:rFonts w:ascii="仿宋_GB2312" w:eastAsia="仿宋_GB2312" w:cs="仿宋_GB2312"/>
          <w:sz w:val="32"/>
          <w:szCs w:val="32"/>
        </w:rPr>
        <w:t>2020</w:t>
      </w:r>
      <w:r>
        <w:rPr>
          <w:rFonts w:ascii="仿宋_GB2312" w:eastAsia="仿宋_GB2312" w:cs="仿宋_GB2312" w:hint="eastAsia"/>
          <w:sz w:val="32"/>
          <w:szCs w:val="32"/>
        </w:rPr>
        <w:t>年减少</w:t>
      </w:r>
      <w:r>
        <w:rPr>
          <w:rFonts w:ascii="仿宋_GB2312" w:eastAsia="仿宋_GB2312" w:cs="仿宋_GB2312"/>
          <w:sz w:val="32"/>
          <w:szCs w:val="32"/>
        </w:rPr>
        <w:t>0</w:t>
      </w:r>
      <w:r>
        <w:rPr>
          <w:rFonts w:ascii="仿宋_GB2312" w:eastAsia="仿宋_GB2312" w:cs="仿宋_GB2312" w:hint="eastAsia"/>
          <w:sz w:val="32"/>
          <w:szCs w:val="32"/>
        </w:rPr>
        <w:t>万元，与</w:t>
      </w:r>
      <w:r>
        <w:rPr>
          <w:rFonts w:ascii="仿宋_GB2312" w:eastAsia="仿宋_GB2312" w:cs="仿宋_GB2312"/>
          <w:sz w:val="32"/>
          <w:szCs w:val="32"/>
        </w:rPr>
        <w:t>2020</w:t>
      </w:r>
      <w:r>
        <w:rPr>
          <w:rFonts w:ascii="仿宋_GB2312" w:eastAsia="仿宋_GB2312" w:cs="仿宋_GB2312" w:hint="eastAsia"/>
          <w:sz w:val="32"/>
          <w:szCs w:val="32"/>
        </w:rPr>
        <w:t>年决算数持平。主要原因是无机关运行经费。</w:t>
      </w:r>
    </w:p>
    <w:p w:rsidR="00CE2A09" w:rsidRDefault="00CE2A09">
      <w:pPr>
        <w:autoSpaceDE w:val="0"/>
        <w:autoSpaceDN w:val="0"/>
        <w:adjustRightInd w:val="0"/>
        <w:spacing w:line="600" w:lineRule="exact"/>
        <w:ind w:firstLineChars="200" w:firstLine="643"/>
        <w:jc w:val="left"/>
        <w:outlineLvl w:val="2"/>
        <w:rPr>
          <w:rFonts w:ascii="仿宋" w:eastAsia="仿宋" w:hAnsi="仿宋"/>
          <w:b/>
          <w:bCs/>
          <w:sz w:val="32"/>
          <w:szCs w:val="32"/>
        </w:rPr>
      </w:pPr>
      <w:bookmarkStart w:id="50" w:name="_Toc15377223"/>
      <w:r>
        <w:rPr>
          <w:rFonts w:ascii="仿宋" w:eastAsia="仿宋" w:hAnsi="仿宋" w:cs="仿宋" w:hint="eastAsia"/>
          <w:b/>
          <w:bCs/>
          <w:sz w:val="32"/>
          <w:szCs w:val="32"/>
        </w:rPr>
        <w:t>（二）政府采购支出情况</w:t>
      </w:r>
      <w:bookmarkEnd w:id="50"/>
    </w:p>
    <w:p w:rsidR="00CE2A09" w:rsidRDefault="00CE2A09">
      <w:pPr>
        <w:spacing w:line="600" w:lineRule="exact"/>
        <w:ind w:firstLineChars="200"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年，技术中心政府采购支出总额</w:t>
      </w:r>
      <w:r>
        <w:rPr>
          <w:rFonts w:ascii="仿宋_GB2312" w:eastAsia="仿宋_GB2312" w:cs="仿宋_GB2312"/>
          <w:sz w:val="32"/>
          <w:szCs w:val="32"/>
        </w:rPr>
        <w:t>0</w:t>
      </w:r>
      <w:r>
        <w:rPr>
          <w:rFonts w:ascii="仿宋_GB2312" w:eastAsia="仿宋_GB2312" w:cs="仿宋_GB2312" w:hint="eastAsia"/>
          <w:sz w:val="32"/>
          <w:szCs w:val="32"/>
        </w:rPr>
        <w:t>万元，其中：政府采购货物支出</w:t>
      </w:r>
      <w:r>
        <w:rPr>
          <w:rFonts w:ascii="仿宋_GB2312" w:eastAsia="仿宋_GB2312" w:cs="仿宋_GB2312"/>
          <w:sz w:val="32"/>
          <w:szCs w:val="32"/>
        </w:rPr>
        <w:t>0</w:t>
      </w:r>
      <w:r>
        <w:rPr>
          <w:rFonts w:ascii="仿宋_GB2312" w:eastAsia="仿宋_GB2312" w:cs="仿宋_GB2312" w:hint="eastAsia"/>
          <w:sz w:val="32"/>
          <w:szCs w:val="32"/>
        </w:rPr>
        <w:t>万元、政府采购工程支出</w:t>
      </w:r>
      <w:r>
        <w:rPr>
          <w:rFonts w:ascii="仿宋_GB2312" w:eastAsia="仿宋_GB2312" w:cs="仿宋_GB2312"/>
          <w:sz w:val="32"/>
          <w:szCs w:val="32"/>
        </w:rPr>
        <w:t>0</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万元。主要用于无（具体工作）。授予中小企业合同金额</w:t>
      </w:r>
      <w:r>
        <w:rPr>
          <w:rFonts w:ascii="仿宋_GB2312" w:eastAsia="仿宋_GB2312" w:cs="仿宋_GB2312"/>
          <w:sz w:val="32"/>
          <w:szCs w:val="32"/>
        </w:rPr>
        <w:t>0</w:t>
      </w:r>
      <w:r>
        <w:rPr>
          <w:rFonts w:ascii="仿宋_GB2312" w:eastAsia="仿宋_GB2312" w:cs="仿宋_GB2312" w:hint="eastAsia"/>
          <w:sz w:val="32"/>
          <w:szCs w:val="32"/>
        </w:rPr>
        <w:t>万元，占政府采购支出总额的</w:t>
      </w:r>
      <w:r>
        <w:rPr>
          <w:rFonts w:ascii="仿宋_GB2312" w:eastAsia="仿宋_GB2312" w:cs="仿宋_GB2312"/>
          <w:sz w:val="32"/>
          <w:szCs w:val="32"/>
        </w:rPr>
        <w:t>0%</w:t>
      </w:r>
      <w:r>
        <w:rPr>
          <w:rFonts w:ascii="仿宋_GB2312" w:eastAsia="仿宋_GB2312" w:cs="仿宋_GB2312" w:hint="eastAsia"/>
          <w:sz w:val="32"/>
          <w:szCs w:val="32"/>
        </w:rPr>
        <w:t>，其中：授予小微企业合同金额</w:t>
      </w:r>
      <w:r>
        <w:rPr>
          <w:rFonts w:ascii="仿宋_GB2312" w:eastAsia="仿宋_GB2312" w:cs="仿宋_GB2312"/>
          <w:sz w:val="32"/>
          <w:szCs w:val="32"/>
        </w:rPr>
        <w:t>0</w:t>
      </w:r>
      <w:r>
        <w:rPr>
          <w:rFonts w:ascii="仿宋_GB2312" w:eastAsia="仿宋_GB2312" w:cs="仿宋_GB2312" w:hint="eastAsia"/>
          <w:sz w:val="32"/>
          <w:szCs w:val="32"/>
        </w:rPr>
        <w:t>万元，占政府采购支出总额的</w:t>
      </w:r>
      <w:r>
        <w:rPr>
          <w:rFonts w:ascii="仿宋_GB2312" w:eastAsia="仿宋_GB2312" w:cs="仿宋_GB2312"/>
          <w:sz w:val="32"/>
          <w:szCs w:val="32"/>
        </w:rPr>
        <w:t>0%</w:t>
      </w:r>
      <w:r>
        <w:rPr>
          <w:rFonts w:ascii="仿宋_GB2312" w:eastAsia="仿宋_GB2312" w:cs="仿宋_GB2312" w:hint="eastAsia"/>
          <w:sz w:val="32"/>
          <w:szCs w:val="32"/>
        </w:rPr>
        <w:t>。</w:t>
      </w:r>
    </w:p>
    <w:p w:rsidR="00CE2A09" w:rsidRDefault="00CE2A09">
      <w:pPr>
        <w:autoSpaceDE w:val="0"/>
        <w:autoSpaceDN w:val="0"/>
        <w:adjustRightInd w:val="0"/>
        <w:spacing w:line="600" w:lineRule="exact"/>
        <w:ind w:firstLineChars="200" w:firstLine="643"/>
        <w:jc w:val="left"/>
        <w:outlineLvl w:val="2"/>
        <w:rPr>
          <w:rFonts w:ascii="仿宋" w:eastAsia="仿宋" w:hAnsi="仿宋"/>
          <w:b/>
          <w:bCs/>
          <w:sz w:val="32"/>
          <w:szCs w:val="32"/>
        </w:rPr>
      </w:pPr>
      <w:bookmarkStart w:id="51" w:name="_Toc15377224"/>
      <w:r>
        <w:rPr>
          <w:rFonts w:ascii="仿宋" w:eastAsia="仿宋" w:hAnsi="仿宋" w:cs="仿宋" w:hint="eastAsia"/>
          <w:b/>
          <w:bCs/>
          <w:sz w:val="32"/>
          <w:szCs w:val="32"/>
        </w:rPr>
        <w:t>（三）国有资产占有使用情况</w:t>
      </w:r>
      <w:bookmarkEnd w:id="51"/>
    </w:p>
    <w:p w:rsidR="00CE2A09" w:rsidRDefault="00CE2A09">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日，技术中心共有车辆</w:t>
      </w:r>
      <w:r>
        <w:rPr>
          <w:rFonts w:ascii="仿宋_GB2312" w:eastAsia="仿宋_GB2312" w:cs="仿宋_GB2312"/>
          <w:sz w:val="32"/>
          <w:szCs w:val="32"/>
        </w:rPr>
        <w:t>0</w:t>
      </w:r>
      <w:r>
        <w:rPr>
          <w:rFonts w:ascii="仿宋_GB2312" w:eastAsia="仿宋_GB2312" w:cs="仿宋_GB2312" w:hint="eastAsia"/>
          <w:sz w:val="32"/>
          <w:szCs w:val="32"/>
        </w:rPr>
        <w:t>辆，其中：主要领导干部用车</w:t>
      </w:r>
      <w:r>
        <w:rPr>
          <w:rFonts w:ascii="仿宋_GB2312" w:eastAsia="仿宋_GB2312" w:cs="仿宋_GB2312"/>
          <w:sz w:val="32"/>
          <w:szCs w:val="32"/>
        </w:rPr>
        <w:t>0</w:t>
      </w:r>
      <w:r>
        <w:rPr>
          <w:rFonts w:ascii="仿宋_GB2312" w:eastAsia="仿宋_GB2312" w:cs="仿宋_GB2312" w:hint="eastAsia"/>
          <w:sz w:val="32"/>
          <w:szCs w:val="32"/>
        </w:rPr>
        <w:t>辆、机要通信用车</w:t>
      </w:r>
      <w:r>
        <w:rPr>
          <w:rFonts w:ascii="仿宋_GB2312" w:eastAsia="仿宋_GB2312" w:cs="仿宋_GB2312"/>
          <w:sz w:val="32"/>
          <w:szCs w:val="32"/>
        </w:rPr>
        <w:t>0</w:t>
      </w:r>
      <w:r>
        <w:rPr>
          <w:rFonts w:ascii="仿宋_GB2312" w:eastAsia="仿宋_GB2312" w:cs="仿宋_GB2312" w:hint="eastAsia"/>
          <w:sz w:val="32"/>
          <w:szCs w:val="32"/>
        </w:rPr>
        <w:t>辆、应急保障用车</w:t>
      </w:r>
      <w:r>
        <w:rPr>
          <w:rFonts w:ascii="仿宋_GB2312" w:eastAsia="仿宋_GB2312" w:cs="仿宋_GB2312"/>
          <w:sz w:val="32"/>
          <w:szCs w:val="32"/>
        </w:rPr>
        <w:t>0</w:t>
      </w:r>
      <w:r>
        <w:rPr>
          <w:rFonts w:ascii="仿宋_GB2312" w:eastAsia="仿宋_GB2312" w:cs="仿宋_GB2312" w:hint="eastAsia"/>
          <w:sz w:val="32"/>
          <w:szCs w:val="32"/>
        </w:rPr>
        <w:t>辆、其他用车</w:t>
      </w:r>
      <w:r>
        <w:rPr>
          <w:rFonts w:ascii="仿宋_GB2312" w:eastAsia="仿宋_GB2312" w:cs="仿宋_GB2312"/>
          <w:sz w:val="32"/>
          <w:szCs w:val="32"/>
        </w:rPr>
        <w:t>0</w:t>
      </w:r>
      <w:r>
        <w:rPr>
          <w:rFonts w:ascii="仿宋_GB2312" w:eastAsia="仿宋_GB2312" w:cs="仿宋_GB2312" w:hint="eastAsia"/>
          <w:sz w:val="32"/>
          <w:szCs w:val="32"/>
        </w:rPr>
        <w:t>辆，其他用车主要是用于无，单价</w:t>
      </w:r>
      <w:r>
        <w:rPr>
          <w:rFonts w:ascii="仿宋_GB2312" w:eastAsia="仿宋_GB2312" w:cs="仿宋_GB2312"/>
          <w:sz w:val="32"/>
          <w:szCs w:val="32"/>
        </w:rPr>
        <w:t>50</w:t>
      </w:r>
      <w:r>
        <w:rPr>
          <w:rFonts w:ascii="仿宋_GB2312" w:eastAsia="仿宋_GB2312" w:cs="仿宋_GB2312" w:hint="eastAsia"/>
          <w:sz w:val="32"/>
          <w:szCs w:val="32"/>
        </w:rPr>
        <w:t>万元以上通用设备</w:t>
      </w:r>
      <w:r>
        <w:rPr>
          <w:rFonts w:ascii="仿宋_GB2312" w:eastAsia="仿宋_GB2312" w:cs="仿宋_GB2312"/>
          <w:sz w:val="32"/>
          <w:szCs w:val="32"/>
        </w:rPr>
        <w:t>0</w:t>
      </w:r>
      <w:r>
        <w:rPr>
          <w:rFonts w:ascii="仿宋_GB2312" w:eastAsia="仿宋_GB2312" w:cs="仿宋_GB2312" w:hint="eastAsia"/>
          <w:sz w:val="32"/>
          <w:szCs w:val="32"/>
        </w:rPr>
        <w:t>台（套），单价</w:t>
      </w:r>
      <w:r>
        <w:rPr>
          <w:rFonts w:ascii="仿宋_GB2312" w:eastAsia="仿宋_GB2312"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0</w:t>
      </w:r>
      <w:r>
        <w:rPr>
          <w:rFonts w:ascii="仿宋_GB2312" w:eastAsia="仿宋_GB2312" w:cs="仿宋_GB2312" w:hint="eastAsia"/>
          <w:sz w:val="32"/>
          <w:szCs w:val="32"/>
        </w:rPr>
        <w:t>台（套）。</w:t>
      </w:r>
    </w:p>
    <w:p w:rsidR="00CE2A09" w:rsidRDefault="00CE2A09">
      <w:pPr>
        <w:autoSpaceDE w:val="0"/>
        <w:autoSpaceDN w:val="0"/>
        <w:adjustRightInd w:val="0"/>
        <w:spacing w:line="600" w:lineRule="exact"/>
        <w:ind w:firstLineChars="200" w:firstLine="643"/>
        <w:jc w:val="left"/>
        <w:outlineLvl w:val="2"/>
        <w:rPr>
          <w:rFonts w:ascii="仿宋" w:eastAsia="仿宋" w:hAnsi="仿宋"/>
          <w:b/>
          <w:bCs/>
          <w:sz w:val="32"/>
          <w:szCs w:val="32"/>
        </w:rPr>
      </w:pPr>
      <w:r>
        <w:rPr>
          <w:rFonts w:ascii="仿宋" w:eastAsia="仿宋" w:hAnsi="仿宋" w:cs="仿宋" w:hint="eastAsia"/>
          <w:b/>
          <w:bCs/>
          <w:sz w:val="32"/>
          <w:szCs w:val="32"/>
        </w:rPr>
        <w:t>（四）预算绩效管理情况</w:t>
      </w:r>
    </w:p>
    <w:p w:rsidR="00CE2A09" w:rsidRDefault="00CE2A09">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根据预算绩效管理要求，本单位在</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年度预算编制阶段，组织对勘察设计审查费（含审图项目、专家劳务费）项目（项目名称）等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个项目开展了绩效自评，</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年特定目标类部门预算项目绩效目标自评表见附件（第四部分）。</w:t>
      </w:r>
    </w:p>
    <w:p w:rsidR="00CE2A09" w:rsidRDefault="00CE2A09">
      <w:pPr>
        <w:pStyle w:val="BodyText"/>
        <w:spacing w:before="93"/>
        <w:rPr>
          <w:highlight w:val="yellow"/>
        </w:rPr>
      </w:pPr>
    </w:p>
    <w:p w:rsidR="00CE2A09" w:rsidRPr="00604F87" w:rsidRDefault="00CE2A09" w:rsidP="00604F87">
      <w:pPr>
        <w:pStyle w:val="BodyText"/>
        <w:spacing w:before="93"/>
      </w:pPr>
      <w:r>
        <w:rPr>
          <w:b/>
          <w:bCs/>
          <w:sz w:val="32"/>
          <w:szCs w:val="32"/>
        </w:rPr>
        <w:br w:type="page"/>
      </w:r>
    </w:p>
    <w:p w:rsidR="00CE2A09" w:rsidRPr="0084634F" w:rsidRDefault="00CE2A09" w:rsidP="0084634F">
      <w:pPr>
        <w:pStyle w:val="Heading1"/>
        <w:jc w:val="center"/>
        <w:rPr>
          <w:rFonts w:cs="黑体"/>
        </w:rPr>
      </w:pPr>
      <w:bookmarkStart w:id="52" w:name="_Toc15396613"/>
      <w:bookmarkStart w:id="53" w:name="_Toc15377225"/>
      <w:r w:rsidRPr="0084634F">
        <w:rPr>
          <w:rFonts w:ascii="黑体" w:eastAsia="黑体" w:hAnsi="黑体" w:cs="黑体" w:hint="eastAsia"/>
          <w:b w:val="0"/>
          <w:bCs w:val="0"/>
        </w:rPr>
        <w:t>第</w:t>
      </w:r>
      <w:r>
        <w:rPr>
          <w:rFonts w:ascii="黑体" w:eastAsia="黑体" w:hAnsi="黑体" w:cs="黑体" w:hint="eastAsia"/>
          <w:b w:val="0"/>
          <w:bCs w:val="0"/>
        </w:rPr>
        <w:t>三</w:t>
      </w:r>
      <w:r w:rsidRPr="0084634F">
        <w:rPr>
          <w:rFonts w:ascii="黑体" w:eastAsia="黑体" w:hAnsi="黑体" w:cs="黑体" w:hint="eastAsia"/>
          <w:b w:val="0"/>
          <w:bCs w:val="0"/>
        </w:rPr>
        <w:t>部分</w:t>
      </w:r>
      <w:r>
        <w:rPr>
          <w:rFonts w:ascii="黑体" w:eastAsia="黑体" w:hAnsi="黑体" w:cs="黑体"/>
          <w:b w:val="0"/>
          <w:bCs w:val="0"/>
        </w:rPr>
        <w:t xml:space="preserve"> </w:t>
      </w:r>
      <w:r w:rsidRPr="0084634F">
        <w:rPr>
          <w:rFonts w:ascii="黑体" w:eastAsia="黑体" w:hAnsi="黑体" w:cs="黑体" w:hint="eastAsia"/>
          <w:b w:val="0"/>
          <w:bCs w:val="0"/>
        </w:rPr>
        <w:t>名</w:t>
      </w:r>
      <w:r w:rsidRPr="0084634F">
        <w:rPr>
          <w:rFonts w:hint="eastAsia"/>
        </w:rPr>
        <w:t>词解释</w:t>
      </w:r>
      <w:bookmarkEnd w:id="52"/>
      <w:bookmarkEnd w:id="53"/>
    </w:p>
    <w:p w:rsidR="00CE2A09" w:rsidRPr="00604F87" w:rsidRDefault="00CE2A09" w:rsidP="00604F87">
      <w:pPr>
        <w:pStyle w:val="BodyText"/>
        <w:spacing w:before="93"/>
      </w:pPr>
    </w:p>
    <w:p w:rsidR="00CE2A09" w:rsidRDefault="00CE2A09">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w:t>
      </w:r>
      <w:r>
        <w:rPr>
          <w:rFonts w:ascii="仿宋_GB2312" w:eastAsia="仿宋_GB2312" w:cs="仿宋_GB2312" w:hint="eastAsia"/>
          <w:color w:val="auto"/>
          <w:sz w:val="32"/>
          <w:szCs w:val="32"/>
        </w:rPr>
        <w:t>财政拨款收入：指单位从同级财政部门取得的财政预算资金。</w:t>
      </w:r>
    </w:p>
    <w:p w:rsidR="00CE2A09" w:rsidRDefault="00CE2A09">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2.</w:t>
      </w:r>
      <w:r>
        <w:rPr>
          <w:rFonts w:ascii="仿宋_GB2312" w:eastAsia="仿宋_GB2312" w:cs="仿宋_GB2312" w:hint="eastAsia"/>
          <w:color w:val="auto"/>
          <w:sz w:val="32"/>
          <w:szCs w:val="32"/>
        </w:rPr>
        <w:t>使用非财政拨款结余：指事业单位使用以前年度积累的非财政拨款结余弥补当年收支差额的金额。</w:t>
      </w:r>
    </w:p>
    <w:p w:rsidR="00CE2A09" w:rsidRDefault="00CE2A09">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3.</w:t>
      </w:r>
      <w:r>
        <w:rPr>
          <w:rFonts w:ascii="仿宋_GB2312" w:eastAsia="仿宋_GB2312" w:cs="仿宋_GB2312" w:hint="eastAsia"/>
          <w:color w:val="auto"/>
          <w:sz w:val="32"/>
          <w:szCs w:val="32"/>
        </w:rPr>
        <w:t>年初结转和结余：指以前年度尚未完成、结转到本年按有关规定继续使用的资金。</w:t>
      </w:r>
    </w:p>
    <w:p w:rsidR="00CE2A09" w:rsidRDefault="00CE2A09">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4.</w:t>
      </w:r>
      <w:r>
        <w:rPr>
          <w:rFonts w:ascii="仿宋_GB2312" w:eastAsia="仿宋_GB2312" w:cs="仿宋_GB2312" w:hint="eastAsia"/>
          <w:color w:val="auto"/>
          <w:sz w:val="32"/>
          <w:szCs w:val="32"/>
        </w:rPr>
        <w:t>结余分配：指事业单位按照会计制度规定缴纳的所得税、提取的专用结余以及转入非财政拨款结余的金额等。</w:t>
      </w:r>
    </w:p>
    <w:p w:rsidR="00CE2A09" w:rsidRDefault="00CE2A09">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5.</w:t>
      </w:r>
      <w:r>
        <w:rPr>
          <w:rFonts w:ascii="仿宋_GB2312" w:eastAsia="仿宋_GB2312" w:cs="仿宋_GB2312" w:hint="eastAsia"/>
          <w:color w:val="auto"/>
          <w:sz w:val="32"/>
          <w:szCs w:val="32"/>
        </w:rPr>
        <w:t>年末结转和结余：指单位按有关规定结转到下年或以后年度继续使用的资金。</w:t>
      </w:r>
    </w:p>
    <w:p w:rsidR="00CE2A09" w:rsidRDefault="00CE2A09">
      <w:pPr>
        <w:spacing w:line="600" w:lineRule="exact"/>
        <w:ind w:firstLineChars="200" w:firstLine="640"/>
        <w:rPr>
          <w:rFonts w:ascii="仿宋_GB2312" w:eastAsia="仿宋_GB2312" w:hAnsi="Calibri"/>
          <w:kern w:val="0"/>
          <w:sz w:val="32"/>
          <w:szCs w:val="32"/>
        </w:rPr>
      </w:pPr>
      <w:r>
        <w:rPr>
          <w:rFonts w:ascii="仿宋_GB2312" w:eastAsia="仿宋_GB2312" w:hAnsi="Calibri" w:cs="仿宋_GB2312"/>
          <w:kern w:val="0"/>
          <w:sz w:val="32"/>
          <w:szCs w:val="32"/>
        </w:rPr>
        <w:t>6.</w:t>
      </w:r>
      <w:r>
        <w:rPr>
          <w:rFonts w:ascii="仿宋_GB2312" w:eastAsia="仿宋_GB2312" w:hAnsi="Calibri" w:cs="仿宋_GB2312" w:hint="eastAsia"/>
          <w:kern w:val="0"/>
          <w:sz w:val="32"/>
          <w:szCs w:val="32"/>
        </w:rPr>
        <w:t>社会保障和就业（类）行政事业单位养老支出（款）事业单位离退休（项）</w:t>
      </w:r>
      <w:r>
        <w:rPr>
          <w:rFonts w:ascii="仿宋_GB2312" w:eastAsia="仿宋_GB2312" w:hAnsi="Calibri" w:cs="仿宋_GB2312"/>
          <w:kern w:val="0"/>
          <w:sz w:val="32"/>
          <w:szCs w:val="32"/>
        </w:rPr>
        <w:t xml:space="preserve">: </w:t>
      </w:r>
      <w:r>
        <w:rPr>
          <w:rFonts w:ascii="仿宋_GB2312" w:eastAsia="仿宋_GB2312" w:hAnsi="Calibri" w:cs="仿宋_GB2312" w:hint="eastAsia"/>
          <w:kern w:val="0"/>
          <w:sz w:val="32"/>
          <w:szCs w:val="32"/>
        </w:rPr>
        <w:t>反映事业单位开支的离退休经费。</w:t>
      </w:r>
    </w:p>
    <w:p w:rsidR="00CE2A09" w:rsidRDefault="00CE2A09">
      <w:pPr>
        <w:spacing w:line="600" w:lineRule="exact"/>
        <w:ind w:firstLineChars="200" w:firstLine="640"/>
        <w:rPr>
          <w:rFonts w:ascii="仿宋_GB2312" w:eastAsia="仿宋_GB2312" w:hAnsi="Calibri"/>
          <w:kern w:val="0"/>
          <w:sz w:val="32"/>
          <w:szCs w:val="32"/>
        </w:rPr>
      </w:pPr>
      <w:r>
        <w:rPr>
          <w:rFonts w:ascii="仿宋_GB2312" w:eastAsia="仿宋_GB2312" w:hAnsi="Calibri" w:cs="仿宋_GB2312"/>
          <w:kern w:val="0"/>
          <w:sz w:val="32"/>
          <w:szCs w:val="32"/>
        </w:rPr>
        <w:t>7.</w:t>
      </w:r>
      <w:r>
        <w:rPr>
          <w:rFonts w:ascii="仿宋_GB2312" w:eastAsia="仿宋_GB2312" w:hAnsi="Calibri" w:cs="仿宋_GB2312" w:hint="eastAsia"/>
          <w:kern w:val="0"/>
          <w:sz w:val="32"/>
          <w:szCs w:val="32"/>
        </w:rPr>
        <w:t>城乡社区支出（类）城乡社区管理事务（款）其他城乡社区管理事务支出（项）：反映除城乡社区管理事务、城乡社区规划与管理、城乡社区公共设施、城乡社区环境卫生、建设市场管理与监督以外其他用于城乡社区方面的支出。</w:t>
      </w:r>
    </w:p>
    <w:p w:rsidR="00CE2A09" w:rsidRDefault="00CE2A09">
      <w:pPr>
        <w:ind w:firstLineChars="150" w:firstLine="480"/>
        <w:rPr>
          <w:rFonts w:ascii="仿宋_GB2312" w:eastAsia="仿宋_GB2312"/>
          <w:sz w:val="32"/>
          <w:szCs w:val="32"/>
        </w:rPr>
      </w:pPr>
      <w:r>
        <w:rPr>
          <w:rFonts w:ascii="仿宋_GB2312" w:eastAsia="仿宋_GB2312" w:hAnsi="Calibri" w:cs="仿宋_GB2312"/>
          <w:kern w:val="0"/>
          <w:sz w:val="32"/>
          <w:szCs w:val="32"/>
        </w:rPr>
        <w:t xml:space="preserve"> 8.</w:t>
      </w:r>
      <w:r>
        <w:rPr>
          <w:rFonts w:ascii="仿宋_GB2312" w:eastAsia="仿宋_GB2312" w:hAnsi="Calibri" w:cs="仿宋_GB2312" w:hint="eastAsia"/>
          <w:kern w:val="0"/>
          <w:sz w:val="32"/>
          <w:szCs w:val="32"/>
        </w:rPr>
        <w:t>住房保障支出（类）住房改革支出（款）住房公积金（项）：反映行政事业单位按人力资源和社会保障部、财政部规定的基本工资和津贴补贴以及规定比例为职工缴纳的住房公积金。</w:t>
      </w:r>
      <w:r>
        <w:rPr>
          <w:rFonts w:ascii="仿宋_GB2312" w:eastAsia="仿宋_GB2312" w:cs="仿宋_GB2312"/>
          <w:sz w:val="32"/>
          <w:szCs w:val="32"/>
        </w:rPr>
        <w:t xml:space="preserve"> </w:t>
      </w:r>
    </w:p>
    <w:p w:rsidR="00CE2A09" w:rsidRDefault="00CE2A09">
      <w:pPr>
        <w:ind w:firstLineChars="200" w:firstLine="64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基本支出：指为保障机构正常运转、完成日常工作任务而发生的人员支出和公用支出。</w:t>
      </w:r>
    </w:p>
    <w:p w:rsidR="00CE2A09" w:rsidRDefault="00CE2A09">
      <w:pPr>
        <w:ind w:firstLineChars="200" w:firstLine="640"/>
        <w:rPr>
          <w:rFonts w:ascii="仿宋_GB2312" w:eastAsia="仿宋_GB2312"/>
          <w:sz w:val="32"/>
          <w:szCs w:val="32"/>
        </w:rPr>
      </w:pPr>
      <w:r>
        <w:rPr>
          <w:rFonts w:ascii="仿宋_GB2312" w:eastAsia="仿宋_GB2312" w:cs="仿宋_GB2312"/>
          <w:sz w:val="32"/>
          <w:szCs w:val="32"/>
        </w:rPr>
        <w:t>10.</w:t>
      </w:r>
      <w:r>
        <w:rPr>
          <w:rFonts w:ascii="仿宋_GB2312" w:eastAsia="仿宋_GB2312" w:cs="仿宋_GB2312" w:hint="eastAsia"/>
          <w:sz w:val="32"/>
          <w:szCs w:val="32"/>
        </w:rPr>
        <w:t>项目支出：指在基本支出之外为完成特定行政任务和事业发展目标所发生的支出。</w:t>
      </w:r>
    </w:p>
    <w:p w:rsidR="00CE2A09" w:rsidRDefault="00CE2A09">
      <w:pPr>
        <w:ind w:firstLineChars="200" w:firstLine="640"/>
        <w:rPr>
          <w:rFonts w:ascii="仿宋_GB2312" w:eastAsia="仿宋_GB2312"/>
          <w:sz w:val="32"/>
          <w:szCs w:val="32"/>
        </w:rPr>
      </w:pPr>
      <w:r>
        <w:rPr>
          <w:rFonts w:ascii="仿宋_GB2312" w:eastAsia="仿宋_GB2312" w:cs="仿宋_GB2312"/>
          <w:sz w:val="32"/>
          <w:szCs w:val="32"/>
        </w:rPr>
        <w:t>11.</w:t>
      </w:r>
      <w:r>
        <w:rPr>
          <w:rFonts w:ascii="仿宋_GB2312" w:eastAsia="仿宋_GB2312" w:cs="仿宋_GB2312" w:hint="eastAsia"/>
          <w:sz w:val="32"/>
          <w:szCs w:val="32"/>
        </w:rPr>
        <w:t>经营支出：指事业单位在专业业务活动及其辅助活动之外开展非独立核算经营活动发生的支出。</w:t>
      </w:r>
    </w:p>
    <w:p w:rsidR="00CE2A09" w:rsidRDefault="00CE2A09">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12.</w:t>
      </w:r>
      <w:r>
        <w:rPr>
          <w:rFonts w:ascii="仿宋_GB2312" w:eastAsia="仿宋_GB2312" w:cs="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E2A09" w:rsidRDefault="00CE2A09">
      <w:pPr>
        <w:pStyle w:val="Default"/>
        <w:spacing w:line="560" w:lineRule="exact"/>
        <w:ind w:firstLineChars="200" w:firstLine="640"/>
        <w:rPr>
          <w:rFonts w:ascii="仿宋_GB2312" w:eastAsia="仿宋_GB2312" w:cs="Times New Roman"/>
          <w:color w:val="auto"/>
          <w:sz w:val="32"/>
          <w:szCs w:val="32"/>
        </w:rPr>
      </w:pPr>
    </w:p>
    <w:p w:rsidR="00CE2A09" w:rsidRPr="00604F87" w:rsidRDefault="00CE2A09" w:rsidP="00604F87">
      <w:pPr>
        <w:pStyle w:val="BodyText"/>
        <w:spacing w:before="93"/>
      </w:pPr>
      <w:bookmarkStart w:id="54" w:name="_Toc15377226"/>
      <w:r>
        <w:rPr>
          <w:rFonts w:ascii="宋体"/>
          <w:b/>
          <w:bCs/>
          <w:sz w:val="44"/>
          <w:szCs w:val="44"/>
        </w:rPr>
        <w:br w:type="page"/>
      </w:r>
      <w:bookmarkStart w:id="55" w:name="_Toc15396614"/>
    </w:p>
    <w:p w:rsidR="00CE2A09" w:rsidRPr="0084634F" w:rsidRDefault="00CE2A09" w:rsidP="0084634F">
      <w:pPr>
        <w:pStyle w:val="Heading1"/>
        <w:jc w:val="center"/>
        <w:rPr>
          <w:rFonts w:cs="黑体"/>
        </w:rPr>
      </w:pPr>
      <w:r w:rsidRPr="0084634F">
        <w:rPr>
          <w:rFonts w:ascii="黑体" w:eastAsia="黑体" w:hAnsi="黑体" w:cs="黑体" w:hint="eastAsia"/>
          <w:b w:val="0"/>
          <w:bCs w:val="0"/>
        </w:rPr>
        <w:t>第</w:t>
      </w:r>
      <w:r w:rsidRPr="0084634F">
        <w:rPr>
          <w:rFonts w:hint="eastAsia"/>
        </w:rPr>
        <w:t>四部分</w:t>
      </w:r>
      <w:r>
        <w:t xml:space="preserve"> </w:t>
      </w:r>
      <w:r w:rsidRPr="0084634F">
        <w:rPr>
          <w:rFonts w:hint="eastAsia"/>
        </w:rPr>
        <w:t>附件</w:t>
      </w:r>
      <w:bookmarkEnd w:id="55"/>
    </w:p>
    <w:p w:rsidR="00CE2A09" w:rsidRDefault="00CE2A09">
      <w:pPr>
        <w:spacing w:line="572" w:lineRule="exact"/>
        <w:jc w:val="left"/>
        <w:outlineLvl w:val="0"/>
        <w:rPr>
          <w:rFonts w:ascii="仿宋_GB2312" w:eastAsia="仿宋_GB2312" w:hAnsi="仿宋_GB2312"/>
          <w:sz w:val="32"/>
          <w:szCs w:val="32"/>
        </w:rPr>
      </w:pPr>
      <w:r>
        <w:rPr>
          <w:rFonts w:ascii="黑体" w:eastAsia="黑体" w:hAnsi="黑体" w:cs="黑体" w:hint="eastAsia"/>
          <w:sz w:val="32"/>
          <w:szCs w:val="32"/>
        </w:rPr>
        <w:t>附件</w:t>
      </w:r>
    </w:p>
    <w:tbl>
      <w:tblPr>
        <w:tblpPr w:leftFromText="180" w:rightFromText="180" w:vertAnchor="text" w:horzAnchor="page" w:tblpX="1281" w:tblpY="660"/>
        <w:tblOverlap w:val="never"/>
        <w:tblW w:w="9811" w:type="dxa"/>
        <w:tblLayout w:type="fixed"/>
        <w:tblLook w:val="00A0"/>
      </w:tblPr>
      <w:tblGrid>
        <w:gridCol w:w="1788"/>
        <w:gridCol w:w="1330"/>
        <w:gridCol w:w="1635"/>
        <w:gridCol w:w="1189"/>
        <w:gridCol w:w="1224"/>
        <w:gridCol w:w="187"/>
        <w:gridCol w:w="2222"/>
        <w:gridCol w:w="236"/>
      </w:tblGrid>
      <w:tr w:rsidR="00CE2A09">
        <w:trPr>
          <w:trHeight w:val="675"/>
        </w:trPr>
        <w:tc>
          <w:tcPr>
            <w:tcW w:w="9575" w:type="dxa"/>
            <w:gridSpan w:val="7"/>
            <w:tcBorders>
              <w:top w:val="nil"/>
              <w:left w:val="nil"/>
              <w:bottom w:val="nil"/>
              <w:right w:val="nil"/>
            </w:tcBorders>
            <w:vAlign w:val="center"/>
          </w:tcPr>
          <w:p w:rsidR="00CE2A09" w:rsidRDefault="00CE2A09">
            <w:pPr>
              <w:widowControl/>
              <w:ind w:firstLineChars="600" w:firstLine="1928"/>
              <w:textAlignment w:val="center"/>
              <w:rPr>
                <w:rFonts w:ascii="宋体"/>
                <w:b/>
                <w:bCs/>
                <w:sz w:val="32"/>
                <w:szCs w:val="32"/>
              </w:rPr>
            </w:pPr>
            <w:bookmarkStart w:id="56" w:name="_Toc15396618"/>
            <w:r>
              <w:rPr>
                <w:rFonts w:ascii="宋体" w:hAnsi="宋体" w:cs="宋体" w:hint="eastAsia"/>
                <w:b/>
                <w:bCs/>
                <w:sz w:val="32"/>
                <w:szCs w:val="32"/>
              </w:rPr>
              <w:t>特定目标类部门预算项目绩效目标自评</w:t>
            </w:r>
          </w:p>
        </w:tc>
        <w:tc>
          <w:tcPr>
            <w:tcW w:w="236" w:type="dxa"/>
            <w:tcBorders>
              <w:top w:val="nil"/>
              <w:left w:val="nil"/>
              <w:bottom w:val="nil"/>
              <w:right w:val="nil"/>
            </w:tcBorders>
            <w:vAlign w:val="center"/>
          </w:tcPr>
          <w:p w:rsidR="00CE2A09" w:rsidRDefault="00CE2A09">
            <w:pPr>
              <w:widowControl/>
              <w:jc w:val="center"/>
              <w:textAlignment w:val="center"/>
              <w:rPr>
                <w:rFonts w:ascii="宋体"/>
                <w:b/>
                <w:bCs/>
                <w:kern w:val="0"/>
                <w:sz w:val="32"/>
                <w:szCs w:val="32"/>
              </w:rPr>
            </w:pPr>
          </w:p>
        </w:tc>
      </w:tr>
      <w:tr w:rsidR="00CE2A09">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宋体"/>
                <w:sz w:val="24"/>
                <w:szCs w:val="24"/>
              </w:rPr>
            </w:pPr>
            <w:r>
              <w:rPr>
                <w:rFonts w:ascii="宋体" w:hAnsi="宋体" w:cs="宋体" w:hint="eastAsia"/>
                <w:kern w:val="0"/>
                <w:sz w:val="24"/>
                <w:szCs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textAlignment w:val="center"/>
              <w:rPr>
                <w:rFonts w:ascii="宋体"/>
                <w:sz w:val="24"/>
                <w:szCs w:val="24"/>
              </w:rPr>
            </w:pPr>
            <w:r>
              <w:rPr>
                <w:rFonts w:ascii="宋体" w:cs="宋体" w:hint="eastAsia"/>
                <w:sz w:val="24"/>
                <w:szCs w:val="24"/>
              </w:rPr>
              <w:t>攀枝花市住房和城乡建设局</w:t>
            </w:r>
            <w:r>
              <w:rPr>
                <w:rFonts w:ascii="宋体" w:cs="宋体"/>
                <w:sz w:val="24"/>
                <w:szCs w:val="24"/>
              </w:rPr>
              <w:t>801001</w:t>
            </w:r>
          </w:p>
        </w:tc>
        <w:tc>
          <w:tcPr>
            <w:tcW w:w="1224"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宋体"/>
                <w:sz w:val="24"/>
                <w:szCs w:val="24"/>
              </w:rPr>
            </w:pPr>
            <w:r>
              <w:rPr>
                <w:rFonts w:ascii="宋体" w:hAnsi="宋体" w:cs="宋体" w:hint="eastAsia"/>
                <w:kern w:val="0"/>
                <w:sz w:val="24"/>
                <w:szCs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宋体"/>
                <w:sz w:val="24"/>
                <w:szCs w:val="24"/>
              </w:rPr>
            </w:pPr>
            <w:r>
              <w:rPr>
                <w:rFonts w:ascii="宋体" w:cs="宋体" w:hint="eastAsia"/>
                <w:sz w:val="24"/>
                <w:szCs w:val="24"/>
              </w:rPr>
              <w:t>攀枝花市建设工程消防和勘察设计技术中心</w:t>
            </w:r>
          </w:p>
        </w:tc>
      </w:tr>
      <w:tr w:rsidR="00CE2A09">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宋体"/>
                <w:kern w:val="0"/>
                <w:sz w:val="24"/>
                <w:szCs w:val="24"/>
              </w:rPr>
            </w:pPr>
            <w:r>
              <w:rPr>
                <w:rFonts w:ascii="宋体" w:hAnsi="宋体" w:cs="宋体" w:hint="eastAsia"/>
                <w:kern w:val="0"/>
                <w:sz w:val="24"/>
                <w:szCs w:val="24"/>
              </w:rPr>
              <w:t>项目预算</w:t>
            </w:r>
          </w:p>
          <w:p w:rsidR="00CE2A09" w:rsidRDefault="00CE2A09">
            <w:pPr>
              <w:widowControl/>
              <w:spacing w:line="320" w:lineRule="exact"/>
              <w:jc w:val="center"/>
              <w:textAlignment w:val="center"/>
              <w:rPr>
                <w:rFonts w:ascii="宋体"/>
                <w:kern w:val="0"/>
                <w:sz w:val="24"/>
                <w:szCs w:val="24"/>
              </w:rPr>
            </w:pPr>
            <w:r>
              <w:rPr>
                <w:rFonts w:ascii="宋体" w:hAnsi="宋体" w:cs="宋体" w:hint="eastAsia"/>
                <w:kern w:val="0"/>
                <w:sz w:val="24"/>
                <w:szCs w:val="24"/>
              </w:rPr>
              <w:t>执行情况</w:t>
            </w:r>
          </w:p>
          <w:p w:rsidR="00CE2A09" w:rsidRDefault="00CE2A09">
            <w:pPr>
              <w:widowControl/>
              <w:spacing w:line="320" w:lineRule="exact"/>
              <w:jc w:val="center"/>
              <w:textAlignment w:val="center"/>
              <w:rPr>
                <w:rFonts w:ascii="宋体"/>
                <w:sz w:val="24"/>
                <w:szCs w:val="24"/>
              </w:rPr>
            </w:pPr>
            <w:r>
              <w:rPr>
                <w:rFonts w:ascii="宋体" w:hAnsi="宋体" w:cs="宋体" w:hint="eastAsia"/>
                <w:kern w:val="0"/>
                <w:sz w:val="24"/>
                <w:szCs w:val="24"/>
              </w:rPr>
              <w:t>（万元）</w:t>
            </w:r>
          </w:p>
        </w:tc>
        <w:tc>
          <w:tcPr>
            <w:tcW w:w="1635"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left"/>
              <w:textAlignment w:val="center"/>
              <w:rPr>
                <w:rFonts w:ascii="宋体"/>
                <w:sz w:val="24"/>
                <w:szCs w:val="24"/>
              </w:rPr>
            </w:pPr>
            <w:r>
              <w:rPr>
                <w:rFonts w:ascii="宋体" w:hAnsi="宋体" w:cs="宋体" w:hint="eastAsia"/>
                <w:kern w:val="0"/>
                <w:sz w:val="24"/>
                <w:szCs w:val="24"/>
              </w:rPr>
              <w:t>预算数：</w:t>
            </w:r>
          </w:p>
        </w:tc>
        <w:tc>
          <w:tcPr>
            <w:tcW w:w="1189"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left"/>
              <w:textAlignment w:val="center"/>
              <w:rPr>
                <w:rFonts w:ascii="宋体"/>
                <w:sz w:val="24"/>
                <w:szCs w:val="24"/>
              </w:rPr>
            </w:pPr>
            <w:r>
              <w:rPr>
                <w:rFonts w:ascii="宋体" w:cs="宋体"/>
                <w:sz w:val="24"/>
                <w:szCs w:val="24"/>
              </w:rPr>
              <w:t>258.27</w:t>
            </w:r>
          </w:p>
        </w:tc>
        <w:tc>
          <w:tcPr>
            <w:tcW w:w="1224"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left"/>
              <w:textAlignment w:val="center"/>
              <w:rPr>
                <w:rFonts w:ascii="宋体"/>
                <w:sz w:val="24"/>
                <w:szCs w:val="24"/>
              </w:rPr>
            </w:pPr>
            <w:r>
              <w:rPr>
                <w:rFonts w:ascii="宋体" w:hAnsi="宋体" w:cs="宋体" w:hint="eastAsia"/>
                <w:kern w:val="0"/>
                <w:sz w:val="24"/>
                <w:szCs w:val="24"/>
              </w:rPr>
              <w:t>执行数：</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ind w:right="480"/>
              <w:textAlignment w:val="center"/>
              <w:rPr>
                <w:rFonts w:ascii="宋体"/>
                <w:sz w:val="24"/>
                <w:szCs w:val="24"/>
              </w:rPr>
            </w:pPr>
            <w:r>
              <w:rPr>
                <w:rFonts w:ascii="宋体" w:cs="宋体"/>
                <w:sz w:val="24"/>
                <w:szCs w:val="24"/>
              </w:rPr>
              <w:t>258.27</w:t>
            </w:r>
          </w:p>
        </w:tc>
      </w:tr>
      <w:tr w:rsidR="00CE2A09">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CE2A09" w:rsidRDefault="00CE2A09">
            <w:pPr>
              <w:spacing w:line="320" w:lineRule="exact"/>
              <w:jc w:val="center"/>
              <w:rPr>
                <w:rFonts w:ascii="宋体"/>
                <w:sz w:val="24"/>
                <w:szCs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left"/>
              <w:textAlignment w:val="center"/>
              <w:rPr>
                <w:rFonts w:ascii="宋体"/>
                <w:kern w:val="0"/>
                <w:sz w:val="24"/>
                <w:szCs w:val="24"/>
              </w:rPr>
            </w:pPr>
            <w:r>
              <w:rPr>
                <w:rFonts w:ascii="宋体" w:hAnsi="宋体" w:cs="宋体" w:hint="eastAsia"/>
                <w:kern w:val="0"/>
                <w:sz w:val="24"/>
                <w:szCs w:val="24"/>
              </w:rPr>
              <w:t>其中：</w:t>
            </w:r>
          </w:p>
          <w:p w:rsidR="00CE2A09" w:rsidRDefault="00CE2A09">
            <w:pPr>
              <w:widowControl/>
              <w:spacing w:line="320" w:lineRule="exact"/>
              <w:jc w:val="left"/>
              <w:textAlignment w:val="center"/>
              <w:rPr>
                <w:rFonts w:ascii="宋体"/>
                <w:sz w:val="24"/>
                <w:szCs w:val="24"/>
              </w:rPr>
            </w:pPr>
            <w:r>
              <w:rPr>
                <w:rFonts w:ascii="宋体" w:hAnsi="宋体" w:cs="宋体" w:hint="eastAsia"/>
                <w:kern w:val="0"/>
                <w:sz w:val="24"/>
                <w:szCs w:val="24"/>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left"/>
              <w:textAlignment w:val="center"/>
              <w:rPr>
                <w:rFonts w:ascii="宋体"/>
                <w:sz w:val="24"/>
                <w:szCs w:val="24"/>
              </w:rPr>
            </w:pPr>
            <w:r>
              <w:rPr>
                <w:rFonts w:ascii="宋体" w:cs="宋体"/>
                <w:sz w:val="24"/>
                <w:szCs w:val="24"/>
              </w:rPr>
              <w:t>258.27</w:t>
            </w:r>
          </w:p>
        </w:tc>
        <w:tc>
          <w:tcPr>
            <w:tcW w:w="1224"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left"/>
              <w:textAlignment w:val="center"/>
              <w:rPr>
                <w:rFonts w:ascii="宋体"/>
                <w:kern w:val="0"/>
                <w:sz w:val="24"/>
                <w:szCs w:val="24"/>
              </w:rPr>
            </w:pPr>
            <w:r>
              <w:rPr>
                <w:rFonts w:ascii="宋体" w:hAnsi="宋体" w:cs="宋体" w:hint="eastAsia"/>
                <w:kern w:val="0"/>
                <w:sz w:val="24"/>
                <w:szCs w:val="24"/>
              </w:rPr>
              <w:t>其中：</w:t>
            </w:r>
          </w:p>
          <w:p w:rsidR="00CE2A09" w:rsidRDefault="00CE2A09">
            <w:pPr>
              <w:widowControl/>
              <w:spacing w:line="320" w:lineRule="exact"/>
              <w:jc w:val="left"/>
              <w:textAlignment w:val="center"/>
              <w:rPr>
                <w:rFonts w:ascii="宋体"/>
                <w:sz w:val="24"/>
                <w:szCs w:val="24"/>
              </w:rPr>
            </w:pPr>
            <w:r>
              <w:rPr>
                <w:rFonts w:ascii="宋体" w:hAnsi="宋体" w:cs="宋体" w:hint="eastAsia"/>
                <w:kern w:val="0"/>
                <w:sz w:val="24"/>
                <w:szCs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textAlignment w:val="center"/>
              <w:rPr>
                <w:rFonts w:ascii="宋体"/>
                <w:sz w:val="24"/>
                <w:szCs w:val="24"/>
              </w:rPr>
            </w:pPr>
            <w:r>
              <w:rPr>
                <w:rFonts w:ascii="宋体" w:cs="宋体"/>
                <w:sz w:val="24"/>
                <w:szCs w:val="24"/>
              </w:rPr>
              <w:t>258.27</w:t>
            </w:r>
          </w:p>
        </w:tc>
      </w:tr>
      <w:tr w:rsidR="00CE2A09">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CE2A09" w:rsidRDefault="00CE2A09">
            <w:pPr>
              <w:spacing w:line="320" w:lineRule="exact"/>
              <w:jc w:val="center"/>
              <w:rPr>
                <w:rFonts w:ascii="宋体"/>
                <w:sz w:val="24"/>
                <w:szCs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left"/>
              <w:textAlignment w:val="center"/>
              <w:rPr>
                <w:rFonts w:ascii="宋体"/>
                <w:sz w:val="24"/>
                <w:szCs w:val="24"/>
              </w:rPr>
            </w:pPr>
            <w:r>
              <w:rPr>
                <w:rFonts w:ascii="宋体" w:hAnsi="宋体" w:cs="宋体" w:hint="eastAsia"/>
                <w:kern w:val="0"/>
                <w:sz w:val="24"/>
                <w:szCs w:val="24"/>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left"/>
              <w:textAlignment w:val="center"/>
              <w:rPr>
                <w:rFonts w:ascii="宋体"/>
                <w:sz w:val="24"/>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left"/>
              <w:textAlignment w:val="center"/>
              <w:rPr>
                <w:rFonts w:ascii="宋体"/>
                <w:sz w:val="24"/>
                <w:szCs w:val="24"/>
              </w:rPr>
            </w:pPr>
            <w:r>
              <w:rPr>
                <w:rFonts w:ascii="宋体" w:hAnsi="宋体" w:cs="宋体" w:hint="eastAsia"/>
                <w:kern w:val="0"/>
                <w:sz w:val="24"/>
                <w:szCs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宋体"/>
                <w:sz w:val="24"/>
                <w:szCs w:val="24"/>
              </w:rPr>
            </w:pPr>
          </w:p>
        </w:tc>
      </w:tr>
      <w:tr w:rsidR="00CE2A09">
        <w:trPr>
          <w:gridAfter w:val="1"/>
          <w:wAfter w:w="236" w:type="dxa"/>
          <w:trHeight w:val="217"/>
        </w:trPr>
        <w:tc>
          <w:tcPr>
            <w:tcW w:w="1788" w:type="dxa"/>
            <w:vMerge w:val="restart"/>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宋体"/>
                <w:kern w:val="0"/>
                <w:sz w:val="24"/>
                <w:szCs w:val="24"/>
              </w:rPr>
            </w:pPr>
            <w:r>
              <w:rPr>
                <w:rFonts w:ascii="宋体" w:hAnsi="宋体" w:cs="宋体" w:hint="eastAsia"/>
                <w:kern w:val="0"/>
                <w:sz w:val="24"/>
                <w:szCs w:val="24"/>
              </w:rPr>
              <w:t>年度总体目标</w:t>
            </w:r>
          </w:p>
          <w:p w:rsidR="00CE2A09" w:rsidRDefault="00CE2A09">
            <w:pPr>
              <w:widowControl/>
              <w:spacing w:line="320" w:lineRule="exact"/>
              <w:jc w:val="center"/>
              <w:textAlignment w:val="center"/>
              <w:rPr>
                <w:rFonts w:ascii="宋体"/>
                <w:sz w:val="24"/>
                <w:szCs w:val="24"/>
              </w:rPr>
            </w:pPr>
            <w:r>
              <w:rPr>
                <w:rFonts w:ascii="宋体" w:hAnsi="宋体" w:cs="宋体" w:hint="eastAsia"/>
                <w:kern w:val="0"/>
                <w:sz w:val="24"/>
                <w:szCs w:val="24"/>
              </w:rPr>
              <w:t>完成情况</w:t>
            </w:r>
          </w:p>
        </w:tc>
        <w:tc>
          <w:tcPr>
            <w:tcW w:w="4154" w:type="dxa"/>
            <w:gridSpan w:val="3"/>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宋体"/>
                <w:sz w:val="24"/>
                <w:szCs w:val="24"/>
              </w:rPr>
            </w:pPr>
            <w:r>
              <w:rPr>
                <w:rFonts w:ascii="宋体" w:hAnsi="宋体" w:cs="宋体" w:hint="eastAsia"/>
                <w:kern w:val="0"/>
                <w:sz w:val="24"/>
                <w:szCs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宋体"/>
                <w:sz w:val="24"/>
                <w:szCs w:val="24"/>
              </w:rPr>
            </w:pPr>
            <w:r>
              <w:rPr>
                <w:rFonts w:ascii="宋体" w:hAnsi="宋体" w:cs="宋体" w:hint="eastAsia"/>
                <w:kern w:val="0"/>
                <w:sz w:val="24"/>
                <w:szCs w:val="24"/>
              </w:rPr>
              <w:t>目标实际完成情况</w:t>
            </w:r>
          </w:p>
        </w:tc>
      </w:tr>
      <w:tr w:rsidR="00CE2A09">
        <w:trPr>
          <w:gridAfter w:val="1"/>
          <w:wAfter w:w="236" w:type="dxa"/>
          <w:trHeight w:val="797"/>
        </w:trPr>
        <w:tc>
          <w:tcPr>
            <w:tcW w:w="1788" w:type="dxa"/>
            <w:vMerge/>
            <w:tcBorders>
              <w:top w:val="single" w:sz="4" w:space="0" w:color="000000"/>
              <w:left w:val="single" w:sz="4" w:space="0" w:color="000000"/>
              <w:bottom w:val="single" w:sz="4" w:space="0" w:color="000000"/>
              <w:right w:val="single" w:sz="4" w:space="0" w:color="000000"/>
            </w:tcBorders>
            <w:vAlign w:val="center"/>
          </w:tcPr>
          <w:p w:rsidR="00CE2A09" w:rsidRDefault="00CE2A09">
            <w:pPr>
              <w:spacing w:line="320" w:lineRule="exact"/>
              <w:jc w:val="center"/>
              <w:rPr>
                <w:rFonts w:ascii="宋体"/>
                <w:sz w:val="24"/>
                <w:szCs w:val="24"/>
              </w:rPr>
            </w:pPr>
          </w:p>
        </w:tc>
        <w:tc>
          <w:tcPr>
            <w:tcW w:w="4154" w:type="dxa"/>
            <w:gridSpan w:val="3"/>
            <w:tcBorders>
              <w:top w:val="single" w:sz="4" w:space="0" w:color="000000"/>
              <w:left w:val="single" w:sz="4" w:space="0" w:color="000000"/>
              <w:bottom w:val="single" w:sz="4" w:space="0" w:color="000000"/>
              <w:right w:val="single" w:sz="4" w:space="0" w:color="000000"/>
            </w:tcBorders>
          </w:tcPr>
          <w:p w:rsidR="00CE2A09" w:rsidRDefault="00CE2A09">
            <w:pPr>
              <w:widowControl/>
              <w:spacing w:line="320" w:lineRule="exact"/>
              <w:jc w:val="left"/>
              <w:textAlignment w:val="top"/>
              <w:rPr>
                <w:rFonts w:ascii="宋体"/>
                <w:sz w:val="24"/>
                <w:szCs w:val="24"/>
              </w:rPr>
            </w:pPr>
            <w:r>
              <w:rPr>
                <w:rFonts w:ascii="宋体" w:cs="宋体" w:hint="eastAsia"/>
                <w:sz w:val="24"/>
                <w:szCs w:val="24"/>
              </w:rPr>
              <w:t>完成重大项目、基础设施项目的论证实施工作，保障城乡规划方案的实施。</w:t>
            </w:r>
          </w:p>
        </w:tc>
        <w:tc>
          <w:tcPr>
            <w:tcW w:w="3633" w:type="dxa"/>
            <w:gridSpan w:val="3"/>
            <w:tcBorders>
              <w:top w:val="single" w:sz="4" w:space="0" w:color="000000"/>
              <w:left w:val="single" w:sz="4" w:space="0" w:color="000000"/>
              <w:bottom w:val="single" w:sz="4" w:space="0" w:color="000000"/>
              <w:right w:val="single" w:sz="4" w:space="0" w:color="000000"/>
            </w:tcBorders>
          </w:tcPr>
          <w:p w:rsidR="00CE2A09" w:rsidRDefault="00CE2A09">
            <w:pPr>
              <w:widowControl/>
              <w:spacing w:line="320" w:lineRule="exact"/>
              <w:jc w:val="left"/>
              <w:textAlignment w:val="top"/>
              <w:rPr>
                <w:rFonts w:ascii="宋体"/>
                <w:sz w:val="24"/>
                <w:szCs w:val="24"/>
              </w:rPr>
            </w:pPr>
            <w:r>
              <w:rPr>
                <w:rFonts w:ascii="宋体" w:cs="宋体" w:hint="eastAsia"/>
                <w:sz w:val="24"/>
                <w:szCs w:val="24"/>
              </w:rPr>
              <w:t>完成重大项目、基础设施项目的论证实施工作，保障城乡规划方案的实施。业主单位满意度≥</w:t>
            </w:r>
            <w:r>
              <w:rPr>
                <w:rFonts w:ascii="宋体" w:cs="宋体"/>
                <w:sz w:val="24"/>
                <w:szCs w:val="24"/>
              </w:rPr>
              <w:t>99%</w:t>
            </w:r>
            <w:r>
              <w:rPr>
                <w:rFonts w:ascii="宋体" w:cs="宋体" w:hint="eastAsia"/>
                <w:sz w:val="24"/>
                <w:szCs w:val="24"/>
              </w:rPr>
              <w:t>。</w:t>
            </w:r>
          </w:p>
        </w:tc>
      </w:tr>
      <w:tr w:rsidR="00CE2A09">
        <w:trPr>
          <w:gridAfter w:val="1"/>
          <w:wAfter w:w="236" w:type="dxa"/>
          <w:trHeight w:val="693"/>
        </w:trPr>
        <w:tc>
          <w:tcPr>
            <w:tcW w:w="1788" w:type="dxa"/>
            <w:vMerge w:val="restart"/>
            <w:tcBorders>
              <w:top w:val="single" w:sz="4" w:space="0" w:color="000000"/>
              <w:left w:val="single" w:sz="4" w:space="0" w:color="000000"/>
              <w:right w:val="single" w:sz="4" w:space="0" w:color="000000"/>
            </w:tcBorders>
            <w:vAlign w:val="center"/>
          </w:tcPr>
          <w:p w:rsidR="00CE2A09" w:rsidRDefault="00CE2A09">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年度绩效指标完成情况</w:t>
            </w:r>
          </w:p>
        </w:tc>
        <w:tc>
          <w:tcPr>
            <w:tcW w:w="1330" w:type="dxa"/>
            <w:tcBorders>
              <w:top w:val="single" w:sz="4" w:space="0" w:color="000000"/>
              <w:left w:val="nil"/>
              <w:bottom w:val="single" w:sz="4" w:space="0" w:color="000000"/>
              <w:right w:val="single" w:sz="4" w:space="0" w:color="000000"/>
            </w:tcBorders>
            <w:vAlign w:val="center"/>
          </w:tcPr>
          <w:p w:rsidR="00CE2A09" w:rsidRDefault="00CE2A09">
            <w:pPr>
              <w:widowControl/>
              <w:spacing w:line="320" w:lineRule="exact"/>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一级</w:t>
            </w:r>
          </w:p>
          <w:p w:rsidR="00CE2A09" w:rsidRDefault="00CE2A09">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二级</w:t>
            </w:r>
          </w:p>
          <w:p w:rsidR="00CE2A09" w:rsidRDefault="00CE2A09">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三级</w:t>
            </w:r>
          </w:p>
          <w:p w:rsidR="00CE2A09" w:rsidRDefault="00CE2A09">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411" w:type="dxa"/>
            <w:gridSpan w:val="2"/>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预期指标值</w:t>
            </w:r>
          </w:p>
        </w:tc>
        <w:tc>
          <w:tcPr>
            <w:tcW w:w="2222" w:type="dxa"/>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实际完成指标值</w:t>
            </w:r>
          </w:p>
        </w:tc>
      </w:tr>
      <w:tr w:rsidR="00CE2A09">
        <w:trPr>
          <w:gridAfter w:val="1"/>
          <w:wAfter w:w="236" w:type="dxa"/>
          <w:trHeight w:val="415"/>
        </w:trPr>
        <w:tc>
          <w:tcPr>
            <w:tcW w:w="1788" w:type="dxa"/>
            <w:vMerge/>
            <w:tcBorders>
              <w:left w:val="single" w:sz="4" w:space="0" w:color="000000"/>
              <w:right w:val="single" w:sz="4" w:space="0" w:color="000000"/>
            </w:tcBorders>
            <w:vAlign w:val="center"/>
          </w:tcPr>
          <w:p w:rsidR="00CE2A09" w:rsidRDefault="00CE2A09">
            <w:pPr>
              <w:spacing w:line="320" w:lineRule="exact"/>
              <w:jc w:val="center"/>
              <w:rPr>
                <w:rFonts w:ascii="仿宋_GB2312" w:eastAsia="仿宋_GB2312" w:hAnsi="仿宋_GB2312"/>
                <w:sz w:val="28"/>
                <w:szCs w:val="28"/>
              </w:rPr>
            </w:pP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bottom"/>
              <w:rPr>
                <w:rFonts w:ascii="仿宋_GB2312" w:eastAsia="仿宋_GB2312" w:hAnsi="仿宋_GB2312"/>
                <w:kern w:val="0"/>
                <w:sz w:val="28"/>
                <w:szCs w:val="28"/>
              </w:rPr>
            </w:pPr>
            <w:r>
              <w:rPr>
                <w:rFonts w:ascii="仿宋_GB2312" w:eastAsia="仿宋_GB2312" w:hAnsi="仿宋_GB2312" w:cs="仿宋_GB2312" w:hint="eastAsia"/>
                <w:kern w:val="0"/>
                <w:sz w:val="28"/>
                <w:szCs w:val="28"/>
              </w:rPr>
              <w:t>完成</w:t>
            </w:r>
          </w:p>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textAlignment w:val="bottom"/>
              <w:rPr>
                <w:rFonts w:ascii="仿宋_GB2312" w:eastAsia="仿宋_GB2312" w:hAnsi="仿宋_GB2312"/>
                <w:sz w:val="28"/>
                <w:szCs w:val="28"/>
              </w:rPr>
            </w:pPr>
            <w:r>
              <w:rPr>
                <w:rFonts w:ascii="仿宋_GB2312" w:eastAsia="仿宋_GB2312" w:hAnsi="仿宋_GB2312" w:cs="仿宋_GB2312" w:hint="eastAsia"/>
                <w:sz w:val="28"/>
                <w:szCs w:val="28"/>
              </w:rPr>
              <w:t>完成年度工作</w:t>
            </w:r>
          </w:p>
        </w:tc>
        <w:tc>
          <w:tcPr>
            <w:tcW w:w="1411" w:type="dxa"/>
            <w:gridSpan w:val="2"/>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按照工作计划完成项目论证实施工作</w:t>
            </w:r>
          </w:p>
        </w:tc>
        <w:tc>
          <w:tcPr>
            <w:tcW w:w="2222"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按照工作计划完成项目论证实施工作</w:t>
            </w:r>
          </w:p>
        </w:tc>
      </w:tr>
      <w:tr w:rsidR="00CE2A09">
        <w:trPr>
          <w:gridAfter w:val="1"/>
          <w:wAfter w:w="236" w:type="dxa"/>
          <w:trHeight w:val="415"/>
        </w:trPr>
        <w:tc>
          <w:tcPr>
            <w:tcW w:w="1788" w:type="dxa"/>
            <w:vMerge/>
            <w:tcBorders>
              <w:left w:val="single" w:sz="4" w:space="0" w:color="000000"/>
              <w:right w:val="single" w:sz="4" w:space="0" w:color="000000"/>
            </w:tcBorders>
            <w:vAlign w:val="center"/>
          </w:tcPr>
          <w:p w:rsidR="00CE2A09" w:rsidRDefault="00CE2A09">
            <w:pPr>
              <w:spacing w:line="320" w:lineRule="exact"/>
              <w:jc w:val="center"/>
              <w:rPr>
                <w:rFonts w:ascii="仿宋_GB2312" w:eastAsia="仿宋_GB2312" w:hAnsi="仿宋_GB2312"/>
                <w:sz w:val="28"/>
                <w:szCs w:val="28"/>
              </w:rPr>
            </w:pPr>
          </w:p>
        </w:tc>
        <w:tc>
          <w:tcPr>
            <w:tcW w:w="1330" w:type="dxa"/>
            <w:vMerge/>
            <w:tcBorders>
              <w:top w:val="single" w:sz="4" w:space="0" w:color="000000"/>
              <w:left w:val="single" w:sz="4" w:space="0" w:color="000000"/>
              <w:bottom w:val="single" w:sz="4" w:space="0" w:color="000000"/>
              <w:right w:val="single" w:sz="4" w:space="0" w:color="000000"/>
            </w:tcBorders>
            <w:vAlign w:val="bottom"/>
          </w:tcPr>
          <w:p w:rsidR="00CE2A09" w:rsidRDefault="00CE2A09">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distribute"/>
              <w:textAlignment w:val="bottom"/>
              <w:rPr>
                <w:rFonts w:ascii="仿宋_GB2312" w:eastAsia="仿宋_GB2312" w:hAnsi="仿宋_GB2312"/>
                <w:sz w:val="28"/>
                <w:szCs w:val="28"/>
              </w:rPr>
            </w:pPr>
            <w:r>
              <w:rPr>
                <w:rFonts w:ascii="仿宋_GB2312" w:eastAsia="仿宋_GB2312" w:hAnsi="仿宋_GB2312" w:cs="仿宋_GB2312" w:hint="eastAsia"/>
                <w:sz w:val="28"/>
                <w:szCs w:val="28"/>
              </w:rPr>
              <w:t>保障工作需要</w:t>
            </w:r>
          </w:p>
        </w:tc>
        <w:tc>
          <w:tcPr>
            <w:tcW w:w="1411" w:type="dxa"/>
            <w:gridSpan w:val="2"/>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及时、迅速送达图纸，保障年度论证工作顺利完成</w:t>
            </w:r>
          </w:p>
        </w:tc>
        <w:tc>
          <w:tcPr>
            <w:tcW w:w="2222"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及时、迅速送达图纸，保障年度论证工作顺利完成</w:t>
            </w:r>
          </w:p>
        </w:tc>
      </w:tr>
      <w:tr w:rsidR="00CE2A09">
        <w:trPr>
          <w:gridAfter w:val="1"/>
          <w:wAfter w:w="236" w:type="dxa"/>
          <w:trHeight w:val="415"/>
        </w:trPr>
        <w:tc>
          <w:tcPr>
            <w:tcW w:w="1788" w:type="dxa"/>
            <w:vMerge/>
            <w:tcBorders>
              <w:left w:val="single" w:sz="4" w:space="0" w:color="000000"/>
              <w:right w:val="single" w:sz="4" w:space="0" w:color="000000"/>
            </w:tcBorders>
            <w:vAlign w:val="center"/>
          </w:tcPr>
          <w:p w:rsidR="00CE2A09" w:rsidRDefault="00CE2A09">
            <w:pPr>
              <w:spacing w:line="320" w:lineRule="exact"/>
              <w:jc w:val="center"/>
              <w:rPr>
                <w:rFonts w:ascii="仿宋_GB2312" w:eastAsia="仿宋_GB2312" w:hAnsi="仿宋_GB2312"/>
                <w:sz w:val="28"/>
                <w:szCs w:val="28"/>
              </w:rPr>
            </w:pPr>
          </w:p>
        </w:tc>
        <w:tc>
          <w:tcPr>
            <w:tcW w:w="1330" w:type="dxa"/>
            <w:vMerge/>
            <w:tcBorders>
              <w:top w:val="single" w:sz="4" w:space="0" w:color="000000"/>
              <w:left w:val="single" w:sz="4" w:space="0" w:color="000000"/>
              <w:bottom w:val="single" w:sz="4" w:space="0" w:color="000000"/>
              <w:right w:val="single" w:sz="4" w:space="0" w:color="000000"/>
            </w:tcBorders>
            <w:vAlign w:val="bottom"/>
          </w:tcPr>
          <w:p w:rsidR="00CE2A09" w:rsidRDefault="00CE2A09">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按工作进度</w:t>
            </w:r>
          </w:p>
        </w:tc>
        <w:tc>
          <w:tcPr>
            <w:tcW w:w="1411" w:type="dxa"/>
            <w:gridSpan w:val="2"/>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sz w:val="28"/>
                <w:szCs w:val="28"/>
              </w:rPr>
              <w:t>2021</w:t>
            </w:r>
            <w:r>
              <w:rPr>
                <w:rFonts w:ascii="仿宋_GB2312" w:eastAsia="仿宋_GB2312" w:hAnsi="仿宋_GB2312" w:cs="仿宋_GB2312" w:hint="eastAsia"/>
                <w:sz w:val="28"/>
                <w:szCs w:val="28"/>
              </w:rPr>
              <w:t>年</w:t>
            </w:r>
          </w:p>
        </w:tc>
        <w:tc>
          <w:tcPr>
            <w:tcW w:w="2222"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sz w:val="28"/>
                <w:szCs w:val="28"/>
              </w:rPr>
              <w:t>2021</w:t>
            </w:r>
            <w:r>
              <w:rPr>
                <w:rFonts w:ascii="仿宋_GB2312" w:eastAsia="仿宋_GB2312" w:hAnsi="仿宋_GB2312" w:cs="仿宋_GB2312" w:hint="eastAsia"/>
                <w:sz w:val="28"/>
                <w:szCs w:val="28"/>
              </w:rPr>
              <w:t>年</w:t>
            </w:r>
          </w:p>
        </w:tc>
      </w:tr>
      <w:tr w:rsidR="00CE2A09">
        <w:trPr>
          <w:gridAfter w:val="1"/>
          <w:wAfter w:w="236" w:type="dxa"/>
          <w:trHeight w:val="480"/>
        </w:trPr>
        <w:tc>
          <w:tcPr>
            <w:tcW w:w="1788" w:type="dxa"/>
            <w:vMerge/>
            <w:tcBorders>
              <w:left w:val="single" w:sz="4" w:space="0" w:color="000000"/>
              <w:right w:val="single" w:sz="4" w:space="0" w:color="000000"/>
            </w:tcBorders>
            <w:vAlign w:val="center"/>
          </w:tcPr>
          <w:p w:rsidR="00CE2A09" w:rsidRDefault="00CE2A09">
            <w:pPr>
              <w:spacing w:line="320" w:lineRule="exact"/>
              <w:jc w:val="center"/>
              <w:rPr>
                <w:rFonts w:ascii="仿宋_GB2312" w:eastAsia="仿宋_GB2312" w:hAnsi="仿宋_GB2312"/>
                <w:sz w:val="28"/>
                <w:szCs w:val="28"/>
              </w:rPr>
            </w:pPr>
          </w:p>
        </w:tc>
        <w:tc>
          <w:tcPr>
            <w:tcW w:w="1330" w:type="dxa"/>
            <w:vMerge/>
            <w:tcBorders>
              <w:top w:val="single" w:sz="4" w:space="0" w:color="000000"/>
              <w:left w:val="single" w:sz="4" w:space="0" w:color="000000"/>
              <w:bottom w:val="single" w:sz="4" w:space="0" w:color="000000"/>
              <w:right w:val="single" w:sz="4" w:space="0" w:color="000000"/>
            </w:tcBorders>
            <w:vAlign w:val="bottom"/>
          </w:tcPr>
          <w:p w:rsidR="00CE2A09" w:rsidRDefault="00CE2A09">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勘察设计审查费</w:t>
            </w:r>
          </w:p>
        </w:tc>
        <w:tc>
          <w:tcPr>
            <w:tcW w:w="1411" w:type="dxa"/>
            <w:gridSpan w:val="2"/>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sz w:val="28"/>
                <w:szCs w:val="28"/>
              </w:rPr>
              <w:t>258.27</w:t>
            </w:r>
            <w:r>
              <w:rPr>
                <w:rFonts w:ascii="仿宋_GB2312" w:eastAsia="仿宋_GB2312" w:hAnsi="仿宋_GB2312" w:cs="仿宋_GB2312" w:hint="eastAsia"/>
                <w:sz w:val="28"/>
                <w:szCs w:val="28"/>
              </w:rPr>
              <w:t>万元</w:t>
            </w:r>
          </w:p>
        </w:tc>
        <w:tc>
          <w:tcPr>
            <w:tcW w:w="2222"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sz w:val="28"/>
                <w:szCs w:val="28"/>
              </w:rPr>
              <w:t>258.27</w:t>
            </w:r>
            <w:r>
              <w:rPr>
                <w:rFonts w:ascii="仿宋_GB2312" w:eastAsia="仿宋_GB2312" w:hAnsi="仿宋_GB2312" w:cs="仿宋_GB2312" w:hint="eastAsia"/>
                <w:sz w:val="28"/>
                <w:szCs w:val="28"/>
              </w:rPr>
              <w:t>万元</w:t>
            </w:r>
          </w:p>
        </w:tc>
      </w:tr>
      <w:tr w:rsidR="00CE2A09">
        <w:trPr>
          <w:gridAfter w:val="1"/>
          <w:wAfter w:w="236" w:type="dxa"/>
          <w:trHeight w:val="480"/>
        </w:trPr>
        <w:tc>
          <w:tcPr>
            <w:tcW w:w="1788" w:type="dxa"/>
            <w:vMerge/>
            <w:tcBorders>
              <w:left w:val="single" w:sz="4" w:space="0" w:color="000000"/>
              <w:right w:val="single" w:sz="4" w:space="0" w:color="000000"/>
            </w:tcBorders>
            <w:vAlign w:val="center"/>
          </w:tcPr>
          <w:p w:rsidR="00CE2A09" w:rsidRDefault="00CE2A09">
            <w:pPr>
              <w:spacing w:line="320" w:lineRule="exact"/>
              <w:jc w:val="center"/>
              <w:rPr>
                <w:rFonts w:ascii="仿宋_GB2312" w:eastAsia="仿宋_GB2312" w:hAnsi="仿宋_GB2312"/>
                <w:sz w:val="28"/>
                <w:szCs w:val="28"/>
              </w:rPr>
            </w:pP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CE2A09" w:rsidRDefault="00CE2A09">
            <w:pPr>
              <w:widowControl/>
              <w:spacing w:line="320" w:lineRule="exact"/>
              <w:jc w:val="center"/>
              <w:textAlignment w:val="bottom"/>
              <w:rPr>
                <w:rFonts w:ascii="仿宋_GB2312" w:eastAsia="仿宋_GB2312" w:hAnsi="仿宋_GB2312"/>
                <w:kern w:val="0"/>
                <w:sz w:val="28"/>
                <w:szCs w:val="28"/>
              </w:rPr>
            </w:pPr>
            <w:r>
              <w:rPr>
                <w:rFonts w:ascii="仿宋_GB2312" w:eastAsia="仿宋_GB2312" w:hAnsi="仿宋_GB2312" w:cs="仿宋_GB2312" w:hint="eastAsia"/>
                <w:kern w:val="0"/>
                <w:sz w:val="28"/>
                <w:szCs w:val="28"/>
              </w:rPr>
              <w:t>效益</w:t>
            </w:r>
          </w:p>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经济效益指标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完成年度任务</w:t>
            </w:r>
          </w:p>
        </w:tc>
        <w:tc>
          <w:tcPr>
            <w:tcW w:w="1411" w:type="dxa"/>
            <w:gridSpan w:val="2"/>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审图费收入</w:t>
            </w:r>
          </w:p>
        </w:tc>
        <w:tc>
          <w:tcPr>
            <w:tcW w:w="2222"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审图费收入</w:t>
            </w:r>
            <w:r>
              <w:rPr>
                <w:rFonts w:ascii="仿宋_GB2312" w:eastAsia="仿宋_GB2312" w:hAnsi="仿宋_GB2312" w:cs="仿宋_GB2312"/>
                <w:sz w:val="28"/>
                <w:szCs w:val="28"/>
              </w:rPr>
              <w:t>307</w:t>
            </w:r>
            <w:r>
              <w:rPr>
                <w:rFonts w:ascii="仿宋_GB2312" w:eastAsia="仿宋_GB2312" w:hAnsi="仿宋_GB2312" w:cs="仿宋_GB2312" w:hint="eastAsia"/>
                <w:sz w:val="28"/>
                <w:szCs w:val="28"/>
              </w:rPr>
              <w:t>万元</w:t>
            </w:r>
          </w:p>
        </w:tc>
      </w:tr>
      <w:tr w:rsidR="00CE2A09">
        <w:trPr>
          <w:gridAfter w:val="1"/>
          <w:wAfter w:w="236" w:type="dxa"/>
          <w:trHeight w:val="480"/>
        </w:trPr>
        <w:tc>
          <w:tcPr>
            <w:tcW w:w="1788" w:type="dxa"/>
            <w:vMerge/>
            <w:tcBorders>
              <w:left w:val="single" w:sz="4" w:space="0" w:color="000000"/>
              <w:right w:val="single" w:sz="4" w:space="0" w:color="000000"/>
            </w:tcBorders>
            <w:vAlign w:val="center"/>
          </w:tcPr>
          <w:p w:rsidR="00CE2A09" w:rsidRDefault="00CE2A09">
            <w:pPr>
              <w:spacing w:line="320" w:lineRule="exact"/>
              <w:jc w:val="center"/>
              <w:rPr>
                <w:rFonts w:ascii="仿宋_GB2312" w:eastAsia="仿宋_GB2312" w:hAnsi="仿宋_GB2312"/>
                <w:sz w:val="28"/>
                <w:szCs w:val="28"/>
              </w:rPr>
            </w:pPr>
          </w:p>
        </w:tc>
        <w:tc>
          <w:tcPr>
            <w:tcW w:w="1330" w:type="dxa"/>
            <w:vMerge/>
            <w:tcBorders>
              <w:top w:val="single" w:sz="4" w:space="0" w:color="000000"/>
              <w:left w:val="single" w:sz="4" w:space="0" w:color="000000"/>
              <w:bottom w:val="single" w:sz="4" w:space="0" w:color="000000"/>
              <w:right w:val="single" w:sz="4" w:space="0" w:color="000000"/>
            </w:tcBorders>
            <w:vAlign w:val="bottom"/>
          </w:tcPr>
          <w:p w:rsidR="00CE2A09" w:rsidRDefault="00CE2A09">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社会效益指标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保障公众利益</w:t>
            </w:r>
          </w:p>
        </w:tc>
        <w:tc>
          <w:tcPr>
            <w:tcW w:w="1411" w:type="dxa"/>
            <w:gridSpan w:val="2"/>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建设工程施工图审查工作严格把关，使我市勘察设计质量保持稳定，有效避免安全隐患和质量事故的发生。</w:t>
            </w:r>
          </w:p>
        </w:tc>
        <w:tc>
          <w:tcPr>
            <w:tcW w:w="2222"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建设工程施工图审查工作严格把关，使我市勘察设计质量保持稳定，有效避免安全隐患和质量事故的发生。</w:t>
            </w:r>
          </w:p>
        </w:tc>
      </w:tr>
      <w:tr w:rsidR="00CE2A09">
        <w:trPr>
          <w:gridAfter w:val="1"/>
          <w:wAfter w:w="236" w:type="dxa"/>
          <w:trHeight w:val="577"/>
        </w:trPr>
        <w:tc>
          <w:tcPr>
            <w:tcW w:w="1788" w:type="dxa"/>
            <w:vMerge/>
            <w:tcBorders>
              <w:left w:val="single" w:sz="4" w:space="0" w:color="000000"/>
              <w:right w:val="single" w:sz="4" w:space="0" w:color="000000"/>
            </w:tcBorders>
            <w:vAlign w:val="center"/>
          </w:tcPr>
          <w:p w:rsidR="00CE2A09" w:rsidRDefault="00CE2A09">
            <w:pPr>
              <w:spacing w:line="320" w:lineRule="exact"/>
              <w:jc w:val="center"/>
              <w:rPr>
                <w:rFonts w:ascii="仿宋_GB2312" w:eastAsia="仿宋_GB2312" w:hAnsi="仿宋_GB2312"/>
                <w:sz w:val="28"/>
                <w:szCs w:val="28"/>
              </w:rPr>
            </w:pPr>
          </w:p>
        </w:tc>
        <w:tc>
          <w:tcPr>
            <w:tcW w:w="1330" w:type="dxa"/>
            <w:vMerge/>
            <w:tcBorders>
              <w:top w:val="single" w:sz="4" w:space="0" w:color="000000"/>
              <w:left w:val="single" w:sz="4" w:space="0" w:color="000000"/>
              <w:bottom w:val="single" w:sz="4" w:space="0" w:color="000000"/>
              <w:right w:val="single" w:sz="4" w:space="0" w:color="000000"/>
            </w:tcBorders>
            <w:vAlign w:val="bottom"/>
          </w:tcPr>
          <w:p w:rsidR="00CE2A09" w:rsidRDefault="00CE2A09">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ind w:leftChars="87" w:left="463" w:hangingChars="100" w:hanging="280"/>
              <w:jc w:val="left"/>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生态效益指标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绿色建筑、节能设计</w:t>
            </w:r>
          </w:p>
        </w:tc>
        <w:tc>
          <w:tcPr>
            <w:tcW w:w="1411" w:type="dxa"/>
            <w:gridSpan w:val="2"/>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把控绿色建筑设计标准、节能设计标准在工程建设项目中的执行与落地，规避因设计原因影响生态环境安全问题</w:t>
            </w:r>
          </w:p>
        </w:tc>
        <w:tc>
          <w:tcPr>
            <w:tcW w:w="2222"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把控绿色建筑设计标准、节能设计标准在工程建设项目中的执行与落地，规避因设计原因影响生态环境安全问题</w:t>
            </w:r>
          </w:p>
        </w:tc>
      </w:tr>
      <w:tr w:rsidR="00CE2A09">
        <w:trPr>
          <w:gridAfter w:val="1"/>
          <w:wAfter w:w="236" w:type="dxa"/>
          <w:trHeight w:val="480"/>
        </w:trPr>
        <w:tc>
          <w:tcPr>
            <w:tcW w:w="1788" w:type="dxa"/>
            <w:vMerge/>
            <w:tcBorders>
              <w:left w:val="single" w:sz="4" w:space="0" w:color="000000"/>
              <w:right w:val="single" w:sz="4" w:space="0" w:color="000000"/>
            </w:tcBorders>
            <w:vAlign w:val="center"/>
          </w:tcPr>
          <w:p w:rsidR="00CE2A09" w:rsidRDefault="00CE2A09">
            <w:pPr>
              <w:spacing w:line="320" w:lineRule="exact"/>
              <w:jc w:val="center"/>
              <w:rPr>
                <w:rFonts w:ascii="仿宋_GB2312" w:eastAsia="仿宋_GB2312" w:hAnsi="仿宋_GB2312"/>
                <w:sz w:val="28"/>
                <w:szCs w:val="28"/>
              </w:rPr>
            </w:pPr>
          </w:p>
        </w:tc>
        <w:tc>
          <w:tcPr>
            <w:tcW w:w="1330" w:type="dxa"/>
            <w:vMerge/>
            <w:tcBorders>
              <w:top w:val="single" w:sz="4" w:space="0" w:color="000000"/>
              <w:left w:val="single" w:sz="4" w:space="0" w:color="000000"/>
              <w:bottom w:val="single" w:sz="4" w:space="0" w:color="000000"/>
              <w:right w:val="single" w:sz="4" w:space="0" w:color="000000"/>
            </w:tcBorders>
            <w:vAlign w:val="bottom"/>
          </w:tcPr>
          <w:p w:rsidR="00CE2A09" w:rsidRDefault="00CE2A09">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可持续影响指标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勘察设计质量保证</w:t>
            </w:r>
          </w:p>
        </w:tc>
        <w:tc>
          <w:tcPr>
            <w:tcW w:w="1411" w:type="dxa"/>
            <w:gridSpan w:val="2"/>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保证勘察设计质量保持稳定，有效避免安全隐患和质量事故的发生</w:t>
            </w:r>
          </w:p>
        </w:tc>
        <w:tc>
          <w:tcPr>
            <w:tcW w:w="2222"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保证勘察设计质量保持稳定，有效避免安全隐患和质量事故的发生</w:t>
            </w:r>
          </w:p>
        </w:tc>
      </w:tr>
      <w:tr w:rsidR="00CE2A09">
        <w:trPr>
          <w:gridAfter w:val="1"/>
          <w:wAfter w:w="236" w:type="dxa"/>
          <w:trHeight w:val="530"/>
        </w:trPr>
        <w:tc>
          <w:tcPr>
            <w:tcW w:w="1788" w:type="dxa"/>
            <w:vMerge/>
            <w:tcBorders>
              <w:left w:val="single" w:sz="4" w:space="0" w:color="000000"/>
              <w:bottom w:val="single" w:sz="4" w:space="0" w:color="000000"/>
              <w:right w:val="single" w:sz="4" w:space="0" w:color="000000"/>
            </w:tcBorders>
            <w:vAlign w:val="center"/>
          </w:tcPr>
          <w:p w:rsidR="00CE2A09" w:rsidRDefault="00CE2A09">
            <w:pPr>
              <w:spacing w:line="320" w:lineRule="exact"/>
              <w:jc w:val="center"/>
              <w:rPr>
                <w:rFonts w:ascii="仿宋_GB2312" w:eastAsia="仿宋_GB2312" w:hAnsi="仿宋_GB2312"/>
                <w:sz w:val="28"/>
                <w:szCs w:val="28"/>
              </w:rPr>
            </w:pPr>
          </w:p>
        </w:tc>
        <w:tc>
          <w:tcPr>
            <w:tcW w:w="1330"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kern w:val="0"/>
                <w:sz w:val="28"/>
                <w:szCs w:val="28"/>
              </w:rPr>
            </w:pPr>
            <w:r>
              <w:rPr>
                <w:rFonts w:ascii="仿宋_GB2312" w:eastAsia="仿宋_GB2312" w:hAnsi="仿宋_GB2312" w:cs="仿宋_GB2312" w:hint="eastAsia"/>
                <w:kern w:val="0"/>
                <w:sz w:val="28"/>
                <w:szCs w:val="28"/>
              </w:rPr>
              <w:t>满意</w:t>
            </w:r>
          </w:p>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kern w:val="0"/>
                <w:sz w:val="28"/>
                <w:szCs w:val="28"/>
              </w:rPr>
            </w:pPr>
            <w:r>
              <w:rPr>
                <w:rFonts w:ascii="仿宋_GB2312" w:eastAsia="仿宋_GB2312" w:hAnsi="仿宋_GB2312" w:cs="仿宋_GB2312" w:hint="eastAsia"/>
                <w:kern w:val="0"/>
                <w:sz w:val="28"/>
                <w:szCs w:val="28"/>
              </w:rPr>
              <w:t>满意度</w:t>
            </w:r>
          </w:p>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业主单位满意度</w:t>
            </w:r>
          </w:p>
        </w:tc>
        <w:tc>
          <w:tcPr>
            <w:tcW w:w="1411" w:type="dxa"/>
            <w:gridSpan w:val="2"/>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99%</w:t>
            </w:r>
          </w:p>
        </w:tc>
        <w:tc>
          <w:tcPr>
            <w:tcW w:w="2222" w:type="dxa"/>
            <w:tcBorders>
              <w:top w:val="single" w:sz="4" w:space="0" w:color="000000"/>
              <w:left w:val="single" w:sz="4" w:space="0" w:color="000000"/>
              <w:bottom w:val="single" w:sz="4" w:space="0" w:color="000000"/>
              <w:right w:val="single" w:sz="4" w:space="0" w:color="000000"/>
            </w:tcBorders>
            <w:vAlign w:val="bottom"/>
          </w:tcPr>
          <w:p w:rsidR="00CE2A09" w:rsidRDefault="00CE2A09">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99%</w:t>
            </w:r>
          </w:p>
        </w:tc>
      </w:tr>
    </w:tbl>
    <w:p w:rsidR="00CE2A09" w:rsidRDefault="00CE2A09">
      <w:pPr>
        <w:spacing w:line="600" w:lineRule="exact"/>
        <w:jc w:val="center"/>
        <w:outlineLvl w:val="0"/>
        <w:rPr>
          <w:rFonts w:ascii="黑体" w:eastAsia="黑体" w:hAnsi="黑体"/>
          <w:sz w:val="44"/>
          <w:szCs w:val="44"/>
        </w:rPr>
      </w:pPr>
    </w:p>
    <w:bookmarkEnd w:id="54"/>
    <w:bookmarkEnd w:id="56"/>
    <w:p w:rsidR="00CE2A09" w:rsidRDefault="00CE2A09">
      <w:pPr>
        <w:pStyle w:val="BodyText"/>
        <w:spacing w:before="93"/>
      </w:pPr>
    </w:p>
    <w:p w:rsidR="00CE2A09" w:rsidRDefault="00CE2A09">
      <w:pPr>
        <w:pStyle w:val="BodyText"/>
        <w:spacing w:before="93"/>
      </w:pPr>
    </w:p>
    <w:p w:rsidR="00CE2A09" w:rsidRDefault="00CE2A09">
      <w:pPr>
        <w:pStyle w:val="BodyText"/>
        <w:spacing w:before="93"/>
      </w:pPr>
    </w:p>
    <w:p w:rsidR="00CE2A09" w:rsidRDefault="00CE2A09">
      <w:pPr>
        <w:pStyle w:val="BodyText"/>
        <w:spacing w:before="93"/>
      </w:pPr>
    </w:p>
    <w:p w:rsidR="00CE2A09" w:rsidRPr="00604F87" w:rsidRDefault="00CE2A09" w:rsidP="00604F87">
      <w:pPr>
        <w:pStyle w:val="BodyText"/>
        <w:spacing w:before="93"/>
      </w:pPr>
    </w:p>
    <w:p w:rsidR="00CE2A09" w:rsidRPr="00604F87" w:rsidRDefault="00CE2A09" w:rsidP="00604F87">
      <w:pPr>
        <w:pStyle w:val="Heading1"/>
        <w:jc w:val="center"/>
        <w:rPr>
          <w:rFonts w:ascii="黑体" w:eastAsia="黑体" w:hAnsi="黑体" w:cs="黑体"/>
          <w:b w:val="0"/>
          <w:bCs w:val="0"/>
        </w:rPr>
      </w:pPr>
      <w:r w:rsidRPr="00604F87">
        <w:rPr>
          <w:rFonts w:ascii="黑体" w:eastAsia="黑体" w:hAnsi="黑体" w:cs="黑体" w:hint="eastAsia"/>
          <w:b w:val="0"/>
          <w:bCs w:val="0"/>
        </w:rPr>
        <w:t>第五部分</w:t>
      </w:r>
      <w:r>
        <w:rPr>
          <w:rFonts w:ascii="黑体" w:eastAsia="黑体" w:hAnsi="黑体" w:cs="黑体"/>
          <w:b w:val="0"/>
          <w:bCs w:val="0"/>
        </w:rPr>
        <w:t xml:space="preserve"> </w:t>
      </w:r>
      <w:r w:rsidRPr="00604F87">
        <w:rPr>
          <w:rFonts w:ascii="黑体" w:eastAsia="黑体" w:hAnsi="黑体" w:cs="黑体" w:hint="eastAsia"/>
          <w:b w:val="0"/>
          <w:bCs w:val="0"/>
        </w:rPr>
        <w:t>附表</w:t>
      </w:r>
    </w:p>
    <w:p w:rsidR="00CE2A09" w:rsidRPr="00604F87" w:rsidRDefault="00CE2A09" w:rsidP="00604F87">
      <w:pPr>
        <w:pStyle w:val="BodyText"/>
        <w:spacing w:before="93"/>
      </w:pPr>
    </w:p>
    <w:p w:rsidR="00CE2A09" w:rsidRDefault="00CE2A09">
      <w:pPr>
        <w:pStyle w:val="BodyText"/>
        <w:spacing w:before="93"/>
        <w:rPr>
          <w:rFonts w:hAnsi="黑体"/>
          <w:sz w:val="32"/>
          <w:szCs w:val="32"/>
        </w:rPr>
      </w:pPr>
      <w:r>
        <w:rPr>
          <w:rFonts w:hAnsi="黑体" w:hint="eastAsia"/>
          <w:sz w:val="32"/>
          <w:szCs w:val="32"/>
        </w:rPr>
        <w:t>一、收入支出决算总表</w:t>
      </w:r>
    </w:p>
    <w:p w:rsidR="00CE2A09" w:rsidRDefault="00CE2A09">
      <w:pPr>
        <w:pStyle w:val="BodyText"/>
        <w:spacing w:before="93"/>
        <w:rPr>
          <w:rFonts w:hAnsi="黑体"/>
          <w:sz w:val="32"/>
          <w:szCs w:val="32"/>
        </w:rPr>
      </w:pPr>
      <w:r>
        <w:rPr>
          <w:rFonts w:hAnsi="黑体" w:hint="eastAsia"/>
          <w:sz w:val="32"/>
          <w:szCs w:val="32"/>
        </w:rPr>
        <w:t>二、收入决算表</w:t>
      </w:r>
    </w:p>
    <w:p w:rsidR="00CE2A09" w:rsidRDefault="00CE2A09">
      <w:pPr>
        <w:pStyle w:val="BodyText"/>
        <w:spacing w:before="93"/>
        <w:rPr>
          <w:rFonts w:hAnsi="黑体"/>
          <w:sz w:val="32"/>
          <w:szCs w:val="32"/>
        </w:rPr>
      </w:pPr>
      <w:r>
        <w:rPr>
          <w:rFonts w:hAnsi="黑体" w:hint="eastAsia"/>
          <w:sz w:val="32"/>
          <w:szCs w:val="32"/>
        </w:rPr>
        <w:t>三、支出决算表</w:t>
      </w:r>
    </w:p>
    <w:p w:rsidR="00CE2A09" w:rsidRDefault="00CE2A09">
      <w:pPr>
        <w:pStyle w:val="BodyText"/>
        <w:spacing w:before="93"/>
        <w:rPr>
          <w:rFonts w:hAnsi="黑体"/>
          <w:sz w:val="32"/>
          <w:szCs w:val="32"/>
        </w:rPr>
      </w:pPr>
      <w:r>
        <w:rPr>
          <w:rFonts w:hAnsi="黑体" w:hint="eastAsia"/>
          <w:sz w:val="32"/>
          <w:szCs w:val="32"/>
        </w:rPr>
        <w:t>四、财政拨款收入支出决算总表</w:t>
      </w:r>
    </w:p>
    <w:p w:rsidR="00CE2A09" w:rsidRDefault="00CE2A09">
      <w:pPr>
        <w:pStyle w:val="BodyText"/>
        <w:spacing w:before="93"/>
        <w:rPr>
          <w:rFonts w:hAnsi="黑体"/>
          <w:sz w:val="32"/>
          <w:szCs w:val="32"/>
        </w:rPr>
      </w:pPr>
      <w:r>
        <w:rPr>
          <w:rFonts w:hAnsi="黑体" w:hint="eastAsia"/>
          <w:sz w:val="32"/>
          <w:szCs w:val="32"/>
        </w:rPr>
        <w:t>五、财政拨款支出决算明细表</w:t>
      </w:r>
    </w:p>
    <w:p w:rsidR="00CE2A09" w:rsidRDefault="00CE2A09">
      <w:pPr>
        <w:pStyle w:val="BodyText"/>
        <w:spacing w:before="93"/>
        <w:rPr>
          <w:rFonts w:hAnsi="黑体"/>
          <w:sz w:val="32"/>
          <w:szCs w:val="32"/>
        </w:rPr>
      </w:pPr>
      <w:r>
        <w:rPr>
          <w:rFonts w:hAnsi="黑体" w:hint="eastAsia"/>
          <w:sz w:val="32"/>
          <w:szCs w:val="32"/>
        </w:rPr>
        <w:t>六、一般公共预算财政拨款支出决算表</w:t>
      </w:r>
    </w:p>
    <w:p w:rsidR="00CE2A09" w:rsidRDefault="00CE2A09">
      <w:pPr>
        <w:pStyle w:val="BodyText"/>
        <w:spacing w:before="93"/>
        <w:rPr>
          <w:rFonts w:hAnsi="黑体"/>
          <w:sz w:val="32"/>
          <w:szCs w:val="32"/>
        </w:rPr>
      </w:pPr>
      <w:r>
        <w:rPr>
          <w:rFonts w:hAnsi="黑体" w:hint="eastAsia"/>
          <w:sz w:val="32"/>
          <w:szCs w:val="32"/>
        </w:rPr>
        <w:t>七、一般公共预算财政拨款支出决算明细表</w:t>
      </w:r>
    </w:p>
    <w:p w:rsidR="00CE2A09" w:rsidRDefault="00CE2A09">
      <w:pPr>
        <w:pStyle w:val="BodyText"/>
        <w:spacing w:before="93"/>
        <w:rPr>
          <w:rFonts w:hAnsi="黑体"/>
          <w:sz w:val="32"/>
          <w:szCs w:val="32"/>
        </w:rPr>
      </w:pPr>
      <w:r>
        <w:rPr>
          <w:rFonts w:hAnsi="黑体" w:hint="eastAsia"/>
          <w:sz w:val="32"/>
          <w:szCs w:val="32"/>
        </w:rPr>
        <w:t>八、一般公共预算财政拨款基本支出决算表</w:t>
      </w:r>
    </w:p>
    <w:p w:rsidR="00CE2A09" w:rsidRDefault="00CE2A09">
      <w:pPr>
        <w:pStyle w:val="BodyText"/>
        <w:spacing w:before="93"/>
        <w:rPr>
          <w:rFonts w:hAnsi="黑体"/>
          <w:sz w:val="32"/>
          <w:szCs w:val="32"/>
        </w:rPr>
      </w:pPr>
      <w:r>
        <w:rPr>
          <w:rFonts w:hAnsi="黑体" w:hint="eastAsia"/>
          <w:sz w:val="32"/>
          <w:szCs w:val="32"/>
        </w:rPr>
        <w:t>九、一般公共预算财政拨款项目支出决算表</w:t>
      </w:r>
    </w:p>
    <w:p w:rsidR="00CE2A09" w:rsidRDefault="00CE2A09">
      <w:pPr>
        <w:pStyle w:val="BodyText"/>
        <w:spacing w:before="93"/>
        <w:rPr>
          <w:rFonts w:hAnsi="黑体"/>
          <w:sz w:val="32"/>
          <w:szCs w:val="32"/>
        </w:rPr>
      </w:pPr>
      <w:r>
        <w:rPr>
          <w:rFonts w:hAnsi="黑体" w:hint="eastAsia"/>
          <w:sz w:val="32"/>
          <w:szCs w:val="32"/>
        </w:rPr>
        <w:t>十、一般公共预算财政拨款“三公”经费支出决算表（此表无数据）</w:t>
      </w:r>
    </w:p>
    <w:p w:rsidR="00CE2A09" w:rsidRDefault="00CE2A09">
      <w:pPr>
        <w:pStyle w:val="BodyText"/>
        <w:spacing w:before="93"/>
        <w:rPr>
          <w:rFonts w:hAnsi="黑体"/>
          <w:sz w:val="32"/>
          <w:szCs w:val="32"/>
        </w:rPr>
      </w:pPr>
      <w:r>
        <w:rPr>
          <w:rFonts w:hAnsi="黑体" w:hint="eastAsia"/>
          <w:sz w:val="32"/>
          <w:szCs w:val="32"/>
        </w:rPr>
        <w:t>十一、政府性基金预算财政拨款收入支出决算表（此表无数据）</w:t>
      </w:r>
    </w:p>
    <w:p w:rsidR="00CE2A09" w:rsidRDefault="00CE2A09">
      <w:pPr>
        <w:pStyle w:val="BodyText"/>
        <w:spacing w:before="93"/>
        <w:rPr>
          <w:rFonts w:hAnsi="黑体"/>
          <w:sz w:val="32"/>
          <w:szCs w:val="32"/>
        </w:rPr>
      </w:pPr>
      <w:r>
        <w:rPr>
          <w:rFonts w:hAnsi="黑体" w:hint="eastAsia"/>
          <w:sz w:val="32"/>
          <w:szCs w:val="32"/>
        </w:rPr>
        <w:t>十二、政府性基金预算财政拨款“三公”经费支出决算表（此表无数据）</w:t>
      </w:r>
    </w:p>
    <w:p w:rsidR="00CE2A09" w:rsidRDefault="00CE2A09">
      <w:pPr>
        <w:pStyle w:val="BodyText"/>
        <w:spacing w:before="93"/>
        <w:rPr>
          <w:rFonts w:hAnsi="黑体"/>
          <w:sz w:val="32"/>
          <w:szCs w:val="32"/>
        </w:rPr>
      </w:pPr>
      <w:r>
        <w:rPr>
          <w:rFonts w:hAnsi="黑体" w:hint="eastAsia"/>
          <w:sz w:val="32"/>
          <w:szCs w:val="32"/>
        </w:rPr>
        <w:t>十三、国有资本经营预算财政拨款收入支出决算表（此表无数据）</w:t>
      </w:r>
    </w:p>
    <w:p w:rsidR="00CE2A09" w:rsidRDefault="00CE2A09">
      <w:pPr>
        <w:pStyle w:val="BodyText"/>
        <w:spacing w:before="93"/>
        <w:rPr>
          <w:rFonts w:hAnsi="黑体"/>
          <w:sz w:val="32"/>
          <w:szCs w:val="32"/>
        </w:rPr>
      </w:pPr>
      <w:r>
        <w:rPr>
          <w:rFonts w:hAnsi="黑体" w:hint="eastAsia"/>
          <w:sz w:val="32"/>
          <w:szCs w:val="32"/>
        </w:rPr>
        <w:t>十四、国有资本经营预算财政拨款支出决算表（此表无数据）</w:t>
      </w:r>
    </w:p>
    <w:p w:rsidR="00CE2A09" w:rsidRDefault="00CE2A09">
      <w:pPr>
        <w:rPr>
          <w:rFonts w:eastAsia="仿宋"/>
        </w:rPr>
      </w:pPr>
    </w:p>
    <w:sectPr w:rsidR="00CE2A09" w:rsidSect="00C41EE0">
      <w:footerReference w:type="default" r:id="rId22"/>
      <w:footerReference w:type="first" r:id="rId23"/>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A09" w:rsidRDefault="00CE2A09" w:rsidP="00C41EE0">
      <w:r>
        <w:separator/>
      </w:r>
    </w:p>
  </w:endnote>
  <w:endnote w:type="continuationSeparator" w:id="0">
    <w:p w:rsidR="00CE2A09" w:rsidRDefault="00CE2A09" w:rsidP="00C4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09" w:rsidRDefault="00CE2A09">
    <w:pPr>
      <w:pStyle w:val="Footer"/>
      <w:jc w:val="center"/>
    </w:pPr>
    <w:r>
      <w:t>1</w:t>
    </w:r>
  </w:p>
  <w:p w:rsidR="00CE2A09" w:rsidRDefault="00CE2A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09" w:rsidRDefault="00CE2A09">
    <w:pPr>
      <w:pStyle w:val="Footer"/>
      <w:jc w:val="center"/>
    </w:pPr>
    <w:r>
      <w:rPr>
        <w:noProof/>
      </w:rPr>
      <w:pict>
        <v:shapetype id="_x0000_t202" coordsize="21600,21600" o:spt="202" path="m,l,21600r21600,l21600,xe">
          <v:stroke joinstyle="miter"/>
          <v:path gradientshapeok="t" o:connecttype="rect"/>
        </v:shapetype>
        <v:shape id="文本框 21" o:spid="_x0000_s2049" type="#_x0000_t202" style="position:absolute;left:0;text-align:left;margin-left:0;margin-top:0;width:2in;height:2in;z-index:251658240;visibility:visible;mso-wrap-style:none;mso-position-horizontal:center;mso-position-horizontal-relative:margin" filled="f" stroked="f">
          <v:textbox style="mso-fit-shape-to-text:t" inset="0,0,0,0">
            <w:txbxContent>
              <w:p w:rsidR="00CE2A09" w:rsidRDefault="00CE2A09">
                <w:pPr>
                  <w:pStyle w:val="Footer"/>
                </w:pPr>
                <w:fldSimple w:instr=" PAGE  \* MERGEFORMAT ">
                  <w:r>
                    <w:rPr>
                      <w:noProof/>
                    </w:rPr>
                    <w:t>2</w:t>
                  </w:r>
                </w:fldSimple>
              </w:p>
            </w:txbxContent>
          </v:textbox>
          <w10:wrap anchorx="margin"/>
        </v:shape>
      </w:pict>
    </w:r>
    <w:r>
      <w:t>1</w:t>
    </w:r>
  </w:p>
  <w:p w:rsidR="00CE2A09" w:rsidRDefault="00CE2A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09" w:rsidRDefault="00CE2A09">
    <w:pPr>
      <w:pStyle w:val="Footer"/>
    </w:pPr>
    <w:r>
      <w:rPr>
        <w:noProof/>
      </w:rPr>
      <w:pict>
        <v:shapetype id="_x0000_t202" coordsize="21600,21600" o:spt="202" path="m,l,21600r21600,l21600,xe">
          <v:stroke joinstyle="miter"/>
          <v:path gradientshapeok="t" o:connecttype="rect"/>
        </v:shapetype>
        <v:shape id="文本框 22" o:spid="_x0000_s2050" type="#_x0000_t202" style="position:absolute;margin-left:0;margin-top:0;width:2in;height:2in;z-index:251659264;visibility:visible;mso-wrap-style:none;mso-position-horizontal:center;mso-position-horizontal-relative:margin" filled="f" stroked="f">
          <v:textbox style="mso-fit-shape-to-text:t" inset="0,0,0,0">
            <w:txbxContent>
              <w:p w:rsidR="00CE2A09" w:rsidRDefault="00CE2A09">
                <w:pPr>
                  <w:pStyle w:val="Footer"/>
                </w:pPr>
                <w:fldSimple w:instr=" PAGE  \* MERGEFORMAT ">
                  <w:r>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09" w:rsidRDefault="00CE2A09">
    <w:pPr>
      <w:pStyle w:val="Footer"/>
      <w:jc w:val="center"/>
    </w:pPr>
    <w:r>
      <w:rPr>
        <w:noProof/>
      </w:rPr>
      <w:pict>
        <v:shapetype id="_x0000_t202" coordsize="21600,21600" o:spt="202" path="m,l,21600r21600,l21600,xe">
          <v:stroke joinstyle="miter"/>
          <v:path gradientshapeok="t" o:connecttype="rect"/>
        </v:shapetype>
        <v:shape id="文本框 25" o:spid="_x0000_s2051" type="#_x0000_t202" style="position:absolute;left:0;text-align:left;margin-left:0;margin-top:0;width:2in;height:2in;z-index:251656192;visibility:visible;mso-wrap-style:none;mso-position-horizontal:center;mso-position-horizontal-relative:margin" filled="f" stroked="f">
          <v:textbox style="mso-fit-shape-to-text:t" inset="0,0,0,0">
            <w:txbxContent>
              <w:p w:rsidR="00CE2A09" w:rsidRDefault="00CE2A09">
                <w:pPr>
                  <w:pStyle w:val="Footer"/>
                </w:pPr>
                <w:fldSimple w:instr=" PAGE  \* MERGEFORMAT ">
                  <w:r>
                    <w:rPr>
                      <w:noProof/>
                    </w:rPr>
                    <w:t>17</w:t>
                  </w:r>
                </w:fldSimple>
              </w:p>
            </w:txbxContent>
          </v:textbox>
          <w10:wrap anchorx="margin"/>
        </v:shape>
      </w:pict>
    </w:r>
  </w:p>
  <w:p w:rsidR="00CE2A09" w:rsidRDefault="00CE2A0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09" w:rsidRDefault="00CE2A09">
    <w:pPr>
      <w:pStyle w:val="Footer"/>
    </w:pPr>
    <w:r>
      <w:rPr>
        <w:noProof/>
      </w:rPr>
      <w:pict>
        <v:shapetype id="_x0000_t202" coordsize="21600,21600" o:spt="202" path="m,l,21600r21600,l21600,xe">
          <v:stroke joinstyle="miter"/>
          <v:path gradientshapeok="t" o:connecttype="rect"/>
        </v:shapetype>
        <v:shape id="文本框 26" o:spid="_x0000_s2052" type="#_x0000_t202" style="position:absolute;margin-left:0;margin-top:0;width:2in;height:2in;z-index:251657216;visibility:visible;mso-wrap-style:none;mso-position-horizontal:center;mso-position-horizontal-relative:margin" filled="f" stroked="f">
          <v:textbox style="mso-fit-shape-to-text:t" inset="0,0,0,0">
            <w:txbxContent>
              <w:p w:rsidR="00CE2A09" w:rsidRDefault="00CE2A09">
                <w:pPr>
                  <w:pStyle w:val="Footer"/>
                </w:pPr>
                <w:fldSimple w:instr=" PAGE  \* MERGEFORMAT ">
                  <w:r>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A09" w:rsidRDefault="00CE2A09" w:rsidP="00C41EE0">
      <w:r>
        <w:separator/>
      </w:r>
    </w:p>
  </w:footnote>
  <w:footnote w:type="continuationSeparator" w:id="0">
    <w:p w:rsidR="00CE2A09" w:rsidRDefault="00CE2A09" w:rsidP="00C41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09" w:rsidRDefault="00CE2A0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Times New Roman" w:hint="eastAsia"/>
        <w:sz w:val="44"/>
        <w:szCs w:val="44"/>
      </w:rPr>
    </w:lvl>
  </w:abstractNum>
  <w:abstractNum w:abstractNumId="2">
    <w:nsid w:val="FFFFFF7C"/>
    <w:multiLevelType w:val="singleLevel"/>
    <w:tmpl w:val="5AC6B17C"/>
    <w:lvl w:ilvl="0">
      <w:start w:val="1"/>
      <w:numFmt w:val="decimal"/>
      <w:lvlText w:val="%1."/>
      <w:lvlJc w:val="left"/>
      <w:pPr>
        <w:tabs>
          <w:tab w:val="num" w:pos="2040"/>
        </w:tabs>
        <w:ind w:left="2040" w:hanging="360"/>
      </w:pPr>
      <w:rPr>
        <w:rFonts w:cs="Times New Roman"/>
      </w:rPr>
    </w:lvl>
  </w:abstractNum>
  <w:abstractNum w:abstractNumId="3">
    <w:nsid w:val="FFFFFF7D"/>
    <w:multiLevelType w:val="singleLevel"/>
    <w:tmpl w:val="C26C4AE2"/>
    <w:lvl w:ilvl="0">
      <w:start w:val="1"/>
      <w:numFmt w:val="decimal"/>
      <w:lvlText w:val="%1."/>
      <w:lvlJc w:val="left"/>
      <w:pPr>
        <w:tabs>
          <w:tab w:val="num" w:pos="1620"/>
        </w:tabs>
        <w:ind w:left="1620" w:hanging="360"/>
      </w:pPr>
      <w:rPr>
        <w:rFonts w:cs="Times New Roman"/>
      </w:rPr>
    </w:lvl>
  </w:abstractNum>
  <w:abstractNum w:abstractNumId="4">
    <w:nsid w:val="FFFFFF7E"/>
    <w:multiLevelType w:val="singleLevel"/>
    <w:tmpl w:val="3C783EC6"/>
    <w:lvl w:ilvl="0">
      <w:start w:val="1"/>
      <w:numFmt w:val="decimal"/>
      <w:lvlText w:val="%1."/>
      <w:lvlJc w:val="left"/>
      <w:pPr>
        <w:tabs>
          <w:tab w:val="num" w:pos="1200"/>
        </w:tabs>
        <w:ind w:left="1200" w:hanging="360"/>
      </w:pPr>
      <w:rPr>
        <w:rFonts w:cs="Times New Roman"/>
      </w:rPr>
    </w:lvl>
  </w:abstractNum>
  <w:abstractNum w:abstractNumId="5">
    <w:nsid w:val="FFFFFF7F"/>
    <w:multiLevelType w:val="singleLevel"/>
    <w:tmpl w:val="F58A4CCA"/>
    <w:lvl w:ilvl="0">
      <w:start w:val="1"/>
      <w:numFmt w:val="decimal"/>
      <w:lvlText w:val="%1."/>
      <w:lvlJc w:val="left"/>
      <w:pPr>
        <w:tabs>
          <w:tab w:val="num" w:pos="780"/>
        </w:tabs>
        <w:ind w:left="780" w:hanging="360"/>
      </w:pPr>
      <w:rPr>
        <w:rFonts w:cs="Times New Roman"/>
      </w:rPr>
    </w:lvl>
  </w:abstractNum>
  <w:abstractNum w:abstractNumId="6">
    <w:nsid w:val="FFFFFF80"/>
    <w:multiLevelType w:val="singleLevel"/>
    <w:tmpl w:val="1BD0608E"/>
    <w:lvl w:ilvl="0">
      <w:start w:val="1"/>
      <w:numFmt w:val="bullet"/>
      <w:lvlText w:val=""/>
      <w:lvlJc w:val="left"/>
      <w:pPr>
        <w:tabs>
          <w:tab w:val="num" w:pos="2040"/>
        </w:tabs>
        <w:ind w:left="2040" w:hanging="360"/>
      </w:pPr>
      <w:rPr>
        <w:rFonts w:ascii="Wingdings" w:hAnsi="Wingdings" w:hint="default"/>
      </w:rPr>
    </w:lvl>
  </w:abstractNum>
  <w:abstractNum w:abstractNumId="7">
    <w:nsid w:val="FFFFFF81"/>
    <w:multiLevelType w:val="singleLevel"/>
    <w:tmpl w:val="8E1A062E"/>
    <w:lvl w:ilvl="0">
      <w:start w:val="1"/>
      <w:numFmt w:val="bullet"/>
      <w:lvlText w:val=""/>
      <w:lvlJc w:val="left"/>
      <w:pPr>
        <w:tabs>
          <w:tab w:val="num" w:pos="1620"/>
        </w:tabs>
        <w:ind w:left="1620" w:hanging="360"/>
      </w:pPr>
      <w:rPr>
        <w:rFonts w:ascii="Wingdings" w:hAnsi="Wingdings" w:hint="default"/>
      </w:rPr>
    </w:lvl>
  </w:abstractNum>
  <w:abstractNum w:abstractNumId="8">
    <w:nsid w:val="FFFFFF82"/>
    <w:multiLevelType w:val="singleLevel"/>
    <w:tmpl w:val="35765B9E"/>
    <w:lvl w:ilvl="0">
      <w:start w:val="1"/>
      <w:numFmt w:val="bullet"/>
      <w:lvlText w:val=""/>
      <w:lvlJc w:val="left"/>
      <w:pPr>
        <w:tabs>
          <w:tab w:val="num" w:pos="1200"/>
        </w:tabs>
        <w:ind w:left="1200" w:hanging="360"/>
      </w:pPr>
      <w:rPr>
        <w:rFonts w:ascii="Wingdings" w:hAnsi="Wingdings" w:hint="default"/>
      </w:rPr>
    </w:lvl>
  </w:abstractNum>
  <w:abstractNum w:abstractNumId="9">
    <w:nsid w:val="FFFFFF83"/>
    <w:multiLevelType w:val="singleLevel"/>
    <w:tmpl w:val="F3885000"/>
    <w:lvl w:ilvl="0">
      <w:start w:val="1"/>
      <w:numFmt w:val="bullet"/>
      <w:lvlText w:val=""/>
      <w:lvlJc w:val="left"/>
      <w:pPr>
        <w:tabs>
          <w:tab w:val="num" w:pos="780"/>
        </w:tabs>
        <w:ind w:left="780" w:hanging="360"/>
      </w:pPr>
      <w:rPr>
        <w:rFonts w:ascii="Wingdings" w:hAnsi="Wingdings" w:hint="default"/>
      </w:rPr>
    </w:lvl>
  </w:abstractNum>
  <w:abstractNum w:abstractNumId="10">
    <w:nsid w:val="FFFFFF88"/>
    <w:multiLevelType w:val="singleLevel"/>
    <w:tmpl w:val="35B4A7D4"/>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65E8EC70"/>
    <w:lvl w:ilvl="0">
      <w:start w:val="1"/>
      <w:numFmt w:val="bullet"/>
      <w:lvlText w:val=""/>
      <w:lvlJc w:val="left"/>
      <w:pPr>
        <w:tabs>
          <w:tab w:val="num" w:pos="360"/>
        </w:tabs>
        <w:ind w:left="360" w:hanging="360"/>
      </w:pPr>
      <w:rPr>
        <w:rFonts w:ascii="Wingdings" w:hAnsi="Wingdings" w:hint="default"/>
      </w:rPr>
    </w:lvl>
  </w:abstractNum>
  <w:abstractNum w:abstractNumId="12">
    <w:nsid w:val="1272550B"/>
    <w:multiLevelType w:val="multilevel"/>
    <w:tmpl w:val="1272550B"/>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12"/>
  </w:num>
  <w:num w:numId="2">
    <w:abstractNumId w:val="0"/>
  </w:num>
  <w:num w:numId="3">
    <w:abstractNumId w:val="1"/>
  </w:num>
  <w:num w:numId="4">
    <w:abstractNumId w:val="10"/>
  </w:num>
  <w:num w:numId="5">
    <w:abstractNumId w:val="5"/>
  </w:num>
  <w:num w:numId="6">
    <w:abstractNumId w:val="4"/>
  </w:num>
  <w:num w:numId="7">
    <w:abstractNumId w:val="3"/>
  </w:num>
  <w:num w:numId="8">
    <w:abstractNumId w:val="2"/>
  </w:num>
  <w:num w:numId="9">
    <w:abstractNumId w:val="11"/>
  </w:num>
  <w:num w:numId="10">
    <w:abstractNumId w:val="9"/>
  </w:num>
  <w:num w:numId="11">
    <w:abstractNumId w:val="8"/>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Q0NWQ3YzZhNDFlYzIwMzJlZjFjOTk2MGUwMDg0NjIifQ=="/>
  </w:docVars>
  <w:rsids>
    <w:rsidRoot w:val="00F1361C"/>
    <w:rsid w:val="9E3A10E2"/>
    <w:rsid w:val="F2E1F9D4"/>
    <w:rsid w:val="F7880819"/>
    <w:rsid w:val="000222C6"/>
    <w:rsid w:val="0002549F"/>
    <w:rsid w:val="00045178"/>
    <w:rsid w:val="000468DB"/>
    <w:rsid w:val="000641D1"/>
    <w:rsid w:val="0006487A"/>
    <w:rsid w:val="00065F8F"/>
    <w:rsid w:val="00070A43"/>
    <w:rsid w:val="00075BC6"/>
    <w:rsid w:val="00075F79"/>
    <w:rsid w:val="000768F2"/>
    <w:rsid w:val="0009184B"/>
    <w:rsid w:val="00092EC0"/>
    <w:rsid w:val="00094236"/>
    <w:rsid w:val="0009593C"/>
    <w:rsid w:val="00097322"/>
    <w:rsid w:val="000A1456"/>
    <w:rsid w:val="000A3E0F"/>
    <w:rsid w:val="000A4F82"/>
    <w:rsid w:val="000A6A92"/>
    <w:rsid w:val="000B047F"/>
    <w:rsid w:val="000B5923"/>
    <w:rsid w:val="000B5A48"/>
    <w:rsid w:val="000B6FF3"/>
    <w:rsid w:val="000C314B"/>
    <w:rsid w:val="000C3467"/>
    <w:rsid w:val="000C3CA6"/>
    <w:rsid w:val="000D1267"/>
    <w:rsid w:val="000D1D50"/>
    <w:rsid w:val="000D5633"/>
    <w:rsid w:val="000D5782"/>
    <w:rsid w:val="000E6613"/>
    <w:rsid w:val="000E6FDF"/>
    <w:rsid w:val="000E7119"/>
    <w:rsid w:val="00114E9B"/>
    <w:rsid w:val="00142216"/>
    <w:rsid w:val="001436A2"/>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4CEB"/>
    <w:rsid w:val="00235629"/>
    <w:rsid w:val="00260696"/>
    <w:rsid w:val="00260C38"/>
    <w:rsid w:val="002616C0"/>
    <w:rsid w:val="00265372"/>
    <w:rsid w:val="002662AA"/>
    <w:rsid w:val="0027750B"/>
    <w:rsid w:val="00277A11"/>
    <w:rsid w:val="00280496"/>
    <w:rsid w:val="00294DC9"/>
    <w:rsid w:val="00295495"/>
    <w:rsid w:val="00296988"/>
    <w:rsid w:val="002A31DE"/>
    <w:rsid w:val="002B2613"/>
    <w:rsid w:val="002D2BFB"/>
    <w:rsid w:val="002D6D05"/>
    <w:rsid w:val="002F1818"/>
    <w:rsid w:val="002F567B"/>
    <w:rsid w:val="003216A9"/>
    <w:rsid w:val="00335A74"/>
    <w:rsid w:val="00336889"/>
    <w:rsid w:val="00357BE2"/>
    <w:rsid w:val="0036561B"/>
    <w:rsid w:val="0037013F"/>
    <w:rsid w:val="00380C92"/>
    <w:rsid w:val="00385171"/>
    <w:rsid w:val="003870DE"/>
    <w:rsid w:val="003979DF"/>
    <w:rsid w:val="003A484F"/>
    <w:rsid w:val="003A4883"/>
    <w:rsid w:val="003B0BE0"/>
    <w:rsid w:val="003B0C1B"/>
    <w:rsid w:val="003B5282"/>
    <w:rsid w:val="003B688C"/>
    <w:rsid w:val="003C0291"/>
    <w:rsid w:val="003C39AE"/>
    <w:rsid w:val="003C7B60"/>
    <w:rsid w:val="003D0C0F"/>
    <w:rsid w:val="003D1FB2"/>
    <w:rsid w:val="003D66DA"/>
    <w:rsid w:val="003E1310"/>
    <w:rsid w:val="003E6F55"/>
    <w:rsid w:val="003E706F"/>
    <w:rsid w:val="00406254"/>
    <w:rsid w:val="004200F7"/>
    <w:rsid w:val="004223DE"/>
    <w:rsid w:val="00434489"/>
    <w:rsid w:val="00437085"/>
    <w:rsid w:val="00443880"/>
    <w:rsid w:val="004464F4"/>
    <w:rsid w:val="00464044"/>
    <w:rsid w:val="0046535A"/>
    <w:rsid w:val="004659D7"/>
    <w:rsid w:val="00471401"/>
    <w:rsid w:val="00472A0D"/>
    <w:rsid w:val="00473F31"/>
    <w:rsid w:val="00476751"/>
    <w:rsid w:val="0048263A"/>
    <w:rsid w:val="00487E5D"/>
    <w:rsid w:val="00494730"/>
    <w:rsid w:val="004A0BB1"/>
    <w:rsid w:val="004A6964"/>
    <w:rsid w:val="004A711F"/>
    <w:rsid w:val="004B199D"/>
    <w:rsid w:val="004B4690"/>
    <w:rsid w:val="004C2602"/>
    <w:rsid w:val="004E0A2D"/>
    <w:rsid w:val="004E206B"/>
    <w:rsid w:val="004E28C9"/>
    <w:rsid w:val="004E6DF7"/>
    <w:rsid w:val="004F0FBD"/>
    <w:rsid w:val="004F22B0"/>
    <w:rsid w:val="00505A47"/>
    <w:rsid w:val="00507D1E"/>
    <w:rsid w:val="00511421"/>
    <w:rsid w:val="00512FDA"/>
    <w:rsid w:val="00520DA0"/>
    <w:rsid w:val="00536F1C"/>
    <w:rsid w:val="0053767E"/>
    <w:rsid w:val="005664BB"/>
    <w:rsid w:val="00566FFA"/>
    <w:rsid w:val="00573E0A"/>
    <w:rsid w:val="0057481D"/>
    <w:rsid w:val="0058486E"/>
    <w:rsid w:val="00585B33"/>
    <w:rsid w:val="0059014D"/>
    <w:rsid w:val="005B5C64"/>
    <w:rsid w:val="005C5337"/>
    <w:rsid w:val="005C6BD0"/>
    <w:rsid w:val="005C79EB"/>
    <w:rsid w:val="005D1C8B"/>
    <w:rsid w:val="005D468D"/>
    <w:rsid w:val="005D5CED"/>
    <w:rsid w:val="005F1A4C"/>
    <w:rsid w:val="005F2341"/>
    <w:rsid w:val="00604F87"/>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396F"/>
    <w:rsid w:val="006A3141"/>
    <w:rsid w:val="006A5E34"/>
    <w:rsid w:val="006B2422"/>
    <w:rsid w:val="006B2B9A"/>
    <w:rsid w:val="006C1937"/>
    <w:rsid w:val="006E5136"/>
    <w:rsid w:val="006F020C"/>
    <w:rsid w:val="007127B7"/>
    <w:rsid w:val="0071798E"/>
    <w:rsid w:val="0072181C"/>
    <w:rsid w:val="00722D40"/>
    <w:rsid w:val="00726683"/>
    <w:rsid w:val="00727D3F"/>
    <w:rsid w:val="00731BE5"/>
    <w:rsid w:val="00734223"/>
    <w:rsid w:val="007416B6"/>
    <w:rsid w:val="00746F48"/>
    <w:rsid w:val="00750E0E"/>
    <w:rsid w:val="00751726"/>
    <w:rsid w:val="0075404D"/>
    <w:rsid w:val="0076182A"/>
    <w:rsid w:val="00767B7E"/>
    <w:rsid w:val="007770C3"/>
    <w:rsid w:val="00784D24"/>
    <w:rsid w:val="00784D39"/>
    <w:rsid w:val="00785FBA"/>
    <w:rsid w:val="00786CF3"/>
    <w:rsid w:val="00786E4A"/>
    <w:rsid w:val="007875EB"/>
    <w:rsid w:val="0079426B"/>
    <w:rsid w:val="00797B7C"/>
    <w:rsid w:val="007A1857"/>
    <w:rsid w:val="007A2F21"/>
    <w:rsid w:val="007A30FD"/>
    <w:rsid w:val="007C247E"/>
    <w:rsid w:val="007C5A95"/>
    <w:rsid w:val="007D1682"/>
    <w:rsid w:val="007D312A"/>
    <w:rsid w:val="007D3F19"/>
    <w:rsid w:val="007D69FA"/>
    <w:rsid w:val="007E23B0"/>
    <w:rsid w:val="007E23E5"/>
    <w:rsid w:val="007F1991"/>
    <w:rsid w:val="007F2C2F"/>
    <w:rsid w:val="007F55FC"/>
    <w:rsid w:val="007F5665"/>
    <w:rsid w:val="00800112"/>
    <w:rsid w:val="00805B4B"/>
    <w:rsid w:val="00813348"/>
    <w:rsid w:val="008158D4"/>
    <w:rsid w:val="00816B73"/>
    <w:rsid w:val="008253BB"/>
    <w:rsid w:val="0083706E"/>
    <w:rsid w:val="008408F6"/>
    <w:rsid w:val="008423A5"/>
    <w:rsid w:val="0084634F"/>
    <w:rsid w:val="00850625"/>
    <w:rsid w:val="00853718"/>
    <w:rsid w:val="00855221"/>
    <w:rsid w:val="00860645"/>
    <w:rsid w:val="00867591"/>
    <w:rsid w:val="00870011"/>
    <w:rsid w:val="00871F71"/>
    <w:rsid w:val="00872FD8"/>
    <w:rsid w:val="00876A58"/>
    <w:rsid w:val="00885AF4"/>
    <w:rsid w:val="0089015C"/>
    <w:rsid w:val="008939CD"/>
    <w:rsid w:val="00893C60"/>
    <w:rsid w:val="00897B3F"/>
    <w:rsid w:val="008B768C"/>
    <w:rsid w:val="008C4DB1"/>
    <w:rsid w:val="008C4EAF"/>
    <w:rsid w:val="008C5176"/>
    <w:rsid w:val="008C55FC"/>
    <w:rsid w:val="008C6208"/>
    <w:rsid w:val="008C7FD0"/>
    <w:rsid w:val="008E1DE7"/>
    <w:rsid w:val="008E707C"/>
    <w:rsid w:val="00900B08"/>
    <w:rsid w:val="00902155"/>
    <w:rsid w:val="00902FA3"/>
    <w:rsid w:val="00904D55"/>
    <w:rsid w:val="00916066"/>
    <w:rsid w:val="00922ECC"/>
    <w:rsid w:val="00923564"/>
    <w:rsid w:val="0092392E"/>
    <w:rsid w:val="009315F9"/>
    <w:rsid w:val="00931616"/>
    <w:rsid w:val="00933499"/>
    <w:rsid w:val="00935C98"/>
    <w:rsid w:val="00946945"/>
    <w:rsid w:val="00951248"/>
    <w:rsid w:val="0095152F"/>
    <w:rsid w:val="00954C49"/>
    <w:rsid w:val="00955E37"/>
    <w:rsid w:val="0097099F"/>
    <w:rsid w:val="00971997"/>
    <w:rsid w:val="00971FFC"/>
    <w:rsid w:val="00975156"/>
    <w:rsid w:val="00975386"/>
    <w:rsid w:val="0098660A"/>
    <w:rsid w:val="009931C3"/>
    <w:rsid w:val="00995F9C"/>
    <w:rsid w:val="009A28AA"/>
    <w:rsid w:val="009B2C43"/>
    <w:rsid w:val="009B4EAE"/>
    <w:rsid w:val="009B7573"/>
    <w:rsid w:val="009C22F4"/>
    <w:rsid w:val="009C2A4B"/>
    <w:rsid w:val="009C2E98"/>
    <w:rsid w:val="009D1B7E"/>
    <w:rsid w:val="009D3447"/>
    <w:rsid w:val="009D4711"/>
    <w:rsid w:val="009E66B4"/>
    <w:rsid w:val="009F1185"/>
    <w:rsid w:val="009F18CD"/>
    <w:rsid w:val="009F2A13"/>
    <w:rsid w:val="009F7527"/>
    <w:rsid w:val="00A01F6C"/>
    <w:rsid w:val="00A04EB0"/>
    <w:rsid w:val="00A13CC1"/>
    <w:rsid w:val="00A16847"/>
    <w:rsid w:val="00A237D8"/>
    <w:rsid w:val="00A268C4"/>
    <w:rsid w:val="00A307CD"/>
    <w:rsid w:val="00A331C8"/>
    <w:rsid w:val="00A40A00"/>
    <w:rsid w:val="00A4142F"/>
    <w:rsid w:val="00A422EB"/>
    <w:rsid w:val="00A45BB7"/>
    <w:rsid w:val="00A56DF2"/>
    <w:rsid w:val="00A56E6E"/>
    <w:rsid w:val="00A65F43"/>
    <w:rsid w:val="00A67AB5"/>
    <w:rsid w:val="00A733B2"/>
    <w:rsid w:val="00A741C2"/>
    <w:rsid w:val="00A815F0"/>
    <w:rsid w:val="00A91760"/>
    <w:rsid w:val="00A93B00"/>
    <w:rsid w:val="00A93C21"/>
    <w:rsid w:val="00A9694E"/>
    <w:rsid w:val="00A971FA"/>
    <w:rsid w:val="00AA09FB"/>
    <w:rsid w:val="00AB64C9"/>
    <w:rsid w:val="00AB65A2"/>
    <w:rsid w:val="00AC3C6A"/>
    <w:rsid w:val="00AD28DB"/>
    <w:rsid w:val="00AD5620"/>
    <w:rsid w:val="00AD656B"/>
    <w:rsid w:val="00AD7C1B"/>
    <w:rsid w:val="00AE16BA"/>
    <w:rsid w:val="00AE1EBE"/>
    <w:rsid w:val="00B03C9D"/>
    <w:rsid w:val="00B060AE"/>
    <w:rsid w:val="00B070CB"/>
    <w:rsid w:val="00B10517"/>
    <w:rsid w:val="00B13801"/>
    <w:rsid w:val="00B14E76"/>
    <w:rsid w:val="00B161B8"/>
    <w:rsid w:val="00B2048C"/>
    <w:rsid w:val="00B2352E"/>
    <w:rsid w:val="00B310B9"/>
    <w:rsid w:val="00B315A3"/>
    <w:rsid w:val="00B35B9A"/>
    <w:rsid w:val="00B35F3F"/>
    <w:rsid w:val="00B36CBB"/>
    <w:rsid w:val="00B425E0"/>
    <w:rsid w:val="00B440AA"/>
    <w:rsid w:val="00B44B70"/>
    <w:rsid w:val="00B503A8"/>
    <w:rsid w:val="00B53C56"/>
    <w:rsid w:val="00B5557D"/>
    <w:rsid w:val="00B57DAF"/>
    <w:rsid w:val="00B60202"/>
    <w:rsid w:val="00B7534F"/>
    <w:rsid w:val="00B77EA6"/>
    <w:rsid w:val="00B81598"/>
    <w:rsid w:val="00B841F1"/>
    <w:rsid w:val="00B85229"/>
    <w:rsid w:val="00B944D6"/>
    <w:rsid w:val="00B96D65"/>
    <w:rsid w:val="00BA390F"/>
    <w:rsid w:val="00BB4DF0"/>
    <w:rsid w:val="00BC289F"/>
    <w:rsid w:val="00BC2D50"/>
    <w:rsid w:val="00BC5361"/>
    <w:rsid w:val="00BC5460"/>
    <w:rsid w:val="00BC6B50"/>
    <w:rsid w:val="00BD0E25"/>
    <w:rsid w:val="00BD657E"/>
    <w:rsid w:val="00BF5BD6"/>
    <w:rsid w:val="00C03E31"/>
    <w:rsid w:val="00C07D27"/>
    <w:rsid w:val="00C20026"/>
    <w:rsid w:val="00C20C13"/>
    <w:rsid w:val="00C261BA"/>
    <w:rsid w:val="00C33E72"/>
    <w:rsid w:val="00C354B2"/>
    <w:rsid w:val="00C35554"/>
    <w:rsid w:val="00C366D3"/>
    <w:rsid w:val="00C41EE0"/>
    <w:rsid w:val="00C42709"/>
    <w:rsid w:val="00C51736"/>
    <w:rsid w:val="00C533CC"/>
    <w:rsid w:val="00C5751C"/>
    <w:rsid w:val="00C61BFC"/>
    <w:rsid w:val="00C62B85"/>
    <w:rsid w:val="00C65438"/>
    <w:rsid w:val="00C87FD8"/>
    <w:rsid w:val="00C91381"/>
    <w:rsid w:val="00C91CBB"/>
    <w:rsid w:val="00C9308D"/>
    <w:rsid w:val="00CA483A"/>
    <w:rsid w:val="00CB0056"/>
    <w:rsid w:val="00CB4E70"/>
    <w:rsid w:val="00CC09B6"/>
    <w:rsid w:val="00CC666F"/>
    <w:rsid w:val="00CD1E3F"/>
    <w:rsid w:val="00CE2A09"/>
    <w:rsid w:val="00CE44F6"/>
    <w:rsid w:val="00CE49DA"/>
    <w:rsid w:val="00CE7B61"/>
    <w:rsid w:val="00CF000B"/>
    <w:rsid w:val="00D00095"/>
    <w:rsid w:val="00D114F0"/>
    <w:rsid w:val="00D20620"/>
    <w:rsid w:val="00D254F7"/>
    <w:rsid w:val="00D26091"/>
    <w:rsid w:val="00D2685C"/>
    <w:rsid w:val="00D34E7C"/>
    <w:rsid w:val="00D35489"/>
    <w:rsid w:val="00D36AFE"/>
    <w:rsid w:val="00D51276"/>
    <w:rsid w:val="00D56556"/>
    <w:rsid w:val="00D7035F"/>
    <w:rsid w:val="00DA634F"/>
    <w:rsid w:val="00DA65AC"/>
    <w:rsid w:val="00DB1913"/>
    <w:rsid w:val="00DB6A39"/>
    <w:rsid w:val="00DC410D"/>
    <w:rsid w:val="00DC5A81"/>
    <w:rsid w:val="00DC68CA"/>
    <w:rsid w:val="00DC7CBA"/>
    <w:rsid w:val="00DD73B7"/>
    <w:rsid w:val="00DE23A3"/>
    <w:rsid w:val="00DF28BC"/>
    <w:rsid w:val="00DF34B9"/>
    <w:rsid w:val="00DF7BEE"/>
    <w:rsid w:val="00E01053"/>
    <w:rsid w:val="00E07ACF"/>
    <w:rsid w:val="00E331A1"/>
    <w:rsid w:val="00E33202"/>
    <w:rsid w:val="00E336A9"/>
    <w:rsid w:val="00E472B1"/>
    <w:rsid w:val="00E50624"/>
    <w:rsid w:val="00E55B71"/>
    <w:rsid w:val="00E568DF"/>
    <w:rsid w:val="00E64269"/>
    <w:rsid w:val="00E736AC"/>
    <w:rsid w:val="00E810D6"/>
    <w:rsid w:val="00E82267"/>
    <w:rsid w:val="00E853CE"/>
    <w:rsid w:val="00E867B6"/>
    <w:rsid w:val="00E876D2"/>
    <w:rsid w:val="00E87DAC"/>
    <w:rsid w:val="00EA010F"/>
    <w:rsid w:val="00EA7D30"/>
    <w:rsid w:val="00ED1B63"/>
    <w:rsid w:val="00ED3C1F"/>
    <w:rsid w:val="00ED4085"/>
    <w:rsid w:val="00ED420E"/>
    <w:rsid w:val="00ED6FBE"/>
    <w:rsid w:val="00EE1A39"/>
    <w:rsid w:val="00EE2F57"/>
    <w:rsid w:val="00EF4C34"/>
    <w:rsid w:val="00EF77C6"/>
    <w:rsid w:val="00F05438"/>
    <w:rsid w:val="00F1361C"/>
    <w:rsid w:val="00F156F0"/>
    <w:rsid w:val="00F160C7"/>
    <w:rsid w:val="00F16FEB"/>
    <w:rsid w:val="00F2408F"/>
    <w:rsid w:val="00F240E9"/>
    <w:rsid w:val="00F36D8F"/>
    <w:rsid w:val="00F417B1"/>
    <w:rsid w:val="00F45853"/>
    <w:rsid w:val="00F602DF"/>
    <w:rsid w:val="00F617D6"/>
    <w:rsid w:val="00F72351"/>
    <w:rsid w:val="00F754A1"/>
    <w:rsid w:val="00F81FD9"/>
    <w:rsid w:val="00F841AA"/>
    <w:rsid w:val="00F84A94"/>
    <w:rsid w:val="00F87E96"/>
    <w:rsid w:val="00FA23E8"/>
    <w:rsid w:val="00FC34F6"/>
    <w:rsid w:val="00FD3CC1"/>
    <w:rsid w:val="00FF1E02"/>
    <w:rsid w:val="00FF30B4"/>
    <w:rsid w:val="00FF422C"/>
    <w:rsid w:val="073C3C3F"/>
    <w:rsid w:val="0A2032A3"/>
    <w:rsid w:val="0B8A37D8"/>
    <w:rsid w:val="0D8B68F7"/>
    <w:rsid w:val="10C055FF"/>
    <w:rsid w:val="118107EC"/>
    <w:rsid w:val="11DD6519"/>
    <w:rsid w:val="139323BD"/>
    <w:rsid w:val="168E18DF"/>
    <w:rsid w:val="16BB723D"/>
    <w:rsid w:val="17C50FB3"/>
    <w:rsid w:val="18015F3F"/>
    <w:rsid w:val="1A264337"/>
    <w:rsid w:val="1BE8440E"/>
    <w:rsid w:val="1C5B4C3E"/>
    <w:rsid w:val="1D155CEE"/>
    <w:rsid w:val="20AD3FAF"/>
    <w:rsid w:val="20F57F95"/>
    <w:rsid w:val="240371BF"/>
    <w:rsid w:val="24F25773"/>
    <w:rsid w:val="25C741E6"/>
    <w:rsid w:val="27842671"/>
    <w:rsid w:val="27B177EC"/>
    <w:rsid w:val="29FD04D3"/>
    <w:rsid w:val="2ABE7A3E"/>
    <w:rsid w:val="2E7A324F"/>
    <w:rsid w:val="2EFA178C"/>
    <w:rsid w:val="2F143F7B"/>
    <w:rsid w:val="30B46D73"/>
    <w:rsid w:val="319F7F4E"/>
    <w:rsid w:val="32E65174"/>
    <w:rsid w:val="37D16745"/>
    <w:rsid w:val="39046F7E"/>
    <w:rsid w:val="39AE70AB"/>
    <w:rsid w:val="3C0C0783"/>
    <w:rsid w:val="3F9F3A96"/>
    <w:rsid w:val="405A1924"/>
    <w:rsid w:val="44D46916"/>
    <w:rsid w:val="4596467F"/>
    <w:rsid w:val="45CA3FAA"/>
    <w:rsid w:val="47A13688"/>
    <w:rsid w:val="48C4659A"/>
    <w:rsid w:val="493C27E9"/>
    <w:rsid w:val="496F39ED"/>
    <w:rsid w:val="49FF41D3"/>
    <w:rsid w:val="4BE068DB"/>
    <w:rsid w:val="4BF6002B"/>
    <w:rsid w:val="4ECE2238"/>
    <w:rsid w:val="51DB4B86"/>
    <w:rsid w:val="52613741"/>
    <w:rsid w:val="55333C3E"/>
    <w:rsid w:val="615266BD"/>
    <w:rsid w:val="64CA39A1"/>
    <w:rsid w:val="6AE67E99"/>
    <w:rsid w:val="6C4A05C8"/>
    <w:rsid w:val="70F76A15"/>
    <w:rsid w:val="71560D3F"/>
    <w:rsid w:val="72734D90"/>
    <w:rsid w:val="75253289"/>
    <w:rsid w:val="77F1333B"/>
    <w:rsid w:val="78A84CE1"/>
    <w:rsid w:val="79E7B28D"/>
    <w:rsid w:val="7F9F20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C41EE0"/>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C41EE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41EE0"/>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C41EE0"/>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EE0"/>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C41EE0"/>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C41EE0"/>
    <w:rPr>
      <w:rFonts w:ascii="Times New Roman" w:hAnsi="Times New Roman" w:cs="Times New Roman"/>
      <w:b/>
      <w:bCs/>
      <w:kern w:val="2"/>
      <w:sz w:val="32"/>
      <w:szCs w:val="32"/>
    </w:rPr>
  </w:style>
  <w:style w:type="paragraph" w:styleId="BodyText">
    <w:name w:val="Body Text"/>
    <w:basedOn w:val="Normal"/>
    <w:link w:val="BodyTextChar1"/>
    <w:uiPriority w:val="99"/>
    <w:rsid w:val="00C41EE0"/>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C41EE0"/>
    <w:rPr>
      <w:rFonts w:ascii="Times New Roman" w:hAnsi="Times New Roman" w:cs="Times New Roman"/>
      <w:sz w:val="24"/>
      <w:szCs w:val="24"/>
    </w:rPr>
  </w:style>
  <w:style w:type="paragraph" w:styleId="TOC3">
    <w:name w:val="toc 3"/>
    <w:basedOn w:val="Normal"/>
    <w:next w:val="Normal"/>
    <w:uiPriority w:val="99"/>
    <w:semiHidden/>
    <w:rsid w:val="00C41EE0"/>
    <w:pPr>
      <w:tabs>
        <w:tab w:val="right" w:leader="dot" w:pos="8296"/>
      </w:tabs>
      <w:ind w:leftChars="400" w:left="840"/>
    </w:pPr>
  </w:style>
  <w:style w:type="paragraph" w:styleId="BalloonText">
    <w:name w:val="Balloon Text"/>
    <w:basedOn w:val="Normal"/>
    <w:link w:val="BalloonTextChar"/>
    <w:uiPriority w:val="99"/>
    <w:semiHidden/>
    <w:rsid w:val="00C41EE0"/>
    <w:rPr>
      <w:sz w:val="18"/>
      <w:szCs w:val="18"/>
    </w:rPr>
  </w:style>
  <w:style w:type="character" w:customStyle="1" w:styleId="BalloonTextChar">
    <w:name w:val="Balloon Text Char"/>
    <w:basedOn w:val="DefaultParagraphFont"/>
    <w:link w:val="BalloonText"/>
    <w:uiPriority w:val="99"/>
    <w:semiHidden/>
    <w:locked/>
    <w:rsid w:val="00C41EE0"/>
    <w:rPr>
      <w:rFonts w:ascii="Times New Roman" w:hAnsi="Times New Roman" w:cs="Times New Roman"/>
      <w:kern w:val="2"/>
      <w:sz w:val="18"/>
      <w:szCs w:val="18"/>
    </w:rPr>
  </w:style>
  <w:style w:type="paragraph" w:styleId="Footer">
    <w:name w:val="footer"/>
    <w:basedOn w:val="Normal"/>
    <w:link w:val="FooterChar1"/>
    <w:uiPriority w:val="99"/>
    <w:rsid w:val="00C41EE0"/>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semiHidden/>
    <w:locked/>
    <w:rsid w:val="00C41EE0"/>
    <w:rPr>
      <w:rFonts w:ascii="Times New Roman" w:hAnsi="Times New Roman" w:cs="Times New Roman"/>
      <w:sz w:val="18"/>
      <w:szCs w:val="18"/>
    </w:rPr>
  </w:style>
  <w:style w:type="paragraph" w:styleId="Header">
    <w:name w:val="header"/>
    <w:basedOn w:val="Normal"/>
    <w:link w:val="HeaderChar1"/>
    <w:uiPriority w:val="99"/>
    <w:semiHidden/>
    <w:rsid w:val="00C41EE0"/>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semiHidden/>
    <w:locked/>
    <w:rsid w:val="00C41EE0"/>
    <w:rPr>
      <w:rFonts w:ascii="Times New Roman" w:hAnsi="Times New Roman" w:cs="Times New Roman"/>
      <w:sz w:val="18"/>
      <w:szCs w:val="18"/>
    </w:rPr>
  </w:style>
  <w:style w:type="paragraph" w:styleId="TOC1">
    <w:name w:val="toc 1"/>
    <w:basedOn w:val="Normal"/>
    <w:next w:val="Normal"/>
    <w:uiPriority w:val="99"/>
    <w:semiHidden/>
    <w:rsid w:val="00C41EE0"/>
    <w:pPr>
      <w:tabs>
        <w:tab w:val="right" w:leader="dot" w:pos="8296"/>
      </w:tabs>
      <w:spacing w:before="93"/>
      <w:jc w:val="center"/>
    </w:pPr>
    <w:rPr>
      <w:rFonts w:ascii="仿宋" w:eastAsia="仿宋" w:hAnsi="仿宋" w:cs="仿宋"/>
      <w:sz w:val="28"/>
      <w:szCs w:val="28"/>
    </w:rPr>
  </w:style>
  <w:style w:type="paragraph" w:styleId="TOC2">
    <w:name w:val="toc 2"/>
    <w:basedOn w:val="Normal"/>
    <w:next w:val="Normal"/>
    <w:uiPriority w:val="99"/>
    <w:semiHidden/>
    <w:rsid w:val="00C41EE0"/>
    <w:pPr>
      <w:tabs>
        <w:tab w:val="right" w:leader="dot" w:pos="8296"/>
      </w:tabs>
      <w:ind w:leftChars="200" w:left="420"/>
    </w:pPr>
  </w:style>
  <w:style w:type="character" w:styleId="Strong">
    <w:name w:val="Strong"/>
    <w:basedOn w:val="DefaultParagraphFont"/>
    <w:uiPriority w:val="99"/>
    <w:qFormat/>
    <w:rsid w:val="00C41EE0"/>
    <w:rPr>
      <w:rFonts w:cs="Times New Roman"/>
      <w:b/>
      <w:bCs/>
    </w:rPr>
  </w:style>
  <w:style w:type="character" w:styleId="PageNumber">
    <w:name w:val="page number"/>
    <w:basedOn w:val="DefaultParagraphFont"/>
    <w:uiPriority w:val="99"/>
    <w:locked/>
    <w:rsid w:val="00C41EE0"/>
    <w:rPr>
      <w:rFonts w:cs="Times New Roman"/>
    </w:rPr>
  </w:style>
  <w:style w:type="character" w:styleId="Hyperlink">
    <w:name w:val="Hyperlink"/>
    <w:basedOn w:val="DefaultParagraphFont"/>
    <w:uiPriority w:val="99"/>
    <w:rsid w:val="00C41EE0"/>
    <w:rPr>
      <w:rFonts w:cs="Times New Roman"/>
      <w:color w:val="0000FF"/>
      <w:u w:val="single"/>
    </w:rPr>
  </w:style>
  <w:style w:type="character" w:customStyle="1" w:styleId="HeaderChar1">
    <w:name w:val="Header Char1"/>
    <w:link w:val="Header"/>
    <w:uiPriority w:val="99"/>
    <w:semiHidden/>
    <w:locked/>
    <w:rsid w:val="00C41EE0"/>
    <w:rPr>
      <w:sz w:val="18"/>
    </w:rPr>
  </w:style>
  <w:style w:type="character" w:customStyle="1" w:styleId="FooterChar1">
    <w:name w:val="Footer Char1"/>
    <w:link w:val="Footer"/>
    <w:uiPriority w:val="99"/>
    <w:locked/>
    <w:rsid w:val="00C41EE0"/>
    <w:rPr>
      <w:sz w:val="18"/>
    </w:rPr>
  </w:style>
  <w:style w:type="character" w:customStyle="1" w:styleId="BodyTextChar1">
    <w:name w:val="Body Text Char1"/>
    <w:link w:val="BodyText"/>
    <w:uiPriority w:val="99"/>
    <w:locked/>
    <w:rsid w:val="00C41EE0"/>
    <w:rPr>
      <w:rFonts w:ascii="仿宋_GB2312" w:eastAsia="仿宋_GB2312" w:hAnsi="Times New Roman"/>
      <w:sz w:val="24"/>
    </w:rPr>
  </w:style>
  <w:style w:type="paragraph" w:customStyle="1" w:styleId="Default">
    <w:name w:val="Default"/>
    <w:uiPriority w:val="99"/>
    <w:rsid w:val="00C41EE0"/>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C41EE0"/>
    <w:pPr>
      <w:ind w:firstLineChars="200" w:firstLine="420"/>
    </w:pPr>
  </w:style>
  <w:style w:type="paragraph" w:customStyle="1" w:styleId="TOC10">
    <w:name w:val="TOC 标题1"/>
    <w:basedOn w:val="Heading1"/>
    <w:next w:val="Normal"/>
    <w:uiPriority w:val="99"/>
    <w:rsid w:val="00C41EE0"/>
    <w:pPr>
      <w:widowControl/>
      <w:spacing w:before="480" w:after="0" w:line="276" w:lineRule="auto"/>
      <w:jc w:val="left"/>
      <w:outlineLvl w:val="9"/>
    </w:pPr>
    <w:rPr>
      <w:rFonts w:ascii="Cambria" w:hAnsi="Cambria" w:cs="Cambria"/>
      <w:color w:val="365F91"/>
      <w:kern w:val="0"/>
      <w:sz w:val="28"/>
      <w:szCs w:val="28"/>
    </w:rPr>
  </w:style>
  <w:style w:type="paragraph" w:customStyle="1" w:styleId="TOCHeading1">
    <w:name w:val="TOC Heading1"/>
    <w:basedOn w:val="Heading1"/>
    <w:next w:val="Normal"/>
    <w:uiPriority w:val="99"/>
    <w:rsid w:val="00C41EE0"/>
    <w:pPr>
      <w:widowControl/>
      <w:spacing w:before="480" w:after="0" w:line="276" w:lineRule="auto"/>
      <w:jc w:val="left"/>
      <w:outlineLvl w:val="9"/>
    </w:pPr>
    <w:rPr>
      <w:rFonts w:ascii="Cambria" w:hAnsi="Cambria" w:cs="Cambria"/>
      <w:color w:val="365F91"/>
      <w:kern w:val="0"/>
      <w:sz w:val="28"/>
      <w:szCs w:val="28"/>
    </w:rPr>
  </w:style>
  <w:style w:type="character" w:customStyle="1" w:styleId="CharChar5">
    <w:name w:val="Char Char5"/>
    <w:uiPriority w:val="99"/>
    <w:locked/>
    <w:rsid w:val="004E28C9"/>
    <w:rPr>
      <w:rFonts w:ascii="Cambria" w:eastAsia="宋体" w:hAnsi="Cambria"/>
      <w:b/>
      <w:kern w:val="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5.xml"/><Relationship Id="rId10" Type="http://schemas.openxmlformats.org/officeDocument/2006/relationships/footer" Target="footer3.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20</Pages>
  <Words>1037</Words>
  <Characters>5915</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冯越</cp:lastModifiedBy>
  <cp:revision>8</cp:revision>
  <cp:lastPrinted>2022-09-02T02:46:00Z</cp:lastPrinted>
  <dcterms:created xsi:type="dcterms:W3CDTF">2023-09-25T03:10:00Z</dcterms:created>
  <dcterms:modified xsi:type="dcterms:W3CDTF">2023-09-25T03:28:00Z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CE2B3052DEF24B7584C7FC4F3273F076</vt:lpwstr>
  </property>
</Properties>
</file>