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image/emf"/>
  <Default Extension="bin" ContentType="application/vnd.openxmlformats-officedocument.oleObject"/>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bookmarkStart w:id="0" w:name="_Toc15306267"/>
    </w:p>
    <w:p/>
    <w:p/>
    <w:p/>
    <w:p>
      <w:pPr>
        <w:adjustRightInd w:val="0"/>
        <w:snapToGrid w:val="0"/>
        <w:spacing w:line="360" w:lineRule="auto"/>
        <w:jc w:val="center"/>
        <w:outlineLvl w:val="0"/>
        <w:rPr>
          <w:rFonts w:ascii="宋体"/>
          <w:b/>
          <w:bCs/>
          <w:color w:val="000000"/>
          <w:sz w:val="72"/>
          <w:szCs w:val="72"/>
        </w:rPr>
      </w:pPr>
      <w:bookmarkStart w:id="1" w:name="_Toc15396597"/>
      <w:bookmarkStart w:id="2" w:name="_Toc15377425"/>
      <w:bookmarkStart w:id="3" w:name="_Toc15377193"/>
      <w:bookmarkStart w:id="4" w:name="_Toc15396475"/>
      <w:bookmarkStart w:id="5" w:name="_Toc15378441"/>
      <w:r>
        <w:rPr>
          <w:rFonts w:ascii="宋体" w:cs="宋体"/>
          <w:b/>
          <w:bCs/>
          <w:color w:val="000000"/>
          <w:sz w:val="72"/>
          <w:szCs w:val="72"/>
        </w:rPr>
        <w:t>2022</w:t>
      </w:r>
      <w:r>
        <w:rPr>
          <w:rFonts w:ascii="宋体" w:cs="宋体" w:hint="eastAsia"/>
          <w:b/>
          <w:bCs/>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宋体"/>
          <w:b/>
          <w:bCs/>
          <w:color w:val="000000"/>
          <w:sz w:val="72"/>
          <w:szCs w:val="72"/>
        </w:rPr>
      </w:pPr>
      <w:bookmarkStart w:id="6" w:name="_Toc15377194"/>
      <w:bookmarkStart w:id="7" w:name="_Toc15396476"/>
      <w:bookmarkStart w:id="8" w:name="_Toc15306268"/>
      <w:bookmarkStart w:id="9" w:name="_Toc15396598"/>
      <w:bookmarkStart w:id="10" w:name="_Toc15378442"/>
      <w:bookmarkStart w:id="11" w:name="_Toc15377426"/>
      <w:bookmarkEnd w:id="0"/>
      <w:r>
        <w:rPr>
          <w:rFonts w:ascii="宋体" w:cs="宋体" w:hint="eastAsia"/>
          <w:b/>
          <w:bCs/>
          <w:color w:val="000000"/>
          <w:sz w:val="72"/>
          <w:szCs w:val="72"/>
        </w:rPr>
        <w:t>攀枝花市住房保障和建设项目服务中心单位决算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cs="黑体" w:hint="eastAsia"/>
          <w:color w:val="000000"/>
          <w:sz w:val="48"/>
          <w:szCs w:val="48"/>
        </w:rPr>
        <w:t>目录</w:t>
      </w:r>
    </w:p>
    <w:p>
      <w:pPr>
        <w:widowControl/>
        <w:jc w:val="center"/>
        <w:rPr>
          <w:rFonts w:ascii="黑体" w:eastAsia="黑体"/>
          <w:sz w:val="28"/>
          <w:szCs w:val="28"/>
        </w:rPr>
      </w:pPr>
    </w:p>
    <w:p>
      <w:pPr>
        <w:pStyle w:val="20"/>
        <w:tabs>
          <w:tab w:val="right" w:leader="dot" w:pos="8296"/>
        </w:tabs>
        <w:rPr>
          <w:rFonts w:cs="Times New Roman"/>
        </w:rPr>
      </w:pPr>
      <w:r>
        <w:rPr>
          <w:rFonts w:hint="eastAsia"/>
        </w:rPr>
        <w:t>公开时间：</w:t>
      </w:r>
      <w:r>
        <w:t>2023</w:t>
      </w:r>
      <w:r>
        <w:rPr>
          <w:rFonts w:hint="eastAsia"/>
        </w:rPr>
        <w:t>年</w:t>
      </w:r>
      <w:r>
        <w:t xml:space="preserve">9 </w:t>
      </w:r>
      <w:r>
        <w:rPr>
          <w:rFonts w:hint="eastAsia"/>
        </w:rPr>
        <w:t>月</w:t>
      </w:r>
      <w:r>
        <w:t>15</w:t>
      </w:r>
      <w:bookmarkStart w:id="12" w:name="_GoBack"/>
      <w:bookmarkEnd w:id="12"/>
      <w:r>
        <w:rPr>
          <w:rFonts w:hint="eastAsia"/>
        </w:rPr>
        <w:t>日</w:t>
      </w:r>
    </w:p>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第一部分</w:t>
      </w:r>
      <w:r>
        <w:rPr>
          <w:rFonts w:ascii="宋体" w:eastAsia="宋体" w:cs="宋体"/>
          <w:sz w:val="24"/>
          <w:szCs w:val="24"/>
        </w:rPr>
        <w:t xml:space="preserve"> </w:t>
      </w:r>
      <w:r>
        <w:rPr>
          <w:rFonts w:ascii="宋体" w:eastAsia="宋体" w:cs="宋体" w:hint="eastAsia"/>
          <w:sz w:val="24"/>
          <w:szCs w:val="24"/>
        </w:rPr>
        <w:t>单位概况</w:t>
      </w:r>
      <w:r>
        <w:rPr>
          <w:rFonts w:ascii="宋体" w:eastAsia="宋体" w:cs="Times New Roman"/>
          <w:sz w:val="24"/>
          <w:szCs w:val="24"/>
        </w:rPr>
        <w:tab/>
      </w:r>
      <w:r>
        <w:rPr>
          <w:rFonts w:ascii="宋体" w:eastAsia="宋体" w:cs="宋体"/>
          <w:sz w:val="24"/>
          <w:szCs w:val="24"/>
        </w:rPr>
        <w:t>4</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一、主要职责</w:t>
      </w:r>
      <w:r>
        <w:rPr>
          <w:rFonts w:ascii="宋体"/>
          <w:sz w:val="24"/>
          <w:szCs w:val="24"/>
        </w:rPr>
        <w:tab/>
      </w:r>
      <w:r>
        <w:rPr>
          <w:rFonts w:ascii="宋体" w:cs="宋体"/>
          <w:sz w:val="24"/>
          <w:szCs w:val="24"/>
        </w:rPr>
        <w:t>4</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二、机构设置</w:t>
      </w:r>
      <w:r>
        <w:rPr>
          <w:rFonts w:ascii="宋体"/>
          <w:sz w:val="24"/>
          <w:szCs w:val="24"/>
        </w:rPr>
        <w:tab/>
      </w:r>
      <w:r>
        <w:rPr>
          <w:rFonts w:ascii="宋体" w:cs="宋体"/>
          <w:sz w:val="24"/>
          <w:szCs w:val="24"/>
        </w:rPr>
        <w:t>4</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第二部分</w:t>
      </w:r>
      <w:r>
        <w:rPr>
          <w:rFonts w:ascii="宋体" w:eastAsia="宋体" w:cs="宋体"/>
          <w:sz w:val="24"/>
          <w:szCs w:val="24"/>
        </w:rPr>
        <w:t>2022</w:t>
      </w:r>
      <w:r>
        <w:rPr>
          <w:rFonts w:ascii="宋体" w:eastAsia="宋体" w:cs="宋体" w:hint="eastAsia"/>
          <w:sz w:val="24"/>
          <w:szCs w:val="24"/>
        </w:rPr>
        <w:t>年度单位决算情况说明</w:t>
      </w:r>
      <w:r>
        <w:rPr>
          <w:rFonts w:ascii="宋体" w:eastAsia="宋体" w:cs="Times New Roman"/>
          <w:sz w:val="24"/>
          <w:szCs w:val="24"/>
        </w:rPr>
        <w:tab/>
      </w:r>
      <w:r>
        <w:rPr>
          <w:rFonts w:ascii="宋体" w:eastAsia="宋体" w:cs="宋体"/>
          <w:sz w:val="24"/>
          <w:szCs w:val="24"/>
        </w:rPr>
        <w:t>5</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一、收入支出决算总体情况说明</w:t>
      </w:r>
      <w:r>
        <w:rPr>
          <w:rFonts w:ascii="宋体"/>
          <w:sz w:val="24"/>
          <w:szCs w:val="24"/>
        </w:rPr>
        <w:tab/>
      </w:r>
      <w:r>
        <w:rPr>
          <w:rFonts w:ascii="宋体" w:cs="宋体"/>
          <w:sz w:val="24"/>
          <w:szCs w:val="24"/>
        </w:rPr>
        <w:t>5</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二、收入决算情况说明</w:t>
      </w:r>
      <w:r>
        <w:rPr>
          <w:rFonts w:ascii="宋体"/>
          <w:sz w:val="24"/>
          <w:szCs w:val="24"/>
        </w:rPr>
        <w:tab/>
      </w:r>
      <w:r>
        <w:rPr>
          <w:rFonts w:ascii="宋体" w:cs="宋体"/>
          <w:sz w:val="24"/>
          <w:szCs w:val="24"/>
        </w:rPr>
        <w:t>5</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三、支出决算情况说明</w:t>
      </w:r>
      <w:r>
        <w:rPr>
          <w:rFonts w:ascii="宋体"/>
          <w:sz w:val="24"/>
          <w:szCs w:val="24"/>
        </w:rPr>
        <w:tab/>
      </w:r>
      <w:r>
        <w:rPr>
          <w:rFonts w:ascii="宋体" w:cs="宋体"/>
          <w:sz w:val="24"/>
          <w:szCs w:val="24"/>
        </w:rPr>
        <w:t>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四、财政拨款收入支出决算总体情况说明</w:t>
      </w:r>
      <w:r>
        <w:rPr>
          <w:rFonts w:ascii="宋体"/>
          <w:sz w:val="24"/>
          <w:szCs w:val="24"/>
        </w:rPr>
        <w:tab/>
      </w:r>
      <w:r>
        <w:rPr>
          <w:rFonts w:ascii="宋体" w:cs="宋体"/>
          <w:sz w:val="24"/>
          <w:szCs w:val="24"/>
        </w:rPr>
        <w:t>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五、一般公共预算财政拨款支出决算情况说明</w:t>
      </w:r>
      <w:r>
        <w:rPr>
          <w:rFonts w:ascii="宋体"/>
          <w:sz w:val="24"/>
          <w:szCs w:val="24"/>
        </w:rPr>
        <w:tab/>
      </w:r>
      <w:r>
        <w:rPr>
          <w:rFonts w:ascii="宋体" w:cs="宋体"/>
          <w:sz w:val="24"/>
          <w:szCs w:val="24"/>
        </w:rPr>
        <w:t>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六、一般公共预算财政拨款基本支出决算情况说明</w:t>
      </w:r>
      <w:r>
        <w:rPr>
          <w:rFonts w:ascii="宋体"/>
          <w:sz w:val="24"/>
          <w:szCs w:val="24"/>
        </w:rPr>
        <w:tab/>
      </w:r>
      <w:r>
        <w:rPr>
          <w:rFonts w:ascii="宋体" w:cs="宋体"/>
          <w:sz w:val="24"/>
          <w:szCs w:val="24"/>
        </w:rPr>
        <w:t>8</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七、财政拨款“三公”经费支出决算情况说明</w:t>
      </w:r>
      <w:r>
        <w:rPr>
          <w:rFonts w:ascii="宋体"/>
          <w:sz w:val="24"/>
          <w:szCs w:val="24"/>
        </w:rPr>
        <w:tab/>
      </w:r>
      <w:r>
        <w:rPr>
          <w:rFonts w:ascii="宋体" w:cs="宋体"/>
          <w:sz w:val="24"/>
          <w:szCs w:val="24"/>
        </w:rPr>
        <w:t>9</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八、政府性基金预算支出决算情况说明</w:t>
      </w:r>
      <w:r>
        <w:rPr>
          <w:rFonts w:ascii="宋体"/>
          <w:sz w:val="24"/>
          <w:szCs w:val="24"/>
        </w:rPr>
        <w:tab/>
      </w:r>
      <w:r>
        <w:rPr>
          <w:rFonts w:ascii="宋体" w:cs="宋体"/>
          <w:sz w:val="24"/>
          <w:szCs w:val="24"/>
        </w:rPr>
        <w:t>11</w:t>
      </w:r>
    </w:p>
    <w:p>
      <w:pPr>
        <w:pStyle w:val="21"/>
        <w:tabs>
          <w:tab w:val="right" w:leader="dot" w:pos="8296"/>
        </w:tabs>
        <w:adjustRightInd w:val="0"/>
        <w:snapToGrid w:val="0"/>
        <w:spacing w:line="440" w:lineRule="exact"/>
        <w:ind w:leftChars="0" w:left="0"/>
        <w:jc w:val="left"/>
        <w:rPr>
          <w:rFonts w:ascii="宋体"/>
          <w:sz w:val="24"/>
          <w:szCs w:val="24"/>
        </w:rPr>
      </w:pPr>
      <w:r>
        <w:rPr>
          <w:rFonts w:ascii="宋体" w:cs="宋体" w:hint="eastAsia"/>
          <w:sz w:val="24"/>
          <w:szCs w:val="24"/>
        </w:rPr>
        <w:t>九、国有资本经营预算支出决算情况说明</w:t>
      </w:r>
      <w:r>
        <w:rPr>
          <w:rFonts w:ascii="宋体"/>
          <w:sz w:val="24"/>
          <w:szCs w:val="24"/>
        </w:rPr>
        <w:tab/>
      </w:r>
      <w:r>
        <w:rPr>
          <w:rFonts w:ascii="宋体" w:cs="宋体"/>
          <w:sz w:val="24"/>
          <w:szCs w:val="24"/>
        </w:rPr>
        <w:t>11</w:t>
      </w:r>
    </w:p>
    <w:p>
      <w:pPr>
        <w:tabs>
          <w:tab w:val="right" w:leader="dot" w:pos="8306"/>
        </w:tabs>
        <w:adjustRightInd w:val="0"/>
        <w:snapToGrid w:val="0"/>
        <w:spacing w:line="440" w:lineRule="exact"/>
        <w:ind w:firstLineChars="200" w:firstLine="480"/>
        <w:jc w:val="left"/>
        <w:rPr>
          <w:rFonts w:ascii="宋体"/>
          <w:sz w:val="24"/>
          <w:szCs w:val="24"/>
        </w:rPr>
      </w:pPr>
      <w:r>
        <w:rPr>
          <w:rStyle w:val="23"/>
          <w:rFonts w:ascii="宋体" w:cs="宋体" w:hint="eastAsia"/>
          <w:color w:val="000000"/>
          <w:sz w:val="24"/>
          <w:szCs w:val="24"/>
          <w:u w:val="none"/>
        </w:rPr>
        <w:t>十、</w:t>
      </w:r>
      <w:r>
        <w:rPr>
          <w:rFonts w:ascii="宋体" w:cs="宋体" w:hint="eastAsia"/>
          <w:sz w:val="24"/>
          <w:szCs w:val="24"/>
        </w:rPr>
        <w:t>其他重要事项的情况说明</w:t>
      </w:r>
      <w:r>
        <w:rPr>
          <w:rFonts w:ascii="宋体"/>
          <w:sz w:val="24"/>
          <w:szCs w:val="24"/>
        </w:rPr>
        <w:tab/>
      </w:r>
      <w:r>
        <w:rPr>
          <w:rFonts w:ascii="宋体" w:cs="宋体"/>
          <w:sz w:val="24"/>
          <w:szCs w:val="24"/>
        </w:rPr>
        <w:t>11</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第三部分</w:t>
      </w:r>
      <w:r>
        <w:rPr>
          <w:rFonts w:ascii="宋体" w:eastAsia="宋体" w:cs="宋体"/>
          <w:sz w:val="24"/>
          <w:szCs w:val="24"/>
        </w:rPr>
        <w:t xml:space="preserve"> </w:t>
      </w:r>
      <w:r>
        <w:rPr>
          <w:rFonts w:ascii="宋体" w:eastAsia="宋体" w:cs="宋体" w:hint="eastAsia"/>
          <w:sz w:val="24"/>
          <w:szCs w:val="24"/>
        </w:rPr>
        <w:t>名词解释</w:t>
      </w:r>
      <w:r>
        <w:rPr>
          <w:rFonts w:ascii="宋体" w:eastAsia="宋体" w:cs="Times New Roman"/>
          <w:sz w:val="24"/>
          <w:szCs w:val="24"/>
        </w:rPr>
        <w:tab/>
      </w:r>
      <w:r>
        <w:rPr>
          <w:rFonts w:ascii="宋体" w:eastAsia="宋体" w:cs="宋体"/>
          <w:sz w:val="24"/>
          <w:szCs w:val="24"/>
        </w:rPr>
        <w:t>13</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第四部分</w:t>
      </w:r>
      <w:r>
        <w:rPr>
          <w:rFonts w:ascii="宋体" w:eastAsia="宋体" w:cs="宋体"/>
          <w:sz w:val="24"/>
          <w:szCs w:val="24"/>
        </w:rPr>
        <w:t xml:space="preserve"> </w:t>
      </w:r>
      <w:r>
        <w:rPr>
          <w:rFonts w:ascii="宋体" w:eastAsia="宋体" w:cs="宋体" w:hint="eastAsia"/>
          <w:sz w:val="24"/>
          <w:szCs w:val="24"/>
        </w:rPr>
        <w:t>附件</w:t>
      </w:r>
      <w:r>
        <w:rPr>
          <w:rFonts w:ascii="宋体" w:eastAsia="宋体" w:cs="Times New Roman"/>
          <w:sz w:val="24"/>
          <w:szCs w:val="24"/>
        </w:rPr>
        <w:tab/>
      </w:r>
      <w:r>
        <w:rPr>
          <w:rFonts w:ascii="宋体" w:eastAsia="宋体" w:cs="宋体"/>
          <w:sz w:val="24"/>
          <w:szCs w:val="24"/>
        </w:rPr>
        <w:t>15</w:t>
      </w:r>
    </w:p>
    <w:p>
      <w:pPr>
        <w:pStyle w:val="20"/>
        <w:tabs>
          <w:tab w:val="right" w:leader="dot" w:pos="8296"/>
        </w:tabs>
        <w:adjustRightInd w:val="0"/>
        <w:snapToGrid w:val="0"/>
        <w:spacing w:before="0" w:line="440" w:lineRule="exact"/>
        <w:jc w:val="left"/>
        <w:rPr>
          <w:rFonts w:ascii="宋体" w:eastAsia="宋体" w:cs="宋体"/>
          <w:sz w:val="24"/>
          <w:szCs w:val="24"/>
        </w:rPr>
      </w:pPr>
      <w:r>
        <w:rPr>
          <w:rFonts w:ascii="宋体" w:eastAsia="宋体" w:cs="宋体" w:hint="eastAsia"/>
          <w:sz w:val="24"/>
          <w:szCs w:val="24"/>
        </w:rPr>
        <w:t>第五部分</w:t>
      </w:r>
      <w:r>
        <w:rPr>
          <w:rFonts w:ascii="宋体" w:eastAsia="宋体" w:cs="宋体"/>
          <w:sz w:val="24"/>
          <w:szCs w:val="24"/>
        </w:rPr>
        <w:t xml:space="preserve"> </w:t>
      </w:r>
      <w:r>
        <w:rPr>
          <w:rFonts w:ascii="宋体" w:eastAsia="宋体" w:cs="宋体" w:hint="eastAsia"/>
          <w:sz w:val="24"/>
          <w:szCs w:val="24"/>
        </w:rPr>
        <w:t>附表</w:t>
      </w:r>
      <w:r>
        <w:rPr>
          <w:rFonts w:ascii="宋体" w:eastAsia="宋体" w:cs="Times New Roman"/>
          <w:sz w:val="24"/>
          <w:szCs w:val="24"/>
        </w:rPr>
        <w:tab/>
      </w:r>
      <w:r>
        <w:rPr>
          <w:rFonts w:ascii="宋体" w:eastAsia="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一、收入支出决算总表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二、收入决算表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三、支出决算表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四、财政拨款收入支出决算总表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五、财政拨款支出决算明细表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六、一般公共预算财政拨款支出决算表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七、一般公共预算财政拨款支出决算明细表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八、一般公共预算财政拨款基本支出决算表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九、一般公共预算财政拨款项目支出决算表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十、政府性基金预算财政拨款收入支出决算表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十一、国有资本经营预算财政拨款收入支出决算表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十二、国有资本经营预算财政拨款支出决算表</w:t>
      </w:r>
      <w:r>
        <w:rPr>
          <w:rFonts w:ascii="宋体"/>
          <w:sz w:val="24"/>
          <w:szCs w:val="24"/>
        </w:rPr>
        <w:tab/>
      </w:r>
      <w:r>
        <w:rPr>
          <w:rFonts w:ascii="宋体" w:cs="宋体"/>
          <w:sz w:val="24"/>
          <w:szCs w:val="24"/>
        </w:rPr>
        <w:t>16</w:t>
      </w:r>
    </w:p>
    <w:p>
      <w:pPr>
        <w:pStyle w:val="21"/>
        <w:tabs>
          <w:tab w:val="right" w:leader="dot" w:pos="8296"/>
        </w:tabs>
        <w:adjustRightInd w:val="0"/>
        <w:snapToGrid w:val="0"/>
        <w:spacing w:line="440" w:lineRule="exact"/>
        <w:jc w:val="left"/>
        <w:rPr>
          <w:rFonts w:ascii="宋体"/>
          <w:sz w:val="24"/>
          <w:szCs w:val="24"/>
        </w:rPr>
      </w:pPr>
      <w:r>
        <w:rPr>
          <w:rFonts w:ascii="宋体" w:cs="宋体" w:hint="eastAsia"/>
          <w:sz w:val="24"/>
          <w:szCs w:val="24"/>
        </w:rPr>
        <w:t>十三、财政拨款“三公”经费支出决算表</w:t>
      </w:r>
      <w:r>
        <w:rPr>
          <w:rFonts w:ascii="宋体"/>
          <w:sz w:val="24"/>
          <w:szCs w:val="24"/>
        </w:rPr>
        <w:tab/>
      </w:r>
      <w:r>
        <w:rPr>
          <w:rFonts w:ascii="宋体" w:cs="宋体"/>
          <w:sz w:val="24"/>
          <w:szCs w:val="24"/>
        </w:rPr>
        <w:t>16</w:t>
      </w:r>
    </w:p>
    <w:p>
      <w:pPr>
        <w:widowControl/>
        <w:jc w:val="left"/>
        <w:rPr>
          <w:rFonts w:ascii="宋体"/>
          <w:kern w:val="44"/>
          <w:sz w:val="44"/>
          <w:szCs w:val="44"/>
        </w:rPr>
      </w:pPr>
      <w:bookmarkStart w:id="13" w:name="_Toc15377196"/>
      <w:bookmarkStart w:id="14" w:name="_Toc15396599"/>
      <w:r>
        <w:rPr>
          <w:rFonts w:ascii="宋体"/>
          <w:b/>
          <w:bCs/>
        </w:rPr>
        <w:br w:type="page"/>
      </w:r>
    </w:p>
    <w:p>
      <w:pPr>
        <w:pStyle w:val="1"/>
        <w:spacing w:line="640" w:lineRule="exact"/>
        <w:jc w:val="center"/>
        <w:rPr>
          <w:rStyle w:val="1Char"/>
          <w:rFonts w:ascii="黑体" w:eastAsia="黑体"/>
          <w:b/>
          <w:bCs/>
        </w:rPr>
      </w:pPr>
      <w:r>
        <w:rPr>
          <w:rFonts w:ascii="黑体" w:eastAsia="黑体" w:cs="黑体" w:hint="eastAsia"/>
          <w:b w:val="0"/>
          <w:bCs w:val="0"/>
        </w:rPr>
        <w:t>第一部分</w:t>
      </w:r>
      <w:r>
        <w:rPr>
          <w:rFonts w:ascii="黑体" w:eastAsia="黑体" w:cs="黑体"/>
          <w:b w:val="0"/>
          <w:bCs w:val="0"/>
        </w:rPr>
        <w:t xml:space="preserve"> </w:t>
      </w:r>
      <w:r>
        <w:rPr>
          <w:rStyle w:val="1Char"/>
          <w:rFonts w:ascii="黑体" w:eastAsia="黑体" w:cs="黑体" w:hint="eastAsia"/>
        </w:rPr>
        <w:t>单位概况</w:t>
      </w:r>
      <w:bookmarkEnd w:id="13"/>
      <w:bookmarkEnd w:id="14"/>
    </w:p>
    <w:p>
      <w:pPr>
        <w:rPr>
          <w:rFonts w:eastAsia="黑体"/>
        </w:rPr>
      </w:pPr>
      <w:r>
        <w:rPr>
          <w:rStyle w:val="2Char"/>
          <w:rFonts w:ascii="黑体" w:eastAsia="黑体" w:cs="黑体"/>
          <w:b w:val="0"/>
          <w:bCs w:val="0"/>
        </w:rPr>
        <w:t xml:space="preserve">    </w:t>
      </w:r>
      <w:r>
        <w:rPr>
          <w:rStyle w:val="2Char"/>
          <w:rFonts w:ascii="黑体" w:eastAsia="黑体" w:cs="黑体" w:hint="eastAsia"/>
          <w:b w:val="0"/>
          <w:bCs w:val="0"/>
        </w:rPr>
        <w:t>一、主要职责</w:t>
      </w:r>
    </w:p>
    <w:p>
      <w:pPr>
        <w:snapToGrid w:val="0"/>
        <w:spacing w:line="640" w:lineRule="exact"/>
        <w:ind w:firstLineChars="200" w:firstLine="640"/>
        <w:rPr>
          <w:rFonts w:ascii="仿宋" w:eastAsia="仿宋"/>
          <w:sz w:val="32"/>
          <w:szCs w:val="32"/>
        </w:rPr>
      </w:pPr>
      <w:bookmarkStart w:id="15" w:name="_Toc15377198"/>
      <w:bookmarkStart w:id="16" w:name="_Toc15378445"/>
      <w:r>
        <w:rPr>
          <w:rFonts w:ascii="仿宋" w:eastAsia="仿宋" w:cs="仿宋" w:hint="eastAsia"/>
          <w:sz w:val="32"/>
          <w:szCs w:val="32"/>
        </w:rPr>
        <w:t>攀枝花市住房保障和建设项目服务中心（以下简称市住保和建设项目中心）</w:t>
      </w:r>
      <w:r>
        <w:rPr>
          <w:rStyle w:val="31"/>
          <w:rFonts w:ascii="仿宋" w:eastAsia="仿宋" w:cs="仿宋" w:hint="eastAsia"/>
          <w:sz w:val="32"/>
          <w:szCs w:val="32"/>
        </w:rPr>
        <w:t>负责全市保障性安居工程建设的具体事务性、技术性、辅助性工作；负责市本级市政基础设施项目策划、储备、建设模式选择等前期工作和建设及具体实施的事务性、技术性、辅助性工作；负责市政府非经营性投资项目代建业务实施过程中事务性、技术性、辅助性工作。</w:t>
      </w:r>
    </w:p>
    <w:p>
      <w:pPr>
        <w:pStyle w:val="15"/>
        <w:adjustRightInd w:val="0"/>
        <w:snapToGrid w:val="0"/>
        <w:spacing w:beforeLines="0" w:before="93" w:line="640" w:lineRule="exact"/>
        <w:ind w:firstLineChars="200" w:firstLine="640"/>
        <w:outlineLvl w:val="2"/>
        <w:rPr>
          <w:rFonts w:ascii="黑体" w:eastAsia="黑体" w:cs="Times New Roman"/>
          <w:color w:val="000000"/>
          <w:sz w:val="32"/>
          <w:szCs w:val="32"/>
        </w:rPr>
      </w:pPr>
      <w:bookmarkStart w:id="17" w:name="_Toc15377199"/>
      <w:bookmarkStart w:id="18" w:name="_Toc15378446"/>
      <w:bookmarkEnd w:id="15"/>
      <w:bookmarkEnd w:id="16"/>
      <w:r>
        <w:rPr>
          <w:rFonts w:ascii="黑体" w:eastAsia="黑体" w:cs="黑体" w:hint="eastAsia"/>
          <w:color w:val="000000"/>
          <w:sz w:val="32"/>
          <w:szCs w:val="32"/>
        </w:rPr>
        <w:t>二、</w:t>
      </w:r>
      <w:bookmarkEnd w:id="17"/>
      <w:bookmarkEnd w:id="18"/>
      <w:r>
        <w:rPr>
          <w:rFonts w:ascii="黑体" w:eastAsia="黑体" w:cs="黑体" w:hint="eastAsia"/>
          <w:color w:val="000000"/>
          <w:sz w:val="32"/>
          <w:szCs w:val="32"/>
        </w:rPr>
        <w:t>机构设置</w:t>
      </w:r>
    </w:p>
    <w:p>
      <w:pPr>
        <w:pStyle w:val="15"/>
        <w:adjustRightInd w:val="0"/>
        <w:snapToGrid w:val="0"/>
        <w:spacing w:beforeLines="0" w:before="93" w:line="640" w:lineRule="exact"/>
        <w:ind w:firstLineChars="200" w:firstLine="640"/>
        <w:outlineLvl w:val="2"/>
        <w:rPr>
          <w:rFonts w:ascii="仿宋" w:eastAsia="仿宋" w:cs="Times New Roman"/>
          <w:color w:val="000000"/>
          <w:sz w:val="32"/>
          <w:szCs w:val="32"/>
        </w:rPr>
      </w:pPr>
      <w:r>
        <w:rPr>
          <w:rFonts w:ascii="仿宋" w:eastAsia="仿宋" w:cs="仿宋" w:hint="eastAsia"/>
          <w:sz w:val="32"/>
          <w:szCs w:val="32"/>
        </w:rPr>
        <w:t>市住保和建设项目中心属市住房城乡建设局下属公益一类科级事业单位。</w:t>
      </w:r>
    </w:p>
    <w:p>
      <w:bookmarkStart w:id="19" w:name="_Toc15396602"/>
      <w:bookmarkStart w:id="20" w:name="_Toc15377204"/>
    </w:p>
    <w:p/>
    <w:p/>
    <w:p/>
    <w:p/>
    <w:p/>
    <w:p/>
    <w:p/>
    <w:p/>
    <w:p/>
    <w:p/>
    <w:p/>
    <w:p/>
    <w:p/>
    <w:p>
      <w:pPr>
        <w:pStyle w:val="1"/>
        <w:ind w:right="440"/>
        <w:jc w:val="right"/>
        <w:rPr>
          <w:rStyle w:val="1Char"/>
          <w:rFonts w:ascii="黑体" w:eastAsia="黑体"/>
        </w:rPr>
      </w:pPr>
      <w:r>
        <w:rPr>
          <w:rFonts w:ascii="黑体" w:eastAsia="黑体" w:cs="黑体" w:hint="eastAsia"/>
          <w:b w:val="0"/>
          <w:bCs w:val="0"/>
          <w:color w:val="000000"/>
        </w:rPr>
        <w:t>第二部分</w:t>
      </w:r>
      <w:r>
        <w:rPr>
          <w:rFonts w:ascii="黑体" w:eastAsia="黑体" w:cs="黑体"/>
          <w:color w:val="000000"/>
        </w:rPr>
        <w:t xml:space="preserve"> </w:t>
      </w:r>
      <w:r>
        <w:rPr>
          <w:rStyle w:val="1Char"/>
          <w:rFonts w:ascii="黑体" w:eastAsia="黑体" w:cs="黑体"/>
        </w:rPr>
        <w:t>2022</w:t>
      </w:r>
      <w:r>
        <w:rPr>
          <w:rStyle w:val="1Char"/>
          <w:rFonts w:ascii="黑体" w:eastAsia="黑体" w:cs="黑体" w:hint="eastAsia"/>
        </w:rPr>
        <w:t>年度单位决算情况说明</w:t>
      </w:r>
      <w:bookmarkEnd w:id="19"/>
      <w:bookmarkEnd w:id="20"/>
    </w:p>
    <w:p>
      <w:pPr>
        <w:pStyle w:val="25"/>
        <w:numPr>
          <w:ilvl w:val="0"/>
          <w:numId w:val="1"/>
        </w:numPr>
        <w:spacing w:line="640" w:lineRule="exact"/>
        <w:ind w:firstLineChars="0"/>
        <w:outlineLvl w:val="1"/>
        <w:rPr>
          <w:rStyle w:val="2Char"/>
          <w:rFonts w:ascii="黑体" w:eastAsia="黑体" w:cs="Times New Roman"/>
          <w:b w:val="0"/>
          <w:bCs w:val="0"/>
        </w:rPr>
      </w:pPr>
      <w:bookmarkStart w:id="21" w:name="_Toc15396603"/>
      <w:bookmarkStart w:id="22" w:name="_Toc15377205"/>
      <w:r>
        <w:rPr>
          <w:rFonts w:ascii="黑体" w:eastAsia="黑体" w:cs="黑体" w:hint="eastAsia"/>
          <w:color w:val="000000"/>
          <w:sz w:val="32"/>
          <w:szCs w:val="32"/>
        </w:rPr>
        <w:t>收</w:t>
      </w:r>
      <w:r>
        <w:rPr>
          <w:rStyle w:val="2Char"/>
          <w:rFonts w:ascii="黑体" w:eastAsia="黑体" w:cs="黑体" w:hint="eastAsia"/>
          <w:b w:val="0"/>
          <w:bCs w:val="0"/>
        </w:rPr>
        <w:t>入支出决算总体情况说明</w:t>
      </w:r>
      <w:bookmarkEnd w:id="21"/>
      <w:bookmarkEnd w:id="22"/>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年度收、支总计</w:t>
      </w:r>
      <w:r>
        <w:rPr>
          <w:rFonts w:ascii="仿宋" w:eastAsia="仿宋" w:cs="仿宋"/>
          <w:color w:val="000000"/>
          <w:sz w:val="32"/>
          <w:szCs w:val="32"/>
        </w:rPr>
        <w:t>222.19</w:t>
      </w:r>
      <w:r>
        <w:rPr>
          <w:rFonts w:ascii="仿宋" w:eastAsia="仿宋" w:cs="仿宋" w:hint="eastAsia"/>
          <w:color w:val="000000"/>
          <w:sz w:val="32"/>
          <w:szCs w:val="32"/>
        </w:rPr>
        <w:t>万元。与</w:t>
      </w:r>
      <w:r>
        <w:rPr>
          <w:rFonts w:ascii="仿宋" w:eastAsia="仿宋" w:cs="仿宋"/>
          <w:color w:val="000000"/>
          <w:sz w:val="32"/>
          <w:szCs w:val="32"/>
        </w:rPr>
        <w:t>2021</w:t>
      </w:r>
      <w:r>
        <w:rPr>
          <w:rFonts w:ascii="仿宋" w:eastAsia="仿宋" w:cs="仿宋" w:hint="eastAsia"/>
          <w:color w:val="000000"/>
          <w:sz w:val="32"/>
          <w:szCs w:val="32"/>
        </w:rPr>
        <w:t>年相比，收、支总计各增加</w:t>
      </w:r>
      <w:r>
        <w:rPr>
          <w:rFonts w:ascii="仿宋" w:eastAsia="仿宋" w:cs="仿宋"/>
          <w:color w:val="000000"/>
          <w:sz w:val="32"/>
          <w:szCs w:val="32"/>
        </w:rPr>
        <w:t>46.57</w:t>
      </w:r>
      <w:r>
        <w:rPr>
          <w:rFonts w:ascii="仿宋" w:eastAsia="仿宋" w:cs="仿宋" w:hint="eastAsia"/>
          <w:color w:val="000000"/>
          <w:sz w:val="32"/>
          <w:szCs w:val="32"/>
        </w:rPr>
        <w:t>万元，增长</w:t>
      </w:r>
      <w:r>
        <w:rPr>
          <w:rFonts w:ascii="仿宋" w:eastAsia="仿宋" w:cs="仿宋"/>
          <w:color w:val="000000"/>
          <w:sz w:val="32"/>
          <w:szCs w:val="32"/>
        </w:rPr>
        <w:t>27%</w:t>
      </w:r>
      <w:r>
        <w:rPr>
          <w:rFonts w:ascii="仿宋" w:eastAsia="仿宋" w:cs="仿宋" w:hint="eastAsia"/>
          <w:color w:val="000000"/>
          <w:sz w:val="32"/>
          <w:szCs w:val="32"/>
        </w:rPr>
        <w:t>。主要变动原因是</w:t>
      </w:r>
      <w:r>
        <w:rPr>
          <w:rFonts w:ascii="仿宋" w:eastAsia="仿宋" w:cs="仿宋"/>
          <w:color w:val="000000"/>
          <w:sz w:val="32"/>
          <w:szCs w:val="32"/>
        </w:rPr>
        <w:t>2022</w:t>
      </w:r>
      <w:r>
        <w:rPr>
          <w:rFonts w:ascii="仿宋" w:eastAsia="仿宋" w:cs="仿宋" w:hint="eastAsia"/>
          <w:color w:val="000000"/>
          <w:sz w:val="32"/>
          <w:szCs w:val="32"/>
        </w:rPr>
        <w:t>年人员增加，人员经费增加。</w:t>
      </w:r>
    </w:p>
    <w:p>
      <w:pPr>
        <w:spacing w:line="600" w:lineRule="exact"/>
        <w:rPr>
          <w:rFonts w:ascii="仿宋" w:eastAsia="仿宋"/>
          <w:color w:val="000000"/>
          <w:sz w:val="32"/>
          <w:szCs w:val="32"/>
        </w:rPr>
      </w:pPr>
      <w: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position:absolute;margin-left:57.0pt;margin-top:16.05pt;width:286.55pt;height:110.4pt;z-index:22;mso-position-horizontal:absolute;mso-position-vertical:absolute;mso-wrap-distance-top:5.76pt;mso-wrap-distance-left:13.319999pt;mso-wrap-distance-bottom:23.69pt;mso-wrap-distance-right:12.32pt;" o:ole="">
            <v:stroke color="#000000"/>
            <v:imagedata r:id="rId4" o:title="image1"/>
            <o:lock aspectratio="t"/>
            <w10:wrap type="square"/>
          </v:shape>
          <o:OLEObject Type="Embed" ProgID="Package" ShapeID="_x0000_i1" DrawAspect="Content" ObjectID="_1393063351" r:id="rId5"/>
        </w:object>
      </w:r>
    </w:p>
    <w:p>
      <w:pPr>
        <w:spacing w:line="600" w:lineRule="exact"/>
        <w:ind w:firstLineChars="200" w:firstLine="640"/>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jc w:val="left"/>
        <w:rPr>
          <w:rFonts w:ascii="仿宋" w:eastAsia="仿宋"/>
          <w:color w:val="000000"/>
          <w:sz w:val="32"/>
          <w:szCs w:val="32"/>
        </w:rPr>
      </w:pPr>
    </w:p>
    <w:p>
      <w:pPr>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1</w:t>
      </w:r>
      <w:r>
        <w:rPr>
          <w:rFonts w:ascii="仿宋" w:eastAsia="仿宋" w:cs="仿宋" w:hint="eastAsia"/>
          <w:color w:val="000000"/>
          <w:sz w:val="32"/>
          <w:szCs w:val="32"/>
        </w:rPr>
        <w:t>：收、支决算总计变动情况图）</w:t>
      </w:r>
    </w:p>
    <w:p>
      <w:pPr>
        <w:jc w:val="left"/>
        <w:rPr>
          <w:rFonts w:ascii="仿宋" w:eastAsia="仿宋"/>
          <w:color w:val="000000"/>
          <w:sz w:val="32"/>
          <w:szCs w:val="32"/>
        </w:rPr>
      </w:pPr>
    </w:p>
    <w:p>
      <w:pPr>
        <w:pStyle w:val="25"/>
        <w:numPr>
          <w:ilvl w:val="0"/>
          <w:numId w:val="1"/>
        </w:numPr>
        <w:spacing w:line="640" w:lineRule="exact"/>
        <w:ind w:firstLineChars="0"/>
        <w:outlineLvl w:val="1"/>
        <w:rPr>
          <w:rStyle w:val="2Char"/>
          <w:rFonts w:ascii="黑体" w:eastAsia="黑体" w:cs="Times New Roman"/>
          <w:b w:val="0"/>
          <w:bCs w:val="0"/>
        </w:rPr>
      </w:pPr>
      <w:bookmarkStart w:id="23" w:name="_Toc15396604"/>
      <w:bookmarkStart w:id="24" w:name="_Toc15377206"/>
      <w:r>
        <w:rPr>
          <w:rFonts w:ascii="黑体" w:eastAsia="黑体" w:cs="黑体" w:hint="eastAsia"/>
          <w:color w:val="000000"/>
          <w:sz w:val="32"/>
          <w:szCs w:val="32"/>
        </w:rPr>
        <w:t>收</w:t>
      </w:r>
      <w:r>
        <w:rPr>
          <w:rStyle w:val="2Char"/>
          <w:rFonts w:ascii="黑体" w:eastAsia="黑体" w:cs="黑体" w:hint="eastAsia"/>
          <w:b w:val="0"/>
          <w:bCs w:val="0"/>
        </w:rPr>
        <w:t>入决算情况说明</w:t>
      </w:r>
      <w:bookmarkEnd w:id="23"/>
      <w:bookmarkEnd w:id="24"/>
    </w:p>
    <w:p>
      <w:pPr>
        <w:spacing w:line="640" w:lineRule="exact"/>
        <w:ind w:left="640"/>
        <w:outlineLvl w:val="1"/>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年本年收入合计</w:t>
      </w:r>
      <w:r>
        <w:rPr>
          <w:rFonts w:ascii="仿宋" w:eastAsia="仿宋" w:cs="仿宋"/>
          <w:color w:val="000000"/>
          <w:sz w:val="32"/>
          <w:szCs w:val="32"/>
        </w:rPr>
        <w:t>216.35</w:t>
      </w:r>
      <w:r>
        <w:rPr>
          <w:rFonts w:ascii="仿宋" w:eastAsia="仿宋" w:cs="仿宋" w:hint="eastAsia"/>
          <w:color w:val="000000"/>
          <w:sz w:val="32"/>
          <w:szCs w:val="32"/>
        </w:rPr>
        <w:t>万元，其中：一般公共预</w:t>
      </w:r>
    </w:p>
    <w:p>
      <w:pPr>
        <w:spacing w:line="640" w:lineRule="exact"/>
        <w:outlineLvl w:val="1"/>
        <w:rPr>
          <w:rFonts w:ascii="仿宋" w:eastAsia="仿宋"/>
          <w:color w:val="000000"/>
          <w:sz w:val="32"/>
          <w:szCs w:val="32"/>
        </w:rPr>
      </w:pPr>
      <w:r>
        <w:rPr>
          <w:rFonts w:ascii="仿宋" w:eastAsia="仿宋" w:cs="仿宋" w:hint="eastAsia"/>
          <w:color w:val="000000"/>
          <w:sz w:val="32"/>
          <w:szCs w:val="32"/>
        </w:rPr>
        <w:t>算财政拨款收入</w:t>
      </w:r>
      <w:r>
        <w:rPr>
          <w:rFonts w:ascii="仿宋" w:eastAsia="仿宋" w:cs="仿宋"/>
          <w:color w:val="000000"/>
          <w:sz w:val="32"/>
          <w:szCs w:val="32"/>
        </w:rPr>
        <w:t>216.35</w:t>
      </w:r>
      <w:r>
        <w:rPr>
          <w:rFonts w:ascii="仿宋" w:eastAsia="仿宋" w:cs="仿宋" w:hint="eastAsia"/>
          <w:color w:val="000000"/>
          <w:sz w:val="32"/>
          <w:szCs w:val="32"/>
        </w:rPr>
        <w:t>万元，占</w:t>
      </w:r>
      <w:r>
        <w:rPr>
          <w:rFonts w:ascii="仿宋" w:eastAsia="仿宋" w:cs="仿宋"/>
          <w:color w:val="000000"/>
          <w:sz w:val="32"/>
          <w:szCs w:val="32"/>
        </w:rPr>
        <w:t>100%</w:t>
      </w:r>
      <w:r>
        <w:rPr>
          <w:rFonts w:ascii="仿宋" w:eastAsia="仿宋" w:cs="仿宋" w:hint="eastAsia"/>
          <w:color w:val="000000"/>
          <w:sz w:val="32"/>
          <w:szCs w:val="32"/>
        </w:rPr>
        <w:t>。</w:t>
      </w:r>
    </w:p>
    <w:p>
      <w:pPr>
        <w:spacing w:line="600" w:lineRule="exact"/>
        <w:ind w:firstLineChars="200" w:firstLine="420"/>
        <w:rPr>
          <w:rFonts w:ascii="仿宋" w:eastAsia="仿宋"/>
          <w:color w:val="000000"/>
          <w:sz w:val="32"/>
          <w:szCs w:val="32"/>
        </w:rPr>
      </w:pPr>
      <w:r>
        <w:object>
          <v:shape id="_x0000_i2" type="#_x0000_t75" filled="f" stroked="f" style="position:absolute;margin-left:232.7pt;margin-top:65.55pt;width:53.3pt;height:36.499996pt;z-index:24;mso-position-horizontal:absolute;mso-position-vertical:absolute;mso-wrap-distance-top:64.8pt;mso-wrap-distance-left:182.76pt;mso-wrap-distance-bottom:28.22pt;mso-wrap-distance-right:23.46pt;" o:ole="">
            <v:stroke color="#000000"/>
            <v:imagedata r:id="rId6" o:title="image2"/>
            <o:lock aspectratio="t"/>
            <w10:wrap type="square"/>
          </v:shape>
          <o:OLEObject Type="Embed" ProgID="Package" ShapeID="_x0000_i2" DrawAspect="Content" ObjectID="_1393063352" r:id="rId7"/>
        </w:object>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2</w:t>
      </w:r>
      <w:r>
        <w:rPr>
          <w:rFonts w:ascii="仿宋" w:eastAsia="仿宋" w:cs="仿宋" w:hint="eastAsia"/>
          <w:color w:val="000000"/>
          <w:sz w:val="32"/>
          <w:szCs w:val="32"/>
        </w:rPr>
        <w:t>：收入决算结构图）</w:t>
      </w:r>
    </w:p>
    <w:p>
      <w:pPr>
        <w:pStyle w:val="25"/>
        <w:numPr>
          <w:ilvl w:val="0"/>
          <w:numId w:val="1"/>
        </w:numPr>
        <w:spacing w:line="640" w:lineRule="exact"/>
        <w:ind w:firstLineChars="0"/>
        <w:outlineLvl w:val="1"/>
        <w:rPr>
          <w:rStyle w:val="2Char"/>
          <w:rFonts w:ascii="黑体" w:eastAsia="黑体" w:cs="Times New Roman"/>
          <w:b w:val="0"/>
          <w:bCs w:val="0"/>
        </w:rPr>
      </w:pPr>
      <w:bookmarkStart w:id="25" w:name="_Toc15377207"/>
      <w:bookmarkStart w:id="26" w:name="_Toc15396605"/>
      <w:r>
        <w:rPr>
          <w:rFonts w:ascii="黑体" w:eastAsia="黑体" w:cs="黑体" w:hint="eastAsia"/>
          <w:color w:val="000000"/>
          <w:sz w:val="32"/>
          <w:szCs w:val="32"/>
        </w:rPr>
        <w:t>支</w:t>
      </w:r>
      <w:r>
        <w:rPr>
          <w:rStyle w:val="2Char"/>
          <w:rFonts w:ascii="黑体" w:eastAsia="黑体" w:cs="黑体" w:hint="eastAsia"/>
          <w:b w:val="0"/>
          <w:bCs w:val="0"/>
        </w:rPr>
        <w:t>出决算情况说明</w:t>
      </w:r>
      <w:bookmarkEnd w:id="25"/>
      <w:bookmarkEnd w:id="26"/>
    </w:p>
    <w:p>
      <w:pPr>
        <w:spacing w:line="640" w:lineRule="exact"/>
        <w:ind w:left="640"/>
        <w:outlineLvl w:val="1"/>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年本年支出合计</w:t>
      </w:r>
      <w:r>
        <w:rPr>
          <w:rFonts w:ascii="仿宋" w:eastAsia="仿宋" w:cs="仿宋"/>
          <w:color w:val="000000"/>
          <w:sz w:val="32"/>
          <w:szCs w:val="32"/>
        </w:rPr>
        <w:t>222.19</w:t>
      </w:r>
      <w:r>
        <w:rPr>
          <w:rFonts w:ascii="仿宋" w:eastAsia="仿宋" w:cs="仿宋" w:hint="eastAsia"/>
          <w:color w:val="000000"/>
          <w:sz w:val="32"/>
          <w:szCs w:val="32"/>
        </w:rPr>
        <w:t>万元，其中：基本支出</w:t>
      </w:r>
    </w:p>
    <w:p>
      <w:pPr>
        <w:spacing w:line="640" w:lineRule="exact"/>
        <w:outlineLvl w:val="1"/>
        <w:rPr>
          <w:rFonts w:ascii="仿宋" w:eastAsia="仿宋"/>
          <w:color w:val="000000"/>
          <w:sz w:val="32"/>
          <w:szCs w:val="32"/>
        </w:rPr>
      </w:pPr>
      <w:r>
        <w:rPr>
          <w:rFonts w:ascii="仿宋" w:eastAsia="仿宋" w:cs="仿宋"/>
          <w:color w:val="000000"/>
          <w:sz w:val="32"/>
          <w:szCs w:val="32"/>
        </w:rPr>
        <w:t>215.03</w:t>
      </w:r>
      <w:r>
        <w:rPr>
          <w:rFonts w:ascii="仿宋" w:eastAsia="仿宋" w:cs="仿宋" w:hint="eastAsia"/>
          <w:color w:val="000000"/>
          <w:sz w:val="32"/>
          <w:szCs w:val="32"/>
        </w:rPr>
        <w:t>万元，占</w:t>
      </w:r>
      <w:r>
        <w:rPr>
          <w:rFonts w:ascii="仿宋" w:eastAsia="仿宋" w:cs="仿宋"/>
          <w:color w:val="000000"/>
          <w:sz w:val="32"/>
          <w:szCs w:val="32"/>
        </w:rPr>
        <w:t>97%</w:t>
      </w:r>
      <w:r>
        <w:rPr>
          <w:rFonts w:ascii="仿宋" w:eastAsia="仿宋" w:cs="仿宋" w:hint="eastAsia"/>
          <w:color w:val="000000"/>
          <w:sz w:val="32"/>
          <w:szCs w:val="32"/>
        </w:rPr>
        <w:t>；项目支出</w:t>
      </w:r>
      <w:r>
        <w:rPr>
          <w:rFonts w:ascii="仿宋" w:eastAsia="仿宋" w:cs="仿宋"/>
          <w:color w:val="000000"/>
          <w:sz w:val="32"/>
          <w:szCs w:val="32"/>
        </w:rPr>
        <w:t>7.16</w:t>
      </w:r>
      <w:r>
        <w:rPr>
          <w:rFonts w:ascii="仿宋" w:eastAsia="仿宋" w:cs="仿宋" w:hint="eastAsia"/>
          <w:color w:val="000000"/>
          <w:sz w:val="32"/>
          <w:szCs w:val="32"/>
        </w:rPr>
        <w:t>万元，占</w:t>
      </w:r>
      <w:r>
        <w:rPr>
          <w:rFonts w:ascii="仿宋" w:eastAsia="仿宋" w:cs="仿宋"/>
          <w:color w:val="000000"/>
          <w:sz w:val="32"/>
          <w:szCs w:val="32"/>
        </w:rPr>
        <w:t>3%</w:t>
      </w:r>
      <w:r>
        <w:rPr>
          <w:rFonts w:ascii="仿宋" w:eastAsia="仿宋" w:cs="仿宋" w:hint="eastAsia"/>
          <w:color w:val="000000"/>
          <w:sz w:val="32"/>
          <w:szCs w:val="32"/>
        </w:rPr>
        <w:t>。</w:t>
      </w:r>
    </w:p>
    <w:p>
      <w:pPr>
        <w:spacing w:line="600" w:lineRule="exact"/>
        <w:ind w:firstLine="640"/>
        <w:rPr>
          <w:rFonts w:ascii="仿宋" w:eastAsia="仿宋"/>
          <w:color w:val="000000"/>
          <w:sz w:val="32"/>
          <w:szCs w:val="32"/>
        </w:rPr>
      </w:pPr>
      <w:r>
        <w:object>
          <v:shape id="_x0000_i3" type="#_x0000_t75" filled="f" stroked="f" style="position:absolute;margin-left:165.55pt;margin-top:80.05pt;width:117.59998pt;height:35.5pt;z-index:-11;mso-position-horizontal:absolute;mso-position-vertical:absolute;mso-wrap-distance-top:59.04pt;mso-wrap-distance-left:145.32pt;mso-wrap-distance-bottom:42.94pt;mso-wrap-distance-right:28.83pt;" o:ole="">
            <v:stroke color="#000000"/>
            <v:imagedata r:id="rId8" o:title="image3"/>
            <o:lock aspectratio="t"/>
          </v:shape>
          <o:OLEObject Type="Embed" ProgID="Package" ShapeID="_x0000_i3" DrawAspect="Content" ObjectID="_1393063353" r:id="rId9"/>
        </w:object>
      </w: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tabs>
          <w:tab w:val="left" w:pos="3795"/>
          <w:tab w:val="left" w:pos="4005"/>
        </w:tabs>
        <w:spacing w:line="600" w:lineRule="exact"/>
        <w:ind w:firstLine="640"/>
        <w:rPr>
          <w:rFonts w:ascii="仿宋" w:eastAsia="仿宋"/>
          <w:color w:val="000000"/>
          <w:sz w:val="32"/>
          <w:szCs w:val="32"/>
        </w:rPr>
      </w:pPr>
      <w:r>
        <w:rPr>
          <w:rFonts w:ascii="仿宋" w:eastAsia="仿宋"/>
          <w:color w:val="000000"/>
          <w:sz w:val="32"/>
          <w:szCs w:val="32"/>
        </w:rPr>
        <w:tab/>
        <w:tab/>
      </w:r>
    </w:p>
    <w:p>
      <w:pPr>
        <w:tabs>
          <w:tab w:val="left" w:pos="2745"/>
          <w:tab w:val="left" w:pos="4005"/>
        </w:tabs>
        <w:spacing w:line="600" w:lineRule="exact"/>
        <w:ind w:firstLine="640"/>
        <w:rPr>
          <w:rFonts w:ascii="仿宋" w:eastAsia="仿宋"/>
          <w:color w:val="000000"/>
          <w:sz w:val="32"/>
          <w:szCs w:val="32"/>
        </w:rPr>
      </w:pPr>
      <w:r>
        <w:rPr>
          <w:rFonts w:ascii="仿宋" w:eastAsia="仿宋"/>
          <w:color w:val="000000"/>
          <w:sz w:val="32"/>
          <w:szCs w:val="32"/>
        </w:rPr>
        <w:tab/>
        <w:tab/>
      </w:r>
    </w:p>
    <w:p>
      <w:pPr>
        <w:tabs>
          <w:tab w:val="left" w:pos="3300"/>
        </w:tabs>
        <w:spacing w:line="600" w:lineRule="exact"/>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3</w:t>
      </w:r>
      <w:r>
        <w:rPr>
          <w:rFonts w:ascii="仿宋" w:eastAsia="仿宋" w:cs="仿宋" w:hint="eastAsia"/>
          <w:color w:val="000000"/>
          <w:sz w:val="32"/>
          <w:szCs w:val="32"/>
        </w:rPr>
        <w:t>：支出决算结构图）</w:t>
      </w:r>
    </w:p>
    <w:p>
      <w:bookmarkStart w:id="27" w:name="_Toc15396606"/>
      <w:bookmarkStart w:id="28" w:name="_Toc15377208"/>
    </w:p>
    <w:p>
      <w:pPr>
        <w:spacing w:line="640" w:lineRule="exact"/>
        <w:ind w:firstLineChars="200" w:firstLine="640"/>
        <w:outlineLvl w:val="1"/>
        <w:rPr>
          <w:rStyle w:val="2Char"/>
          <w:rFonts w:ascii="黑体" w:eastAsia="黑体" w:cs="Times New Roman"/>
          <w:b w:val="0"/>
          <w:bCs w:val="0"/>
        </w:rPr>
      </w:pPr>
      <w:r>
        <w:rPr>
          <w:rFonts w:ascii="黑体" w:eastAsia="黑体" w:cs="黑体" w:hint="eastAsia"/>
          <w:color w:val="000000"/>
          <w:sz w:val="32"/>
          <w:szCs w:val="32"/>
        </w:rPr>
        <w:t>四、财</w:t>
      </w:r>
      <w:r>
        <w:rPr>
          <w:rStyle w:val="2Char"/>
          <w:rFonts w:ascii="黑体" w:eastAsia="黑体" w:cs="黑体" w:hint="eastAsia"/>
          <w:b w:val="0"/>
          <w:bCs w:val="0"/>
        </w:rPr>
        <w:t>政拨款收入支出决算总体情况说明</w:t>
      </w:r>
      <w:bookmarkEnd w:id="27"/>
      <w:bookmarkEnd w:id="28"/>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年财政拨款收、支总计</w:t>
      </w:r>
      <w:r>
        <w:rPr>
          <w:rFonts w:ascii="仿宋" w:eastAsia="仿宋" w:cs="仿宋"/>
          <w:color w:val="000000"/>
          <w:sz w:val="32"/>
          <w:szCs w:val="32"/>
        </w:rPr>
        <w:t>222.19</w:t>
      </w:r>
      <w:r>
        <w:rPr>
          <w:rFonts w:ascii="仿宋" w:eastAsia="仿宋" w:cs="仿宋" w:hint="eastAsia"/>
          <w:color w:val="000000"/>
          <w:sz w:val="32"/>
          <w:szCs w:val="32"/>
        </w:rPr>
        <w:t>万元，与</w:t>
      </w:r>
      <w:r>
        <w:rPr>
          <w:rFonts w:ascii="仿宋" w:eastAsia="仿宋" w:cs="仿宋"/>
          <w:color w:val="000000"/>
          <w:sz w:val="32"/>
          <w:szCs w:val="32"/>
        </w:rPr>
        <w:t>2021</w:t>
      </w:r>
      <w:r>
        <w:rPr>
          <w:rFonts w:ascii="仿宋" w:eastAsia="仿宋" w:cs="仿宋" w:hint="eastAsia"/>
          <w:color w:val="000000"/>
          <w:sz w:val="32"/>
          <w:szCs w:val="32"/>
        </w:rPr>
        <w:t>年相比，财政拨款收、支总计各增加</w:t>
      </w:r>
      <w:r>
        <w:rPr>
          <w:rFonts w:ascii="仿宋" w:eastAsia="仿宋" w:cs="仿宋"/>
          <w:color w:val="000000"/>
          <w:sz w:val="32"/>
          <w:szCs w:val="32"/>
        </w:rPr>
        <w:t>46.57</w:t>
      </w:r>
      <w:r>
        <w:rPr>
          <w:rFonts w:ascii="仿宋" w:eastAsia="仿宋" w:cs="仿宋" w:hint="eastAsia"/>
          <w:color w:val="000000"/>
          <w:sz w:val="32"/>
          <w:szCs w:val="32"/>
        </w:rPr>
        <w:t>万元，增长</w:t>
      </w:r>
      <w:r>
        <w:rPr>
          <w:rFonts w:ascii="仿宋" w:eastAsia="仿宋" w:cs="仿宋"/>
          <w:color w:val="000000"/>
          <w:sz w:val="32"/>
          <w:szCs w:val="32"/>
        </w:rPr>
        <w:t>27%</w:t>
      </w:r>
      <w:r>
        <w:rPr>
          <w:rFonts w:ascii="仿宋" w:eastAsia="仿宋" w:cs="仿宋" w:hint="eastAsia"/>
          <w:color w:val="000000"/>
          <w:sz w:val="32"/>
          <w:szCs w:val="32"/>
        </w:rPr>
        <w:t>。主要变动原因是</w:t>
      </w:r>
      <w:r>
        <w:rPr>
          <w:rFonts w:ascii="仿宋" w:eastAsia="仿宋" w:cs="仿宋"/>
          <w:color w:val="000000"/>
          <w:sz w:val="32"/>
          <w:szCs w:val="32"/>
        </w:rPr>
        <w:t>2022</w:t>
      </w:r>
      <w:r>
        <w:rPr>
          <w:rFonts w:ascii="仿宋" w:eastAsia="仿宋" w:cs="仿宋" w:hint="eastAsia"/>
          <w:color w:val="000000"/>
          <w:sz w:val="32"/>
          <w:szCs w:val="32"/>
        </w:rPr>
        <w:t>年人员增加，人员经费增加。</w:t>
      </w:r>
    </w:p>
    <w:p>
      <w:pPr>
        <w:spacing w:line="600" w:lineRule="exact"/>
        <w:ind w:firstLineChars="200" w:firstLine="420"/>
        <w:rPr>
          <w:rFonts w:ascii="仿宋" w:eastAsia="仿宋"/>
          <w:color w:val="000000"/>
          <w:sz w:val="32"/>
          <w:szCs w:val="32"/>
        </w:rPr>
      </w:pPr>
      <w:r>
        <w:object>
          <v:shape id="_x0000_i4" type="#_x0000_t75" filled="f" stroked="f" style="position:absolute;margin-left:67.35pt;margin-top:19.1pt;width:291.35pt;height:119.049995pt;z-index:28;mso-position-horizontal:absolute;mso-position-vertical:absolute;mso-wrap-distance-top:5.76pt;mso-wrap-distance-left:29.16pt;mso-wrap-distance-bottom:26.900002pt;mso-wrap-distance-right:16.53pt;" o:ole="">
            <v:stroke color="#000000"/>
            <v:imagedata r:id="rId10" o:title="image4"/>
            <o:lock aspectratio="t"/>
            <w10:wrap type="square"/>
          </v:shape>
          <o:OLEObject Type="Embed" ProgID="Package" ShapeID="_x0000_i4" DrawAspect="Content" ObjectID="_1393063354" r:id="rId11"/>
        </w:object>
      </w:r>
    </w:p>
    <w:p>
      <w:pPr>
        <w:spacing w:line="600" w:lineRule="exact"/>
        <w:ind w:firstLineChars="200" w:firstLine="640"/>
        <w:rPr>
          <w:rFonts w:ascii="仿宋" w:eastAsia="仿宋"/>
          <w:color w:val="000000"/>
          <w:sz w:val="32"/>
          <w:szCs w:val="32"/>
        </w:rPr>
      </w:pPr>
    </w:p>
    <w:p/>
    <w:p/>
    <w:p>
      <w:pPr>
        <w:spacing w:line="600" w:lineRule="exact"/>
        <w:rPr>
          <w:rFonts w:ascii="仿宋" w:eastAsia="仿宋"/>
          <w:color w:val="000000"/>
          <w:sz w:val="32"/>
          <w:szCs w:val="32"/>
        </w:rPr>
      </w:pPr>
      <w:bookmarkStart w:id="29" w:name="_Toc15377209"/>
      <w:bookmarkStart w:id="30" w:name="_Toc15396607"/>
    </w:p>
    <w:p>
      <w:pPr>
        <w:spacing w:line="600" w:lineRule="exact"/>
        <w:ind w:firstLineChars="200" w:firstLine="640"/>
        <w:jc w:val="center"/>
        <w:outlineLvl w:val="2"/>
        <w:rPr>
          <w:rFonts w:ascii="仿宋" w:eastAsia="仿宋"/>
          <w:color w:val="000000"/>
          <w:sz w:val="32"/>
          <w:szCs w:val="32"/>
        </w:rPr>
      </w:pPr>
      <w:bookmarkStart w:id="31" w:name="_Toc15377210"/>
      <w:bookmarkEnd w:id="29"/>
      <w:bookmarkEnd w:id="30"/>
      <w:r>
        <w:rPr>
          <w:rFonts w:ascii="仿宋" w:eastAsia="仿宋" w:cs="仿宋" w:hint="eastAsia"/>
          <w:color w:val="000000"/>
          <w:sz w:val="32"/>
          <w:szCs w:val="32"/>
        </w:rPr>
        <w:t>（图</w:t>
      </w:r>
      <w:r>
        <w:rPr>
          <w:rFonts w:ascii="仿宋" w:eastAsia="仿宋" w:cs="仿宋"/>
          <w:color w:val="000000"/>
          <w:sz w:val="32"/>
          <w:szCs w:val="32"/>
        </w:rPr>
        <w:t>4</w:t>
      </w:r>
      <w:r>
        <w:rPr>
          <w:rFonts w:ascii="仿宋" w:eastAsia="仿宋" w:cs="仿宋" w:hint="eastAsia"/>
          <w:color w:val="000000"/>
          <w:sz w:val="32"/>
          <w:szCs w:val="32"/>
        </w:rPr>
        <w:t>：财政拨款收、支决算总计变动情况）</w:t>
      </w:r>
    </w:p>
    <w:p/>
    <w:p>
      <w:pPr>
        <w:spacing w:line="640" w:lineRule="exact"/>
        <w:ind w:firstLineChars="200" w:firstLine="640"/>
        <w:outlineLvl w:val="2"/>
        <w:rPr>
          <w:rStyle w:val="2Char"/>
          <w:rFonts w:ascii="黑体" w:eastAsia="黑体" w:cs="Times New Roman"/>
          <w:b w:val="0"/>
          <w:bCs w:val="0"/>
        </w:rPr>
      </w:pPr>
      <w:r>
        <w:rPr>
          <w:rFonts w:ascii="黑体" w:eastAsia="黑体" w:cs="黑体" w:hint="eastAsia"/>
          <w:color w:val="000000"/>
          <w:sz w:val="32"/>
          <w:szCs w:val="32"/>
        </w:rPr>
        <w:t>五、</w:t>
      </w:r>
      <w:r>
        <w:rPr>
          <w:rFonts w:ascii="黑体" w:eastAsia="黑体" w:cs="黑体" w:hint="eastAsia"/>
          <w:b/>
          <w:bCs/>
          <w:color w:val="000000"/>
          <w:sz w:val="32"/>
          <w:szCs w:val="32"/>
        </w:rPr>
        <w:t>一</w:t>
      </w:r>
      <w:r>
        <w:rPr>
          <w:rStyle w:val="2Char"/>
          <w:rFonts w:ascii="黑体" w:eastAsia="黑体" w:cs="黑体" w:hint="eastAsia"/>
          <w:b w:val="0"/>
          <w:bCs w:val="0"/>
        </w:rPr>
        <w:t>般公共预算财政拨款支出决算情况说明</w:t>
      </w:r>
    </w:p>
    <w:p>
      <w:pPr>
        <w:spacing w:line="640" w:lineRule="exact"/>
        <w:ind w:firstLineChars="200" w:firstLine="640"/>
        <w:outlineLvl w:val="2"/>
        <w:rPr>
          <w:rFonts w:ascii="楷体" w:eastAsia="楷体"/>
          <w:b/>
          <w:bCs/>
          <w:color w:val="000000"/>
          <w:sz w:val="32"/>
          <w:szCs w:val="32"/>
        </w:rPr>
      </w:pPr>
      <w:r>
        <w:rPr>
          <w:rFonts w:ascii="楷体" w:eastAsia="楷体" w:cs="楷体" w:hint="eastAsia"/>
          <w:b/>
          <w:bCs/>
          <w:color w:val="000000"/>
          <w:sz w:val="32"/>
          <w:szCs w:val="32"/>
        </w:rPr>
        <w:t>（一）一般公共预算财政拨款支出决算总体情况</w:t>
      </w:r>
      <w:bookmarkEnd w:id="31"/>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年一般公共预算财政拨款支出</w:t>
      </w:r>
      <w:r>
        <w:rPr>
          <w:rFonts w:ascii="仿宋" w:eastAsia="仿宋" w:cs="仿宋"/>
          <w:color w:val="000000"/>
          <w:sz w:val="32"/>
          <w:szCs w:val="32"/>
        </w:rPr>
        <w:t>222.19</w:t>
      </w:r>
      <w:r>
        <w:rPr>
          <w:rFonts w:ascii="仿宋" w:eastAsia="仿宋" w:cs="仿宋" w:hint="eastAsia"/>
          <w:color w:val="000000"/>
          <w:sz w:val="32"/>
          <w:szCs w:val="32"/>
        </w:rPr>
        <w:t>万元，占本年支出合计的</w:t>
      </w:r>
      <w:r>
        <w:rPr>
          <w:rFonts w:ascii="仿宋" w:eastAsia="仿宋" w:cs="仿宋"/>
          <w:color w:val="000000"/>
          <w:sz w:val="32"/>
          <w:szCs w:val="32"/>
        </w:rPr>
        <w:t>100%</w:t>
      </w:r>
      <w:r>
        <w:rPr>
          <w:rFonts w:ascii="仿宋" w:eastAsia="仿宋" w:cs="仿宋" w:hint="eastAsia"/>
          <w:color w:val="000000"/>
          <w:sz w:val="32"/>
          <w:szCs w:val="32"/>
        </w:rPr>
        <w:t>。与</w:t>
      </w:r>
      <w:r>
        <w:rPr>
          <w:rFonts w:ascii="仿宋" w:eastAsia="仿宋" w:cs="仿宋"/>
          <w:color w:val="000000"/>
          <w:sz w:val="32"/>
          <w:szCs w:val="32"/>
        </w:rPr>
        <w:t>2021</w:t>
      </w:r>
      <w:r>
        <w:rPr>
          <w:rFonts w:ascii="仿宋" w:eastAsia="仿宋" w:cs="仿宋" w:hint="eastAsia"/>
          <w:color w:val="000000"/>
          <w:sz w:val="32"/>
          <w:szCs w:val="32"/>
        </w:rPr>
        <w:t>年相比，一般公共预算财政拨款支出增加</w:t>
      </w:r>
      <w:r>
        <w:rPr>
          <w:rFonts w:ascii="仿宋" w:eastAsia="仿宋" w:cs="仿宋"/>
          <w:color w:val="000000"/>
          <w:sz w:val="32"/>
          <w:szCs w:val="32"/>
        </w:rPr>
        <w:t>46.57</w:t>
      </w:r>
      <w:r>
        <w:rPr>
          <w:rFonts w:ascii="仿宋" w:eastAsia="仿宋" w:cs="仿宋" w:hint="eastAsia"/>
          <w:color w:val="000000"/>
          <w:sz w:val="32"/>
          <w:szCs w:val="32"/>
        </w:rPr>
        <w:t>万元，增长</w:t>
      </w:r>
      <w:r>
        <w:rPr>
          <w:rFonts w:ascii="仿宋" w:eastAsia="仿宋" w:cs="仿宋"/>
          <w:color w:val="000000"/>
          <w:sz w:val="32"/>
          <w:szCs w:val="32"/>
        </w:rPr>
        <w:t>27%</w:t>
      </w:r>
      <w:r>
        <w:rPr>
          <w:rFonts w:ascii="仿宋" w:eastAsia="仿宋" w:cs="仿宋" w:hint="eastAsia"/>
          <w:color w:val="000000"/>
          <w:sz w:val="32"/>
          <w:szCs w:val="32"/>
        </w:rPr>
        <w:t>。主要变动原因是</w:t>
      </w:r>
      <w:r>
        <w:rPr>
          <w:rFonts w:ascii="仿宋" w:eastAsia="仿宋" w:cs="仿宋"/>
          <w:color w:val="000000"/>
          <w:sz w:val="32"/>
          <w:szCs w:val="32"/>
        </w:rPr>
        <w:t>2022</w:t>
      </w:r>
      <w:r>
        <w:rPr>
          <w:rFonts w:ascii="仿宋" w:eastAsia="仿宋" w:cs="仿宋" w:hint="eastAsia"/>
          <w:color w:val="000000"/>
          <w:sz w:val="32"/>
          <w:szCs w:val="32"/>
        </w:rPr>
        <w:t>年人员增加，人员经费拨款增加。</w:t>
      </w:r>
    </w:p>
    <w:p>
      <w:pPr>
        <w:spacing w:line="600" w:lineRule="exact"/>
        <w:ind w:firstLineChars="200" w:firstLine="420"/>
        <w:rPr>
          <w:rFonts w:ascii="仿宋" w:eastAsia="仿宋"/>
          <w:color w:val="000000"/>
          <w:sz w:val="32"/>
          <w:szCs w:val="32"/>
        </w:rPr>
      </w:pPr>
      <w:r>
        <w:object>
          <v:shape id="_x0000_i5" type="#_x0000_t75" filled="f" stroked="f" style="position:absolute;margin-left:33.3pt;margin-top:16.45pt;width:279.35pt;height:109.45pt;z-index:30;mso-position-horizontal:absolute;mso-position-vertical:absolute;mso-wrap-distance-top:5.28pt;mso-wrap-distance-left:12.360001pt;mso-wrap-distance-bottom:23.48pt;mso-wrap-distance-right:16.98pt;" o:ole="">
            <v:stroke color="#000000"/>
            <v:imagedata r:id="rId12" o:title="image5"/>
            <o:lock aspectratio="t"/>
            <w10:wrap type="square"/>
          </v:shape>
          <o:OLEObject Type="Embed" ProgID="Package" ShapeID="_x0000_i5" DrawAspect="Content" ObjectID="_1393063355" r:id="rId13"/>
        </w:object>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rPr>
          <w:rFonts w:ascii="仿宋" w:eastAsia="仿宋"/>
          <w:color w:val="000000"/>
          <w:sz w:val="32"/>
          <w:szCs w:val="32"/>
        </w:rPr>
      </w:pPr>
    </w:p>
    <w:p>
      <w:pPr>
        <w:spacing w:line="600" w:lineRule="exact"/>
        <w:jc w:val="center"/>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5</w:t>
      </w:r>
      <w:r>
        <w:rPr>
          <w:rFonts w:ascii="仿宋" w:eastAsia="仿宋" w:cs="仿宋" w:hint="eastAsia"/>
          <w:color w:val="000000"/>
          <w:sz w:val="32"/>
          <w:szCs w:val="32"/>
        </w:rPr>
        <w:t>：一般公共预算财政拨款支出决算变动情况）</w:t>
      </w:r>
    </w:p>
    <w:p>
      <w:pPr>
        <w:spacing w:line="640" w:lineRule="exact"/>
        <w:ind w:firstLineChars="200" w:firstLine="640"/>
        <w:outlineLvl w:val="2"/>
        <w:rPr>
          <w:rFonts w:ascii="楷体" w:eastAsia="楷体"/>
          <w:b/>
          <w:bCs/>
          <w:color w:val="000000"/>
          <w:sz w:val="32"/>
          <w:szCs w:val="32"/>
        </w:rPr>
      </w:pPr>
      <w:bookmarkStart w:id="32" w:name="_Toc15377211"/>
      <w:r>
        <w:rPr>
          <w:rFonts w:ascii="楷体" w:eastAsia="楷体" w:cs="楷体" w:hint="eastAsia"/>
          <w:b/>
          <w:bCs/>
          <w:color w:val="000000"/>
          <w:sz w:val="32"/>
          <w:szCs w:val="32"/>
        </w:rPr>
        <w:t>（二）一般公共预算财政拨款支出决算结构情况</w:t>
      </w:r>
      <w:bookmarkEnd w:id="32"/>
    </w:p>
    <w:p>
      <w:pPr>
        <w:spacing w:line="640" w:lineRule="exact"/>
        <w:ind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年一般公共预算财政拨款支出</w:t>
      </w:r>
      <w:r>
        <w:rPr>
          <w:rFonts w:ascii="仿宋" w:eastAsia="仿宋" w:cs="仿宋"/>
          <w:sz w:val="32"/>
          <w:szCs w:val="32"/>
        </w:rPr>
        <w:t>222.19</w:t>
      </w:r>
      <w:r>
        <w:rPr>
          <w:rFonts w:ascii="仿宋" w:eastAsia="仿宋" w:cs="仿宋" w:hint="eastAsia"/>
          <w:sz w:val="32"/>
          <w:szCs w:val="32"/>
        </w:rPr>
        <w:t>万元，主要用于以下方面</w:t>
      </w:r>
      <w:r>
        <w:rPr>
          <w:rFonts w:ascii="仿宋" w:eastAsia="仿宋" w:cs="仿宋"/>
          <w:sz w:val="32"/>
          <w:szCs w:val="32"/>
        </w:rPr>
        <w:t>:</w:t>
      </w:r>
      <w:r>
        <w:rPr>
          <w:rFonts w:ascii="仿宋" w:eastAsia="仿宋" w:cs="仿宋" w:hint="eastAsia"/>
          <w:b/>
          <w:bCs/>
          <w:sz w:val="32"/>
          <w:szCs w:val="32"/>
        </w:rPr>
        <w:t>社会保障和就业（类）</w:t>
      </w:r>
      <w:r>
        <w:rPr>
          <w:rFonts w:ascii="仿宋" w:eastAsia="仿宋" w:cs="仿宋" w:hint="eastAsia"/>
          <w:sz w:val="32"/>
          <w:szCs w:val="32"/>
        </w:rPr>
        <w:t>支出</w:t>
      </w:r>
      <w:r>
        <w:rPr>
          <w:rFonts w:ascii="仿宋" w:eastAsia="仿宋" w:cs="仿宋"/>
          <w:sz w:val="32"/>
          <w:szCs w:val="32"/>
        </w:rPr>
        <w:t>23.73</w:t>
      </w:r>
      <w:r>
        <w:rPr>
          <w:rFonts w:ascii="仿宋" w:eastAsia="仿宋" w:cs="仿宋" w:hint="eastAsia"/>
          <w:sz w:val="32"/>
          <w:szCs w:val="32"/>
        </w:rPr>
        <w:t>万元，占</w:t>
      </w:r>
      <w:r>
        <w:rPr>
          <w:rFonts w:ascii="仿宋" w:eastAsia="仿宋" w:cs="仿宋"/>
          <w:sz w:val="32"/>
          <w:szCs w:val="32"/>
        </w:rPr>
        <w:t>11%</w:t>
      </w:r>
      <w:r>
        <w:rPr>
          <w:rFonts w:ascii="仿宋" w:eastAsia="仿宋" w:cs="仿宋" w:hint="eastAsia"/>
          <w:sz w:val="32"/>
          <w:szCs w:val="32"/>
        </w:rPr>
        <w:t>；</w:t>
      </w:r>
      <w:r>
        <w:rPr>
          <w:rFonts w:ascii="仿宋" w:eastAsia="仿宋" w:cs="仿宋" w:hint="eastAsia"/>
          <w:b/>
          <w:bCs/>
          <w:sz w:val="32"/>
          <w:szCs w:val="32"/>
        </w:rPr>
        <w:t>城乡社区</w:t>
      </w:r>
      <w:r>
        <w:rPr>
          <w:rFonts w:ascii="仿宋" w:eastAsia="仿宋" w:cs="仿宋"/>
          <w:b/>
          <w:bCs/>
          <w:sz w:val="32"/>
          <w:szCs w:val="32"/>
        </w:rPr>
        <w:t>(</w:t>
      </w:r>
      <w:r>
        <w:rPr>
          <w:rFonts w:ascii="仿宋" w:eastAsia="仿宋" w:cs="仿宋" w:hint="eastAsia"/>
          <w:b/>
          <w:bCs/>
          <w:sz w:val="32"/>
          <w:szCs w:val="32"/>
        </w:rPr>
        <w:t>类</w:t>
      </w:r>
      <w:r>
        <w:rPr>
          <w:rFonts w:ascii="仿宋" w:eastAsia="仿宋" w:cs="仿宋"/>
          <w:b/>
          <w:bCs/>
          <w:sz w:val="32"/>
          <w:szCs w:val="32"/>
        </w:rPr>
        <w:t>)</w:t>
      </w:r>
      <w:r>
        <w:rPr>
          <w:rFonts w:ascii="仿宋" w:eastAsia="仿宋" w:cs="仿宋" w:hint="eastAsia"/>
          <w:sz w:val="32"/>
          <w:szCs w:val="32"/>
        </w:rPr>
        <w:t>支出</w:t>
      </w:r>
      <w:r>
        <w:rPr>
          <w:rFonts w:ascii="仿宋" w:eastAsia="仿宋" w:cs="仿宋"/>
          <w:sz w:val="32"/>
          <w:szCs w:val="32"/>
        </w:rPr>
        <w:t>181.99</w:t>
      </w:r>
      <w:r>
        <w:rPr>
          <w:rFonts w:ascii="仿宋" w:eastAsia="仿宋" w:cs="仿宋" w:hint="eastAsia"/>
          <w:sz w:val="32"/>
          <w:szCs w:val="32"/>
        </w:rPr>
        <w:t>万元，占</w:t>
      </w:r>
      <w:r>
        <w:rPr>
          <w:rFonts w:ascii="仿宋" w:eastAsia="仿宋" w:cs="仿宋"/>
          <w:sz w:val="32"/>
          <w:szCs w:val="32"/>
        </w:rPr>
        <w:t>82%</w:t>
      </w:r>
      <w:r>
        <w:rPr>
          <w:rFonts w:ascii="仿宋" w:eastAsia="仿宋" w:cs="仿宋" w:hint="eastAsia"/>
          <w:sz w:val="32"/>
          <w:szCs w:val="32"/>
        </w:rPr>
        <w:t>；</w:t>
      </w:r>
      <w:r>
        <w:rPr>
          <w:rFonts w:ascii="仿宋" w:eastAsia="仿宋" w:cs="仿宋" w:hint="eastAsia"/>
          <w:b/>
          <w:bCs/>
          <w:sz w:val="32"/>
          <w:szCs w:val="32"/>
        </w:rPr>
        <w:t>住房保障</w:t>
      </w:r>
      <w:r>
        <w:rPr>
          <w:rFonts w:ascii="仿宋" w:eastAsia="仿宋" w:cs="仿宋"/>
          <w:b/>
          <w:bCs/>
          <w:sz w:val="32"/>
          <w:szCs w:val="32"/>
        </w:rPr>
        <w:t>(</w:t>
      </w:r>
      <w:r>
        <w:rPr>
          <w:rFonts w:ascii="仿宋" w:eastAsia="仿宋" w:cs="仿宋" w:hint="eastAsia"/>
          <w:b/>
          <w:bCs/>
          <w:sz w:val="32"/>
          <w:szCs w:val="32"/>
        </w:rPr>
        <w:t>类</w:t>
      </w:r>
      <w:r>
        <w:rPr>
          <w:rFonts w:ascii="仿宋" w:eastAsia="仿宋" w:cs="仿宋"/>
          <w:b/>
          <w:bCs/>
          <w:sz w:val="32"/>
          <w:szCs w:val="32"/>
        </w:rPr>
        <w:t>)</w:t>
      </w:r>
      <w:r>
        <w:rPr>
          <w:rFonts w:ascii="仿宋" w:eastAsia="仿宋" w:cs="仿宋" w:hint="eastAsia"/>
          <w:sz w:val="32"/>
          <w:szCs w:val="32"/>
        </w:rPr>
        <w:t>支出</w:t>
      </w:r>
      <w:r>
        <w:rPr>
          <w:rFonts w:ascii="仿宋" w:eastAsia="仿宋" w:cs="仿宋"/>
          <w:sz w:val="32"/>
          <w:szCs w:val="32"/>
        </w:rPr>
        <w:t>16.47</w:t>
      </w:r>
      <w:r>
        <w:rPr>
          <w:rFonts w:ascii="仿宋" w:eastAsia="仿宋" w:cs="仿宋" w:hint="eastAsia"/>
          <w:sz w:val="32"/>
          <w:szCs w:val="32"/>
        </w:rPr>
        <w:t>万元，占</w:t>
      </w:r>
      <w:r>
        <w:rPr>
          <w:rFonts w:ascii="仿宋" w:eastAsia="仿宋" w:cs="仿宋"/>
          <w:sz w:val="32"/>
          <w:szCs w:val="32"/>
        </w:rPr>
        <w:t>7%</w:t>
      </w:r>
      <w:r>
        <w:rPr>
          <w:rFonts w:ascii="仿宋" w:eastAsia="仿宋" w:cs="仿宋" w:hint="eastAsia"/>
          <w:sz w:val="32"/>
          <w:szCs w:val="32"/>
        </w:rPr>
        <w:t>。</w:t>
      </w:r>
    </w:p>
    <w:p>
      <w:pPr>
        <w:spacing w:line="640" w:lineRule="exact"/>
        <w:ind w:firstLine="640"/>
        <w:rPr>
          <w:rFonts w:ascii="仿宋" w:eastAsia="仿宋"/>
          <w:sz w:val="32"/>
          <w:szCs w:val="32"/>
        </w:rPr>
      </w:pPr>
      <w:r>
        <w:object>
          <v:shape id="_x0000_i6" type="#_x0000_t75" filled="f" stroked="f" style="position:absolute;margin-left:43.6pt;margin-top:15.499999pt;width:300.5pt;height:133.45pt;z-index:26;mso-position-horizontal:absolute;mso-position-vertical:absolute;mso-wrap-distance-left:8.999863pt;mso-wrap-distance-bottom:0.21pt;mso-wrap-distance-right:8.999863pt;" o:ole="">
            <v:stroke color="#000000"/>
            <v:imagedata r:id="rId14" o:title="image6"/>
            <o:lock aspectratio="t"/>
          </v:shape>
          <o:OLEObject Type="Embed" ProgID="Package" ShapeID="_x0000_i6" DrawAspect="Content" ObjectID="_1393063356" r:id="rId15"/>
        </w:object>
      </w:r>
    </w:p>
    <w:p>
      <w:pPr>
        <w:spacing w:line="640" w:lineRule="exact"/>
        <w:ind w:firstLine="640"/>
        <w:rPr>
          <w:rFonts w:ascii="仿宋" w:eastAsia="仿宋"/>
          <w:sz w:val="32"/>
          <w:szCs w:val="32"/>
        </w:rPr>
      </w:pPr>
    </w:p>
    <w:p>
      <w:pPr>
        <w:spacing w:line="600" w:lineRule="exact"/>
        <w:ind w:firstLine="640"/>
        <w:rPr>
          <w:rFonts w:ascii="仿宋" w:eastAsia="仿宋"/>
          <w:b/>
          <w:bCs/>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6</w:t>
      </w:r>
      <w:r>
        <w:rPr>
          <w:rFonts w:ascii="仿宋" w:eastAsia="仿宋" w:cs="仿宋" w:hint="eastAsia"/>
          <w:color w:val="000000"/>
          <w:sz w:val="32"/>
          <w:szCs w:val="32"/>
        </w:rPr>
        <w:t>：一般公共预算财政拨款支出决算结构）</w:t>
      </w:r>
    </w:p>
    <w:p>
      <w:bookmarkStart w:id="33" w:name="_Toc15377212"/>
    </w:p>
    <w:p>
      <w:pPr>
        <w:spacing w:line="600" w:lineRule="exact"/>
        <w:ind w:firstLineChars="200" w:firstLine="640"/>
        <w:outlineLvl w:val="2"/>
        <w:rPr>
          <w:rFonts w:ascii="楷体" w:eastAsia="楷体"/>
          <w:b/>
          <w:bCs/>
          <w:color w:val="000000"/>
          <w:sz w:val="32"/>
          <w:szCs w:val="32"/>
        </w:rPr>
      </w:pPr>
      <w:r>
        <w:rPr>
          <w:rFonts w:ascii="楷体" w:eastAsia="楷体" w:cs="楷体" w:hint="eastAsia"/>
          <w:b/>
          <w:bCs/>
          <w:color w:val="000000"/>
          <w:sz w:val="32"/>
          <w:szCs w:val="32"/>
        </w:rPr>
        <w:t>（三）一般公共预算财政拨款支出决算具体情况</w:t>
      </w:r>
      <w:bookmarkEnd w:id="33"/>
    </w:p>
    <w:p>
      <w:pPr>
        <w:spacing w:line="640" w:lineRule="exact"/>
        <w:ind w:firstLineChars="200" w:firstLine="640"/>
        <w:outlineLvl w:val="2"/>
        <w:rPr>
          <w:rFonts w:ascii="仿宋" w:eastAsia="仿宋"/>
          <w:color w:val="FF0000"/>
          <w:sz w:val="32"/>
          <w:szCs w:val="32"/>
        </w:rPr>
      </w:pPr>
      <w:bookmarkStart w:id="34" w:name="_Toc15378460"/>
      <w:bookmarkStart w:id="35" w:name="_Toc15377444"/>
      <w:bookmarkStart w:id="36" w:name="_Toc15377213"/>
      <w:r>
        <w:rPr>
          <w:rFonts w:ascii="仿宋" w:eastAsia="仿宋" w:cs="仿宋"/>
          <w:b/>
          <w:bCs/>
          <w:color w:val="000000"/>
          <w:sz w:val="32"/>
          <w:szCs w:val="32"/>
        </w:rPr>
        <w:t>2022</w:t>
      </w:r>
      <w:r>
        <w:rPr>
          <w:rFonts w:ascii="仿宋" w:eastAsia="仿宋" w:cs="仿宋" w:hint="eastAsia"/>
          <w:b/>
          <w:bCs/>
          <w:color w:val="000000"/>
          <w:sz w:val="32"/>
          <w:szCs w:val="32"/>
        </w:rPr>
        <w:t>年一般公共预算支出决算数为</w:t>
      </w:r>
      <w:r>
        <w:rPr>
          <w:rFonts w:ascii="仿宋" w:eastAsia="仿宋" w:cs="仿宋"/>
          <w:b/>
          <w:bCs/>
          <w:color w:val="000000"/>
          <w:sz w:val="32"/>
          <w:szCs w:val="32"/>
        </w:rPr>
        <w:t>222.19</w:t>
      </w:r>
      <w:r>
        <w:rPr>
          <w:rFonts w:ascii="仿宋" w:eastAsia="仿宋" w:cs="仿宋" w:hint="eastAsia"/>
          <w:b/>
          <w:bCs/>
          <w:color w:val="000000"/>
          <w:sz w:val="32"/>
          <w:szCs w:val="32"/>
        </w:rPr>
        <w:t>万元</w:t>
      </w:r>
      <w:r>
        <w:rPr>
          <w:rFonts w:ascii="仿宋" w:eastAsia="仿宋" w:cs="仿宋" w:hint="eastAsia"/>
          <w:color w:val="000000"/>
          <w:sz w:val="32"/>
          <w:szCs w:val="32"/>
        </w:rPr>
        <w:t>，</w:t>
      </w:r>
      <w:r>
        <w:rPr>
          <w:rStyle w:val="22"/>
          <w:rFonts w:ascii="仿宋" w:eastAsia="仿宋" w:cs="仿宋" w:hint="eastAsia"/>
          <w:color w:val="000000"/>
          <w:sz w:val="32"/>
          <w:szCs w:val="32"/>
        </w:rPr>
        <w:t>完成预算</w:t>
      </w:r>
      <w:r>
        <w:rPr>
          <w:rStyle w:val="22"/>
          <w:rFonts w:ascii="仿宋" w:eastAsia="仿宋" w:cs="仿宋"/>
          <w:color w:val="000000"/>
          <w:sz w:val="32"/>
          <w:szCs w:val="32"/>
        </w:rPr>
        <w:t>100%</w:t>
      </w:r>
      <w:r>
        <w:rPr>
          <w:rStyle w:val="22"/>
          <w:rFonts w:ascii="仿宋" w:eastAsia="仿宋" w:cs="仿宋" w:hint="eastAsia"/>
          <w:color w:val="000000"/>
          <w:sz w:val="32"/>
          <w:szCs w:val="32"/>
        </w:rPr>
        <w:t>。其中：</w:t>
      </w:r>
      <w:bookmarkEnd w:id="34"/>
      <w:bookmarkEnd w:id="35"/>
      <w:bookmarkEnd w:id="36"/>
    </w:p>
    <w:p>
      <w:pPr>
        <w:spacing w:line="640" w:lineRule="exact"/>
        <w:ind w:firstLineChars="200" w:firstLine="640"/>
        <w:rPr>
          <w:rFonts w:ascii="仿宋" w:eastAsia="仿宋"/>
          <w:b/>
          <w:bCs/>
          <w:color w:val="000000"/>
          <w:sz w:val="32"/>
          <w:szCs w:val="32"/>
        </w:rPr>
      </w:pPr>
      <w:r>
        <w:rPr>
          <w:rStyle w:val="22"/>
          <w:rFonts w:ascii="仿宋" w:eastAsia="仿宋" w:cs="仿宋"/>
          <w:color w:val="000000"/>
          <w:sz w:val="32"/>
          <w:szCs w:val="32"/>
        </w:rPr>
        <w:t>1.</w:t>
      </w:r>
      <w:r>
        <w:rPr>
          <w:rStyle w:val="22"/>
          <w:rFonts w:ascii="仿宋" w:eastAsia="仿宋" w:cs="仿宋" w:hint="eastAsia"/>
          <w:color w:val="000000"/>
          <w:sz w:val="32"/>
          <w:szCs w:val="32"/>
        </w:rPr>
        <w:t>社会保障和就业（类）行政事业单位养老（款）事业单位离退休（项）</w:t>
      </w:r>
      <w:r>
        <w:rPr>
          <w:rStyle w:val="22"/>
          <w:rFonts w:ascii="仿宋" w:eastAsia="仿宋" w:cs="仿宋"/>
          <w:color w:val="000000"/>
          <w:sz w:val="32"/>
          <w:szCs w:val="32"/>
        </w:rPr>
        <w:t>:</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支出决算为</w:t>
      </w:r>
      <w:r>
        <w:rPr>
          <w:rStyle w:val="22"/>
          <w:rFonts w:ascii="仿宋" w:eastAsia="仿宋" w:cs="仿宋"/>
          <w:b w:val="0"/>
          <w:bCs w:val="0"/>
          <w:color w:val="000000"/>
          <w:sz w:val="32"/>
          <w:szCs w:val="32"/>
        </w:rPr>
        <w:t>9.38</w:t>
      </w:r>
      <w:r>
        <w:rPr>
          <w:rStyle w:val="22"/>
          <w:rFonts w:ascii="仿宋" w:eastAsia="仿宋" w:cs="仿宋" w:hint="eastAsia"/>
          <w:b w:val="0"/>
          <w:bCs w:val="0"/>
          <w:color w:val="000000"/>
          <w:sz w:val="32"/>
          <w:szCs w:val="32"/>
        </w:rPr>
        <w:t>万元，完成预算</w:t>
      </w:r>
      <w:r>
        <w:rPr>
          <w:rStyle w:val="22"/>
          <w:rFonts w:ascii="仿宋" w:eastAsia="仿宋" w:cs="仿宋"/>
          <w:b w:val="0"/>
          <w:bCs w:val="0"/>
          <w:color w:val="000000"/>
          <w:sz w:val="32"/>
          <w:szCs w:val="32"/>
        </w:rPr>
        <w:t>100%</w:t>
      </w:r>
      <w:r>
        <w:rPr>
          <w:rStyle w:val="22"/>
          <w:rFonts w:ascii="仿宋" w:eastAsia="仿宋" w:cs="仿宋" w:hint="eastAsia"/>
          <w:b w:val="0"/>
          <w:bCs w:val="0"/>
          <w:color w:val="000000"/>
          <w:sz w:val="32"/>
          <w:szCs w:val="32"/>
        </w:rPr>
        <w:t>。决算数等于预算数。</w:t>
      </w:r>
    </w:p>
    <w:p>
      <w:pPr>
        <w:spacing w:line="640" w:lineRule="exact"/>
        <w:ind w:firstLineChars="200" w:firstLine="640"/>
        <w:rPr>
          <w:rStyle w:val="22"/>
          <w:rFonts w:ascii="仿宋" w:eastAsia="仿宋"/>
          <w:b w:val="0"/>
          <w:bCs w:val="0"/>
          <w:color w:val="000000"/>
          <w:sz w:val="32"/>
          <w:szCs w:val="32"/>
        </w:rPr>
      </w:pPr>
      <w:r>
        <w:rPr>
          <w:rStyle w:val="22"/>
          <w:rFonts w:ascii="仿宋" w:eastAsia="仿宋" w:cs="仿宋"/>
          <w:color w:val="000000"/>
          <w:sz w:val="32"/>
          <w:szCs w:val="32"/>
        </w:rPr>
        <w:t>2.</w:t>
      </w:r>
      <w:r>
        <w:rPr>
          <w:rStyle w:val="22"/>
          <w:rFonts w:ascii="仿宋" w:eastAsia="仿宋" w:cs="仿宋" w:hint="eastAsia"/>
          <w:color w:val="000000"/>
          <w:sz w:val="32"/>
          <w:szCs w:val="32"/>
        </w:rPr>
        <w:t>社会保障和就业（类）行政事业单位养老（款）机关事业单位基本养老保险缴费（项）</w:t>
      </w:r>
      <w:r>
        <w:rPr>
          <w:rStyle w:val="22"/>
          <w:rFonts w:ascii="仿宋" w:eastAsia="仿宋" w:cs="仿宋"/>
          <w:color w:val="000000"/>
          <w:sz w:val="32"/>
          <w:szCs w:val="32"/>
        </w:rPr>
        <w:t>:</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支出决算为</w:t>
      </w:r>
      <w:r>
        <w:rPr>
          <w:rStyle w:val="22"/>
          <w:rFonts w:ascii="仿宋" w:eastAsia="仿宋" w:cs="仿宋"/>
          <w:b w:val="0"/>
          <w:bCs w:val="0"/>
          <w:color w:val="000000"/>
          <w:sz w:val="32"/>
          <w:szCs w:val="32"/>
        </w:rPr>
        <w:t>14.35</w:t>
      </w:r>
      <w:r>
        <w:rPr>
          <w:rStyle w:val="22"/>
          <w:rFonts w:ascii="仿宋" w:eastAsia="仿宋" w:cs="仿宋" w:hint="eastAsia"/>
          <w:b w:val="0"/>
          <w:bCs w:val="0"/>
          <w:color w:val="000000"/>
          <w:sz w:val="32"/>
          <w:szCs w:val="32"/>
        </w:rPr>
        <w:t>万元，完成预算</w:t>
      </w:r>
      <w:r>
        <w:rPr>
          <w:rStyle w:val="22"/>
          <w:rFonts w:ascii="仿宋" w:eastAsia="仿宋" w:cs="仿宋"/>
          <w:b w:val="0"/>
          <w:bCs w:val="0"/>
          <w:color w:val="000000"/>
          <w:sz w:val="32"/>
          <w:szCs w:val="32"/>
        </w:rPr>
        <w:t>100%</w:t>
      </w:r>
      <w:r>
        <w:rPr>
          <w:rStyle w:val="22"/>
          <w:rFonts w:ascii="仿宋" w:eastAsia="仿宋" w:cs="仿宋" w:hint="eastAsia"/>
          <w:b w:val="0"/>
          <w:bCs w:val="0"/>
          <w:color w:val="000000"/>
          <w:sz w:val="32"/>
          <w:szCs w:val="32"/>
        </w:rPr>
        <w:t>。决算数等于预算数。</w:t>
      </w:r>
    </w:p>
    <w:p>
      <w:pPr>
        <w:spacing w:line="640" w:lineRule="exact"/>
        <w:ind w:firstLineChars="200" w:firstLine="640"/>
        <w:rPr>
          <w:rFonts w:ascii="仿宋" w:eastAsia="仿宋"/>
          <w:b/>
          <w:bCs/>
          <w:color w:val="000000"/>
          <w:sz w:val="32"/>
          <w:szCs w:val="32"/>
        </w:rPr>
      </w:pPr>
      <w:r>
        <w:rPr>
          <w:rStyle w:val="22"/>
          <w:rFonts w:ascii="仿宋" w:eastAsia="仿宋" w:cs="仿宋"/>
          <w:color w:val="000000"/>
          <w:sz w:val="32"/>
          <w:szCs w:val="32"/>
        </w:rPr>
        <w:t>3.</w:t>
      </w:r>
      <w:r>
        <w:rPr>
          <w:rStyle w:val="22"/>
          <w:rFonts w:ascii="仿宋" w:eastAsia="仿宋" w:cs="仿宋" w:hint="eastAsia"/>
          <w:color w:val="000000"/>
          <w:sz w:val="32"/>
          <w:szCs w:val="32"/>
        </w:rPr>
        <w:t>城乡社区（类）城乡社区管理事务（款）其他城乡社区管理事务（项）</w:t>
      </w:r>
      <w:r>
        <w:rPr>
          <w:rStyle w:val="22"/>
          <w:rFonts w:ascii="仿宋" w:eastAsia="仿宋" w:cs="仿宋"/>
          <w:color w:val="000000"/>
          <w:sz w:val="32"/>
          <w:szCs w:val="32"/>
        </w:rPr>
        <w:t>:</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支出决算为</w:t>
      </w:r>
      <w:r>
        <w:rPr>
          <w:rStyle w:val="22"/>
          <w:rFonts w:ascii="仿宋" w:eastAsia="仿宋" w:cs="仿宋"/>
          <w:b w:val="0"/>
          <w:bCs w:val="0"/>
          <w:color w:val="000000"/>
          <w:sz w:val="32"/>
          <w:szCs w:val="32"/>
        </w:rPr>
        <w:t>181.99</w:t>
      </w:r>
      <w:r>
        <w:rPr>
          <w:rStyle w:val="22"/>
          <w:rFonts w:ascii="仿宋" w:eastAsia="仿宋" w:cs="仿宋" w:hint="eastAsia"/>
          <w:b w:val="0"/>
          <w:bCs w:val="0"/>
          <w:color w:val="000000"/>
          <w:sz w:val="32"/>
          <w:szCs w:val="32"/>
        </w:rPr>
        <w:t>万元，完成预算</w:t>
      </w:r>
      <w:r>
        <w:rPr>
          <w:rStyle w:val="22"/>
          <w:rFonts w:ascii="仿宋" w:eastAsia="仿宋" w:cs="仿宋"/>
          <w:b w:val="0"/>
          <w:bCs w:val="0"/>
          <w:color w:val="000000"/>
          <w:sz w:val="32"/>
          <w:szCs w:val="32"/>
        </w:rPr>
        <w:t>100%</w:t>
      </w:r>
      <w:r>
        <w:rPr>
          <w:rStyle w:val="22"/>
          <w:rFonts w:ascii="仿宋" w:eastAsia="仿宋" w:cs="仿宋" w:hint="eastAsia"/>
          <w:b w:val="0"/>
          <w:bCs w:val="0"/>
          <w:color w:val="000000"/>
          <w:sz w:val="32"/>
          <w:szCs w:val="32"/>
        </w:rPr>
        <w:t>。决算数等于预算数。</w:t>
      </w:r>
    </w:p>
    <w:p>
      <w:pPr>
        <w:spacing w:line="640" w:lineRule="exact"/>
        <w:ind w:firstLineChars="200" w:firstLine="640"/>
        <w:rPr>
          <w:rFonts w:ascii="仿宋" w:eastAsia="仿宋"/>
          <w:color w:val="000000"/>
          <w:sz w:val="32"/>
          <w:szCs w:val="32"/>
        </w:rPr>
      </w:pPr>
      <w:r>
        <w:rPr>
          <w:rStyle w:val="22"/>
          <w:rFonts w:ascii="仿宋" w:eastAsia="仿宋" w:cs="仿宋"/>
          <w:color w:val="000000"/>
          <w:sz w:val="32"/>
          <w:szCs w:val="32"/>
        </w:rPr>
        <w:t>4.</w:t>
      </w:r>
      <w:r>
        <w:rPr>
          <w:rFonts w:ascii="仿宋" w:eastAsia="仿宋" w:cs="仿宋" w:hint="eastAsia"/>
          <w:b/>
          <w:bCs/>
          <w:color w:val="000000"/>
          <w:sz w:val="32"/>
          <w:szCs w:val="32"/>
        </w:rPr>
        <w:t>住房保障</w:t>
      </w:r>
      <w:r>
        <w:rPr>
          <w:rStyle w:val="22"/>
          <w:rFonts w:ascii="仿宋" w:eastAsia="仿宋" w:cs="仿宋" w:hint="eastAsia"/>
          <w:color w:val="000000"/>
          <w:sz w:val="32"/>
          <w:szCs w:val="32"/>
        </w:rPr>
        <w:t>（类）住房改革（款）住房公积金（项）</w:t>
      </w:r>
      <w:r>
        <w:rPr>
          <w:rStyle w:val="22"/>
          <w:rFonts w:ascii="仿宋" w:eastAsia="仿宋" w:cs="仿宋"/>
          <w:color w:val="000000"/>
          <w:sz w:val="32"/>
          <w:szCs w:val="32"/>
        </w:rPr>
        <w:t>:</w:t>
      </w:r>
      <w:r>
        <w:rPr>
          <w:rStyle w:val="22"/>
          <w:rFonts w:ascii="仿宋" w:eastAsia="仿宋" w:cs="仿宋" w:hint="eastAsia"/>
          <w:b w:val="0"/>
          <w:bCs w:val="0"/>
          <w:color w:val="000000"/>
          <w:sz w:val="32"/>
          <w:szCs w:val="32"/>
        </w:rPr>
        <w:t>支出决算为</w:t>
      </w:r>
      <w:r>
        <w:rPr>
          <w:rStyle w:val="22"/>
          <w:rFonts w:ascii="仿宋" w:eastAsia="仿宋" w:cs="仿宋"/>
          <w:b w:val="0"/>
          <w:bCs w:val="0"/>
          <w:color w:val="000000"/>
          <w:sz w:val="32"/>
          <w:szCs w:val="32"/>
        </w:rPr>
        <w:t>16.47</w:t>
      </w:r>
      <w:r>
        <w:rPr>
          <w:rStyle w:val="22"/>
          <w:rFonts w:ascii="仿宋" w:eastAsia="仿宋" w:cs="仿宋" w:hint="eastAsia"/>
          <w:b w:val="0"/>
          <w:bCs w:val="0"/>
          <w:color w:val="000000"/>
          <w:sz w:val="32"/>
          <w:szCs w:val="32"/>
        </w:rPr>
        <w:t>万元，完成预算</w:t>
      </w:r>
      <w:r>
        <w:rPr>
          <w:rStyle w:val="22"/>
          <w:rFonts w:ascii="仿宋" w:eastAsia="仿宋" w:cs="仿宋"/>
          <w:b w:val="0"/>
          <w:bCs w:val="0"/>
          <w:color w:val="000000"/>
          <w:sz w:val="32"/>
          <w:szCs w:val="32"/>
        </w:rPr>
        <w:t>100%</w:t>
      </w:r>
      <w:r>
        <w:rPr>
          <w:rStyle w:val="22"/>
          <w:rFonts w:ascii="仿宋" w:eastAsia="仿宋" w:cs="仿宋" w:hint="eastAsia"/>
          <w:b w:val="0"/>
          <w:bCs w:val="0"/>
          <w:color w:val="000000"/>
          <w:sz w:val="32"/>
          <w:szCs w:val="32"/>
        </w:rPr>
        <w:t>。决算数等于预算数。</w:t>
      </w:r>
    </w:p>
    <w:p>
      <w:bookmarkStart w:id="37" w:name="_Toc15377214"/>
      <w:bookmarkStart w:id="38" w:name="_Toc15396608"/>
    </w:p>
    <w:p>
      <w:pPr>
        <w:tabs>
          <w:tab w:val="right" w:pos="8306"/>
        </w:tabs>
        <w:spacing w:line="600" w:lineRule="exact"/>
        <w:ind w:firstLine="640"/>
        <w:outlineLvl w:val="1"/>
        <w:rPr>
          <w:rStyle w:val="2Char"/>
        </w:rPr>
      </w:pPr>
      <w:r>
        <w:rPr>
          <w:rFonts w:ascii="黑体" w:eastAsia="黑体" w:cs="黑体" w:hint="eastAsia"/>
          <w:color w:val="000000"/>
          <w:sz w:val="32"/>
          <w:szCs w:val="32"/>
        </w:rPr>
        <w:t>六</w:t>
      </w:r>
      <w:r>
        <w:rPr>
          <w:rFonts w:ascii="黑体" w:eastAsia="黑体" w:cs="黑体" w:hint="eastAsia"/>
          <w:b/>
          <w:bCs/>
          <w:color w:val="000000"/>
          <w:sz w:val="32"/>
          <w:szCs w:val="32"/>
        </w:rPr>
        <w:t>、一</w:t>
      </w:r>
      <w:r>
        <w:rPr>
          <w:rStyle w:val="2Char"/>
          <w:rFonts w:ascii="黑体" w:eastAsia="黑体" w:cs="黑体" w:hint="eastAsia"/>
          <w:b w:val="0"/>
          <w:bCs w:val="0"/>
        </w:rPr>
        <w:t>般公共预算财政拨款基本支出决算情况说明</w:t>
      </w:r>
      <w:bookmarkEnd w:id="37"/>
      <w:bookmarkEnd w:id="38"/>
      <w:r>
        <w:rPr>
          <w:rStyle w:val="2Char"/>
          <w:rFonts w:ascii="黑体" w:eastAsia="黑体" w:cs="Times New Roman"/>
          <w:b w:val="0"/>
          <w:bCs w:val="0"/>
        </w:rPr>
        <w:tab/>
      </w:r>
    </w:p>
    <w:p>
      <w:pPr>
        <w:spacing w:line="640" w:lineRule="exact"/>
        <w:ind w:firstLine="646"/>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年一般公共预算财政拨款基本支出</w:t>
      </w:r>
      <w:r>
        <w:rPr>
          <w:rFonts w:ascii="仿宋" w:eastAsia="仿宋" w:cs="仿宋"/>
          <w:color w:val="000000"/>
          <w:sz w:val="32"/>
          <w:szCs w:val="32"/>
        </w:rPr>
        <w:t>215.03</w:t>
      </w:r>
      <w:r>
        <w:rPr>
          <w:rFonts w:ascii="仿宋" w:eastAsia="仿宋" w:cs="仿宋" w:hint="eastAsia"/>
          <w:color w:val="000000"/>
          <w:sz w:val="32"/>
          <w:szCs w:val="32"/>
        </w:rPr>
        <w:t>万元，其中：</w:t>
      </w:r>
    </w:p>
    <w:p>
      <w:pPr>
        <w:spacing w:line="640" w:lineRule="exact"/>
        <w:ind w:firstLine="646"/>
        <w:rPr>
          <w:rFonts w:ascii="仿宋" w:eastAsia="仿宋"/>
          <w:color w:val="000000"/>
          <w:sz w:val="32"/>
          <w:szCs w:val="32"/>
        </w:rPr>
      </w:pPr>
      <w:r>
        <w:rPr>
          <w:rFonts w:ascii="仿宋" w:eastAsia="仿宋" w:cs="仿宋" w:hint="eastAsia"/>
          <w:color w:val="000000"/>
          <w:sz w:val="32"/>
          <w:szCs w:val="32"/>
        </w:rPr>
        <w:t>人员经费</w:t>
      </w:r>
      <w:r>
        <w:rPr>
          <w:rFonts w:ascii="仿宋" w:eastAsia="仿宋" w:cs="仿宋"/>
          <w:color w:val="000000"/>
          <w:sz w:val="32"/>
          <w:szCs w:val="32"/>
        </w:rPr>
        <w:t>203.41</w:t>
      </w:r>
      <w:r>
        <w:rPr>
          <w:rFonts w:ascii="仿宋" w:eastAsia="仿宋" w:cs="仿宋" w:hint="eastAsia"/>
          <w:color w:val="000000"/>
          <w:sz w:val="32"/>
          <w:szCs w:val="32"/>
        </w:rPr>
        <w:t>万元，主要包括：基本工资、津贴补贴、绩效工资、机关事业单位基本养老保险缴费、职工基本医疗保险缴费、公务员医疗补助缴费、其他社会保障缴费、住房公积金、其他工资福利支出、生活补助、医疗费补助等。</w:t>
      </w:r>
    </w:p>
    <w:p>
      <w:pPr>
        <w:spacing w:line="640" w:lineRule="exact"/>
        <w:ind w:firstLine="646"/>
        <w:rPr>
          <w:rFonts w:ascii="仿宋" w:eastAsia="仿宋"/>
          <w:color w:val="000000"/>
          <w:sz w:val="32"/>
          <w:szCs w:val="32"/>
        </w:rPr>
      </w:pPr>
      <w:r>
        <w:rPr>
          <w:rFonts w:ascii="仿宋" w:eastAsia="仿宋" w:cs="仿宋" w:hint="eastAsia"/>
          <w:color w:val="000000"/>
          <w:sz w:val="32"/>
          <w:szCs w:val="32"/>
        </w:rPr>
        <w:t>日常公用经费</w:t>
      </w:r>
      <w:r>
        <w:rPr>
          <w:rFonts w:ascii="仿宋" w:eastAsia="仿宋" w:cs="仿宋"/>
          <w:color w:val="000000"/>
          <w:sz w:val="32"/>
          <w:szCs w:val="32"/>
        </w:rPr>
        <w:t>11.62</w:t>
      </w:r>
      <w:r>
        <w:rPr>
          <w:rFonts w:ascii="仿宋" w:eastAsia="仿宋" w:cs="仿宋" w:hint="eastAsia"/>
          <w:color w:val="000000"/>
          <w:sz w:val="32"/>
          <w:szCs w:val="32"/>
        </w:rPr>
        <w:t>万元，主要包括：办公费、水费、电费、物业管理费、差旅费、维修（护）费、培训费、劳务费、工会经费、福利费、公务用车运行维护费、其他商品和服务支出等。</w:t>
      </w:r>
    </w:p>
    <w:p>
      <w:pPr>
        <w:spacing w:line="600" w:lineRule="exact"/>
        <w:ind w:firstLine="640"/>
        <w:rPr>
          <w:rFonts w:ascii="仿宋" w:eastAsia="仿宋"/>
          <w:b/>
          <w:bCs/>
          <w:color w:val="FF0000"/>
          <w:sz w:val="32"/>
          <w:szCs w:val="32"/>
        </w:rPr>
      </w:pPr>
    </w:p>
    <w:p>
      <w:pPr>
        <w:spacing w:line="640" w:lineRule="exact"/>
        <w:ind w:firstLine="641"/>
        <w:outlineLvl w:val="1"/>
        <w:rPr>
          <w:rStyle w:val="2Char"/>
          <w:rFonts w:ascii="黑体" w:eastAsia="黑体" w:cs="Times New Roman"/>
          <w:b w:val="0"/>
          <w:bCs w:val="0"/>
        </w:rPr>
      </w:pPr>
      <w:bookmarkStart w:id="39" w:name="_Toc15396609"/>
      <w:bookmarkStart w:id="40" w:name="_Toc15377215"/>
      <w:r>
        <w:rPr>
          <w:rFonts w:ascii="黑体" w:eastAsia="黑体" w:cs="黑体" w:hint="eastAsia"/>
          <w:color w:val="000000"/>
          <w:sz w:val="32"/>
          <w:szCs w:val="32"/>
        </w:rPr>
        <w:t>七、财政拨款</w:t>
      </w:r>
      <w:r>
        <w:rPr>
          <w:rStyle w:val="2Char"/>
          <w:rFonts w:ascii="黑体" w:eastAsia="黑体" w:cs="黑体" w:hint="eastAsia"/>
        </w:rPr>
        <w:t>“</w:t>
      </w:r>
      <w:r>
        <w:rPr>
          <w:rStyle w:val="2Char"/>
          <w:rFonts w:ascii="黑体" w:eastAsia="黑体" w:cs="黑体" w:hint="eastAsia"/>
          <w:b w:val="0"/>
          <w:bCs w:val="0"/>
        </w:rPr>
        <w:t>三公”经费支出决算情况说明</w:t>
      </w:r>
      <w:bookmarkEnd w:id="39"/>
      <w:bookmarkEnd w:id="40"/>
    </w:p>
    <w:p>
      <w:pPr>
        <w:spacing w:line="640" w:lineRule="exact"/>
        <w:ind w:firstLine="641"/>
        <w:outlineLvl w:val="2"/>
        <w:rPr>
          <w:rFonts w:ascii="楷体" w:eastAsia="楷体"/>
          <w:b/>
          <w:bCs/>
          <w:color w:val="000000"/>
          <w:sz w:val="32"/>
          <w:szCs w:val="32"/>
        </w:rPr>
      </w:pPr>
      <w:bookmarkStart w:id="41" w:name="_Toc15377216"/>
      <w:r>
        <w:rPr>
          <w:rFonts w:ascii="楷体" w:eastAsia="楷体" w:cs="楷体" w:hint="eastAsia"/>
          <w:b/>
          <w:bCs/>
          <w:color w:val="000000"/>
          <w:sz w:val="32"/>
          <w:szCs w:val="32"/>
        </w:rPr>
        <w:t>（一）“三公”经费财政拨款支出决算总体情况说明</w:t>
      </w:r>
      <w:bookmarkEnd w:id="41"/>
    </w:p>
    <w:p>
      <w:pPr>
        <w:spacing w:line="640" w:lineRule="exact"/>
        <w:ind w:firstLine="641"/>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年“三公”经费财政拨款支出决算为</w:t>
      </w:r>
      <w:r>
        <w:rPr>
          <w:rFonts w:ascii="仿宋" w:eastAsia="仿宋" w:cs="仿宋"/>
          <w:color w:val="000000"/>
          <w:sz w:val="32"/>
          <w:szCs w:val="32"/>
        </w:rPr>
        <w:t>4.04</w:t>
      </w:r>
      <w:r>
        <w:rPr>
          <w:rFonts w:ascii="仿宋" w:eastAsia="仿宋" w:cs="仿宋" w:hint="eastAsia"/>
          <w:color w:val="000000"/>
          <w:sz w:val="32"/>
          <w:szCs w:val="32"/>
        </w:rPr>
        <w:t>万元，完成预算</w:t>
      </w:r>
      <w:r>
        <w:rPr>
          <w:rFonts w:ascii="仿宋" w:eastAsia="仿宋" w:cs="仿宋"/>
          <w:color w:val="000000"/>
          <w:sz w:val="32"/>
          <w:szCs w:val="32"/>
        </w:rPr>
        <w:t>100%</w:t>
      </w:r>
      <w:r>
        <w:rPr>
          <w:rFonts w:ascii="仿宋" w:eastAsia="仿宋" w:cs="仿宋" w:hint="eastAsia"/>
          <w:color w:val="000000"/>
          <w:sz w:val="32"/>
          <w:szCs w:val="32"/>
        </w:rPr>
        <w:t>，较上年减少</w:t>
      </w:r>
      <w:r>
        <w:rPr>
          <w:rFonts w:ascii="仿宋" w:eastAsia="仿宋" w:cs="仿宋"/>
          <w:color w:val="000000"/>
          <w:sz w:val="32"/>
          <w:szCs w:val="32"/>
        </w:rPr>
        <w:t>0.01</w:t>
      </w:r>
      <w:r>
        <w:rPr>
          <w:rFonts w:ascii="仿宋" w:eastAsia="仿宋" w:cs="仿宋" w:hint="eastAsia"/>
          <w:color w:val="000000"/>
          <w:sz w:val="32"/>
          <w:szCs w:val="32"/>
        </w:rPr>
        <w:t>万元，决算数与预算数持平。</w:t>
      </w:r>
    </w:p>
    <w:p>
      <w:pPr>
        <w:spacing w:line="640" w:lineRule="exact"/>
        <w:ind w:firstLine="641"/>
        <w:outlineLvl w:val="2"/>
        <w:rPr>
          <w:rFonts w:ascii="楷体" w:eastAsia="楷体"/>
          <w:b/>
          <w:bCs/>
          <w:color w:val="000000"/>
          <w:sz w:val="32"/>
          <w:szCs w:val="32"/>
        </w:rPr>
      </w:pPr>
      <w:bookmarkStart w:id="42" w:name="_Toc15377217"/>
      <w:r>
        <w:rPr>
          <w:rFonts w:ascii="楷体" w:eastAsia="楷体" w:cs="楷体" w:hint="eastAsia"/>
          <w:b/>
          <w:bCs/>
          <w:color w:val="000000"/>
          <w:sz w:val="32"/>
          <w:szCs w:val="32"/>
        </w:rPr>
        <w:t>（二）“三公”经费财政拨款支出决算具体情况说明</w:t>
      </w:r>
      <w:bookmarkEnd w:id="42"/>
    </w:p>
    <w:p>
      <w:pPr>
        <w:spacing w:line="640" w:lineRule="exact"/>
        <w:ind w:firstLine="641"/>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年“三公”经费财政拨款支出决算中，因公出国（境）费支出决算</w:t>
      </w:r>
      <w:r>
        <w:rPr>
          <w:rFonts w:ascii="仿宋" w:eastAsia="仿宋" w:cs="仿宋"/>
          <w:color w:val="000000"/>
          <w:sz w:val="32"/>
          <w:szCs w:val="32"/>
        </w:rPr>
        <w:t>0</w:t>
      </w:r>
      <w:r>
        <w:rPr>
          <w:rFonts w:ascii="仿宋" w:eastAsia="仿宋" w:cs="仿宋" w:hint="eastAsia"/>
          <w:color w:val="000000"/>
          <w:sz w:val="32"/>
          <w:szCs w:val="32"/>
        </w:rPr>
        <w:t>万元，占</w:t>
      </w:r>
      <w:r>
        <w:rPr>
          <w:rFonts w:ascii="仿宋" w:eastAsia="仿宋" w:cs="仿宋"/>
          <w:color w:val="000000"/>
          <w:sz w:val="32"/>
          <w:szCs w:val="32"/>
        </w:rPr>
        <w:t>0%</w:t>
      </w:r>
      <w:r>
        <w:rPr>
          <w:rFonts w:ascii="仿宋" w:eastAsia="仿宋" w:cs="仿宋" w:hint="eastAsia"/>
          <w:color w:val="000000"/>
          <w:sz w:val="32"/>
          <w:szCs w:val="32"/>
        </w:rPr>
        <w:t>；公务用车购置及运行维护费支出决算</w:t>
      </w:r>
      <w:r>
        <w:rPr>
          <w:rFonts w:ascii="仿宋" w:eastAsia="仿宋" w:cs="仿宋"/>
          <w:color w:val="000000"/>
          <w:sz w:val="32"/>
          <w:szCs w:val="32"/>
        </w:rPr>
        <w:t>4.04</w:t>
      </w:r>
      <w:r>
        <w:rPr>
          <w:rFonts w:ascii="仿宋" w:eastAsia="仿宋" w:cs="仿宋" w:hint="eastAsia"/>
          <w:color w:val="000000"/>
          <w:sz w:val="32"/>
          <w:szCs w:val="32"/>
        </w:rPr>
        <w:t>万元，占</w:t>
      </w:r>
      <w:r>
        <w:rPr>
          <w:rFonts w:ascii="仿宋" w:eastAsia="仿宋" w:cs="仿宋"/>
          <w:color w:val="000000"/>
          <w:sz w:val="32"/>
          <w:szCs w:val="32"/>
        </w:rPr>
        <w:t>100%</w:t>
      </w:r>
      <w:r>
        <w:rPr>
          <w:rFonts w:ascii="仿宋" w:eastAsia="仿宋" w:cs="仿宋" w:hint="eastAsia"/>
          <w:color w:val="000000"/>
          <w:sz w:val="32"/>
          <w:szCs w:val="32"/>
        </w:rPr>
        <w:t>；公务接待费支出决算</w:t>
      </w:r>
      <w:r>
        <w:rPr>
          <w:rFonts w:ascii="仿宋" w:eastAsia="仿宋" w:cs="仿宋"/>
          <w:color w:val="000000"/>
          <w:sz w:val="32"/>
          <w:szCs w:val="32"/>
        </w:rPr>
        <w:t>0</w:t>
      </w:r>
      <w:r>
        <w:rPr>
          <w:rFonts w:ascii="仿宋" w:eastAsia="仿宋" w:cs="仿宋" w:hint="eastAsia"/>
          <w:color w:val="000000"/>
          <w:sz w:val="32"/>
          <w:szCs w:val="32"/>
        </w:rPr>
        <w:t>万元，占</w:t>
      </w:r>
      <w:r>
        <w:rPr>
          <w:rFonts w:ascii="仿宋" w:eastAsia="仿宋" w:cs="仿宋"/>
          <w:color w:val="000000"/>
          <w:sz w:val="32"/>
          <w:szCs w:val="32"/>
        </w:rPr>
        <w:t>0%</w:t>
      </w:r>
      <w:r>
        <w:rPr>
          <w:rFonts w:ascii="仿宋" w:eastAsia="仿宋" w:cs="仿宋" w:hint="eastAsia"/>
          <w:color w:val="000000"/>
          <w:sz w:val="32"/>
          <w:szCs w:val="32"/>
        </w:rPr>
        <w:t>。具体情况如下：</w:t>
      </w:r>
    </w:p>
    <w:p>
      <w:pPr>
        <w:spacing w:line="600" w:lineRule="exact"/>
        <w:ind w:firstLine="640"/>
        <w:rPr>
          <w:rFonts w:ascii="仿宋" w:eastAsia="仿宋"/>
          <w:color w:val="000000"/>
          <w:sz w:val="32"/>
          <w:szCs w:val="32"/>
        </w:rPr>
      </w:pPr>
      <w:r>
        <w:object>
          <v:shape id="_x0000_i7" type="#_x0000_t75" filled="f" stroked="f" style="position:absolute;margin-left:191.9pt;margin-top:49.399998pt;width:165.60002pt;height:60.000008pt;z-index:-10;mso-position-horizontal:absolute;mso-position-vertical:absolute;mso-wrap-distance-top:37.92pt;mso-wrap-distance-left:203.88pt;mso-wrap-distance-bottom:53.63pt;mso-wrap-distance-right:39.77pt;" o:ole="">
            <v:stroke color="#000000"/>
            <v:imagedata r:id="rId16" o:title="image7"/>
            <o:lock aspectratio="t"/>
          </v:shape>
          <o:OLEObject Type="Embed" ProgID="Package" ShapeID="_x0000_i7" DrawAspect="Content" ObjectID="_1393063357" r:id="rId17"/>
        </w:object>
      </w:r>
    </w:p>
    <w:p>
      <w:pPr>
        <w:spacing w:line="600" w:lineRule="exact"/>
        <w:ind w:firstLine="640"/>
        <w:rPr>
          <w:rFonts w:ascii="仿宋" w:eastAsia="仿宋"/>
          <w:color w:val="000000"/>
          <w:sz w:val="32"/>
          <w:szCs w:val="32"/>
        </w:rPr>
      </w:pPr>
    </w:p>
    <w:p>
      <w:pPr>
        <w:tabs>
          <w:tab w:val="left" w:pos="3090"/>
        </w:tabs>
        <w:spacing w:line="600" w:lineRule="exact"/>
        <w:ind w:firstLine="640"/>
        <w:rPr>
          <w:rFonts w:ascii="仿宋" w:eastAsia="仿宋"/>
          <w:color w:val="000000"/>
          <w:sz w:val="32"/>
          <w:szCs w:val="32"/>
        </w:rPr>
      </w:pPr>
      <w:r>
        <w:rPr>
          <w:rFonts w:ascii="仿宋" w:eastAsia="仿宋"/>
          <w:color w:val="000000"/>
          <w:sz w:val="32"/>
          <w:szCs w:val="32"/>
        </w:rPr>
        <w:tab/>
      </w:r>
    </w:p>
    <w:p>
      <w:pPr>
        <w:tabs>
          <w:tab w:val="left" w:pos="3090"/>
          <w:tab w:val="left" w:pos="5775"/>
        </w:tabs>
        <w:spacing w:line="600" w:lineRule="exact"/>
        <w:ind w:firstLine="640"/>
        <w:rPr>
          <w:rFonts w:ascii="仿宋" w:eastAsia="仿宋"/>
          <w:color w:val="000000"/>
          <w:sz w:val="32"/>
          <w:szCs w:val="32"/>
        </w:rPr>
      </w:pPr>
      <w:r>
        <w:rPr>
          <w:rFonts w:ascii="仿宋" w:eastAsia="仿宋"/>
          <w:color w:val="000000"/>
          <w:sz w:val="32"/>
          <w:szCs w:val="32"/>
        </w:rPr>
        <w:tab/>
        <w:tab/>
      </w: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r>
        <w:rPr>
          <w:rFonts w:ascii="仿宋" w:eastAsia="仿宋" w:cs="仿宋" w:hint="eastAsia"/>
          <w:color w:val="000000"/>
          <w:sz w:val="32"/>
          <w:szCs w:val="32"/>
        </w:rPr>
        <w:t>（图</w:t>
      </w:r>
      <w:r>
        <w:rPr>
          <w:rFonts w:ascii="仿宋" w:eastAsia="仿宋" w:cs="仿宋"/>
          <w:color w:val="000000"/>
          <w:sz w:val="32"/>
          <w:szCs w:val="32"/>
        </w:rPr>
        <w:t>7</w:t>
      </w:r>
      <w:r>
        <w:rPr>
          <w:rFonts w:ascii="仿宋" w:eastAsia="仿宋" w:cs="仿宋" w:hint="eastAsia"/>
          <w:color w:val="000000"/>
          <w:sz w:val="32"/>
          <w:szCs w:val="32"/>
        </w:rPr>
        <w:t>：“三公”经费财政拨款支出结构）</w:t>
      </w:r>
    </w:p>
    <w:p>
      <w:pPr>
        <w:spacing w:line="640" w:lineRule="exact"/>
        <w:ind w:firstLine="641"/>
        <w:rPr>
          <w:rFonts w:ascii="仿宋" w:eastAsia="仿宋"/>
          <w:b/>
          <w:bCs/>
          <w:color w:val="000000"/>
          <w:sz w:val="32"/>
          <w:szCs w:val="32"/>
        </w:rPr>
      </w:pPr>
    </w:p>
    <w:p>
      <w:pPr>
        <w:spacing w:line="640" w:lineRule="exact"/>
        <w:ind w:firstLine="641"/>
        <w:rPr>
          <w:rFonts w:ascii="仿宋" w:eastAsia="仿宋"/>
          <w:b/>
          <w:bCs/>
          <w:color w:val="000000"/>
          <w:sz w:val="32"/>
          <w:szCs w:val="32"/>
        </w:rPr>
      </w:pPr>
      <w:r>
        <w:rPr>
          <w:rFonts w:ascii="仿宋" w:eastAsia="仿宋" w:cs="仿宋"/>
          <w:b/>
          <w:bCs/>
          <w:color w:val="000000"/>
          <w:sz w:val="32"/>
          <w:szCs w:val="32"/>
        </w:rPr>
        <w:t>1.</w:t>
      </w:r>
      <w:r>
        <w:rPr>
          <w:rFonts w:ascii="仿宋" w:eastAsia="仿宋" w:cs="仿宋" w:hint="eastAsia"/>
          <w:b/>
          <w:bCs/>
          <w:color w:val="000000"/>
          <w:sz w:val="32"/>
          <w:szCs w:val="32"/>
        </w:rPr>
        <w:t>因公出国（境）经费支出</w:t>
      </w:r>
      <w:r>
        <w:rPr>
          <w:rFonts w:ascii="仿宋" w:eastAsia="仿宋" w:cs="仿宋"/>
          <w:color w:val="000000"/>
          <w:sz w:val="32"/>
          <w:szCs w:val="32"/>
        </w:rPr>
        <w:t>0</w:t>
      </w:r>
      <w:r>
        <w:rPr>
          <w:rFonts w:ascii="仿宋" w:eastAsia="仿宋" w:cs="仿宋" w:hint="eastAsia"/>
          <w:color w:val="000000"/>
          <w:sz w:val="32"/>
          <w:szCs w:val="32"/>
        </w:rPr>
        <w:t>万元，</w:t>
      </w:r>
      <w:r>
        <w:rPr>
          <w:rStyle w:val="22"/>
          <w:rFonts w:ascii="仿宋" w:eastAsia="仿宋" w:cs="仿宋" w:hint="eastAsia"/>
          <w:b w:val="0"/>
          <w:bCs w:val="0"/>
          <w:color w:val="000000"/>
          <w:sz w:val="32"/>
          <w:szCs w:val="32"/>
        </w:rPr>
        <w:t>完成预算</w:t>
      </w:r>
      <w:r>
        <w:rPr>
          <w:rStyle w:val="22"/>
          <w:rFonts w:ascii="仿宋" w:eastAsia="仿宋" w:cs="仿宋"/>
          <w:b w:val="0"/>
          <w:bCs w:val="0"/>
          <w:color w:val="000000"/>
          <w:sz w:val="32"/>
          <w:szCs w:val="32"/>
        </w:rPr>
        <w:t>0%</w:t>
      </w:r>
      <w:r>
        <w:rPr>
          <w:rStyle w:val="22"/>
          <w:rFonts w:ascii="仿宋" w:eastAsia="仿宋" w:cs="仿宋" w:hint="eastAsia"/>
          <w:b w:val="0"/>
          <w:bCs w:val="0"/>
          <w:color w:val="000000"/>
          <w:sz w:val="32"/>
          <w:szCs w:val="32"/>
        </w:rPr>
        <w:t>。</w:t>
      </w:r>
      <w:r>
        <w:rPr>
          <w:rFonts w:ascii="仿宋" w:eastAsia="仿宋" w:cs="仿宋" w:hint="eastAsia"/>
          <w:color w:val="000000"/>
          <w:sz w:val="32"/>
          <w:szCs w:val="32"/>
        </w:rPr>
        <w:t>全年安排因公出国（境）团组</w:t>
      </w:r>
      <w:r>
        <w:rPr>
          <w:rFonts w:ascii="仿宋" w:eastAsia="仿宋" w:cs="仿宋"/>
          <w:color w:val="000000"/>
          <w:sz w:val="32"/>
          <w:szCs w:val="32"/>
        </w:rPr>
        <w:t>0</w:t>
      </w:r>
      <w:r>
        <w:rPr>
          <w:rFonts w:ascii="仿宋" w:eastAsia="仿宋" w:cs="仿宋" w:hint="eastAsia"/>
          <w:color w:val="000000"/>
          <w:sz w:val="32"/>
          <w:szCs w:val="32"/>
        </w:rPr>
        <w:t>次，出国（境）</w:t>
      </w:r>
      <w:r>
        <w:rPr>
          <w:rFonts w:ascii="仿宋" w:eastAsia="仿宋" w:cs="仿宋"/>
          <w:color w:val="000000"/>
          <w:sz w:val="32"/>
          <w:szCs w:val="32"/>
        </w:rPr>
        <w:t>0</w:t>
      </w:r>
      <w:r>
        <w:rPr>
          <w:rFonts w:ascii="仿宋" w:eastAsia="仿宋" w:cs="仿宋" w:hint="eastAsia"/>
          <w:color w:val="000000"/>
          <w:sz w:val="32"/>
          <w:szCs w:val="32"/>
        </w:rPr>
        <w:t>人。因公出国（境）支出决算与</w:t>
      </w:r>
      <w:r>
        <w:rPr>
          <w:rFonts w:ascii="仿宋" w:eastAsia="仿宋" w:cs="仿宋"/>
          <w:color w:val="000000"/>
          <w:sz w:val="32"/>
          <w:szCs w:val="32"/>
        </w:rPr>
        <w:t>2021</w:t>
      </w:r>
      <w:r>
        <w:rPr>
          <w:rFonts w:ascii="仿宋" w:eastAsia="仿宋" w:cs="仿宋" w:hint="eastAsia"/>
          <w:color w:val="000000"/>
          <w:sz w:val="32"/>
          <w:szCs w:val="32"/>
        </w:rPr>
        <w:t>年持平。</w:t>
      </w:r>
    </w:p>
    <w:p>
      <w:pPr>
        <w:spacing w:line="640" w:lineRule="exact"/>
        <w:ind w:firstLine="641"/>
        <w:rPr>
          <w:rFonts w:ascii="仿宋" w:eastAsia="仿宋"/>
          <w:b/>
          <w:bCs/>
          <w:color w:val="000000"/>
          <w:sz w:val="32"/>
          <w:szCs w:val="32"/>
        </w:rPr>
      </w:pPr>
      <w:r>
        <w:rPr>
          <w:rFonts w:ascii="仿宋" w:eastAsia="仿宋" w:cs="仿宋"/>
          <w:b/>
          <w:bCs/>
          <w:color w:val="000000"/>
          <w:sz w:val="32"/>
          <w:szCs w:val="32"/>
        </w:rPr>
        <w:t>2.</w:t>
      </w:r>
      <w:r>
        <w:rPr>
          <w:rFonts w:ascii="仿宋" w:eastAsia="仿宋" w:cs="仿宋" w:hint="eastAsia"/>
          <w:b/>
          <w:bCs/>
          <w:color w:val="000000"/>
          <w:sz w:val="32"/>
          <w:szCs w:val="32"/>
        </w:rPr>
        <w:t>公务用车购置及运行维护费支出</w:t>
      </w:r>
      <w:r>
        <w:rPr>
          <w:rFonts w:ascii="仿宋" w:eastAsia="仿宋" w:cs="仿宋"/>
          <w:color w:val="000000"/>
          <w:sz w:val="32"/>
          <w:szCs w:val="32"/>
        </w:rPr>
        <w:t>4.04</w:t>
      </w:r>
      <w:r>
        <w:rPr>
          <w:rFonts w:ascii="仿宋" w:eastAsia="仿宋" w:cs="仿宋" w:hint="eastAsia"/>
          <w:color w:val="000000"/>
          <w:sz w:val="32"/>
          <w:szCs w:val="32"/>
        </w:rPr>
        <w:t>万元</w:t>
      </w:r>
      <w:r>
        <w:rPr>
          <w:rFonts w:ascii="仿宋" w:eastAsia="仿宋" w:cs="仿宋"/>
          <w:color w:val="000000"/>
          <w:sz w:val="32"/>
          <w:szCs w:val="32"/>
        </w:rPr>
        <w:t>,</w:t>
      </w:r>
      <w:r>
        <w:rPr>
          <w:rStyle w:val="22"/>
          <w:rFonts w:ascii="仿宋" w:eastAsia="仿宋" w:cs="仿宋" w:hint="eastAsia"/>
          <w:b w:val="0"/>
          <w:bCs w:val="0"/>
          <w:color w:val="000000"/>
          <w:sz w:val="32"/>
          <w:szCs w:val="32"/>
        </w:rPr>
        <w:t>完成预算</w:t>
      </w:r>
      <w:r>
        <w:rPr>
          <w:rStyle w:val="22"/>
          <w:rFonts w:ascii="仿宋" w:eastAsia="仿宋" w:cs="仿宋"/>
          <w:b w:val="0"/>
          <w:bCs w:val="0"/>
          <w:color w:val="000000"/>
          <w:sz w:val="32"/>
          <w:szCs w:val="32"/>
        </w:rPr>
        <w:t>99.75%</w:t>
      </w:r>
      <w:r>
        <w:rPr>
          <w:rStyle w:val="22"/>
          <w:rFonts w:ascii="仿宋" w:eastAsia="仿宋" w:cs="仿宋" w:hint="eastAsia"/>
          <w:b w:val="0"/>
          <w:bCs w:val="0"/>
          <w:color w:val="000000"/>
          <w:sz w:val="32"/>
          <w:szCs w:val="32"/>
        </w:rPr>
        <w:t>。</w:t>
      </w:r>
      <w:r>
        <w:rPr>
          <w:rFonts w:ascii="仿宋" w:eastAsia="仿宋" w:cs="仿宋" w:hint="eastAsia"/>
          <w:color w:val="000000"/>
          <w:sz w:val="32"/>
          <w:szCs w:val="32"/>
        </w:rPr>
        <w:t>公务用车购置及运行维护费支出决算与</w:t>
      </w:r>
      <w:r>
        <w:rPr>
          <w:rFonts w:ascii="仿宋" w:eastAsia="仿宋" w:cs="仿宋"/>
          <w:color w:val="000000"/>
          <w:sz w:val="32"/>
          <w:szCs w:val="32"/>
        </w:rPr>
        <w:t>2021</w:t>
      </w:r>
      <w:r>
        <w:rPr>
          <w:rFonts w:ascii="仿宋" w:eastAsia="仿宋" w:cs="仿宋" w:hint="eastAsia"/>
          <w:color w:val="000000"/>
          <w:sz w:val="32"/>
          <w:szCs w:val="32"/>
        </w:rPr>
        <w:t>年基本持平。</w:t>
      </w:r>
    </w:p>
    <w:p>
      <w:pPr>
        <w:spacing w:line="640" w:lineRule="exact"/>
        <w:ind w:firstLine="641"/>
        <w:rPr>
          <w:rFonts w:ascii="仿宋" w:eastAsia="仿宋"/>
          <w:b/>
          <w:bCs/>
          <w:color w:val="000000"/>
          <w:sz w:val="32"/>
          <w:szCs w:val="32"/>
        </w:rPr>
      </w:pPr>
      <w:r>
        <w:rPr>
          <w:rFonts w:ascii="仿宋" w:eastAsia="仿宋" w:cs="仿宋" w:hint="eastAsia"/>
          <w:color w:val="000000"/>
          <w:sz w:val="32"/>
          <w:szCs w:val="32"/>
        </w:rPr>
        <w:t>其中：</w:t>
      </w:r>
      <w:r>
        <w:rPr>
          <w:rFonts w:ascii="仿宋" w:eastAsia="仿宋" w:cs="仿宋" w:hint="eastAsia"/>
          <w:b/>
          <w:bCs/>
          <w:color w:val="000000"/>
          <w:sz w:val="32"/>
          <w:szCs w:val="32"/>
        </w:rPr>
        <w:t>公务用车购置支出</w:t>
      </w:r>
      <w:r>
        <w:rPr>
          <w:rFonts w:ascii="仿宋" w:eastAsia="仿宋" w:cs="仿宋"/>
          <w:color w:val="000000"/>
          <w:sz w:val="32"/>
          <w:szCs w:val="32"/>
        </w:rPr>
        <w:t>0</w:t>
      </w:r>
      <w:r>
        <w:rPr>
          <w:rFonts w:ascii="仿宋" w:eastAsia="仿宋" w:cs="仿宋" w:hint="eastAsia"/>
          <w:color w:val="000000"/>
          <w:sz w:val="32"/>
          <w:szCs w:val="32"/>
        </w:rPr>
        <w:t>万元。全年按规定更新购置公务用车</w:t>
      </w:r>
      <w:r>
        <w:rPr>
          <w:rFonts w:ascii="仿宋" w:eastAsia="仿宋" w:cs="仿宋"/>
          <w:color w:val="000000"/>
          <w:sz w:val="32"/>
          <w:szCs w:val="32"/>
        </w:rPr>
        <w:t>0</w:t>
      </w:r>
      <w:r>
        <w:rPr>
          <w:rFonts w:ascii="仿宋" w:eastAsia="仿宋" w:cs="仿宋" w:hint="eastAsia"/>
          <w:color w:val="000000"/>
          <w:sz w:val="32"/>
          <w:szCs w:val="32"/>
        </w:rPr>
        <w:t>辆，其中：轿车</w:t>
      </w:r>
      <w:r>
        <w:rPr>
          <w:rFonts w:ascii="仿宋" w:eastAsia="仿宋" w:cs="仿宋"/>
          <w:color w:val="000000"/>
          <w:sz w:val="32"/>
          <w:szCs w:val="32"/>
        </w:rPr>
        <w:t>0</w:t>
      </w:r>
      <w:r>
        <w:rPr>
          <w:rFonts w:ascii="仿宋" w:eastAsia="仿宋" w:cs="仿宋" w:hint="eastAsia"/>
          <w:color w:val="000000"/>
          <w:sz w:val="32"/>
          <w:szCs w:val="32"/>
        </w:rPr>
        <w:t>辆、金额</w:t>
      </w:r>
      <w:r>
        <w:rPr>
          <w:rFonts w:ascii="仿宋" w:eastAsia="仿宋" w:cs="仿宋"/>
          <w:color w:val="000000"/>
          <w:sz w:val="32"/>
          <w:szCs w:val="32"/>
        </w:rPr>
        <w:t>0</w:t>
      </w:r>
      <w:r>
        <w:rPr>
          <w:rFonts w:ascii="仿宋" w:eastAsia="仿宋" w:cs="仿宋" w:hint="eastAsia"/>
          <w:color w:val="000000"/>
          <w:sz w:val="32"/>
          <w:szCs w:val="32"/>
        </w:rPr>
        <w:t>万元，越野车</w:t>
      </w:r>
      <w:r>
        <w:rPr>
          <w:rFonts w:ascii="仿宋" w:eastAsia="仿宋" w:cs="仿宋"/>
          <w:color w:val="000000"/>
          <w:sz w:val="32"/>
          <w:szCs w:val="32"/>
        </w:rPr>
        <w:t>0</w:t>
      </w:r>
      <w:r>
        <w:rPr>
          <w:rFonts w:ascii="仿宋" w:eastAsia="仿宋" w:cs="仿宋" w:hint="eastAsia"/>
          <w:color w:val="000000"/>
          <w:sz w:val="32"/>
          <w:szCs w:val="32"/>
        </w:rPr>
        <w:t>辆、金额</w:t>
      </w:r>
      <w:r>
        <w:rPr>
          <w:rFonts w:ascii="仿宋" w:eastAsia="仿宋" w:cs="仿宋"/>
          <w:color w:val="000000"/>
          <w:sz w:val="32"/>
          <w:szCs w:val="32"/>
        </w:rPr>
        <w:t>0</w:t>
      </w:r>
      <w:r>
        <w:rPr>
          <w:rFonts w:ascii="仿宋" w:eastAsia="仿宋" w:cs="仿宋" w:hint="eastAsia"/>
          <w:color w:val="000000"/>
          <w:sz w:val="32"/>
          <w:szCs w:val="32"/>
        </w:rPr>
        <w:t>万元，载客汽车</w:t>
      </w:r>
      <w:r>
        <w:rPr>
          <w:rFonts w:ascii="仿宋" w:eastAsia="仿宋" w:cs="仿宋"/>
          <w:color w:val="000000"/>
          <w:sz w:val="32"/>
          <w:szCs w:val="32"/>
        </w:rPr>
        <w:t>0</w:t>
      </w:r>
      <w:r>
        <w:rPr>
          <w:rFonts w:ascii="仿宋" w:eastAsia="仿宋" w:cs="仿宋" w:hint="eastAsia"/>
          <w:color w:val="000000"/>
          <w:sz w:val="32"/>
          <w:szCs w:val="32"/>
        </w:rPr>
        <w:t>辆、金额</w:t>
      </w:r>
      <w:r>
        <w:rPr>
          <w:rFonts w:ascii="仿宋" w:eastAsia="仿宋" w:cs="仿宋"/>
          <w:color w:val="000000"/>
          <w:sz w:val="32"/>
          <w:szCs w:val="32"/>
        </w:rPr>
        <w:t>0</w:t>
      </w:r>
      <w:r>
        <w:rPr>
          <w:rFonts w:ascii="仿宋" w:eastAsia="仿宋" w:cs="仿宋" w:hint="eastAsia"/>
          <w:color w:val="000000"/>
          <w:sz w:val="32"/>
          <w:szCs w:val="32"/>
        </w:rPr>
        <w:t>万元。截至</w:t>
      </w:r>
      <w:r>
        <w:rPr>
          <w:rFonts w:ascii="仿宋" w:eastAsia="仿宋" w:cs="仿宋"/>
          <w:color w:val="000000"/>
          <w:sz w:val="32"/>
          <w:szCs w:val="32"/>
        </w:rPr>
        <w:t>2022</w:t>
      </w:r>
      <w:r>
        <w:rPr>
          <w:rFonts w:ascii="仿宋" w:eastAsia="仿宋" w:cs="仿宋" w:hint="eastAsia"/>
          <w:color w:val="000000"/>
          <w:sz w:val="32"/>
          <w:szCs w:val="32"/>
        </w:rPr>
        <w:t>年</w:t>
      </w:r>
      <w:r>
        <w:rPr>
          <w:rFonts w:ascii="仿宋" w:eastAsia="仿宋" w:cs="仿宋"/>
          <w:color w:val="000000"/>
          <w:sz w:val="32"/>
          <w:szCs w:val="32"/>
        </w:rPr>
        <w:t>12</w:t>
      </w:r>
      <w:r>
        <w:rPr>
          <w:rFonts w:ascii="仿宋" w:eastAsia="仿宋" w:cs="仿宋" w:hint="eastAsia"/>
          <w:color w:val="000000"/>
          <w:sz w:val="32"/>
          <w:szCs w:val="32"/>
        </w:rPr>
        <w:t>月底，单位共有公务用车</w:t>
      </w:r>
      <w:r>
        <w:rPr>
          <w:rFonts w:ascii="仿宋" w:eastAsia="仿宋" w:cs="仿宋"/>
          <w:color w:val="000000"/>
          <w:sz w:val="32"/>
          <w:szCs w:val="32"/>
        </w:rPr>
        <w:t>1</w:t>
      </w:r>
      <w:r>
        <w:rPr>
          <w:rFonts w:ascii="仿宋" w:eastAsia="仿宋" w:cs="仿宋" w:hint="eastAsia"/>
          <w:color w:val="000000"/>
          <w:sz w:val="32"/>
          <w:szCs w:val="32"/>
        </w:rPr>
        <w:t>辆，其中：轿车</w:t>
      </w:r>
      <w:r>
        <w:rPr>
          <w:rFonts w:ascii="仿宋" w:eastAsia="仿宋" w:cs="仿宋"/>
          <w:color w:val="000000"/>
          <w:sz w:val="32"/>
          <w:szCs w:val="32"/>
        </w:rPr>
        <w:t>0</w:t>
      </w:r>
      <w:r>
        <w:rPr>
          <w:rFonts w:ascii="仿宋" w:eastAsia="仿宋" w:cs="仿宋" w:hint="eastAsia"/>
          <w:color w:val="000000"/>
          <w:sz w:val="32"/>
          <w:szCs w:val="32"/>
        </w:rPr>
        <w:t>辆、越野车</w:t>
      </w:r>
      <w:r>
        <w:rPr>
          <w:rFonts w:ascii="仿宋" w:eastAsia="仿宋" w:cs="仿宋"/>
          <w:color w:val="000000"/>
          <w:sz w:val="32"/>
          <w:szCs w:val="32"/>
        </w:rPr>
        <w:t>1</w:t>
      </w:r>
      <w:r>
        <w:rPr>
          <w:rFonts w:ascii="仿宋" w:eastAsia="仿宋" w:cs="仿宋" w:hint="eastAsia"/>
          <w:color w:val="000000"/>
          <w:sz w:val="32"/>
          <w:szCs w:val="32"/>
        </w:rPr>
        <w:t>辆、载客汽车</w:t>
      </w:r>
      <w:r>
        <w:rPr>
          <w:rFonts w:ascii="仿宋" w:eastAsia="仿宋" w:cs="仿宋"/>
          <w:color w:val="000000"/>
          <w:sz w:val="32"/>
          <w:szCs w:val="32"/>
        </w:rPr>
        <w:t>0</w:t>
      </w:r>
      <w:r>
        <w:rPr>
          <w:rFonts w:ascii="仿宋" w:eastAsia="仿宋" w:cs="仿宋" w:hint="eastAsia"/>
          <w:color w:val="000000"/>
          <w:sz w:val="32"/>
          <w:szCs w:val="32"/>
        </w:rPr>
        <w:t>辆。</w:t>
      </w:r>
    </w:p>
    <w:p>
      <w:pPr>
        <w:snapToGrid w:val="0"/>
        <w:spacing w:line="640" w:lineRule="exact"/>
        <w:ind w:firstLineChars="200" w:firstLine="640"/>
        <w:rPr>
          <w:rFonts w:ascii="仿宋" w:eastAsia="仿宋"/>
          <w:color w:val="000000"/>
          <w:sz w:val="32"/>
          <w:szCs w:val="32"/>
        </w:rPr>
      </w:pPr>
      <w:r>
        <w:rPr>
          <w:rFonts w:ascii="仿宋" w:eastAsia="仿宋" w:cs="仿宋" w:hint="eastAsia"/>
          <w:b/>
          <w:bCs/>
          <w:color w:val="000000"/>
          <w:sz w:val="32"/>
          <w:szCs w:val="32"/>
        </w:rPr>
        <w:t>公务用车运行维护费支出</w:t>
      </w:r>
      <w:r>
        <w:rPr>
          <w:rFonts w:ascii="仿宋" w:eastAsia="仿宋" w:cs="仿宋"/>
          <w:color w:val="000000"/>
          <w:sz w:val="32"/>
          <w:szCs w:val="32"/>
        </w:rPr>
        <w:t>4.04</w:t>
      </w:r>
      <w:r>
        <w:rPr>
          <w:rFonts w:ascii="仿宋" w:eastAsia="仿宋" w:cs="仿宋" w:hint="eastAsia"/>
          <w:color w:val="000000"/>
          <w:sz w:val="32"/>
          <w:szCs w:val="32"/>
        </w:rPr>
        <w:t>万元。</w:t>
      </w:r>
      <w:r>
        <w:rPr>
          <w:rStyle w:val="31"/>
          <w:rFonts w:ascii="仿宋" w:eastAsia="仿宋" w:cs="仿宋" w:hint="eastAsia"/>
          <w:sz w:val="32"/>
          <w:szCs w:val="32"/>
        </w:rPr>
        <w:t>主要用于保障性安居工程建设、市本级市政基础设施项目策划、储备、建设模式选择等前期工作和建设及具体实施、市政府非经营性投资项目代建业务实施过程中事务性、技术性、辅助性工作</w:t>
      </w:r>
      <w:r>
        <w:rPr>
          <w:rFonts w:ascii="仿宋" w:eastAsia="仿宋" w:cs="仿宋" w:hint="eastAsia"/>
          <w:color w:val="000000"/>
          <w:sz w:val="32"/>
          <w:szCs w:val="32"/>
        </w:rPr>
        <w:t>等所需的公务用车燃料费、维修费、过路过桥费、保险费等支出。</w:t>
      </w:r>
    </w:p>
    <w:p>
      <w:pPr>
        <w:spacing w:line="640" w:lineRule="exact"/>
        <w:ind w:firstLine="640"/>
        <w:rPr>
          <w:rFonts w:ascii="仿宋" w:eastAsia="仿宋"/>
          <w:color w:val="000000"/>
          <w:sz w:val="32"/>
          <w:szCs w:val="32"/>
        </w:rPr>
      </w:pPr>
      <w:r>
        <w:rPr>
          <w:rFonts w:ascii="仿宋" w:eastAsia="仿宋" w:cs="仿宋"/>
          <w:b/>
          <w:bCs/>
          <w:color w:val="000000"/>
          <w:sz w:val="32"/>
          <w:szCs w:val="32"/>
        </w:rPr>
        <w:t>3.</w:t>
      </w:r>
      <w:r>
        <w:rPr>
          <w:rFonts w:ascii="仿宋" w:eastAsia="仿宋" w:cs="仿宋" w:hint="eastAsia"/>
          <w:b/>
          <w:bCs/>
          <w:color w:val="000000"/>
          <w:sz w:val="32"/>
          <w:szCs w:val="32"/>
        </w:rPr>
        <w:t>公务接待费支出</w:t>
      </w:r>
      <w:r>
        <w:rPr>
          <w:rFonts w:ascii="仿宋" w:eastAsia="仿宋" w:cs="仿宋"/>
          <w:color w:val="000000"/>
          <w:sz w:val="32"/>
          <w:szCs w:val="32"/>
        </w:rPr>
        <w:t>0</w:t>
      </w:r>
      <w:r>
        <w:rPr>
          <w:rFonts w:ascii="仿宋" w:eastAsia="仿宋" w:cs="仿宋" w:hint="eastAsia"/>
          <w:color w:val="000000"/>
          <w:sz w:val="32"/>
          <w:szCs w:val="32"/>
        </w:rPr>
        <w:t>万元，</w:t>
      </w:r>
      <w:r>
        <w:rPr>
          <w:rStyle w:val="22"/>
          <w:rFonts w:ascii="仿宋" w:eastAsia="仿宋" w:cs="仿宋" w:hint="eastAsia"/>
          <w:b w:val="0"/>
          <w:bCs w:val="0"/>
          <w:color w:val="000000"/>
          <w:sz w:val="32"/>
          <w:szCs w:val="32"/>
        </w:rPr>
        <w:t>完成预算</w:t>
      </w:r>
      <w:r>
        <w:rPr>
          <w:rStyle w:val="22"/>
          <w:rFonts w:ascii="仿宋" w:eastAsia="仿宋" w:cs="仿宋"/>
          <w:b w:val="0"/>
          <w:bCs w:val="0"/>
          <w:color w:val="000000"/>
          <w:sz w:val="32"/>
          <w:szCs w:val="32"/>
        </w:rPr>
        <w:t>0%</w:t>
      </w:r>
      <w:r>
        <w:rPr>
          <w:rStyle w:val="22"/>
          <w:rFonts w:ascii="仿宋" w:eastAsia="仿宋" w:cs="仿宋" w:hint="eastAsia"/>
          <w:b w:val="0"/>
          <w:bCs w:val="0"/>
          <w:color w:val="000000"/>
          <w:sz w:val="32"/>
          <w:szCs w:val="32"/>
        </w:rPr>
        <w:t>。</w:t>
      </w:r>
      <w:r>
        <w:rPr>
          <w:rFonts w:ascii="仿宋" w:eastAsia="仿宋" w:cs="仿宋" w:hint="eastAsia"/>
          <w:color w:val="000000"/>
          <w:sz w:val="32"/>
          <w:szCs w:val="32"/>
        </w:rPr>
        <w:t>公务接待费支出决算与</w:t>
      </w:r>
      <w:r>
        <w:rPr>
          <w:rFonts w:ascii="仿宋" w:eastAsia="仿宋" w:cs="仿宋"/>
          <w:color w:val="000000"/>
          <w:sz w:val="32"/>
          <w:szCs w:val="32"/>
        </w:rPr>
        <w:t>2021</w:t>
      </w:r>
      <w:r>
        <w:rPr>
          <w:rFonts w:ascii="仿宋" w:eastAsia="仿宋" w:cs="仿宋" w:hint="eastAsia"/>
          <w:color w:val="000000"/>
          <w:sz w:val="32"/>
          <w:szCs w:val="32"/>
        </w:rPr>
        <w:t>年持平。</w:t>
      </w:r>
    </w:p>
    <w:p>
      <w:pPr>
        <w:spacing w:line="640" w:lineRule="exact"/>
        <w:ind w:firstLine="640"/>
        <w:rPr>
          <w:rFonts w:ascii="仿宋" w:eastAsia="仿宋"/>
          <w:color w:val="000000"/>
          <w:sz w:val="32"/>
          <w:szCs w:val="32"/>
        </w:rPr>
      </w:pPr>
      <w:r>
        <w:rPr>
          <w:rFonts w:ascii="仿宋" w:eastAsia="仿宋" w:cs="仿宋" w:hint="eastAsia"/>
          <w:b/>
          <w:bCs/>
          <w:color w:val="000000"/>
          <w:sz w:val="32"/>
          <w:szCs w:val="32"/>
        </w:rPr>
        <w:t>国内公务接待支出</w:t>
      </w:r>
      <w:r>
        <w:rPr>
          <w:rFonts w:ascii="仿宋" w:eastAsia="仿宋" w:cs="仿宋"/>
          <w:color w:val="000000"/>
          <w:sz w:val="32"/>
          <w:szCs w:val="32"/>
        </w:rPr>
        <w:t>0</w:t>
      </w:r>
      <w:r>
        <w:rPr>
          <w:rFonts w:ascii="仿宋" w:eastAsia="仿宋" w:cs="仿宋" w:hint="eastAsia"/>
          <w:color w:val="000000"/>
          <w:sz w:val="32"/>
          <w:szCs w:val="32"/>
        </w:rPr>
        <w:t>万元。</w:t>
      </w:r>
    </w:p>
    <w:p>
      <w:pPr>
        <w:spacing w:line="640" w:lineRule="exact"/>
        <w:ind w:firstLineChars="200" w:firstLine="640"/>
        <w:rPr>
          <w:rFonts w:ascii="仿宋" w:eastAsia="仿宋"/>
          <w:color w:val="000000"/>
          <w:sz w:val="32"/>
          <w:szCs w:val="32"/>
        </w:rPr>
      </w:pPr>
      <w:r>
        <w:rPr>
          <w:rFonts w:ascii="仿宋" w:eastAsia="仿宋" w:cs="仿宋" w:hint="eastAsia"/>
          <w:b/>
          <w:bCs/>
          <w:color w:val="000000"/>
          <w:sz w:val="32"/>
          <w:szCs w:val="32"/>
        </w:rPr>
        <w:t>外事接待支出</w:t>
      </w:r>
      <w:r>
        <w:rPr>
          <w:rFonts w:ascii="仿宋" w:eastAsia="仿宋" w:cs="仿宋"/>
          <w:color w:val="000000"/>
          <w:sz w:val="32"/>
          <w:szCs w:val="32"/>
        </w:rPr>
        <w:t>0</w:t>
      </w:r>
      <w:r>
        <w:rPr>
          <w:rFonts w:ascii="仿宋" w:eastAsia="仿宋" w:cs="仿宋" w:hint="eastAsia"/>
          <w:color w:val="000000"/>
          <w:sz w:val="32"/>
          <w:szCs w:val="32"/>
        </w:rPr>
        <w:t>万元。</w:t>
      </w:r>
    </w:p>
    <w:p/>
    <w:p>
      <w:pPr>
        <w:spacing w:line="640" w:lineRule="exact"/>
        <w:ind w:firstLine="640"/>
        <w:outlineLvl w:val="1"/>
        <w:rPr>
          <w:rStyle w:val="2Char"/>
          <w:rFonts w:ascii="黑体" w:eastAsia="黑体" w:cs="Times New Roman"/>
        </w:rPr>
      </w:pPr>
      <w:r>
        <w:rPr>
          <w:rFonts w:ascii="黑体" w:eastAsia="黑体" w:cs="黑体" w:hint="eastAsia"/>
          <w:color w:val="000000"/>
          <w:sz w:val="32"/>
          <w:szCs w:val="32"/>
        </w:rPr>
        <w:t>八、</w:t>
      </w:r>
      <w:r>
        <w:rPr>
          <w:rStyle w:val="2Char"/>
          <w:rFonts w:ascii="黑体" w:eastAsia="黑体" w:cs="黑体" w:hint="eastAsia"/>
          <w:b w:val="0"/>
          <w:bCs w:val="0"/>
        </w:rPr>
        <w:t>政府性基金预算支出决算情况说明</w:t>
      </w:r>
    </w:p>
    <w:p>
      <w:pPr>
        <w:spacing w:line="640" w:lineRule="exact"/>
        <w:ind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年政府性基金预算拨款支出</w:t>
      </w:r>
      <w:r>
        <w:rPr>
          <w:rFonts w:ascii="仿宋" w:eastAsia="仿宋" w:cs="仿宋"/>
          <w:color w:val="000000"/>
          <w:sz w:val="32"/>
          <w:szCs w:val="32"/>
        </w:rPr>
        <w:t>0</w:t>
      </w:r>
      <w:r>
        <w:rPr>
          <w:rFonts w:ascii="仿宋" w:eastAsia="仿宋" w:cs="仿宋" w:hint="eastAsia"/>
          <w:color w:val="000000"/>
          <w:sz w:val="32"/>
          <w:szCs w:val="32"/>
        </w:rPr>
        <w:t>万元。</w:t>
      </w:r>
    </w:p>
    <w:p>
      <w:pPr>
        <w:spacing w:line="640" w:lineRule="exact"/>
        <w:ind w:firstLine="640"/>
        <w:rPr>
          <w:rFonts w:ascii="仿宋_GB2312" w:eastAsia="仿宋_GB2312"/>
          <w:color w:val="000000"/>
          <w:sz w:val="32"/>
          <w:szCs w:val="32"/>
        </w:rPr>
      </w:pPr>
    </w:p>
    <w:p>
      <w:pPr>
        <w:numPr>
          <w:ilvl w:val="0"/>
          <w:numId w:val="2"/>
        </w:numPr>
        <w:spacing w:line="640" w:lineRule="exact"/>
        <w:ind w:left="0" w:firstLine="640"/>
        <w:outlineLvl w:val="1"/>
        <w:rPr>
          <w:rStyle w:val="2Char"/>
          <w:rFonts w:ascii="黑体" w:eastAsia="黑体" w:cs="Times New Roman"/>
          <w:b w:val="0"/>
          <w:bCs w:val="0"/>
        </w:rPr>
      </w:pPr>
      <w:r>
        <w:rPr>
          <w:rStyle w:val="2Char"/>
          <w:rFonts w:ascii="黑体" w:eastAsia="黑体" w:cs="黑体" w:hint="eastAsia"/>
          <w:b w:val="0"/>
          <w:bCs w:val="0"/>
        </w:rPr>
        <w:t>国有资本经营预算支出决算情况说明</w:t>
      </w:r>
    </w:p>
    <w:p>
      <w:pPr>
        <w:spacing w:line="640" w:lineRule="exact"/>
        <w:ind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年国有资本经营预算拨款支出</w:t>
      </w:r>
      <w:r>
        <w:rPr>
          <w:rFonts w:ascii="仿宋" w:eastAsia="仿宋" w:cs="仿宋"/>
          <w:color w:val="000000"/>
          <w:sz w:val="32"/>
          <w:szCs w:val="32"/>
        </w:rPr>
        <w:t>0</w:t>
      </w:r>
      <w:r>
        <w:rPr>
          <w:rFonts w:ascii="仿宋" w:eastAsia="仿宋" w:cs="仿宋" w:hint="eastAsia"/>
          <w:color w:val="000000"/>
          <w:sz w:val="32"/>
          <w:szCs w:val="32"/>
        </w:rPr>
        <w:t>万元。</w:t>
      </w:r>
    </w:p>
    <w:p>
      <w:pPr>
        <w:spacing w:line="640" w:lineRule="exact"/>
        <w:jc w:val="center"/>
        <w:rPr>
          <w:rFonts w:ascii="方正小标宋简体" w:eastAsia="方正小标宋简体"/>
          <w:sz w:val="44"/>
          <w:szCs w:val="44"/>
        </w:rPr>
      </w:pPr>
    </w:p>
    <w:p>
      <w:pPr>
        <w:spacing w:line="640" w:lineRule="exact"/>
        <w:ind w:firstLineChars="250" w:firstLine="800"/>
        <w:outlineLvl w:val="1"/>
        <w:rPr>
          <w:rStyle w:val="2Char"/>
          <w:rFonts w:ascii="黑体" w:eastAsia="黑体" w:cs="Times New Roman"/>
        </w:rPr>
      </w:pPr>
      <w:r>
        <w:rPr>
          <w:rFonts w:ascii="黑体" w:eastAsia="黑体" w:cs="黑体" w:hint="eastAsia"/>
          <w:color w:val="000000"/>
          <w:sz w:val="32"/>
          <w:szCs w:val="32"/>
        </w:rPr>
        <w:t>十</w:t>
      </w:r>
      <w:r>
        <w:rPr>
          <w:rStyle w:val="2Char"/>
          <w:rFonts w:ascii="黑体" w:eastAsia="黑体" w:cs="黑体" w:hint="eastAsia"/>
        </w:rPr>
        <w:t>、</w:t>
      </w:r>
      <w:r>
        <w:rPr>
          <w:rStyle w:val="2Char"/>
          <w:rFonts w:ascii="黑体" w:eastAsia="黑体" w:cs="黑体" w:hint="eastAsia"/>
          <w:b w:val="0"/>
          <w:bCs w:val="0"/>
        </w:rPr>
        <w:t>其他重要事项的情况说明</w:t>
      </w:r>
    </w:p>
    <w:p>
      <w:pPr>
        <w:spacing w:line="640" w:lineRule="exact"/>
        <w:ind w:firstLineChars="200" w:firstLine="640"/>
        <w:outlineLvl w:val="2"/>
        <w:rPr>
          <w:rFonts w:ascii="仿宋" w:eastAsia="仿宋"/>
          <w:color w:val="000000"/>
          <w:sz w:val="32"/>
          <w:szCs w:val="32"/>
        </w:rPr>
      </w:pPr>
      <w:r>
        <w:rPr>
          <w:rFonts w:ascii="仿宋" w:eastAsia="仿宋" w:cs="仿宋" w:hint="eastAsia"/>
          <w:b/>
          <w:bCs/>
          <w:color w:val="000000"/>
          <w:sz w:val="32"/>
          <w:szCs w:val="32"/>
        </w:rPr>
        <w:t>（一）机关运行经费支出情况</w:t>
      </w:r>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年，市住保和建设项目中心机关运行经费支出</w:t>
      </w:r>
      <w:r>
        <w:rPr>
          <w:rFonts w:ascii="仿宋" w:eastAsia="仿宋" w:cs="仿宋"/>
          <w:color w:val="000000"/>
          <w:sz w:val="32"/>
          <w:szCs w:val="32"/>
        </w:rPr>
        <w:t>0</w:t>
      </w:r>
      <w:r>
        <w:rPr>
          <w:rFonts w:ascii="仿宋" w:eastAsia="仿宋" w:cs="仿宋" w:hint="eastAsia"/>
          <w:color w:val="000000"/>
          <w:sz w:val="32"/>
          <w:szCs w:val="32"/>
        </w:rPr>
        <w:t>万元，与</w:t>
      </w:r>
      <w:r>
        <w:rPr>
          <w:rFonts w:ascii="仿宋" w:eastAsia="仿宋" w:cs="仿宋"/>
          <w:color w:val="000000"/>
          <w:sz w:val="32"/>
          <w:szCs w:val="32"/>
        </w:rPr>
        <w:t>2021</w:t>
      </w:r>
      <w:r>
        <w:rPr>
          <w:rFonts w:ascii="仿宋" w:eastAsia="仿宋" w:cs="仿宋" w:hint="eastAsia"/>
          <w:color w:val="000000"/>
          <w:sz w:val="32"/>
          <w:szCs w:val="32"/>
        </w:rPr>
        <w:t>年决算数持平。</w:t>
      </w:r>
    </w:p>
    <w:p>
      <w:pPr>
        <w:autoSpaceDE w:val="0"/>
        <w:autoSpaceDN w:val="0"/>
        <w:adjustRightInd w:val="0"/>
        <w:spacing w:line="640" w:lineRule="exact"/>
        <w:ind w:firstLineChars="200" w:firstLine="640"/>
        <w:jc w:val="left"/>
        <w:outlineLvl w:val="2"/>
        <w:rPr>
          <w:rFonts w:ascii="楷体" w:eastAsia="楷体"/>
          <w:b/>
          <w:bCs/>
          <w:color w:val="000000"/>
          <w:sz w:val="32"/>
          <w:szCs w:val="32"/>
        </w:rPr>
      </w:pPr>
      <w:r>
        <w:rPr>
          <w:rFonts w:ascii="楷体" w:eastAsia="楷体" w:cs="楷体" w:hint="eastAsia"/>
          <w:b/>
          <w:bCs/>
          <w:color w:val="000000"/>
          <w:sz w:val="32"/>
          <w:szCs w:val="32"/>
        </w:rPr>
        <w:t>（二）政府采购支出情况</w:t>
      </w:r>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2022</w:t>
      </w:r>
      <w:r>
        <w:rPr>
          <w:rFonts w:ascii="仿宋" w:eastAsia="仿宋" w:cs="仿宋" w:hint="eastAsia"/>
          <w:color w:val="000000"/>
          <w:sz w:val="32"/>
          <w:szCs w:val="32"/>
        </w:rPr>
        <w:t>年，市住保和建设项目中心政府采购支出总额</w:t>
      </w:r>
      <w:r>
        <w:rPr>
          <w:rFonts w:ascii="仿宋" w:eastAsia="仿宋" w:cs="仿宋"/>
          <w:color w:val="000000"/>
          <w:sz w:val="32"/>
          <w:szCs w:val="32"/>
        </w:rPr>
        <w:t>1.44</w:t>
      </w:r>
      <w:r>
        <w:rPr>
          <w:rFonts w:ascii="仿宋" w:eastAsia="仿宋" w:cs="仿宋" w:hint="eastAsia"/>
          <w:color w:val="000000"/>
          <w:sz w:val="32"/>
          <w:szCs w:val="32"/>
        </w:rPr>
        <w:t>万元，其中：政府采购货物支出</w:t>
      </w:r>
      <w:r>
        <w:rPr>
          <w:rFonts w:ascii="仿宋" w:eastAsia="仿宋" w:cs="仿宋"/>
          <w:color w:val="000000"/>
          <w:sz w:val="32"/>
          <w:szCs w:val="32"/>
        </w:rPr>
        <w:t>1.44</w:t>
      </w:r>
      <w:r>
        <w:rPr>
          <w:rFonts w:ascii="仿宋" w:eastAsia="仿宋" w:cs="仿宋" w:hint="eastAsia"/>
          <w:color w:val="000000"/>
          <w:sz w:val="32"/>
          <w:szCs w:val="32"/>
        </w:rPr>
        <w:t>万元、政府采购工程支出</w:t>
      </w:r>
      <w:r>
        <w:rPr>
          <w:rFonts w:ascii="仿宋" w:eastAsia="仿宋" w:cs="仿宋"/>
          <w:color w:val="000000"/>
          <w:sz w:val="32"/>
          <w:szCs w:val="32"/>
        </w:rPr>
        <w:t>0</w:t>
      </w:r>
      <w:r>
        <w:rPr>
          <w:rFonts w:ascii="仿宋" w:eastAsia="仿宋" w:cs="仿宋" w:hint="eastAsia"/>
          <w:color w:val="000000"/>
          <w:sz w:val="32"/>
          <w:szCs w:val="32"/>
        </w:rPr>
        <w:t>万元、政府采购服务支出</w:t>
      </w:r>
      <w:r>
        <w:rPr>
          <w:rFonts w:ascii="仿宋" w:eastAsia="仿宋" w:cs="仿宋"/>
          <w:color w:val="000000"/>
          <w:sz w:val="32"/>
          <w:szCs w:val="32"/>
        </w:rPr>
        <w:t>0</w:t>
      </w:r>
      <w:r>
        <w:rPr>
          <w:rFonts w:ascii="仿宋" w:eastAsia="仿宋" w:cs="仿宋" w:hint="eastAsia"/>
          <w:color w:val="000000"/>
          <w:sz w:val="32"/>
          <w:szCs w:val="32"/>
        </w:rPr>
        <w:t>万元。主要用于</w:t>
      </w:r>
      <w:r>
        <w:rPr>
          <w:rStyle w:val="31"/>
          <w:rFonts w:ascii="仿宋" w:eastAsia="仿宋" w:cs="仿宋" w:hint="eastAsia"/>
          <w:sz w:val="32"/>
          <w:szCs w:val="32"/>
        </w:rPr>
        <w:t>全市保障性安居工程建设的具体事务性、技术性、辅助性工作。</w:t>
      </w:r>
      <w:r>
        <w:rPr>
          <w:rFonts w:ascii="仿宋" w:eastAsia="仿宋" w:cs="仿宋" w:hint="eastAsia"/>
          <w:color w:val="000000"/>
          <w:sz w:val="32"/>
          <w:szCs w:val="32"/>
        </w:rPr>
        <w:t>主要用于授予中小企业合同金额</w:t>
      </w:r>
      <w:r>
        <w:rPr>
          <w:rFonts w:ascii="仿宋" w:eastAsia="仿宋" w:cs="仿宋"/>
          <w:color w:val="000000"/>
          <w:sz w:val="32"/>
          <w:szCs w:val="32"/>
        </w:rPr>
        <w:t>1.44</w:t>
      </w:r>
      <w:r>
        <w:rPr>
          <w:rFonts w:ascii="仿宋" w:eastAsia="仿宋" w:cs="仿宋" w:hint="eastAsia"/>
          <w:color w:val="000000"/>
          <w:sz w:val="32"/>
          <w:szCs w:val="32"/>
        </w:rPr>
        <w:t>万元，占政府采购支出总额的</w:t>
      </w:r>
      <w:r>
        <w:rPr>
          <w:rFonts w:ascii="仿宋" w:eastAsia="仿宋" w:cs="仿宋"/>
          <w:color w:val="000000"/>
          <w:sz w:val="32"/>
          <w:szCs w:val="32"/>
        </w:rPr>
        <w:t>100%</w:t>
      </w:r>
      <w:r>
        <w:rPr>
          <w:rFonts w:ascii="仿宋" w:eastAsia="仿宋" w:cs="仿宋" w:hint="eastAsia"/>
          <w:color w:val="000000"/>
          <w:sz w:val="32"/>
          <w:szCs w:val="32"/>
        </w:rPr>
        <w:t>，其中：授予小微企业合同金额</w:t>
      </w:r>
      <w:r>
        <w:rPr>
          <w:rFonts w:ascii="仿宋" w:eastAsia="仿宋" w:cs="仿宋"/>
          <w:color w:val="000000"/>
          <w:sz w:val="32"/>
          <w:szCs w:val="32"/>
        </w:rPr>
        <w:t>1.44</w:t>
      </w:r>
      <w:r>
        <w:rPr>
          <w:rFonts w:ascii="仿宋" w:eastAsia="仿宋" w:cs="仿宋" w:hint="eastAsia"/>
          <w:color w:val="000000"/>
          <w:sz w:val="32"/>
          <w:szCs w:val="32"/>
        </w:rPr>
        <w:t>万元，占政府采购支出总额的</w:t>
      </w:r>
      <w:r>
        <w:rPr>
          <w:rFonts w:ascii="仿宋" w:eastAsia="仿宋" w:cs="仿宋"/>
          <w:color w:val="000000"/>
          <w:sz w:val="32"/>
          <w:szCs w:val="32"/>
        </w:rPr>
        <w:t>100%</w:t>
      </w:r>
      <w:r>
        <w:rPr>
          <w:rFonts w:ascii="仿宋" w:eastAsia="仿宋" w:cs="仿宋" w:hint="eastAsia"/>
          <w:color w:val="000000"/>
          <w:sz w:val="32"/>
          <w:szCs w:val="32"/>
        </w:rPr>
        <w:t>。</w:t>
      </w:r>
    </w:p>
    <w:p>
      <w:pPr>
        <w:autoSpaceDE w:val="0"/>
        <w:autoSpaceDN w:val="0"/>
        <w:adjustRightInd w:val="0"/>
        <w:spacing w:line="640" w:lineRule="exact"/>
        <w:ind w:firstLineChars="200" w:firstLine="640"/>
        <w:jc w:val="left"/>
        <w:outlineLvl w:val="2"/>
        <w:rPr>
          <w:rFonts w:ascii="楷体" w:eastAsia="楷体"/>
          <w:b/>
          <w:bCs/>
          <w:color w:val="000000"/>
          <w:sz w:val="32"/>
          <w:szCs w:val="32"/>
        </w:rPr>
      </w:pPr>
      <w:r>
        <w:rPr>
          <w:rFonts w:ascii="楷体" w:eastAsia="楷体" w:cs="楷体" w:hint="eastAsia"/>
          <w:b/>
          <w:bCs/>
          <w:color w:val="000000"/>
          <w:sz w:val="32"/>
          <w:szCs w:val="32"/>
        </w:rPr>
        <w:t>（三）国有资产占有使用情况</w:t>
      </w:r>
    </w:p>
    <w:p>
      <w:pPr>
        <w:autoSpaceDE w:val="0"/>
        <w:autoSpaceDN w:val="0"/>
        <w:adjustRightInd w:val="0"/>
        <w:spacing w:line="640" w:lineRule="exact"/>
        <w:ind w:firstLineChars="200" w:firstLine="640"/>
        <w:jc w:val="left"/>
        <w:rPr>
          <w:rFonts w:ascii="仿宋" w:eastAsia="仿宋"/>
          <w:b/>
          <w:bCs/>
          <w:color w:val="FF0000"/>
          <w:sz w:val="32"/>
          <w:szCs w:val="32"/>
        </w:rPr>
      </w:pPr>
      <w:r>
        <w:rPr>
          <w:rFonts w:ascii="仿宋" w:eastAsia="仿宋" w:cs="仿宋" w:hint="eastAsia"/>
          <w:color w:val="000000"/>
          <w:sz w:val="32"/>
          <w:szCs w:val="32"/>
        </w:rPr>
        <w:t>截至</w:t>
      </w:r>
      <w:r>
        <w:rPr>
          <w:rFonts w:ascii="仿宋" w:eastAsia="仿宋" w:cs="仿宋"/>
          <w:color w:val="000000"/>
          <w:sz w:val="32"/>
          <w:szCs w:val="32"/>
        </w:rPr>
        <w:t>2022</w:t>
      </w:r>
      <w:r>
        <w:rPr>
          <w:rFonts w:ascii="仿宋" w:eastAsia="仿宋" w:cs="仿宋" w:hint="eastAsia"/>
          <w:color w:val="000000"/>
          <w:sz w:val="32"/>
          <w:szCs w:val="32"/>
        </w:rPr>
        <w:t>年</w:t>
      </w:r>
      <w:r>
        <w:rPr>
          <w:rFonts w:ascii="仿宋" w:eastAsia="仿宋" w:cs="仿宋"/>
          <w:color w:val="000000"/>
          <w:sz w:val="32"/>
          <w:szCs w:val="32"/>
        </w:rPr>
        <w:t>12</w:t>
      </w:r>
      <w:r>
        <w:rPr>
          <w:rFonts w:ascii="仿宋" w:eastAsia="仿宋" w:cs="仿宋" w:hint="eastAsia"/>
          <w:color w:val="000000"/>
          <w:sz w:val="32"/>
          <w:szCs w:val="32"/>
        </w:rPr>
        <w:t>月</w:t>
      </w:r>
      <w:r>
        <w:rPr>
          <w:rFonts w:ascii="仿宋" w:eastAsia="仿宋" w:cs="仿宋"/>
          <w:color w:val="000000"/>
          <w:sz w:val="32"/>
          <w:szCs w:val="32"/>
        </w:rPr>
        <w:t>31</w:t>
      </w:r>
      <w:r>
        <w:rPr>
          <w:rFonts w:ascii="仿宋" w:eastAsia="仿宋" w:cs="仿宋" w:hint="eastAsia"/>
          <w:color w:val="000000"/>
          <w:sz w:val="32"/>
          <w:szCs w:val="32"/>
        </w:rPr>
        <w:t>日，市住保和建设项目中心共有车辆</w:t>
      </w:r>
      <w:r>
        <w:rPr>
          <w:rFonts w:ascii="仿宋" w:eastAsia="仿宋" w:cs="仿宋"/>
          <w:color w:val="000000"/>
          <w:sz w:val="32"/>
          <w:szCs w:val="32"/>
        </w:rPr>
        <w:t>1</w:t>
      </w:r>
      <w:r>
        <w:rPr>
          <w:rFonts w:ascii="仿宋" w:eastAsia="仿宋" w:cs="仿宋" w:hint="eastAsia"/>
          <w:color w:val="000000"/>
          <w:sz w:val="32"/>
          <w:szCs w:val="32"/>
        </w:rPr>
        <w:t>辆，其中：主要领导干部用车</w:t>
      </w:r>
      <w:r>
        <w:rPr>
          <w:rFonts w:ascii="仿宋" w:eastAsia="仿宋" w:cs="仿宋"/>
          <w:color w:val="000000"/>
          <w:sz w:val="32"/>
          <w:szCs w:val="32"/>
        </w:rPr>
        <w:t>0</w:t>
      </w:r>
      <w:r>
        <w:rPr>
          <w:rFonts w:ascii="仿宋" w:eastAsia="仿宋" w:cs="仿宋" w:hint="eastAsia"/>
          <w:color w:val="000000"/>
          <w:sz w:val="32"/>
          <w:szCs w:val="32"/>
        </w:rPr>
        <w:t>辆、机车通信用车</w:t>
      </w:r>
      <w:r>
        <w:rPr>
          <w:rFonts w:ascii="仿宋" w:eastAsia="仿宋" w:cs="仿宋"/>
          <w:color w:val="000000"/>
          <w:sz w:val="32"/>
          <w:szCs w:val="32"/>
        </w:rPr>
        <w:t>0</w:t>
      </w:r>
      <w:r>
        <w:rPr>
          <w:rFonts w:ascii="仿宋" w:eastAsia="仿宋" w:cs="仿宋" w:hint="eastAsia"/>
          <w:color w:val="000000"/>
          <w:sz w:val="32"/>
          <w:szCs w:val="32"/>
        </w:rPr>
        <w:t>辆、应急保障用车</w:t>
      </w:r>
      <w:r>
        <w:rPr>
          <w:rFonts w:ascii="仿宋" w:eastAsia="仿宋" w:cs="仿宋"/>
          <w:color w:val="000000"/>
          <w:sz w:val="32"/>
          <w:szCs w:val="32"/>
        </w:rPr>
        <w:t>0</w:t>
      </w:r>
      <w:r>
        <w:rPr>
          <w:rFonts w:ascii="仿宋" w:eastAsia="仿宋" w:cs="仿宋" w:hint="eastAsia"/>
          <w:color w:val="000000"/>
          <w:sz w:val="32"/>
          <w:szCs w:val="32"/>
        </w:rPr>
        <w:t>辆、其他用车</w:t>
      </w:r>
      <w:r>
        <w:rPr>
          <w:rFonts w:ascii="仿宋" w:eastAsia="仿宋" w:cs="仿宋"/>
          <w:color w:val="000000"/>
          <w:sz w:val="32"/>
          <w:szCs w:val="32"/>
        </w:rPr>
        <w:t>1</w:t>
      </w:r>
      <w:r>
        <w:rPr>
          <w:rFonts w:ascii="仿宋" w:eastAsia="仿宋" w:cs="仿宋" w:hint="eastAsia"/>
          <w:color w:val="000000"/>
          <w:sz w:val="32"/>
          <w:szCs w:val="32"/>
        </w:rPr>
        <w:t>辆，其他用车主要是用于市住保和建设项目中心业务用车。单价</w:t>
      </w:r>
      <w:r>
        <w:rPr>
          <w:rFonts w:ascii="仿宋" w:eastAsia="仿宋" w:cs="仿宋"/>
          <w:color w:val="000000"/>
          <w:sz w:val="32"/>
          <w:szCs w:val="32"/>
        </w:rPr>
        <w:t>100</w:t>
      </w:r>
      <w:r>
        <w:rPr>
          <w:rFonts w:ascii="仿宋" w:eastAsia="仿宋" w:cs="仿宋" w:hint="eastAsia"/>
          <w:color w:val="000000"/>
          <w:sz w:val="32"/>
          <w:szCs w:val="32"/>
        </w:rPr>
        <w:t>万元以上专用设备</w:t>
      </w:r>
      <w:r>
        <w:rPr>
          <w:rFonts w:ascii="仿宋" w:eastAsia="仿宋" w:cs="仿宋"/>
          <w:color w:val="000000"/>
          <w:sz w:val="32"/>
          <w:szCs w:val="32"/>
        </w:rPr>
        <w:t>0</w:t>
      </w:r>
      <w:r>
        <w:rPr>
          <w:rFonts w:ascii="仿宋" w:eastAsia="仿宋" w:cs="仿宋" w:hint="eastAsia"/>
          <w:color w:val="000000"/>
          <w:sz w:val="32"/>
          <w:szCs w:val="32"/>
        </w:rPr>
        <w:t>台（套）。</w:t>
      </w:r>
    </w:p>
    <w:p>
      <w:pPr>
        <w:autoSpaceDE w:val="0"/>
        <w:autoSpaceDN w:val="0"/>
        <w:adjustRightInd w:val="0"/>
        <w:spacing w:line="640" w:lineRule="exact"/>
        <w:ind w:firstLineChars="200" w:firstLine="640"/>
        <w:jc w:val="left"/>
        <w:outlineLvl w:val="2"/>
        <w:rPr>
          <w:rFonts w:ascii="楷体" w:eastAsia="楷体"/>
          <w:b/>
          <w:bCs/>
          <w:color w:val="000000"/>
          <w:sz w:val="32"/>
          <w:szCs w:val="32"/>
        </w:rPr>
      </w:pPr>
      <w:r>
        <w:rPr>
          <w:rFonts w:ascii="楷体" w:eastAsia="楷体" w:cs="楷体" w:hint="eastAsia"/>
          <w:b/>
          <w:bCs/>
          <w:color w:val="000000"/>
          <w:sz w:val="32"/>
          <w:szCs w:val="32"/>
        </w:rPr>
        <w:t>（四）预算绩效管理情况</w:t>
      </w:r>
    </w:p>
    <w:p>
      <w:pPr>
        <w:spacing w:line="640" w:lineRule="exact"/>
        <w:ind w:firstLineChars="200" w:firstLine="640"/>
        <w:rPr>
          <w:rFonts w:ascii="仿宋" w:eastAsia="仿宋"/>
          <w:sz w:val="32"/>
          <w:szCs w:val="32"/>
        </w:rPr>
      </w:pPr>
      <w:r>
        <w:rPr>
          <w:rFonts w:ascii="仿宋" w:eastAsia="仿宋" w:cs="仿宋" w:hint="eastAsia"/>
          <w:sz w:val="32"/>
          <w:szCs w:val="32"/>
        </w:rPr>
        <w:t>根据预算绩效管理要求，本单位在年初预算编制阶段，组织对带薪年休假经费、住房公积金、在职医疗补助、其他社会保障缴费、基本医疗保险、基本养老保险、目标绩效奖、工资性支出、离退休费、退休医疗补助、基本公用支出、党建经费、离退休党建经费、公务员医保个人账户补充、火车南站开发相应支出（非税征管成本）、城市更新项目经费等</w:t>
      </w:r>
      <w:r>
        <w:rPr>
          <w:rFonts w:ascii="仿宋" w:eastAsia="仿宋" w:cs="仿宋"/>
          <w:sz w:val="32"/>
          <w:szCs w:val="32"/>
        </w:rPr>
        <w:t>16</w:t>
      </w:r>
      <w:r>
        <w:rPr>
          <w:rFonts w:ascii="仿宋" w:eastAsia="仿宋" w:cs="仿宋" w:hint="eastAsia"/>
          <w:sz w:val="32"/>
          <w:szCs w:val="32"/>
        </w:rPr>
        <w:t>个项目开展了预算事前绩效评估，对</w:t>
      </w:r>
      <w:r>
        <w:rPr>
          <w:rFonts w:ascii="仿宋" w:eastAsia="仿宋" w:cs="仿宋"/>
          <w:sz w:val="32"/>
          <w:szCs w:val="32"/>
        </w:rPr>
        <w:t>16</w:t>
      </w:r>
      <w:r>
        <w:rPr>
          <w:rFonts w:ascii="仿宋" w:eastAsia="仿宋" w:cs="仿宋" w:hint="eastAsia"/>
          <w:sz w:val="32"/>
          <w:szCs w:val="32"/>
        </w:rPr>
        <w:t>个项目编制了绩效目标，预算执行过程中，选取</w:t>
      </w:r>
      <w:r>
        <w:rPr>
          <w:rFonts w:ascii="仿宋" w:eastAsia="仿宋" w:cs="仿宋"/>
          <w:sz w:val="32"/>
          <w:szCs w:val="32"/>
        </w:rPr>
        <w:t>2</w:t>
      </w:r>
      <w:r>
        <w:rPr>
          <w:rFonts w:ascii="仿宋" w:eastAsia="仿宋" w:cs="仿宋" w:hint="eastAsia"/>
          <w:sz w:val="32"/>
          <w:szCs w:val="32"/>
        </w:rPr>
        <w:t>个项目开展绩效监控，组织对</w:t>
      </w:r>
      <w:r>
        <w:rPr>
          <w:rFonts w:ascii="仿宋" w:eastAsia="仿宋" w:cs="仿宋"/>
          <w:sz w:val="32"/>
          <w:szCs w:val="32"/>
        </w:rPr>
        <w:t>16</w:t>
      </w:r>
      <w:r>
        <w:rPr>
          <w:rFonts w:ascii="仿宋" w:eastAsia="仿宋" w:cs="仿宋" w:hint="eastAsia"/>
          <w:sz w:val="32"/>
          <w:szCs w:val="32"/>
        </w:rPr>
        <w:t>个项目开展了绩效自评。绩效自评表详见第四部分附件。</w:t>
      </w:r>
    </w:p>
    <w:p>
      <w:pPr>
        <w:spacing w:line="640" w:lineRule="exact"/>
        <w:ind w:firstLineChars="200" w:firstLine="640"/>
        <w:rPr>
          <w:rFonts w:ascii="仿宋_GB2312" w:eastAsia="仿宋_GB2312"/>
          <w:sz w:val="32"/>
          <w:szCs w:val="32"/>
        </w:rPr>
      </w:pPr>
    </w:p>
    <w:p>
      <w:pPr>
        <w:spacing w:line="640" w:lineRule="exact"/>
        <w:rPr>
          <w:rFonts w:ascii="黑体" w:eastAsia="黑体"/>
          <w:color w:val="000000"/>
          <w:sz w:val="44"/>
          <w:szCs w:val="44"/>
        </w:rPr>
      </w:pPr>
    </w:p>
    <w:p>
      <w:pPr>
        <w:spacing w:line="640" w:lineRule="exact"/>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Fonts w:ascii="黑体" w:eastAsia="黑体"/>
          <w:color w:val="000000"/>
          <w:sz w:val="44"/>
          <w:szCs w:val="44"/>
        </w:rPr>
      </w:pPr>
    </w:p>
    <w:p>
      <w:pPr>
        <w:spacing w:line="640" w:lineRule="exact"/>
        <w:jc w:val="center"/>
        <w:rPr>
          <w:rStyle w:val="1Char"/>
          <w:rFonts w:ascii="黑体" w:eastAsia="黑体"/>
          <w:b w:val="0"/>
          <w:bCs w:val="0"/>
        </w:rPr>
      </w:pPr>
      <w:r>
        <w:rPr>
          <w:rFonts w:ascii="黑体" w:eastAsia="黑体" w:cs="黑体" w:hint="eastAsia"/>
          <w:color w:val="000000"/>
          <w:sz w:val="44"/>
          <w:szCs w:val="44"/>
        </w:rPr>
        <w:t>第三部分</w:t>
      </w:r>
      <w:r>
        <w:rPr>
          <w:rFonts w:ascii="黑体" w:eastAsia="黑体" w:cs="黑体"/>
          <w:color w:val="000000"/>
          <w:sz w:val="44"/>
          <w:szCs w:val="44"/>
        </w:rPr>
        <w:t xml:space="preserve"> </w:t>
      </w:r>
      <w:r>
        <w:rPr>
          <w:rFonts w:ascii="黑体" w:eastAsia="黑体" w:cs="黑体" w:hint="eastAsia"/>
          <w:color w:val="000000"/>
          <w:sz w:val="44"/>
          <w:szCs w:val="44"/>
        </w:rPr>
        <w:t>名</w:t>
      </w:r>
      <w:r>
        <w:rPr>
          <w:rStyle w:val="1Char"/>
          <w:rFonts w:ascii="黑体" w:eastAsia="黑体" w:cs="黑体" w:hint="eastAsia"/>
          <w:b w:val="0"/>
          <w:bCs w:val="0"/>
        </w:rPr>
        <w:t>词解释</w:t>
      </w:r>
    </w:p>
    <w:p>
      <w:pPr>
        <w:spacing w:line="640" w:lineRule="exact"/>
        <w:jc w:val="left"/>
        <w:rPr>
          <w:rFonts w:ascii="宋体"/>
          <w:b/>
          <w:bCs/>
          <w:color w:val="000000"/>
          <w:sz w:val="44"/>
          <w:szCs w:val="44"/>
        </w:rPr>
      </w:pPr>
    </w:p>
    <w:p>
      <w:pPr>
        <w:pStyle w:val="24"/>
        <w:spacing w:line="640" w:lineRule="exact"/>
        <w:ind w:firstLineChars="200" w:firstLine="640"/>
        <w:rPr>
          <w:rFonts w:cs="Times New Roman"/>
          <w:sz w:val="32"/>
          <w:szCs w:val="32"/>
        </w:rPr>
      </w:pPr>
      <w:r>
        <w:rPr>
          <w:sz w:val="32"/>
          <w:szCs w:val="32"/>
        </w:rPr>
        <w:t>1.</w:t>
      </w:r>
      <w:r>
        <w:rPr>
          <w:rFonts w:hint="eastAsia"/>
          <w:sz w:val="32"/>
          <w:szCs w:val="32"/>
        </w:rPr>
        <w:t>财政拨款收入：指单位从同级财政部门取得的财政预算资金。</w:t>
      </w:r>
    </w:p>
    <w:p>
      <w:pPr>
        <w:pStyle w:val="24"/>
        <w:spacing w:line="640" w:lineRule="exact"/>
        <w:ind w:firstLineChars="200" w:firstLine="640"/>
        <w:rPr>
          <w:rStyle w:val="22"/>
          <w:rFonts w:cs="Times New Roman"/>
          <w:b w:val="0"/>
          <w:bCs w:val="0"/>
          <w:sz w:val="32"/>
          <w:szCs w:val="32"/>
        </w:rPr>
      </w:pPr>
      <w:r>
        <w:rPr>
          <w:sz w:val="32"/>
          <w:szCs w:val="32"/>
        </w:rPr>
        <w:t>2.</w:t>
      </w:r>
      <w:r>
        <w:rPr>
          <w:rFonts w:hint="eastAsia"/>
          <w:sz w:val="32"/>
          <w:szCs w:val="32"/>
        </w:rPr>
        <w:t>社会保障和就业（类）</w:t>
      </w:r>
      <w:r>
        <w:rPr>
          <w:rStyle w:val="22"/>
          <w:rFonts w:hint="eastAsia"/>
          <w:b w:val="0"/>
          <w:bCs w:val="0"/>
          <w:sz w:val="32"/>
          <w:szCs w:val="32"/>
        </w:rPr>
        <w:t>行政事业单位养老（款）事业单位离退休（项）：指反映事业单位开支的离退休经费。</w:t>
      </w:r>
    </w:p>
    <w:p>
      <w:pPr>
        <w:spacing w:line="640" w:lineRule="exact"/>
        <w:ind w:firstLineChars="200" w:firstLine="640"/>
        <w:rPr>
          <w:rFonts w:ascii="仿宋" w:eastAsia="仿宋"/>
          <w:sz w:val="32"/>
          <w:szCs w:val="32"/>
        </w:rPr>
      </w:pPr>
      <w:r>
        <w:rPr>
          <w:rFonts w:ascii="仿宋" w:eastAsia="仿宋" w:cs="仿宋"/>
          <w:color w:val="000000"/>
          <w:sz w:val="32"/>
          <w:szCs w:val="32"/>
        </w:rPr>
        <w:t>3.</w:t>
      </w:r>
      <w:r>
        <w:rPr>
          <w:rFonts w:ascii="仿宋" w:eastAsia="仿宋" w:cs="仿宋" w:hint="eastAsia"/>
          <w:color w:val="000000"/>
          <w:sz w:val="32"/>
          <w:szCs w:val="32"/>
        </w:rPr>
        <w:t>社会保障和就业（类）</w:t>
      </w:r>
      <w:r>
        <w:rPr>
          <w:rStyle w:val="22"/>
          <w:rFonts w:ascii="仿宋" w:eastAsia="仿宋" w:cs="仿宋" w:hint="eastAsia"/>
          <w:b w:val="0"/>
          <w:bCs w:val="0"/>
          <w:color w:val="000000"/>
          <w:sz w:val="32"/>
          <w:szCs w:val="32"/>
        </w:rPr>
        <w:t>行政事业单位养老（款）</w:t>
      </w:r>
      <w:r>
        <w:rPr>
          <w:rFonts w:ascii="仿宋" w:eastAsia="仿宋" w:cs="仿宋" w:hint="eastAsia"/>
          <w:color w:val="000000"/>
          <w:sz w:val="32"/>
          <w:szCs w:val="32"/>
        </w:rPr>
        <w:t>机关事业单位基本养老保险缴费支出（项）：指反映机关事业单位实施养老保险制度由单位缴纳的基本养老保险费支出。</w:t>
      </w:r>
    </w:p>
    <w:p>
      <w:pPr>
        <w:spacing w:line="640" w:lineRule="exact"/>
        <w:ind w:firstLineChars="200" w:firstLine="640"/>
        <w:rPr>
          <w:rStyle w:val="22"/>
          <w:rFonts w:ascii="仿宋" w:eastAsia="仿宋"/>
          <w:b w:val="0"/>
          <w:bCs w:val="0"/>
          <w:sz w:val="32"/>
          <w:szCs w:val="32"/>
        </w:rPr>
      </w:pPr>
      <w:r>
        <w:rPr>
          <w:rFonts w:ascii="仿宋" w:eastAsia="仿宋" w:cs="仿宋"/>
          <w:color w:val="000000"/>
          <w:sz w:val="32"/>
          <w:szCs w:val="32"/>
        </w:rPr>
        <w:t>4.</w:t>
      </w:r>
      <w:r>
        <w:rPr>
          <w:rStyle w:val="22"/>
          <w:rFonts w:ascii="仿宋" w:eastAsia="仿宋" w:cs="仿宋" w:hint="eastAsia"/>
          <w:b w:val="0"/>
          <w:bCs w:val="0"/>
          <w:color w:val="000000"/>
          <w:sz w:val="32"/>
          <w:szCs w:val="32"/>
        </w:rPr>
        <w:t>城乡社区支出（类）城乡社区管理事务（款）其他城乡社区管理事务（项）</w:t>
      </w:r>
      <w:r>
        <w:rPr>
          <w:rStyle w:val="22"/>
          <w:rFonts w:ascii="仿宋" w:eastAsia="仿宋" w:cs="仿宋"/>
          <w:b w:val="0"/>
          <w:bCs w:val="0"/>
          <w:color w:val="000000"/>
          <w:sz w:val="32"/>
          <w:szCs w:val="32"/>
        </w:rPr>
        <w:t xml:space="preserve">: </w:t>
      </w:r>
      <w:r>
        <w:rPr>
          <w:rFonts w:ascii="仿宋" w:eastAsia="仿宋" w:cs="仿宋" w:hint="eastAsia"/>
          <w:sz w:val="32"/>
          <w:szCs w:val="32"/>
        </w:rPr>
        <w:t>指其他用于城乡社区管理事务方面的支出。</w:t>
      </w:r>
    </w:p>
    <w:p>
      <w:pPr>
        <w:spacing w:line="640" w:lineRule="exact"/>
        <w:ind w:firstLineChars="200" w:firstLine="640"/>
        <w:rPr>
          <w:rFonts w:ascii="仿宋" w:eastAsia="仿宋"/>
          <w:color w:val="000000"/>
          <w:sz w:val="32"/>
          <w:szCs w:val="32"/>
        </w:rPr>
      </w:pPr>
      <w:r>
        <w:rPr>
          <w:rStyle w:val="22"/>
          <w:rFonts w:ascii="仿宋" w:eastAsia="仿宋" w:cs="仿宋"/>
          <w:b w:val="0"/>
          <w:bCs w:val="0"/>
          <w:color w:val="000000"/>
          <w:sz w:val="32"/>
          <w:szCs w:val="32"/>
        </w:rPr>
        <w:t>5.</w:t>
      </w:r>
      <w:r>
        <w:rPr>
          <w:rFonts w:ascii="仿宋" w:eastAsia="仿宋" w:cs="仿宋"/>
        </w:rPr>
        <w:t xml:space="preserve"> </w:t>
      </w:r>
      <w:r>
        <w:rPr>
          <w:rStyle w:val="22"/>
          <w:rFonts w:ascii="仿宋" w:eastAsia="仿宋" w:cs="仿宋" w:hint="eastAsia"/>
          <w:b w:val="0"/>
          <w:bCs w:val="0"/>
          <w:color w:val="000000"/>
          <w:sz w:val="32"/>
          <w:szCs w:val="32"/>
        </w:rPr>
        <w:t>住房保障支出（类）住房改革（款）住房公积金（项）</w:t>
      </w:r>
      <w:r>
        <w:rPr>
          <w:rStyle w:val="22"/>
          <w:rFonts w:ascii="仿宋" w:eastAsia="仿宋" w:cs="仿宋"/>
          <w:b w:val="0"/>
          <w:bCs w:val="0"/>
          <w:color w:val="000000"/>
          <w:sz w:val="32"/>
          <w:szCs w:val="32"/>
        </w:rPr>
        <w:t xml:space="preserve">: </w:t>
      </w:r>
      <w:r>
        <w:rPr>
          <w:rStyle w:val="22"/>
          <w:rFonts w:ascii="仿宋" w:eastAsia="仿宋" w:cs="仿宋" w:hint="eastAsia"/>
          <w:b w:val="0"/>
          <w:bCs w:val="0"/>
          <w:color w:val="000000"/>
          <w:sz w:val="32"/>
          <w:szCs w:val="32"/>
        </w:rPr>
        <w:t>指</w:t>
      </w:r>
      <w:r>
        <w:rPr>
          <w:rFonts w:ascii="仿宋" w:eastAsia="仿宋" w:cs="仿宋" w:hint="eastAsia"/>
          <w:sz w:val="32"/>
          <w:szCs w:val="32"/>
        </w:rPr>
        <w:t>反映行政事业单位按人力资源和社会保障部、财政部规定的基本工资和津贴补贴以及规定比例为职工缴纳的住房公积金。</w:t>
      </w:r>
    </w:p>
    <w:p>
      <w:pPr>
        <w:spacing w:line="640" w:lineRule="exact"/>
        <w:ind w:firstLineChars="200" w:firstLine="640"/>
        <w:rPr>
          <w:rFonts w:ascii="仿宋" w:eastAsia="仿宋"/>
          <w:color w:val="000000"/>
          <w:sz w:val="32"/>
          <w:szCs w:val="32"/>
        </w:rPr>
      </w:pPr>
      <w:r>
        <w:rPr>
          <w:rFonts w:ascii="仿宋" w:eastAsia="仿宋" w:cs="仿宋"/>
          <w:color w:val="000000"/>
          <w:sz w:val="32"/>
          <w:szCs w:val="32"/>
        </w:rPr>
        <w:t>6.</w:t>
      </w:r>
      <w:r>
        <w:rPr>
          <w:rFonts w:ascii="仿宋" w:eastAsia="仿宋" w:cs="仿宋" w:hint="eastAsia"/>
          <w:color w:val="000000"/>
          <w:sz w:val="32"/>
          <w:szCs w:val="32"/>
        </w:rPr>
        <w:t>基本支出：指为保障机构正常运转、完成日常工作任务而发生的人员支出和公用支出。</w:t>
      </w:r>
    </w:p>
    <w:p>
      <w:pPr>
        <w:spacing w:line="640" w:lineRule="exact"/>
        <w:ind w:firstLineChars="200" w:firstLine="640"/>
        <w:rPr>
          <w:rFonts w:ascii="仿宋" w:eastAsia="仿宋" w:cs="仿宋"/>
          <w:color w:val="000000"/>
          <w:sz w:val="32"/>
          <w:szCs w:val="32"/>
        </w:rPr>
      </w:pPr>
      <w:r>
        <w:rPr>
          <w:rFonts w:ascii="仿宋" w:eastAsia="仿宋" w:cs="仿宋"/>
          <w:color w:val="000000"/>
          <w:sz w:val="32"/>
          <w:szCs w:val="32"/>
        </w:rPr>
        <w:t>7.</w:t>
      </w:r>
      <w:r>
        <w:rPr>
          <w:rFonts w:ascii="仿宋" w:eastAsia="仿宋" w:cs="仿宋" w:hint="eastAsia"/>
          <w:color w:val="000000"/>
          <w:sz w:val="32"/>
          <w:szCs w:val="32"/>
        </w:rPr>
        <w:t>项目支出：指在基本支出之外为完成特定行政任务和事业发展目标所发生的支出。</w:t>
      </w:r>
      <w:r>
        <w:rPr>
          <w:rFonts w:ascii="仿宋" w:eastAsia="仿宋" w:cs="仿宋"/>
          <w:color w:val="000000"/>
          <w:sz w:val="32"/>
          <w:szCs w:val="32"/>
        </w:rPr>
        <w:t xml:space="preserve"> </w:t>
      </w:r>
    </w:p>
    <w:p>
      <w:pPr>
        <w:pStyle w:val="24"/>
        <w:spacing w:line="640" w:lineRule="exact"/>
        <w:ind w:firstLineChars="200" w:firstLine="640"/>
        <w:rPr>
          <w:rFonts w:cs="Times New Roman"/>
          <w:sz w:val="32"/>
          <w:szCs w:val="32"/>
        </w:rPr>
      </w:pPr>
      <w:r>
        <w:rPr>
          <w:sz w:val="32"/>
          <w:szCs w:val="32"/>
        </w:rPr>
        <w:t>8.</w:t>
      </w:r>
      <w:r>
        <w:rPr>
          <w:rFonts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bookmarkStart w:id="43" w:name="_Toc15396614"/>
    </w:p>
    <w:p/>
    <w:p/>
    <w:p/>
    <w:p/>
    <w:p/>
    <w:p/>
    <w:p/>
    <w:p/>
    <w:p/>
    <w:p/>
    <w:p/>
    <w:p/>
    <w:p/>
    <w:p/>
    <w:p/>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numPr>
          <w:ilvl w:val="0"/>
          <w:numId w:val="3"/>
        </w:numPr>
        <w:spacing w:line="600" w:lineRule="exact"/>
        <w:jc w:val="center"/>
        <w:outlineLvl w:val="0"/>
        <w:rPr>
          <w:rFonts w:ascii="黑体" w:eastAsia="黑体"/>
          <w:b/>
          <w:bCs/>
          <w:kern w:val="44"/>
          <w:sz w:val="44"/>
          <w:szCs w:val="44"/>
        </w:rPr>
      </w:pPr>
      <w:r>
        <w:rPr>
          <w:rFonts w:ascii="黑体" w:eastAsia="黑体" w:cs="黑体" w:hint="eastAsia"/>
          <w:b/>
          <w:bCs/>
          <w:kern w:val="44"/>
          <w:sz w:val="44"/>
          <w:szCs w:val="44"/>
        </w:rPr>
        <w:t>附件</w:t>
      </w:r>
      <w:bookmarkEnd w:id="43"/>
    </w:p>
    <w:p>
      <w:pPr>
        <w:spacing w:line="600" w:lineRule="exact"/>
        <w:jc w:val="center"/>
        <w:outlineLvl w:val="0"/>
        <w:rPr>
          <w:rFonts w:ascii="黑体" w:eastAsia="黑体"/>
          <w:b/>
          <w:bCs/>
          <w:kern w:val="44"/>
          <w:sz w:val="44"/>
          <w:szCs w:val="44"/>
        </w:rPr>
      </w:pPr>
    </w:p>
    <w:p>
      <w:pPr>
        <w:spacing w:line="600" w:lineRule="exact"/>
        <w:jc w:val="left"/>
        <w:outlineLvl w:val="0"/>
        <w:rPr>
          <w:rFonts w:ascii="仿宋" w:eastAsia="仿宋"/>
          <w:kern w:val="44"/>
          <w:sz w:val="32"/>
          <w:szCs w:val="32"/>
        </w:rPr>
      </w:pPr>
      <w:r>
        <w:rPr>
          <w:rFonts w:ascii="黑体" w:eastAsia="黑体" w:cs="黑体"/>
          <w:b/>
          <w:bCs/>
          <w:kern w:val="44"/>
          <w:sz w:val="44"/>
          <w:szCs w:val="44"/>
        </w:rPr>
        <w:t xml:space="preserve"> </w:t>
      </w:r>
      <w:r>
        <w:rPr>
          <w:rFonts w:ascii="黑体" w:eastAsia="黑体" w:cs="黑体"/>
          <w:kern w:val="44"/>
          <w:sz w:val="32"/>
          <w:szCs w:val="32"/>
        </w:rPr>
        <w:t xml:space="preserve"> </w:t>
      </w:r>
      <w:r>
        <w:rPr>
          <w:rFonts w:ascii="仿宋" w:eastAsia="仿宋" w:cs="仿宋" w:hint="eastAsia"/>
          <w:kern w:val="44"/>
          <w:sz w:val="32"/>
          <w:szCs w:val="32"/>
        </w:rPr>
        <w:t>部门预算项目支出绩效自评表（</w:t>
      </w:r>
      <w:r>
        <w:rPr>
          <w:rFonts w:ascii="仿宋" w:eastAsia="仿宋" w:cs="仿宋"/>
          <w:kern w:val="44"/>
          <w:sz w:val="32"/>
          <w:szCs w:val="32"/>
        </w:rPr>
        <w:t>2022</w:t>
      </w:r>
      <w:r>
        <w:rPr>
          <w:rFonts w:ascii="仿宋" w:eastAsia="仿宋" w:cs="仿宋" w:hint="eastAsia"/>
          <w:kern w:val="44"/>
          <w:sz w:val="32"/>
          <w:szCs w:val="32"/>
        </w:rPr>
        <w:t>年度）见附件</w:t>
      </w:r>
      <w:r>
        <w:rPr>
          <w:rFonts w:ascii="仿宋" w:eastAsia="仿宋" w:cs="仿宋"/>
          <w:kern w:val="44"/>
          <w:sz w:val="32"/>
          <w:szCs w:val="32"/>
        </w:rPr>
        <w:t>2</w:t>
      </w:r>
    </w:p>
    <w:p>
      <w:pPr>
        <w:spacing w:line="600" w:lineRule="exact"/>
        <w:jc w:val="center"/>
        <w:outlineLvl w:val="0"/>
        <w:rPr>
          <w:rFonts w:ascii="仿宋" w:eastAsia="仿宋"/>
          <w:b/>
          <w:bCs/>
          <w:kern w:val="44"/>
          <w:sz w:val="32"/>
          <w:szCs w:val="32"/>
        </w:rPr>
      </w:pPr>
    </w:p>
    <w:p>
      <w:pPr>
        <w:spacing w:line="600" w:lineRule="exact"/>
        <w:jc w:val="center"/>
        <w:outlineLvl w:val="0"/>
        <w:rPr>
          <w:rFonts w:ascii="黑体" w:eastAsia="黑体"/>
          <w:b/>
          <w:bCs/>
          <w:kern w:val="44"/>
          <w:sz w:val="44"/>
          <w:szCs w:val="44"/>
        </w:rPr>
      </w:pPr>
    </w:p>
    <w:p>
      <w:pPr>
        <w:spacing w:line="600" w:lineRule="exact"/>
        <w:jc w:val="center"/>
        <w:outlineLvl w:val="0"/>
        <w:rPr>
          <w:rFonts w:ascii="黑体" w:eastAsia="黑体"/>
          <w:b/>
          <w:bCs/>
          <w:kern w:val="44"/>
          <w:sz w:val="44"/>
          <w:szCs w:val="44"/>
        </w:rPr>
      </w:pPr>
    </w:p>
    <w:p>
      <w:pPr>
        <w:spacing w:line="440" w:lineRule="exact"/>
        <w:jc w:val="center"/>
        <w:outlineLvl w:val="0"/>
        <w:rPr>
          <w:rFonts w:ascii="宋体"/>
          <w:b/>
          <w:bCs/>
          <w:sz w:val="32"/>
          <w:szCs w:val="32"/>
        </w:rPr>
      </w:pPr>
    </w:p>
    <w:p>
      <w:pPr>
        <w:spacing w:line="600" w:lineRule="exact"/>
        <w:jc w:val="center"/>
        <w:outlineLvl w:val="0"/>
        <w:rPr>
          <w:rFonts w:ascii="黑体" w:eastAsia="黑体"/>
          <w:sz w:val="44"/>
          <w:szCs w:val="44"/>
        </w:rPr>
      </w:pPr>
      <w:bookmarkStart w:id="44" w:name="_Toc15396618"/>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黑体" w:eastAsia="黑体"/>
          <w:sz w:val="44"/>
          <w:szCs w:val="44"/>
        </w:rPr>
      </w:pPr>
    </w:p>
    <w:p>
      <w:pPr>
        <w:spacing w:line="600" w:lineRule="exact"/>
        <w:jc w:val="center"/>
        <w:outlineLvl w:val="0"/>
        <w:rPr>
          <w:rFonts w:ascii="仿宋" w:eastAsia="仿宋"/>
        </w:rPr>
      </w:pPr>
      <w:r>
        <w:rPr>
          <w:rFonts w:ascii="黑体" w:eastAsia="黑体" w:cs="黑体" w:hint="eastAsia"/>
          <w:sz w:val="44"/>
          <w:szCs w:val="44"/>
        </w:rPr>
        <w:t>第</w:t>
      </w:r>
      <w:r>
        <w:rPr>
          <w:rFonts w:ascii="黑体" w:eastAsia="黑体" w:cs="黑体" w:hint="eastAsia"/>
          <w:b/>
          <w:bCs/>
          <w:kern w:val="44"/>
          <w:sz w:val="44"/>
          <w:szCs w:val="44"/>
        </w:rPr>
        <w:t>五部分</w:t>
      </w:r>
      <w:r>
        <w:rPr>
          <w:rFonts w:ascii="黑体" w:eastAsia="黑体" w:cs="黑体"/>
          <w:b/>
          <w:bCs/>
          <w:kern w:val="44"/>
          <w:sz w:val="44"/>
          <w:szCs w:val="44"/>
        </w:rPr>
        <w:t xml:space="preserve"> </w:t>
      </w:r>
      <w:r>
        <w:rPr>
          <w:rFonts w:ascii="黑体" w:eastAsia="黑体" w:cs="黑体" w:hint="eastAsia"/>
          <w:b/>
          <w:bCs/>
          <w:kern w:val="44"/>
          <w:sz w:val="44"/>
          <w:szCs w:val="44"/>
        </w:rPr>
        <w:t>附表</w:t>
      </w:r>
      <w:bookmarkStart w:id="45" w:name="_Toc15396619"/>
      <w:bookmarkEnd w:id="44"/>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一、收入支出决算总表</w:t>
      </w:r>
      <w:bookmarkEnd w:id="45"/>
    </w:p>
    <w:p>
      <w:pPr>
        <w:keepNext/>
        <w:keepLines/>
        <w:widowControl w:val="0"/>
        <w:spacing w:before="260" w:after="260" w:line="560" w:lineRule="exact"/>
        <w:outlineLvl w:val="1"/>
        <w:rPr>
          <w:rFonts w:ascii="仿宋" w:eastAsia="仿宋"/>
          <w:sz w:val="32"/>
          <w:szCs w:val="32"/>
        </w:rPr>
      </w:pPr>
      <w:bookmarkStart w:id="46" w:name="_Toc15396620"/>
      <w:r>
        <w:rPr>
          <w:rFonts w:ascii="仿宋" w:eastAsia="仿宋" w:cs="仿宋" w:hint="eastAsia"/>
          <w:sz w:val="32"/>
          <w:szCs w:val="32"/>
        </w:rPr>
        <w:t>二、收入决算表</w:t>
      </w:r>
      <w:bookmarkEnd w:id="46"/>
    </w:p>
    <w:p>
      <w:pPr>
        <w:keepNext/>
        <w:keepLines/>
        <w:widowControl w:val="0"/>
        <w:spacing w:before="260" w:after="260" w:line="560" w:lineRule="exact"/>
        <w:outlineLvl w:val="1"/>
        <w:rPr>
          <w:rFonts w:ascii="仿宋" w:eastAsia="仿宋"/>
          <w:sz w:val="32"/>
          <w:szCs w:val="32"/>
        </w:rPr>
      </w:pPr>
      <w:bookmarkStart w:id="47" w:name="_Toc15396621"/>
      <w:r>
        <w:rPr>
          <w:rFonts w:ascii="仿宋" w:eastAsia="仿宋" w:cs="仿宋" w:hint="eastAsia"/>
          <w:sz w:val="32"/>
          <w:szCs w:val="32"/>
        </w:rPr>
        <w:t>三、支出决算表</w:t>
      </w:r>
      <w:bookmarkEnd w:id="47"/>
    </w:p>
    <w:p>
      <w:pPr>
        <w:keepNext/>
        <w:keepLines/>
        <w:widowControl w:val="0"/>
        <w:spacing w:before="260" w:after="260" w:line="560" w:lineRule="exact"/>
        <w:outlineLvl w:val="1"/>
        <w:rPr>
          <w:rFonts w:ascii="仿宋" w:eastAsia="仿宋"/>
          <w:sz w:val="32"/>
          <w:szCs w:val="32"/>
        </w:rPr>
      </w:pPr>
      <w:bookmarkStart w:id="48" w:name="_Toc15396622"/>
      <w:r>
        <w:rPr>
          <w:rFonts w:ascii="仿宋" w:eastAsia="仿宋" w:cs="仿宋" w:hint="eastAsia"/>
          <w:sz w:val="32"/>
          <w:szCs w:val="32"/>
        </w:rPr>
        <w:t>四、财政拨款收入支出决算总表</w:t>
      </w:r>
      <w:bookmarkEnd w:id="48"/>
    </w:p>
    <w:p>
      <w:pPr>
        <w:keepNext/>
        <w:keepLines/>
        <w:widowControl w:val="0"/>
        <w:spacing w:before="260" w:after="260" w:line="560" w:lineRule="exact"/>
        <w:outlineLvl w:val="1"/>
        <w:rPr>
          <w:rFonts w:ascii="仿宋" w:eastAsia="仿宋"/>
          <w:sz w:val="32"/>
          <w:szCs w:val="32"/>
        </w:rPr>
      </w:pPr>
      <w:bookmarkStart w:id="49" w:name="_Toc15396623"/>
      <w:r>
        <w:rPr>
          <w:rFonts w:ascii="仿宋" w:eastAsia="仿宋" w:cs="仿宋" w:hint="eastAsia"/>
          <w:sz w:val="32"/>
          <w:szCs w:val="32"/>
        </w:rPr>
        <w:t>五、财政拨款支出决算明细表</w:t>
      </w:r>
      <w:bookmarkStart w:id="50" w:name="_Toc15396624"/>
      <w:bookmarkEnd w:id="49"/>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六、一般公共预算财政拨款支出决算表</w:t>
      </w:r>
      <w:bookmarkEnd w:id="50"/>
    </w:p>
    <w:p>
      <w:pPr>
        <w:keepNext/>
        <w:keepLines/>
        <w:widowControl w:val="0"/>
        <w:spacing w:before="260" w:after="260" w:line="560" w:lineRule="exact"/>
        <w:outlineLvl w:val="1"/>
        <w:rPr>
          <w:rFonts w:ascii="仿宋" w:eastAsia="仿宋"/>
          <w:sz w:val="32"/>
          <w:szCs w:val="32"/>
        </w:rPr>
      </w:pPr>
      <w:bookmarkStart w:id="51" w:name="_Toc15396625"/>
      <w:r>
        <w:rPr>
          <w:rFonts w:ascii="仿宋" w:eastAsia="仿宋" w:cs="仿宋" w:hint="eastAsia"/>
          <w:sz w:val="32"/>
          <w:szCs w:val="32"/>
        </w:rPr>
        <w:t>七、一般公共预算财政拨款支出决算明细表</w:t>
      </w:r>
      <w:bookmarkEnd w:id="51"/>
    </w:p>
    <w:p>
      <w:pPr>
        <w:keepNext/>
        <w:keepLines/>
        <w:widowControl w:val="0"/>
        <w:spacing w:before="260" w:after="260" w:line="560" w:lineRule="exact"/>
        <w:outlineLvl w:val="1"/>
        <w:rPr>
          <w:rFonts w:ascii="仿宋" w:eastAsia="仿宋"/>
          <w:sz w:val="32"/>
          <w:szCs w:val="32"/>
        </w:rPr>
      </w:pPr>
      <w:bookmarkStart w:id="52" w:name="_Toc15396626"/>
      <w:r>
        <w:rPr>
          <w:rFonts w:ascii="仿宋" w:eastAsia="仿宋" w:cs="仿宋" w:hint="eastAsia"/>
          <w:sz w:val="32"/>
          <w:szCs w:val="32"/>
        </w:rPr>
        <w:t>八、一般公共预算财政拨款基本支出决算表</w:t>
      </w:r>
      <w:bookmarkEnd w:id="52"/>
    </w:p>
    <w:p>
      <w:pPr>
        <w:keepNext/>
        <w:keepLines/>
        <w:widowControl w:val="0"/>
        <w:spacing w:before="260" w:after="260" w:line="560" w:lineRule="exact"/>
        <w:outlineLvl w:val="1"/>
        <w:rPr>
          <w:rFonts w:ascii="仿宋" w:eastAsia="仿宋"/>
          <w:sz w:val="32"/>
          <w:szCs w:val="32"/>
        </w:rPr>
      </w:pPr>
      <w:bookmarkStart w:id="53" w:name="_Toc15396627"/>
      <w:r>
        <w:rPr>
          <w:rFonts w:ascii="仿宋" w:eastAsia="仿宋" w:cs="仿宋" w:hint="eastAsia"/>
          <w:sz w:val="32"/>
          <w:szCs w:val="32"/>
        </w:rPr>
        <w:t>九、一般公共预算财政拨款项目支出决算表</w:t>
      </w:r>
      <w:bookmarkEnd w:id="53"/>
    </w:p>
    <w:p>
      <w:pPr>
        <w:keepNext/>
        <w:keepLines/>
        <w:widowControl w:val="0"/>
        <w:spacing w:before="260" w:after="260" w:line="560" w:lineRule="exact"/>
        <w:outlineLvl w:val="1"/>
        <w:rPr>
          <w:rFonts w:ascii="仿宋" w:eastAsia="仿宋"/>
          <w:sz w:val="32"/>
          <w:szCs w:val="32"/>
        </w:rPr>
      </w:pPr>
      <w:bookmarkStart w:id="54" w:name="_Toc15396628"/>
      <w:r>
        <w:rPr>
          <w:rFonts w:ascii="仿宋" w:eastAsia="仿宋" w:cs="仿宋" w:hint="eastAsia"/>
          <w:sz w:val="32"/>
          <w:szCs w:val="32"/>
        </w:rPr>
        <w:t>十、</w:t>
      </w:r>
      <w:bookmarkEnd w:id="54"/>
      <w:r>
        <w:rPr>
          <w:rFonts w:ascii="仿宋" w:eastAsia="仿宋" w:cs="仿宋" w:hint="eastAsia"/>
          <w:sz w:val="32"/>
          <w:szCs w:val="32"/>
        </w:rPr>
        <w:t>政府性基金预算财政拨款收入支出决算表</w:t>
      </w:r>
      <w:r>
        <w:rPr>
          <w:rFonts w:ascii="仿宋" w:eastAsia="仿宋" w:cs="仿宋"/>
          <w:sz w:val="32"/>
          <w:szCs w:val="32"/>
        </w:rPr>
        <w:t>(</w:t>
      </w:r>
      <w:r>
        <w:rPr>
          <w:rFonts w:ascii="仿宋" w:eastAsia="仿宋" w:cs="仿宋" w:hint="eastAsia"/>
          <w:sz w:val="32"/>
          <w:szCs w:val="32"/>
        </w:rPr>
        <w:t>此表无数据）</w:t>
      </w:r>
    </w:p>
    <w:p>
      <w:pPr>
        <w:keepNext/>
        <w:keepLines/>
        <w:widowControl w:val="0"/>
        <w:spacing w:before="260" w:after="260" w:line="560" w:lineRule="exact"/>
        <w:outlineLvl w:val="1"/>
        <w:rPr>
          <w:rFonts w:ascii="仿宋" w:eastAsia="仿宋"/>
          <w:sz w:val="32"/>
          <w:szCs w:val="32"/>
        </w:rPr>
      </w:pPr>
      <w:bookmarkStart w:id="55" w:name="_Toc15396629"/>
      <w:r>
        <w:rPr>
          <w:rFonts w:ascii="仿宋" w:eastAsia="仿宋" w:cs="仿宋" w:hint="eastAsia"/>
          <w:sz w:val="32"/>
          <w:szCs w:val="32"/>
        </w:rPr>
        <w:t>十一、</w:t>
      </w:r>
      <w:bookmarkStart w:id="56" w:name="_Toc15396631"/>
      <w:bookmarkEnd w:id="55"/>
      <w:r>
        <w:rPr>
          <w:rFonts w:ascii="仿宋" w:eastAsia="仿宋" w:cs="仿宋" w:hint="eastAsia"/>
          <w:sz w:val="32"/>
          <w:szCs w:val="32"/>
        </w:rPr>
        <w:t>国有资本经营预算财政拨款收入支出决算表</w:t>
      </w:r>
      <w:bookmarkEnd w:id="56"/>
      <w:r>
        <w:rPr>
          <w:rFonts w:ascii="仿宋" w:eastAsia="仿宋" w:cs="仿宋"/>
          <w:sz w:val="32"/>
          <w:szCs w:val="32"/>
        </w:rPr>
        <w:t>(</w:t>
      </w:r>
      <w:r>
        <w:rPr>
          <w:rFonts w:ascii="仿宋" w:eastAsia="仿宋" w:cs="仿宋" w:hint="eastAsia"/>
          <w:sz w:val="32"/>
          <w:szCs w:val="32"/>
        </w:rPr>
        <w:t>此表无数据）</w:t>
      </w:r>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十</w:t>
      </w:r>
      <w:bookmarkStart w:id="57" w:name="_Toc15396630"/>
      <w:r>
        <w:rPr>
          <w:rFonts w:ascii="仿宋" w:eastAsia="仿宋" w:cs="仿宋" w:hint="eastAsia"/>
          <w:sz w:val="32"/>
          <w:szCs w:val="32"/>
        </w:rPr>
        <w:t>二、国有资本经营预算财政拨款支出决算表</w:t>
      </w:r>
      <w:r>
        <w:rPr>
          <w:rFonts w:ascii="仿宋" w:eastAsia="仿宋" w:cs="仿宋"/>
          <w:sz w:val="32"/>
          <w:szCs w:val="32"/>
        </w:rPr>
        <w:t>(</w:t>
      </w:r>
      <w:r>
        <w:rPr>
          <w:rFonts w:ascii="仿宋" w:eastAsia="仿宋" w:cs="仿宋" w:hint="eastAsia"/>
          <w:sz w:val="32"/>
          <w:szCs w:val="32"/>
        </w:rPr>
        <w:t>此表无数据）</w:t>
      </w:r>
    </w:p>
    <w:p>
      <w:pPr>
        <w:keepNext/>
        <w:keepLines/>
        <w:widowControl w:val="0"/>
        <w:spacing w:before="260" w:after="260" w:line="560" w:lineRule="exact"/>
        <w:outlineLvl w:val="1"/>
        <w:rPr>
          <w:rFonts w:ascii="仿宋" w:eastAsia="仿宋"/>
          <w:sz w:val="32"/>
          <w:szCs w:val="32"/>
        </w:rPr>
      </w:pPr>
      <w:r>
        <w:rPr>
          <w:rFonts w:ascii="仿宋" w:eastAsia="仿宋" w:cs="仿宋" w:hint="eastAsia"/>
          <w:sz w:val="32"/>
          <w:szCs w:val="32"/>
        </w:rPr>
        <w:t>十三、</w:t>
      </w:r>
      <w:bookmarkEnd w:id="57"/>
      <w:r>
        <w:rPr>
          <w:rFonts w:ascii="仿宋" w:eastAsia="仿宋" w:cs="仿宋" w:hint="eastAsia"/>
          <w:sz w:val="32"/>
          <w:szCs w:val="32"/>
        </w:rPr>
        <w:t>一般公共预算财政拨款“三公”经费支出决算表</w:t>
      </w:r>
    </w:p>
    <w:p>
      <w:pPr>
        <w:keepNext/>
        <w:keepLines/>
        <w:widowControl w:val="0"/>
        <w:spacing w:before="260" w:after="260" w:line="560" w:lineRule="exact"/>
        <w:outlineLvl w:val="1"/>
        <w:rPr>
          <w:rFonts w:ascii="仿宋" w:eastAsia="仿宋"/>
          <w:sz w:val="32"/>
          <w:szCs w:val="32"/>
        </w:rPr>
      </w:pPr>
    </w:p>
    <w:sectPr>
      <w:footerReference w:type="default" r:id="rId2"/>
      <w:footerReference w:type="firs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仿宋_GB2312"/>
    <w:panose1 w:val="00000000000000000000"/>
    <w:charset w:val="86"/>
    <w:family w:val="script"/>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pitch w:val="variable"/>
    <w:sig w:usb0="00000001" w:usb1="080E0000" w:usb2="00000010" w:usb3="00000000" w:csb0="00040000" w:csb1="00000000"/>
  </w:font>
  <w:font w:name="楷体">
    <w:altName w:val="宋体"/>
    <w:panose1 w:val="00000000000000000000"/>
    <w:charset w:val="86"/>
    <w:family w:val="modern"/>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rPr>
        <w:rFonts w:cs="Times New Roman"/>
      </w:rPr>
    </w:pPr>
    <w:r>
      <w:rPr>
        <w:rFonts w:ascii="宋体" w:cs="宋体"/>
        <w:sz w:val="24"/>
        <w:szCs w:val="24"/>
      </w:rPr>
      <w:fldChar w:fldCharType="begin"/>
    </w:r>
    <w:r>
      <w:rPr>
        <w:rFonts w:ascii="宋体" w:cs="宋体"/>
        <w:sz w:val="24"/>
        <w:szCs w:val="24"/>
      </w:rPr>
      <w:instrText>PAGE   \* MERGEFORMAT</w:instrText>
    </w:r>
    <w:r>
      <w:rPr>
        <w:rFonts w:ascii="宋体" w:cs="宋体"/>
        <w:sz w:val="24"/>
        <w:szCs w:val="24"/>
      </w:rPr>
      <w:fldChar w:fldCharType="separate"/>
    </w:r>
    <w:r>
      <w:rPr>
        <w:rFonts w:ascii="宋体" w:cs="宋体"/>
        <w:sz w:val="24"/>
        <w:szCs w:val="24"/>
        <w:lang w:val="zh-CN"/>
      </w:rPr>
      <w:t>15</w:t>
    </w:r>
    <w:r>
      <w:rPr>
        <w:rFonts w:ascii="宋体" w:cs="宋体"/>
        <w:sz w:val="24"/>
        <w:szCs w:val="24"/>
      </w:rPr>
      <w:fldChar w:fldCharType="end"/>
    </w:r>
  </w:p>
  <w:p>
    <w:pPr>
      <w:pStyle w:val="18"/>
      <w:tabs>
        <w:tab w:val="center" w:pos="4153"/>
        <w:tab w:val="right" w:pos="8306"/>
      </w:tabs>
      <w:jc w:val="center"/>
      <w:rPr>
        <w:rFonts w:cs="Times New Roman"/>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rPr>
        <w:rFonts w:cs="Times New Roman"/>
      </w:rPr>
    </w:pPr>
  </w:p>
  <w:p>
    <w:pPr>
      <w:pStyle w:val="18"/>
      <w:tabs>
        <w:tab w:val="center" w:pos="4153"/>
        <w:tab w:val="right" w:pos="8306"/>
      </w:tabs>
      <w:rPr>
        <w:rFonts w:cs="Times New Roman"/>
      </w:rPr>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2">
    <w:nsid w:val="378432BA"/>
    <w:multiLevelType w:val="singleLevel"/>
    <w:tmpl w:val="378432BA"/>
    <w:lvl w:ilvl="0">
      <w:start w:val="4"/>
      <w:numFmt w:val="chineseCounting"/>
      <w:lvlRestart w:val="0"/>
      <w:suff w:val="space"/>
      <w:lvlText w:val="第%1部分"/>
      <w:lvlJc w:val="left"/>
      <w:pPr>
        <w:ind w:left="0" w:hanging="0"/>
      </w:pPr>
      <w:rPr>
        <w:rFonts w:hint="eastAsia"/>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docVars>
    <w:docVar w:name="commondata" w:val="eyJoZGlkIjoiYWNlMzViMzY2NDAyYTMyZTIwMmZmY2YzNmM4ZmJkZGI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cs="Cambria" w:hAnsi="Cambria"/>
      <w:b/>
      <w:bCs/>
      <w:sz w:val="32"/>
      <w:szCs w:val="32"/>
    </w:rPr>
  </w:style>
  <w:style w:type="character" w:customStyle="1" w:styleId="2Char">
    <w:name w:val="heading 2 Char"/>
    <w:basedOn w:val="10"/>
    <w:link w:val="2"/>
    <w:rPr>
      <w:rFonts w:ascii="Cambria" w:eastAsia="宋体" w:cs="Cambria"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cs="仿宋_GB2312"/>
      <w:kern w:val="0"/>
      <w:sz w:val="24"/>
      <w:szCs w:val="24"/>
    </w:rPr>
  </w:style>
  <w:style w:type="paragraph" w:styleId="16">
    <w:name w:val="toc 3"/>
    <w:basedOn w:val="0"/>
    <w:autoRedefine/>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cs="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cs="Calibri" w:hAnsi="Calibri"/>
      <w:kern w:val="0"/>
      <w:sz w:val="18"/>
      <w:szCs w:val="18"/>
    </w:rPr>
  </w:style>
  <w:style w:type="paragraph" w:styleId="20">
    <w:name w:val="toc 1"/>
    <w:basedOn w:val="0"/>
    <w:autoRedefine/>
    <w:next w:val="0"/>
    <w:pPr>
      <w:tabs>
        <w:tab w:val="right" w:leader="dot" w:pos="8296"/>
      </w:tabs>
      <w:spacing w:before="93"/>
      <w:jc w:val="center"/>
    </w:pPr>
    <w:rPr>
      <w:rFonts w:ascii="仿宋" w:eastAsia="仿宋" w:cs="仿宋"/>
      <w:sz w:val="28"/>
      <w:szCs w:val="28"/>
    </w:rPr>
  </w:style>
  <w:style w:type="paragraph" w:styleId="21">
    <w:name w:val="toc 2"/>
    <w:basedOn w:val="0"/>
    <w:autoRedefine/>
    <w:next w:val="0"/>
    <w:pPr>
      <w:tabs>
        <w:tab w:val="right" w:leader="dot" w:pos="8296"/>
      </w:tabs>
      <w:ind w:leftChars="200" w:left="200"/>
    </w:pPr>
  </w:style>
  <w:style w:type="character" w:styleId="22">
    <w:name w:val="Strong"/>
    <w:basedOn w:val="10"/>
    <w:rPr>
      <w:b/>
      <w:bCs/>
    </w:rPr>
  </w:style>
  <w:style w:type="character" w:styleId="23">
    <w:name w:val="Hyperlink"/>
    <w:basedOn w:val="10"/>
    <w:rPr>
      <w:color w:val="0000FF"/>
      <w:u w:val="single"/>
    </w:rPr>
  </w:style>
  <w:style w:type="paragraph" w:customStyle="1" w:styleId="24">
    <w:name w:val="Default"/>
    <w:pPr>
      <w:widowControl w:val="0"/>
      <w:autoSpaceDE w:val="0"/>
      <w:autoSpaceDN w:val="0"/>
      <w:adjustRightInd w:val="0"/>
    </w:pPr>
    <w:rPr>
      <w:rFonts w:ascii="仿宋" w:eastAsia="仿宋" w:cs="仿宋"/>
      <w:color w:val="000000"/>
      <w:kern w:val="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cs="Cambria" w:hAnsi="Cambria"/>
      <w:color w:val="365F91"/>
      <w:kern w:val="0"/>
      <w:sz w:val="28"/>
      <w:szCs w:val="28"/>
    </w:rPr>
  </w:style>
  <w:style w:type="paragraph" w:customStyle="1" w:styleId="27">
    <w:name w:val="Char Char"/>
    <w:basedOn w:val="0"/>
    <w:pPr>
      <w:widowControl/>
      <w:spacing w:after="160" w:line="240" w:lineRule="exact"/>
      <w:jc w:val="left"/>
    </w:pPr>
  </w:style>
  <w:style w:type="paragraph" w:customStyle="1" w:styleId="28">
    <w:name w:val="Char Char Char Char Char Char Char Char Char Char Char Char Char Char Char Char Char Char Char Char Char Char Char Char Char Char Char Char Char Char Char Char Char"/>
    <w:basedOn w:val="0"/>
    <w:pPr>
      <w:widowControl/>
      <w:spacing w:after="160" w:line="240" w:lineRule="exact"/>
      <w:jc w:val="left"/>
    </w:pPr>
    <w:rPr>
      <w:rFonts w:ascii="Verdana" w:eastAsia="仿宋_GB2312" w:cs="Verdana" w:hAnsi="Verdana"/>
      <w:kern w:val="0"/>
      <w:sz w:val="24"/>
      <w:szCs w:val="24"/>
    </w:rPr>
  </w:style>
  <w:style w:type="paragraph" w:customStyle="1" w:styleId="29">
    <w:name w:val="Char"/>
    <w:basedOn w:val="0"/>
    <w:pPr>
      <w:spacing w:line="240" w:lineRule="atLeast"/>
      <w:ind w:left="420" w:firstLine="420"/>
    </w:pPr>
    <w:rPr>
      <w:kern w:val="0"/>
    </w:rPr>
  </w:style>
  <w:style w:type="paragraph" w:customStyle="1" w:styleId="30">
    <w:name w:val="Char Char1"/>
    <w:basedOn w:val="0"/>
    <w:pPr>
      <w:widowControl/>
      <w:spacing w:after="160" w:line="240" w:lineRule="exact"/>
      <w:jc w:val="left"/>
    </w:pPr>
  </w:style>
  <w:style w:type="character" w:customStyle="1" w:styleId="31">
    <w:name w:val="font71"/>
    <w:basedOn w:val="10"/>
    <w:rPr>
      <w:rFonts w:ascii="Times New Roman" w:eastAsia="楷体_GB2312" w:cs="Times New Roman" w:hAnsi="Times New Roman"/>
      <w:sz w:val="21"/>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emf"/><Relationship Id="rId5" Type="http://schemas.openxmlformats.org/officeDocument/2006/relationships/oleObject" Target="embeddings/oleObject1.bin"/><Relationship Id="rId6" Type="http://schemas.openxmlformats.org/officeDocument/2006/relationships/image" Target="media/4.emf"/><Relationship Id="rId7" Type="http://schemas.openxmlformats.org/officeDocument/2006/relationships/oleObject" Target="embeddings/oleObject2.bin"/><Relationship Id="rId8" Type="http://schemas.openxmlformats.org/officeDocument/2006/relationships/image" Target="media/6.emf"/><Relationship Id="rId9" Type="http://schemas.openxmlformats.org/officeDocument/2006/relationships/oleObject" Target="embeddings/oleObject3.bin"/><Relationship Id="rId10" Type="http://schemas.openxmlformats.org/officeDocument/2006/relationships/image" Target="media/8.emf"/><Relationship Id="rId11" Type="http://schemas.openxmlformats.org/officeDocument/2006/relationships/oleObject" Target="embeddings/oleObject4.bin"/><Relationship Id="rId12" Type="http://schemas.openxmlformats.org/officeDocument/2006/relationships/image" Target="media/10.emf"/><Relationship Id="rId13" Type="http://schemas.openxmlformats.org/officeDocument/2006/relationships/oleObject" Target="embeddings/oleObject5.bin"/><Relationship Id="rId14" Type="http://schemas.openxmlformats.org/officeDocument/2006/relationships/image" Target="media/12.emf"/><Relationship Id="rId15" Type="http://schemas.openxmlformats.org/officeDocument/2006/relationships/oleObject" Target="embeddings/oleObject6.bin"/><Relationship Id="rId16" Type="http://schemas.openxmlformats.org/officeDocument/2006/relationships/image" Target="media/14.emf"/><Relationship Id="rId17" Type="http://schemas.openxmlformats.org/officeDocument/2006/relationships/oleObject" Target="embeddings/oleObject7.bin"/><Relationship Id="rId18" Type="http://schemas.openxmlformats.org/officeDocument/2006/relationships/styles" Target="styles.xml"/><Relationship Id="rId19" Type="http://schemas.openxmlformats.org/officeDocument/2006/relationships/numbering" Target="numbering.xml"/><Relationship Id="rId20" Type="http://schemas.openxmlformats.org/officeDocument/2006/relationships/fontTable" Target="fontTable.xml"/></Relationships>
</file>

<file path=docProps/app.xml><?xml version="1.0" encoding="utf-8"?>
<Properties xmlns="http://schemas.openxmlformats.org/officeDocument/2006/extended-properties">
  <Template>Normal.eit</Template>
  <TotalTime>52</TotalTime>
  <Application>Yozo_Office27021597764231179</Application>
  <Pages>16</Pages>
  <Words>3876</Words>
  <Characters>4198</Characters>
  <Lines>328</Lines>
  <Paragraphs>122</Paragraphs>
  <CharactersWithSpaces>4262</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42</cp:revision>
  <cp:lastPrinted>2022-09-02T08:16:00Z</cp:lastPrinted>
  <dcterms:created xsi:type="dcterms:W3CDTF">2022-08-30T01:43:00Z</dcterms:created>
  <dcterms:modified xsi:type="dcterms:W3CDTF">2023-09-15T08:45:57Z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2052-12.1.0.15374</vt:lpwstr>
  </property>
  <property fmtid="{D5CDD505-2E9C-101B-9397-08002B2CF9AE}" pid="3" name="ICV">
    <vt:lpwstr>C97AB9BA64814BB4B756C98A6DA3A14D_13</vt:lpwstr>
  </property>
</Properties>
</file>