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left"/>
        <w:outlineLvl w:val="0"/>
        <w:rPr>
          <w:rFonts w:ascii="方正小标宋简体" w:eastAsia="方正小标宋简体"/>
        </w:rPr>
      </w:pPr>
      <w:bookmarkStart w:id="0" w:name="_Toc15306267"/>
    </w:p>
    <w:p>
      <w:pPr>
        <w:spacing w:line="600" w:lineRule="exact"/>
        <w:jc w:val="center"/>
        <w:outlineLvl w:val="0"/>
        <w:rPr>
          <w:rFonts w:ascii="方正小标宋简体" w:eastAsia="方正小标宋简体"/>
          <w:sz w:val="72"/>
          <w:szCs w:val="72"/>
        </w:rPr>
      </w:pPr>
    </w:p>
    <w:p>
      <w:pPr>
        <w:spacing w:line="600" w:lineRule="exact"/>
        <w:jc w:val="center"/>
        <w:outlineLvl w:val="0"/>
        <w:rPr>
          <w:rFonts w:ascii="方正小标宋简体" w:eastAsia="方正小标宋简体"/>
          <w:sz w:val="72"/>
          <w:szCs w:val="72"/>
        </w:rPr>
      </w:pPr>
    </w:p>
    <w:p>
      <w:pPr>
        <w:adjustRightInd w:val="0"/>
        <w:snapToGrid w:val="0"/>
        <w:spacing w:line="360" w:lineRule="auto"/>
        <w:jc w:val="center"/>
        <w:outlineLvl w:val="0"/>
        <w:rPr>
          <w:rFonts w:ascii="方正小标宋简体" w:eastAsia="方正小标宋简体"/>
          <w:sz w:val="72"/>
          <w:szCs w:val="72"/>
        </w:rPr>
      </w:pPr>
      <w:bookmarkStart w:id="1" w:name="_Toc15396475"/>
      <w:bookmarkStart w:id="2" w:name="_Toc15377193"/>
      <w:bookmarkStart w:id="3" w:name="_Toc15377425"/>
      <w:bookmarkStart w:id="4" w:name="_Toc15396597"/>
      <w:bookmarkStart w:id="5" w:name="_Toc15378441"/>
      <w:r>
        <w:rPr>
          <w:rFonts w:ascii="方正小标宋简体" w:eastAsia="方正小标宋简体" w:cs="方正小标宋简体"/>
          <w:sz w:val="72"/>
          <w:szCs w:val="72"/>
        </w:rPr>
        <w:t>2022</w:t>
      </w:r>
      <w:r>
        <w:rPr>
          <w:rFonts w:ascii="方正小标宋简体" w:eastAsia="方正小标宋简体" w:cs="方正小标宋简体" w:hint="eastAsia"/>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eastAsia="方正小标宋简体"/>
          <w:color w:val="000000"/>
          <w:sz w:val="72"/>
          <w:szCs w:val="72"/>
        </w:rPr>
      </w:pPr>
      <w:bookmarkEnd w:id="0"/>
      <w:r>
        <w:rPr>
          <w:rFonts w:ascii="方正小标宋简体" w:eastAsia="方正小标宋简体" w:cs="方正小标宋简体" w:hint="eastAsia"/>
          <w:sz w:val="72"/>
          <w:szCs w:val="72"/>
        </w:rPr>
        <w:t>攀枝花市</w:t>
      </w:r>
      <w:r>
        <w:rPr>
          <w:rFonts w:ascii="方正小标宋简体" w:eastAsia="方正小标宋简体" w:cs="方正小标宋简体" w:hint="eastAsia"/>
          <w:color w:val="000000"/>
          <w:sz w:val="72"/>
          <w:szCs w:val="72"/>
        </w:rPr>
        <w:t>建设工程质量</w:t>
      </w:r>
    </w:p>
    <w:p>
      <w:pPr>
        <w:adjustRightInd w:val="0"/>
        <w:snapToGrid w:val="0"/>
        <w:spacing w:line="360" w:lineRule="auto"/>
        <w:jc w:val="center"/>
        <w:outlineLvl w:val="0"/>
        <w:rPr>
          <w:rFonts w:ascii="方正小标宋简体" w:eastAsia="方正小标宋简体"/>
          <w:sz w:val="72"/>
          <w:szCs w:val="72"/>
        </w:rPr>
      </w:pPr>
      <w:bookmarkStart w:id="6" w:name="_Toc17775"/>
      <w:r>
        <w:rPr>
          <w:rFonts w:ascii="方正小标宋简体" w:eastAsia="方正小标宋简体" w:cs="方正小标宋简体" w:hint="eastAsia"/>
          <w:color w:val="000000"/>
          <w:sz w:val="72"/>
          <w:szCs w:val="72"/>
        </w:rPr>
        <w:t>安全站</w:t>
      </w:r>
      <w:r>
        <w:rPr>
          <w:rFonts w:ascii="方正小标宋简体" w:eastAsia="方正小标宋简体" w:cs="方正小标宋简体" w:hint="eastAsia"/>
          <w:sz w:val="72"/>
          <w:szCs w:val="72"/>
        </w:rPr>
        <w:t>单位决算</w:t>
      </w:r>
      <w:bookmarkEnd w:id="6"/>
    </w:p>
    <w:p>
      <w:pPr>
        <w:widowControl/>
        <w:jc w:val="center"/>
        <w:rPr>
          <w:rFonts w:ascii="黑体" w:eastAsia="黑体"/>
          <w:sz w:val="48"/>
          <w:szCs w:val="48"/>
        </w:rPr>
      </w:pPr>
      <w:r>
        <w:rPr>
          <w:rFonts w:ascii="方正小标宋简体" w:eastAsia="方正小标宋简体"/>
          <w:sz w:val="36"/>
          <w:szCs w:val="36"/>
        </w:rPr>
        <w:br w:type="page"/>
      </w:r>
      <w:r>
        <w:rPr>
          <w:rFonts w:ascii="黑体" w:eastAsia="黑体" w:cs="黑体" w:hint="eastAsia"/>
          <w:sz w:val="48"/>
          <w:szCs w:val="48"/>
        </w:rPr>
        <w:t>目录</w:t>
      </w:r>
    </w:p>
    <w:p>
      <w:pPr>
        <w:widowControl/>
        <w:jc w:val="center"/>
        <w:rPr>
          <w:rFonts w:ascii="黑体" w:eastAsia="黑体"/>
          <w:sz w:val="28"/>
          <w:szCs w:val="28"/>
        </w:rPr>
      </w:pPr>
    </w:p>
    <w:p>
      <w:pPr>
        <w:pStyle w:val="20"/>
        <w:tabs>
          <w:tab w:val="right" w:leader="dot" w:pos="8296"/>
        </w:tabs>
        <w:rPr>
          <w:rFonts w:cs="Times New Roman"/>
        </w:rPr>
      </w:pPr>
      <w:r>
        <w:rPr>
          <w:rFonts w:hint="eastAsia"/>
        </w:rPr>
        <w:t>公开时间：</w:t>
      </w:r>
      <w:r>
        <w:t>2023</w:t>
      </w:r>
      <w:r>
        <w:rPr>
          <w:rFonts w:hint="eastAsia"/>
        </w:rPr>
        <w:t>年</w:t>
      </w:r>
      <w:r>
        <w:t>9</w:t>
      </w:r>
      <w:r>
        <w:rPr>
          <w:rFonts w:hint="eastAsia"/>
        </w:rPr>
        <w:t>月</w:t>
      </w:r>
      <w:r>
        <w:t>15</w:t>
      </w:r>
      <w:bookmarkStart w:id="7" w:name="_GoBack"/>
      <w:bookmarkEnd w:id="7"/>
      <w:r>
        <w:rPr>
          <w:rFonts w:hint="eastAsia"/>
        </w:rPr>
        <w:t>日</w:t>
      </w:r>
    </w:p>
    <w:p/>
    <w:p>
      <w:pPr>
        <w:pStyle w:val="20"/>
        <w:tabs>
          <w:tab w:val="right" w:leader="dot" w:pos="8296"/>
        </w:tabs>
        <w:adjustRightInd w:val="0"/>
        <w:snapToGrid w:val="0"/>
        <w:spacing w:before="0" w:line="440" w:lineRule="exact"/>
        <w:jc w:val="left"/>
        <w:rPr>
          <w:rFonts w:cs="Times New Roman"/>
          <w:sz w:val="24"/>
          <w:szCs w:val="24"/>
        </w:rPr>
      </w:pPr>
      <w:r>
        <w:rPr>
          <w:rFonts w:hint="eastAsia"/>
          <w:sz w:val="24"/>
          <w:szCs w:val="24"/>
        </w:rPr>
        <w:t>第一部分单位概况</w:t>
      </w:r>
      <w:r>
        <w:rPr>
          <w:rFonts w:cs="Times New Roman"/>
          <w:sz w:val="24"/>
          <w:szCs w:val="24"/>
        </w:rPr>
        <w:tab/>
      </w:r>
      <w:r>
        <w:rPr>
          <w:sz w:val="24"/>
          <w:szCs w:val="24"/>
        </w:rPr>
        <w:t>4</w:t>
      </w:r>
    </w:p>
    <w:p>
      <w:pPr>
        <w:pStyle w:val="21"/>
        <w:tabs>
          <w:tab w:val="right" w:leader="dot" w:pos="8296"/>
        </w:tabs>
        <w:adjustRightInd w:val="0"/>
        <w:snapToGrid w:val="0"/>
        <w:spacing w:line="440" w:lineRule="exact"/>
        <w:jc w:val="left"/>
        <w:rPr>
          <w:sz w:val="24"/>
          <w:szCs w:val="24"/>
        </w:rPr>
      </w:pPr>
      <w:r>
        <w:rPr>
          <w:rFonts w:cs="宋体" w:hint="eastAsia"/>
          <w:sz w:val="24"/>
          <w:szCs w:val="24"/>
        </w:rPr>
        <w:t>一、主要职责</w:t>
      </w:r>
      <w:r>
        <w:rPr>
          <w:sz w:val="24"/>
          <w:szCs w:val="24"/>
        </w:rPr>
        <w:tab/>
        <w:t>4</w:t>
      </w:r>
    </w:p>
    <w:p>
      <w:pPr>
        <w:pStyle w:val="21"/>
        <w:tabs>
          <w:tab w:val="right" w:leader="dot" w:pos="8296"/>
        </w:tabs>
        <w:adjustRightInd w:val="0"/>
        <w:snapToGrid w:val="0"/>
        <w:spacing w:line="440" w:lineRule="exact"/>
        <w:jc w:val="left"/>
      </w:pPr>
      <w:r>
        <w:rPr>
          <w:rFonts w:cs="宋体" w:hint="eastAsia"/>
          <w:sz w:val="24"/>
          <w:szCs w:val="24"/>
        </w:rPr>
        <w:t>二、机构设置</w:t>
      </w:r>
      <w:r>
        <w:rPr>
          <w:sz w:val="24"/>
          <w:szCs w:val="24"/>
        </w:rPr>
        <w:tab/>
        <w:t>4</w:t>
      </w:r>
    </w:p>
    <w:p>
      <w:pPr>
        <w:pStyle w:val="20"/>
        <w:tabs>
          <w:tab w:val="right" w:leader="dot" w:pos="8296"/>
        </w:tabs>
        <w:adjustRightInd w:val="0"/>
        <w:snapToGrid w:val="0"/>
        <w:spacing w:before="0" w:line="440" w:lineRule="exact"/>
        <w:jc w:val="left"/>
        <w:rPr>
          <w:rFonts w:cs="Times New Roman"/>
          <w:sz w:val="24"/>
          <w:szCs w:val="24"/>
        </w:rPr>
      </w:pPr>
      <w:r>
        <w:rPr>
          <w:rFonts w:hint="eastAsia"/>
          <w:sz w:val="24"/>
          <w:szCs w:val="24"/>
        </w:rPr>
        <w:t>第二部分</w:t>
      </w:r>
      <w:r>
        <w:rPr>
          <w:sz w:val="24"/>
          <w:szCs w:val="24"/>
        </w:rPr>
        <w:t xml:space="preserve"> 2022</w:t>
      </w:r>
      <w:r>
        <w:rPr>
          <w:rFonts w:hint="eastAsia"/>
          <w:sz w:val="24"/>
          <w:szCs w:val="24"/>
        </w:rPr>
        <w:t>年度单位决算情况说明</w:t>
      </w:r>
      <w:r>
        <w:rPr>
          <w:rFonts w:cs="Times New Roman"/>
          <w:sz w:val="24"/>
          <w:szCs w:val="24"/>
        </w:rPr>
        <w:tab/>
      </w:r>
      <w:r>
        <w:rPr>
          <w:sz w:val="24"/>
          <w:szCs w:val="24"/>
        </w:rPr>
        <w:t>5</w:t>
      </w:r>
    </w:p>
    <w:p>
      <w:pPr>
        <w:pStyle w:val="21"/>
        <w:tabs>
          <w:tab w:val="right" w:leader="dot" w:pos="8296"/>
        </w:tabs>
        <w:adjustRightInd w:val="0"/>
        <w:snapToGrid w:val="0"/>
        <w:spacing w:line="440" w:lineRule="exact"/>
        <w:jc w:val="left"/>
        <w:rPr>
          <w:rFonts w:ascii="仿宋" w:eastAsia="仿宋"/>
          <w:sz w:val="24"/>
          <w:szCs w:val="24"/>
        </w:rPr>
      </w:pPr>
      <w:r>
        <w:rPr>
          <w:rFonts w:cs="宋体" w:hint="eastAsia"/>
          <w:sz w:val="24"/>
          <w:szCs w:val="24"/>
        </w:rPr>
        <w:t>一、收入支出决算总体情况说明</w:t>
      </w:r>
      <w:r>
        <w:rPr>
          <w:sz w:val="24"/>
          <w:szCs w:val="24"/>
        </w:rPr>
        <w:tab/>
        <w:t>5</w:t>
      </w:r>
    </w:p>
    <w:p>
      <w:pPr>
        <w:pStyle w:val="21"/>
        <w:tabs>
          <w:tab w:val="right" w:leader="dot" w:pos="8296"/>
        </w:tabs>
        <w:adjustRightInd w:val="0"/>
        <w:snapToGrid w:val="0"/>
        <w:spacing w:line="440" w:lineRule="exact"/>
        <w:jc w:val="left"/>
        <w:rPr>
          <w:rFonts w:ascii="仿宋" w:eastAsia="仿宋"/>
          <w:sz w:val="24"/>
          <w:szCs w:val="24"/>
        </w:rPr>
      </w:pPr>
      <w:r>
        <w:rPr>
          <w:rFonts w:cs="宋体" w:hint="eastAsia"/>
          <w:sz w:val="24"/>
          <w:szCs w:val="24"/>
        </w:rPr>
        <w:t>二、收入决算情况说明</w:t>
      </w:r>
      <w:r>
        <w:rPr>
          <w:sz w:val="24"/>
          <w:szCs w:val="24"/>
        </w:rPr>
        <w:tab/>
        <w:t>5</w:t>
      </w:r>
    </w:p>
    <w:p>
      <w:pPr>
        <w:pStyle w:val="21"/>
        <w:tabs>
          <w:tab w:val="right" w:leader="dot" w:pos="8296"/>
        </w:tabs>
        <w:adjustRightInd w:val="0"/>
        <w:snapToGrid w:val="0"/>
        <w:spacing w:line="440" w:lineRule="exact"/>
        <w:jc w:val="left"/>
        <w:rPr>
          <w:rFonts w:ascii="仿宋" w:eastAsia="仿宋"/>
          <w:sz w:val="24"/>
          <w:szCs w:val="24"/>
        </w:rPr>
      </w:pPr>
      <w:r>
        <w:rPr>
          <w:rFonts w:cs="宋体" w:hint="eastAsia"/>
          <w:sz w:val="24"/>
          <w:szCs w:val="24"/>
        </w:rPr>
        <w:t>三、支出决算情况说明</w:t>
      </w:r>
      <w:r>
        <w:rPr>
          <w:sz w:val="24"/>
          <w:szCs w:val="24"/>
        </w:rPr>
        <w:tab/>
        <w:t>6</w:t>
      </w:r>
    </w:p>
    <w:p>
      <w:pPr>
        <w:pStyle w:val="21"/>
        <w:tabs>
          <w:tab w:val="right" w:leader="dot" w:pos="8296"/>
        </w:tabs>
        <w:adjustRightInd w:val="0"/>
        <w:snapToGrid w:val="0"/>
        <w:spacing w:line="440" w:lineRule="exact"/>
        <w:jc w:val="left"/>
        <w:rPr>
          <w:rFonts w:ascii="仿宋" w:eastAsia="仿宋"/>
          <w:sz w:val="24"/>
          <w:szCs w:val="24"/>
        </w:rPr>
      </w:pPr>
      <w:r>
        <w:rPr>
          <w:rFonts w:cs="宋体" w:hint="eastAsia"/>
          <w:sz w:val="24"/>
          <w:szCs w:val="24"/>
        </w:rPr>
        <w:t>四、财政拨款收入支出决算总体情况说明</w:t>
      </w:r>
      <w:r>
        <w:rPr>
          <w:sz w:val="24"/>
          <w:szCs w:val="24"/>
        </w:rPr>
        <w:tab/>
        <w:t>6</w:t>
      </w:r>
    </w:p>
    <w:p>
      <w:pPr>
        <w:pStyle w:val="21"/>
        <w:tabs>
          <w:tab w:val="right" w:leader="dot" w:pos="8296"/>
        </w:tabs>
        <w:adjustRightInd w:val="0"/>
        <w:snapToGrid w:val="0"/>
        <w:spacing w:line="440" w:lineRule="exact"/>
        <w:jc w:val="left"/>
        <w:rPr>
          <w:rFonts w:ascii="仿宋" w:eastAsia="仿宋"/>
          <w:sz w:val="24"/>
          <w:szCs w:val="24"/>
        </w:rPr>
      </w:pPr>
      <w:r>
        <w:rPr>
          <w:rFonts w:cs="宋体" w:hint="eastAsia"/>
          <w:sz w:val="24"/>
          <w:szCs w:val="24"/>
        </w:rPr>
        <w:t>五、一般公共预算财政拨款支出决算情况说明</w:t>
      </w:r>
      <w:r>
        <w:rPr>
          <w:sz w:val="24"/>
          <w:szCs w:val="24"/>
        </w:rPr>
        <w:tab/>
        <w:t>7</w:t>
      </w:r>
    </w:p>
    <w:p>
      <w:pPr>
        <w:pStyle w:val="21"/>
        <w:tabs>
          <w:tab w:val="right" w:leader="dot" w:pos="8296"/>
        </w:tabs>
        <w:adjustRightInd w:val="0"/>
        <w:snapToGrid w:val="0"/>
        <w:spacing w:line="440" w:lineRule="exact"/>
        <w:jc w:val="left"/>
        <w:rPr>
          <w:rFonts w:ascii="仿宋" w:eastAsia="仿宋"/>
          <w:sz w:val="24"/>
          <w:szCs w:val="24"/>
        </w:rPr>
      </w:pPr>
      <w:r>
        <w:rPr>
          <w:rFonts w:cs="宋体" w:hint="eastAsia"/>
          <w:sz w:val="24"/>
          <w:szCs w:val="24"/>
        </w:rPr>
        <w:t>六、一般公共预算财政拨款基本支出决算情况说明</w:t>
      </w:r>
      <w:r>
        <w:rPr>
          <w:sz w:val="24"/>
          <w:szCs w:val="24"/>
        </w:rPr>
        <w:tab/>
        <w:t>9</w:t>
      </w:r>
    </w:p>
    <w:p>
      <w:pPr>
        <w:pStyle w:val="21"/>
        <w:tabs>
          <w:tab w:val="right" w:leader="dot" w:pos="8296"/>
        </w:tabs>
        <w:adjustRightInd w:val="0"/>
        <w:snapToGrid w:val="0"/>
        <w:spacing w:line="440" w:lineRule="exact"/>
        <w:jc w:val="left"/>
        <w:rPr>
          <w:rFonts w:ascii="仿宋" w:eastAsia="仿宋"/>
          <w:sz w:val="24"/>
          <w:szCs w:val="24"/>
        </w:rPr>
      </w:pPr>
      <w:r>
        <w:rPr>
          <w:rFonts w:cs="宋体" w:hint="eastAsia"/>
          <w:sz w:val="24"/>
          <w:szCs w:val="24"/>
        </w:rPr>
        <w:t>七、财政拨款“三公”经费支出决算情况说明</w:t>
      </w:r>
      <w:r>
        <w:rPr>
          <w:sz w:val="24"/>
          <w:szCs w:val="24"/>
        </w:rPr>
        <w:tab/>
        <w:t>10</w:t>
      </w:r>
    </w:p>
    <w:p>
      <w:pPr>
        <w:pStyle w:val="21"/>
        <w:tabs>
          <w:tab w:val="right" w:leader="dot" w:pos="8296"/>
        </w:tabs>
        <w:adjustRightInd w:val="0"/>
        <w:snapToGrid w:val="0"/>
        <w:spacing w:line="440" w:lineRule="exact"/>
        <w:jc w:val="left"/>
        <w:rPr>
          <w:rFonts w:ascii="仿宋" w:eastAsia="仿宋"/>
          <w:sz w:val="24"/>
          <w:szCs w:val="24"/>
        </w:rPr>
      </w:pPr>
      <w:r>
        <w:rPr>
          <w:rFonts w:cs="宋体" w:hint="eastAsia"/>
          <w:sz w:val="24"/>
          <w:szCs w:val="24"/>
        </w:rPr>
        <w:t>八、政府性基金预算支出决算情况说明</w:t>
      </w:r>
      <w:r>
        <w:rPr>
          <w:sz w:val="24"/>
          <w:szCs w:val="24"/>
        </w:rPr>
        <w:tab/>
        <w:t>12</w:t>
      </w:r>
    </w:p>
    <w:p>
      <w:pPr>
        <w:pStyle w:val="21"/>
        <w:tabs>
          <w:tab w:val="right" w:leader="dot" w:pos="8296"/>
        </w:tabs>
        <w:adjustRightInd w:val="0"/>
        <w:snapToGrid w:val="0"/>
        <w:spacing w:line="440" w:lineRule="exact"/>
        <w:jc w:val="left"/>
        <w:rPr>
          <w:sz w:val="24"/>
          <w:szCs w:val="24"/>
        </w:rPr>
      </w:pPr>
      <w:r>
        <w:rPr>
          <w:rFonts w:cs="宋体" w:hint="eastAsia"/>
          <w:sz w:val="24"/>
          <w:szCs w:val="24"/>
        </w:rPr>
        <w:t>九、国有资本经营预算支出决算情况说明</w:t>
      </w:r>
      <w:r>
        <w:rPr>
          <w:sz w:val="24"/>
          <w:szCs w:val="24"/>
        </w:rPr>
        <w:tab/>
        <w:t>12</w:t>
      </w:r>
    </w:p>
    <w:p>
      <w:pPr>
        <w:pStyle w:val="21"/>
        <w:tabs>
          <w:tab w:val="right" w:leader="dot" w:pos="8296"/>
        </w:tabs>
        <w:adjustRightInd w:val="0"/>
        <w:snapToGrid w:val="0"/>
        <w:spacing w:line="440" w:lineRule="exact"/>
        <w:jc w:val="left"/>
        <w:rPr>
          <w:sz w:val="24"/>
          <w:szCs w:val="24"/>
        </w:rPr>
      </w:pPr>
      <w:r>
        <w:rPr>
          <w:rFonts w:cs="宋体" w:hint="eastAsia"/>
          <w:sz w:val="24"/>
          <w:szCs w:val="24"/>
        </w:rPr>
        <w:t>十、其他重要事项的情况说明</w:t>
      </w:r>
      <w:r>
        <w:rPr>
          <w:sz w:val="24"/>
          <w:szCs w:val="24"/>
        </w:rPr>
        <w:tab/>
        <w:t>12</w:t>
      </w:r>
    </w:p>
    <w:p>
      <w:pPr>
        <w:pStyle w:val="20"/>
        <w:tabs>
          <w:tab w:val="right" w:leader="dot" w:pos="8296"/>
        </w:tabs>
        <w:adjustRightInd w:val="0"/>
        <w:snapToGrid w:val="0"/>
        <w:spacing w:before="0" w:line="440" w:lineRule="exact"/>
        <w:jc w:val="left"/>
        <w:rPr>
          <w:rFonts w:cs="Times New Roman"/>
          <w:sz w:val="24"/>
          <w:szCs w:val="24"/>
        </w:rPr>
      </w:pPr>
      <w:r>
        <w:rPr>
          <w:rFonts w:hint="eastAsia"/>
          <w:sz w:val="24"/>
          <w:szCs w:val="24"/>
        </w:rPr>
        <w:t>第三部分名词解释</w:t>
      </w:r>
      <w:r>
        <w:rPr>
          <w:rFonts w:cs="Times New Roman"/>
          <w:sz w:val="24"/>
          <w:szCs w:val="24"/>
        </w:rPr>
        <w:tab/>
      </w:r>
      <w:r>
        <w:rPr>
          <w:sz w:val="24"/>
          <w:szCs w:val="24"/>
        </w:rPr>
        <w:t>14</w:t>
      </w:r>
    </w:p>
    <w:p>
      <w:pPr>
        <w:pStyle w:val="20"/>
        <w:tabs>
          <w:tab w:val="right" w:leader="dot" w:pos="8296"/>
        </w:tabs>
        <w:adjustRightInd w:val="0"/>
        <w:snapToGrid w:val="0"/>
        <w:spacing w:before="0" w:line="440" w:lineRule="exact"/>
        <w:jc w:val="left"/>
        <w:rPr>
          <w:rFonts w:cs="Times New Roman"/>
          <w:sz w:val="24"/>
          <w:szCs w:val="24"/>
        </w:rPr>
      </w:pPr>
      <w:r>
        <w:rPr>
          <w:rFonts w:hint="eastAsia"/>
          <w:sz w:val="24"/>
          <w:szCs w:val="24"/>
        </w:rPr>
        <w:t>第四部分附件</w:t>
      </w:r>
      <w:r>
        <w:rPr>
          <w:rFonts w:cs="Times New Roman"/>
          <w:sz w:val="24"/>
          <w:szCs w:val="24"/>
        </w:rPr>
        <w:tab/>
      </w:r>
      <w:r>
        <w:rPr>
          <w:sz w:val="24"/>
          <w:szCs w:val="24"/>
        </w:rPr>
        <w:t>18</w:t>
      </w:r>
    </w:p>
    <w:p>
      <w:pPr>
        <w:pStyle w:val="20"/>
        <w:tabs>
          <w:tab w:val="right" w:leader="dot" w:pos="8296"/>
        </w:tabs>
        <w:adjustRightInd w:val="0"/>
        <w:snapToGrid w:val="0"/>
        <w:spacing w:before="0" w:line="440" w:lineRule="exact"/>
        <w:jc w:val="left"/>
        <w:rPr>
          <w:rFonts w:cs="Times New Roman"/>
          <w:sz w:val="24"/>
          <w:szCs w:val="24"/>
        </w:rPr>
      </w:pPr>
      <w:r>
        <w:rPr>
          <w:rFonts w:hint="eastAsia"/>
          <w:sz w:val="24"/>
          <w:szCs w:val="24"/>
        </w:rPr>
        <w:t>第五部分附表</w:t>
      </w:r>
      <w:r>
        <w:rPr>
          <w:rFonts w:cs="Times New Roman"/>
          <w:sz w:val="24"/>
          <w:szCs w:val="24"/>
        </w:rPr>
        <w:tab/>
      </w:r>
      <w:r>
        <w:rPr>
          <w:sz w:val="24"/>
          <w:szCs w:val="24"/>
        </w:rPr>
        <w:t>19</w:t>
      </w:r>
    </w:p>
    <w:p>
      <w:pPr>
        <w:pStyle w:val="21"/>
        <w:tabs>
          <w:tab w:val="right" w:leader="dot" w:pos="8296"/>
        </w:tabs>
        <w:adjustRightInd w:val="0"/>
        <w:snapToGrid w:val="0"/>
        <w:spacing w:line="440" w:lineRule="exact"/>
        <w:jc w:val="left"/>
        <w:rPr>
          <w:sz w:val="24"/>
          <w:szCs w:val="24"/>
        </w:rPr>
      </w:pPr>
      <w:r>
        <w:rPr>
          <w:rFonts w:cs="宋体" w:hint="eastAsia"/>
          <w:sz w:val="24"/>
          <w:szCs w:val="24"/>
        </w:rPr>
        <w:t>一、收入支出决算总表</w:t>
      </w:r>
      <w:r>
        <w:rPr>
          <w:sz w:val="24"/>
          <w:szCs w:val="24"/>
        </w:rPr>
        <w:tab/>
        <w:t>19</w:t>
      </w:r>
    </w:p>
    <w:p>
      <w:pPr>
        <w:pStyle w:val="21"/>
        <w:tabs>
          <w:tab w:val="right" w:leader="dot" w:pos="8296"/>
        </w:tabs>
        <w:adjustRightInd w:val="0"/>
        <w:snapToGrid w:val="0"/>
        <w:spacing w:line="440" w:lineRule="exact"/>
        <w:jc w:val="left"/>
        <w:rPr>
          <w:sz w:val="24"/>
          <w:szCs w:val="24"/>
        </w:rPr>
      </w:pPr>
      <w:r>
        <w:rPr>
          <w:rFonts w:cs="宋体" w:hint="eastAsia"/>
          <w:sz w:val="24"/>
          <w:szCs w:val="24"/>
        </w:rPr>
        <w:t>二、收入决算表</w:t>
      </w:r>
      <w:r>
        <w:rPr>
          <w:sz w:val="24"/>
          <w:szCs w:val="24"/>
        </w:rPr>
        <w:tab/>
        <w:t>19</w:t>
      </w:r>
    </w:p>
    <w:p>
      <w:pPr>
        <w:pStyle w:val="21"/>
        <w:tabs>
          <w:tab w:val="right" w:leader="dot" w:pos="8296"/>
        </w:tabs>
        <w:adjustRightInd w:val="0"/>
        <w:snapToGrid w:val="0"/>
        <w:spacing w:line="440" w:lineRule="exact"/>
        <w:jc w:val="left"/>
        <w:rPr>
          <w:sz w:val="24"/>
          <w:szCs w:val="24"/>
        </w:rPr>
      </w:pPr>
      <w:r>
        <w:rPr>
          <w:rFonts w:cs="宋体" w:hint="eastAsia"/>
          <w:sz w:val="24"/>
          <w:szCs w:val="24"/>
        </w:rPr>
        <w:t>三、支出决算表</w:t>
      </w:r>
      <w:r>
        <w:rPr>
          <w:sz w:val="24"/>
          <w:szCs w:val="24"/>
        </w:rPr>
        <w:tab/>
        <w:t>19</w:t>
      </w:r>
    </w:p>
    <w:p>
      <w:pPr>
        <w:pStyle w:val="21"/>
        <w:tabs>
          <w:tab w:val="right" w:leader="dot" w:pos="8296"/>
        </w:tabs>
        <w:adjustRightInd w:val="0"/>
        <w:snapToGrid w:val="0"/>
        <w:spacing w:line="440" w:lineRule="exact"/>
        <w:jc w:val="left"/>
        <w:rPr>
          <w:sz w:val="24"/>
          <w:szCs w:val="24"/>
        </w:rPr>
      </w:pPr>
      <w:r>
        <w:rPr>
          <w:rFonts w:cs="宋体" w:hint="eastAsia"/>
          <w:sz w:val="24"/>
          <w:szCs w:val="24"/>
        </w:rPr>
        <w:t>四、财政拨款收入支出决算总表</w:t>
      </w:r>
      <w:r>
        <w:rPr>
          <w:sz w:val="24"/>
          <w:szCs w:val="24"/>
        </w:rPr>
        <w:tab/>
        <w:t>19</w:t>
      </w:r>
    </w:p>
    <w:p>
      <w:pPr>
        <w:pStyle w:val="21"/>
        <w:tabs>
          <w:tab w:val="right" w:leader="dot" w:pos="8296"/>
        </w:tabs>
        <w:adjustRightInd w:val="0"/>
        <w:snapToGrid w:val="0"/>
        <w:spacing w:line="440" w:lineRule="exact"/>
        <w:jc w:val="left"/>
        <w:rPr>
          <w:sz w:val="24"/>
          <w:szCs w:val="24"/>
        </w:rPr>
      </w:pPr>
      <w:r>
        <w:rPr>
          <w:rFonts w:cs="宋体" w:hint="eastAsia"/>
          <w:sz w:val="24"/>
          <w:szCs w:val="24"/>
        </w:rPr>
        <w:t>五、财政拨款支出决算明细表</w:t>
      </w:r>
      <w:r>
        <w:rPr>
          <w:sz w:val="24"/>
          <w:szCs w:val="24"/>
        </w:rPr>
        <w:tab/>
        <w:t>19</w:t>
      </w:r>
    </w:p>
    <w:p>
      <w:pPr>
        <w:pStyle w:val="21"/>
        <w:tabs>
          <w:tab w:val="right" w:leader="dot" w:pos="8296"/>
        </w:tabs>
        <w:adjustRightInd w:val="0"/>
        <w:snapToGrid w:val="0"/>
        <w:spacing w:line="440" w:lineRule="exact"/>
        <w:jc w:val="left"/>
        <w:rPr>
          <w:sz w:val="24"/>
          <w:szCs w:val="24"/>
        </w:rPr>
      </w:pPr>
      <w:r>
        <w:rPr>
          <w:rFonts w:cs="宋体" w:hint="eastAsia"/>
          <w:sz w:val="24"/>
          <w:szCs w:val="24"/>
        </w:rPr>
        <w:t>六、一般公共预算财政拨款支出决算表</w:t>
      </w:r>
      <w:r>
        <w:rPr>
          <w:sz w:val="24"/>
          <w:szCs w:val="24"/>
        </w:rPr>
        <w:tab/>
        <w:t>19</w:t>
      </w:r>
    </w:p>
    <w:p>
      <w:pPr>
        <w:pStyle w:val="21"/>
        <w:tabs>
          <w:tab w:val="right" w:leader="dot" w:pos="8296"/>
        </w:tabs>
        <w:adjustRightInd w:val="0"/>
        <w:snapToGrid w:val="0"/>
        <w:spacing w:line="440" w:lineRule="exact"/>
        <w:jc w:val="left"/>
        <w:rPr>
          <w:sz w:val="24"/>
          <w:szCs w:val="24"/>
        </w:rPr>
      </w:pPr>
      <w:r>
        <w:rPr>
          <w:rFonts w:cs="宋体" w:hint="eastAsia"/>
          <w:sz w:val="24"/>
          <w:szCs w:val="24"/>
        </w:rPr>
        <w:t>七、一般公共预算财政拨款支出决算明细表</w:t>
      </w:r>
      <w:r>
        <w:rPr>
          <w:sz w:val="24"/>
          <w:szCs w:val="24"/>
        </w:rPr>
        <w:tab/>
        <w:t>19</w:t>
      </w:r>
    </w:p>
    <w:p>
      <w:pPr>
        <w:pStyle w:val="21"/>
        <w:tabs>
          <w:tab w:val="right" w:leader="dot" w:pos="8296"/>
        </w:tabs>
        <w:adjustRightInd w:val="0"/>
        <w:snapToGrid w:val="0"/>
        <w:spacing w:line="440" w:lineRule="exact"/>
        <w:jc w:val="left"/>
        <w:rPr>
          <w:sz w:val="24"/>
          <w:szCs w:val="24"/>
        </w:rPr>
      </w:pPr>
      <w:r>
        <w:rPr>
          <w:rFonts w:cs="宋体" w:hint="eastAsia"/>
          <w:sz w:val="24"/>
          <w:szCs w:val="24"/>
        </w:rPr>
        <w:t>八、一般公共预算财政拨款基本支出决算明细表</w:t>
      </w:r>
      <w:r>
        <w:rPr>
          <w:sz w:val="24"/>
          <w:szCs w:val="24"/>
        </w:rPr>
        <w:tab/>
        <w:t>19</w:t>
      </w:r>
    </w:p>
    <w:p>
      <w:pPr>
        <w:pStyle w:val="21"/>
        <w:tabs>
          <w:tab w:val="right" w:leader="dot" w:pos="8296"/>
        </w:tabs>
        <w:adjustRightInd w:val="0"/>
        <w:snapToGrid w:val="0"/>
        <w:spacing w:line="440" w:lineRule="exact"/>
        <w:jc w:val="left"/>
        <w:rPr>
          <w:sz w:val="24"/>
          <w:szCs w:val="24"/>
        </w:rPr>
      </w:pPr>
      <w:r>
        <w:rPr>
          <w:rFonts w:cs="宋体" w:hint="eastAsia"/>
          <w:sz w:val="24"/>
          <w:szCs w:val="24"/>
        </w:rPr>
        <w:t>九、一般公共预算财政拨款项目支出决算表</w:t>
      </w:r>
      <w:r>
        <w:rPr>
          <w:sz w:val="24"/>
          <w:szCs w:val="24"/>
        </w:rPr>
        <w:tab/>
        <w:t>19</w:t>
      </w:r>
    </w:p>
    <w:p>
      <w:pPr>
        <w:pStyle w:val="21"/>
        <w:tabs>
          <w:tab w:val="right" w:leader="dot" w:pos="8296"/>
        </w:tabs>
        <w:adjustRightInd w:val="0"/>
        <w:snapToGrid w:val="0"/>
        <w:spacing w:line="440" w:lineRule="exact"/>
        <w:jc w:val="left"/>
        <w:rPr>
          <w:sz w:val="24"/>
          <w:szCs w:val="24"/>
        </w:rPr>
      </w:pPr>
      <w:r>
        <w:rPr>
          <w:rFonts w:cs="宋体" w:hint="eastAsia"/>
          <w:sz w:val="24"/>
          <w:szCs w:val="24"/>
        </w:rPr>
        <w:t>十、政府性基金预算财政拨款收入支出决算表</w:t>
      </w:r>
      <w:r>
        <w:rPr>
          <w:sz w:val="24"/>
          <w:szCs w:val="24"/>
        </w:rPr>
        <w:tab/>
        <w:t>19</w:t>
      </w:r>
    </w:p>
    <w:p>
      <w:pPr>
        <w:pStyle w:val="21"/>
        <w:tabs>
          <w:tab w:val="right" w:leader="dot" w:pos="8296"/>
        </w:tabs>
        <w:adjustRightInd w:val="0"/>
        <w:snapToGrid w:val="0"/>
        <w:spacing w:line="440" w:lineRule="exact"/>
        <w:jc w:val="left"/>
        <w:rPr>
          <w:sz w:val="24"/>
          <w:szCs w:val="24"/>
        </w:rPr>
      </w:pPr>
      <w:r>
        <w:rPr>
          <w:rFonts w:cs="宋体" w:hint="eastAsia"/>
          <w:sz w:val="24"/>
          <w:szCs w:val="24"/>
        </w:rPr>
        <w:t>十一、国有资本经营预算财政拨款收入支出决算表</w:t>
      </w:r>
      <w:r>
        <w:rPr>
          <w:sz w:val="24"/>
          <w:szCs w:val="24"/>
        </w:rPr>
        <w:tab/>
        <w:t>19</w:t>
      </w:r>
    </w:p>
    <w:p>
      <w:pPr>
        <w:pStyle w:val="21"/>
        <w:tabs>
          <w:tab w:val="right" w:leader="dot" w:pos="8296"/>
        </w:tabs>
        <w:adjustRightInd w:val="0"/>
        <w:snapToGrid w:val="0"/>
        <w:spacing w:line="440" w:lineRule="exact"/>
        <w:jc w:val="left"/>
        <w:rPr>
          <w:sz w:val="24"/>
          <w:szCs w:val="24"/>
        </w:rPr>
      </w:pPr>
      <w:r>
        <w:rPr>
          <w:rFonts w:cs="宋体" w:hint="eastAsia"/>
          <w:sz w:val="24"/>
          <w:szCs w:val="24"/>
        </w:rPr>
        <w:t>十二、国有资本经营预算财政拨款支出决算表</w:t>
      </w:r>
      <w:r>
        <w:rPr>
          <w:sz w:val="24"/>
          <w:szCs w:val="24"/>
        </w:rPr>
        <w:tab/>
        <w:t>19</w:t>
      </w:r>
    </w:p>
    <w:p>
      <w:pPr>
        <w:pStyle w:val="21"/>
        <w:tabs>
          <w:tab w:val="right" w:leader="dot" w:pos="8296"/>
        </w:tabs>
        <w:adjustRightInd w:val="0"/>
        <w:snapToGrid w:val="0"/>
        <w:spacing w:line="440" w:lineRule="exact"/>
        <w:jc w:val="left"/>
        <w:rPr>
          <w:sz w:val="24"/>
          <w:szCs w:val="24"/>
        </w:rPr>
      </w:pPr>
      <w:r>
        <w:rPr>
          <w:rFonts w:cs="宋体" w:hint="eastAsia"/>
          <w:sz w:val="24"/>
          <w:szCs w:val="24"/>
        </w:rPr>
        <w:t>十三、财政拨款“三公”经费支出决算表</w:t>
      </w:r>
      <w:r>
        <w:rPr>
          <w:sz w:val="24"/>
          <w:szCs w:val="24"/>
        </w:rPr>
        <w:tab/>
        <w:t>19</w:t>
      </w:r>
    </w:p>
    <w:p>
      <w:pPr>
        <w:widowControl/>
        <w:spacing w:line="440" w:lineRule="exact"/>
        <w:jc w:val="left"/>
        <w:rPr>
          <w:rFonts w:ascii="仿宋" w:eastAsia="仿宋"/>
          <w:kern w:val="44"/>
          <w:sz w:val="24"/>
          <w:szCs w:val="24"/>
        </w:rPr>
      </w:pPr>
      <w:bookmarkStart w:id="8" w:name="_Toc15396599"/>
      <w:bookmarkStart w:id="9" w:name="_Toc15377196"/>
      <w:r>
        <w:rPr>
          <w:rFonts w:ascii="仿宋" w:eastAsia="仿宋"/>
          <w:b/>
          <w:bCs/>
          <w:sz w:val="24"/>
          <w:szCs w:val="24"/>
        </w:rPr>
        <w:br w:type="page"/>
      </w:r>
    </w:p>
    <w:p>
      <w:pPr>
        <w:pStyle w:val="1"/>
        <w:jc w:val="center"/>
        <w:rPr>
          <w:rStyle w:val="1Char"/>
          <w:rFonts w:ascii="黑体" w:eastAsia="黑体"/>
          <w:b/>
          <w:bCs/>
        </w:rPr>
      </w:pPr>
      <w:r>
        <w:rPr>
          <w:rFonts w:ascii="黑体" w:eastAsia="黑体" w:cs="黑体" w:hint="eastAsia"/>
          <w:b w:val="0"/>
          <w:bCs w:val="0"/>
        </w:rPr>
        <w:t>第一部分</w:t>
      </w:r>
      <w:r>
        <w:rPr>
          <w:rFonts w:ascii="黑体" w:eastAsia="黑体" w:cs="黑体"/>
          <w:b w:val="0"/>
          <w:bCs w:val="0"/>
        </w:rPr>
        <w:t xml:space="preserve"> </w:t>
      </w:r>
      <w:r>
        <w:rPr>
          <w:rFonts w:ascii="黑体" w:eastAsia="黑体" w:cs="黑体" w:hint="eastAsia"/>
          <w:b w:val="0"/>
          <w:bCs w:val="0"/>
        </w:rPr>
        <w:t>单位</w:t>
      </w:r>
      <w:r>
        <w:rPr>
          <w:rStyle w:val="1Char"/>
          <w:rFonts w:ascii="黑体" w:eastAsia="黑体" w:cs="黑体" w:hint="eastAsia"/>
          <w:b w:val="0"/>
          <w:bCs w:val="0"/>
        </w:rPr>
        <w:t>概况</w:t>
      </w:r>
      <w:bookmarkEnd w:id="8"/>
      <w:bookmarkEnd w:id="9"/>
    </w:p>
    <w:p>
      <w:pPr>
        <w:widowControl/>
        <w:jc w:val="left"/>
        <w:rPr>
          <w:rFonts w:ascii="黑体" w:eastAsia="黑体"/>
          <w:sz w:val="32"/>
          <w:szCs w:val="32"/>
        </w:rPr>
      </w:pPr>
    </w:p>
    <w:p>
      <w:pPr>
        <w:pStyle w:val="2"/>
        <w:ind w:firstLineChars="200" w:firstLine="640"/>
        <w:rPr>
          <w:rStyle w:val="2Char"/>
          <w:rFonts w:ascii="黑体" w:eastAsia="黑体" w:cs="Times New Roman"/>
          <w:b w:val="0"/>
          <w:bCs w:val="0"/>
        </w:rPr>
      </w:pPr>
      <w:bookmarkStart w:id="10" w:name="_Toc15377197"/>
      <w:bookmarkStart w:id="11" w:name="_Toc15396600"/>
      <w:r>
        <w:rPr>
          <w:rStyle w:val="2Char"/>
          <w:rFonts w:ascii="黑体" w:eastAsia="黑体" w:cs="黑体" w:hint="eastAsia"/>
          <w:b w:val="0"/>
          <w:bCs w:val="0"/>
        </w:rPr>
        <w:t>一、主要职责</w:t>
      </w:r>
    </w:p>
    <w:p>
      <w:pPr>
        <w:ind w:firstLineChars="200" w:firstLine="640"/>
        <w:rPr>
          <w:rFonts w:ascii="宋体" w:cs="宋体"/>
          <w:sz w:val="32"/>
          <w:szCs w:val="32"/>
        </w:rPr>
      </w:pPr>
      <w:r>
        <w:rPr>
          <w:rFonts w:ascii="宋体" w:cs="宋体" w:hint="eastAsia"/>
          <w:sz w:val="32"/>
          <w:szCs w:val="32"/>
        </w:rPr>
        <w:t>我单位主要职责是受市住房和城乡建设局委托，负责对市局办理完成质量安全监督备案手续的房屋建筑和市政基础设施工程，以及有关市级重点工程的工程质量责任主体的质量行为、责任主体的安全生产行为、工程实体质量和施工现场安全生产实体防护状况实施监督；负责对文明施工、扬尘防治等进行检查；负责对防雷、水电燃气安装、通风与空调等安装工程，工程项目施工过程的消防设施建设等工程质量实施监督；负责市局监管项目工程质量安全投诉处理协调工作；负责全市工程质量检测机构的管理、项目监理机构工作质量考评具体事务性工作；负责建筑工地远程视频监管的代管工作；负责建筑工地质量安全标椎化建设、建筑企业项目评优工作；参与消防工程、防雷工程过程检查及验收工作，并承担相关事务性、技术性工作；对县（区）工程质量安全监督机构开展业务指导；负责收集汇总上报本市工程质量安全信息统计工作。</w:t>
      </w:r>
    </w:p>
    <w:p>
      <w:pPr>
        <w:pStyle w:val="2"/>
        <w:ind w:firstLineChars="200" w:firstLine="640"/>
        <w:rPr>
          <w:rFonts w:ascii="黑体" w:eastAsia="黑体" w:cs="Times New Roman"/>
          <w:b w:val="0"/>
          <w:bCs w:val="0"/>
        </w:rPr>
      </w:pPr>
      <w:r>
        <w:rPr>
          <w:rFonts w:ascii="黑体" w:eastAsia="黑体" w:cs="黑体" w:hint="eastAsia"/>
          <w:b w:val="0"/>
          <w:bCs w:val="0"/>
        </w:rPr>
        <w:t>二、机构设置</w:t>
      </w:r>
    </w:p>
    <w:p>
      <w:pPr>
        <w:ind w:firstLineChars="200" w:firstLine="640"/>
        <w:rPr>
          <w:rFonts w:ascii="宋体" w:cs="宋体"/>
          <w:sz w:val="32"/>
          <w:szCs w:val="32"/>
        </w:rPr>
      </w:pPr>
      <w:r>
        <w:rPr>
          <w:rFonts w:ascii="宋体" w:cs="宋体" w:hint="eastAsia"/>
          <w:sz w:val="32"/>
          <w:szCs w:val="32"/>
        </w:rPr>
        <w:t>攀枝花市建设工程质量安全站属参照公务员管理的行政事业单位、隶属于攀枝花市规划和建设局系统的独立核算二级预算副县级单位。我单位共设有</w:t>
      </w:r>
      <w:r>
        <w:rPr>
          <w:rFonts w:ascii="宋体" w:cs="宋体"/>
          <w:sz w:val="32"/>
          <w:szCs w:val="32"/>
        </w:rPr>
        <w:t>9</w:t>
      </w:r>
      <w:r>
        <w:rPr>
          <w:rFonts w:ascii="宋体" w:cs="宋体" w:hint="eastAsia"/>
          <w:sz w:val="32"/>
          <w:szCs w:val="32"/>
        </w:rPr>
        <w:t>个科室，分别是办公室、检测管理科、安全科、监督科、管理科、稽查科、钒钛高新技术产业开发区分站、工程安装科、工程消防科。经费来源由市财政全额拨款。工作内容包括日常工程质量安全监督检查、监督检测，建筑材料委托检测，日常质量安全监督巡查以及组织实施省、市各级要求进行的各类专项检查。</w:t>
      </w:r>
    </w:p>
    <w:p>
      <w:pPr>
        <w:widowControl/>
        <w:jc w:val="left"/>
        <w:rPr>
          <w:rFonts w:ascii="仿宋_GB2312" w:eastAsia="仿宋_GB2312"/>
          <w:kern w:val="0"/>
          <w:sz w:val="32"/>
          <w:szCs w:val="32"/>
        </w:rPr>
      </w:pPr>
      <w:bookmarkEnd w:id="10"/>
      <w:bookmarkEnd w:id="11"/>
      <w:r>
        <w:rPr>
          <w:rFonts w:ascii="仿宋_GB2312" w:eastAsia="仿宋_GB2312"/>
          <w:sz w:val="32"/>
          <w:szCs w:val="32"/>
        </w:rPr>
        <w:br w:type="page"/>
      </w:r>
    </w:p>
    <w:p>
      <w:pPr>
        <w:pStyle w:val="1"/>
        <w:ind w:right="440"/>
        <w:jc w:val="center"/>
        <w:rPr>
          <w:rStyle w:val="1Char"/>
          <w:rFonts w:ascii="黑体" w:eastAsia="黑体"/>
          <w:b w:val="0"/>
          <w:bCs w:val="0"/>
        </w:rPr>
      </w:pPr>
      <w:bookmarkStart w:id="12" w:name="_Toc15396602"/>
      <w:bookmarkStart w:id="13" w:name="_Toc15377204"/>
      <w:r>
        <w:rPr>
          <w:rFonts w:ascii="黑体" w:eastAsia="黑体" w:cs="黑体" w:hint="eastAsia"/>
          <w:b w:val="0"/>
          <w:bCs w:val="0"/>
        </w:rPr>
        <w:t>第二部分</w:t>
      </w:r>
      <w:r>
        <w:rPr>
          <w:rFonts w:ascii="黑体" w:eastAsia="黑体" w:cs="黑体"/>
          <w:b w:val="0"/>
          <w:bCs w:val="0"/>
        </w:rPr>
        <w:t xml:space="preserve"> 2022</w:t>
      </w:r>
      <w:r>
        <w:rPr>
          <w:rFonts w:ascii="黑体" w:eastAsia="黑体" w:cs="黑体" w:hint="eastAsia"/>
          <w:b w:val="0"/>
          <w:bCs w:val="0"/>
        </w:rPr>
        <w:t>年度</w:t>
      </w:r>
      <w:r>
        <w:rPr>
          <w:rStyle w:val="1Char"/>
          <w:rFonts w:ascii="黑体" w:eastAsia="黑体" w:cs="黑体" w:hint="eastAsia"/>
          <w:b w:val="0"/>
          <w:bCs w:val="0"/>
        </w:rPr>
        <w:t>单位决算情况说明</w:t>
      </w:r>
      <w:bookmarkEnd w:id="12"/>
      <w:bookmarkEnd w:id="13"/>
    </w:p>
    <w:p/>
    <w:p>
      <w:pPr>
        <w:pStyle w:val="25"/>
        <w:numPr>
          <w:ilvl w:val="0"/>
          <w:numId w:val="1"/>
        </w:numPr>
        <w:spacing w:line="600" w:lineRule="exact"/>
        <w:ind w:firstLineChars="0"/>
        <w:outlineLvl w:val="1"/>
        <w:rPr>
          <w:rStyle w:val="2Char"/>
          <w:rFonts w:ascii="黑体" w:eastAsia="黑体" w:cs="Times New Roman"/>
          <w:b w:val="0"/>
          <w:bCs w:val="0"/>
        </w:rPr>
      </w:pPr>
      <w:bookmarkStart w:id="14" w:name="_Toc15396603"/>
      <w:bookmarkStart w:id="15" w:name="_Toc15377205"/>
      <w:r>
        <w:rPr>
          <w:rFonts w:ascii="黑体" w:eastAsia="黑体" w:cs="黑体" w:hint="eastAsia"/>
          <w:sz w:val="32"/>
          <w:szCs w:val="32"/>
        </w:rPr>
        <w:t>收</w:t>
      </w:r>
      <w:r>
        <w:rPr>
          <w:rStyle w:val="2Char"/>
          <w:rFonts w:ascii="黑体" w:eastAsia="黑体" w:cs="黑体" w:hint="eastAsia"/>
          <w:b w:val="0"/>
          <w:bCs w:val="0"/>
        </w:rPr>
        <w:t>入支出决算总体情况说明</w:t>
      </w:r>
      <w:bookmarkEnd w:id="14"/>
      <w:bookmarkEnd w:id="15"/>
    </w:p>
    <w:p>
      <w:pPr>
        <w:spacing w:line="600" w:lineRule="exact"/>
        <w:ind w:firstLineChars="200" w:firstLine="640"/>
        <w:rPr>
          <w:rFonts w:ascii="仿宋" w:eastAsia="仿宋"/>
          <w:sz w:val="32"/>
          <w:szCs w:val="32"/>
        </w:rPr>
      </w:pPr>
      <w:r>
        <w:rPr>
          <w:rFonts w:ascii="仿宋" w:eastAsia="仿宋" w:cs="仿宋"/>
          <w:sz w:val="32"/>
          <w:szCs w:val="32"/>
        </w:rPr>
        <w:t>2022</w:t>
      </w:r>
      <w:r>
        <w:rPr>
          <w:rFonts w:ascii="仿宋" w:eastAsia="仿宋" w:cs="仿宋" w:hint="eastAsia"/>
          <w:sz w:val="32"/>
          <w:szCs w:val="32"/>
        </w:rPr>
        <w:t>年度收、支总计</w:t>
      </w:r>
      <w:r>
        <w:rPr>
          <w:rFonts w:ascii="仿宋" w:eastAsia="仿宋" w:cs="仿宋"/>
          <w:sz w:val="32"/>
          <w:szCs w:val="32"/>
        </w:rPr>
        <w:t>961.92</w:t>
      </w:r>
      <w:r>
        <w:rPr>
          <w:rFonts w:ascii="仿宋" w:eastAsia="仿宋" w:cs="仿宋" w:hint="eastAsia"/>
          <w:sz w:val="32"/>
          <w:szCs w:val="32"/>
        </w:rPr>
        <w:t>万元。与</w:t>
      </w:r>
      <w:r>
        <w:rPr>
          <w:rFonts w:ascii="仿宋" w:eastAsia="仿宋" w:cs="仿宋"/>
          <w:sz w:val="32"/>
          <w:szCs w:val="32"/>
        </w:rPr>
        <w:t>2021</w:t>
      </w:r>
      <w:r>
        <w:rPr>
          <w:rFonts w:ascii="仿宋" w:eastAsia="仿宋" w:cs="仿宋" w:hint="eastAsia"/>
          <w:sz w:val="32"/>
          <w:szCs w:val="32"/>
        </w:rPr>
        <w:t>年相比，收、支总计各增加</w:t>
      </w:r>
      <w:r>
        <w:rPr>
          <w:rFonts w:ascii="仿宋" w:eastAsia="仿宋" w:cs="仿宋"/>
          <w:sz w:val="32"/>
          <w:szCs w:val="32"/>
        </w:rPr>
        <w:t>29.55</w:t>
      </w:r>
      <w:r>
        <w:rPr>
          <w:rFonts w:ascii="仿宋" w:eastAsia="仿宋" w:cs="仿宋" w:hint="eastAsia"/>
          <w:sz w:val="32"/>
          <w:szCs w:val="32"/>
        </w:rPr>
        <w:t>万元，增长</w:t>
      </w:r>
      <w:r>
        <w:rPr>
          <w:rFonts w:ascii="仿宋" w:eastAsia="仿宋" w:cs="仿宋"/>
          <w:sz w:val="32"/>
          <w:szCs w:val="32"/>
        </w:rPr>
        <w:t>3.17%</w:t>
      </w:r>
      <w:r>
        <w:rPr>
          <w:rFonts w:ascii="仿宋" w:eastAsia="仿宋" w:cs="仿宋" w:hint="eastAsia"/>
          <w:sz w:val="32"/>
          <w:szCs w:val="32"/>
        </w:rPr>
        <w:t>。主要变动原因是人员经费的增加。</w:t>
      </w:r>
    </w:p>
    <w:p>
      <w:pPr>
        <w:spacing w:line="600" w:lineRule="exact"/>
        <w:ind w:firstLineChars="200" w:firstLine="640"/>
        <w:rPr>
          <w:rFonts w:ascii="仿宋" w:eastAsia="仿宋"/>
          <w:sz w:val="32"/>
          <w:szCs w:val="32"/>
        </w:rPr>
      </w:pPr>
      <w:r>
        <w:rPr>
          <w:rFonts w:ascii="仿宋" w:eastAsia="仿宋" w:cs="仿宋" w:hint="eastAsia"/>
          <w:sz w:val="32"/>
          <w:szCs w:val="32"/>
        </w:rPr>
        <w:t>（图</w:t>
      </w:r>
      <w:r>
        <w:rPr>
          <w:rFonts w:ascii="仿宋" w:eastAsia="仿宋" w:cs="仿宋"/>
          <w:sz w:val="32"/>
          <w:szCs w:val="32"/>
        </w:rPr>
        <w:t>1</w:t>
      </w:r>
      <w:r>
        <w:rPr>
          <w:rFonts w:ascii="仿宋" w:eastAsia="仿宋" w:cs="仿宋" w:hint="eastAsia"/>
          <w:sz w:val="32"/>
          <w:szCs w:val="32"/>
        </w:rPr>
        <w:t>：收、支决算总计变动情况图）</w:t>
      </w:r>
    </w:p>
    <w:p>
      <w:pPr>
        <w:spacing w:line="600" w:lineRule="exact"/>
        <w:ind w:firstLineChars="200" w:firstLine="420"/>
        <w:jc w:val="left"/>
        <w:rPr>
          <w:rFonts w:ascii="仿宋_GB2312" w:eastAsia="仿宋_GB2312"/>
          <w:sz w:val="32"/>
          <w:szCs w:val="32"/>
        </w:rPr>
      </w:pPr>
      <w:r>
        <w:drawing>
          <wp:anchor distT="0" distB="0" distL="114300" distR="114300" simplePos="0" relativeHeight="20" behindDoc="0" locked="0" layoutInCell="1" hidden="0" allowOverlap="1">
            <wp:simplePos x="0" y="0"/>
            <wp:positionH relativeFrom="column">
              <wp:posOffset>161925</wp:posOffset>
            </wp:positionH>
            <wp:positionV relativeFrom="paragraph">
              <wp:posOffset>134620</wp:posOffset>
            </wp:positionV>
            <wp:extent cx="4584065" cy="2659380"/>
            <wp:effectExtent l="0" t="0" r="0" b="0"/>
            <wp:wrapTight wrapText="bothSides">
              <wp:wrapPolygon>
                <wp:start x="-45" y="0"/>
                <wp:lineTo x="-45" y="21523"/>
                <wp:lineTo x="21600" y="21523"/>
                <wp:lineTo x="21600" y="0"/>
                <wp:lineTo x="-45" y="0"/>
              </wp:wrapPolygon>
            </wp:wrapTight>
            <wp:docPr id="1" name="图片 6" descr="图片1"/>
            <wp:cNvGraphicFramePr>
              <a:graphicFrameLocks noChangeAspect="1"/>
            </wp:cNvGraphicFramePr>
            <a:graphic>
              <a:graphicData uri="http://schemas.openxmlformats.org/drawingml/2006/picture">
                <pic:pic>
                  <pic:nvPicPr>
                    <pic:cNvPr id="3" name="图片 6 3"/>
                    <pic:cNvPicPr/>
                  </pic:nvPicPr>
                  <pic:blipFill>
                    <a:blip r:embed="rId4"/>
                    <a:stretch>
                      <a:fillRect/>
                    </a:stretch>
                  </pic:blipFill>
                  <pic:spPr>
                    <a:xfrm rot="0">
                      <a:off x="0" y="0"/>
                      <a:ext cx="4584065" cy="2659380"/>
                    </a:xfrm>
                    <a:prstGeom prst="rect"/>
                    <a:noFill/>
                    <a:ln w="9525" cmpd="sng" cap="flat">
                      <a:noFill/>
                      <a:prstDash val="solid"/>
                      <a:miter/>
                    </a:ln>
                  </pic:spPr>
                </pic:pic>
              </a:graphicData>
            </a:graphic>
          </wp:anchor>
        </w:drawing>
      </w:r>
    </w:p>
    <w:p>
      <w:pPr>
        <w:pStyle w:val="25"/>
        <w:numPr>
          <w:ilvl w:val="0"/>
          <w:numId w:val="1"/>
        </w:numPr>
        <w:spacing w:line="600" w:lineRule="exact"/>
        <w:ind w:firstLineChars="0"/>
        <w:outlineLvl w:val="1"/>
        <w:rPr>
          <w:rStyle w:val="2Char"/>
          <w:rFonts w:ascii="黑体" w:eastAsia="黑体" w:cs="Times New Roman"/>
          <w:b w:val="0"/>
          <w:bCs w:val="0"/>
        </w:rPr>
      </w:pPr>
      <w:bookmarkStart w:id="16" w:name="_Toc15396604"/>
      <w:bookmarkStart w:id="17" w:name="_Toc15377206"/>
      <w:r>
        <w:rPr>
          <w:rFonts w:ascii="黑体" w:eastAsia="黑体" w:cs="黑体" w:hint="eastAsia"/>
          <w:sz w:val="32"/>
          <w:szCs w:val="32"/>
        </w:rPr>
        <w:t>收</w:t>
      </w:r>
      <w:r>
        <w:rPr>
          <w:rStyle w:val="2Char"/>
          <w:rFonts w:ascii="黑体" w:eastAsia="黑体" w:cs="黑体" w:hint="eastAsia"/>
          <w:b w:val="0"/>
          <w:bCs w:val="0"/>
        </w:rPr>
        <w:t>入决算情况说明</w:t>
      </w:r>
      <w:bookmarkEnd w:id="16"/>
      <w:bookmarkEnd w:id="17"/>
    </w:p>
    <w:p>
      <w:pPr>
        <w:spacing w:line="600" w:lineRule="exact"/>
        <w:ind w:firstLineChars="200" w:firstLine="640"/>
        <w:outlineLvl w:val="1"/>
        <w:rPr>
          <w:rFonts w:ascii="仿宋" w:eastAsia="仿宋"/>
          <w:sz w:val="32"/>
          <w:szCs w:val="32"/>
        </w:rPr>
      </w:pPr>
      <w:r>
        <w:rPr>
          <w:rFonts w:ascii="仿宋" w:eastAsia="仿宋" w:cs="仿宋"/>
          <w:sz w:val="32"/>
          <w:szCs w:val="32"/>
        </w:rPr>
        <w:t>2022</w:t>
      </w:r>
      <w:r>
        <w:rPr>
          <w:rFonts w:ascii="仿宋" w:eastAsia="仿宋" w:cs="仿宋" w:hint="eastAsia"/>
          <w:sz w:val="32"/>
          <w:szCs w:val="32"/>
        </w:rPr>
        <w:t>年本年收入合计</w:t>
      </w:r>
      <w:r>
        <w:rPr>
          <w:rFonts w:ascii="仿宋" w:eastAsia="仿宋" w:cs="仿宋"/>
          <w:sz w:val="32"/>
          <w:szCs w:val="32"/>
        </w:rPr>
        <w:t>844.29</w:t>
      </w:r>
      <w:r>
        <w:rPr>
          <w:rFonts w:ascii="仿宋" w:eastAsia="仿宋" w:cs="仿宋" w:hint="eastAsia"/>
          <w:sz w:val="32"/>
          <w:szCs w:val="32"/>
        </w:rPr>
        <w:t>万元，其中：一般公共预算财政拨款收入</w:t>
      </w:r>
      <w:r>
        <w:rPr>
          <w:rFonts w:ascii="仿宋" w:eastAsia="仿宋" w:cs="仿宋"/>
          <w:sz w:val="32"/>
          <w:szCs w:val="32"/>
        </w:rPr>
        <w:t>844.29</w:t>
      </w:r>
      <w:r>
        <w:rPr>
          <w:rFonts w:ascii="仿宋" w:eastAsia="仿宋" w:cs="仿宋" w:hint="eastAsia"/>
          <w:sz w:val="32"/>
          <w:szCs w:val="32"/>
        </w:rPr>
        <w:t>万元，占</w:t>
      </w:r>
      <w:r>
        <w:rPr>
          <w:rFonts w:ascii="仿宋" w:eastAsia="仿宋" w:cs="仿宋"/>
          <w:sz w:val="32"/>
          <w:szCs w:val="32"/>
        </w:rPr>
        <w:t>100%</w:t>
      </w:r>
      <w:r>
        <w:rPr>
          <w:rFonts w:ascii="仿宋" w:eastAsia="仿宋" w:cs="仿宋" w:hint="eastAsia"/>
          <w:sz w:val="32"/>
          <w:szCs w:val="32"/>
        </w:rPr>
        <w:t>。</w:t>
      </w:r>
    </w:p>
    <w:p>
      <w:pPr>
        <w:pStyle w:val="15"/>
        <w:spacing w:beforeLines="0" w:before="93"/>
        <w:rPr>
          <w:rFonts w:cs="Times New Roman"/>
        </w:rPr>
      </w:pPr>
    </w:p>
    <w:p>
      <w:pPr>
        <w:spacing w:line="600" w:lineRule="exact"/>
        <w:ind w:firstLineChars="200" w:firstLine="640"/>
        <w:rPr>
          <w:rFonts w:ascii="仿宋" w:eastAsia="仿宋"/>
          <w:sz w:val="32"/>
          <w:szCs w:val="32"/>
        </w:rPr>
      </w:pPr>
      <w:r>
        <w:rPr>
          <w:rFonts w:ascii="仿宋" w:eastAsia="仿宋" w:cs="仿宋" w:hint="eastAsia"/>
          <w:sz w:val="32"/>
          <w:szCs w:val="32"/>
        </w:rPr>
        <w:t>（图</w:t>
      </w:r>
      <w:r>
        <w:rPr>
          <w:rFonts w:ascii="仿宋" w:eastAsia="仿宋" w:cs="仿宋"/>
          <w:sz w:val="32"/>
          <w:szCs w:val="32"/>
        </w:rPr>
        <w:t>2</w:t>
      </w:r>
      <w:r>
        <w:rPr>
          <w:rFonts w:ascii="仿宋" w:eastAsia="仿宋" w:cs="仿宋" w:hint="eastAsia"/>
          <w:sz w:val="32"/>
          <w:szCs w:val="32"/>
        </w:rPr>
        <w:t>：收入决算结构图）</w:t>
      </w:r>
    </w:p>
    <w:p>
      <w:pPr>
        <w:spacing w:line="600" w:lineRule="exact"/>
        <w:ind w:firstLineChars="200" w:firstLine="420"/>
        <w:rPr>
          <w:rFonts w:ascii="仿宋_GB2312" w:eastAsia="仿宋_GB2312"/>
          <w:sz w:val="32"/>
          <w:szCs w:val="32"/>
        </w:rPr>
      </w:pPr>
      <w:r>
        <w:drawing>
          <wp:anchor distT="0" distB="0" distL="114300" distR="114300" simplePos="0" relativeHeight="22" behindDoc="0" locked="0" layoutInCell="1" hidden="0" allowOverlap="1">
            <wp:simplePos x="0" y="0"/>
            <wp:positionH relativeFrom="column">
              <wp:posOffset>462280</wp:posOffset>
            </wp:positionH>
            <wp:positionV relativeFrom="paragraph">
              <wp:posOffset>106045</wp:posOffset>
            </wp:positionV>
            <wp:extent cx="4582795" cy="2644139"/>
            <wp:effectExtent l="0" t="0" r="0" b="0"/>
            <wp:wrapTight wrapText="bothSides">
              <wp:wrapPolygon>
                <wp:start x="-45" y="0"/>
                <wp:lineTo x="-45" y="21522"/>
                <wp:lineTo x="21600" y="21522"/>
                <wp:lineTo x="21600" y="0"/>
                <wp:lineTo x="-45" y="0"/>
              </wp:wrapPolygon>
            </wp:wrapTight>
            <wp:docPr id="4" name="图片 7" descr="图片1"/>
            <wp:cNvGraphicFramePr>
              <a:graphicFrameLocks noChangeAspect="1"/>
            </wp:cNvGraphicFramePr>
            <a:graphic>
              <a:graphicData uri="http://schemas.openxmlformats.org/drawingml/2006/picture">
                <pic:pic>
                  <pic:nvPicPr>
                    <pic:cNvPr id="6" name="图片 7 6"/>
                    <pic:cNvPicPr/>
                  </pic:nvPicPr>
                  <pic:blipFill>
                    <a:blip r:embed="rId5"/>
                    <a:stretch>
                      <a:fillRect/>
                    </a:stretch>
                  </pic:blipFill>
                  <pic:spPr>
                    <a:xfrm rot="0">
                      <a:off x="0" y="0"/>
                      <a:ext cx="4582795" cy="2644139"/>
                    </a:xfrm>
                    <a:prstGeom prst="rect"/>
                    <a:noFill/>
                    <a:ln w="9525" cmpd="sng" cap="flat">
                      <a:noFill/>
                      <a:prstDash val="solid"/>
                      <a:miter/>
                    </a:ln>
                  </pic:spPr>
                </pic:pic>
              </a:graphicData>
            </a:graphic>
          </wp:anchor>
        </w:drawing>
      </w:r>
    </w:p>
    <w:p>
      <w:pPr>
        <w:pStyle w:val="25"/>
        <w:numPr>
          <w:ilvl w:val="0"/>
          <w:numId w:val="1"/>
        </w:numPr>
        <w:spacing w:line="600" w:lineRule="exact"/>
        <w:ind w:firstLineChars="0"/>
        <w:outlineLvl w:val="1"/>
        <w:rPr>
          <w:rStyle w:val="2Char"/>
          <w:rFonts w:ascii="黑体" w:eastAsia="黑体" w:cs="Times New Roman"/>
          <w:b w:val="0"/>
          <w:bCs w:val="0"/>
        </w:rPr>
      </w:pPr>
      <w:bookmarkStart w:id="18" w:name="_Toc15377207"/>
      <w:bookmarkStart w:id="19" w:name="_Toc15396605"/>
      <w:r>
        <w:rPr>
          <w:rFonts w:ascii="黑体" w:eastAsia="黑体" w:cs="黑体" w:hint="eastAsia"/>
          <w:sz w:val="32"/>
          <w:szCs w:val="32"/>
        </w:rPr>
        <w:t>支</w:t>
      </w:r>
      <w:r>
        <w:rPr>
          <w:rStyle w:val="2Char"/>
          <w:rFonts w:ascii="黑体" w:eastAsia="黑体" w:cs="黑体" w:hint="eastAsia"/>
          <w:b w:val="0"/>
          <w:bCs w:val="0"/>
        </w:rPr>
        <w:t>出决算情况说明</w:t>
      </w:r>
      <w:bookmarkEnd w:id="18"/>
      <w:bookmarkEnd w:id="19"/>
    </w:p>
    <w:p>
      <w:pPr>
        <w:spacing w:line="600" w:lineRule="exact"/>
        <w:ind w:firstLineChars="200" w:firstLine="640"/>
        <w:outlineLvl w:val="1"/>
        <w:rPr>
          <w:rFonts w:ascii="仿宋" w:eastAsia="仿宋"/>
          <w:sz w:val="32"/>
          <w:szCs w:val="32"/>
        </w:rPr>
      </w:pPr>
      <w:r>
        <w:rPr>
          <w:rFonts w:ascii="仿宋" w:eastAsia="仿宋" w:cs="仿宋"/>
          <w:sz w:val="32"/>
          <w:szCs w:val="32"/>
        </w:rPr>
        <w:t>2022</w:t>
      </w:r>
      <w:r>
        <w:rPr>
          <w:rFonts w:ascii="仿宋" w:eastAsia="仿宋" w:cs="仿宋" w:hint="eastAsia"/>
          <w:sz w:val="32"/>
          <w:szCs w:val="32"/>
        </w:rPr>
        <w:t>年本年支出合计</w:t>
      </w:r>
      <w:r>
        <w:rPr>
          <w:rFonts w:ascii="仿宋" w:eastAsia="仿宋" w:cs="仿宋"/>
          <w:sz w:val="32"/>
          <w:szCs w:val="32"/>
        </w:rPr>
        <w:t>961.92</w:t>
      </w:r>
      <w:r>
        <w:rPr>
          <w:rFonts w:ascii="仿宋" w:eastAsia="仿宋" w:cs="仿宋" w:hint="eastAsia"/>
          <w:sz w:val="32"/>
          <w:szCs w:val="32"/>
        </w:rPr>
        <w:t>万元，其中：基本支出</w:t>
      </w:r>
      <w:r>
        <w:rPr>
          <w:rFonts w:ascii="仿宋" w:eastAsia="仿宋" w:cs="仿宋"/>
          <w:sz w:val="32"/>
          <w:szCs w:val="32"/>
        </w:rPr>
        <w:t>821.16</w:t>
      </w:r>
      <w:r>
        <w:rPr>
          <w:rFonts w:ascii="仿宋" w:eastAsia="仿宋" w:cs="仿宋" w:hint="eastAsia"/>
          <w:sz w:val="32"/>
          <w:szCs w:val="32"/>
        </w:rPr>
        <w:t>万元，占</w:t>
      </w:r>
      <w:r>
        <w:rPr>
          <w:rFonts w:ascii="仿宋" w:eastAsia="仿宋" w:cs="仿宋"/>
          <w:sz w:val="32"/>
          <w:szCs w:val="32"/>
        </w:rPr>
        <w:t>85.37%</w:t>
      </w:r>
      <w:r>
        <w:rPr>
          <w:rFonts w:ascii="仿宋" w:eastAsia="仿宋" w:cs="仿宋" w:hint="eastAsia"/>
          <w:sz w:val="32"/>
          <w:szCs w:val="32"/>
        </w:rPr>
        <w:t>；项目支出</w:t>
      </w:r>
      <w:r>
        <w:rPr>
          <w:rFonts w:ascii="仿宋" w:eastAsia="仿宋" w:cs="仿宋"/>
          <w:sz w:val="32"/>
          <w:szCs w:val="32"/>
        </w:rPr>
        <w:t>140.76</w:t>
      </w:r>
      <w:r>
        <w:rPr>
          <w:rFonts w:ascii="仿宋" w:eastAsia="仿宋" w:cs="仿宋" w:hint="eastAsia"/>
          <w:sz w:val="32"/>
          <w:szCs w:val="32"/>
        </w:rPr>
        <w:t>万元，占</w:t>
      </w:r>
      <w:r>
        <w:rPr>
          <w:rFonts w:ascii="仿宋" w:eastAsia="仿宋" w:cs="仿宋"/>
          <w:sz w:val="32"/>
          <w:szCs w:val="32"/>
        </w:rPr>
        <w:t>14.63%</w:t>
      </w:r>
      <w:r>
        <w:rPr>
          <w:rFonts w:ascii="仿宋" w:eastAsia="仿宋" w:cs="仿宋" w:hint="eastAsia"/>
          <w:sz w:val="32"/>
          <w:szCs w:val="32"/>
        </w:rPr>
        <w:t>。</w:t>
      </w:r>
    </w:p>
    <w:p>
      <w:pPr>
        <w:spacing w:line="600" w:lineRule="exact"/>
        <w:ind w:firstLine="640"/>
        <w:rPr>
          <w:rFonts w:ascii="仿宋" w:eastAsia="仿宋"/>
          <w:sz w:val="32"/>
          <w:szCs w:val="32"/>
          <w:shd w:val="pct10" w:color="auto" w:fill="FFFFFF"/>
        </w:rPr>
      </w:pPr>
    </w:p>
    <w:p>
      <w:pPr>
        <w:spacing w:line="600" w:lineRule="exact"/>
        <w:ind w:firstLineChars="200" w:firstLine="640"/>
        <w:rPr>
          <w:rFonts w:ascii="仿宋" w:eastAsia="仿宋"/>
          <w:sz w:val="32"/>
          <w:szCs w:val="32"/>
        </w:rPr>
      </w:pPr>
      <w:r>
        <w:rPr>
          <w:rFonts w:ascii="仿宋" w:eastAsia="仿宋" w:cs="仿宋" w:hint="eastAsia"/>
          <w:sz w:val="32"/>
          <w:szCs w:val="32"/>
        </w:rPr>
        <w:t>（图</w:t>
      </w:r>
      <w:r>
        <w:rPr>
          <w:rFonts w:ascii="仿宋" w:eastAsia="仿宋" w:cs="仿宋"/>
          <w:sz w:val="32"/>
          <w:szCs w:val="32"/>
        </w:rPr>
        <w:t>3</w:t>
      </w:r>
      <w:r>
        <w:rPr>
          <w:rFonts w:ascii="仿宋" w:eastAsia="仿宋" w:cs="仿宋" w:hint="eastAsia"/>
          <w:sz w:val="32"/>
          <w:szCs w:val="32"/>
        </w:rPr>
        <w:t>：支出决算结构图）</w:t>
      </w:r>
    </w:p>
    <w:p>
      <w:pPr>
        <w:spacing w:line="600" w:lineRule="exact"/>
        <w:ind w:firstLineChars="200" w:firstLine="420"/>
        <w:rPr>
          <w:rFonts w:ascii="仿宋_GB2312" w:eastAsia="仿宋_GB2312"/>
          <w:sz w:val="32"/>
          <w:szCs w:val="32"/>
        </w:rPr>
      </w:pPr>
      <w:r>
        <w:drawing>
          <wp:anchor distT="0" distB="0" distL="114300" distR="114300" simplePos="0" relativeHeight="24" behindDoc="0" locked="0" layoutInCell="1" hidden="0" allowOverlap="1">
            <wp:simplePos x="0" y="0"/>
            <wp:positionH relativeFrom="column">
              <wp:posOffset>466725</wp:posOffset>
            </wp:positionH>
            <wp:positionV relativeFrom="paragraph">
              <wp:posOffset>152400</wp:posOffset>
            </wp:positionV>
            <wp:extent cx="4581525" cy="2628900"/>
            <wp:effectExtent l="0" t="0" r="0" b="0"/>
            <wp:wrapTight wrapText="bothSides">
              <wp:wrapPolygon>
                <wp:start x="-45" y="0"/>
                <wp:lineTo x="-45" y="21522"/>
                <wp:lineTo x="21600" y="21522"/>
                <wp:lineTo x="21600" y="0"/>
                <wp:lineTo x="-45" y="0"/>
              </wp:wrapPolygon>
            </wp:wrapTight>
            <wp:docPr id="7" name="图片 8" descr="图片1"/>
            <wp:cNvGraphicFramePr>
              <a:graphicFrameLocks noChangeAspect="1"/>
            </wp:cNvGraphicFramePr>
            <a:graphic>
              <a:graphicData uri="http://schemas.openxmlformats.org/drawingml/2006/picture">
                <pic:pic>
                  <pic:nvPicPr>
                    <pic:cNvPr id="9" name="图片 8 9"/>
                    <pic:cNvPicPr/>
                  </pic:nvPicPr>
                  <pic:blipFill>
                    <a:blip r:embed="rId6"/>
                    <a:stretch>
                      <a:fillRect/>
                    </a:stretch>
                  </pic:blipFill>
                  <pic:spPr>
                    <a:xfrm rot="0">
                      <a:off x="0" y="0"/>
                      <a:ext cx="4581525" cy="2628900"/>
                    </a:xfrm>
                    <a:prstGeom prst="rect"/>
                    <a:noFill/>
                    <a:ln w="9525" cmpd="sng" cap="flat">
                      <a:noFill/>
                      <a:prstDash val="solid"/>
                      <a:miter/>
                    </a:ln>
                  </pic:spPr>
                </pic:pic>
              </a:graphicData>
            </a:graphic>
          </wp:anchor>
        </w:drawing>
      </w:r>
    </w:p>
    <w:p>
      <w:pPr>
        <w:pStyle w:val="15"/>
        <w:spacing w:beforeLines="0" w:before="93"/>
        <w:rPr>
          <w:rFonts w:cs="Times New Roman"/>
        </w:rPr>
      </w:pPr>
    </w:p>
    <w:p>
      <w:pPr>
        <w:pStyle w:val="15"/>
        <w:spacing w:beforeLines="0" w:before="93"/>
        <w:rPr>
          <w:rFonts w:cs="Times New Roman"/>
        </w:rPr>
      </w:pPr>
    </w:p>
    <w:p>
      <w:pPr>
        <w:pStyle w:val="15"/>
        <w:spacing w:beforeLines="0" w:before="93"/>
        <w:rPr>
          <w:rFonts w:cs="Times New Roman"/>
        </w:rPr>
      </w:pPr>
    </w:p>
    <w:p>
      <w:pPr>
        <w:pStyle w:val="15"/>
        <w:spacing w:beforeLines="0" w:before="93"/>
        <w:rPr>
          <w:rFonts w:cs="Times New Roman"/>
        </w:rPr>
      </w:pPr>
    </w:p>
    <w:p>
      <w:pPr>
        <w:pStyle w:val="15"/>
        <w:spacing w:beforeLines="0" w:before="93"/>
        <w:rPr>
          <w:rFonts w:cs="Times New Roman"/>
        </w:rPr>
      </w:pPr>
    </w:p>
    <w:p>
      <w:pPr>
        <w:spacing w:line="600" w:lineRule="exact"/>
        <w:ind w:firstLineChars="200" w:firstLine="640"/>
        <w:outlineLvl w:val="1"/>
        <w:rPr>
          <w:rStyle w:val="2Char"/>
          <w:rFonts w:ascii="黑体" w:eastAsia="黑体" w:cs="Times New Roman"/>
          <w:b w:val="0"/>
          <w:bCs w:val="0"/>
        </w:rPr>
      </w:pPr>
      <w:bookmarkStart w:id="20" w:name="_Toc15377208"/>
      <w:bookmarkStart w:id="21" w:name="_Toc15396606"/>
      <w:r>
        <w:rPr>
          <w:rFonts w:ascii="黑体" w:eastAsia="黑体" w:cs="黑体" w:hint="eastAsia"/>
          <w:sz w:val="32"/>
          <w:szCs w:val="32"/>
        </w:rPr>
        <w:t>四、财</w:t>
      </w:r>
      <w:r>
        <w:rPr>
          <w:rStyle w:val="2Char"/>
          <w:rFonts w:ascii="黑体" w:eastAsia="黑体" w:cs="黑体" w:hint="eastAsia"/>
          <w:b w:val="0"/>
          <w:bCs w:val="0"/>
        </w:rPr>
        <w:t>政拨款收入支出决算总体情况说明</w:t>
      </w:r>
      <w:bookmarkEnd w:id="20"/>
      <w:bookmarkEnd w:id="21"/>
    </w:p>
    <w:p>
      <w:pPr>
        <w:spacing w:line="600" w:lineRule="exact"/>
        <w:ind w:firstLine="640"/>
        <w:rPr>
          <w:rFonts w:ascii="仿宋" w:eastAsia="仿宋"/>
          <w:sz w:val="32"/>
          <w:szCs w:val="32"/>
        </w:rPr>
      </w:pPr>
      <w:r>
        <w:rPr>
          <w:rFonts w:ascii="仿宋" w:eastAsia="仿宋" w:cs="仿宋"/>
          <w:sz w:val="32"/>
          <w:szCs w:val="32"/>
        </w:rPr>
        <w:t>2022</w:t>
      </w:r>
      <w:r>
        <w:rPr>
          <w:rFonts w:ascii="仿宋" w:eastAsia="仿宋" w:cs="仿宋" w:hint="eastAsia"/>
          <w:sz w:val="32"/>
          <w:szCs w:val="32"/>
        </w:rPr>
        <w:t>年财政拨款收、支总计</w:t>
      </w:r>
      <w:r>
        <w:rPr>
          <w:rFonts w:ascii="仿宋" w:eastAsia="仿宋" w:cs="仿宋"/>
          <w:sz w:val="32"/>
          <w:szCs w:val="32"/>
        </w:rPr>
        <w:t>961.92</w:t>
      </w:r>
      <w:r>
        <w:rPr>
          <w:rFonts w:ascii="仿宋" w:eastAsia="仿宋" w:cs="仿宋" w:hint="eastAsia"/>
          <w:sz w:val="32"/>
          <w:szCs w:val="32"/>
        </w:rPr>
        <w:t>万元。与</w:t>
      </w:r>
      <w:r>
        <w:rPr>
          <w:rFonts w:ascii="仿宋" w:eastAsia="仿宋" w:cs="仿宋"/>
          <w:sz w:val="32"/>
          <w:szCs w:val="32"/>
        </w:rPr>
        <w:t>2021</w:t>
      </w:r>
      <w:r>
        <w:rPr>
          <w:rFonts w:ascii="仿宋" w:eastAsia="仿宋" w:cs="仿宋" w:hint="eastAsia"/>
          <w:sz w:val="32"/>
          <w:szCs w:val="32"/>
        </w:rPr>
        <w:t>年相比，财政拨款收、支总计各增加</w:t>
      </w:r>
      <w:r>
        <w:rPr>
          <w:rFonts w:ascii="仿宋" w:eastAsia="仿宋" w:cs="仿宋"/>
          <w:sz w:val="32"/>
          <w:szCs w:val="32"/>
        </w:rPr>
        <w:t>29.55</w:t>
      </w:r>
      <w:r>
        <w:rPr>
          <w:rFonts w:ascii="仿宋" w:eastAsia="仿宋" w:cs="仿宋" w:hint="eastAsia"/>
          <w:sz w:val="32"/>
          <w:szCs w:val="32"/>
        </w:rPr>
        <w:t>万元，增长</w:t>
      </w:r>
      <w:r>
        <w:rPr>
          <w:rFonts w:ascii="仿宋" w:eastAsia="仿宋" w:cs="仿宋"/>
          <w:sz w:val="32"/>
          <w:szCs w:val="32"/>
        </w:rPr>
        <w:t>3.17%</w:t>
      </w:r>
      <w:r>
        <w:rPr>
          <w:rFonts w:ascii="仿宋" w:eastAsia="仿宋" w:cs="仿宋" w:hint="eastAsia"/>
          <w:sz w:val="32"/>
          <w:szCs w:val="32"/>
        </w:rPr>
        <w:t>。主要变动原因是人员经费的增加</w:t>
      </w:r>
    </w:p>
    <w:p>
      <w:pPr>
        <w:spacing w:line="600" w:lineRule="exact"/>
        <w:rPr>
          <w:rFonts w:ascii="仿宋" w:eastAsia="仿宋"/>
          <w:sz w:val="32"/>
          <w:szCs w:val="32"/>
        </w:rPr>
      </w:pPr>
    </w:p>
    <w:p>
      <w:pPr>
        <w:spacing w:line="600" w:lineRule="exact"/>
        <w:ind w:firstLineChars="200" w:firstLine="640"/>
        <w:rPr>
          <w:rFonts w:ascii="仿宋" w:eastAsia="仿宋"/>
          <w:sz w:val="32"/>
          <w:szCs w:val="32"/>
        </w:rPr>
      </w:pPr>
      <w:r>
        <w:rPr>
          <w:rFonts w:ascii="仿宋" w:eastAsia="仿宋" w:cs="仿宋" w:hint="eastAsia"/>
          <w:sz w:val="32"/>
          <w:szCs w:val="32"/>
        </w:rPr>
        <w:t>（图</w:t>
      </w:r>
      <w:r>
        <w:rPr>
          <w:rFonts w:ascii="仿宋" w:eastAsia="仿宋" w:cs="仿宋"/>
          <w:sz w:val="32"/>
          <w:szCs w:val="32"/>
        </w:rPr>
        <w:t>4</w:t>
      </w:r>
      <w:r>
        <w:rPr>
          <w:rFonts w:ascii="仿宋" w:eastAsia="仿宋" w:cs="仿宋" w:hint="eastAsia"/>
          <w:sz w:val="32"/>
          <w:szCs w:val="32"/>
        </w:rPr>
        <w:t>：财政拨款收、支决算总计变动情况）</w:t>
      </w:r>
    </w:p>
    <w:p>
      <w:pPr>
        <w:spacing w:line="600" w:lineRule="exact"/>
        <w:ind w:firstLine="640"/>
        <w:rPr>
          <w:rFonts w:ascii="仿宋" w:eastAsia="仿宋"/>
          <w:b/>
          <w:bCs/>
          <w:sz w:val="32"/>
          <w:szCs w:val="32"/>
        </w:rPr>
      </w:pPr>
      <w:r>
        <w:drawing>
          <wp:anchor distT="0" distB="0" distL="114300" distR="114300" simplePos="0" relativeHeight="26" behindDoc="0" locked="0" layoutInCell="1" hidden="0" allowOverlap="1">
            <wp:simplePos x="0" y="0"/>
            <wp:positionH relativeFrom="column">
              <wp:posOffset>37465</wp:posOffset>
            </wp:positionH>
            <wp:positionV relativeFrom="paragraph">
              <wp:posOffset>257175</wp:posOffset>
            </wp:positionV>
            <wp:extent cx="4581525" cy="2686049"/>
            <wp:effectExtent l="0" t="0" r="0" b="0"/>
            <wp:wrapTight wrapText="bothSides">
              <wp:wrapPolygon>
                <wp:start x="-45" y="0"/>
                <wp:lineTo x="-45" y="21523"/>
                <wp:lineTo x="21600" y="21523"/>
                <wp:lineTo x="21600" y="0"/>
                <wp:lineTo x="-45" y="0"/>
              </wp:wrapPolygon>
            </wp:wrapTight>
            <wp:docPr id="10" name="图片 9" descr="图片1"/>
            <wp:cNvGraphicFramePr>
              <a:graphicFrameLocks noChangeAspect="1"/>
            </wp:cNvGraphicFramePr>
            <a:graphic>
              <a:graphicData uri="http://schemas.openxmlformats.org/drawingml/2006/picture">
                <pic:pic>
                  <pic:nvPicPr>
                    <pic:cNvPr id="12" name="图片 9 12"/>
                    <pic:cNvPicPr/>
                  </pic:nvPicPr>
                  <pic:blipFill>
                    <a:blip r:embed="rId7"/>
                    <a:stretch>
                      <a:fillRect/>
                    </a:stretch>
                  </pic:blipFill>
                  <pic:spPr>
                    <a:xfrm rot="0">
                      <a:off x="0" y="0"/>
                      <a:ext cx="4581525" cy="2686049"/>
                    </a:xfrm>
                    <a:prstGeom prst="rect"/>
                    <a:noFill/>
                    <a:ln w="9525" cmpd="sng" cap="flat">
                      <a:noFill/>
                      <a:prstDash val="solid"/>
                      <a:miter/>
                    </a:ln>
                  </pic:spPr>
                </pic:pic>
              </a:graphicData>
            </a:graphic>
          </wp:anchor>
        </w:drawing>
      </w:r>
    </w:p>
    <w:p>
      <w:pPr>
        <w:pStyle w:val="15"/>
        <w:spacing w:beforeLines="0" w:before="93"/>
        <w:rPr>
          <w:rFonts w:cs="Times New Roman"/>
        </w:rPr>
      </w:pPr>
    </w:p>
    <w:p>
      <w:pPr>
        <w:pStyle w:val="15"/>
        <w:spacing w:beforeLines="0" w:before="93"/>
        <w:rPr>
          <w:rFonts w:cs="Times New Roman"/>
        </w:rPr>
      </w:pPr>
    </w:p>
    <w:p>
      <w:pPr>
        <w:pStyle w:val="15"/>
        <w:spacing w:beforeLines="0" w:before="93"/>
        <w:rPr>
          <w:rFonts w:cs="Times New Roman"/>
        </w:rPr>
      </w:pPr>
    </w:p>
    <w:p>
      <w:pPr>
        <w:pStyle w:val="15"/>
        <w:spacing w:beforeLines="0" w:before="93"/>
        <w:rPr>
          <w:rFonts w:cs="Times New Roman"/>
        </w:rPr>
      </w:pPr>
    </w:p>
    <w:p>
      <w:pPr>
        <w:pStyle w:val="15"/>
        <w:spacing w:beforeLines="0" w:before="93"/>
        <w:rPr>
          <w:rFonts w:cs="Times New Roman"/>
        </w:rPr>
      </w:pPr>
    </w:p>
    <w:p>
      <w:pPr>
        <w:spacing w:line="600" w:lineRule="exact"/>
        <w:ind w:firstLineChars="200" w:firstLine="640"/>
        <w:outlineLvl w:val="1"/>
        <w:rPr>
          <w:rStyle w:val="2Char"/>
          <w:rFonts w:ascii="黑体" w:eastAsia="黑体" w:cs="Times New Roman"/>
          <w:b w:val="0"/>
          <w:bCs w:val="0"/>
        </w:rPr>
      </w:pPr>
      <w:bookmarkStart w:id="22" w:name="_Toc15377209"/>
      <w:bookmarkStart w:id="23" w:name="_Toc15396607"/>
      <w:r>
        <w:rPr>
          <w:rFonts w:ascii="黑体" w:eastAsia="黑体" w:cs="黑体" w:hint="eastAsia"/>
          <w:sz w:val="32"/>
          <w:szCs w:val="32"/>
        </w:rPr>
        <w:t>五、</w:t>
      </w:r>
      <w:r>
        <w:rPr>
          <w:rFonts w:ascii="黑体" w:eastAsia="黑体" w:cs="黑体" w:hint="eastAsia"/>
          <w:b/>
          <w:bCs/>
          <w:sz w:val="32"/>
          <w:szCs w:val="32"/>
        </w:rPr>
        <w:t>一</w:t>
      </w:r>
      <w:r>
        <w:rPr>
          <w:rStyle w:val="2Char"/>
          <w:rFonts w:ascii="黑体" w:eastAsia="黑体" w:cs="黑体" w:hint="eastAsia"/>
          <w:b w:val="0"/>
          <w:bCs w:val="0"/>
        </w:rPr>
        <w:t>般公共预算财政拨款支出决算情况说明</w:t>
      </w:r>
      <w:bookmarkEnd w:id="22"/>
      <w:bookmarkEnd w:id="23"/>
    </w:p>
    <w:p>
      <w:pPr>
        <w:spacing w:line="600" w:lineRule="exact"/>
        <w:ind w:firstLineChars="200" w:firstLine="640"/>
        <w:outlineLvl w:val="2"/>
        <w:rPr>
          <w:rFonts w:ascii="仿宋" w:eastAsia="仿宋"/>
          <w:b/>
          <w:bCs/>
          <w:sz w:val="32"/>
          <w:szCs w:val="32"/>
        </w:rPr>
      </w:pPr>
      <w:bookmarkStart w:id="24" w:name="_Toc15377210"/>
      <w:r>
        <w:rPr>
          <w:rFonts w:ascii="仿宋" w:eastAsia="仿宋" w:cs="仿宋" w:hint="eastAsia"/>
          <w:b/>
          <w:bCs/>
          <w:sz w:val="32"/>
          <w:szCs w:val="32"/>
        </w:rPr>
        <w:t>（一）一般公共预算财政拨款支出决算总体情况</w:t>
      </w:r>
      <w:bookmarkEnd w:id="24"/>
    </w:p>
    <w:p>
      <w:pPr>
        <w:spacing w:line="600" w:lineRule="exact"/>
        <w:ind w:firstLineChars="200" w:firstLine="640"/>
        <w:rPr>
          <w:rFonts w:ascii="仿宋" w:eastAsia="仿宋"/>
          <w:sz w:val="32"/>
          <w:szCs w:val="32"/>
        </w:rPr>
      </w:pPr>
      <w:r>
        <w:rPr>
          <w:rFonts w:ascii="仿宋" w:eastAsia="仿宋" w:cs="仿宋"/>
          <w:sz w:val="32"/>
          <w:szCs w:val="32"/>
        </w:rPr>
        <w:t>2022</w:t>
      </w:r>
      <w:r>
        <w:rPr>
          <w:rFonts w:ascii="仿宋" w:eastAsia="仿宋" w:cs="仿宋" w:hint="eastAsia"/>
          <w:sz w:val="32"/>
          <w:szCs w:val="32"/>
        </w:rPr>
        <w:t>年一般公共预算财政拨款支出</w:t>
      </w:r>
      <w:r>
        <w:rPr>
          <w:rFonts w:ascii="仿宋" w:eastAsia="仿宋" w:cs="仿宋"/>
          <w:sz w:val="32"/>
          <w:szCs w:val="32"/>
        </w:rPr>
        <w:t>961.92</w:t>
      </w:r>
      <w:r>
        <w:rPr>
          <w:rFonts w:ascii="仿宋" w:eastAsia="仿宋" w:cs="仿宋" w:hint="eastAsia"/>
          <w:sz w:val="32"/>
          <w:szCs w:val="32"/>
        </w:rPr>
        <w:t>万元，占本年支出合计的</w:t>
      </w:r>
      <w:r>
        <w:rPr>
          <w:rFonts w:ascii="仿宋" w:eastAsia="仿宋" w:cs="仿宋"/>
          <w:sz w:val="32"/>
          <w:szCs w:val="32"/>
        </w:rPr>
        <w:t>100%</w:t>
      </w:r>
      <w:r>
        <w:rPr>
          <w:rFonts w:ascii="仿宋" w:eastAsia="仿宋" w:cs="仿宋" w:hint="eastAsia"/>
          <w:sz w:val="32"/>
          <w:szCs w:val="32"/>
        </w:rPr>
        <w:t>。与</w:t>
      </w:r>
      <w:r>
        <w:rPr>
          <w:rFonts w:ascii="仿宋" w:eastAsia="仿宋" w:cs="仿宋"/>
          <w:sz w:val="32"/>
          <w:szCs w:val="32"/>
        </w:rPr>
        <w:t>2021</w:t>
      </w:r>
      <w:r>
        <w:rPr>
          <w:rFonts w:ascii="仿宋" w:eastAsia="仿宋" w:cs="仿宋" w:hint="eastAsia"/>
          <w:sz w:val="32"/>
          <w:szCs w:val="32"/>
        </w:rPr>
        <w:t>年相比，一般公共预算财政拨款支出增加</w:t>
      </w:r>
      <w:r>
        <w:rPr>
          <w:rFonts w:ascii="仿宋" w:eastAsia="仿宋" w:cs="仿宋"/>
          <w:sz w:val="32"/>
          <w:szCs w:val="32"/>
        </w:rPr>
        <w:t>29.55</w:t>
      </w:r>
      <w:r>
        <w:rPr>
          <w:rFonts w:ascii="仿宋" w:eastAsia="仿宋" w:cs="仿宋" w:hint="eastAsia"/>
          <w:sz w:val="32"/>
          <w:szCs w:val="32"/>
        </w:rPr>
        <w:t>万元，增长</w:t>
      </w:r>
      <w:r>
        <w:rPr>
          <w:rFonts w:ascii="仿宋" w:eastAsia="仿宋" w:cs="仿宋"/>
          <w:sz w:val="32"/>
          <w:szCs w:val="32"/>
        </w:rPr>
        <w:t>3.17%</w:t>
      </w:r>
      <w:r>
        <w:rPr>
          <w:rFonts w:ascii="仿宋" w:eastAsia="仿宋" w:cs="仿宋" w:hint="eastAsia"/>
          <w:sz w:val="32"/>
          <w:szCs w:val="32"/>
        </w:rPr>
        <w:t>。主要变动原因是人员经费的增加</w:t>
      </w:r>
    </w:p>
    <w:p>
      <w:pPr>
        <w:spacing w:line="600" w:lineRule="exact"/>
        <w:ind w:firstLineChars="200" w:firstLine="640"/>
        <w:rPr>
          <w:rFonts w:ascii="仿宋" w:eastAsia="仿宋"/>
          <w:sz w:val="32"/>
          <w:szCs w:val="32"/>
        </w:rPr>
      </w:pPr>
      <w:r>
        <w:rPr>
          <w:rFonts w:ascii="仿宋" w:eastAsia="仿宋" w:cs="仿宋" w:hint="eastAsia"/>
          <w:sz w:val="32"/>
          <w:szCs w:val="32"/>
        </w:rPr>
        <w:t>（图</w:t>
      </w:r>
      <w:r>
        <w:rPr>
          <w:rFonts w:ascii="仿宋" w:eastAsia="仿宋" w:cs="仿宋"/>
          <w:sz w:val="32"/>
          <w:szCs w:val="32"/>
        </w:rPr>
        <w:t>5</w:t>
      </w:r>
      <w:r>
        <w:rPr>
          <w:rFonts w:ascii="仿宋" w:eastAsia="仿宋" w:cs="仿宋" w:hint="eastAsia"/>
          <w:sz w:val="32"/>
          <w:szCs w:val="32"/>
        </w:rPr>
        <w:t>：一般公共预算财政拨款支出决算变动情况）</w:t>
      </w:r>
    </w:p>
    <w:p>
      <w:pPr>
        <w:pStyle w:val="15"/>
        <w:spacing w:beforeLines="0" w:before="93"/>
        <w:rPr>
          <w:rFonts w:cs="Times New Roman"/>
        </w:rPr>
      </w:pPr>
      <w:r>
        <w:drawing>
          <wp:anchor distT="0" distB="0" distL="114300" distR="114300" simplePos="0" relativeHeight="30" behindDoc="0" locked="0" layoutInCell="1" hidden="0" allowOverlap="1">
            <wp:simplePos x="0" y="0"/>
            <wp:positionH relativeFrom="column">
              <wp:posOffset>466725</wp:posOffset>
            </wp:positionH>
            <wp:positionV relativeFrom="paragraph">
              <wp:posOffset>68580</wp:posOffset>
            </wp:positionV>
            <wp:extent cx="3621405" cy="2131060"/>
            <wp:effectExtent l="0" t="0" r="40" b="31"/>
            <wp:wrapSquare wrapText="bothSides"/>
            <wp:docPr id="13" name="图片 10" descr="图片1"/>
            <wp:cNvGraphicFramePr>
              <a:graphicFrameLocks noChangeAspect="1"/>
            </wp:cNvGraphicFramePr>
            <a:graphic>
              <a:graphicData uri="http://schemas.openxmlformats.org/drawingml/2006/picture">
                <pic:pic>
                  <pic:nvPicPr>
                    <pic:cNvPr id="15" name="图片 10 15"/>
                    <pic:cNvPicPr/>
                  </pic:nvPicPr>
                  <pic:blipFill>
                    <a:blip r:embed="rId8"/>
                    <a:stretch>
                      <a:fillRect/>
                    </a:stretch>
                  </pic:blipFill>
                  <pic:spPr>
                    <a:xfrm rot="0">
                      <a:off x="0" y="0"/>
                      <a:ext cx="3621405" cy="2131060"/>
                    </a:xfrm>
                    <a:prstGeom prst="rect"/>
                    <a:noFill/>
                    <a:ln w="9525" cmpd="sng" cap="flat">
                      <a:noFill/>
                      <a:prstDash val="solid"/>
                      <a:miter/>
                    </a:ln>
                  </pic:spPr>
                </pic:pic>
              </a:graphicData>
            </a:graphic>
          </wp:anchor>
        </w:drawing>
      </w:r>
    </w:p>
    <w:p>
      <w:pPr>
        <w:pStyle w:val="15"/>
        <w:spacing w:beforeLines="0" w:before="93"/>
        <w:rPr>
          <w:rFonts w:cs="Times New Roman"/>
        </w:rPr>
      </w:pPr>
    </w:p>
    <w:p>
      <w:pPr>
        <w:pStyle w:val="15"/>
        <w:spacing w:beforeLines="0" w:before="93"/>
        <w:rPr>
          <w:rFonts w:cs="Times New Roman"/>
        </w:rPr>
      </w:pPr>
    </w:p>
    <w:p>
      <w:pPr>
        <w:pStyle w:val="15"/>
        <w:spacing w:beforeLines="0" w:before="93"/>
        <w:rPr>
          <w:rFonts w:cs="Times New Roman"/>
        </w:rPr>
      </w:pPr>
    </w:p>
    <w:p>
      <w:pPr>
        <w:pStyle w:val="15"/>
        <w:spacing w:beforeLines="0" w:before="93"/>
        <w:rPr>
          <w:rFonts w:cs="Times New Roman"/>
        </w:rPr>
      </w:pPr>
    </w:p>
    <w:p>
      <w:pPr>
        <w:pStyle w:val="15"/>
        <w:spacing w:beforeLines="0" w:before="93"/>
        <w:rPr>
          <w:rFonts w:cs="Times New Roman"/>
        </w:rPr>
      </w:pPr>
    </w:p>
    <w:p>
      <w:pPr>
        <w:pStyle w:val="15"/>
        <w:spacing w:beforeLines="0" w:before="93"/>
        <w:rPr>
          <w:rFonts w:cs="Times New Roman"/>
        </w:rPr>
      </w:pPr>
    </w:p>
    <w:p>
      <w:pPr>
        <w:pStyle w:val="15"/>
        <w:spacing w:beforeLines="0" w:before="93"/>
        <w:rPr>
          <w:rFonts w:cs="Times New Roman"/>
        </w:rPr>
      </w:pPr>
      <w:r>
        <w:rPr>
          <w:rFonts w:cs="Times New Roman"/>
        </w:rPr>
        <w:t xml:space="preserve">                   </w:t>
      </w:r>
    </w:p>
    <w:p>
      <w:pPr>
        <w:pStyle w:val="15"/>
        <w:spacing w:beforeLines="0" w:before="93"/>
        <w:rPr>
          <w:rFonts w:cs="Times New Roman"/>
        </w:rPr>
      </w:pPr>
    </w:p>
    <w:p>
      <w:pPr>
        <w:spacing w:line="600" w:lineRule="exact"/>
        <w:ind w:firstLineChars="200" w:firstLine="640"/>
        <w:outlineLvl w:val="2"/>
        <w:rPr>
          <w:rFonts w:ascii="仿宋" w:eastAsia="仿宋"/>
          <w:b/>
          <w:bCs/>
          <w:sz w:val="32"/>
          <w:szCs w:val="32"/>
        </w:rPr>
      </w:pPr>
      <w:bookmarkStart w:id="25" w:name="_Toc15377211"/>
      <w:r>
        <w:rPr>
          <w:rFonts w:ascii="仿宋" w:eastAsia="仿宋" w:cs="仿宋" w:hint="eastAsia"/>
          <w:b/>
          <w:bCs/>
          <w:sz w:val="32"/>
          <w:szCs w:val="32"/>
        </w:rPr>
        <w:t>（</w:t>
      </w:r>
    </w:p>
    <w:p>
      <w:pPr>
        <w:spacing w:line="600" w:lineRule="exact"/>
        <w:ind w:firstLineChars="200" w:firstLine="640"/>
        <w:outlineLvl w:val="2"/>
        <w:rPr>
          <w:rFonts w:ascii="仿宋" w:eastAsia="仿宋"/>
          <w:b/>
          <w:bCs/>
          <w:sz w:val="32"/>
          <w:szCs w:val="32"/>
        </w:rPr>
      </w:pPr>
    </w:p>
    <w:p>
      <w:pPr>
        <w:spacing w:line="600" w:lineRule="exact"/>
        <w:ind w:firstLineChars="200" w:firstLine="640"/>
        <w:outlineLvl w:val="2"/>
        <w:rPr>
          <w:rFonts w:ascii="仿宋" w:eastAsia="仿宋"/>
          <w:b/>
          <w:bCs/>
          <w:sz w:val="32"/>
          <w:szCs w:val="32"/>
        </w:rPr>
      </w:pPr>
    </w:p>
    <w:p>
      <w:pPr>
        <w:spacing w:line="600" w:lineRule="exact"/>
        <w:ind w:firstLineChars="200" w:firstLine="640"/>
        <w:outlineLvl w:val="2"/>
        <w:rPr>
          <w:rFonts w:ascii="仿宋" w:eastAsia="仿宋"/>
          <w:b/>
          <w:bCs/>
          <w:sz w:val="32"/>
          <w:szCs w:val="32"/>
        </w:rPr>
      </w:pPr>
    </w:p>
    <w:p>
      <w:pPr>
        <w:spacing w:line="600" w:lineRule="exact"/>
        <w:ind w:firstLineChars="200" w:firstLine="640"/>
        <w:outlineLvl w:val="2"/>
        <w:rPr>
          <w:rFonts w:ascii="仿宋" w:eastAsia="仿宋"/>
          <w:b/>
          <w:bCs/>
          <w:sz w:val="32"/>
          <w:szCs w:val="32"/>
        </w:rPr>
      </w:pPr>
      <w:r>
        <w:rPr>
          <w:rFonts w:ascii="仿宋" w:eastAsia="仿宋" w:cs="仿宋" w:hint="eastAsia"/>
          <w:b/>
          <w:bCs/>
          <w:sz w:val="32"/>
          <w:szCs w:val="32"/>
        </w:rPr>
        <w:t>（二）一般公共预算财政拨款支出决算结构情况</w:t>
      </w:r>
      <w:bookmarkEnd w:id="25"/>
    </w:p>
    <w:p>
      <w:pPr>
        <w:spacing w:line="600" w:lineRule="exact"/>
        <w:ind w:firstLine="640"/>
        <w:rPr>
          <w:rFonts w:ascii="仿宋" w:eastAsia="仿宋"/>
          <w:b/>
          <w:bCs/>
          <w:sz w:val="32"/>
          <w:szCs w:val="32"/>
        </w:rPr>
      </w:pPr>
      <w:r>
        <w:rPr>
          <w:rFonts w:ascii="仿宋" w:eastAsia="仿宋" w:cs="仿宋"/>
          <w:sz w:val="32"/>
          <w:szCs w:val="32"/>
        </w:rPr>
        <w:t>2022</w:t>
      </w:r>
      <w:r>
        <w:rPr>
          <w:rFonts w:ascii="仿宋" w:eastAsia="仿宋" w:cs="仿宋" w:hint="eastAsia"/>
          <w:sz w:val="32"/>
          <w:szCs w:val="32"/>
        </w:rPr>
        <w:t>年一般公共预算财政拨款支出</w:t>
      </w:r>
      <w:r>
        <w:rPr>
          <w:rFonts w:ascii="仿宋" w:eastAsia="仿宋" w:cs="仿宋"/>
          <w:sz w:val="32"/>
          <w:szCs w:val="32"/>
        </w:rPr>
        <w:t>961.92</w:t>
      </w:r>
      <w:r>
        <w:rPr>
          <w:rFonts w:ascii="仿宋" w:eastAsia="仿宋" w:cs="仿宋" w:hint="eastAsia"/>
          <w:sz w:val="32"/>
          <w:szCs w:val="32"/>
        </w:rPr>
        <w:t>万元，主要用于以下方面</w:t>
      </w:r>
      <w:r>
        <w:rPr>
          <w:rFonts w:ascii="仿宋" w:eastAsia="仿宋" w:cs="仿宋"/>
          <w:sz w:val="32"/>
          <w:szCs w:val="32"/>
        </w:rPr>
        <w:t>:</w:t>
      </w:r>
      <w:r>
        <w:rPr>
          <w:rFonts w:ascii="仿宋" w:eastAsia="仿宋" w:cs="仿宋" w:hint="eastAsia"/>
          <w:b/>
          <w:bCs/>
          <w:sz w:val="32"/>
          <w:szCs w:val="32"/>
        </w:rPr>
        <w:t>社会保障和就业支出</w:t>
      </w:r>
      <w:r>
        <w:rPr>
          <w:rFonts w:ascii="仿宋" w:eastAsia="仿宋" w:cs="仿宋"/>
          <w:sz w:val="32"/>
          <w:szCs w:val="32"/>
        </w:rPr>
        <w:t>183.21</w:t>
      </w:r>
      <w:r>
        <w:rPr>
          <w:rFonts w:ascii="仿宋" w:eastAsia="仿宋" w:cs="仿宋" w:hint="eastAsia"/>
          <w:sz w:val="32"/>
          <w:szCs w:val="32"/>
        </w:rPr>
        <w:t>万元，占</w:t>
      </w:r>
      <w:r>
        <w:rPr>
          <w:rFonts w:ascii="仿宋" w:eastAsia="仿宋" w:cs="仿宋"/>
          <w:sz w:val="32"/>
          <w:szCs w:val="32"/>
        </w:rPr>
        <w:t>19.05%</w:t>
      </w:r>
      <w:r>
        <w:rPr>
          <w:rFonts w:ascii="仿宋" w:eastAsia="仿宋" w:cs="仿宋" w:hint="eastAsia"/>
          <w:sz w:val="32"/>
          <w:szCs w:val="32"/>
        </w:rPr>
        <w:t>；</w:t>
      </w:r>
      <w:r>
        <w:rPr>
          <w:rFonts w:ascii="仿宋" w:eastAsia="仿宋" w:cs="仿宋" w:hint="eastAsia"/>
          <w:b/>
          <w:bCs/>
          <w:sz w:val="32"/>
          <w:szCs w:val="32"/>
        </w:rPr>
        <w:t>城乡社区支出</w:t>
      </w:r>
      <w:r>
        <w:rPr>
          <w:rFonts w:ascii="仿宋" w:eastAsia="仿宋" w:cs="仿宋"/>
          <w:sz w:val="32"/>
          <w:szCs w:val="32"/>
        </w:rPr>
        <w:t>725.85</w:t>
      </w:r>
      <w:r>
        <w:rPr>
          <w:rFonts w:ascii="仿宋" w:eastAsia="仿宋" w:cs="仿宋" w:hint="eastAsia"/>
          <w:sz w:val="32"/>
          <w:szCs w:val="32"/>
        </w:rPr>
        <w:t>万元，占</w:t>
      </w:r>
      <w:r>
        <w:rPr>
          <w:rFonts w:ascii="仿宋" w:eastAsia="仿宋" w:cs="仿宋"/>
          <w:sz w:val="32"/>
          <w:szCs w:val="32"/>
        </w:rPr>
        <w:t>75.46%</w:t>
      </w:r>
      <w:r>
        <w:rPr>
          <w:rFonts w:ascii="仿宋" w:eastAsia="仿宋" w:cs="仿宋" w:hint="eastAsia"/>
          <w:sz w:val="32"/>
          <w:szCs w:val="32"/>
        </w:rPr>
        <w:t>；</w:t>
      </w:r>
      <w:r>
        <w:rPr>
          <w:rFonts w:ascii="仿宋" w:eastAsia="仿宋" w:cs="仿宋" w:hint="eastAsia"/>
          <w:b/>
          <w:bCs/>
          <w:sz w:val="32"/>
          <w:szCs w:val="32"/>
        </w:rPr>
        <w:t>住房保障支出</w:t>
      </w:r>
      <w:r>
        <w:rPr>
          <w:rFonts w:ascii="仿宋" w:eastAsia="仿宋" w:cs="仿宋"/>
          <w:sz w:val="32"/>
          <w:szCs w:val="32"/>
        </w:rPr>
        <w:t>52.86</w:t>
      </w:r>
      <w:r>
        <w:rPr>
          <w:rFonts w:ascii="仿宋" w:eastAsia="仿宋" w:cs="仿宋" w:hint="eastAsia"/>
          <w:sz w:val="32"/>
          <w:szCs w:val="32"/>
        </w:rPr>
        <w:t>万元，占</w:t>
      </w:r>
      <w:r>
        <w:rPr>
          <w:rFonts w:ascii="仿宋" w:eastAsia="仿宋" w:cs="仿宋"/>
          <w:sz w:val="32"/>
          <w:szCs w:val="32"/>
        </w:rPr>
        <w:t>5.49%</w:t>
      </w:r>
      <w:r>
        <w:rPr>
          <w:rFonts w:ascii="仿宋" w:eastAsia="仿宋" w:cs="仿宋" w:hint="eastAsia"/>
          <w:sz w:val="32"/>
          <w:szCs w:val="32"/>
        </w:rPr>
        <w:t>。</w:t>
      </w:r>
    </w:p>
    <w:p>
      <w:pPr>
        <w:spacing w:line="600" w:lineRule="exact"/>
        <w:ind w:firstLineChars="200" w:firstLine="640"/>
        <w:rPr>
          <w:rFonts w:ascii="仿宋" w:eastAsia="仿宋"/>
          <w:sz w:val="32"/>
          <w:szCs w:val="32"/>
        </w:rPr>
      </w:pPr>
      <w:r>
        <w:rPr>
          <w:rFonts w:ascii="仿宋" w:eastAsia="仿宋" w:cs="仿宋" w:hint="eastAsia"/>
          <w:sz w:val="32"/>
          <w:szCs w:val="32"/>
        </w:rPr>
        <w:t>（图</w:t>
      </w:r>
      <w:r>
        <w:rPr>
          <w:rFonts w:ascii="仿宋" w:eastAsia="仿宋" w:cs="仿宋"/>
          <w:sz w:val="32"/>
          <w:szCs w:val="32"/>
        </w:rPr>
        <w:t>6</w:t>
      </w:r>
      <w:r>
        <w:rPr>
          <w:rFonts w:ascii="仿宋" w:eastAsia="仿宋" w:cs="仿宋" w:hint="eastAsia"/>
          <w:sz w:val="32"/>
          <w:szCs w:val="32"/>
        </w:rPr>
        <w:t>：一般公共预算财政拨款支出决算结构）</w:t>
      </w:r>
    </w:p>
    <w:p>
      <w:pPr>
        <w:pStyle w:val="15"/>
        <w:spacing w:beforeLines="0" w:before="93"/>
        <w:rPr>
          <w:rFonts w:cs="Times New Roman"/>
        </w:rPr>
      </w:pPr>
      <w:r>
        <w:drawing>
          <wp:anchor distT="0" distB="0" distL="114298" distR="114298" simplePos="0" relativeHeight="2" behindDoc="1" locked="0" layoutInCell="1" hidden="0" allowOverlap="1">
            <wp:simplePos x="0" y="0"/>
            <wp:positionH relativeFrom="column">
              <wp:posOffset>323850</wp:posOffset>
            </wp:positionH>
            <wp:positionV relativeFrom="paragraph">
              <wp:posOffset>89535</wp:posOffset>
            </wp:positionV>
            <wp:extent cx="4571999" cy="2774950"/>
            <wp:effectExtent l="0" t="0" r="0" b="0"/>
            <wp:wrapNone/>
            <wp:docPr id="16" name="图片 12" descr="图片1"/>
            <wp:cNvGraphicFramePr>
              <a:graphicFrameLocks noChangeAspect="1"/>
            </wp:cNvGraphicFramePr>
            <a:graphic>
              <a:graphicData uri="http://schemas.openxmlformats.org/drawingml/2006/picture">
                <pic:pic>
                  <pic:nvPicPr>
                    <pic:cNvPr id="18" name="图片 12 18"/>
                    <pic:cNvPicPr/>
                  </pic:nvPicPr>
                  <pic:blipFill>
                    <a:blip r:embed="rId9"/>
                    <a:stretch>
                      <a:fillRect/>
                    </a:stretch>
                  </pic:blipFill>
                  <pic:spPr>
                    <a:xfrm rot="0">
                      <a:off x="0" y="0"/>
                      <a:ext cx="4571999" cy="2774950"/>
                    </a:xfrm>
                    <a:prstGeom prst="rect"/>
                    <a:noFill/>
                    <a:ln w="9525" cmpd="sng" cap="flat">
                      <a:noFill/>
                      <a:prstDash val="solid"/>
                      <a:miter/>
                    </a:ln>
                  </pic:spPr>
                </pic:pic>
              </a:graphicData>
            </a:graphic>
          </wp:anchor>
        </w:drawing>
      </w:r>
    </w:p>
    <w:p>
      <w:pPr>
        <w:pStyle w:val="15"/>
        <w:spacing w:beforeLines="0" w:before="93"/>
        <w:rPr>
          <w:rFonts w:cs="Times New Roman"/>
        </w:rPr>
      </w:pPr>
    </w:p>
    <w:p>
      <w:pPr>
        <w:pStyle w:val="15"/>
        <w:spacing w:beforeLines="0" w:before="93"/>
        <w:rPr>
          <w:rFonts w:cs="Times New Roman"/>
        </w:rPr>
      </w:pPr>
    </w:p>
    <w:p>
      <w:pPr>
        <w:pStyle w:val="15"/>
        <w:spacing w:beforeLines="0" w:before="93"/>
        <w:rPr>
          <w:rFonts w:cs="Times New Roman"/>
        </w:rPr>
      </w:pPr>
    </w:p>
    <w:p>
      <w:pPr>
        <w:pStyle w:val="15"/>
        <w:spacing w:beforeLines="0" w:before="93"/>
        <w:rPr>
          <w:rFonts w:cs="Times New Roman"/>
        </w:rPr>
      </w:pPr>
    </w:p>
    <w:p>
      <w:pPr>
        <w:pStyle w:val="15"/>
        <w:spacing w:beforeLines="0" w:before="93"/>
        <w:rPr>
          <w:rFonts w:cs="Times New Roman"/>
        </w:rPr>
      </w:pPr>
    </w:p>
    <w:p>
      <w:pPr>
        <w:spacing w:line="600" w:lineRule="exact"/>
        <w:ind w:firstLineChars="200" w:firstLine="640"/>
        <w:outlineLvl w:val="2"/>
        <w:rPr>
          <w:rFonts w:ascii="仿宋" w:eastAsia="仿宋"/>
          <w:b/>
          <w:bCs/>
          <w:sz w:val="32"/>
          <w:szCs w:val="32"/>
        </w:rPr>
      </w:pPr>
      <w:bookmarkStart w:id="26" w:name="_Toc15377212"/>
    </w:p>
    <w:p>
      <w:pPr>
        <w:spacing w:line="600" w:lineRule="exact"/>
        <w:ind w:firstLineChars="200" w:firstLine="640"/>
        <w:outlineLvl w:val="2"/>
        <w:rPr>
          <w:rFonts w:ascii="仿宋" w:eastAsia="仿宋"/>
          <w:b/>
          <w:bCs/>
          <w:sz w:val="32"/>
          <w:szCs w:val="32"/>
        </w:rPr>
      </w:pPr>
    </w:p>
    <w:p>
      <w:pPr>
        <w:spacing w:line="600" w:lineRule="exact"/>
        <w:ind w:firstLineChars="200" w:firstLine="640"/>
        <w:outlineLvl w:val="2"/>
        <w:rPr>
          <w:rFonts w:ascii="仿宋" w:eastAsia="仿宋"/>
          <w:b/>
          <w:bCs/>
          <w:sz w:val="32"/>
          <w:szCs w:val="32"/>
        </w:rPr>
      </w:pPr>
    </w:p>
    <w:p>
      <w:pPr>
        <w:spacing w:line="600" w:lineRule="exact"/>
        <w:ind w:firstLineChars="200" w:firstLine="640"/>
        <w:outlineLvl w:val="2"/>
        <w:rPr>
          <w:rFonts w:ascii="仿宋" w:eastAsia="仿宋"/>
          <w:b/>
          <w:bCs/>
          <w:sz w:val="32"/>
          <w:szCs w:val="32"/>
        </w:rPr>
      </w:pPr>
    </w:p>
    <w:p>
      <w:pPr>
        <w:spacing w:line="600" w:lineRule="exact"/>
        <w:ind w:firstLineChars="200" w:firstLine="640"/>
        <w:outlineLvl w:val="2"/>
        <w:rPr>
          <w:rFonts w:ascii="仿宋" w:eastAsia="仿宋"/>
          <w:b/>
          <w:bCs/>
          <w:sz w:val="32"/>
          <w:szCs w:val="32"/>
        </w:rPr>
      </w:pPr>
    </w:p>
    <w:p>
      <w:pPr>
        <w:spacing w:line="600" w:lineRule="exact"/>
        <w:ind w:firstLineChars="200" w:firstLine="640"/>
        <w:outlineLvl w:val="2"/>
        <w:rPr>
          <w:rFonts w:ascii="仿宋" w:eastAsia="仿宋"/>
          <w:b/>
          <w:bCs/>
          <w:sz w:val="32"/>
          <w:szCs w:val="32"/>
        </w:rPr>
      </w:pPr>
      <w:r>
        <w:rPr>
          <w:rFonts w:ascii="仿宋" w:eastAsia="仿宋" w:cs="仿宋" w:hint="eastAsia"/>
          <w:b/>
          <w:bCs/>
          <w:sz w:val="32"/>
          <w:szCs w:val="32"/>
        </w:rPr>
        <w:t>（三）一般公共预算财政拨款支出决算具体情况</w:t>
      </w:r>
      <w:bookmarkEnd w:id="26"/>
    </w:p>
    <w:p>
      <w:pPr>
        <w:spacing w:line="600" w:lineRule="exact"/>
        <w:ind w:firstLineChars="200" w:firstLine="640"/>
        <w:outlineLvl w:val="2"/>
        <w:rPr>
          <w:rFonts w:ascii="仿宋" w:eastAsia="仿宋"/>
          <w:sz w:val="32"/>
          <w:szCs w:val="32"/>
        </w:rPr>
      </w:pPr>
      <w:bookmarkStart w:id="27" w:name="_Toc15377213"/>
      <w:bookmarkStart w:id="28" w:name="_Toc15377444"/>
      <w:bookmarkStart w:id="29" w:name="_Toc15378460"/>
      <w:r>
        <w:rPr>
          <w:rFonts w:ascii="仿宋" w:eastAsia="仿宋" w:cs="仿宋"/>
          <w:b/>
          <w:bCs/>
          <w:sz w:val="32"/>
          <w:szCs w:val="32"/>
        </w:rPr>
        <w:t>2022</w:t>
      </w:r>
      <w:r>
        <w:rPr>
          <w:rFonts w:ascii="仿宋" w:eastAsia="仿宋" w:cs="仿宋" w:hint="eastAsia"/>
          <w:b/>
          <w:bCs/>
          <w:sz w:val="32"/>
          <w:szCs w:val="32"/>
        </w:rPr>
        <w:t>年一般公共预算支出决算数为</w:t>
      </w:r>
      <w:r>
        <w:rPr>
          <w:rFonts w:ascii="仿宋" w:eastAsia="仿宋" w:cs="仿宋"/>
          <w:b/>
          <w:bCs/>
          <w:sz w:val="32"/>
          <w:szCs w:val="32"/>
        </w:rPr>
        <w:t>961.92</w:t>
      </w:r>
      <w:r>
        <w:rPr>
          <w:rFonts w:ascii="仿宋" w:eastAsia="仿宋" w:cs="仿宋" w:hint="eastAsia"/>
          <w:sz w:val="32"/>
          <w:szCs w:val="32"/>
        </w:rPr>
        <w:t>，</w:t>
      </w:r>
      <w:r>
        <w:rPr>
          <w:rStyle w:val="22"/>
          <w:rFonts w:ascii="仿宋" w:eastAsia="仿宋" w:cs="仿宋" w:hint="eastAsia"/>
          <w:sz w:val="32"/>
          <w:szCs w:val="32"/>
        </w:rPr>
        <w:t>完成预算</w:t>
      </w:r>
      <w:r>
        <w:rPr>
          <w:rStyle w:val="22"/>
          <w:rFonts w:ascii="仿宋" w:eastAsia="仿宋" w:cs="仿宋"/>
          <w:sz w:val="32"/>
          <w:szCs w:val="32"/>
        </w:rPr>
        <w:t>100%</w:t>
      </w:r>
      <w:r>
        <w:rPr>
          <w:rStyle w:val="22"/>
          <w:rFonts w:ascii="仿宋" w:eastAsia="仿宋" w:cs="仿宋" w:hint="eastAsia"/>
          <w:sz w:val="32"/>
          <w:szCs w:val="32"/>
        </w:rPr>
        <w:t>。其中：</w:t>
      </w:r>
      <w:bookmarkEnd w:id="27"/>
      <w:bookmarkEnd w:id="28"/>
      <w:bookmarkEnd w:id="29"/>
    </w:p>
    <w:p>
      <w:pPr>
        <w:spacing w:line="600" w:lineRule="exact"/>
        <w:ind w:firstLineChars="200" w:firstLine="640"/>
        <w:rPr>
          <w:rStyle w:val="22"/>
          <w:rFonts w:ascii="仿宋" w:eastAsia="仿宋"/>
          <w:b w:val="0"/>
          <w:bCs w:val="0"/>
          <w:sz w:val="32"/>
          <w:szCs w:val="32"/>
        </w:rPr>
      </w:pPr>
      <w:r>
        <w:rPr>
          <w:rStyle w:val="22"/>
          <w:rFonts w:ascii="仿宋" w:eastAsia="仿宋" w:cs="仿宋"/>
          <w:sz w:val="32"/>
          <w:szCs w:val="32"/>
        </w:rPr>
        <w:t>1.</w:t>
      </w:r>
      <w:r>
        <w:rPr>
          <w:rStyle w:val="22"/>
          <w:rFonts w:ascii="仿宋" w:eastAsia="仿宋" w:cs="仿宋" w:hint="eastAsia"/>
          <w:sz w:val="32"/>
          <w:szCs w:val="32"/>
        </w:rPr>
        <w:t>社会保障和就业（类）行政事业单位养老支出（款）行政单位离退休（项）</w:t>
      </w:r>
      <w:r>
        <w:rPr>
          <w:rStyle w:val="22"/>
          <w:rFonts w:ascii="仿宋" w:eastAsia="仿宋" w:cs="仿宋"/>
          <w:sz w:val="32"/>
          <w:szCs w:val="32"/>
        </w:rPr>
        <w:t>:</w:t>
      </w:r>
      <w:r>
        <w:rPr>
          <w:rStyle w:val="22"/>
          <w:rFonts w:ascii="仿宋" w:eastAsia="仿宋" w:cs="仿宋" w:hint="eastAsia"/>
          <w:b w:val="0"/>
          <w:bCs w:val="0"/>
          <w:sz w:val="32"/>
          <w:szCs w:val="32"/>
        </w:rPr>
        <w:t>支出决算为</w:t>
      </w:r>
      <w:r>
        <w:rPr>
          <w:rStyle w:val="22"/>
          <w:rFonts w:ascii="仿宋" w:eastAsia="仿宋" w:cs="仿宋"/>
          <w:b w:val="0"/>
          <w:bCs w:val="0"/>
          <w:sz w:val="32"/>
          <w:szCs w:val="32"/>
        </w:rPr>
        <w:t>117</w:t>
      </w:r>
      <w:r>
        <w:rPr>
          <w:rStyle w:val="22"/>
          <w:rFonts w:ascii="仿宋" w:eastAsia="仿宋" w:cs="仿宋" w:hint="eastAsia"/>
          <w:b w:val="0"/>
          <w:bCs w:val="0"/>
          <w:sz w:val="32"/>
          <w:szCs w:val="32"/>
        </w:rPr>
        <w:t>万元，完成预算</w:t>
      </w:r>
      <w:r>
        <w:rPr>
          <w:rStyle w:val="22"/>
          <w:rFonts w:ascii="仿宋" w:eastAsia="仿宋" w:cs="仿宋"/>
          <w:b w:val="0"/>
          <w:bCs w:val="0"/>
          <w:sz w:val="32"/>
          <w:szCs w:val="32"/>
        </w:rPr>
        <w:t>100%</w:t>
      </w:r>
      <w:r>
        <w:rPr>
          <w:rStyle w:val="22"/>
          <w:rFonts w:ascii="仿宋" w:eastAsia="仿宋" w:cs="仿宋" w:hint="eastAsia"/>
          <w:b w:val="0"/>
          <w:bCs w:val="0"/>
          <w:sz w:val="32"/>
          <w:szCs w:val="32"/>
        </w:rPr>
        <w:t>。</w:t>
      </w:r>
    </w:p>
    <w:p>
      <w:pPr>
        <w:spacing w:line="600" w:lineRule="exact"/>
        <w:ind w:firstLineChars="200" w:firstLine="420"/>
        <w:rPr>
          <w:rStyle w:val="22"/>
          <w:rFonts w:ascii="仿宋" w:eastAsia="仿宋"/>
          <w:b w:val="0"/>
          <w:bCs w:val="0"/>
          <w:sz w:val="32"/>
          <w:szCs w:val="32"/>
        </w:rPr>
      </w:pPr>
      <w:r>
        <w:t xml:space="preserve">  </w:t>
      </w:r>
      <w:r>
        <w:rPr>
          <w:rStyle w:val="22"/>
          <w:rFonts w:ascii="仿宋" w:eastAsia="仿宋" w:cs="仿宋"/>
          <w:sz w:val="32"/>
          <w:szCs w:val="32"/>
        </w:rPr>
        <w:t>2.</w:t>
      </w:r>
      <w:r>
        <w:rPr>
          <w:rStyle w:val="22"/>
          <w:rFonts w:ascii="仿宋" w:eastAsia="仿宋" w:cs="仿宋" w:hint="eastAsia"/>
          <w:sz w:val="32"/>
          <w:szCs w:val="32"/>
        </w:rPr>
        <w:t>社会保障和就业（类）行政事业单位养老支出（款）行政事业单位基本养老保险缴费支出（项）</w:t>
      </w:r>
      <w:r>
        <w:rPr>
          <w:rStyle w:val="22"/>
          <w:rFonts w:ascii="仿宋" w:eastAsia="仿宋" w:cs="仿宋"/>
          <w:sz w:val="32"/>
          <w:szCs w:val="32"/>
        </w:rPr>
        <w:t>:</w:t>
      </w:r>
      <w:r>
        <w:rPr>
          <w:rStyle w:val="22"/>
          <w:rFonts w:ascii="仿宋" w:eastAsia="仿宋" w:cs="仿宋" w:hint="eastAsia"/>
          <w:b w:val="0"/>
          <w:bCs w:val="0"/>
          <w:sz w:val="32"/>
          <w:szCs w:val="32"/>
        </w:rPr>
        <w:t>支出决算为</w:t>
      </w:r>
      <w:r>
        <w:rPr>
          <w:rStyle w:val="22"/>
          <w:rFonts w:ascii="仿宋" w:eastAsia="仿宋" w:cs="仿宋"/>
          <w:b w:val="0"/>
          <w:bCs w:val="0"/>
          <w:sz w:val="32"/>
          <w:szCs w:val="32"/>
        </w:rPr>
        <w:t>44.48</w:t>
      </w:r>
      <w:r>
        <w:rPr>
          <w:rStyle w:val="22"/>
          <w:rFonts w:ascii="仿宋" w:eastAsia="仿宋" w:cs="仿宋" w:hint="eastAsia"/>
          <w:b w:val="0"/>
          <w:bCs w:val="0"/>
          <w:sz w:val="32"/>
          <w:szCs w:val="32"/>
        </w:rPr>
        <w:t>万元，完成预算</w:t>
      </w:r>
      <w:r>
        <w:rPr>
          <w:rStyle w:val="22"/>
          <w:rFonts w:ascii="仿宋" w:eastAsia="仿宋" w:cs="仿宋"/>
          <w:b w:val="0"/>
          <w:bCs w:val="0"/>
          <w:sz w:val="32"/>
          <w:szCs w:val="32"/>
        </w:rPr>
        <w:t>100%</w:t>
      </w:r>
      <w:r>
        <w:rPr>
          <w:rStyle w:val="22"/>
          <w:rFonts w:ascii="仿宋" w:eastAsia="仿宋" w:cs="仿宋" w:hint="eastAsia"/>
          <w:b w:val="0"/>
          <w:bCs w:val="0"/>
          <w:sz w:val="32"/>
          <w:szCs w:val="32"/>
        </w:rPr>
        <w:t>。</w:t>
      </w:r>
    </w:p>
    <w:p>
      <w:pPr>
        <w:pStyle w:val="15"/>
        <w:spacing w:beforeLines="0" w:before="93"/>
        <w:ind w:firstLineChars="196" w:firstLine="627"/>
        <w:rPr>
          <w:rFonts w:cs="Times New Roman"/>
        </w:rPr>
      </w:pPr>
      <w:r>
        <w:rPr>
          <w:rStyle w:val="22"/>
          <w:rFonts w:ascii="仿宋" w:eastAsia="仿宋" w:cs="仿宋"/>
          <w:sz w:val="32"/>
          <w:szCs w:val="32"/>
        </w:rPr>
        <w:t>3.</w:t>
      </w:r>
      <w:r>
        <w:rPr>
          <w:rStyle w:val="22"/>
          <w:rFonts w:ascii="仿宋" w:eastAsia="仿宋" w:cs="仿宋" w:hint="eastAsia"/>
          <w:sz w:val="32"/>
          <w:szCs w:val="32"/>
        </w:rPr>
        <w:t>社会保障和就业（类）抚恤（款）死亡抚恤（项）</w:t>
      </w:r>
      <w:r>
        <w:rPr>
          <w:rStyle w:val="22"/>
          <w:rFonts w:ascii="仿宋" w:eastAsia="仿宋" w:cs="仿宋"/>
          <w:sz w:val="32"/>
          <w:szCs w:val="32"/>
        </w:rPr>
        <w:t>:</w:t>
      </w:r>
      <w:r>
        <w:rPr>
          <w:rStyle w:val="22"/>
          <w:rFonts w:ascii="仿宋" w:eastAsia="仿宋" w:cs="仿宋" w:hint="eastAsia"/>
          <w:b w:val="0"/>
          <w:bCs w:val="0"/>
          <w:sz w:val="32"/>
          <w:szCs w:val="32"/>
        </w:rPr>
        <w:t>支出决算为</w:t>
      </w:r>
      <w:r>
        <w:rPr>
          <w:rStyle w:val="22"/>
          <w:rFonts w:ascii="仿宋" w:eastAsia="仿宋" w:cs="仿宋"/>
          <w:b w:val="0"/>
          <w:bCs w:val="0"/>
          <w:sz w:val="32"/>
          <w:szCs w:val="32"/>
        </w:rPr>
        <w:t>21.73</w:t>
      </w:r>
      <w:r>
        <w:rPr>
          <w:rStyle w:val="22"/>
          <w:rFonts w:ascii="仿宋" w:eastAsia="仿宋" w:cs="仿宋" w:hint="eastAsia"/>
          <w:b w:val="0"/>
          <w:bCs w:val="0"/>
          <w:sz w:val="32"/>
          <w:szCs w:val="32"/>
        </w:rPr>
        <w:t>万元，完成预算</w:t>
      </w:r>
      <w:r>
        <w:rPr>
          <w:rStyle w:val="22"/>
          <w:rFonts w:ascii="仿宋" w:eastAsia="仿宋" w:cs="仿宋"/>
          <w:b w:val="0"/>
          <w:bCs w:val="0"/>
          <w:sz w:val="32"/>
          <w:szCs w:val="32"/>
        </w:rPr>
        <w:t>100%</w:t>
      </w:r>
      <w:r>
        <w:rPr>
          <w:rStyle w:val="22"/>
          <w:rFonts w:ascii="仿宋" w:eastAsia="仿宋" w:cs="仿宋" w:hint="eastAsia"/>
          <w:b w:val="0"/>
          <w:bCs w:val="0"/>
          <w:sz w:val="32"/>
          <w:szCs w:val="32"/>
        </w:rPr>
        <w:t>。</w:t>
      </w:r>
    </w:p>
    <w:p>
      <w:pPr>
        <w:spacing w:line="600" w:lineRule="exact"/>
        <w:ind w:firstLineChars="200" w:firstLine="640"/>
        <w:rPr>
          <w:rStyle w:val="22"/>
          <w:rFonts w:ascii="仿宋" w:eastAsia="仿宋"/>
          <w:b w:val="0"/>
          <w:bCs w:val="0"/>
          <w:sz w:val="32"/>
          <w:szCs w:val="32"/>
        </w:rPr>
      </w:pPr>
      <w:r>
        <w:rPr>
          <w:rStyle w:val="22"/>
          <w:rFonts w:ascii="仿宋" w:eastAsia="仿宋" w:cs="仿宋"/>
          <w:sz w:val="32"/>
          <w:szCs w:val="32"/>
        </w:rPr>
        <w:t>4.</w:t>
      </w:r>
      <w:r>
        <w:rPr>
          <w:rFonts w:ascii="仿宋" w:eastAsia="仿宋" w:cs="仿宋" w:hint="eastAsia"/>
          <w:b/>
          <w:bCs/>
          <w:sz w:val="32"/>
          <w:szCs w:val="32"/>
        </w:rPr>
        <w:t>城乡社区支出</w:t>
      </w:r>
      <w:r>
        <w:rPr>
          <w:rStyle w:val="22"/>
          <w:rFonts w:ascii="仿宋" w:eastAsia="仿宋" w:cs="仿宋" w:hint="eastAsia"/>
          <w:sz w:val="32"/>
          <w:szCs w:val="32"/>
        </w:rPr>
        <w:t>（类）</w:t>
      </w:r>
      <w:r>
        <w:rPr>
          <w:rFonts w:ascii="仿宋" w:eastAsia="仿宋" w:cs="仿宋" w:hint="eastAsia"/>
          <w:b/>
          <w:bCs/>
          <w:sz w:val="32"/>
          <w:szCs w:val="32"/>
        </w:rPr>
        <w:t>城乡社区管理事务</w:t>
      </w:r>
      <w:r>
        <w:rPr>
          <w:rStyle w:val="22"/>
          <w:rFonts w:ascii="仿宋" w:eastAsia="仿宋" w:cs="仿宋" w:hint="eastAsia"/>
          <w:sz w:val="32"/>
          <w:szCs w:val="32"/>
        </w:rPr>
        <w:t>（款）行政运行（项）</w:t>
      </w:r>
      <w:r>
        <w:rPr>
          <w:rStyle w:val="22"/>
          <w:rFonts w:ascii="仿宋" w:eastAsia="仿宋" w:cs="仿宋"/>
          <w:sz w:val="32"/>
          <w:szCs w:val="32"/>
        </w:rPr>
        <w:t>:</w:t>
      </w:r>
      <w:r>
        <w:rPr>
          <w:rStyle w:val="22"/>
          <w:rFonts w:ascii="仿宋" w:eastAsia="仿宋" w:cs="仿宋" w:hint="eastAsia"/>
          <w:b w:val="0"/>
          <w:bCs w:val="0"/>
          <w:sz w:val="32"/>
          <w:szCs w:val="32"/>
        </w:rPr>
        <w:t>支出决算为</w:t>
      </w:r>
      <w:r>
        <w:rPr>
          <w:rStyle w:val="22"/>
          <w:rFonts w:ascii="仿宋" w:eastAsia="仿宋" w:cs="仿宋"/>
          <w:b w:val="0"/>
          <w:bCs w:val="0"/>
          <w:sz w:val="32"/>
          <w:szCs w:val="32"/>
        </w:rPr>
        <w:t>585.09</w:t>
      </w:r>
      <w:r>
        <w:rPr>
          <w:rStyle w:val="22"/>
          <w:rFonts w:ascii="仿宋" w:eastAsia="仿宋" w:cs="仿宋" w:hint="eastAsia"/>
          <w:b w:val="0"/>
          <w:bCs w:val="0"/>
          <w:sz w:val="32"/>
          <w:szCs w:val="32"/>
        </w:rPr>
        <w:t>万元，完成预算</w:t>
      </w:r>
      <w:r>
        <w:rPr>
          <w:rStyle w:val="22"/>
          <w:rFonts w:ascii="仿宋" w:eastAsia="仿宋" w:cs="仿宋"/>
          <w:b w:val="0"/>
          <w:bCs w:val="0"/>
          <w:sz w:val="32"/>
          <w:szCs w:val="32"/>
        </w:rPr>
        <w:t>100%</w:t>
      </w:r>
      <w:r>
        <w:rPr>
          <w:rStyle w:val="22"/>
          <w:rFonts w:ascii="仿宋" w:eastAsia="仿宋" w:cs="仿宋" w:hint="eastAsia"/>
          <w:b w:val="0"/>
          <w:bCs w:val="0"/>
          <w:sz w:val="32"/>
          <w:szCs w:val="32"/>
        </w:rPr>
        <w:t>。</w:t>
      </w:r>
    </w:p>
    <w:p>
      <w:pPr>
        <w:pStyle w:val="15"/>
        <w:spacing w:beforeLines="0" w:before="93"/>
        <w:ind w:firstLineChars="196" w:firstLine="627"/>
        <w:rPr>
          <w:rFonts w:cs="Times New Roman"/>
        </w:rPr>
      </w:pPr>
      <w:r>
        <w:rPr>
          <w:rStyle w:val="22"/>
          <w:rFonts w:ascii="仿宋" w:eastAsia="仿宋" w:cs="仿宋"/>
          <w:sz w:val="32"/>
          <w:szCs w:val="32"/>
        </w:rPr>
        <w:t>5.</w:t>
      </w:r>
      <w:r>
        <w:rPr>
          <w:rFonts w:ascii="仿宋" w:eastAsia="仿宋" w:cs="仿宋" w:hint="eastAsia"/>
          <w:b/>
          <w:bCs/>
          <w:sz w:val="32"/>
          <w:szCs w:val="32"/>
        </w:rPr>
        <w:t>城乡社区支出</w:t>
      </w:r>
      <w:r>
        <w:rPr>
          <w:rStyle w:val="22"/>
          <w:rFonts w:ascii="仿宋" w:eastAsia="仿宋" w:cs="仿宋" w:hint="eastAsia"/>
          <w:sz w:val="32"/>
          <w:szCs w:val="32"/>
        </w:rPr>
        <w:t>（类）建设市场管理与监督（款）建设市场管理与监督（项）</w:t>
      </w:r>
      <w:r>
        <w:rPr>
          <w:rStyle w:val="22"/>
          <w:rFonts w:ascii="仿宋" w:eastAsia="仿宋" w:cs="仿宋"/>
          <w:sz w:val="32"/>
          <w:szCs w:val="32"/>
        </w:rPr>
        <w:t>:</w:t>
      </w:r>
      <w:r>
        <w:rPr>
          <w:rStyle w:val="22"/>
          <w:rFonts w:ascii="仿宋" w:eastAsia="仿宋" w:cs="仿宋" w:hint="eastAsia"/>
          <w:b w:val="0"/>
          <w:bCs w:val="0"/>
          <w:sz w:val="32"/>
          <w:szCs w:val="32"/>
        </w:rPr>
        <w:t>支出决算为</w:t>
      </w:r>
      <w:r>
        <w:rPr>
          <w:rStyle w:val="22"/>
          <w:rFonts w:ascii="仿宋" w:eastAsia="仿宋" w:cs="仿宋"/>
          <w:b w:val="0"/>
          <w:bCs w:val="0"/>
          <w:sz w:val="32"/>
          <w:szCs w:val="32"/>
        </w:rPr>
        <w:t>140.76</w:t>
      </w:r>
      <w:r>
        <w:rPr>
          <w:rStyle w:val="22"/>
          <w:rFonts w:ascii="仿宋" w:eastAsia="仿宋" w:cs="仿宋" w:hint="eastAsia"/>
          <w:b w:val="0"/>
          <w:bCs w:val="0"/>
          <w:sz w:val="32"/>
          <w:szCs w:val="32"/>
        </w:rPr>
        <w:t>万元，完成预算</w:t>
      </w:r>
      <w:r>
        <w:rPr>
          <w:rStyle w:val="22"/>
          <w:rFonts w:ascii="仿宋" w:eastAsia="仿宋" w:cs="仿宋"/>
          <w:b w:val="0"/>
          <w:bCs w:val="0"/>
          <w:sz w:val="32"/>
          <w:szCs w:val="32"/>
        </w:rPr>
        <w:t>100%</w:t>
      </w:r>
      <w:r>
        <w:rPr>
          <w:rStyle w:val="22"/>
          <w:rFonts w:ascii="仿宋" w:eastAsia="仿宋" w:cs="仿宋" w:hint="eastAsia"/>
          <w:b w:val="0"/>
          <w:bCs w:val="0"/>
          <w:sz w:val="32"/>
          <w:szCs w:val="32"/>
        </w:rPr>
        <w:t>。</w:t>
      </w:r>
    </w:p>
    <w:p>
      <w:pPr>
        <w:pStyle w:val="15"/>
        <w:spacing w:beforeLines="0" w:before="93"/>
        <w:ind w:firstLineChars="196" w:firstLine="627"/>
        <w:rPr>
          <w:rFonts w:cs="Times New Roman"/>
        </w:rPr>
      </w:pPr>
      <w:r>
        <w:rPr>
          <w:rStyle w:val="22"/>
          <w:rFonts w:ascii="仿宋" w:eastAsia="仿宋" w:cs="仿宋"/>
          <w:sz w:val="32"/>
          <w:szCs w:val="32"/>
        </w:rPr>
        <w:t>6.</w:t>
      </w:r>
      <w:r>
        <w:rPr>
          <w:rFonts w:ascii="仿宋" w:eastAsia="仿宋" w:cs="仿宋" w:hint="eastAsia"/>
          <w:b/>
          <w:bCs/>
          <w:sz w:val="32"/>
          <w:szCs w:val="32"/>
        </w:rPr>
        <w:t>住房保障支出</w:t>
      </w:r>
      <w:r>
        <w:rPr>
          <w:rStyle w:val="22"/>
          <w:rFonts w:ascii="仿宋" w:eastAsia="仿宋" w:cs="仿宋" w:hint="eastAsia"/>
          <w:sz w:val="32"/>
          <w:szCs w:val="32"/>
        </w:rPr>
        <w:t>（类）住房改革支出（款）住房公积金（项）</w:t>
      </w:r>
      <w:r>
        <w:rPr>
          <w:rStyle w:val="22"/>
          <w:rFonts w:ascii="仿宋" w:eastAsia="仿宋" w:cs="仿宋"/>
          <w:sz w:val="32"/>
          <w:szCs w:val="32"/>
        </w:rPr>
        <w:t>:</w:t>
      </w:r>
      <w:r>
        <w:rPr>
          <w:rStyle w:val="22"/>
          <w:rFonts w:ascii="仿宋" w:eastAsia="仿宋" w:cs="仿宋" w:hint="eastAsia"/>
          <w:b w:val="0"/>
          <w:bCs w:val="0"/>
          <w:sz w:val="32"/>
          <w:szCs w:val="32"/>
        </w:rPr>
        <w:t>支出决算为</w:t>
      </w:r>
      <w:r>
        <w:rPr>
          <w:rStyle w:val="22"/>
          <w:rFonts w:ascii="仿宋" w:eastAsia="仿宋" w:cs="仿宋"/>
          <w:b w:val="0"/>
          <w:bCs w:val="0"/>
          <w:sz w:val="32"/>
          <w:szCs w:val="32"/>
        </w:rPr>
        <w:t>52.86</w:t>
      </w:r>
      <w:r>
        <w:rPr>
          <w:rStyle w:val="22"/>
          <w:rFonts w:ascii="仿宋" w:eastAsia="仿宋" w:cs="仿宋" w:hint="eastAsia"/>
          <w:b w:val="0"/>
          <w:bCs w:val="0"/>
          <w:sz w:val="32"/>
          <w:szCs w:val="32"/>
        </w:rPr>
        <w:t>万元，完成预算</w:t>
      </w:r>
      <w:r>
        <w:rPr>
          <w:rStyle w:val="22"/>
          <w:rFonts w:ascii="仿宋" w:eastAsia="仿宋" w:cs="仿宋"/>
          <w:b w:val="0"/>
          <w:bCs w:val="0"/>
          <w:sz w:val="32"/>
          <w:szCs w:val="32"/>
        </w:rPr>
        <w:t>100%</w:t>
      </w:r>
      <w:r>
        <w:rPr>
          <w:rStyle w:val="22"/>
          <w:rFonts w:ascii="仿宋" w:eastAsia="仿宋" w:cs="仿宋" w:hint="eastAsia"/>
          <w:b w:val="0"/>
          <w:bCs w:val="0"/>
          <w:sz w:val="32"/>
          <w:szCs w:val="32"/>
        </w:rPr>
        <w:t>。</w:t>
      </w:r>
    </w:p>
    <w:p>
      <w:pPr>
        <w:spacing w:line="600" w:lineRule="exact"/>
        <w:ind w:firstLine="640"/>
        <w:rPr>
          <w:rFonts w:ascii="仿宋" w:eastAsia="仿宋"/>
          <w:b/>
          <w:bCs/>
          <w:sz w:val="32"/>
          <w:szCs w:val="32"/>
        </w:rPr>
      </w:pPr>
    </w:p>
    <w:p>
      <w:pPr>
        <w:tabs>
          <w:tab w:val="right" w:pos="8306"/>
        </w:tabs>
        <w:spacing w:line="600" w:lineRule="exact"/>
        <w:ind w:firstLine="640"/>
        <w:outlineLvl w:val="1"/>
        <w:rPr>
          <w:rStyle w:val="2Char"/>
        </w:rPr>
      </w:pPr>
      <w:bookmarkStart w:id="30" w:name="_Toc15377214"/>
      <w:bookmarkStart w:id="31" w:name="_Toc15396608"/>
      <w:r>
        <w:rPr>
          <w:rFonts w:ascii="黑体" w:eastAsia="黑体" w:cs="黑体" w:hint="eastAsia"/>
          <w:sz w:val="32"/>
          <w:szCs w:val="32"/>
        </w:rPr>
        <w:t>六</w:t>
      </w:r>
      <w:r>
        <w:rPr>
          <w:rFonts w:ascii="黑体" w:eastAsia="黑体" w:cs="黑体" w:hint="eastAsia"/>
          <w:b/>
          <w:bCs/>
          <w:sz w:val="32"/>
          <w:szCs w:val="32"/>
        </w:rPr>
        <w:t>、一</w:t>
      </w:r>
      <w:r>
        <w:rPr>
          <w:rStyle w:val="2Char"/>
          <w:rFonts w:ascii="黑体" w:eastAsia="黑体" w:cs="黑体" w:hint="eastAsia"/>
          <w:b w:val="0"/>
          <w:bCs w:val="0"/>
        </w:rPr>
        <w:t>般公共预算财政拨款基本支出决算情况说明</w:t>
      </w:r>
      <w:bookmarkEnd w:id="30"/>
      <w:bookmarkEnd w:id="31"/>
      <w:r>
        <w:rPr>
          <w:rStyle w:val="2Char"/>
          <w:rFonts w:ascii="黑体" w:eastAsia="黑体" w:cs="Times New Roman"/>
          <w:b w:val="0"/>
          <w:bCs w:val="0"/>
        </w:rPr>
        <w:tab/>
      </w:r>
    </w:p>
    <w:p>
      <w:pPr>
        <w:spacing w:line="600" w:lineRule="exact"/>
        <w:ind w:firstLine="645"/>
        <w:rPr>
          <w:rFonts w:ascii="仿宋" w:eastAsia="仿宋"/>
          <w:sz w:val="32"/>
          <w:szCs w:val="32"/>
        </w:rPr>
      </w:pPr>
      <w:r>
        <w:rPr>
          <w:rFonts w:ascii="仿宋" w:eastAsia="仿宋" w:cs="仿宋"/>
          <w:sz w:val="32"/>
          <w:szCs w:val="32"/>
        </w:rPr>
        <w:t>2022</w:t>
      </w:r>
      <w:r>
        <w:rPr>
          <w:rFonts w:ascii="仿宋" w:eastAsia="仿宋" w:cs="仿宋" w:hint="eastAsia"/>
          <w:sz w:val="32"/>
          <w:szCs w:val="32"/>
        </w:rPr>
        <w:t>年一般公共预算财政拨款基本支出</w:t>
      </w:r>
      <w:r>
        <w:rPr>
          <w:rFonts w:ascii="仿宋" w:eastAsia="仿宋" w:cs="仿宋"/>
          <w:sz w:val="32"/>
          <w:szCs w:val="32"/>
        </w:rPr>
        <w:t>821.16</w:t>
      </w:r>
      <w:r>
        <w:rPr>
          <w:rFonts w:ascii="仿宋" w:eastAsia="仿宋" w:cs="仿宋" w:hint="eastAsia"/>
          <w:sz w:val="32"/>
          <w:szCs w:val="32"/>
        </w:rPr>
        <w:t>万元，其中：</w:t>
      </w:r>
    </w:p>
    <w:p>
      <w:pPr>
        <w:spacing w:line="600" w:lineRule="exact"/>
        <w:ind w:firstLine="645"/>
        <w:rPr>
          <w:rFonts w:ascii="仿宋" w:eastAsia="仿宋"/>
          <w:sz w:val="32"/>
          <w:szCs w:val="32"/>
        </w:rPr>
      </w:pPr>
      <w:r>
        <w:rPr>
          <w:rFonts w:ascii="仿宋" w:eastAsia="仿宋" w:cs="仿宋" w:hint="eastAsia"/>
          <w:sz w:val="32"/>
          <w:szCs w:val="32"/>
        </w:rPr>
        <w:t>人员经费</w:t>
      </w:r>
      <w:r>
        <w:rPr>
          <w:rFonts w:ascii="仿宋" w:eastAsia="仿宋" w:cs="仿宋"/>
          <w:sz w:val="32"/>
          <w:szCs w:val="32"/>
        </w:rPr>
        <w:t>753.39</w:t>
      </w:r>
      <w:r>
        <w:rPr>
          <w:rFonts w:ascii="仿宋" w:eastAsia="仿宋" w:cs="仿宋" w:hint="eastAsia"/>
          <w:sz w:val="32"/>
          <w:szCs w:val="32"/>
        </w:rPr>
        <w:t>万元，主要包括：基本工资、津贴补贴、奖金、伙食补助费、绩效工资、机关事业单位基本养老保险缴费、职业年金缴费、其他社会保障缴费、其他工资福利支出、退休费、抚恤金、生活补助、医疗费补助、奖励金、住房公积金、其他对个人和家庭的补助支出等。</w:t>
      </w:r>
      <w:r>
        <w:rPr>
          <w:rFonts w:ascii="仿宋" w:eastAsia="仿宋"/>
          <w:sz w:val="32"/>
          <w:szCs w:val="32"/>
        </w:rPr>
        <w:br/>
      </w:r>
      <w:r>
        <w:rPr>
          <w:rFonts w:ascii="仿宋" w:eastAsia="仿宋" w:cs="仿宋" w:hint="eastAsia"/>
          <w:sz w:val="32"/>
          <w:szCs w:val="32"/>
        </w:rPr>
        <w:t>　　公用经费</w:t>
      </w:r>
      <w:r>
        <w:rPr>
          <w:rFonts w:ascii="仿宋" w:eastAsia="仿宋" w:cs="仿宋"/>
          <w:sz w:val="32"/>
          <w:szCs w:val="32"/>
        </w:rPr>
        <w:t>67.77</w:t>
      </w:r>
      <w:r>
        <w:rPr>
          <w:rFonts w:ascii="仿宋" w:eastAsia="仿宋" w:cs="仿宋" w:hint="eastAsia"/>
          <w:sz w:val="32"/>
          <w:szCs w:val="32"/>
        </w:rPr>
        <w:t>万元，主要包括：办公费、水费、电费、邮电费、物业管理费、差旅费、公务接待费、工会经费、福利费、公务用车运行维护费、其他交通费、其他商品和服务支出等。</w:t>
      </w:r>
    </w:p>
    <w:p>
      <w:pPr>
        <w:spacing w:line="600" w:lineRule="exact"/>
        <w:ind w:firstLine="640"/>
        <w:rPr>
          <w:rFonts w:ascii="仿宋" w:eastAsia="仿宋"/>
          <w:b/>
          <w:bCs/>
          <w:sz w:val="32"/>
          <w:szCs w:val="32"/>
        </w:rPr>
      </w:pPr>
    </w:p>
    <w:p>
      <w:pPr>
        <w:spacing w:line="600" w:lineRule="exact"/>
        <w:ind w:firstLine="640"/>
        <w:outlineLvl w:val="1"/>
        <w:rPr>
          <w:rStyle w:val="2Char"/>
          <w:rFonts w:ascii="黑体" w:eastAsia="黑体" w:cs="Times New Roman"/>
          <w:b w:val="0"/>
          <w:bCs w:val="0"/>
        </w:rPr>
      </w:pPr>
      <w:bookmarkStart w:id="32" w:name="_Toc15396609"/>
      <w:bookmarkStart w:id="33" w:name="_Toc15377215"/>
      <w:r>
        <w:rPr>
          <w:rFonts w:ascii="黑体" w:eastAsia="黑体" w:cs="黑体" w:hint="eastAsia"/>
          <w:sz w:val="32"/>
          <w:szCs w:val="32"/>
        </w:rPr>
        <w:t>七、</w:t>
      </w:r>
      <w:r>
        <w:rPr>
          <w:rStyle w:val="2Char"/>
          <w:rFonts w:ascii="黑体" w:eastAsia="黑体" w:cs="黑体" w:hint="eastAsia"/>
          <w:b w:val="0"/>
          <w:bCs w:val="0"/>
        </w:rPr>
        <w:t>财政拨款</w:t>
      </w:r>
      <w:r>
        <w:rPr>
          <w:rStyle w:val="2Char"/>
          <w:rFonts w:ascii="黑体" w:eastAsia="黑体" w:cs="黑体" w:hint="eastAsia"/>
        </w:rPr>
        <w:t>“</w:t>
      </w:r>
      <w:r>
        <w:rPr>
          <w:rStyle w:val="2Char"/>
          <w:rFonts w:ascii="黑体" w:eastAsia="黑体" w:cs="黑体" w:hint="eastAsia"/>
          <w:b w:val="0"/>
          <w:bCs w:val="0"/>
        </w:rPr>
        <w:t>三公”经费支出决算情况说明</w:t>
      </w:r>
      <w:bookmarkEnd w:id="32"/>
      <w:bookmarkEnd w:id="33"/>
    </w:p>
    <w:p>
      <w:pPr>
        <w:spacing w:line="600" w:lineRule="exact"/>
        <w:ind w:firstLine="640"/>
        <w:outlineLvl w:val="2"/>
        <w:rPr>
          <w:rFonts w:ascii="仿宋" w:eastAsia="仿宋"/>
          <w:b/>
          <w:bCs/>
          <w:sz w:val="32"/>
          <w:szCs w:val="32"/>
        </w:rPr>
      </w:pPr>
      <w:bookmarkStart w:id="34" w:name="_Toc15377216"/>
      <w:r>
        <w:rPr>
          <w:rFonts w:ascii="仿宋" w:eastAsia="仿宋" w:cs="仿宋" w:hint="eastAsia"/>
          <w:b/>
          <w:bCs/>
          <w:sz w:val="32"/>
          <w:szCs w:val="32"/>
        </w:rPr>
        <w:t>（一）“三公”经费财政拨款支出决算总体情况说明</w:t>
      </w:r>
      <w:bookmarkEnd w:id="34"/>
    </w:p>
    <w:p>
      <w:pPr>
        <w:spacing w:line="600" w:lineRule="exact"/>
        <w:ind w:firstLine="640"/>
        <w:rPr>
          <w:rFonts w:ascii="仿宋" w:eastAsia="仿宋"/>
          <w:sz w:val="32"/>
          <w:szCs w:val="32"/>
        </w:rPr>
      </w:pPr>
      <w:r>
        <w:rPr>
          <w:rFonts w:ascii="仿宋" w:eastAsia="仿宋" w:cs="仿宋"/>
          <w:sz w:val="32"/>
          <w:szCs w:val="32"/>
        </w:rPr>
        <w:t>2022</w:t>
      </w:r>
      <w:r>
        <w:rPr>
          <w:rFonts w:ascii="仿宋" w:eastAsia="仿宋" w:cs="仿宋" w:hint="eastAsia"/>
          <w:sz w:val="32"/>
          <w:szCs w:val="32"/>
        </w:rPr>
        <w:t>年“三公”经费财政拨款支出决算为</w:t>
      </w:r>
      <w:r>
        <w:rPr>
          <w:rFonts w:ascii="仿宋" w:eastAsia="仿宋" w:cs="仿宋"/>
          <w:sz w:val="32"/>
          <w:szCs w:val="32"/>
        </w:rPr>
        <w:t>4.73</w:t>
      </w:r>
      <w:r>
        <w:rPr>
          <w:rFonts w:ascii="仿宋" w:eastAsia="仿宋" w:cs="仿宋" w:hint="eastAsia"/>
          <w:sz w:val="32"/>
          <w:szCs w:val="32"/>
        </w:rPr>
        <w:t>万元，完成预算</w:t>
      </w:r>
      <w:r>
        <w:rPr>
          <w:rFonts w:ascii="仿宋" w:eastAsia="仿宋" w:cs="仿宋"/>
          <w:sz w:val="32"/>
          <w:szCs w:val="32"/>
        </w:rPr>
        <w:t>44.86%</w:t>
      </w:r>
      <w:r>
        <w:rPr>
          <w:rFonts w:ascii="仿宋" w:eastAsia="仿宋" w:cs="仿宋" w:hint="eastAsia"/>
          <w:sz w:val="32"/>
          <w:szCs w:val="32"/>
        </w:rPr>
        <w:t>，较上年减少</w:t>
      </w:r>
      <w:r>
        <w:rPr>
          <w:rFonts w:ascii="仿宋" w:eastAsia="仿宋" w:cs="仿宋"/>
          <w:sz w:val="32"/>
          <w:szCs w:val="32"/>
        </w:rPr>
        <w:t>0.98</w:t>
      </w:r>
      <w:r>
        <w:rPr>
          <w:rFonts w:ascii="仿宋" w:eastAsia="仿宋" w:cs="仿宋" w:hint="eastAsia"/>
          <w:sz w:val="32"/>
          <w:szCs w:val="32"/>
        </w:rPr>
        <w:t>万元，下降</w:t>
      </w:r>
      <w:r>
        <w:rPr>
          <w:rFonts w:ascii="仿宋" w:eastAsia="仿宋" w:cs="仿宋"/>
          <w:sz w:val="32"/>
          <w:szCs w:val="32"/>
        </w:rPr>
        <w:t>17.16%</w:t>
      </w:r>
      <w:r>
        <w:rPr>
          <w:rFonts w:ascii="仿宋" w:eastAsia="仿宋" w:cs="仿宋" w:hint="eastAsia"/>
          <w:sz w:val="32"/>
          <w:szCs w:val="32"/>
        </w:rPr>
        <w:t>。决算数小于预算数的主要原因是厉行节约，缩减三公经费开支。</w:t>
      </w:r>
    </w:p>
    <w:p>
      <w:pPr>
        <w:spacing w:line="600" w:lineRule="exact"/>
        <w:ind w:firstLine="640"/>
        <w:outlineLvl w:val="2"/>
        <w:rPr>
          <w:rFonts w:ascii="仿宋" w:eastAsia="仿宋"/>
          <w:b/>
          <w:bCs/>
          <w:sz w:val="32"/>
          <w:szCs w:val="32"/>
        </w:rPr>
      </w:pPr>
      <w:bookmarkStart w:id="35" w:name="_Toc15377217"/>
      <w:r>
        <w:rPr>
          <w:rFonts w:ascii="仿宋" w:eastAsia="仿宋" w:cs="仿宋" w:hint="eastAsia"/>
          <w:b/>
          <w:bCs/>
          <w:sz w:val="32"/>
          <w:szCs w:val="32"/>
        </w:rPr>
        <w:t>（二）“三公”经费财政拨款支出决算具体情况说明</w:t>
      </w:r>
      <w:bookmarkEnd w:id="35"/>
    </w:p>
    <w:p>
      <w:pPr>
        <w:spacing w:line="600" w:lineRule="exact"/>
        <w:ind w:firstLine="640"/>
        <w:rPr>
          <w:rFonts w:ascii="仿宋" w:eastAsia="仿宋"/>
          <w:sz w:val="32"/>
          <w:szCs w:val="32"/>
        </w:rPr>
      </w:pPr>
      <w:r>
        <w:rPr>
          <w:rFonts w:ascii="仿宋" w:eastAsia="仿宋" w:cs="仿宋"/>
          <w:sz w:val="32"/>
          <w:szCs w:val="32"/>
        </w:rPr>
        <w:t>2022</w:t>
      </w:r>
      <w:r>
        <w:rPr>
          <w:rFonts w:ascii="仿宋" w:eastAsia="仿宋" w:cs="仿宋" w:hint="eastAsia"/>
          <w:sz w:val="32"/>
          <w:szCs w:val="32"/>
        </w:rPr>
        <w:t>年“三公”经费财政拨款支出决算中，因公出国（境）费支出决算</w:t>
      </w:r>
      <w:r>
        <w:rPr>
          <w:rFonts w:ascii="仿宋" w:eastAsia="仿宋" w:cs="仿宋"/>
          <w:sz w:val="32"/>
          <w:szCs w:val="32"/>
        </w:rPr>
        <w:t>0</w:t>
      </w:r>
      <w:r>
        <w:rPr>
          <w:rFonts w:ascii="仿宋" w:eastAsia="仿宋" w:cs="仿宋" w:hint="eastAsia"/>
          <w:sz w:val="32"/>
          <w:szCs w:val="32"/>
        </w:rPr>
        <w:t>万元，占</w:t>
      </w:r>
      <w:r>
        <w:rPr>
          <w:rFonts w:ascii="仿宋" w:eastAsia="仿宋" w:cs="仿宋"/>
          <w:sz w:val="32"/>
          <w:szCs w:val="32"/>
        </w:rPr>
        <w:t>0%</w:t>
      </w:r>
      <w:r>
        <w:rPr>
          <w:rFonts w:ascii="仿宋" w:eastAsia="仿宋" w:cs="仿宋" w:hint="eastAsia"/>
          <w:sz w:val="32"/>
          <w:szCs w:val="32"/>
        </w:rPr>
        <w:t>；公务用车购置及运行维护费支出决算</w:t>
      </w:r>
      <w:r>
        <w:rPr>
          <w:rFonts w:ascii="仿宋" w:eastAsia="仿宋" w:cs="仿宋"/>
          <w:sz w:val="32"/>
          <w:szCs w:val="32"/>
        </w:rPr>
        <w:t>4.61</w:t>
      </w:r>
      <w:r>
        <w:rPr>
          <w:rFonts w:ascii="仿宋" w:eastAsia="仿宋" w:cs="仿宋" w:hint="eastAsia"/>
          <w:sz w:val="32"/>
          <w:szCs w:val="32"/>
        </w:rPr>
        <w:t>万元，占</w:t>
      </w:r>
      <w:r>
        <w:rPr>
          <w:rFonts w:ascii="仿宋" w:eastAsia="仿宋" w:cs="仿宋"/>
          <w:sz w:val="32"/>
          <w:szCs w:val="32"/>
        </w:rPr>
        <w:t>97.46%</w:t>
      </w:r>
      <w:r>
        <w:rPr>
          <w:rFonts w:ascii="仿宋" w:eastAsia="仿宋" w:cs="仿宋" w:hint="eastAsia"/>
          <w:sz w:val="32"/>
          <w:szCs w:val="32"/>
        </w:rPr>
        <w:t>；公务接待费支出决算</w:t>
      </w:r>
      <w:r>
        <w:rPr>
          <w:rFonts w:ascii="仿宋" w:eastAsia="仿宋" w:cs="仿宋"/>
          <w:sz w:val="32"/>
          <w:szCs w:val="32"/>
        </w:rPr>
        <w:t>0.12</w:t>
      </w:r>
      <w:r>
        <w:rPr>
          <w:rFonts w:ascii="仿宋" w:eastAsia="仿宋" w:cs="仿宋" w:hint="eastAsia"/>
          <w:sz w:val="32"/>
          <w:szCs w:val="32"/>
        </w:rPr>
        <w:t>万元，占</w:t>
      </w:r>
      <w:r>
        <w:rPr>
          <w:rFonts w:ascii="仿宋" w:eastAsia="仿宋" w:cs="仿宋"/>
          <w:sz w:val="32"/>
          <w:szCs w:val="32"/>
        </w:rPr>
        <w:t>2.54%</w:t>
      </w:r>
      <w:r>
        <w:rPr>
          <w:rFonts w:ascii="仿宋" w:eastAsia="仿宋" w:cs="仿宋" w:hint="eastAsia"/>
          <w:sz w:val="32"/>
          <w:szCs w:val="32"/>
        </w:rPr>
        <w:t>。具体情况如下：</w:t>
      </w:r>
    </w:p>
    <w:p>
      <w:pPr>
        <w:spacing w:line="600" w:lineRule="exact"/>
        <w:ind w:firstLine="640"/>
        <w:rPr>
          <w:rFonts w:ascii="仿宋" w:eastAsia="仿宋"/>
          <w:sz w:val="32"/>
          <w:szCs w:val="32"/>
        </w:rPr>
      </w:pPr>
      <w:r>
        <w:rPr>
          <w:rFonts w:ascii="仿宋" w:eastAsia="仿宋" w:cs="仿宋" w:hint="eastAsia"/>
          <w:sz w:val="32"/>
          <w:szCs w:val="32"/>
        </w:rPr>
        <w:t>（图</w:t>
      </w:r>
      <w:r>
        <w:rPr>
          <w:rFonts w:ascii="仿宋" w:eastAsia="仿宋" w:cs="仿宋"/>
          <w:sz w:val="32"/>
          <w:szCs w:val="32"/>
        </w:rPr>
        <w:t>7</w:t>
      </w:r>
      <w:r>
        <w:rPr>
          <w:rFonts w:ascii="仿宋" w:eastAsia="仿宋" w:cs="仿宋" w:hint="eastAsia"/>
          <w:sz w:val="32"/>
          <w:szCs w:val="32"/>
        </w:rPr>
        <w:t>：“三公”经费财政拨款支出结构）</w:t>
      </w:r>
    </w:p>
    <w:p>
      <w:pPr>
        <w:pStyle w:val="15"/>
        <w:spacing w:beforeLines="0" w:before="93"/>
        <w:rPr>
          <w:rFonts w:cs="Times New Roman"/>
        </w:rPr>
      </w:pPr>
    </w:p>
    <w:p>
      <w:pPr>
        <w:pStyle w:val="15"/>
        <w:spacing w:beforeLines="0" w:before="93"/>
        <w:rPr>
          <w:rFonts w:cs="Times New Roman"/>
        </w:rPr>
      </w:pPr>
    </w:p>
    <w:p>
      <w:pPr>
        <w:pStyle w:val="15"/>
        <w:spacing w:beforeLines="0" w:before="93"/>
        <w:rPr>
          <w:rFonts w:cs="Times New Roman"/>
        </w:rPr>
      </w:pPr>
      <w:r>
        <w:drawing>
          <wp:anchor distT="0" distB="0" distL="114300" distR="114300" simplePos="0" relativeHeight="28" behindDoc="0" locked="0" layoutInCell="1" hidden="0" allowOverlap="1">
            <wp:simplePos x="0" y="0"/>
            <wp:positionH relativeFrom="column">
              <wp:posOffset>66675</wp:posOffset>
            </wp:positionH>
            <wp:positionV relativeFrom="paragraph">
              <wp:posOffset>400050</wp:posOffset>
            </wp:positionV>
            <wp:extent cx="4781550" cy="2895600"/>
            <wp:effectExtent l="0" t="0" r="0" b="0"/>
            <wp:wrapTight wrapText="bothSides">
              <wp:wrapPolygon>
                <wp:start x="-43" y="0"/>
                <wp:lineTo x="-43" y="21529"/>
                <wp:lineTo x="21600" y="21529"/>
                <wp:lineTo x="21600" y="0"/>
                <wp:lineTo x="-43" y="0"/>
              </wp:wrapPolygon>
            </wp:wrapTight>
            <wp:docPr id="19" name="图片 13" descr="图片1"/>
            <wp:cNvGraphicFramePr>
              <a:graphicFrameLocks noChangeAspect="1"/>
            </wp:cNvGraphicFramePr>
            <a:graphic>
              <a:graphicData uri="http://schemas.openxmlformats.org/drawingml/2006/picture">
                <pic:pic>
                  <pic:nvPicPr>
                    <pic:cNvPr id="21" name="图片 13 21"/>
                    <pic:cNvPicPr/>
                  </pic:nvPicPr>
                  <pic:blipFill>
                    <a:blip r:embed="rId10"/>
                    <a:stretch>
                      <a:fillRect/>
                    </a:stretch>
                  </pic:blipFill>
                  <pic:spPr>
                    <a:xfrm rot="0">
                      <a:off x="0" y="0"/>
                      <a:ext cx="4781550" cy="2895600"/>
                    </a:xfrm>
                    <a:prstGeom prst="rect"/>
                    <a:noFill/>
                    <a:ln w="9525" cmpd="sng" cap="flat">
                      <a:noFill/>
                      <a:prstDash val="solid"/>
                      <a:miter/>
                    </a:ln>
                  </pic:spPr>
                </pic:pic>
              </a:graphicData>
            </a:graphic>
          </wp:anchor>
        </w:drawing>
      </w:r>
    </w:p>
    <w:p>
      <w:pPr>
        <w:pStyle w:val="15"/>
        <w:spacing w:beforeLines="0" w:before="93"/>
        <w:rPr>
          <w:rFonts w:cs="Times New Roman"/>
        </w:rPr>
      </w:pPr>
    </w:p>
    <w:p>
      <w:pPr>
        <w:pStyle w:val="15"/>
        <w:spacing w:beforeLines="0" w:before="93"/>
        <w:rPr>
          <w:rFonts w:cs="Times New Roman"/>
        </w:rPr>
      </w:pPr>
    </w:p>
    <w:p>
      <w:pPr>
        <w:pStyle w:val="15"/>
        <w:spacing w:beforeLines="0" w:before="93"/>
        <w:rPr>
          <w:rFonts w:cs="Times New Roman"/>
        </w:rPr>
      </w:pPr>
    </w:p>
    <w:p>
      <w:pPr>
        <w:pStyle w:val="15"/>
        <w:spacing w:beforeLines="0" w:before="93"/>
        <w:rPr>
          <w:rFonts w:cs="Times New Roman"/>
        </w:rPr>
      </w:pPr>
    </w:p>
    <w:p>
      <w:pPr>
        <w:pStyle w:val="15"/>
        <w:spacing w:beforeLines="0" w:before="93"/>
        <w:rPr>
          <w:rFonts w:cs="Times New Roman"/>
        </w:rPr>
      </w:pPr>
    </w:p>
    <w:p>
      <w:pPr>
        <w:pStyle w:val="15"/>
        <w:spacing w:beforeLines="0" w:before="93"/>
        <w:rPr>
          <w:rFonts w:cs="Times New Roman"/>
        </w:rPr>
      </w:pPr>
    </w:p>
    <w:p>
      <w:pPr>
        <w:spacing w:line="600" w:lineRule="exact"/>
        <w:ind w:firstLine="640"/>
        <w:rPr>
          <w:rFonts w:ascii="仿宋_GB2312" w:eastAsia="仿宋_GB2312"/>
          <w:b/>
          <w:bCs/>
          <w:sz w:val="32"/>
          <w:szCs w:val="32"/>
        </w:rPr>
      </w:pPr>
      <w:r>
        <w:rPr>
          <w:rFonts w:ascii="仿宋_GB2312" w:eastAsia="仿宋_GB2312" w:cs="仿宋_GB2312"/>
          <w:b/>
          <w:bCs/>
          <w:sz w:val="32"/>
          <w:szCs w:val="32"/>
        </w:rPr>
        <w:t>1.</w:t>
      </w:r>
      <w:r>
        <w:rPr>
          <w:rFonts w:ascii="仿宋_GB2312" w:eastAsia="仿宋_GB2312" w:cs="仿宋_GB2312" w:hint="eastAsia"/>
          <w:b/>
          <w:bCs/>
          <w:sz w:val="32"/>
          <w:szCs w:val="32"/>
        </w:rPr>
        <w:t>因公出国（境）经费支出</w:t>
      </w:r>
      <w:r>
        <w:rPr>
          <w:rFonts w:ascii="仿宋_GB2312" w:eastAsia="仿宋_GB2312" w:cs="仿宋_GB2312"/>
          <w:sz w:val="32"/>
          <w:szCs w:val="32"/>
        </w:rPr>
        <w:t>0</w:t>
      </w:r>
      <w:r>
        <w:rPr>
          <w:rFonts w:ascii="仿宋_GB2312" w:eastAsia="仿宋_GB2312" w:cs="仿宋_GB2312" w:hint="eastAsia"/>
          <w:sz w:val="32"/>
          <w:szCs w:val="32"/>
        </w:rPr>
        <w:t>万元，</w:t>
      </w:r>
      <w:r>
        <w:rPr>
          <w:rStyle w:val="22"/>
          <w:rFonts w:ascii="仿宋" w:eastAsia="仿宋" w:cs="仿宋" w:hint="eastAsia"/>
          <w:b w:val="0"/>
          <w:bCs w:val="0"/>
          <w:sz w:val="32"/>
          <w:szCs w:val="32"/>
        </w:rPr>
        <w:t>完成预算</w:t>
      </w:r>
      <w:r>
        <w:rPr>
          <w:rStyle w:val="22"/>
          <w:rFonts w:ascii="仿宋" w:eastAsia="仿宋" w:cs="仿宋"/>
          <w:b w:val="0"/>
          <w:bCs w:val="0"/>
          <w:sz w:val="32"/>
          <w:szCs w:val="32"/>
        </w:rPr>
        <w:t>0%</w:t>
      </w:r>
      <w:r>
        <w:rPr>
          <w:rStyle w:val="22"/>
          <w:rFonts w:ascii="仿宋" w:eastAsia="仿宋" w:cs="仿宋" w:hint="eastAsia"/>
          <w:b w:val="0"/>
          <w:bCs w:val="0"/>
          <w:sz w:val="32"/>
          <w:szCs w:val="32"/>
        </w:rPr>
        <w:t>。</w:t>
      </w:r>
      <w:r>
        <w:rPr>
          <w:rFonts w:ascii="仿宋_GB2312" w:eastAsia="仿宋_GB2312" w:cs="仿宋_GB2312" w:hint="eastAsia"/>
          <w:sz w:val="32"/>
          <w:szCs w:val="32"/>
        </w:rPr>
        <w:t>全年安排因公出国（境）团组</w:t>
      </w:r>
      <w:r>
        <w:rPr>
          <w:rFonts w:ascii="仿宋_GB2312" w:eastAsia="仿宋_GB2312" w:cs="仿宋_GB2312"/>
          <w:sz w:val="32"/>
          <w:szCs w:val="32"/>
        </w:rPr>
        <w:t>0</w:t>
      </w:r>
      <w:r>
        <w:rPr>
          <w:rFonts w:ascii="仿宋_GB2312" w:eastAsia="仿宋_GB2312" w:cs="仿宋_GB2312" w:hint="eastAsia"/>
          <w:sz w:val="32"/>
          <w:szCs w:val="32"/>
        </w:rPr>
        <w:t>次，出国（境）</w:t>
      </w:r>
      <w:r>
        <w:rPr>
          <w:rFonts w:ascii="仿宋_GB2312" w:eastAsia="仿宋_GB2312" w:cs="仿宋_GB2312"/>
          <w:sz w:val="32"/>
          <w:szCs w:val="32"/>
        </w:rPr>
        <w:t>0</w:t>
      </w:r>
      <w:r>
        <w:rPr>
          <w:rFonts w:ascii="仿宋_GB2312" w:eastAsia="仿宋_GB2312" w:cs="仿宋_GB2312" w:hint="eastAsia"/>
          <w:sz w:val="32"/>
          <w:szCs w:val="32"/>
        </w:rPr>
        <w:t>人。因公出国（境）支出决算比</w:t>
      </w:r>
      <w:r>
        <w:rPr>
          <w:rFonts w:ascii="仿宋_GB2312" w:eastAsia="仿宋_GB2312" w:cs="仿宋_GB2312"/>
          <w:sz w:val="32"/>
          <w:szCs w:val="32"/>
        </w:rPr>
        <w:t>2021</w:t>
      </w:r>
      <w:r>
        <w:rPr>
          <w:rFonts w:ascii="仿宋_GB2312" w:eastAsia="仿宋_GB2312" w:cs="仿宋_GB2312" w:hint="eastAsia"/>
          <w:sz w:val="32"/>
          <w:szCs w:val="32"/>
        </w:rPr>
        <w:t>年增加</w:t>
      </w:r>
      <w:r>
        <w:rPr>
          <w:rFonts w:ascii="仿宋_GB2312" w:eastAsia="仿宋_GB2312" w:cs="仿宋_GB2312"/>
          <w:sz w:val="32"/>
          <w:szCs w:val="32"/>
        </w:rPr>
        <w:t>/</w:t>
      </w:r>
      <w:r>
        <w:rPr>
          <w:rFonts w:ascii="仿宋_GB2312" w:eastAsia="仿宋_GB2312" w:cs="仿宋_GB2312" w:hint="eastAsia"/>
          <w:sz w:val="32"/>
          <w:szCs w:val="32"/>
        </w:rPr>
        <w:t>减少</w:t>
      </w:r>
      <w:r>
        <w:rPr>
          <w:rFonts w:ascii="仿宋_GB2312" w:eastAsia="仿宋_GB2312" w:cs="仿宋_GB2312"/>
          <w:sz w:val="32"/>
          <w:szCs w:val="32"/>
        </w:rPr>
        <w:t>0</w:t>
      </w:r>
      <w:r>
        <w:rPr>
          <w:rFonts w:ascii="仿宋_GB2312" w:eastAsia="仿宋_GB2312" w:cs="仿宋_GB2312" w:hint="eastAsia"/>
          <w:sz w:val="32"/>
          <w:szCs w:val="32"/>
        </w:rPr>
        <w:t>万元，增长</w:t>
      </w:r>
      <w:r>
        <w:rPr>
          <w:rFonts w:ascii="仿宋_GB2312" w:eastAsia="仿宋_GB2312" w:cs="仿宋_GB2312"/>
          <w:sz w:val="32"/>
          <w:szCs w:val="32"/>
        </w:rPr>
        <w:t>/</w:t>
      </w:r>
      <w:r>
        <w:rPr>
          <w:rFonts w:ascii="仿宋_GB2312" w:eastAsia="仿宋_GB2312" w:cs="仿宋_GB2312" w:hint="eastAsia"/>
          <w:sz w:val="32"/>
          <w:szCs w:val="32"/>
        </w:rPr>
        <w:t>下降</w:t>
      </w:r>
      <w:r>
        <w:rPr>
          <w:rFonts w:ascii="仿宋_GB2312" w:eastAsia="仿宋_GB2312" w:cs="仿宋_GB2312"/>
          <w:sz w:val="32"/>
          <w:szCs w:val="32"/>
        </w:rPr>
        <w:t>0%</w:t>
      </w:r>
      <w:r>
        <w:rPr>
          <w:rFonts w:ascii="仿宋_GB2312" w:eastAsia="仿宋_GB2312" w:cs="仿宋_GB2312" w:hint="eastAsia"/>
          <w:sz w:val="32"/>
          <w:szCs w:val="32"/>
        </w:rPr>
        <w:t>。</w:t>
      </w:r>
    </w:p>
    <w:p>
      <w:pPr>
        <w:spacing w:line="600" w:lineRule="exact"/>
        <w:ind w:firstLine="640"/>
        <w:rPr>
          <w:rFonts w:ascii="仿宋_GB2312" w:eastAsia="仿宋_GB2312"/>
          <w:b/>
          <w:bCs/>
          <w:sz w:val="32"/>
          <w:szCs w:val="32"/>
        </w:rPr>
      </w:pPr>
      <w:r>
        <w:rPr>
          <w:rFonts w:ascii="仿宋_GB2312" w:eastAsia="仿宋_GB2312" w:cs="仿宋_GB2312"/>
          <w:b/>
          <w:bCs/>
          <w:sz w:val="32"/>
          <w:szCs w:val="32"/>
        </w:rPr>
        <w:t>2.</w:t>
      </w:r>
      <w:r>
        <w:rPr>
          <w:rFonts w:ascii="仿宋_GB2312" w:eastAsia="仿宋_GB2312" w:cs="仿宋_GB2312" w:hint="eastAsia"/>
          <w:b/>
          <w:bCs/>
          <w:sz w:val="32"/>
          <w:szCs w:val="32"/>
        </w:rPr>
        <w:t>公务用车购置及运行维护费支出</w:t>
      </w:r>
      <w:r>
        <w:rPr>
          <w:rFonts w:ascii="仿宋_GB2312" w:eastAsia="仿宋_GB2312" w:cs="仿宋_GB2312"/>
          <w:sz w:val="32"/>
          <w:szCs w:val="32"/>
        </w:rPr>
        <w:t>4.61</w:t>
      </w:r>
      <w:r>
        <w:rPr>
          <w:rFonts w:ascii="仿宋_GB2312" w:eastAsia="仿宋_GB2312" w:cs="仿宋_GB2312" w:hint="eastAsia"/>
          <w:sz w:val="32"/>
          <w:szCs w:val="32"/>
        </w:rPr>
        <w:t>万元</w:t>
      </w:r>
      <w:r>
        <w:rPr>
          <w:rFonts w:ascii="仿宋_GB2312" w:eastAsia="仿宋_GB2312" w:cs="仿宋_GB2312"/>
          <w:sz w:val="32"/>
          <w:szCs w:val="32"/>
        </w:rPr>
        <w:t>,</w:t>
      </w:r>
      <w:r>
        <w:rPr>
          <w:rStyle w:val="22"/>
          <w:rFonts w:ascii="仿宋" w:eastAsia="仿宋" w:cs="仿宋" w:hint="eastAsia"/>
          <w:b w:val="0"/>
          <w:bCs w:val="0"/>
          <w:sz w:val="32"/>
          <w:szCs w:val="32"/>
        </w:rPr>
        <w:t>完成预算</w:t>
      </w:r>
      <w:r>
        <w:rPr>
          <w:rStyle w:val="22"/>
          <w:rFonts w:ascii="仿宋" w:eastAsia="仿宋" w:cs="仿宋"/>
          <w:b w:val="0"/>
          <w:bCs w:val="0"/>
          <w:sz w:val="32"/>
          <w:szCs w:val="32"/>
        </w:rPr>
        <w:t>49.04%</w:t>
      </w:r>
      <w:r>
        <w:rPr>
          <w:rStyle w:val="22"/>
          <w:rFonts w:ascii="仿宋" w:eastAsia="仿宋" w:cs="仿宋" w:hint="eastAsia"/>
          <w:b w:val="0"/>
          <w:bCs w:val="0"/>
          <w:sz w:val="32"/>
          <w:szCs w:val="32"/>
        </w:rPr>
        <w:t>。</w:t>
      </w:r>
      <w:r>
        <w:rPr>
          <w:rFonts w:ascii="仿宋_GB2312" w:eastAsia="仿宋_GB2312" w:cs="仿宋_GB2312" w:hint="eastAsia"/>
          <w:sz w:val="32"/>
          <w:szCs w:val="32"/>
        </w:rPr>
        <w:t>公务用车购置及运行维护费支出决算比</w:t>
      </w:r>
      <w:r>
        <w:rPr>
          <w:rFonts w:ascii="仿宋_GB2312" w:eastAsia="仿宋_GB2312" w:cs="仿宋_GB2312"/>
          <w:sz w:val="32"/>
          <w:szCs w:val="32"/>
        </w:rPr>
        <w:t>2021</w:t>
      </w:r>
      <w:r>
        <w:rPr>
          <w:rFonts w:ascii="仿宋_GB2312" w:eastAsia="仿宋_GB2312" w:cs="仿宋_GB2312" w:hint="eastAsia"/>
          <w:sz w:val="32"/>
          <w:szCs w:val="32"/>
        </w:rPr>
        <w:t>年增减少</w:t>
      </w:r>
      <w:r>
        <w:rPr>
          <w:rFonts w:ascii="仿宋_GB2312" w:eastAsia="仿宋_GB2312" w:cs="仿宋_GB2312"/>
          <w:sz w:val="32"/>
          <w:szCs w:val="32"/>
        </w:rPr>
        <w:t>0.15</w:t>
      </w:r>
      <w:r>
        <w:rPr>
          <w:rFonts w:ascii="仿宋_GB2312" w:eastAsia="仿宋_GB2312" w:cs="仿宋_GB2312" w:hint="eastAsia"/>
          <w:sz w:val="32"/>
          <w:szCs w:val="32"/>
        </w:rPr>
        <w:t>万元，下降</w:t>
      </w:r>
      <w:r>
        <w:rPr>
          <w:rFonts w:ascii="仿宋_GB2312" w:eastAsia="仿宋_GB2312" w:cs="仿宋_GB2312"/>
          <w:sz w:val="32"/>
          <w:szCs w:val="32"/>
        </w:rPr>
        <w:t>3.15%</w:t>
      </w:r>
      <w:r>
        <w:rPr>
          <w:rFonts w:ascii="仿宋_GB2312" w:eastAsia="仿宋_GB2312" w:cs="仿宋_GB2312" w:hint="eastAsia"/>
          <w:sz w:val="32"/>
          <w:szCs w:val="32"/>
        </w:rPr>
        <w:t>。主要原因是财政收回指标。</w:t>
      </w:r>
    </w:p>
    <w:p>
      <w:pPr>
        <w:spacing w:line="600" w:lineRule="exact"/>
        <w:ind w:firstLineChars="200" w:firstLine="640"/>
        <w:rPr>
          <w:rFonts w:ascii="仿宋_GB2312" w:eastAsia="仿宋_GB2312"/>
          <w:b/>
          <w:bCs/>
          <w:sz w:val="32"/>
          <w:szCs w:val="32"/>
        </w:rPr>
      </w:pPr>
      <w:r>
        <w:rPr>
          <w:rFonts w:ascii="仿宋_GB2312" w:eastAsia="仿宋_GB2312" w:cs="仿宋_GB2312" w:hint="eastAsia"/>
          <w:sz w:val="32"/>
          <w:szCs w:val="32"/>
        </w:rPr>
        <w:t>其中：</w:t>
      </w:r>
      <w:r>
        <w:rPr>
          <w:rFonts w:ascii="仿宋_GB2312" w:eastAsia="仿宋_GB2312" w:cs="仿宋_GB2312" w:hint="eastAsia"/>
          <w:b/>
          <w:bCs/>
          <w:sz w:val="32"/>
          <w:szCs w:val="32"/>
        </w:rPr>
        <w:t>公务用车购置支出</w:t>
      </w:r>
      <w:r>
        <w:rPr>
          <w:rFonts w:ascii="仿宋_GB2312" w:eastAsia="仿宋_GB2312" w:cs="仿宋_GB2312"/>
          <w:sz w:val="32"/>
          <w:szCs w:val="32"/>
        </w:rPr>
        <w:t>0</w:t>
      </w:r>
      <w:r>
        <w:rPr>
          <w:rFonts w:ascii="仿宋_GB2312" w:eastAsia="仿宋_GB2312" w:cs="仿宋_GB2312" w:hint="eastAsia"/>
          <w:sz w:val="32"/>
          <w:szCs w:val="32"/>
        </w:rPr>
        <w:t>万元。全年按规定更新购置公务用车</w:t>
      </w:r>
      <w:r>
        <w:rPr>
          <w:rFonts w:ascii="仿宋_GB2312" w:eastAsia="仿宋_GB2312" w:cs="仿宋_GB2312"/>
          <w:sz w:val="32"/>
          <w:szCs w:val="32"/>
        </w:rPr>
        <w:t>0</w:t>
      </w:r>
      <w:r>
        <w:rPr>
          <w:rFonts w:ascii="仿宋_GB2312" w:eastAsia="仿宋_GB2312" w:cs="仿宋_GB2312" w:hint="eastAsia"/>
          <w:sz w:val="32"/>
          <w:szCs w:val="32"/>
        </w:rPr>
        <w:t>辆，其中：轿车</w:t>
      </w:r>
      <w:r>
        <w:rPr>
          <w:rFonts w:ascii="仿宋_GB2312" w:eastAsia="仿宋_GB2312" w:cs="仿宋_GB2312"/>
          <w:sz w:val="32"/>
          <w:szCs w:val="32"/>
        </w:rPr>
        <w:t>0</w:t>
      </w:r>
      <w:r>
        <w:rPr>
          <w:rFonts w:ascii="仿宋_GB2312" w:eastAsia="仿宋_GB2312" w:cs="仿宋_GB2312" w:hint="eastAsia"/>
          <w:sz w:val="32"/>
          <w:szCs w:val="32"/>
        </w:rPr>
        <w:t>辆、金额</w:t>
      </w:r>
      <w:r>
        <w:rPr>
          <w:rFonts w:ascii="仿宋_GB2312" w:eastAsia="仿宋_GB2312" w:cs="仿宋_GB2312"/>
          <w:sz w:val="32"/>
          <w:szCs w:val="32"/>
        </w:rPr>
        <w:t>0</w:t>
      </w:r>
      <w:r>
        <w:rPr>
          <w:rFonts w:ascii="仿宋_GB2312" w:eastAsia="仿宋_GB2312" w:cs="仿宋_GB2312" w:hint="eastAsia"/>
          <w:sz w:val="32"/>
          <w:szCs w:val="32"/>
        </w:rPr>
        <w:t>万元，越野车</w:t>
      </w:r>
      <w:r>
        <w:rPr>
          <w:rFonts w:ascii="仿宋_GB2312" w:eastAsia="仿宋_GB2312" w:cs="仿宋_GB2312"/>
          <w:sz w:val="32"/>
          <w:szCs w:val="32"/>
        </w:rPr>
        <w:t>0</w:t>
      </w:r>
      <w:r>
        <w:rPr>
          <w:rFonts w:ascii="仿宋_GB2312" w:eastAsia="仿宋_GB2312" w:cs="仿宋_GB2312" w:hint="eastAsia"/>
          <w:sz w:val="32"/>
          <w:szCs w:val="32"/>
        </w:rPr>
        <w:t>辆、金额</w:t>
      </w:r>
      <w:r>
        <w:rPr>
          <w:rFonts w:ascii="仿宋_GB2312" w:eastAsia="仿宋_GB2312" w:cs="仿宋_GB2312"/>
          <w:sz w:val="32"/>
          <w:szCs w:val="32"/>
        </w:rPr>
        <w:t>0</w:t>
      </w:r>
      <w:r>
        <w:rPr>
          <w:rFonts w:ascii="仿宋_GB2312" w:eastAsia="仿宋_GB2312" w:cs="仿宋_GB2312" w:hint="eastAsia"/>
          <w:sz w:val="32"/>
          <w:szCs w:val="32"/>
        </w:rPr>
        <w:t>万元，载客汽车</w:t>
      </w:r>
      <w:r>
        <w:rPr>
          <w:rFonts w:ascii="仿宋_GB2312" w:eastAsia="仿宋_GB2312" w:cs="仿宋_GB2312"/>
          <w:sz w:val="32"/>
          <w:szCs w:val="32"/>
        </w:rPr>
        <w:t>0</w:t>
      </w:r>
      <w:r>
        <w:rPr>
          <w:rFonts w:ascii="仿宋_GB2312" w:eastAsia="仿宋_GB2312" w:cs="仿宋_GB2312" w:hint="eastAsia"/>
          <w:sz w:val="32"/>
          <w:szCs w:val="32"/>
        </w:rPr>
        <w:t>辆、金额</w:t>
      </w:r>
      <w:r>
        <w:rPr>
          <w:rFonts w:ascii="仿宋_GB2312" w:eastAsia="仿宋_GB2312" w:cs="仿宋_GB2312"/>
          <w:sz w:val="32"/>
          <w:szCs w:val="32"/>
        </w:rPr>
        <w:t>0</w:t>
      </w:r>
      <w:r>
        <w:rPr>
          <w:rFonts w:ascii="仿宋_GB2312" w:eastAsia="仿宋_GB2312" w:cs="仿宋_GB2312" w:hint="eastAsia"/>
          <w:sz w:val="32"/>
          <w:szCs w:val="32"/>
        </w:rPr>
        <w:t>万元。截至</w:t>
      </w:r>
      <w:r>
        <w:rPr>
          <w:rFonts w:ascii="仿宋_GB2312" w:eastAsia="仿宋_GB2312" w:cs="仿宋_GB2312"/>
          <w:sz w:val="32"/>
          <w:szCs w:val="32"/>
        </w:rPr>
        <w:t>2022</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月底，单位共有公务用车</w:t>
      </w:r>
      <w:r>
        <w:rPr>
          <w:rFonts w:ascii="仿宋_GB2312" w:eastAsia="仿宋_GB2312" w:cs="仿宋_GB2312"/>
          <w:sz w:val="32"/>
          <w:szCs w:val="32"/>
        </w:rPr>
        <w:t>4</w:t>
      </w:r>
      <w:r>
        <w:rPr>
          <w:rFonts w:ascii="仿宋_GB2312" w:eastAsia="仿宋_GB2312" w:cs="仿宋_GB2312" w:hint="eastAsia"/>
          <w:sz w:val="32"/>
          <w:szCs w:val="32"/>
        </w:rPr>
        <w:t>辆，其中：轿车</w:t>
      </w:r>
      <w:r>
        <w:rPr>
          <w:rFonts w:ascii="仿宋_GB2312" w:eastAsia="仿宋_GB2312" w:cs="仿宋_GB2312"/>
          <w:sz w:val="32"/>
          <w:szCs w:val="32"/>
        </w:rPr>
        <w:t>1</w:t>
      </w:r>
      <w:r>
        <w:rPr>
          <w:rFonts w:ascii="仿宋_GB2312" w:eastAsia="仿宋_GB2312" w:cs="仿宋_GB2312" w:hint="eastAsia"/>
          <w:sz w:val="32"/>
          <w:szCs w:val="32"/>
        </w:rPr>
        <w:t>辆、越野车</w:t>
      </w:r>
      <w:r>
        <w:rPr>
          <w:rFonts w:ascii="仿宋_GB2312" w:eastAsia="仿宋_GB2312" w:cs="仿宋_GB2312"/>
          <w:sz w:val="32"/>
          <w:szCs w:val="32"/>
        </w:rPr>
        <w:t>3</w:t>
      </w:r>
      <w:r>
        <w:rPr>
          <w:rFonts w:ascii="仿宋_GB2312" w:eastAsia="仿宋_GB2312" w:cs="仿宋_GB2312" w:hint="eastAsia"/>
          <w:sz w:val="32"/>
          <w:szCs w:val="32"/>
        </w:rPr>
        <w:t>辆、载客汽车</w:t>
      </w:r>
      <w:r>
        <w:rPr>
          <w:rFonts w:ascii="仿宋_GB2312" w:eastAsia="仿宋_GB2312" w:cs="仿宋_GB2312"/>
          <w:sz w:val="32"/>
          <w:szCs w:val="32"/>
        </w:rPr>
        <w:t>0</w:t>
      </w:r>
      <w:r>
        <w:rPr>
          <w:rFonts w:ascii="仿宋_GB2312" w:eastAsia="仿宋_GB2312" w:cs="仿宋_GB2312" w:hint="eastAsia"/>
          <w:sz w:val="32"/>
          <w:szCs w:val="32"/>
        </w:rPr>
        <w:t>辆。</w:t>
      </w:r>
    </w:p>
    <w:p>
      <w:pPr>
        <w:spacing w:line="600" w:lineRule="exact"/>
        <w:ind w:firstLine="640"/>
        <w:rPr>
          <w:rFonts w:ascii="仿宋_GB2312" w:eastAsia="仿宋_GB2312"/>
          <w:sz w:val="32"/>
          <w:szCs w:val="32"/>
        </w:rPr>
      </w:pPr>
      <w:r>
        <w:rPr>
          <w:rFonts w:ascii="仿宋_GB2312" w:eastAsia="仿宋_GB2312" w:cs="仿宋_GB2312" w:hint="eastAsia"/>
          <w:b/>
          <w:bCs/>
          <w:sz w:val="32"/>
          <w:szCs w:val="32"/>
        </w:rPr>
        <w:t>公务用车运行维护费支出</w:t>
      </w:r>
      <w:r>
        <w:rPr>
          <w:rFonts w:ascii="仿宋_GB2312" w:eastAsia="仿宋_GB2312" w:cs="仿宋_GB2312"/>
          <w:sz w:val="32"/>
          <w:szCs w:val="32"/>
        </w:rPr>
        <w:t>4.61</w:t>
      </w:r>
      <w:r>
        <w:rPr>
          <w:rFonts w:ascii="仿宋_GB2312" w:eastAsia="仿宋_GB2312" w:cs="仿宋_GB2312" w:hint="eastAsia"/>
          <w:sz w:val="32"/>
          <w:szCs w:val="32"/>
        </w:rPr>
        <w:t>万元。主要用于工程质量安全监督检查巡查等所需的公务用车燃料费、维修费、过路过桥费、保险费等支出。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cs="仿宋_GB2312"/>
          <w:b/>
          <w:bCs/>
          <w:sz w:val="32"/>
          <w:szCs w:val="32"/>
        </w:rPr>
        <w:t>3.</w:t>
      </w:r>
      <w:r>
        <w:rPr>
          <w:rFonts w:ascii="仿宋_GB2312" w:eastAsia="仿宋_GB2312" w:cs="仿宋_GB2312" w:hint="eastAsia"/>
          <w:b/>
          <w:bCs/>
          <w:sz w:val="32"/>
          <w:szCs w:val="32"/>
        </w:rPr>
        <w:t>公务接待费支出</w:t>
      </w:r>
      <w:r>
        <w:rPr>
          <w:rFonts w:ascii="仿宋_GB2312" w:eastAsia="仿宋_GB2312" w:cs="仿宋_GB2312"/>
          <w:sz w:val="32"/>
          <w:szCs w:val="32"/>
        </w:rPr>
        <w:t>0.12</w:t>
      </w:r>
      <w:r>
        <w:rPr>
          <w:rFonts w:ascii="仿宋_GB2312" w:eastAsia="仿宋_GB2312" w:cs="仿宋_GB2312" w:hint="eastAsia"/>
          <w:sz w:val="32"/>
          <w:szCs w:val="32"/>
        </w:rPr>
        <w:t>万元，</w:t>
      </w:r>
      <w:r>
        <w:rPr>
          <w:rStyle w:val="22"/>
          <w:rFonts w:ascii="仿宋" w:eastAsia="仿宋" w:cs="仿宋" w:hint="eastAsia"/>
          <w:b w:val="0"/>
          <w:bCs w:val="0"/>
          <w:sz w:val="32"/>
          <w:szCs w:val="32"/>
        </w:rPr>
        <w:t>完成预算</w:t>
      </w:r>
      <w:r>
        <w:rPr>
          <w:rStyle w:val="22"/>
          <w:rFonts w:ascii="仿宋" w:eastAsia="仿宋" w:cs="仿宋"/>
          <w:b w:val="0"/>
          <w:bCs w:val="0"/>
          <w:sz w:val="32"/>
          <w:szCs w:val="32"/>
        </w:rPr>
        <w:t>10.4%</w:t>
      </w:r>
      <w:r>
        <w:rPr>
          <w:rStyle w:val="22"/>
          <w:rFonts w:ascii="仿宋" w:eastAsia="仿宋" w:cs="仿宋" w:hint="eastAsia"/>
          <w:b w:val="0"/>
          <w:bCs w:val="0"/>
          <w:sz w:val="32"/>
          <w:szCs w:val="32"/>
        </w:rPr>
        <w:t>。</w:t>
      </w:r>
      <w:r>
        <w:rPr>
          <w:rFonts w:ascii="仿宋_GB2312" w:eastAsia="仿宋_GB2312" w:cs="仿宋_GB2312" w:hint="eastAsia"/>
          <w:sz w:val="32"/>
          <w:szCs w:val="32"/>
        </w:rPr>
        <w:t>公务接待费支出决算比</w:t>
      </w:r>
      <w:r>
        <w:rPr>
          <w:rFonts w:ascii="仿宋_GB2312" w:eastAsia="仿宋_GB2312" w:cs="仿宋_GB2312"/>
          <w:sz w:val="32"/>
          <w:szCs w:val="32"/>
        </w:rPr>
        <w:t>2021</w:t>
      </w:r>
      <w:r>
        <w:rPr>
          <w:rFonts w:ascii="仿宋_GB2312" w:eastAsia="仿宋_GB2312" w:cs="仿宋_GB2312" w:hint="eastAsia"/>
          <w:sz w:val="32"/>
          <w:szCs w:val="32"/>
        </w:rPr>
        <w:t>年减少</w:t>
      </w:r>
      <w:r>
        <w:rPr>
          <w:rFonts w:ascii="仿宋_GB2312" w:eastAsia="仿宋_GB2312" w:cs="仿宋_GB2312"/>
          <w:sz w:val="32"/>
          <w:szCs w:val="32"/>
        </w:rPr>
        <w:t>0.83</w:t>
      </w:r>
      <w:r>
        <w:rPr>
          <w:rFonts w:ascii="仿宋_GB2312" w:eastAsia="仿宋_GB2312" w:cs="仿宋_GB2312" w:hint="eastAsia"/>
          <w:sz w:val="32"/>
          <w:szCs w:val="32"/>
        </w:rPr>
        <w:t>万元，下降</w:t>
      </w:r>
      <w:r>
        <w:rPr>
          <w:rFonts w:ascii="仿宋_GB2312" w:eastAsia="仿宋_GB2312" w:cs="仿宋_GB2312"/>
          <w:sz w:val="32"/>
          <w:szCs w:val="32"/>
        </w:rPr>
        <w:t>87.4%</w:t>
      </w:r>
      <w:r>
        <w:rPr>
          <w:rFonts w:ascii="仿宋_GB2312" w:eastAsia="仿宋_GB2312" w:cs="仿宋_GB2312" w:hint="eastAsia"/>
          <w:sz w:val="32"/>
          <w:szCs w:val="32"/>
        </w:rPr>
        <w:t>。主要原因是公务接待工作批次、人数减少。其中：</w:t>
      </w:r>
    </w:p>
    <w:p>
      <w:pPr>
        <w:spacing w:line="600" w:lineRule="exact"/>
        <w:ind w:firstLine="640"/>
        <w:rPr>
          <w:rFonts w:ascii="仿宋_GB2312" w:eastAsia="仿宋_GB2312"/>
          <w:sz w:val="32"/>
          <w:szCs w:val="32"/>
        </w:rPr>
      </w:pPr>
      <w:r>
        <w:rPr>
          <w:rFonts w:ascii="仿宋" w:eastAsia="仿宋" w:cs="仿宋" w:hint="eastAsia"/>
          <w:b/>
          <w:bCs/>
          <w:sz w:val="32"/>
          <w:szCs w:val="32"/>
        </w:rPr>
        <w:t>国内公务接待支出</w:t>
      </w:r>
      <w:r>
        <w:rPr>
          <w:rFonts w:ascii="仿宋" w:eastAsia="仿宋" w:cs="仿宋"/>
          <w:sz w:val="32"/>
          <w:szCs w:val="32"/>
        </w:rPr>
        <w:t>0.12</w:t>
      </w:r>
      <w:r>
        <w:rPr>
          <w:rFonts w:ascii="仿宋_GB2312" w:eastAsia="仿宋_GB2312" w:cs="仿宋_GB2312" w:hint="eastAsia"/>
          <w:sz w:val="32"/>
          <w:szCs w:val="32"/>
        </w:rPr>
        <w:t>万元，主要用于省应急管理厅开展“两会”期间、春节前安全生产督导工作开支的交通费、住宿费、用餐费等。国内公务接待</w:t>
      </w:r>
      <w:r>
        <w:rPr>
          <w:rFonts w:ascii="仿宋_GB2312" w:eastAsia="仿宋_GB2312" w:cs="仿宋_GB2312"/>
          <w:sz w:val="32"/>
          <w:szCs w:val="32"/>
        </w:rPr>
        <w:t>1</w:t>
      </w:r>
      <w:r>
        <w:rPr>
          <w:rFonts w:ascii="仿宋_GB2312" w:eastAsia="仿宋_GB2312" w:cs="仿宋_GB2312" w:hint="eastAsia"/>
          <w:sz w:val="32"/>
          <w:szCs w:val="32"/>
        </w:rPr>
        <w:t>批次，</w:t>
      </w:r>
      <w:r>
        <w:rPr>
          <w:rFonts w:ascii="仿宋_GB2312" w:eastAsia="仿宋_GB2312" w:cs="仿宋_GB2312"/>
          <w:sz w:val="32"/>
          <w:szCs w:val="32"/>
        </w:rPr>
        <w:t>5</w:t>
      </w:r>
      <w:r>
        <w:rPr>
          <w:rFonts w:ascii="仿宋_GB2312" w:eastAsia="仿宋_GB2312" w:cs="仿宋_GB2312" w:hint="eastAsia"/>
          <w:sz w:val="32"/>
          <w:szCs w:val="32"/>
        </w:rPr>
        <w:t>人次（不包括陪同人员），共计支出</w:t>
      </w:r>
      <w:r>
        <w:rPr>
          <w:rFonts w:ascii="仿宋_GB2312" w:eastAsia="仿宋_GB2312" w:cs="仿宋_GB2312"/>
          <w:sz w:val="32"/>
          <w:szCs w:val="32"/>
        </w:rPr>
        <w:t>0.12</w:t>
      </w:r>
      <w:r>
        <w:rPr>
          <w:rFonts w:ascii="仿宋_GB2312" w:eastAsia="仿宋_GB2312" w:cs="仿宋_GB2312" w:hint="eastAsia"/>
          <w:sz w:val="32"/>
          <w:szCs w:val="32"/>
        </w:rPr>
        <w:t>万元，具体内容包括：省应急管理厅开展“两会”期间、春节前安全生产督导工作接待费</w:t>
      </w:r>
      <w:r>
        <w:rPr>
          <w:rFonts w:ascii="仿宋_GB2312" w:eastAsia="仿宋_GB2312" w:cs="仿宋_GB2312"/>
          <w:sz w:val="32"/>
          <w:szCs w:val="32"/>
        </w:rPr>
        <w:t>1234</w:t>
      </w:r>
      <w:r>
        <w:rPr>
          <w:rFonts w:ascii="仿宋_GB2312" w:eastAsia="仿宋_GB2312" w:cs="仿宋_GB2312" w:hint="eastAsia"/>
          <w:sz w:val="32"/>
          <w:szCs w:val="32"/>
        </w:rPr>
        <w:t>元。</w:t>
      </w:r>
    </w:p>
    <w:p>
      <w:pPr>
        <w:spacing w:line="600" w:lineRule="exact"/>
        <w:ind w:firstLineChars="200" w:firstLine="640"/>
        <w:rPr>
          <w:rFonts w:ascii="仿宋_GB2312" w:eastAsia="仿宋_GB2312"/>
          <w:sz w:val="32"/>
          <w:szCs w:val="32"/>
        </w:rPr>
      </w:pPr>
      <w:r>
        <w:rPr>
          <w:rFonts w:ascii="仿宋" w:eastAsia="仿宋" w:cs="仿宋" w:hint="eastAsia"/>
          <w:b/>
          <w:bCs/>
          <w:sz w:val="32"/>
          <w:szCs w:val="32"/>
        </w:rPr>
        <w:t>外事接待支出</w:t>
      </w:r>
      <w:r>
        <w:rPr>
          <w:rFonts w:ascii="仿宋" w:eastAsia="仿宋" w:cs="仿宋"/>
          <w:sz w:val="32"/>
          <w:szCs w:val="32"/>
        </w:rPr>
        <w:t>0</w:t>
      </w:r>
      <w:r>
        <w:rPr>
          <w:rFonts w:ascii="仿宋_GB2312" w:eastAsia="仿宋_GB2312" w:cs="仿宋_GB2312" w:hint="eastAsia"/>
          <w:sz w:val="32"/>
          <w:szCs w:val="32"/>
        </w:rPr>
        <w:t>万元。外事接待</w:t>
      </w:r>
      <w:r>
        <w:rPr>
          <w:rFonts w:ascii="仿宋_GB2312" w:eastAsia="仿宋_GB2312" w:cs="仿宋_GB2312"/>
          <w:sz w:val="32"/>
          <w:szCs w:val="32"/>
        </w:rPr>
        <w:t>0</w:t>
      </w:r>
      <w:r>
        <w:rPr>
          <w:rFonts w:ascii="仿宋_GB2312" w:eastAsia="仿宋_GB2312" w:cs="仿宋_GB2312" w:hint="eastAsia"/>
          <w:sz w:val="32"/>
          <w:szCs w:val="32"/>
        </w:rPr>
        <w:t>批次，</w:t>
      </w:r>
      <w:r>
        <w:rPr>
          <w:rFonts w:ascii="仿宋_GB2312" w:eastAsia="仿宋_GB2312" w:cs="仿宋_GB2312"/>
          <w:sz w:val="32"/>
          <w:szCs w:val="32"/>
        </w:rPr>
        <w:t>0</w:t>
      </w:r>
      <w:r>
        <w:rPr>
          <w:rFonts w:ascii="仿宋_GB2312" w:eastAsia="仿宋_GB2312" w:cs="仿宋_GB2312" w:hint="eastAsia"/>
          <w:sz w:val="32"/>
          <w:szCs w:val="32"/>
        </w:rPr>
        <w:t>人次（不包括陪同人员），共计支出</w:t>
      </w:r>
      <w:r>
        <w:rPr>
          <w:rFonts w:ascii="仿宋_GB2312" w:eastAsia="仿宋_GB2312" w:cs="仿宋_GB2312"/>
          <w:sz w:val="32"/>
          <w:szCs w:val="32"/>
        </w:rPr>
        <w:t>0</w:t>
      </w:r>
      <w:r>
        <w:rPr>
          <w:rFonts w:ascii="仿宋_GB2312" w:eastAsia="仿宋_GB2312" w:cs="仿宋_GB2312" w:hint="eastAsia"/>
          <w:sz w:val="32"/>
          <w:szCs w:val="32"/>
        </w:rPr>
        <w:t>万元。</w:t>
      </w:r>
    </w:p>
    <w:p>
      <w:pPr>
        <w:spacing w:line="600" w:lineRule="exact"/>
        <w:ind w:firstLine="640"/>
        <w:outlineLvl w:val="1"/>
        <w:rPr>
          <w:rFonts w:ascii="黑体" w:eastAsia="黑体"/>
          <w:sz w:val="32"/>
          <w:szCs w:val="32"/>
        </w:rPr>
      </w:pPr>
      <w:bookmarkStart w:id="36" w:name="_Toc15396610"/>
      <w:bookmarkStart w:id="37" w:name="_Toc15377218"/>
    </w:p>
    <w:p>
      <w:pPr>
        <w:spacing w:line="600" w:lineRule="exact"/>
        <w:ind w:firstLine="640"/>
        <w:outlineLvl w:val="1"/>
        <w:rPr>
          <w:rStyle w:val="2Char"/>
          <w:rFonts w:ascii="黑体" w:eastAsia="黑体" w:cs="Times New Roman"/>
        </w:rPr>
      </w:pPr>
      <w:r>
        <w:rPr>
          <w:rFonts w:ascii="黑体" w:eastAsia="黑体" w:cs="黑体" w:hint="eastAsia"/>
          <w:sz w:val="32"/>
          <w:szCs w:val="32"/>
        </w:rPr>
        <w:t>八、</w:t>
      </w:r>
      <w:r>
        <w:rPr>
          <w:rStyle w:val="2Char"/>
          <w:rFonts w:ascii="黑体" w:eastAsia="黑体" w:cs="黑体" w:hint="eastAsia"/>
          <w:b w:val="0"/>
          <w:bCs w:val="0"/>
        </w:rPr>
        <w:t>政府性基金预算支出决算情况说明</w:t>
      </w:r>
      <w:bookmarkEnd w:id="36"/>
      <w:bookmarkEnd w:id="37"/>
    </w:p>
    <w:p>
      <w:pPr>
        <w:spacing w:line="600" w:lineRule="exact"/>
        <w:ind w:firstLine="640"/>
        <w:rPr>
          <w:rFonts w:ascii="仿宋_GB2312" w:eastAsia="仿宋_GB2312"/>
          <w:sz w:val="32"/>
          <w:szCs w:val="32"/>
        </w:rPr>
      </w:pPr>
      <w:r>
        <w:rPr>
          <w:rFonts w:ascii="仿宋_GB2312" w:eastAsia="仿宋_GB2312" w:cs="仿宋_GB2312"/>
          <w:sz w:val="32"/>
          <w:szCs w:val="32"/>
        </w:rPr>
        <w:t>2022</w:t>
      </w:r>
      <w:r>
        <w:rPr>
          <w:rFonts w:ascii="仿宋_GB2312" w:eastAsia="仿宋_GB2312" w:cs="仿宋_GB2312" w:hint="eastAsia"/>
          <w:sz w:val="32"/>
          <w:szCs w:val="32"/>
        </w:rPr>
        <w:t>年政府性基金预算财政拨款支出</w:t>
      </w:r>
      <w:r>
        <w:rPr>
          <w:rFonts w:ascii="仿宋_GB2312" w:eastAsia="仿宋_GB2312" w:cs="仿宋_GB2312"/>
          <w:sz w:val="32"/>
          <w:szCs w:val="32"/>
        </w:rPr>
        <w:t>0</w:t>
      </w:r>
      <w:r>
        <w:rPr>
          <w:rFonts w:ascii="仿宋_GB2312" w:eastAsia="仿宋_GB2312" w:cs="仿宋_GB2312" w:hint="eastAsia"/>
          <w:sz w:val="32"/>
          <w:szCs w:val="32"/>
        </w:rPr>
        <w:t>万元。</w:t>
      </w:r>
    </w:p>
    <w:p>
      <w:pPr>
        <w:spacing w:line="600" w:lineRule="exact"/>
        <w:ind w:firstLine="640"/>
        <w:rPr>
          <w:rFonts w:ascii="仿宋_GB2312" w:eastAsia="仿宋_GB2312"/>
          <w:sz w:val="32"/>
          <w:szCs w:val="32"/>
        </w:rPr>
      </w:pPr>
    </w:p>
    <w:p>
      <w:pPr>
        <w:numPr>
          <w:ilvl w:val="0"/>
          <w:numId w:val="2"/>
        </w:numPr>
        <w:spacing w:line="600" w:lineRule="exact"/>
        <w:ind w:left="0" w:firstLine="640"/>
        <w:outlineLvl w:val="1"/>
        <w:rPr>
          <w:rStyle w:val="2Char"/>
          <w:rFonts w:ascii="黑体" w:eastAsia="黑体" w:cs="Times New Roman"/>
          <w:b w:val="0"/>
          <w:bCs w:val="0"/>
        </w:rPr>
      </w:pPr>
      <w:bookmarkStart w:id="38" w:name="_Toc15396611"/>
      <w:bookmarkStart w:id="39" w:name="_Toc15377219"/>
      <w:r>
        <w:rPr>
          <w:rStyle w:val="2Char"/>
          <w:rFonts w:ascii="黑体" w:eastAsia="黑体" w:cs="黑体" w:hint="eastAsia"/>
          <w:b w:val="0"/>
          <w:bCs w:val="0"/>
        </w:rPr>
        <w:t>国有资本经营预算支出决算情况说明</w:t>
      </w:r>
      <w:bookmarkEnd w:id="38"/>
      <w:bookmarkEnd w:id="39"/>
    </w:p>
    <w:p>
      <w:pPr>
        <w:spacing w:line="600" w:lineRule="exact"/>
        <w:ind w:firstLine="640"/>
        <w:rPr>
          <w:rFonts w:ascii="仿宋_GB2312" w:eastAsia="仿宋_GB2312"/>
          <w:sz w:val="32"/>
          <w:szCs w:val="32"/>
        </w:rPr>
      </w:pPr>
      <w:r>
        <w:rPr>
          <w:rFonts w:ascii="仿宋_GB2312" w:eastAsia="仿宋_GB2312" w:cs="仿宋_GB2312"/>
          <w:sz w:val="32"/>
          <w:szCs w:val="32"/>
        </w:rPr>
        <w:t>2022</w:t>
      </w:r>
      <w:r>
        <w:rPr>
          <w:rFonts w:ascii="仿宋_GB2312" w:eastAsia="仿宋_GB2312" w:cs="仿宋_GB2312" w:hint="eastAsia"/>
          <w:sz w:val="32"/>
          <w:szCs w:val="32"/>
        </w:rPr>
        <w:t>年国有资本经营预算财政拨款支出</w:t>
      </w:r>
      <w:r>
        <w:rPr>
          <w:rFonts w:ascii="仿宋_GB2312" w:eastAsia="仿宋_GB2312" w:cs="仿宋_GB2312"/>
          <w:sz w:val="32"/>
          <w:szCs w:val="32"/>
        </w:rPr>
        <w:t>0</w:t>
      </w:r>
      <w:r>
        <w:rPr>
          <w:rFonts w:ascii="仿宋_GB2312" w:eastAsia="仿宋_GB2312" w:cs="仿宋_GB2312" w:hint="eastAsia"/>
          <w:sz w:val="32"/>
          <w:szCs w:val="32"/>
        </w:rPr>
        <w:t>万元。</w:t>
      </w:r>
    </w:p>
    <w:p>
      <w:pPr>
        <w:spacing w:line="580" w:lineRule="exact"/>
        <w:jc w:val="center"/>
        <w:rPr>
          <w:rFonts w:ascii="方正小标宋简体" w:eastAsia="方正小标宋简体"/>
          <w:sz w:val="44"/>
          <w:szCs w:val="44"/>
        </w:rPr>
      </w:pPr>
    </w:p>
    <w:p>
      <w:pPr>
        <w:numPr>
          <w:ilvl w:val="0"/>
          <w:numId w:val="2"/>
        </w:numPr>
        <w:spacing w:line="600" w:lineRule="exact"/>
        <w:ind w:left="0" w:firstLine="640"/>
        <w:outlineLvl w:val="1"/>
        <w:rPr>
          <w:rStyle w:val="2Char"/>
          <w:rFonts w:ascii="黑体" w:eastAsia="黑体" w:cs="Times New Roman"/>
          <w:b w:val="0"/>
          <w:bCs w:val="0"/>
        </w:rPr>
      </w:pPr>
      <w:bookmarkStart w:id="40" w:name="_Toc15396612"/>
      <w:bookmarkStart w:id="41" w:name="_Toc15377221"/>
      <w:r>
        <w:rPr>
          <w:rStyle w:val="2Char"/>
          <w:rFonts w:ascii="黑体" w:eastAsia="黑体" w:cs="黑体" w:hint="eastAsia"/>
          <w:b w:val="0"/>
          <w:bCs w:val="0"/>
        </w:rPr>
        <w:t>其他重要事项的情况说明</w:t>
      </w:r>
      <w:bookmarkEnd w:id="40"/>
      <w:bookmarkEnd w:id="41"/>
    </w:p>
    <w:p>
      <w:pPr>
        <w:spacing w:line="600" w:lineRule="exact"/>
        <w:ind w:firstLineChars="200" w:firstLine="640"/>
        <w:outlineLvl w:val="2"/>
        <w:rPr>
          <w:rFonts w:ascii="仿宋" w:eastAsia="仿宋"/>
          <w:sz w:val="32"/>
          <w:szCs w:val="32"/>
        </w:rPr>
      </w:pPr>
      <w:bookmarkStart w:id="42" w:name="_Toc15377222"/>
      <w:r>
        <w:rPr>
          <w:rFonts w:ascii="仿宋" w:eastAsia="仿宋" w:cs="仿宋" w:hint="eastAsia"/>
          <w:b/>
          <w:bCs/>
          <w:sz w:val="32"/>
          <w:szCs w:val="32"/>
        </w:rPr>
        <w:t>（一）机关运行经费支出情况</w:t>
      </w:r>
      <w:bookmarkEnd w:id="42"/>
    </w:p>
    <w:p>
      <w:pPr>
        <w:spacing w:line="600" w:lineRule="exact"/>
        <w:ind w:firstLineChars="200" w:firstLine="640"/>
        <w:rPr>
          <w:rFonts w:ascii="仿宋_GB2312" w:eastAsia="仿宋_GB2312"/>
          <w:sz w:val="32"/>
          <w:szCs w:val="32"/>
        </w:rPr>
      </w:pPr>
      <w:r>
        <w:rPr>
          <w:rFonts w:ascii="仿宋_GB2312" w:eastAsia="仿宋_GB2312" w:cs="仿宋_GB2312"/>
          <w:sz w:val="32"/>
          <w:szCs w:val="32"/>
        </w:rPr>
        <w:t>2022</w:t>
      </w:r>
      <w:r>
        <w:rPr>
          <w:rFonts w:ascii="仿宋_GB2312" w:eastAsia="仿宋_GB2312" w:cs="仿宋_GB2312" w:hint="eastAsia"/>
          <w:sz w:val="32"/>
          <w:szCs w:val="32"/>
        </w:rPr>
        <w:t>年，攀枝花市建设工程质量安全站机关运行经费支出</w:t>
      </w:r>
      <w:r>
        <w:rPr>
          <w:rFonts w:ascii="仿宋_GB2312" w:eastAsia="仿宋_GB2312" w:cs="仿宋_GB2312"/>
          <w:sz w:val="32"/>
          <w:szCs w:val="32"/>
        </w:rPr>
        <w:t>67.77</w:t>
      </w:r>
      <w:r>
        <w:rPr>
          <w:rFonts w:ascii="仿宋_GB2312" w:eastAsia="仿宋_GB2312" w:cs="仿宋_GB2312" w:hint="eastAsia"/>
          <w:sz w:val="32"/>
          <w:szCs w:val="32"/>
        </w:rPr>
        <w:t>万元，比</w:t>
      </w:r>
      <w:r>
        <w:rPr>
          <w:rFonts w:ascii="仿宋_GB2312" w:eastAsia="仿宋_GB2312" w:cs="仿宋_GB2312"/>
          <w:sz w:val="32"/>
          <w:szCs w:val="32"/>
        </w:rPr>
        <w:t>2021</w:t>
      </w:r>
      <w:r>
        <w:rPr>
          <w:rFonts w:ascii="仿宋_GB2312" w:eastAsia="仿宋_GB2312" w:cs="仿宋_GB2312" w:hint="eastAsia"/>
          <w:sz w:val="32"/>
          <w:szCs w:val="32"/>
        </w:rPr>
        <w:t>年减少</w:t>
      </w:r>
      <w:r>
        <w:rPr>
          <w:rFonts w:ascii="仿宋_GB2312" w:eastAsia="仿宋_GB2312" w:cs="仿宋_GB2312"/>
          <w:sz w:val="32"/>
          <w:szCs w:val="32"/>
        </w:rPr>
        <w:t>19.43</w:t>
      </w:r>
      <w:r>
        <w:rPr>
          <w:rFonts w:ascii="仿宋_GB2312" w:eastAsia="仿宋_GB2312" w:cs="仿宋_GB2312" w:hint="eastAsia"/>
          <w:sz w:val="32"/>
          <w:szCs w:val="32"/>
        </w:rPr>
        <w:t>万元，下降</w:t>
      </w:r>
      <w:r>
        <w:rPr>
          <w:rFonts w:ascii="仿宋_GB2312" w:eastAsia="仿宋_GB2312" w:cs="仿宋_GB2312"/>
          <w:sz w:val="32"/>
          <w:szCs w:val="32"/>
        </w:rPr>
        <w:t>22.28%</w:t>
      </w:r>
      <w:r>
        <w:rPr>
          <w:rFonts w:ascii="仿宋_GB2312" w:eastAsia="仿宋_GB2312" w:cs="仿宋_GB2312" w:hint="eastAsia"/>
          <w:sz w:val="32"/>
          <w:szCs w:val="32"/>
        </w:rPr>
        <w:t>。主要原因是压减经费</w:t>
      </w:r>
    </w:p>
    <w:p>
      <w:pPr>
        <w:autoSpaceDE w:val="0"/>
        <w:autoSpaceDN w:val="0"/>
        <w:adjustRightInd w:val="0"/>
        <w:spacing w:line="600" w:lineRule="exact"/>
        <w:ind w:firstLineChars="200" w:firstLine="640"/>
        <w:jc w:val="left"/>
        <w:outlineLvl w:val="2"/>
        <w:rPr>
          <w:rFonts w:ascii="仿宋" w:eastAsia="仿宋"/>
          <w:b/>
          <w:bCs/>
          <w:sz w:val="32"/>
          <w:szCs w:val="32"/>
        </w:rPr>
      </w:pPr>
      <w:bookmarkStart w:id="43" w:name="_Toc15377223"/>
      <w:r>
        <w:rPr>
          <w:rFonts w:ascii="仿宋" w:eastAsia="仿宋" w:cs="仿宋" w:hint="eastAsia"/>
          <w:b/>
          <w:bCs/>
          <w:sz w:val="32"/>
          <w:szCs w:val="32"/>
        </w:rPr>
        <w:t>（二）政府采购支出情况</w:t>
      </w:r>
      <w:bookmarkEnd w:id="43"/>
    </w:p>
    <w:p>
      <w:pPr>
        <w:spacing w:line="600" w:lineRule="exact"/>
        <w:ind w:firstLineChars="200" w:firstLine="640"/>
        <w:rPr>
          <w:rFonts w:ascii="仿宋_GB2312" w:eastAsia="仿宋_GB2312"/>
          <w:sz w:val="32"/>
          <w:szCs w:val="32"/>
        </w:rPr>
      </w:pPr>
      <w:r>
        <w:rPr>
          <w:rFonts w:ascii="仿宋_GB2312" w:eastAsia="仿宋_GB2312" w:cs="仿宋_GB2312"/>
          <w:sz w:val="32"/>
          <w:szCs w:val="32"/>
        </w:rPr>
        <w:t>2022</w:t>
      </w:r>
      <w:r>
        <w:rPr>
          <w:rFonts w:ascii="仿宋_GB2312" w:eastAsia="仿宋_GB2312" w:cs="仿宋_GB2312" w:hint="eastAsia"/>
          <w:sz w:val="32"/>
          <w:szCs w:val="32"/>
        </w:rPr>
        <w:t>年，攀枝花市建设工程质量安全站政府采购支出总额</w:t>
      </w:r>
      <w:r>
        <w:rPr>
          <w:rFonts w:ascii="仿宋_GB2312" w:eastAsia="仿宋_GB2312" w:cs="仿宋_GB2312"/>
          <w:sz w:val="32"/>
          <w:szCs w:val="32"/>
        </w:rPr>
        <w:t>1.192</w:t>
      </w:r>
      <w:r>
        <w:rPr>
          <w:rFonts w:ascii="仿宋_GB2312" w:eastAsia="仿宋_GB2312" w:cs="仿宋_GB2312" w:hint="eastAsia"/>
          <w:sz w:val="32"/>
          <w:szCs w:val="32"/>
        </w:rPr>
        <w:t>万元，其中：政府采购货物支出</w:t>
      </w:r>
      <w:r>
        <w:rPr>
          <w:rFonts w:ascii="仿宋_GB2312" w:eastAsia="仿宋_GB2312" w:cs="仿宋_GB2312"/>
          <w:sz w:val="32"/>
          <w:szCs w:val="32"/>
        </w:rPr>
        <w:t>1.192</w:t>
      </w:r>
      <w:r>
        <w:rPr>
          <w:rFonts w:ascii="仿宋_GB2312" w:eastAsia="仿宋_GB2312" w:cs="仿宋_GB2312" w:hint="eastAsia"/>
          <w:sz w:val="32"/>
          <w:szCs w:val="32"/>
        </w:rPr>
        <w:t>万元、政府采购工程支出</w:t>
      </w:r>
      <w:r>
        <w:rPr>
          <w:rFonts w:ascii="仿宋_GB2312" w:eastAsia="仿宋_GB2312" w:cs="仿宋_GB2312"/>
          <w:sz w:val="32"/>
          <w:szCs w:val="32"/>
        </w:rPr>
        <w:t>0</w:t>
      </w:r>
      <w:r>
        <w:rPr>
          <w:rFonts w:ascii="仿宋_GB2312" w:eastAsia="仿宋_GB2312" w:cs="仿宋_GB2312" w:hint="eastAsia"/>
          <w:sz w:val="32"/>
          <w:szCs w:val="32"/>
        </w:rPr>
        <w:t>万元、政府采购服务支出</w:t>
      </w:r>
      <w:r>
        <w:rPr>
          <w:rFonts w:ascii="仿宋_GB2312" w:eastAsia="仿宋_GB2312" w:cs="仿宋_GB2312"/>
          <w:sz w:val="32"/>
          <w:szCs w:val="32"/>
        </w:rPr>
        <w:t>0</w:t>
      </w:r>
      <w:r>
        <w:rPr>
          <w:rFonts w:ascii="仿宋_GB2312" w:eastAsia="仿宋_GB2312" w:cs="仿宋_GB2312" w:hint="eastAsia"/>
          <w:sz w:val="32"/>
          <w:szCs w:val="32"/>
        </w:rPr>
        <w:t>万元。主要用于采购激光打印机，满足日常工作需求。授予中小企业合同金额</w:t>
      </w:r>
      <w:r>
        <w:rPr>
          <w:rFonts w:ascii="仿宋_GB2312" w:eastAsia="仿宋_GB2312" w:cs="仿宋_GB2312"/>
          <w:sz w:val="32"/>
          <w:szCs w:val="32"/>
        </w:rPr>
        <w:t>0</w:t>
      </w:r>
      <w:r>
        <w:rPr>
          <w:rFonts w:ascii="仿宋_GB2312" w:eastAsia="仿宋_GB2312" w:cs="仿宋_GB2312" w:hint="eastAsia"/>
          <w:sz w:val="32"/>
          <w:szCs w:val="32"/>
        </w:rPr>
        <w:t>万元，占政府采购支出总额的</w:t>
      </w:r>
      <w:r>
        <w:rPr>
          <w:rFonts w:ascii="仿宋_GB2312" w:eastAsia="仿宋_GB2312" w:cs="仿宋_GB2312"/>
          <w:sz w:val="32"/>
          <w:szCs w:val="32"/>
        </w:rPr>
        <w:t>0%</w:t>
      </w:r>
      <w:r>
        <w:rPr>
          <w:rFonts w:ascii="仿宋_GB2312" w:eastAsia="仿宋_GB2312" w:cs="仿宋_GB2312" w:hint="eastAsia"/>
          <w:sz w:val="32"/>
          <w:szCs w:val="32"/>
        </w:rPr>
        <w:t>，其中：授予小微企业合同金额</w:t>
      </w:r>
      <w:r>
        <w:rPr>
          <w:rFonts w:ascii="仿宋_GB2312" w:eastAsia="仿宋_GB2312" w:cs="仿宋_GB2312"/>
          <w:sz w:val="32"/>
          <w:szCs w:val="32"/>
        </w:rPr>
        <w:t>0</w:t>
      </w:r>
      <w:r>
        <w:rPr>
          <w:rFonts w:ascii="仿宋_GB2312" w:eastAsia="仿宋_GB2312" w:cs="仿宋_GB2312" w:hint="eastAsia"/>
          <w:sz w:val="32"/>
          <w:szCs w:val="32"/>
        </w:rPr>
        <w:t>万元，占政府采购支出总额的</w:t>
      </w:r>
      <w:r>
        <w:rPr>
          <w:rFonts w:ascii="仿宋_GB2312" w:eastAsia="仿宋_GB2312" w:cs="仿宋_GB2312"/>
          <w:sz w:val="32"/>
          <w:szCs w:val="32"/>
        </w:rPr>
        <w:t>0%</w:t>
      </w:r>
      <w:r>
        <w:rPr>
          <w:rFonts w:ascii="仿宋_GB2312" w:eastAsia="仿宋_GB2312" w:cs="仿宋_GB2312" w:hint="eastAsia"/>
          <w:sz w:val="32"/>
          <w:szCs w:val="32"/>
        </w:rPr>
        <w:t>。</w:t>
      </w:r>
    </w:p>
    <w:p>
      <w:pPr>
        <w:autoSpaceDE w:val="0"/>
        <w:autoSpaceDN w:val="0"/>
        <w:adjustRightInd w:val="0"/>
        <w:spacing w:line="600" w:lineRule="exact"/>
        <w:ind w:firstLineChars="200" w:firstLine="640"/>
        <w:jc w:val="left"/>
        <w:outlineLvl w:val="2"/>
        <w:rPr>
          <w:rFonts w:ascii="仿宋" w:eastAsia="仿宋"/>
          <w:b/>
          <w:bCs/>
          <w:sz w:val="32"/>
          <w:szCs w:val="32"/>
        </w:rPr>
      </w:pPr>
      <w:bookmarkStart w:id="44" w:name="_Toc15377224"/>
      <w:r>
        <w:rPr>
          <w:rFonts w:ascii="仿宋" w:eastAsia="仿宋" w:cs="仿宋" w:hint="eastAsia"/>
          <w:b/>
          <w:bCs/>
          <w:sz w:val="32"/>
          <w:szCs w:val="32"/>
        </w:rPr>
        <w:t>（三）国有资产占有使用情况</w:t>
      </w:r>
      <w:bookmarkEnd w:id="44"/>
    </w:p>
    <w:p>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cs="仿宋_GB2312" w:hint="eastAsia"/>
          <w:sz w:val="32"/>
          <w:szCs w:val="32"/>
        </w:rPr>
        <w:t>截至</w:t>
      </w:r>
      <w:r>
        <w:rPr>
          <w:rFonts w:ascii="仿宋_GB2312" w:eastAsia="仿宋_GB2312" w:cs="仿宋_GB2312"/>
          <w:sz w:val="32"/>
          <w:szCs w:val="32"/>
        </w:rPr>
        <w:t>2022</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w:t>
      </w:r>
      <w:r>
        <w:rPr>
          <w:rFonts w:ascii="仿宋_GB2312" w:eastAsia="仿宋_GB2312" w:cs="仿宋_GB2312"/>
          <w:sz w:val="32"/>
          <w:szCs w:val="32"/>
        </w:rPr>
        <w:t>31</w:t>
      </w:r>
      <w:r>
        <w:rPr>
          <w:rFonts w:ascii="仿宋_GB2312" w:eastAsia="仿宋_GB2312" w:cs="仿宋_GB2312" w:hint="eastAsia"/>
          <w:sz w:val="32"/>
          <w:szCs w:val="32"/>
        </w:rPr>
        <w:t>日，攀枝花市建设工程质量安全站共有车辆</w:t>
      </w:r>
      <w:r>
        <w:rPr>
          <w:rFonts w:ascii="仿宋_GB2312" w:eastAsia="仿宋_GB2312" w:cs="仿宋_GB2312"/>
          <w:sz w:val="32"/>
          <w:szCs w:val="32"/>
        </w:rPr>
        <w:t>4</w:t>
      </w:r>
      <w:r>
        <w:rPr>
          <w:rFonts w:ascii="仿宋_GB2312" w:eastAsia="仿宋_GB2312" w:cs="仿宋_GB2312" w:hint="eastAsia"/>
          <w:sz w:val="32"/>
          <w:szCs w:val="32"/>
        </w:rPr>
        <w:t>辆，其中：主要领导干部用车</w:t>
      </w:r>
      <w:r>
        <w:rPr>
          <w:rFonts w:ascii="仿宋_GB2312" w:eastAsia="仿宋_GB2312" w:cs="仿宋_GB2312"/>
          <w:sz w:val="32"/>
          <w:szCs w:val="32"/>
        </w:rPr>
        <w:t>0</w:t>
      </w:r>
      <w:r>
        <w:rPr>
          <w:rFonts w:ascii="仿宋_GB2312" w:eastAsia="仿宋_GB2312" w:cs="仿宋_GB2312" w:hint="eastAsia"/>
          <w:sz w:val="32"/>
          <w:szCs w:val="32"/>
        </w:rPr>
        <w:t>辆、机要通信用车</w:t>
      </w:r>
      <w:r>
        <w:rPr>
          <w:rFonts w:ascii="仿宋_GB2312" w:eastAsia="仿宋_GB2312" w:cs="仿宋_GB2312"/>
          <w:sz w:val="32"/>
          <w:szCs w:val="32"/>
        </w:rPr>
        <w:t>0</w:t>
      </w:r>
      <w:r>
        <w:rPr>
          <w:rFonts w:ascii="仿宋_GB2312" w:eastAsia="仿宋_GB2312" w:cs="仿宋_GB2312" w:hint="eastAsia"/>
          <w:sz w:val="32"/>
          <w:szCs w:val="32"/>
        </w:rPr>
        <w:t>辆、应急保障用车</w:t>
      </w:r>
      <w:r>
        <w:rPr>
          <w:rFonts w:ascii="仿宋_GB2312" w:eastAsia="仿宋_GB2312" w:cs="仿宋_GB2312"/>
          <w:sz w:val="32"/>
          <w:szCs w:val="32"/>
        </w:rPr>
        <w:t>0</w:t>
      </w:r>
      <w:r>
        <w:rPr>
          <w:rFonts w:ascii="仿宋_GB2312" w:eastAsia="仿宋_GB2312" w:cs="仿宋_GB2312" w:hint="eastAsia"/>
          <w:sz w:val="32"/>
          <w:szCs w:val="32"/>
        </w:rPr>
        <w:t>辆、特种专业技术用车</w:t>
      </w:r>
      <w:r>
        <w:rPr>
          <w:rFonts w:ascii="仿宋_GB2312" w:eastAsia="仿宋_GB2312" w:cs="仿宋_GB2312"/>
          <w:sz w:val="32"/>
          <w:szCs w:val="32"/>
        </w:rPr>
        <w:t>4</w:t>
      </w:r>
      <w:r>
        <w:rPr>
          <w:rFonts w:ascii="仿宋_GB2312" w:eastAsia="仿宋_GB2312" w:cs="仿宋_GB2312" w:hint="eastAsia"/>
          <w:sz w:val="32"/>
          <w:szCs w:val="32"/>
        </w:rPr>
        <w:t>辆、其他用车</w:t>
      </w:r>
      <w:r>
        <w:rPr>
          <w:rFonts w:ascii="仿宋_GB2312" w:eastAsia="仿宋_GB2312" w:cs="仿宋_GB2312"/>
          <w:sz w:val="32"/>
          <w:szCs w:val="32"/>
        </w:rPr>
        <w:t>0</w:t>
      </w:r>
      <w:r>
        <w:rPr>
          <w:rFonts w:ascii="仿宋_GB2312" w:eastAsia="仿宋_GB2312" w:cs="仿宋_GB2312" w:hint="eastAsia"/>
          <w:sz w:val="32"/>
          <w:szCs w:val="32"/>
        </w:rPr>
        <w:t>辆，主要是用于建筑工地安全监督工作。单价</w:t>
      </w:r>
      <w:r>
        <w:rPr>
          <w:rFonts w:ascii="仿宋_GB2312" w:eastAsia="仿宋_GB2312" w:cs="仿宋_GB2312"/>
          <w:sz w:val="32"/>
          <w:szCs w:val="32"/>
        </w:rPr>
        <w:t>100</w:t>
      </w:r>
      <w:r>
        <w:rPr>
          <w:rFonts w:ascii="仿宋_GB2312" w:eastAsia="仿宋_GB2312" w:cs="仿宋_GB2312" w:hint="eastAsia"/>
          <w:sz w:val="32"/>
          <w:szCs w:val="32"/>
        </w:rPr>
        <w:t>万元以上专用设备</w:t>
      </w:r>
      <w:r>
        <w:rPr>
          <w:rFonts w:ascii="仿宋_GB2312" w:eastAsia="仿宋_GB2312" w:cs="仿宋_GB2312"/>
          <w:sz w:val="32"/>
          <w:szCs w:val="32"/>
        </w:rPr>
        <w:t>0</w:t>
      </w:r>
      <w:r>
        <w:rPr>
          <w:rFonts w:ascii="仿宋_GB2312" w:eastAsia="仿宋_GB2312" w:cs="仿宋_GB2312" w:hint="eastAsia"/>
          <w:sz w:val="32"/>
          <w:szCs w:val="32"/>
        </w:rPr>
        <w:t>台（套）。</w:t>
      </w:r>
    </w:p>
    <w:p>
      <w:pPr>
        <w:autoSpaceDE w:val="0"/>
        <w:autoSpaceDN w:val="0"/>
        <w:adjustRightInd w:val="0"/>
        <w:spacing w:line="600" w:lineRule="exact"/>
        <w:ind w:firstLineChars="200" w:firstLine="640"/>
        <w:jc w:val="left"/>
        <w:outlineLvl w:val="2"/>
        <w:rPr>
          <w:rFonts w:ascii="仿宋" w:eastAsia="仿宋"/>
          <w:b/>
          <w:bCs/>
          <w:sz w:val="32"/>
          <w:szCs w:val="32"/>
        </w:rPr>
      </w:pPr>
      <w:r>
        <w:rPr>
          <w:rFonts w:ascii="仿宋" w:eastAsia="仿宋" w:cs="仿宋" w:hint="eastAsia"/>
          <w:b/>
          <w:bCs/>
          <w:sz w:val="32"/>
          <w:szCs w:val="32"/>
        </w:rPr>
        <w:t>（四）预算绩效管理情况</w:t>
      </w:r>
    </w:p>
    <w:p>
      <w:pPr>
        <w:pStyle w:val="15"/>
        <w:spacing w:beforeLines="0" w:before="93"/>
        <w:ind w:firstLineChars="200" w:firstLine="640"/>
        <w:rPr>
          <w:rFonts w:cs="Times New Roman"/>
          <w:highlight w:val="yellow"/>
        </w:rPr>
      </w:pPr>
      <w:r>
        <w:rPr>
          <w:rFonts w:hint="eastAsia"/>
          <w:sz w:val="32"/>
          <w:szCs w:val="32"/>
        </w:rPr>
        <w:t>根据预算绩效管理要求，本单位在</w:t>
      </w:r>
      <w:r>
        <w:rPr>
          <w:sz w:val="32"/>
          <w:szCs w:val="32"/>
        </w:rPr>
        <w:t>2022</w:t>
      </w:r>
      <w:r>
        <w:rPr>
          <w:rFonts w:hint="eastAsia"/>
          <w:sz w:val="32"/>
          <w:szCs w:val="32"/>
        </w:rPr>
        <w:t>年度预算编制阶段，组织对“抽检业务费”、“编外合同制用工”、建设工程质量数字化管理平台运转人员工资”、“物业管理费”项目等</w:t>
      </w:r>
      <w:r>
        <w:rPr>
          <w:sz w:val="32"/>
          <w:szCs w:val="32"/>
        </w:rPr>
        <w:t>4</w:t>
      </w:r>
      <w:r>
        <w:rPr>
          <w:rFonts w:hint="eastAsia"/>
          <w:sz w:val="32"/>
          <w:szCs w:val="32"/>
        </w:rPr>
        <w:t>个项目开展了预算事前绩效评估，对</w:t>
      </w:r>
      <w:r>
        <w:rPr>
          <w:sz w:val="32"/>
          <w:szCs w:val="32"/>
        </w:rPr>
        <w:t>4</w:t>
      </w:r>
      <w:r>
        <w:rPr>
          <w:rFonts w:hint="eastAsia"/>
          <w:sz w:val="32"/>
          <w:szCs w:val="32"/>
        </w:rPr>
        <w:t>个项目编制了绩效目标，预算执行过程中，选取</w:t>
      </w:r>
      <w:r>
        <w:rPr>
          <w:sz w:val="32"/>
          <w:szCs w:val="32"/>
        </w:rPr>
        <w:t>4</w:t>
      </w:r>
      <w:r>
        <w:rPr>
          <w:rFonts w:hint="eastAsia"/>
          <w:sz w:val="32"/>
          <w:szCs w:val="32"/>
        </w:rPr>
        <w:t>个项目开展绩效监控，组织对</w:t>
      </w:r>
      <w:r>
        <w:rPr>
          <w:sz w:val="32"/>
          <w:szCs w:val="32"/>
        </w:rPr>
        <w:t>4</w:t>
      </w:r>
      <w:r>
        <w:rPr>
          <w:rFonts w:hint="eastAsia"/>
          <w:sz w:val="32"/>
          <w:szCs w:val="32"/>
        </w:rPr>
        <w:t>个项目开展绩效自评，绩效自评表详见第四部分附件。</w:t>
      </w:r>
    </w:p>
    <w:p>
      <w:pPr>
        <w:widowControl/>
        <w:jc w:val="left"/>
        <w:rPr>
          <w:rFonts w:ascii="仿宋_GB2312" w:eastAsia="仿宋_GB2312"/>
          <w:b/>
          <w:bCs/>
          <w:sz w:val="32"/>
          <w:szCs w:val="32"/>
        </w:rPr>
      </w:pPr>
      <w:r>
        <w:rPr>
          <w:rFonts w:ascii="仿宋_GB2312" w:eastAsia="仿宋_GB2312"/>
          <w:b/>
          <w:bCs/>
          <w:sz w:val="32"/>
          <w:szCs w:val="32"/>
        </w:rPr>
        <w:br w:type="page"/>
      </w:r>
    </w:p>
    <w:p>
      <w:pPr>
        <w:numPr>
          <w:ilvl w:val="0"/>
          <w:numId w:val="3"/>
        </w:numPr>
        <w:spacing w:line="600" w:lineRule="exact"/>
        <w:ind w:left="0" w:firstLineChars="150" w:firstLine="660"/>
        <w:jc w:val="center"/>
        <w:outlineLvl w:val="0"/>
        <w:rPr>
          <w:rStyle w:val="1Char"/>
          <w:rFonts w:ascii="黑体" w:eastAsia="黑体"/>
          <w:b w:val="0"/>
          <w:bCs w:val="0"/>
        </w:rPr>
      </w:pPr>
      <w:bookmarkStart w:id="45" w:name="_Toc15377225"/>
      <w:bookmarkStart w:id="46" w:name="_Toc15396613"/>
      <w:r>
        <w:rPr>
          <w:rFonts w:ascii="黑体" w:eastAsia="黑体" w:cs="黑体" w:hint="eastAsia"/>
          <w:sz w:val="44"/>
          <w:szCs w:val="44"/>
        </w:rPr>
        <w:t>名</w:t>
      </w:r>
      <w:r>
        <w:rPr>
          <w:rStyle w:val="1Char"/>
          <w:rFonts w:ascii="黑体" w:eastAsia="黑体" w:cs="黑体" w:hint="eastAsia"/>
          <w:b w:val="0"/>
          <w:bCs w:val="0"/>
        </w:rPr>
        <w:t>词解释</w:t>
      </w:r>
      <w:bookmarkEnd w:id="45"/>
      <w:bookmarkEnd w:id="46"/>
    </w:p>
    <w:p>
      <w:pPr>
        <w:spacing w:line="600" w:lineRule="exact"/>
        <w:jc w:val="left"/>
        <w:rPr>
          <w:rFonts w:ascii="宋体"/>
          <w:b/>
          <w:bCs/>
          <w:sz w:val="44"/>
          <w:szCs w:val="44"/>
        </w:rPr>
      </w:pPr>
    </w:p>
    <w:p>
      <w:pPr>
        <w:pStyle w:val="24"/>
        <w:spacing w:line="560" w:lineRule="exact"/>
        <w:ind w:firstLineChars="200" w:firstLine="640"/>
        <w:rPr>
          <w:rFonts w:ascii="仿宋_GB2312" w:eastAsia="仿宋_GB2312" w:cs="Times New Roman"/>
          <w:color w:val="auto"/>
          <w:sz w:val="32"/>
          <w:szCs w:val="32"/>
        </w:rPr>
      </w:pPr>
      <w:r>
        <w:rPr>
          <w:rFonts w:ascii="仿宋_GB2312" w:eastAsia="仿宋_GB2312" w:cs="仿宋_GB2312"/>
          <w:color w:val="auto"/>
          <w:sz w:val="32"/>
          <w:szCs w:val="32"/>
        </w:rPr>
        <w:t>1.</w:t>
      </w:r>
      <w:r>
        <w:rPr>
          <w:rFonts w:ascii="仿宋_GB2312" w:eastAsia="仿宋_GB2312" w:cs="仿宋_GB2312" w:hint="eastAsia"/>
          <w:color w:val="auto"/>
          <w:sz w:val="32"/>
          <w:szCs w:val="32"/>
        </w:rPr>
        <w:t>财政拨款收入：指单位从同级财政部门取得的财政预算资金。</w:t>
      </w:r>
    </w:p>
    <w:p>
      <w:pPr>
        <w:pStyle w:val="24"/>
        <w:spacing w:line="560" w:lineRule="exact"/>
        <w:ind w:firstLineChars="200" w:firstLine="640"/>
        <w:rPr>
          <w:rFonts w:ascii="仿宋_GB2312" w:eastAsia="仿宋_GB2312" w:cs="Times New Roman"/>
          <w:color w:val="auto"/>
          <w:sz w:val="32"/>
          <w:szCs w:val="32"/>
        </w:rPr>
      </w:pPr>
      <w:r>
        <w:rPr>
          <w:rFonts w:ascii="仿宋_GB2312" w:eastAsia="仿宋_GB2312" w:cs="仿宋_GB2312"/>
          <w:color w:val="auto"/>
          <w:sz w:val="32"/>
          <w:szCs w:val="32"/>
        </w:rPr>
        <w:t>2.</w:t>
      </w:r>
      <w:r>
        <w:rPr>
          <w:rFonts w:ascii="仿宋_GB2312" w:eastAsia="仿宋_GB2312" w:cs="仿宋_GB2312" w:hint="eastAsia"/>
          <w:color w:val="auto"/>
          <w:sz w:val="32"/>
          <w:szCs w:val="32"/>
        </w:rPr>
        <w:t>事业收入：指事业单位开展专业业务活动及辅助活动取得的收入。</w:t>
      </w:r>
    </w:p>
    <w:p>
      <w:pPr>
        <w:pStyle w:val="24"/>
        <w:spacing w:line="560" w:lineRule="exact"/>
        <w:ind w:firstLineChars="200" w:firstLine="640"/>
        <w:rPr>
          <w:rFonts w:ascii="仿宋_GB2312" w:eastAsia="仿宋_GB2312" w:cs="Times New Roman"/>
          <w:color w:val="auto"/>
          <w:sz w:val="32"/>
          <w:szCs w:val="32"/>
        </w:rPr>
      </w:pPr>
      <w:r>
        <w:rPr>
          <w:rFonts w:ascii="仿宋_GB2312" w:eastAsia="仿宋_GB2312" w:cs="仿宋_GB2312"/>
          <w:color w:val="auto"/>
          <w:sz w:val="32"/>
          <w:szCs w:val="32"/>
        </w:rPr>
        <w:t>3.</w:t>
      </w:r>
      <w:r>
        <w:rPr>
          <w:rFonts w:ascii="仿宋_GB2312" w:eastAsia="仿宋_GB2312" w:cs="仿宋_GB2312" w:hint="eastAsia"/>
          <w:color w:val="auto"/>
          <w:sz w:val="32"/>
          <w:szCs w:val="32"/>
        </w:rPr>
        <w:t>经营收入：指事业单位在专业业务活动及其辅助活动之外开展非独立核算经营活动取得的收入。</w:t>
      </w:r>
    </w:p>
    <w:p>
      <w:pPr>
        <w:pStyle w:val="24"/>
        <w:spacing w:line="560" w:lineRule="exact"/>
        <w:ind w:firstLineChars="200" w:firstLine="640"/>
        <w:rPr>
          <w:rFonts w:ascii="仿宋_GB2312" w:eastAsia="仿宋_GB2312" w:cs="Times New Roman"/>
          <w:color w:val="auto"/>
          <w:sz w:val="32"/>
          <w:szCs w:val="32"/>
        </w:rPr>
      </w:pPr>
      <w:r>
        <w:rPr>
          <w:rFonts w:ascii="仿宋_GB2312" w:eastAsia="仿宋_GB2312" w:cs="仿宋_GB2312"/>
          <w:color w:val="auto"/>
          <w:sz w:val="32"/>
          <w:szCs w:val="32"/>
        </w:rPr>
        <w:t>4.</w:t>
      </w:r>
      <w:r>
        <w:rPr>
          <w:rFonts w:ascii="仿宋_GB2312" w:eastAsia="仿宋_GB2312" w:cs="仿宋_GB2312" w:hint="eastAsia"/>
          <w:color w:val="auto"/>
          <w:sz w:val="32"/>
          <w:szCs w:val="32"/>
        </w:rPr>
        <w:t>其他收入：指单位取得的除上述收入以外的各项收入。</w:t>
      </w:r>
    </w:p>
    <w:p>
      <w:pPr>
        <w:pStyle w:val="24"/>
        <w:spacing w:line="560" w:lineRule="exact"/>
        <w:ind w:firstLineChars="200" w:firstLine="640"/>
        <w:rPr>
          <w:rFonts w:ascii="仿宋_GB2312" w:eastAsia="仿宋_GB2312" w:cs="Times New Roman"/>
          <w:color w:val="auto"/>
          <w:sz w:val="32"/>
          <w:szCs w:val="32"/>
        </w:rPr>
      </w:pPr>
      <w:r>
        <w:rPr>
          <w:rFonts w:ascii="仿宋_GB2312" w:eastAsia="仿宋_GB2312" w:cs="仿宋_GB2312"/>
          <w:color w:val="auto"/>
          <w:sz w:val="32"/>
          <w:szCs w:val="32"/>
        </w:rPr>
        <w:t>5.</w:t>
      </w:r>
      <w:r>
        <w:rPr>
          <w:rFonts w:ascii="仿宋_GB2312" w:eastAsia="仿宋_GB2312" w:cs="仿宋_GB2312" w:hint="eastAsia"/>
          <w:color w:val="auto"/>
          <w:sz w:val="32"/>
          <w:szCs w:val="32"/>
        </w:rPr>
        <w:t>使用非财政拨款结余：指事业单位使用以前年度积累的非财政拨款结余弥补当年收支差额的金额。</w:t>
      </w:r>
    </w:p>
    <w:p>
      <w:pPr>
        <w:pStyle w:val="24"/>
        <w:spacing w:line="560" w:lineRule="exact"/>
        <w:ind w:firstLineChars="200" w:firstLine="640"/>
        <w:rPr>
          <w:rFonts w:ascii="仿宋_GB2312" w:eastAsia="仿宋_GB2312" w:cs="Times New Roman"/>
          <w:color w:val="auto"/>
          <w:sz w:val="32"/>
          <w:szCs w:val="32"/>
        </w:rPr>
      </w:pPr>
      <w:r>
        <w:rPr>
          <w:rFonts w:ascii="仿宋_GB2312" w:eastAsia="仿宋_GB2312" w:cs="仿宋_GB2312"/>
          <w:color w:val="auto"/>
          <w:sz w:val="32"/>
          <w:szCs w:val="32"/>
        </w:rPr>
        <w:t>6.</w:t>
      </w:r>
      <w:r>
        <w:rPr>
          <w:rFonts w:ascii="仿宋_GB2312" w:eastAsia="仿宋_GB2312" w:cs="仿宋_GB2312" w:hint="eastAsia"/>
          <w:color w:val="auto"/>
          <w:sz w:val="32"/>
          <w:szCs w:val="32"/>
        </w:rPr>
        <w:t>年初结转和结余：指以前年度尚未完成、结转到本年按有关规定继续使用的资金。</w:t>
      </w:r>
    </w:p>
    <w:p>
      <w:pPr>
        <w:pStyle w:val="24"/>
        <w:spacing w:line="560" w:lineRule="exact"/>
        <w:ind w:firstLineChars="200" w:firstLine="640"/>
        <w:rPr>
          <w:rFonts w:ascii="仿宋_GB2312" w:eastAsia="仿宋_GB2312" w:cs="Times New Roman"/>
          <w:color w:val="auto"/>
          <w:sz w:val="32"/>
          <w:szCs w:val="32"/>
        </w:rPr>
      </w:pPr>
      <w:r>
        <w:rPr>
          <w:rFonts w:ascii="仿宋_GB2312" w:eastAsia="仿宋_GB2312" w:cs="仿宋_GB2312"/>
          <w:color w:val="auto"/>
          <w:sz w:val="32"/>
          <w:szCs w:val="32"/>
        </w:rPr>
        <w:t>7.</w:t>
      </w:r>
      <w:r>
        <w:rPr>
          <w:rFonts w:ascii="仿宋_GB2312" w:eastAsia="仿宋_GB2312" w:cs="仿宋_GB2312" w:hint="eastAsia"/>
          <w:color w:val="auto"/>
          <w:sz w:val="32"/>
          <w:szCs w:val="32"/>
        </w:rPr>
        <w:t>结余分配：指事业单位按照会计制度规定缴纳的所得税、提取的专用结余以及转入非财政拨款结余的金额等。</w:t>
      </w:r>
    </w:p>
    <w:p>
      <w:pPr>
        <w:pStyle w:val="24"/>
        <w:spacing w:line="560" w:lineRule="exact"/>
        <w:ind w:firstLineChars="200" w:firstLine="640"/>
        <w:rPr>
          <w:rFonts w:ascii="仿宋_GB2312" w:eastAsia="仿宋_GB2312" w:cs="Times New Roman"/>
          <w:color w:val="auto"/>
          <w:sz w:val="32"/>
          <w:szCs w:val="32"/>
        </w:rPr>
      </w:pPr>
      <w:r>
        <w:rPr>
          <w:rFonts w:ascii="仿宋_GB2312" w:eastAsia="仿宋_GB2312" w:cs="仿宋_GB2312"/>
          <w:color w:val="auto"/>
          <w:sz w:val="32"/>
          <w:szCs w:val="32"/>
        </w:rPr>
        <w:t>8.</w:t>
      </w:r>
      <w:r>
        <w:rPr>
          <w:rFonts w:ascii="仿宋_GB2312" w:eastAsia="仿宋_GB2312" w:cs="仿宋_GB2312" w:hint="eastAsia"/>
          <w:color w:val="auto"/>
          <w:sz w:val="32"/>
          <w:szCs w:val="32"/>
        </w:rPr>
        <w:t>年末结转和结余：指单位按有关规定结转到下年或以后年度继续使用的资金。</w:t>
      </w:r>
    </w:p>
    <w:p>
      <w:pPr>
        <w:ind w:firstLineChars="200" w:firstLine="640"/>
        <w:rPr>
          <w:rFonts w:ascii="仿宋_GB2312" w:eastAsia="仿宋_GB2312"/>
          <w:sz w:val="32"/>
          <w:szCs w:val="32"/>
        </w:rPr>
      </w:pPr>
      <w:r>
        <w:rPr>
          <w:rFonts w:ascii="仿宋_GB2312" w:eastAsia="仿宋_GB2312" w:cs="仿宋_GB2312"/>
          <w:sz w:val="32"/>
          <w:szCs w:val="32"/>
        </w:rPr>
        <w:t>9.</w:t>
      </w:r>
      <w:r>
        <w:rPr>
          <w:rFonts w:ascii="仿宋_GB2312" w:eastAsia="仿宋_GB2312" w:cs="仿宋_GB2312" w:hint="eastAsia"/>
          <w:sz w:val="32"/>
          <w:szCs w:val="32"/>
        </w:rPr>
        <w:t>社会保障和就业（类）行政事业单位养老支出（款）行政单位离退休（项）：指反映行政单位（包括实行公务员管理的事业单位）开支的离退休经费。事业单位离退休（项）：指反映事业单位开支的离退休经费。机关事业单位基本养老保险缴费支出（项）：指反映机关事业单位实施养老保险制度由单位缴纳的基本养老保险费支出。抚恤（款）死亡抚恤（项）：指反映按规定用于烈士和牺牲、病故人员家属的一次性和定期抚恤金以及丧葬补助费。社会福利（款）儿童福利（项）：指反映对儿童提供福利服务方面的支出。</w:t>
      </w:r>
    </w:p>
    <w:p>
      <w:pPr>
        <w:ind w:firstLineChars="200" w:firstLine="640"/>
        <w:rPr>
          <w:rFonts w:ascii="仿宋_GB2312" w:eastAsia="仿宋_GB2312"/>
          <w:sz w:val="32"/>
          <w:szCs w:val="32"/>
        </w:rPr>
      </w:pPr>
      <w:r>
        <w:rPr>
          <w:rFonts w:ascii="仿宋_GB2312" w:eastAsia="仿宋_GB2312" w:cs="仿宋_GB2312"/>
          <w:sz w:val="32"/>
          <w:szCs w:val="32"/>
        </w:rPr>
        <w:t>10.</w:t>
      </w:r>
      <w:r>
        <w:rPr>
          <w:rFonts w:ascii="仿宋_GB2312" w:eastAsia="仿宋_GB2312" w:cs="仿宋_GB2312" w:hint="eastAsia"/>
          <w:sz w:val="32"/>
          <w:szCs w:val="32"/>
        </w:rPr>
        <w:t>城乡社区（类）城乡社区管理事务（款）行政运行（项）：指反映行政单位（包括实行公务员管理的事业单位）的基本支出。一般行政管理事务（项）</w:t>
      </w:r>
      <w:r>
        <w:rPr>
          <w:rFonts w:ascii="仿宋_GB2312" w:eastAsia="仿宋_GB2312" w:cs="仿宋_GB2312"/>
          <w:sz w:val="32"/>
          <w:szCs w:val="32"/>
        </w:rPr>
        <w:t xml:space="preserve">: </w:t>
      </w:r>
      <w:r>
        <w:rPr>
          <w:rFonts w:ascii="仿宋_GB2312" w:eastAsia="仿宋_GB2312" w:cs="仿宋_GB2312" w:hint="eastAsia"/>
          <w:sz w:val="32"/>
          <w:szCs w:val="32"/>
        </w:rPr>
        <w:t>指反映行政单位（包括实行公务员管理的事业单位）未单独设置项级科目的其他项目支出。工程建设标准规范编制与监管（项）</w:t>
      </w:r>
      <w:r>
        <w:rPr>
          <w:rFonts w:ascii="仿宋_GB2312" w:eastAsia="仿宋_GB2312" w:cs="仿宋_GB2312"/>
          <w:sz w:val="32"/>
          <w:szCs w:val="32"/>
        </w:rPr>
        <w:t xml:space="preserve">: </w:t>
      </w:r>
      <w:r>
        <w:rPr>
          <w:rFonts w:ascii="仿宋_GB2312" w:eastAsia="仿宋_GB2312" w:cs="仿宋_GB2312" w:hint="eastAsia"/>
          <w:sz w:val="32"/>
          <w:szCs w:val="32"/>
        </w:rPr>
        <w:t>指反映拟定工程建设国家标准和部管行业标准、监督指导各类工程建设标准定额的实施、管理工程造价等方面的支出。其他城乡社区管理事务支出（项）</w:t>
      </w:r>
      <w:r>
        <w:rPr>
          <w:rFonts w:ascii="仿宋_GB2312" w:eastAsia="仿宋_GB2312" w:cs="仿宋_GB2312"/>
          <w:sz w:val="32"/>
          <w:szCs w:val="32"/>
        </w:rPr>
        <w:t xml:space="preserve">: </w:t>
      </w:r>
      <w:r>
        <w:rPr>
          <w:rFonts w:ascii="仿宋_GB2312" w:eastAsia="仿宋_GB2312" w:cs="仿宋_GB2312" w:hint="eastAsia"/>
          <w:sz w:val="32"/>
          <w:szCs w:val="32"/>
        </w:rPr>
        <w:t>指反映其他城乡社区管理事务支出反映除上述项目以外其他用于城乡社区管理事务方面的支出。城乡社区公共设施（款）小城镇基础设施建设（项）</w:t>
      </w:r>
      <w:r>
        <w:rPr>
          <w:rFonts w:ascii="仿宋_GB2312" w:eastAsia="仿宋_GB2312" w:cs="仿宋_GB2312"/>
          <w:sz w:val="32"/>
          <w:szCs w:val="32"/>
        </w:rPr>
        <w:t xml:space="preserve">: </w:t>
      </w:r>
      <w:r>
        <w:rPr>
          <w:rFonts w:ascii="仿宋_GB2312" w:eastAsia="仿宋_GB2312" w:cs="仿宋_GB2312" w:hint="eastAsia"/>
          <w:sz w:val="32"/>
          <w:szCs w:val="32"/>
        </w:rPr>
        <w:t>指反映用于小城镇路、气、水、电等基础建设方面的支出。其他城乡社区公共设施支出（项）</w:t>
      </w:r>
      <w:r>
        <w:rPr>
          <w:rFonts w:ascii="仿宋_GB2312" w:eastAsia="仿宋_GB2312" w:cs="仿宋_GB2312"/>
          <w:sz w:val="32"/>
          <w:szCs w:val="32"/>
        </w:rPr>
        <w:t xml:space="preserve">: </w:t>
      </w:r>
      <w:r>
        <w:rPr>
          <w:rFonts w:ascii="仿宋_GB2312" w:eastAsia="仿宋_GB2312" w:cs="仿宋_GB2312" w:hint="eastAsia"/>
          <w:sz w:val="32"/>
          <w:szCs w:val="32"/>
        </w:rPr>
        <w:t>指反映其他用于城乡社区公共设施其他方面的支出。建设市场管理与监督（款）建设市场管理与监督（项）</w:t>
      </w:r>
      <w:r>
        <w:rPr>
          <w:rFonts w:ascii="仿宋_GB2312" w:eastAsia="仿宋_GB2312" w:cs="仿宋_GB2312"/>
          <w:sz w:val="32"/>
          <w:szCs w:val="32"/>
        </w:rPr>
        <w:t xml:space="preserve">: </w:t>
      </w:r>
      <w:r>
        <w:rPr>
          <w:rFonts w:ascii="仿宋_GB2312" w:eastAsia="仿宋_GB2312" w:cs="仿宋_GB2312" w:hint="eastAsia"/>
          <w:sz w:val="32"/>
          <w:szCs w:val="32"/>
        </w:rPr>
        <w:t>指反映各类建筑工程强制性和推荐性标准及规定的制定与修改、建筑工程招投标等市场管理、建筑工程质量与安全监督等方面的支出。其他城乡社区支出（款）其他城乡社区支出（项）</w:t>
      </w:r>
      <w:r>
        <w:rPr>
          <w:rFonts w:ascii="仿宋_GB2312" w:eastAsia="仿宋_GB2312" w:cs="仿宋_GB2312"/>
          <w:sz w:val="32"/>
          <w:szCs w:val="32"/>
        </w:rPr>
        <w:t xml:space="preserve">: </w:t>
      </w:r>
      <w:r>
        <w:rPr>
          <w:rFonts w:ascii="仿宋_GB2312" w:eastAsia="仿宋_GB2312" w:cs="仿宋_GB2312" w:hint="eastAsia"/>
          <w:sz w:val="32"/>
          <w:szCs w:val="32"/>
        </w:rPr>
        <w:t>指反映其他用于城乡社区方面的支出。</w:t>
      </w:r>
    </w:p>
    <w:p>
      <w:pPr>
        <w:ind w:firstLineChars="200" w:firstLine="640"/>
        <w:rPr>
          <w:rFonts w:ascii="仿宋_GB2312" w:eastAsia="仿宋_GB2312"/>
          <w:sz w:val="32"/>
          <w:szCs w:val="32"/>
        </w:rPr>
      </w:pPr>
      <w:r>
        <w:rPr>
          <w:rFonts w:ascii="仿宋_GB2312" w:eastAsia="仿宋_GB2312" w:cs="仿宋_GB2312"/>
          <w:sz w:val="32"/>
          <w:szCs w:val="32"/>
        </w:rPr>
        <w:t>11.</w:t>
      </w:r>
      <w:r>
        <w:rPr>
          <w:rFonts w:ascii="仿宋_GB2312" w:eastAsia="仿宋_GB2312" w:cs="仿宋_GB2312" w:hint="eastAsia"/>
          <w:sz w:val="32"/>
          <w:szCs w:val="32"/>
        </w:rPr>
        <w:t>住房保障（类）住房改革支出（款）住房公积金（项）：指反映行政事业单位按人力资源和社会保障部、财政部规定的基本工资和津贴补贴以及规定比例为职工缴纳的住房公积金。城乡社区住宅（款）其他城乡社区住宅支出（项）</w:t>
      </w:r>
      <w:r>
        <w:rPr>
          <w:rFonts w:ascii="仿宋_GB2312" w:eastAsia="仿宋_GB2312" w:cs="仿宋_GB2312"/>
          <w:sz w:val="32"/>
          <w:szCs w:val="32"/>
        </w:rPr>
        <w:t xml:space="preserve">: </w:t>
      </w:r>
      <w:r>
        <w:rPr>
          <w:rFonts w:ascii="仿宋_GB2312" w:eastAsia="仿宋_GB2312" w:cs="仿宋_GB2312" w:hint="eastAsia"/>
          <w:sz w:val="32"/>
          <w:szCs w:val="32"/>
        </w:rPr>
        <w:t>指反映其他用于城乡社区住宅方面的支出。</w:t>
      </w:r>
    </w:p>
    <w:p>
      <w:pPr>
        <w:ind w:firstLineChars="200" w:firstLine="640"/>
        <w:rPr>
          <w:rFonts w:ascii="仿宋_GB2312" w:eastAsia="仿宋_GB2312"/>
          <w:sz w:val="32"/>
          <w:szCs w:val="32"/>
        </w:rPr>
      </w:pPr>
      <w:r>
        <w:rPr>
          <w:rFonts w:ascii="仿宋_GB2312" w:eastAsia="仿宋_GB2312" w:cs="仿宋_GB2312"/>
          <w:sz w:val="32"/>
          <w:szCs w:val="32"/>
        </w:rPr>
        <w:t>12.</w:t>
      </w:r>
      <w:r>
        <w:rPr>
          <w:rFonts w:ascii="仿宋_GB2312" w:eastAsia="仿宋_GB2312" w:cs="仿宋_GB2312" w:hint="eastAsia"/>
          <w:sz w:val="32"/>
          <w:szCs w:val="32"/>
        </w:rPr>
        <w:t>基本支出：指为保障机构正常运转、完成日常工作任务而发生的人员支出和公用支出。</w:t>
      </w:r>
    </w:p>
    <w:p>
      <w:pPr>
        <w:ind w:firstLineChars="200" w:firstLine="640"/>
        <w:rPr>
          <w:rFonts w:ascii="仿宋_GB2312" w:eastAsia="仿宋_GB2312"/>
          <w:sz w:val="32"/>
          <w:szCs w:val="32"/>
        </w:rPr>
      </w:pPr>
      <w:r>
        <w:rPr>
          <w:rFonts w:ascii="仿宋_GB2312" w:eastAsia="仿宋_GB2312" w:cs="仿宋_GB2312"/>
          <w:sz w:val="32"/>
          <w:szCs w:val="32"/>
        </w:rPr>
        <w:t>13.</w:t>
      </w:r>
      <w:r>
        <w:rPr>
          <w:rFonts w:ascii="仿宋_GB2312" w:eastAsia="仿宋_GB2312" w:cs="仿宋_GB2312" w:hint="eastAsia"/>
          <w:sz w:val="32"/>
          <w:szCs w:val="32"/>
        </w:rPr>
        <w:t>项目支出：指在基本支出之外为完成特定行政任务和事业发展目标所发生的支出。</w:t>
      </w:r>
    </w:p>
    <w:p>
      <w:pPr>
        <w:ind w:firstLineChars="200" w:firstLine="640"/>
        <w:rPr>
          <w:rFonts w:ascii="仿宋_GB2312" w:eastAsia="仿宋_GB2312"/>
          <w:sz w:val="32"/>
          <w:szCs w:val="32"/>
        </w:rPr>
      </w:pPr>
      <w:r>
        <w:rPr>
          <w:rFonts w:ascii="仿宋_GB2312" w:eastAsia="仿宋_GB2312" w:cs="仿宋_GB2312"/>
          <w:sz w:val="32"/>
          <w:szCs w:val="32"/>
        </w:rPr>
        <w:t xml:space="preserve">14. </w:t>
      </w:r>
      <w:r>
        <w:rPr>
          <w:rFonts w:ascii="仿宋_GB2312" w:eastAsia="仿宋_GB2312" w:cs="仿宋_GB2312" w:hint="eastAsia"/>
          <w:sz w:val="32"/>
          <w:szCs w:val="32"/>
        </w:rPr>
        <w:t>经营支出：指事业单位在专业业务活动及其辅助活动之外开展非独立核算经营活动发生的支出。</w:t>
      </w:r>
    </w:p>
    <w:p>
      <w:pPr>
        <w:ind w:firstLineChars="200" w:firstLine="640"/>
        <w:rPr>
          <w:rFonts w:ascii="仿宋_GB2312" w:eastAsia="仿宋_GB2312"/>
          <w:sz w:val="32"/>
          <w:szCs w:val="32"/>
        </w:rPr>
      </w:pPr>
      <w:r>
        <w:rPr>
          <w:rFonts w:ascii="仿宋_GB2312" w:eastAsia="仿宋_GB2312" w:cs="仿宋_GB2312"/>
          <w:sz w:val="32"/>
          <w:szCs w:val="32"/>
        </w:rPr>
        <w:t xml:space="preserve">15. </w:t>
      </w:r>
      <w:r>
        <w:rPr>
          <w:rFonts w:ascii="仿宋_GB2312" w:eastAsia="仿宋_GB2312" w:cs="仿宋_GB2312" w:hint="eastAsia"/>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ascii="仿宋" w:eastAsia="仿宋"/>
          <w:b/>
          <w:bCs/>
          <w:sz w:val="32"/>
          <w:szCs w:val="32"/>
        </w:rPr>
      </w:pPr>
      <w:r>
        <w:rPr>
          <w:rFonts w:ascii="仿宋_GB2312" w:eastAsia="仿宋_GB2312" w:cs="仿宋_GB2312"/>
          <w:sz w:val="32"/>
          <w:szCs w:val="32"/>
        </w:rPr>
        <w:t xml:space="preserve">16. </w:t>
      </w:r>
      <w:r>
        <w:rPr>
          <w:rFonts w:ascii="仿宋_GB2312" w:eastAsia="仿宋_GB2312" w:cs="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4"/>
        <w:spacing w:line="560" w:lineRule="exact"/>
        <w:ind w:firstLineChars="200" w:firstLine="640"/>
        <w:rPr>
          <w:rFonts w:ascii="仿宋_GB2312" w:eastAsia="仿宋_GB2312" w:cs="Times New Roman"/>
          <w:color w:val="auto"/>
          <w:sz w:val="32"/>
          <w:szCs w:val="32"/>
        </w:rPr>
      </w:pPr>
    </w:p>
    <w:p>
      <w:pPr>
        <w:spacing w:line="600" w:lineRule="exact"/>
        <w:jc w:val="center"/>
        <w:outlineLvl w:val="0"/>
        <w:rPr>
          <w:rStyle w:val="1Char"/>
          <w:rFonts w:ascii="黑体" w:eastAsia="黑体"/>
          <w:b w:val="0"/>
          <w:bCs w:val="0"/>
        </w:rPr>
      </w:pPr>
      <w:bookmarkStart w:id="47" w:name="_Toc15377226"/>
      <w:r>
        <w:rPr>
          <w:rFonts w:ascii="宋体"/>
          <w:b/>
          <w:bCs/>
          <w:sz w:val="44"/>
          <w:szCs w:val="44"/>
        </w:rPr>
        <w:br w:type="page"/>
      </w:r>
      <w:bookmarkStart w:id="48" w:name="_Toc15396614"/>
      <w:r>
        <w:rPr>
          <w:rFonts w:ascii="黑体" w:eastAsia="黑体" w:cs="黑体" w:hint="eastAsia"/>
          <w:sz w:val="44"/>
          <w:szCs w:val="44"/>
        </w:rPr>
        <w:t>第</w:t>
      </w:r>
      <w:r>
        <w:rPr>
          <w:rStyle w:val="1Char"/>
          <w:rFonts w:ascii="黑体" w:eastAsia="黑体" w:cs="黑体" w:hint="eastAsia"/>
          <w:b w:val="0"/>
          <w:bCs w:val="0"/>
        </w:rPr>
        <w:t>四部分</w:t>
      </w:r>
      <w:r>
        <w:rPr>
          <w:rStyle w:val="1Char"/>
          <w:rFonts w:ascii="黑体" w:eastAsia="黑体" w:cs="黑体"/>
          <w:b w:val="0"/>
          <w:bCs w:val="0"/>
        </w:rPr>
        <w:t xml:space="preserve"> </w:t>
      </w:r>
      <w:r>
        <w:rPr>
          <w:rStyle w:val="1Char"/>
          <w:rFonts w:ascii="黑体" w:eastAsia="黑体" w:cs="黑体" w:hint="eastAsia"/>
          <w:b w:val="0"/>
          <w:bCs w:val="0"/>
        </w:rPr>
        <w:t>附件</w:t>
      </w:r>
      <w:bookmarkEnd w:id="48"/>
    </w:p>
    <w:p>
      <w:pPr>
        <w:spacing w:line="572" w:lineRule="exact"/>
        <w:jc w:val="left"/>
        <w:outlineLvl w:val="0"/>
        <w:rPr>
          <w:rFonts w:ascii="仿宋_GB2312" w:eastAsia="仿宋_GB2312"/>
          <w:sz w:val="32"/>
          <w:szCs w:val="32"/>
        </w:rPr>
      </w:pPr>
    </w:p>
    <w:p>
      <w:pPr>
        <w:spacing w:line="600" w:lineRule="exact"/>
        <w:jc w:val="center"/>
        <w:outlineLvl w:val="0"/>
        <w:rPr>
          <w:rFonts w:ascii="宋体"/>
          <w:kern w:val="0"/>
          <w:sz w:val="32"/>
          <w:szCs w:val="32"/>
        </w:rPr>
      </w:pPr>
      <w:bookmarkStart w:id="49" w:name="_Toc15396618"/>
      <w:r>
        <w:rPr>
          <w:rFonts w:ascii="宋体" w:cs="宋体" w:hint="eastAsia"/>
          <w:kern w:val="0"/>
          <w:sz w:val="32"/>
          <w:szCs w:val="32"/>
        </w:rPr>
        <w:t>部门预算项目支出绩效自评表（</w:t>
      </w:r>
      <w:r>
        <w:rPr>
          <w:rFonts w:ascii="宋体" w:cs="宋体"/>
          <w:kern w:val="0"/>
          <w:sz w:val="32"/>
          <w:szCs w:val="32"/>
        </w:rPr>
        <w:t>2022</w:t>
      </w:r>
      <w:r>
        <w:rPr>
          <w:rFonts w:ascii="宋体" w:cs="宋体" w:hint="eastAsia"/>
          <w:kern w:val="0"/>
          <w:sz w:val="32"/>
          <w:szCs w:val="32"/>
        </w:rPr>
        <w:t>年度）见附件</w:t>
      </w:r>
      <w:r>
        <w:rPr>
          <w:rFonts w:ascii="宋体" w:cs="宋体"/>
          <w:kern w:val="0"/>
          <w:sz w:val="32"/>
          <w:szCs w:val="32"/>
        </w:rPr>
        <w:t>2</w:t>
      </w:r>
    </w:p>
    <w:p>
      <w:pPr>
        <w:spacing w:line="600" w:lineRule="exact"/>
        <w:jc w:val="left"/>
        <w:outlineLvl w:val="0"/>
        <w:rPr>
          <w:rFonts w:ascii="仿宋_GB2312" w:eastAsia="仿宋_GB2312"/>
          <w:kern w:val="0"/>
          <w:sz w:val="32"/>
          <w:szCs w:val="32"/>
        </w:rPr>
      </w:pPr>
    </w:p>
    <w:p>
      <w:pPr>
        <w:pStyle w:val="15"/>
        <w:spacing w:beforeLines="0" w:before="93"/>
        <w:rPr>
          <w:rFonts w:cs="Times New Roman"/>
          <w:sz w:val="32"/>
          <w:szCs w:val="32"/>
        </w:rPr>
      </w:pPr>
    </w:p>
    <w:p>
      <w:pPr>
        <w:pStyle w:val="15"/>
        <w:spacing w:beforeLines="0" w:before="93"/>
        <w:rPr>
          <w:rFonts w:cs="Times New Roman"/>
          <w:sz w:val="32"/>
          <w:szCs w:val="32"/>
        </w:rPr>
      </w:pPr>
    </w:p>
    <w:p>
      <w:pPr>
        <w:pStyle w:val="15"/>
        <w:spacing w:beforeLines="0" w:before="93"/>
        <w:rPr>
          <w:rFonts w:cs="Times New Roman"/>
          <w:sz w:val="32"/>
          <w:szCs w:val="32"/>
        </w:rPr>
      </w:pPr>
    </w:p>
    <w:p>
      <w:pPr>
        <w:pStyle w:val="15"/>
        <w:spacing w:beforeLines="0" w:before="93"/>
        <w:rPr>
          <w:rFonts w:cs="Times New Roman"/>
          <w:sz w:val="32"/>
          <w:szCs w:val="32"/>
        </w:rPr>
      </w:pPr>
    </w:p>
    <w:p>
      <w:pPr>
        <w:pStyle w:val="15"/>
        <w:spacing w:beforeLines="0" w:before="93"/>
        <w:rPr>
          <w:rFonts w:cs="Times New Roman"/>
          <w:sz w:val="32"/>
          <w:szCs w:val="32"/>
        </w:rPr>
      </w:pPr>
    </w:p>
    <w:p>
      <w:pPr>
        <w:pStyle w:val="15"/>
        <w:spacing w:beforeLines="0" w:before="93"/>
        <w:rPr>
          <w:rFonts w:cs="Times New Roman"/>
          <w:sz w:val="32"/>
          <w:szCs w:val="32"/>
        </w:rPr>
      </w:pPr>
    </w:p>
    <w:p>
      <w:pPr>
        <w:pStyle w:val="15"/>
        <w:spacing w:beforeLines="0" w:before="93"/>
        <w:rPr>
          <w:rFonts w:cs="Times New Roman"/>
          <w:sz w:val="32"/>
          <w:szCs w:val="32"/>
        </w:rPr>
      </w:pPr>
    </w:p>
    <w:p>
      <w:pPr>
        <w:pStyle w:val="15"/>
        <w:spacing w:beforeLines="0" w:before="93"/>
        <w:rPr>
          <w:rFonts w:cs="Times New Roman"/>
          <w:sz w:val="32"/>
          <w:szCs w:val="32"/>
        </w:rPr>
      </w:pPr>
    </w:p>
    <w:p>
      <w:pPr>
        <w:pStyle w:val="15"/>
        <w:spacing w:beforeLines="0" w:before="93"/>
        <w:rPr>
          <w:rFonts w:cs="Times New Roman"/>
          <w:sz w:val="32"/>
          <w:szCs w:val="32"/>
        </w:rPr>
      </w:pPr>
    </w:p>
    <w:p>
      <w:pPr>
        <w:pStyle w:val="15"/>
        <w:spacing w:beforeLines="0" w:before="93"/>
        <w:rPr>
          <w:rFonts w:cs="Times New Roman"/>
          <w:sz w:val="32"/>
          <w:szCs w:val="32"/>
        </w:rPr>
      </w:pPr>
    </w:p>
    <w:p>
      <w:pPr>
        <w:pStyle w:val="15"/>
        <w:spacing w:beforeLines="0" w:before="93"/>
        <w:rPr>
          <w:rFonts w:cs="Times New Roman"/>
          <w:sz w:val="32"/>
          <w:szCs w:val="32"/>
        </w:rPr>
      </w:pPr>
    </w:p>
    <w:p>
      <w:pPr>
        <w:pStyle w:val="15"/>
        <w:spacing w:beforeLines="0" w:before="93"/>
        <w:rPr>
          <w:rFonts w:cs="Times New Roman"/>
          <w:sz w:val="32"/>
          <w:szCs w:val="32"/>
        </w:rPr>
      </w:pPr>
    </w:p>
    <w:p>
      <w:pPr>
        <w:pStyle w:val="15"/>
        <w:spacing w:beforeLines="0" w:before="93"/>
        <w:rPr>
          <w:rFonts w:cs="Times New Roman"/>
          <w:sz w:val="32"/>
          <w:szCs w:val="32"/>
        </w:rPr>
      </w:pPr>
    </w:p>
    <w:p>
      <w:pPr>
        <w:pStyle w:val="15"/>
        <w:spacing w:beforeLines="0" w:before="93"/>
        <w:rPr>
          <w:rFonts w:cs="Times New Roman"/>
          <w:sz w:val="32"/>
          <w:szCs w:val="32"/>
        </w:rPr>
      </w:pPr>
    </w:p>
    <w:p>
      <w:pPr>
        <w:pStyle w:val="15"/>
        <w:spacing w:beforeLines="0" w:before="93"/>
        <w:rPr>
          <w:rFonts w:cs="Times New Roman"/>
          <w:sz w:val="32"/>
          <w:szCs w:val="32"/>
        </w:rPr>
      </w:pPr>
    </w:p>
    <w:p>
      <w:pPr>
        <w:pStyle w:val="15"/>
        <w:spacing w:beforeLines="0" w:before="93"/>
        <w:rPr>
          <w:rFonts w:cs="Times New Roman"/>
          <w:sz w:val="32"/>
          <w:szCs w:val="32"/>
        </w:rPr>
      </w:pPr>
    </w:p>
    <w:p>
      <w:pPr>
        <w:spacing w:line="600" w:lineRule="exact"/>
        <w:jc w:val="center"/>
        <w:outlineLvl w:val="0"/>
        <w:rPr>
          <w:rFonts w:ascii="仿宋" w:eastAsia="仿宋"/>
        </w:rPr>
      </w:pPr>
      <w:r>
        <w:rPr>
          <w:rFonts w:ascii="黑体" w:eastAsia="黑体" w:cs="黑体" w:hint="eastAsia"/>
          <w:sz w:val="44"/>
          <w:szCs w:val="44"/>
        </w:rPr>
        <w:t>第</w:t>
      </w:r>
      <w:r>
        <w:rPr>
          <w:rStyle w:val="1Char"/>
          <w:rFonts w:ascii="黑体" w:eastAsia="黑体" w:cs="黑体" w:hint="eastAsia"/>
          <w:b w:val="0"/>
          <w:bCs w:val="0"/>
        </w:rPr>
        <w:t>五部分</w:t>
      </w:r>
      <w:r>
        <w:rPr>
          <w:rStyle w:val="1Char"/>
          <w:rFonts w:ascii="黑体" w:eastAsia="黑体" w:cs="黑体"/>
          <w:b w:val="0"/>
          <w:bCs w:val="0"/>
        </w:rPr>
        <w:t xml:space="preserve"> </w:t>
      </w:r>
      <w:r>
        <w:rPr>
          <w:rStyle w:val="1Char"/>
          <w:rFonts w:ascii="黑体" w:eastAsia="黑体" w:cs="黑体" w:hint="eastAsia"/>
          <w:b w:val="0"/>
          <w:bCs w:val="0"/>
        </w:rPr>
        <w:t>附表</w:t>
      </w:r>
      <w:bookmarkStart w:id="50" w:name="_Toc15396619"/>
      <w:bookmarkEnd w:id="47"/>
      <w:bookmarkEnd w:id="49"/>
    </w:p>
    <w:p>
      <w:pPr>
        <w:pStyle w:val="2"/>
        <w:rPr>
          <w:rFonts w:ascii="仿宋" w:eastAsia="仿宋" w:cs="Times New Roman"/>
        </w:rPr>
      </w:pPr>
      <w:r>
        <w:rPr>
          <w:rFonts w:ascii="仿宋" w:eastAsia="仿宋" w:cs="仿宋" w:hint="eastAsia"/>
          <w:b w:val="0"/>
          <w:bCs w:val="0"/>
        </w:rPr>
        <w:t>一、收</w:t>
      </w:r>
      <w:r>
        <w:rPr>
          <w:rStyle w:val="2Char"/>
          <w:rFonts w:ascii="仿宋" w:eastAsia="仿宋" w:cs="仿宋" w:hint="eastAsia"/>
          <w:b w:val="0"/>
          <w:bCs w:val="0"/>
        </w:rPr>
        <w:t>入支出决算总表</w:t>
      </w:r>
      <w:bookmarkEnd w:id="50"/>
    </w:p>
    <w:p>
      <w:pPr>
        <w:pStyle w:val="2"/>
        <w:rPr>
          <w:rFonts w:ascii="仿宋" w:eastAsia="仿宋" w:cs="Times New Roman"/>
        </w:rPr>
      </w:pPr>
      <w:bookmarkStart w:id="51" w:name="_Toc15396620"/>
      <w:r>
        <w:rPr>
          <w:rFonts w:ascii="仿宋" w:eastAsia="仿宋" w:cs="仿宋" w:hint="eastAsia"/>
          <w:b w:val="0"/>
          <w:bCs w:val="0"/>
        </w:rPr>
        <w:t>二、收</w:t>
      </w:r>
      <w:r>
        <w:rPr>
          <w:rStyle w:val="2Char"/>
          <w:rFonts w:ascii="仿宋" w:eastAsia="仿宋" w:cs="仿宋" w:hint="eastAsia"/>
          <w:b w:val="0"/>
          <w:bCs w:val="0"/>
        </w:rPr>
        <w:t>入决算表</w:t>
      </w:r>
      <w:bookmarkEnd w:id="51"/>
    </w:p>
    <w:p>
      <w:pPr>
        <w:pStyle w:val="2"/>
        <w:rPr>
          <w:rFonts w:ascii="仿宋" w:eastAsia="仿宋" w:cs="Times New Roman"/>
        </w:rPr>
      </w:pPr>
      <w:bookmarkStart w:id="52" w:name="_Toc15396621"/>
      <w:r>
        <w:rPr>
          <w:rStyle w:val="2Char"/>
          <w:rFonts w:ascii="仿宋" w:eastAsia="仿宋" w:cs="仿宋" w:hint="eastAsia"/>
          <w:b w:val="0"/>
          <w:bCs w:val="0"/>
        </w:rPr>
        <w:t>三、</w:t>
      </w:r>
      <w:r>
        <w:rPr>
          <w:rFonts w:ascii="仿宋" w:eastAsia="仿宋" w:cs="仿宋" w:hint="eastAsia"/>
          <w:b w:val="0"/>
          <w:bCs w:val="0"/>
        </w:rPr>
        <w:t>支</w:t>
      </w:r>
      <w:r>
        <w:rPr>
          <w:rStyle w:val="2Char"/>
          <w:rFonts w:ascii="仿宋" w:eastAsia="仿宋" w:cs="仿宋" w:hint="eastAsia"/>
          <w:b w:val="0"/>
          <w:bCs w:val="0"/>
        </w:rPr>
        <w:t>出决算表</w:t>
      </w:r>
      <w:bookmarkEnd w:id="52"/>
    </w:p>
    <w:p>
      <w:pPr>
        <w:pStyle w:val="2"/>
        <w:rPr>
          <w:rFonts w:ascii="仿宋" w:eastAsia="仿宋" w:cs="Times New Roman"/>
          <w:b w:val="0"/>
          <w:bCs w:val="0"/>
        </w:rPr>
      </w:pPr>
      <w:bookmarkStart w:id="53" w:name="_Toc15396622"/>
      <w:r>
        <w:rPr>
          <w:rStyle w:val="2Char"/>
          <w:rFonts w:ascii="仿宋" w:eastAsia="仿宋" w:cs="仿宋" w:hint="eastAsia"/>
          <w:b w:val="0"/>
          <w:bCs w:val="0"/>
        </w:rPr>
        <w:t>四、</w:t>
      </w:r>
      <w:r>
        <w:rPr>
          <w:rFonts w:ascii="仿宋" w:eastAsia="仿宋" w:cs="仿宋" w:hint="eastAsia"/>
          <w:b w:val="0"/>
          <w:bCs w:val="0"/>
        </w:rPr>
        <w:t>财</w:t>
      </w:r>
      <w:r>
        <w:rPr>
          <w:rStyle w:val="2Char"/>
          <w:rFonts w:ascii="仿宋" w:eastAsia="仿宋" w:cs="仿宋" w:hint="eastAsia"/>
          <w:b w:val="0"/>
          <w:bCs w:val="0"/>
        </w:rPr>
        <w:t>政拨款收入支出决算总表</w:t>
      </w:r>
      <w:bookmarkEnd w:id="53"/>
    </w:p>
    <w:p>
      <w:pPr>
        <w:pStyle w:val="2"/>
        <w:rPr>
          <w:rStyle w:val="2Char"/>
          <w:rFonts w:ascii="仿宋" w:eastAsia="仿宋" w:cs="Times New Roman"/>
          <w:b w:val="0"/>
          <w:bCs w:val="0"/>
        </w:rPr>
      </w:pPr>
      <w:bookmarkStart w:id="54" w:name="_Toc15396623"/>
      <w:r>
        <w:rPr>
          <w:rStyle w:val="2Char"/>
          <w:rFonts w:ascii="仿宋" w:eastAsia="仿宋" w:cs="仿宋" w:hint="eastAsia"/>
          <w:b w:val="0"/>
          <w:bCs w:val="0"/>
        </w:rPr>
        <w:t>五、</w:t>
      </w:r>
      <w:r>
        <w:rPr>
          <w:rFonts w:ascii="仿宋" w:eastAsia="仿宋" w:cs="仿宋" w:hint="eastAsia"/>
          <w:b w:val="0"/>
          <w:bCs w:val="0"/>
        </w:rPr>
        <w:t>财</w:t>
      </w:r>
      <w:r>
        <w:rPr>
          <w:rStyle w:val="2Char"/>
          <w:rFonts w:ascii="仿宋" w:eastAsia="仿宋" w:cs="仿宋" w:hint="eastAsia"/>
          <w:b w:val="0"/>
          <w:bCs w:val="0"/>
        </w:rPr>
        <w:t>政拨款支出决算明细表</w:t>
      </w:r>
      <w:bookmarkStart w:id="55" w:name="_Toc15396624"/>
      <w:bookmarkEnd w:id="54"/>
    </w:p>
    <w:p>
      <w:pPr>
        <w:pStyle w:val="2"/>
        <w:rPr>
          <w:rFonts w:ascii="仿宋" w:eastAsia="仿宋" w:cs="Times New Roman"/>
        </w:rPr>
      </w:pPr>
      <w:r>
        <w:rPr>
          <w:rStyle w:val="2Char"/>
          <w:rFonts w:ascii="仿宋" w:eastAsia="仿宋" w:cs="仿宋" w:hint="eastAsia"/>
          <w:b w:val="0"/>
          <w:bCs w:val="0"/>
        </w:rPr>
        <w:t>六、</w:t>
      </w:r>
      <w:r>
        <w:rPr>
          <w:rFonts w:ascii="仿宋" w:eastAsia="仿宋" w:cs="仿宋" w:hint="eastAsia"/>
          <w:b w:val="0"/>
          <w:bCs w:val="0"/>
        </w:rPr>
        <w:t>一</w:t>
      </w:r>
      <w:r>
        <w:rPr>
          <w:rStyle w:val="2Char"/>
          <w:rFonts w:ascii="仿宋" w:eastAsia="仿宋" w:cs="仿宋" w:hint="eastAsia"/>
          <w:b w:val="0"/>
          <w:bCs w:val="0"/>
        </w:rPr>
        <w:t>般公共预算财政拨款支出决算表</w:t>
      </w:r>
      <w:bookmarkEnd w:id="55"/>
    </w:p>
    <w:p>
      <w:pPr>
        <w:pStyle w:val="2"/>
        <w:rPr>
          <w:rFonts w:ascii="仿宋" w:eastAsia="仿宋" w:cs="Times New Roman"/>
        </w:rPr>
      </w:pPr>
      <w:bookmarkStart w:id="56" w:name="_Toc15396625"/>
      <w:r>
        <w:rPr>
          <w:rStyle w:val="2Char"/>
          <w:rFonts w:ascii="仿宋" w:eastAsia="仿宋" w:cs="仿宋" w:hint="eastAsia"/>
          <w:b w:val="0"/>
          <w:bCs w:val="0"/>
        </w:rPr>
        <w:t>七、</w:t>
      </w:r>
      <w:r>
        <w:rPr>
          <w:rFonts w:ascii="仿宋" w:eastAsia="仿宋" w:cs="仿宋" w:hint="eastAsia"/>
          <w:b w:val="0"/>
          <w:bCs w:val="0"/>
        </w:rPr>
        <w:t>一</w:t>
      </w:r>
      <w:r>
        <w:rPr>
          <w:rStyle w:val="2Char"/>
          <w:rFonts w:ascii="仿宋" w:eastAsia="仿宋" w:cs="仿宋" w:hint="eastAsia"/>
          <w:b w:val="0"/>
          <w:bCs w:val="0"/>
        </w:rPr>
        <w:t>般公共预算财政拨款支出决算明细表</w:t>
      </w:r>
      <w:bookmarkEnd w:id="56"/>
    </w:p>
    <w:p>
      <w:pPr>
        <w:pStyle w:val="2"/>
        <w:rPr>
          <w:rFonts w:ascii="仿宋" w:eastAsia="仿宋" w:cs="Times New Roman"/>
        </w:rPr>
      </w:pPr>
      <w:bookmarkStart w:id="57" w:name="_Toc15396626"/>
      <w:r>
        <w:rPr>
          <w:rStyle w:val="2Char"/>
          <w:rFonts w:ascii="仿宋" w:eastAsia="仿宋" w:cs="仿宋" w:hint="eastAsia"/>
          <w:b w:val="0"/>
          <w:bCs w:val="0"/>
        </w:rPr>
        <w:t>八、</w:t>
      </w:r>
      <w:r>
        <w:rPr>
          <w:rFonts w:ascii="仿宋" w:eastAsia="仿宋" w:cs="仿宋" w:hint="eastAsia"/>
          <w:b w:val="0"/>
          <w:bCs w:val="0"/>
        </w:rPr>
        <w:t>一</w:t>
      </w:r>
      <w:r>
        <w:rPr>
          <w:rStyle w:val="2Char"/>
          <w:rFonts w:ascii="仿宋" w:eastAsia="仿宋" w:cs="仿宋" w:hint="eastAsia"/>
          <w:b w:val="0"/>
          <w:bCs w:val="0"/>
        </w:rPr>
        <w:t>般公共预算财政拨款基本支出决算表</w:t>
      </w:r>
      <w:bookmarkEnd w:id="57"/>
    </w:p>
    <w:p>
      <w:pPr>
        <w:pStyle w:val="2"/>
        <w:rPr>
          <w:rFonts w:ascii="仿宋" w:eastAsia="仿宋" w:cs="Times New Roman"/>
        </w:rPr>
      </w:pPr>
      <w:bookmarkStart w:id="58" w:name="_Toc15396627"/>
      <w:r>
        <w:rPr>
          <w:rStyle w:val="2Char"/>
          <w:rFonts w:ascii="仿宋" w:eastAsia="仿宋" w:cs="仿宋" w:hint="eastAsia"/>
          <w:b w:val="0"/>
          <w:bCs w:val="0"/>
        </w:rPr>
        <w:t>九、</w:t>
      </w:r>
      <w:r>
        <w:rPr>
          <w:rFonts w:ascii="仿宋" w:eastAsia="仿宋" w:cs="仿宋" w:hint="eastAsia"/>
          <w:b w:val="0"/>
          <w:bCs w:val="0"/>
        </w:rPr>
        <w:t>一</w:t>
      </w:r>
      <w:r>
        <w:rPr>
          <w:rStyle w:val="2Char"/>
          <w:rFonts w:ascii="仿宋" w:eastAsia="仿宋" w:cs="仿宋" w:hint="eastAsia"/>
          <w:b w:val="0"/>
          <w:bCs w:val="0"/>
        </w:rPr>
        <w:t>般公共预算财政拨款项目支出决算表</w:t>
      </w:r>
      <w:bookmarkEnd w:id="58"/>
    </w:p>
    <w:p>
      <w:pPr>
        <w:pStyle w:val="2"/>
        <w:rPr>
          <w:rFonts w:ascii="仿宋" w:eastAsia="仿宋" w:cs="Times New Roman"/>
        </w:rPr>
      </w:pPr>
      <w:bookmarkStart w:id="59" w:name="_Toc15396628"/>
      <w:r>
        <w:rPr>
          <w:rStyle w:val="2Char"/>
          <w:rFonts w:ascii="仿宋" w:eastAsia="仿宋" w:cs="仿宋" w:hint="eastAsia"/>
          <w:b w:val="0"/>
          <w:bCs w:val="0"/>
        </w:rPr>
        <w:t>十、</w:t>
      </w:r>
      <w:bookmarkEnd w:id="59"/>
      <w:r>
        <w:rPr>
          <w:rFonts w:ascii="仿宋" w:eastAsia="仿宋" w:cs="仿宋" w:hint="eastAsia"/>
          <w:b w:val="0"/>
          <w:bCs w:val="0"/>
        </w:rPr>
        <w:t>政</w:t>
      </w:r>
      <w:r>
        <w:rPr>
          <w:rStyle w:val="2Char"/>
          <w:rFonts w:ascii="仿宋" w:eastAsia="仿宋" w:cs="仿宋" w:hint="eastAsia"/>
          <w:b w:val="0"/>
          <w:bCs w:val="0"/>
        </w:rPr>
        <w:t>府性基金预算财政拨款收入支出决算表</w:t>
      </w:r>
    </w:p>
    <w:p>
      <w:pPr>
        <w:pStyle w:val="2"/>
        <w:rPr>
          <w:rFonts w:ascii="仿宋" w:eastAsia="仿宋" w:cs="Times New Roman"/>
        </w:rPr>
      </w:pPr>
      <w:bookmarkStart w:id="60" w:name="_Toc15396629"/>
      <w:r>
        <w:rPr>
          <w:rStyle w:val="2Char"/>
          <w:rFonts w:ascii="仿宋" w:eastAsia="仿宋" w:cs="仿宋" w:hint="eastAsia"/>
          <w:b w:val="0"/>
          <w:bCs w:val="0"/>
        </w:rPr>
        <w:t>十一、</w:t>
      </w:r>
      <w:bookmarkEnd w:id="60"/>
      <w:r>
        <w:rPr>
          <w:rFonts w:ascii="仿宋" w:eastAsia="仿宋" w:cs="仿宋" w:hint="eastAsia"/>
          <w:b w:val="0"/>
          <w:bCs w:val="0"/>
        </w:rPr>
        <w:t>国</w:t>
      </w:r>
      <w:r>
        <w:rPr>
          <w:rStyle w:val="2Char"/>
          <w:rFonts w:ascii="仿宋" w:eastAsia="仿宋" w:cs="仿宋" w:hint="eastAsia"/>
          <w:b w:val="0"/>
          <w:bCs w:val="0"/>
        </w:rPr>
        <w:t>有资本经营预算财政拨款收入支出决算表</w:t>
      </w:r>
    </w:p>
    <w:p>
      <w:pPr>
        <w:pStyle w:val="2"/>
        <w:rPr>
          <w:rFonts w:ascii="仿宋" w:eastAsia="仿宋" w:cs="Times New Roman"/>
        </w:rPr>
      </w:pPr>
      <w:bookmarkStart w:id="61" w:name="_Toc15396630"/>
      <w:r>
        <w:rPr>
          <w:rStyle w:val="2Char"/>
          <w:rFonts w:ascii="仿宋" w:eastAsia="仿宋" w:cs="仿宋" w:hint="eastAsia"/>
          <w:b w:val="0"/>
          <w:bCs w:val="0"/>
        </w:rPr>
        <w:t>十二、</w:t>
      </w:r>
      <w:bookmarkEnd w:id="61"/>
      <w:r>
        <w:rPr>
          <w:rStyle w:val="2Char"/>
          <w:rFonts w:ascii="仿宋" w:eastAsia="仿宋" w:cs="仿宋" w:hint="eastAsia"/>
          <w:b w:val="0"/>
          <w:bCs w:val="0"/>
        </w:rPr>
        <w:t>国有资本经营预算财政拨款支出决算表</w:t>
      </w:r>
    </w:p>
    <w:p>
      <w:pPr>
        <w:pStyle w:val="2"/>
        <w:rPr>
          <w:rFonts w:eastAsia="仿宋" w:cs="Times New Roman"/>
        </w:rPr>
      </w:pPr>
      <w:bookmarkStart w:id="62" w:name="_Toc15396631"/>
      <w:r>
        <w:rPr>
          <w:rStyle w:val="2Char"/>
          <w:rFonts w:ascii="仿宋" w:eastAsia="仿宋" w:cs="仿宋" w:hint="eastAsia"/>
          <w:b w:val="0"/>
          <w:bCs w:val="0"/>
        </w:rPr>
        <w:t>十三、</w:t>
      </w:r>
      <w:bookmarkEnd w:id="62"/>
      <w:r>
        <w:rPr>
          <w:rStyle w:val="2Char"/>
          <w:rFonts w:ascii="仿宋" w:eastAsia="仿宋" w:cs="仿宋" w:hint="eastAsia"/>
          <w:b w:val="0"/>
          <w:bCs w:val="0"/>
        </w:rPr>
        <w:t>财政拨款“三公”经费支出决算表</w:t>
      </w:r>
    </w:p>
    <w:sectPr>
      <w:headerReference w:type="default" r:id="rId2"/>
      <w:footerReference w:type="default" r:id="rId3"/>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方正小标宋简体">
    <w:panose1 w:val="02000000000000000000"/>
    <w:charset w:val="86"/>
    <w:family w:val="script"/>
    <w:pitch w:val="variable"/>
    <w:sig w:usb0="A00002BF" w:usb1="184F6CFA" w:usb2="00000012" w:usb3="00000000" w:csb0="00040001" w:csb1="00000000"/>
  </w:font>
  <w:font w:name="黑体">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modern"/>
    <w:pitch w:val="variable"/>
    <w:sig w:usb0="800002BF" w:usb1="38CF7CFA" w:usb2="00000016" w:usb3="00000000" w:csb0="00040001" w:csb1="00000000"/>
  </w:font>
  <w:font w:name="仿宋_GB2312">
    <w:panose1 w:val="02010609030101010101"/>
    <w:charset w:val="86"/>
    <w:family w:val="modern"/>
    <w:pitch w:val="variable"/>
    <w:sig w:usb0="00000001" w:usb1="080E0000" w:usb2="00000000" w:usb3="00000000" w:csb0="00040000" w:csb1="00000000"/>
  </w:font>
  <w:font w:name="Cambria">
    <w:panose1 w:val="02040503050406030204"/>
    <w:charset w:val="00"/>
    <w:family w:val="roman"/>
    <w:pitch w:val="variable"/>
    <w:sig w:usb0="E00002FF" w:usb1="400004FF" w:usb2="00000000" w:usb3="00000000" w:csb0="2000019F" w:csb1="00000000"/>
  </w:font>
  <w:font w:name="Calibri">
    <w:panose1 w:val="020F0502020204030204"/>
    <w:charset w:val="00"/>
    <w:family w:val="swiss"/>
    <w:pitch w:val="variable"/>
    <w:sig w:usb0="E10002FF" w:usb1="4000ACFF" w:usb2="00000009"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jc w:val="center"/>
      <w:rPr>
        <w:rFonts w:cs="Times New Roman"/>
      </w:rPr>
    </w:pPr>
    <w:r>
      <w:fldChar w:fldCharType="begin"/>
    </w:r>
    <w:r>
      <w:instrText>PAGE   \* MERGEFORMAT</w:instrText>
    </w:r>
    <w:r>
      <w:fldChar w:fldCharType="separate"/>
    </w:r>
    <w:r>
      <w:rPr>
        <w:lang w:val="zh-CN"/>
      </w:rPr>
      <w:t>19</w:t>
    </w:r>
    <w:r>
      <w:rPr>
        <w:lang w:val="zh-CN"/>
      </w:rPr>
      <w:fldChar w:fldCharType="end"/>
    </w:r>
  </w:p>
  <w:p>
    <w:pPr>
      <w:pStyle w:val="18"/>
      <w:tabs>
        <w:tab w:val="center" w:pos="4153"/>
        <w:tab w:val="right" w:pos="8306"/>
      </w:tabs>
      <w:rPr>
        <w:rFonts w:cs="Times New Roman"/>
      </w:rPr>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rPr>
        <w:rFonts w:cs="Times New Roman"/>
      </w:rPr>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272550B"/>
    <w:multiLevelType w:val="multilevel"/>
    <w:tmpl w:val="1272550B"/>
    <w:lvl w:ilvl="0">
      <w:start w:val="1"/>
      <w:numFmt w:val="japaneseCounting"/>
      <w:lvlRestart w:val="0"/>
      <w:lvlText w:val="%1、"/>
      <w:lvlJc w:val="left"/>
      <w:pPr>
        <w:ind w:left="1360" w:hanging="720"/>
      </w:pPr>
      <w:rPr>
        <w:rFonts w:hint="default"/>
        <w:b w:val="0"/>
        <w:b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CF652CEC"/>
    <w:multiLevelType w:val="singleLevel"/>
    <w:tmpl w:val="CF652CEC"/>
    <w:lvl w:ilvl="0">
      <w:start w:val="9"/>
      <w:numFmt w:val="chineseCounting"/>
      <w:lvlRestart w:val="0"/>
      <w:suff w:val="nothing"/>
      <w:lvlText w:val="%1、"/>
      <w:lvlJc w:val="left"/>
      <w:pPr>
        <w:ind w:left="0" w:hanging="0"/>
      </w:pPr>
      <w:rPr>
        <w:rFonts w:hint="eastAsia"/>
      </w:rPr>
    </w:lvl>
  </w:abstractNum>
  <w:abstractNum w:abstractNumId="2">
    <w:nsid w:val="E2FA047D"/>
    <w:multiLevelType w:val="singleLevel"/>
    <w:tmpl w:val="E2FA047D"/>
    <w:lvl w:ilvl="0">
      <w:start w:val="3"/>
      <w:numFmt w:val="chineseCounting"/>
      <w:lvlRestart w:val="0"/>
      <w:suff w:val="space"/>
      <w:lvlText w:val="第%1部分"/>
      <w:lvlJc w:val="left"/>
      <w:pPr>
        <w:ind w:left="0" w:hanging="0"/>
      </w:pPr>
      <w:rPr>
        <w:rFonts w:ascii="黑体" w:hAnsi="黑体" w:eastAsia="黑体" w:hint="eastAsia"/>
        <w:sz w:val="44"/>
        <w:szCs w:val="44"/>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doNotUseIndentAsNumberingTabStop/>
    <w:useAltKinsokuLineBreakRules/>
    <w:splitPgBreakAndParaMark/>
    <w:compatSetting w:name="compatibilityMode" w:uri="http://schemas.microsoft.com/office/word" w:val="11"/>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1"/>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cs="Cambria" w:hAnsi="Cambria"/>
      <w:b/>
      <w:bCs/>
      <w:sz w:val="32"/>
      <w:szCs w:val="32"/>
    </w:rPr>
  </w:style>
  <w:style w:type="character" w:customStyle="1" w:styleId="2Char">
    <w:name w:val="heading 2 Char"/>
    <w:basedOn w:val="10"/>
    <w:link w:val="2"/>
    <w:rPr>
      <w:rFonts w:ascii="Cambria" w:eastAsia="宋体" w:cs="Cambria"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cs="仿宋_GB2312"/>
      <w:kern w:val="0"/>
      <w:sz w:val="24"/>
      <w:szCs w:val="24"/>
    </w:rPr>
  </w:style>
  <w:style w:type="paragraph" w:styleId="16">
    <w:name w:val="toc 3"/>
    <w:basedOn w:val="0"/>
    <w:next w:val="0"/>
    <w:pPr>
      <w:tabs>
        <w:tab w:val="right" w:leader="dot" w:pos="8296"/>
      </w:tabs>
      <w:ind w:leftChars="400" w:left="400"/>
    </w:p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rFonts w:ascii="Calibri" w:cs="Calibri" w:hAnsi="Calibri"/>
      <w:kern w:val="0"/>
      <w:sz w:val="18"/>
      <w:szCs w:val="18"/>
    </w:rPr>
  </w:style>
  <w:style w:type="paragraph" w:styleId="19">
    <w:name w:val="header"/>
    <w:basedOn w:val="0"/>
    <w:pPr>
      <w:pBdr>
        <w:bottom w:val="single" w:sz="6" w:space="1" w:color="auto"/>
      </w:pBdr>
      <w:tabs>
        <w:tab w:val="center" w:pos="4153"/>
        <w:tab w:val="right" w:pos="8306"/>
      </w:tabs>
      <w:snapToGrid w:val="0"/>
      <w:jc w:val="center"/>
    </w:pPr>
    <w:rPr>
      <w:rFonts w:ascii="Calibri" w:cs="Calibri" w:hAnsi="Calibri"/>
      <w:kern w:val="0"/>
      <w:sz w:val="18"/>
      <w:szCs w:val="18"/>
    </w:rPr>
  </w:style>
  <w:style w:type="paragraph" w:styleId="20">
    <w:name w:val="toc 1"/>
    <w:basedOn w:val="0"/>
    <w:next w:val="0"/>
    <w:pPr>
      <w:tabs>
        <w:tab w:val="right" w:leader="dot" w:pos="8296"/>
      </w:tabs>
      <w:spacing w:before="93"/>
      <w:jc w:val="center"/>
    </w:pPr>
    <w:rPr>
      <w:rFonts w:ascii="仿宋" w:eastAsia="仿宋" w:cs="仿宋"/>
      <w:sz w:val="28"/>
      <w:szCs w:val="28"/>
    </w:rPr>
  </w:style>
  <w:style w:type="paragraph" w:styleId="21">
    <w:name w:val="toc 2"/>
    <w:basedOn w:val="0"/>
    <w:next w:val="0"/>
    <w:pPr>
      <w:tabs>
        <w:tab w:val="right" w:leader="dot" w:pos="8296"/>
      </w:tabs>
      <w:ind w:leftChars="200" w:left="200"/>
    </w:pPr>
  </w:style>
  <w:style w:type="character" w:styleId="22">
    <w:name w:val="Strong"/>
    <w:basedOn w:val="10"/>
    <w:rPr>
      <w:b/>
      <w:bCs/>
    </w:rPr>
  </w:style>
  <w:style w:type="character" w:styleId="23">
    <w:name w:val="Hyperlink"/>
    <w:basedOn w:val="10"/>
    <w:rPr>
      <w:color w:val="0000FF"/>
      <w:u w:val="single"/>
    </w:rPr>
  </w:style>
  <w:style w:type="paragraph" w:customStyle="1" w:styleId="24">
    <w:name w:val="Default"/>
    <w:pPr>
      <w:widowControl w:val="0"/>
      <w:autoSpaceDE w:val="0"/>
      <w:autoSpaceDN w:val="0"/>
      <w:adjustRightInd w:val="0"/>
    </w:pPr>
    <w:rPr>
      <w:rFonts w:ascii="仿宋" w:eastAsia="仿宋" w:cs="仿宋"/>
      <w:color w:val="000000"/>
      <w:kern w:val="0"/>
      <w:sz w:val="24"/>
      <w:szCs w:val="24"/>
      <w:lang w:val="en-US" w:eastAsia="zh-CN" w:bidi="ar-SA"/>
    </w:rPr>
  </w:style>
  <w:style w:type="paragraph" w:styleId="25">
    <w:name w:val="List Paragraph"/>
    <w:basedOn w:val="0"/>
    <w:pPr>
      <w:ind w:firstLineChars="200" w:firstLine="200"/>
    </w:pPr>
  </w:style>
  <w:style w:type="paragraph" w:customStyle="1" w:styleId="26">
    <w:name w:val="TOC 标题1"/>
    <w:basedOn w:val="1"/>
    <w:next w:val="0"/>
    <w:pPr>
      <w:keepNext/>
      <w:keepLines/>
      <w:widowControl/>
      <w:spacing w:before="480" w:after="0" w:line="276" w:lineRule="auto"/>
      <w:jc w:val="left"/>
      <w:outlineLvl w:val="9"/>
    </w:pPr>
    <w:rPr>
      <w:rFonts w:ascii="Cambria" w:cs="Cambria" w:hAnsi="Cambria"/>
      <w:color w:val="365F91"/>
      <w:kern w:val="0"/>
      <w:sz w:val="28"/>
      <w:szCs w:val="28"/>
    </w:rPr>
  </w:style>
  <w:style w:type="paragraph" w:customStyle="1" w:styleId="27">
    <w:name w:val="TOC 标题2"/>
    <w:basedOn w:val="1"/>
    <w:next w:val="0"/>
    <w:pPr>
      <w:keepNext/>
      <w:keepLines/>
      <w:widowControl/>
      <w:spacing w:before="480" w:after="0" w:line="276" w:lineRule="auto"/>
      <w:jc w:val="left"/>
      <w:outlineLvl w:val="9"/>
    </w:pPr>
    <w:rPr>
      <w:rFonts w:ascii="Cambria" w:cs="Cambria" w:hAnsi="Cambria"/>
      <w:color w:val="365F91"/>
      <w:kern w:val="0"/>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2.png"/><Relationship Id="rId5" Type="http://schemas.openxmlformats.org/officeDocument/2006/relationships/image" Target="media/5.png"/><Relationship Id="rId6" Type="http://schemas.openxmlformats.org/officeDocument/2006/relationships/image" Target="media/8.png"/><Relationship Id="rId7" Type="http://schemas.openxmlformats.org/officeDocument/2006/relationships/image" Target="media/11.png"/><Relationship Id="rId8" Type="http://schemas.openxmlformats.org/officeDocument/2006/relationships/image" Target="media/14.png"/><Relationship Id="rId9" Type="http://schemas.openxmlformats.org/officeDocument/2006/relationships/image" Target="media/17.png"/><Relationship Id="rId10" Type="http://schemas.openxmlformats.org/officeDocument/2006/relationships/image" Target="media/20.png"/><Relationship Id="rId11" Type="http://schemas.openxmlformats.org/officeDocument/2006/relationships/styles" Target="styles.xml"/><Relationship Id="rId12" Type="http://schemas.openxmlformats.org/officeDocument/2006/relationships/numbering" Target="numbering.xml"/><Relationship Id="rId13" Type="http://schemas.openxmlformats.org/officeDocument/2006/relationships/fontTable" Target="fontTable.xml"/></Relationships>
</file>

<file path=docProps/app.xml><?xml version="1.0" encoding="utf-8"?>
<Properties xmlns="http://schemas.openxmlformats.org/officeDocument/2006/extended-properties">
  <Template>Normal.eit</Template>
  <TotalTime>44</TotalTime>
  <Application>Yozo_Office27021597764231179</Application>
  <Pages>20</Pages>
  <Words>5361</Words>
  <Characters>5781</Characters>
  <Lines>359</Lines>
  <Paragraphs>131</Paragraphs>
  <CharactersWithSpaces>5856</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8</cp:revision>
  <cp:lastPrinted>2023-07-31T10:35:00Z</cp:lastPrinted>
  <dcterms:created xsi:type="dcterms:W3CDTF">2023-09-11T17:44:00Z</dcterms:created>
  <dcterms:modified xsi:type="dcterms:W3CDTF">2023-09-15T08:45:26Z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2052-11.8.2.9864</vt:lpwstr>
  </property>
</Properties>
</file>