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spacing w:line="600" w:lineRule="exact"/>
        <w:jc w:val="left"/>
        <w:outlineLvl w:val="0"/>
        <w:rPr>
          <w:rFonts w:ascii="方正小标宋简体" w:eastAsia="方正小标宋简体"/>
        </w:rPr>
      </w:pPr>
      <w:bookmarkStart w:id="0" w:name="_Toc15306267"/>
    </w:p>
    <w:p>
      <w:pPr>
        <w:spacing w:line="600" w:lineRule="exact"/>
        <w:jc w:val="center"/>
        <w:outlineLvl w:val="0"/>
        <w:rPr>
          <w:rFonts w:ascii="方正小标宋简体" w:eastAsia="方正小标宋简体"/>
          <w:sz w:val="72"/>
          <w:szCs w:val="72"/>
        </w:rPr>
      </w:pPr>
    </w:p>
    <w:p>
      <w:pPr>
        <w:spacing w:line="600" w:lineRule="exact"/>
        <w:jc w:val="center"/>
        <w:outlineLvl w:val="0"/>
        <w:rPr>
          <w:rFonts w:ascii="方正小标宋简体" w:eastAsia="方正小标宋简体"/>
          <w:sz w:val="72"/>
          <w:szCs w:val="72"/>
        </w:rPr>
      </w:pPr>
    </w:p>
    <w:p>
      <w:pPr>
        <w:adjustRightInd w:val="0"/>
        <w:snapToGrid w:val="0"/>
        <w:spacing w:line="360" w:lineRule="auto"/>
        <w:jc w:val="center"/>
        <w:outlineLvl w:val="0"/>
        <w:rPr>
          <w:rFonts w:ascii="方正小标宋简体" w:eastAsia="方正小标宋简体"/>
          <w:sz w:val="72"/>
          <w:szCs w:val="72"/>
        </w:rPr>
      </w:pPr>
      <w:bookmarkStart w:id="1" w:name="_Toc15378441"/>
      <w:bookmarkStart w:id="2" w:name="_Toc15396475"/>
      <w:bookmarkStart w:id="3" w:name="_Toc15377425"/>
      <w:bookmarkStart w:id="4" w:name="_Toc15377193"/>
      <w:bookmarkStart w:id="5" w:name="_Toc15396597"/>
      <w:r>
        <w:rPr>
          <w:rFonts w:ascii="方正小标宋简体" w:eastAsia="方正小标宋简体" w:cs="方正小标宋简体"/>
          <w:sz w:val="72"/>
          <w:szCs w:val="72"/>
        </w:rPr>
        <w:t>2022</w:t>
      </w:r>
      <w:r>
        <w:rPr>
          <w:rFonts w:ascii="方正小标宋简体" w:eastAsia="方正小标宋简体" w:cs="方正小标宋简体" w:hint="eastAsia"/>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eastAsia="方正小标宋简体"/>
          <w:sz w:val="72"/>
          <w:szCs w:val="72"/>
        </w:rPr>
      </w:pPr>
      <w:bookmarkStart w:id="6" w:name="_Toc15377194"/>
      <w:bookmarkStart w:id="7" w:name="_Toc15396598"/>
      <w:bookmarkStart w:id="8" w:name="_Toc15378442"/>
      <w:bookmarkStart w:id="9" w:name="_Toc15377426"/>
      <w:bookmarkStart w:id="10" w:name="_Toc15396476"/>
      <w:r>
        <w:rPr>
          <w:rFonts w:ascii="方正小标宋简体" w:eastAsia="方正小标宋简体" w:cs="方正小标宋简体" w:hint="eastAsia"/>
          <w:sz w:val="72"/>
          <w:szCs w:val="72"/>
        </w:rPr>
        <w:t>攀枝花市</w:t>
      </w:r>
      <w:bookmarkStart w:id="11" w:name="_Toc15306268"/>
      <w:bookmarkEnd w:id="0"/>
      <w:r>
        <w:rPr>
          <w:rFonts w:ascii="方正小标宋简体" w:eastAsia="方正小标宋简体" w:cs="方正小标宋简体" w:hint="eastAsia"/>
          <w:sz w:val="72"/>
          <w:szCs w:val="72"/>
        </w:rPr>
        <w:t>房地产事务中心单位决算</w:t>
      </w:r>
      <w:bookmarkEnd w:id="6"/>
      <w:bookmarkEnd w:id="7"/>
      <w:bookmarkEnd w:id="8"/>
      <w:bookmarkEnd w:id="9"/>
      <w:bookmarkEnd w:id="10"/>
      <w:bookmarkEnd w:id="11"/>
    </w:p>
    <w:p>
      <w:pPr>
        <w:widowControl/>
        <w:jc w:val="center"/>
        <w:rPr>
          <w:rFonts w:ascii="黑体" w:eastAsia="黑体"/>
          <w:sz w:val="48"/>
          <w:szCs w:val="48"/>
        </w:rPr>
      </w:pPr>
      <w:r>
        <w:rPr>
          <w:rFonts w:ascii="方正小标宋简体" w:eastAsia="方正小标宋简体"/>
          <w:sz w:val="36"/>
          <w:szCs w:val="36"/>
        </w:rPr>
        <w:br w:type="page"/>
      </w:r>
      <w:r>
        <w:rPr>
          <w:rFonts w:ascii="黑体" w:eastAsia="黑体" w:cs="黑体" w:hint="eastAsia"/>
          <w:sz w:val="48"/>
          <w:szCs w:val="48"/>
        </w:rPr>
        <w:t>目录</w:t>
      </w:r>
    </w:p>
    <w:p>
      <w:pPr>
        <w:widowControl/>
        <w:jc w:val="center"/>
        <w:rPr>
          <w:rFonts w:ascii="黑体" w:eastAsia="黑体"/>
          <w:sz w:val="28"/>
          <w:szCs w:val="28"/>
        </w:rPr>
      </w:pPr>
    </w:p>
    <w:p>
      <w:pPr>
        <w:pStyle w:val="20"/>
        <w:tabs>
          <w:tab w:val="right" w:leader="dot" w:pos="8296"/>
        </w:tabs>
        <w:rPr>
          <w:rFonts w:cs="Times New Roman"/>
        </w:rPr>
      </w:pPr>
      <w:r>
        <w:rPr>
          <w:rFonts w:hint="eastAsia"/>
        </w:rPr>
        <w:t>公开时间：</w:t>
      </w:r>
      <w:r>
        <w:t>2023</w:t>
      </w:r>
      <w:r>
        <w:rPr>
          <w:rFonts w:hint="eastAsia"/>
        </w:rPr>
        <w:t>年</w:t>
      </w:r>
      <w:r>
        <w:t>9</w:t>
      </w:r>
      <w:r>
        <w:rPr>
          <w:rFonts w:hint="eastAsia"/>
        </w:rPr>
        <w:t>月</w:t>
      </w:r>
      <w:r>
        <w:t>15</w:t>
      </w:r>
      <w:bookmarkStart w:id="12" w:name="_GoBack"/>
      <w:bookmarkEnd w:id="12"/>
      <w:r>
        <w:rPr>
          <w:rFonts w:hint="eastAsia"/>
        </w:rPr>
        <w:t>日</w:t>
      </w:r>
    </w:p>
    <w:p/>
    <w:p>
      <w:pPr>
        <w:pStyle w:val="20"/>
        <w:tabs>
          <w:tab w:val="right" w:leader="dot" w:pos="8296"/>
        </w:tabs>
        <w:adjustRightInd w:val="0"/>
        <w:snapToGrid w:val="0"/>
        <w:spacing w:before="0" w:line="440" w:lineRule="exact"/>
        <w:jc w:val="left"/>
        <w:rPr>
          <w:rFonts w:cs="Times New Roman"/>
          <w:sz w:val="24"/>
          <w:szCs w:val="24"/>
        </w:rPr>
      </w:pPr>
      <w:r>
        <w:rPr>
          <w:rFonts w:hint="eastAsia"/>
          <w:sz w:val="24"/>
          <w:szCs w:val="24"/>
        </w:rPr>
        <w:t>第一部分</w:t>
      </w:r>
      <w:r>
        <w:rPr>
          <w:sz w:val="24"/>
          <w:szCs w:val="24"/>
        </w:rPr>
        <w:t xml:space="preserve"> </w:t>
      </w:r>
      <w:r>
        <w:rPr>
          <w:rFonts w:hint="eastAsia"/>
          <w:sz w:val="24"/>
          <w:szCs w:val="24"/>
        </w:rPr>
        <w:t>单位概况</w:t>
      </w:r>
      <w:r>
        <w:rPr>
          <w:rFonts w:cs="Times New Roman"/>
          <w:sz w:val="24"/>
          <w:szCs w:val="24"/>
        </w:rPr>
        <w:tab/>
      </w:r>
      <w:r>
        <w:rPr>
          <w:sz w:val="24"/>
          <w:szCs w:val="24"/>
        </w:rPr>
        <w:t>4</w:t>
      </w:r>
    </w:p>
    <w:p>
      <w:pPr>
        <w:pStyle w:val="21"/>
        <w:tabs>
          <w:tab w:val="right" w:leader="dot" w:pos="8296"/>
        </w:tabs>
        <w:adjustRightInd w:val="0"/>
        <w:snapToGrid w:val="0"/>
        <w:spacing w:line="440" w:lineRule="exact"/>
        <w:jc w:val="left"/>
        <w:rPr>
          <w:sz w:val="24"/>
          <w:szCs w:val="24"/>
        </w:rPr>
      </w:pPr>
      <w:r>
        <w:rPr>
          <w:rFonts w:cs="宋体" w:hint="eastAsia"/>
          <w:sz w:val="24"/>
          <w:szCs w:val="24"/>
        </w:rPr>
        <w:t>一、主要职责</w:t>
      </w:r>
      <w:r>
        <w:rPr>
          <w:sz w:val="24"/>
          <w:szCs w:val="24"/>
        </w:rPr>
        <w:tab/>
        <w:t>4</w:t>
      </w:r>
    </w:p>
    <w:p>
      <w:pPr>
        <w:pStyle w:val="21"/>
        <w:tabs>
          <w:tab w:val="right" w:leader="dot" w:pos="8296"/>
        </w:tabs>
        <w:adjustRightInd w:val="0"/>
        <w:snapToGrid w:val="0"/>
        <w:spacing w:line="440" w:lineRule="exact"/>
        <w:jc w:val="left"/>
      </w:pPr>
      <w:r>
        <w:rPr>
          <w:rFonts w:cs="宋体" w:hint="eastAsia"/>
          <w:sz w:val="24"/>
          <w:szCs w:val="24"/>
        </w:rPr>
        <w:t>二、机构设置</w:t>
      </w:r>
      <w:r>
        <w:rPr>
          <w:sz w:val="24"/>
          <w:szCs w:val="24"/>
        </w:rPr>
        <w:tab/>
        <w:t>4</w:t>
      </w:r>
    </w:p>
    <w:p>
      <w:pPr>
        <w:pStyle w:val="20"/>
        <w:tabs>
          <w:tab w:val="right" w:leader="dot" w:pos="8296"/>
        </w:tabs>
        <w:adjustRightInd w:val="0"/>
        <w:snapToGrid w:val="0"/>
        <w:spacing w:before="0" w:line="440" w:lineRule="exact"/>
        <w:jc w:val="left"/>
        <w:rPr>
          <w:rFonts w:cs="Times New Roman"/>
          <w:sz w:val="24"/>
          <w:szCs w:val="24"/>
        </w:rPr>
      </w:pPr>
      <w:r>
        <w:rPr>
          <w:rFonts w:hint="eastAsia"/>
          <w:sz w:val="24"/>
          <w:szCs w:val="24"/>
        </w:rPr>
        <w:t>第二部分</w:t>
      </w:r>
      <w:r>
        <w:rPr>
          <w:sz w:val="24"/>
          <w:szCs w:val="24"/>
        </w:rPr>
        <w:t xml:space="preserve"> 2022</w:t>
      </w:r>
      <w:r>
        <w:rPr>
          <w:rFonts w:hint="eastAsia"/>
          <w:sz w:val="24"/>
          <w:szCs w:val="24"/>
        </w:rPr>
        <w:t>年度单位决算情况说明</w:t>
      </w:r>
      <w:r>
        <w:rPr>
          <w:rFonts w:cs="Times New Roman"/>
          <w:sz w:val="24"/>
          <w:szCs w:val="24"/>
        </w:rPr>
        <w:tab/>
      </w:r>
      <w:r>
        <w:rPr>
          <w:sz w:val="24"/>
          <w:szCs w:val="24"/>
        </w:rPr>
        <w:t>5</w:t>
      </w:r>
    </w:p>
    <w:p>
      <w:pPr>
        <w:pStyle w:val="21"/>
        <w:tabs>
          <w:tab w:val="right" w:leader="dot" w:pos="8296"/>
        </w:tabs>
        <w:adjustRightInd w:val="0"/>
        <w:snapToGrid w:val="0"/>
        <w:spacing w:line="440" w:lineRule="exact"/>
        <w:jc w:val="left"/>
        <w:rPr>
          <w:rFonts w:ascii="仿宋" w:eastAsia="仿宋"/>
          <w:sz w:val="24"/>
          <w:szCs w:val="24"/>
        </w:rPr>
      </w:pPr>
      <w:r>
        <w:rPr>
          <w:rFonts w:cs="宋体" w:hint="eastAsia"/>
          <w:sz w:val="24"/>
          <w:szCs w:val="24"/>
        </w:rPr>
        <w:t>一、收入支出决算总体情况说明</w:t>
      </w:r>
      <w:r>
        <w:rPr>
          <w:sz w:val="24"/>
          <w:szCs w:val="24"/>
        </w:rPr>
        <w:tab/>
        <w:t>5</w:t>
      </w:r>
    </w:p>
    <w:p>
      <w:pPr>
        <w:pStyle w:val="21"/>
        <w:tabs>
          <w:tab w:val="right" w:leader="dot" w:pos="8296"/>
        </w:tabs>
        <w:adjustRightInd w:val="0"/>
        <w:snapToGrid w:val="0"/>
        <w:spacing w:line="440" w:lineRule="exact"/>
        <w:jc w:val="left"/>
        <w:rPr>
          <w:rFonts w:ascii="仿宋" w:eastAsia="仿宋"/>
          <w:sz w:val="24"/>
          <w:szCs w:val="24"/>
        </w:rPr>
      </w:pPr>
      <w:r>
        <w:rPr>
          <w:rFonts w:cs="宋体" w:hint="eastAsia"/>
          <w:sz w:val="24"/>
          <w:szCs w:val="24"/>
        </w:rPr>
        <w:t>二、收入决算情况说明</w:t>
      </w:r>
      <w:r>
        <w:rPr>
          <w:sz w:val="24"/>
          <w:szCs w:val="24"/>
        </w:rPr>
        <w:tab/>
        <w:t>5</w:t>
      </w:r>
    </w:p>
    <w:p>
      <w:pPr>
        <w:pStyle w:val="21"/>
        <w:tabs>
          <w:tab w:val="right" w:leader="dot" w:pos="8296"/>
        </w:tabs>
        <w:adjustRightInd w:val="0"/>
        <w:snapToGrid w:val="0"/>
        <w:spacing w:line="440" w:lineRule="exact"/>
        <w:jc w:val="left"/>
        <w:rPr>
          <w:rFonts w:ascii="仿宋" w:eastAsia="仿宋"/>
          <w:sz w:val="24"/>
          <w:szCs w:val="24"/>
        </w:rPr>
      </w:pPr>
      <w:r>
        <w:rPr>
          <w:rFonts w:cs="宋体" w:hint="eastAsia"/>
          <w:sz w:val="24"/>
          <w:szCs w:val="24"/>
        </w:rPr>
        <w:t>三、支出决算情况说明</w:t>
      </w:r>
      <w:r>
        <w:rPr>
          <w:sz w:val="24"/>
          <w:szCs w:val="24"/>
        </w:rPr>
        <w:tab/>
        <w:t>6</w:t>
      </w:r>
    </w:p>
    <w:p>
      <w:pPr>
        <w:pStyle w:val="21"/>
        <w:tabs>
          <w:tab w:val="right" w:leader="dot" w:pos="8296"/>
        </w:tabs>
        <w:adjustRightInd w:val="0"/>
        <w:snapToGrid w:val="0"/>
        <w:spacing w:line="440" w:lineRule="exact"/>
        <w:jc w:val="left"/>
        <w:rPr>
          <w:rFonts w:ascii="仿宋" w:eastAsia="仿宋"/>
          <w:sz w:val="24"/>
          <w:szCs w:val="24"/>
        </w:rPr>
      </w:pPr>
      <w:r>
        <w:rPr>
          <w:rFonts w:cs="宋体" w:hint="eastAsia"/>
          <w:sz w:val="24"/>
          <w:szCs w:val="24"/>
        </w:rPr>
        <w:t>四、财政拨款收入支出决算总体情况说明</w:t>
      </w:r>
      <w:r>
        <w:rPr>
          <w:sz w:val="24"/>
          <w:szCs w:val="24"/>
        </w:rPr>
        <w:tab/>
        <w:t>7</w:t>
      </w:r>
    </w:p>
    <w:p>
      <w:pPr>
        <w:pStyle w:val="21"/>
        <w:tabs>
          <w:tab w:val="right" w:leader="dot" w:pos="8296"/>
        </w:tabs>
        <w:adjustRightInd w:val="0"/>
        <w:snapToGrid w:val="0"/>
        <w:spacing w:line="440" w:lineRule="exact"/>
        <w:jc w:val="left"/>
        <w:rPr>
          <w:rFonts w:ascii="仿宋" w:eastAsia="仿宋"/>
          <w:sz w:val="24"/>
          <w:szCs w:val="24"/>
        </w:rPr>
      </w:pPr>
      <w:r>
        <w:rPr>
          <w:rFonts w:cs="宋体" w:hint="eastAsia"/>
          <w:sz w:val="24"/>
          <w:szCs w:val="24"/>
        </w:rPr>
        <w:t>五、一般公共预算财政拨款支出决算情况说明</w:t>
      </w:r>
      <w:r>
        <w:rPr>
          <w:sz w:val="24"/>
          <w:szCs w:val="24"/>
        </w:rPr>
        <w:tab/>
        <w:t>7</w:t>
      </w:r>
    </w:p>
    <w:p>
      <w:pPr>
        <w:pStyle w:val="21"/>
        <w:tabs>
          <w:tab w:val="right" w:leader="dot" w:pos="8296"/>
        </w:tabs>
        <w:adjustRightInd w:val="0"/>
        <w:snapToGrid w:val="0"/>
        <w:spacing w:line="440" w:lineRule="exact"/>
        <w:jc w:val="left"/>
        <w:rPr>
          <w:rFonts w:ascii="仿宋" w:eastAsia="仿宋"/>
          <w:sz w:val="24"/>
          <w:szCs w:val="24"/>
        </w:rPr>
      </w:pPr>
      <w:r>
        <w:rPr>
          <w:rFonts w:cs="宋体" w:hint="eastAsia"/>
          <w:sz w:val="24"/>
          <w:szCs w:val="24"/>
        </w:rPr>
        <w:t>六、一般公共预算财政拨款基本支出决算情况说明</w:t>
      </w:r>
      <w:r>
        <w:rPr>
          <w:sz w:val="24"/>
          <w:szCs w:val="24"/>
        </w:rPr>
        <w:tab/>
        <w:t>10</w:t>
      </w:r>
    </w:p>
    <w:p>
      <w:pPr>
        <w:pStyle w:val="21"/>
        <w:tabs>
          <w:tab w:val="right" w:leader="dot" w:pos="8296"/>
        </w:tabs>
        <w:adjustRightInd w:val="0"/>
        <w:snapToGrid w:val="0"/>
        <w:spacing w:line="440" w:lineRule="exact"/>
        <w:jc w:val="left"/>
        <w:rPr>
          <w:rFonts w:ascii="仿宋" w:eastAsia="仿宋"/>
          <w:sz w:val="24"/>
          <w:szCs w:val="24"/>
        </w:rPr>
      </w:pPr>
      <w:r>
        <w:rPr>
          <w:rFonts w:cs="宋体" w:hint="eastAsia"/>
          <w:sz w:val="24"/>
          <w:szCs w:val="24"/>
        </w:rPr>
        <w:t>七、财政拨款“三公”经费支出决算情况说明</w:t>
      </w:r>
      <w:r>
        <w:rPr>
          <w:sz w:val="24"/>
          <w:szCs w:val="24"/>
        </w:rPr>
        <w:tab/>
        <w:t>10</w:t>
      </w:r>
    </w:p>
    <w:p>
      <w:pPr>
        <w:pStyle w:val="21"/>
        <w:tabs>
          <w:tab w:val="right" w:leader="dot" w:pos="8296"/>
        </w:tabs>
        <w:adjustRightInd w:val="0"/>
        <w:snapToGrid w:val="0"/>
        <w:spacing w:line="440" w:lineRule="exact"/>
        <w:jc w:val="left"/>
        <w:rPr>
          <w:rFonts w:ascii="仿宋" w:eastAsia="仿宋"/>
          <w:sz w:val="24"/>
          <w:szCs w:val="24"/>
        </w:rPr>
      </w:pPr>
      <w:r>
        <w:rPr>
          <w:rFonts w:cs="宋体" w:hint="eastAsia"/>
          <w:sz w:val="24"/>
          <w:szCs w:val="24"/>
        </w:rPr>
        <w:t>八、政府性基金预算支出决算情况说明</w:t>
      </w:r>
      <w:r>
        <w:rPr>
          <w:sz w:val="24"/>
          <w:szCs w:val="24"/>
        </w:rPr>
        <w:tab/>
        <w:t>12</w:t>
      </w:r>
    </w:p>
    <w:p>
      <w:pPr>
        <w:pStyle w:val="21"/>
        <w:tabs>
          <w:tab w:val="right" w:leader="dot" w:pos="8296"/>
        </w:tabs>
        <w:adjustRightInd w:val="0"/>
        <w:snapToGrid w:val="0"/>
        <w:spacing w:line="440" w:lineRule="exact"/>
        <w:jc w:val="left"/>
        <w:rPr>
          <w:sz w:val="24"/>
          <w:szCs w:val="24"/>
        </w:rPr>
      </w:pPr>
      <w:r>
        <w:rPr>
          <w:rFonts w:cs="宋体" w:hint="eastAsia"/>
          <w:sz w:val="24"/>
          <w:szCs w:val="24"/>
        </w:rPr>
        <w:t>九、国有资本经营预算支出决算情况说明</w:t>
      </w:r>
      <w:r>
        <w:rPr>
          <w:sz w:val="24"/>
          <w:szCs w:val="24"/>
        </w:rPr>
        <w:tab/>
        <w:t>13</w:t>
      </w:r>
    </w:p>
    <w:p>
      <w:pPr>
        <w:pStyle w:val="21"/>
        <w:tabs>
          <w:tab w:val="right" w:leader="dot" w:pos="8296"/>
        </w:tabs>
        <w:adjustRightInd w:val="0"/>
        <w:snapToGrid w:val="0"/>
        <w:spacing w:line="440" w:lineRule="exact"/>
        <w:jc w:val="left"/>
        <w:rPr>
          <w:sz w:val="24"/>
          <w:szCs w:val="24"/>
        </w:rPr>
      </w:pPr>
      <w:r>
        <w:rPr>
          <w:rFonts w:cs="宋体" w:hint="eastAsia"/>
          <w:sz w:val="24"/>
          <w:szCs w:val="24"/>
        </w:rPr>
        <w:t>十、其他重要事项的情况说明</w:t>
      </w:r>
      <w:r>
        <w:rPr>
          <w:sz w:val="24"/>
          <w:szCs w:val="24"/>
        </w:rPr>
        <w:tab/>
        <w:t>13</w:t>
      </w:r>
    </w:p>
    <w:p>
      <w:pPr>
        <w:pStyle w:val="20"/>
        <w:tabs>
          <w:tab w:val="right" w:leader="dot" w:pos="8296"/>
        </w:tabs>
        <w:adjustRightInd w:val="0"/>
        <w:snapToGrid w:val="0"/>
        <w:spacing w:before="0" w:line="440" w:lineRule="exact"/>
        <w:jc w:val="left"/>
        <w:rPr>
          <w:rFonts w:cs="Times New Roman"/>
          <w:sz w:val="24"/>
          <w:szCs w:val="24"/>
        </w:rPr>
      </w:pPr>
      <w:r>
        <w:rPr>
          <w:rFonts w:hint="eastAsia"/>
          <w:sz w:val="24"/>
          <w:szCs w:val="24"/>
        </w:rPr>
        <w:t>第三部分</w:t>
      </w:r>
      <w:r>
        <w:rPr>
          <w:sz w:val="24"/>
          <w:szCs w:val="24"/>
        </w:rPr>
        <w:t xml:space="preserve"> </w:t>
      </w:r>
      <w:r>
        <w:rPr>
          <w:rFonts w:hint="eastAsia"/>
          <w:sz w:val="24"/>
          <w:szCs w:val="24"/>
        </w:rPr>
        <w:t>名词解释</w:t>
      </w:r>
      <w:r>
        <w:rPr>
          <w:rFonts w:cs="Times New Roman"/>
          <w:sz w:val="24"/>
          <w:szCs w:val="24"/>
        </w:rPr>
        <w:tab/>
      </w:r>
      <w:r>
        <w:rPr>
          <w:sz w:val="24"/>
          <w:szCs w:val="24"/>
        </w:rPr>
        <w:t>15</w:t>
      </w:r>
    </w:p>
    <w:p>
      <w:pPr>
        <w:pStyle w:val="20"/>
        <w:tabs>
          <w:tab w:val="right" w:leader="dot" w:pos="8296"/>
        </w:tabs>
        <w:adjustRightInd w:val="0"/>
        <w:snapToGrid w:val="0"/>
        <w:spacing w:before="0" w:line="440" w:lineRule="exact"/>
        <w:jc w:val="left"/>
        <w:rPr>
          <w:rFonts w:cs="Times New Roman"/>
          <w:sz w:val="24"/>
          <w:szCs w:val="24"/>
        </w:rPr>
      </w:pPr>
      <w:r>
        <w:rPr>
          <w:rFonts w:hint="eastAsia"/>
          <w:sz w:val="24"/>
          <w:szCs w:val="24"/>
        </w:rPr>
        <w:t>第四部分</w:t>
      </w:r>
      <w:r>
        <w:rPr>
          <w:sz w:val="24"/>
          <w:szCs w:val="24"/>
        </w:rPr>
        <w:t xml:space="preserve"> </w:t>
      </w:r>
      <w:r>
        <w:rPr>
          <w:rFonts w:hint="eastAsia"/>
          <w:sz w:val="24"/>
          <w:szCs w:val="24"/>
        </w:rPr>
        <w:t>附件</w:t>
      </w:r>
      <w:r>
        <w:rPr>
          <w:rFonts w:cs="Times New Roman"/>
          <w:sz w:val="24"/>
          <w:szCs w:val="24"/>
        </w:rPr>
        <w:tab/>
      </w:r>
      <w:r>
        <w:rPr>
          <w:sz w:val="24"/>
          <w:szCs w:val="24"/>
        </w:rPr>
        <w:t>17</w:t>
      </w:r>
    </w:p>
    <w:p>
      <w:pPr>
        <w:pStyle w:val="20"/>
        <w:tabs>
          <w:tab w:val="right" w:leader="dot" w:pos="8296"/>
        </w:tabs>
        <w:adjustRightInd w:val="0"/>
        <w:snapToGrid w:val="0"/>
        <w:spacing w:before="0" w:line="440" w:lineRule="exact"/>
        <w:jc w:val="left"/>
        <w:rPr>
          <w:rFonts w:cs="Times New Roman"/>
          <w:sz w:val="24"/>
          <w:szCs w:val="24"/>
        </w:rPr>
      </w:pPr>
      <w:r>
        <w:rPr>
          <w:rFonts w:hint="eastAsia"/>
          <w:sz w:val="24"/>
          <w:szCs w:val="24"/>
        </w:rPr>
        <w:t>第五部分</w:t>
      </w:r>
      <w:r>
        <w:rPr>
          <w:sz w:val="24"/>
          <w:szCs w:val="24"/>
        </w:rPr>
        <w:t xml:space="preserve"> </w:t>
      </w:r>
      <w:r>
        <w:rPr>
          <w:rFonts w:hint="eastAsia"/>
          <w:sz w:val="24"/>
          <w:szCs w:val="24"/>
        </w:rPr>
        <w:t>附表</w:t>
      </w:r>
      <w:r>
        <w:rPr>
          <w:rFonts w:cs="Times New Roman"/>
          <w:sz w:val="24"/>
          <w:szCs w:val="24"/>
        </w:rPr>
        <w:tab/>
      </w:r>
      <w:r>
        <w:rPr>
          <w:sz w:val="24"/>
          <w:szCs w:val="24"/>
        </w:rPr>
        <w:t>18</w:t>
      </w:r>
    </w:p>
    <w:p>
      <w:pPr>
        <w:pStyle w:val="21"/>
        <w:tabs>
          <w:tab w:val="right" w:leader="dot" w:pos="8296"/>
        </w:tabs>
        <w:adjustRightInd w:val="0"/>
        <w:snapToGrid w:val="0"/>
        <w:spacing w:line="440" w:lineRule="exact"/>
        <w:jc w:val="left"/>
        <w:rPr>
          <w:sz w:val="24"/>
          <w:szCs w:val="24"/>
        </w:rPr>
      </w:pPr>
      <w:r>
        <w:rPr>
          <w:rFonts w:cs="宋体" w:hint="eastAsia"/>
          <w:sz w:val="24"/>
          <w:szCs w:val="24"/>
        </w:rPr>
        <w:t>一、收入支出决算总表</w:t>
      </w:r>
      <w:r>
        <w:rPr>
          <w:sz w:val="24"/>
          <w:szCs w:val="24"/>
        </w:rPr>
        <w:tab/>
        <w:t>18</w:t>
      </w:r>
    </w:p>
    <w:p>
      <w:pPr>
        <w:pStyle w:val="21"/>
        <w:tabs>
          <w:tab w:val="right" w:leader="dot" w:pos="8296"/>
        </w:tabs>
        <w:adjustRightInd w:val="0"/>
        <w:snapToGrid w:val="0"/>
        <w:spacing w:line="440" w:lineRule="exact"/>
        <w:jc w:val="left"/>
        <w:rPr>
          <w:sz w:val="24"/>
          <w:szCs w:val="24"/>
        </w:rPr>
      </w:pPr>
      <w:r>
        <w:rPr>
          <w:rFonts w:cs="宋体" w:hint="eastAsia"/>
          <w:sz w:val="24"/>
          <w:szCs w:val="24"/>
        </w:rPr>
        <w:t>二、收入决算表</w:t>
      </w:r>
      <w:r>
        <w:rPr>
          <w:sz w:val="24"/>
          <w:szCs w:val="24"/>
        </w:rPr>
        <w:tab/>
        <w:t>18</w:t>
      </w:r>
    </w:p>
    <w:p>
      <w:pPr>
        <w:pStyle w:val="21"/>
        <w:tabs>
          <w:tab w:val="right" w:leader="dot" w:pos="8296"/>
        </w:tabs>
        <w:adjustRightInd w:val="0"/>
        <w:snapToGrid w:val="0"/>
        <w:spacing w:line="440" w:lineRule="exact"/>
        <w:jc w:val="left"/>
        <w:rPr>
          <w:sz w:val="24"/>
          <w:szCs w:val="24"/>
        </w:rPr>
      </w:pPr>
      <w:r>
        <w:rPr>
          <w:rFonts w:cs="宋体" w:hint="eastAsia"/>
          <w:sz w:val="24"/>
          <w:szCs w:val="24"/>
        </w:rPr>
        <w:t>三、支出决算表</w:t>
      </w:r>
      <w:r>
        <w:rPr>
          <w:sz w:val="24"/>
          <w:szCs w:val="24"/>
        </w:rPr>
        <w:tab/>
        <w:t>18</w:t>
      </w:r>
    </w:p>
    <w:p>
      <w:pPr>
        <w:pStyle w:val="21"/>
        <w:tabs>
          <w:tab w:val="right" w:leader="dot" w:pos="8296"/>
        </w:tabs>
        <w:adjustRightInd w:val="0"/>
        <w:snapToGrid w:val="0"/>
        <w:spacing w:line="440" w:lineRule="exact"/>
        <w:jc w:val="left"/>
        <w:rPr>
          <w:sz w:val="24"/>
          <w:szCs w:val="24"/>
        </w:rPr>
      </w:pPr>
      <w:r>
        <w:rPr>
          <w:rFonts w:cs="宋体" w:hint="eastAsia"/>
          <w:sz w:val="24"/>
          <w:szCs w:val="24"/>
        </w:rPr>
        <w:t>四、财政拨款收入支出决算总表</w:t>
      </w:r>
      <w:r>
        <w:rPr>
          <w:sz w:val="24"/>
          <w:szCs w:val="24"/>
        </w:rPr>
        <w:tab/>
        <w:t>18</w:t>
      </w:r>
    </w:p>
    <w:p>
      <w:pPr>
        <w:pStyle w:val="21"/>
        <w:tabs>
          <w:tab w:val="right" w:leader="dot" w:pos="8296"/>
        </w:tabs>
        <w:adjustRightInd w:val="0"/>
        <w:snapToGrid w:val="0"/>
        <w:spacing w:line="440" w:lineRule="exact"/>
        <w:jc w:val="left"/>
        <w:rPr>
          <w:sz w:val="24"/>
          <w:szCs w:val="24"/>
        </w:rPr>
      </w:pPr>
      <w:r>
        <w:rPr>
          <w:rFonts w:cs="宋体" w:hint="eastAsia"/>
          <w:sz w:val="24"/>
          <w:szCs w:val="24"/>
        </w:rPr>
        <w:t>五、财政拨款支出决算明细表</w:t>
      </w:r>
      <w:r>
        <w:rPr>
          <w:sz w:val="24"/>
          <w:szCs w:val="24"/>
        </w:rPr>
        <w:tab/>
        <w:t>18</w:t>
      </w:r>
    </w:p>
    <w:p>
      <w:pPr>
        <w:pStyle w:val="21"/>
        <w:tabs>
          <w:tab w:val="right" w:leader="dot" w:pos="8296"/>
        </w:tabs>
        <w:adjustRightInd w:val="0"/>
        <w:snapToGrid w:val="0"/>
        <w:spacing w:line="440" w:lineRule="exact"/>
        <w:jc w:val="left"/>
        <w:rPr>
          <w:sz w:val="24"/>
          <w:szCs w:val="24"/>
        </w:rPr>
      </w:pPr>
      <w:r>
        <w:rPr>
          <w:rFonts w:cs="宋体" w:hint="eastAsia"/>
          <w:sz w:val="24"/>
          <w:szCs w:val="24"/>
        </w:rPr>
        <w:t>六、一般公共预算财政拨款支出决算表</w:t>
      </w:r>
      <w:r>
        <w:rPr>
          <w:sz w:val="24"/>
          <w:szCs w:val="24"/>
        </w:rPr>
        <w:tab/>
        <w:t>18</w:t>
      </w:r>
    </w:p>
    <w:p>
      <w:pPr>
        <w:pStyle w:val="21"/>
        <w:tabs>
          <w:tab w:val="right" w:leader="dot" w:pos="8296"/>
        </w:tabs>
        <w:adjustRightInd w:val="0"/>
        <w:snapToGrid w:val="0"/>
        <w:spacing w:line="440" w:lineRule="exact"/>
        <w:jc w:val="left"/>
        <w:rPr>
          <w:sz w:val="24"/>
          <w:szCs w:val="24"/>
        </w:rPr>
      </w:pPr>
      <w:r>
        <w:rPr>
          <w:rFonts w:cs="宋体" w:hint="eastAsia"/>
          <w:sz w:val="24"/>
          <w:szCs w:val="24"/>
        </w:rPr>
        <w:t>七、一般公共预算财政拨款支出决算明细表</w:t>
      </w:r>
      <w:r>
        <w:rPr>
          <w:sz w:val="24"/>
          <w:szCs w:val="24"/>
        </w:rPr>
        <w:tab/>
        <w:t>18</w:t>
      </w:r>
    </w:p>
    <w:p>
      <w:pPr>
        <w:pStyle w:val="21"/>
        <w:tabs>
          <w:tab w:val="right" w:leader="dot" w:pos="8296"/>
        </w:tabs>
        <w:adjustRightInd w:val="0"/>
        <w:snapToGrid w:val="0"/>
        <w:spacing w:line="440" w:lineRule="exact"/>
        <w:jc w:val="left"/>
        <w:rPr>
          <w:sz w:val="24"/>
          <w:szCs w:val="24"/>
        </w:rPr>
      </w:pPr>
      <w:r>
        <w:rPr>
          <w:rFonts w:cs="宋体" w:hint="eastAsia"/>
          <w:sz w:val="24"/>
          <w:szCs w:val="24"/>
        </w:rPr>
        <w:t>八、一般公共预算财政拨款基本支出决算明细表</w:t>
      </w:r>
      <w:r>
        <w:rPr>
          <w:sz w:val="24"/>
          <w:szCs w:val="24"/>
        </w:rPr>
        <w:tab/>
        <w:t>18</w:t>
      </w:r>
    </w:p>
    <w:p>
      <w:pPr>
        <w:pStyle w:val="21"/>
        <w:tabs>
          <w:tab w:val="right" w:leader="dot" w:pos="8296"/>
        </w:tabs>
        <w:adjustRightInd w:val="0"/>
        <w:snapToGrid w:val="0"/>
        <w:spacing w:line="440" w:lineRule="exact"/>
        <w:jc w:val="left"/>
        <w:rPr>
          <w:sz w:val="24"/>
          <w:szCs w:val="24"/>
        </w:rPr>
      </w:pPr>
      <w:r>
        <w:rPr>
          <w:rFonts w:cs="宋体" w:hint="eastAsia"/>
          <w:sz w:val="24"/>
          <w:szCs w:val="24"/>
        </w:rPr>
        <w:t>九、一般公共预算财政拨款项目支出决算表</w:t>
      </w:r>
      <w:r>
        <w:rPr>
          <w:sz w:val="24"/>
          <w:szCs w:val="24"/>
        </w:rPr>
        <w:tab/>
        <w:t>18</w:t>
      </w:r>
    </w:p>
    <w:p>
      <w:pPr>
        <w:pStyle w:val="21"/>
        <w:tabs>
          <w:tab w:val="right" w:leader="dot" w:pos="8296"/>
        </w:tabs>
        <w:adjustRightInd w:val="0"/>
        <w:snapToGrid w:val="0"/>
        <w:spacing w:line="440" w:lineRule="exact"/>
        <w:jc w:val="left"/>
        <w:rPr>
          <w:sz w:val="24"/>
          <w:szCs w:val="24"/>
        </w:rPr>
      </w:pPr>
      <w:r>
        <w:rPr>
          <w:rFonts w:cs="宋体" w:hint="eastAsia"/>
          <w:sz w:val="24"/>
          <w:szCs w:val="24"/>
        </w:rPr>
        <w:t>十、政府性基金预算财政拨款收入支出决算表</w:t>
      </w:r>
      <w:r>
        <w:rPr>
          <w:sz w:val="24"/>
          <w:szCs w:val="24"/>
        </w:rPr>
        <w:tab/>
        <w:t>18</w:t>
      </w:r>
    </w:p>
    <w:p>
      <w:pPr>
        <w:pStyle w:val="21"/>
        <w:tabs>
          <w:tab w:val="right" w:leader="dot" w:pos="8296"/>
        </w:tabs>
        <w:adjustRightInd w:val="0"/>
        <w:snapToGrid w:val="0"/>
        <w:spacing w:line="440" w:lineRule="exact"/>
        <w:jc w:val="left"/>
        <w:rPr>
          <w:sz w:val="24"/>
          <w:szCs w:val="24"/>
        </w:rPr>
      </w:pPr>
      <w:r>
        <w:rPr>
          <w:rFonts w:cs="宋体" w:hint="eastAsia"/>
          <w:sz w:val="24"/>
          <w:szCs w:val="24"/>
        </w:rPr>
        <w:t>十一、国有资本经营预算财政拨款收入支出决算表</w:t>
      </w:r>
      <w:r>
        <w:rPr>
          <w:sz w:val="24"/>
          <w:szCs w:val="24"/>
        </w:rPr>
        <w:tab/>
        <w:t>18</w:t>
      </w:r>
    </w:p>
    <w:p>
      <w:pPr>
        <w:pStyle w:val="21"/>
        <w:tabs>
          <w:tab w:val="right" w:leader="dot" w:pos="8296"/>
        </w:tabs>
        <w:adjustRightInd w:val="0"/>
        <w:snapToGrid w:val="0"/>
        <w:spacing w:line="440" w:lineRule="exact"/>
        <w:jc w:val="left"/>
        <w:rPr>
          <w:sz w:val="24"/>
          <w:szCs w:val="24"/>
        </w:rPr>
      </w:pPr>
      <w:r>
        <w:rPr>
          <w:rFonts w:cs="宋体" w:hint="eastAsia"/>
          <w:sz w:val="24"/>
          <w:szCs w:val="24"/>
        </w:rPr>
        <w:t>十二、国有资本经营预算财政拨款支出决算表</w:t>
      </w:r>
      <w:r>
        <w:rPr>
          <w:sz w:val="24"/>
          <w:szCs w:val="24"/>
        </w:rPr>
        <w:tab/>
        <w:t>18</w:t>
      </w:r>
    </w:p>
    <w:p>
      <w:pPr>
        <w:pStyle w:val="21"/>
        <w:tabs>
          <w:tab w:val="right" w:leader="dot" w:pos="8296"/>
        </w:tabs>
        <w:adjustRightInd w:val="0"/>
        <w:snapToGrid w:val="0"/>
        <w:spacing w:line="440" w:lineRule="exact"/>
        <w:jc w:val="left"/>
        <w:rPr>
          <w:sz w:val="24"/>
          <w:szCs w:val="24"/>
        </w:rPr>
      </w:pPr>
      <w:r>
        <w:rPr>
          <w:rFonts w:cs="宋体" w:hint="eastAsia"/>
          <w:sz w:val="24"/>
          <w:szCs w:val="24"/>
        </w:rPr>
        <w:t>十三、财政拨款“三公”经费支出决算表</w:t>
      </w:r>
      <w:r>
        <w:rPr>
          <w:sz w:val="24"/>
          <w:szCs w:val="24"/>
        </w:rPr>
        <w:tab/>
        <w:t>18</w:t>
      </w:r>
    </w:p>
    <w:p>
      <w:pPr>
        <w:widowControl/>
        <w:spacing w:line="440" w:lineRule="exact"/>
        <w:jc w:val="left"/>
        <w:rPr>
          <w:rFonts w:ascii="仿宋" w:eastAsia="仿宋"/>
          <w:kern w:val="44"/>
          <w:sz w:val="24"/>
          <w:szCs w:val="24"/>
        </w:rPr>
      </w:pPr>
      <w:bookmarkStart w:id="13" w:name="_Toc15396599"/>
      <w:bookmarkStart w:id="14" w:name="_Toc15377196"/>
      <w:r>
        <w:rPr>
          <w:rFonts w:ascii="仿宋" w:eastAsia="仿宋"/>
          <w:b/>
          <w:bCs/>
          <w:sz w:val="24"/>
          <w:szCs w:val="24"/>
        </w:rPr>
        <w:br w:type="page"/>
      </w:r>
    </w:p>
    <w:p>
      <w:pPr>
        <w:pStyle w:val="1"/>
        <w:jc w:val="center"/>
        <w:rPr>
          <w:rStyle w:val="1Char"/>
          <w:rFonts w:ascii="黑体" w:eastAsia="黑体"/>
          <w:b/>
          <w:bCs/>
        </w:rPr>
      </w:pPr>
      <w:r>
        <w:rPr>
          <w:rFonts w:ascii="黑体" w:eastAsia="黑体" w:cs="黑体" w:hint="eastAsia"/>
          <w:b w:val="0"/>
          <w:bCs w:val="0"/>
        </w:rPr>
        <w:t>第一部分</w:t>
      </w:r>
      <w:r>
        <w:rPr>
          <w:rFonts w:ascii="黑体" w:eastAsia="黑体" w:cs="黑体"/>
          <w:b w:val="0"/>
          <w:bCs w:val="0"/>
        </w:rPr>
        <w:t xml:space="preserve"> </w:t>
      </w:r>
      <w:r>
        <w:rPr>
          <w:rFonts w:ascii="黑体" w:eastAsia="黑体" w:cs="黑体" w:hint="eastAsia"/>
          <w:b w:val="0"/>
          <w:bCs w:val="0"/>
        </w:rPr>
        <w:t>单位</w:t>
      </w:r>
      <w:r>
        <w:rPr>
          <w:rStyle w:val="1Char"/>
          <w:rFonts w:ascii="黑体" w:eastAsia="黑体" w:cs="黑体" w:hint="eastAsia"/>
        </w:rPr>
        <w:t>概况</w:t>
      </w:r>
      <w:bookmarkEnd w:id="13"/>
      <w:bookmarkEnd w:id="14"/>
    </w:p>
    <w:p>
      <w:pPr>
        <w:widowControl/>
        <w:jc w:val="left"/>
        <w:rPr>
          <w:rFonts w:ascii="黑体" w:eastAsia="黑体"/>
          <w:sz w:val="32"/>
          <w:szCs w:val="32"/>
        </w:rPr>
      </w:pPr>
    </w:p>
    <w:p>
      <w:pPr>
        <w:pStyle w:val="2"/>
        <w:numPr>
          <w:ilvl w:val="0"/>
          <w:numId w:val="1"/>
        </w:numPr>
        <w:rPr>
          <w:rStyle w:val="2Char"/>
          <w:rFonts w:ascii="黑体" w:eastAsia="黑体" w:cs="Times New Roman"/>
        </w:rPr>
      </w:pPr>
      <w:bookmarkStart w:id="15" w:name="_Toc15396600"/>
      <w:bookmarkStart w:id="16" w:name="_Toc15377197"/>
      <w:r>
        <w:rPr>
          <w:rStyle w:val="2Char"/>
          <w:rFonts w:ascii="黑体" w:eastAsia="黑体" w:cs="黑体" w:hint="eastAsia"/>
        </w:rPr>
        <w:t>主要职责</w:t>
      </w:r>
    </w:p>
    <w:p>
      <w:pPr>
        <w:pStyle w:val="2"/>
        <w:ind w:firstLineChars="200" w:firstLine="640"/>
        <w:rPr>
          <w:rFonts w:ascii="仿宋_GB2312" w:eastAsia="仿宋_GB2312" w:cs="Times New Roman"/>
          <w:b w:val="0"/>
          <w:bCs w:val="0"/>
        </w:rPr>
      </w:pPr>
      <w:r>
        <w:rPr>
          <w:rFonts w:ascii="仿宋_GB2312" w:eastAsia="仿宋_GB2312" w:cs="仿宋_GB2312" w:hint="eastAsia"/>
          <w:b w:val="0"/>
          <w:bCs w:val="0"/>
        </w:rPr>
        <w:t>负责管理全市房地产交易市场、指导中介、物服等企业，负责全市房屋产权登记管理工作、商品房维修资金、预售资金管理及监督工作，白蚁防治工作，直管公房管理工作等</w:t>
      </w:r>
    </w:p>
    <w:p>
      <w:pPr>
        <w:pStyle w:val="2"/>
        <w:rPr>
          <w:rFonts w:ascii="黑体" w:eastAsia="黑体" w:cs="Times New Roman"/>
          <w:b w:val="0"/>
          <w:bCs w:val="0"/>
        </w:rPr>
      </w:pPr>
      <w:r>
        <w:rPr>
          <w:rFonts w:ascii="黑体" w:eastAsia="黑体" w:cs="黑体" w:hint="eastAsia"/>
          <w:b w:val="0"/>
          <w:bCs w:val="0"/>
        </w:rPr>
        <w:t>二、机构设置</w:t>
      </w:r>
    </w:p>
    <w:p>
      <w:pPr>
        <w:snapToGrid w:val="0"/>
        <w:spacing w:line="520" w:lineRule="exact"/>
        <w:ind w:firstLineChars="200" w:firstLine="640"/>
        <w:rPr>
          <w:rFonts w:ascii="仿宋_GB2312" w:eastAsia="仿宋_GB2312"/>
          <w:sz w:val="32"/>
          <w:szCs w:val="32"/>
        </w:rPr>
      </w:pPr>
      <w:r>
        <w:rPr>
          <w:rFonts w:ascii="仿宋_GB2312" w:eastAsia="仿宋_GB2312" w:cs="仿宋_GB2312" w:hint="eastAsia"/>
          <w:sz w:val="32"/>
          <w:szCs w:val="32"/>
        </w:rPr>
        <w:t>市房地产事务中心由一个参公单位及三个事业单位构成。三个事业单位分别为：攀枝花市房屋产权交易中心、攀枝花市白蚁防治中心、攀枝花市维修资金管理中心。</w:t>
      </w:r>
    </w:p>
    <w:p/>
    <w:p>
      <w:pPr>
        <w:widowControl/>
        <w:jc w:val="left"/>
        <w:rPr>
          <w:rFonts w:ascii="仿宋" w:eastAsia="仿宋"/>
          <w:kern w:val="0"/>
          <w:sz w:val="32"/>
          <w:szCs w:val="32"/>
        </w:rPr>
      </w:pPr>
      <w:bookmarkEnd w:id="15"/>
      <w:bookmarkEnd w:id="16"/>
      <w:r>
        <w:rPr>
          <w:rFonts w:ascii="仿宋" w:eastAsia="仿宋"/>
          <w:sz w:val="32"/>
          <w:szCs w:val="32"/>
        </w:rPr>
        <w:br w:type="page"/>
      </w:r>
    </w:p>
    <w:p>
      <w:pPr>
        <w:pStyle w:val="1"/>
        <w:ind w:right="440"/>
        <w:jc w:val="center"/>
        <w:rPr>
          <w:rStyle w:val="1Char"/>
          <w:rFonts w:ascii="黑体" w:eastAsia="黑体"/>
        </w:rPr>
      </w:pPr>
      <w:bookmarkStart w:id="17" w:name="_Toc15377204"/>
      <w:bookmarkStart w:id="18" w:name="_Toc15396602"/>
      <w:r>
        <w:rPr>
          <w:rFonts w:ascii="黑体" w:eastAsia="黑体" w:cs="黑体" w:hint="eastAsia"/>
          <w:b w:val="0"/>
          <w:bCs w:val="0"/>
        </w:rPr>
        <w:t>第二部分</w:t>
      </w:r>
      <w:r>
        <w:rPr>
          <w:rFonts w:ascii="黑体" w:eastAsia="黑体" w:cs="黑体"/>
          <w:b w:val="0"/>
          <w:bCs w:val="0"/>
        </w:rPr>
        <w:t xml:space="preserve"> 2022</w:t>
      </w:r>
      <w:r>
        <w:rPr>
          <w:rFonts w:ascii="黑体" w:eastAsia="黑体" w:cs="黑体" w:hint="eastAsia"/>
          <w:b w:val="0"/>
          <w:bCs w:val="0"/>
        </w:rPr>
        <w:t>年度</w:t>
      </w:r>
      <w:r>
        <w:rPr>
          <w:rStyle w:val="1Char"/>
          <w:rFonts w:ascii="黑体" w:eastAsia="黑体" w:cs="黑体" w:hint="eastAsia"/>
        </w:rPr>
        <w:t>单位决算情况说明</w:t>
      </w:r>
      <w:bookmarkEnd w:id="17"/>
      <w:bookmarkEnd w:id="18"/>
    </w:p>
    <w:p/>
    <w:p>
      <w:pPr>
        <w:pStyle w:val="25"/>
        <w:numPr>
          <w:ilvl w:val="0"/>
          <w:numId w:val="2"/>
        </w:numPr>
        <w:spacing w:line="600" w:lineRule="exact"/>
        <w:ind w:firstLineChars="0"/>
        <w:outlineLvl w:val="1"/>
        <w:rPr>
          <w:rStyle w:val="2Char"/>
          <w:rFonts w:ascii="黑体" w:eastAsia="黑体" w:cs="Times New Roman"/>
          <w:b w:val="0"/>
          <w:bCs w:val="0"/>
        </w:rPr>
      </w:pPr>
      <w:bookmarkStart w:id="19" w:name="_Toc15377205"/>
      <w:bookmarkStart w:id="20" w:name="_Toc15396603"/>
      <w:r>
        <w:rPr>
          <w:rFonts w:ascii="黑体" w:eastAsia="黑体" w:cs="黑体" w:hint="eastAsia"/>
          <w:sz w:val="32"/>
          <w:szCs w:val="32"/>
        </w:rPr>
        <w:t>收</w:t>
      </w:r>
      <w:r>
        <w:rPr>
          <w:rStyle w:val="2Char"/>
          <w:rFonts w:ascii="黑体" w:eastAsia="黑体" w:cs="黑体" w:hint="eastAsia"/>
          <w:b w:val="0"/>
          <w:bCs w:val="0"/>
        </w:rPr>
        <w:t>入支出决算总体情况说明</w:t>
      </w:r>
      <w:bookmarkEnd w:id="19"/>
      <w:bookmarkEnd w:id="20"/>
    </w:p>
    <w:p>
      <w:pPr>
        <w:spacing w:line="600" w:lineRule="exact"/>
        <w:ind w:firstLineChars="200" w:firstLine="640"/>
        <w:rPr>
          <w:rFonts w:ascii="仿宋" w:eastAsia="仿宋"/>
          <w:sz w:val="32"/>
          <w:szCs w:val="32"/>
        </w:rPr>
      </w:pPr>
      <w:r>
        <w:rPr>
          <w:rFonts w:ascii="仿宋" w:eastAsia="仿宋" w:cs="仿宋"/>
          <w:sz w:val="32"/>
          <w:szCs w:val="32"/>
        </w:rPr>
        <w:t>2022</w:t>
      </w:r>
      <w:r>
        <w:rPr>
          <w:rFonts w:ascii="仿宋" w:eastAsia="仿宋" w:cs="仿宋" w:hint="eastAsia"/>
          <w:sz w:val="32"/>
          <w:szCs w:val="32"/>
        </w:rPr>
        <w:t>年度收、支总计</w:t>
      </w:r>
      <w:r>
        <w:rPr>
          <w:rFonts w:ascii="仿宋" w:eastAsia="仿宋" w:cs="仿宋"/>
          <w:sz w:val="32"/>
          <w:szCs w:val="32"/>
        </w:rPr>
        <w:t>2185.2</w:t>
      </w:r>
      <w:r>
        <w:rPr>
          <w:rFonts w:ascii="仿宋" w:eastAsia="仿宋" w:cs="仿宋" w:hint="eastAsia"/>
          <w:sz w:val="32"/>
          <w:szCs w:val="32"/>
        </w:rPr>
        <w:t>万元。与</w:t>
      </w:r>
      <w:r>
        <w:rPr>
          <w:rFonts w:ascii="仿宋" w:eastAsia="仿宋" w:cs="仿宋"/>
          <w:sz w:val="32"/>
          <w:szCs w:val="32"/>
        </w:rPr>
        <w:t>2021</w:t>
      </w:r>
      <w:r>
        <w:rPr>
          <w:rFonts w:ascii="仿宋" w:eastAsia="仿宋" w:cs="仿宋" w:hint="eastAsia"/>
          <w:sz w:val="32"/>
          <w:szCs w:val="32"/>
        </w:rPr>
        <w:t>年相比，收、支总计各减少</w:t>
      </w:r>
      <w:r>
        <w:rPr>
          <w:rFonts w:ascii="仿宋" w:eastAsia="仿宋" w:cs="仿宋"/>
          <w:sz w:val="32"/>
          <w:szCs w:val="32"/>
        </w:rPr>
        <w:t>1767.82</w:t>
      </w:r>
      <w:r>
        <w:rPr>
          <w:rFonts w:ascii="仿宋" w:eastAsia="仿宋" w:cs="仿宋" w:hint="eastAsia"/>
          <w:sz w:val="32"/>
          <w:szCs w:val="32"/>
        </w:rPr>
        <w:t>万元，下降</w:t>
      </w:r>
      <w:r>
        <w:rPr>
          <w:rFonts w:ascii="仿宋" w:eastAsia="仿宋" w:cs="仿宋"/>
          <w:sz w:val="32"/>
          <w:szCs w:val="32"/>
        </w:rPr>
        <w:t>44.72%</w:t>
      </w:r>
      <w:r>
        <w:rPr>
          <w:rFonts w:ascii="仿宋" w:eastAsia="仿宋" w:cs="仿宋" w:hint="eastAsia"/>
          <w:sz w:val="32"/>
          <w:szCs w:val="32"/>
        </w:rPr>
        <w:t>。主要变动原因是</w:t>
      </w:r>
      <w:r>
        <w:rPr>
          <w:rFonts w:ascii="仿宋_GB2312" w:eastAsia="仿宋_GB2312" w:cs="仿宋_GB2312" w:hint="eastAsia"/>
          <w:sz w:val="32"/>
          <w:szCs w:val="32"/>
        </w:rPr>
        <w:t>商品房补助费、房地产市场管理经费、白蚁防治费、房地产市场信息平台运行维护费等项目资金拨付减少</w:t>
      </w:r>
      <w:r>
        <w:rPr>
          <w:rFonts w:ascii="仿宋" w:eastAsia="仿宋" w:cs="仿宋" w:hint="eastAsia"/>
          <w:sz w:val="32"/>
          <w:szCs w:val="32"/>
        </w:rPr>
        <w:t>。</w:t>
      </w:r>
    </w:p>
    <w:p>
      <w:pPr>
        <w:spacing w:line="600" w:lineRule="exact"/>
        <w:ind w:firstLineChars="200" w:firstLine="640"/>
        <w:rPr>
          <w:rFonts w:ascii="仿宋" w:eastAsia="仿宋"/>
          <w:sz w:val="32"/>
          <w:szCs w:val="32"/>
        </w:rPr>
      </w:pPr>
      <w:r>
        <w:rPr>
          <w:rFonts w:ascii="仿宋" w:eastAsia="仿宋" w:cs="仿宋" w:hint="eastAsia"/>
          <w:sz w:val="32"/>
          <w:szCs w:val="32"/>
        </w:rPr>
        <w:t>（图</w:t>
      </w:r>
      <w:r>
        <w:rPr>
          <w:rFonts w:ascii="仿宋" w:eastAsia="仿宋" w:cs="仿宋"/>
          <w:sz w:val="32"/>
          <w:szCs w:val="32"/>
        </w:rPr>
        <w:t>1</w:t>
      </w:r>
      <w:r>
        <w:rPr>
          <w:rFonts w:ascii="仿宋" w:eastAsia="仿宋" w:cs="仿宋" w:hint="eastAsia"/>
          <w:sz w:val="32"/>
          <w:szCs w:val="32"/>
        </w:rPr>
        <w:t>：收、支决算总计变动情况图）</w:t>
      </w:r>
    </w:p>
    <w:p>
      <w:pPr>
        <w:pStyle w:val="15"/>
        <w:spacing w:beforeLines="0" w:before="93"/>
        <w:rPr>
          <w:rFonts w:cs="Times New Roman"/>
        </w:rPr>
      </w:pPr>
      <w:r>
        <w:rPr>
          <w:rFonts w:cs="Times New Roman"/>
        </w:rPr>
        <w:drawing>
          <wp:inline distT="0" distB="0" distL="114298" distR="114298">
            <wp:extent cx="5314949" cy="2752725"/>
            <wp:effectExtent l="0" t="0" r="15" b="42"/>
            <wp:docPr id="1" name="图表 1"/>
            <wp:cNvGraphicFramePr>
              <a:graphicFrameLocks noChangeAspect="0"/>
            </wp:cNvGraphicFramePr>
            <a:graphic>
              <a:graphicData uri="http://schemas.openxmlformats.org/drawingml/2006/picture">
                <pic:pic>
                  <pic:nvPicPr>
                    <pic:cNvPr id="3" name="图表 1 3"/>
                    <pic:cNvPicPr/>
                  </pic:nvPicPr>
                  <pic:blipFill>
                    <a:blip r:embed="rId4"/>
                    <a:stretch>
                      <a:fillRect/>
                    </a:stretch>
                  </pic:blipFill>
                  <pic:spPr>
                    <a:xfrm rot="0">
                      <a:off x="0" y="0"/>
                      <a:ext cx="5314949" cy="2752725"/>
                    </a:xfrm>
                    <a:prstGeom prst="rect"/>
                    <a:noFill/>
                    <a:ln w="9525" cmpd="sng" cap="flat">
                      <a:noFill/>
                      <a:prstDash val="solid"/>
                      <a:miter/>
                    </a:ln>
                  </pic:spPr>
                </pic:pic>
              </a:graphicData>
            </a:graphic>
          </wp:inline>
        </w:drawing>
      </w:r>
    </w:p>
    <w:p>
      <w:pPr>
        <w:pStyle w:val="25"/>
        <w:numPr>
          <w:ilvl w:val="0"/>
          <w:numId w:val="2"/>
        </w:numPr>
        <w:spacing w:line="600" w:lineRule="exact"/>
        <w:ind w:firstLineChars="0"/>
        <w:outlineLvl w:val="1"/>
        <w:rPr>
          <w:rStyle w:val="2Char"/>
          <w:rFonts w:ascii="黑体" w:eastAsia="黑体" w:cs="Times New Roman"/>
          <w:b w:val="0"/>
          <w:bCs w:val="0"/>
        </w:rPr>
      </w:pPr>
      <w:bookmarkStart w:id="21" w:name="_Toc15377206"/>
      <w:bookmarkStart w:id="22" w:name="_Toc15396604"/>
      <w:r>
        <w:rPr>
          <w:rFonts w:ascii="黑体" w:eastAsia="黑体" w:cs="黑体" w:hint="eastAsia"/>
          <w:sz w:val="32"/>
          <w:szCs w:val="32"/>
        </w:rPr>
        <w:t>收</w:t>
      </w:r>
      <w:r>
        <w:rPr>
          <w:rStyle w:val="2Char"/>
          <w:rFonts w:ascii="黑体" w:eastAsia="黑体" w:cs="黑体" w:hint="eastAsia"/>
          <w:b w:val="0"/>
          <w:bCs w:val="0"/>
        </w:rPr>
        <w:t>入决算情况说明</w:t>
      </w:r>
      <w:bookmarkEnd w:id="21"/>
      <w:bookmarkEnd w:id="22"/>
    </w:p>
    <w:p>
      <w:pPr>
        <w:spacing w:line="600" w:lineRule="exact"/>
        <w:ind w:firstLineChars="200" w:firstLine="640"/>
        <w:outlineLvl w:val="1"/>
        <w:rPr>
          <w:rFonts w:ascii="仿宋" w:eastAsia="仿宋"/>
          <w:sz w:val="32"/>
          <w:szCs w:val="32"/>
        </w:rPr>
      </w:pPr>
      <w:r>
        <w:rPr>
          <w:rFonts w:ascii="仿宋" w:eastAsia="仿宋" w:cs="仿宋"/>
          <w:sz w:val="32"/>
          <w:szCs w:val="32"/>
        </w:rPr>
        <w:t>2022</w:t>
      </w:r>
      <w:r>
        <w:rPr>
          <w:rFonts w:ascii="仿宋" w:eastAsia="仿宋" w:cs="仿宋" w:hint="eastAsia"/>
          <w:sz w:val="32"/>
          <w:szCs w:val="32"/>
        </w:rPr>
        <w:t>年本年收入合计</w:t>
      </w:r>
      <w:r>
        <w:rPr>
          <w:rFonts w:ascii="仿宋" w:eastAsia="仿宋" w:cs="仿宋"/>
          <w:sz w:val="32"/>
          <w:szCs w:val="32"/>
        </w:rPr>
        <w:t>2001.03</w:t>
      </w:r>
      <w:r>
        <w:rPr>
          <w:rFonts w:ascii="仿宋" w:eastAsia="仿宋" w:cs="仿宋" w:hint="eastAsia"/>
          <w:sz w:val="32"/>
          <w:szCs w:val="32"/>
        </w:rPr>
        <w:t>万元，其中：一般公共预算财政拨款收入</w:t>
      </w:r>
      <w:r>
        <w:rPr>
          <w:rFonts w:ascii="仿宋" w:eastAsia="仿宋" w:cs="仿宋"/>
          <w:sz w:val="32"/>
          <w:szCs w:val="32"/>
        </w:rPr>
        <w:t>2001.03</w:t>
      </w:r>
      <w:r>
        <w:rPr>
          <w:rFonts w:ascii="仿宋" w:eastAsia="仿宋" w:cs="仿宋" w:hint="eastAsia"/>
          <w:sz w:val="32"/>
          <w:szCs w:val="32"/>
        </w:rPr>
        <w:t>万元，占</w:t>
      </w:r>
      <w:r>
        <w:rPr>
          <w:rFonts w:ascii="仿宋" w:eastAsia="仿宋" w:cs="仿宋"/>
          <w:sz w:val="32"/>
          <w:szCs w:val="32"/>
        </w:rPr>
        <w:t>100%</w:t>
      </w:r>
      <w:r>
        <w:rPr>
          <w:rFonts w:ascii="仿宋" w:eastAsia="仿宋" w:cs="仿宋" w:hint="eastAsia"/>
          <w:sz w:val="32"/>
          <w:szCs w:val="32"/>
        </w:rPr>
        <w:t>；政府性基金预算财政拨款收入</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；国有资本经营预算财政拨款收入</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；上级补助收入</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；事业收入</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；经营收入</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；附属单位上缴收入</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；其他收入</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w:t>
      </w:r>
    </w:p>
    <w:p>
      <w:pPr>
        <w:spacing w:line="600" w:lineRule="exact"/>
        <w:ind w:firstLineChars="200" w:firstLine="420"/>
        <w:rPr>
          <w:rFonts w:ascii="仿宋" w:eastAsia="仿宋"/>
          <w:sz w:val="32"/>
          <w:szCs w:val="32"/>
        </w:rPr>
      </w:pPr>
      <w:r>
        <w:drawing>
          <wp:anchor distT="3609" distB="11859" distL="119432" distR="131164" simplePos="0" relativeHeight="30" behindDoc="0" locked="0" layoutInCell="1" hidden="0" allowOverlap="1">
            <wp:simplePos x="0" y="0"/>
            <wp:positionH relativeFrom="column">
              <wp:posOffset>92710</wp:posOffset>
            </wp:positionH>
            <wp:positionV relativeFrom="page">
              <wp:posOffset>1393824</wp:posOffset>
            </wp:positionV>
            <wp:extent cx="5248909" cy="3054349"/>
            <wp:effectExtent l="0" t="0" r="48" b="14"/>
            <wp:wrapSquare wrapText="bothSides"/>
            <wp:docPr id="4" name="图表 3"/>
            <wp:cNvGraphicFramePr>
              <a:graphicFrameLocks noChangeAspect="0"/>
            </wp:cNvGraphicFramePr>
            <a:graphic>
              <a:graphicData uri="http://schemas.openxmlformats.org/drawingml/2006/picture">
                <pic:pic>
                  <pic:nvPicPr>
                    <pic:cNvPr id="6" name="图表 3 6"/>
                    <pic:cNvPicPr/>
                  </pic:nvPicPr>
                  <pic:blipFill>
                    <a:blip r:embed="rId5"/>
                    <a:stretch>
                      <a:fillRect/>
                    </a:stretch>
                  </pic:blipFill>
                  <pic:spPr>
                    <a:xfrm rot="0">
                      <a:off x="0" y="0"/>
                      <a:ext cx="5248909" cy="3054349"/>
                    </a:xfrm>
                    <a:prstGeom prst="rect"/>
                    <a:noFill/>
                    <a:ln w="9525" cmpd="sng" cap="flat">
                      <a:noFill/>
                      <a:prstDash val="solid"/>
                      <a:miter/>
                    </a:ln>
                  </pic:spPr>
                </pic:pic>
              </a:graphicData>
            </a:graphic>
          </wp:anchor>
        </w:drawing>
      </w:r>
      <w:r>
        <w:rPr>
          <w:rFonts w:ascii="仿宋" w:eastAsia="仿宋" w:cs="仿宋" w:hint="eastAsia"/>
          <w:sz w:val="32"/>
          <w:szCs w:val="32"/>
        </w:rPr>
        <w:t>（图</w:t>
      </w:r>
      <w:r>
        <w:rPr>
          <w:rFonts w:ascii="仿宋" w:eastAsia="仿宋" w:cs="仿宋"/>
          <w:sz w:val="32"/>
          <w:szCs w:val="32"/>
        </w:rPr>
        <w:t>2</w:t>
      </w:r>
      <w:r>
        <w:rPr>
          <w:rFonts w:ascii="仿宋" w:eastAsia="仿宋" w:cs="仿宋" w:hint="eastAsia"/>
          <w:sz w:val="32"/>
          <w:szCs w:val="32"/>
        </w:rPr>
        <w:t>：收入决算结构图）</w:t>
      </w:r>
    </w:p>
    <w:p>
      <w:pPr>
        <w:pStyle w:val="25"/>
        <w:numPr>
          <w:ilvl w:val="0"/>
          <w:numId w:val="2"/>
        </w:numPr>
        <w:spacing w:line="600" w:lineRule="exact"/>
        <w:ind w:firstLineChars="0"/>
        <w:outlineLvl w:val="1"/>
        <w:rPr>
          <w:rStyle w:val="2Char"/>
          <w:rFonts w:ascii="黑体" w:eastAsia="黑体" w:cs="Times New Roman"/>
          <w:b w:val="0"/>
          <w:bCs w:val="0"/>
        </w:rPr>
      </w:pPr>
      <w:bookmarkStart w:id="23" w:name="_Toc15377207"/>
      <w:bookmarkStart w:id="24" w:name="_Toc15396605"/>
      <w:r>
        <w:rPr>
          <w:rFonts w:ascii="黑体" w:eastAsia="黑体" w:cs="黑体" w:hint="eastAsia"/>
          <w:sz w:val="32"/>
          <w:szCs w:val="32"/>
        </w:rPr>
        <w:t>支</w:t>
      </w:r>
      <w:r>
        <w:rPr>
          <w:rStyle w:val="2Char"/>
          <w:rFonts w:ascii="黑体" w:eastAsia="黑体" w:cs="黑体" w:hint="eastAsia"/>
          <w:b w:val="0"/>
          <w:bCs w:val="0"/>
        </w:rPr>
        <w:t>出决算情况说明</w:t>
      </w:r>
      <w:bookmarkEnd w:id="23"/>
      <w:bookmarkEnd w:id="24"/>
    </w:p>
    <w:p>
      <w:pPr>
        <w:spacing w:line="600" w:lineRule="exact"/>
        <w:ind w:firstLineChars="200" w:firstLine="640"/>
        <w:outlineLvl w:val="1"/>
        <w:rPr>
          <w:rFonts w:ascii="仿宋" w:eastAsia="仿宋"/>
          <w:sz w:val="32"/>
          <w:szCs w:val="32"/>
        </w:rPr>
      </w:pPr>
      <w:r>
        <w:rPr>
          <w:rFonts w:ascii="仿宋" w:eastAsia="仿宋" w:cs="仿宋"/>
          <w:sz w:val="32"/>
          <w:szCs w:val="32"/>
        </w:rPr>
        <w:t>2022</w:t>
      </w:r>
      <w:r>
        <w:rPr>
          <w:rFonts w:ascii="仿宋" w:eastAsia="仿宋" w:cs="仿宋" w:hint="eastAsia"/>
          <w:sz w:val="32"/>
          <w:szCs w:val="32"/>
        </w:rPr>
        <w:t>年本年支出合计</w:t>
      </w:r>
      <w:r>
        <w:rPr>
          <w:rFonts w:ascii="仿宋" w:eastAsia="仿宋" w:cs="仿宋"/>
          <w:sz w:val="32"/>
          <w:szCs w:val="32"/>
        </w:rPr>
        <w:t>2184.43</w:t>
      </w:r>
      <w:r>
        <w:rPr>
          <w:rFonts w:ascii="仿宋" w:eastAsia="仿宋" w:cs="仿宋" w:hint="eastAsia"/>
          <w:sz w:val="32"/>
          <w:szCs w:val="32"/>
        </w:rPr>
        <w:t>万元，其中：基本支出</w:t>
      </w:r>
      <w:r>
        <w:rPr>
          <w:rFonts w:ascii="仿宋" w:eastAsia="仿宋" w:cs="仿宋"/>
          <w:sz w:val="32"/>
          <w:szCs w:val="32"/>
        </w:rPr>
        <w:t>1675.74</w:t>
      </w:r>
      <w:r>
        <w:rPr>
          <w:rFonts w:ascii="仿宋" w:eastAsia="仿宋" w:cs="仿宋" w:hint="eastAsia"/>
          <w:sz w:val="32"/>
          <w:szCs w:val="32"/>
        </w:rPr>
        <w:t>万元，占</w:t>
      </w:r>
      <w:r>
        <w:rPr>
          <w:rFonts w:ascii="仿宋" w:eastAsia="仿宋" w:cs="仿宋"/>
          <w:sz w:val="32"/>
          <w:szCs w:val="32"/>
        </w:rPr>
        <w:t>76.71%</w:t>
      </w:r>
      <w:r>
        <w:rPr>
          <w:rFonts w:ascii="仿宋" w:eastAsia="仿宋" w:cs="仿宋" w:hint="eastAsia"/>
          <w:sz w:val="32"/>
          <w:szCs w:val="32"/>
        </w:rPr>
        <w:t>；项目支出</w:t>
      </w:r>
      <w:r>
        <w:rPr>
          <w:rFonts w:ascii="仿宋" w:eastAsia="仿宋" w:cs="仿宋"/>
          <w:sz w:val="32"/>
          <w:szCs w:val="32"/>
        </w:rPr>
        <w:t>508.69</w:t>
      </w:r>
      <w:r>
        <w:rPr>
          <w:rFonts w:ascii="仿宋" w:eastAsia="仿宋" w:cs="仿宋" w:hint="eastAsia"/>
          <w:sz w:val="32"/>
          <w:szCs w:val="32"/>
        </w:rPr>
        <w:t>万元，占</w:t>
      </w:r>
      <w:r>
        <w:rPr>
          <w:rFonts w:ascii="仿宋" w:eastAsia="仿宋" w:cs="仿宋"/>
          <w:sz w:val="32"/>
          <w:szCs w:val="32"/>
        </w:rPr>
        <w:t>23.29%</w:t>
      </w:r>
      <w:r>
        <w:rPr>
          <w:rFonts w:ascii="仿宋" w:eastAsia="仿宋" w:cs="仿宋" w:hint="eastAsia"/>
          <w:sz w:val="32"/>
          <w:szCs w:val="32"/>
        </w:rPr>
        <w:t>；上缴上级支出</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；经营支出</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；对附属单位补助支出</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w:t>
      </w:r>
    </w:p>
    <w:p>
      <w:pPr>
        <w:spacing w:line="600" w:lineRule="exact"/>
        <w:ind w:firstLineChars="200" w:firstLine="640"/>
        <w:rPr>
          <w:rFonts w:ascii="仿宋" w:eastAsia="仿宋"/>
          <w:sz w:val="32"/>
          <w:szCs w:val="32"/>
        </w:rPr>
      </w:pPr>
      <w:r>
        <w:rPr>
          <w:rFonts w:ascii="仿宋" w:eastAsia="仿宋" w:cs="仿宋" w:hint="eastAsia"/>
          <w:sz w:val="32"/>
          <w:szCs w:val="32"/>
        </w:rPr>
        <w:t>（图</w:t>
      </w:r>
      <w:r>
        <w:rPr>
          <w:rFonts w:ascii="仿宋" w:eastAsia="仿宋" w:cs="仿宋"/>
          <w:sz w:val="32"/>
          <w:szCs w:val="32"/>
        </w:rPr>
        <w:t>3</w:t>
      </w:r>
      <w:r>
        <w:rPr>
          <w:rFonts w:ascii="仿宋" w:eastAsia="仿宋" w:cs="仿宋" w:hint="eastAsia"/>
          <w:sz w:val="32"/>
          <w:szCs w:val="32"/>
        </w:rPr>
        <w:t>：支出决算结构图）</w:t>
      </w:r>
    </w:p>
    <w:p>
      <w:pPr>
        <w:pStyle w:val="15"/>
        <w:spacing w:beforeLines="0" w:before="93"/>
        <w:rPr>
          <w:rFonts w:cs="Times New Roman"/>
        </w:rPr>
      </w:pPr>
      <w:r>
        <w:rPr>
          <w:rFonts w:cs="Times New Roman"/>
        </w:rPr>
        <w:drawing>
          <wp:inline distT="0" distB="0" distL="114298" distR="114298">
            <wp:extent cx="5295900" cy="2619374"/>
            <wp:effectExtent l="0" t="0" r="14" b="39"/>
            <wp:docPr id="7" name="图片"/>
            <wp:cNvGraphicFramePr>
              <a:graphicFrameLocks noChangeAspect="0"/>
            </wp:cNvGraphicFramePr>
            <a:graphic>
              <a:graphicData uri="http://schemas.openxmlformats.org/drawingml/2006/picture">
                <pic:pic>
                  <pic:nvPicPr>
                    <pic:cNvPr id="9" name="图片 9"/>
                    <pic:cNvPicPr/>
                  </pic:nvPicPr>
                  <pic:blipFill>
                    <a:blip r:embed="rId6"/>
                    <a:stretch>
                      <a:fillRect/>
                    </a:stretch>
                  </pic:blipFill>
                  <pic:spPr>
                    <a:xfrm rot="0">
                      <a:off x="0" y="0"/>
                      <a:ext cx="5295900" cy="2619374"/>
                    </a:xfrm>
                    <a:prstGeom prst="rect"/>
                    <a:noFill/>
                    <a:ln w="9525" cmpd="sng" cap="flat">
                      <a:noFill/>
                      <a:prstDash val="solid"/>
                      <a:miter/>
                    </a:ln>
                  </pic:spPr>
                </pic:pic>
              </a:graphicData>
            </a:graphic>
          </wp:inline>
        </w:drawing>
      </w:r>
    </w:p>
    <w:p>
      <w:pPr>
        <w:spacing w:line="600" w:lineRule="exact"/>
        <w:ind w:firstLineChars="200" w:firstLine="640"/>
        <w:outlineLvl w:val="1"/>
        <w:rPr>
          <w:rStyle w:val="2Char"/>
          <w:rFonts w:ascii="黑体" w:eastAsia="黑体" w:cs="Times New Roman"/>
          <w:b w:val="0"/>
          <w:bCs w:val="0"/>
        </w:rPr>
      </w:pPr>
      <w:bookmarkStart w:id="25" w:name="_Toc15377208"/>
      <w:bookmarkStart w:id="26" w:name="_Toc15396606"/>
      <w:r>
        <w:rPr>
          <w:rFonts w:ascii="黑体" w:eastAsia="黑体" w:cs="黑体" w:hint="eastAsia"/>
          <w:sz w:val="32"/>
          <w:szCs w:val="32"/>
        </w:rPr>
        <w:t>四、财</w:t>
      </w:r>
      <w:r>
        <w:rPr>
          <w:rStyle w:val="2Char"/>
          <w:rFonts w:ascii="黑体" w:eastAsia="黑体" w:cs="黑体" w:hint="eastAsia"/>
          <w:b w:val="0"/>
          <w:bCs w:val="0"/>
        </w:rPr>
        <w:t>政拨款收入支出决算总体情况说明</w:t>
      </w:r>
      <w:bookmarkEnd w:id="25"/>
      <w:bookmarkEnd w:id="26"/>
    </w:p>
    <w:p>
      <w:pPr>
        <w:spacing w:line="600" w:lineRule="exact"/>
        <w:ind w:firstLineChars="200" w:firstLine="640"/>
        <w:rPr>
          <w:rFonts w:ascii="仿宋" w:eastAsia="仿宋"/>
          <w:sz w:val="32"/>
          <w:szCs w:val="32"/>
        </w:rPr>
      </w:pPr>
      <w:r>
        <w:rPr>
          <w:rFonts w:ascii="仿宋" w:eastAsia="仿宋" w:cs="仿宋"/>
          <w:sz w:val="32"/>
          <w:szCs w:val="32"/>
        </w:rPr>
        <w:t>2022</w:t>
      </w:r>
      <w:r>
        <w:rPr>
          <w:rFonts w:ascii="仿宋" w:eastAsia="仿宋" w:cs="仿宋" w:hint="eastAsia"/>
          <w:sz w:val="32"/>
          <w:szCs w:val="32"/>
        </w:rPr>
        <w:t>年财政拨款收、支总计</w:t>
      </w:r>
      <w:r>
        <w:rPr>
          <w:rFonts w:ascii="仿宋" w:eastAsia="仿宋" w:cs="仿宋"/>
          <w:sz w:val="32"/>
          <w:szCs w:val="32"/>
        </w:rPr>
        <w:t>2185.2</w:t>
      </w:r>
      <w:r>
        <w:rPr>
          <w:rFonts w:ascii="仿宋" w:eastAsia="仿宋" w:cs="仿宋" w:hint="eastAsia"/>
          <w:sz w:val="32"/>
          <w:szCs w:val="32"/>
        </w:rPr>
        <w:t>万元。与</w:t>
      </w:r>
      <w:r>
        <w:rPr>
          <w:rFonts w:ascii="仿宋" w:eastAsia="仿宋" w:cs="仿宋"/>
          <w:sz w:val="32"/>
          <w:szCs w:val="32"/>
        </w:rPr>
        <w:t>2021</w:t>
      </w:r>
      <w:r>
        <w:rPr>
          <w:rFonts w:ascii="仿宋" w:eastAsia="仿宋" w:cs="仿宋" w:hint="eastAsia"/>
          <w:sz w:val="32"/>
          <w:szCs w:val="32"/>
        </w:rPr>
        <w:t>年相比，财政拨款收、支总计各减少</w:t>
      </w:r>
      <w:r>
        <w:rPr>
          <w:rFonts w:ascii="仿宋" w:eastAsia="仿宋" w:cs="仿宋"/>
          <w:sz w:val="32"/>
          <w:szCs w:val="32"/>
        </w:rPr>
        <w:t>1760.03</w:t>
      </w:r>
      <w:r>
        <w:rPr>
          <w:rFonts w:ascii="仿宋" w:eastAsia="仿宋" w:cs="仿宋" w:hint="eastAsia"/>
          <w:sz w:val="32"/>
          <w:szCs w:val="32"/>
        </w:rPr>
        <w:t>万元，下降</w:t>
      </w:r>
      <w:r>
        <w:rPr>
          <w:rFonts w:ascii="仿宋" w:eastAsia="仿宋" w:cs="仿宋"/>
          <w:sz w:val="32"/>
          <w:szCs w:val="32"/>
        </w:rPr>
        <w:t>44.61%</w:t>
      </w:r>
      <w:r>
        <w:rPr>
          <w:rFonts w:ascii="仿宋" w:eastAsia="仿宋" w:cs="仿宋" w:hint="eastAsia"/>
          <w:sz w:val="32"/>
          <w:szCs w:val="32"/>
        </w:rPr>
        <w:t>。主要变动原因是</w:t>
      </w:r>
      <w:r>
        <w:rPr>
          <w:rFonts w:ascii="仿宋_GB2312" w:eastAsia="仿宋_GB2312" w:cs="仿宋_GB2312" w:hint="eastAsia"/>
          <w:sz w:val="32"/>
          <w:szCs w:val="32"/>
        </w:rPr>
        <w:t>商品房补助费、房地产市场管理经费、白蚁防治费、房地产市场信息平台运行维护费等项目资金拨付减少</w:t>
      </w:r>
      <w:r>
        <w:rPr>
          <w:rFonts w:ascii="仿宋" w:eastAsia="仿宋" w:cs="仿宋" w:hint="eastAsia"/>
          <w:sz w:val="32"/>
          <w:szCs w:val="32"/>
        </w:rPr>
        <w:t>。</w:t>
      </w:r>
    </w:p>
    <w:p>
      <w:pPr>
        <w:spacing w:line="600" w:lineRule="exact"/>
        <w:ind w:firstLineChars="200" w:firstLine="640"/>
        <w:rPr>
          <w:rFonts w:ascii="仿宋" w:eastAsia="仿宋"/>
          <w:sz w:val="32"/>
          <w:szCs w:val="32"/>
        </w:rPr>
      </w:pPr>
      <w:r>
        <w:rPr>
          <w:rFonts w:ascii="仿宋" w:eastAsia="仿宋" w:cs="仿宋" w:hint="eastAsia"/>
          <w:sz w:val="32"/>
          <w:szCs w:val="32"/>
        </w:rPr>
        <w:t>（图</w:t>
      </w:r>
      <w:r>
        <w:rPr>
          <w:rFonts w:ascii="仿宋" w:eastAsia="仿宋" w:cs="仿宋"/>
          <w:sz w:val="32"/>
          <w:szCs w:val="32"/>
        </w:rPr>
        <w:t>4</w:t>
      </w:r>
      <w:r>
        <w:rPr>
          <w:rFonts w:ascii="仿宋" w:eastAsia="仿宋" w:cs="仿宋" w:hint="eastAsia"/>
          <w:sz w:val="32"/>
          <w:szCs w:val="32"/>
        </w:rPr>
        <w:t>：财政拨款收、支决算总计变动情况）</w:t>
      </w:r>
    </w:p>
    <w:p>
      <w:pPr>
        <w:pStyle w:val="15"/>
        <w:spacing w:beforeLines="0" w:before="93"/>
        <w:rPr>
          <w:rFonts w:cs="Times New Roman"/>
        </w:rPr>
      </w:pPr>
      <w:r>
        <w:rPr>
          <w:rFonts w:cs="Times New Roman"/>
        </w:rPr>
        <w:drawing>
          <wp:inline distT="0" distB="0" distL="114298" distR="114298">
            <wp:extent cx="5324474" cy="2752725"/>
            <wp:effectExtent l="0" t="0" r="15" b="42"/>
            <wp:docPr id="10" name="图表 5"/>
            <wp:cNvGraphicFramePr>
              <a:graphicFrameLocks noChangeAspect="0"/>
            </wp:cNvGraphicFramePr>
            <a:graphic>
              <a:graphicData uri="http://schemas.openxmlformats.org/drawingml/2006/picture">
                <pic:pic>
                  <pic:nvPicPr>
                    <pic:cNvPr id="12" name="图表 5 12"/>
                    <pic:cNvPicPr/>
                  </pic:nvPicPr>
                  <pic:blipFill>
                    <a:blip r:embed="rId7"/>
                    <a:stretch>
                      <a:fillRect/>
                    </a:stretch>
                  </pic:blipFill>
                  <pic:spPr>
                    <a:xfrm rot="0">
                      <a:off x="0" y="0"/>
                      <a:ext cx="5324474" cy="2752725"/>
                    </a:xfrm>
                    <a:prstGeom prst="rect"/>
                    <a:noFill/>
                    <a:ln w="9525" cmpd="sng" cap="flat">
                      <a:noFill/>
                      <a:prstDash val="solid"/>
                      <a:miter/>
                    </a:ln>
                  </pic:spPr>
                </pic:pic>
              </a:graphicData>
            </a:graphic>
          </wp:inline>
        </w:drawing>
      </w:r>
    </w:p>
    <w:p>
      <w:pPr>
        <w:spacing w:line="600" w:lineRule="exact"/>
        <w:ind w:firstLineChars="200" w:firstLine="640"/>
        <w:outlineLvl w:val="1"/>
        <w:rPr>
          <w:rStyle w:val="2Char"/>
          <w:rFonts w:ascii="黑体" w:eastAsia="黑体" w:cs="Times New Roman"/>
          <w:b w:val="0"/>
          <w:bCs w:val="0"/>
        </w:rPr>
      </w:pPr>
      <w:bookmarkStart w:id="27" w:name="_Toc15396607"/>
      <w:bookmarkStart w:id="28" w:name="_Toc15377209"/>
      <w:r>
        <w:rPr>
          <w:rFonts w:ascii="黑体" w:eastAsia="黑体" w:cs="黑体" w:hint="eastAsia"/>
          <w:sz w:val="32"/>
          <w:szCs w:val="32"/>
        </w:rPr>
        <w:t>五、</w:t>
      </w:r>
      <w:r>
        <w:rPr>
          <w:rFonts w:ascii="黑体" w:eastAsia="黑体" w:cs="黑体" w:hint="eastAsia"/>
          <w:b/>
          <w:bCs/>
          <w:sz w:val="32"/>
          <w:szCs w:val="32"/>
        </w:rPr>
        <w:t>一</w:t>
      </w:r>
      <w:r>
        <w:rPr>
          <w:rStyle w:val="2Char"/>
          <w:rFonts w:ascii="黑体" w:eastAsia="黑体" w:cs="黑体" w:hint="eastAsia"/>
          <w:b w:val="0"/>
          <w:bCs w:val="0"/>
        </w:rPr>
        <w:t>般公共预算财政拨款支出决算情况说明</w:t>
      </w:r>
      <w:bookmarkEnd w:id="27"/>
      <w:bookmarkEnd w:id="28"/>
    </w:p>
    <w:p>
      <w:pPr>
        <w:spacing w:line="600" w:lineRule="exact"/>
        <w:ind w:firstLineChars="200" w:firstLine="640"/>
        <w:outlineLvl w:val="2"/>
        <w:rPr>
          <w:rFonts w:ascii="仿宋" w:eastAsia="仿宋"/>
          <w:b/>
          <w:bCs/>
          <w:sz w:val="32"/>
          <w:szCs w:val="32"/>
        </w:rPr>
      </w:pPr>
      <w:bookmarkStart w:id="29" w:name="_Toc15377210"/>
      <w:r>
        <w:rPr>
          <w:rFonts w:ascii="仿宋" w:eastAsia="仿宋" w:cs="仿宋" w:hint="eastAsia"/>
          <w:b/>
          <w:bCs/>
          <w:sz w:val="32"/>
          <w:szCs w:val="32"/>
        </w:rPr>
        <w:t>（一）一般公共预算财政拨款支出决算总体情况</w:t>
      </w:r>
      <w:bookmarkEnd w:id="29"/>
    </w:p>
    <w:p>
      <w:pPr>
        <w:spacing w:line="600" w:lineRule="exact"/>
        <w:ind w:firstLineChars="200" w:firstLine="640"/>
        <w:rPr>
          <w:rFonts w:ascii="仿宋" w:eastAsia="仿宋"/>
          <w:sz w:val="32"/>
          <w:szCs w:val="32"/>
        </w:rPr>
      </w:pPr>
      <w:r>
        <w:rPr>
          <w:rFonts w:ascii="仿宋" w:eastAsia="仿宋" w:cs="仿宋"/>
          <w:sz w:val="32"/>
          <w:szCs w:val="32"/>
        </w:rPr>
        <w:t>2022</w:t>
      </w:r>
      <w:r>
        <w:rPr>
          <w:rFonts w:ascii="仿宋" w:eastAsia="仿宋" w:cs="仿宋" w:hint="eastAsia"/>
          <w:sz w:val="32"/>
          <w:szCs w:val="32"/>
        </w:rPr>
        <w:t>年一般公共预算财政拨款支出</w:t>
      </w:r>
      <w:r>
        <w:rPr>
          <w:rFonts w:ascii="仿宋" w:eastAsia="仿宋" w:cs="仿宋"/>
          <w:sz w:val="32"/>
          <w:szCs w:val="32"/>
        </w:rPr>
        <w:t>2184.43</w:t>
      </w:r>
      <w:r>
        <w:rPr>
          <w:rFonts w:ascii="仿宋" w:eastAsia="仿宋" w:cs="仿宋" w:hint="eastAsia"/>
          <w:sz w:val="32"/>
          <w:szCs w:val="32"/>
        </w:rPr>
        <w:t>万元，占本年支出合计的</w:t>
      </w:r>
      <w:r>
        <w:rPr>
          <w:rFonts w:ascii="仿宋" w:eastAsia="仿宋" w:cs="仿宋"/>
          <w:sz w:val="32"/>
          <w:szCs w:val="32"/>
        </w:rPr>
        <w:t>100%</w:t>
      </w:r>
      <w:r>
        <w:rPr>
          <w:rFonts w:ascii="仿宋" w:eastAsia="仿宋" w:cs="仿宋" w:hint="eastAsia"/>
          <w:sz w:val="32"/>
          <w:szCs w:val="32"/>
        </w:rPr>
        <w:t>。与</w:t>
      </w:r>
      <w:r>
        <w:rPr>
          <w:rFonts w:ascii="仿宋" w:eastAsia="仿宋" w:cs="仿宋"/>
          <w:sz w:val="32"/>
          <w:szCs w:val="32"/>
        </w:rPr>
        <w:t>2021</w:t>
      </w:r>
      <w:r>
        <w:rPr>
          <w:rFonts w:ascii="仿宋" w:eastAsia="仿宋" w:cs="仿宋" w:hint="eastAsia"/>
          <w:sz w:val="32"/>
          <w:szCs w:val="32"/>
        </w:rPr>
        <w:t>年相比，一般公共预算财政拨款支出减少</w:t>
      </w:r>
      <w:r>
        <w:rPr>
          <w:rFonts w:ascii="仿宋" w:eastAsia="仿宋" w:cs="仿宋"/>
          <w:sz w:val="32"/>
          <w:szCs w:val="32"/>
        </w:rPr>
        <w:t>1732.27</w:t>
      </w:r>
      <w:r>
        <w:rPr>
          <w:rFonts w:ascii="仿宋" w:eastAsia="仿宋" w:cs="仿宋" w:hint="eastAsia"/>
          <w:sz w:val="32"/>
          <w:szCs w:val="32"/>
        </w:rPr>
        <w:t>万元，下降</w:t>
      </w:r>
      <w:r>
        <w:rPr>
          <w:rFonts w:ascii="仿宋" w:eastAsia="仿宋" w:cs="仿宋"/>
          <w:sz w:val="32"/>
          <w:szCs w:val="32"/>
        </w:rPr>
        <w:t>44.23%</w:t>
      </w:r>
      <w:r>
        <w:rPr>
          <w:rFonts w:ascii="仿宋" w:eastAsia="仿宋" w:cs="仿宋" w:hint="eastAsia"/>
          <w:sz w:val="32"/>
          <w:szCs w:val="32"/>
        </w:rPr>
        <w:t>。主要变动原因是</w:t>
      </w:r>
      <w:r>
        <w:rPr>
          <w:rFonts w:ascii="仿宋_GB2312" w:eastAsia="仿宋_GB2312" w:cs="仿宋_GB2312" w:hint="eastAsia"/>
          <w:sz w:val="32"/>
          <w:szCs w:val="32"/>
        </w:rPr>
        <w:t>商品房补助费、房地产市场管理经费、白蚁防治费、房地产市场信息平台运行维护费等项目资金拨付减少</w:t>
      </w:r>
      <w:r>
        <w:rPr>
          <w:rFonts w:ascii="仿宋" w:eastAsia="仿宋" w:cs="仿宋" w:hint="eastAsia"/>
          <w:sz w:val="32"/>
          <w:szCs w:val="32"/>
        </w:rPr>
        <w:t>。</w:t>
      </w:r>
    </w:p>
    <w:p>
      <w:pPr>
        <w:spacing w:line="600" w:lineRule="exact"/>
        <w:ind w:firstLineChars="200" w:firstLine="640"/>
        <w:rPr>
          <w:rFonts w:ascii="仿宋" w:eastAsia="仿宋"/>
          <w:sz w:val="32"/>
          <w:szCs w:val="32"/>
        </w:rPr>
      </w:pPr>
      <w:r>
        <w:rPr>
          <w:rFonts w:ascii="仿宋" w:eastAsia="仿宋" w:cs="仿宋" w:hint="eastAsia"/>
          <w:sz w:val="32"/>
          <w:szCs w:val="32"/>
        </w:rPr>
        <w:t>（图</w:t>
      </w:r>
      <w:r>
        <w:rPr>
          <w:rFonts w:ascii="仿宋" w:eastAsia="仿宋" w:cs="仿宋"/>
          <w:sz w:val="32"/>
          <w:szCs w:val="32"/>
        </w:rPr>
        <w:t>5</w:t>
      </w:r>
      <w:r>
        <w:rPr>
          <w:rFonts w:ascii="仿宋" w:eastAsia="仿宋" w:cs="仿宋" w:hint="eastAsia"/>
          <w:sz w:val="32"/>
          <w:szCs w:val="32"/>
        </w:rPr>
        <w:t>：一般公共预算财政拨款支出决算变动情况）</w:t>
      </w:r>
    </w:p>
    <w:p>
      <w:pPr>
        <w:pStyle w:val="15"/>
        <w:spacing w:beforeLines="0" w:before="93"/>
        <w:rPr>
          <w:rFonts w:cs="Times New Roman"/>
        </w:rPr>
      </w:pPr>
      <w:r>
        <w:rPr>
          <w:rFonts w:cs="Times New Roman"/>
        </w:rPr>
        <w:drawing>
          <wp:inline distT="0" distB="0" distL="114298" distR="114298">
            <wp:extent cx="4591050" cy="2752725"/>
            <wp:effectExtent l="0" t="0" r="25" b="42"/>
            <wp:docPr id="13" name="图片"/>
            <wp:cNvGraphicFramePr>
              <a:graphicFrameLocks noChangeAspect="0"/>
            </wp:cNvGraphicFramePr>
            <a:graphic>
              <a:graphicData uri="http://schemas.openxmlformats.org/drawingml/2006/picture">
                <pic:pic>
                  <pic:nvPicPr>
                    <pic:cNvPr id="15" name="图片 15"/>
                    <pic:cNvPicPr/>
                  </pic:nvPicPr>
                  <pic:blipFill>
                    <a:blip r:embed="rId8"/>
                    <a:stretch>
                      <a:fillRect/>
                    </a:stretch>
                  </pic:blipFill>
                  <pic:spPr>
                    <a:xfrm rot="0">
                      <a:off x="0" y="0"/>
                      <a:ext cx="4591050" cy="2752725"/>
                    </a:xfrm>
                    <a:prstGeom prst="rect"/>
                    <a:noFill/>
                    <a:ln w="9525" cmpd="sng" cap="flat">
                      <a:noFill/>
                      <a:prstDash val="solid"/>
                      <a:miter/>
                    </a:ln>
                  </pic:spPr>
                </pic:pic>
              </a:graphicData>
            </a:graphic>
          </wp:inline>
        </w:drawing>
      </w:r>
    </w:p>
    <w:p>
      <w:pPr>
        <w:spacing w:line="600" w:lineRule="exact"/>
        <w:ind w:firstLineChars="200" w:firstLine="640"/>
        <w:outlineLvl w:val="2"/>
        <w:rPr>
          <w:rFonts w:ascii="仿宋" w:eastAsia="仿宋"/>
          <w:b/>
          <w:bCs/>
          <w:sz w:val="32"/>
          <w:szCs w:val="32"/>
        </w:rPr>
      </w:pPr>
      <w:bookmarkStart w:id="30" w:name="_Toc15377211"/>
      <w:r>
        <w:rPr>
          <w:rFonts w:ascii="仿宋" w:eastAsia="仿宋" w:cs="仿宋" w:hint="eastAsia"/>
          <w:b/>
          <w:bCs/>
          <w:sz w:val="32"/>
          <w:szCs w:val="32"/>
        </w:rPr>
        <w:t>（二）一般公共预算财政拨款支出决算结构情况</w:t>
      </w:r>
      <w:bookmarkEnd w:id="30"/>
    </w:p>
    <w:p>
      <w:pPr>
        <w:spacing w:line="600" w:lineRule="exact"/>
        <w:ind w:firstLine="640"/>
        <w:rPr>
          <w:rFonts w:ascii="仿宋" w:eastAsia="仿宋"/>
          <w:b/>
          <w:bCs/>
          <w:sz w:val="32"/>
          <w:szCs w:val="32"/>
        </w:rPr>
      </w:pPr>
      <w:r>
        <w:rPr>
          <w:rFonts w:ascii="仿宋" w:eastAsia="仿宋" w:cs="仿宋"/>
          <w:sz w:val="32"/>
          <w:szCs w:val="32"/>
        </w:rPr>
        <w:t>2022</w:t>
      </w:r>
      <w:r>
        <w:rPr>
          <w:rFonts w:ascii="仿宋" w:eastAsia="仿宋" w:cs="仿宋" w:hint="eastAsia"/>
          <w:sz w:val="32"/>
          <w:szCs w:val="32"/>
        </w:rPr>
        <w:t>年一般公共预算财政拨款支出</w:t>
      </w:r>
      <w:r>
        <w:rPr>
          <w:rFonts w:ascii="仿宋" w:eastAsia="仿宋" w:cs="仿宋"/>
          <w:sz w:val="32"/>
          <w:szCs w:val="32"/>
        </w:rPr>
        <w:t>2184.43</w:t>
      </w:r>
      <w:r>
        <w:rPr>
          <w:rFonts w:ascii="仿宋" w:eastAsia="仿宋" w:cs="仿宋" w:hint="eastAsia"/>
          <w:sz w:val="32"/>
          <w:szCs w:val="32"/>
        </w:rPr>
        <w:t>万元，主要用于以下方面</w:t>
      </w:r>
      <w:r>
        <w:rPr>
          <w:rFonts w:ascii="仿宋" w:eastAsia="仿宋" w:cs="仿宋"/>
          <w:sz w:val="32"/>
          <w:szCs w:val="32"/>
        </w:rPr>
        <w:t>:</w:t>
      </w:r>
      <w:r>
        <w:rPr>
          <w:rFonts w:ascii="仿宋" w:eastAsia="仿宋" w:cs="仿宋" w:hint="eastAsia"/>
          <w:b/>
          <w:bCs/>
          <w:sz w:val="32"/>
          <w:szCs w:val="32"/>
        </w:rPr>
        <w:t>一般公共服务支出</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w:t>
      </w:r>
      <w:r>
        <w:rPr>
          <w:rFonts w:ascii="仿宋" w:eastAsia="仿宋" w:cs="仿宋" w:hint="eastAsia"/>
          <w:b/>
          <w:bCs/>
          <w:sz w:val="32"/>
          <w:szCs w:val="32"/>
        </w:rPr>
        <w:t>教育支出</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w:t>
      </w:r>
      <w:r>
        <w:rPr>
          <w:rFonts w:ascii="仿宋" w:eastAsia="仿宋" w:cs="仿宋" w:hint="eastAsia"/>
          <w:b/>
          <w:bCs/>
          <w:sz w:val="32"/>
          <w:szCs w:val="32"/>
        </w:rPr>
        <w:t>科学技术支出</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w:t>
      </w:r>
      <w:r>
        <w:rPr>
          <w:rFonts w:ascii="仿宋" w:eastAsia="仿宋" w:cs="仿宋" w:hint="eastAsia"/>
          <w:b/>
          <w:bCs/>
          <w:sz w:val="32"/>
          <w:szCs w:val="32"/>
        </w:rPr>
        <w:t>文化旅游体育与传媒支出</w:t>
      </w:r>
      <w:r>
        <w:rPr>
          <w:rFonts w:ascii="仿宋" w:eastAsia="仿宋" w:cs="仿宋"/>
          <w:b/>
          <w:bCs/>
          <w:sz w:val="32"/>
          <w:szCs w:val="32"/>
        </w:rPr>
        <w:t>0</w:t>
      </w:r>
      <w:r>
        <w:rPr>
          <w:rFonts w:ascii="仿宋" w:eastAsia="仿宋" w:cs="仿宋" w:hint="eastAsia"/>
          <w:b/>
          <w:bCs/>
          <w:sz w:val="32"/>
          <w:szCs w:val="32"/>
        </w:rPr>
        <w:t>万元，占</w:t>
      </w:r>
      <w:r>
        <w:rPr>
          <w:rFonts w:ascii="仿宋" w:eastAsia="仿宋" w:cs="仿宋"/>
          <w:b/>
          <w:bCs/>
          <w:sz w:val="32"/>
          <w:szCs w:val="32"/>
        </w:rPr>
        <w:t>0%</w:t>
      </w:r>
      <w:r>
        <w:rPr>
          <w:rFonts w:ascii="仿宋" w:eastAsia="仿宋" w:cs="仿宋" w:hint="eastAsia"/>
          <w:sz w:val="32"/>
          <w:szCs w:val="32"/>
        </w:rPr>
        <w:t>；</w:t>
      </w:r>
      <w:r>
        <w:rPr>
          <w:rFonts w:ascii="仿宋" w:eastAsia="仿宋" w:cs="仿宋" w:hint="eastAsia"/>
          <w:b/>
          <w:bCs/>
          <w:sz w:val="32"/>
          <w:szCs w:val="32"/>
        </w:rPr>
        <w:t>社会保障和就业支出</w:t>
      </w:r>
      <w:r>
        <w:rPr>
          <w:rFonts w:ascii="仿宋" w:eastAsia="仿宋" w:cs="仿宋"/>
          <w:sz w:val="32"/>
          <w:szCs w:val="32"/>
        </w:rPr>
        <w:t>326.4</w:t>
      </w:r>
      <w:r>
        <w:rPr>
          <w:rFonts w:ascii="仿宋" w:eastAsia="仿宋" w:cs="仿宋" w:hint="eastAsia"/>
          <w:sz w:val="32"/>
          <w:szCs w:val="32"/>
        </w:rPr>
        <w:t>万元，占</w:t>
      </w:r>
      <w:r>
        <w:rPr>
          <w:rFonts w:ascii="仿宋" w:eastAsia="仿宋" w:cs="仿宋"/>
          <w:sz w:val="32"/>
          <w:szCs w:val="32"/>
        </w:rPr>
        <w:t>14.94%</w:t>
      </w:r>
      <w:r>
        <w:rPr>
          <w:rFonts w:ascii="仿宋" w:eastAsia="仿宋" w:cs="仿宋" w:hint="eastAsia"/>
          <w:sz w:val="32"/>
          <w:szCs w:val="32"/>
        </w:rPr>
        <w:t>；</w:t>
      </w:r>
      <w:r>
        <w:rPr>
          <w:rFonts w:ascii="仿宋" w:eastAsia="仿宋" w:cs="仿宋" w:hint="eastAsia"/>
          <w:b/>
          <w:bCs/>
          <w:sz w:val="32"/>
          <w:szCs w:val="32"/>
        </w:rPr>
        <w:t>卫生健康支出</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w:t>
      </w:r>
      <w:r>
        <w:rPr>
          <w:rFonts w:ascii="仿宋" w:eastAsia="仿宋" w:cs="仿宋" w:hint="eastAsia"/>
          <w:b/>
          <w:bCs/>
          <w:sz w:val="32"/>
          <w:szCs w:val="32"/>
        </w:rPr>
        <w:t>住房保障支出</w:t>
      </w:r>
      <w:r>
        <w:rPr>
          <w:rFonts w:ascii="仿宋" w:eastAsia="仿宋" w:cs="仿宋"/>
          <w:sz w:val="32"/>
          <w:szCs w:val="32"/>
        </w:rPr>
        <w:t>111.2</w:t>
      </w:r>
      <w:r>
        <w:rPr>
          <w:rFonts w:ascii="仿宋" w:eastAsia="仿宋" w:cs="仿宋" w:hint="eastAsia"/>
          <w:sz w:val="32"/>
          <w:szCs w:val="32"/>
        </w:rPr>
        <w:t>万元，占</w:t>
      </w:r>
      <w:r>
        <w:rPr>
          <w:rFonts w:ascii="仿宋" w:eastAsia="仿宋" w:cs="仿宋"/>
          <w:sz w:val="32"/>
          <w:szCs w:val="32"/>
        </w:rPr>
        <w:t>5.09%</w:t>
      </w:r>
      <w:r>
        <w:rPr>
          <w:rFonts w:ascii="仿宋" w:eastAsia="仿宋" w:cs="仿宋" w:hint="eastAsia"/>
          <w:sz w:val="32"/>
          <w:szCs w:val="32"/>
        </w:rPr>
        <w:t>；城乡社区支出</w:t>
      </w:r>
      <w:r>
        <w:rPr>
          <w:rFonts w:ascii="仿宋" w:eastAsia="仿宋" w:cs="仿宋"/>
          <w:sz w:val="32"/>
          <w:szCs w:val="32"/>
        </w:rPr>
        <w:t>1746.83</w:t>
      </w:r>
      <w:r>
        <w:rPr>
          <w:rFonts w:ascii="仿宋" w:eastAsia="仿宋" w:cs="仿宋" w:hint="eastAsia"/>
          <w:sz w:val="32"/>
          <w:szCs w:val="32"/>
        </w:rPr>
        <w:t>万元，占</w:t>
      </w:r>
      <w:r>
        <w:rPr>
          <w:rFonts w:ascii="仿宋" w:eastAsia="仿宋" w:cs="仿宋"/>
          <w:sz w:val="32"/>
          <w:szCs w:val="32"/>
        </w:rPr>
        <w:t>79.97%</w:t>
      </w:r>
      <w:r>
        <w:rPr>
          <w:rFonts w:ascii="仿宋" w:eastAsia="仿宋" w:cs="仿宋" w:hint="eastAsia"/>
          <w:sz w:val="32"/>
          <w:szCs w:val="32"/>
        </w:rPr>
        <w:t>；。</w:t>
      </w:r>
    </w:p>
    <w:p>
      <w:pPr>
        <w:spacing w:line="600" w:lineRule="exact"/>
        <w:ind w:firstLineChars="200" w:firstLine="640"/>
        <w:rPr>
          <w:rFonts w:ascii="仿宋" w:eastAsia="仿宋"/>
          <w:sz w:val="32"/>
          <w:szCs w:val="32"/>
        </w:rPr>
      </w:pPr>
      <w:r>
        <w:rPr>
          <w:rFonts w:ascii="仿宋" w:eastAsia="仿宋" w:cs="仿宋" w:hint="eastAsia"/>
          <w:sz w:val="32"/>
          <w:szCs w:val="32"/>
        </w:rPr>
        <w:t>（图</w:t>
      </w:r>
      <w:r>
        <w:rPr>
          <w:rFonts w:ascii="仿宋" w:eastAsia="仿宋" w:cs="仿宋"/>
          <w:sz w:val="32"/>
          <w:szCs w:val="32"/>
        </w:rPr>
        <w:t>6</w:t>
      </w:r>
      <w:r>
        <w:rPr>
          <w:rFonts w:ascii="仿宋" w:eastAsia="仿宋" w:cs="仿宋" w:hint="eastAsia"/>
          <w:sz w:val="32"/>
          <w:szCs w:val="32"/>
        </w:rPr>
        <w:t>：一般公共预算财政拨款支出决算结构）</w:t>
      </w:r>
    </w:p>
    <w:p>
      <w:pPr>
        <w:pStyle w:val="15"/>
        <w:spacing w:beforeLines="0" w:before="93"/>
        <w:rPr>
          <w:rFonts w:cs="Times New Roman"/>
        </w:rPr>
      </w:pPr>
      <w:r>
        <w:rPr>
          <w:rFonts w:cs="Times New Roman"/>
        </w:rPr>
        <w:drawing>
          <wp:inline distT="0" distB="0" distL="114298" distR="114298">
            <wp:extent cx="5505450" cy="2476500"/>
            <wp:effectExtent l="0" t="0" r="11" b="38"/>
            <wp:docPr id="16" name="图表 8"/>
            <wp:cNvGraphicFramePr>
              <a:graphicFrameLocks noChangeAspect="0"/>
            </wp:cNvGraphicFramePr>
            <a:graphic>
              <a:graphicData uri="http://schemas.openxmlformats.org/drawingml/2006/picture">
                <pic:pic>
                  <pic:nvPicPr>
                    <pic:cNvPr id="18" name="图表 8 18"/>
                    <pic:cNvPicPr/>
                  </pic:nvPicPr>
                  <pic:blipFill>
                    <a:blip r:embed="rId9"/>
                    <a:stretch>
                      <a:fillRect/>
                    </a:stretch>
                  </pic:blipFill>
                  <pic:spPr>
                    <a:xfrm rot="0">
                      <a:off x="0" y="0"/>
                      <a:ext cx="5505450" cy="2476500"/>
                    </a:xfrm>
                    <a:prstGeom prst="rect"/>
                    <a:noFill/>
                    <a:ln w="9525" cmpd="sng" cap="flat">
                      <a:noFill/>
                      <a:prstDash val="solid"/>
                      <a:miter/>
                    </a:ln>
                  </pic:spPr>
                </pic:pic>
              </a:graphicData>
            </a:graphic>
          </wp:inline>
        </w:drawing>
      </w:r>
    </w:p>
    <w:p>
      <w:pPr>
        <w:spacing w:line="600" w:lineRule="exact"/>
        <w:ind w:firstLineChars="200" w:firstLine="640"/>
        <w:outlineLvl w:val="2"/>
        <w:rPr>
          <w:rFonts w:ascii="仿宋" w:eastAsia="仿宋"/>
          <w:b/>
          <w:bCs/>
          <w:sz w:val="32"/>
          <w:szCs w:val="32"/>
        </w:rPr>
      </w:pPr>
      <w:bookmarkStart w:id="31" w:name="_Toc15377212"/>
      <w:r>
        <w:rPr>
          <w:rFonts w:ascii="仿宋" w:eastAsia="仿宋" w:cs="仿宋" w:hint="eastAsia"/>
          <w:b/>
          <w:bCs/>
          <w:sz w:val="32"/>
          <w:szCs w:val="32"/>
        </w:rPr>
        <w:t>（三）一般公共预算财政拨款支出决算具体情况</w:t>
      </w:r>
      <w:bookmarkEnd w:id="31"/>
    </w:p>
    <w:p>
      <w:pPr>
        <w:spacing w:line="600" w:lineRule="exact"/>
        <w:ind w:firstLineChars="200" w:firstLine="640"/>
        <w:outlineLvl w:val="2"/>
        <w:rPr>
          <w:rFonts w:ascii="仿宋" w:eastAsia="仿宋"/>
          <w:sz w:val="32"/>
          <w:szCs w:val="32"/>
        </w:rPr>
      </w:pPr>
      <w:bookmarkStart w:id="32" w:name="_Toc15378460"/>
      <w:bookmarkStart w:id="33" w:name="_Toc15377444"/>
      <w:bookmarkStart w:id="34" w:name="_Toc15377213"/>
      <w:r>
        <w:rPr>
          <w:rFonts w:ascii="仿宋" w:eastAsia="仿宋" w:cs="仿宋"/>
          <w:b/>
          <w:bCs/>
          <w:sz w:val="32"/>
          <w:szCs w:val="32"/>
        </w:rPr>
        <w:t>2022</w:t>
      </w:r>
      <w:r>
        <w:rPr>
          <w:rFonts w:ascii="仿宋" w:eastAsia="仿宋" w:cs="仿宋" w:hint="eastAsia"/>
          <w:b/>
          <w:bCs/>
          <w:sz w:val="32"/>
          <w:szCs w:val="32"/>
        </w:rPr>
        <w:t>年一般公共预算支出决算数为</w:t>
      </w:r>
      <w:r>
        <w:rPr>
          <w:rFonts w:ascii="仿宋" w:eastAsia="仿宋" w:cs="仿宋"/>
          <w:b/>
          <w:bCs/>
          <w:sz w:val="32"/>
          <w:szCs w:val="32"/>
        </w:rPr>
        <w:t>2184.43</w:t>
      </w:r>
      <w:r>
        <w:rPr>
          <w:rFonts w:ascii="仿宋" w:eastAsia="仿宋" w:cs="仿宋" w:hint="eastAsia"/>
          <w:sz w:val="32"/>
          <w:szCs w:val="32"/>
        </w:rPr>
        <w:t>，</w:t>
      </w:r>
      <w:r>
        <w:rPr>
          <w:rStyle w:val="22"/>
          <w:rFonts w:ascii="仿宋" w:eastAsia="仿宋" w:cs="仿宋" w:hint="eastAsia"/>
          <w:sz w:val="32"/>
          <w:szCs w:val="32"/>
        </w:rPr>
        <w:t>完成预算</w:t>
      </w:r>
      <w:r>
        <w:rPr>
          <w:rStyle w:val="22"/>
          <w:rFonts w:ascii="仿宋" w:eastAsia="仿宋" w:cs="仿宋"/>
          <w:sz w:val="32"/>
          <w:szCs w:val="32"/>
        </w:rPr>
        <w:t>100%</w:t>
      </w:r>
      <w:r>
        <w:rPr>
          <w:rStyle w:val="22"/>
          <w:rFonts w:ascii="仿宋" w:eastAsia="仿宋" w:cs="仿宋" w:hint="eastAsia"/>
          <w:sz w:val="32"/>
          <w:szCs w:val="32"/>
        </w:rPr>
        <w:t>。其中：</w:t>
      </w:r>
      <w:bookmarkEnd w:id="32"/>
      <w:bookmarkEnd w:id="33"/>
      <w:bookmarkEnd w:id="34"/>
    </w:p>
    <w:p>
      <w:pPr>
        <w:spacing w:line="600" w:lineRule="exact"/>
        <w:ind w:firstLineChars="200" w:firstLine="640"/>
        <w:rPr>
          <w:rStyle w:val="22"/>
          <w:rFonts w:ascii="仿宋" w:eastAsia="仿宋"/>
          <w:b w:val="0"/>
          <w:bCs w:val="0"/>
          <w:sz w:val="32"/>
          <w:szCs w:val="32"/>
        </w:rPr>
      </w:pPr>
      <w:r>
        <w:rPr>
          <w:rStyle w:val="22"/>
          <w:rFonts w:ascii="仿宋" w:eastAsia="仿宋" w:cs="仿宋"/>
          <w:sz w:val="32"/>
          <w:szCs w:val="32"/>
        </w:rPr>
        <w:t>1.</w:t>
      </w:r>
      <w:r>
        <w:rPr>
          <w:rStyle w:val="22"/>
          <w:rFonts w:ascii="仿宋" w:eastAsia="仿宋" w:cs="仿宋" w:hint="eastAsia"/>
          <w:sz w:val="32"/>
          <w:szCs w:val="32"/>
        </w:rPr>
        <w:t>社会保障和就业（类）行政事业单位养老支出（款）行政单位离退休（项）</w:t>
      </w:r>
      <w:r>
        <w:rPr>
          <w:rStyle w:val="22"/>
          <w:rFonts w:ascii="仿宋" w:eastAsia="仿宋" w:cs="仿宋"/>
          <w:sz w:val="32"/>
          <w:szCs w:val="32"/>
        </w:rPr>
        <w:t>:</w:t>
      </w:r>
      <w:r>
        <w:rPr>
          <w:rStyle w:val="22"/>
          <w:rFonts w:ascii="仿宋" w:eastAsia="仿宋" w:cs="仿宋"/>
          <w:b w:val="0"/>
          <w:bCs w:val="0"/>
          <w:sz w:val="32"/>
          <w:szCs w:val="32"/>
        </w:rPr>
        <w:t xml:space="preserve"> </w:t>
      </w:r>
      <w:r>
        <w:rPr>
          <w:rStyle w:val="22"/>
          <w:rFonts w:ascii="仿宋" w:eastAsia="仿宋" w:cs="仿宋" w:hint="eastAsia"/>
          <w:b w:val="0"/>
          <w:bCs w:val="0"/>
          <w:sz w:val="32"/>
          <w:szCs w:val="32"/>
        </w:rPr>
        <w:t>支出决算为</w:t>
      </w:r>
      <w:r>
        <w:rPr>
          <w:rStyle w:val="22"/>
          <w:rFonts w:ascii="仿宋" w:eastAsia="仿宋" w:cs="仿宋"/>
          <w:b w:val="0"/>
          <w:bCs w:val="0"/>
          <w:sz w:val="32"/>
          <w:szCs w:val="32"/>
        </w:rPr>
        <w:t>21.12</w:t>
      </w:r>
      <w:r>
        <w:rPr>
          <w:rStyle w:val="22"/>
          <w:rFonts w:ascii="仿宋" w:eastAsia="仿宋" w:cs="仿宋" w:hint="eastAsia"/>
          <w:b w:val="0"/>
          <w:bCs w:val="0"/>
          <w:sz w:val="32"/>
          <w:szCs w:val="32"/>
        </w:rPr>
        <w:t>万元，完成预算</w:t>
      </w:r>
      <w:r>
        <w:rPr>
          <w:rStyle w:val="22"/>
          <w:rFonts w:ascii="仿宋" w:eastAsia="仿宋" w:cs="仿宋"/>
          <w:b w:val="0"/>
          <w:bCs w:val="0"/>
          <w:sz w:val="32"/>
          <w:szCs w:val="32"/>
        </w:rPr>
        <w:t>100%</w:t>
      </w:r>
      <w:r>
        <w:rPr>
          <w:rStyle w:val="22"/>
          <w:rFonts w:ascii="仿宋" w:eastAsia="仿宋" w:cs="仿宋" w:hint="eastAsia"/>
          <w:b w:val="0"/>
          <w:bCs w:val="0"/>
          <w:sz w:val="32"/>
          <w:szCs w:val="32"/>
        </w:rPr>
        <w:t>，决算数等于预算数。</w:t>
      </w:r>
    </w:p>
    <w:p>
      <w:pPr>
        <w:spacing w:line="600" w:lineRule="exact"/>
        <w:ind w:firstLineChars="200" w:firstLine="420"/>
        <w:rPr>
          <w:rStyle w:val="22"/>
          <w:rFonts w:ascii="仿宋" w:eastAsia="仿宋"/>
          <w:b w:val="0"/>
          <w:bCs w:val="0"/>
          <w:sz w:val="32"/>
          <w:szCs w:val="32"/>
        </w:rPr>
      </w:pPr>
      <w:r>
        <w:t xml:space="preserve"> </w:t>
      </w:r>
      <w:r>
        <w:rPr>
          <w:rStyle w:val="22"/>
          <w:rFonts w:ascii="仿宋" w:eastAsia="仿宋" w:cs="仿宋"/>
          <w:sz w:val="32"/>
          <w:szCs w:val="32"/>
        </w:rPr>
        <w:t>2.</w:t>
      </w:r>
      <w:r>
        <w:rPr>
          <w:rStyle w:val="22"/>
          <w:rFonts w:ascii="仿宋" w:eastAsia="仿宋" w:cs="仿宋" w:hint="eastAsia"/>
          <w:sz w:val="32"/>
          <w:szCs w:val="32"/>
        </w:rPr>
        <w:t>社会保障和就业（类）行政事业单位养老支出（款）事业单位离退休（项）</w:t>
      </w:r>
      <w:r>
        <w:rPr>
          <w:rStyle w:val="22"/>
          <w:rFonts w:ascii="仿宋" w:eastAsia="仿宋" w:cs="仿宋"/>
          <w:sz w:val="32"/>
          <w:szCs w:val="32"/>
        </w:rPr>
        <w:t>:</w:t>
      </w:r>
      <w:r>
        <w:rPr>
          <w:rStyle w:val="22"/>
          <w:rFonts w:ascii="仿宋" w:eastAsia="仿宋" w:cs="仿宋"/>
          <w:b w:val="0"/>
          <w:bCs w:val="0"/>
          <w:sz w:val="32"/>
          <w:szCs w:val="32"/>
        </w:rPr>
        <w:t xml:space="preserve"> </w:t>
      </w:r>
      <w:r>
        <w:rPr>
          <w:rStyle w:val="22"/>
          <w:rFonts w:ascii="仿宋" w:eastAsia="仿宋" w:cs="仿宋" w:hint="eastAsia"/>
          <w:b w:val="0"/>
          <w:bCs w:val="0"/>
          <w:sz w:val="32"/>
          <w:szCs w:val="32"/>
        </w:rPr>
        <w:t>支出决算为</w:t>
      </w:r>
      <w:r>
        <w:rPr>
          <w:rStyle w:val="22"/>
          <w:rFonts w:ascii="仿宋" w:eastAsia="仿宋" w:cs="仿宋"/>
          <w:b w:val="0"/>
          <w:bCs w:val="0"/>
          <w:sz w:val="32"/>
          <w:szCs w:val="32"/>
        </w:rPr>
        <w:t>206.60</w:t>
      </w:r>
      <w:r>
        <w:rPr>
          <w:rStyle w:val="22"/>
          <w:rFonts w:ascii="仿宋" w:eastAsia="仿宋" w:cs="仿宋" w:hint="eastAsia"/>
          <w:b w:val="0"/>
          <w:bCs w:val="0"/>
          <w:sz w:val="32"/>
          <w:szCs w:val="32"/>
        </w:rPr>
        <w:t>万元，完成预算</w:t>
      </w:r>
      <w:r>
        <w:rPr>
          <w:rStyle w:val="22"/>
          <w:rFonts w:ascii="仿宋" w:eastAsia="仿宋" w:cs="仿宋"/>
          <w:b w:val="0"/>
          <w:bCs w:val="0"/>
          <w:sz w:val="32"/>
          <w:szCs w:val="32"/>
        </w:rPr>
        <w:t>100%</w:t>
      </w:r>
      <w:r>
        <w:rPr>
          <w:rStyle w:val="22"/>
          <w:rFonts w:ascii="仿宋" w:eastAsia="仿宋" w:cs="仿宋" w:hint="eastAsia"/>
          <w:b w:val="0"/>
          <w:bCs w:val="0"/>
          <w:sz w:val="32"/>
          <w:szCs w:val="32"/>
        </w:rPr>
        <w:t>，决算数等于预算数。</w:t>
      </w:r>
    </w:p>
    <w:p>
      <w:pPr>
        <w:spacing w:line="600" w:lineRule="exact"/>
        <w:ind w:firstLineChars="200" w:firstLine="640"/>
        <w:rPr>
          <w:rStyle w:val="22"/>
          <w:rFonts w:ascii="仿宋" w:eastAsia="仿宋"/>
          <w:b w:val="0"/>
          <w:bCs w:val="0"/>
          <w:sz w:val="32"/>
          <w:szCs w:val="32"/>
        </w:rPr>
      </w:pPr>
      <w:r>
        <w:rPr>
          <w:rStyle w:val="22"/>
          <w:rFonts w:ascii="仿宋" w:eastAsia="仿宋" w:cs="仿宋"/>
          <w:sz w:val="32"/>
          <w:szCs w:val="32"/>
        </w:rPr>
        <w:t>3.</w:t>
      </w:r>
      <w:r>
        <w:rPr>
          <w:rStyle w:val="22"/>
          <w:rFonts w:ascii="仿宋" w:eastAsia="仿宋" w:cs="仿宋" w:hint="eastAsia"/>
          <w:sz w:val="32"/>
          <w:szCs w:val="32"/>
        </w:rPr>
        <w:t>社会保障和就业（类）行政事业单位养老支出（款）</w:t>
      </w:r>
      <w:r>
        <w:rPr>
          <w:rStyle w:val="22"/>
          <w:rFonts w:ascii="仿宋" w:eastAsia="仿宋" w:cs="仿宋"/>
          <w:sz w:val="32"/>
          <w:szCs w:val="32"/>
        </w:rPr>
        <w:t xml:space="preserve">  </w:t>
      </w:r>
      <w:r>
        <w:rPr>
          <w:rStyle w:val="22"/>
          <w:rFonts w:ascii="仿宋" w:eastAsia="仿宋" w:cs="仿宋" w:hint="eastAsia"/>
          <w:sz w:val="32"/>
          <w:szCs w:val="32"/>
        </w:rPr>
        <w:t>机关事业单位基本养老保险缴费支出（项）</w:t>
      </w:r>
      <w:r>
        <w:rPr>
          <w:rStyle w:val="22"/>
          <w:rFonts w:ascii="仿宋" w:eastAsia="仿宋" w:cs="仿宋"/>
          <w:sz w:val="32"/>
          <w:szCs w:val="32"/>
        </w:rPr>
        <w:t>:</w:t>
      </w:r>
      <w:r>
        <w:rPr>
          <w:rStyle w:val="22"/>
          <w:rFonts w:ascii="仿宋" w:eastAsia="仿宋" w:cs="仿宋"/>
          <w:b w:val="0"/>
          <w:bCs w:val="0"/>
          <w:sz w:val="32"/>
          <w:szCs w:val="32"/>
        </w:rPr>
        <w:t xml:space="preserve"> </w:t>
      </w:r>
      <w:r>
        <w:rPr>
          <w:rStyle w:val="22"/>
          <w:rFonts w:ascii="仿宋" w:eastAsia="仿宋" w:cs="仿宋" w:hint="eastAsia"/>
          <w:b w:val="0"/>
          <w:bCs w:val="0"/>
          <w:sz w:val="32"/>
          <w:szCs w:val="32"/>
        </w:rPr>
        <w:t>支出决算为</w:t>
      </w:r>
      <w:r>
        <w:rPr>
          <w:rStyle w:val="22"/>
          <w:rFonts w:ascii="仿宋" w:eastAsia="仿宋" w:cs="仿宋"/>
          <w:b w:val="0"/>
          <w:bCs w:val="0"/>
          <w:sz w:val="32"/>
          <w:szCs w:val="32"/>
        </w:rPr>
        <w:t>96.62</w:t>
      </w:r>
      <w:r>
        <w:rPr>
          <w:rStyle w:val="22"/>
          <w:rFonts w:ascii="仿宋" w:eastAsia="仿宋" w:cs="仿宋" w:hint="eastAsia"/>
          <w:b w:val="0"/>
          <w:bCs w:val="0"/>
          <w:sz w:val="32"/>
          <w:szCs w:val="32"/>
        </w:rPr>
        <w:t>万元，完成预算</w:t>
      </w:r>
      <w:r>
        <w:rPr>
          <w:rStyle w:val="22"/>
          <w:rFonts w:ascii="仿宋" w:eastAsia="仿宋" w:cs="仿宋"/>
          <w:b w:val="0"/>
          <w:bCs w:val="0"/>
          <w:sz w:val="32"/>
          <w:szCs w:val="32"/>
        </w:rPr>
        <w:t>100%</w:t>
      </w:r>
      <w:r>
        <w:rPr>
          <w:rStyle w:val="22"/>
          <w:rFonts w:ascii="仿宋" w:eastAsia="仿宋" w:cs="仿宋" w:hint="eastAsia"/>
          <w:b w:val="0"/>
          <w:bCs w:val="0"/>
          <w:sz w:val="32"/>
          <w:szCs w:val="32"/>
        </w:rPr>
        <w:t>，决算数等于预算数。</w:t>
      </w:r>
    </w:p>
    <w:p>
      <w:pPr>
        <w:spacing w:line="600" w:lineRule="exact"/>
        <w:ind w:firstLineChars="200" w:firstLine="420"/>
        <w:rPr>
          <w:rFonts w:ascii="仿宋" w:eastAsia="仿宋"/>
          <w:sz w:val="32"/>
          <w:szCs w:val="32"/>
        </w:rPr>
      </w:pPr>
      <w:r>
        <w:t xml:space="preserve">  </w:t>
      </w:r>
      <w:r>
        <w:rPr>
          <w:rStyle w:val="22"/>
          <w:rFonts w:ascii="仿宋" w:eastAsia="仿宋" w:cs="仿宋"/>
          <w:sz w:val="32"/>
          <w:szCs w:val="32"/>
        </w:rPr>
        <w:t>4.</w:t>
      </w:r>
      <w:r>
        <w:rPr>
          <w:rStyle w:val="22"/>
          <w:rFonts w:ascii="仿宋" w:eastAsia="仿宋" w:cs="仿宋" w:hint="eastAsia"/>
          <w:sz w:val="32"/>
          <w:szCs w:val="32"/>
        </w:rPr>
        <w:t>社会保障和就业（类）抚恤（款）死亡抚恤（项）</w:t>
      </w:r>
      <w:r>
        <w:rPr>
          <w:rStyle w:val="22"/>
          <w:rFonts w:ascii="仿宋" w:eastAsia="仿宋" w:cs="仿宋"/>
          <w:sz w:val="32"/>
          <w:szCs w:val="32"/>
        </w:rPr>
        <w:t>:</w:t>
      </w:r>
      <w:r>
        <w:rPr>
          <w:rStyle w:val="22"/>
          <w:rFonts w:ascii="仿宋" w:eastAsia="仿宋" w:cs="仿宋"/>
          <w:b w:val="0"/>
          <w:bCs w:val="0"/>
          <w:sz w:val="32"/>
          <w:szCs w:val="32"/>
        </w:rPr>
        <w:t xml:space="preserve"> </w:t>
      </w:r>
      <w:r>
        <w:rPr>
          <w:rStyle w:val="22"/>
          <w:rFonts w:ascii="仿宋" w:eastAsia="仿宋" w:cs="仿宋" w:hint="eastAsia"/>
          <w:b w:val="0"/>
          <w:bCs w:val="0"/>
          <w:sz w:val="32"/>
          <w:szCs w:val="32"/>
        </w:rPr>
        <w:t>支出决算为</w:t>
      </w:r>
      <w:r>
        <w:rPr>
          <w:rStyle w:val="22"/>
          <w:rFonts w:ascii="仿宋" w:eastAsia="仿宋" w:cs="仿宋"/>
          <w:b w:val="0"/>
          <w:bCs w:val="0"/>
          <w:sz w:val="32"/>
          <w:szCs w:val="32"/>
        </w:rPr>
        <w:t>2.06</w:t>
      </w:r>
      <w:r>
        <w:rPr>
          <w:rStyle w:val="22"/>
          <w:rFonts w:ascii="仿宋" w:eastAsia="仿宋" w:cs="仿宋" w:hint="eastAsia"/>
          <w:b w:val="0"/>
          <w:bCs w:val="0"/>
          <w:sz w:val="32"/>
          <w:szCs w:val="32"/>
        </w:rPr>
        <w:t>万元，完成预算</w:t>
      </w:r>
      <w:r>
        <w:rPr>
          <w:rStyle w:val="22"/>
          <w:rFonts w:ascii="仿宋" w:eastAsia="仿宋" w:cs="仿宋"/>
          <w:b w:val="0"/>
          <w:bCs w:val="0"/>
          <w:sz w:val="32"/>
          <w:szCs w:val="32"/>
        </w:rPr>
        <w:t>100%</w:t>
      </w:r>
      <w:r>
        <w:rPr>
          <w:rStyle w:val="22"/>
          <w:rFonts w:ascii="仿宋" w:eastAsia="仿宋" w:cs="仿宋" w:hint="eastAsia"/>
          <w:b w:val="0"/>
          <w:bCs w:val="0"/>
          <w:sz w:val="32"/>
          <w:szCs w:val="32"/>
        </w:rPr>
        <w:t>，决算数等于预算数。</w:t>
      </w:r>
    </w:p>
    <w:p>
      <w:pPr>
        <w:spacing w:line="600" w:lineRule="exact"/>
        <w:ind w:firstLineChars="200" w:firstLine="640"/>
        <w:rPr>
          <w:rStyle w:val="22"/>
          <w:rFonts w:ascii="仿宋" w:eastAsia="仿宋"/>
          <w:b w:val="0"/>
          <w:bCs w:val="0"/>
          <w:sz w:val="32"/>
          <w:szCs w:val="32"/>
        </w:rPr>
      </w:pPr>
      <w:r>
        <w:rPr>
          <w:rStyle w:val="22"/>
          <w:rFonts w:ascii="仿宋" w:eastAsia="仿宋" w:cs="仿宋"/>
          <w:sz w:val="32"/>
          <w:szCs w:val="32"/>
        </w:rPr>
        <w:t>5.</w:t>
      </w:r>
      <w:r>
        <w:rPr>
          <w:rStyle w:val="22"/>
          <w:rFonts w:ascii="仿宋" w:eastAsia="仿宋" w:cs="仿宋" w:hint="eastAsia"/>
          <w:sz w:val="32"/>
          <w:szCs w:val="32"/>
        </w:rPr>
        <w:t>城乡社区支出（类）城乡社区管理事务（款）行政运行（项）</w:t>
      </w:r>
      <w:r>
        <w:rPr>
          <w:rStyle w:val="22"/>
          <w:rFonts w:ascii="仿宋" w:eastAsia="仿宋" w:cs="仿宋"/>
          <w:sz w:val="32"/>
          <w:szCs w:val="32"/>
        </w:rPr>
        <w:t>:</w:t>
      </w:r>
      <w:r>
        <w:rPr>
          <w:rStyle w:val="22"/>
          <w:rFonts w:ascii="仿宋" w:eastAsia="仿宋" w:cs="仿宋"/>
          <w:b w:val="0"/>
          <w:bCs w:val="0"/>
          <w:sz w:val="32"/>
          <w:szCs w:val="32"/>
        </w:rPr>
        <w:t xml:space="preserve"> </w:t>
      </w:r>
      <w:r>
        <w:rPr>
          <w:rStyle w:val="22"/>
          <w:rFonts w:ascii="仿宋" w:eastAsia="仿宋" w:cs="仿宋" w:hint="eastAsia"/>
          <w:b w:val="0"/>
          <w:bCs w:val="0"/>
          <w:sz w:val="32"/>
          <w:szCs w:val="32"/>
        </w:rPr>
        <w:t>支出决算为</w:t>
      </w:r>
      <w:r>
        <w:rPr>
          <w:rStyle w:val="22"/>
          <w:rFonts w:ascii="仿宋" w:eastAsia="仿宋" w:cs="仿宋"/>
          <w:b w:val="0"/>
          <w:bCs w:val="0"/>
          <w:sz w:val="32"/>
          <w:szCs w:val="32"/>
        </w:rPr>
        <w:t>568.10</w:t>
      </w:r>
      <w:r>
        <w:rPr>
          <w:rStyle w:val="22"/>
          <w:rFonts w:ascii="仿宋" w:eastAsia="仿宋" w:cs="仿宋" w:hint="eastAsia"/>
          <w:b w:val="0"/>
          <w:bCs w:val="0"/>
          <w:sz w:val="32"/>
          <w:szCs w:val="32"/>
        </w:rPr>
        <w:t>万元，完成预算</w:t>
      </w:r>
      <w:r>
        <w:rPr>
          <w:rStyle w:val="22"/>
          <w:rFonts w:ascii="仿宋" w:eastAsia="仿宋" w:cs="仿宋"/>
          <w:b w:val="0"/>
          <w:bCs w:val="0"/>
          <w:sz w:val="32"/>
          <w:szCs w:val="32"/>
        </w:rPr>
        <w:t>100%</w:t>
      </w:r>
      <w:r>
        <w:rPr>
          <w:rStyle w:val="22"/>
          <w:rFonts w:ascii="仿宋" w:eastAsia="仿宋" w:cs="仿宋" w:hint="eastAsia"/>
          <w:b w:val="0"/>
          <w:bCs w:val="0"/>
          <w:sz w:val="32"/>
          <w:szCs w:val="32"/>
        </w:rPr>
        <w:t>，决算数等于预算数。</w:t>
      </w:r>
    </w:p>
    <w:p>
      <w:pPr>
        <w:spacing w:line="600" w:lineRule="exact"/>
        <w:ind w:firstLineChars="200" w:firstLine="640"/>
        <w:rPr>
          <w:rStyle w:val="22"/>
          <w:rFonts w:ascii="仿宋" w:eastAsia="仿宋"/>
          <w:b w:val="0"/>
          <w:bCs w:val="0"/>
          <w:sz w:val="32"/>
          <w:szCs w:val="32"/>
        </w:rPr>
      </w:pPr>
      <w:r>
        <w:rPr>
          <w:rStyle w:val="22"/>
          <w:rFonts w:ascii="仿宋" w:eastAsia="仿宋" w:cs="仿宋"/>
          <w:sz w:val="32"/>
          <w:szCs w:val="32"/>
        </w:rPr>
        <w:t>6.</w:t>
      </w:r>
      <w:r>
        <w:rPr>
          <w:rStyle w:val="22"/>
          <w:rFonts w:ascii="仿宋" w:eastAsia="仿宋" w:cs="仿宋" w:hint="eastAsia"/>
          <w:sz w:val="32"/>
          <w:szCs w:val="32"/>
        </w:rPr>
        <w:t>城乡社区支出（类）城乡社区管理事务（款）其他城乡社区管理事务支出（项）</w:t>
      </w:r>
      <w:r>
        <w:rPr>
          <w:rStyle w:val="22"/>
          <w:rFonts w:ascii="仿宋" w:eastAsia="仿宋" w:cs="仿宋"/>
          <w:sz w:val="32"/>
          <w:szCs w:val="32"/>
        </w:rPr>
        <w:t>:</w:t>
      </w:r>
      <w:r>
        <w:rPr>
          <w:rStyle w:val="22"/>
          <w:rFonts w:ascii="仿宋" w:eastAsia="仿宋" w:cs="仿宋"/>
          <w:b w:val="0"/>
          <w:bCs w:val="0"/>
          <w:sz w:val="32"/>
          <w:szCs w:val="32"/>
        </w:rPr>
        <w:t xml:space="preserve"> </w:t>
      </w:r>
      <w:r>
        <w:rPr>
          <w:rStyle w:val="22"/>
          <w:rFonts w:ascii="仿宋" w:eastAsia="仿宋" w:cs="仿宋" w:hint="eastAsia"/>
          <w:b w:val="0"/>
          <w:bCs w:val="0"/>
          <w:sz w:val="32"/>
          <w:szCs w:val="32"/>
        </w:rPr>
        <w:t>支出决算为</w:t>
      </w:r>
      <w:r>
        <w:rPr>
          <w:rStyle w:val="22"/>
          <w:rFonts w:ascii="仿宋" w:eastAsia="仿宋" w:cs="仿宋"/>
          <w:b w:val="0"/>
          <w:bCs w:val="0"/>
          <w:sz w:val="32"/>
          <w:szCs w:val="32"/>
        </w:rPr>
        <w:t>1108.06</w:t>
      </w:r>
      <w:r>
        <w:rPr>
          <w:rStyle w:val="22"/>
          <w:rFonts w:ascii="仿宋" w:eastAsia="仿宋" w:cs="仿宋" w:hint="eastAsia"/>
          <w:b w:val="0"/>
          <w:bCs w:val="0"/>
          <w:sz w:val="32"/>
          <w:szCs w:val="32"/>
        </w:rPr>
        <w:t>万元，完成预算</w:t>
      </w:r>
      <w:r>
        <w:rPr>
          <w:rStyle w:val="22"/>
          <w:rFonts w:ascii="仿宋" w:eastAsia="仿宋" w:cs="仿宋"/>
          <w:b w:val="0"/>
          <w:bCs w:val="0"/>
          <w:sz w:val="32"/>
          <w:szCs w:val="32"/>
        </w:rPr>
        <w:t>99.93%</w:t>
      </w:r>
      <w:r>
        <w:rPr>
          <w:rStyle w:val="22"/>
          <w:rFonts w:ascii="仿宋" w:eastAsia="仿宋" w:cs="仿宋" w:hint="eastAsia"/>
          <w:b w:val="0"/>
          <w:bCs w:val="0"/>
          <w:sz w:val="32"/>
          <w:szCs w:val="32"/>
        </w:rPr>
        <w:t>，决算数小于预算数的原因为商品房补助费项目存在结转资金。</w:t>
      </w:r>
    </w:p>
    <w:p>
      <w:pPr>
        <w:spacing w:line="600" w:lineRule="exact"/>
        <w:ind w:firstLineChars="200" w:firstLine="640"/>
        <w:rPr>
          <w:rStyle w:val="22"/>
          <w:rFonts w:ascii="仿宋" w:eastAsia="仿宋"/>
          <w:b w:val="0"/>
          <w:bCs w:val="0"/>
          <w:sz w:val="32"/>
          <w:szCs w:val="32"/>
        </w:rPr>
      </w:pPr>
      <w:r>
        <w:rPr>
          <w:rStyle w:val="22"/>
          <w:rFonts w:ascii="仿宋" w:eastAsia="仿宋" w:cs="仿宋"/>
          <w:sz w:val="32"/>
          <w:szCs w:val="32"/>
        </w:rPr>
        <w:t>7.</w:t>
      </w:r>
      <w:r>
        <w:rPr>
          <w:rStyle w:val="22"/>
          <w:rFonts w:ascii="仿宋" w:eastAsia="仿宋" w:cs="仿宋" w:hint="eastAsia"/>
          <w:sz w:val="32"/>
          <w:szCs w:val="32"/>
        </w:rPr>
        <w:t>城乡社区支出（类）城乡社区规划与管理（款）城乡社区规划与管理（项）</w:t>
      </w:r>
      <w:r>
        <w:rPr>
          <w:rStyle w:val="22"/>
          <w:rFonts w:ascii="仿宋" w:eastAsia="仿宋" w:cs="仿宋"/>
          <w:sz w:val="32"/>
          <w:szCs w:val="32"/>
        </w:rPr>
        <w:t>:</w:t>
      </w:r>
      <w:r>
        <w:rPr>
          <w:rStyle w:val="22"/>
          <w:rFonts w:ascii="仿宋" w:eastAsia="仿宋" w:cs="仿宋"/>
          <w:b w:val="0"/>
          <w:bCs w:val="0"/>
          <w:sz w:val="32"/>
          <w:szCs w:val="32"/>
        </w:rPr>
        <w:t xml:space="preserve"> </w:t>
      </w:r>
      <w:r>
        <w:rPr>
          <w:rStyle w:val="22"/>
          <w:rFonts w:ascii="仿宋" w:eastAsia="仿宋" w:cs="仿宋" w:hint="eastAsia"/>
          <w:b w:val="0"/>
          <w:bCs w:val="0"/>
          <w:sz w:val="32"/>
          <w:szCs w:val="32"/>
        </w:rPr>
        <w:t>支出决算为</w:t>
      </w:r>
      <w:r>
        <w:rPr>
          <w:rStyle w:val="22"/>
          <w:rFonts w:ascii="仿宋" w:eastAsia="仿宋" w:cs="仿宋"/>
          <w:b w:val="0"/>
          <w:bCs w:val="0"/>
          <w:sz w:val="32"/>
          <w:szCs w:val="32"/>
        </w:rPr>
        <w:t>50.67</w:t>
      </w:r>
      <w:r>
        <w:rPr>
          <w:rStyle w:val="22"/>
          <w:rFonts w:ascii="仿宋" w:eastAsia="仿宋" w:cs="仿宋" w:hint="eastAsia"/>
          <w:b w:val="0"/>
          <w:bCs w:val="0"/>
          <w:sz w:val="32"/>
          <w:szCs w:val="32"/>
        </w:rPr>
        <w:t>万元，完成预算</w:t>
      </w:r>
      <w:r>
        <w:rPr>
          <w:rStyle w:val="22"/>
          <w:rFonts w:ascii="仿宋" w:eastAsia="仿宋" w:cs="仿宋"/>
          <w:b w:val="0"/>
          <w:bCs w:val="0"/>
          <w:sz w:val="32"/>
          <w:szCs w:val="32"/>
        </w:rPr>
        <w:t>100%</w:t>
      </w:r>
      <w:r>
        <w:rPr>
          <w:rStyle w:val="22"/>
          <w:rFonts w:ascii="仿宋" w:eastAsia="仿宋" w:cs="仿宋" w:hint="eastAsia"/>
          <w:b w:val="0"/>
          <w:bCs w:val="0"/>
          <w:sz w:val="32"/>
          <w:szCs w:val="32"/>
        </w:rPr>
        <w:t>，决算数等于预算数。</w:t>
      </w:r>
    </w:p>
    <w:p>
      <w:pPr>
        <w:spacing w:line="600" w:lineRule="exact"/>
        <w:ind w:firstLineChars="200" w:firstLine="640"/>
        <w:rPr>
          <w:rStyle w:val="22"/>
          <w:rFonts w:ascii="仿宋" w:eastAsia="仿宋"/>
          <w:b w:val="0"/>
          <w:bCs w:val="0"/>
          <w:sz w:val="32"/>
          <w:szCs w:val="32"/>
        </w:rPr>
      </w:pPr>
      <w:r>
        <w:rPr>
          <w:rStyle w:val="22"/>
          <w:rFonts w:ascii="仿宋" w:eastAsia="仿宋" w:cs="仿宋"/>
          <w:sz w:val="32"/>
          <w:szCs w:val="32"/>
        </w:rPr>
        <w:t>8.</w:t>
      </w:r>
      <w:r>
        <w:rPr>
          <w:rStyle w:val="22"/>
          <w:rFonts w:ascii="仿宋" w:eastAsia="仿宋" w:cs="仿宋" w:hint="eastAsia"/>
          <w:sz w:val="32"/>
          <w:szCs w:val="32"/>
        </w:rPr>
        <w:t>城乡社区支出（类）城乡社区公共设施（款）其他城乡社区公共设施支出（项）</w:t>
      </w:r>
      <w:r>
        <w:rPr>
          <w:rStyle w:val="22"/>
          <w:rFonts w:ascii="仿宋" w:eastAsia="仿宋" w:cs="仿宋"/>
          <w:sz w:val="32"/>
          <w:szCs w:val="32"/>
        </w:rPr>
        <w:t>:</w:t>
      </w:r>
      <w:r>
        <w:rPr>
          <w:rStyle w:val="22"/>
          <w:rFonts w:ascii="仿宋" w:eastAsia="仿宋" w:cs="仿宋"/>
          <w:b w:val="0"/>
          <w:bCs w:val="0"/>
          <w:sz w:val="32"/>
          <w:szCs w:val="32"/>
        </w:rPr>
        <w:t xml:space="preserve"> </w:t>
      </w:r>
      <w:r>
        <w:rPr>
          <w:rStyle w:val="22"/>
          <w:rFonts w:ascii="仿宋" w:eastAsia="仿宋" w:cs="仿宋" w:hint="eastAsia"/>
          <w:b w:val="0"/>
          <w:bCs w:val="0"/>
          <w:sz w:val="32"/>
          <w:szCs w:val="32"/>
        </w:rPr>
        <w:t>支出决算为</w:t>
      </w:r>
      <w:r>
        <w:rPr>
          <w:rStyle w:val="22"/>
          <w:rFonts w:ascii="仿宋" w:eastAsia="仿宋" w:cs="仿宋"/>
          <w:b w:val="0"/>
          <w:bCs w:val="0"/>
          <w:sz w:val="32"/>
          <w:szCs w:val="32"/>
        </w:rPr>
        <w:t>20</w:t>
      </w:r>
      <w:r>
        <w:rPr>
          <w:rStyle w:val="22"/>
          <w:rFonts w:ascii="仿宋" w:eastAsia="仿宋" w:cs="仿宋" w:hint="eastAsia"/>
          <w:b w:val="0"/>
          <w:bCs w:val="0"/>
          <w:sz w:val="32"/>
          <w:szCs w:val="32"/>
        </w:rPr>
        <w:t>万元，完成预算</w:t>
      </w:r>
      <w:r>
        <w:rPr>
          <w:rStyle w:val="22"/>
          <w:rFonts w:ascii="仿宋" w:eastAsia="仿宋" w:cs="仿宋"/>
          <w:b w:val="0"/>
          <w:bCs w:val="0"/>
          <w:sz w:val="32"/>
          <w:szCs w:val="32"/>
        </w:rPr>
        <w:t>100%</w:t>
      </w:r>
      <w:r>
        <w:rPr>
          <w:rStyle w:val="22"/>
          <w:rFonts w:ascii="仿宋" w:eastAsia="仿宋" w:cs="仿宋" w:hint="eastAsia"/>
          <w:b w:val="0"/>
          <w:bCs w:val="0"/>
          <w:sz w:val="32"/>
          <w:szCs w:val="32"/>
        </w:rPr>
        <w:t>，决算数等于预算数。</w:t>
      </w:r>
    </w:p>
    <w:p>
      <w:pPr>
        <w:spacing w:line="600" w:lineRule="exact"/>
        <w:ind w:firstLineChars="200" w:firstLine="640"/>
        <w:rPr>
          <w:rStyle w:val="22"/>
          <w:rFonts w:ascii="仿宋" w:eastAsia="仿宋"/>
          <w:b w:val="0"/>
          <w:bCs w:val="0"/>
          <w:sz w:val="32"/>
          <w:szCs w:val="32"/>
        </w:rPr>
      </w:pPr>
      <w:r>
        <w:rPr>
          <w:rStyle w:val="22"/>
          <w:rFonts w:ascii="仿宋" w:eastAsia="仿宋" w:cs="仿宋"/>
          <w:sz w:val="32"/>
          <w:szCs w:val="32"/>
        </w:rPr>
        <w:t>9.</w:t>
      </w:r>
      <w:r>
        <w:rPr>
          <w:rStyle w:val="22"/>
          <w:rFonts w:ascii="仿宋" w:eastAsia="仿宋" w:cs="仿宋" w:hint="eastAsia"/>
          <w:sz w:val="32"/>
          <w:szCs w:val="32"/>
        </w:rPr>
        <w:t>住房保障支出（类）住房改革支出（款）住房公积金（项）</w:t>
      </w:r>
      <w:r>
        <w:rPr>
          <w:rStyle w:val="22"/>
          <w:rFonts w:ascii="仿宋" w:eastAsia="仿宋" w:cs="仿宋"/>
          <w:sz w:val="32"/>
          <w:szCs w:val="32"/>
        </w:rPr>
        <w:t>:</w:t>
      </w:r>
      <w:r>
        <w:rPr>
          <w:rStyle w:val="22"/>
          <w:rFonts w:ascii="仿宋" w:eastAsia="仿宋" w:cs="仿宋"/>
          <w:b w:val="0"/>
          <w:bCs w:val="0"/>
          <w:sz w:val="32"/>
          <w:szCs w:val="32"/>
        </w:rPr>
        <w:t xml:space="preserve"> </w:t>
      </w:r>
      <w:r>
        <w:rPr>
          <w:rStyle w:val="22"/>
          <w:rFonts w:ascii="仿宋" w:eastAsia="仿宋" w:cs="仿宋" w:hint="eastAsia"/>
          <w:b w:val="0"/>
          <w:bCs w:val="0"/>
          <w:sz w:val="32"/>
          <w:szCs w:val="32"/>
        </w:rPr>
        <w:t>支出决算为</w:t>
      </w:r>
      <w:r>
        <w:rPr>
          <w:rStyle w:val="22"/>
          <w:rFonts w:ascii="仿宋" w:eastAsia="仿宋" w:cs="仿宋"/>
          <w:b w:val="0"/>
          <w:bCs w:val="0"/>
          <w:sz w:val="32"/>
          <w:szCs w:val="32"/>
        </w:rPr>
        <w:t>111.20</w:t>
      </w:r>
      <w:r>
        <w:rPr>
          <w:rStyle w:val="22"/>
          <w:rFonts w:ascii="仿宋" w:eastAsia="仿宋" w:cs="仿宋" w:hint="eastAsia"/>
          <w:b w:val="0"/>
          <w:bCs w:val="0"/>
          <w:sz w:val="32"/>
          <w:szCs w:val="32"/>
        </w:rPr>
        <w:t>万元，完成预算</w:t>
      </w:r>
      <w:r>
        <w:rPr>
          <w:rStyle w:val="22"/>
          <w:rFonts w:ascii="仿宋" w:eastAsia="仿宋" w:cs="仿宋"/>
          <w:b w:val="0"/>
          <w:bCs w:val="0"/>
          <w:sz w:val="32"/>
          <w:szCs w:val="32"/>
        </w:rPr>
        <w:t>100%</w:t>
      </w:r>
      <w:r>
        <w:rPr>
          <w:rStyle w:val="22"/>
          <w:rFonts w:ascii="仿宋" w:eastAsia="仿宋" w:cs="仿宋" w:hint="eastAsia"/>
          <w:b w:val="0"/>
          <w:bCs w:val="0"/>
          <w:sz w:val="32"/>
          <w:szCs w:val="32"/>
        </w:rPr>
        <w:t>，决算数等于预算数。</w:t>
      </w:r>
    </w:p>
    <w:p>
      <w:pPr>
        <w:tabs>
          <w:tab w:val="right" w:pos="8306"/>
        </w:tabs>
        <w:spacing w:line="600" w:lineRule="exact"/>
        <w:ind w:firstLine="640"/>
        <w:outlineLvl w:val="1"/>
        <w:rPr>
          <w:rStyle w:val="2Char"/>
        </w:rPr>
      </w:pPr>
      <w:bookmarkStart w:id="35" w:name="_Toc15396608"/>
      <w:bookmarkStart w:id="36" w:name="_Toc15377214"/>
      <w:r>
        <w:rPr>
          <w:rFonts w:ascii="黑体" w:eastAsia="黑体" w:cs="黑体" w:hint="eastAsia"/>
          <w:sz w:val="32"/>
          <w:szCs w:val="32"/>
        </w:rPr>
        <w:t>六</w:t>
      </w:r>
      <w:r>
        <w:rPr>
          <w:rFonts w:ascii="黑体" w:eastAsia="黑体" w:cs="黑体" w:hint="eastAsia"/>
          <w:b/>
          <w:bCs/>
          <w:sz w:val="32"/>
          <w:szCs w:val="32"/>
        </w:rPr>
        <w:t>、一</w:t>
      </w:r>
      <w:r>
        <w:rPr>
          <w:rStyle w:val="2Char"/>
          <w:rFonts w:ascii="黑体" w:eastAsia="黑体" w:cs="黑体" w:hint="eastAsia"/>
          <w:b w:val="0"/>
          <w:bCs w:val="0"/>
        </w:rPr>
        <w:t>般公共预算财政拨款基本支出决算情况说明</w:t>
      </w:r>
      <w:bookmarkEnd w:id="35"/>
      <w:bookmarkEnd w:id="36"/>
      <w:r>
        <w:rPr>
          <w:rStyle w:val="2Char"/>
          <w:rFonts w:ascii="黑体" w:eastAsia="黑体" w:cs="Times New Roman"/>
          <w:b w:val="0"/>
          <w:bCs w:val="0"/>
        </w:rPr>
        <w:tab/>
      </w:r>
    </w:p>
    <w:p>
      <w:pPr>
        <w:spacing w:line="600" w:lineRule="exact"/>
        <w:ind w:firstLine="645"/>
        <w:rPr>
          <w:rFonts w:ascii="仿宋" w:eastAsia="仿宋"/>
          <w:sz w:val="32"/>
          <w:szCs w:val="32"/>
        </w:rPr>
      </w:pPr>
      <w:r>
        <w:rPr>
          <w:rFonts w:ascii="仿宋" w:eastAsia="仿宋" w:cs="仿宋"/>
          <w:sz w:val="32"/>
          <w:szCs w:val="32"/>
        </w:rPr>
        <w:t>2022</w:t>
      </w:r>
      <w:r>
        <w:rPr>
          <w:rFonts w:ascii="仿宋" w:eastAsia="仿宋" w:cs="仿宋" w:hint="eastAsia"/>
          <w:sz w:val="32"/>
          <w:szCs w:val="32"/>
        </w:rPr>
        <w:t>年一般公共预算财政拨款基本支出</w:t>
      </w:r>
      <w:r>
        <w:rPr>
          <w:rFonts w:ascii="仿宋" w:eastAsia="仿宋" w:cs="仿宋"/>
          <w:sz w:val="32"/>
          <w:szCs w:val="32"/>
        </w:rPr>
        <w:t>1675.74</w:t>
      </w:r>
      <w:r>
        <w:rPr>
          <w:rFonts w:ascii="仿宋" w:eastAsia="仿宋" w:cs="仿宋" w:hint="eastAsia"/>
          <w:sz w:val="32"/>
          <w:szCs w:val="32"/>
        </w:rPr>
        <w:t>万元，其中：</w:t>
      </w:r>
    </w:p>
    <w:p>
      <w:pPr>
        <w:spacing w:line="600" w:lineRule="exact"/>
        <w:ind w:firstLine="645"/>
        <w:rPr>
          <w:rFonts w:ascii="仿宋" w:eastAsia="仿宋"/>
          <w:sz w:val="32"/>
          <w:szCs w:val="32"/>
        </w:rPr>
      </w:pPr>
      <w:r>
        <w:rPr>
          <w:rFonts w:ascii="仿宋" w:eastAsia="仿宋" w:cs="仿宋" w:hint="eastAsia"/>
          <w:sz w:val="32"/>
          <w:szCs w:val="32"/>
        </w:rPr>
        <w:t>人员经费</w:t>
      </w:r>
      <w:r>
        <w:rPr>
          <w:rFonts w:ascii="仿宋" w:eastAsia="仿宋" w:cs="仿宋"/>
          <w:sz w:val="32"/>
          <w:szCs w:val="32"/>
        </w:rPr>
        <w:t>1566.98</w:t>
      </w:r>
      <w:r>
        <w:rPr>
          <w:rFonts w:ascii="仿宋" w:eastAsia="仿宋" w:cs="仿宋" w:hint="eastAsia"/>
          <w:sz w:val="32"/>
          <w:szCs w:val="32"/>
        </w:rPr>
        <w:t>万元，主要包括：基本工资、津贴补贴、绩效工资、机关事业单位基本养老保险缴费、职工基本医疗保险缴费、公务员医疗补助缴费、其他社会保障缴费、住房公积金、其他工资福利支出、抚恤金、生活补助、医疗费补助。</w:t>
      </w:r>
      <w:r>
        <w:rPr>
          <w:rFonts w:ascii="仿宋" w:eastAsia="仿宋"/>
          <w:sz w:val="32"/>
          <w:szCs w:val="32"/>
        </w:rPr>
        <w:br/>
      </w:r>
      <w:r>
        <w:rPr>
          <w:rFonts w:ascii="仿宋" w:eastAsia="仿宋" w:cs="仿宋" w:hint="eastAsia"/>
          <w:sz w:val="32"/>
          <w:szCs w:val="32"/>
        </w:rPr>
        <w:t>　　公用经费</w:t>
      </w:r>
      <w:r>
        <w:rPr>
          <w:rFonts w:ascii="仿宋" w:eastAsia="仿宋" w:cs="仿宋"/>
          <w:sz w:val="32"/>
          <w:szCs w:val="32"/>
        </w:rPr>
        <w:t>108.76</w:t>
      </w:r>
      <w:r>
        <w:rPr>
          <w:rFonts w:ascii="仿宋" w:eastAsia="仿宋" w:cs="仿宋" w:hint="eastAsia"/>
          <w:sz w:val="32"/>
          <w:szCs w:val="32"/>
        </w:rPr>
        <w:t>万元，主要包括：办公费、水费、电费、邮电费、差旅费、会议费、培训费、公务接待费、劳务费、委托业务费、工会经费、福利费、公务用车运行维护费、其他交通费、其他商品和服务支出等。</w:t>
      </w:r>
    </w:p>
    <w:p>
      <w:pPr>
        <w:spacing w:line="600" w:lineRule="exact"/>
        <w:ind w:firstLine="640"/>
        <w:outlineLvl w:val="1"/>
        <w:rPr>
          <w:rStyle w:val="2Char"/>
          <w:rFonts w:ascii="黑体" w:eastAsia="黑体" w:cs="Times New Roman"/>
          <w:b w:val="0"/>
          <w:bCs w:val="0"/>
        </w:rPr>
      </w:pPr>
      <w:bookmarkStart w:id="37" w:name="_Toc15396609"/>
      <w:bookmarkStart w:id="38" w:name="_Toc15377215"/>
      <w:r>
        <w:rPr>
          <w:rFonts w:ascii="黑体" w:eastAsia="黑体" w:cs="黑体" w:hint="eastAsia"/>
          <w:sz w:val="32"/>
          <w:szCs w:val="32"/>
        </w:rPr>
        <w:t>七、</w:t>
      </w:r>
      <w:r>
        <w:rPr>
          <w:rStyle w:val="2Char"/>
          <w:rFonts w:ascii="黑体" w:eastAsia="黑体" w:cs="黑体" w:hint="eastAsia"/>
          <w:b w:val="0"/>
          <w:bCs w:val="0"/>
        </w:rPr>
        <w:t>财政拨款</w:t>
      </w:r>
      <w:r>
        <w:rPr>
          <w:rStyle w:val="2Char"/>
          <w:rFonts w:ascii="黑体" w:eastAsia="黑体" w:cs="黑体" w:hint="eastAsia"/>
        </w:rPr>
        <w:t>“</w:t>
      </w:r>
      <w:r>
        <w:rPr>
          <w:rStyle w:val="2Char"/>
          <w:rFonts w:ascii="黑体" w:eastAsia="黑体" w:cs="黑体" w:hint="eastAsia"/>
          <w:b w:val="0"/>
          <w:bCs w:val="0"/>
        </w:rPr>
        <w:t>三公”经费支出决算情况说明</w:t>
      </w:r>
      <w:bookmarkEnd w:id="37"/>
      <w:bookmarkEnd w:id="38"/>
    </w:p>
    <w:p>
      <w:pPr>
        <w:spacing w:line="600" w:lineRule="exact"/>
        <w:ind w:firstLine="640"/>
        <w:outlineLvl w:val="2"/>
        <w:rPr>
          <w:rFonts w:ascii="仿宋" w:eastAsia="仿宋"/>
          <w:b/>
          <w:bCs/>
          <w:sz w:val="32"/>
          <w:szCs w:val="32"/>
        </w:rPr>
      </w:pPr>
      <w:bookmarkStart w:id="39" w:name="_Toc15377216"/>
      <w:r>
        <w:rPr>
          <w:rFonts w:ascii="仿宋" w:eastAsia="仿宋" w:cs="仿宋" w:hint="eastAsia"/>
          <w:b/>
          <w:bCs/>
          <w:sz w:val="32"/>
          <w:szCs w:val="32"/>
        </w:rPr>
        <w:t>（一）“三公”经费财政拨款支出决算总体情况说明</w:t>
      </w:r>
      <w:bookmarkEnd w:id="39"/>
    </w:p>
    <w:p>
      <w:pPr>
        <w:spacing w:line="600" w:lineRule="exact"/>
        <w:ind w:firstLine="640"/>
        <w:rPr>
          <w:rFonts w:ascii="仿宋" w:eastAsia="仿宋"/>
          <w:sz w:val="32"/>
          <w:szCs w:val="32"/>
        </w:rPr>
      </w:pPr>
      <w:r>
        <w:rPr>
          <w:rFonts w:ascii="仿宋" w:eastAsia="仿宋" w:cs="仿宋"/>
          <w:sz w:val="32"/>
          <w:szCs w:val="32"/>
        </w:rPr>
        <w:t>2022</w:t>
      </w:r>
      <w:r>
        <w:rPr>
          <w:rFonts w:ascii="仿宋" w:eastAsia="仿宋" w:cs="仿宋" w:hint="eastAsia"/>
          <w:sz w:val="32"/>
          <w:szCs w:val="32"/>
        </w:rPr>
        <w:t>年“三公”经费财政拨款支出决算为</w:t>
      </w:r>
      <w:r>
        <w:rPr>
          <w:rFonts w:ascii="仿宋" w:eastAsia="仿宋" w:cs="仿宋"/>
          <w:sz w:val="32"/>
          <w:szCs w:val="32"/>
        </w:rPr>
        <w:t>1.99</w:t>
      </w:r>
      <w:r>
        <w:rPr>
          <w:rFonts w:ascii="仿宋" w:eastAsia="仿宋" w:cs="仿宋" w:hint="eastAsia"/>
          <w:sz w:val="32"/>
          <w:szCs w:val="32"/>
        </w:rPr>
        <w:t>万元，完成预算</w:t>
      </w:r>
      <w:r>
        <w:rPr>
          <w:rFonts w:ascii="仿宋" w:eastAsia="仿宋" w:cs="仿宋"/>
          <w:sz w:val="32"/>
          <w:szCs w:val="32"/>
        </w:rPr>
        <w:t>18.65%</w:t>
      </w:r>
      <w:r>
        <w:rPr>
          <w:rFonts w:ascii="仿宋" w:eastAsia="仿宋" w:cs="仿宋" w:hint="eastAsia"/>
          <w:sz w:val="32"/>
          <w:szCs w:val="32"/>
        </w:rPr>
        <w:t>，较上年增加</w:t>
      </w:r>
      <w:r>
        <w:rPr>
          <w:rFonts w:ascii="仿宋" w:eastAsia="仿宋" w:cs="仿宋"/>
          <w:sz w:val="32"/>
          <w:szCs w:val="32"/>
        </w:rPr>
        <w:t>0.16</w:t>
      </w:r>
      <w:r>
        <w:rPr>
          <w:rFonts w:ascii="仿宋" w:eastAsia="仿宋" w:cs="仿宋" w:hint="eastAsia"/>
          <w:sz w:val="32"/>
          <w:szCs w:val="32"/>
        </w:rPr>
        <w:t>万元，增长</w:t>
      </w:r>
      <w:r>
        <w:rPr>
          <w:rFonts w:ascii="仿宋" w:eastAsia="仿宋" w:cs="仿宋"/>
          <w:sz w:val="32"/>
          <w:szCs w:val="32"/>
        </w:rPr>
        <w:t>8.74%</w:t>
      </w:r>
      <w:r>
        <w:rPr>
          <w:rFonts w:ascii="仿宋" w:eastAsia="仿宋" w:cs="仿宋" w:hint="eastAsia"/>
          <w:sz w:val="32"/>
          <w:szCs w:val="32"/>
        </w:rPr>
        <w:t>。决算数小于预算数的主要原因是部分支出已经发生，但年终未能完成支付。</w:t>
      </w:r>
    </w:p>
    <w:p>
      <w:pPr>
        <w:spacing w:line="600" w:lineRule="exact"/>
        <w:ind w:firstLine="640"/>
        <w:outlineLvl w:val="2"/>
        <w:rPr>
          <w:rFonts w:ascii="仿宋" w:eastAsia="仿宋"/>
          <w:b/>
          <w:bCs/>
          <w:sz w:val="32"/>
          <w:szCs w:val="32"/>
        </w:rPr>
      </w:pPr>
      <w:bookmarkStart w:id="40" w:name="_Toc15377217"/>
      <w:r>
        <w:rPr>
          <w:rFonts w:ascii="仿宋" w:eastAsia="仿宋" w:cs="仿宋" w:hint="eastAsia"/>
          <w:b/>
          <w:bCs/>
          <w:sz w:val="32"/>
          <w:szCs w:val="32"/>
        </w:rPr>
        <w:t>（二）“三公”经费财政拨款支出决算具体情况说明</w:t>
      </w:r>
      <w:bookmarkEnd w:id="40"/>
    </w:p>
    <w:p>
      <w:pPr>
        <w:spacing w:line="600" w:lineRule="exact"/>
        <w:ind w:firstLine="640"/>
        <w:rPr>
          <w:rFonts w:ascii="仿宋" w:eastAsia="仿宋"/>
          <w:sz w:val="32"/>
          <w:szCs w:val="32"/>
        </w:rPr>
      </w:pPr>
      <w:r>
        <w:rPr>
          <w:rFonts w:ascii="仿宋" w:eastAsia="仿宋" w:cs="仿宋"/>
          <w:sz w:val="32"/>
          <w:szCs w:val="32"/>
        </w:rPr>
        <w:t>2022</w:t>
      </w:r>
      <w:r>
        <w:rPr>
          <w:rFonts w:ascii="仿宋" w:eastAsia="仿宋" w:cs="仿宋" w:hint="eastAsia"/>
          <w:sz w:val="32"/>
          <w:szCs w:val="32"/>
        </w:rPr>
        <w:t>年“三公”经费财政拨款支出决算中，因公出国（境）费支出决算</w:t>
      </w:r>
      <w:r>
        <w:rPr>
          <w:rFonts w:ascii="仿宋" w:eastAsia="仿宋" w:cs="仿宋"/>
          <w:sz w:val="32"/>
          <w:szCs w:val="32"/>
        </w:rPr>
        <w:t>0</w:t>
      </w:r>
      <w:r>
        <w:rPr>
          <w:rFonts w:ascii="仿宋" w:eastAsia="仿宋" w:cs="仿宋" w:hint="eastAsia"/>
          <w:sz w:val="32"/>
          <w:szCs w:val="32"/>
        </w:rPr>
        <w:t>万元，占</w:t>
      </w:r>
      <w:r>
        <w:rPr>
          <w:rFonts w:ascii="仿宋" w:eastAsia="仿宋" w:cs="仿宋"/>
          <w:sz w:val="32"/>
          <w:szCs w:val="32"/>
        </w:rPr>
        <w:t>0%</w:t>
      </w:r>
      <w:r>
        <w:rPr>
          <w:rFonts w:ascii="仿宋" w:eastAsia="仿宋" w:cs="仿宋" w:hint="eastAsia"/>
          <w:sz w:val="32"/>
          <w:szCs w:val="32"/>
        </w:rPr>
        <w:t>；公务用车购置及运行维护费支出决算</w:t>
      </w:r>
      <w:r>
        <w:rPr>
          <w:rFonts w:ascii="仿宋" w:eastAsia="仿宋" w:cs="仿宋"/>
          <w:sz w:val="32"/>
          <w:szCs w:val="32"/>
        </w:rPr>
        <w:t>1.45</w:t>
      </w:r>
      <w:r>
        <w:rPr>
          <w:rFonts w:ascii="仿宋" w:eastAsia="仿宋" w:cs="仿宋" w:hint="eastAsia"/>
          <w:sz w:val="32"/>
          <w:szCs w:val="32"/>
        </w:rPr>
        <w:t>万元，占</w:t>
      </w:r>
      <w:r>
        <w:rPr>
          <w:rFonts w:ascii="仿宋" w:eastAsia="仿宋" w:cs="仿宋"/>
          <w:sz w:val="32"/>
          <w:szCs w:val="32"/>
        </w:rPr>
        <w:t>72.86%</w:t>
      </w:r>
      <w:r>
        <w:rPr>
          <w:rFonts w:ascii="仿宋" w:eastAsia="仿宋" w:cs="仿宋" w:hint="eastAsia"/>
          <w:sz w:val="32"/>
          <w:szCs w:val="32"/>
        </w:rPr>
        <w:t>；公务接待费支出决算</w:t>
      </w:r>
      <w:r>
        <w:rPr>
          <w:rFonts w:ascii="仿宋" w:eastAsia="仿宋" w:cs="仿宋"/>
          <w:sz w:val="32"/>
          <w:szCs w:val="32"/>
        </w:rPr>
        <w:t>0.54</w:t>
      </w:r>
      <w:r>
        <w:rPr>
          <w:rFonts w:ascii="仿宋" w:eastAsia="仿宋" w:cs="仿宋" w:hint="eastAsia"/>
          <w:sz w:val="32"/>
          <w:szCs w:val="32"/>
        </w:rPr>
        <w:t>万元，占</w:t>
      </w:r>
      <w:r>
        <w:rPr>
          <w:rFonts w:ascii="仿宋" w:eastAsia="仿宋" w:cs="仿宋"/>
          <w:sz w:val="32"/>
          <w:szCs w:val="32"/>
        </w:rPr>
        <w:t>27.14%</w:t>
      </w:r>
      <w:r>
        <w:rPr>
          <w:rFonts w:ascii="仿宋" w:eastAsia="仿宋" w:cs="仿宋" w:hint="eastAsia"/>
          <w:sz w:val="32"/>
          <w:szCs w:val="32"/>
        </w:rPr>
        <w:t>。具体情况如下：</w:t>
      </w:r>
    </w:p>
    <w:p>
      <w:pPr>
        <w:spacing w:line="600" w:lineRule="exact"/>
        <w:ind w:firstLine="640"/>
        <w:rPr>
          <w:rFonts w:ascii="仿宋" w:eastAsia="仿宋"/>
          <w:sz w:val="32"/>
          <w:szCs w:val="32"/>
        </w:rPr>
      </w:pPr>
      <w:r>
        <w:rPr>
          <w:rFonts w:ascii="仿宋" w:eastAsia="仿宋" w:cs="仿宋" w:hint="eastAsia"/>
          <w:sz w:val="32"/>
          <w:szCs w:val="32"/>
        </w:rPr>
        <w:t>（图</w:t>
      </w:r>
      <w:r>
        <w:rPr>
          <w:rFonts w:ascii="仿宋" w:eastAsia="仿宋" w:cs="仿宋"/>
          <w:sz w:val="32"/>
          <w:szCs w:val="32"/>
        </w:rPr>
        <w:t>7</w:t>
      </w:r>
      <w:r>
        <w:rPr>
          <w:rFonts w:ascii="仿宋" w:eastAsia="仿宋" w:cs="仿宋" w:hint="eastAsia"/>
          <w:sz w:val="32"/>
          <w:szCs w:val="32"/>
        </w:rPr>
        <w:t>：“三公”经费财政拨款支出结构）</w:t>
      </w:r>
    </w:p>
    <w:p>
      <w:pPr>
        <w:pStyle w:val="15"/>
        <w:spacing w:beforeLines="0" w:before="93"/>
        <w:rPr>
          <w:rFonts w:cs="Times New Roman"/>
        </w:rPr>
      </w:pPr>
      <w:r>
        <w:rPr>
          <w:rFonts w:cs="Times New Roman"/>
        </w:rPr>
        <w:drawing>
          <wp:inline distT="0" distB="0" distL="114298" distR="114298">
            <wp:extent cx="5010150" cy="2933700"/>
            <wp:effectExtent l="0" t="0" r="19" b="45"/>
            <wp:docPr id="19" name="图表 9"/>
            <wp:cNvGraphicFramePr>
              <a:graphicFrameLocks noChangeAspect="0"/>
            </wp:cNvGraphicFramePr>
            <a:graphic>
              <a:graphicData uri="http://schemas.openxmlformats.org/drawingml/2006/picture">
                <pic:pic>
                  <pic:nvPicPr>
                    <pic:cNvPr id="21" name="图表 9 21"/>
                    <pic:cNvPicPr/>
                  </pic:nvPicPr>
                  <pic:blipFill>
                    <a:blip r:embed="rId10"/>
                    <a:stretch>
                      <a:fillRect/>
                    </a:stretch>
                  </pic:blipFill>
                  <pic:spPr>
                    <a:xfrm rot="0">
                      <a:off x="0" y="0"/>
                      <a:ext cx="5010150" cy="2933700"/>
                    </a:xfrm>
                    <a:prstGeom prst="rect"/>
                    <a:noFill/>
                    <a:ln w="9525" cmpd="sng" cap="flat">
                      <a:noFill/>
                      <a:prstDash val="solid"/>
                      <a:miter/>
                    </a:ln>
                  </pic:spPr>
                </pic:pic>
              </a:graphicData>
            </a:graphic>
          </wp:inline>
        </w:drawing>
      </w:r>
    </w:p>
    <w:p>
      <w:pPr>
        <w:spacing w:line="600" w:lineRule="exact"/>
        <w:ind w:firstLine="640"/>
        <w:rPr>
          <w:rFonts w:ascii="仿宋_GB2312" w:eastAsia="仿宋_GB2312"/>
          <w:b/>
          <w:bCs/>
          <w:sz w:val="32"/>
          <w:szCs w:val="32"/>
        </w:rPr>
      </w:pPr>
      <w:r>
        <w:rPr>
          <w:rFonts w:ascii="仿宋_GB2312" w:eastAsia="仿宋_GB2312" w:cs="仿宋_GB2312"/>
          <w:b/>
          <w:bCs/>
          <w:sz w:val="32"/>
          <w:szCs w:val="32"/>
        </w:rPr>
        <w:t>1.</w:t>
      </w:r>
      <w:r>
        <w:rPr>
          <w:rFonts w:ascii="仿宋_GB2312" w:eastAsia="仿宋_GB2312" w:cs="仿宋_GB2312" w:hint="eastAsia"/>
          <w:b/>
          <w:bCs/>
          <w:sz w:val="32"/>
          <w:szCs w:val="32"/>
        </w:rPr>
        <w:t>因公出国（境）经费支出</w:t>
      </w:r>
      <w:r>
        <w:rPr>
          <w:rFonts w:ascii="仿宋_GB2312" w:eastAsia="仿宋_GB2312" w:cs="仿宋_GB2312"/>
          <w:sz w:val="32"/>
          <w:szCs w:val="32"/>
        </w:rPr>
        <w:t>0</w:t>
      </w:r>
      <w:r>
        <w:rPr>
          <w:rFonts w:ascii="仿宋_GB2312" w:eastAsia="仿宋_GB2312" w:cs="仿宋_GB2312" w:hint="eastAsia"/>
          <w:sz w:val="32"/>
          <w:szCs w:val="32"/>
        </w:rPr>
        <w:t>万元，</w:t>
      </w:r>
      <w:r>
        <w:rPr>
          <w:rStyle w:val="22"/>
          <w:rFonts w:ascii="仿宋" w:eastAsia="仿宋" w:cs="仿宋" w:hint="eastAsia"/>
          <w:b w:val="0"/>
          <w:bCs w:val="0"/>
          <w:sz w:val="32"/>
          <w:szCs w:val="32"/>
        </w:rPr>
        <w:t>完成预算</w:t>
      </w:r>
      <w:r>
        <w:rPr>
          <w:rStyle w:val="22"/>
          <w:rFonts w:ascii="仿宋" w:eastAsia="仿宋" w:cs="仿宋"/>
          <w:b w:val="0"/>
          <w:bCs w:val="0"/>
          <w:sz w:val="32"/>
          <w:szCs w:val="32"/>
        </w:rPr>
        <w:t>0%</w:t>
      </w:r>
      <w:r>
        <w:rPr>
          <w:rStyle w:val="22"/>
          <w:rFonts w:ascii="仿宋" w:eastAsia="仿宋" w:cs="仿宋" w:hint="eastAsia"/>
          <w:b w:val="0"/>
          <w:bCs w:val="0"/>
          <w:sz w:val="32"/>
          <w:szCs w:val="32"/>
        </w:rPr>
        <w:t>。</w:t>
      </w:r>
      <w:r>
        <w:rPr>
          <w:rFonts w:ascii="仿宋_GB2312" w:eastAsia="仿宋_GB2312" w:cs="仿宋_GB2312" w:hint="eastAsia"/>
          <w:sz w:val="32"/>
          <w:szCs w:val="32"/>
        </w:rPr>
        <w:t>全年安排因公出国（境）团组</w:t>
      </w:r>
      <w:r>
        <w:rPr>
          <w:rFonts w:ascii="仿宋_GB2312" w:eastAsia="仿宋_GB2312" w:cs="仿宋_GB2312"/>
          <w:sz w:val="32"/>
          <w:szCs w:val="32"/>
        </w:rPr>
        <w:t>0</w:t>
      </w:r>
      <w:r>
        <w:rPr>
          <w:rFonts w:ascii="仿宋_GB2312" w:eastAsia="仿宋_GB2312" w:cs="仿宋_GB2312" w:hint="eastAsia"/>
          <w:sz w:val="32"/>
          <w:szCs w:val="32"/>
        </w:rPr>
        <w:t>次，出国（境）</w:t>
      </w:r>
      <w:r>
        <w:rPr>
          <w:rFonts w:ascii="仿宋_GB2312" w:eastAsia="仿宋_GB2312" w:cs="仿宋_GB2312"/>
          <w:sz w:val="32"/>
          <w:szCs w:val="32"/>
        </w:rPr>
        <w:t>0</w:t>
      </w:r>
      <w:r>
        <w:rPr>
          <w:rFonts w:ascii="仿宋_GB2312" w:eastAsia="仿宋_GB2312" w:cs="仿宋_GB2312" w:hint="eastAsia"/>
          <w:sz w:val="32"/>
          <w:szCs w:val="32"/>
        </w:rPr>
        <w:t>人。因公出国（境）支出决算比</w:t>
      </w:r>
      <w:r>
        <w:rPr>
          <w:rFonts w:ascii="仿宋_GB2312" w:eastAsia="仿宋_GB2312" w:cs="仿宋_GB2312"/>
          <w:sz w:val="32"/>
          <w:szCs w:val="32"/>
        </w:rPr>
        <w:t>2021</w:t>
      </w:r>
      <w:r>
        <w:rPr>
          <w:rFonts w:ascii="仿宋_GB2312" w:eastAsia="仿宋_GB2312" w:cs="仿宋_GB2312" w:hint="eastAsia"/>
          <w:sz w:val="32"/>
          <w:szCs w:val="32"/>
        </w:rPr>
        <w:t>年增加</w:t>
      </w:r>
      <w:r>
        <w:rPr>
          <w:rFonts w:ascii="仿宋_GB2312" w:eastAsia="仿宋_GB2312" w:cs="仿宋_GB2312"/>
          <w:sz w:val="32"/>
          <w:szCs w:val="32"/>
        </w:rPr>
        <w:t>/</w:t>
      </w:r>
      <w:r>
        <w:rPr>
          <w:rFonts w:ascii="仿宋_GB2312" w:eastAsia="仿宋_GB2312" w:cs="仿宋_GB2312" w:hint="eastAsia"/>
          <w:sz w:val="32"/>
          <w:szCs w:val="32"/>
        </w:rPr>
        <w:t>减少</w:t>
      </w:r>
      <w:r>
        <w:rPr>
          <w:rFonts w:ascii="仿宋_GB2312" w:eastAsia="仿宋_GB2312" w:cs="仿宋_GB2312"/>
          <w:sz w:val="32"/>
          <w:szCs w:val="32"/>
        </w:rPr>
        <w:t>0</w:t>
      </w:r>
      <w:r>
        <w:rPr>
          <w:rFonts w:ascii="仿宋_GB2312" w:eastAsia="仿宋_GB2312" w:cs="仿宋_GB2312" w:hint="eastAsia"/>
          <w:sz w:val="32"/>
          <w:szCs w:val="32"/>
        </w:rPr>
        <w:t>万元，增长</w:t>
      </w:r>
      <w:r>
        <w:rPr>
          <w:rFonts w:ascii="仿宋_GB2312" w:eastAsia="仿宋_GB2312" w:cs="仿宋_GB2312"/>
          <w:sz w:val="32"/>
          <w:szCs w:val="32"/>
        </w:rPr>
        <w:t>/</w:t>
      </w:r>
      <w:r>
        <w:rPr>
          <w:rFonts w:ascii="仿宋_GB2312" w:eastAsia="仿宋_GB2312" w:cs="仿宋_GB2312" w:hint="eastAsia"/>
          <w:sz w:val="32"/>
          <w:szCs w:val="32"/>
        </w:rPr>
        <w:t>下降</w:t>
      </w:r>
      <w:r>
        <w:rPr>
          <w:rFonts w:ascii="仿宋_GB2312" w:eastAsia="仿宋_GB2312" w:cs="仿宋_GB2312"/>
          <w:sz w:val="32"/>
          <w:szCs w:val="32"/>
        </w:rPr>
        <w:t>0%</w:t>
      </w:r>
      <w:r>
        <w:rPr>
          <w:rFonts w:ascii="仿宋_GB2312" w:eastAsia="仿宋_GB2312" w:cs="仿宋_GB2312" w:hint="eastAsia"/>
          <w:sz w:val="32"/>
          <w:szCs w:val="32"/>
        </w:rPr>
        <w:t>。</w:t>
      </w:r>
    </w:p>
    <w:p>
      <w:pPr>
        <w:spacing w:line="600" w:lineRule="exact"/>
        <w:ind w:firstLine="640"/>
        <w:rPr>
          <w:rFonts w:ascii="仿宋_GB2312" w:eastAsia="仿宋_GB2312"/>
          <w:sz w:val="32"/>
          <w:szCs w:val="32"/>
        </w:rPr>
      </w:pPr>
      <w:r>
        <w:rPr>
          <w:rFonts w:ascii="仿宋_GB2312" w:eastAsia="仿宋_GB2312" w:cs="仿宋_GB2312"/>
          <w:b/>
          <w:bCs/>
          <w:sz w:val="32"/>
          <w:szCs w:val="32"/>
        </w:rPr>
        <w:t>2.</w:t>
      </w:r>
      <w:r>
        <w:rPr>
          <w:rFonts w:ascii="仿宋_GB2312" w:eastAsia="仿宋_GB2312" w:cs="仿宋_GB2312" w:hint="eastAsia"/>
          <w:b/>
          <w:bCs/>
          <w:sz w:val="32"/>
          <w:szCs w:val="32"/>
        </w:rPr>
        <w:t>公务用车购置及运行维护费支出</w:t>
      </w:r>
      <w:r>
        <w:rPr>
          <w:rFonts w:ascii="仿宋_GB2312" w:eastAsia="仿宋_GB2312" w:cs="仿宋_GB2312"/>
          <w:sz w:val="32"/>
          <w:szCs w:val="32"/>
        </w:rPr>
        <w:t>1.45</w:t>
      </w:r>
      <w:r>
        <w:rPr>
          <w:rFonts w:ascii="仿宋_GB2312" w:eastAsia="仿宋_GB2312" w:cs="仿宋_GB2312" w:hint="eastAsia"/>
          <w:sz w:val="32"/>
          <w:szCs w:val="32"/>
        </w:rPr>
        <w:t>万元</w:t>
      </w:r>
      <w:r>
        <w:rPr>
          <w:rFonts w:ascii="仿宋_GB2312" w:eastAsia="仿宋_GB2312" w:cs="仿宋_GB2312"/>
          <w:sz w:val="32"/>
          <w:szCs w:val="32"/>
        </w:rPr>
        <w:t>,</w:t>
      </w:r>
      <w:r>
        <w:rPr>
          <w:rStyle w:val="22"/>
          <w:rFonts w:ascii="仿宋" w:eastAsia="仿宋" w:cs="仿宋" w:hint="eastAsia"/>
          <w:b w:val="0"/>
          <w:bCs w:val="0"/>
          <w:sz w:val="32"/>
          <w:szCs w:val="32"/>
        </w:rPr>
        <w:t>完成预算</w:t>
      </w:r>
      <w:r>
        <w:rPr>
          <w:rStyle w:val="22"/>
          <w:rFonts w:ascii="仿宋" w:eastAsia="仿宋" w:cs="仿宋"/>
          <w:b w:val="0"/>
          <w:bCs w:val="0"/>
          <w:sz w:val="32"/>
          <w:szCs w:val="32"/>
        </w:rPr>
        <w:t>17.22%</w:t>
      </w:r>
      <w:r>
        <w:rPr>
          <w:rStyle w:val="22"/>
          <w:rFonts w:ascii="仿宋" w:eastAsia="仿宋" w:cs="仿宋" w:hint="eastAsia"/>
          <w:b w:val="0"/>
          <w:bCs w:val="0"/>
          <w:sz w:val="32"/>
          <w:szCs w:val="32"/>
        </w:rPr>
        <w:t>。</w:t>
      </w:r>
      <w:r>
        <w:rPr>
          <w:rFonts w:ascii="仿宋_GB2312" w:eastAsia="仿宋_GB2312" w:cs="仿宋_GB2312" w:hint="eastAsia"/>
          <w:sz w:val="32"/>
          <w:szCs w:val="32"/>
        </w:rPr>
        <w:t>公务用车购置及运行维护费支出决算比</w:t>
      </w:r>
      <w:r>
        <w:rPr>
          <w:rFonts w:ascii="仿宋_GB2312" w:eastAsia="仿宋_GB2312" w:cs="仿宋_GB2312"/>
          <w:sz w:val="32"/>
          <w:szCs w:val="32"/>
        </w:rPr>
        <w:t>2021</w:t>
      </w:r>
      <w:r>
        <w:rPr>
          <w:rFonts w:ascii="仿宋_GB2312" w:eastAsia="仿宋_GB2312" w:cs="仿宋_GB2312" w:hint="eastAsia"/>
          <w:sz w:val="32"/>
          <w:szCs w:val="32"/>
        </w:rPr>
        <w:t>年增加</w:t>
      </w:r>
      <w:r>
        <w:rPr>
          <w:rFonts w:ascii="仿宋_GB2312" w:eastAsia="仿宋_GB2312" w:cs="仿宋_GB2312"/>
          <w:sz w:val="32"/>
          <w:szCs w:val="32"/>
        </w:rPr>
        <w:t>0.09</w:t>
      </w:r>
      <w:r>
        <w:rPr>
          <w:rFonts w:ascii="仿宋_GB2312" w:eastAsia="仿宋_GB2312" w:cs="仿宋_GB2312" w:hint="eastAsia"/>
          <w:sz w:val="32"/>
          <w:szCs w:val="32"/>
        </w:rPr>
        <w:t>万元，增长</w:t>
      </w:r>
      <w:r>
        <w:rPr>
          <w:rFonts w:ascii="仿宋_GB2312" w:eastAsia="仿宋_GB2312" w:cs="仿宋_GB2312"/>
          <w:sz w:val="32"/>
          <w:szCs w:val="32"/>
        </w:rPr>
        <w:t>6.6%</w:t>
      </w:r>
      <w:r>
        <w:rPr>
          <w:rFonts w:ascii="仿宋_GB2312" w:eastAsia="仿宋_GB2312" w:cs="仿宋_GB2312" w:hint="eastAsia"/>
          <w:sz w:val="32"/>
          <w:szCs w:val="32"/>
        </w:rPr>
        <w:t>。主要原因是中心车辆年久失修，维修费有所增加。</w:t>
      </w:r>
    </w:p>
    <w:p>
      <w:pPr>
        <w:spacing w:line="600" w:lineRule="exact"/>
        <w:ind w:firstLineChars="200" w:firstLine="640"/>
        <w:rPr>
          <w:rFonts w:ascii="仿宋_GB2312" w:eastAsia="仿宋_GB2312"/>
          <w:b/>
          <w:bCs/>
          <w:sz w:val="32"/>
          <w:szCs w:val="32"/>
        </w:rPr>
      </w:pPr>
      <w:r>
        <w:rPr>
          <w:rFonts w:ascii="仿宋_GB2312" w:eastAsia="仿宋_GB2312" w:cs="仿宋_GB2312" w:hint="eastAsia"/>
          <w:sz w:val="32"/>
          <w:szCs w:val="32"/>
        </w:rPr>
        <w:t>其中：</w:t>
      </w:r>
      <w:r>
        <w:rPr>
          <w:rFonts w:ascii="仿宋_GB2312" w:eastAsia="仿宋_GB2312" w:cs="仿宋_GB2312" w:hint="eastAsia"/>
          <w:b/>
          <w:bCs/>
          <w:sz w:val="32"/>
          <w:szCs w:val="32"/>
        </w:rPr>
        <w:t>公务用车购置支出</w:t>
      </w:r>
      <w:r>
        <w:rPr>
          <w:rFonts w:ascii="仿宋_GB2312" w:eastAsia="仿宋_GB2312" w:cs="仿宋_GB2312"/>
          <w:sz w:val="32"/>
          <w:szCs w:val="32"/>
        </w:rPr>
        <w:t>0</w:t>
      </w:r>
      <w:r>
        <w:rPr>
          <w:rFonts w:ascii="仿宋_GB2312" w:eastAsia="仿宋_GB2312" w:cs="仿宋_GB2312" w:hint="eastAsia"/>
          <w:sz w:val="32"/>
          <w:szCs w:val="32"/>
        </w:rPr>
        <w:t>万元。全年按规定更新购置公务用车</w:t>
      </w:r>
      <w:r>
        <w:rPr>
          <w:rFonts w:ascii="仿宋_GB2312" w:eastAsia="仿宋_GB2312" w:cs="仿宋_GB2312"/>
          <w:sz w:val="32"/>
          <w:szCs w:val="32"/>
        </w:rPr>
        <w:t>0</w:t>
      </w:r>
      <w:r>
        <w:rPr>
          <w:rFonts w:ascii="仿宋_GB2312" w:eastAsia="仿宋_GB2312" w:cs="仿宋_GB2312" w:hint="eastAsia"/>
          <w:sz w:val="32"/>
          <w:szCs w:val="32"/>
        </w:rPr>
        <w:t>辆，其中：轿车</w:t>
      </w:r>
      <w:r>
        <w:rPr>
          <w:rFonts w:ascii="仿宋_GB2312" w:eastAsia="仿宋_GB2312" w:cs="仿宋_GB2312"/>
          <w:sz w:val="32"/>
          <w:szCs w:val="32"/>
        </w:rPr>
        <w:t>0</w:t>
      </w:r>
      <w:r>
        <w:rPr>
          <w:rFonts w:ascii="仿宋_GB2312" w:eastAsia="仿宋_GB2312" w:cs="仿宋_GB2312" w:hint="eastAsia"/>
          <w:sz w:val="32"/>
          <w:szCs w:val="32"/>
        </w:rPr>
        <w:t>辆、金额</w:t>
      </w:r>
      <w:r>
        <w:rPr>
          <w:rFonts w:ascii="仿宋_GB2312" w:eastAsia="仿宋_GB2312" w:cs="仿宋_GB2312"/>
          <w:sz w:val="32"/>
          <w:szCs w:val="32"/>
        </w:rPr>
        <w:t>0</w:t>
      </w:r>
      <w:r>
        <w:rPr>
          <w:rFonts w:ascii="仿宋_GB2312" w:eastAsia="仿宋_GB2312" w:cs="仿宋_GB2312" w:hint="eastAsia"/>
          <w:sz w:val="32"/>
          <w:szCs w:val="32"/>
        </w:rPr>
        <w:t>万元，越野车</w:t>
      </w:r>
      <w:r>
        <w:rPr>
          <w:rFonts w:ascii="仿宋_GB2312" w:eastAsia="仿宋_GB2312" w:cs="仿宋_GB2312"/>
          <w:sz w:val="32"/>
          <w:szCs w:val="32"/>
        </w:rPr>
        <w:t>0</w:t>
      </w:r>
      <w:r>
        <w:rPr>
          <w:rFonts w:ascii="仿宋_GB2312" w:eastAsia="仿宋_GB2312" w:cs="仿宋_GB2312" w:hint="eastAsia"/>
          <w:sz w:val="32"/>
          <w:szCs w:val="32"/>
        </w:rPr>
        <w:t>辆、金额</w:t>
      </w:r>
      <w:r>
        <w:rPr>
          <w:rFonts w:ascii="仿宋_GB2312" w:eastAsia="仿宋_GB2312" w:cs="仿宋_GB2312"/>
          <w:sz w:val="32"/>
          <w:szCs w:val="32"/>
        </w:rPr>
        <w:t>0</w:t>
      </w:r>
      <w:r>
        <w:rPr>
          <w:rFonts w:ascii="仿宋_GB2312" w:eastAsia="仿宋_GB2312" w:cs="仿宋_GB2312" w:hint="eastAsia"/>
          <w:sz w:val="32"/>
          <w:szCs w:val="32"/>
        </w:rPr>
        <w:t>万元，载客汽车</w:t>
      </w:r>
      <w:r>
        <w:rPr>
          <w:rFonts w:ascii="仿宋_GB2312" w:eastAsia="仿宋_GB2312" w:cs="仿宋_GB2312"/>
          <w:sz w:val="32"/>
          <w:szCs w:val="32"/>
        </w:rPr>
        <w:t>0</w:t>
      </w:r>
      <w:r>
        <w:rPr>
          <w:rFonts w:ascii="仿宋_GB2312" w:eastAsia="仿宋_GB2312" w:cs="仿宋_GB2312" w:hint="eastAsia"/>
          <w:sz w:val="32"/>
          <w:szCs w:val="32"/>
        </w:rPr>
        <w:t>辆、金额</w:t>
      </w:r>
      <w:r>
        <w:rPr>
          <w:rFonts w:ascii="仿宋_GB2312" w:eastAsia="仿宋_GB2312" w:cs="仿宋_GB2312"/>
          <w:sz w:val="32"/>
          <w:szCs w:val="32"/>
        </w:rPr>
        <w:t>0</w:t>
      </w:r>
      <w:r>
        <w:rPr>
          <w:rFonts w:ascii="仿宋_GB2312" w:eastAsia="仿宋_GB2312" w:cs="仿宋_GB2312" w:hint="eastAsia"/>
          <w:sz w:val="32"/>
          <w:szCs w:val="32"/>
        </w:rPr>
        <w:t>万元。截至</w:t>
      </w:r>
      <w:r>
        <w:rPr>
          <w:rFonts w:ascii="仿宋_GB2312" w:eastAsia="仿宋_GB2312" w:cs="仿宋_GB2312"/>
          <w:sz w:val="32"/>
          <w:szCs w:val="32"/>
        </w:rPr>
        <w:t>2022</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月底，单位共有公务用车</w:t>
      </w:r>
      <w:r>
        <w:rPr>
          <w:rFonts w:ascii="仿宋_GB2312" w:eastAsia="仿宋_GB2312" w:cs="仿宋_GB2312"/>
          <w:sz w:val="32"/>
          <w:szCs w:val="32"/>
        </w:rPr>
        <w:t>4</w:t>
      </w:r>
      <w:r>
        <w:rPr>
          <w:rFonts w:ascii="仿宋_GB2312" w:eastAsia="仿宋_GB2312" w:cs="仿宋_GB2312" w:hint="eastAsia"/>
          <w:sz w:val="32"/>
          <w:szCs w:val="32"/>
        </w:rPr>
        <w:t>辆，其中：轿车</w:t>
      </w:r>
      <w:r>
        <w:rPr>
          <w:rFonts w:ascii="仿宋_GB2312" w:eastAsia="仿宋_GB2312" w:cs="仿宋_GB2312"/>
          <w:sz w:val="32"/>
          <w:szCs w:val="32"/>
        </w:rPr>
        <w:t>2</w:t>
      </w:r>
      <w:r>
        <w:rPr>
          <w:rFonts w:ascii="仿宋_GB2312" w:eastAsia="仿宋_GB2312" w:cs="仿宋_GB2312" w:hint="eastAsia"/>
          <w:sz w:val="32"/>
          <w:szCs w:val="32"/>
        </w:rPr>
        <w:t>辆、越野车</w:t>
      </w:r>
      <w:r>
        <w:rPr>
          <w:rFonts w:ascii="仿宋_GB2312" w:eastAsia="仿宋_GB2312" w:cs="仿宋_GB2312"/>
          <w:sz w:val="32"/>
          <w:szCs w:val="32"/>
        </w:rPr>
        <w:t>1</w:t>
      </w:r>
      <w:r>
        <w:rPr>
          <w:rFonts w:ascii="仿宋_GB2312" w:eastAsia="仿宋_GB2312" w:cs="仿宋_GB2312" w:hint="eastAsia"/>
          <w:sz w:val="32"/>
          <w:szCs w:val="32"/>
        </w:rPr>
        <w:t>辆、载客汽车</w:t>
      </w:r>
      <w:r>
        <w:rPr>
          <w:rFonts w:ascii="仿宋_GB2312" w:eastAsia="仿宋_GB2312" w:cs="仿宋_GB2312"/>
          <w:sz w:val="32"/>
          <w:szCs w:val="32"/>
        </w:rPr>
        <w:t>0</w:t>
      </w:r>
      <w:r>
        <w:rPr>
          <w:rFonts w:ascii="仿宋_GB2312" w:eastAsia="仿宋_GB2312" w:cs="仿宋_GB2312" w:hint="eastAsia"/>
          <w:sz w:val="32"/>
          <w:szCs w:val="32"/>
        </w:rPr>
        <w:t>辆、特种专业技术用车</w:t>
      </w:r>
      <w:r>
        <w:rPr>
          <w:rFonts w:ascii="仿宋_GB2312" w:eastAsia="仿宋_GB2312" w:cs="仿宋_GB2312"/>
          <w:sz w:val="32"/>
          <w:szCs w:val="32"/>
        </w:rPr>
        <w:t>1</w:t>
      </w:r>
      <w:r>
        <w:rPr>
          <w:rFonts w:ascii="仿宋_GB2312" w:eastAsia="仿宋_GB2312" w:cs="仿宋_GB2312" w:hint="eastAsia"/>
          <w:sz w:val="32"/>
          <w:szCs w:val="32"/>
        </w:rPr>
        <w:t>辆。</w:t>
      </w:r>
    </w:p>
    <w:p>
      <w:pPr>
        <w:spacing w:line="600" w:lineRule="exact"/>
        <w:ind w:firstLine="640"/>
        <w:rPr>
          <w:rFonts w:ascii="仿宋_GB2312" w:eastAsia="仿宋_GB2312"/>
          <w:sz w:val="32"/>
          <w:szCs w:val="32"/>
        </w:rPr>
      </w:pPr>
      <w:r>
        <w:rPr>
          <w:rFonts w:ascii="仿宋_GB2312" w:eastAsia="仿宋_GB2312" w:cs="仿宋_GB2312" w:hint="eastAsia"/>
          <w:b/>
          <w:bCs/>
          <w:sz w:val="32"/>
          <w:szCs w:val="32"/>
        </w:rPr>
        <w:t>公务用车运行维护费支出</w:t>
      </w:r>
      <w:r>
        <w:rPr>
          <w:rFonts w:ascii="仿宋_GB2312" w:eastAsia="仿宋_GB2312" w:cs="仿宋_GB2312"/>
          <w:sz w:val="32"/>
          <w:szCs w:val="32"/>
        </w:rPr>
        <w:t>1.45</w:t>
      </w:r>
      <w:r>
        <w:rPr>
          <w:rFonts w:ascii="仿宋_GB2312" w:eastAsia="仿宋_GB2312" w:cs="仿宋_GB2312" w:hint="eastAsia"/>
          <w:sz w:val="32"/>
          <w:szCs w:val="32"/>
        </w:rPr>
        <w:t>万元。主要用于白蚁防治施工、公房维修、维修基金拨付现场勘查等所需的公务用车燃料费、维修费、过路过桥费、保险费等支出。</w:t>
      </w:r>
    </w:p>
    <w:p>
      <w:pPr>
        <w:spacing w:line="600" w:lineRule="exact"/>
        <w:ind w:firstLine="640"/>
        <w:rPr>
          <w:rFonts w:ascii="仿宋_GB2312" w:eastAsia="仿宋_GB2312"/>
          <w:sz w:val="32"/>
          <w:szCs w:val="32"/>
        </w:rPr>
      </w:pPr>
      <w:r>
        <w:rPr>
          <w:rFonts w:ascii="仿宋_GB2312" w:eastAsia="仿宋_GB2312" w:cs="仿宋_GB2312"/>
          <w:b/>
          <w:bCs/>
          <w:sz w:val="32"/>
          <w:szCs w:val="32"/>
        </w:rPr>
        <w:t>3.</w:t>
      </w:r>
      <w:r>
        <w:rPr>
          <w:rFonts w:ascii="仿宋_GB2312" w:eastAsia="仿宋_GB2312" w:cs="仿宋_GB2312" w:hint="eastAsia"/>
          <w:b/>
          <w:bCs/>
          <w:sz w:val="32"/>
          <w:szCs w:val="32"/>
        </w:rPr>
        <w:t>公务接待费支出</w:t>
      </w:r>
      <w:r>
        <w:rPr>
          <w:rFonts w:ascii="仿宋_GB2312" w:eastAsia="仿宋_GB2312" w:cs="仿宋_GB2312"/>
          <w:sz w:val="32"/>
          <w:szCs w:val="32"/>
        </w:rPr>
        <w:t>0.54</w:t>
      </w:r>
      <w:r>
        <w:rPr>
          <w:rFonts w:ascii="仿宋_GB2312" w:eastAsia="仿宋_GB2312" w:cs="仿宋_GB2312" w:hint="eastAsia"/>
          <w:sz w:val="32"/>
          <w:szCs w:val="32"/>
        </w:rPr>
        <w:t>万元，</w:t>
      </w:r>
      <w:r>
        <w:rPr>
          <w:rStyle w:val="22"/>
          <w:rFonts w:ascii="仿宋" w:eastAsia="仿宋" w:cs="仿宋" w:hint="eastAsia"/>
          <w:b w:val="0"/>
          <w:bCs w:val="0"/>
          <w:sz w:val="32"/>
          <w:szCs w:val="32"/>
        </w:rPr>
        <w:t>完成预算</w:t>
      </w:r>
      <w:r>
        <w:rPr>
          <w:rStyle w:val="22"/>
          <w:rFonts w:ascii="仿宋" w:eastAsia="仿宋" w:cs="仿宋"/>
          <w:b w:val="0"/>
          <w:bCs w:val="0"/>
          <w:sz w:val="32"/>
          <w:szCs w:val="32"/>
        </w:rPr>
        <w:t>10.57%</w:t>
      </w:r>
      <w:r>
        <w:rPr>
          <w:rStyle w:val="22"/>
          <w:rFonts w:ascii="仿宋" w:eastAsia="仿宋" w:cs="仿宋" w:hint="eastAsia"/>
          <w:b w:val="0"/>
          <w:bCs w:val="0"/>
          <w:sz w:val="32"/>
          <w:szCs w:val="32"/>
        </w:rPr>
        <w:t>。</w:t>
      </w:r>
      <w:r>
        <w:rPr>
          <w:rFonts w:ascii="仿宋_GB2312" w:eastAsia="仿宋_GB2312" w:cs="仿宋_GB2312" w:hint="eastAsia"/>
          <w:sz w:val="32"/>
          <w:szCs w:val="32"/>
        </w:rPr>
        <w:t>公务接待费支出决算比</w:t>
      </w:r>
      <w:r>
        <w:rPr>
          <w:rFonts w:ascii="仿宋_GB2312" w:eastAsia="仿宋_GB2312" w:cs="仿宋_GB2312"/>
          <w:sz w:val="32"/>
          <w:szCs w:val="32"/>
        </w:rPr>
        <w:t>2021</w:t>
      </w:r>
      <w:r>
        <w:rPr>
          <w:rFonts w:ascii="仿宋_GB2312" w:eastAsia="仿宋_GB2312" w:cs="仿宋_GB2312" w:hint="eastAsia"/>
          <w:sz w:val="32"/>
          <w:szCs w:val="32"/>
        </w:rPr>
        <w:t>年增加</w:t>
      </w:r>
      <w:r>
        <w:rPr>
          <w:rFonts w:ascii="仿宋_GB2312" w:eastAsia="仿宋_GB2312" w:cs="仿宋_GB2312"/>
          <w:sz w:val="32"/>
          <w:szCs w:val="32"/>
        </w:rPr>
        <w:t>0.07</w:t>
      </w:r>
      <w:r>
        <w:rPr>
          <w:rFonts w:ascii="仿宋_GB2312" w:eastAsia="仿宋_GB2312" w:cs="仿宋_GB2312" w:hint="eastAsia"/>
          <w:sz w:val="32"/>
          <w:szCs w:val="32"/>
        </w:rPr>
        <w:t>万元，增长</w:t>
      </w:r>
      <w:r>
        <w:rPr>
          <w:rFonts w:ascii="仿宋_GB2312" w:eastAsia="仿宋_GB2312" w:cs="仿宋_GB2312"/>
          <w:sz w:val="32"/>
          <w:szCs w:val="32"/>
        </w:rPr>
        <w:t>14.89%</w:t>
      </w:r>
      <w:r>
        <w:rPr>
          <w:rFonts w:ascii="仿宋_GB2312" w:eastAsia="仿宋_GB2312" w:cs="仿宋_GB2312" w:hint="eastAsia"/>
          <w:sz w:val="32"/>
          <w:szCs w:val="32"/>
        </w:rPr>
        <w:t>。主要原因是临时性接待任务增加。其中：</w:t>
      </w:r>
    </w:p>
    <w:p>
      <w:pPr>
        <w:spacing w:line="600" w:lineRule="exact"/>
        <w:ind w:firstLine="640"/>
        <w:rPr>
          <w:rFonts w:ascii="仿宋_GB2312" w:eastAsia="仿宋_GB2312"/>
          <w:sz w:val="32"/>
          <w:szCs w:val="32"/>
        </w:rPr>
      </w:pPr>
      <w:r>
        <w:rPr>
          <w:rFonts w:ascii="仿宋" w:eastAsia="仿宋" w:cs="仿宋" w:hint="eastAsia"/>
          <w:b/>
          <w:bCs/>
          <w:sz w:val="32"/>
          <w:szCs w:val="32"/>
        </w:rPr>
        <w:t>国内公务接待支出</w:t>
      </w:r>
      <w:r>
        <w:rPr>
          <w:rFonts w:ascii="仿宋" w:eastAsia="仿宋" w:cs="仿宋"/>
          <w:sz w:val="32"/>
          <w:szCs w:val="32"/>
        </w:rPr>
        <w:t>0.54</w:t>
      </w:r>
      <w:r>
        <w:rPr>
          <w:rFonts w:ascii="仿宋_GB2312" w:eastAsia="仿宋_GB2312" w:cs="仿宋_GB2312" w:hint="eastAsia"/>
          <w:sz w:val="32"/>
          <w:szCs w:val="32"/>
        </w:rPr>
        <w:t>万元，主要用于开展业务活动开支的交通费、住宿费、用餐费等。国内公务接待</w:t>
      </w:r>
      <w:r>
        <w:rPr>
          <w:rFonts w:ascii="仿宋_GB2312" w:eastAsia="仿宋_GB2312" w:cs="仿宋_GB2312"/>
          <w:sz w:val="32"/>
          <w:szCs w:val="32"/>
        </w:rPr>
        <w:t>4</w:t>
      </w:r>
      <w:r>
        <w:rPr>
          <w:rFonts w:ascii="仿宋_GB2312" w:eastAsia="仿宋_GB2312" w:cs="仿宋_GB2312" w:hint="eastAsia"/>
          <w:sz w:val="32"/>
          <w:szCs w:val="32"/>
        </w:rPr>
        <w:t>批次，</w:t>
      </w:r>
      <w:r>
        <w:rPr>
          <w:rFonts w:ascii="仿宋_GB2312" w:eastAsia="仿宋_GB2312" w:cs="仿宋_GB2312"/>
          <w:sz w:val="32"/>
          <w:szCs w:val="32"/>
        </w:rPr>
        <w:t>27</w:t>
      </w:r>
      <w:r>
        <w:rPr>
          <w:rFonts w:ascii="仿宋_GB2312" w:eastAsia="仿宋_GB2312" w:cs="仿宋_GB2312" w:hint="eastAsia"/>
          <w:sz w:val="32"/>
          <w:szCs w:val="32"/>
        </w:rPr>
        <w:t>人次（不包括陪同人员），共计支出</w:t>
      </w:r>
      <w:r>
        <w:rPr>
          <w:rFonts w:ascii="仿宋_GB2312" w:eastAsia="仿宋_GB2312" w:cs="仿宋_GB2312"/>
          <w:sz w:val="32"/>
          <w:szCs w:val="32"/>
        </w:rPr>
        <w:t>0.54</w:t>
      </w:r>
      <w:r>
        <w:rPr>
          <w:rFonts w:ascii="仿宋_GB2312" w:eastAsia="仿宋_GB2312" w:cs="仿宋_GB2312" w:hint="eastAsia"/>
          <w:sz w:val="32"/>
          <w:szCs w:val="32"/>
        </w:rPr>
        <w:t>万元，具体内容包括：</w:t>
      </w:r>
      <w:r>
        <w:rPr>
          <w:rFonts w:ascii="仿宋_GB2312" w:eastAsia="仿宋_GB2312" w:cs="仿宋_GB2312"/>
          <w:sz w:val="32"/>
          <w:szCs w:val="32"/>
        </w:rPr>
        <w:t>1</w:t>
      </w:r>
      <w:r>
        <w:rPr>
          <w:rFonts w:ascii="仿宋_GB2312" w:eastAsia="仿宋_GB2312" w:cs="仿宋_GB2312" w:hint="eastAsia"/>
          <w:sz w:val="32"/>
          <w:szCs w:val="32"/>
        </w:rPr>
        <w:t>、接待雅安市住房保障和房地产事务中心来攀考察学习共</w:t>
      </w:r>
      <w:r>
        <w:rPr>
          <w:rFonts w:ascii="仿宋_GB2312" w:eastAsia="仿宋_GB2312" w:cs="仿宋_GB2312"/>
          <w:sz w:val="32"/>
          <w:szCs w:val="32"/>
        </w:rPr>
        <w:t>2899</w:t>
      </w:r>
      <w:r>
        <w:rPr>
          <w:rFonts w:ascii="仿宋_GB2312" w:eastAsia="仿宋_GB2312" w:cs="仿宋_GB2312" w:hint="eastAsia"/>
          <w:sz w:val="32"/>
          <w:szCs w:val="32"/>
        </w:rPr>
        <w:t>元，</w:t>
      </w:r>
      <w:r>
        <w:rPr>
          <w:rFonts w:ascii="仿宋_GB2312" w:eastAsia="仿宋_GB2312" w:cs="仿宋_GB2312"/>
          <w:sz w:val="32"/>
          <w:szCs w:val="32"/>
        </w:rPr>
        <w:t>2</w:t>
      </w:r>
      <w:r>
        <w:rPr>
          <w:rFonts w:ascii="仿宋_GB2312" w:eastAsia="仿宋_GB2312" w:cs="仿宋_GB2312" w:hint="eastAsia"/>
          <w:sz w:val="32"/>
          <w:szCs w:val="32"/>
        </w:rPr>
        <w:t>、接待省住房和城乡建设厅调查信访事件共</w:t>
      </w:r>
      <w:r>
        <w:rPr>
          <w:rFonts w:ascii="仿宋_GB2312" w:eastAsia="仿宋_GB2312" w:cs="仿宋_GB2312"/>
          <w:sz w:val="32"/>
          <w:szCs w:val="32"/>
        </w:rPr>
        <w:t>600</w:t>
      </w:r>
      <w:r>
        <w:rPr>
          <w:rFonts w:ascii="仿宋_GB2312" w:eastAsia="仿宋_GB2312" w:cs="仿宋_GB2312" w:hint="eastAsia"/>
          <w:sz w:val="32"/>
          <w:szCs w:val="32"/>
        </w:rPr>
        <w:t>元。</w:t>
      </w:r>
      <w:r>
        <w:rPr>
          <w:rFonts w:ascii="仿宋_GB2312" w:eastAsia="仿宋_GB2312" w:cs="仿宋_GB2312"/>
          <w:sz w:val="32"/>
          <w:szCs w:val="32"/>
        </w:rPr>
        <w:t>3</w:t>
      </w:r>
      <w:r>
        <w:rPr>
          <w:rFonts w:ascii="仿宋_GB2312" w:eastAsia="仿宋_GB2312" w:cs="仿宋_GB2312" w:hint="eastAsia"/>
          <w:sz w:val="32"/>
          <w:szCs w:val="32"/>
        </w:rPr>
        <w:t>、接待达州市房地产事务中心办理数据异地灾备共</w:t>
      </w:r>
      <w:r>
        <w:rPr>
          <w:rFonts w:ascii="仿宋_GB2312" w:eastAsia="仿宋_GB2312" w:cs="仿宋_GB2312"/>
          <w:sz w:val="32"/>
          <w:szCs w:val="32"/>
        </w:rPr>
        <w:t>840</w:t>
      </w:r>
      <w:r>
        <w:rPr>
          <w:rFonts w:ascii="仿宋_GB2312" w:eastAsia="仿宋_GB2312" w:cs="仿宋_GB2312" w:hint="eastAsia"/>
          <w:sz w:val="32"/>
          <w:szCs w:val="32"/>
        </w:rPr>
        <w:t>元。</w:t>
      </w:r>
      <w:r>
        <w:rPr>
          <w:rFonts w:ascii="仿宋_GB2312" w:eastAsia="仿宋_GB2312" w:cs="仿宋_GB2312"/>
          <w:sz w:val="32"/>
          <w:szCs w:val="32"/>
        </w:rPr>
        <w:t>4</w:t>
      </w:r>
      <w:r>
        <w:rPr>
          <w:rFonts w:ascii="仿宋_GB2312" w:eastAsia="仿宋_GB2312" w:cs="仿宋_GB2312" w:hint="eastAsia"/>
          <w:sz w:val="32"/>
          <w:szCs w:val="32"/>
        </w:rPr>
        <w:t>、接待四川省亿联科技公司接洽工作共</w:t>
      </w:r>
      <w:r>
        <w:rPr>
          <w:rFonts w:ascii="仿宋_GB2312" w:eastAsia="仿宋_GB2312" w:cs="仿宋_GB2312"/>
          <w:sz w:val="32"/>
          <w:szCs w:val="32"/>
        </w:rPr>
        <w:t>1039</w:t>
      </w:r>
      <w:r>
        <w:rPr>
          <w:rFonts w:ascii="仿宋_GB2312" w:eastAsia="仿宋_GB2312" w:cs="仿宋_GB2312" w:hint="eastAsia"/>
          <w:sz w:val="32"/>
          <w:szCs w:val="32"/>
        </w:rPr>
        <w:t>元。</w:t>
      </w:r>
    </w:p>
    <w:p>
      <w:pPr>
        <w:spacing w:line="600" w:lineRule="exact"/>
        <w:ind w:firstLineChars="200" w:firstLine="640"/>
        <w:rPr>
          <w:rFonts w:ascii="仿宋_GB2312" w:eastAsia="仿宋_GB2312"/>
          <w:sz w:val="32"/>
          <w:szCs w:val="32"/>
        </w:rPr>
      </w:pPr>
      <w:r>
        <w:rPr>
          <w:rFonts w:ascii="仿宋" w:eastAsia="仿宋" w:cs="仿宋" w:hint="eastAsia"/>
          <w:b/>
          <w:bCs/>
          <w:sz w:val="32"/>
          <w:szCs w:val="32"/>
        </w:rPr>
        <w:t>外事接待支出</w:t>
      </w:r>
      <w:r>
        <w:rPr>
          <w:rFonts w:ascii="仿宋" w:eastAsia="仿宋" w:cs="仿宋"/>
          <w:sz w:val="32"/>
          <w:szCs w:val="32"/>
        </w:rPr>
        <w:t>0</w:t>
      </w:r>
      <w:r>
        <w:rPr>
          <w:rFonts w:ascii="仿宋_GB2312" w:eastAsia="仿宋_GB2312" w:cs="仿宋_GB2312" w:hint="eastAsia"/>
          <w:sz w:val="32"/>
          <w:szCs w:val="32"/>
        </w:rPr>
        <w:t>万元。外事接待</w:t>
      </w:r>
      <w:r>
        <w:rPr>
          <w:rFonts w:ascii="仿宋_GB2312" w:eastAsia="仿宋_GB2312" w:cs="仿宋_GB2312"/>
          <w:sz w:val="32"/>
          <w:szCs w:val="32"/>
        </w:rPr>
        <w:t>0</w:t>
      </w:r>
      <w:r>
        <w:rPr>
          <w:rFonts w:ascii="仿宋_GB2312" w:eastAsia="仿宋_GB2312" w:cs="仿宋_GB2312" w:hint="eastAsia"/>
          <w:sz w:val="32"/>
          <w:szCs w:val="32"/>
        </w:rPr>
        <w:t>批次，</w:t>
      </w:r>
      <w:r>
        <w:rPr>
          <w:rFonts w:ascii="仿宋_GB2312" w:eastAsia="仿宋_GB2312" w:cs="仿宋_GB2312"/>
          <w:sz w:val="32"/>
          <w:szCs w:val="32"/>
        </w:rPr>
        <w:t>0</w:t>
      </w:r>
      <w:r>
        <w:rPr>
          <w:rFonts w:ascii="仿宋_GB2312" w:eastAsia="仿宋_GB2312" w:cs="仿宋_GB2312" w:hint="eastAsia"/>
          <w:sz w:val="32"/>
          <w:szCs w:val="32"/>
        </w:rPr>
        <w:t>人次（不包括陪同人员），共计支出</w:t>
      </w:r>
      <w:r>
        <w:rPr>
          <w:rFonts w:ascii="仿宋_GB2312" w:eastAsia="仿宋_GB2312" w:cs="仿宋_GB2312"/>
          <w:sz w:val="32"/>
          <w:szCs w:val="32"/>
        </w:rPr>
        <w:t>0</w:t>
      </w:r>
      <w:r>
        <w:rPr>
          <w:rFonts w:ascii="仿宋_GB2312" w:eastAsia="仿宋_GB2312" w:cs="仿宋_GB2312" w:hint="eastAsia"/>
          <w:sz w:val="32"/>
          <w:szCs w:val="32"/>
        </w:rPr>
        <w:t>万元。</w:t>
      </w:r>
      <w:bookmarkStart w:id="41" w:name="_Toc15377218"/>
      <w:bookmarkStart w:id="42" w:name="_Toc15396610"/>
    </w:p>
    <w:p>
      <w:pPr>
        <w:spacing w:line="600" w:lineRule="exact"/>
        <w:ind w:firstLine="640"/>
        <w:outlineLvl w:val="1"/>
        <w:rPr>
          <w:rStyle w:val="2Char"/>
          <w:rFonts w:ascii="黑体" w:eastAsia="黑体" w:cs="Times New Roman"/>
        </w:rPr>
      </w:pPr>
      <w:r>
        <w:rPr>
          <w:rFonts w:ascii="黑体" w:eastAsia="黑体" w:cs="黑体" w:hint="eastAsia"/>
          <w:sz w:val="32"/>
          <w:szCs w:val="32"/>
        </w:rPr>
        <w:t>八、</w:t>
      </w:r>
      <w:r>
        <w:rPr>
          <w:rStyle w:val="2Char"/>
          <w:rFonts w:ascii="黑体" w:eastAsia="黑体" w:cs="黑体" w:hint="eastAsia"/>
          <w:b w:val="0"/>
          <w:bCs w:val="0"/>
        </w:rPr>
        <w:t>政府性基金预算支出决算情况说明</w:t>
      </w:r>
      <w:bookmarkEnd w:id="41"/>
      <w:bookmarkEnd w:id="42"/>
    </w:p>
    <w:p>
      <w:pPr>
        <w:spacing w:line="600" w:lineRule="exact"/>
        <w:ind w:firstLine="640"/>
        <w:rPr>
          <w:rFonts w:ascii="仿宋_GB2312" w:eastAsia="仿宋_GB2312"/>
          <w:sz w:val="32"/>
          <w:szCs w:val="32"/>
        </w:rPr>
      </w:pPr>
      <w:r>
        <w:rPr>
          <w:rFonts w:ascii="仿宋_GB2312" w:eastAsia="仿宋_GB2312" w:cs="仿宋_GB2312"/>
          <w:sz w:val="32"/>
          <w:szCs w:val="32"/>
        </w:rPr>
        <w:t>2022</w:t>
      </w:r>
      <w:r>
        <w:rPr>
          <w:rFonts w:ascii="仿宋_GB2312" w:eastAsia="仿宋_GB2312" w:cs="仿宋_GB2312" w:hint="eastAsia"/>
          <w:sz w:val="32"/>
          <w:szCs w:val="32"/>
        </w:rPr>
        <w:t>年政府性基金预算财政拨款支出</w:t>
      </w:r>
      <w:r>
        <w:rPr>
          <w:rFonts w:ascii="仿宋_GB2312" w:eastAsia="仿宋_GB2312" w:cs="仿宋_GB2312"/>
          <w:sz w:val="32"/>
          <w:szCs w:val="32"/>
        </w:rPr>
        <w:t>0</w:t>
      </w:r>
      <w:r>
        <w:rPr>
          <w:rFonts w:ascii="仿宋_GB2312" w:eastAsia="仿宋_GB2312" w:cs="仿宋_GB2312" w:hint="eastAsia"/>
          <w:sz w:val="32"/>
          <w:szCs w:val="32"/>
        </w:rPr>
        <w:t>万元。</w:t>
      </w:r>
    </w:p>
    <w:p>
      <w:pPr>
        <w:numPr>
          <w:ilvl w:val="0"/>
          <w:numId w:val="3"/>
        </w:numPr>
        <w:spacing w:line="600" w:lineRule="exact"/>
        <w:ind w:left="0" w:firstLine="640"/>
        <w:outlineLvl w:val="1"/>
        <w:rPr>
          <w:rStyle w:val="2Char"/>
          <w:rFonts w:ascii="黑体" w:eastAsia="黑体" w:cs="Times New Roman"/>
          <w:b w:val="0"/>
          <w:bCs w:val="0"/>
        </w:rPr>
      </w:pPr>
      <w:bookmarkStart w:id="43" w:name="_Toc15396611"/>
      <w:bookmarkStart w:id="44" w:name="_Toc15377219"/>
      <w:r>
        <w:rPr>
          <w:rStyle w:val="2Char"/>
          <w:rFonts w:ascii="黑体" w:eastAsia="黑体" w:cs="黑体" w:hint="eastAsia"/>
          <w:b w:val="0"/>
          <w:bCs w:val="0"/>
        </w:rPr>
        <w:t>国有资本经营预算支出决算情况说明</w:t>
      </w:r>
      <w:bookmarkEnd w:id="43"/>
      <w:bookmarkEnd w:id="44"/>
    </w:p>
    <w:p>
      <w:pPr>
        <w:spacing w:line="600" w:lineRule="exact"/>
        <w:ind w:firstLine="640"/>
        <w:rPr>
          <w:rFonts w:ascii="仿宋_GB2312" w:eastAsia="仿宋_GB2312"/>
          <w:sz w:val="32"/>
          <w:szCs w:val="32"/>
        </w:rPr>
      </w:pPr>
      <w:r>
        <w:rPr>
          <w:rFonts w:ascii="仿宋_GB2312" w:eastAsia="仿宋_GB2312" w:cs="仿宋_GB2312"/>
          <w:sz w:val="32"/>
          <w:szCs w:val="32"/>
        </w:rPr>
        <w:t>2022</w:t>
      </w:r>
      <w:r>
        <w:rPr>
          <w:rFonts w:ascii="仿宋_GB2312" w:eastAsia="仿宋_GB2312" w:cs="仿宋_GB2312" w:hint="eastAsia"/>
          <w:sz w:val="32"/>
          <w:szCs w:val="32"/>
        </w:rPr>
        <w:t>年国有资本经营预算财政拨款支出</w:t>
      </w:r>
      <w:r>
        <w:rPr>
          <w:rFonts w:ascii="仿宋_GB2312" w:eastAsia="仿宋_GB2312" w:cs="仿宋_GB2312"/>
          <w:sz w:val="32"/>
          <w:szCs w:val="32"/>
        </w:rPr>
        <w:t>0</w:t>
      </w:r>
      <w:r>
        <w:rPr>
          <w:rFonts w:ascii="仿宋_GB2312" w:eastAsia="仿宋_GB2312" w:cs="仿宋_GB2312" w:hint="eastAsia"/>
          <w:sz w:val="32"/>
          <w:szCs w:val="32"/>
        </w:rPr>
        <w:t>万元。</w:t>
      </w:r>
    </w:p>
    <w:p>
      <w:pPr>
        <w:numPr>
          <w:ilvl w:val="0"/>
          <w:numId w:val="3"/>
        </w:numPr>
        <w:spacing w:line="600" w:lineRule="exact"/>
        <w:ind w:left="0" w:firstLine="640"/>
        <w:outlineLvl w:val="1"/>
        <w:rPr>
          <w:rStyle w:val="2Char"/>
          <w:rFonts w:ascii="黑体" w:eastAsia="黑体" w:cs="Times New Roman"/>
          <w:b w:val="0"/>
          <w:bCs w:val="0"/>
        </w:rPr>
      </w:pPr>
      <w:bookmarkStart w:id="45" w:name="_Toc15396612"/>
      <w:bookmarkStart w:id="46" w:name="_Toc15377221"/>
      <w:r>
        <w:rPr>
          <w:rStyle w:val="2Char"/>
          <w:rFonts w:ascii="黑体" w:eastAsia="黑体" w:cs="黑体" w:hint="eastAsia"/>
          <w:b w:val="0"/>
          <w:bCs w:val="0"/>
        </w:rPr>
        <w:t>其他重要事项的情况说明</w:t>
      </w:r>
      <w:bookmarkEnd w:id="45"/>
      <w:bookmarkEnd w:id="46"/>
    </w:p>
    <w:p>
      <w:pPr>
        <w:spacing w:line="600" w:lineRule="exact"/>
        <w:ind w:firstLineChars="200" w:firstLine="640"/>
        <w:outlineLvl w:val="2"/>
        <w:rPr>
          <w:rFonts w:ascii="仿宋" w:eastAsia="仿宋"/>
          <w:sz w:val="32"/>
          <w:szCs w:val="32"/>
        </w:rPr>
      </w:pPr>
      <w:bookmarkStart w:id="47" w:name="_Toc15377222"/>
      <w:r>
        <w:rPr>
          <w:rFonts w:ascii="仿宋" w:eastAsia="仿宋" w:cs="仿宋" w:hint="eastAsia"/>
          <w:b/>
          <w:bCs/>
          <w:sz w:val="32"/>
          <w:szCs w:val="32"/>
        </w:rPr>
        <w:t>（一）机关运行经费支出情况</w:t>
      </w:r>
      <w:bookmarkEnd w:id="47"/>
    </w:p>
    <w:p>
      <w:pPr>
        <w:spacing w:line="600" w:lineRule="exact"/>
        <w:ind w:firstLineChars="200" w:firstLine="640"/>
        <w:rPr>
          <w:rFonts w:ascii="仿宋_GB2312" w:eastAsia="仿宋_GB2312"/>
          <w:sz w:val="32"/>
          <w:szCs w:val="32"/>
        </w:rPr>
      </w:pPr>
      <w:r>
        <w:rPr>
          <w:rFonts w:ascii="仿宋_GB2312" w:eastAsia="仿宋_GB2312" w:cs="仿宋_GB2312"/>
          <w:sz w:val="32"/>
          <w:szCs w:val="32"/>
        </w:rPr>
        <w:t>2022</w:t>
      </w:r>
      <w:r>
        <w:rPr>
          <w:rFonts w:ascii="仿宋_GB2312" w:eastAsia="仿宋_GB2312" w:cs="仿宋_GB2312" w:hint="eastAsia"/>
          <w:sz w:val="32"/>
          <w:szCs w:val="32"/>
        </w:rPr>
        <w:t>年，攀枝花市房地产事务中心机关运行经费支出</w:t>
      </w:r>
      <w:r>
        <w:rPr>
          <w:rFonts w:ascii="仿宋_GB2312" w:eastAsia="仿宋_GB2312" w:cs="仿宋_GB2312"/>
          <w:sz w:val="32"/>
          <w:szCs w:val="32"/>
        </w:rPr>
        <w:t>108.76</w:t>
      </w:r>
      <w:r>
        <w:rPr>
          <w:rFonts w:ascii="仿宋_GB2312" w:eastAsia="仿宋_GB2312" w:cs="仿宋_GB2312" w:hint="eastAsia"/>
          <w:sz w:val="32"/>
          <w:szCs w:val="32"/>
        </w:rPr>
        <w:t>万元，比</w:t>
      </w:r>
      <w:r>
        <w:rPr>
          <w:rFonts w:ascii="仿宋_GB2312" w:eastAsia="仿宋_GB2312" w:cs="仿宋_GB2312"/>
          <w:sz w:val="32"/>
          <w:szCs w:val="32"/>
        </w:rPr>
        <w:t>2021</w:t>
      </w:r>
      <w:r>
        <w:rPr>
          <w:rFonts w:ascii="仿宋_GB2312" w:eastAsia="仿宋_GB2312" w:cs="仿宋_GB2312" w:hint="eastAsia"/>
          <w:sz w:val="32"/>
          <w:szCs w:val="32"/>
        </w:rPr>
        <w:t>年减少</w:t>
      </w:r>
      <w:r>
        <w:rPr>
          <w:rFonts w:ascii="仿宋_GB2312" w:eastAsia="仿宋_GB2312" w:cs="仿宋_GB2312"/>
          <w:sz w:val="32"/>
          <w:szCs w:val="32"/>
        </w:rPr>
        <w:t>51.98</w:t>
      </w:r>
      <w:r>
        <w:rPr>
          <w:rFonts w:ascii="仿宋_GB2312" w:eastAsia="仿宋_GB2312" w:cs="仿宋_GB2312" w:hint="eastAsia"/>
          <w:sz w:val="32"/>
          <w:szCs w:val="32"/>
        </w:rPr>
        <w:t>万元，下降</w:t>
      </w:r>
      <w:r>
        <w:rPr>
          <w:rFonts w:ascii="仿宋_GB2312" w:eastAsia="仿宋_GB2312" w:cs="仿宋_GB2312"/>
          <w:sz w:val="32"/>
          <w:szCs w:val="32"/>
        </w:rPr>
        <w:t>32.34%</w:t>
      </w:r>
      <w:r>
        <w:rPr>
          <w:rFonts w:ascii="仿宋_GB2312" w:eastAsia="仿宋_GB2312" w:cs="仿宋_GB2312" w:hint="eastAsia"/>
          <w:sz w:val="32"/>
          <w:szCs w:val="32"/>
        </w:rPr>
        <w:t>。主要原因是</w:t>
      </w:r>
      <w:r>
        <w:rPr>
          <w:rFonts w:ascii="仿宋_GB2312" w:eastAsia="仿宋_GB2312" w:cs="仿宋_GB2312"/>
          <w:sz w:val="32"/>
          <w:szCs w:val="32"/>
        </w:rPr>
        <w:t>2022</w:t>
      </w:r>
      <w:r>
        <w:rPr>
          <w:rFonts w:ascii="仿宋_GB2312" w:eastAsia="仿宋_GB2312" w:cs="仿宋_GB2312" w:hint="eastAsia"/>
          <w:sz w:val="32"/>
          <w:szCs w:val="32"/>
        </w:rPr>
        <w:t>年实际发放的奖金和绩效较</w:t>
      </w:r>
      <w:r>
        <w:rPr>
          <w:rFonts w:ascii="仿宋_GB2312" w:eastAsia="仿宋_GB2312" w:cs="仿宋_GB2312"/>
          <w:sz w:val="32"/>
          <w:szCs w:val="32"/>
        </w:rPr>
        <w:t>2021</w:t>
      </w:r>
      <w:r>
        <w:rPr>
          <w:rFonts w:ascii="仿宋_GB2312" w:eastAsia="仿宋_GB2312" w:cs="仿宋_GB2312" w:hint="eastAsia"/>
          <w:sz w:val="32"/>
          <w:szCs w:val="32"/>
        </w:rPr>
        <w:t>年大幅缩减。</w:t>
      </w:r>
    </w:p>
    <w:p>
      <w:pPr>
        <w:autoSpaceDE w:val="0"/>
        <w:autoSpaceDN w:val="0"/>
        <w:adjustRightInd w:val="0"/>
        <w:spacing w:line="600" w:lineRule="exact"/>
        <w:ind w:firstLineChars="200" w:firstLine="640"/>
        <w:jc w:val="left"/>
        <w:outlineLvl w:val="2"/>
        <w:rPr>
          <w:rFonts w:ascii="仿宋" w:eastAsia="仿宋"/>
          <w:b/>
          <w:bCs/>
          <w:sz w:val="32"/>
          <w:szCs w:val="32"/>
        </w:rPr>
      </w:pPr>
      <w:bookmarkStart w:id="48" w:name="_Toc15377223"/>
      <w:r>
        <w:rPr>
          <w:rFonts w:ascii="仿宋" w:eastAsia="仿宋" w:cs="仿宋" w:hint="eastAsia"/>
          <w:b/>
          <w:bCs/>
          <w:sz w:val="32"/>
          <w:szCs w:val="32"/>
        </w:rPr>
        <w:t>（二）政府采购支出情况</w:t>
      </w:r>
      <w:bookmarkEnd w:id="48"/>
    </w:p>
    <w:p>
      <w:pPr>
        <w:spacing w:line="600" w:lineRule="exact"/>
        <w:ind w:firstLineChars="200" w:firstLine="640"/>
        <w:rPr>
          <w:rFonts w:ascii="仿宋_GB2312" w:eastAsia="仿宋_GB2312"/>
          <w:sz w:val="32"/>
          <w:szCs w:val="32"/>
        </w:rPr>
      </w:pPr>
      <w:r>
        <w:rPr>
          <w:rFonts w:ascii="仿宋_GB2312" w:eastAsia="仿宋_GB2312" w:cs="仿宋_GB2312"/>
          <w:sz w:val="32"/>
          <w:szCs w:val="32"/>
        </w:rPr>
        <w:t>2022</w:t>
      </w:r>
      <w:r>
        <w:rPr>
          <w:rFonts w:ascii="仿宋_GB2312" w:eastAsia="仿宋_GB2312" w:cs="仿宋_GB2312" w:hint="eastAsia"/>
          <w:sz w:val="32"/>
          <w:szCs w:val="32"/>
        </w:rPr>
        <w:t>年，攀枝花市房地产事务中心政府采购支出总额</w:t>
      </w:r>
      <w:r>
        <w:rPr>
          <w:rFonts w:ascii="仿宋_GB2312" w:eastAsia="仿宋_GB2312" w:cs="仿宋_GB2312"/>
          <w:sz w:val="32"/>
          <w:szCs w:val="32"/>
        </w:rPr>
        <w:t>0</w:t>
      </w:r>
      <w:r>
        <w:rPr>
          <w:rFonts w:ascii="仿宋_GB2312" w:eastAsia="仿宋_GB2312" w:cs="仿宋_GB2312" w:hint="eastAsia"/>
          <w:sz w:val="32"/>
          <w:szCs w:val="32"/>
        </w:rPr>
        <w:t>万元，其中：政府采购货物支出</w:t>
      </w:r>
      <w:r>
        <w:rPr>
          <w:rFonts w:ascii="仿宋_GB2312" w:eastAsia="仿宋_GB2312" w:cs="仿宋_GB2312"/>
          <w:sz w:val="32"/>
          <w:szCs w:val="32"/>
        </w:rPr>
        <w:t>0</w:t>
      </w:r>
      <w:r>
        <w:rPr>
          <w:rFonts w:ascii="仿宋_GB2312" w:eastAsia="仿宋_GB2312" w:cs="仿宋_GB2312" w:hint="eastAsia"/>
          <w:sz w:val="32"/>
          <w:szCs w:val="32"/>
        </w:rPr>
        <w:t>万元、政府采购工程支出</w:t>
      </w:r>
      <w:r>
        <w:rPr>
          <w:rFonts w:ascii="仿宋_GB2312" w:eastAsia="仿宋_GB2312" w:cs="仿宋_GB2312"/>
          <w:sz w:val="32"/>
          <w:szCs w:val="32"/>
        </w:rPr>
        <w:t>0</w:t>
      </w:r>
      <w:r>
        <w:rPr>
          <w:rFonts w:ascii="仿宋_GB2312" w:eastAsia="仿宋_GB2312" w:cs="仿宋_GB2312" w:hint="eastAsia"/>
          <w:sz w:val="32"/>
          <w:szCs w:val="32"/>
        </w:rPr>
        <w:t>万元、政府采购服务支出</w:t>
      </w:r>
      <w:r>
        <w:rPr>
          <w:rFonts w:ascii="仿宋_GB2312" w:eastAsia="仿宋_GB2312" w:cs="仿宋_GB2312"/>
          <w:sz w:val="32"/>
          <w:szCs w:val="32"/>
        </w:rPr>
        <w:t>0</w:t>
      </w:r>
      <w:r>
        <w:rPr>
          <w:rFonts w:ascii="仿宋_GB2312" w:eastAsia="仿宋_GB2312" w:cs="仿宋_GB2312" w:hint="eastAsia"/>
          <w:sz w:val="32"/>
          <w:szCs w:val="32"/>
        </w:rPr>
        <w:t>万元。授予中小企业合同金额</w:t>
      </w:r>
      <w:r>
        <w:rPr>
          <w:rFonts w:ascii="仿宋_GB2312" w:eastAsia="仿宋_GB2312" w:cs="仿宋_GB2312"/>
          <w:sz w:val="32"/>
          <w:szCs w:val="32"/>
        </w:rPr>
        <w:t>0</w:t>
      </w:r>
      <w:r>
        <w:rPr>
          <w:rFonts w:ascii="仿宋_GB2312" w:eastAsia="仿宋_GB2312" w:cs="仿宋_GB2312" w:hint="eastAsia"/>
          <w:sz w:val="32"/>
          <w:szCs w:val="32"/>
        </w:rPr>
        <w:t>万元，占政府采购支出总额的</w:t>
      </w:r>
      <w:r>
        <w:rPr>
          <w:rFonts w:ascii="仿宋_GB2312" w:eastAsia="仿宋_GB2312" w:cs="仿宋_GB2312"/>
          <w:sz w:val="32"/>
          <w:szCs w:val="32"/>
        </w:rPr>
        <w:t>0%</w:t>
      </w:r>
      <w:r>
        <w:rPr>
          <w:rFonts w:ascii="仿宋_GB2312" w:eastAsia="仿宋_GB2312" w:cs="仿宋_GB2312" w:hint="eastAsia"/>
          <w:sz w:val="32"/>
          <w:szCs w:val="32"/>
        </w:rPr>
        <w:t>，其中：授予小微企业合同金额</w:t>
      </w:r>
      <w:r>
        <w:rPr>
          <w:rFonts w:ascii="仿宋_GB2312" w:eastAsia="仿宋_GB2312" w:cs="仿宋_GB2312"/>
          <w:sz w:val="32"/>
          <w:szCs w:val="32"/>
        </w:rPr>
        <w:t>0</w:t>
      </w:r>
      <w:r>
        <w:rPr>
          <w:rFonts w:ascii="仿宋_GB2312" w:eastAsia="仿宋_GB2312" w:cs="仿宋_GB2312" w:hint="eastAsia"/>
          <w:sz w:val="32"/>
          <w:szCs w:val="32"/>
        </w:rPr>
        <w:t>万元，占政府采购支出总额的</w:t>
      </w:r>
      <w:r>
        <w:rPr>
          <w:rFonts w:ascii="仿宋_GB2312" w:eastAsia="仿宋_GB2312" w:cs="仿宋_GB2312"/>
          <w:sz w:val="32"/>
          <w:szCs w:val="32"/>
        </w:rPr>
        <w:t>0%</w:t>
      </w:r>
      <w:r>
        <w:rPr>
          <w:rFonts w:ascii="仿宋_GB2312" w:eastAsia="仿宋_GB2312" w:cs="仿宋_GB2312" w:hint="eastAsia"/>
          <w:sz w:val="32"/>
          <w:szCs w:val="32"/>
        </w:rPr>
        <w:t>。</w:t>
      </w:r>
    </w:p>
    <w:p>
      <w:pPr>
        <w:autoSpaceDE w:val="0"/>
        <w:autoSpaceDN w:val="0"/>
        <w:adjustRightInd w:val="0"/>
        <w:spacing w:line="600" w:lineRule="exact"/>
        <w:ind w:firstLineChars="200" w:firstLine="640"/>
        <w:jc w:val="left"/>
        <w:outlineLvl w:val="2"/>
        <w:rPr>
          <w:rFonts w:ascii="仿宋" w:eastAsia="仿宋"/>
          <w:b/>
          <w:bCs/>
          <w:sz w:val="32"/>
          <w:szCs w:val="32"/>
        </w:rPr>
      </w:pPr>
      <w:bookmarkStart w:id="49" w:name="_Toc15377224"/>
      <w:r>
        <w:rPr>
          <w:rFonts w:ascii="仿宋" w:eastAsia="仿宋" w:cs="仿宋" w:hint="eastAsia"/>
          <w:b/>
          <w:bCs/>
          <w:sz w:val="32"/>
          <w:szCs w:val="32"/>
        </w:rPr>
        <w:t>（三）国有资产占有使用情况</w:t>
      </w:r>
      <w:bookmarkEnd w:id="49"/>
    </w:p>
    <w:p>
      <w:pPr>
        <w:autoSpaceDE w:val="0"/>
        <w:autoSpaceDN w:val="0"/>
        <w:adjustRightInd w:val="0"/>
        <w:spacing w:line="600" w:lineRule="exact"/>
        <w:ind w:firstLineChars="200" w:firstLine="640"/>
        <w:jc w:val="left"/>
        <w:rPr>
          <w:rFonts w:ascii="仿宋_GB2312" w:eastAsia="仿宋_GB2312"/>
          <w:sz w:val="32"/>
          <w:szCs w:val="32"/>
        </w:rPr>
      </w:pPr>
      <w:r>
        <w:rPr>
          <w:rFonts w:ascii="仿宋_GB2312" w:eastAsia="仿宋_GB2312" w:cs="仿宋_GB2312" w:hint="eastAsia"/>
          <w:sz w:val="32"/>
          <w:szCs w:val="32"/>
        </w:rPr>
        <w:t>截至</w:t>
      </w:r>
      <w:r>
        <w:rPr>
          <w:rFonts w:ascii="仿宋_GB2312" w:eastAsia="仿宋_GB2312" w:cs="仿宋_GB2312"/>
          <w:sz w:val="32"/>
          <w:szCs w:val="32"/>
        </w:rPr>
        <w:t>2022</w:t>
      </w:r>
      <w:r>
        <w:rPr>
          <w:rFonts w:ascii="仿宋_GB2312" w:eastAsia="仿宋_GB2312" w:cs="仿宋_GB2312" w:hint="eastAsia"/>
          <w:sz w:val="32"/>
          <w:szCs w:val="32"/>
        </w:rPr>
        <w:t>年</w:t>
      </w:r>
      <w:r>
        <w:rPr>
          <w:rFonts w:ascii="仿宋_GB2312" w:eastAsia="仿宋_GB2312" w:cs="仿宋_GB2312"/>
          <w:sz w:val="32"/>
          <w:szCs w:val="32"/>
        </w:rPr>
        <w:t>12</w:t>
      </w:r>
      <w:r>
        <w:rPr>
          <w:rFonts w:ascii="仿宋_GB2312" w:eastAsia="仿宋_GB2312" w:cs="仿宋_GB2312" w:hint="eastAsia"/>
          <w:sz w:val="32"/>
          <w:szCs w:val="32"/>
        </w:rPr>
        <w:t>月</w:t>
      </w:r>
      <w:r>
        <w:rPr>
          <w:rFonts w:ascii="仿宋_GB2312" w:eastAsia="仿宋_GB2312" w:cs="仿宋_GB2312"/>
          <w:sz w:val="32"/>
          <w:szCs w:val="32"/>
        </w:rPr>
        <w:t>31</w:t>
      </w:r>
      <w:r>
        <w:rPr>
          <w:rFonts w:ascii="仿宋_GB2312" w:eastAsia="仿宋_GB2312" w:cs="仿宋_GB2312" w:hint="eastAsia"/>
          <w:sz w:val="32"/>
          <w:szCs w:val="32"/>
        </w:rPr>
        <w:t>日，攀枝花市房地产事务中心共有车辆</w:t>
      </w:r>
      <w:r>
        <w:rPr>
          <w:rFonts w:ascii="仿宋_GB2312" w:eastAsia="仿宋_GB2312" w:cs="仿宋_GB2312"/>
          <w:sz w:val="32"/>
          <w:szCs w:val="32"/>
        </w:rPr>
        <w:t>4</w:t>
      </w:r>
      <w:r>
        <w:rPr>
          <w:rFonts w:ascii="仿宋_GB2312" w:eastAsia="仿宋_GB2312" w:cs="仿宋_GB2312" w:hint="eastAsia"/>
          <w:sz w:val="32"/>
          <w:szCs w:val="32"/>
        </w:rPr>
        <w:t>辆，其中：主要领导干部用车</w:t>
      </w:r>
      <w:r>
        <w:rPr>
          <w:rFonts w:ascii="仿宋_GB2312" w:eastAsia="仿宋_GB2312" w:cs="仿宋_GB2312"/>
          <w:sz w:val="32"/>
          <w:szCs w:val="32"/>
        </w:rPr>
        <w:t>0</w:t>
      </w:r>
      <w:r>
        <w:rPr>
          <w:rFonts w:ascii="仿宋_GB2312" w:eastAsia="仿宋_GB2312" w:cs="仿宋_GB2312" w:hint="eastAsia"/>
          <w:sz w:val="32"/>
          <w:szCs w:val="32"/>
        </w:rPr>
        <w:t>辆、机要通信用车</w:t>
      </w:r>
      <w:r>
        <w:rPr>
          <w:rFonts w:ascii="仿宋_GB2312" w:eastAsia="仿宋_GB2312" w:cs="仿宋_GB2312"/>
          <w:sz w:val="32"/>
          <w:szCs w:val="32"/>
        </w:rPr>
        <w:t>0</w:t>
      </w:r>
      <w:r>
        <w:rPr>
          <w:rFonts w:ascii="仿宋_GB2312" w:eastAsia="仿宋_GB2312" w:cs="仿宋_GB2312" w:hint="eastAsia"/>
          <w:sz w:val="32"/>
          <w:szCs w:val="32"/>
        </w:rPr>
        <w:t>辆、应急保障用车</w:t>
      </w:r>
      <w:r>
        <w:rPr>
          <w:rFonts w:ascii="仿宋_GB2312" w:eastAsia="仿宋_GB2312" w:cs="仿宋_GB2312"/>
          <w:sz w:val="32"/>
          <w:szCs w:val="32"/>
        </w:rPr>
        <w:t>0</w:t>
      </w:r>
      <w:r>
        <w:rPr>
          <w:rFonts w:ascii="仿宋_GB2312" w:eastAsia="仿宋_GB2312" w:cs="仿宋_GB2312" w:hint="eastAsia"/>
          <w:sz w:val="32"/>
          <w:szCs w:val="32"/>
        </w:rPr>
        <w:t>辆、其他用车</w:t>
      </w:r>
      <w:r>
        <w:rPr>
          <w:rFonts w:ascii="仿宋_GB2312" w:eastAsia="仿宋_GB2312" w:cs="仿宋_GB2312"/>
          <w:sz w:val="32"/>
          <w:szCs w:val="32"/>
        </w:rPr>
        <w:t>3</w:t>
      </w:r>
      <w:r>
        <w:rPr>
          <w:rFonts w:ascii="仿宋_GB2312" w:eastAsia="仿宋_GB2312" w:cs="仿宋_GB2312" w:hint="eastAsia"/>
          <w:sz w:val="32"/>
          <w:szCs w:val="32"/>
        </w:rPr>
        <w:t>辆、特种专业技术用车</w:t>
      </w:r>
      <w:r>
        <w:rPr>
          <w:rFonts w:ascii="仿宋_GB2312" w:eastAsia="仿宋_GB2312" w:cs="仿宋_GB2312"/>
          <w:sz w:val="32"/>
          <w:szCs w:val="32"/>
        </w:rPr>
        <w:t>1</w:t>
      </w:r>
      <w:r>
        <w:rPr>
          <w:rFonts w:ascii="仿宋_GB2312" w:eastAsia="仿宋_GB2312" w:cs="仿宋_GB2312" w:hint="eastAsia"/>
          <w:sz w:val="32"/>
          <w:szCs w:val="32"/>
        </w:rPr>
        <w:t>辆，其他用车主要是用于白蚁防治施工、公房维修、维修基金拨付现场勘查等。单价</w:t>
      </w:r>
      <w:r>
        <w:rPr>
          <w:rFonts w:ascii="仿宋_GB2312" w:eastAsia="仿宋_GB2312" w:cs="仿宋_GB2312"/>
          <w:sz w:val="32"/>
          <w:szCs w:val="32"/>
        </w:rPr>
        <w:t>100</w:t>
      </w:r>
      <w:r>
        <w:rPr>
          <w:rFonts w:ascii="仿宋_GB2312" w:eastAsia="仿宋_GB2312" w:cs="仿宋_GB2312" w:hint="eastAsia"/>
          <w:sz w:val="32"/>
          <w:szCs w:val="32"/>
        </w:rPr>
        <w:t>万元以上专用设备</w:t>
      </w:r>
      <w:r>
        <w:rPr>
          <w:rFonts w:ascii="仿宋_GB2312" w:eastAsia="仿宋_GB2312" w:cs="仿宋_GB2312"/>
          <w:sz w:val="32"/>
          <w:szCs w:val="32"/>
        </w:rPr>
        <w:t>0</w:t>
      </w:r>
      <w:r>
        <w:rPr>
          <w:rFonts w:ascii="仿宋_GB2312" w:eastAsia="仿宋_GB2312" w:cs="仿宋_GB2312" w:hint="eastAsia"/>
          <w:sz w:val="32"/>
          <w:szCs w:val="32"/>
        </w:rPr>
        <w:t>台（套）。</w:t>
      </w:r>
    </w:p>
    <w:p>
      <w:pPr>
        <w:autoSpaceDE w:val="0"/>
        <w:autoSpaceDN w:val="0"/>
        <w:adjustRightInd w:val="0"/>
        <w:spacing w:line="600" w:lineRule="exact"/>
        <w:ind w:firstLineChars="200" w:firstLine="640"/>
        <w:jc w:val="left"/>
        <w:outlineLvl w:val="2"/>
        <w:rPr>
          <w:rFonts w:ascii="仿宋" w:eastAsia="仿宋"/>
          <w:b/>
          <w:bCs/>
          <w:sz w:val="32"/>
          <w:szCs w:val="32"/>
        </w:rPr>
      </w:pPr>
      <w:r>
        <w:rPr>
          <w:rFonts w:ascii="仿宋" w:eastAsia="仿宋" w:cs="仿宋" w:hint="eastAsia"/>
          <w:b/>
          <w:bCs/>
          <w:sz w:val="32"/>
          <w:szCs w:val="32"/>
        </w:rPr>
        <w:t>（四）预算绩效管理情况</w:t>
      </w:r>
    </w:p>
    <w:p>
      <w:pPr>
        <w:pStyle w:val="15"/>
        <w:spacing w:beforeLines="0" w:before="93"/>
        <w:ind w:firstLineChars="200" w:firstLine="640"/>
        <w:rPr>
          <w:rFonts w:cs="Times New Roman"/>
          <w:highlight w:val="yellow"/>
        </w:rPr>
      </w:pPr>
      <w:r>
        <w:rPr>
          <w:rFonts w:hint="eastAsia"/>
          <w:sz w:val="32"/>
          <w:szCs w:val="32"/>
        </w:rPr>
        <w:t>根据预算绩效管理要求，本单位在</w:t>
      </w:r>
      <w:r>
        <w:rPr>
          <w:sz w:val="32"/>
          <w:szCs w:val="32"/>
        </w:rPr>
        <w:t>2022</w:t>
      </w:r>
      <w:r>
        <w:rPr>
          <w:rFonts w:hint="eastAsia"/>
          <w:sz w:val="32"/>
          <w:szCs w:val="32"/>
        </w:rPr>
        <w:t>年度预算编制阶段，组织对住房公积金（行政）项目等</w:t>
      </w:r>
      <w:r>
        <w:rPr>
          <w:sz w:val="32"/>
          <w:szCs w:val="32"/>
        </w:rPr>
        <w:t>38</w:t>
      </w:r>
      <w:r>
        <w:rPr>
          <w:rFonts w:hint="eastAsia"/>
          <w:sz w:val="32"/>
          <w:szCs w:val="32"/>
        </w:rPr>
        <w:t>个项目开展了预算事前绩效评估，对</w:t>
      </w:r>
      <w:r>
        <w:rPr>
          <w:sz w:val="32"/>
          <w:szCs w:val="32"/>
        </w:rPr>
        <w:t>38</w:t>
      </w:r>
      <w:r>
        <w:rPr>
          <w:rFonts w:hint="eastAsia"/>
          <w:sz w:val="32"/>
          <w:szCs w:val="32"/>
        </w:rPr>
        <w:t>个项目编制了绩效目标，预算执行过程中，选取</w:t>
      </w:r>
      <w:r>
        <w:rPr>
          <w:sz w:val="32"/>
          <w:szCs w:val="32"/>
        </w:rPr>
        <w:t>6</w:t>
      </w:r>
      <w:r>
        <w:rPr>
          <w:rFonts w:hint="eastAsia"/>
          <w:sz w:val="32"/>
          <w:szCs w:val="32"/>
        </w:rPr>
        <w:t>个项目开展绩效监控，组织对</w:t>
      </w:r>
      <w:r>
        <w:rPr>
          <w:sz w:val="32"/>
          <w:szCs w:val="32"/>
        </w:rPr>
        <w:t>38</w:t>
      </w:r>
      <w:r>
        <w:rPr>
          <w:rFonts w:hint="eastAsia"/>
          <w:sz w:val="32"/>
          <w:szCs w:val="32"/>
        </w:rPr>
        <w:t>个项目开展绩效自评，绩效自评表详见第四部分附件。</w:t>
      </w:r>
    </w:p>
    <w:p>
      <w:pPr>
        <w:widowControl/>
        <w:jc w:val="left"/>
        <w:rPr>
          <w:rFonts w:ascii="仿宋_GB2312" w:eastAsia="仿宋_GB2312"/>
          <w:b/>
          <w:bCs/>
          <w:sz w:val="32"/>
          <w:szCs w:val="32"/>
        </w:rPr>
      </w:pPr>
      <w:r>
        <w:rPr>
          <w:rFonts w:ascii="仿宋_GB2312" w:eastAsia="仿宋_GB2312"/>
          <w:b/>
          <w:bCs/>
          <w:sz w:val="32"/>
          <w:szCs w:val="32"/>
        </w:rPr>
        <w:br w:type="page"/>
      </w:r>
    </w:p>
    <w:p>
      <w:pPr>
        <w:numPr>
          <w:ilvl w:val="0"/>
          <w:numId w:val="4"/>
        </w:numPr>
        <w:spacing w:line="600" w:lineRule="exact"/>
        <w:ind w:left="0" w:firstLineChars="150" w:firstLine="660"/>
        <w:jc w:val="center"/>
        <w:outlineLvl w:val="0"/>
        <w:rPr>
          <w:rStyle w:val="1Char"/>
          <w:rFonts w:ascii="黑体" w:eastAsia="黑体"/>
          <w:b w:val="0"/>
          <w:bCs w:val="0"/>
        </w:rPr>
      </w:pPr>
      <w:bookmarkStart w:id="50" w:name="_Toc15377225"/>
      <w:bookmarkStart w:id="51" w:name="_Toc15396613"/>
      <w:r>
        <w:rPr>
          <w:rFonts w:ascii="黑体" w:eastAsia="黑体" w:cs="黑体" w:hint="eastAsia"/>
          <w:sz w:val="44"/>
          <w:szCs w:val="44"/>
        </w:rPr>
        <w:t>名</w:t>
      </w:r>
      <w:r>
        <w:rPr>
          <w:rStyle w:val="1Char"/>
          <w:rFonts w:ascii="黑体" w:eastAsia="黑体" w:cs="黑体" w:hint="eastAsia"/>
          <w:b w:val="0"/>
          <w:bCs w:val="0"/>
        </w:rPr>
        <w:t>词解释</w:t>
      </w:r>
      <w:bookmarkEnd w:id="50"/>
      <w:bookmarkEnd w:id="51"/>
    </w:p>
    <w:p>
      <w:pPr>
        <w:spacing w:line="600" w:lineRule="exact"/>
        <w:jc w:val="left"/>
        <w:rPr>
          <w:rFonts w:ascii="宋体"/>
          <w:b/>
          <w:bCs/>
          <w:sz w:val="44"/>
          <w:szCs w:val="44"/>
        </w:rPr>
      </w:pPr>
    </w:p>
    <w:p>
      <w:pPr>
        <w:pStyle w:val="24"/>
        <w:spacing w:line="560" w:lineRule="exact"/>
        <w:ind w:firstLineChars="200" w:firstLine="640"/>
        <w:rPr>
          <w:rFonts w:ascii="仿宋_GB2312" w:eastAsia="仿宋_GB2312" w:cs="Times New Roman"/>
          <w:color w:val="auto"/>
          <w:sz w:val="32"/>
          <w:szCs w:val="32"/>
        </w:rPr>
      </w:pPr>
      <w:r>
        <w:rPr>
          <w:rFonts w:ascii="仿宋_GB2312" w:eastAsia="仿宋_GB2312" w:cs="仿宋_GB2312"/>
          <w:color w:val="auto"/>
          <w:sz w:val="32"/>
          <w:szCs w:val="32"/>
        </w:rPr>
        <w:t>1.</w:t>
      </w:r>
      <w:r>
        <w:rPr>
          <w:rFonts w:ascii="仿宋_GB2312" w:eastAsia="仿宋_GB2312" w:cs="仿宋_GB2312" w:hint="eastAsia"/>
          <w:color w:val="auto"/>
          <w:sz w:val="32"/>
          <w:szCs w:val="32"/>
        </w:rPr>
        <w:t>财政拨款收入：指单位从同级财政部门取得的财政预算资金。</w:t>
      </w:r>
    </w:p>
    <w:p>
      <w:pPr>
        <w:pStyle w:val="15"/>
        <w:spacing w:beforeLines="0" w:before="93"/>
        <w:ind w:firstLineChars="200" w:firstLine="640"/>
        <w:rPr>
          <w:rFonts w:cs="Times New Roman"/>
          <w:sz w:val="32"/>
          <w:szCs w:val="32"/>
        </w:rPr>
      </w:pPr>
      <w:r>
        <w:rPr>
          <w:sz w:val="32"/>
          <w:szCs w:val="32"/>
        </w:rPr>
        <w:t>2.</w:t>
      </w:r>
      <w:r>
        <w:rPr>
          <w:rFonts w:hint="eastAsia"/>
          <w:sz w:val="32"/>
          <w:szCs w:val="32"/>
        </w:rPr>
        <w:t>社会保障和就业（类）行政事业单位养老支出（款）行政单位离退休（项）指行政单位离退休人员支出。</w:t>
      </w:r>
    </w:p>
    <w:p>
      <w:pPr>
        <w:pStyle w:val="15"/>
        <w:spacing w:beforeLines="0" w:before="93"/>
        <w:ind w:firstLineChars="200" w:firstLine="640"/>
        <w:rPr>
          <w:rFonts w:cs="Times New Roman"/>
          <w:sz w:val="32"/>
          <w:szCs w:val="32"/>
        </w:rPr>
      </w:pPr>
      <w:r>
        <w:rPr>
          <w:sz w:val="32"/>
          <w:szCs w:val="32"/>
        </w:rPr>
        <w:t>3.</w:t>
      </w:r>
      <w:r>
        <w:rPr>
          <w:rFonts w:hint="eastAsia"/>
          <w:sz w:val="32"/>
          <w:szCs w:val="32"/>
        </w:rPr>
        <w:t>社会保障和就业（类）行政事业单位养老支出（款）事业单位离退休（项）指事业单位离退休人员支出。</w:t>
      </w:r>
    </w:p>
    <w:p>
      <w:pPr>
        <w:spacing w:line="600" w:lineRule="exact"/>
        <w:ind w:firstLineChars="200" w:firstLine="640"/>
        <w:rPr>
          <w:rFonts w:ascii="仿宋_GB2312" w:eastAsia="仿宋_GB2312"/>
          <w:kern w:val="0"/>
          <w:sz w:val="32"/>
          <w:szCs w:val="32"/>
        </w:rPr>
      </w:pPr>
      <w:r>
        <w:rPr>
          <w:rFonts w:ascii="仿宋_GB2312" w:eastAsia="仿宋_GB2312" w:cs="仿宋_GB2312"/>
          <w:kern w:val="0"/>
          <w:sz w:val="32"/>
          <w:szCs w:val="32"/>
        </w:rPr>
        <w:t>4.</w:t>
      </w:r>
      <w:r>
        <w:rPr>
          <w:rFonts w:ascii="仿宋_GB2312" w:eastAsia="仿宋_GB2312" w:cs="仿宋_GB2312" w:hint="eastAsia"/>
          <w:kern w:val="0"/>
          <w:sz w:val="32"/>
          <w:szCs w:val="32"/>
        </w:rPr>
        <w:t>社会保障和就业（类）行政事业单位养老支出（款）</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机关事业单位基本养老保险缴费支出（项）指用于支付机关事业单位基本养老保险费用的支出。</w:t>
      </w:r>
    </w:p>
    <w:p>
      <w:pPr>
        <w:spacing w:line="600" w:lineRule="exact"/>
        <w:ind w:firstLineChars="200" w:firstLine="640"/>
        <w:rPr>
          <w:rFonts w:ascii="仿宋_GB2312" w:eastAsia="仿宋_GB2312"/>
          <w:kern w:val="0"/>
          <w:sz w:val="32"/>
          <w:szCs w:val="32"/>
        </w:rPr>
      </w:pPr>
      <w:r>
        <w:rPr>
          <w:rFonts w:ascii="仿宋_GB2312" w:eastAsia="仿宋_GB2312" w:cs="仿宋_GB2312"/>
          <w:kern w:val="0"/>
          <w:sz w:val="32"/>
          <w:szCs w:val="32"/>
        </w:rPr>
        <w:t>5.</w:t>
      </w:r>
      <w:r>
        <w:rPr>
          <w:rFonts w:ascii="仿宋_GB2312" w:eastAsia="仿宋_GB2312" w:cs="仿宋_GB2312" w:hint="eastAsia"/>
          <w:kern w:val="0"/>
          <w:sz w:val="32"/>
          <w:szCs w:val="32"/>
        </w:rPr>
        <w:t>社会保障和就业（类）抚恤（款）死亡抚恤（项）指按规定用于烈士和牺牲、病故人员家属的一次性补助费。</w:t>
      </w:r>
    </w:p>
    <w:p>
      <w:pPr>
        <w:spacing w:line="600" w:lineRule="exact"/>
        <w:ind w:firstLineChars="200" w:firstLine="640"/>
        <w:rPr>
          <w:rFonts w:ascii="仿宋_GB2312" w:eastAsia="仿宋_GB2312"/>
          <w:kern w:val="0"/>
          <w:sz w:val="32"/>
          <w:szCs w:val="32"/>
        </w:rPr>
      </w:pPr>
      <w:r>
        <w:rPr>
          <w:rFonts w:ascii="仿宋_GB2312" w:eastAsia="仿宋_GB2312" w:cs="仿宋_GB2312"/>
          <w:kern w:val="0"/>
          <w:sz w:val="32"/>
          <w:szCs w:val="32"/>
        </w:rPr>
        <w:t>6.</w:t>
      </w:r>
      <w:r>
        <w:rPr>
          <w:rFonts w:ascii="仿宋_GB2312" w:eastAsia="仿宋_GB2312" w:cs="仿宋_GB2312" w:hint="eastAsia"/>
          <w:kern w:val="0"/>
          <w:sz w:val="32"/>
          <w:szCs w:val="32"/>
        </w:rPr>
        <w:t>城乡社区支出（类）城乡社区管理事务（款）行政运行（项）指用于支付行政人员的人员及基本公用的支出。</w:t>
      </w:r>
    </w:p>
    <w:p>
      <w:pPr>
        <w:spacing w:line="600" w:lineRule="exact"/>
        <w:ind w:firstLineChars="200" w:firstLine="640"/>
        <w:rPr>
          <w:rFonts w:ascii="仿宋_GB2312" w:eastAsia="仿宋_GB2312"/>
          <w:kern w:val="0"/>
          <w:sz w:val="32"/>
          <w:szCs w:val="32"/>
        </w:rPr>
      </w:pPr>
      <w:r>
        <w:rPr>
          <w:rFonts w:ascii="仿宋_GB2312" w:eastAsia="仿宋_GB2312" w:cs="仿宋_GB2312"/>
          <w:kern w:val="0"/>
          <w:sz w:val="32"/>
          <w:szCs w:val="32"/>
        </w:rPr>
        <w:t>7.</w:t>
      </w:r>
      <w:r>
        <w:rPr>
          <w:rFonts w:ascii="仿宋_GB2312" w:eastAsia="仿宋_GB2312" w:cs="仿宋_GB2312" w:hint="eastAsia"/>
          <w:kern w:val="0"/>
          <w:sz w:val="32"/>
          <w:szCs w:val="32"/>
        </w:rPr>
        <w:t>城乡社区支出（类）城乡社区管理事务（款）其他城乡社区管理事务支出（项）指用于支付事业人员的人员及基本公用的支出。</w:t>
      </w:r>
    </w:p>
    <w:p>
      <w:pPr>
        <w:spacing w:line="600" w:lineRule="exact"/>
        <w:ind w:firstLineChars="200" w:firstLine="640"/>
        <w:rPr>
          <w:rFonts w:ascii="仿宋_GB2312" w:eastAsia="仿宋_GB2312"/>
          <w:kern w:val="0"/>
          <w:sz w:val="32"/>
          <w:szCs w:val="32"/>
        </w:rPr>
      </w:pPr>
      <w:r>
        <w:rPr>
          <w:rFonts w:ascii="仿宋_GB2312" w:eastAsia="仿宋_GB2312" w:cs="仿宋_GB2312"/>
          <w:kern w:val="0"/>
          <w:sz w:val="32"/>
          <w:szCs w:val="32"/>
        </w:rPr>
        <w:t>8.</w:t>
      </w:r>
      <w:r>
        <w:rPr>
          <w:rFonts w:ascii="仿宋_GB2312" w:eastAsia="仿宋_GB2312" w:cs="仿宋_GB2312" w:hint="eastAsia"/>
          <w:kern w:val="0"/>
          <w:sz w:val="32"/>
          <w:szCs w:val="32"/>
        </w:rPr>
        <w:t>住房保障支出（类）住房改革支出（款）住房公积金（项）</w:t>
      </w:r>
      <w:r>
        <w:rPr>
          <w:rFonts w:ascii="仿宋_GB2312" w:eastAsia="仿宋_GB2312" w:cs="仿宋_GB2312"/>
          <w:kern w:val="0"/>
          <w:sz w:val="32"/>
          <w:szCs w:val="32"/>
        </w:rPr>
        <w:t xml:space="preserve">: </w:t>
      </w:r>
      <w:r>
        <w:rPr>
          <w:rFonts w:ascii="仿宋_GB2312" w:eastAsia="仿宋_GB2312" w:cs="仿宋_GB2312" w:hint="eastAsia"/>
          <w:kern w:val="0"/>
          <w:sz w:val="32"/>
          <w:szCs w:val="32"/>
        </w:rPr>
        <w:t>指用于支付住房公积金的支出</w:t>
      </w:r>
    </w:p>
    <w:p>
      <w:pPr>
        <w:autoSpaceDE w:val="0"/>
        <w:autoSpaceDN w:val="0"/>
        <w:adjustRightInd w:val="0"/>
        <w:spacing w:line="560" w:lineRule="exact"/>
        <w:ind w:firstLineChars="200" w:firstLine="640"/>
        <w:jc w:val="left"/>
        <w:rPr>
          <w:rFonts w:ascii="仿宋_GB2312" w:eastAsia="仿宋_GB2312"/>
          <w:kern w:val="0"/>
          <w:sz w:val="32"/>
          <w:szCs w:val="32"/>
        </w:rPr>
      </w:pPr>
      <w:r>
        <w:rPr>
          <w:rFonts w:ascii="仿宋_GB2312" w:eastAsia="仿宋_GB2312" w:cs="仿宋_GB2312"/>
          <w:kern w:val="0"/>
          <w:sz w:val="32"/>
          <w:szCs w:val="32"/>
        </w:rPr>
        <w:t>9.</w:t>
      </w:r>
      <w:r>
        <w:rPr>
          <w:rFonts w:ascii="仿宋_GB2312" w:eastAsia="仿宋_GB2312" w:cs="仿宋_GB2312" w:hint="eastAsia"/>
          <w:kern w:val="0"/>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autoSpaceDE w:val="0"/>
        <w:autoSpaceDN w:val="0"/>
        <w:adjustRightInd w:val="0"/>
        <w:spacing w:line="560" w:lineRule="exact"/>
        <w:ind w:firstLineChars="200" w:firstLine="640"/>
        <w:jc w:val="left"/>
        <w:rPr>
          <w:rFonts w:ascii="仿宋_GB2312" w:eastAsia="仿宋_GB2312"/>
          <w:kern w:val="0"/>
          <w:sz w:val="32"/>
          <w:szCs w:val="32"/>
        </w:rPr>
      </w:pPr>
      <w:r>
        <w:rPr>
          <w:rFonts w:ascii="仿宋_GB2312" w:eastAsia="仿宋_GB2312" w:cs="仿宋_GB2312"/>
          <w:kern w:val="0"/>
          <w:sz w:val="32"/>
          <w:szCs w:val="32"/>
        </w:rPr>
        <w:t>10.</w:t>
      </w:r>
      <w:r>
        <w:rPr>
          <w:rFonts w:ascii="仿宋_GB2312" w:eastAsia="仿宋_GB2312" w:cs="仿宋_GB2312" w:hint="eastAsia"/>
          <w:kern w:val="0"/>
          <w:sz w:val="32"/>
          <w:szCs w:val="32"/>
        </w:rPr>
        <w:t>机关运行经费：为保障行政单位（含参照公务员法管理的事业单位）运行用于购买货物和服务的各项资金，包括办公及邮电费、差旅费、会议费、福利费、办公用房水电费、公务用车运行维护费以及其他费用。</w:t>
      </w:r>
    </w:p>
    <w:p>
      <w:pPr>
        <w:ind w:firstLineChars="200" w:firstLine="640"/>
        <w:rPr>
          <w:rFonts w:ascii="仿宋_GB2312" w:eastAsia="仿宋_GB2312"/>
          <w:kern w:val="0"/>
          <w:sz w:val="32"/>
          <w:szCs w:val="32"/>
        </w:rPr>
      </w:pPr>
      <w:r>
        <w:rPr>
          <w:rFonts w:ascii="仿宋_GB2312" w:eastAsia="仿宋_GB2312" w:cs="仿宋_GB2312"/>
          <w:kern w:val="0"/>
          <w:sz w:val="32"/>
          <w:szCs w:val="32"/>
        </w:rPr>
        <w:t>11.</w:t>
      </w:r>
      <w:r>
        <w:rPr>
          <w:rFonts w:ascii="仿宋_GB2312" w:eastAsia="仿宋_GB2312" w:cs="仿宋_GB2312" w:hint="eastAsia"/>
          <w:kern w:val="0"/>
          <w:sz w:val="32"/>
          <w:szCs w:val="32"/>
        </w:rPr>
        <w:t>基本支出：指为保障机构正常运转、完成日常工作任务而发生的人员支出和公用支出。</w:t>
      </w:r>
    </w:p>
    <w:p>
      <w:pPr>
        <w:ind w:firstLineChars="200" w:firstLine="640"/>
        <w:rPr>
          <w:rFonts w:ascii="仿宋_GB2312" w:eastAsia="仿宋_GB2312"/>
          <w:kern w:val="0"/>
          <w:sz w:val="32"/>
          <w:szCs w:val="32"/>
        </w:rPr>
      </w:pPr>
      <w:r>
        <w:rPr>
          <w:rFonts w:ascii="仿宋_GB2312" w:eastAsia="仿宋_GB2312" w:cs="仿宋_GB2312"/>
          <w:kern w:val="0"/>
          <w:sz w:val="32"/>
          <w:szCs w:val="32"/>
        </w:rPr>
        <w:t>12.</w:t>
      </w:r>
      <w:r>
        <w:rPr>
          <w:rFonts w:ascii="仿宋_GB2312" w:eastAsia="仿宋_GB2312" w:cs="仿宋_GB2312" w:hint="eastAsia"/>
          <w:kern w:val="0"/>
          <w:sz w:val="32"/>
          <w:szCs w:val="32"/>
        </w:rPr>
        <w:t>项目支出：指在基本支出之外为完成特定行政任务和事业发展目标所发生的支出。</w:t>
      </w:r>
    </w:p>
    <w:p>
      <w:pPr>
        <w:ind w:firstLineChars="200" w:firstLine="640"/>
        <w:rPr>
          <w:rFonts w:ascii="仿宋_GB2312" w:eastAsia="仿宋_GB2312"/>
          <w:kern w:val="0"/>
          <w:sz w:val="32"/>
          <w:szCs w:val="32"/>
        </w:rPr>
      </w:pPr>
    </w:p>
    <w:p>
      <w:pPr>
        <w:ind w:firstLineChars="200" w:firstLine="640"/>
        <w:rPr>
          <w:rFonts w:ascii="仿宋_GB2312" w:eastAsia="仿宋_GB2312"/>
          <w:kern w:val="0"/>
          <w:sz w:val="32"/>
          <w:szCs w:val="32"/>
        </w:rPr>
      </w:pPr>
    </w:p>
    <w:p>
      <w:pPr>
        <w:ind w:firstLineChars="200" w:firstLine="640"/>
        <w:rPr>
          <w:rFonts w:ascii="仿宋_GB2312" w:eastAsia="仿宋_GB2312"/>
          <w:kern w:val="0"/>
          <w:sz w:val="32"/>
          <w:szCs w:val="32"/>
        </w:rPr>
      </w:pPr>
    </w:p>
    <w:p>
      <w:pPr>
        <w:ind w:firstLineChars="200" w:firstLine="640"/>
        <w:rPr>
          <w:rFonts w:ascii="仿宋_GB2312" w:eastAsia="仿宋_GB2312"/>
          <w:kern w:val="0"/>
          <w:sz w:val="32"/>
          <w:szCs w:val="32"/>
        </w:rPr>
      </w:pPr>
    </w:p>
    <w:p>
      <w:pPr>
        <w:ind w:firstLineChars="200" w:firstLine="640"/>
        <w:rPr>
          <w:rFonts w:ascii="仿宋_GB2312" w:eastAsia="仿宋_GB2312"/>
          <w:kern w:val="0"/>
          <w:sz w:val="32"/>
          <w:szCs w:val="32"/>
        </w:rPr>
      </w:pPr>
    </w:p>
    <w:p>
      <w:pPr>
        <w:ind w:firstLineChars="200" w:firstLine="640"/>
        <w:rPr>
          <w:rFonts w:ascii="仿宋_GB2312" w:eastAsia="仿宋_GB2312"/>
          <w:sz w:val="32"/>
          <w:szCs w:val="32"/>
        </w:rPr>
      </w:pPr>
    </w:p>
    <w:p>
      <w:pPr>
        <w:ind w:firstLineChars="200" w:firstLine="640"/>
        <w:rPr>
          <w:rFonts w:ascii="仿宋_GB2312" w:eastAsia="仿宋_GB2312"/>
          <w:sz w:val="32"/>
          <w:szCs w:val="32"/>
        </w:rPr>
      </w:pPr>
    </w:p>
    <w:p>
      <w:pPr>
        <w:ind w:firstLineChars="200" w:firstLine="640"/>
        <w:rPr>
          <w:rFonts w:ascii="仿宋_GB2312" w:eastAsia="仿宋_GB2312"/>
          <w:sz w:val="32"/>
          <w:szCs w:val="32"/>
        </w:rPr>
      </w:pPr>
    </w:p>
    <w:p>
      <w:pPr>
        <w:ind w:firstLineChars="200" w:firstLine="640"/>
        <w:rPr>
          <w:rFonts w:ascii="仿宋_GB2312" w:eastAsia="仿宋_GB2312"/>
          <w:sz w:val="32"/>
          <w:szCs w:val="32"/>
        </w:rPr>
      </w:pPr>
    </w:p>
    <w:p>
      <w:pPr>
        <w:rPr>
          <w:rFonts w:ascii="仿宋_GB2312" w:eastAsia="仿宋_GB2312"/>
          <w:sz w:val="32"/>
          <w:szCs w:val="32"/>
        </w:rPr>
      </w:pPr>
    </w:p>
    <w:p>
      <w:pPr>
        <w:spacing w:line="600" w:lineRule="exact"/>
        <w:jc w:val="center"/>
        <w:outlineLvl w:val="0"/>
        <w:rPr>
          <w:rStyle w:val="1Char"/>
          <w:rFonts w:ascii="黑体" w:eastAsia="黑体"/>
          <w:b w:val="0"/>
          <w:bCs w:val="0"/>
        </w:rPr>
      </w:pPr>
      <w:bookmarkStart w:id="52" w:name="_Toc15396614"/>
      <w:bookmarkStart w:id="53" w:name="_Toc15377226"/>
      <w:r>
        <w:rPr>
          <w:rFonts w:ascii="黑体" w:eastAsia="黑体" w:cs="黑体" w:hint="eastAsia"/>
          <w:sz w:val="44"/>
          <w:szCs w:val="44"/>
        </w:rPr>
        <w:t>第</w:t>
      </w:r>
      <w:r>
        <w:rPr>
          <w:rStyle w:val="1Char"/>
          <w:rFonts w:ascii="黑体" w:eastAsia="黑体" w:cs="黑体" w:hint="eastAsia"/>
          <w:b w:val="0"/>
          <w:bCs w:val="0"/>
        </w:rPr>
        <w:t>四部分</w:t>
      </w:r>
      <w:r>
        <w:rPr>
          <w:rStyle w:val="1Char"/>
          <w:rFonts w:ascii="黑体" w:eastAsia="黑体" w:cs="黑体"/>
          <w:b w:val="0"/>
          <w:bCs w:val="0"/>
        </w:rPr>
        <w:t xml:space="preserve"> </w:t>
      </w:r>
      <w:r>
        <w:rPr>
          <w:rStyle w:val="1Char"/>
          <w:rFonts w:ascii="黑体" w:eastAsia="黑体" w:cs="黑体" w:hint="eastAsia"/>
          <w:b w:val="0"/>
          <w:bCs w:val="0"/>
        </w:rPr>
        <w:t>附件</w:t>
      </w:r>
      <w:bookmarkEnd w:id="52"/>
    </w:p>
    <w:p>
      <w:pPr>
        <w:spacing w:line="572" w:lineRule="exact"/>
        <w:jc w:val="left"/>
        <w:outlineLvl w:val="0"/>
        <w:rPr>
          <w:rFonts w:ascii="仿宋_GB2312" w:eastAsia="仿宋_GB2312"/>
          <w:sz w:val="32"/>
          <w:szCs w:val="32"/>
        </w:rPr>
      </w:pPr>
    </w:p>
    <w:p>
      <w:pPr>
        <w:spacing w:line="600" w:lineRule="exact"/>
        <w:jc w:val="center"/>
        <w:outlineLvl w:val="0"/>
        <w:rPr>
          <w:rFonts w:ascii="宋体"/>
          <w:kern w:val="0"/>
          <w:sz w:val="32"/>
          <w:szCs w:val="32"/>
        </w:rPr>
      </w:pPr>
      <w:bookmarkStart w:id="54" w:name="_Toc15396618"/>
      <w:r>
        <w:rPr>
          <w:rFonts w:ascii="宋体" w:cs="宋体" w:hint="eastAsia"/>
          <w:kern w:val="0"/>
          <w:sz w:val="32"/>
          <w:szCs w:val="32"/>
        </w:rPr>
        <w:t>部门预算项目支出绩效自评表（</w:t>
      </w:r>
      <w:r>
        <w:rPr>
          <w:rFonts w:ascii="宋体" w:cs="宋体"/>
          <w:kern w:val="0"/>
          <w:sz w:val="32"/>
          <w:szCs w:val="32"/>
        </w:rPr>
        <w:t>2022</w:t>
      </w:r>
      <w:r>
        <w:rPr>
          <w:rFonts w:ascii="宋体" w:cs="宋体" w:hint="eastAsia"/>
          <w:kern w:val="0"/>
          <w:sz w:val="32"/>
          <w:szCs w:val="32"/>
        </w:rPr>
        <w:t>年度）见附件</w:t>
      </w:r>
      <w:r>
        <w:rPr>
          <w:rFonts w:ascii="宋体" w:cs="宋体"/>
          <w:kern w:val="0"/>
          <w:sz w:val="32"/>
          <w:szCs w:val="32"/>
        </w:rPr>
        <w:t>2</w:t>
      </w:r>
    </w:p>
    <w:p>
      <w:pPr>
        <w:pStyle w:val="15"/>
        <w:spacing w:beforeLines="0" w:before="93"/>
        <w:rPr>
          <w:rFonts w:cs="Times New Roman"/>
          <w:sz w:val="32"/>
          <w:szCs w:val="32"/>
        </w:rPr>
      </w:pPr>
    </w:p>
    <w:p>
      <w:pPr>
        <w:pStyle w:val="15"/>
        <w:spacing w:beforeLines="0" w:before="93"/>
        <w:rPr>
          <w:rFonts w:cs="Times New Roman"/>
          <w:sz w:val="32"/>
          <w:szCs w:val="32"/>
        </w:rPr>
      </w:pPr>
    </w:p>
    <w:p>
      <w:pPr>
        <w:pStyle w:val="15"/>
        <w:spacing w:beforeLines="0" w:before="93"/>
        <w:rPr>
          <w:rFonts w:cs="Times New Roman"/>
          <w:sz w:val="32"/>
          <w:szCs w:val="32"/>
        </w:rPr>
      </w:pPr>
    </w:p>
    <w:p>
      <w:pPr>
        <w:pStyle w:val="15"/>
        <w:spacing w:beforeLines="0" w:before="93"/>
        <w:rPr>
          <w:rFonts w:cs="Times New Roman"/>
          <w:sz w:val="32"/>
          <w:szCs w:val="32"/>
        </w:rPr>
      </w:pPr>
    </w:p>
    <w:p>
      <w:pPr>
        <w:pStyle w:val="15"/>
        <w:spacing w:beforeLines="0" w:before="93"/>
        <w:rPr>
          <w:rFonts w:cs="Times New Roman"/>
          <w:sz w:val="32"/>
          <w:szCs w:val="32"/>
        </w:rPr>
      </w:pPr>
    </w:p>
    <w:p>
      <w:pPr>
        <w:pStyle w:val="15"/>
        <w:spacing w:beforeLines="0" w:before="93"/>
        <w:rPr>
          <w:rFonts w:cs="Times New Roman"/>
          <w:sz w:val="32"/>
          <w:szCs w:val="32"/>
        </w:rPr>
      </w:pPr>
    </w:p>
    <w:p>
      <w:pPr>
        <w:pStyle w:val="15"/>
        <w:spacing w:beforeLines="0" w:before="93"/>
        <w:rPr>
          <w:rFonts w:cs="Times New Roman"/>
          <w:sz w:val="32"/>
          <w:szCs w:val="32"/>
        </w:rPr>
      </w:pPr>
    </w:p>
    <w:p>
      <w:pPr>
        <w:pStyle w:val="15"/>
        <w:spacing w:beforeLines="0" w:before="93"/>
        <w:rPr>
          <w:rFonts w:cs="Times New Roman"/>
          <w:sz w:val="32"/>
          <w:szCs w:val="32"/>
        </w:rPr>
      </w:pPr>
    </w:p>
    <w:p>
      <w:pPr>
        <w:pStyle w:val="15"/>
        <w:spacing w:beforeLines="0" w:before="93"/>
        <w:rPr>
          <w:rFonts w:cs="Times New Roman"/>
          <w:sz w:val="32"/>
          <w:szCs w:val="32"/>
        </w:rPr>
      </w:pPr>
    </w:p>
    <w:p>
      <w:pPr>
        <w:pStyle w:val="15"/>
        <w:spacing w:beforeLines="0" w:before="93"/>
        <w:rPr>
          <w:rFonts w:cs="Times New Roman"/>
          <w:sz w:val="32"/>
          <w:szCs w:val="32"/>
        </w:rPr>
      </w:pPr>
    </w:p>
    <w:p>
      <w:pPr>
        <w:pStyle w:val="15"/>
        <w:spacing w:beforeLines="0" w:before="93"/>
        <w:rPr>
          <w:rFonts w:cs="Times New Roman"/>
          <w:sz w:val="32"/>
          <w:szCs w:val="32"/>
        </w:rPr>
      </w:pPr>
    </w:p>
    <w:p>
      <w:pPr>
        <w:pStyle w:val="15"/>
        <w:spacing w:beforeLines="0" w:before="93"/>
        <w:rPr>
          <w:rFonts w:cs="Times New Roman"/>
          <w:sz w:val="32"/>
          <w:szCs w:val="32"/>
        </w:rPr>
      </w:pPr>
    </w:p>
    <w:p>
      <w:pPr>
        <w:pStyle w:val="15"/>
        <w:spacing w:beforeLines="0" w:before="93"/>
        <w:rPr>
          <w:rFonts w:cs="Times New Roman"/>
          <w:sz w:val="32"/>
          <w:szCs w:val="32"/>
        </w:rPr>
      </w:pPr>
    </w:p>
    <w:p>
      <w:pPr>
        <w:pStyle w:val="15"/>
        <w:spacing w:beforeLines="0" w:before="93"/>
        <w:rPr>
          <w:rFonts w:cs="Times New Roman"/>
          <w:sz w:val="32"/>
          <w:szCs w:val="32"/>
        </w:rPr>
      </w:pPr>
    </w:p>
    <w:p>
      <w:pPr>
        <w:pStyle w:val="15"/>
        <w:spacing w:beforeLines="0" w:before="93"/>
        <w:rPr>
          <w:rFonts w:cs="Times New Roman"/>
          <w:sz w:val="32"/>
          <w:szCs w:val="32"/>
        </w:rPr>
      </w:pPr>
    </w:p>
    <w:p>
      <w:pPr>
        <w:pStyle w:val="15"/>
        <w:spacing w:beforeLines="0" w:before="93"/>
        <w:rPr>
          <w:rFonts w:cs="Times New Roman"/>
          <w:sz w:val="32"/>
          <w:szCs w:val="32"/>
        </w:rPr>
      </w:pPr>
    </w:p>
    <w:p>
      <w:pPr>
        <w:pStyle w:val="15"/>
        <w:spacing w:beforeLines="0" w:before="93"/>
        <w:rPr>
          <w:rFonts w:cs="Times New Roman"/>
          <w:sz w:val="32"/>
          <w:szCs w:val="32"/>
        </w:rPr>
      </w:pPr>
    </w:p>
    <w:p>
      <w:pPr>
        <w:spacing w:line="600" w:lineRule="exact"/>
        <w:jc w:val="center"/>
        <w:outlineLvl w:val="0"/>
        <w:rPr>
          <w:rFonts w:ascii="仿宋" w:eastAsia="仿宋"/>
        </w:rPr>
      </w:pPr>
      <w:r>
        <w:rPr>
          <w:rFonts w:ascii="黑体" w:eastAsia="黑体" w:cs="黑体" w:hint="eastAsia"/>
          <w:sz w:val="44"/>
          <w:szCs w:val="44"/>
        </w:rPr>
        <w:t>第</w:t>
      </w:r>
      <w:r>
        <w:rPr>
          <w:rStyle w:val="1Char"/>
          <w:rFonts w:ascii="黑体" w:eastAsia="黑体" w:cs="黑体" w:hint="eastAsia"/>
          <w:b w:val="0"/>
          <w:bCs w:val="0"/>
        </w:rPr>
        <w:t>五部分</w:t>
      </w:r>
      <w:r>
        <w:rPr>
          <w:rStyle w:val="1Char"/>
          <w:rFonts w:ascii="黑体" w:eastAsia="黑体" w:cs="黑体"/>
          <w:b w:val="0"/>
          <w:bCs w:val="0"/>
        </w:rPr>
        <w:t xml:space="preserve"> </w:t>
      </w:r>
      <w:r>
        <w:rPr>
          <w:rStyle w:val="1Char"/>
          <w:rFonts w:ascii="黑体" w:eastAsia="黑体" w:cs="黑体" w:hint="eastAsia"/>
          <w:b w:val="0"/>
          <w:bCs w:val="0"/>
        </w:rPr>
        <w:t>附表</w:t>
      </w:r>
      <w:bookmarkStart w:id="55" w:name="_Toc15396619"/>
      <w:bookmarkEnd w:id="53"/>
      <w:bookmarkEnd w:id="54"/>
    </w:p>
    <w:p>
      <w:pPr>
        <w:pStyle w:val="2"/>
        <w:rPr>
          <w:rFonts w:ascii="仿宋" w:eastAsia="仿宋" w:cs="Times New Roman"/>
        </w:rPr>
      </w:pPr>
      <w:r>
        <w:rPr>
          <w:rFonts w:ascii="仿宋" w:eastAsia="仿宋" w:cs="仿宋" w:hint="eastAsia"/>
          <w:b w:val="0"/>
          <w:bCs w:val="0"/>
        </w:rPr>
        <w:t>一、收</w:t>
      </w:r>
      <w:r>
        <w:rPr>
          <w:rStyle w:val="2Char"/>
          <w:rFonts w:ascii="仿宋" w:eastAsia="仿宋" w:cs="仿宋" w:hint="eastAsia"/>
        </w:rPr>
        <w:t>入支出决算总表</w:t>
      </w:r>
      <w:bookmarkEnd w:id="55"/>
    </w:p>
    <w:p>
      <w:pPr>
        <w:pStyle w:val="2"/>
        <w:rPr>
          <w:rFonts w:ascii="仿宋" w:eastAsia="仿宋" w:cs="Times New Roman"/>
        </w:rPr>
      </w:pPr>
      <w:bookmarkStart w:id="56" w:name="_Toc15396620"/>
      <w:r>
        <w:rPr>
          <w:rFonts w:ascii="仿宋" w:eastAsia="仿宋" w:cs="仿宋" w:hint="eastAsia"/>
          <w:b w:val="0"/>
          <w:bCs w:val="0"/>
        </w:rPr>
        <w:t>二、收</w:t>
      </w:r>
      <w:r>
        <w:rPr>
          <w:rStyle w:val="2Char"/>
          <w:rFonts w:ascii="仿宋" w:eastAsia="仿宋" w:cs="仿宋" w:hint="eastAsia"/>
        </w:rPr>
        <w:t>入决算表</w:t>
      </w:r>
      <w:bookmarkEnd w:id="56"/>
    </w:p>
    <w:p>
      <w:pPr>
        <w:pStyle w:val="2"/>
        <w:rPr>
          <w:rFonts w:ascii="仿宋" w:eastAsia="仿宋" w:cs="Times New Roman"/>
        </w:rPr>
      </w:pPr>
      <w:bookmarkStart w:id="57" w:name="_Toc15396621"/>
      <w:r>
        <w:rPr>
          <w:rStyle w:val="2Char"/>
          <w:rFonts w:ascii="仿宋" w:eastAsia="仿宋" w:cs="仿宋" w:hint="eastAsia"/>
        </w:rPr>
        <w:t>三、</w:t>
      </w:r>
      <w:r>
        <w:rPr>
          <w:rFonts w:ascii="仿宋" w:eastAsia="仿宋" w:cs="仿宋" w:hint="eastAsia"/>
          <w:b w:val="0"/>
          <w:bCs w:val="0"/>
        </w:rPr>
        <w:t>支</w:t>
      </w:r>
      <w:r>
        <w:rPr>
          <w:rStyle w:val="2Char"/>
          <w:rFonts w:ascii="仿宋" w:eastAsia="仿宋" w:cs="仿宋" w:hint="eastAsia"/>
        </w:rPr>
        <w:t>出决算表</w:t>
      </w:r>
      <w:bookmarkEnd w:id="57"/>
    </w:p>
    <w:p>
      <w:pPr>
        <w:pStyle w:val="2"/>
        <w:rPr>
          <w:rFonts w:ascii="仿宋" w:eastAsia="仿宋" w:cs="Times New Roman"/>
          <w:b w:val="0"/>
          <w:bCs w:val="0"/>
        </w:rPr>
      </w:pPr>
      <w:bookmarkStart w:id="58" w:name="_Toc15396622"/>
      <w:r>
        <w:rPr>
          <w:rStyle w:val="2Char"/>
          <w:rFonts w:ascii="仿宋" w:eastAsia="仿宋" w:cs="仿宋" w:hint="eastAsia"/>
        </w:rPr>
        <w:t>四、</w:t>
      </w:r>
      <w:r>
        <w:rPr>
          <w:rFonts w:ascii="仿宋" w:eastAsia="仿宋" w:cs="仿宋" w:hint="eastAsia"/>
          <w:b w:val="0"/>
          <w:bCs w:val="0"/>
        </w:rPr>
        <w:t>财</w:t>
      </w:r>
      <w:r>
        <w:rPr>
          <w:rStyle w:val="2Char"/>
          <w:rFonts w:ascii="仿宋" w:eastAsia="仿宋" w:cs="仿宋" w:hint="eastAsia"/>
        </w:rPr>
        <w:t>政拨款收入支出决算总表</w:t>
      </w:r>
      <w:bookmarkEnd w:id="58"/>
    </w:p>
    <w:p>
      <w:pPr>
        <w:pStyle w:val="2"/>
        <w:rPr>
          <w:rStyle w:val="2Char"/>
          <w:rFonts w:ascii="仿宋" w:eastAsia="仿宋" w:cs="Times New Roman"/>
        </w:rPr>
      </w:pPr>
      <w:bookmarkStart w:id="59" w:name="_Toc15396623"/>
      <w:r>
        <w:rPr>
          <w:rStyle w:val="2Char"/>
          <w:rFonts w:ascii="仿宋" w:eastAsia="仿宋" w:cs="仿宋" w:hint="eastAsia"/>
        </w:rPr>
        <w:t>五、</w:t>
      </w:r>
      <w:r>
        <w:rPr>
          <w:rFonts w:ascii="仿宋" w:eastAsia="仿宋" w:cs="仿宋" w:hint="eastAsia"/>
          <w:b w:val="0"/>
          <w:bCs w:val="0"/>
        </w:rPr>
        <w:t>财</w:t>
      </w:r>
      <w:r>
        <w:rPr>
          <w:rStyle w:val="2Char"/>
          <w:rFonts w:ascii="仿宋" w:eastAsia="仿宋" w:cs="仿宋" w:hint="eastAsia"/>
        </w:rPr>
        <w:t>政拨款支出决算明细表</w:t>
      </w:r>
      <w:bookmarkStart w:id="60" w:name="_Toc15396624"/>
      <w:bookmarkEnd w:id="59"/>
    </w:p>
    <w:p>
      <w:pPr>
        <w:pStyle w:val="2"/>
        <w:rPr>
          <w:rFonts w:ascii="仿宋" w:eastAsia="仿宋" w:cs="Times New Roman"/>
        </w:rPr>
      </w:pPr>
      <w:r>
        <w:rPr>
          <w:rStyle w:val="2Char"/>
          <w:rFonts w:ascii="仿宋" w:eastAsia="仿宋" w:cs="仿宋" w:hint="eastAsia"/>
        </w:rPr>
        <w:t>六、</w:t>
      </w:r>
      <w:r>
        <w:rPr>
          <w:rFonts w:ascii="仿宋" w:eastAsia="仿宋" w:cs="仿宋" w:hint="eastAsia"/>
          <w:b w:val="0"/>
          <w:bCs w:val="0"/>
        </w:rPr>
        <w:t>一</w:t>
      </w:r>
      <w:r>
        <w:rPr>
          <w:rStyle w:val="2Char"/>
          <w:rFonts w:ascii="仿宋" w:eastAsia="仿宋" w:cs="仿宋" w:hint="eastAsia"/>
        </w:rPr>
        <w:t>般公共预算财政拨款支出决算表</w:t>
      </w:r>
      <w:bookmarkEnd w:id="60"/>
    </w:p>
    <w:p>
      <w:pPr>
        <w:pStyle w:val="2"/>
        <w:rPr>
          <w:rFonts w:ascii="仿宋" w:eastAsia="仿宋" w:cs="Times New Roman"/>
        </w:rPr>
      </w:pPr>
      <w:bookmarkStart w:id="61" w:name="_Toc15396625"/>
      <w:r>
        <w:rPr>
          <w:rStyle w:val="2Char"/>
          <w:rFonts w:ascii="仿宋" w:eastAsia="仿宋" w:cs="仿宋" w:hint="eastAsia"/>
        </w:rPr>
        <w:t>七、</w:t>
      </w:r>
      <w:r>
        <w:rPr>
          <w:rFonts w:ascii="仿宋" w:eastAsia="仿宋" w:cs="仿宋" w:hint="eastAsia"/>
          <w:b w:val="0"/>
          <w:bCs w:val="0"/>
        </w:rPr>
        <w:t>一</w:t>
      </w:r>
      <w:r>
        <w:rPr>
          <w:rStyle w:val="2Char"/>
          <w:rFonts w:ascii="仿宋" w:eastAsia="仿宋" w:cs="仿宋" w:hint="eastAsia"/>
        </w:rPr>
        <w:t>般公共预算财政拨款支出决算明细表</w:t>
      </w:r>
      <w:bookmarkEnd w:id="61"/>
    </w:p>
    <w:p>
      <w:pPr>
        <w:pStyle w:val="2"/>
        <w:rPr>
          <w:rFonts w:ascii="仿宋" w:eastAsia="仿宋" w:cs="Times New Roman"/>
        </w:rPr>
      </w:pPr>
      <w:bookmarkStart w:id="62" w:name="_Toc15396626"/>
      <w:r>
        <w:rPr>
          <w:rStyle w:val="2Char"/>
          <w:rFonts w:ascii="仿宋" w:eastAsia="仿宋" w:cs="仿宋" w:hint="eastAsia"/>
        </w:rPr>
        <w:t>八、</w:t>
      </w:r>
      <w:r>
        <w:rPr>
          <w:rFonts w:ascii="仿宋" w:eastAsia="仿宋" w:cs="仿宋" w:hint="eastAsia"/>
          <w:b w:val="0"/>
          <w:bCs w:val="0"/>
        </w:rPr>
        <w:t>一</w:t>
      </w:r>
      <w:r>
        <w:rPr>
          <w:rStyle w:val="2Char"/>
          <w:rFonts w:ascii="仿宋" w:eastAsia="仿宋" w:cs="仿宋" w:hint="eastAsia"/>
        </w:rPr>
        <w:t>般公共预算财政拨款基本支出决算表</w:t>
      </w:r>
      <w:bookmarkEnd w:id="62"/>
    </w:p>
    <w:p>
      <w:pPr>
        <w:pStyle w:val="2"/>
        <w:rPr>
          <w:rFonts w:ascii="仿宋" w:eastAsia="仿宋" w:cs="Times New Roman"/>
        </w:rPr>
      </w:pPr>
      <w:bookmarkStart w:id="63" w:name="_Toc15396627"/>
      <w:r>
        <w:rPr>
          <w:rStyle w:val="2Char"/>
          <w:rFonts w:ascii="仿宋" w:eastAsia="仿宋" w:cs="仿宋" w:hint="eastAsia"/>
        </w:rPr>
        <w:t>九、</w:t>
      </w:r>
      <w:r>
        <w:rPr>
          <w:rFonts w:ascii="仿宋" w:eastAsia="仿宋" w:cs="仿宋" w:hint="eastAsia"/>
          <w:b w:val="0"/>
          <w:bCs w:val="0"/>
        </w:rPr>
        <w:t>一</w:t>
      </w:r>
      <w:r>
        <w:rPr>
          <w:rStyle w:val="2Char"/>
          <w:rFonts w:ascii="仿宋" w:eastAsia="仿宋" w:cs="仿宋" w:hint="eastAsia"/>
        </w:rPr>
        <w:t>般公共预算财政拨款项目支出决算表</w:t>
      </w:r>
      <w:bookmarkEnd w:id="63"/>
    </w:p>
    <w:p>
      <w:pPr>
        <w:pStyle w:val="2"/>
        <w:rPr>
          <w:rFonts w:ascii="仿宋" w:eastAsia="仿宋" w:cs="Times New Roman"/>
        </w:rPr>
      </w:pPr>
      <w:bookmarkStart w:id="64" w:name="_Toc15396628"/>
      <w:r>
        <w:rPr>
          <w:rStyle w:val="2Char"/>
          <w:rFonts w:ascii="仿宋" w:eastAsia="仿宋" w:cs="仿宋" w:hint="eastAsia"/>
        </w:rPr>
        <w:t>十、</w:t>
      </w:r>
      <w:bookmarkEnd w:id="64"/>
      <w:r>
        <w:rPr>
          <w:rFonts w:ascii="仿宋" w:eastAsia="仿宋" w:cs="仿宋" w:hint="eastAsia"/>
          <w:b w:val="0"/>
          <w:bCs w:val="0"/>
        </w:rPr>
        <w:t>政</w:t>
      </w:r>
      <w:r>
        <w:rPr>
          <w:rStyle w:val="2Char"/>
          <w:rFonts w:ascii="仿宋" w:eastAsia="仿宋" w:cs="仿宋" w:hint="eastAsia"/>
        </w:rPr>
        <w:t>府性基金预算财政拨款收入支出决算表（此表无数据）</w:t>
      </w:r>
    </w:p>
    <w:p>
      <w:pPr>
        <w:pStyle w:val="2"/>
        <w:rPr>
          <w:rFonts w:ascii="仿宋" w:eastAsia="仿宋" w:cs="Times New Roman"/>
        </w:rPr>
      </w:pPr>
      <w:bookmarkStart w:id="65" w:name="_Toc15396629"/>
      <w:r>
        <w:rPr>
          <w:rStyle w:val="2Char"/>
          <w:rFonts w:ascii="仿宋" w:eastAsia="仿宋" w:cs="仿宋" w:hint="eastAsia"/>
        </w:rPr>
        <w:t>十一、</w:t>
      </w:r>
      <w:bookmarkEnd w:id="65"/>
      <w:r>
        <w:rPr>
          <w:rFonts w:ascii="仿宋" w:eastAsia="仿宋" w:cs="仿宋" w:hint="eastAsia"/>
          <w:b w:val="0"/>
          <w:bCs w:val="0"/>
        </w:rPr>
        <w:t>国</w:t>
      </w:r>
      <w:r>
        <w:rPr>
          <w:rStyle w:val="2Char"/>
          <w:rFonts w:ascii="仿宋" w:eastAsia="仿宋" w:cs="仿宋" w:hint="eastAsia"/>
        </w:rPr>
        <w:t>有资本经营预算财政拨款收入支出决算表（此表无数据）</w:t>
      </w:r>
    </w:p>
    <w:p>
      <w:pPr>
        <w:pStyle w:val="2"/>
        <w:rPr>
          <w:rFonts w:ascii="仿宋" w:eastAsia="仿宋" w:cs="Times New Roman"/>
        </w:rPr>
      </w:pPr>
      <w:bookmarkStart w:id="66" w:name="_Toc15396630"/>
      <w:r>
        <w:rPr>
          <w:rStyle w:val="2Char"/>
          <w:rFonts w:ascii="仿宋" w:eastAsia="仿宋" w:cs="仿宋" w:hint="eastAsia"/>
        </w:rPr>
        <w:t>十二、</w:t>
      </w:r>
      <w:bookmarkEnd w:id="66"/>
      <w:r>
        <w:rPr>
          <w:rStyle w:val="2Char"/>
          <w:rFonts w:ascii="仿宋" w:eastAsia="仿宋" w:cs="仿宋" w:hint="eastAsia"/>
        </w:rPr>
        <w:t>国有资本经营预算财政拨款支出决算表（此表无数据）</w:t>
      </w:r>
    </w:p>
    <w:p>
      <w:pPr>
        <w:pStyle w:val="2"/>
        <w:rPr>
          <w:rFonts w:eastAsia="仿宋" w:cs="Times New Roman"/>
        </w:rPr>
      </w:pPr>
      <w:bookmarkStart w:id="67" w:name="_Toc15396631"/>
      <w:r>
        <w:rPr>
          <w:rStyle w:val="2Char"/>
          <w:rFonts w:ascii="仿宋" w:eastAsia="仿宋" w:cs="仿宋" w:hint="eastAsia"/>
        </w:rPr>
        <w:t>十三、</w:t>
      </w:r>
      <w:bookmarkEnd w:id="67"/>
      <w:r>
        <w:rPr>
          <w:rStyle w:val="2Char"/>
          <w:rFonts w:ascii="仿宋" w:eastAsia="仿宋" w:cs="仿宋" w:hint="eastAsia"/>
        </w:rPr>
        <w:t>财政拨款“三公”经费支出决算表</w:t>
      </w:r>
    </w:p>
    <w:sectPr>
      <w:headerReference w:type="default" r:id="rId2"/>
      <w:footerReference w:type="default" r:id="rId3"/>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panose1 w:val="02020603050405020304"/>
    <w:charset w:val="00"/>
    <w:family w:val="roman"/>
    <w:pitch w:val="variable"/>
    <w:sig w:usb0="20002A87" w:usb1="80000000" w:usb2="00000008" w:usb3="00000000" w:csb0="000001FF" w:csb1="00000000"/>
  </w:font>
  <w:font w:name="方正小标宋简体">
    <w:altName w:val="阿里巴巴普惠体 R"/>
    <w:panose1 w:val="00000000000000000000"/>
    <w:charset w:val="86"/>
    <w:family w:val="script"/>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
    <w:altName w:val="宋体"/>
    <w:panose1 w:val="00000000000000000000"/>
    <w:charset w:val="86"/>
    <w:family w:val="modern"/>
    <w:pitch w:val="variable"/>
    <w:sig w:usb0="00000001" w:usb1="080E0000" w:usb2="00000010" w:usb3="00000000" w:csb0="00040000" w:csb1="00000000"/>
  </w:font>
  <w:font w:name="仿宋_GB2312">
    <w:panose1 w:val="02010609030101010101"/>
    <w:charset w:val="86"/>
    <w:family w:val="modern"/>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8"/>
      <w:tabs>
        <w:tab w:val="center" w:pos="4153"/>
        <w:tab w:val="right" w:pos="8306"/>
      </w:tabs>
      <w:jc w:val="center"/>
      <w:rPr>
        <w:rFonts w:cs="Times New Roman"/>
      </w:rPr>
    </w:pPr>
    <w:r>
      <w:fldChar w:fldCharType="begin"/>
    </w:r>
    <w:r>
      <w:instrText>PAGE   \* MERGEFORMAT</w:instrText>
    </w:r>
    <w:r>
      <w:fldChar w:fldCharType="separate"/>
    </w:r>
    <w:r>
      <w:rPr>
        <w:lang w:val="zh-CN"/>
      </w:rPr>
      <w:t>17</w:t>
    </w:r>
    <w:r>
      <w:fldChar w:fldCharType="end"/>
    </w:r>
  </w:p>
  <w:p>
    <w:pPr>
      <w:pStyle w:val="18"/>
      <w:tabs>
        <w:tab w:val="center" w:pos="4153"/>
        <w:tab w:val="right" w:pos="8306"/>
      </w:tabs>
      <w:rPr>
        <w:rFonts w:cs="Times New Roman"/>
      </w:rPr>
    </w:pPr>
  </w:p>
</w:ftr>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pStyle w:val="19"/>
      <w:pBdr>
        <w:bottom w:val="none" w:sz="0" w:space="0" w:color="auto"/>
      </w:pBdr>
      <w:tabs>
        <w:tab w:val="center" w:pos="4153"/>
        <w:tab w:val="right" w:pos="8306"/>
      </w:tabs>
      <w:rPr>
        <w:rFonts w:cs="Times New Roman"/>
      </w:rPr>
    </w:pPr>
  </w:p>
</w:hd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xmlns:mc="http://schemas.openxmlformats.org/markup-compatibility/2006" xmlns:w14="http://schemas.microsoft.com/office/word/2010/wordml">
  <w:abstractNum w:abstractNumId="0">
    <w:nsid w:val="3818A09A"/>
    <w:multiLevelType w:val="singleLevel"/>
    <w:tmpl w:val="3818A09A"/>
    <w:lvl w:ilvl="0">
      <w:start w:val="1"/>
      <w:numFmt w:val="chineseCounting"/>
      <w:lvlRestart w:val="0"/>
      <w:suff w:val="nothing"/>
      <w:lvlText w:val="%1、"/>
      <w:lvlJc w:val="left"/>
      <w:pPr>
        <w:ind w:left="0" w:hanging="0"/>
      </w:pPr>
      <w:rPr>
        <w:rFonts w:hint="eastAsia"/>
      </w:rPr>
    </w:lvl>
  </w:abstractNum>
  <w:abstractNum w:abstractNumId="1">
    <w:nsid w:val="1272550B"/>
    <w:multiLevelType w:val="multilevel"/>
    <w:tmpl w:val="1272550B"/>
    <w:lvl w:ilvl="0">
      <w:start w:val="1"/>
      <w:numFmt w:val="japaneseCounting"/>
      <w:lvlRestart w:val="0"/>
      <w:lvlText w:val="%1、"/>
      <w:lvlJc w:val="left"/>
      <w:pPr>
        <w:ind w:left="1360" w:hanging="720"/>
      </w:pPr>
      <w:rPr>
        <w:rFonts w:hint="default"/>
        <w:b w:val="0"/>
        <w:bCs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CF652CEC"/>
    <w:multiLevelType w:val="singleLevel"/>
    <w:tmpl w:val="CF652CEC"/>
    <w:lvl w:ilvl="0">
      <w:start w:val="9"/>
      <w:numFmt w:val="chineseCounting"/>
      <w:lvlRestart w:val="0"/>
      <w:suff w:val="nothing"/>
      <w:lvlText w:val="%1、"/>
      <w:lvlJc w:val="left"/>
      <w:pPr>
        <w:ind w:left="0" w:hanging="0"/>
      </w:pPr>
      <w:rPr>
        <w:rFonts w:hint="eastAsia"/>
      </w:rPr>
    </w:lvl>
  </w:abstractNum>
  <w:abstractNum w:abstractNumId="3">
    <w:nsid w:val="E2FA047D"/>
    <w:multiLevelType w:val="singleLevel"/>
    <w:tmpl w:val="E2FA047D"/>
    <w:lvl w:ilvl="0">
      <w:start w:val="3"/>
      <w:numFmt w:val="chineseCounting"/>
      <w:lvlRestart w:val="0"/>
      <w:suff w:val="space"/>
      <w:lvlText w:val="第%1部分"/>
      <w:lvlJc w:val="left"/>
      <w:pPr>
        <w:ind w:left="0" w:hanging="0"/>
      </w:pPr>
      <w:rPr>
        <w:rFonts w:ascii="黑体" w:hAnsi="黑体" w:eastAsia="黑体" w:hint="eastAsia"/>
        <w:sz w:val="44"/>
        <w:szCs w:val="44"/>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doNotUseIndentAsNumberingTabStop/>
    <w:useAltKinsokuLineBreakRules/>
    <w:splitPgBreakAndParaMark/>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宋体" w:cs="Times New Roman" w:hAnsi="Times New Roman"/>
      <w:kern w:val="2"/>
      <w:sz w:val="21"/>
      <w:szCs w:val="21"/>
      <w:lang w:val="en-US" w:eastAsia="zh-CN" w:bidi="ar-SA"/>
    </w:rPr>
  </w:style>
  <w:style w:type="paragraph" w:styleId="1">
    <w:name w:val="heading 1"/>
    <w:basedOn w:val="0"/>
    <w:next w:val="0"/>
    <w:link w:val="1Char"/>
    <w:pPr>
      <w:keepNext/>
      <w:keepLines/>
      <w:widowControl w:val="0"/>
      <w:spacing w:before="340" w:after="330" w:line="578" w:lineRule="auto"/>
      <w:outlineLvl w:val="0"/>
    </w:pPr>
    <w:rPr>
      <w:b/>
      <w:bCs/>
      <w:kern w:val="44"/>
      <w:sz w:val="44"/>
      <w:szCs w:val="44"/>
    </w:rPr>
  </w:style>
  <w:style w:type="character" w:customStyle="1" w:styleId="1Char">
    <w:name w:val="heading 1 Char"/>
    <w:basedOn w:val="10"/>
    <w:link w:val="1"/>
    <w:rPr>
      <w:rFonts w:ascii="Times New Roman" w:eastAsia="宋体" w:cs="Times New Roman" w:hAnsi="Times New Roman"/>
      <w:b/>
      <w:bCs/>
      <w:kern w:val="44"/>
      <w:sz w:val="44"/>
      <w:szCs w:val="44"/>
      <w:lang w:val="en-US" w:eastAsia="zh-CN" w:bidi="ar-SA"/>
    </w:rPr>
  </w:style>
  <w:style w:type="paragraph" w:styleId="2">
    <w:name w:val="heading 2"/>
    <w:basedOn w:val="0"/>
    <w:next w:val="0"/>
    <w:link w:val="2Char"/>
    <w:pPr>
      <w:keepNext/>
      <w:keepLines/>
      <w:widowControl w:val="0"/>
      <w:spacing w:before="260" w:after="260" w:line="415" w:lineRule="auto"/>
      <w:outlineLvl w:val="1"/>
    </w:pPr>
    <w:rPr>
      <w:rFonts w:ascii="Cambria" w:cs="Cambria" w:hAnsi="Cambria"/>
      <w:b/>
      <w:bCs/>
      <w:sz w:val="32"/>
      <w:szCs w:val="32"/>
    </w:rPr>
  </w:style>
  <w:style w:type="character" w:customStyle="1" w:styleId="2Char">
    <w:name w:val="heading 2 Char"/>
    <w:basedOn w:val="10"/>
    <w:link w:val="2"/>
    <w:rPr>
      <w:rFonts w:ascii="Cambria" w:eastAsia="宋体" w:cs="Cambria" w:hAnsi="Cambria"/>
      <w:b/>
      <w:bCs/>
      <w:kern w:val="2"/>
      <w:sz w:val="32"/>
      <w:szCs w:val="32"/>
      <w:lang w:val="en-US" w:eastAsia="zh-CN" w:bidi="ar-SA"/>
    </w:rPr>
  </w:style>
  <w:style w:type="paragraph" w:styleId="3">
    <w:name w:val="heading 3"/>
    <w:basedOn w:val="0"/>
    <w:next w:val="0"/>
    <w:pPr>
      <w:keepNext/>
      <w:keepLines/>
      <w:widowControl w:val="0"/>
      <w:spacing w:before="260" w:after="260" w:line="415" w:lineRule="auto"/>
      <w:outlineLvl w:val="2"/>
    </w:pPr>
    <w:rPr>
      <w:b/>
      <w:bCs/>
      <w:sz w:val="32"/>
      <w:szCs w:val="32"/>
    </w:rPr>
  </w:style>
  <w:style w:type="character" w:default="1" w:styleId="10">
    <w:name w:val="Default Paragraph Font"/>
  </w:style>
  <w:style w:type="paragraph" w:styleId="15">
    <w:name w:val="Body Text"/>
    <w:basedOn w:val="0"/>
    <w:pPr>
      <w:spacing w:beforeLines="30" w:before="30"/>
    </w:pPr>
    <w:rPr>
      <w:rFonts w:ascii="仿宋_GB2312" w:eastAsia="仿宋_GB2312" w:cs="仿宋_GB2312"/>
      <w:kern w:val="0"/>
      <w:sz w:val="24"/>
      <w:szCs w:val="24"/>
    </w:rPr>
  </w:style>
  <w:style w:type="paragraph" w:styleId="16">
    <w:name w:val="toc 3"/>
    <w:basedOn w:val="0"/>
    <w:autoRedefine/>
    <w:next w:val="0"/>
    <w:pPr>
      <w:tabs>
        <w:tab w:val="right" w:leader="dot" w:pos="8296"/>
      </w:tabs>
      <w:ind w:leftChars="400" w:left="400"/>
    </w:pPr>
  </w:style>
  <w:style w:type="paragraph" w:styleId="17">
    <w:name w:val="Balloon Text"/>
    <w:basedOn w:val="0"/>
    <w:rPr>
      <w:sz w:val="18"/>
      <w:szCs w:val="18"/>
    </w:rPr>
  </w:style>
  <w:style w:type="paragraph" w:styleId="18">
    <w:name w:val="footer"/>
    <w:basedOn w:val="0"/>
    <w:pPr>
      <w:tabs>
        <w:tab w:val="center" w:pos="4153"/>
        <w:tab w:val="right" w:pos="8306"/>
      </w:tabs>
      <w:snapToGrid w:val="0"/>
      <w:jc w:val="left"/>
    </w:pPr>
    <w:rPr>
      <w:rFonts w:ascii="Calibri" w:cs="Calibri" w:hAnsi="Calibri"/>
      <w:kern w:val="0"/>
      <w:sz w:val="18"/>
      <w:szCs w:val="18"/>
    </w:rPr>
  </w:style>
  <w:style w:type="paragraph" w:styleId="19">
    <w:name w:val="header"/>
    <w:basedOn w:val="0"/>
    <w:pPr>
      <w:pBdr>
        <w:bottom w:val="single" w:sz="6" w:space="1" w:color="auto"/>
      </w:pBdr>
      <w:tabs>
        <w:tab w:val="center" w:pos="4153"/>
        <w:tab w:val="right" w:pos="8306"/>
      </w:tabs>
      <w:snapToGrid w:val="0"/>
      <w:jc w:val="center"/>
    </w:pPr>
    <w:rPr>
      <w:rFonts w:ascii="Calibri" w:cs="Calibri" w:hAnsi="Calibri"/>
      <w:kern w:val="0"/>
      <w:sz w:val="18"/>
      <w:szCs w:val="18"/>
    </w:rPr>
  </w:style>
  <w:style w:type="paragraph" w:styleId="20">
    <w:name w:val="toc 1"/>
    <w:basedOn w:val="0"/>
    <w:autoRedefine/>
    <w:next w:val="0"/>
    <w:pPr>
      <w:tabs>
        <w:tab w:val="right" w:leader="dot" w:pos="8296"/>
      </w:tabs>
      <w:spacing w:before="93"/>
      <w:jc w:val="center"/>
    </w:pPr>
    <w:rPr>
      <w:rFonts w:ascii="仿宋" w:eastAsia="仿宋" w:cs="仿宋"/>
      <w:sz w:val="28"/>
      <w:szCs w:val="28"/>
    </w:rPr>
  </w:style>
  <w:style w:type="paragraph" w:styleId="21">
    <w:name w:val="toc 2"/>
    <w:basedOn w:val="0"/>
    <w:autoRedefine/>
    <w:next w:val="0"/>
    <w:pPr>
      <w:tabs>
        <w:tab w:val="right" w:leader="dot" w:pos="8296"/>
      </w:tabs>
      <w:ind w:leftChars="200" w:left="200"/>
    </w:pPr>
  </w:style>
  <w:style w:type="character" w:styleId="22">
    <w:name w:val="Strong"/>
    <w:basedOn w:val="10"/>
    <w:rPr>
      <w:b/>
      <w:bCs/>
    </w:rPr>
  </w:style>
  <w:style w:type="character" w:styleId="23">
    <w:name w:val="Hyperlink"/>
    <w:basedOn w:val="10"/>
    <w:rPr>
      <w:color w:val="0000FF"/>
      <w:u w:val="single"/>
    </w:rPr>
  </w:style>
  <w:style w:type="paragraph" w:customStyle="1" w:styleId="24">
    <w:name w:val="Default"/>
    <w:pPr>
      <w:widowControl w:val="0"/>
      <w:autoSpaceDE w:val="0"/>
      <w:autoSpaceDN w:val="0"/>
      <w:adjustRightInd w:val="0"/>
    </w:pPr>
    <w:rPr>
      <w:rFonts w:ascii="仿宋" w:eastAsia="仿宋" w:cs="仿宋"/>
      <w:color w:val="000000"/>
      <w:kern w:val="0"/>
      <w:sz w:val="24"/>
      <w:szCs w:val="24"/>
      <w:lang w:val="en-US" w:eastAsia="zh-CN" w:bidi="ar-SA"/>
    </w:rPr>
  </w:style>
  <w:style w:type="paragraph" w:styleId="25">
    <w:name w:val="List Paragraph"/>
    <w:basedOn w:val="0"/>
    <w:pPr>
      <w:ind w:firstLineChars="200" w:firstLine="200"/>
    </w:pPr>
  </w:style>
  <w:style w:type="paragraph" w:customStyle="1" w:styleId="26">
    <w:name w:val="TOC 标题1"/>
    <w:basedOn w:val="1"/>
    <w:next w:val="0"/>
    <w:pPr>
      <w:keepNext/>
      <w:keepLines/>
      <w:widowControl/>
      <w:spacing w:before="480" w:after="0" w:line="276" w:lineRule="auto"/>
      <w:jc w:val="left"/>
      <w:outlineLvl w:val="9"/>
    </w:pPr>
    <w:rPr>
      <w:rFonts w:ascii="Cambria" w:cs="Cambria" w:hAnsi="Cambria"/>
      <w:color w:val="365F91"/>
      <w:kern w:val="0"/>
      <w:sz w:val="28"/>
      <w:szCs w:val="28"/>
    </w:rPr>
  </w:style>
  <w:style w:type="paragraph" w:customStyle="1" w:styleId="27">
    <w:name w:val="TOC 标题2"/>
    <w:basedOn w:val="1"/>
    <w:next w:val="0"/>
    <w:pPr>
      <w:keepNext/>
      <w:keepLines/>
      <w:widowControl/>
      <w:spacing w:before="480" w:after="0" w:line="276" w:lineRule="auto"/>
      <w:jc w:val="left"/>
      <w:outlineLvl w:val="9"/>
    </w:pPr>
    <w:rPr>
      <w:rFonts w:ascii="Cambria" w:cs="Cambria" w:hAnsi="Cambria"/>
      <w:color w:val="365F91"/>
      <w:kern w:val="0"/>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2.png"/><Relationship Id="rId5" Type="http://schemas.openxmlformats.org/officeDocument/2006/relationships/image" Target="media/5.png"/><Relationship Id="rId6" Type="http://schemas.openxmlformats.org/officeDocument/2006/relationships/image" Target="media/8.png"/><Relationship Id="rId7" Type="http://schemas.openxmlformats.org/officeDocument/2006/relationships/image" Target="media/11.png"/><Relationship Id="rId8" Type="http://schemas.openxmlformats.org/officeDocument/2006/relationships/image" Target="media/14.png"/><Relationship Id="rId9" Type="http://schemas.openxmlformats.org/officeDocument/2006/relationships/image" Target="media/17.png"/><Relationship Id="rId10" Type="http://schemas.openxmlformats.org/officeDocument/2006/relationships/image" Target="media/20.png"/><Relationship Id="rId11" Type="http://schemas.openxmlformats.org/officeDocument/2006/relationships/styles" Target="styles.xml"/><Relationship Id="rId12" Type="http://schemas.openxmlformats.org/officeDocument/2006/relationships/numbering" Target="numbering.xml"/><Relationship Id="rId13" Type="http://schemas.openxmlformats.org/officeDocument/2006/relationships/fontTable" Target="fontTable.xml"/></Relationships>
</file>

<file path=docProps/app.xml><?xml version="1.0" encoding="utf-8"?>
<Properties xmlns="http://schemas.openxmlformats.org/officeDocument/2006/extended-properties">
  <Template>Normal.eit</Template>
  <TotalTime>373</TotalTime>
  <Application>Yozo_Office27021597764231179</Application>
  <Pages>18</Pages>
  <Words>4787</Words>
  <Characters>5272</Characters>
  <Lines>295</Lines>
  <Paragraphs>128</Paragraphs>
  <CharactersWithSpaces>5336</CharactersWithSpaces>
  <Company>四川省财政厅</Company>
</Properties>
</file>

<file path=docProps/core.xml><?xml version="1.0" encoding="utf-8"?>
<cp:coreProperties xmlns:cp="http://schemas.openxmlformats.org/package/2006/metadata/core-properties" xmlns:dc="http://purl.org/dc/elements/1.1/" xmlns:dcterms="http://purl.org/dc/terms/" xmlns:xsi="http://www.w3.org/2001/XMLSchema-instance">
  <dc:title>四川省***</dc:title>
  <dc:creator>曹颖</dc:creator>
  <cp:lastModifiedBy>user</cp:lastModifiedBy>
  <cp:revision>95</cp:revision>
  <cp:lastPrinted>2023-07-31T02:35:00Z</cp:lastPrinted>
  <dcterms:created xsi:type="dcterms:W3CDTF">2020-08-05T01:49:00Z</dcterms:created>
  <dcterms:modified xsi:type="dcterms:W3CDTF">2023-09-15T08:44:54Z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2052-11.8.2.8361</vt:lpwstr>
  </property>
</Properties>
</file>